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B2F5BD"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EA32BC">
        <w:rPr>
          <w:rFonts w:ascii="Palatino Linotype" w:eastAsia="Palatino Linotype" w:hAnsi="Palatino Linotype" w:cs="Palatino Linotype"/>
          <w:b/>
        </w:rPr>
        <w:t>dieciocho</w:t>
      </w:r>
      <w:r w:rsidRPr="00EA32BC">
        <w:rPr>
          <w:rFonts w:ascii="Palatino Linotype" w:eastAsia="Palatino Linotype" w:hAnsi="Palatino Linotype" w:cs="Palatino Linotype"/>
        </w:rPr>
        <w:t xml:space="preserve"> </w:t>
      </w:r>
      <w:r w:rsidRPr="00EA32BC">
        <w:rPr>
          <w:rFonts w:ascii="Palatino Linotype" w:eastAsia="Palatino Linotype" w:hAnsi="Palatino Linotype" w:cs="Palatino Linotype"/>
          <w:b/>
        </w:rPr>
        <w:t>de enero del dos mil veintitrés</w:t>
      </w:r>
      <w:r w:rsidRPr="00EA32BC">
        <w:rPr>
          <w:rFonts w:ascii="Palatino Linotype" w:eastAsia="Palatino Linotype" w:hAnsi="Palatino Linotype" w:cs="Palatino Linotype"/>
        </w:rPr>
        <w:t>.</w:t>
      </w:r>
    </w:p>
    <w:p w14:paraId="5F8A04BD" w14:textId="61428151" w:rsidR="001A3FC3" w:rsidRPr="00EA32BC" w:rsidRDefault="00C612D2">
      <w:pPr>
        <w:spacing w:before="240" w:after="240" w:line="360" w:lineRule="auto"/>
        <w:jc w:val="both"/>
        <w:rPr>
          <w:rFonts w:ascii="Palatino Linotype" w:eastAsia="Palatino Linotype" w:hAnsi="Palatino Linotype" w:cs="Palatino Linotype"/>
          <w:b/>
        </w:rPr>
      </w:pPr>
      <w:r w:rsidRPr="00EA32BC">
        <w:rPr>
          <w:rFonts w:ascii="Palatino Linotype" w:eastAsia="Palatino Linotype" w:hAnsi="Palatino Linotype" w:cs="Palatino Linotype"/>
          <w:b/>
        </w:rPr>
        <w:t>Visto</w:t>
      </w:r>
      <w:r w:rsidRPr="00EA32BC">
        <w:rPr>
          <w:rFonts w:ascii="Palatino Linotype" w:eastAsia="Palatino Linotype" w:hAnsi="Palatino Linotype" w:cs="Palatino Linotype"/>
        </w:rPr>
        <w:t xml:space="preserve"> el expediente relativo al recurso de revisión </w:t>
      </w:r>
      <w:r w:rsidRPr="00EA32BC">
        <w:rPr>
          <w:rFonts w:ascii="Palatino Linotype" w:eastAsia="Palatino Linotype" w:hAnsi="Palatino Linotype" w:cs="Palatino Linotype"/>
          <w:b/>
        </w:rPr>
        <w:t>12454/INFOEM/IP/RR/2022</w:t>
      </w:r>
      <w:r w:rsidRPr="00EA32BC">
        <w:rPr>
          <w:rFonts w:ascii="Palatino Linotype" w:eastAsia="Palatino Linotype" w:hAnsi="Palatino Linotype" w:cs="Palatino Linotype"/>
        </w:rPr>
        <w:t>, interpuesto por</w:t>
      </w:r>
      <w:r w:rsidR="00681B3F">
        <w:rPr>
          <w:rFonts w:ascii="Palatino Linotype" w:eastAsia="Palatino Linotype" w:hAnsi="Palatino Linotype" w:cs="Palatino Linotype"/>
          <w:b/>
        </w:rPr>
        <w:t xml:space="preserve"> XXXXX XXXXX XX XXXXXXX</w:t>
      </w:r>
      <w:bookmarkStart w:id="0" w:name="_GoBack"/>
      <w:bookmarkEnd w:id="0"/>
      <w:r w:rsidRPr="00EA32BC">
        <w:rPr>
          <w:rFonts w:ascii="Palatino Linotype" w:eastAsia="Palatino Linotype" w:hAnsi="Palatino Linotype" w:cs="Palatino Linotype"/>
          <w:b/>
        </w:rPr>
        <w:t xml:space="preserve">, </w:t>
      </w:r>
      <w:r w:rsidRPr="00EA32BC">
        <w:rPr>
          <w:rFonts w:ascii="Palatino Linotype" w:eastAsia="Palatino Linotype" w:hAnsi="Palatino Linotype" w:cs="Palatino Linotype"/>
        </w:rPr>
        <w:t xml:space="preserve">a quien en lo sucesivo se le denominará </w:t>
      </w:r>
      <w:r w:rsidRPr="00EA32BC">
        <w:rPr>
          <w:rFonts w:ascii="Palatino Linotype" w:eastAsia="Palatino Linotype" w:hAnsi="Palatino Linotype" w:cs="Palatino Linotype"/>
          <w:b/>
        </w:rPr>
        <w:t>el Recurrente</w:t>
      </w:r>
      <w:r w:rsidRPr="00EA32BC">
        <w:rPr>
          <w:rFonts w:ascii="Palatino Linotype" w:eastAsia="Palatino Linotype" w:hAnsi="Palatino Linotype" w:cs="Palatino Linotype"/>
          <w:b/>
          <w:i/>
        </w:rPr>
        <w:t xml:space="preserve"> </w:t>
      </w:r>
      <w:r w:rsidRPr="00EA32BC">
        <w:rPr>
          <w:rFonts w:ascii="Palatino Linotype" w:eastAsia="Palatino Linotype" w:hAnsi="Palatino Linotype" w:cs="Palatino Linotype"/>
        </w:rPr>
        <w:t>en contra de la respuesta a su solicitud de información pública con número de folio</w:t>
      </w:r>
      <w:r w:rsidRPr="00EA32BC">
        <w:rPr>
          <w:rFonts w:ascii="Verdana" w:eastAsia="Verdana" w:hAnsi="Verdana" w:cs="Verdana"/>
          <w:b/>
        </w:rPr>
        <w:t> </w:t>
      </w:r>
      <w:r w:rsidRPr="00EA32BC">
        <w:rPr>
          <w:rFonts w:ascii="Palatino Linotype" w:eastAsia="Palatino Linotype" w:hAnsi="Palatino Linotype" w:cs="Palatino Linotype"/>
          <w:b/>
        </w:rPr>
        <w:t>01382/TOLUCA/IP/2022,</w:t>
      </w:r>
      <w:r w:rsidRPr="00EA32BC">
        <w:rPr>
          <w:rFonts w:ascii="Palatino Linotype" w:eastAsia="Palatino Linotype" w:hAnsi="Palatino Linotype" w:cs="Palatino Linotype"/>
        </w:rPr>
        <w:t xml:space="preserve"> otorgada por el </w:t>
      </w:r>
      <w:r w:rsidRPr="00EA32BC">
        <w:rPr>
          <w:rFonts w:ascii="Palatino Linotype" w:eastAsia="Palatino Linotype" w:hAnsi="Palatino Linotype" w:cs="Palatino Linotype"/>
          <w:b/>
        </w:rPr>
        <w:t>Ayuntamiento de Toluca</w:t>
      </w:r>
      <w:r w:rsidRPr="00EA32BC">
        <w:rPr>
          <w:rFonts w:ascii="Palatino Linotype" w:eastAsia="Palatino Linotype" w:hAnsi="Palatino Linotype" w:cs="Palatino Linotype"/>
        </w:rPr>
        <w:t xml:space="preserve">, en lo sucesivo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w:t>
      </w:r>
      <w:r w:rsidRPr="00EA32BC">
        <w:rPr>
          <w:rFonts w:ascii="Palatino Linotype" w:eastAsia="Palatino Linotype" w:hAnsi="Palatino Linotype" w:cs="Palatino Linotype"/>
          <w:b/>
        </w:rPr>
        <w:t xml:space="preserve"> </w:t>
      </w:r>
      <w:r w:rsidRPr="00EA32BC">
        <w:rPr>
          <w:rFonts w:ascii="Palatino Linotype" w:eastAsia="Palatino Linotype" w:hAnsi="Palatino Linotype" w:cs="Palatino Linotype"/>
        </w:rPr>
        <w:t xml:space="preserve">se procede a dictar la presente resolución, con base en lo siguiente. </w:t>
      </w:r>
    </w:p>
    <w:p w14:paraId="4CE49F86" w14:textId="77777777" w:rsidR="001A3FC3" w:rsidRPr="00EA32BC" w:rsidRDefault="00C612D2">
      <w:pPr>
        <w:pStyle w:val="Ttulo2"/>
        <w:spacing w:before="240" w:after="240" w:line="360" w:lineRule="auto"/>
        <w:jc w:val="center"/>
        <w:rPr>
          <w:rFonts w:ascii="Palatino Linotype" w:eastAsia="Palatino Linotype" w:hAnsi="Palatino Linotype" w:cs="Palatino Linotype"/>
          <w:b/>
          <w:color w:val="auto"/>
          <w:sz w:val="24"/>
          <w:szCs w:val="24"/>
        </w:rPr>
      </w:pPr>
      <w:r w:rsidRPr="00EA32BC">
        <w:rPr>
          <w:rFonts w:ascii="Palatino Linotype" w:eastAsia="Palatino Linotype" w:hAnsi="Palatino Linotype" w:cs="Palatino Linotype"/>
          <w:b/>
          <w:color w:val="auto"/>
          <w:sz w:val="24"/>
          <w:szCs w:val="24"/>
        </w:rPr>
        <w:t>I. A N T E C E D E N T E S:</w:t>
      </w:r>
    </w:p>
    <w:p w14:paraId="79C8C1DA" w14:textId="77777777" w:rsidR="001A3FC3" w:rsidRPr="00EA32BC" w:rsidRDefault="00C612D2">
      <w:pPr>
        <w:spacing w:before="240" w:after="240" w:line="360" w:lineRule="auto"/>
        <w:jc w:val="both"/>
        <w:rPr>
          <w:rFonts w:ascii="Palatino Linotype" w:eastAsia="Palatino Linotype" w:hAnsi="Palatino Linotype" w:cs="Palatino Linotype"/>
          <w:b/>
        </w:rPr>
      </w:pPr>
      <w:r w:rsidRPr="00EA32BC">
        <w:rPr>
          <w:rFonts w:ascii="Palatino Linotype" w:eastAsia="Palatino Linotype" w:hAnsi="Palatino Linotype" w:cs="Palatino Linotype"/>
          <w:b/>
        </w:rPr>
        <w:t>1. Solicitud de acceso a la información.</w:t>
      </w:r>
      <w:r w:rsidRPr="00EA32BC">
        <w:rPr>
          <w:rFonts w:ascii="Palatino Linotype" w:eastAsia="Palatino Linotype" w:hAnsi="Palatino Linotype" w:cs="Palatino Linotype"/>
          <w:b/>
          <w:sz w:val="22"/>
          <w:szCs w:val="22"/>
        </w:rPr>
        <w:t xml:space="preserve"> El</w:t>
      </w:r>
      <w:r w:rsidRPr="00EA32BC">
        <w:rPr>
          <w:rFonts w:ascii="Palatino Linotype" w:eastAsia="Palatino Linotype" w:hAnsi="Palatino Linotype" w:cs="Palatino Linotype"/>
        </w:rPr>
        <w:t xml:space="preserve"> </w:t>
      </w:r>
      <w:r w:rsidRPr="00EA32BC">
        <w:rPr>
          <w:rFonts w:ascii="Palatino Linotype" w:eastAsia="Palatino Linotype" w:hAnsi="Palatino Linotype" w:cs="Palatino Linotype"/>
          <w:b/>
        </w:rPr>
        <w:t>treinta de mayo del dos mil veintidós,</w:t>
      </w:r>
      <w:r w:rsidRPr="00EA32BC">
        <w:rPr>
          <w:rFonts w:ascii="Palatino Linotype" w:eastAsia="Palatino Linotype" w:hAnsi="Palatino Linotype" w:cs="Palatino Linotype"/>
        </w:rPr>
        <w:t xml:space="preserve"> el ahora </w:t>
      </w:r>
      <w:r w:rsidRPr="00EA32BC">
        <w:rPr>
          <w:rFonts w:ascii="Palatino Linotype" w:eastAsia="Palatino Linotype" w:hAnsi="Palatino Linotype" w:cs="Palatino Linotype"/>
          <w:b/>
        </w:rPr>
        <w:t>Recurrente</w:t>
      </w:r>
      <w:r w:rsidRPr="00EA32BC">
        <w:rPr>
          <w:rFonts w:ascii="Palatino Linotype" w:eastAsia="Palatino Linotype" w:hAnsi="Palatino Linotype" w:cs="Palatino Linotype"/>
        </w:rPr>
        <w:t xml:space="preserve"> presentó a través del Sistema de Acceso a la Información Mexiquense, en lo subsecuente el </w:t>
      </w:r>
      <w:r w:rsidRPr="00EA32BC">
        <w:rPr>
          <w:rFonts w:ascii="Palatino Linotype" w:eastAsia="Palatino Linotype" w:hAnsi="Palatino Linotype" w:cs="Palatino Linotype"/>
          <w:b/>
        </w:rPr>
        <w:t>SAIMEX,</w:t>
      </w:r>
      <w:r w:rsidRPr="00EA32BC">
        <w:rPr>
          <w:rFonts w:ascii="Palatino Linotype" w:eastAsia="Palatino Linotype" w:hAnsi="Palatino Linotype" w:cs="Palatino Linotype"/>
        </w:rPr>
        <w:t xml:space="preserve"> la solicitud de acceso a la información pública, a la que se le asignó el número</w:t>
      </w:r>
      <w:r w:rsidRPr="00EA32BC">
        <w:rPr>
          <w:rFonts w:ascii="Palatino Linotype" w:eastAsia="Palatino Linotype" w:hAnsi="Palatino Linotype" w:cs="Palatino Linotype"/>
          <w:b/>
        </w:rPr>
        <w:t xml:space="preserve"> </w:t>
      </w:r>
      <w:r w:rsidRPr="00EA32BC">
        <w:rPr>
          <w:rFonts w:ascii="Palatino Linotype" w:eastAsia="Palatino Linotype" w:hAnsi="Palatino Linotype" w:cs="Palatino Linotype"/>
        </w:rPr>
        <w:t>de folio</w:t>
      </w:r>
      <w:r w:rsidRPr="00EA32BC">
        <w:rPr>
          <w:rFonts w:ascii="Palatino Linotype" w:eastAsia="Palatino Linotype" w:hAnsi="Palatino Linotype" w:cs="Palatino Linotype"/>
          <w:b/>
        </w:rPr>
        <w:t xml:space="preserve"> 01382/TOLUCA/IP/2022, </w:t>
      </w:r>
      <w:r w:rsidRPr="00EA32BC">
        <w:rPr>
          <w:rFonts w:ascii="Palatino Linotype" w:eastAsia="Palatino Linotype" w:hAnsi="Palatino Linotype" w:cs="Palatino Linotype"/>
        </w:rPr>
        <w:t>a través de la cual requirió  lo siguiente:</w:t>
      </w:r>
    </w:p>
    <w:p w14:paraId="25C1B0CC"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 xml:space="preserve">“Nos llego a la redacción de mi medio de comunicación y a toda la asociación de periodistas del Valle de Toluca, una denuncia de un posible caso de nepotismo y conflicto de intereses de la Licenciada Norma Peres Martínez, Titular de la Unidad de Transparencia y la Lic. Diana Laura Ramírez Alvarez, ya que la Titular es abuela del hijo de la Lic. Diana y actualmente ella es esposa de su hijo o pareja. Por tal motivo </w:t>
      </w:r>
      <w:r w:rsidRPr="00EA32BC">
        <w:rPr>
          <w:rFonts w:ascii="Palatino Linotype" w:eastAsia="Palatino Linotype" w:hAnsi="Palatino Linotype" w:cs="Palatino Linotype"/>
          <w:b/>
          <w:i/>
          <w:sz w:val="22"/>
          <w:szCs w:val="22"/>
        </w:rPr>
        <w:t xml:space="preserve">solicito que la Contraloria me informe si hay una investigación acerca de esto y pido que se tomen cartas en el asunto, y que esta solicitud sea turnada a la Contraloria Municipal de Toluca para que se inicie una </w:t>
      </w:r>
      <w:r w:rsidRPr="00EA32BC">
        <w:rPr>
          <w:rFonts w:ascii="Palatino Linotype" w:eastAsia="Palatino Linotype" w:hAnsi="Palatino Linotype" w:cs="Palatino Linotype"/>
          <w:b/>
          <w:i/>
          <w:sz w:val="22"/>
          <w:szCs w:val="22"/>
        </w:rPr>
        <w:lastRenderedPageBreak/>
        <w:t>investigación al respecto. Solicito los convenios con los medios de comunicación de enero a junio del año 2022. Solicito el numero de patrullas y numero de elementos de la policia. Pido me incluyan las capturas de pantalla de las areas a las que le turnaron esta solicitud. Y de no hacerlo lo vamos a publicar en nuestro medio de comunicación en redes sociales, televisión y radio. Solicito también todas las actas de la Comisión edilicia de transparencia. El calendario de sesiones ordinarias y extraordinarias del Comité de Transparencia de todo el año, 2022. Y fotografías donde comprueben que realmente sesionan y no solo son sesiones virtuales.. Solicito todos los recibos de nomina del mes de abril y mayo del año 2022, de la Unidad de Transparencia, y de los que actualmente están Comisionados a la Unidad de Transparencia. Solicito los recibos de nomina y actividades desarrolladas de todo personal de presidencia, secretaria del ayuntamiento, contraloría, regidurias, sindicaturas, del año 2022.</w:t>
      </w:r>
      <w:r w:rsidRPr="00EA32BC">
        <w:rPr>
          <w:rFonts w:ascii="Palatino Linotype" w:eastAsia="Palatino Linotype" w:hAnsi="Palatino Linotype" w:cs="Palatino Linotype"/>
          <w:i/>
          <w:sz w:val="22"/>
          <w:szCs w:val="22"/>
        </w:rPr>
        <w:t>” (Sic) (Énfasis añadido)</w:t>
      </w:r>
    </w:p>
    <w:p w14:paraId="12A84B78" w14:textId="77777777" w:rsidR="001A3FC3" w:rsidRPr="00EA32BC" w:rsidRDefault="00C612D2">
      <w:pPr>
        <w:spacing w:before="240" w:after="240" w:line="360" w:lineRule="auto"/>
        <w:jc w:val="both"/>
        <w:rPr>
          <w:rFonts w:ascii="Palatino Linotype" w:eastAsia="Palatino Linotype" w:hAnsi="Palatino Linotype" w:cs="Palatino Linotype"/>
          <w:b/>
        </w:rPr>
      </w:pPr>
      <w:r w:rsidRPr="00EA32BC">
        <w:rPr>
          <w:rFonts w:ascii="Palatino Linotype" w:eastAsia="Palatino Linotype" w:hAnsi="Palatino Linotype" w:cs="Palatino Linotype"/>
          <w:b/>
        </w:rPr>
        <w:t>Modalidad de entrega de la información</w:t>
      </w:r>
      <w:r w:rsidRPr="00EA32BC">
        <w:rPr>
          <w:rFonts w:ascii="Palatino Linotype" w:eastAsia="Palatino Linotype" w:hAnsi="Palatino Linotype" w:cs="Palatino Linotype"/>
        </w:rPr>
        <w:t xml:space="preserve">: vía </w:t>
      </w:r>
      <w:r w:rsidRPr="00EA32BC">
        <w:rPr>
          <w:rFonts w:ascii="Palatino Linotype" w:eastAsia="Palatino Linotype" w:hAnsi="Palatino Linotype" w:cs="Palatino Linotype"/>
          <w:b/>
        </w:rPr>
        <w:t xml:space="preserve">SAIMEX </w:t>
      </w:r>
    </w:p>
    <w:p w14:paraId="5D63E766" w14:textId="77777777" w:rsidR="001A3FC3" w:rsidRPr="00EA32BC" w:rsidRDefault="00C612D2">
      <w:pPr>
        <w:spacing w:before="240" w:after="240" w:line="360" w:lineRule="auto"/>
        <w:jc w:val="both"/>
        <w:rPr>
          <w:rFonts w:ascii="Palatino Linotype" w:eastAsia="Palatino Linotype" w:hAnsi="Palatino Linotype" w:cs="Palatino Linotype"/>
          <w:b/>
        </w:rPr>
      </w:pPr>
      <w:r w:rsidRPr="00EA32BC">
        <w:rPr>
          <w:rFonts w:ascii="Palatino Linotype" w:eastAsia="Palatino Linotype" w:hAnsi="Palatino Linotype" w:cs="Palatino Linotype"/>
          <w:b/>
        </w:rPr>
        <w:t xml:space="preserve">2. Respuesta. </w:t>
      </w:r>
      <w:r w:rsidRPr="00EA32BC">
        <w:rPr>
          <w:rFonts w:ascii="Palatino Linotype" w:eastAsia="Palatino Linotype" w:hAnsi="Palatino Linotype" w:cs="Palatino Linotype"/>
        </w:rPr>
        <w:t xml:space="preserve">El </w:t>
      </w:r>
      <w:r w:rsidRPr="00EA32BC">
        <w:rPr>
          <w:rFonts w:ascii="Palatino Linotype" w:eastAsia="Palatino Linotype" w:hAnsi="Palatino Linotype" w:cs="Palatino Linotype"/>
          <w:b/>
        </w:rPr>
        <w:t>veinte de junio del dos mil veintidós</w:t>
      </w:r>
      <w:r w:rsidRPr="00EA32BC">
        <w:rPr>
          <w:rFonts w:ascii="Palatino Linotype" w:eastAsia="Palatino Linotype" w:hAnsi="Palatino Linotype" w:cs="Palatino Linotype"/>
        </w:rPr>
        <w:t xml:space="preserv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otorgó, a través del </w:t>
      </w:r>
      <w:r w:rsidRPr="00EA32BC">
        <w:rPr>
          <w:rFonts w:ascii="Palatino Linotype" w:eastAsia="Palatino Linotype" w:hAnsi="Palatino Linotype" w:cs="Palatino Linotype"/>
          <w:b/>
        </w:rPr>
        <w:t>SAIMEX</w:t>
      </w:r>
      <w:r w:rsidRPr="00EA32BC">
        <w:rPr>
          <w:rFonts w:ascii="Palatino Linotype" w:eastAsia="Palatino Linotype" w:hAnsi="Palatino Linotype" w:cs="Palatino Linotype"/>
        </w:rPr>
        <w:t>, la respuesta a la solicitud de acceso a la información en los siguientes términos:</w:t>
      </w:r>
    </w:p>
    <w:p w14:paraId="5CB125B8"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300F2BE"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En atención a su solicitud de información numero 01382/TOLUCA/IP/2022, se adjunta al presente respuesta a su solicitud y anexos. Sin otro particular le envió un cordial saludo.</w:t>
      </w:r>
    </w:p>
    <w:p w14:paraId="266D0FE8"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ATENTAMENTE</w:t>
      </w:r>
    </w:p>
    <w:p w14:paraId="4108098E"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Lic. Norma Sofía Pérez Martínez “(Sic)</w:t>
      </w:r>
    </w:p>
    <w:p w14:paraId="6C6350FE" w14:textId="77777777" w:rsidR="001A3FC3" w:rsidRPr="00EA32BC" w:rsidRDefault="00C612D2">
      <w:pPr>
        <w:spacing w:before="240" w:after="240" w:line="360" w:lineRule="auto"/>
        <w:ind w:right="567"/>
        <w:jc w:val="both"/>
        <w:rPr>
          <w:rFonts w:ascii="Palatino Linotype" w:eastAsia="Palatino Linotype" w:hAnsi="Palatino Linotype" w:cs="Palatino Linotype"/>
        </w:rPr>
      </w:pPr>
      <w:r w:rsidRPr="00EA32BC">
        <w:rPr>
          <w:rFonts w:ascii="Palatino Linotype" w:eastAsia="Palatino Linotype" w:hAnsi="Palatino Linotype" w:cs="Palatino Linotype"/>
          <w:b/>
        </w:rPr>
        <w:t>Archivos adjuntos:</w:t>
      </w:r>
      <w:r w:rsidRPr="00EA32BC">
        <w:rPr>
          <w:rFonts w:ascii="Palatino Linotype" w:eastAsia="Palatino Linotype" w:hAnsi="Palatino Linotype" w:cs="Palatino Linotype"/>
        </w:rPr>
        <w:t xml:space="preserve"> </w:t>
      </w:r>
    </w:p>
    <w:p w14:paraId="39271A42" w14:textId="77777777" w:rsidR="001A3FC3" w:rsidRPr="00EA32BC" w:rsidRDefault="00C612D2">
      <w:pPr>
        <w:spacing w:before="240" w:after="240" w:line="360" w:lineRule="auto"/>
        <w:ind w:left="567" w:right="851"/>
        <w:jc w:val="both"/>
        <w:rPr>
          <w:rFonts w:ascii="Palatino Linotype" w:eastAsia="Palatino Linotype" w:hAnsi="Palatino Linotype" w:cs="Palatino Linotype"/>
        </w:rPr>
      </w:pPr>
      <w:r w:rsidRPr="00EA32BC">
        <w:rPr>
          <w:rFonts w:ascii="Palatino Linotype" w:eastAsia="Palatino Linotype" w:hAnsi="Palatino Linotype" w:cs="Palatino Linotype"/>
          <w:b/>
          <w:i/>
          <w:sz w:val="22"/>
          <w:szCs w:val="22"/>
        </w:rPr>
        <w:lastRenderedPageBreak/>
        <w:t xml:space="preserve">“Manual General de Organización del Sector Central de la Administración Pública Municipal de Toluca .pdf”: </w:t>
      </w:r>
      <w:r w:rsidRPr="00EA32BC">
        <w:rPr>
          <w:rFonts w:ascii="Palatino Linotype" w:eastAsia="Palatino Linotype" w:hAnsi="Palatino Linotype" w:cs="Palatino Linotype"/>
        </w:rPr>
        <w:t xml:space="preserve">Documento de ochenta y un fojas que contiene el Manual General de Organización del Sector Central de la Administración Pública Municipal de Toluca 2022-2024. </w:t>
      </w:r>
    </w:p>
    <w:p w14:paraId="2C2724BA" w14:textId="77777777" w:rsidR="001A3FC3" w:rsidRPr="00EA32BC" w:rsidRDefault="00C612D2">
      <w:pPr>
        <w:spacing w:before="240" w:after="240" w:line="360" w:lineRule="auto"/>
        <w:ind w:left="567" w:right="851"/>
        <w:jc w:val="both"/>
        <w:rPr>
          <w:rFonts w:ascii="Palatino Linotype" w:eastAsia="Palatino Linotype" w:hAnsi="Palatino Linotype" w:cs="Palatino Linotype"/>
        </w:rPr>
      </w:pPr>
      <w:r w:rsidRPr="00EA32BC">
        <w:rPr>
          <w:rFonts w:ascii="Palatino Linotype" w:eastAsia="Palatino Linotype" w:hAnsi="Palatino Linotype" w:cs="Palatino Linotype"/>
          <w:noProof/>
          <w:lang w:val="es-MX"/>
        </w:rPr>
        <w:drawing>
          <wp:inline distT="0" distB="0" distL="0" distR="0" wp14:anchorId="04AAEB0C" wp14:editId="2C07F012">
            <wp:extent cx="4223135" cy="5655992"/>
            <wp:effectExtent l="0" t="0" r="0" b="0"/>
            <wp:docPr id="9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4223135" cy="5655992"/>
                    </a:xfrm>
                    <a:prstGeom prst="rect">
                      <a:avLst/>
                    </a:prstGeom>
                    <a:ln/>
                  </pic:spPr>
                </pic:pic>
              </a:graphicData>
            </a:graphic>
          </wp:inline>
        </w:drawing>
      </w:r>
    </w:p>
    <w:p w14:paraId="74B8C9BC" w14:textId="77777777" w:rsidR="001A3FC3" w:rsidRPr="00EA32BC" w:rsidRDefault="00C612D2">
      <w:pPr>
        <w:spacing w:before="240" w:after="240" w:line="360" w:lineRule="auto"/>
        <w:ind w:left="567" w:right="851"/>
        <w:jc w:val="both"/>
        <w:rPr>
          <w:rFonts w:ascii="Palatino Linotype" w:eastAsia="Palatino Linotype" w:hAnsi="Palatino Linotype" w:cs="Palatino Linotype"/>
        </w:rPr>
      </w:pPr>
      <w:r w:rsidRPr="00EA32BC">
        <w:rPr>
          <w:rFonts w:ascii="Palatino Linotype" w:eastAsia="Palatino Linotype" w:hAnsi="Palatino Linotype" w:cs="Palatino Linotype"/>
          <w:b/>
          <w:i/>
          <w:sz w:val="22"/>
          <w:szCs w:val="22"/>
        </w:rPr>
        <w:lastRenderedPageBreak/>
        <w:t xml:space="preserve">“Gaceta Municipal 35-2021.pdf”: </w:t>
      </w:r>
      <w:r w:rsidRPr="00EA32BC">
        <w:rPr>
          <w:rFonts w:ascii="Palatino Linotype" w:eastAsia="Palatino Linotype" w:hAnsi="Palatino Linotype" w:cs="Palatino Linotype"/>
        </w:rPr>
        <w:t>Gaceta Municipal Semanal 35/2021 del 3 de Noviembre de 2021.</w:t>
      </w:r>
    </w:p>
    <w:p w14:paraId="70202D27" w14:textId="77777777" w:rsidR="001A3FC3" w:rsidRPr="00EA32BC" w:rsidRDefault="00C612D2">
      <w:pPr>
        <w:spacing w:before="240" w:after="240" w:line="360" w:lineRule="auto"/>
        <w:ind w:left="567" w:right="851"/>
        <w:jc w:val="center"/>
        <w:rPr>
          <w:rFonts w:ascii="Palatino Linotype" w:eastAsia="Palatino Linotype" w:hAnsi="Palatino Linotype" w:cs="Palatino Linotype"/>
        </w:rPr>
      </w:pPr>
      <w:r w:rsidRPr="00EA32BC">
        <w:rPr>
          <w:rFonts w:ascii="Palatino Linotype" w:eastAsia="Palatino Linotype" w:hAnsi="Palatino Linotype" w:cs="Palatino Linotype"/>
          <w:noProof/>
          <w:lang w:val="es-MX"/>
        </w:rPr>
        <w:drawing>
          <wp:inline distT="0" distB="0" distL="0" distR="0" wp14:anchorId="4791ABAB" wp14:editId="3A73A3C0">
            <wp:extent cx="3773001" cy="5261338"/>
            <wp:effectExtent l="0" t="0" r="0" b="0"/>
            <wp:docPr id="9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
                    <a:srcRect/>
                    <a:stretch>
                      <a:fillRect/>
                    </a:stretch>
                  </pic:blipFill>
                  <pic:spPr>
                    <a:xfrm>
                      <a:off x="0" y="0"/>
                      <a:ext cx="3773001" cy="5261338"/>
                    </a:xfrm>
                    <a:prstGeom prst="rect">
                      <a:avLst/>
                    </a:prstGeom>
                    <a:ln/>
                  </pic:spPr>
                </pic:pic>
              </a:graphicData>
            </a:graphic>
          </wp:inline>
        </w:drawing>
      </w:r>
    </w:p>
    <w:p w14:paraId="1D7114C0"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“COMISIÓN DE TRANSPARENCIA, ACCESO A LA INFORMACIÓN Y PROT. DE DATOS FIRMADA (1).pdf”: </w:t>
      </w:r>
      <w:r w:rsidRPr="00EA32BC">
        <w:rPr>
          <w:rFonts w:ascii="Palatino Linotype" w:eastAsia="Palatino Linotype" w:hAnsi="Palatino Linotype" w:cs="Palatino Linotype"/>
        </w:rPr>
        <w:t>Consiste en el Acta de Sesión de instalación de la Comisión de Transparencia, Acceso a la Información Pública y Protección de Datos Personales, la cual se llevó a cabo el veinticinco de enero del dos mil veintidós.</w:t>
      </w:r>
    </w:p>
    <w:p w14:paraId="1635CCAA"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noProof/>
          <w:sz w:val="22"/>
          <w:szCs w:val="22"/>
          <w:lang w:val="es-MX"/>
        </w:rPr>
        <w:lastRenderedPageBreak/>
        <w:drawing>
          <wp:inline distT="0" distB="0" distL="0" distR="0" wp14:anchorId="015DD46C" wp14:editId="07AAD448">
            <wp:extent cx="4513279" cy="5840714"/>
            <wp:effectExtent l="0" t="0" r="0" b="0"/>
            <wp:docPr id="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4513279" cy="5840714"/>
                    </a:xfrm>
                    <a:prstGeom prst="rect">
                      <a:avLst/>
                    </a:prstGeom>
                    <a:ln/>
                  </pic:spPr>
                </pic:pic>
              </a:graphicData>
            </a:graphic>
          </wp:inline>
        </w:drawing>
      </w:r>
    </w:p>
    <w:p w14:paraId="28F9511A" w14:textId="77777777" w:rsidR="001A3FC3" w:rsidRPr="00EA32BC" w:rsidRDefault="00C612D2">
      <w:pPr>
        <w:spacing w:before="240" w:after="240" w:line="360" w:lineRule="auto"/>
        <w:ind w:left="567" w:right="851"/>
        <w:jc w:val="both"/>
        <w:rPr>
          <w:rFonts w:ascii="Palatino Linotype" w:eastAsia="Palatino Linotype" w:hAnsi="Palatino Linotype" w:cs="Palatino Linotype"/>
        </w:rPr>
      </w:pPr>
      <w:r w:rsidRPr="00EA32BC">
        <w:rPr>
          <w:rFonts w:ascii="Palatino Linotype" w:eastAsia="Palatino Linotype" w:hAnsi="Palatino Linotype" w:cs="Palatino Linotype"/>
          <w:b/>
          <w:i/>
          <w:sz w:val="22"/>
          <w:szCs w:val="22"/>
        </w:rPr>
        <w:t xml:space="preserve">“1382.pdf”: </w:t>
      </w:r>
      <w:r w:rsidRPr="00EA32BC">
        <w:rPr>
          <w:rFonts w:ascii="Palatino Linotype" w:eastAsia="Palatino Linotype" w:hAnsi="Palatino Linotype" w:cs="Palatino Linotype"/>
        </w:rPr>
        <w:t xml:space="preserve">Documento de dieciséis fojas, mediante el cual medularmente la Titular de la Unidad de Transparencia otorga respuesta a los requerimientos del particular. </w:t>
      </w:r>
    </w:p>
    <w:p w14:paraId="7FA926E3" w14:textId="77777777" w:rsidR="001A3FC3" w:rsidRPr="00EA32BC" w:rsidRDefault="00C612D2">
      <w:pPr>
        <w:spacing w:before="240" w:after="240" w:line="360" w:lineRule="auto"/>
        <w:ind w:left="567" w:right="851"/>
        <w:jc w:val="center"/>
        <w:rPr>
          <w:rFonts w:ascii="Palatino Linotype" w:eastAsia="Palatino Linotype" w:hAnsi="Palatino Linotype" w:cs="Palatino Linotype"/>
        </w:rPr>
      </w:pPr>
      <w:r w:rsidRPr="00EA32BC">
        <w:rPr>
          <w:rFonts w:ascii="Palatino Linotype" w:eastAsia="Palatino Linotype" w:hAnsi="Palatino Linotype" w:cs="Palatino Linotype"/>
          <w:noProof/>
          <w:lang w:val="es-MX"/>
        </w:rPr>
        <w:lastRenderedPageBreak/>
        <w:drawing>
          <wp:inline distT="0" distB="0" distL="0" distR="0" wp14:anchorId="3F9E859B" wp14:editId="3F785A2C">
            <wp:extent cx="4236435" cy="5768126"/>
            <wp:effectExtent l="0" t="0" r="0" b="0"/>
            <wp:docPr id="10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236435" cy="5768126"/>
                    </a:xfrm>
                    <a:prstGeom prst="rect">
                      <a:avLst/>
                    </a:prstGeom>
                    <a:ln/>
                  </pic:spPr>
                </pic:pic>
              </a:graphicData>
            </a:graphic>
          </wp:inline>
        </w:drawing>
      </w:r>
    </w:p>
    <w:p w14:paraId="1745C781"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“FUNCIONES DEL PERSONAL.pdf”: </w:t>
      </w:r>
      <w:r w:rsidRPr="00EA32BC">
        <w:rPr>
          <w:rFonts w:ascii="Palatino Linotype" w:eastAsia="Palatino Linotype" w:hAnsi="Palatino Linotype" w:cs="Palatino Linotype"/>
        </w:rPr>
        <w:t>Archivo electrónico que se compone de cuatro fojas, emitido por la Segunda Regiduría y da cuenta de las funciones de todo el personal de dicha Regiduría.</w:t>
      </w:r>
    </w:p>
    <w:p w14:paraId="6B036F36"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noProof/>
          <w:sz w:val="22"/>
          <w:szCs w:val="22"/>
          <w:lang w:val="es-MX"/>
        </w:rPr>
        <w:lastRenderedPageBreak/>
        <w:drawing>
          <wp:inline distT="0" distB="0" distL="0" distR="0" wp14:anchorId="07281777" wp14:editId="2818DCAA">
            <wp:extent cx="4392716" cy="5709682"/>
            <wp:effectExtent l="0" t="0" r="0" b="0"/>
            <wp:docPr id="10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4392716" cy="5709682"/>
                    </a:xfrm>
                    <a:prstGeom prst="rect">
                      <a:avLst/>
                    </a:prstGeom>
                    <a:ln/>
                  </pic:spPr>
                </pic:pic>
              </a:graphicData>
            </a:graphic>
          </wp:inline>
        </w:drawing>
      </w:r>
    </w:p>
    <w:p w14:paraId="7DCE522A"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“PRESID, SRIA AYTO, CONTR, SIND, REGID, U TRANS.rar”: </w:t>
      </w:r>
      <w:r w:rsidRPr="00EA32BC">
        <w:rPr>
          <w:rFonts w:ascii="Palatino Linotype" w:eastAsia="Palatino Linotype" w:hAnsi="Palatino Linotype" w:cs="Palatino Linotype"/>
          <w:sz w:val="22"/>
          <w:szCs w:val="22"/>
        </w:rPr>
        <w:t xml:space="preserve">Carpeta comprimida que a su vez contiene 21 archivos que se advierte que corresponden a recibos de nómina. </w:t>
      </w:r>
    </w:p>
    <w:p w14:paraId="6F3316A8"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noProof/>
          <w:sz w:val="22"/>
          <w:szCs w:val="22"/>
          <w:lang w:val="es-MX"/>
        </w:rPr>
        <w:lastRenderedPageBreak/>
        <w:drawing>
          <wp:inline distT="0" distB="0" distL="0" distR="0" wp14:anchorId="5CD63495" wp14:editId="20AC1544">
            <wp:extent cx="4790152" cy="3251953"/>
            <wp:effectExtent l="0" t="0" r="0" b="0"/>
            <wp:docPr id="10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4790152" cy="3251953"/>
                    </a:xfrm>
                    <a:prstGeom prst="rect">
                      <a:avLst/>
                    </a:prstGeom>
                    <a:ln/>
                  </pic:spPr>
                </pic:pic>
              </a:graphicData>
            </a:graphic>
          </wp:inline>
        </w:drawing>
      </w:r>
    </w:p>
    <w:p w14:paraId="15F91F8C"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“Tercera Ordinaria 22 -....pdf”: </w:t>
      </w:r>
      <w:r w:rsidRPr="00EA32BC">
        <w:rPr>
          <w:rFonts w:ascii="Palatino Linotype" w:eastAsia="Palatino Linotype" w:hAnsi="Palatino Linotype" w:cs="Palatino Linotype"/>
          <w:sz w:val="22"/>
          <w:szCs w:val="22"/>
        </w:rPr>
        <w:t>Acta de la Tercera Sesión Ordinaria del Comité de Transparencia del Ayuntamiento de Toluca, Administración 2022-2024.</w:t>
      </w:r>
    </w:p>
    <w:p w14:paraId="113C02B9"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noProof/>
          <w:sz w:val="22"/>
          <w:szCs w:val="22"/>
          <w:lang w:val="es-MX"/>
        </w:rPr>
        <w:lastRenderedPageBreak/>
        <w:drawing>
          <wp:inline distT="0" distB="0" distL="0" distR="0" wp14:anchorId="04B8A314" wp14:editId="3A54F3C8">
            <wp:extent cx="4586931" cy="5755453"/>
            <wp:effectExtent l="0" t="0" r="0" b="0"/>
            <wp:docPr id="1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4586931" cy="5755453"/>
                    </a:xfrm>
                    <a:prstGeom prst="rect">
                      <a:avLst/>
                    </a:prstGeom>
                    <a:ln/>
                  </pic:spPr>
                </pic:pic>
              </a:graphicData>
            </a:graphic>
          </wp:inline>
        </w:drawing>
      </w:r>
    </w:p>
    <w:p w14:paraId="464123E9"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“TRICENTESIMA QUINCUAGESIMA PRIMNERA SESION 222.pdf”: </w:t>
      </w:r>
      <w:r w:rsidRPr="00EA32BC">
        <w:rPr>
          <w:rFonts w:ascii="Palatino Linotype" w:eastAsia="Palatino Linotype" w:hAnsi="Palatino Linotype" w:cs="Palatino Linotype"/>
          <w:sz w:val="22"/>
          <w:szCs w:val="22"/>
        </w:rPr>
        <w:t>Acta de la Tricentésima Quincuagésima Primera Sesión Extraordinaria del Comité de Transparencia del Municipio de Toluca, administración 2022-2024.</w:t>
      </w:r>
    </w:p>
    <w:p w14:paraId="4C0B7E08" w14:textId="77777777" w:rsidR="001A3FC3" w:rsidRPr="00EA32BC" w:rsidRDefault="00C612D2">
      <w:pPr>
        <w:spacing w:before="240" w:after="240" w:line="360" w:lineRule="auto"/>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noProof/>
          <w:sz w:val="22"/>
          <w:szCs w:val="22"/>
          <w:lang w:val="es-MX"/>
        </w:rPr>
        <w:lastRenderedPageBreak/>
        <w:drawing>
          <wp:inline distT="0" distB="0" distL="0" distR="0" wp14:anchorId="68191E5D" wp14:editId="26AEC667">
            <wp:extent cx="4858321" cy="5881504"/>
            <wp:effectExtent l="0" t="0" r="0" b="0"/>
            <wp:docPr id="10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4858321" cy="5881504"/>
                    </a:xfrm>
                    <a:prstGeom prst="rect">
                      <a:avLst/>
                    </a:prstGeom>
                    <a:ln/>
                  </pic:spPr>
                </pic:pic>
              </a:graphicData>
            </a:graphic>
          </wp:inline>
        </w:drawing>
      </w:r>
    </w:p>
    <w:p w14:paraId="6FEED152"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b/>
        </w:rPr>
        <w:t>3. Recurso de revisión.</w:t>
      </w:r>
      <w:r w:rsidRPr="00EA32BC">
        <w:rPr>
          <w:rFonts w:ascii="Palatino Linotype" w:eastAsia="Palatino Linotype" w:hAnsi="Palatino Linotype" w:cs="Palatino Linotype"/>
          <w:b/>
          <w:sz w:val="22"/>
          <w:szCs w:val="22"/>
        </w:rPr>
        <w:t xml:space="preserve"> </w:t>
      </w:r>
      <w:r w:rsidRPr="00EA32BC">
        <w:rPr>
          <w:rFonts w:ascii="Palatino Linotype" w:eastAsia="Palatino Linotype" w:hAnsi="Palatino Linotype" w:cs="Palatino Linotype"/>
        </w:rPr>
        <w:t xml:space="preserve">Inconforme con la respuesta recibida, </w:t>
      </w:r>
      <w:r w:rsidRPr="00EA32BC">
        <w:rPr>
          <w:rFonts w:ascii="Palatino Linotype" w:eastAsia="Palatino Linotype" w:hAnsi="Palatino Linotype" w:cs="Palatino Linotype"/>
          <w:b/>
        </w:rPr>
        <w:t>el Recurrente</w:t>
      </w:r>
      <w:r w:rsidRPr="00EA32BC">
        <w:rPr>
          <w:rFonts w:ascii="Palatino Linotype" w:eastAsia="Palatino Linotype" w:hAnsi="Palatino Linotype" w:cs="Palatino Linotype"/>
        </w:rPr>
        <w:t xml:space="preserve"> interpuso el </w:t>
      </w:r>
      <w:r w:rsidRPr="00EA32BC">
        <w:rPr>
          <w:rFonts w:ascii="Palatino Linotype" w:eastAsia="Palatino Linotype" w:hAnsi="Palatino Linotype" w:cs="Palatino Linotype"/>
          <w:b/>
        </w:rPr>
        <w:t>cinco de julio del año dos mil veintidós</w:t>
      </w:r>
      <w:r w:rsidRPr="00EA32BC">
        <w:rPr>
          <w:rFonts w:ascii="Palatino Linotype" w:eastAsia="Palatino Linotype" w:hAnsi="Palatino Linotype" w:cs="Palatino Linotype"/>
        </w:rPr>
        <w:t>, el presente medio de impugnación expresando las siguientes manifestaciones:</w:t>
      </w:r>
    </w:p>
    <w:p w14:paraId="37E11D84" w14:textId="77777777" w:rsidR="001A3FC3" w:rsidRPr="00EA32BC" w:rsidRDefault="00C612D2">
      <w:pPr>
        <w:spacing w:before="240" w:after="240" w:line="360" w:lineRule="auto"/>
        <w:ind w:left="851" w:right="567"/>
        <w:rPr>
          <w:rFonts w:ascii="Palatino Linotype" w:eastAsia="Palatino Linotype" w:hAnsi="Palatino Linotype" w:cs="Palatino Linotype"/>
          <w:b/>
        </w:rPr>
      </w:pPr>
      <w:r w:rsidRPr="00EA32BC">
        <w:rPr>
          <w:rFonts w:ascii="Palatino Linotype" w:eastAsia="Palatino Linotype" w:hAnsi="Palatino Linotype" w:cs="Palatino Linotype"/>
          <w:b/>
        </w:rPr>
        <w:t>a) Acto impugnado.</w:t>
      </w:r>
    </w:p>
    <w:p w14:paraId="52362BFD" w14:textId="77777777" w:rsidR="001A3FC3" w:rsidRPr="00EA32BC" w:rsidRDefault="00C612D2">
      <w:pPr>
        <w:spacing w:before="240" w:after="240" w:line="276" w:lineRule="auto"/>
        <w:ind w:left="851" w:right="567"/>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lastRenderedPageBreak/>
        <w:t>“</w:t>
      </w:r>
      <w:r w:rsidRPr="00EA32BC">
        <w:rPr>
          <w:rFonts w:ascii="Palatino Linotype" w:eastAsia="Palatino Linotype" w:hAnsi="Palatino Linotype" w:cs="Palatino Linotype"/>
          <w:b/>
          <w:i/>
          <w:sz w:val="22"/>
          <w:szCs w:val="22"/>
        </w:rPr>
        <w:t>La respuesta proporcionada por la Unidad de Transparencia.</w:t>
      </w:r>
      <w:r w:rsidRPr="00EA32BC">
        <w:rPr>
          <w:rFonts w:ascii="Palatino Linotype" w:eastAsia="Palatino Linotype" w:hAnsi="Palatino Linotype" w:cs="Palatino Linotype"/>
          <w:i/>
          <w:sz w:val="22"/>
          <w:szCs w:val="22"/>
        </w:rPr>
        <w:t>” (Sic) (Énfasis añadido)</w:t>
      </w:r>
    </w:p>
    <w:p w14:paraId="03427D5A" w14:textId="77777777" w:rsidR="001A3FC3" w:rsidRPr="00EA32BC" w:rsidRDefault="00C612D2">
      <w:pPr>
        <w:spacing w:before="240" w:after="240" w:line="360" w:lineRule="auto"/>
        <w:ind w:left="851" w:right="567"/>
        <w:jc w:val="both"/>
        <w:rPr>
          <w:rFonts w:ascii="Palatino Linotype" w:eastAsia="Palatino Linotype" w:hAnsi="Palatino Linotype" w:cs="Palatino Linotype"/>
          <w:b/>
        </w:rPr>
      </w:pPr>
      <w:r w:rsidRPr="00EA32BC">
        <w:rPr>
          <w:rFonts w:ascii="Palatino Linotype" w:eastAsia="Palatino Linotype" w:hAnsi="Palatino Linotype" w:cs="Palatino Linotype"/>
          <w:b/>
        </w:rPr>
        <w:t>b) Razones o motivos de inconformidad.</w:t>
      </w:r>
    </w:p>
    <w:p w14:paraId="28CFA383" w14:textId="77777777" w:rsidR="001A3FC3" w:rsidRPr="00EA32BC" w:rsidRDefault="00C612D2">
      <w:pPr>
        <w:spacing w:before="240" w:after="240" w:line="276" w:lineRule="auto"/>
        <w:ind w:left="851" w:right="567"/>
        <w:jc w:val="both"/>
        <w:rPr>
          <w:rFonts w:ascii="Palatino Linotype" w:eastAsia="Palatino Linotype" w:hAnsi="Palatino Linotype" w:cs="Palatino Linotype"/>
        </w:rPr>
      </w:pP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No me entregaron todo lo que solicite vía transparencia.</w:t>
      </w:r>
      <w:r w:rsidRPr="00EA32BC">
        <w:rPr>
          <w:rFonts w:ascii="Palatino Linotype" w:eastAsia="Palatino Linotype" w:hAnsi="Palatino Linotype" w:cs="Palatino Linotype"/>
          <w:i/>
          <w:sz w:val="22"/>
          <w:szCs w:val="22"/>
        </w:rPr>
        <w:t>" (Sic) (Énfasis añadido)</w:t>
      </w:r>
    </w:p>
    <w:p w14:paraId="40C0ACD0"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b/>
        </w:rPr>
        <w:t xml:space="preserve">4. Turno. </w:t>
      </w:r>
      <w:r w:rsidRPr="00EA32B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EA32BC">
        <w:rPr>
          <w:rFonts w:ascii="Palatino Linotype" w:eastAsia="Palatino Linotype" w:hAnsi="Palatino Linotype" w:cs="Palatino Linotype"/>
          <w:b/>
        </w:rPr>
        <w:t>Comisionada Guadalupe Ramírez Peña</w:t>
      </w:r>
      <w:r w:rsidRPr="00EA32BC">
        <w:rPr>
          <w:rFonts w:ascii="Palatino Linotype" w:eastAsia="Palatino Linotype" w:hAnsi="Palatino Linotype" w:cs="Palatino Linotype"/>
        </w:rPr>
        <w:t xml:space="preserve"> para su análisis, estudio, elaboración del proyecto y presentación ante el Pleno de este Instituto.</w:t>
      </w:r>
    </w:p>
    <w:p w14:paraId="3AB27856" w14:textId="77777777" w:rsidR="001A3FC3" w:rsidRPr="00EA32BC" w:rsidRDefault="00C612D2">
      <w:pPr>
        <w:spacing w:before="240" w:after="240" w:line="360" w:lineRule="auto"/>
        <w:jc w:val="both"/>
      </w:pPr>
      <w:r w:rsidRPr="00EA32BC">
        <w:rPr>
          <w:rFonts w:ascii="Palatino Linotype" w:eastAsia="Palatino Linotype" w:hAnsi="Palatino Linotype" w:cs="Palatino Linotype"/>
          <w:b/>
        </w:rPr>
        <w:t xml:space="preserve">5. Admisión. </w:t>
      </w:r>
      <w:r w:rsidRPr="00EA32BC">
        <w:rPr>
          <w:rFonts w:ascii="Palatino Linotype" w:eastAsia="Palatino Linotype" w:hAnsi="Palatino Linotype" w:cs="Palatino Linotype"/>
        </w:rPr>
        <w:t xml:space="preserve">Mediante auto de fecha </w:t>
      </w:r>
      <w:r w:rsidRPr="00EA32BC">
        <w:rPr>
          <w:rFonts w:ascii="Palatino Linotype" w:eastAsia="Palatino Linotype" w:hAnsi="Palatino Linotype" w:cs="Palatino Linotype"/>
          <w:b/>
        </w:rPr>
        <w:t>ocho de julio del dos mil veintidós</w:t>
      </w:r>
      <w:r w:rsidRPr="00EA32BC">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14:paraId="6BBF4DBC" w14:textId="77777777" w:rsidR="001A3FC3" w:rsidRPr="00EA32BC" w:rsidRDefault="00C612D2">
      <w:pPr>
        <w:widowControl w:val="0"/>
        <w:tabs>
          <w:tab w:val="left" w:pos="709"/>
        </w:tabs>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b/>
        </w:rPr>
        <w:t>6. Manifestaciones.</w:t>
      </w:r>
      <w:r w:rsidRPr="00EA32BC">
        <w:rPr>
          <w:rFonts w:ascii="Palatino Linotype" w:eastAsia="Palatino Linotype" w:hAnsi="Palatino Linotype" w:cs="Palatino Linotype"/>
          <w:b/>
          <w:sz w:val="28"/>
          <w:szCs w:val="28"/>
        </w:rPr>
        <w:t xml:space="preserve"> </w:t>
      </w:r>
      <w:r w:rsidRPr="00EA32BC">
        <w:rPr>
          <w:rFonts w:ascii="Palatino Linotype" w:eastAsia="Palatino Linotype" w:hAnsi="Palatino Linotype" w:cs="Palatino Linotype"/>
        </w:rPr>
        <w:t xml:space="preserve">De las constancias que integran el expediente en que se actúa se advierte que el </w:t>
      </w:r>
      <w:r w:rsidRPr="00EA32BC">
        <w:rPr>
          <w:rFonts w:ascii="Palatino Linotype" w:eastAsia="Palatino Linotype" w:hAnsi="Palatino Linotype" w:cs="Palatino Linotype"/>
          <w:b/>
        </w:rPr>
        <w:t>dos de agosto de dos mil veintidós</w:t>
      </w:r>
      <w:r w:rsidRPr="00EA32BC">
        <w:rPr>
          <w:rFonts w:ascii="Palatino Linotype" w:eastAsia="Palatino Linotype" w:hAnsi="Palatino Linotype" w:cs="Palatino Linotype"/>
        </w:rPr>
        <w:t xml:space="preserv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rindió su informe justificado mediante el archivo electrónico “</w:t>
      </w:r>
      <w:r w:rsidRPr="00EA32BC">
        <w:rPr>
          <w:rFonts w:ascii="Palatino Linotype" w:eastAsia="Palatino Linotype" w:hAnsi="Palatino Linotype" w:cs="Palatino Linotype"/>
          <w:b/>
          <w:i/>
        </w:rPr>
        <w:t xml:space="preserve">RR 12454.pdf”, </w:t>
      </w:r>
      <w:r w:rsidRPr="00EA32BC">
        <w:rPr>
          <w:rFonts w:ascii="Palatino Linotype" w:eastAsia="Palatino Linotype" w:hAnsi="Palatino Linotype" w:cs="Palatino Linotype"/>
        </w:rPr>
        <w:t>en el cual ratifica medularmente su respuesta vertida inicialmente.</w:t>
      </w:r>
    </w:p>
    <w:p w14:paraId="251624FA" w14:textId="77777777" w:rsidR="001A3FC3" w:rsidRPr="00EA32BC" w:rsidRDefault="00C612D2">
      <w:pPr>
        <w:widowControl w:val="0"/>
        <w:tabs>
          <w:tab w:val="left" w:pos="709"/>
        </w:tabs>
        <w:spacing w:before="240" w:after="240" w:line="360" w:lineRule="auto"/>
        <w:ind w:left="567"/>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lastRenderedPageBreak/>
        <w:tab/>
      </w:r>
    </w:p>
    <w:p w14:paraId="5D955213" w14:textId="77777777" w:rsidR="001A3FC3" w:rsidRPr="00EA32BC" w:rsidRDefault="00C612D2">
      <w:pPr>
        <w:widowControl w:val="0"/>
        <w:tabs>
          <w:tab w:val="left" w:pos="709"/>
        </w:tabs>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Es de precisar que una vez analizada la documentación, se determinó ponerla a disposición del particular mediante acuerdo emitido por la Comisionada Ponente el </w:t>
      </w:r>
      <w:r w:rsidRPr="00EA32BC">
        <w:rPr>
          <w:rFonts w:ascii="Palatino Linotype" w:eastAsia="Palatino Linotype" w:hAnsi="Palatino Linotype" w:cs="Palatino Linotype"/>
          <w:b/>
        </w:rPr>
        <w:t>cinco de diciembre de dos mil veintidós</w:t>
      </w:r>
      <w:r w:rsidRPr="00EA32BC">
        <w:rPr>
          <w:rFonts w:ascii="Palatino Linotype" w:eastAsia="Palatino Linotype" w:hAnsi="Palatino Linotype" w:cs="Palatino Linotype"/>
        </w:rPr>
        <w:t>, asimismo, por cuanto hace a</w:t>
      </w:r>
      <w:r w:rsidRPr="00EA32BC">
        <w:rPr>
          <w:rFonts w:ascii="Palatino Linotype" w:eastAsia="Palatino Linotype" w:hAnsi="Palatino Linotype" w:cs="Palatino Linotype"/>
          <w:b/>
        </w:rPr>
        <w:t>l</w:t>
      </w:r>
      <w:r w:rsidRPr="00EA32BC">
        <w:rPr>
          <w:rFonts w:ascii="Palatino Linotype" w:eastAsia="Palatino Linotype" w:hAnsi="Palatino Linotype" w:cs="Palatino Linotype"/>
          <w:b/>
          <w:strike/>
        </w:rPr>
        <w:t xml:space="preserve"> </w:t>
      </w:r>
      <w:r w:rsidRPr="00EA32BC">
        <w:rPr>
          <w:rFonts w:ascii="Palatino Linotype" w:eastAsia="Palatino Linotype" w:hAnsi="Palatino Linotype" w:cs="Palatino Linotype"/>
          <w:b/>
        </w:rPr>
        <w:t>Recurrente</w:t>
      </w:r>
      <w:r w:rsidRPr="00EA32BC">
        <w:rPr>
          <w:rFonts w:ascii="Palatino Linotype" w:eastAsia="Palatino Linotype" w:hAnsi="Palatino Linotype" w:cs="Palatino Linotype"/>
        </w:rPr>
        <w:t xml:space="preserve"> se tiene que fue omisa en emitir pronunciamiento alguno que a su derecho convenga, por lo tanto, se tiene por precluido su derecho para tal efecto. </w:t>
      </w:r>
    </w:p>
    <w:p w14:paraId="447A9924" w14:textId="77777777" w:rsidR="001A3FC3" w:rsidRPr="00EA32BC" w:rsidRDefault="00C612D2">
      <w:pPr>
        <w:widowControl w:val="0"/>
        <w:tabs>
          <w:tab w:val="left" w:pos="709"/>
        </w:tabs>
        <w:spacing w:before="240" w:after="240" w:line="360" w:lineRule="auto"/>
        <w:rPr>
          <w:rFonts w:ascii="Palatino Linotype" w:eastAsia="Palatino Linotype" w:hAnsi="Palatino Linotype" w:cs="Palatino Linotype"/>
        </w:rPr>
      </w:pPr>
      <w:r w:rsidRPr="00EA32BC">
        <w:rPr>
          <w:rFonts w:ascii="Palatino Linotype" w:eastAsia="Palatino Linotype" w:hAnsi="Palatino Linotype" w:cs="Palatino Linotype"/>
          <w:noProof/>
          <w:lang w:val="es-MX"/>
        </w:rPr>
        <w:drawing>
          <wp:inline distT="0" distB="0" distL="0" distR="0" wp14:anchorId="19FE377C" wp14:editId="48A35043">
            <wp:extent cx="5581015" cy="1881505"/>
            <wp:effectExtent l="0" t="0" r="0" b="0"/>
            <wp:docPr id="10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5581015" cy="1881505"/>
                    </a:xfrm>
                    <a:prstGeom prst="rect">
                      <a:avLst/>
                    </a:prstGeom>
                    <a:ln/>
                  </pic:spPr>
                </pic:pic>
              </a:graphicData>
            </a:graphic>
          </wp:inline>
        </w:drawing>
      </w:r>
    </w:p>
    <w:p w14:paraId="2E51C5AF" w14:textId="77777777" w:rsidR="001A3FC3" w:rsidRPr="00EA32BC" w:rsidRDefault="00C612D2">
      <w:pPr>
        <w:widowControl w:val="0"/>
        <w:tabs>
          <w:tab w:val="left" w:pos="709"/>
        </w:tabs>
        <w:spacing w:before="240" w:after="240" w:line="360" w:lineRule="auto"/>
        <w:jc w:val="both"/>
        <w:rPr>
          <w:rFonts w:ascii="Palatino Linotype" w:eastAsia="Palatino Linotype" w:hAnsi="Palatino Linotype" w:cs="Palatino Linotype"/>
          <w:b/>
          <w:i/>
        </w:rPr>
      </w:pPr>
      <w:r w:rsidRPr="00EA32BC">
        <w:rPr>
          <w:rFonts w:ascii="Palatino Linotype" w:eastAsia="Palatino Linotype" w:hAnsi="Palatino Linotype" w:cs="Palatino Linotype"/>
          <w:b/>
        </w:rPr>
        <w:t>7.- Ampliación del plazo para emitir resolución.</w:t>
      </w:r>
      <w:r w:rsidRPr="00EA32BC">
        <w:rPr>
          <w:rFonts w:ascii="Palatino Linotype" w:eastAsia="Palatino Linotype" w:hAnsi="Palatino Linotype" w:cs="Palatino Linotype"/>
        </w:rPr>
        <w:t xml:space="preserve"> El </w:t>
      </w:r>
      <w:r w:rsidRPr="00EA32BC">
        <w:rPr>
          <w:rFonts w:ascii="Palatino Linotype" w:eastAsia="Palatino Linotype" w:hAnsi="Palatino Linotype" w:cs="Palatino Linotype"/>
          <w:b/>
        </w:rPr>
        <w:t>seis de diciembre de dos mil veintidós</w:t>
      </w:r>
      <w:r w:rsidRPr="00EA32BC">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1219889E"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w:t>
      </w:r>
      <w:r w:rsidRPr="00EA32BC">
        <w:rPr>
          <w:rFonts w:ascii="Palatino Linotype" w:eastAsia="Palatino Linotype" w:hAnsi="Palatino Linotype" w:cs="Palatino Linotype"/>
        </w:rPr>
        <w:lastRenderedPageBreak/>
        <w:t>las capacidades técnicas y humanas del personal encargado de la proyección de las resoluciones a dichos medios de impugnación.</w:t>
      </w:r>
    </w:p>
    <w:p w14:paraId="789AD828" w14:textId="77777777" w:rsidR="001A3FC3" w:rsidRPr="00EA32BC" w:rsidRDefault="001A3FC3">
      <w:pPr>
        <w:spacing w:line="360" w:lineRule="auto"/>
      </w:pPr>
    </w:p>
    <w:p w14:paraId="676370AA"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CE60697" w14:textId="77777777" w:rsidR="001A3FC3" w:rsidRPr="00EA32BC" w:rsidRDefault="001A3FC3">
      <w:pPr>
        <w:spacing w:line="360" w:lineRule="auto"/>
      </w:pPr>
    </w:p>
    <w:p w14:paraId="4F97D115"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E3CE0C8" w14:textId="77777777" w:rsidR="001A3FC3" w:rsidRPr="00EA32BC" w:rsidRDefault="001A3FC3">
      <w:pPr>
        <w:spacing w:line="360" w:lineRule="auto"/>
      </w:pPr>
    </w:p>
    <w:p w14:paraId="50881D71"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0DE4827" w14:textId="77777777" w:rsidR="001A3FC3" w:rsidRPr="00EA32BC" w:rsidRDefault="001A3FC3">
      <w:pPr>
        <w:spacing w:line="360" w:lineRule="auto"/>
      </w:pPr>
    </w:p>
    <w:p w14:paraId="3A82BA50"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r w:rsidRPr="00EA32BC">
        <w:br/>
      </w:r>
    </w:p>
    <w:p w14:paraId="4432671A" w14:textId="77777777" w:rsidR="001A3FC3" w:rsidRPr="00EA32BC" w:rsidRDefault="00C612D2">
      <w:pPr>
        <w:numPr>
          <w:ilvl w:val="0"/>
          <w:numId w:val="2"/>
        </w:numPr>
        <w:pBdr>
          <w:top w:val="nil"/>
          <w:left w:val="nil"/>
          <w:bottom w:val="nil"/>
          <w:right w:val="nil"/>
          <w:between w:val="nil"/>
        </w:pBdr>
        <w:spacing w:line="360" w:lineRule="auto"/>
        <w:ind w:left="567" w:right="567" w:hanging="141"/>
        <w:jc w:val="both"/>
      </w:pPr>
      <w:r w:rsidRPr="00EA32BC">
        <w:rPr>
          <w:rFonts w:ascii="Palatino Linotype" w:eastAsia="Palatino Linotype" w:hAnsi="Palatino Linotype" w:cs="Palatino Linotype"/>
          <w:b/>
        </w:rPr>
        <w:lastRenderedPageBreak/>
        <w:t>Complejidad del Asunto:</w:t>
      </w:r>
      <w:r w:rsidRPr="00EA32B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5CAA3AB1" w14:textId="77777777" w:rsidR="001A3FC3" w:rsidRPr="00EA32BC" w:rsidRDefault="00C612D2">
      <w:pPr>
        <w:numPr>
          <w:ilvl w:val="0"/>
          <w:numId w:val="2"/>
        </w:numPr>
        <w:pBdr>
          <w:top w:val="nil"/>
          <w:left w:val="nil"/>
          <w:bottom w:val="nil"/>
          <w:right w:val="nil"/>
          <w:between w:val="nil"/>
        </w:pBdr>
        <w:spacing w:line="360" w:lineRule="auto"/>
        <w:ind w:left="567" w:right="567" w:hanging="141"/>
        <w:jc w:val="both"/>
      </w:pPr>
      <w:r w:rsidRPr="00EA32BC">
        <w:rPr>
          <w:rFonts w:ascii="Palatino Linotype" w:eastAsia="Palatino Linotype" w:hAnsi="Palatino Linotype" w:cs="Palatino Linotype"/>
          <w:b/>
        </w:rPr>
        <w:t>Actividad Procesal del interesado</w:t>
      </w:r>
      <w:r w:rsidRPr="00EA32BC">
        <w:rPr>
          <w:rFonts w:ascii="Palatino Linotype" w:eastAsia="Palatino Linotype" w:hAnsi="Palatino Linotype" w:cs="Palatino Linotype"/>
        </w:rPr>
        <w:t>. Acciones u omisiones del interesado.</w:t>
      </w:r>
    </w:p>
    <w:p w14:paraId="099A87DF" w14:textId="77777777" w:rsidR="001A3FC3" w:rsidRPr="00EA32BC" w:rsidRDefault="00C612D2">
      <w:pPr>
        <w:numPr>
          <w:ilvl w:val="0"/>
          <w:numId w:val="2"/>
        </w:numPr>
        <w:pBdr>
          <w:top w:val="nil"/>
          <w:left w:val="nil"/>
          <w:bottom w:val="nil"/>
          <w:right w:val="nil"/>
          <w:between w:val="nil"/>
        </w:pBdr>
        <w:spacing w:line="360" w:lineRule="auto"/>
        <w:ind w:left="567" w:right="567" w:hanging="141"/>
        <w:jc w:val="both"/>
      </w:pPr>
      <w:r w:rsidRPr="00EA32BC">
        <w:rPr>
          <w:rFonts w:ascii="Palatino Linotype" w:eastAsia="Palatino Linotype" w:hAnsi="Palatino Linotype" w:cs="Palatino Linotype"/>
          <w:b/>
        </w:rPr>
        <w:t>Conducta de la Autoridad:</w:t>
      </w:r>
      <w:r w:rsidRPr="00EA32BC">
        <w:rPr>
          <w:rFonts w:ascii="Palatino Linotype" w:eastAsia="Palatino Linotype" w:hAnsi="Palatino Linotype" w:cs="Palatino Linotype"/>
        </w:rPr>
        <w:t xml:space="preserve"> Las Acciones u omisiones realizadas en el procedimiento. Así como si la autoridad actuó con la debida diligencia.</w:t>
      </w:r>
    </w:p>
    <w:p w14:paraId="085B3B40" w14:textId="77777777" w:rsidR="001A3FC3" w:rsidRPr="00EA32BC" w:rsidRDefault="00C612D2">
      <w:pPr>
        <w:numPr>
          <w:ilvl w:val="0"/>
          <w:numId w:val="2"/>
        </w:numPr>
        <w:pBdr>
          <w:top w:val="nil"/>
          <w:left w:val="nil"/>
          <w:bottom w:val="nil"/>
          <w:right w:val="nil"/>
          <w:between w:val="nil"/>
        </w:pBdr>
        <w:spacing w:line="360" w:lineRule="auto"/>
        <w:ind w:left="567" w:right="567" w:hanging="141"/>
        <w:jc w:val="both"/>
      </w:pPr>
      <w:r w:rsidRPr="00EA32BC">
        <w:rPr>
          <w:rFonts w:ascii="Palatino Linotype" w:eastAsia="Palatino Linotype" w:hAnsi="Palatino Linotype" w:cs="Palatino Linotype"/>
          <w:b/>
        </w:rPr>
        <w:t>La afectación generada en la situación jurídica de la persona involucrada en el proceso:</w:t>
      </w:r>
      <w:r w:rsidRPr="00EA32BC">
        <w:rPr>
          <w:rFonts w:ascii="Palatino Linotype" w:eastAsia="Palatino Linotype" w:hAnsi="Palatino Linotype" w:cs="Palatino Linotype"/>
        </w:rPr>
        <w:t xml:space="preserve"> Violación a sus derechos humanos.</w:t>
      </w:r>
    </w:p>
    <w:p w14:paraId="2EFCB36F" w14:textId="77777777" w:rsidR="001A3FC3" w:rsidRPr="00EA32BC" w:rsidRDefault="001A3FC3">
      <w:pPr>
        <w:spacing w:line="360" w:lineRule="auto"/>
      </w:pPr>
    </w:p>
    <w:p w14:paraId="2F7C711B"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0BF319" w14:textId="77777777" w:rsidR="001A3FC3" w:rsidRPr="00EA32BC" w:rsidRDefault="001A3FC3">
      <w:pPr>
        <w:spacing w:line="360" w:lineRule="auto"/>
      </w:pPr>
    </w:p>
    <w:p w14:paraId="6979DB33"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A32B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A32BC">
        <w:rPr>
          <w:rFonts w:ascii="Palatino Linotype" w:eastAsia="Palatino Linotype" w:hAnsi="Palatino Linotype" w:cs="Palatino Linotype"/>
        </w:rPr>
        <w:t>, visible en la Gaceta del Seminario Judicial de la Federación con el registro digital 205635.</w:t>
      </w:r>
    </w:p>
    <w:p w14:paraId="02DB1A8F" w14:textId="77777777" w:rsidR="001A3FC3" w:rsidRPr="00EA32BC" w:rsidRDefault="001A3FC3">
      <w:pPr>
        <w:spacing w:line="360" w:lineRule="auto"/>
      </w:pPr>
    </w:p>
    <w:p w14:paraId="2A968A10"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C3B3E6F" w14:textId="77777777" w:rsidR="001A3FC3" w:rsidRPr="00EA32BC" w:rsidRDefault="001A3FC3">
      <w:pPr>
        <w:spacing w:line="360" w:lineRule="auto"/>
      </w:pPr>
    </w:p>
    <w:p w14:paraId="37D72920"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45193C1" w14:textId="77777777" w:rsidR="001A3FC3" w:rsidRPr="00EA32BC" w:rsidRDefault="001A3FC3">
      <w:pPr>
        <w:spacing w:line="360" w:lineRule="auto"/>
      </w:pPr>
    </w:p>
    <w:p w14:paraId="589E38DD"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t> </w:t>
      </w:r>
      <w:r w:rsidRPr="00EA32BC">
        <w:rPr>
          <w:rFonts w:ascii="Palatino Linotype" w:eastAsia="Palatino Linotype" w:hAnsi="Palatino Linotype" w:cs="Palatino Linotype"/>
          <w:i/>
        </w:rPr>
        <w:t>“PLAZO RAZONABLE PARA RESOLVER. DIMENSIÓN Y EFECTOS DE ESTE CONCEPTO CUANDO SE ADUCE EXCESIVA CARGA DE TRABAJO.”</w:t>
      </w:r>
      <w:r w:rsidRPr="00EA32BC">
        <w:rPr>
          <w:rFonts w:ascii="Palatino Linotype" w:eastAsia="Palatino Linotype" w:hAnsi="Palatino Linotype" w:cs="Palatino Linotype"/>
        </w:rPr>
        <w:t xml:space="preserve"> consultable en el Seminario Judicial de la Federación y su gaceta, con el registro digital 2002351.</w:t>
      </w:r>
    </w:p>
    <w:p w14:paraId="48F869C0" w14:textId="77777777" w:rsidR="001A3FC3" w:rsidRPr="00EA32BC" w:rsidRDefault="001A3FC3">
      <w:pPr>
        <w:spacing w:line="360" w:lineRule="auto"/>
      </w:pPr>
    </w:p>
    <w:p w14:paraId="7CFDC110"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i/>
        </w:rPr>
        <w:t>“PLAZO RAZONABLE PARA RESOLVER. CONCEPTO Y ELEMENTOS QUE LO INTEGRAN A LA LUZ DEL DERECHO INTERNACIONAL DE LOS DERECHOS HUMANOS.”</w:t>
      </w:r>
      <w:r w:rsidRPr="00EA32BC">
        <w:rPr>
          <w:rFonts w:ascii="Palatino Linotype" w:eastAsia="Palatino Linotype" w:hAnsi="Palatino Linotype" w:cs="Palatino Linotype"/>
        </w:rPr>
        <w:t>, visible en el Seminario Judicial de la Federación y su gaceta, con el registro digital 2002350.</w:t>
      </w:r>
    </w:p>
    <w:p w14:paraId="2DE48C9B" w14:textId="77777777" w:rsidR="001A3FC3" w:rsidRPr="00EA32BC" w:rsidRDefault="001A3FC3">
      <w:pPr>
        <w:spacing w:line="360" w:lineRule="auto"/>
      </w:pPr>
    </w:p>
    <w:p w14:paraId="33F2F1A6" w14:textId="77777777" w:rsidR="001A3FC3" w:rsidRPr="00EA32BC" w:rsidRDefault="00C612D2">
      <w:pPr>
        <w:pBdr>
          <w:top w:val="nil"/>
          <w:left w:val="nil"/>
          <w:bottom w:val="nil"/>
          <w:right w:val="nil"/>
          <w:between w:val="nil"/>
        </w:pBdr>
        <w:spacing w:line="360" w:lineRule="auto"/>
        <w:jc w:val="both"/>
      </w:pPr>
      <w:r w:rsidRPr="00EA32BC">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0A2D30E5" w14:textId="77777777" w:rsidR="001A3FC3" w:rsidRPr="00EA32BC" w:rsidRDefault="00C612D2">
      <w:pPr>
        <w:spacing w:before="240" w:after="240" w:line="360" w:lineRule="auto"/>
        <w:jc w:val="both"/>
        <w:rPr>
          <w:rFonts w:ascii="Palatino Linotype" w:eastAsia="Palatino Linotype" w:hAnsi="Palatino Linotype" w:cs="Palatino Linotype"/>
          <w:b/>
          <w:sz w:val="28"/>
          <w:szCs w:val="28"/>
        </w:rPr>
      </w:pPr>
      <w:r w:rsidRPr="00EA32BC">
        <w:rPr>
          <w:rFonts w:ascii="Palatino Linotype" w:eastAsia="Palatino Linotype" w:hAnsi="Palatino Linotype" w:cs="Palatino Linotype"/>
          <w:b/>
        </w:rPr>
        <w:t xml:space="preserve">8. Cierre de Instrucción. </w:t>
      </w:r>
      <w:r w:rsidRPr="00EA32BC">
        <w:rPr>
          <w:rFonts w:ascii="Palatino Linotype" w:eastAsia="Palatino Linotype" w:hAnsi="Palatino Linotype" w:cs="Palatino Linotype"/>
        </w:rPr>
        <w:t xml:space="preserve">El </w:t>
      </w:r>
      <w:r w:rsidRPr="00EA32BC">
        <w:rPr>
          <w:rFonts w:ascii="Palatino Linotype" w:eastAsia="Palatino Linotype" w:hAnsi="Palatino Linotype" w:cs="Palatino Linotype"/>
          <w:b/>
        </w:rPr>
        <w:t>diez de enero del año dos mil veintitrés</w:t>
      </w:r>
      <w:r w:rsidRPr="00EA32BC">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EA32BC">
        <w:rPr>
          <w:rFonts w:ascii="Palatino Linotype" w:eastAsia="Palatino Linotype" w:hAnsi="Palatino Linotype" w:cs="Palatino Linotype"/>
          <w:b/>
          <w:sz w:val="28"/>
          <w:szCs w:val="28"/>
        </w:rPr>
        <w:t xml:space="preserve"> </w:t>
      </w:r>
    </w:p>
    <w:p w14:paraId="02B96E87" w14:textId="77777777" w:rsidR="001A3FC3" w:rsidRPr="00EA32BC" w:rsidRDefault="00C612D2">
      <w:pPr>
        <w:pBdr>
          <w:top w:val="nil"/>
          <w:left w:val="nil"/>
          <w:bottom w:val="nil"/>
          <w:right w:val="nil"/>
          <w:between w:val="nil"/>
        </w:pBdr>
        <w:spacing w:before="240" w:after="240" w:line="360" w:lineRule="auto"/>
        <w:jc w:val="both"/>
      </w:pPr>
      <w:r w:rsidRPr="00EA32BC">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1ED1E066" w14:textId="77777777" w:rsidR="001A3FC3" w:rsidRPr="00EA32BC" w:rsidRDefault="00C612D2">
      <w:pPr>
        <w:pStyle w:val="Ttulo2"/>
        <w:spacing w:before="240" w:after="240" w:line="360" w:lineRule="auto"/>
        <w:jc w:val="center"/>
        <w:rPr>
          <w:rFonts w:ascii="Palatino Linotype" w:eastAsia="Palatino Linotype" w:hAnsi="Palatino Linotype" w:cs="Palatino Linotype"/>
          <w:b/>
          <w:color w:val="auto"/>
          <w:sz w:val="24"/>
          <w:szCs w:val="24"/>
        </w:rPr>
      </w:pPr>
      <w:r w:rsidRPr="00EA32BC">
        <w:rPr>
          <w:rFonts w:ascii="Palatino Linotype" w:eastAsia="Palatino Linotype" w:hAnsi="Palatino Linotype" w:cs="Palatino Linotype"/>
          <w:b/>
          <w:color w:val="auto"/>
          <w:sz w:val="24"/>
          <w:szCs w:val="24"/>
        </w:rPr>
        <w:t>II. C O N S I D E R A N D O S:</w:t>
      </w:r>
    </w:p>
    <w:p w14:paraId="749A7B1A" w14:textId="77777777" w:rsidR="001A3FC3" w:rsidRPr="00EA32BC" w:rsidRDefault="00C612D2">
      <w:pPr>
        <w:spacing w:before="240" w:after="240" w:line="360" w:lineRule="auto"/>
        <w:jc w:val="both"/>
        <w:rPr>
          <w:rFonts w:ascii="Palatino Linotype" w:eastAsia="Palatino Linotype" w:hAnsi="Palatino Linotype" w:cs="Palatino Linotype"/>
          <w:b/>
        </w:rPr>
      </w:pPr>
      <w:r w:rsidRPr="00EA32BC">
        <w:rPr>
          <w:rFonts w:ascii="Palatino Linotype" w:eastAsia="Palatino Linotype" w:hAnsi="Palatino Linotype" w:cs="Palatino Linotype"/>
          <w:b/>
        </w:rPr>
        <w:t>Primero. Competencia</w:t>
      </w:r>
      <w:r w:rsidRPr="00EA32BC">
        <w:rPr>
          <w:rFonts w:ascii="Palatino Linotype" w:eastAsia="Palatino Linotype" w:hAnsi="Palatino Linotype" w:cs="Palatino Linotype"/>
          <w:b/>
          <w:sz w:val="22"/>
          <w:szCs w:val="22"/>
        </w:rPr>
        <w:t xml:space="preserve">. </w:t>
      </w:r>
      <w:r w:rsidRPr="00EA32BC">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del Estado de México y Municipios; 9 fracciones I, XXIV y 11 del Reglamento </w:t>
      </w:r>
      <w:r w:rsidRPr="00EA32BC">
        <w:rPr>
          <w:rFonts w:ascii="Palatino Linotype" w:eastAsia="Palatino Linotype" w:hAnsi="Palatino Linotype" w:cs="Palatino Linotype"/>
        </w:rPr>
        <w:lastRenderedPageBreak/>
        <w:t>Interior del Instituto de Transparencia, Acceso a la Información Pública y Protección de Datos Personales del Estado de México y Municipios.</w:t>
      </w:r>
    </w:p>
    <w:p w14:paraId="65718150"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b/>
        </w:rPr>
        <w:t>Segundo. Oportunidad y Procedibilidad del Recurso de Revisión</w:t>
      </w:r>
      <w:r w:rsidRPr="00EA32BC">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E7AD76B" w14:textId="77777777" w:rsidR="001A3FC3" w:rsidRPr="00EA32BC" w:rsidRDefault="00C612D2">
      <w:pPr>
        <w:spacing w:before="240" w:after="240" w:line="360" w:lineRule="auto"/>
        <w:jc w:val="both"/>
        <w:rPr>
          <w:rFonts w:ascii="Palatino Linotype" w:eastAsia="Palatino Linotype" w:hAnsi="Palatino Linotype" w:cs="Palatino Linotype"/>
          <w:b/>
        </w:rPr>
      </w:pPr>
      <w:r w:rsidRPr="00EA32BC">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remitió su respuesta a la solicitud de información el día </w:t>
      </w:r>
      <w:r w:rsidRPr="00EA32BC">
        <w:rPr>
          <w:rFonts w:ascii="Palatino Linotype" w:eastAsia="Palatino Linotype" w:hAnsi="Palatino Linotype" w:cs="Palatino Linotype"/>
          <w:b/>
        </w:rPr>
        <w:t xml:space="preserve">veinte de junio de dos mil veintidós, </w:t>
      </w:r>
      <w:r w:rsidRPr="00EA32BC">
        <w:rPr>
          <w:rFonts w:ascii="Palatino Linotype" w:eastAsia="Palatino Linotype" w:hAnsi="Palatino Linotype" w:cs="Palatino Linotype"/>
        </w:rPr>
        <w:t xml:space="preserve">mientras que el recurso de revisión interpuesto por </w:t>
      </w:r>
      <w:r w:rsidRPr="00EA32BC">
        <w:rPr>
          <w:rFonts w:ascii="Palatino Linotype" w:eastAsia="Palatino Linotype" w:hAnsi="Palatino Linotype" w:cs="Palatino Linotype"/>
          <w:b/>
        </w:rPr>
        <w:t>el Recurrente</w:t>
      </w:r>
      <w:r w:rsidRPr="00EA32BC">
        <w:rPr>
          <w:rFonts w:ascii="Palatino Linotype" w:eastAsia="Palatino Linotype" w:hAnsi="Palatino Linotype" w:cs="Palatino Linotype"/>
        </w:rPr>
        <w:t xml:space="preserve">, se tuvo por presentado el día </w:t>
      </w:r>
      <w:r w:rsidRPr="00EA32BC">
        <w:rPr>
          <w:rFonts w:ascii="Palatino Linotype" w:eastAsia="Palatino Linotype" w:hAnsi="Palatino Linotype" w:cs="Palatino Linotype"/>
          <w:b/>
        </w:rPr>
        <w:t>cinco de julio de dos mil veintidós</w:t>
      </w:r>
      <w:r w:rsidRPr="00EA32BC">
        <w:rPr>
          <w:rFonts w:ascii="Palatino Linotype" w:eastAsia="Palatino Linotype" w:hAnsi="Palatino Linotype" w:cs="Palatino Linotype"/>
        </w:rPr>
        <w:t xml:space="preserve">, esto es, el </w:t>
      </w:r>
      <w:r w:rsidRPr="00EA32BC">
        <w:rPr>
          <w:rFonts w:ascii="Palatino Linotype" w:eastAsia="Palatino Linotype" w:hAnsi="Palatino Linotype" w:cs="Palatino Linotype"/>
          <w:b/>
        </w:rPr>
        <w:t>décimo día hábil</w:t>
      </w:r>
      <w:r w:rsidRPr="00EA32BC">
        <w:rPr>
          <w:rFonts w:ascii="Palatino Linotype" w:eastAsia="Palatino Linotype" w:hAnsi="Palatino Linotype" w:cs="Palatino Linotype"/>
        </w:rPr>
        <w:t xml:space="preserve"> en que tuvo conocimiento de la respuesta impugnada</w:t>
      </w:r>
      <w:r w:rsidRPr="00EA32BC">
        <w:rPr>
          <w:rFonts w:ascii="Palatino Linotype" w:eastAsia="Palatino Linotype" w:hAnsi="Palatino Linotype" w:cs="Palatino Linotype"/>
          <w:b/>
        </w:rPr>
        <w:t>.</w:t>
      </w:r>
    </w:p>
    <w:p w14:paraId="59A6F94A" w14:textId="77777777" w:rsidR="001A3FC3" w:rsidRPr="00EA32BC" w:rsidRDefault="00C612D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Asimismo, por cuanto hace a la procedibilidad del  recurso de revisión, es de suma importancia señalar que </w:t>
      </w:r>
      <w:r w:rsidRPr="00EA32BC">
        <w:rPr>
          <w:rFonts w:ascii="Palatino Linotype" w:eastAsia="Palatino Linotype" w:hAnsi="Palatino Linotype" w:cs="Palatino Linotype"/>
          <w:b/>
        </w:rPr>
        <w:t>la parte Recurrente</w:t>
      </w:r>
      <w:r w:rsidRPr="00EA32BC">
        <w:rPr>
          <w:rFonts w:ascii="Palatino Linotype" w:eastAsia="Palatino Linotype" w:hAnsi="Palatino Linotype" w:cs="Palatino Linotype"/>
        </w:rPr>
        <w:t xml:space="preserve"> no señaló nombre completo,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5B6686B" w14:textId="77777777" w:rsidR="001A3FC3" w:rsidRPr="00EA32BC" w:rsidRDefault="00C612D2">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 xml:space="preserve">"Las solicitudes anónimas, con nombre incompleto o seudónimo serán procedentes para su trámite por parte del sujeto obligado ante quien se presente. No podrá </w:t>
      </w:r>
      <w:r w:rsidRPr="00EA32BC">
        <w:rPr>
          <w:rFonts w:ascii="Palatino Linotype" w:eastAsia="Palatino Linotype" w:hAnsi="Palatino Linotype" w:cs="Palatino Linotype"/>
          <w:i/>
          <w:sz w:val="22"/>
          <w:szCs w:val="22"/>
        </w:rPr>
        <w:lastRenderedPageBreak/>
        <w:t>requerirse información adicional con motivo del nombre proporcionado por el solicitante."</w:t>
      </w:r>
    </w:p>
    <w:p w14:paraId="71D0B738" w14:textId="77777777" w:rsidR="001A3FC3" w:rsidRPr="00EA32BC" w:rsidRDefault="00C612D2">
      <w:pPr>
        <w:spacing w:before="240" w:after="240" w:line="360" w:lineRule="auto"/>
        <w:ind w:right="-93"/>
        <w:jc w:val="both"/>
        <w:rPr>
          <w:rFonts w:ascii="Palatino Linotype" w:eastAsia="Palatino Linotype" w:hAnsi="Palatino Linotype" w:cs="Palatino Linotype"/>
        </w:rPr>
      </w:pPr>
      <w:r w:rsidRPr="00EA32BC">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F11E457" w14:textId="77777777" w:rsidR="001A3FC3" w:rsidRPr="00EA32BC" w:rsidRDefault="00C612D2">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EA32BC">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fracción V de la Ley de Transparencia y Acceso a la Información Pública del Estado de México y Municipios; que a la letra dice:</w:t>
      </w:r>
    </w:p>
    <w:p w14:paraId="1C71C755" w14:textId="77777777" w:rsidR="001A3FC3" w:rsidRPr="00EA32BC" w:rsidRDefault="00C612D2">
      <w:pPr>
        <w:spacing w:before="240" w:after="240" w:line="276" w:lineRule="auto"/>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Artículo 179</w:t>
      </w:r>
      <w:r w:rsidRPr="00EA32BC">
        <w:rPr>
          <w:rFonts w:ascii="Palatino Linotype" w:eastAsia="Palatino Linotype" w:hAnsi="Palatino Linotype" w:cs="Palatino Linotype"/>
          <w:b/>
          <w:sz w:val="22"/>
          <w:szCs w:val="22"/>
        </w:rPr>
        <w:t>.-</w:t>
      </w:r>
      <w:r w:rsidRPr="00EA32BC">
        <w:rPr>
          <w:rFonts w:ascii="Palatino Linotype" w:eastAsia="Palatino Linotype" w:hAnsi="Palatino Linotype" w:cs="Palatino Linotype"/>
          <w:sz w:val="22"/>
          <w:szCs w:val="22"/>
        </w:rPr>
        <w:t xml:space="preserve"> </w:t>
      </w:r>
      <w:r w:rsidRPr="00EA32B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3F8C6BE" w14:textId="77777777" w:rsidR="001A3FC3" w:rsidRPr="00EA32BC" w:rsidRDefault="00C612D2">
      <w:pPr>
        <w:spacing w:before="240" w:after="240" w:line="276" w:lineRule="auto"/>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09ED5014" w14:textId="77777777" w:rsidR="001A3FC3" w:rsidRPr="00EA32BC" w:rsidRDefault="00C612D2">
      <w:pPr>
        <w:spacing w:before="240" w:after="240" w:line="276" w:lineRule="auto"/>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 La entrega de información incompleta;</w:t>
      </w:r>
      <w:r w:rsidRPr="00EA32BC">
        <w:rPr>
          <w:rFonts w:ascii="Palatino Linotype" w:eastAsia="Palatino Linotype" w:hAnsi="Palatino Linotype" w:cs="Palatino Linotype"/>
          <w:i/>
          <w:sz w:val="22"/>
          <w:szCs w:val="22"/>
        </w:rPr>
        <w:t xml:space="preserve">” (Sic) (Énfasis añadido)              </w:t>
      </w:r>
    </w:p>
    <w:p w14:paraId="7025B5B4"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b/>
        </w:rPr>
        <w:t xml:space="preserve">Tercero. Materia de la revisión. </w:t>
      </w:r>
      <w:r w:rsidRPr="00EA32BC">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A32BC">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A32BC">
        <w:rPr>
          <w:rFonts w:ascii="Palatino Linotype" w:eastAsia="Palatino Linotype" w:hAnsi="Palatino Linotype" w:cs="Palatino Linotype"/>
        </w:rPr>
        <w:t>del</w:t>
      </w:r>
      <w:r w:rsidRPr="00EA32BC">
        <w:rPr>
          <w:rFonts w:ascii="Palatino Linotype" w:eastAsia="Palatino Linotype" w:hAnsi="Palatino Linotype" w:cs="Palatino Linotype"/>
          <w:b/>
        </w:rPr>
        <w:t xml:space="preserve"> Recurrente</w:t>
      </w:r>
      <w:r w:rsidRPr="00EA32BC">
        <w:rPr>
          <w:rFonts w:ascii="Palatino Linotype" w:eastAsia="Palatino Linotype" w:hAnsi="Palatino Linotype" w:cs="Palatino Linotype"/>
        </w:rPr>
        <w:t>, o en su defecto, en caso de ser procedente, ordenar la entrega de información oportuna.</w:t>
      </w:r>
    </w:p>
    <w:p w14:paraId="71B89B32" w14:textId="77777777" w:rsidR="001A3FC3" w:rsidRPr="00EA32BC" w:rsidRDefault="00C612D2">
      <w:pPr>
        <w:pBdr>
          <w:top w:val="nil"/>
          <w:left w:val="nil"/>
          <w:bottom w:val="nil"/>
          <w:right w:val="nil"/>
          <w:between w:val="nil"/>
        </w:pBdr>
        <w:spacing w:before="240" w:after="240" w:line="360" w:lineRule="auto"/>
        <w:jc w:val="both"/>
      </w:pPr>
      <w:r w:rsidRPr="00EA32BC">
        <w:rPr>
          <w:rFonts w:ascii="Palatino Linotype" w:eastAsia="Palatino Linotype" w:hAnsi="Palatino Linotype" w:cs="Palatino Linotype"/>
          <w:b/>
        </w:rPr>
        <w:lastRenderedPageBreak/>
        <w:t xml:space="preserve">Cuarto. Estudio del asunto. </w:t>
      </w:r>
      <w:r w:rsidRPr="00EA32BC">
        <w:rPr>
          <w:rFonts w:ascii="Palatino Linotype" w:eastAsia="Palatino Linotype" w:hAnsi="Palatino Linotype" w:cs="Palatino Linotype"/>
        </w:rPr>
        <w:t xml:space="preserve">Antes de entrar al análisis de los pronunciamientos del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226C114" w14:textId="77777777" w:rsidR="001A3FC3" w:rsidRPr="00EA32BC" w:rsidRDefault="00C612D2">
      <w:pPr>
        <w:pBdr>
          <w:top w:val="nil"/>
          <w:left w:val="nil"/>
          <w:bottom w:val="nil"/>
          <w:right w:val="nil"/>
          <w:between w:val="nil"/>
        </w:pBdr>
        <w:spacing w:before="240" w:after="240"/>
        <w:ind w:left="851" w:right="850"/>
        <w:jc w:val="both"/>
      </w:pPr>
      <w:r w:rsidRPr="00EA32B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A32B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3C9F61B" w14:textId="77777777" w:rsidR="001A3FC3" w:rsidRPr="00EA32BC" w:rsidRDefault="00C612D2">
      <w:pPr>
        <w:pBdr>
          <w:top w:val="nil"/>
          <w:left w:val="nil"/>
          <w:bottom w:val="nil"/>
          <w:right w:val="nil"/>
          <w:between w:val="nil"/>
        </w:pBdr>
        <w:spacing w:before="240" w:after="240"/>
        <w:ind w:left="851" w:right="850"/>
        <w:jc w:val="both"/>
      </w:pPr>
      <w:r w:rsidRPr="00EA32BC">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5F33B7A" w14:textId="77777777" w:rsidR="001A3FC3" w:rsidRPr="00EA32BC" w:rsidRDefault="00C612D2">
      <w:pPr>
        <w:pBdr>
          <w:top w:val="nil"/>
          <w:left w:val="nil"/>
          <w:bottom w:val="nil"/>
          <w:right w:val="nil"/>
          <w:between w:val="nil"/>
        </w:pBdr>
        <w:spacing w:before="240" w:after="240"/>
        <w:ind w:left="851" w:right="850"/>
        <w:jc w:val="both"/>
      </w:pPr>
      <w:r w:rsidRPr="00EA32B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A32B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F3DB713" w14:textId="77777777" w:rsidR="001A3FC3" w:rsidRPr="00EA32BC" w:rsidRDefault="00C612D2">
      <w:pPr>
        <w:pBdr>
          <w:top w:val="nil"/>
          <w:left w:val="nil"/>
          <w:bottom w:val="nil"/>
          <w:right w:val="nil"/>
          <w:between w:val="nil"/>
        </w:pBdr>
        <w:spacing w:before="240" w:after="240"/>
        <w:ind w:left="851" w:right="850"/>
        <w:jc w:val="both"/>
      </w:pPr>
      <w:r w:rsidRPr="00EA32BC">
        <w:rPr>
          <w:rFonts w:ascii="Palatino Linotype" w:eastAsia="Palatino Linotype" w:hAnsi="Palatino Linotype" w:cs="Palatino Linotype"/>
          <w:i/>
          <w:sz w:val="22"/>
          <w:szCs w:val="22"/>
        </w:rPr>
        <w:t>[…]</w:t>
      </w:r>
    </w:p>
    <w:p w14:paraId="3DA52221" w14:textId="77777777" w:rsidR="001A3FC3" w:rsidRPr="00EA32BC" w:rsidRDefault="00C612D2">
      <w:pPr>
        <w:pBdr>
          <w:top w:val="nil"/>
          <w:left w:val="nil"/>
          <w:bottom w:val="nil"/>
          <w:right w:val="nil"/>
          <w:between w:val="nil"/>
        </w:pBdr>
        <w:spacing w:before="240" w:after="240"/>
        <w:ind w:left="851" w:right="901"/>
        <w:jc w:val="both"/>
      </w:pPr>
      <w:r w:rsidRPr="00EA32BC">
        <w:rPr>
          <w:rFonts w:ascii="Palatino Linotype" w:eastAsia="Palatino Linotype" w:hAnsi="Palatino Linotype" w:cs="Palatino Linotype"/>
          <w:b/>
          <w:i/>
          <w:sz w:val="22"/>
          <w:szCs w:val="22"/>
        </w:rPr>
        <w:t>“Artículo 6o.</w:t>
      </w:r>
    </w:p>
    <w:p w14:paraId="031B17BF" w14:textId="77777777" w:rsidR="001A3FC3" w:rsidRPr="00EA32BC" w:rsidRDefault="00C612D2">
      <w:pPr>
        <w:pBdr>
          <w:top w:val="nil"/>
          <w:left w:val="nil"/>
          <w:bottom w:val="nil"/>
          <w:right w:val="nil"/>
          <w:between w:val="nil"/>
        </w:pBdr>
        <w:spacing w:before="240" w:after="240"/>
        <w:ind w:left="851" w:right="901"/>
        <w:jc w:val="both"/>
      </w:pPr>
      <w:r w:rsidRPr="00EA32BC">
        <w:rPr>
          <w:rFonts w:ascii="Palatino Linotype" w:eastAsia="Palatino Linotype" w:hAnsi="Palatino Linotype" w:cs="Palatino Linotype"/>
          <w:i/>
          <w:sz w:val="22"/>
          <w:szCs w:val="22"/>
        </w:rPr>
        <w:t>[...]</w:t>
      </w:r>
    </w:p>
    <w:p w14:paraId="416AA000" w14:textId="77777777" w:rsidR="001A3FC3" w:rsidRPr="00EA32BC" w:rsidRDefault="00C612D2">
      <w:pPr>
        <w:pBdr>
          <w:top w:val="nil"/>
          <w:left w:val="nil"/>
          <w:bottom w:val="nil"/>
          <w:right w:val="nil"/>
          <w:between w:val="nil"/>
        </w:pBdr>
        <w:spacing w:before="240" w:after="240"/>
        <w:ind w:left="851" w:right="851"/>
        <w:jc w:val="both"/>
      </w:pPr>
      <w:r w:rsidRPr="00EA32BC">
        <w:rPr>
          <w:rFonts w:ascii="Palatino Linotype" w:eastAsia="Palatino Linotype" w:hAnsi="Palatino Linotype" w:cs="Palatino Linotype"/>
          <w:b/>
          <w:i/>
          <w:sz w:val="22"/>
          <w:szCs w:val="22"/>
        </w:rPr>
        <w:t xml:space="preserve">A. Para el ejercicio del derecho de acceso a la información, la Federación y </w:t>
      </w:r>
      <w:r w:rsidRPr="00EA32BC">
        <w:rPr>
          <w:rFonts w:ascii="Palatino Linotype" w:eastAsia="Palatino Linotype" w:hAnsi="Palatino Linotype" w:cs="Palatino Linotype"/>
          <w:b/>
          <w:i/>
          <w:sz w:val="22"/>
          <w:szCs w:val="22"/>
          <w:u w:val="single"/>
        </w:rPr>
        <w:t>las entidades federativas</w:t>
      </w:r>
      <w:r w:rsidRPr="00EA32BC">
        <w:rPr>
          <w:rFonts w:ascii="Palatino Linotype" w:eastAsia="Palatino Linotype" w:hAnsi="Palatino Linotype" w:cs="Palatino Linotype"/>
          <w:b/>
          <w:i/>
          <w:sz w:val="22"/>
          <w:szCs w:val="22"/>
        </w:rPr>
        <w:t>,</w:t>
      </w:r>
      <w:r w:rsidRPr="00EA32BC">
        <w:rPr>
          <w:rFonts w:ascii="Palatino Linotype" w:eastAsia="Palatino Linotype" w:hAnsi="Palatino Linotype" w:cs="Palatino Linotype"/>
          <w:i/>
          <w:sz w:val="22"/>
          <w:szCs w:val="22"/>
        </w:rPr>
        <w:t xml:space="preserve"> en el ámbito de sus respectivas competencias, se regirán por los siguientes principios y bases:</w:t>
      </w:r>
    </w:p>
    <w:p w14:paraId="328900E3" w14:textId="77777777" w:rsidR="001A3FC3" w:rsidRPr="00EA32BC" w:rsidRDefault="00C612D2">
      <w:pPr>
        <w:pBdr>
          <w:top w:val="nil"/>
          <w:left w:val="nil"/>
          <w:bottom w:val="nil"/>
          <w:right w:val="nil"/>
          <w:between w:val="nil"/>
        </w:pBdr>
        <w:spacing w:before="240" w:after="240"/>
        <w:ind w:left="851" w:right="851"/>
        <w:jc w:val="both"/>
      </w:pPr>
      <w:r w:rsidRPr="00EA32BC">
        <w:rPr>
          <w:rFonts w:ascii="Palatino Linotype" w:eastAsia="Palatino Linotype" w:hAnsi="Palatino Linotype" w:cs="Palatino Linotype"/>
          <w:i/>
          <w:sz w:val="22"/>
          <w:szCs w:val="22"/>
        </w:rPr>
        <w:lastRenderedPageBreak/>
        <w:t> </w:t>
      </w:r>
      <w:r w:rsidRPr="00EA32BC">
        <w:rPr>
          <w:rFonts w:ascii="Palatino Linotype" w:eastAsia="Palatino Linotype" w:hAnsi="Palatino Linotype" w:cs="Palatino Linotype"/>
          <w:b/>
          <w:i/>
          <w:sz w:val="22"/>
          <w:szCs w:val="22"/>
        </w:rPr>
        <w:t xml:space="preserve">I. </w:t>
      </w:r>
      <w:r w:rsidRPr="00EA32B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A32BC">
        <w:rPr>
          <w:rFonts w:ascii="Palatino Linotype" w:eastAsia="Palatino Linotype" w:hAnsi="Palatino Linotype" w:cs="Palatino Linotype"/>
          <w:i/>
          <w:sz w:val="22"/>
          <w:szCs w:val="22"/>
        </w:rPr>
        <w:t xml:space="preserve"> Ejecutivo, Legislativo </w:t>
      </w:r>
      <w:r w:rsidRPr="00EA32BC">
        <w:rPr>
          <w:rFonts w:ascii="Palatino Linotype" w:eastAsia="Palatino Linotype" w:hAnsi="Palatino Linotype" w:cs="Palatino Linotype"/>
          <w:b/>
          <w:i/>
          <w:sz w:val="22"/>
          <w:szCs w:val="22"/>
          <w:u w:val="single"/>
        </w:rPr>
        <w:t>y Judicial</w:t>
      </w:r>
      <w:r w:rsidRPr="00EA32B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A32BC">
        <w:rPr>
          <w:rFonts w:ascii="Palatino Linotype" w:eastAsia="Palatino Linotype" w:hAnsi="Palatino Linotype" w:cs="Palatino Linotype"/>
          <w:b/>
          <w:i/>
          <w:sz w:val="22"/>
          <w:szCs w:val="22"/>
        </w:rPr>
        <w:t>es pública y sólo podrá ser reservada temporalmente por razones de interés público y seguridad nacional,</w:t>
      </w:r>
      <w:r w:rsidRPr="00EA32B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F3C9A0" w14:textId="77777777" w:rsidR="001A3FC3" w:rsidRPr="00EA32BC" w:rsidRDefault="00C612D2">
      <w:pPr>
        <w:pBdr>
          <w:top w:val="nil"/>
          <w:left w:val="nil"/>
          <w:bottom w:val="nil"/>
          <w:right w:val="nil"/>
          <w:between w:val="nil"/>
        </w:pBdr>
        <w:spacing w:before="240" w:after="240"/>
        <w:ind w:left="851" w:right="851"/>
        <w:jc w:val="both"/>
      </w:pPr>
      <w:r w:rsidRPr="00EA32BC">
        <w:rPr>
          <w:rFonts w:ascii="Palatino Linotype" w:eastAsia="Palatino Linotype" w:hAnsi="Palatino Linotype" w:cs="Palatino Linotype"/>
          <w:i/>
          <w:sz w:val="22"/>
          <w:szCs w:val="22"/>
        </w:rPr>
        <w:t> </w:t>
      </w:r>
      <w:r w:rsidRPr="00EA32B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3F8ACBB4" w14:textId="77777777" w:rsidR="001A3FC3" w:rsidRPr="00EA32BC" w:rsidRDefault="00C612D2">
      <w:pPr>
        <w:pBdr>
          <w:top w:val="nil"/>
          <w:left w:val="nil"/>
          <w:bottom w:val="nil"/>
          <w:right w:val="nil"/>
          <w:between w:val="nil"/>
        </w:pBdr>
        <w:spacing w:before="240" w:after="240"/>
        <w:ind w:left="851" w:right="851"/>
        <w:jc w:val="both"/>
      </w:pPr>
      <w:r w:rsidRPr="00EA32BC">
        <w:rPr>
          <w:rFonts w:ascii="Palatino Linotype" w:eastAsia="Palatino Linotype" w:hAnsi="Palatino Linotype" w:cs="Palatino Linotype"/>
          <w:i/>
          <w:sz w:val="22"/>
          <w:szCs w:val="22"/>
        </w:rPr>
        <w:t> </w:t>
      </w:r>
      <w:r w:rsidRPr="00EA32BC">
        <w:rPr>
          <w:rFonts w:ascii="Palatino Linotype" w:eastAsia="Palatino Linotype" w:hAnsi="Palatino Linotype" w:cs="Palatino Linotype"/>
          <w:b/>
          <w:i/>
          <w:sz w:val="22"/>
          <w:szCs w:val="22"/>
        </w:rPr>
        <w:t xml:space="preserve">III. </w:t>
      </w:r>
      <w:r w:rsidRPr="00EA32B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A32BC">
        <w:rPr>
          <w:rFonts w:ascii="Palatino Linotype" w:eastAsia="Palatino Linotype" w:hAnsi="Palatino Linotype" w:cs="Palatino Linotype"/>
          <w:i/>
          <w:sz w:val="22"/>
          <w:szCs w:val="22"/>
        </w:rPr>
        <w:t xml:space="preserve"> a sus datos personales o a la rectificación de éstos.</w:t>
      </w:r>
    </w:p>
    <w:p w14:paraId="4AB5844B" w14:textId="77777777" w:rsidR="001A3FC3" w:rsidRPr="00EA32BC" w:rsidRDefault="00C612D2">
      <w:pPr>
        <w:pBdr>
          <w:top w:val="nil"/>
          <w:left w:val="nil"/>
          <w:bottom w:val="nil"/>
          <w:right w:val="nil"/>
          <w:between w:val="nil"/>
        </w:pBdr>
        <w:spacing w:before="240" w:after="240"/>
        <w:ind w:left="851" w:right="851"/>
        <w:jc w:val="both"/>
      </w:pPr>
      <w:r w:rsidRPr="00EA32BC">
        <w:rPr>
          <w:rFonts w:ascii="Palatino Linotype" w:eastAsia="Palatino Linotype" w:hAnsi="Palatino Linotype" w:cs="Palatino Linotype"/>
          <w:i/>
          <w:sz w:val="22"/>
          <w:szCs w:val="22"/>
        </w:rPr>
        <w:t> </w:t>
      </w:r>
      <w:r w:rsidRPr="00EA32BC">
        <w:rPr>
          <w:rFonts w:ascii="Palatino Linotype" w:eastAsia="Palatino Linotype" w:hAnsi="Palatino Linotype" w:cs="Palatino Linotype"/>
          <w:b/>
          <w:i/>
          <w:sz w:val="22"/>
          <w:szCs w:val="22"/>
        </w:rPr>
        <w:t xml:space="preserve">IV. </w:t>
      </w:r>
      <w:r w:rsidRPr="00EA32B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30A10B29" w14:textId="77777777" w:rsidR="001A3FC3" w:rsidRPr="00EA32BC" w:rsidRDefault="00C612D2">
      <w:pPr>
        <w:pBdr>
          <w:top w:val="nil"/>
          <w:left w:val="nil"/>
          <w:bottom w:val="nil"/>
          <w:right w:val="nil"/>
          <w:between w:val="nil"/>
        </w:pBdr>
        <w:spacing w:before="240" w:after="240"/>
        <w:ind w:left="851" w:right="851"/>
        <w:jc w:val="both"/>
      </w:pPr>
      <w:r w:rsidRPr="00EA32BC">
        <w:rPr>
          <w:rFonts w:ascii="Palatino Linotype" w:eastAsia="Palatino Linotype" w:hAnsi="Palatino Linotype" w:cs="Palatino Linotype"/>
          <w:b/>
          <w:i/>
          <w:sz w:val="22"/>
          <w:szCs w:val="22"/>
        </w:rPr>
        <w:t xml:space="preserve">V. </w:t>
      </w:r>
      <w:r w:rsidRPr="00EA32B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D35FC89" w14:textId="77777777" w:rsidR="001A3FC3" w:rsidRPr="00EA32BC" w:rsidRDefault="00C612D2">
      <w:pPr>
        <w:pBdr>
          <w:top w:val="nil"/>
          <w:left w:val="nil"/>
          <w:bottom w:val="nil"/>
          <w:right w:val="nil"/>
          <w:between w:val="nil"/>
        </w:pBdr>
        <w:spacing w:before="240" w:after="240"/>
        <w:ind w:left="851" w:right="851"/>
        <w:jc w:val="both"/>
      </w:pPr>
      <w:r w:rsidRPr="00EA32BC">
        <w:rPr>
          <w:rFonts w:ascii="Palatino Linotype" w:eastAsia="Palatino Linotype" w:hAnsi="Palatino Linotype" w:cs="Palatino Linotype"/>
          <w:i/>
          <w:sz w:val="22"/>
          <w:szCs w:val="22"/>
        </w:rPr>
        <w:t> </w:t>
      </w:r>
      <w:r w:rsidRPr="00EA32BC">
        <w:rPr>
          <w:rFonts w:ascii="Palatino Linotype" w:eastAsia="Palatino Linotype" w:hAnsi="Palatino Linotype" w:cs="Palatino Linotype"/>
          <w:b/>
          <w:i/>
          <w:sz w:val="22"/>
          <w:szCs w:val="22"/>
        </w:rPr>
        <w:t xml:space="preserve">VI. </w:t>
      </w:r>
      <w:r w:rsidRPr="00EA32B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B25E90B" w14:textId="77777777" w:rsidR="001A3FC3" w:rsidRPr="00EA32BC" w:rsidRDefault="00C612D2">
      <w:pPr>
        <w:pBdr>
          <w:top w:val="nil"/>
          <w:left w:val="nil"/>
          <w:bottom w:val="nil"/>
          <w:right w:val="nil"/>
          <w:between w:val="nil"/>
        </w:pBdr>
        <w:spacing w:before="240" w:after="240"/>
        <w:ind w:left="851" w:right="851"/>
        <w:jc w:val="both"/>
      </w:pPr>
      <w:r w:rsidRPr="00EA32BC">
        <w:rPr>
          <w:rFonts w:ascii="Palatino Linotype" w:eastAsia="Palatino Linotype" w:hAnsi="Palatino Linotype" w:cs="Palatino Linotype"/>
          <w:i/>
          <w:sz w:val="22"/>
          <w:szCs w:val="22"/>
        </w:rPr>
        <w:t> </w:t>
      </w:r>
      <w:r w:rsidRPr="00EA32BC">
        <w:rPr>
          <w:rFonts w:ascii="Palatino Linotype" w:eastAsia="Palatino Linotype" w:hAnsi="Palatino Linotype" w:cs="Palatino Linotype"/>
          <w:b/>
          <w:i/>
          <w:sz w:val="22"/>
          <w:szCs w:val="22"/>
        </w:rPr>
        <w:t xml:space="preserve">VII. </w:t>
      </w:r>
      <w:r w:rsidRPr="00EA32B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869F33B" w14:textId="77777777" w:rsidR="001A3FC3" w:rsidRPr="00EA32BC" w:rsidRDefault="00C612D2">
      <w:pPr>
        <w:pBdr>
          <w:top w:val="nil"/>
          <w:left w:val="nil"/>
          <w:bottom w:val="nil"/>
          <w:right w:val="nil"/>
          <w:between w:val="nil"/>
        </w:pBdr>
        <w:spacing w:before="240" w:after="240" w:line="360" w:lineRule="auto"/>
        <w:jc w:val="both"/>
      </w:pPr>
      <w:r w:rsidRPr="00EA32BC">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w:t>
      </w:r>
      <w:r w:rsidRPr="00EA32BC">
        <w:rPr>
          <w:rFonts w:ascii="Palatino Linotype" w:eastAsia="Palatino Linotype" w:hAnsi="Palatino Linotype" w:cs="Palatino Linotype"/>
        </w:rPr>
        <w:lastRenderedPageBreak/>
        <w:t>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3A50D08" w14:textId="77777777" w:rsidR="001A3FC3" w:rsidRPr="00EA32BC" w:rsidRDefault="00C612D2">
      <w:pPr>
        <w:pBdr>
          <w:top w:val="nil"/>
          <w:left w:val="nil"/>
          <w:bottom w:val="nil"/>
          <w:right w:val="nil"/>
          <w:between w:val="nil"/>
        </w:pBdr>
        <w:spacing w:before="240" w:after="240"/>
        <w:ind w:left="709" w:right="760"/>
        <w:jc w:val="both"/>
      </w:pP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Artículo 4</w:t>
      </w:r>
      <w:r w:rsidRPr="00EA32BC">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0DF1A348" w14:textId="77777777" w:rsidR="001A3FC3" w:rsidRPr="00EA32BC" w:rsidRDefault="00C612D2">
      <w:pPr>
        <w:pBdr>
          <w:top w:val="nil"/>
          <w:left w:val="nil"/>
          <w:bottom w:val="nil"/>
          <w:right w:val="nil"/>
          <w:between w:val="nil"/>
        </w:pBdr>
        <w:spacing w:before="240" w:after="240"/>
        <w:ind w:left="709" w:right="760"/>
        <w:jc w:val="both"/>
      </w:pPr>
      <w:r w:rsidRPr="00EA32B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A11BD8D" w14:textId="77777777" w:rsidR="001A3FC3" w:rsidRPr="00EA32BC" w:rsidRDefault="00C612D2">
      <w:pPr>
        <w:pBdr>
          <w:top w:val="nil"/>
          <w:left w:val="nil"/>
          <w:bottom w:val="nil"/>
          <w:right w:val="nil"/>
          <w:between w:val="nil"/>
        </w:pBdr>
        <w:spacing w:before="240" w:after="240"/>
        <w:ind w:left="709" w:right="760"/>
        <w:jc w:val="both"/>
      </w:pPr>
      <w:r w:rsidRPr="00EA32B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65A18D22" w14:textId="77777777" w:rsidR="001A3FC3" w:rsidRPr="00EA32BC" w:rsidRDefault="00C612D2">
      <w:pPr>
        <w:pBdr>
          <w:top w:val="nil"/>
          <w:left w:val="nil"/>
          <w:bottom w:val="nil"/>
          <w:right w:val="nil"/>
          <w:between w:val="nil"/>
        </w:pBdr>
        <w:spacing w:before="240" w:after="240" w:line="360" w:lineRule="auto"/>
        <w:jc w:val="both"/>
      </w:pPr>
      <w:r w:rsidRPr="00EA32BC">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1B03310" w14:textId="77777777" w:rsidR="001A3FC3" w:rsidRPr="00EA32BC" w:rsidRDefault="00C612D2">
      <w:pPr>
        <w:pBdr>
          <w:top w:val="nil"/>
          <w:left w:val="nil"/>
          <w:bottom w:val="nil"/>
          <w:right w:val="nil"/>
          <w:between w:val="nil"/>
        </w:pBdr>
        <w:spacing w:before="240" w:after="240"/>
        <w:ind w:left="567" w:right="758"/>
        <w:jc w:val="both"/>
      </w:pPr>
      <w:r w:rsidRPr="00EA32BC">
        <w:rPr>
          <w:rFonts w:ascii="Palatino Linotype" w:eastAsia="Palatino Linotype" w:hAnsi="Palatino Linotype" w:cs="Palatino Linotype"/>
          <w:i/>
          <w:sz w:val="22"/>
          <w:szCs w:val="22"/>
        </w:rPr>
        <w:lastRenderedPageBreak/>
        <w:t>“</w:t>
      </w:r>
      <w:r w:rsidRPr="00EA32BC">
        <w:rPr>
          <w:rFonts w:ascii="Palatino Linotype" w:eastAsia="Palatino Linotype" w:hAnsi="Palatino Linotype" w:cs="Palatino Linotype"/>
          <w:b/>
          <w:i/>
          <w:sz w:val="22"/>
          <w:szCs w:val="22"/>
        </w:rPr>
        <w:t>Artículo 12</w:t>
      </w:r>
      <w:r w:rsidRPr="00EA32BC">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5FA39AE4" w14:textId="77777777" w:rsidR="001A3FC3" w:rsidRPr="00EA32BC" w:rsidRDefault="00C612D2">
      <w:pPr>
        <w:pBdr>
          <w:top w:val="nil"/>
          <w:left w:val="nil"/>
          <w:bottom w:val="nil"/>
          <w:right w:val="nil"/>
          <w:between w:val="nil"/>
        </w:pBdr>
        <w:spacing w:before="240" w:after="240"/>
        <w:ind w:left="567" w:right="758"/>
        <w:jc w:val="both"/>
      </w:pPr>
      <w:r w:rsidRPr="00EA32B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27A11DF" w14:textId="77777777" w:rsidR="001A3FC3" w:rsidRPr="00EA32BC" w:rsidRDefault="00C612D2">
      <w:pPr>
        <w:pBdr>
          <w:top w:val="nil"/>
          <w:left w:val="nil"/>
          <w:bottom w:val="nil"/>
          <w:right w:val="nil"/>
          <w:between w:val="nil"/>
        </w:pBdr>
        <w:spacing w:before="240" w:after="240" w:line="360" w:lineRule="auto"/>
        <w:jc w:val="both"/>
      </w:pPr>
      <w:r w:rsidRPr="00EA32B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EA32BC">
        <w:rPr>
          <w:rFonts w:ascii="Palatino Linotype" w:eastAsia="Palatino Linotype" w:hAnsi="Palatino Linotype" w:cs="Palatino Linotype"/>
          <w:b/>
        </w:rPr>
        <w:t xml:space="preserve"> </w:t>
      </w:r>
      <w:r w:rsidRPr="00EA32B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EA32BC">
        <w:rPr>
          <w:rFonts w:ascii="Palatino Linotype" w:eastAsia="Palatino Linotype" w:hAnsi="Palatino Linotype" w:cs="Palatino Linotype"/>
          <w:i/>
        </w:rPr>
        <w:t>ad hoc</w:t>
      </w:r>
      <w:r w:rsidRPr="00EA32BC">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00C57DA" w14:textId="77777777" w:rsidR="001A3FC3" w:rsidRPr="00EA32BC" w:rsidRDefault="00C612D2">
      <w:pPr>
        <w:pBdr>
          <w:top w:val="nil"/>
          <w:left w:val="nil"/>
          <w:bottom w:val="nil"/>
          <w:right w:val="nil"/>
          <w:between w:val="nil"/>
        </w:pBdr>
        <w:spacing w:before="240" w:after="240"/>
        <w:ind w:left="567" w:right="567"/>
        <w:jc w:val="both"/>
      </w:pPr>
      <w:r w:rsidRPr="00EA32BC">
        <w:rPr>
          <w:rFonts w:ascii="Palatino Linotype" w:eastAsia="Palatino Linotype" w:hAnsi="Palatino Linotype" w:cs="Palatino Linotype"/>
          <w:b/>
          <w:i/>
          <w:sz w:val="22"/>
          <w:szCs w:val="22"/>
        </w:rPr>
        <w:t>03/17</w:t>
      </w:r>
    </w:p>
    <w:p w14:paraId="349316BF" w14:textId="77777777" w:rsidR="001A3FC3" w:rsidRPr="00EA32BC" w:rsidRDefault="00C612D2">
      <w:pPr>
        <w:pBdr>
          <w:top w:val="nil"/>
          <w:left w:val="nil"/>
          <w:bottom w:val="nil"/>
          <w:right w:val="nil"/>
          <w:between w:val="nil"/>
        </w:pBdr>
        <w:spacing w:before="240" w:after="240"/>
        <w:ind w:left="567" w:right="567"/>
        <w:jc w:val="both"/>
      </w:pPr>
      <w:r w:rsidRPr="00EA32BC">
        <w:rPr>
          <w:rFonts w:ascii="Palatino Linotype" w:eastAsia="Palatino Linotype" w:hAnsi="Palatino Linotype" w:cs="Palatino Linotype"/>
          <w:b/>
          <w:i/>
          <w:sz w:val="22"/>
          <w:szCs w:val="22"/>
        </w:rPr>
        <w:t>“NO EXISTE OBLIGACIÓN DE ELABORAR DOCUMENTOS AD HOC PARA ATENDER LAS SOLICITUDES DE ACCESO A LA INFORMACIÓN.</w:t>
      </w:r>
    </w:p>
    <w:p w14:paraId="09DC5AFB" w14:textId="77777777" w:rsidR="001A3FC3" w:rsidRPr="00EA32BC" w:rsidRDefault="00C612D2">
      <w:pPr>
        <w:pBdr>
          <w:top w:val="nil"/>
          <w:left w:val="nil"/>
          <w:bottom w:val="nil"/>
          <w:right w:val="nil"/>
          <w:between w:val="nil"/>
        </w:pBdr>
        <w:spacing w:before="240" w:after="240"/>
        <w:ind w:left="567" w:right="567"/>
        <w:jc w:val="both"/>
      </w:pPr>
      <w:r w:rsidRPr="00EA32B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659B0E7F" w14:textId="77777777" w:rsidR="001A3FC3" w:rsidRPr="00EA32BC" w:rsidRDefault="00C612D2">
      <w:pPr>
        <w:pBdr>
          <w:top w:val="nil"/>
          <w:left w:val="nil"/>
          <w:bottom w:val="nil"/>
          <w:right w:val="nil"/>
          <w:between w:val="nil"/>
        </w:pBdr>
        <w:spacing w:before="240" w:after="240" w:line="360" w:lineRule="auto"/>
        <w:jc w:val="both"/>
      </w:pPr>
      <w:r w:rsidRPr="00EA32BC">
        <w:rPr>
          <w:rFonts w:ascii="Palatino Linotype" w:eastAsia="Palatino Linotype" w:hAnsi="Palatino Linotype" w:cs="Palatino Linotype"/>
        </w:rPr>
        <w:lastRenderedPageBreak/>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8880AA3" w14:textId="77777777" w:rsidR="001A3FC3" w:rsidRPr="00EA32BC" w:rsidRDefault="00C612D2">
      <w:pPr>
        <w:pBdr>
          <w:top w:val="nil"/>
          <w:left w:val="nil"/>
          <w:bottom w:val="nil"/>
          <w:right w:val="nil"/>
          <w:between w:val="nil"/>
        </w:pBdr>
        <w:spacing w:before="240" w:after="240" w:line="360" w:lineRule="auto"/>
        <w:ind w:right="49"/>
        <w:jc w:val="both"/>
      </w:pPr>
      <w:r w:rsidRPr="00EA32BC">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60CC34A" w14:textId="77777777" w:rsidR="001A3FC3" w:rsidRPr="00EA32BC" w:rsidRDefault="00C612D2">
      <w:pPr>
        <w:pBdr>
          <w:top w:val="nil"/>
          <w:left w:val="nil"/>
          <w:bottom w:val="nil"/>
          <w:right w:val="nil"/>
          <w:between w:val="nil"/>
        </w:pBdr>
        <w:spacing w:before="240" w:after="240" w:line="360" w:lineRule="auto"/>
        <w:jc w:val="both"/>
      </w:pPr>
      <w:r w:rsidRPr="00EA32BC">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2ACD0F1" w14:textId="77777777" w:rsidR="001A3FC3" w:rsidRPr="00EA32BC" w:rsidRDefault="00C612D2">
      <w:pPr>
        <w:pBdr>
          <w:top w:val="nil"/>
          <w:left w:val="nil"/>
          <w:bottom w:val="nil"/>
          <w:right w:val="nil"/>
          <w:between w:val="nil"/>
        </w:pBdr>
        <w:spacing w:before="240" w:after="240"/>
        <w:ind w:left="567" w:right="567"/>
        <w:jc w:val="both"/>
      </w:pP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 xml:space="preserve">Artículo 3. </w:t>
      </w:r>
      <w:r w:rsidRPr="00EA32BC">
        <w:rPr>
          <w:rFonts w:ascii="Palatino Linotype" w:eastAsia="Palatino Linotype" w:hAnsi="Palatino Linotype" w:cs="Palatino Linotype"/>
          <w:i/>
          <w:sz w:val="22"/>
          <w:szCs w:val="22"/>
        </w:rPr>
        <w:t>Para los efectos de la presente Ley se entenderá por:</w:t>
      </w:r>
    </w:p>
    <w:p w14:paraId="0AD865FA" w14:textId="77777777" w:rsidR="001A3FC3" w:rsidRPr="00EA32BC" w:rsidRDefault="00C612D2">
      <w:pPr>
        <w:pBdr>
          <w:top w:val="nil"/>
          <w:left w:val="nil"/>
          <w:bottom w:val="nil"/>
          <w:right w:val="nil"/>
          <w:between w:val="nil"/>
        </w:pBdr>
        <w:spacing w:before="240" w:after="240"/>
        <w:ind w:left="567" w:right="567"/>
        <w:jc w:val="both"/>
      </w:pPr>
      <w:r w:rsidRPr="00EA32BC">
        <w:rPr>
          <w:rFonts w:ascii="Palatino Linotype" w:eastAsia="Palatino Linotype" w:hAnsi="Palatino Linotype" w:cs="Palatino Linotype"/>
          <w:i/>
          <w:sz w:val="22"/>
          <w:szCs w:val="22"/>
        </w:rPr>
        <w:lastRenderedPageBreak/>
        <w:t>…</w:t>
      </w:r>
    </w:p>
    <w:p w14:paraId="2ACCD2AE" w14:textId="77777777" w:rsidR="001A3FC3" w:rsidRPr="00EA32BC" w:rsidRDefault="00C612D2">
      <w:pPr>
        <w:pBdr>
          <w:top w:val="nil"/>
          <w:left w:val="nil"/>
          <w:bottom w:val="nil"/>
          <w:right w:val="nil"/>
          <w:between w:val="nil"/>
        </w:pBdr>
        <w:spacing w:before="240" w:after="240"/>
        <w:ind w:left="567" w:right="567"/>
        <w:jc w:val="both"/>
      </w:pPr>
      <w:r w:rsidRPr="00EA32BC">
        <w:rPr>
          <w:rFonts w:ascii="Palatino Linotype" w:eastAsia="Palatino Linotype" w:hAnsi="Palatino Linotype" w:cs="Palatino Linotype"/>
          <w:b/>
          <w:i/>
          <w:sz w:val="22"/>
          <w:szCs w:val="22"/>
        </w:rPr>
        <w:t>XI. Documento:</w:t>
      </w:r>
      <w:r w:rsidRPr="00EA32B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EA32BC">
        <w:rPr>
          <w:rFonts w:ascii="Palatino Linotype" w:eastAsia="Palatino Linotype" w:hAnsi="Palatino Linotype" w:cs="Palatino Linotype"/>
          <w:b/>
          <w:i/>
          <w:sz w:val="22"/>
          <w:szCs w:val="22"/>
        </w:rPr>
        <w:t>…</w:t>
      </w:r>
      <w:r w:rsidRPr="00EA32BC">
        <w:rPr>
          <w:rFonts w:ascii="Palatino Linotype" w:eastAsia="Palatino Linotype" w:hAnsi="Palatino Linotype" w:cs="Palatino Linotype"/>
          <w:i/>
          <w:sz w:val="22"/>
          <w:szCs w:val="22"/>
        </w:rPr>
        <w:t>” (Sic)</w:t>
      </w:r>
    </w:p>
    <w:p w14:paraId="0EBB3328" w14:textId="77777777" w:rsidR="001A3FC3" w:rsidRPr="00EA32BC" w:rsidRDefault="00C612D2">
      <w:pPr>
        <w:pBdr>
          <w:top w:val="nil"/>
          <w:left w:val="nil"/>
          <w:bottom w:val="nil"/>
          <w:right w:val="nil"/>
          <w:between w:val="nil"/>
        </w:pBdr>
        <w:spacing w:before="240" w:after="240" w:line="360" w:lineRule="auto"/>
        <w:jc w:val="both"/>
      </w:pPr>
      <w:r w:rsidRPr="00EA32BC">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EA6461F" w14:textId="77777777" w:rsidR="001A3FC3" w:rsidRPr="00EA32BC" w:rsidRDefault="00C612D2">
      <w:pPr>
        <w:pBdr>
          <w:top w:val="nil"/>
          <w:left w:val="nil"/>
          <w:bottom w:val="nil"/>
          <w:right w:val="nil"/>
          <w:between w:val="nil"/>
        </w:pBdr>
        <w:spacing w:before="240" w:after="240"/>
        <w:ind w:left="567" w:right="567"/>
        <w:jc w:val="both"/>
      </w:pPr>
      <w:r w:rsidRPr="00EA32BC">
        <w:rPr>
          <w:rFonts w:ascii="Palatino Linotype" w:eastAsia="Palatino Linotype" w:hAnsi="Palatino Linotype" w:cs="Palatino Linotype"/>
          <w:b/>
          <w:sz w:val="22"/>
          <w:szCs w:val="22"/>
        </w:rPr>
        <w:t>“</w:t>
      </w:r>
      <w:r w:rsidRPr="00EA32BC">
        <w:rPr>
          <w:rFonts w:ascii="Palatino Linotype" w:eastAsia="Palatino Linotype" w:hAnsi="Palatino Linotype" w:cs="Palatino Linotype"/>
          <w:b/>
          <w:i/>
          <w:sz w:val="22"/>
          <w:szCs w:val="22"/>
        </w:rPr>
        <w:t>CRITERIO 0002-11</w:t>
      </w:r>
    </w:p>
    <w:p w14:paraId="0BDCDCC5" w14:textId="77777777" w:rsidR="001A3FC3" w:rsidRPr="00EA32BC" w:rsidRDefault="00C612D2">
      <w:pPr>
        <w:pBdr>
          <w:top w:val="nil"/>
          <w:left w:val="nil"/>
          <w:bottom w:val="nil"/>
          <w:right w:val="nil"/>
          <w:between w:val="nil"/>
        </w:pBdr>
        <w:spacing w:before="240" w:after="240"/>
        <w:ind w:left="567" w:right="567"/>
        <w:jc w:val="both"/>
      </w:pPr>
      <w:r w:rsidRPr="00EA32B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A32B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30E2C50" w14:textId="77777777" w:rsidR="001A3FC3" w:rsidRPr="00EA32BC" w:rsidRDefault="00C612D2">
      <w:pPr>
        <w:pBdr>
          <w:top w:val="nil"/>
          <w:left w:val="nil"/>
          <w:bottom w:val="nil"/>
          <w:right w:val="nil"/>
          <w:between w:val="nil"/>
        </w:pBdr>
        <w:spacing w:before="240" w:after="240"/>
        <w:ind w:left="567" w:right="567"/>
        <w:jc w:val="both"/>
      </w:pPr>
      <w:r w:rsidRPr="00EA32BC">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1C6BC20" w14:textId="77777777" w:rsidR="001A3FC3" w:rsidRPr="00EA32BC" w:rsidRDefault="00C612D2">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02BE0E9" w14:textId="77777777" w:rsidR="001A3FC3" w:rsidRPr="00EA32BC" w:rsidRDefault="00C612D2">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2E5FF07C" w14:textId="77777777" w:rsidR="001A3FC3" w:rsidRPr="00EA32BC" w:rsidRDefault="00C612D2">
      <w:pPr>
        <w:pBdr>
          <w:top w:val="nil"/>
          <w:left w:val="nil"/>
          <w:bottom w:val="nil"/>
          <w:right w:val="nil"/>
          <w:between w:val="nil"/>
        </w:pBdr>
        <w:spacing w:before="240" w:after="240"/>
        <w:ind w:left="567" w:right="567" w:hanging="284"/>
        <w:jc w:val="both"/>
      </w:pPr>
      <w:r w:rsidRPr="00EA32BC">
        <w:rPr>
          <w:rFonts w:ascii="Palatino Linotype" w:eastAsia="Palatino Linotype" w:hAnsi="Palatino Linotype" w:cs="Palatino Linotype"/>
          <w:i/>
          <w:sz w:val="22"/>
          <w:szCs w:val="22"/>
        </w:rPr>
        <w:lastRenderedPageBreak/>
        <w:t xml:space="preserve">3. </w:t>
      </w:r>
      <w:r w:rsidRPr="00EA32BC">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31999479" w14:textId="77777777" w:rsidR="001A3FC3" w:rsidRPr="00EA32BC" w:rsidRDefault="00C612D2">
      <w:pPr>
        <w:pBdr>
          <w:top w:val="nil"/>
          <w:left w:val="nil"/>
          <w:bottom w:val="nil"/>
          <w:right w:val="nil"/>
          <w:between w:val="nil"/>
        </w:pBdr>
        <w:spacing w:before="240" w:after="240" w:line="360" w:lineRule="auto"/>
        <w:jc w:val="both"/>
      </w:pPr>
      <w:r w:rsidRPr="00EA32BC">
        <w:rPr>
          <w:rFonts w:ascii="Palatino Linotype" w:eastAsia="Palatino Linotype" w:hAnsi="Palatino Linotype" w:cs="Palatino Linotype"/>
        </w:rPr>
        <w:t xml:space="preserve">De ahí que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6BE1BC7F" w14:textId="77777777" w:rsidR="001A3FC3" w:rsidRPr="00EA32BC" w:rsidRDefault="00C612D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Ahora bien, para profundizar en el estudio del presente asunto, es conveniente recordar que el solicitante requirió al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le proporcionara lo siguiente:</w:t>
      </w:r>
    </w:p>
    <w:p w14:paraId="4E094C79" w14:textId="77777777" w:rsidR="001A3FC3" w:rsidRPr="00EA32BC" w:rsidRDefault="00C612D2">
      <w:pPr>
        <w:numPr>
          <w:ilvl w:val="0"/>
          <w:numId w:val="4"/>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 xml:space="preserve">Que la Contraloria me informe si hay una investigación acerca de esto y pido que se tomen cartas en el asunto, y que esta solicitud sea turnada a la Contraloria Municipal de Toluca para que se inicie una investigación al respecto. </w:t>
      </w:r>
    </w:p>
    <w:p w14:paraId="55C78D01" w14:textId="77777777" w:rsidR="001A3FC3" w:rsidRPr="00EA32BC" w:rsidRDefault="00C612D2">
      <w:pPr>
        <w:numPr>
          <w:ilvl w:val="0"/>
          <w:numId w:val="4"/>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 xml:space="preserve">Los convenios con los medios de comunicación de enero a junio del año 2022. </w:t>
      </w:r>
    </w:p>
    <w:p w14:paraId="63795167" w14:textId="77777777" w:rsidR="001A3FC3" w:rsidRPr="00EA32BC" w:rsidRDefault="00C612D2">
      <w:pPr>
        <w:numPr>
          <w:ilvl w:val="0"/>
          <w:numId w:val="4"/>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 xml:space="preserve">El número de patrullas y número de elementos de la policía. </w:t>
      </w:r>
    </w:p>
    <w:p w14:paraId="4034C7CA" w14:textId="77777777" w:rsidR="001A3FC3" w:rsidRPr="00EA32BC" w:rsidRDefault="00C612D2">
      <w:pPr>
        <w:numPr>
          <w:ilvl w:val="0"/>
          <w:numId w:val="4"/>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 xml:space="preserve">Incluyan las capturas de pantalla de las áreas a las que le turnaron esta solicitud y de no hacerlo lo vamos a publicar en nuestro medio de comunicación en redes sociales, televisión y radio. </w:t>
      </w:r>
    </w:p>
    <w:p w14:paraId="43E17563" w14:textId="77777777" w:rsidR="001A3FC3" w:rsidRPr="00EA32BC" w:rsidRDefault="00C612D2">
      <w:pPr>
        <w:numPr>
          <w:ilvl w:val="0"/>
          <w:numId w:val="4"/>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lastRenderedPageBreak/>
        <w:t xml:space="preserve">Todas las actas de la Comisión edilicia de transparencia. </w:t>
      </w:r>
    </w:p>
    <w:p w14:paraId="3B612B1C" w14:textId="77777777" w:rsidR="001A3FC3" w:rsidRPr="00EA32BC" w:rsidRDefault="00C612D2">
      <w:pPr>
        <w:numPr>
          <w:ilvl w:val="0"/>
          <w:numId w:val="4"/>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 xml:space="preserve">El calendario de sesiones ordinarias y extraordinarias del Comité de Transparencia de todo el año 2022. </w:t>
      </w:r>
    </w:p>
    <w:p w14:paraId="19BFAA57" w14:textId="77777777" w:rsidR="001A3FC3" w:rsidRPr="00EA32BC" w:rsidRDefault="00C612D2">
      <w:pPr>
        <w:numPr>
          <w:ilvl w:val="0"/>
          <w:numId w:val="4"/>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Fotografías donde comprueben que realmente sesionan y no solo son sesiones virtuales.</w:t>
      </w:r>
    </w:p>
    <w:p w14:paraId="68F684EC" w14:textId="77777777" w:rsidR="001A3FC3" w:rsidRPr="00EA32BC" w:rsidRDefault="00C612D2">
      <w:pPr>
        <w:numPr>
          <w:ilvl w:val="0"/>
          <w:numId w:val="4"/>
        </w:numPr>
        <w:pBdr>
          <w:top w:val="nil"/>
          <w:left w:val="nil"/>
          <w:bottom w:val="nil"/>
          <w:right w:val="nil"/>
          <w:between w:val="nil"/>
        </w:pBdr>
        <w:spacing w:before="240" w:after="240" w:line="360" w:lineRule="auto"/>
        <w:ind w:left="567" w:right="851" w:hanging="283"/>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 xml:space="preserve">Todos los recibos de nómina del mes de abril y mayo del año 2022, de la Unidad de Transparencia, y de los que actualmente están Comisionados a la Unidad de Transparencia. </w:t>
      </w:r>
    </w:p>
    <w:p w14:paraId="54565036" w14:textId="77777777" w:rsidR="001A3FC3" w:rsidRPr="00EA32BC" w:rsidRDefault="00C612D2">
      <w:pPr>
        <w:numPr>
          <w:ilvl w:val="0"/>
          <w:numId w:val="4"/>
        </w:numPr>
        <w:pBdr>
          <w:top w:val="nil"/>
          <w:left w:val="nil"/>
          <w:bottom w:val="nil"/>
          <w:right w:val="nil"/>
          <w:between w:val="nil"/>
        </w:pBdr>
        <w:spacing w:before="240" w:after="240" w:line="360" w:lineRule="auto"/>
        <w:ind w:right="851"/>
        <w:jc w:val="both"/>
        <w:rPr>
          <w:rFonts w:ascii="Palatino Linotype" w:eastAsia="Palatino Linotype" w:hAnsi="Palatino Linotype" w:cs="Palatino Linotype"/>
        </w:rPr>
      </w:pPr>
      <w:r w:rsidRPr="00EA32BC">
        <w:rPr>
          <w:rFonts w:ascii="Palatino Linotype" w:eastAsia="Palatino Linotype" w:hAnsi="Palatino Linotype" w:cs="Palatino Linotype"/>
          <w:b/>
          <w:sz w:val="22"/>
          <w:szCs w:val="22"/>
        </w:rPr>
        <w:t>Los recibos de nómina y actividades desarrolladas de todo personal de presidencia, secretaria del ayuntamiento, contraloría, regidurias, sindicaturas, del año 2022</w:t>
      </w:r>
      <w:r w:rsidRPr="00EA32BC">
        <w:rPr>
          <w:rFonts w:ascii="Palatino Linotype" w:eastAsia="Palatino Linotype" w:hAnsi="Palatino Linotype" w:cs="Palatino Linotype"/>
        </w:rPr>
        <w:t>.</w:t>
      </w:r>
    </w:p>
    <w:p w14:paraId="0E5018D6"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En respuesta, el </w:t>
      </w:r>
      <w:r w:rsidRPr="00EA32BC">
        <w:rPr>
          <w:rFonts w:ascii="Palatino Linotype" w:eastAsia="Palatino Linotype" w:hAnsi="Palatino Linotype" w:cs="Palatino Linotype"/>
          <w:b/>
        </w:rPr>
        <w:t xml:space="preserve">Sujeto Obligado </w:t>
      </w:r>
      <w:r w:rsidRPr="00EA32BC">
        <w:rPr>
          <w:rFonts w:ascii="Palatino Linotype" w:eastAsia="Palatino Linotype" w:hAnsi="Palatino Linotype" w:cs="Palatino Linotype"/>
        </w:rPr>
        <w:t xml:space="preserve">remitió los siguientes archivos electrónicos: </w:t>
      </w:r>
    </w:p>
    <w:p w14:paraId="31D58ED4" w14:textId="77777777" w:rsidR="001A3FC3" w:rsidRPr="00EA32BC" w:rsidRDefault="00C612D2">
      <w:pPr>
        <w:spacing w:before="240" w:after="240" w:line="276"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“Manual General de Organización del Sector Central de la Administración Pública Municipal de Toluca .pdf”: </w:t>
      </w:r>
      <w:r w:rsidRPr="00EA32BC">
        <w:rPr>
          <w:rFonts w:ascii="Palatino Linotype" w:eastAsia="Palatino Linotype" w:hAnsi="Palatino Linotype" w:cs="Palatino Linotype"/>
          <w:sz w:val="22"/>
          <w:szCs w:val="22"/>
        </w:rPr>
        <w:t xml:space="preserve">Documento de ochenta y un fojas que contiene el Manual General de Organización del Sector Central de la Administración Pública Municipal de Toluca 2022-2024. </w:t>
      </w:r>
    </w:p>
    <w:p w14:paraId="68D5209F" w14:textId="77777777" w:rsidR="001A3FC3" w:rsidRPr="00EA32BC" w:rsidRDefault="00C612D2">
      <w:pPr>
        <w:spacing w:before="240" w:after="240" w:line="276"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“Gaceta Municipal 35-2021.pdf”: </w:t>
      </w:r>
      <w:r w:rsidRPr="00EA32BC">
        <w:rPr>
          <w:rFonts w:ascii="Palatino Linotype" w:eastAsia="Palatino Linotype" w:hAnsi="Palatino Linotype" w:cs="Palatino Linotype"/>
          <w:sz w:val="22"/>
          <w:szCs w:val="22"/>
        </w:rPr>
        <w:t>Gaceta Municipal Semanal 35/2021 del 3 de Noviembre de 2021.</w:t>
      </w:r>
    </w:p>
    <w:p w14:paraId="53516A26" w14:textId="77777777" w:rsidR="001A3FC3" w:rsidRPr="00EA32BC" w:rsidRDefault="00C612D2">
      <w:pPr>
        <w:spacing w:before="240" w:after="240" w:line="276"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“COMISIÓN DE TRANSPARENCIA, ACCESO A LA INFORMACIÓN Y PROT. DE DATOS FIRMADA (1).pdf”: </w:t>
      </w:r>
      <w:r w:rsidRPr="00EA32BC">
        <w:rPr>
          <w:rFonts w:ascii="Palatino Linotype" w:eastAsia="Palatino Linotype" w:hAnsi="Palatino Linotype" w:cs="Palatino Linotype"/>
          <w:sz w:val="22"/>
          <w:szCs w:val="22"/>
        </w:rPr>
        <w:t>Consiste en el Acta de Sesión de instalación de la Comisión de Transparencia, Acceso a la Información Pública y Protección de Datos Personales, la cual se llevó a cabo el veinticinco de enero del dos mil veintidós.</w:t>
      </w:r>
    </w:p>
    <w:p w14:paraId="75620D57" w14:textId="77777777" w:rsidR="001A3FC3" w:rsidRPr="00EA32BC" w:rsidRDefault="00C612D2">
      <w:pPr>
        <w:spacing w:before="240" w:after="240" w:line="276"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lastRenderedPageBreak/>
        <w:t xml:space="preserve">“1382.pdf”: </w:t>
      </w:r>
      <w:r w:rsidRPr="00EA32BC">
        <w:rPr>
          <w:rFonts w:ascii="Palatino Linotype" w:eastAsia="Palatino Linotype" w:hAnsi="Palatino Linotype" w:cs="Palatino Linotype"/>
          <w:sz w:val="22"/>
          <w:szCs w:val="22"/>
        </w:rPr>
        <w:t xml:space="preserve">Documento de dieciséis fojas, mediante el cual medularmente la Titular de la Unidad de Transparencia otorga respuesta a los requerimientos del particular. </w:t>
      </w:r>
    </w:p>
    <w:p w14:paraId="4DA6C521" w14:textId="77777777" w:rsidR="001A3FC3" w:rsidRPr="00EA32BC" w:rsidRDefault="00C612D2">
      <w:pPr>
        <w:spacing w:before="240" w:after="240" w:line="276"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“FUNCIONES DEL PERSONAL.pdf”: </w:t>
      </w:r>
      <w:r w:rsidRPr="00EA32BC">
        <w:rPr>
          <w:rFonts w:ascii="Palatino Linotype" w:eastAsia="Palatino Linotype" w:hAnsi="Palatino Linotype" w:cs="Palatino Linotype"/>
          <w:sz w:val="22"/>
          <w:szCs w:val="22"/>
        </w:rPr>
        <w:t>Archivo electrónico que se compone de cuatro fojas, emitido por la Segunda Regiduría y da cuenta de las funciones de todo el personal de dicha Regiduría.</w:t>
      </w:r>
    </w:p>
    <w:p w14:paraId="11E56D04" w14:textId="77777777" w:rsidR="001A3FC3" w:rsidRPr="00EA32BC" w:rsidRDefault="00C612D2">
      <w:pPr>
        <w:spacing w:before="240" w:after="240" w:line="276"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“PRESID, SRIA AYTO, CONTR, SIND, REGID, U TRANS.rar”: </w:t>
      </w:r>
      <w:r w:rsidRPr="00EA32BC">
        <w:rPr>
          <w:rFonts w:ascii="Palatino Linotype" w:eastAsia="Palatino Linotype" w:hAnsi="Palatino Linotype" w:cs="Palatino Linotype"/>
          <w:sz w:val="22"/>
          <w:szCs w:val="22"/>
        </w:rPr>
        <w:t xml:space="preserve">Carpeta comprimida que a su vez contiene 21 archivos que se advierte que corresponden a recibos de nómina. </w:t>
      </w:r>
    </w:p>
    <w:p w14:paraId="2993E6C1" w14:textId="77777777" w:rsidR="001A3FC3" w:rsidRPr="00EA32BC" w:rsidRDefault="00C612D2">
      <w:pPr>
        <w:spacing w:before="240" w:after="240" w:line="276"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“Tercera Ordinaria 22 -....pdf”: </w:t>
      </w:r>
      <w:r w:rsidRPr="00EA32BC">
        <w:rPr>
          <w:rFonts w:ascii="Palatino Linotype" w:eastAsia="Palatino Linotype" w:hAnsi="Palatino Linotype" w:cs="Palatino Linotype"/>
          <w:sz w:val="22"/>
          <w:szCs w:val="22"/>
        </w:rPr>
        <w:t>Acta de la Tercera Sesión Ordinaria del Comité de Transparencia del Ayuntamiento de Toluca, Administración 2022-2024.</w:t>
      </w:r>
    </w:p>
    <w:p w14:paraId="2A084BB6"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b/>
          <w:i/>
          <w:sz w:val="22"/>
          <w:szCs w:val="22"/>
        </w:rPr>
        <w:t xml:space="preserve">“TRICENTESIMA QUINCUAGESIMA PRIMNERA SESION 222.pdf”: </w:t>
      </w:r>
      <w:r w:rsidRPr="00EA32BC">
        <w:rPr>
          <w:rFonts w:ascii="Palatino Linotype" w:eastAsia="Palatino Linotype" w:hAnsi="Palatino Linotype" w:cs="Palatino Linotype"/>
          <w:sz w:val="22"/>
          <w:szCs w:val="22"/>
        </w:rPr>
        <w:t>Acta de la Tricentésima Quincuagésima Primera Sesión Extraordinaria del Comité de Transparencia del Municipio de Toluca, administración 2022-2024.</w:t>
      </w:r>
    </w:p>
    <w:p w14:paraId="1B4D578A" w14:textId="77777777" w:rsidR="001A3FC3" w:rsidRPr="00EA32BC" w:rsidRDefault="00C612D2">
      <w:pPr>
        <w:spacing w:before="240" w:after="240" w:line="360" w:lineRule="auto"/>
        <w:jc w:val="both"/>
        <w:rPr>
          <w:rFonts w:ascii="Palatino Linotype" w:eastAsia="Palatino Linotype" w:hAnsi="Palatino Linotype" w:cs="Palatino Linotype"/>
          <w:b/>
          <w:i/>
        </w:rPr>
      </w:pPr>
      <w:r w:rsidRPr="00EA32BC">
        <w:rPr>
          <w:rFonts w:ascii="Palatino Linotype" w:eastAsia="Palatino Linotype" w:hAnsi="Palatino Linotype" w:cs="Palatino Linotype"/>
        </w:rPr>
        <w:t xml:space="preserve">Una vez conocida la respuesta, la particular interpuso el recurso de revisión que se resuelve, inconformándose en el acto impugnado por la falta de información, sin en sus razones o motivos de inconformidad, expresó lo siguiente: </w:t>
      </w:r>
      <w:r w:rsidRPr="00EA32BC">
        <w:rPr>
          <w:rFonts w:ascii="Palatino Linotype" w:eastAsia="Palatino Linotype" w:hAnsi="Palatino Linotype" w:cs="Palatino Linotype"/>
          <w:b/>
          <w:i/>
        </w:rPr>
        <w:t>“No me entregaron todo lo que solicite vía transparencia." (Sic) (Énfasis añadido)</w:t>
      </w:r>
    </w:p>
    <w:p w14:paraId="01241B7C"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remitió un archivo electrónico mediante el cual ratifica la respuesta vertida inicialmente, es de precisar que por cuanto hace a</w:t>
      </w:r>
      <w:r w:rsidRPr="00EA32BC">
        <w:rPr>
          <w:rFonts w:ascii="Palatino Linotype" w:eastAsia="Palatino Linotype" w:hAnsi="Palatino Linotype" w:cs="Palatino Linotype"/>
          <w:b/>
        </w:rPr>
        <w:t>l Recurrente</w:t>
      </w:r>
      <w:r w:rsidRPr="00EA32BC">
        <w:rPr>
          <w:rFonts w:ascii="Palatino Linotype" w:eastAsia="Palatino Linotype" w:hAnsi="Palatino Linotype" w:cs="Palatino Linotype"/>
        </w:rPr>
        <w:t xml:space="preserve">, se tiene que fue omiso en pronunciarse, por lo que transcurrido el plazo para hacer </w:t>
      </w:r>
      <w:r w:rsidRPr="00EA32BC">
        <w:rPr>
          <w:rFonts w:ascii="Palatino Linotype" w:eastAsia="Palatino Linotype" w:hAnsi="Palatino Linotype" w:cs="Palatino Linotype"/>
        </w:rPr>
        <w:lastRenderedPageBreak/>
        <w:t>del conocimiento de la particular dicha documentación, se procedió a emitir el respectivo cierre de instrucción para su posterior resolución.</w:t>
      </w:r>
    </w:p>
    <w:p w14:paraId="613F090F" w14:textId="77777777" w:rsidR="001A3FC3" w:rsidRPr="00EA32BC" w:rsidRDefault="00C612D2">
      <w:pPr>
        <w:spacing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Por lo anterior, se procede a analizar los agravios hechos valer por la parte Recurrente, al tenor de las siguientes consideraciones: </w:t>
      </w:r>
    </w:p>
    <w:p w14:paraId="4A4B7A50" w14:textId="77777777" w:rsidR="001A3FC3" w:rsidRPr="00EA32BC" w:rsidRDefault="001A3FC3">
      <w:pPr>
        <w:spacing w:line="360" w:lineRule="auto"/>
        <w:jc w:val="both"/>
        <w:rPr>
          <w:rFonts w:ascii="Palatino Linotype" w:eastAsia="Palatino Linotype" w:hAnsi="Palatino Linotype" w:cs="Palatino Linotype"/>
        </w:rPr>
      </w:pPr>
    </w:p>
    <w:p w14:paraId="4CA029A6" w14:textId="77777777" w:rsidR="001A3FC3" w:rsidRPr="00EA32BC" w:rsidRDefault="00C612D2">
      <w:pPr>
        <w:spacing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rPr>
        <w:t>En primera instancia,</w:t>
      </w:r>
      <w:r w:rsidRPr="00EA32BC">
        <w:rPr>
          <w:rFonts w:ascii="Palatino Linotype" w:eastAsia="Palatino Linotype" w:hAnsi="Palatino Linotype" w:cs="Palatino Linotype"/>
          <w:b/>
        </w:rPr>
        <w:t xml:space="preserve"> </w:t>
      </w:r>
      <w:r w:rsidRPr="00EA32BC">
        <w:rPr>
          <w:rFonts w:ascii="Palatino Linotype" w:eastAsia="Palatino Linotype" w:hAnsi="Palatino Linotype" w:cs="Palatino Linotype"/>
        </w:rPr>
        <w:t xml:space="preserve">para un mejor entendimiento se proceden a esquematizar las constancias que conforman el expediente electrónico para efecto de determinar si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atendió los requerimientos de información de la particular y posteriormente estudiar cada requerimiento que no se haya atendido durante las etapas procesales conducentes, de manera pormenorizada:   </w:t>
      </w:r>
    </w:p>
    <w:p w14:paraId="376AB64C" w14:textId="77777777" w:rsidR="001A3FC3" w:rsidRPr="00EA32BC" w:rsidRDefault="001A3FC3">
      <w:pPr>
        <w:spacing w:line="360" w:lineRule="auto"/>
        <w:ind w:right="49"/>
        <w:jc w:val="both"/>
        <w:rPr>
          <w:rFonts w:ascii="Palatino Linotype" w:eastAsia="Palatino Linotype" w:hAnsi="Palatino Linotype" w:cs="Palatino Linotype"/>
        </w:rPr>
      </w:pPr>
    </w:p>
    <w:tbl>
      <w:tblPr>
        <w:tblStyle w:val="a6"/>
        <w:tblW w:w="877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9"/>
        <w:gridCol w:w="5365"/>
        <w:gridCol w:w="1835"/>
      </w:tblGrid>
      <w:tr w:rsidR="00EA32BC" w:rsidRPr="00EA32BC" w14:paraId="33AC13ED" w14:textId="77777777">
        <w:tc>
          <w:tcPr>
            <w:tcW w:w="1579" w:type="dxa"/>
            <w:shd w:val="clear" w:color="auto" w:fill="FBD5B5"/>
          </w:tcPr>
          <w:p w14:paraId="13E05828"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Solicitud de información</w:t>
            </w:r>
          </w:p>
        </w:tc>
        <w:tc>
          <w:tcPr>
            <w:tcW w:w="5365" w:type="dxa"/>
            <w:shd w:val="clear" w:color="auto" w:fill="FBD5B5"/>
          </w:tcPr>
          <w:p w14:paraId="20A2A224" w14:textId="77777777" w:rsidR="001A3FC3" w:rsidRPr="00EA32BC" w:rsidRDefault="00C612D2">
            <w:pPr>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Respuesta/Informe Justificado</w:t>
            </w:r>
          </w:p>
        </w:tc>
        <w:tc>
          <w:tcPr>
            <w:tcW w:w="1835" w:type="dxa"/>
            <w:shd w:val="clear" w:color="auto" w:fill="FBD5B5"/>
          </w:tcPr>
          <w:p w14:paraId="1A330DFB"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Colma</w:t>
            </w:r>
          </w:p>
        </w:tc>
      </w:tr>
      <w:tr w:rsidR="00EA32BC" w:rsidRPr="00EA32BC" w14:paraId="0340295C" w14:textId="77777777">
        <w:tc>
          <w:tcPr>
            <w:tcW w:w="1579" w:type="dxa"/>
          </w:tcPr>
          <w:p w14:paraId="6B853859"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 xml:space="preserve">1. Que la Contraloria me informe si hay una investigación acerca de esto y pido que se tomen cartas en el asunto, y que esta solicitud sea turnada a la Contraloria Municipal de Toluca para que se inicie una investigación al respecto. </w:t>
            </w:r>
          </w:p>
        </w:tc>
        <w:tc>
          <w:tcPr>
            <w:tcW w:w="5365" w:type="dxa"/>
          </w:tcPr>
          <w:p w14:paraId="70CF9295"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Respuesta/Informe Justificado:</w:t>
            </w:r>
            <w:r w:rsidRPr="00EA32BC">
              <w:rPr>
                <w:rFonts w:ascii="Palatino Linotype" w:eastAsia="Palatino Linotype" w:hAnsi="Palatino Linotype" w:cs="Palatino Linotype"/>
                <w:sz w:val="18"/>
                <w:szCs w:val="18"/>
              </w:rPr>
              <w:t xml:space="preserve"> </w:t>
            </w:r>
            <w:r w:rsidRPr="00EA32BC">
              <w:rPr>
                <w:rFonts w:ascii="Palatino Linotype" w:eastAsia="Palatino Linotype" w:hAnsi="Palatino Linotype" w:cs="Palatino Linotype"/>
                <w:b/>
                <w:sz w:val="18"/>
                <w:szCs w:val="18"/>
                <w:u w:val="single"/>
              </w:rPr>
              <w:t xml:space="preserve">Contraloría Municipal: </w:t>
            </w:r>
            <w:r w:rsidRPr="00EA32BC">
              <w:rPr>
                <w:rFonts w:ascii="Palatino Linotype" w:eastAsia="Palatino Linotype" w:hAnsi="Palatino Linotype" w:cs="Palatino Linotype"/>
                <w:sz w:val="18"/>
                <w:szCs w:val="18"/>
              </w:rPr>
              <w:t xml:space="preserve">En los archivos de la Dirección de Investigación de Responsabilidades Administrativas, se localizó una queja por los hechos referidos en la solicitud, sin embargo, por cuanto hace a que se inicie una investigación, se comunica que esta no es la vía para presentar denuncias. </w:t>
            </w:r>
          </w:p>
        </w:tc>
        <w:tc>
          <w:tcPr>
            <w:tcW w:w="1835" w:type="dxa"/>
          </w:tcPr>
          <w:p w14:paraId="66375FD4"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Sí</w:t>
            </w:r>
          </w:p>
          <w:p w14:paraId="75643209" w14:textId="77777777" w:rsidR="001A3FC3" w:rsidRPr="00EA32BC" w:rsidRDefault="001A3FC3">
            <w:pPr>
              <w:spacing w:line="276" w:lineRule="auto"/>
              <w:ind w:right="49"/>
              <w:jc w:val="center"/>
              <w:rPr>
                <w:rFonts w:ascii="Palatino Linotype" w:eastAsia="Palatino Linotype" w:hAnsi="Palatino Linotype" w:cs="Palatino Linotype"/>
                <w:b/>
                <w:sz w:val="18"/>
                <w:szCs w:val="18"/>
              </w:rPr>
            </w:pPr>
          </w:p>
          <w:p w14:paraId="1FE0844C"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 xml:space="preserve">Observaciones: </w:t>
            </w:r>
            <w:r w:rsidRPr="00EA32BC">
              <w:rPr>
                <w:rFonts w:ascii="Palatino Linotype" w:eastAsia="Palatino Linotype" w:hAnsi="Palatino Linotype" w:cs="Palatino Linotype"/>
                <w:sz w:val="18"/>
                <w:szCs w:val="18"/>
              </w:rPr>
              <w:t>Por lo que se refiere a “</w:t>
            </w:r>
            <w:r w:rsidRPr="00EA32BC">
              <w:rPr>
                <w:rFonts w:ascii="Palatino Linotype" w:eastAsia="Palatino Linotype" w:hAnsi="Palatino Linotype" w:cs="Palatino Linotype"/>
                <w:i/>
                <w:sz w:val="18"/>
                <w:szCs w:val="18"/>
              </w:rPr>
              <w:t>pido que se tomen cartas en el asunto, y que esta solicitud sea turnada a la Contraloria Municipal de Toluca para que se inicie una investigación</w:t>
            </w:r>
            <w:r w:rsidRPr="00EA32BC">
              <w:rPr>
                <w:rFonts w:ascii="Palatino Linotype" w:eastAsia="Palatino Linotype" w:hAnsi="Palatino Linotype" w:cs="Palatino Linotype"/>
                <w:sz w:val="18"/>
                <w:szCs w:val="18"/>
              </w:rPr>
              <w:t xml:space="preserve"> </w:t>
            </w:r>
            <w:r w:rsidRPr="00EA32BC">
              <w:rPr>
                <w:rFonts w:ascii="Palatino Linotype" w:eastAsia="Palatino Linotype" w:hAnsi="Palatino Linotype" w:cs="Palatino Linotype"/>
                <w:i/>
                <w:sz w:val="18"/>
                <w:szCs w:val="18"/>
              </w:rPr>
              <w:t>al respecto.</w:t>
            </w:r>
            <w:r w:rsidRPr="00EA32BC">
              <w:rPr>
                <w:rFonts w:ascii="Palatino Linotype" w:eastAsia="Palatino Linotype" w:hAnsi="Palatino Linotype" w:cs="Palatino Linotype"/>
                <w:sz w:val="18"/>
                <w:szCs w:val="18"/>
              </w:rPr>
              <w:t xml:space="preserve">” al respecto, se trata de planteamientos subjetivos que no son atendibles mediante el derecho de acceso a la información pública, toda vez </w:t>
            </w:r>
            <w:r w:rsidRPr="00EA32BC">
              <w:rPr>
                <w:rFonts w:ascii="Palatino Linotype" w:eastAsia="Palatino Linotype" w:hAnsi="Palatino Linotype" w:cs="Palatino Linotype"/>
                <w:sz w:val="18"/>
                <w:szCs w:val="18"/>
              </w:rPr>
              <w:lastRenderedPageBreak/>
              <w:t>que el derecho al acceso a la información pública constituye una prerrogativa para acceder a documentos o registros de información pública generada o en posesión de los sujetos obligados,  motivo por el cual, este Organismo Garante reitera que dichas manifestaciones no son susceptibles de ser tomadas en consideración, toda vez que, no constituyen el ejercicio de un derecho de acceso a la información pública, sino más bien el ejercicio de un derecho de expresión, cuya finalidad consiste en dar mayor énfasis a sus requerimientos / motivos de inconformidad. En este sentido, se trata de manifestaciones sobre las cuales este Instituto no está facultado para pronunciarse.</w:t>
            </w:r>
          </w:p>
        </w:tc>
      </w:tr>
      <w:tr w:rsidR="00EA32BC" w:rsidRPr="00EA32BC" w14:paraId="03198F09" w14:textId="77777777">
        <w:tc>
          <w:tcPr>
            <w:tcW w:w="1579" w:type="dxa"/>
          </w:tcPr>
          <w:p w14:paraId="4F7F686A"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lastRenderedPageBreak/>
              <w:t xml:space="preserve">2. Los convenios con los medios de comunicación de enero a junio del año 2022. </w:t>
            </w:r>
          </w:p>
        </w:tc>
        <w:tc>
          <w:tcPr>
            <w:tcW w:w="5365" w:type="dxa"/>
          </w:tcPr>
          <w:p w14:paraId="65D59AFA"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Respuesta/Informe Justificado: </w:t>
            </w:r>
            <w:r w:rsidRPr="00EA32BC">
              <w:rPr>
                <w:rFonts w:ascii="Palatino Linotype" w:eastAsia="Palatino Linotype" w:hAnsi="Palatino Linotype" w:cs="Palatino Linotype"/>
                <w:b/>
                <w:sz w:val="18"/>
                <w:szCs w:val="18"/>
                <w:u w:val="single"/>
              </w:rPr>
              <w:t>Coordinación General de Comunicación Social:</w:t>
            </w:r>
            <w:r w:rsidRPr="00EA32BC">
              <w:rPr>
                <w:rFonts w:ascii="Palatino Linotype" w:eastAsia="Palatino Linotype" w:hAnsi="Palatino Linotype" w:cs="Palatino Linotype"/>
                <w:b/>
                <w:sz w:val="18"/>
                <w:szCs w:val="18"/>
              </w:rPr>
              <w:t xml:space="preserve"> </w:t>
            </w:r>
            <w:r w:rsidRPr="00EA32BC">
              <w:rPr>
                <w:rFonts w:ascii="Palatino Linotype" w:eastAsia="Palatino Linotype" w:hAnsi="Palatino Linotype" w:cs="Palatino Linotype"/>
                <w:sz w:val="18"/>
                <w:szCs w:val="18"/>
              </w:rPr>
              <w:t xml:space="preserve">Después de una búsqueda exhaustiva y razonable en sus archivos, no se cuenta con la información solicitada dentro de los registros y archivos de esta Coordinación, debido a que esta no cuenta con las facultades para generar o firmar ningún tipo de convenio, contrato o pago por los mismos. </w:t>
            </w:r>
          </w:p>
        </w:tc>
        <w:tc>
          <w:tcPr>
            <w:tcW w:w="1835" w:type="dxa"/>
          </w:tcPr>
          <w:p w14:paraId="4EA74BF3"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No</w:t>
            </w:r>
          </w:p>
        </w:tc>
      </w:tr>
      <w:tr w:rsidR="00EA32BC" w:rsidRPr="00EA32BC" w14:paraId="50014C2D" w14:textId="77777777">
        <w:tc>
          <w:tcPr>
            <w:tcW w:w="1579" w:type="dxa"/>
          </w:tcPr>
          <w:p w14:paraId="0690F303"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 xml:space="preserve">3. El número de patrullas y número de elementos de la policia. </w:t>
            </w:r>
          </w:p>
        </w:tc>
        <w:tc>
          <w:tcPr>
            <w:tcW w:w="5365" w:type="dxa"/>
          </w:tcPr>
          <w:p w14:paraId="01C76A0D"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 xml:space="preserve">Respuesta/Informe Justificado: </w:t>
            </w:r>
            <w:r w:rsidRPr="00EA32BC">
              <w:rPr>
                <w:rFonts w:ascii="Palatino Linotype" w:eastAsia="Palatino Linotype" w:hAnsi="Palatino Linotype" w:cs="Palatino Linotype"/>
                <w:b/>
                <w:sz w:val="18"/>
                <w:szCs w:val="18"/>
                <w:u w:val="single"/>
              </w:rPr>
              <w:t>Dirección General de Seguridad y Protección</w:t>
            </w:r>
            <w:r w:rsidRPr="00EA32BC">
              <w:rPr>
                <w:rFonts w:ascii="Palatino Linotype" w:eastAsia="Palatino Linotype" w:hAnsi="Palatino Linotype" w:cs="Palatino Linotype"/>
                <w:b/>
                <w:sz w:val="18"/>
                <w:szCs w:val="18"/>
              </w:rPr>
              <w:t xml:space="preserve">: </w:t>
            </w:r>
            <w:r w:rsidRPr="00EA32BC">
              <w:rPr>
                <w:rFonts w:ascii="Palatino Linotype" w:eastAsia="Palatino Linotype" w:hAnsi="Palatino Linotype" w:cs="Palatino Linotype"/>
                <w:sz w:val="18"/>
                <w:szCs w:val="18"/>
              </w:rPr>
              <w:t xml:space="preserve">A la fecha se tienen 611 patrullas y 1,847 elementos policiales adscritos a esta dirección. </w:t>
            </w:r>
          </w:p>
        </w:tc>
        <w:tc>
          <w:tcPr>
            <w:tcW w:w="1835" w:type="dxa"/>
          </w:tcPr>
          <w:p w14:paraId="5A3C226B"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Sí</w:t>
            </w:r>
          </w:p>
        </w:tc>
      </w:tr>
      <w:tr w:rsidR="00EA32BC" w:rsidRPr="00EA32BC" w14:paraId="6EEC83C9" w14:textId="77777777">
        <w:tc>
          <w:tcPr>
            <w:tcW w:w="1579" w:type="dxa"/>
          </w:tcPr>
          <w:p w14:paraId="5CD4341C"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 xml:space="preserve">4. Incluyan las capturas de pantalla de las areas a las que le turnaron esta solicitud y de no hacerlo lo vamos a publicar en nuestro medio de comunicación en redes sociales, televisión y radio. </w:t>
            </w:r>
          </w:p>
        </w:tc>
        <w:tc>
          <w:tcPr>
            <w:tcW w:w="5365" w:type="dxa"/>
          </w:tcPr>
          <w:p w14:paraId="53E0073D"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Respuesta/Informe Justificado: </w:t>
            </w:r>
            <w:r w:rsidRPr="00EA32BC">
              <w:rPr>
                <w:rFonts w:ascii="Palatino Linotype" w:eastAsia="Palatino Linotype" w:hAnsi="Palatino Linotype" w:cs="Palatino Linotype"/>
                <w:sz w:val="18"/>
                <w:szCs w:val="18"/>
              </w:rPr>
              <w:t xml:space="preserve">En la respuesta se aprecian las áreas a las que se turnó la solicitud, el </w:t>
            </w:r>
            <w:r w:rsidRPr="00EA32BC">
              <w:rPr>
                <w:rFonts w:ascii="Palatino Linotype" w:eastAsia="Palatino Linotype" w:hAnsi="Palatino Linotype" w:cs="Palatino Linotype"/>
                <w:b/>
                <w:sz w:val="18"/>
                <w:szCs w:val="18"/>
              </w:rPr>
              <w:t>Sujeto Obligado</w:t>
            </w:r>
            <w:r w:rsidRPr="00EA32BC">
              <w:rPr>
                <w:rFonts w:ascii="Palatino Linotype" w:eastAsia="Palatino Linotype" w:hAnsi="Palatino Linotype" w:cs="Palatino Linotype"/>
                <w:sz w:val="18"/>
                <w:szCs w:val="18"/>
              </w:rPr>
              <w:t xml:space="preserve"> puntualiza lo que responde cada área. </w:t>
            </w:r>
            <w:r w:rsidRPr="00EA32BC">
              <w:rPr>
                <w:rFonts w:ascii="Palatino Linotype" w:eastAsia="Palatino Linotype" w:hAnsi="Palatino Linotype" w:cs="Palatino Linotype"/>
                <w:b/>
                <w:sz w:val="18"/>
                <w:szCs w:val="18"/>
              </w:rPr>
              <w:t xml:space="preserve"> </w:t>
            </w:r>
          </w:p>
        </w:tc>
        <w:tc>
          <w:tcPr>
            <w:tcW w:w="1835" w:type="dxa"/>
          </w:tcPr>
          <w:p w14:paraId="54828CAB" w14:textId="77777777" w:rsidR="001A3FC3" w:rsidRPr="00EA32BC" w:rsidRDefault="00C612D2">
            <w:pPr>
              <w:spacing w:line="360"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Sí</w:t>
            </w:r>
          </w:p>
          <w:p w14:paraId="2F5B7056"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 xml:space="preserve">Observaciones: </w:t>
            </w:r>
            <w:r w:rsidRPr="00EA32BC">
              <w:rPr>
                <w:rFonts w:ascii="Palatino Linotype" w:eastAsia="Palatino Linotype" w:hAnsi="Palatino Linotype" w:cs="Palatino Linotype"/>
                <w:sz w:val="18"/>
                <w:szCs w:val="18"/>
              </w:rPr>
              <w:t xml:space="preserve">No pasa desapercibido para este organismo garante que  el particular requiere que se genere un documento ad hoc para atender este punto de la solicitud. </w:t>
            </w:r>
          </w:p>
          <w:p w14:paraId="61F16284" w14:textId="77777777" w:rsidR="001A3FC3" w:rsidRPr="00EA32BC" w:rsidRDefault="00C612D2">
            <w:pPr>
              <w:tabs>
                <w:tab w:val="left" w:pos="142"/>
                <w:tab w:val="left" w:pos="284"/>
                <w:tab w:val="left" w:pos="426"/>
              </w:tabs>
              <w:spacing w:line="276" w:lineRule="auto"/>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sz w:val="18"/>
                <w:szCs w:val="18"/>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w:t>
            </w:r>
            <w:r w:rsidRPr="00EA32BC">
              <w:rPr>
                <w:rFonts w:ascii="Palatino Linotype" w:eastAsia="Palatino Linotype" w:hAnsi="Palatino Linotype" w:cs="Palatino Linotype"/>
                <w:sz w:val="18"/>
                <w:szCs w:val="18"/>
              </w:rPr>
              <w:lastRenderedPageBreak/>
              <w:t xml:space="preserve">pública, esto es, que no tienen el deber de generar un documento </w:t>
            </w:r>
            <w:r w:rsidRPr="00EA32BC">
              <w:rPr>
                <w:rFonts w:ascii="Palatino Linotype" w:eastAsia="Palatino Linotype" w:hAnsi="Palatino Linotype" w:cs="Palatino Linotype"/>
                <w:b/>
                <w:i/>
                <w:sz w:val="18"/>
                <w:szCs w:val="18"/>
              </w:rPr>
              <w:t>ad hoc</w:t>
            </w:r>
            <w:r w:rsidRPr="00EA32BC">
              <w:rPr>
                <w:rFonts w:ascii="Palatino Linotype" w:eastAsia="Palatino Linotype" w:hAnsi="Palatino Linotype" w:cs="Palatino Linotype"/>
                <w:sz w:val="18"/>
                <w:szCs w:val="18"/>
              </w:rPr>
              <w:t>, para satisfacer el derecho de acceso a la información pública, esto encuentra sustento en los artículos 12 y 24 de la Ley de Transparencia Local.</w:t>
            </w:r>
          </w:p>
          <w:p w14:paraId="045D428A" w14:textId="77777777" w:rsidR="001A3FC3" w:rsidRPr="00EA32BC" w:rsidRDefault="001A3FC3">
            <w:pPr>
              <w:tabs>
                <w:tab w:val="left" w:pos="142"/>
                <w:tab w:val="left" w:pos="284"/>
                <w:tab w:val="left" w:pos="426"/>
              </w:tabs>
              <w:spacing w:line="276" w:lineRule="auto"/>
              <w:jc w:val="both"/>
              <w:rPr>
                <w:rFonts w:ascii="Palatino Linotype" w:eastAsia="Palatino Linotype" w:hAnsi="Palatino Linotype" w:cs="Palatino Linotype"/>
                <w:b/>
                <w:sz w:val="18"/>
                <w:szCs w:val="18"/>
              </w:rPr>
            </w:pPr>
          </w:p>
          <w:p w14:paraId="08CE60C8" w14:textId="77777777" w:rsidR="001A3FC3" w:rsidRPr="00EA32BC" w:rsidRDefault="00C612D2">
            <w:pPr>
              <w:spacing w:line="276" w:lineRule="auto"/>
              <w:ind w:right="49"/>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8"/>
                <w:szCs w:val="18"/>
              </w:rPr>
              <w:t>Robustece lo anterior el Criterio 09/10, emitido por el Pleno del entonces Instituto Federal de Acceso a la Información y Protección de Datos (IFAI), ahora Instituto Nacional de Transparencia, Acceso a la Información y Protección de Datos Personales (INAI)</w:t>
            </w:r>
          </w:p>
          <w:p w14:paraId="7063986B" w14:textId="77777777" w:rsidR="001A3FC3" w:rsidRPr="00EA32BC" w:rsidRDefault="001A3FC3">
            <w:pPr>
              <w:ind w:right="49"/>
              <w:jc w:val="both"/>
              <w:rPr>
                <w:rFonts w:ascii="Palatino Linotype" w:eastAsia="Palatino Linotype" w:hAnsi="Palatino Linotype" w:cs="Palatino Linotype"/>
                <w:b/>
                <w:sz w:val="18"/>
                <w:szCs w:val="18"/>
              </w:rPr>
            </w:pPr>
          </w:p>
          <w:p w14:paraId="37DB30D1" w14:textId="77777777" w:rsidR="001A3FC3" w:rsidRPr="00EA32BC" w:rsidRDefault="00C612D2">
            <w:pPr>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sz w:val="18"/>
                <w:szCs w:val="18"/>
              </w:rPr>
              <w:t>Por lo que se refiere a “</w:t>
            </w:r>
            <w:r w:rsidRPr="00EA32BC">
              <w:rPr>
                <w:rFonts w:ascii="Palatino Linotype" w:eastAsia="Palatino Linotype" w:hAnsi="Palatino Linotype" w:cs="Palatino Linotype"/>
                <w:i/>
                <w:sz w:val="18"/>
                <w:szCs w:val="18"/>
              </w:rPr>
              <w:t>de no hacerlo lo vamos a publicar en nuestro medio de comunicación en redes sociales, televisión y radio..</w:t>
            </w:r>
            <w:r w:rsidRPr="00EA32BC">
              <w:rPr>
                <w:rFonts w:ascii="Palatino Linotype" w:eastAsia="Palatino Linotype" w:hAnsi="Palatino Linotype" w:cs="Palatino Linotype"/>
                <w:sz w:val="18"/>
                <w:szCs w:val="18"/>
              </w:rPr>
              <w:t>”, se trata de planteamientos subjetivos que no son atendibles mediante el derecho de acceso a la información pública</w:t>
            </w:r>
          </w:p>
        </w:tc>
      </w:tr>
      <w:tr w:rsidR="00EA32BC" w:rsidRPr="00EA32BC" w14:paraId="7E3B9019" w14:textId="77777777">
        <w:tc>
          <w:tcPr>
            <w:tcW w:w="1579" w:type="dxa"/>
          </w:tcPr>
          <w:p w14:paraId="0288A943"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lastRenderedPageBreak/>
              <w:t xml:space="preserve">5. Todas las actas de la Comisión edilicia de transparencia. </w:t>
            </w:r>
          </w:p>
        </w:tc>
        <w:tc>
          <w:tcPr>
            <w:tcW w:w="5365" w:type="dxa"/>
          </w:tcPr>
          <w:p w14:paraId="4FD230E7"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 xml:space="preserve">Respuesta/Informe Justificado: </w:t>
            </w:r>
            <w:r w:rsidRPr="00EA32BC">
              <w:rPr>
                <w:rFonts w:ascii="Palatino Linotype" w:eastAsia="Palatino Linotype" w:hAnsi="Palatino Linotype" w:cs="Palatino Linotype"/>
                <w:b/>
                <w:sz w:val="18"/>
                <w:szCs w:val="18"/>
                <w:u w:val="single"/>
              </w:rPr>
              <w:t>Décima Segunda Regiduría:</w:t>
            </w:r>
            <w:r w:rsidRPr="00EA32BC">
              <w:rPr>
                <w:rFonts w:ascii="Palatino Linotype" w:eastAsia="Palatino Linotype" w:hAnsi="Palatino Linotype" w:cs="Palatino Linotype"/>
                <w:b/>
                <w:sz w:val="18"/>
                <w:szCs w:val="18"/>
              </w:rPr>
              <w:t xml:space="preserve"> </w:t>
            </w:r>
            <w:r w:rsidRPr="00EA32BC">
              <w:rPr>
                <w:rFonts w:ascii="Palatino Linotype" w:eastAsia="Palatino Linotype" w:hAnsi="Palatino Linotype" w:cs="Palatino Linotype"/>
                <w:sz w:val="18"/>
                <w:szCs w:val="18"/>
              </w:rPr>
              <w:t>Remite el acta de instalación de la Comisión de Transparencia, Acceso a la Información Pública y Protección de Datos Personales, celebrada el 24 de enero de 2022.</w:t>
            </w:r>
          </w:p>
        </w:tc>
        <w:tc>
          <w:tcPr>
            <w:tcW w:w="1835" w:type="dxa"/>
          </w:tcPr>
          <w:p w14:paraId="4DAAE549"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Parcialmente</w:t>
            </w:r>
          </w:p>
          <w:p w14:paraId="302B0A6C"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Observaciones: </w:t>
            </w:r>
            <w:r w:rsidRPr="00EA32BC">
              <w:rPr>
                <w:rFonts w:ascii="Palatino Linotype" w:eastAsia="Palatino Linotype" w:hAnsi="Palatino Linotype" w:cs="Palatino Linotype"/>
                <w:sz w:val="18"/>
                <w:szCs w:val="18"/>
              </w:rPr>
              <w:t>No se precisa si es la única acta con la que se cuenta a la fecha de la solicitud.</w:t>
            </w:r>
            <w:r w:rsidRPr="00EA32BC">
              <w:rPr>
                <w:rFonts w:ascii="Palatino Linotype" w:eastAsia="Palatino Linotype" w:hAnsi="Palatino Linotype" w:cs="Palatino Linotype"/>
                <w:b/>
                <w:sz w:val="18"/>
                <w:szCs w:val="18"/>
              </w:rPr>
              <w:t xml:space="preserve"> </w:t>
            </w:r>
          </w:p>
        </w:tc>
      </w:tr>
      <w:tr w:rsidR="00EA32BC" w:rsidRPr="00EA32BC" w14:paraId="6F1D954D" w14:textId="77777777">
        <w:tc>
          <w:tcPr>
            <w:tcW w:w="1579" w:type="dxa"/>
          </w:tcPr>
          <w:p w14:paraId="4E13F822"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 xml:space="preserve">6. El calendario de sesiones ordinarias y extraordinarias del Comité de Transparencia de todo el año 2022. </w:t>
            </w:r>
          </w:p>
        </w:tc>
        <w:tc>
          <w:tcPr>
            <w:tcW w:w="5365" w:type="dxa"/>
          </w:tcPr>
          <w:p w14:paraId="6F22FD4D"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Respuesta/Informe Justificado: </w:t>
            </w:r>
            <w:r w:rsidRPr="00EA32BC">
              <w:rPr>
                <w:rFonts w:ascii="Palatino Linotype" w:eastAsia="Palatino Linotype" w:hAnsi="Palatino Linotype" w:cs="Palatino Linotype"/>
                <w:b/>
                <w:sz w:val="18"/>
                <w:szCs w:val="18"/>
                <w:u w:val="single"/>
              </w:rPr>
              <w:t>Titular de la Unidad de Transparencia:</w:t>
            </w:r>
            <w:r w:rsidRPr="00EA32BC">
              <w:rPr>
                <w:rFonts w:ascii="Palatino Linotype" w:eastAsia="Palatino Linotype" w:hAnsi="Palatino Linotype" w:cs="Palatino Linotype"/>
                <w:b/>
                <w:sz w:val="18"/>
                <w:szCs w:val="18"/>
              </w:rPr>
              <w:t xml:space="preserve"> </w:t>
            </w:r>
            <w:r w:rsidRPr="00EA32BC">
              <w:rPr>
                <w:rFonts w:ascii="Palatino Linotype" w:eastAsia="Palatino Linotype" w:hAnsi="Palatino Linotype" w:cs="Palatino Linotype"/>
                <w:sz w:val="18"/>
                <w:szCs w:val="18"/>
              </w:rPr>
              <w:t>Adjunta el documento por medio del cual se aprecia el calendario de Sesiones Ordinarias del Comité de Transparencia, el cual fue aprobado en la Tercera Sesión Ordinaria de fecha dieciocho de enero del año dos mil veintidós, asimismo precisa que respecto de las sesiones extraordinarias, no hay normatividad para calendarizar las mismas, ello atendiendo a que se realizan sólo para asuntos que no se tienen contemplados.</w:t>
            </w:r>
            <w:r w:rsidRPr="00EA32BC">
              <w:rPr>
                <w:rFonts w:ascii="Palatino Linotype" w:eastAsia="Palatino Linotype" w:hAnsi="Palatino Linotype" w:cs="Palatino Linotype"/>
                <w:b/>
                <w:sz w:val="18"/>
                <w:szCs w:val="18"/>
              </w:rPr>
              <w:t xml:space="preserve"> </w:t>
            </w:r>
          </w:p>
        </w:tc>
        <w:tc>
          <w:tcPr>
            <w:tcW w:w="1835" w:type="dxa"/>
          </w:tcPr>
          <w:p w14:paraId="2C5C61B8"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Si</w:t>
            </w:r>
          </w:p>
        </w:tc>
      </w:tr>
      <w:tr w:rsidR="00EA32BC" w:rsidRPr="00EA32BC" w14:paraId="02B74F11" w14:textId="77777777">
        <w:tc>
          <w:tcPr>
            <w:tcW w:w="1579" w:type="dxa"/>
          </w:tcPr>
          <w:p w14:paraId="5CF5936C"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7. Fotografías donde comprueben que realmente sesiona el Comité de Transparencia y no solo son sesiones virtuales.</w:t>
            </w:r>
          </w:p>
        </w:tc>
        <w:tc>
          <w:tcPr>
            <w:tcW w:w="5365" w:type="dxa"/>
          </w:tcPr>
          <w:p w14:paraId="5425782A"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No hay pronunciamiento</w:t>
            </w:r>
          </w:p>
        </w:tc>
        <w:tc>
          <w:tcPr>
            <w:tcW w:w="1835" w:type="dxa"/>
          </w:tcPr>
          <w:p w14:paraId="3C7FCC9C"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No</w:t>
            </w:r>
          </w:p>
          <w:p w14:paraId="0DD93EFD" w14:textId="77777777" w:rsidR="001A3FC3" w:rsidRPr="00EA32BC" w:rsidRDefault="001A3FC3">
            <w:pPr>
              <w:spacing w:line="276" w:lineRule="auto"/>
              <w:ind w:right="49"/>
              <w:jc w:val="center"/>
              <w:rPr>
                <w:rFonts w:ascii="Palatino Linotype" w:eastAsia="Palatino Linotype" w:hAnsi="Palatino Linotype" w:cs="Palatino Linotype"/>
                <w:b/>
                <w:sz w:val="18"/>
                <w:szCs w:val="18"/>
              </w:rPr>
            </w:pPr>
          </w:p>
          <w:p w14:paraId="625219DE" w14:textId="77777777" w:rsidR="001A3FC3" w:rsidRPr="00EA32BC" w:rsidRDefault="001A3FC3">
            <w:pPr>
              <w:spacing w:line="276" w:lineRule="auto"/>
              <w:ind w:right="49"/>
              <w:jc w:val="both"/>
              <w:rPr>
                <w:rFonts w:ascii="Palatino Linotype" w:eastAsia="Palatino Linotype" w:hAnsi="Palatino Linotype" w:cs="Palatino Linotype"/>
                <w:b/>
                <w:sz w:val="18"/>
                <w:szCs w:val="18"/>
              </w:rPr>
            </w:pPr>
          </w:p>
        </w:tc>
      </w:tr>
      <w:tr w:rsidR="00EA32BC" w:rsidRPr="00EA32BC" w14:paraId="07D6069F" w14:textId="77777777">
        <w:tc>
          <w:tcPr>
            <w:tcW w:w="1579" w:type="dxa"/>
          </w:tcPr>
          <w:p w14:paraId="4D60E47D"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8. Todos los recibos de nómina del mes de abril y mayo del año 2022, de la Unidad de Transparencia, y de los que actualmente están Comisionados a la Unidad de Transparencia.</w:t>
            </w:r>
          </w:p>
        </w:tc>
        <w:tc>
          <w:tcPr>
            <w:tcW w:w="5365" w:type="dxa"/>
          </w:tcPr>
          <w:p w14:paraId="192A7ACA"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Respuesta/Informe Justificado: </w:t>
            </w:r>
            <w:r w:rsidRPr="00EA32BC">
              <w:rPr>
                <w:rFonts w:ascii="Palatino Linotype" w:eastAsia="Palatino Linotype" w:hAnsi="Palatino Linotype" w:cs="Palatino Linotype"/>
                <w:b/>
                <w:sz w:val="18"/>
                <w:szCs w:val="18"/>
                <w:u w:val="single"/>
              </w:rPr>
              <w:t>Dirección General de Administración:</w:t>
            </w:r>
            <w:r w:rsidRPr="00EA32BC">
              <w:rPr>
                <w:rFonts w:ascii="Palatino Linotype" w:eastAsia="Palatino Linotype" w:hAnsi="Palatino Linotype" w:cs="Palatino Linotype"/>
                <w:b/>
                <w:sz w:val="18"/>
                <w:szCs w:val="18"/>
              </w:rPr>
              <w:t xml:space="preserve"> </w:t>
            </w:r>
            <w:r w:rsidRPr="00EA32BC">
              <w:rPr>
                <w:rFonts w:ascii="Palatino Linotype" w:eastAsia="Palatino Linotype" w:hAnsi="Palatino Linotype" w:cs="Palatino Linotype"/>
                <w:sz w:val="18"/>
                <w:szCs w:val="18"/>
              </w:rPr>
              <w:t>Remite los recibos de la primera quincena del mes de abril y de la primera quincena de mayo</w:t>
            </w:r>
            <w:r w:rsidRPr="00EA32BC">
              <w:rPr>
                <w:rFonts w:ascii="Palatino Linotype" w:eastAsia="Palatino Linotype" w:hAnsi="Palatino Linotype" w:cs="Palatino Linotype"/>
                <w:b/>
                <w:sz w:val="18"/>
                <w:szCs w:val="18"/>
              </w:rPr>
              <w:t xml:space="preserve"> </w:t>
            </w:r>
            <w:r w:rsidRPr="00EA32BC">
              <w:rPr>
                <w:rFonts w:ascii="Palatino Linotype" w:eastAsia="Palatino Linotype" w:hAnsi="Palatino Linotype" w:cs="Palatino Linotype"/>
                <w:sz w:val="18"/>
                <w:szCs w:val="18"/>
              </w:rPr>
              <w:t>en versión pública, adjuntando para dar sustento a la versión pública, el Acta de la Tricentésima Quincuagésima Primera Sesión Extraordinaria del Comité de Transparencia del Municipio de Toluca, administración 2022-2024.</w:t>
            </w:r>
          </w:p>
        </w:tc>
        <w:tc>
          <w:tcPr>
            <w:tcW w:w="1835" w:type="dxa"/>
          </w:tcPr>
          <w:p w14:paraId="0DB546AA"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Parcialmente</w:t>
            </w:r>
          </w:p>
          <w:p w14:paraId="7E64B2D5" w14:textId="77777777" w:rsidR="001A3FC3" w:rsidRPr="00EA32BC" w:rsidRDefault="001A3FC3">
            <w:pPr>
              <w:spacing w:line="276" w:lineRule="auto"/>
              <w:ind w:right="49"/>
              <w:jc w:val="center"/>
              <w:rPr>
                <w:rFonts w:ascii="Palatino Linotype" w:eastAsia="Palatino Linotype" w:hAnsi="Palatino Linotype" w:cs="Palatino Linotype"/>
                <w:b/>
                <w:sz w:val="18"/>
                <w:szCs w:val="18"/>
              </w:rPr>
            </w:pPr>
          </w:p>
          <w:p w14:paraId="782D95BA"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Observaciones: </w:t>
            </w:r>
            <w:r w:rsidRPr="00EA32BC">
              <w:rPr>
                <w:rFonts w:ascii="Palatino Linotype" w:eastAsia="Palatino Linotype" w:hAnsi="Palatino Linotype" w:cs="Palatino Linotype"/>
                <w:sz w:val="18"/>
                <w:szCs w:val="18"/>
              </w:rPr>
              <w:t>Faltan los recibos de la segunda quincena del mes de abril</w:t>
            </w:r>
            <w:r w:rsidRPr="00EA32BC">
              <w:rPr>
                <w:rFonts w:ascii="Palatino Linotype" w:eastAsia="Palatino Linotype" w:hAnsi="Palatino Linotype" w:cs="Palatino Linotype"/>
                <w:b/>
                <w:sz w:val="18"/>
                <w:szCs w:val="18"/>
              </w:rPr>
              <w:t>.</w:t>
            </w:r>
          </w:p>
        </w:tc>
      </w:tr>
      <w:tr w:rsidR="00EA32BC" w:rsidRPr="00EA32BC" w14:paraId="4B3C38BE" w14:textId="77777777">
        <w:tc>
          <w:tcPr>
            <w:tcW w:w="1579" w:type="dxa"/>
          </w:tcPr>
          <w:p w14:paraId="38C8B397"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 xml:space="preserve">9. Los recibos de nómina de todo personal de presidencia, </w:t>
            </w:r>
            <w:r w:rsidRPr="00EA32BC">
              <w:rPr>
                <w:rFonts w:ascii="Palatino Linotype" w:eastAsia="Palatino Linotype" w:hAnsi="Palatino Linotype" w:cs="Palatino Linotype"/>
                <w:sz w:val="18"/>
                <w:szCs w:val="18"/>
              </w:rPr>
              <w:lastRenderedPageBreak/>
              <w:t>secretaría del ayuntamiento, contraloría, regidurías, sindicaturas, del año 2022.</w:t>
            </w:r>
          </w:p>
        </w:tc>
        <w:tc>
          <w:tcPr>
            <w:tcW w:w="5365" w:type="dxa"/>
          </w:tcPr>
          <w:p w14:paraId="069E79AE"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lastRenderedPageBreak/>
              <w:t xml:space="preserve">Respuesta/Informe Justificado: </w:t>
            </w:r>
            <w:r w:rsidRPr="00EA32BC">
              <w:rPr>
                <w:rFonts w:ascii="Palatino Linotype" w:eastAsia="Palatino Linotype" w:hAnsi="Palatino Linotype" w:cs="Palatino Linotype"/>
                <w:b/>
                <w:sz w:val="18"/>
                <w:szCs w:val="18"/>
                <w:u w:val="single"/>
              </w:rPr>
              <w:t>Dirección General de Administración:</w:t>
            </w:r>
            <w:r w:rsidRPr="00EA32BC">
              <w:rPr>
                <w:rFonts w:ascii="Palatino Linotype" w:eastAsia="Palatino Linotype" w:hAnsi="Palatino Linotype" w:cs="Palatino Linotype"/>
                <w:b/>
                <w:sz w:val="18"/>
                <w:szCs w:val="18"/>
              </w:rPr>
              <w:t xml:space="preserve"> </w:t>
            </w:r>
            <w:r w:rsidRPr="00EA32BC">
              <w:rPr>
                <w:rFonts w:ascii="Palatino Linotype" w:eastAsia="Palatino Linotype" w:hAnsi="Palatino Linotype" w:cs="Palatino Linotype"/>
                <w:sz w:val="18"/>
                <w:szCs w:val="18"/>
              </w:rPr>
              <w:t>Remite los recibos de nómina, en versión pública, la cual se aprobó mediante</w:t>
            </w:r>
            <w:r w:rsidRPr="00EA32BC">
              <w:rPr>
                <w:rFonts w:ascii="Palatino Linotype" w:eastAsia="Palatino Linotype" w:hAnsi="Palatino Linotype" w:cs="Palatino Linotype"/>
                <w:b/>
                <w:sz w:val="18"/>
                <w:szCs w:val="18"/>
              </w:rPr>
              <w:t xml:space="preserve"> </w:t>
            </w:r>
            <w:r w:rsidRPr="00EA32BC">
              <w:rPr>
                <w:rFonts w:ascii="Palatino Linotype" w:eastAsia="Palatino Linotype" w:hAnsi="Palatino Linotype" w:cs="Palatino Linotype"/>
                <w:sz w:val="18"/>
                <w:szCs w:val="18"/>
              </w:rPr>
              <w:t xml:space="preserve">el Acta de la Tricentésima Quincuagésima Primera Sesión Extraordinaria del Comité de </w:t>
            </w:r>
            <w:r w:rsidRPr="00EA32BC">
              <w:rPr>
                <w:rFonts w:ascii="Palatino Linotype" w:eastAsia="Palatino Linotype" w:hAnsi="Palatino Linotype" w:cs="Palatino Linotype"/>
                <w:sz w:val="18"/>
                <w:szCs w:val="18"/>
              </w:rPr>
              <w:lastRenderedPageBreak/>
              <w:t>Transparencia del Municipio de Toluca, administración 2022-2024.</w:t>
            </w:r>
          </w:p>
          <w:p w14:paraId="08AEC92D" w14:textId="77777777" w:rsidR="001A3FC3" w:rsidRPr="00EA32BC" w:rsidRDefault="001A3FC3">
            <w:pPr>
              <w:spacing w:line="276" w:lineRule="auto"/>
              <w:ind w:right="49"/>
              <w:jc w:val="both"/>
              <w:rPr>
                <w:rFonts w:ascii="Palatino Linotype" w:eastAsia="Palatino Linotype" w:hAnsi="Palatino Linotype" w:cs="Palatino Linotype"/>
                <w:sz w:val="18"/>
                <w:szCs w:val="18"/>
              </w:rPr>
            </w:pPr>
          </w:p>
          <w:p w14:paraId="34688955"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 xml:space="preserve"> </w:t>
            </w:r>
          </w:p>
        </w:tc>
        <w:tc>
          <w:tcPr>
            <w:tcW w:w="1835" w:type="dxa"/>
          </w:tcPr>
          <w:p w14:paraId="29694E62"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lastRenderedPageBreak/>
              <w:t>Parcialmente</w:t>
            </w:r>
          </w:p>
          <w:p w14:paraId="47F0CA89" w14:textId="77777777" w:rsidR="001A3FC3" w:rsidRPr="00EA32BC" w:rsidRDefault="001A3FC3">
            <w:pPr>
              <w:ind w:right="49"/>
              <w:jc w:val="both"/>
              <w:rPr>
                <w:rFonts w:ascii="Palatino Linotype" w:eastAsia="Palatino Linotype" w:hAnsi="Palatino Linotype" w:cs="Palatino Linotype"/>
                <w:b/>
                <w:sz w:val="18"/>
                <w:szCs w:val="18"/>
              </w:rPr>
            </w:pPr>
          </w:p>
          <w:p w14:paraId="7B96C7CD" w14:textId="77777777" w:rsidR="001A3FC3" w:rsidRPr="00EA32BC" w:rsidRDefault="00C612D2">
            <w:pPr>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u w:val="single"/>
              </w:rPr>
              <w:t>En la primera quincena</w:t>
            </w:r>
            <w:r w:rsidRPr="00EA32BC">
              <w:rPr>
                <w:rFonts w:ascii="Palatino Linotype" w:eastAsia="Palatino Linotype" w:hAnsi="Palatino Linotype" w:cs="Palatino Linotype"/>
                <w:sz w:val="18"/>
                <w:szCs w:val="18"/>
              </w:rPr>
              <w:t xml:space="preserve">, faltan los </w:t>
            </w:r>
            <w:r w:rsidRPr="00EA32BC">
              <w:rPr>
                <w:rFonts w:ascii="Palatino Linotype" w:eastAsia="Palatino Linotype" w:hAnsi="Palatino Linotype" w:cs="Palatino Linotype"/>
                <w:sz w:val="18"/>
                <w:szCs w:val="18"/>
              </w:rPr>
              <w:lastRenderedPageBreak/>
              <w:t xml:space="preserve">recibos de la segunda sindicatura y de diversas áreas que conforman a la Contraloría Municipal, como son: Departamento Resolutor de Responsabilidades Administrativas, Dirección de Investigación Responsabilidades Administrativas, Departamento de Auditoria Financiera y Dirección de Auditoria. </w:t>
            </w:r>
          </w:p>
          <w:p w14:paraId="627C021A" w14:textId="77777777" w:rsidR="001A3FC3" w:rsidRPr="00EA32BC" w:rsidRDefault="001A3FC3">
            <w:pPr>
              <w:ind w:right="49"/>
              <w:jc w:val="both"/>
              <w:rPr>
                <w:rFonts w:ascii="Palatino Linotype" w:eastAsia="Palatino Linotype" w:hAnsi="Palatino Linotype" w:cs="Palatino Linotype"/>
                <w:sz w:val="18"/>
                <w:szCs w:val="18"/>
              </w:rPr>
            </w:pPr>
          </w:p>
          <w:p w14:paraId="4A697863" w14:textId="77777777" w:rsidR="001A3FC3" w:rsidRPr="00EA32BC" w:rsidRDefault="00C612D2">
            <w:pPr>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u w:val="single"/>
              </w:rPr>
              <w:t>En la novena quincena</w:t>
            </w:r>
            <w:r w:rsidRPr="00EA32BC">
              <w:rPr>
                <w:rFonts w:ascii="Palatino Linotype" w:eastAsia="Palatino Linotype" w:hAnsi="Palatino Linotype" w:cs="Palatino Linotype"/>
                <w:sz w:val="18"/>
                <w:szCs w:val="18"/>
              </w:rPr>
              <w:t>, faltan los recibos de nómina de las sindicaturas y de la contraloría.</w:t>
            </w:r>
          </w:p>
        </w:tc>
      </w:tr>
      <w:tr w:rsidR="001A3FC3" w:rsidRPr="00EA32BC" w14:paraId="5986CB87" w14:textId="77777777">
        <w:tc>
          <w:tcPr>
            <w:tcW w:w="1579" w:type="dxa"/>
          </w:tcPr>
          <w:p w14:paraId="6059B580"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lastRenderedPageBreak/>
              <w:t>10.- Actividades desarrolladas de todo el personal de presidencia, secretaria del ayuntamiento, contraloría, regidurías, sindicaturas, del año 2022.</w:t>
            </w:r>
          </w:p>
        </w:tc>
        <w:tc>
          <w:tcPr>
            <w:tcW w:w="5365" w:type="dxa"/>
          </w:tcPr>
          <w:p w14:paraId="6C94DF97"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Presidencia:</w:t>
            </w:r>
            <w:r w:rsidRPr="00EA32BC">
              <w:rPr>
                <w:rFonts w:ascii="Palatino Linotype" w:eastAsia="Palatino Linotype" w:hAnsi="Palatino Linotype" w:cs="Palatino Linotype"/>
                <w:sz w:val="18"/>
                <w:szCs w:val="18"/>
              </w:rPr>
              <w:t xml:space="preserve"> Remite el Manual General de Organización y Manual General de Procedimientos de la Presidencia. </w:t>
            </w:r>
          </w:p>
          <w:p w14:paraId="265299DF" w14:textId="77777777" w:rsidR="001A3FC3" w:rsidRPr="00EA32BC" w:rsidRDefault="001A3FC3">
            <w:pPr>
              <w:spacing w:line="276" w:lineRule="auto"/>
              <w:ind w:right="49"/>
              <w:jc w:val="both"/>
              <w:rPr>
                <w:rFonts w:ascii="Palatino Linotype" w:eastAsia="Palatino Linotype" w:hAnsi="Palatino Linotype" w:cs="Palatino Linotype"/>
                <w:sz w:val="18"/>
                <w:szCs w:val="18"/>
              </w:rPr>
            </w:pPr>
          </w:p>
          <w:p w14:paraId="49E5B6C9"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 xml:space="preserve">Secretaría del Ayuntamiento: </w:t>
            </w:r>
            <w:r w:rsidRPr="00EA32BC">
              <w:rPr>
                <w:rFonts w:ascii="Palatino Linotype" w:eastAsia="Palatino Linotype" w:hAnsi="Palatino Linotype" w:cs="Palatino Linotype"/>
                <w:sz w:val="18"/>
                <w:szCs w:val="18"/>
              </w:rPr>
              <w:t>Las actividades se encuentran establecidas en diferentes ordenamientos jurídicos administrativos como lo son la Ley Orgánica Municipal del Estado de México y Municipios, Bando Municipal 2022, Código Reglamentario Municipal 2022 y Manual de Organización de la Secretaría del Ayuntamiento, remite ligas electrónicas para su consulta.</w:t>
            </w:r>
          </w:p>
          <w:p w14:paraId="0CA20E65" w14:textId="77777777" w:rsidR="001A3FC3" w:rsidRPr="00EA32BC" w:rsidRDefault="001A3FC3">
            <w:pPr>
              <w:spacing w:line="276" w:lineRule="auto"/>
              <w:ind w:right="49"/>
              <w:jc w:val="both"/>
              <w:rPr>
                <w:rFonts w:ascii="Palatino Linotype" w:eastAsia="Palatino Linotype" w:hAnsi="Palatino Linotype" w:cs="Palatino Linotype"/>
                <w:b/>
                <w:sz w:val="18"/>
                <w:szCs w:val="18"/>
              </w:rPr>
            </w:pPr>
          </w:p>
          <w:p w14:paraId="400EF635"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 xml:space="preserve">Contraloría: </w:t>
            </w:r>
            <w:r w:rsidRPr="00EA32BC">
              <w:rPr>
                <w:rFonts w:ascii="Palatino Linotype" w:eastAsia="Palatino Linotype" w:hAnsi="Palatino Linotype" w:cs="Palatino Linotype"/>
                <w:sz w:val="18"/>
                <w:szCs w:val="18"/>
              </w:rPr>
              <w:t>No se pronuncia</w:t>
            </w:r>
          </w:p>
          <w:p w14:paraId="19082DF7" w14:textId="77777777" w:rsidR="001A3FC3" w:rsidRPr="00EA32BC" w:rsidRDefault="001A3FC3">
            <w:pPr>
              <w:spacing w:line="276" w:lineRule="auto"/>
              <w:ind w:right="49"/>
              <w:jc w:val="both"/>
              <w:rPr>
                <w:rFonts w:ascii="Palatino Linotype" w:eastAsia="Palatino Linotype" w:hAnsi="Palatino Linotype" w:cs="Palatino Linotype"/>
                <w:b/>
                <w:sz w:val="18"/>
                <w:szCs w:val="18"/>
              </w:rPr>
            </w:pPr>
          </w:p>
          <w:p w14:paraId="69D826FB"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Regidurías: </w:t>
            </w:r>
          </w:p>
          <w:p w14:paraId="245C6B9D"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1ª. Regiduría:</w:t>
            </w:r>
            <w:r w:rsidRPr="00EA32BC">
              <w:rPr>
                <w:rFonts w:ascii="Palatino Linotype" w:eastAsia="Palatino Linotype" w:hAnsi="Palatino Linotype" w:cs="Palatino Linotype"/>
                <w:sz w:val="18"/>
                <w:szCs w:val="18"/>
              </w:rPr>
              <w:t xml:space="preserve"> Cita atribuciones del artículo 55 de la Ley Orgánica Municipal.</w:t>
            </w:r>
            <w:r w:rsidRPr="00EA32BC">
              <w:rPr>
                <w:rFonts w:ascii="Palatino Linotype" w:eastAsia="Palatino Linotype" w:hAnsi="Palatino Linotype" w:cs="Palatino Linotype"/>
                <w:b/>
                <w:sz w:val="18"/>
                <w:szCs w:val="18"/>
              </w:rPr>
              <w:t xml:space="preserve"> </w:t>
            </w:r>
          </w:p>
          <w:p w14:paraId="08992641" w14:textId="77777777" w:rsidR="001A3FC3" w:rsidRPr="00EA32BC" w:rsidRDefault="001A3FC3">
            <w:pPr>
              <w:spacing w:line="276" w:lineRule="auto"/>
              <w:ind w:right="49"/>
              <w:jc w:val="both"/>
              <w:rPr>
                <w:rFonts w:ascii="Palatino Linotype" w:eastAsia="Palatino Linotype" w:hAnsi="Palatino Linotype" w:cs="Palatino Linotype"/>
                <w:b/>
                <w:sz w:val="18"/>
                <w:szCs w:val="18"/>
              </w:rPr>
            </w:pPr>
          </w:p>
          <w:p w14:paraId="765D3246"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 xml:space="preserve">2ª. Regiduría: </w:t>
            </w:r>
            <w:r w:rsidRPr="00EA32BC">
              <w:rPr>
                <w:rFonts w:ascii="Palatino Linotype" w:eastAsia="Palatino Linotype" w:hAnsi="Palatino Linotype" w:cs="Palatino Linotype"/>
                <w:sz w:val="18"/>
                <w:szCs w:val="18"/>
              </w:rPr>
              <w:t xml:space="preserve">Adjunta un documento en el que da cuenta de la normatividad, funciones del personal y actividades relevantes. </w:t>
            </w:r>
          </w:p>
          <w:p w14:paraId="705E9D24" w14:textId="77777777" w:rsidR="001A3FC3" w:rsidRPr="00EA32BC" w:rsidRDefault="001A3FC3">
            <w:pPr>
              <w:spacing w:line="276" w:lineRule="auto"/>
              <w:ind w:right="49"/>
              <w:jc w:val="both"/>
              <w:rPr>
                <w:rFonts w:ascii="Palatino Linotype" w:eastAsia="Palatino Linotype" w:hAnsi="Palatino Linotype" w:cs="Palatino Linotype"/>
                <w:sz w:val="18"/>
                <w:szCs w:val="18"/>
              </w:rPr>
            </w:pPr>
          </w:p>
          <w:p w14:paraId="78BF55B3"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lastRenderedPageBreak/>
              <w:t xml:space="preserve">3ª. Regiduría: </w:t>
            </w:r>
          </w:p>
          <w:p w14:paraId="5F47BC52"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noProof/>
                <w:sz w:val="18"/>
                <w:szCs w:val="18"/>
                <w:lang w:val="es-MX"/>
              </w:rPr>
              <w:drawing>
                <wp:inline distT="0" distB="0" distL="0" distR="0" wp14:anchorId="3C4AE75E" wp14:editId="209AD080">
                  <wp:extent cx="2975353" cy="2148505"/>
                  <wp:effectExtent l="0" t="0" r="0" b="0"/>
                  <wp:docPr id="1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2975353" cy="2148505"/>
                          </a:xfrm>
                          <a:prstGeom prst="rect">
                            <a:avLst/>
                          </a:prstGeom>
                          <a:ln/>
                        </pic:spPr>
                      </pic:pic>
                    </a:graphicData>
                  </a:graphic>
                </wp:inline>
              </w:drawing>
            </w:r>
          </w:p>
          <w:p w14:paraId="5E107F36" w14:textId="77777777" w:rsidR="001A3FC3" w:rsidRPr="00EA32BC" w:rsidRDefault="001A3FC3">
            <w:pPr>
              <w:spacing w:line="276" w:lineRule="auto"/>
              <w:ind w:right="49"/>
              <w:jc w:val="both"/>
              <w:rPr>
                <w:rFonts w:ascii="Palatino Linotype" w:eastAsia="Palatino Linotype" w:hAnsi="Palatino Linotype" w:cs="Palatino Linotype"/>
                <w:b/>
                <w:sz w:val="18"/>
                <w:szCs w:val="18"/>
              </w:rPr>
            </w:pPr>
          </w:p>
          <w:p w14:paraId="39ED2A43"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4ª. Regiduría: </w:t>
            </w:r>
            <w:r w:rsidRPr="00EA32BC">
              <w:rPr>
                <w:rFonts w:ascii="Palatino Linotype" w:eastAsia="Palatino Linotype" w:hAnsi="Palatino Linotype" w:cs="Palatino Linotype"/>
                <w:b/>
                <w:noProof/>
                <w:sz w:val="18"/>
                <w:szCs w:val="18"/>
                <w:lang w:val="es-MX"/>
              </w:rPr>
              <w:drawing>
                <wp:inline distT="0" distB="0" distL="0" distR="0" wp14:anchorId="6E3D7FAF" wp14:editId="48585DD3">
                  <wp:extent cx="3162141" cy="3268970"/>
                  <wp:effectExtent l="0" t="0" r="0" b="0"/>
                  <wp:docPr id="10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162141" cy="3268970"/>
                          </a:xfrm>
                          <a:prstGeom prst="rect">
                            <a:avLst/>
                          </a:prstGeom>
                          <a:ln/>
                        </pic:spPr>
                      </pic:pic>
                    </a:graphicData>
                  </a:graphic>
                </wp:inline>
              </w:drawing>
            </w:r>
          </w:p>
          <w:p w14:paraId="5A7B188A"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5ª. Regiduría: </w:t>
            </w:r>
          </w:p>
          <w:p w14:paraId="3F695BEC"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noProof/>
                <w:sz w:val="18"/>
                <w:szCs w:val="18"/>
                <w:lang w:val="es-MX"/>
              </w:rPr>
              <w:drawing>
                <wp:inline distT="0" distB="0" distL="0" distR="0" wp14:anchorId="01144E3C" wp14:editId="0309FA77">
                  <wp:extent cx="3218365" cy="875794"/>
                  <wp:effectExtent l="0" t="0" r="0" b="0"/>
                  <wp:docPr id="1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218365" cy="875794"/>
                          </a:xfrm>
                          <a:prstGeom prst="rect">
                            <a:avLst/>
                          </a:prstGeom>
                          <a:ln/>
                        </pic:spPr>
                      </pic:pic>
                    </a:graphicData>
                  </a:graphic>
                </wp:inline>
              </w:drawing>
            </w:r>
          </w:p>
          <w:p w14:paraId="47F834E4" w14:textId="77777777" w:rsidR="001A3FC3" w:rsidRPr="00EA32BC" w:rsidRDefault="00C612D2">
            <w:pPr>
              <w:spacing w:line="276" w:lineRule="auto"/>
              <w:ind w:right="49"/>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 xml:space="preserve">6ª. y 7ª Regiduría: </w:t>
            </w:r>
            <w:r w:rsidRPr="00EA32BC">
              <w:rPr>
                <w:rFonts w:ascii="Palatino Linotype" w:eastAsia="Palatino Linotype" w:hAnsi="Palatino Linotype" w:cs="Palatino Linotype"/>
                <w:sz w:val="18"/>
                <w:szCs w:val="18"/>
              </w:rPr>
              <w:t>Citan atribuciones del artículo 55 de la Ley Orgánica Municipal.</w:t>
            </w:r>
          </w:p>
          <w:p w14:paraId="1811E599" w14:textId="77777777" w:rsidR="001A3FC3" w:rsidRPr="00EA32BC" w:rsidRDefault="001A3FC3">
            <w:pPr>
              <w:spacing w:line="276" w:lineRule="auto"/>
              <w:ind w:right="49"/>
              <w:jc w:val="both"/>
              <w:rPr>
                <w:rFonts w:ascii="Palatino Linotype" w:eastAsia="Palatino Linotype" w:hAnsi="Palatino Linotype" w:cs="Palatino Linotype"/>
                <w:sz w:val="18"/>
                <w:szCs w:val="18"/>
              </w:rPr>
            </w:pPr>
          </w:p>
          <w:p w14:paraId="01A1DF19"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lastRenderedPageBreak/>
              <w:t xml:space="preserve">8ª. Regiduría: </w:t>
            </w:r>
            <w:r w:rsidRPr="00EA32BC">
              <w:rPr>
                <w:rFonts w:ascii="Palatino Linotype" w:eastAsia="Palatino Linotype" w:hAnsi="Palatino Linotype" w:cs="Palatino Linotype"/>
                <w:sz w:val="18"/>
                <w:szCs w:val="18"/>
              </w:rPr>
              <w:t>No se pronuncia</w:t>
            </w:r>
          </w:p>
          <w:p w14:paraId="39F8849E" w14:textId="77777777" w:rsidR="001A3FC3" w:rsidRPr="00EA32BC" w:rsidRDefault="001A3FC3">
            <w:pPr>
              <w:spacing w:line="276" w:lineRule="auto"/>
              <w:ind w:right="49"/>
              <w:jc w:val="both"/>
              <w:rPr>
                <w:rFonts w:ascii="Palatino Linotype" w:eastAsia="Palatino Linotype" w:hAnsi="Palatino Linotype" w:cs="Palatino Linotype"/>
                <w:b/>
                <w:sz w:val="18"/>
                <w:szCs w:val="18"/>
              </w:rPr>
            </w:pPr>
          </w:p>
          <w:p w14:paraId="0E0486A2"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9ª. Regiduría: </w:t>
            </w:r>
            <w:r w:rsidRPr="00EA32BC">
              <w:rPr>
                <w:rFonts w:ascii="Palatino Linotype" w:eastAsia="Palatino Linotype" w:hAnsi="Palatino Linotype" w:cs="Palatino Linotype"/>
                <w:b/>
                <w:noProof/>
                <w:sz w:val="18"/>
                <w:szCs w:val="18"/>
                <w:lang w:val="es-MX"/>
              </w:rPr>
              <w:drawing>
                <wp:inline distT="0" distB="0" distL="0" distR="0" wp14:anchorId="30DA5038" wp14:editId="42444108">
                  <wp:extent cx="3121721" cy="432991"/>
                  <wp:effectExtent l="0" t="0" r="0" b="0"/>
                  <wp:docPr id="1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121721" cy="432991"/>
                          </a:xfrm>
                          <a:prstGeom prst="rect">
                            <a:avLst/>
                          </a:prstGeom>
                          <a:ln/>
                        </pic:spPr>
                      </pic:pic>
                    </a:graphicData>
                  </a:graphic>
                </wp:inline>
              </w:drawing>
            </w:r>
          </w:p>
          <w:p w14:paraId="5EAD9CA3"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10ª. Regiduría: </w:t>
            </w:r>
          </w:p>
          <w:p w14:paraId="455F045D"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noProof/>
                <w:sz w:val="18"/>
                <w:szCs w:val="18"/>
                <w:lang w:val="es-MX"/>
              </w:rPr>
              <w:drawing>
                <wp:inline distT="0" distB="0" distL="0" distR="0" wp14:anchorId="4F7FA270" wp14:editId="6E8792A1">
                  <wp:extent cx="3183391" cy="1304553"/>
                  <wp:effectExtent l="0" t="0" r="0" b="0"/>
                  <wp:docPr id="1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183391" cy="1304553"/>
                          </a:xfrm>
                          <a:prstGeom prst="rect">
                            <a:avLst/>
                          </a:prstGeom>
                          <a:ln/>
                        </pic:spPr>
                      </pic:pic>
                    </a:graphicData>
                  </a:graphic>
                </wp:inline>
              </w:drawing>
            </w:r>
          </w:p>
          <w:p w14:paraId="693733E2" w14:textId="77777777" w:rsidR="001A3FC3" w:rsidRPr="00EA32BC" w:rsidRDefault="001A3FC3">
            <w:pPr>
              <w:spacing w:line="276" w:lineRule="auto"/>
              <w:ind w:right="49"/>
              <w:jc w:val="both"/>
              <w:rPr>
                <w:rFonts w:ascii="Palatino Linotype" w:eastAsia="Palatino Linotype" w:hAnsi="Palatino Linotype" w:cs="Palatino Linotype"/>
                <w:b/>
                <w:sz w:val="18"/>
                <w:szCs w:val="18"/>
              </w:rPr>
            </w:pPr>
          </w:p>
          <w:p w14:paraId="05CE459D"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11ª. Regiduría: </w:t>
            </w:r>
            <w:r w:rsidRPr="00EA32BC">
              <w:rPr>
                <w:rFonts w:ascii="Palatino Linotype" w:eastAsia="Palatino Linotype" w:hAnsi="Palatino Linotype" w:cs="Palatino Linotype"/>
                <w:b/>
                <w:noProof/>
                <w:sz w:val="18"/>
                <w:szCs w:val="18"/>
                <w:lang w:val="es-MX"/>
              </w:rPr>
              <w:drawing>
                <wp:inline distT="0" distB="0" distL="0" distR="0" wp14:anchorId="62111290" wp14:editId="440203B1">
                  <wp:extent cx="3240844" cy="468052"/>
                  <wp:effectExtent l="0" t="0" r="0" b="0"/>
                  <wp:docPr id="1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240844" cy="468052"/>
                          </a:xfrm>
                          <a:prstGeom prst="rect">
                            <a:avLst/>
                          </a:prstGeom>
                          <a:ln/>
                        </pic:spPr>
                      </pic:pic>
                    </a:graphicData>
                  </a:graphic>
                </wp:inline>
              </w:drawing>
            </w:r>
          </w:p>
          <w:p w14:paraId="555149B6" w14:textId="77777777" w:rsidR="001A3FC3" w:rsidRPr="00EA32BC" w:rsidRDefault="001A3FC3">
            <w:pPr>
              <w:spacing w:line="276" w:lineRule="auto"/>
              <w:ind w:right="49"/>
              <w:jc w:val="both"/>
              <w:rPr>
                <w:rFonts w:ascii="Palatino Linotype" w:eastAsia="Palatino Linotype" w:hAnsi="Palatino Linotype" w:cs="Palatino Linotype"/>
                <w:b/>
                <w:sz w:val="18"/>
                <w:szCs w:val="18"/>
              </w:rPr>
            </w:pPr>
          </w:p>
          <w:p w14:paraId="2A85B55E"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12ª. Regiduría: </w:t>
            </w:r>
          </w:p>
          <w:p w14:paraId="668BA05A"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noProof/>
                <w:sz w:val="18"/>
                <w:szCs w:val="18"/>
                <w:lang w:val="es-MX"/>
              </w:rPr>
              <w:drawing>
                <wp:inline distT="0" distB="0" distL="0" distR="0" wp14:anchorId="1C546DED" wp14:editId="6E09E1A8">
                  <wp:extent cx="2912990" cy="2874322"/>
                  <wp:effectExtent l="0" t="0" r="0" b="0"/>
                  <wp:docPr id="1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912990" cy="2874322"/>
                          </a:xfrm>
                          <a:prstGeom prst="rect">
                            <a:avLst/>
                          </a:prstGeom>
                          <a:ln/>
                        </pic:spPr>
                      </pic:pic>
                    </a:graphicData>
                  </a:graphic>
                </wp:inline>
              </w:drawing>
            </w:r>
          </w:p>
          <w:p w14:paraId="1593884C" w14:textId="77777777" w:rsidR="001A3FC3" w:rsidRPr="00EA32BC" w:rsidRDefault="00C612D2">
            <w:pPr>
              <w:spacing w:line="276" w:lineRule="auto"/>
              <w:ind w:right="49"/>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Sindicaturas: </w:t>
            </w:r>
            <w:r w:rsidRPr="00EA32BC">
              <w:rPr>
                <w:rFonts w:ascii="Palatino Linotype" w:eastAsia="Palatino Linotype" w:hAnsi="Palatino Linotype" w:cs="Palatino Linotype"/>
                <w:sz w:val="18"/>
                <w:szCs w:val="18"/>
              </w:rPr>
              <w:t>Citan las atribuciones previstas en los artículos 52 y 53 de la Ley Orgánica Municipal.</w:t>
            </w:r>
            <w:r w:rsidRPr="00EA32BC">
              <w:rPr>
                <w:rFonts w:ascii="Palatino Linotype" w:eastAsia="Palatino Linotype" w:hAnsi="Palatino Linotype" w:cs="Palatino Linotype"/>
                <w:b/>
                <w:sz w:val="18"/>
                <w:szCs w:val="18"/>
              </w:rPr>
              <w:t xml:space="preserve">  </w:t>
            </w:r>
          </w:p>
        </w:tc>
        <w:tc>
          <w:tcPr>
            <w:tcW w:w="1835" w:type="dxa"/>
          </w:tcPr>
          <w:p w14:paraId="57E078CA" w14:textId="77777777" w:rsidR="001A3FC3" w:rsidRPr="00EA32BC" w:rsidRDefault="00C612D2">
            <w:pPr>
              <w:spacing w:line="276" w:lineRule="auto"/>
              <w:ind w:right="49"/>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lastRenderedPageBreak/>
              <w:t>Parcialmente</w:t>
            </w:r>
          </w:p>
        </w:tc>
      </w:tr>
    </w:tbl>
    <w:p w14:paraId="233AD455" w14:textId="77777777" w:rsidR="001A3FC3" w:rsidRPr="00EA32BC" w:rsidRDefault="001A3FC3">
      <w:pPr>
        <w:spacing w:line="360" w:lineRule="auto"/>
        <w:jc w:val="both"/>
        <w:rPr>
          <w:rFonts w:ascii="Palatino Linotype" w:eastAsia="Palatino Linotype" w:hAnsi="Palatino Linotype" w:cs="Palatino Linotype"/>
          <w:i/>
        </w:rPr>
      </w:pPr>
    </w:p>
    <w:p w14:paraId="22F09600" w14:textId="77777777" w:rsidR="001A3FC3" w:rsidRPr="00EA32BC" w:rsidRDefault="00C612D2">
      <w:pPr>
        <w:spacing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lastRenderedPageBreak/>
        <w:t xml:space="preserve">Teniendo esto en cuenta, se procede al estudio de los puntos identificados con los numerales </w:t>
      </w:r>
      <w:r w:rsidRPr="00EA32BC">
        <w:rPr>
          <w:rFonts w:ascii="Palatino Linotype" w:eastAsia="Palatino Linotype" w:hAnsi="Palatino Linotype" w:cs="Palatino Linotype"/>
          <w:b/>
        </w:rPr>
        <w:t>2, 5, 7, 8, 9 y 10</w:t>
      </w:r>
      <w:r w:rsidRPr="00EA32BC">
        <w:rPr>
          <w:rFonts w:ascii="Palatino Linotype" w:eastAsia="Palatino Linotype" w:hAnsi="Palatino Linotype" w:cs="Palatino Linotype"/>
        </w:rPr>
        <w:t xml:space="preserve">  de manera pormenorizada:</w:t>
      </w:r>
    </w:p>
    <w:p w14:paraId="02B73EAB" w14:textId="77777777" w:rsidR="001A3FC3" w:rsidRPr="00EA32BC" w:rsidRDefault="001A3FC3">
      <w:pPr>
        <w:spacing w:line="360" w:lineRule="auto"/>
        <w:jc w:val="both"/>
        <w:rPr>
          <w:rFonts w:ascii="Palatino Linotype" w:eastAsia="Palatino Linotype" w:hAnsi="Palatino Linotype" w:cs="Palatino Linotype"/>
        </w:rPr>
      </w:pPr>
    </w:p>
    <w:p w14:paraId="4AEBD03B" w14:textId="77777777" w:rsidR="001A3FC3" w:rsidRPr="00EA32BC" w:rsidRDefault="00C612D2">
      <w:pPr>
        <w:spacing w:line="360" w:lineRule="auto"/>
        <w:jc w:val="both"/>
        <w:rPr>
          <w:rFonts w:ascii="Palatino Linotype" w:eastAsia="Palatino Linotype" w:hAnsi="Palatino Linotype" w:cs="Palatino Linotype"/>
          <w:b/>
        </w:rPr>
      </w:pPr>
      <w:r w:rsidRPr="00EA32BC">
        <w:rPr>
          <w:rFonts w:ascii="Palatino Linotype" w:eastAsia="Palatino Linotype" w:hAnsi="Palatino Linotype" w:cs="Palatino Linotype"/>
          <w:b/>
        </w:rPr>
        <w:t>2) Los convenios con los medios de comunicación de enero a junio del año 2022.</w:t>
      </w:r>
    </w:p>
    <w:p w14:paraId="53A0446C"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Previo estudio del asunto, conviene iniciar señalando que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turnó la solicitud a la </w:t>
      </w:r>
      <w:r w:rsidRPr="00EA32BC">
        <w:rPr>
          <w:rFonts w:ascii="Palatino Linotype" w:eastAsia="Palatino Linotype" w:hAnsi="Palatino Linotype" w:cs="Palatino Linotype"/>
          <w:b/>
          <w:u w:val="single"/>
        </w:rPr>
        <w:t>Coordinación General de Comunicación Social</w:t>
      </w:r>
      <w:r w:rsidRPr="00EA32BC">
        <w:rPr>
          <w:rFonts w:ascii="Palatino Linotype" w:eastAsia="Palatino Linotype" w:hAnsi="Palatino Linotype" w:cs="Palatino Linotype"/>
        </w:rPr>
        <w:t>, quien señaló que</w:t>
      </w:r>
      <w:r w:rsidRPr="00EA32BC">
        <w:rPr>
          <w:rFonts w:ascii="Palatino Linotype" w:eastAsia="Palatino Linotype" w:hAnsi="Palatino Linotype" w:cs="Palatino Linotype"/>
          <w:b/>
          <w:u w:val="single"/>
        </w:rPr>
        <w:t xml:space="preserve"> </w:t>
      </w:r>
      <w:r w:rsidRPr="00EA32BC">
        <w:rPr>
          <w:rFonts w:ascii="Palatino Linotype" w:eastAsia="Palatino Linotype" w:hAnsi="Palatino Linotype" w:cs="Palatino Linotype"/>
        </w:rPr>
        <w:t xml:space="preserve">después de una búsqueda exhaustiva y razonable en sus archivos, no se cuenta con la información solicitada dentro de los registros y archivos de esta Coordinación, debido a que esta no cuenta con las facultades para generar o firmar ningún tipo de convenio, contrato o pago por los mismos, si bien es cierto se pronunció la unidad administrativa encargada de llevar las cuestiones de comunicación del ayuntamiento, no se satisfizo en su totalidad el derecho de acceso el derecho de acceso a la información pública del ahora </w:t>
      </w:r>
      <w:r w:rsidRPr="00EA32BC">
        <w:rPr>
          <w:rFonts w:ascii="Palatino Linotype" w:eastAsia="Palatino Linotype" w:hAnsi="Palatino Linotype" w:cs="Palatino Linotype"/>
          <w:b/>
        </w:rPr>
        <w:t>Recurrente</w:t>
      </w:r>
      <w:r w:rsidRPr="00EA32BC">
        <w:rPr>
          <w:rFonts w:ascii="Palatino Linotype" w:eastAsia="Palatino Linotype" w:hAnsi="Palatino Linotype" w:cs="Palatino Linotype"/>
        </w:rPr>
        <w:t>, toda vez que no se advierte una correcta búsqueda exhaustiva y razonable de la información solicitada por el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w:t>
      </w:r>
      <w:r w:rsidRPr="00EA32BC">
        <w:rPr>
          <w:rFonts w:ascii="Palatino Linotype" w:eastAsia="Palatino Linotype" w:hAnsi="Palatino Linotype" w:cs="Palatino Linotype"/>
          <w:b/>
          <w:u w:val="single"/>
        </w:rPr>
        <w:t xml:space="preserve"> Presidencia Municipal, Coordinación de Estudios y Reglamentación Municipal y Dirección General de Administración</w:t>
      </w:r>
      <w:r w:rsidRPr="00EA32BC">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466DBDAC" w14:textId="77777777" w:rsidR="001A3FC3" w:rsidRPr="00EA32BC" w:rsidRDefault="00C612D2">
      <w:pPr>
        <w:spacing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lastRenderedPageBreak/>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7B125289" w14:textId="77777777" w:rsidR="001A3FC3" w:rsidRPr="00EA32BC" w:rsidRDefault="00C612D2">
      <w:pPr>
        <w:spacing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08F556EC" w14:textId="77777777" w:rsidR="001A3FC3" w:rsidRPr="00EA32BC" w:rsidRDefault="00C612D2">
      <w:pPr>
        <w:spacing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471446AB" w14:textId="77777777" w:rsidR="001A3FC3" w:rsidRPr="00EA32BC" w:rsidRDefault="00C612D2">
      <w:pPr>
        <w:spacing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6FE7EB08" w14:textId="77777777" w:rsidR="001A3FC3" w:rsidRPr="00EA32BC" w:rsidRDefault="00C612D2">
      <w:pPr>
        <w:spacing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deberá ofrecer otras; por lo cual, deberá fundar y motivar la necesidad de modificar el medio de entrega, y </w:t>
      </w:r>
    </w:p>
    <w:p w14:paraId="2F3074BD" w14:textId="77777777" w:rsidR="001A3FC3" w:rsidRPr="00EA32BC" w:rsidRDefault="00C612D2">
      <w:pPr>
        <w:spacing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lastRenderedPageBreak/>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70FB409D"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En este orden de ideas, se reitera que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w:t>
      </w:r>
      <w:r w:rsidRPr="00EA32BC">
        <w:rPr>
          <w:rFonts w:ascii="Palatino Linotype" w:eastAsia="Palatino Linotype" w:hAnsi="Palatino Linotype" w:cs="Palatino Linotype"/>
          <w:b/>
          <w:u w:val="single"/>
        </w:rPr>
        <w:t>la Presidencia Municipal, Coordinación de Estudios y Reglamentación Municipal y Dirección General de Administración</w:t>
      </w:r>
      <w:r w:rsidRPr="00EA32BC">
        <w:rPr>
          <w:rFonts w:ascii="Palatino Linotype" w:eastAsia="Palatino Linotype" w:hAnsi="Palatino Linotype" w:cs="Palatino Linotype"/>
        </w:rPr>
        <w:t xml:space="preserve">, ello de conformidad con lo previsto por el Código Reglamentario Municipal y el Manual General de Organización del Sector Central de la Administración Pública Municipal de Toluca 2022-2024, mismos que se insertan a continuación para mejor proveer del presente estudio: </w:t>
      </w:r>
    </w:p>
    <w:p w14:paraId="71EAAB96" w14:textId="77777777" w:rsidR="001A3FC3" w:rsidRPr="00EA32BC" w:rsidRDefault="00C612D2">
      <w:pPr>
        <w:spacing w:before="240" w:after="240" w:line="360" w:lineRule="auto"/>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 xml:space="preserve">Código Reglamentario Municipal: </w:t>
      </w:r>
    </w:p>
    <w:p w14:paraId="52C590B4"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“Artículo 3.8. Corresponde a las o los titulares de las dependencias, el ejercicio de las siguientes atribuciones genéricas:</w:t>
      </w:r>
    </w:p>
    <w:p w14:paraId="004D22EF"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2A41E0A0"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 xml:space="preserve">XX. </w:t>
      </w:r>
      <w:r w:rsidRPr="00EA32BC">
        <w:rPr>
          <w:rFonts w:ascii="Palatino Linotype" w:eastAsia="Palatino Linotype" w:hAnsi="Palatino Linotype" w:cs="Palatino Linotype"/>
          <w:b/>
          <w:i/>
          <w:sz w:val="22"/>
          <w:szCs w:val="22"/>
        </w:rPr>
        <w:t>Proponer al presidente municipal la celebración de convenios</w:t>
      </w:r>
      <w:r w:rsidRPr="00EA32BC">
        <w:rPr>
          <w:rFonts w:ascii="Palatino Linotype" w:eastAsia="Palatino Linotype" w:hAnsi="Palatino Linotype" w:cs="Palatino Linotype"/>
          <w:i/>
          <w:sz w:val="22"/>
          <w:szCs w:val="22"/>
        </w:rPr>
        <w:t xml:space="preserve"> y contratos con los demás ámbitos de gobierno, así como </w:t>
      </w:r>
      <w:r w:rsidRPr="00EA32BC">
        <w:rPr>
          <w:rFonts w:ascii="Palatino Linotype" w:eastAsia="Palatino Linotype" w:hAnsi="Palatino Linotype" w:cs="Palatino Linotype"/>
          <w:b/>
          <w:i/>
          <w:sz w:val="22"/>
          <w:szCs w:val="22"/>
        </w:rPr>
        <w:t>con organizaciones de la sociedad civil y la iniciativa privada</w:t>
      </w:r>
      <w:r w:rsidRPr="00EA32BC">
        <w:rPr>
          <w:rFonts w:ascii="Palatino Linotype" w:eastAsia="Palatino Linotype" w:hAnsi="Palatino Linotype" w:cs="Palatino Linotype"/>
          <w:i/>
          <w:sz w:val="22"/>
          <w:szCs w:val="22"/>
        </w:rPr>
        <w:t xml:space="preserve"> en los temas que sean materia de su competencia; y</w:t>
      </w:r>
    </w:p>
    <w:p w14:paraId="3C531DA3"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5BA4D154" w14:textId="77777777" w:rsidR="001A3FC3" w:rsidRPr="00EA32BC" w:rsidRDefault="00C612D2">
      <w:pPr>
        <w:spacing w:before="240" w:after="240" w:line="276" w:lineRule="auto"/>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i/>
          <w:sz w:val="22"/>
          <w:szCs w:val="22"/>
        </w:rPr>
        <w:t xml:space="preserve">Artículo 3.17. </w:t>
      </w:r>
      <w:r w:rsidRPr="00EA32BC">
        <w:rPr>
          <w:rFonts w:ascii="Palatino Linotype" w:eastAsia="Palatino Linotype" w:hAnsi="Palatino Linotype" w:cs="Palatino Linotype"/>
          <w:b/>
          <w:i/>
          <w:sz w:val="22"/>
          <w:szCs w:val="22"/>
        </w:rPr>
        <w:t>La o el titular de la Coordinación de Estudios y Reglamentación Municipal, tendrá las siguientes atribuciones:</w:t>
      </w:r>
    </w:p>
    <w:p w14:paraId="5CFF588F"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lastRenderedPageBreak/>
        <w:t xml:space="preserve">I. </w:t>
      </w:r>
      <w:r w:rsidRPr="00EA32BC">
        <w:rPr>
          <w:rFonts w:ascii="Palatino Linotype" w:eastAsia="Palatino Linotype" w:hAnsi="Palatino Linotype" w:cs="Palatino Linotype"/>
          <w:b/>
          <w:i/>
          <w:sz w:val="22"/>
          <w:szCs w:val="22"/>
          <w:u w:val="single"/>
        </w:rPr>
        <w:t>Analizar, elaborar, validar y resguardar</w:t>
      </w:r>
      <w:r w:rsidRPr="00EA32BC">
        <w:rPr>
          <w:rFonts w:ascii="Palatino Linotype" w:eastAsia="Palatino Linotype" w:hAnsi="Palatino Linotype" w:cs="Palatino Linotype"/>
          <w:i/>
          <w:sz w:val="22"/>
          <w:szCs w:val="22"/>
        </w:rPr>
        <w:t xml:space="preserve"> acuerdos, contratos y </w:t>
      </w:r>
      <w:r w:rsidRPr="00EA32BC">
        <w:rPr>
          <w:rFonts w:ascii="Palatino Linotype" w:eastAsia="Palatino Linotype" w:hAnsi="Palatino Linotype" w:cs="Palatino Linotype"/>
          <w:b/>
          <w:i/>
          <w:sz w:val="22"/>
          <w:szCs w:val="22"/>
          <w:u w:val="single"/>
        </w:rPr>
        <w:t>convenios que celebre o emita el Ayuntamiento y sus dependencias en el ámbito de sus competencias;”</w:t>
      </w:r>
      <w:r w:rsidRPr="00EA32BC">
        <w:rPr>
          <w:rFonts w:ascii="Palatino Linotype" w:eastAsia="Palatino Linotype" w:hAnsi="Palatino Linotype" w:cs="Palatino Linotype"/>
          <w:i/>
          <w:sz w:val="22"/>
          <w:szCs w:val="22"/>
        </w:rPr>
        <w:t>(Sic) (Énfasis añadido)</w:t>
      </w:r>
    </w:p>
    <w:p w14:paraId="4AF54602" w14:textId="77777777" w:rsidR="001A3FC3" w:rsidRPr="00EA32BC" w:rsidRDefault="00C612D2">
      <w:pPr>
        <w:spacing w:before="240" w:after="240" w:line="360" w:lineRule="auto"/>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Manual General de Organización del Sector Central de la Administración Pública Municipal de Toluca 2022-2024:</w:t>
      </w:r>
    </w:p>
    <w:p w14:paraId="3E8B8F52" w14:textId="77777777" w:rsidR="001A3FC3" w:rsidRPr="00EA32BC" w:rsidRDefault="00C612D2">
      <w:pPr>
        <w:spacing w:before="240" w:after="240" w:line="360" w:lineRule="auto"/>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“200000000 Presidencia Municipal</w:t>
      </w:r>
      <w:r w:rsidRPr="00EA32BC">
        <w:rPr>
          <w:rFonts w:ascii="Palatino Linotype" w:eastAsia="Palatino Linotype" w:hAnsi="Palatino Linotype" w:cs="Palatino Linotype"/>
          <w:b/>
          <w:i/>
          <w:sz w:val="22"/>
          <w:szCs w:val="22"/>
        </w:rPr>
        <w:br/>
      </w:r>
      <w:r w:rsidRPr="00EA32BC">
        <w:t xml:space="preserve"> </w:t>
      </w:r>
      <w:r w:rsidRPr="00EA32BC">
        <w:rPr>
          <w:rFonts w:ascii="Palatino Linotype" w:eastAsia="Palatino Linotype" w:hAnsi="Palatino Linotype" w:cs="Palatino Linotype"/>
          <w:b/>
          <w:i/>
          <w:sz w:val="22"/>
          <w:szCs w:val="22"/>
        </w:rPr>
        <w:t>Funciones:</w:t>
      </w:r>
    </w:p>
    <w:p w14:paraId="0B061967" w14:textId="77777777" w:rsidR="001A3FC3" w:rsidRPr="00EA32BC" w:rsidRDefault="00C612D2">
      <w:pPr>
        <w:spacing w:before="240" w:after="240" w:line="276" w:lineRule="auto"/>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i/>
          <w:sz w:val="22"/>
          <w:szCs w:val="22"/>
        </w:rPr>
        <w:t xml:space="preserve">12. </w:t>
      </w:r>
      <w:r w:rsidRPr="00EA32BC">
        <w:rPr>
          <w:rFonts w:ascii="Palatino Linotype" w:eastAsia="Palatino Linotype" w:hAnsi="Palatino Linotype" w:cs="Palatino Linotype"/>
          <w:b/>
          <w:i/>
          <w:sz w:val="22"/>
          <w:szCs w:val="22"/>
        </w:rPr>
        <w:t>Celebrar, con acuerdo y autorización del H. Ayuntamiento, los convenios necesarios</w:t>
      </w: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para la prestación de los servicios públicos, construcción de obras y en general, para la ejecución de cualquier programa municipal;</w:t>
      </w:r>
    </w:p>
    <w:p w14:paraId="04094B61" w14:textId="77777777" w:rsidR="001A3FC3" w:rsidRPr="00EA32BC" w:rsidRDefault="00C612D2">
      <w:pPr>
        <w:spacing w:before="240" w:after="240" w:line="276" w:lineRule="auto"/>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i/>
          <w:sz w:val="22"/>
          <w:szCs w:val="22"/>
        </w:rPr>
        <w:t>…</w:t>
      </w:r>
    </w:p>
    <w:p w14:paraId="739D7C3C" w14:textId="77777777" w:rsidR="001A3FC3" w:rsidRPr="00EA32BC" w:rsidRDefault="00C612D2">
      <w:pPr>
        <w:spacing w:before="240" w:after="240" w:line="276" w:lineRule="auto"/>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206010000 Dirección General de Administración</w:t>
      </w:r>
      <w:r w:rsidRPr="00EA32BC">
        <w:rPr>
          <w:rFonts w:ascii="Palatino Linotype" w:eastAsia="Palatino Linotype" w:hAnsi="Palatino Linotype" w:cs="Palatino Linotype"/>
          <w:b/>
          <w:i/>
          <w:sz w:val="22"/>
          <w:szCs w:val="22"/>
        </w:rPr>
        <w:br/>
      </w:r>
      <w:r w:rsidRPr="00EA32BC">
        <w:t xml:space="preserve"> </w:t>
      </w:r>
      <w:r w:rsidRPr="00EA32BC">
        <w:rPr>
          <w:rFonts w:ascii="Palatino Linotype" w:eastAsia="Palatino Linotype" w:hAnsi="Palatino Linotype" w:cs="Palatino Linotype"/>
          <w:b/>
          <w:i/>
          <w:sz w:val="22"/>
          <w:szCs w:val="22"/>
        </w:rPr>
        <w:t>Funciones:</w:t>
      </w:r>
    </w:p>
    <w:p w14:paraId="7BB40C3E" w14:textId="77777777" w:rsidR="001A3FC3" w:rsidRPr="00EA32BC" w:rsidRDefault="00C612D2">
      <w:pPr>
        <w:spacing w:before="240" w:after="240" w:line="276" w:lineRule="auto"/>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7. Organizar y autorizar procedimientos de adquisiciones y contratación de servicios, arrendamiento de inmuebles, así como enajenación y subasta de bienes de una manera eficiente y transparente, apegados a la normatividad correspondiente;</w:t>
      </w:r>
    </w:p>
    <w:p w14:paraId="4546AFDE" w14:textId="77777777" w:rsidR="001A3FC3" w:rsidRPr="00EA32BC" w:rsidRDefault="00C612D2">
      <w:pPr>
        <w:spacing w:before="240" w:after="240" w:line="276" w:lineRule="auto"/>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w:t>
      </w:r>
    </w:p>
    <w:p w14:paraId="43D5AF8A" w14:textId="77777777" w:rsidR="001A3FC3" w:rsidRPr="00EA32BC" w:rsidRDefault="00C612D2">
      <w:pPr>
        <w:spacing w:before="240" w:after="240" w:line="276" w:lineRule="auto"/>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 xml:space="preserve">10. Coordinar la adquisición de bienes y contratación de servicios mediante los procedimientos establecidos en la normatividad aplicable, procurando obtener el mejor precio de mercado sin renunciar a la calidad de los mismos, para cubrir las necesidades de las diferentes áreas que integran la administración pública municipal;” </w:t>
      </w:r>
      <w:r w:rsidRPr="00EA32BC">
        <w:rPr>
          <w:rFonts w:ascii="Palatino Linotype" w:eastAsia="Palatino Linotype" w:hAnsi="Palatino Linotype" w:cs="Palatino Linotype"/>
          <w:i/>
          <w:sz w:val="22"/>
          <w:szCs w:val="22"/>
        </w:rPr>
        <w:t>(Sic) (Énfasis añadido)</w:t>
      </w:r>
    </w:p>
    <w:p w14:paraId="77BC1D71"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Es por lo anteriormente citado que se estima que dentro de la estructura orgánica del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existen áreas en las que pudo agotarse la búsqueda exhaustiva y razonable, para efecto de localizar la información, por lo que se estima pertinente </w:t>
      </w:r>
      <w:r w:rsidRPr="00EA32BC">
        <w:rPr>
          <w:rFonts w:ascii="Palatino Linotype" w:eastAsia="Palatino Linotype" w:hAnsi="Palatino Linotype" w:cs="Palatino Linotype"/>
        </w:rPr>
        <w:lastRenderedPageBreak/>
        <w:t xml:space="preserve">ordenar una nueva búsqueda en las áreas previamente señaladas para efecto de localizar los convenios celebrados con los medios de comunicación. </w:t>
      </w:r>
    </w:p>
    <w:p w14:paraId="06C26FDD" w14:textId="77777777" w:rsidR="001A3FC3" w:rsidRPr="00EA32BC" w:rsidRDefault="00C612D2">
      <w:pPr>
        <w:spacing w:before="240" w:after="240"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rPr>
        <w:t>Finalmente, resulta importante señalar que si bien es cierto, el solicitante señaló que requiere la información de los meses de enero a junio del dos mil veintidós, no menos cierto es que la solicitud de información se tuvo por presentada el treinta de mayo de dos mil veintidós, por lo tanto, no es procedente ordenar la entrega de los convenios al mes de junio, toda vez que nos encontraríamos ante un hecho futuro e incierto, es por ello que la entrega de los convenios con los medios de comunicación comprenderán del periodo del primero de enero al treinta de mayo de dos mil veintidós, no obstante, si derivado de la búsqueda que se ordena no se llegara a localizar información por no haberse firmado algún convenio con medios de comunicación,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14:paraId="6C4A35D8" w14:textId="77777777" w:rsidR="001A3FC3" w:rsidRPr="00EA32BC" w:rsidRDefault="00C612D2">
      <w:pPr>
        <w:spacing w:before="120" w:after="120"/>
        <w:ind w:left="851" w:right="902"/>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Artículo 19</w:t>
      </w:r>
    </w:p>
    <w:p w14:paraId="76008106" w14:textId="77777777" w:rsidR="001A3FC3" w:rsidRPr="00EA32BC" w:rsidRDefault="00C612D2">
      <w:pPr>
        <w:spacing w:before="120" w:after="120"/>
        <w:ind w:left="851"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0C62B034" w14:textId="77777777" w:rsidR="001A3FC3" w:rsidRPr="00EA32BC" w:rsidRDefault="00C612D2">
      <w:pPr>
        <w:spacing w:before="120" w:after="120"/>
        <w:ind w:left="851"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410E7975" w14:textId="77777777" w:rsidR="001A3FC3" w:rsidRPr="00EA32BC" w:rsidRDefault="001A3FC3">
      <w:pPr>
        <w:spacing w:before="120" w:after="120"/>
        <w:ind w:left="851" w:right="902"/>
        <w:jc w:val="both"/>
        <w:rPr>
          <w:rFonts w:ascii="Palatino Linotype" w:eastAsia="Palatino Linotype" w:hAnsi="Palatino Linotype" w:cs="Palatino Linotype"/>
          <w:i/>
          <w:sz w:val="22"/>
          <w:szCs w:val="22"/>
        </w:rPr>
      </w:pPr>
    </w:p>
    <w:p w14:paraId="63564AAE" w14:textId="77777777" w:rsidR="001A3FC3" w:rsidRPr="00EA32BC" w:rsidRDefault="00C612D2">
      <w:pPr>
        <w:spacing w:before="240" w:after="240" w:line="360" w:lineRule="auto"/>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5) Todas las actas de la Comisión edilicia de transparencia.</w:t>
      </w:r>
    </w:p>
    <w:p w14:paraId="007BD280" w14:textId="77777777" w:rsidR="001A3FC3" w:rsidRPr="00EA32BC" w:rsidRDefault="00C612D2">
      <w:pPr>
        <w:spacing w:before="240" w:after="240" w:line="360" w:lineRule="auto"/>
        <w:ind w:right="51"/>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En lo concerniente a este punto, resulta importante señalar que el décimo segundo regidor en su carácter de Presidente de dicha Comisión edilicia, remitió el acta de </w:t>
      </w:r>
      <w:r w:rsidRPr="00EA32BC">
        <w:rPr>
          <w:rFonts w:ascii="Palatino Linotype" w:eastAsia="Palatino Linotype" w:hAnsi="Palatino Linotype" w:cs="Palatino Linotype"/>
        </w:rPr>
        <w:lastRenderedPageBreak/>
        <w:t xml:space="preserve">instalación de la Comisión de Transparencia, Acceso a la Información Pública y Protección de Datos Personales, celebrada el 24 de enero de 2022, </w:t>
      </w:r>
      <w:r w:rsidRPr="00EA32BC">
        <w:rPr>
          <w:rFonts w:ascii="Palatino Linotype" w:eastAsia="Palatino Linotype" w:hAnsi="Palatino Linotype" w:cs="Palatino Linotype"/>
          <w:b/>
        </w:rPr>
        <w:t>esto sin precisar si a la fecha de la solicitud esta es la única acta con la que se cuenta,</w:t>
      </w:r>
      <w:r w:rsidRPr="00EA32BC">
        <w:rPr>
          <w:rFonts w:ascii="Palatino Linotype" w:eastAsia="Palatino Linotype" w:hAnsi="Palatino Linotype" w:cs="Palatino Linotype"/>
        </w:rPr>
        <w:t xml:space="preserve"> por lo que respecto de este punto en particular, se estima que su respuesta careció de los principios de congruencia y exhaustividad, como refuerzo de lo anterior</w:t>
      </w:r>
      <w:r w:rsidRPr="00EA32BC">
        <w:rPr>
          <w:rFonts w:ascii="Palatino Linotype" w:eastAsia="Palatino Linotype" w:hAnsi="Palatino Linotype" w:cs="Palatino Linotype"/>
          <w:u w:val="single"/>
        </w:rPr>
        <w:t xml:space="preserve">, resulta crucial el Criterio 02/17, emitido por el Pleno del </w:t>
      </w:r>
      <w:r w:rsidRPr="00EA32BC">
        <w:rPr>
          <w:rFonts w:ascii="Palatino Linotype" w:eastAsia="Palatino Linotype" w:hAnsi="Palatino Linotype" w:cs="Palatino Linotype"/>
        </w:rPr>
        <w:t>Instituto Nacional de Transparencia y Acceso a la Información y Protección de Datos Personales, de título y texto siguientes:</w:t>
      </w:r>
    </w:p>
    <w:p w14:paraId="29473172" w14:textId="77777777" w:rsidR="001A3FC3" w:rsidRPr="00EA32BC" w:rsidRDefault="00C612D2">
      <w:pPr>
        <w:spacing w:before="240" w:after="240"/>
        <w:ind w:left="567"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 xml:space="preserve">“Congruencia y exhaustividad. Sus alcances para garantizar el derecho de acceso a la información. </w:t>
      </w:r>
      <w:r w:rsidRPr="00EA32BC">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EA32BC">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EA32BC">
        <w:rPr>
          <w:rFonts w:ascii="Palatino Linotype" w:eastAsia="Palatino Linotype" w:hAnsi="Palatino Linotype" w:cs="Palatino Linotype"/>
          <w:i/>
          <w:sz w:val="22"/>
          <w:szCs w:val="22"/>
        </w:rPr>
        <w:t xml:space="preserve">; mientras que </w:t>
      </w:r>
      <w:r w:rsidRPr="00EA32BC">
        <w:rPr>
          <w:rFonts w:ascii="Palatino Linotype" w:eastAsia="Palatino Linotype" w:hAnsi="Palatino Linotype" w:cs="Palatino Linotype"/>
          <w:b/>
          <w:i/>
          <w:sz w:val="22"/>
          <w:szCs w:val="22"/>
        </w:rPr>
        <w:t>la exhaustividad significa que dicha respuesta se refiera expresamente a cada uno de los puntos solicitados</w:t>
      </w:r>
      <w:r w:rsidRPr="00EA32BC">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B40BE0E" w14:textId="77777777" w:rsidR="001A3FC3" w:rsidRPr="00EA32BC" w:rsidRDefault="00C612D2">
      <w:pPr>
        <w:spacing w:before="240" w:after="240"/>
        <w:ind w:left="567"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(Énfasis añadido)</w:t>
      </w:r>
    </w:p>
    <w:p w14:paraId="6DC7E3AE" w14:textId="77777777" w:rsidR="001A3FC3" w:rsidRPr="00EA32BC" w:rsidRDefault="00C612D2">
      <w:pPr>
        <w:spacing w:before="240" w:after="240" w:line="360" w:lineRule="auto"/>
        <w:ind w:right="49"/>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rPr>
        <w:t xml:space="preserve">Por lo que en estricto apego a dicho criterio, resulta pertinente ordenar al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una nueva búsqueda para efecto de localizar las actas restantes de la Comisión de</w:t>
      </w:r>
      <w:r w:rsidRPr="00EA32BC">
        <w:rPr>
          <w:rFonts w:ascii="Palatino Linotype" w:eastAsia="Palatino Linotype" w:hAnsi="Palatino Linotype" w:cs="Palatino Linotype"/>
          <w:b/>
        </w:rPr>
        <w:t xml:space="preserve"> </w:t>
      </w:r>
      <w:r w:rsidRPr="00EA32BC">
        <w:rPr>
          <w:rFonts w:ascii="Palatino Linotype" w:eastAsia="Palatino Linotype" w:hAnsi="Palatino Linotype" w:cs="Palatino Linotype"/>
        </w:rPr>
        <w:t xml:space="preserve">Transparencia, Acceso a la Información Pública y Protección de Datos Personales, </w:t>
      </w:r>
      <w:r w:rsidR="001D6E43" w:rsidRPr="00EA32BC">
        <w:rPr>
          <w:rFonts w:ascii="Palatino Linotype" w:eastAsia="Palatino Linotype" w:hAnsi="Palatino Linotype" w:cs="Palatino Linotype"/>
        </w:rPr>
        <w:t xml:space="preserve">generadas del veinticinco de enero al treinta de mayo de 2022, </w:t>
      </w:r>
      <w:r w:rsidRPr="00EA32BC">
        <w:rPr>
          <w:rFonts w:ascii="Palatino Linotype" w:eastAsia="Palatino Linotype" w:hAnsi="Palatino Linotype" w:cs="Palatino Linotype"/>
        </w:rPr>
        <w:t xml:space="preserve">no obstante, si derivado de la búsqueda que se ordena no se llegara a localizar información, toda vez que a la fecha de la solicitud, únicamente se cuenta con el acta de instalación, bastará con que así se haga del conocimiento de la persona </w:t>
      </w:r>
      <w:r w:rsidRPr="00EA32BC">
        <w:rPr>
          <w:rFonts w:ascii="Palatino Linotype" w:eastAsia="Palatino Linotype" w:hAnsi="Palatino Linotype" w:cs="Palatino Linotype"/>
        </w:rPr>
        <w:lastRenderedPageBreak/>
        <w:t>solicitante para tener por colmado su derecho de acceso a la información, atendiendo las formalidades que establece el artículo 19, párrafo segundo de la Ley de Transparencia y Acceso a la Información Pública del Estado de México y Municipios.</w:t>
      </w:r>
    </w:p>
    <w:p w14:paraId="2876826F" w14:textId="77777777" w:rsidR="001A3FC3" w:rsidRPr="00EA32BC" w:rsidRDefault="00C612D2">
      <w:pPr>
        <w:spacing w:before="240" w:after="240" w:line="360" w:lineRule="auto"/>
        <w:jc w:val="both"/>
        <w:rPr>
          <w:rFonts w:ascii="Palatino Linotype" w:eastAsia="Palatino Linotype" w:hAnsi="Palatino Linotype" w:cs="Palatino Linotype"/>
          <w:b/>
        </w:rPr>
      </w:pPr>
      <w:r w:rsidRPr="00EA32BC">
        <w:rPr>
          <w:rFonts w:ascii="Palatino Linotype" w:eastAsia="Palatino Linotype" w:hAnsi="Palatino Linotype" w:cs="Palatino Linotype"/>
          <w:b/>
        </w:rPr>
        <w:t>7) Fotografías donde comprueben que realmente sesiona el Comité de Transparencia.</w:t>
      </w:r>
    </w:p>
    <w:p w14:paraId="6576B410" w14:textId="77777777" w:rsidR="001A3FC3" w:rsidRPr="00EA32BC" w:rsidRDefault="00C612D2">
      <w:pPr>
        <w:spacing w:before="240" w:after="240" w:line="360" w:lineRule="auto"/>
        <w:ind w:right="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rPr>
        <w:t xml:space="preserve">En lo concerniente a este punto, resulta importante señalar que al no pronunciarse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respecto de este punto en particular, se estima que su falta de respuesta sobre este requerimiento actualizó la carencia de los principios de congruencia y exhaustividad, como refuerzo de lo anterior</w:t>
      </w:r>
      <w:r w:rsidRPr="00EA32BC">
        <w:rPr>
          <w:rFonts w:ascii="Palatino Linotype" w:eastAsia="Palatino Linotype" w:hAnsi="Palatino Linotype" w:cs="Palatino Linotype"/>
          <w:u w:val="single"/>
        </w:rPr>
        <w:t xml:space="preserve">, resulta crucial el Criterio 02/17, emitido por el Pleno del </w:t>
      </w:r>
      <w:r w:rsidRPr="00EA32BC">
        <w:rPr>
          <w:rFonts w:ascii="Palatino Linotype" w:eastAsia="Palatino Linotype" w:hAnsi="Palatino Linotype" w:cs="Palatino Linotype"/>
        </w:rPr>
        <w:t>Instituto Nacional de Transparencia y Acceso a la Información y Protección de Datos Personales, mismo que ya fue citado con antelación.</w:t>
      </w:r>
    </w:p>
    <w:p w14:paraId="15E6BE8E" w14:textId="77777777" w:rsidR="001A3FC3" w:rsidRPr="00EA32BC" w:rsidRDefault="00C612D2">
      <w:pPr>
        <w:pBdr>
          <w:top w:val="nil"/>
          <w:left w:val="nil"/>
          <w:bottom w:val="nil"/>
          <w:right w:val="nil"/>
          <w:between w:val="nil"/>
        </w:pBdr>
        <w:spacing w:before="240" w:after="240" w:line="360" w:lineRule="auto"/>
        <w:jc w:val="both"/>
      </w:pPr>
      <w:r w:rsidRPr="00EA32BC">
        <w:rPr>
          <w:rFonts w:ascii="Palatino Linotype" w:eastAsia="Palatino Linotype" w:hAnsi="Palatino Linotype" w:cs="Palatino Linotype"/>
        </w:rPr>
        <w:t>Ahora bien, para el caso que nos ocupa, los artículos 45 y 47 de la Ley de Transparencia y Acceso a la Información del Estado de México y Municipios, reconocen la existencia del Comité de Transparencia, resulta conveniente traer estos preceptos a colación para mayor referencia: </w:t>
      </w:r>
    </w:p>
    <w:p w14:paraId="502900E9" w14:textId="77777777" w:rsidR="001A3FC3" w:rsidRPr="00EA32BC" w:rsidRDefault="00C612D2">
      <w:pPr>
        <w:pBdr>
          <w:top w:val="nil"/>
          <w:left w:val="nil"/>
          <w:bottom w:val="nil"/>
          <w:right w:val="nil"/>
          <w:between w:val="nil"/>
        </w:pBdr>
        <w:spacing w:before="280" w:after="280"/>
        <w:ind w:left="567" w:right="900"/>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w:t>
      </w:r>
      <w:r w:rsidRPr="00EA32BC">
        <w:rPr>
          <w:rFonts w:ascii="Palatino Linotype" w:eastAsia="Palatino Linotype" w:hAnsi="Palatino Linotype" w:cs="Palatino Linotype"/>
          <w:i/>
          <w:sz w:val="22"/>
          <w:szCs w:val="22"/>
        </w:rPr>
        <w:t xml:space="preserve">Artículo 45. </w:t>
      </w:r>
      <w:r w:rsidRPr="00EA32BC">
        <w:rPr>
          <w:rFonts w:ascii="Palatino Linotype" w:eastAsia="Palatino Linotype" w:hAnsi="Palatino Linotype" w:cs="Palatino Linotype"/>
          <w:b/>
          <w:i/>
          <w:sz w:val="22"/>
          <w:szCs w:val="22"/>
        </w:rPr>
        <w:t>Cada sujeto obligado establecerá un Comité de Transparencia, colegiado e integrado por lo menos por tres miembros, debiendo de ser siempre un número impar.</w:t>
      </w:r>
    </w:p>
    <w:p w14:paraId="5014D4BE" w14:textId="77777777" w:rsidR="001A3FC3" w:rsidRPr="00EA32BC" w:rsidRDefault="00C612D2">
      <w:pPr>
        <w:pBdr>
          <w:top w:val="nil"/>
          <w:left w:val="nil"/>
          <w:bottom w:val="nil"/>
          <w:right w:val="nil"/>
          <w:between w:val="nil"/>
        </w:pBdr>
        <w:spacing w:before="280" w:after="280"/>
        <w:ind w:left="567"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w:t>
      </w:r>
      <w:r w:rsidRPr="00EA32BC">
        <w:rPr>
          <w:rFonts w:ascii="Palatino Linotype" w:eastAsia="Palatino Linotype" w:hAnsi="Palatino Linotype" w:cs="Palatino Linotype"/>
          <w:i/>
          <w:sz w:val="22"/>
          <w:szCs w:val="22"/>
        </w:rPr>
        <w:lastRenderedPageBreak/>
        <w:t>con la normatividad interna de los respectivos sujetos obligados, y deberán corresponder a personas que ocupen cargos de la jerarquía inmediata inferior a la de dichos propietarios.</w:t>
      </w:r>
    </w:p>
    <w:p w14:paraId="4A325EA8" w14:textId="77777777" w:rsidR="001A3FC3" w:rsidRPr="00EA32BC" w:rsidRDefault="00C612D2">
      <w:pPr>
        <w:pBdr>
          <w:top w:val="nil"/>
          <w:left w:val="nil"/>
          <w:bottom w:val="nil"/>
          <w:right w:val="nil"/>
          <w:between w:val="nil"/>
        </w:pBdr>
        <w:spacing w:before="240" w:after="240"/>
        <w:ind w:left="567" w:right="900"/>
        <w:jc w:val="both"/>
      </w:pPr>
      <w:r w:rsidRPr="00EA32BC">
        <w:rPr>
          <w:rFonts w:ascii="Palatino Linotype" w:eastAsia="Palatino Linotype" w:hAnsi="Palatino Linotype" w:cs="Palatino Linotype"/>
          <w:b/>
          <w:i/>
          <w:sz w:val="22"/>
          <w:szCs w:val="22"/>
        </w:rPr>
        <w:t>Artículo 47. El Comité de Transparencia será la autoridad máxima al interior del sujeto obligado en materia del derecho de acceso a la información.</w:t>
      </w:r>
      <w:r w:rsidRPr="00EA32BC">
        <w:rPr>
          <w:rFonts w:ascii="Palatino Linotype" w:eastAsia="Palatino Linotype" w:hAnsi="Palatino Linotype" w:cs="Palatino Linotype"/>
          <w:i/>
          <w:sz w:val="22"/>
          <w:szCs w:val="22"/>
        </w:rPr>
        <w:t> </w:t>
      </w:r>
    </w:p>
    <w:p w14:paraId="09662083" w14:textId="77777777" w:rsidR="001A3FC3" w:rsidRPr="00EA32BC" w:rsidRDefault="00C612D2">
      <w:pPr>
        <w:pBdr>
          <w:top w:val="nil"/>
          <w:left w:val="nil"/>
          <w:bottom w:val="nil"/>
          <w:right w:val="nil"/>
          <w:between w:val="nil"/>
        </w:pBdr>
        <w:spacing w:before="240" w:after="240"/>
        <w:ind w:left="567" w:right="900"/>
        <w:jc w:val="both"/>
      </w:pPr>
      <w:r w:rsidRPr="00EA32BC">
        <w:rPr>
          <w:rFonts w:ascii="Palatino Linotype" w:eastAsia="Palatino Linotype" w:hAnsi="Palatino Linotype" w:cs="Palatino Linotype"/>
          <w:b/>
          <w:i/>
          <w:sz w:val="22"/>
          <w:szCs w:val="22"/>
          <w:u w:val="single"/>
        </w:rPr>
        <w:t>El Comité de Transparencia adoptará sus resoluciones por mayoría de votos. En caso de empate, la o el Presidente tendrá voto de calidad</w:t>
      </w:r>
      <w:r w:rsidRPr="00EA32BC">
        <w:rPr>
          <w:rFonts w:ascii="Palatino Linotype" w:eastAsia="Palatino Linotype" w:hAnsi="Palatino Linotype" w:cs="Palatino Linotype"/>
          <w:i/>
          <w:sz w:val="22"/>
          <w:szCs w:val="22"/>
        </w:rPr>
        <w:t>. A sus sesiones podrán asistir</w:t>
      </w:r>
      <w:r w:rsidRPr="00EA32BC">
        <w:rPr>
          <w:rFonts w:ascii="Palatino Linotype" w:eastAsia="Palatino Linotype" w:hAnsi="Palatino Linotype" w:cs="Palatino Linotype"/>
          <w:sz w:val="22"/>
          <w:szCs w:val="22"/>
        </w:rPr>
        <w:t xml:space="preserve"> </w:t>
      </w:r>
      <w:r w:rsidRPr="00EA32BC">
        <w:rPr>
          <w:rFonts w:ascii="Palatino Linotype" w:eastAsia="Palatino Linotype" w:hAnsi="Palatino Linotype" w:cs="Palatino Linotype"/>
          <w:i/>
          <w:sz w:val="22"/>
          <w:szCs w:val="22"/>
        </w:rPr>
        <w:t>como invitados aquellos que sus integrantes consideren necesarios, quienes tendrán voz pero no voto. </w:t>
      </w:r>
    </w:p>
    <w:p w14:paraId="2DF9EE06" w14:textId="77777777" w:rsidR="001A3FC3" w:rsidRPr="00EA32BC" w:rsidRDefault="00C612D2">
      <w:pPr>
        <w:pBdr>
          <w:top w:val="nil"/>
          <w:left w:val="nil"/>
          <w:bottom w:val="nil"/>
          <w:right w:val="nil"/>
          <w:between w:val="nil"/>
        </w:pBdr>
        <w:spacing w:before="240" w:after="240"/>
        <w:ind w:left="567" w:right="900"/>
        <w:jc w:val="both"/>
      </w:pPr>
      <w:r w:rsidRPr="00EA32BC">
        <w:rPr>
          <w:rFonts w:ascii="Palatino Linotype" w:eastAsia="Palatino Linotype" w:hAnsi="Palatino Linotype" w:cs="Palatino Linotype"/>
          <w:b/>
          <w:i/>
          <w:sz w:val="22"/>
          <w:szCs w:val="22"/>
          <w:u w:val="single"/>
        </w:rPr>
        <w:t>El Comité se reunirá en sesión ordinaria o extraordinaria las veces que estime necesario. El tipo de sesión se precisará en la convocatoria emitida. </w:t>
      </w:r>
    </w:p>
    <w:p w14:paraId="682D2B01" w14:textId="77777777" w:rsidR="001A3FC3" w:rsidRPr="00EA32BC" w:rsidRDefault="00C612D2">
      <w:pPr>
        <w:pBdr>
          <w:top w:val="nil"/>
          <w:left w:val="nil"/>
          <w:bottom w:val="nil"/>
          <w:right w:val="nil"/>
          <w:between w:val="nil"/>
        </w:pBdr>
        <w:spacing w:before="240" w:after="240"/>
        <w:ind w:left="567" w:right="900"/>
        <w:jc w:val="both"/>
      </w:pPr>
      <w:r w:rsidRPr="00EA32BC">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27D7A280" w14:textId="77777777" w:rsidR="001A3FC3" w:rsidRPr="00EA32BC" w:rsidRDefault="00C612D2">
      <w:pPr>
        <w:pBdr>
          <w:top w:val="nil"/>
          <w:left w:val="nil"/>
          <w:bottom w:val="nil"/>
          <w:right w:val="nil"/>
          <w:between w:val="nil"/>
        </w:pBdr>
        <w:shd w:val="clear" w:color="auto" w:fill="FFFFFF"/>
        <w:spacing w:before="240" w:after="240" w:line="360" w:lineRule="auto"/>
        <w:ind w:right="49"/>
        <w:jc w:val="both"/>
      </w:pPr>
      <w:r w:rsidRPr="00EA32BC">
        <w:rPr>
          <w:rFonts w:ascii="Palatino Linotype" w:eastAsia="Palatino Linotype" w:hAnsi="Palatino Linotype" w:cs="Palatino Linotype"/>
        </w:rPr>
        <w:t>Así mismo la legislación en referencia contempla como obligación común de transparencia, las actas emitidas por el Comité de Transparencia, esto mediante su artículo 92, fracción XLIII:</w:t>
      </w:r>
    </w:p>
    <w:p w14:paraId="1681D9E0" w14:textId="77777777" w:rsidR="001A3FC3" w:rsidRPr="00EA32BC" w:rsidRDefault="00C612D2">
      <w:pPr>
        <w:pBdr>
          <w:top w:val="nil"/>
          <w:left w:val="nil"/>
          <w:bottom w:val="nil"/>
          <w:right w:val="nil"/>
          <w:between w:val="nil"/>
        </w:pBdr>
        <w:shd w:val="clear" w:color="auto" w:fill="FFFFFF"/>
        <w:spacing w:before="240"/>
        <w:ind w:left="567" w:right="900"/>
        <w:jc w:val="both"/>
      </w:pPr>
      <w:r w:rsidRPr="00EA32BC">
        <w:rPr>
          <w:rFonts w:ascii="Palatino Linotype" w:eastAsia="Palatino Linotype" w:hAnsi="Palatino Linotype" w:cs="Palatino Linotype"/>
          <w:b/>
          <w:i/>
          <w:sz w:val="22"/>
          <w:szCs w:val="22"/>
        </w:rPr>
        <w:t xml:space="preserve">“Artículo 92. </w:t>
      </w:r>
      <w:r w:rsidRPr="00EA32BC">
        <w:rPr>
          <w:rFonts w:ascii="Palatino Linotype" w:eastAsia="Palatino Linotype" w:hAnsi="Palatino Linotype" w:cs="Palatino Linotype"/>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E9023E5" w14:textId="77777777" w:rsidR="001A3FC3" w:rsidRPr="00EA32BC" w:rsidRDefault="00C612D2">
      <w:pPr>
        <w:pBdr>
          <w:top w:val="nil"/>
          <w:left w:val="nil"/>
          <w:bottom w:val="nil"/>
          <w:right w:val="nil"/>
          <w:between w:val="nil"/>
        </w:pBdr>
        <w:shd w:val="clear" w:color="auto" w:fill="FFFFFF"/>
        <w:ind w:left="567" w:right="900"/>
        <w:jc w:val="both"/>
      </w:pPr>
      <w:r w:rsidRPr="00EA32BC">
        <w:rPr>
          <w:rFonts w:ascii="Palatino Linotype" w:eastAsia="Palatino Linotype" w:hAnsi="Palatino Linotype" w:cs="Palatino Linotype"/>
          <w:b/>
          <w:i/>
          <w:sz w:val="22"/>
          <w:szCs w:val="22"/>
          <w:u w:val="single"/>
        </w:rPr>
        <w:t>XLIII. Las actas y resoluciones del Comité de Transparencia de los sujetos obligados;”</w:t>
      </w:r>
    </w:p>
    <w:p w14:paraId="4ABDC08A" w14:textId="77777777" w:rsidR="001A3FC3" w:rsidRPr="00EA32BC" w:rsidRDefault="00C612D2">
      <w:pPr>
        <w:pBdr>
          <w:top w:val="nil"/>
          <w:left w:val="nil"/>
          <w:bottom w:val="nil"/>
          <w:right w:val="nil"/>
          <w:between w:val="nil"/>
        </w:pBdr>
        <w:shd w:val="clear" w:color="auto" w:fill="FFFFFF"/>
        <w:spacing w:after="240"/>
        <w:ind w:left="567" w:right="900"/>
        <w:jc w:val="both"/>
      </w:pPr>
      <w:r w:rsidRPr="00EA32BC">
        <w:rPr>
          <w:rFonts w:ascii="Palatino Linotype" w:eastAsia="Palatino Linotype" w:hAnsi="Palatino Linotype" w:cs="Palatino Linotype"/>
          <w:i/>
          <w:sz w:val="22"/>
          <w:szCs w:val="22"/>
        </w:rPr>
        <w:t>(Énfasis añadido)</w:t>
      </w:r>
    </w:p>
    <w:p w14:paraId="6C903862"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De ahí que se desprenda que en cumplimiento a lo dispuesto por el precepto en cita, el Comité de Transparencia deberá sesionar de manera ordinaria o extraordinaria para tratar los asuntos relacionados con el derecho de acceso a la información pública al interior del </w:t>
      </w:r>
      <w:r w:rsidRPr="00EA32BC">
        <w:rPr>
          <w:rFonts w:ascii="Palatino Linotype" w:eastAsia="Palatino Linotype" w:hAnsi="Palatino Linotype" w:cs="Palatino Linotype"/>
          <w:b/>
        </w:rPr>
        <w:t xml:space="preserve">Sujeto Obligado </w:t>
      </w:r>
      <w:r w:rsidRPr="00EA32BC">
        <w:rPr>
          <w:rFonts w:ascii="Palatino Linotype" w:eastAsia="Palatino Linotype" w:hAnsi="Palatino Linotype" w:cs="Palatino Linotype"/>
        </w:rPr>
        <w:t xml:space="preserve">y posteriormente poner a disposición del </w:t>
      </w:r>
      <w:r w:rsidRPr="00EA32BC">
        <w:rPr>
          <w:rFonts w:ascii="Palatino Linotype" w:eastAsia="Palatino Linotype" w:hAnsi="Palatino Linotype" w:cs="Palatino Linotype"/>
        </w:rPr>
        <w:lastRenderedPageBreak/>
        <w:t xml:space="preserve">público, las actas y resoluciones del Comité de Transparencia, por lo que hace a la fotografías, es de vital importancia que de la revisión a la normatividad aplicable al Sujeto Obligado no se advirtió fuente obligacional para generar fotografías derivado de estas sesiones, no obstante lo anterior no es impedimento para que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haya generado dicha información, por lo que deberá turnarse la solicitud a las áreas competentes como pudiera ser la Unidad de Transparencia y la Coordinación General de Comunicación Social, para efecto de que emitan el pronunciamiento correspondiente.</w:t>
      </w:r>
    </w:p>
    <w:p w14:paraId="73D00807"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Resulta pertinente robustecer el presente análisis con lo previsto por el Manual de Organización de la Coordinación General de Comunicación Social, el cual se cita a continuación: </w:t>
      </w:r>
    </w:p>
    <w:p w14:paraId="0ED0DB46" w14:textId="77777777" w:rsidR="001A3FC3" w:rsidRPr="00EA32BC" w:rsidRDefault="00C612D2">
      <w:pPr>
        <w:spacing w:before="240" w:after="240" w:line="276" w:lineRule="auto"/>
        <w:ind w:left="567" w:right="567"/>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 xml:space="preserve">“VII. OBJETIVO GENERAL </w:t>
      </w:r>
    </w:p>
    <w:p w14:paraId="7D78C11A" w14:textId="77777777" w:rsidR="001A3FC3" w:rsidRPr="00EA32BC" w:rsidRDefault="00C612D2">
      <w:pPr>
        <w:spacing w:before="240" w:after="240" w:line="276" w:lineRule="auto"/>
        <w:ind w:left="567" w:right="567"/>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Planear y coordinar la estrategia de comunicación social orientada a dar a conocer entre la población de Toluca, la información relacionada con la gestión de las dependencias de la administración pública municipal</w:t>
      </w:r>
      <w:r w:rsidRPr="00EA32BC">
        <w:rPr>
          <w:rFonts w:ascii="Palatino Linotype" w:eastAsia="Palatino Linotype" w:hAnsi="Palatino Linotype" w:cs="Palatino Linotype"/>
          <w:i/>
          <w:sz w:val="22"/>
          <w:szCs w:val="22"/>
        </w:rPr>
        <w:t>.</w:t>
      </w:r>
    </w:p>
    <w:p w14:paraId="1C94F6E3" w14:textId="77777777" w:rsidR="001A3FC3" w:rsidRPr="00EA32BC" w:rsidRDefault="00C612D2">
      <w:pPr>
        <w:spacing w:before="240" w:after="240" w:line="276" w:lineRule="auto"/>
        <w:ind w:left="567" w:right="567"/>
        <w:jc w:val="center"/>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noProof/>
          <w:sz w:val="22"/>
          <w:szCs w:val="22"/>
          <w:lang w:val="es-MX"/>
        </w:rPr>
        <w:lastRenderedPageBreak/>
        <w:drawing>
          <wp:inline distT="0" distB="0" distL="0" distR="0" wp14:anchorId="0C22CB97" wp14:editId="2DE92684">
            <wp:extent cx="5400675" cy="5695950"/>
            <wp:effectExtent l="0" t="0" r="0" b="0"/>
            <wp:docPr id="1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5400675" cy="5695950"/>
                    </a:xfrm>
                    <a:prstGeom prst="rect">
                      <a:avLst/>
                    </a:prstGeom>
                    <a:ln/>
                  </pic:spPr>
                </pic:pic>
              </a:graphicData>
            </a:graphic>
          </wp:inline>
        </w:drawing>
      </w:r>
      <w:r w:rsidRPr="00EA32BC">
        <w:rPr>
          <w:noProof/>
          <w:lang w:val="es-MX"/>
        </w:rPr>
        <mc:AlternateContent>
          <mc:Choice Requires="wps">
            <w:drawing>
              <wp:anchor distT="0" distB="0" distL="114300" distR="114300" simplePos="0" relativeHeight="251658240" behindDoc="0" locked="0" layoutInCell="1" hidden="0" allowOverlap="1" wp14:anchorId="64775471" wp14:editId="50EF5F9F">
                <wp:simplePos x="0" y="0"/>
                <wp:positionH relativeFrom="column">
                  <wp:posOffset>406400</wp:posOffset>
                </wp:positionH>
                <wp:positionV relativeFrom="paragraph">
                  <wp:posOffset>4089400</wp:posOffset>
                </wp:positionV>
                <wp:extent cx="5353050" cy="438150"/>
                <wp:effectExtent l="0" t="0" r="0" b="0"/>
                <wp:wrapNone/>
                <wp:docPr id="88" name="Rectángulo 88"/>
                <wp:cNvGraphicFramePr/>
                <a:graphic xmlns:a="http://schemas.openxmlformats.org/drawingml/2006/main">
                  <a:graphicData uri="http://schemas.microsoft.com/office/word/2010/wordprocessingShape">
                    <wps:wsp>
                      <wps:cNvSpPr/>
                      <wps:spPr>
                        <a:xfrm>
                          <a:off x="2698050" y="3589500"/>
                          <a:ext cx="5295900" cy="381000"/>
                        </a:xfrm>
                        <a:prstGeom prst="rect">
                          <a:avLst/>
                        </a:prstGeom>
                        <a:noFill/>
                        <a:ln w="28575" cap="flat" cmpd="sng">
                          <a:solidFill>
                            <a:srgbClr val="002060"/>
                          </a:solidFill>
                          <a:prstDash val="solid"/>
                          <a:round/>
                          <a:headEnd type="none" w="sm" len="sm"/>
                          <a:tailEnd type="none" w="sm" len="sm"/>
                        </a:ln>
                      </wps:spPr>
                      <wps:txbx>
                        <w:txbxContent>
                          <w:p w14:paraId="29C4363A" w14:textId="77777777" w:rsidR="00681B3F" w:rsidRDefault="00681B3F">
                            <w:pPr>
                              <w:textDirection w:val="btLr"/>
                            </w:pPr>
                          </w:p>
                        </w:txbxContent>
                      </wps:txbx>
                      <wps:bodyPr spcFirstLastPara="1" wrap="square" lIns="91425" tIns="91425" rIns="91425" bIns="91425" anchor="ctr" anchorCtr="0">
                        <a:noAutofit/>
                      </wps:bodyPr>
                    </wps:wsp>
                  </a:graphicData>
                </a:graphic>
              </wp:anchor>
            </w:drawing>
          </mc:Choice>
          <mc:Fallback>
            <w:pict>
              <v:rect w14:anchorId="64775471" id="Rectángulo 88" o:spid="_x0000_s1026" style="position:absolute;left:0;text-align:left;margin-left:32pt;margin-top:322pt;width:421.5pt;height:3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" filled="f" strokecolor="#002060" strokeweight="2.25pt">
                <v:stroke startarrowwidth="narrow" startarrowlength="short" endarrowwidth="narrow" endarrowlength="short" joinstyle="round"/>
                <v:textbox inset="2.53958mm,2.53958mm,2.53958mm,2.53958mm">
                  <w:txbxContent>
                    <w:p w14:paraId="29C4363A" w14:textId="77777777" w:rsidR="00681B3F" w:rsidRDefault="00681B3F">
                      <w:pPr>
                        <w:textDirection w:val="btLr"/>
                      </w:pPr>
                    </w:p>
                  </w:txbxContent>
                </v:textbox>
              </v:rect>
            </w:pict>
          </mc:Fallback>
        </mc:AlternateContent>
      </w:r>
    </w:p>
    <w:p w14:paraId="19D0206F" w14:textId="77777777" w:rsidR="001A3FC3" w:rsidRPr="00EA32BC" w:rsidRDefault="00C612D2">
      <w:pPr>
        <w:spacing w:before="240" w:after="240" w:line="276" w:lineRule="auto"/>
        <w:ind w:left="567" w:right="567"/>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noProof/>
          <w:sz w:val="22"/>
          <w:szCs w:val="22"/>
          <w:lang w:val="es-MX"/>
        </w:rPr>
        <w:lastRenderedPageBreak/>
        <w:drawing>
          <wp:inline distT="0" distB="0" distL="0" distR="0" wp14:anchorId="0A34382C" wp14:editId="105BA88F">
            <wp:extent cx="5400675" cy="5438775"/>
            <wp:effectExtent l="0" t="0" r="0" b="0"/>
            <wp:docPr id="11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5400675" cy="5438775"/>
                    </a:xfrm>
                    <a:prstGeom prst="rect">
                      <a:avLst/>
                    </a:prstGeom>
                    <a:ln/>
                  </pic:spPr>
                </pic:pic>
              </a:graphicData>
            </a:graphic>
          </wp:inline>
        </w:drawing>
      </w:r>
      <w:r w:rsidRPr="00EA32BC">
        <w:rPr>
          <w:noProof/>
          <w:lang w:val="es-MX"/>
        </w:rPr>
        <mc:AlternateContent>
          <mc:Choice Requires="wps">
            <w:drawing>
              <wp:anchor distT="0" distB="0" distL="114300" distR="114300" simplePos="0" relativeHeight="251659264" behindDoc="0" locked="0" layoutInCell="1" hidden="0" allowOverlap="1" wp14:anchorId="275E2EBF" wp14:editId="63342316">
                <wp:simplePos x="0" y="0"/>
                <wp:positionH relativeFrom="column">
                  <wp:posOffset>457200</wp:posOffset>
                </wp:positionH>
                <wp:positionV relativeFrom="paragraph">
                  <wp:posOffset>2108200</wp:posOffset>
                </wp:positionV>
                <wp:extent cx="5210175" cy="438150"/>
                <wp:effectExtent l="0" t="0" r="0" b="0"/>
                <wp:wrapNone/>
                <wp:docPr id="87" name="Rectángulo 87"/>
                <wp:cNvGraphicFramePr/>
                <a:graphic xmlns:a="http://schemas.openxmlformats.org/drawingml/2006/main">
                  <a:graphicData uri="http://schemas.microsoft.com/office/word/2010/wordprocessingShape">
                    <wps:wsp>
                      <wps:cNvSpPr/>
                      <wps:spPr>
                        <a:xfrm>
                          <a:off x="2769488" y="3589500"/>
                          <a:ext cx="5153025" cy="381000"/>
                        </a:xfrm>
                        <a:prstGeom prst="rect">
                          <a:avLst/>
                        </a:prstGeom>
                        <a:noFill/>
                        <a:ln w="28575" cap="flat" cmpd="sng">
                          <a:solidFill>
                            <a:srgbClr val="002060"/>
                          </a:solidFill>
                          <a:prstDash val="solid"/>
                          <a:round/>
                          <a:headEnd type="none" w="sm" len="sm"/>
                          <a:tailEnd type="none" w="sm" len="sm"/>
                        </a:ln>
                      </wps:spPr>
                      <wps:txbx>
                        <w:txbxContent>
                          <w:p w14:paraId="11019725" w14:textId="77777777" w:rsidR="00681B3F" w:rsidRDefault="00681B3F">
                            <w:pPr>
                              <w:textDirection w:val="btLr"/>
                            </w:pPr>
                          </w:p>
                        </w:txbxContent>
                      </wps:txbx>
                      <wps:bodyPr spcFirstLastPara="1" wrap="square" lIns="91425" tIns="91425" rIns="91425" bIns="91425" anchor="ctr" anchorCtr="0">
                        <a:noAutofit/>
                      </wps:bodyPr>
                    </wps:wsp>
                  </a:graphicData>
                </a:graphic>
              </wp:anchor>
            </w:drawing>
          </mc:Choice>
          <mc:Fallback>
            <w:pict>
              <v:rect w14:anchorId="275E2EBF" id="Rectángulo 87" o:spid="_x0000_s1027" style="position:absolute;left:0;text-align:left;margin-left:36pt;margin-top:166pt;width:410.2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" filled="f" strokecolor="#002060" strokeweight="2.25pt">
                <v:stroke startarrowwidth="narrow" startarrowlength="short" endarrowwidth="narrow" endarrowlength="short" joinstyle="round"/>
                <v:textbox inset="2.53958mm,2.53958mm,2.53958mm,2.53958mm">
                  <w:txbxContent>
                    <w:p w14:paraId="11019725" w14:textId="77777777" w:rsidR="00681B3F" w:rsidRDefault="00681B3F">
                      <w:pPr>
                        <w:textDirection w:val="btLr"/>
                      </w:pPr>
                    </w:p>
                  </w:txbxContent>
                </v:textbox>
              </v:rect>
            </w:pict>
          </mc:Fallback>
        </mc:AlternateContent>
      </w:r>
    </w:p>
    <w:p w14:paraId="6078FE1E"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Bajo esta línea de pensamiento, se tiene que la Coordinación General de Comunicación Social es la instancia encargada de la difusión de las actividades públicas realizadas por el gobierno municipal, en este caso mediante redes sociales y su página web, por lo que es posible que genere evidencias fotográficas de las sesiones del Comité de Transparencia.</w:t>
      </w:r>
    </w:p>
    <w:p w14:paraId="1CB99CCB"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lastRenderedPageBreak/>
        <w:t xml:space="preserve">No pasa desapercibido mencionar que en relación con las fotos de las sesiones; son considerados como registros visuales de conformidad con el artículo 3 de la Ley de Transparencia y Acceso a la Información Pública del Estado de México y Municipios, por lo que su acceso también es público, ya que documentan el ejercicio de sus atribuciones. De ahí que se insista que al no existir pronunciamiento del Sujeto Obligado, es procedente ordenar una búsqueda y en su caso entrega de la información  no obstante,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w:t>
      </w:r>
    </w:p>
    <w:p w14:paraId="17C0CDB2" w14:textId="77777777" w:rsidR="001A3FC3" w:rsidRPr="00EA32BC" w:rsidRDefault="00C612D2">
      <w:pPr>
        <w:spacing w:before="240" w:after="240" w:line="360" w:lineRule="auto"/>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rPr>
        <w:t>8</w:t>
      </w:r>
      <w:r w:rsidRPr="00EA32BC">
        <w:rPr>
          <w:rFonts w:ascii="Palatino Linotype" w:eastAsia="Palatino Linotype" w:hAnsi="Palatino Linotype" w:cs="Palatino Linotype"/>
          <w:b/>
          <w:sz w:val="22"/>
          <w:szCs w:val="22"/>
        </w:rPr>
        <w:t>) Los recibos de nómina del mes de abril y mayo del año 2022, de la Unidad de Transparencia, y de los que actualmente están Comisionados a la Unidad de Transparencia</w:t>
      </w:r>
    </w:p>
    <w:p w14:paraId="5A9FF71C" w14:textId="77777777" w:rsidR="001A3FC3" w:rsidRPr="00EA32BC" w:rsidRDefault="00C612D2">
      <w:pPr>
        <w:spacing w:before="240" w:after="240" w:line="360" w:lineRule="auto"/>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9) así como los recibos de nómina de todo personal de presidencia, secretaría del ayuntamiento, contraloría, regidurías, sindicaturas, del año 2022.</w:t>
      </w:r>
    </w:p>
    <w:p w14:paraId="45D7D805" w14:textId="77777777" w:rsidR="001A3FC3" w:rsidRPr="00EA32BC" w:rsidRDefault="00C612D2">
      <w:pPr>
        <w:spacing w:before="240" w:after="240"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Tomando en consideración la materia de la solicitud, es oportuno mencionar que Ley del Trabajo de los Servidores Públicos del Estado y Municipios, en su artículo 220 K, establece los documentos que tiene la obligación de conservar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entre los que se encuentran los recibos de pago y los controles de asistencia o la información magnética o electrónica de asistencia de los servidores públicos, acreditando su existencia, a saber:</w:t>
      </w:r>
    </w:p>
    <w:p w14:paraId="04871269" w14:textId="77777777" w:rsidR="001A3FC3" w:rsidRPr="00EA32BC" w:rsidRDefault="00C612D2">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lastRenderedPageBreak/>
        <w:t>“</w:t>
      </w:r>
      <w:r w:rsidRPr="00EA32BC">
        <w:rPr>
          <w:rFonts w:ascii="Palatino Linotype" w:eastAsia="Palatino Linotype" w:hAnsi="Palatino Linotype" w:cs="Palatino Linotype"/>
          <w:b/>
          <w:i/>
          <w:sz w:val="22"/>
          <w:szCs w:val="22"/>
        </w:rPr>
        <w:t>ARTÍCULO 220 K</w:t>
      </w:r>
      <w:r w:rsidRPr="00EA32BC">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 </w:t>
      </w:r>
    </w:p>
    <w:p w14:paraId="4CD9EA69" w14:textId="77777777" w:rsidR="001A3FC3" w:rsidRPr="00EA32BC" w:rsidRDefault="00C612D2">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w:t>
      </w:r>
      <w:r w:rsidRPr="00EA32BC">
        <w:rPr>
          <w:rFonts w:ascii="Palatino Linotype" w:eastAsia="Palatino Linotype" w:hAnsi="Palatino Linotype" w:cs="Palatino Linotype"/>
          <w:i/>
          <w:sz w:val="22"/>
          <w:szCs w:val="22"/>
        </w:rPr>
        <w:t xml:space="preserve"> Contratos, Nombramientos o Formato Único de Movimientos de Personal, cuando no exista Convenio de condiciones generales de trabajo aplicable; </w:t>
      </w:r>
    </w:p>
    <w:p w14:paraId="5F0294AF" w14:textId="77777777" w:rsidR="001A3FC3" w:rsidRPr="00EA32BC" w:rsidRDefault="00C612D2">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II.</w:t>
      </w: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Recibos de pagos de salarios o las constancias documentales del pago de salario</w:t>
      </w:r>
      <w:r w:rsidRPr="00EA32BC">
        <w:rPr>
          <w:rFonts w:ascii="Palatino Linotype" w:eastAsia="Palatino Linotype" w:hAnsi="Palatino Linotype" w:cs="Palatino Linotype"/>
          <w:i/>
          <w:sz w:val="22"/>
          <w:szCs w:val="22"/>
        </w:rPr>
        <w:t xml:space="preserve"> cuando sea por depósito o mediante información electrónica; </w:t>
      </w:r>
    </w:p>
    <w:p w14:paraId="010EF5EA" w14:textId="77777777" w:rsidR="001A3FC3" w:rsidRPr="00EA32BC" w:rsidRDefault="00C612D2">
      <w:pPr>
        <w:spacing w:before="120" w:after="120"/>
        <w:ind w:left="567" w:right="902"/>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III.</w:t>
      </w: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 xml:space="preserve">Controles de asistencia o la información magnética o electrónica de asistencia de los servidores públicos; </w:t>
      </w:r>
    </w:p>
    <w:p w14:paraId="35FCBA8C" w14:textId="77777777" w:rsidR="001A3FC3" w:rsidRPr="00EA32BC" w:rsidRDefault="00C612D2">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IV</w:t>
      </w:r>
      <w:r w:rsidRPr="00EA32BC">
        <w:rPr>
          <w:rFonts w:ascii="Palatino Linotype" w:eastAsia="Palatino Linotype" w:hAnsi="Palatino Linotype" w:cs="Palatino Linotype"/>
          <w:i/>
          <w:sz w:val="22"/>
          <w:szCs w:val="22"/>
        </w:rPr>
        <w:t xml:space="preserve">. Recibos o las constancias de depósito o del medio de información magnética o electrónica que sean utilizadas para el pago de salarios, prima vacacional, aguinaldo y demás prestaciones establecidas en la presente ley; y </w:t>
      </w:r>
    </w:p>
    <w:p w14:paraId="3B8D4A9A" w14:textId="77777777" w:rsidR="001A3FC3" w:rsidRPr="00EA32BC" w:rsidRDefault="00C612D2">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 xml:space="preserve">V. Los demás que señalen las leyes. </w:t>
      </w:r>
    </w:p>
    <w:p w14:paraId="3673CEA9" w14:textId="77777777" w:rsidR="001A3FC3" w:rsidRPr="00EA32BC" w:rsidRDefault="00C612D2">
      <w:pPr>
        <w:spacing w:before="120" w:after="120"/>
        <w:ind w:left="567" w:right="902"/>
        <w:jc w:val="both"/>
        <w:rPr>
          <w:rFonts w:ascii="Palatino Linotype" w:eastAsia="Palatino Linotype" w:hAnsi="Palatino Linotype" w:cs="Palatino Linotype"/>
        </w:rPr>
      </w:pPr>
      <w:r w:rsidRPr="00EA32BC">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w:t>
      </w:r>
      <w:r w:rsidRPr="00EA32BC">
        <w:rPr>
          <w:rFonts w:ascii="Palatino Linotype" w:eastAsia="Palatino Linotype" w:hAnsi="Palatino Linotype" w:cs="Palatino Linotype"/>
          <w:b/>
          <w:i/>
          <w:sz w:val="22"/>
          <w:szCs w:val="22"/>
        </w:rPr>
        <w:t>los señalados por las fracciones II, III</w:t>
      </w:r>
      <w:r w:rsidRPr="00EA32BC">
        <w:rPr>
          <w:rFonts w:ascii="Palatino Linotype" w:eastAsia="Palatino Linotype" w:hAnsi="Palatino Linotype" w:cs="Palatino Linotype"/>
          <w:i/>
          <w:sz w:val="22"/>
          <w:szCs w:val="22"/>
        </w:rPr>
        <w:t xml:space="preserve">, IV </w:t>
      </w:r>
      <w:r w:rsidRPr="00EA32BC">
        <w:rPr>
          <w:rFonts w:ascii="Palatino Linotype" w:eastAsia="Palatino Linotype" w:hAnsi="Palatino Linotype" w:cs="Palatino Linotype"/>
          <w:b/>
          <w:i/>
          <w:sz w:val="22"/>
          <w:szCs w:val="22"/>
        </w:rPr>
        <w:t>durante el último año y un año después de que se extinga la relación laboral</w:t>
      </w:r>
      <w:r w:rsidRPr="00EA32BC">
        <w:rPr>
          <w:rFonts w:ascii="Palatino Linotype" w:eastAsia="Palatino Linotype" w:hAnsi="Palatino Linotype" w:cs="Palatino Linotype"/>
          <w:i/>
          <w:sz w:val="22"/>
          <w:szCs w:val="22"/>
        </w:rPr>
        <w:t xml:space="preserve">, y los mencionados en la fracción V, conforme lo señalen las leyes que los rijan. </w:t>
      </w:r>
      <w:r w:rsidRPr="00EA32BC">
        <w:rPr>
          <w:rFonts w:ascii="Palatino Linotype" w:eastAsia="Palatino Linotype" w:hAnsi="Palatino Linotype" w:cs="Palatino Linotype"/>
          <w:b/>
          <w:i/>
          <w:sz w:val="22"/>
          <w:szCs w:val="22"/>
        </w:rPr>
        <w:t>Los documentos y constancias aquí señalados, la institución o dependencia podrá conservarlos por medio de los sistemas de digitalización o de información magnética o electrónica</w:t>
      </w:r>
      <w:r w:rsidRPr="00EA32BC">
        <w:rPr>
          <w:rFonts w:ascii="Palatino Linotype" w:eastAsia="Palatino Linotype" w:hAnsi="Palatino Linotype" w:cs="Palatino Linotype"/>
          <w:i/>
          <w:sz w:val="22"/>
          <w:szCs w:val="22"/>
        </w:rPr>
        <w:t xml:space="preserve"> o cualquier medio descubierto por la ciencia y las constancias expedidas por el encargado del área de personal de éstas, harán prueba plena.”</w:t>
      </w:r>
    </w:p>
    <w:p w14:paraId="13CC05A2" w14:textId="77777777" w:rsidR="001A3FC3" w:rsidRPr="00EA32BC" w:rsidRDefault="00C612D2">
      <w:pPr>
        <w:spacing w:before="240" w:after="240" w:line="360" w:lineRule="auto"/>
        <w:ind w:right="51"/>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Luego entonces, tenemos que toda institución o dependencia pública del Estado de México debe conservar las constancias documentales del pago de salario cuando sea por depósito o mediante información electrónica, así como los controles de asistencia o la información magnética o electrónica de asistencia de los servidores públicos, debiendo conservar dicha documentación durante el último año y un año después de que se extinga la relación laboral a través de los sistemas de digitalización o de información magnética o electrónica, encontrándose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en posibilidad de hacer entrega de dichas documentales, conforme al considerando siguiente.</w:t>
      </w:r>
    </w:p>
    <w:p w14:paraId="1500E255" w14:textId="77777777" w:rsidR="001A3FC3" w:rsidRPr="00EA32BC" w:rsidRDefault="00C612D2">
      <w:pPr>
        <w:spacing w:before="240" w:after="36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lastRenderedPageBreak/>
        <w:t>Así, es oportuno señalar que de conformidad con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5DF79F7C" w14:textId="77777777" w:rsidR="001A3FC3" w:rsidRPr="00EA32BC" w:rsidRDefault="00C612D2">
      <w:pPr>
        <w:ind w:left="851" w:right="849"/>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Artículo 350.-</w:t>
      </w:r>
      <w:r w:rsidRPr="00EA32BC">
        <w:rPr>
          <w:rFonts w:ascii="Palatino Linotype" w:eastAsia="Palatino Linotype" w:hAnsi="Palatino Linotype" w:cs="Palatino Linotype"/>
          <w:i/>
          <w:sz w:val="22"/>
          <w:szCs w:val="22"/>
        </w:rPr>
        <w:t xml:space="preserve"> La Secretaría y las tesorerías enviarán al Órgano Superior, de manera trimestral, dentro de los primeros veinte días hábiles posteriores al término del trimestre que se informa, para su análisis, la siguiente información:</w:t>
      </w:r>
    </w:p>
    <w:p w14:paraId="7FAE3242" w14:textId="77777777" w:rsidR="001A3FC3" w:rsidRPr="00EA32BC" w:rsidRDefault="00C612D2">
      <w:pPr>
        <w:ind w:left="1134" w:right="849"/>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w:t>
      </w:r>
      <w:r w:rsidRPr="00EA32BC">
        <w:rPr>
          <w:rFonts w:ascii="Palatino Linotype" w:eastAsia="Palatino Linotype" w:hAnsi="Palatino Linotype" w:cs="Palatino Linotype"/>
          <w:i/>
          <w:sz w:val="22"/>
          <w:szCs w:val="22"/>
        </w:rPr>
        <w:t xml:space="preserve"> Patrimonial. </w:t>
      </w:r>
    </w:p>
    <w:p w14:paraId="58CB027D" w14:textId="77777777" w:rsidR="001A3FC3" w:rsidRPr="00EA32BC" w:rsidRDefault="00C612D2">
      <w:pPr>
        <w:ind w:left="1134" w:right="849"/>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II</w:t>
      </w:r>
      <w:r w:rsidRPr="00EA32BC">
        <w:rPr>
          <w:rFonts w:ascii="Palatino Linotype" w:eastAsia="Palatino Linotype" w:hAnsi="Palatino Linotype" w:cs="Palatino Linotype"/>
          <w:i/>
          <w:sz w:val="22"/>
          <w:szCs w:val="22"/>
        </w:rPr>
        <w:t xml:space="preserve">. Presupuestal. </w:t>
      </w:r>
    </w:p>
    <w:p w14:paraId="7F2B60A1" w14:textId="77777777" w:rsidR="001A3FC3" w:rsidRPr="00EA32BC" w:rsidRDefault="00C612D2">
      <w:pPr>
        <w:ind w:left="1134" w:right="849"/>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III</w:t>
      </w:r>
      <w:r w:rsidRPr="00EA32BC">
        <w:rPr>
          <w:rFonts w:ascii="Palatino Linotype" w:eastAsia="Palatino Linotype" w:hAnsi="Palatino Linotype" w:cs="Palatino Linotype"/>
          <w:i/>
          <w:sz w:val="22"/>
          <w:szCs w:val="22"/>
        </w:rPr>
        <w:t>. De la obra pública.</w:t>
      </w:r>
    </w:p>
    <w:p w14:paraId="3E26FDEB" w14:textId="77777777" w:rsidR="001A3FC3" w:rsidRPr="00EA32BC" w:rsidRDefault="00C612D2">
      <w:pPr>
        <w:ind w:left="1134" w:right="849"/>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IV. De nómina.</w:t>
      </w:r>
    </w:p>
    <w:p w14:paraId="78E7FCE8" w14:textId="77777777" w:rsidR="001A3FC3" w:rsidRPr="00EA32BC" w:rsidRDefault="00C612D2">
      <w:pPr>
        <w:ind w:left="1134" w:right="849"/>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w:t>
      </w:r>
      <w:r w:rsidRPr="00EA32BC">
        <w:rPr>
          <w:rFonts w:ascii="Palatino Linotype" w:eastAsia="Palatino Linotype" w:hAnsi="Palatino Linotype" w:cs="Palatino Linotype"/>
          <w:i/>
          <w:sz w:val="22"/>
          <w:szCs w:val="22"/>
        </w:rPr>
        <w:t xml:space="preserve">. Avance del cumplimiento del Plan de Desarrollo del Estado de México. </w:t>
      </w:r>
    </w:p>
    <w:p w14:paraId="76DE36A1" w14:textId="77777777" w:rsidR="001A3FC3" w:rsidRPr="00EA32BC" w:rsidRDefault="00C612D2">
      <w:pPr>
        <w:ind w:left="851" w:right="849"/>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14:paraId="45E2C37C" w14:textId="77777777" w:rsidR="001A3FC3" w:rsidRPr="00EA32BC" w:rsidRDefault="00C612D2">
      <w:pPr>
        <w:ind w:left="851" w:right="849"/>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EA32BC">
        <w:rPr>
          <w:rFonts w:ascii="Palatino Linotype" w:eastAsia="Palatino Linotype" w:hAnsi="Palatino Linotype" w:cs="Palatino Linotype"/>
          <w:b/>
          <w:i/>
          <w:sz w:val="22"/>
          <w:szCs w:val="22"/>
        </w:rPr>
        <w:t>.”</w:t>
      </w:r>
    </w:p>
    <w:p w14:paraId="277255C6"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68514BB8" w14:textId="77777777" w:rsidR="001A3FC3" w:rsidRPr="00EA32BC" w:rsidRDefault="00C612D2">
      <w:pPr>
        <w:ind w:left="851"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“Artículo 8.-</w:t>
      </w:r>
      <w:r w:rsidRPr="00EA32BC">
        <w:rPr>
          <w:rFonts w:ascii="Palatino Linotype" w:eastAsia="Palatino Linotype" w:hAnsi="Palatino Linotype" w:cs="Palatino Linotype"/>
          <w:i/>
          <w:sz w:val="22"/>
          <w:szCs w:val="22"/>
        </w:rPr>
        <w:t xml:space="preserve"> El </w:t>
      </w:r>
      <w:r w:rsidRPr="00EA32BC">
        <w:rPr>
          <w:rFonts w:ascii="Palatino Linotype" w:eastAsia="Palatino Linotype" w:hAnsi="Palatino Linotype" w:cs="Palatino Linotype"/>
          <w:b/>
          <w:i/>
          <w:sz w:val="22"/>
          <w:szCs w:val="22"/>
        </w:rPr>
        <w:t>Órgano Superior</w:t>
      </w:r>
      <w:r w:rsidRPr="00EA32BC">
        <w:rPr>
          <w:rFonts w:ascii="Palatino Linotype" w:eastAsia="Palatino Linotype" w:hAnsi="Palatino Linotype" w:cs="Palatino Linotype"/>
          <w:i/>
          <w:sz w:val="22"/>
          <w:szCs w:val="22"/>
        </w:rPr>
        <w:t xml:space="preserve"> tendrá las siguientes atribuciones:</w:t>
      </w:r>
    </w:p>
    <w:p w14:paraId="11D2B3EE" w14:textId="77777777" w:rsidR="001A3FC3" w:rsidRPr="00EA32BC" w:rsidRDefault="00C612D2">
      <w:pPr>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5B4D5C05" w14:textId="77777777" w:rsidR="001A3FC3" w:rsidRPr="00EA32BC" w:rsidRDefault="00C612D2">
      <w:pPr>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XI</w:t>
      </w:r>
      <w:r w:rsidRPr="00EA32BC">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41D00C40" w14:textId="77777777" w:rsidR="001A3FC3" w:rsidRPr="00EA32BC" w:rsidRDefault="00C612D2">
      <w:pPr>
        <w:spacing w:before="240" w:after="240" w:line="360" w:lineRule="auto"/>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rPr>
        <w:lastRenderedPageBreak/>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14:paraId="6572C452"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La información documental comprobatoria de los informes trimestrales presentados, debe conservarse en los archivos de la entidad fiscalizada -</w:t>
      </w:r>
      <w:r w:rsidRPr="00EA32BC">
        <w:rPr>
          <w:rFonts w:ascii="Palatino Linotype" w:eastAsia="Palatino Linotype" w:hAnsi="Palatino Linotype" w:cs="Palatino Linotype"/>
          <w:sz w:val="22"/>
          <w:szCs w:val="22"/>
        </w:rPr>
        <w:t xml:space="preserve">municipio- </w:t>
      </w:r>
      <w:r w:rsidRPr="00EA32BC">
        <w:rPr>
          <w:rFonts w:ascii="Palatino Linotype" w:eastAsia="Palatino Linotype" w:hAnsi="Palatino Linotype" w:cs="Palatino Linotype"/>
        </w:rPr>
        <w:t>en original y debidamente integrada en términos de los lineamientos de referencia, pues son susceptibles de revisión directa por el Órgano Superior de Fiscalización del Estado de México.</w:t>
      </w:r>
    </w:p>
    <w:p w14:paraId="7EE26C28" w14:textId="77777777" w:rsidR="001A3FC3" w:rsidRPr="00EA32BC" w:rsidRDefault="00C612D2">
      <w:pPr>
        <w:spacing w:before="240"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rPr>
        <w:t>En este contexto, el Órgano Superior de Fiscalización del Estado de México, emite en cada ejercicio fiscal las Políticas para la Integración del Informe Trimestral de los Sujetos de Fiscalización Municipales y los Instructivos de llenado correspondientes, mismos que se encuentran disponibles en su sitio de internet</w:t>
      </w:r>
      <w:r w:rsidRPr="00EA32BC">
        <w:rPr>
          <w:rFonts w:ascii="Palatino Linotype" w:eastAsia="Palatino Linotype" w:hAnsi="Palatino Linotype" w:cs="Palatino Linotype"/>
          <w:vertAlign w:val="superscript"/>
        </w:rPr>
        <w:footnoteReference w:id="1"/>
      </w:r>
      <w:r w:rsidRPr="00EA32BC">
        <w:rPr>
          <w:rFonts w:ascii="Palatino Linotype" w:eastAsia="Palatino Linotype" w:hAnsi="Palatino Linotype" w:cs="Palatino Linotype"/>
        </w:rPr>
        <w:t>, con la finalidad de definir los criterios, los formatos y la documentación necesaria para presentar los informes trimestrales, que deben ser entregados a través de cuatro módulos, que contienen la siguiente información:</w:t>
      </w:r>
    </w:p>
    <w:p w14:paraId="4F5C29B9" w14:textId="77777777" w:rsidR="001A3FC3" w:rsidRPr="00EA32BC" w:rsidRDefault="00C612D2">
      <w:pPr>
        <w:spacing w:before="240" w:line="360" w:lineRule="auto"/>
        <w:ind w:right="49"/>
        <w:jc w:val="center"/>
        <w:rPr>
          <w:rFonts w:ascii="Palatino Linotype" w:eastAsia="Palatino Linotype" w:hAnsi="Palatino Linotype" w:cs="Palatino Linotype"/>
        </w:rPr>
      </w:pPr>
      <w:r w:rsidRPr="00EA32BC">
        <w:rPr>
          <w:rFonts w:ascii="Palatino Linotype" w:eastAsia="Palatino Linotype" w:hAnsi="Palatino Linotype" w:cs="Palatino Linotype"/>
          <w:noProof/>
          <w:lang w:val="es-MX"/>
        </w:rPr>
        <w:lastRenderedPageBreak/>
        <w:drawing>
          <wp:inline distT="0" distB="0" distL="0" distR="0" wp14:anchorId="6232EAB1" wp14:editId="56627120">
            <wp:extent cx="5610225" cy="2324100"/>
            <wp:effectExtent l="0" t="0" r="0" b="0"/>
            <wp:docPr id="11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5610225" cy="2324100"/>
                    </a:xfrm>
                    <a:prstGeom prst="rect">
                      <a:avLst/>
                    </a:prstGeom>
                    <a:ln/>
                  </pic:spPr>
                </pic:pic>
              </a:graphicData>
            </a:graphic>
          </wp:inline>
        </w:drawing>
      </w:r>
    </w:p>
    <w:p w14:paraId="1DB98D54" w14:textId="77777777" w:rsidR="001A3FC3" w:rsidRPr="00EA32BC" w:rsidRDefault="00C612D2">
      <w:pPr>
        <w:spacing w:before="240"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La información que con motivo de la nómina genera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se encuentra contenida en el Módulo 4 Información administrativa, Submódulo Nómina y Comprobantes Fiscales, como se muestra a continuación:</w:t>
      </w:r>
    </w:p>
    <w:p w14:paraId="726F914D" w14:textId="77777777" w:rsidR="001A3FC3" w:rsidRPr="00EA32BC" w:rsidRDefault="00C612D2">
      <w:pPr>
        <w:spacing w:before="240"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noProof/>
          <w:lang w:val="es-MX"/>
        </w:rPr>
        <w:drawing>
          <wp:inline distT="0" distB="0" distL="0" distR="0" wp14:anchorId="199AB6E3" wp14:editId="5F66E945">
            <wp:extent cx="5610225" cy="2495550"/>
            <wp:effectExtent l="0" t="0" r="0" b="0"/>
            <wp:docPr id="11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5610225" cy="2495550"/>
                    </a:xfrm>
                    <a:prstGeom prst="rect">
                      <a:avLst/>
                    </a:prstGeom>
                    <a:ln/>
                  </pic:spPr>
                </pic:pic>
              </a:graphicData>
            </a:graphic>
          </wp:inline>
        </w:drawing>
      </w:r>
      <w:r w:rsidRPr="00EA32BC">
        <w:rPr>
          <w:rFonts w:ascii="Palatino Linotype" w:eastAsia="Palatino Linotype" w:hAnsi="Palatino Linotype" w:cs="Palatino Linotype"/>
        </w:rPr>
        <w:t xml:space="preserve"> </w:t>
      </w:r>
      <w:r w:rsidRPr="00EA32BC">
        <w:rPr>
          <w:noProof/>
          <w:lang w:val="es-MX"/>
        </w:rPr>
        <mc:AlternateContent>
          <mc:Choice Requires="wps">
            <w:drawing>
              <wp:anchor distT="0" distB="0" distL="114300" distR="114300" simplePos="0" relativeHeight="251660288" behindDoc="0" locked="0" layoutInCell="1" hidden="0" allowOverlap="1" wp14:anchorId="0A0FEEDC" wp14:editId="204B2BE4">
                <wp:simplePos x="0" y="0"/>
                <wp:positionH relativeFrom="column">
                  <wp:posOffset>406400</wp:posOffset>
                </wp:positionH>
                <wp:positionV relativeFrom="paragraph">
                  <wp:posOffset>2006600</wp:posOffset>
                </wp:positionV>
                <wp:extent cx="2647950" cy="342900"/>
                <wp:effectExtent l="0" t="0" r="0" b="0"/>
                <wp:wrapNone/>
                <wp:docPr id="86" name="Rectángulo 86"/>
                <wp:cNvGraphicFramePr/>
                <a:graphic xmlns:a="http://schemas.openxmlformats.org/drawingml/2006/main">
                  <a:graphicData uri="http://schemas.microsoft.com/office/word/2010/wordprocessingShape">
                    <wps:wsp>
                      <wps:cNvSpPr/>
                      <wps:spPr>
                        <a:xfrm>
                          <a:off x="4041075" y="3627600"/>
                          <a:ext cx="2609850" cy="304800"/>
                        </a:xfrm>
                        <a:prstGeom prst="rect">
                          <a:avLst/>
                        </a:prstGeom>
                        <a:noFill/>
                        <a:ln w="38100" cap="flat" cmpd="sng">
                          <a:solidFill>
                            <a:srgbClr val="C00000"/>
                          </a:solidFill>
                          <a:prstDash val="solid"/>
                          <a:round/>
                          <a:headEnd type="none" w="sm" len="sm"/>
                          <a:tailEnd type="none" w="sm" len="sm"/>
                        </a:ln>
                        <a:effectLst>
                          <a:outerShdw blurRad="40000" dist="23000" dir="5400000" rotWithShape="0">
                            <a:srgbClr val="000000">
                              <a:alpha val="34901"/>
                            </a:srgbClr>
                          </a:outerShdw>
                        </a:effectLst>
                      </wps:spPr>
                      <wps:txbx>
                        <w:txbxContent>
                          <w:p w14:paraId="56ECF076" w14:textId="77777777" w:rsidR="00681B3F" w:rsidRDefault="00681B3F">
                            <w:pPr>
                              <w:textDirection w:val="btLr"/>
                            </w:pPr>
                          </w:p>
                        </w:txbxContent>
                      </wps:txbx>
                      <wps:bodyPr spcFirstLastPara="1" wrap="square" lIns="91425" tIns="91425" rIns="91425" bIns="91425" anchor="ctr" anchorCtr="0">
                        <a:noAutofit/>
                      </wps:bodyPr>
                    </wps:wsp>
                  </a:graphicData>
                </a:graphic>
              </wp:anchor>
            </w:drawing>
          </mc:Choice>
          <mc:Fallback>
            <w:pict>
              <v:rect w14:anchorId="0A0FEEDC" id="Rectángulo 86" o:spid="_x0000_s1028" style="position:absolute;left:0;text-align:left;margin-left:32pt;margin-top:158pt;width:208.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" filled="f" strokecolor="#c00000" strokeweight="3pt">
                <v:stroke startarrowwidth="narrow" startarrowlength="short" endarrowwidth="narrow" endarrowlength="short" joinstyle="round"/>
                <v:shadow on="t" color="black" opacity="22872f" origin=",.5" offset="0,.63889mm"/>
                <v:textbox inset="2.53958mm,2.53958mm,2.53958mm,2.53958mm">
                  <w:txbxContent>
                    <w:p w14:paraId="56ECF076" w14:textId="77777777" w:rsidR="00681B3F" w:rsidRDefault="00681B3F">
                      <w:pPr>
                        <w:textDirection w:val="btLr"/>
                      </w:pPr>
                    </w:p>
                  </w:txbxContent>
                </v:textbox>
              </v:rect>
            </w:pict>
          </mc:Fallback>
        </mc:AlternateContent>
      </w:r>
    </w:p>
    <w:p w14:paraId="3D26233F" w14:textId="77777777" w:rsidR="001A3FC3" w:rsidRPr="00EA32BC" w:rsidRDefault="00C612D2">
      <w:pPr>
        <w:tabs>
          <w:tab w:val="right" w:pos="8505"/>
        </w:tabs>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Asimismo, es importante mencionar que de conformidad con el artículo 29 del Código Fiscal de la Federación, cuando las leyes fiscales establezcan la obligación de expedir comprobantes fiscales por los actos o actividades que se realicen, por los ingresos que se perciban </w:t>
      </w:r>
      <w:r w:rsidRPr="00EA32BC">
        <w:rPr>
          <w:rFonts w:ascii="Palatino Linotype" w:eastAsia="Palatino Linotype" w:hAnsi="Palatino Linotype" w:cs="Palatino Linotype"/>
          <w:b/>
          <w:u w:val="single"/>
        </w:rPr>
        <w:t>o por las retenciones de contribuciones que efectúen</w:t>
      </w:r>
      <w:r w:rsidRPr="00EA32BC">
        <w:rPr>
          <w:rFonts w:ascii="Palatino Linotype" w:eastAsia="Palatino Linotype" w:hAnsi="Palatino Linotype" w:cs="Palatino Linotype"/>
        </w:rPr>
        <w:t xml:space="preserve">, los </w:t>
      </w:r>
      <w:r w:rsidRPr="00EA32BC">
        <w:rPr>
          <w:rFonts w:ascii="Palatino Linotype" w:eastAsia="Palatino Linotype" w:hAnsi="Palatino Linotype" w:cs="Palatino Linotype"/>
        </w:rPr>
        <w:lastRenderedPageBreak/>
        <w:t>contribuyentes deberán emitirlos mediante documentos digitales a través de la página de Internet del Servicio de Administración Tributaria, debiendo, aquellas a las que les hubieren retenido contribuciones solicitar el comprobante fiscal digital por Internet respectivo, como en el caso del Impuesto Sobre la Renta que deben pagar por sus ingresos los servidores públicos como personas físicas y que el Sujeto Obligado debe retener y enterar a la autoridad fiscal.</w:t>
      </w:r>
    </w:p>
    <w:p w14:paraId="7B22ED7E" w14:textId="77777777" w:rsidR="001A3FC3" w:rsidRPr="00EA32BC" w:rsidRDefault="00C612D2">
      <w:pPr>
        <w:tabs>
          <w:tab w:val="right" w:pos="8505"/>
        </w:tabs>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Asimismo, para que los Comprobantes Fiscales Digitales por Internet, sean válidos deben cumplir con las formalidades que establece el artículo 29-A del Código Fiscal de la Federación, a saber:</w:t>
      </w:r>
    </w:p>
    <w:p w14:paraId="05FDF12A"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“Artículo 29-A</w:t>
      </w:r>
      <w:r w:rsidRPr="00EA32BC">
        <w:rPr>
          <w:rFonts w:ascii="Palatino Linotype" w:eastAsia="Palatino Linotype" w:hAnsi="Palatino Linotype" w:cs="Palatino Linotype"/>
          <w:i/>
          <w:sz w:val="22"/>
          <w:szCs w:val="22"/>
        </w:rPr>
        <w:t>. Los comprobantes fiscales digitales a que se refiere el artículo 29 de este Código, deberán contener los siguientes requisitos:</w:t>
      </w:r>
    </w:p>
    <w:p w14:paraId="7A198B6E"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w:t>
      </w:r>
      <w:r w:rsidRPr="00EA32BC">
        <w:rPr>
          <w:rFonts w:ascii="Palatino Linotype" w:eastAsia="Palatino Linotype" w:hAnsi="Palatino Linotype" w:cs="Palatino Linotype"/>
          <w:i/>
          <w:sz w:val="22"/>
          <w:szCs w:val="22"/>
        </w:rPr>
        <w:t xml:space="preserve"> La clave del Registro Federal de Contribuyentes, nombre o razón social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14:paraId="4106FD7C"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II.</w:t>
      </w:r>
      <w:r w:rsidRPr="00EA32BC">
        <w:rPr>
          <w:rFonts w:ascii="Palatino Linotype" w:eastAsia="Palatino Linotype" w:hAnsi="Palatino Linotype" w:cs="Palatino Linotype"/>
          <w:i/>
          <w:sz w:val="22"/>
          <w:szCs w:val="22"/>
        </w:rPr>
        <w:t xml:space="preserve"> El número de folio y el sello digital del Servicio de Administración Tributaria, referidos en la fracción IV, incisos b) y c) del artículo 29 de este Código, así como el sello digital del contribuyente que lo expide. </w:t>
      </w:r>
    </w:p>
    <w:p w14:paraId="44376812"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III.</w:t>
      </w:r>
      <w:r w:rsidRPr="00EA32BC">
        <w:rPr>
          <w:rFonts w:ascii="Palatino Linotype" w:eastAsia="Palatino Linotype" w:hAnsi="Palatino Linotype" w:cs="Palatino Linotype"/>
          <w:i/>
          <w:sz w:val="22"/>
          <w:szCs w:val="22"/>
        </w:rPr>
        <w:t xml:space="preserve"> El lugar y fecha de expedición.</w:t>
      </w:r>
    </w:p>
    <w:p w14:paraId="1CA05534"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IV</w:t>
      </w:r>
      <w:r w:rsidRPr="00EA32BC">
        <w:rPr>
          <w:rFonts w:ascii="Palatino Linotype" w:eastAsia="Palatino Linotype" w:hAnsi="Palatino Linotype" w:cs="Palatino Linotype"/>
          <w:i/>
          <w:sz w:val="22"/>
          <w:szCs w:val="22"/>
        </w:rPr>
        <w:t>. La clave del Registro Federal de Contribuyentes, nombre o razón social; así como el código postal del domicilio fiscal de la persona a favor de quien se expida, asimismo, se debe indicar la clave del uso fiscal que el receptor le dará al comprobante fiscal.</w:t>
      </w:r>
    </w:p>
    <w:p w14:paraId="4DF17D7D"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4467F6D5"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w:t>
      </w:r>
      <w:r w:rsidRPr="00EA32BC">
        <w:rPr>
          <w:rFonts w:ascii="Palatino Linotype" w:eastAsia="Palatino Linotype" w:hAnsi="Palatino Linotype" w:cs="Palatino Linotype"/>
          <w:i/>
          <w:sz w:val="22"/>
          <w:szCs w:val="22"/>
        </w:rPr>
        <w:t xml:space="preserve">. La cantidad, unidad de medida y clase de los bienes o mercancías o descripción del servicio o del uso o goce que amparen, estos datos se asentarán en los comprobantes fiscales digitales por Internet usando los catálogos incluidos en las especificaciones tecnológicas a que se refiere la fracción VI del artículo 29 de este Código. </w:t>
      </w:r>
    </w:p>
    <w:p w14:paraId="63751BB9"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lastRenderedPageBreak/>
        <w:t>...</w:t>
      </w:r>
    </w:p>
    <w:p w14:paraId="1EB579F3"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VI.</w:t>
      </w:r>
      <w:r w:rsidRPr="00EA32BC">
        <w:rPr>
          <w:rFonts w:ascii="Palatino Linotype" w:eastAsia="Palatino Linotype" w:hAnsi="Palatino Linotype" w:cs="Palatino Linotype"/>
          <w:i/>
          <w:sz w:val="22"/>
          <w:szCs w:val="22"/>
        </w:rPr>
        <w:t xml:space="preserve"> El valor unitario consignado en número.</w:t>
      </w:r>
    </w:p>
    <w:p w14:paraId="33142EC7"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2853576B"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VII</w:t>
      </w:r>
      <w:r w:rsidRPr="00EA32BC">
        <w:rPr>
          <w:rFonts w:ascii="Palatino Linotype" w:eastAsia="Palatino Linotype" w:hAnsi="Palatino Linotype" w:cs="Palatino Linotype"/>
          <w:i/>
          <w:sz w:val="22"/>
          <w:szCs w:val="22"/>
        </w:rPr>
        <w:t>. El importe total consignado en número o letra,</w:t>
      </w:r>
    </w:p>
    <w:p w14:paraId="204D7685"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56C88D34"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VIII.</w:t>
      </w:r>
      <w:r w:rsidRPr="00EA32BC">
        <w:rPr>
          <w:rFonts w:ascii="Palatino Linotype" w:eastAsia="Palatino Linotype" w:hAnsi="Palatino Linotype" w:cs="Palatino Linotype"/>
          <w:i/>
          <w:sz w:val="22"/>
          <w:szCs w:val="22"/>
        </w:rPr>
        <w:t xml:space="preserve"> Tratándose de mercancías de importación: </w:t>
      </w:r>
    </w:p>
    <w:p w14:paraId="66DDE944" w14:textId="77777777" w:rsidR="001A3FC3" w:rsidRPr="00EA32BC" w:rsidRDefault="00C612D2" w:rsidP="00D4660C">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a) El número y fecha del documento aduanero, tratándose de ventas de primera mano.</w:t>
      </w:r>
    </w:p>
    <w:p w14:paraId="6A4ACCB0" w14:textId="77777777" w:rsidR="001A3FC3" w:rsidRPr="00EA32BC" w:rsidRDefault="00C612D2">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b) En importaciones efectuadas a favor de un tercero, el número y fecha del documento aduanero, los conceptos y montos pagados por el contribuyente directamente al proveedor extranjero y los importes de las contribuciones pagadas con motivo de la importación.</w:t>
      </w:r>
    </w:p>
    <w:p w14:paraId="529B66DC" w14:textId="77777777" w:rsidR="001A3FC3" w:rsidRPr="00EA32BC" w:rsidRDefault="00C612D2">
      <w:pPr>
        <w:tabs>
          <w:tab w:val="right" w:pos="8505"/>
        </w:tabs>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IX</w:t>
      </w:r>
      <w:r w:rsidRPr="00EA32BC">
        <w:rPr>
          <w:rFonts w:ascii="Palatino Linotype" w:eastAsia="Palatino Linotype" w:hAnsi="Palatino Linotype" w:cs="Palatino Linotype"/>
          <w:i/>
          <w:sz w:val="22"/>
          <w:szCs w:val="22"/>
        </w:rPr>
        <w:t>. Los contenidos en las disposiciones fiscales, que sean requeridos y dé a conocer el Servicio de Administración Tributaria, mediante reglas de carácter general...”</w:t>
      </w:r>
    </w:p>
    <w:p w14:paraId="2EC5E77B"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Además, de conformidad con la regla 2.7.1.7 de Resolución Miscelánea Fiscal para 2022, para los efectos del artículo 29 segundo párrafo fracción V</w:t>
      </w:r>
      <w:r w:rsidRPr="00EA32BC">
        <w:rPr>
          <w:rFonts w:ascii="Palatino Linotype" w:eastAsia="Palatino Linotype" w:hAnsi="Palatino Linotype" w:cs="Palatino Linotype"/>
          <w:vertAlign w:val="superscript"/>
        </w:rPr>
        <w:footnoteReference w:id="2"/>
      </w:r>
      <w:r w:rsidRPr="00EA32BC">
        <w:rPr>
          <w:rFonts w:ascii="Palatino Linotype" w:eastAsia="Palatino Linotype" w:hAnsi="Palatino Linotype" w:cs="Palatino Linotype"/>
        </w:rPr>
        <w:t xml:space="preserve"> del Código Fiscal de la Federación, las representaciones impresas del Comprobante Fiscal Digital por Internet o CFDI, deben cumplir con los requisitos señalados en el artículo 29-A del Código Fiscal de la Federación, y contener lo siguiente:</w:t>
      </w:r>
    </w:p>
    <w:p w14:paraId="794E2030" w14:textId="77777777" w:rsidR="001A3FC3" w:rsidRPr="00EA32BC" w:rsidRDefault="00C612D2">
      <w:pPr>
        <w:tabs>
          <w:tab w:val="left" w:pos="709"/>
        </w:tabs>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w:t>
      </w:r>
      <w:r w:rsidRPr="00EA32BC">
        <w:rPr>
          <w:rFonts w:ascii="Palatino Linotype" w:eastAsia="Palatino Linotype" w:hAnsi="Palatino Linotype" w:cs="Palatino Linotype"/>
          <w:i/>
          <w:sz w:val="22"/>
          <w:szCs w:val="22"/>
        </w:rPr>
        <w:t xml:space="preserve">. Código de barras generado conforme a la especificación técnica que se establece en el rubro I.D del Anexo 20 o el número de folio fiscal del comprobante. </w:t>
      </w:r>
    </w:p>
    <w:p w14:paraId="4535CEB8" w14:textId="77777777" w:rsidR="001A3FC3" w:rsidRPr="00EA32BC" w:rsidRDefault="00C612D2">
      <w:pPr>
        <w:tabs>
          <w:tab w:val="left" w:pos="709"/>
        </w:tabs>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lastRenderedPageBreak/>
        <w:t>II.</w:t>
      </w:r>
      <w:r w:rsidRPr="00EA32BC">
        <w:rPr>
          <w:rFonts w:ascii="Palatino Linotype" w:eastAsia="Palatino Linotype" w:hAnsi="Palatino Linotype" w:cs="Palatino Linotype"/>
          <w:i/>
          <w:sz w:val="22"/>
          <w:szCs w:val="22"/>
        </w:rPr>
        <w:t xml:space="preserve"> Número de serie del CSD del emisor y del SAT, que establecen los rubros I.A y III.B del Anexo 20. </w:t>
      </w:r>
    </w:p>
    <w:p w14:paraId="3C48374B" w14:textId="77777777" w:rsidR="001A3FC3" w:rsidRPr="00EA32BC" w:rsidRDefault="00C612D2">
      <w:pPr>
        <w:tabs>
          <w:tab w:val="left" w:pos="709"/>
        </w:tabs>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III.</w:t>
      </w:r>
      <w:r w:rsidRPr="00EA32BC">
        <w:rPr>
          <w:rFonts w:ascii="Palatino Linotype" w:eastAsia="Palatino Linotype" w:hAnsi="Palatino Linotype" w:cs="Palatino Linotype"/>
          <w:i/>
          <w:sz w:val="22"/>
          <w:szCs w:val="22"/>
        </w:rPr>
        <w:t xml:space="preserve"> La leyenda: “Este documento es una representación impresa de un CFDI”</w:t>
      </w:r>
    </w:p>
    <w:p w14:paraId="397E18E8" w14:textId="77777777" w:rsidR="001A3FC3" w:rsidRPr="00EA32BC" w:rsidRDefault="00C612D2">
      <w:pPr>
        <w:tabs>
          <w:tab w:val="left" w:pos="709"/>
        </w:tabs>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IV.</w:t>
      </w:r>
      <w:r w:rsidRPr="00EA32BC">
        <w:rPr>
          <w:rFonts w:ascii="Palatino Linotype" w:eastAsia="Palatino Linotype" w:hAnsi="Palatino Linotype" w:cs="Palatino Linotype"/>
          <w:i/>
          <w:sz w:val="22"/>
          <w:szCs w:val="22"/>
        </w:rPr>
        <w:t xml:space="preserve"> Fecha y hora de emisión y de certificación del CFDI en adición a lo señalado en el artículo 29- A, fracción III del CFF. </w:t>
      </w:r>
    </w:p>
    <w:p w14:paraId="358E3BE5" w14:textId="77777777" w:rsidR="001A3FC3" w:rsidRPr="00EA32BC" w:rsidRDefault="00C612D2">
      <w:pPr>
        <w:tabs>
          <w:tab w:val="left" w:pos="709"/>
        </w:tabs>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w:t>
      </w:r>
      <w:r w:rsidRPr="00EA32BC">
        <w:rPr>
          <w:rFonts w:ascii="Palatino Linotype" w:eastAsia="Palatino Linotype" w:hAnsi="Palatino Linotype" w:cs="Palatino Linotype"/>
          <w:i/>
          <w:sz w:val="22"/>
          <w:szCs w:val="22"/>
        </w:rPr>
        <w:t xml:space="preserve"> Cadena original del complemento de certificación digital del SAT. </w:t>
      </w:r>
    </w:p>
    <w:p w14:paraId="2C9CA233" w14:textId="77777777" w:rsidR="001A3FC3" w:rsidRPr="00EA32BC" w:rsidRDefault="00C612D2">
      <w:pPr>
        <w:tabs>
          <w:tab w:val="left" w:pos="709"/>
        </w:tabs>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VI</w:t>
      </w:r>
      <w:r w:rsidRPr="00EA32BC">
        <w:rPr>
          <w:rFonts w:ascii="Palatino Linotype" w:eastAsia="Palatino Linotype" w:hAnsi="Palatino Linotype" w:cs="Palatino Linotype"/>
          <w:i/>
          <w:sz w:val="22"/>
          <w:szCs w:val="22"/>
        </w:rPr>
        <w:t xml:space="preserve">. Tratándose de las representaciones impresas del CFDI que amparen retenciones e información de pagos emitidos conforme a lo dispuesto en la regla 2.7.5.4., adicional a lo anteriormente señalado deberán incluir: </w:t>
      </w:r>
    </w:p>
    <w:p w14:paraId="1007487C" w14:textId="77777777" w:rsidR="001A3FC3" w:rsidRPr="00EA32BC" w:rsidRDefault="00C612D2">
      <w:pPr>
        <w:tabs>
          <w:tab w:val="left" w:pos="709"/>
        </w:tabs>
        <w:spacing w:before="120" w:after="120"/>
        <w:ind w:left="993"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w:t>
      </w:r>
      <w:r w:rsidRPr="00EA32BC">
        <w:rPr>
          <w:rFonts w:ascii="Palatino Linotype" w:eastAsia="Palatino Linotype" w:hAnsi="Palatino Linotype" w:cs="Palatino Linotype"/>
          <w:i/>
          <w:sz w:val="22"/>
          <w:szCs w:val="22"/>
        </w:rPr>
        <w:t xml:space="preserve"> Los datos que establece el Anexo 20, apartado II.A., así como los correspondientes a los complementos que incorpore.</w:t>
      </w:r>
    </w:p>
    <w:p w14:paraId="02747B3E" w14:textId="77777777" w:rsidR="001A3FC3" w:rsidRPr="00EA32BC" w:rsidRDefault="00C612D2">
      <w:pPr>
        <w:tabs>
          <w:tab w:val="left" w:pos="709"/>
        </w:tabs>
        <w:spacing w:before="120" w:after="120"/>
        <w:ind w:left="993"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b)</w:t>
      </w:r>
      <w:r w:rsidRPr="00EA32BC">
        <w:rPr>
          <w:rFonts w:ascii="Palatino Linotype" w:eastAsia="Palatino Linotype" w:hAnsi="Palatino Linotype" w:cs="Palatino Linotype"/>
          <w:i/>
          <w:sz w:val="22"/>
          <w:szCs w:val="22"/>
        </w:rPr>
        <w:t xml:space="preserve"> El código de barras generado conforme a la especificación técnica establecida en el Anexo 20, rubro II.D. </w:t>
      </w:r>
    </w:p>
    <w:p w14:paraId="49A8A3DC" w14:textId="77777777" w:rsidR="001A3FC3" w:rsidRPr="00EA32BC" w:rsidRDefault="00C612D2">
      <w:pPr>
        <w:tabs>
          <w:tab w:val="left" w:pos="709"/>
        </w:tabs>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VII.</w:t>
      </w:r>
      <w:r w:rsidRPr="00EA32BC">
        <w:rPr>
          <w:rFonts w:ascii="Palatino Linotype" w:eastAsia="Palatino Linotype" w:hAnsi="Palatino Linotype" w:cs="Palatino Linotype"/>
          <w:i/>
          <w:sz w:val="22"/>
          <w:szCs w:val="22"/>
        </w:rPr>
        <w:t xml:space="preserve"> Tratándose de las representaciones impresas de un CFDI emitidas conforme a lo dispuesto en la regla 2.7.2.14., y la Sección 2.7.3., se deberá estar a lo siguiente: </w:t>
      </w:r>
    </w:p>
    <w:p w14:paraId="65A2FA73" w14:textId="77777777" w:rsidR="001A3FC3" w:rsidRPr="00EA32BC" w:rsidRDefault="00C612D2">
      <w:pPr>
        <w:tabs>
          <w:tab w:val="left" w:pos="709"/>
        </w:tabs>
        <w:spacing w:before="120" w:after="120"/>
        <w:ind w:left="993"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w:t>
      </w:r>
      <w:r w:rsidRPr="00EA32BC">
        <w:rPr>
          <w:rFonts w:ascii="Palatino Linotype" w:eastAsia="Palatino Linotype" w:hAnsi="Palatino Linotype" w:cs="Palatino Linotype"/>
          <w:i/>
          <w:sz w:val="22"/>
          <w:szCs w:val="22"/>
        </w:rPr>
        <w:t xml:space="preserve"> Espacio para registrar la firma autógrafa de la persona que emite el CFDI. </w:t>
      </w:r>
    </w:p>
    <w:p w14:paraId="386F0237" w14:textId="77777777" w:rsidR="001A3FC3" w:rsidRPr="00EA32BC" w:rsidRDefault="00C612D2">
      <w:pPr>
        <w:tabs>
          <w:tab w:val="left" w:pos="709"/>
        </w:tabs>
        <w:spacing w:before="120" w:after="120"/>
        <w:ind w:left="993"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b)</w:t>
      </w:r>
      <w:r w:rsidRPr="00EA32BC">
        <w:rPr>
          <w:rFonts w:ascii="Palatino Linotype" w:eastAsia="Palatino Linotype" w:hAnsi="Palatino Linotype" w:cs="Palatino Linotype"/>
          <w:i/>
          <w:sz w:val="22"/>
          <w:szCs w:val="22"/>
        </w:rPr>
        <w:t xml:space="preserve"> Respecto a lo señalado en la fracción II de esta regla, se incluirá el número de serie de CESD del proveedor de certificación de CFDI o del SAT según corresponda en sustitución del número de CSD del emisor. </w:t>
      </w:r>
    </w:p>
    <w:p w14:paraId="15B4DC2A" w14:textId="77777777" w:rsidR="001A3FC3" w:rsidRPr="00EA32BC" w:rsidRDefault="00C612D2">
      <w:pPr>
        <w:tabs>
          <w:tab w:val="left" w:pos="709"/>
        </w:tabs>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VIII.</w:t>
      </w:r>
      <w:r w:rsidRPr="00EA32BC">
        <w:rPr>
          <w:rFonts w:ascii="Palatino Linotype" w:eastAsia="Palatino Linotype" w:hAnsi="Palatino Linotype" w:cs="Palatino Linotype"/>
          <w:i/>
          <w:sz w:val="22"/>
          <w:szCs w:val="22"/>
        </w:rPr>
        <w:t xml:space="preserve">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14:paraId="566EE51D" w14:textId="77777777" w:rsidR="001A3FC3" w:rsidRPr="00EA32BC" w:rsidRDefault="00C612D2">
      <w:pPr>
        <w:tabs>
          <w:tab w:val="left" w:pos="709"/>
        </w:tabs>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 xml:space="preserve">IX. </w:t>
      </w:r>
      <w:r w:rsidRPr="00EA32BC">
        <w:rPr>
          <w:rFonts w:ascii="Palatino Linotype" w:eastAsia="Palatino Linotype" w:hAnsi="Palatino Linotype" w:cs="Palatino Linotype"/>
          <w:i/>
          <w:sz w:val="22"/>
          <w:szCs w:val="22"/>
        </w:rPr>
        <w:t>Tratándose de las representaciones impresas del CFDI al que se incorpore el complemento señalado en las reglas 2.7.7.1. y 2.7.7.2. adicional a lo señalado en las fracciones anteriores de la presente regla, deberán incluir los datos establecidos en el “Instructivo de llenado del CFDI al que se le incorpora el Complemento Carta Porte”, que publique el SAT en su Portal.</w:t>
      </w:r>
    </w:p>
    <w:p w14:paraId="775869AA" w14:textId="77777777" w:rsidR="001A3FC3" w:rsidRPr="00EA32BC" w:rsidRDefault="00C612D2">
      <w:pPr>
        <w:tabs>
          <w:tab w:val="left" w:pos="709"/>
        </w:tabs>
        <w:spacing w:before="120" w:after="120"/>
        <w:ind w:left="851" w:right="900"/>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El archivo electrónico que en su caso genere la representación impresa deberá estar en formato electrónico PDF o algún otro similar que permita su impresión. “</w:t>
      </w:r>
    </w:p>
    <w:p w14:paraId="15DAA0B0" w14:textId="77777777" w:rsidR="001A3FC3" w:rsidRPr="00EA32BC" w:rsidRDefault="00C612D2">
      <w:pPr>
        <w:spacing w:before="240" w:after="240" w:line="360" w:lineRule="auto"/>
        <w:ind w:right="51"/>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Respecto de los recibos de nómina, además, al relacionarse con la erogación de recursos públicos para cubrir un sueldo o salario, se considera información de </w:t>
      </w:r>
      <w:r w:rsidRPr="00EA32BC">
        <w:rPr>
          <w:rFonts w:ascii="Palatino Linotype" w:eastAsia="Palatino Linotype" w:hAnsi="Palatino Linotype" w:cs="Palatino Linotype"/>
        </w:rPr>
        <w:lastRenderedPageBreak/>
        <w:t xml:space="preserve">carácter público cuya publicidad abona a la transparencia y a la rendición de cuentas en el actuar del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por cuanto hace a la administración de los recursos del erario público, razón por la cual la información relativa a las remuneraciones de los servidores públicos es considerada una obligación de transparencia de oficio, a la luz del artículo 92, fracción VIII de la Ley de Transparencia y Acceso a la Información Pública del Estado de México y Municipios, a saber:</w:t>
      </w:r>
    </w:p>
    <w:p w14:paraId="7F533236" w14:textId="77777777" w:rsidR="001A3FC3" w:rsidRPr="00EA32BC" w:rsidRDefault="00C612D2">
      <w:pPr>
        <w:spacing w:before="240" w:after="240"/>
        <w:ind w:left="567"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Artículo 92</w:t>
      </w:r>
      <w:r w:rsidRPr="00EA32BC">
        <w:rPr>
          <w:rFonts w:ascii="Palatino Linotype" w:eastAsia="Palatino Linotype" w:hAnsi="Palatino Linotype" w:cs="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5BA3D40" w14:textId="77777777" w:rsidR="001A3FC3" w:rsidRPr="00EA32BC" w:rsidRDefault="00C612D2">
      <w:pPr>
        <w:spacing w:before="240" w:after="240"/>
        <w:ind w:left="567" w:right="900"/>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w:t>
      </w:r>
    </w:p>
    <w:p w14:paraId="44CC8F00" w14:textId="77777777" w:rsidR="001A3FC3" w:rsidRPr="00EA32BC" w:rsidRDefault="00C612D2">
      <w:pPr>
        <w:spacing w:before="240" w:after="240"/>
        <w:ind w:left="567"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VIII</w:t>
      </w: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La remuneración bruta y neta de todos los servidores públicos</w:t>
      </w:r>
      <w:r w:rsidRPr="00EA32BC">
        <w:rPr>
          <w:rFonts w:ascii="Palatino Linotype" w:eastAsia="Palatino Linotype" w:hAnsi="Palatino Linotype" w:cs="Palatino Linotype"/>
          <w:i/>
          <w:sz w:val="22"/>
          <w:szCs w:val="22"/>
        </w:rPr>
        <w:t xml:space="preserve"> de base o de confianza, de todas las percepciones, incluyendo sueldos, prestaciones, gratificaciones, primas, comisiones, dietas, bonos, estímulos, ingresos y sistemas de compensación, señalando la periodicidad de dicha remuneración;”</w:t>
      </w:r>
    </w:p>
    <w:p w14:paraId="7696C92A" w14:textId="77777777" w:rsidR="001A3FC3" w:rsidRPr="00EA32BC" w:rsidRDefault="00C612D2">
      <w:pPr>
        <w:spacing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En correlación con lo anterior, la información relativa a las remuneraciones de los servidores públicos, se considera que es de interés general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w:t>
      </w:r>
      <w:r w:rsidRPr="00EA32BC">
        <w:rPr>
          <w:rFonts w:ascii="Palatino Linotype" w:eastAsia="Palatino Linotype" w:hAnsi="Palatino Linotype" w:cs="Palatino Linotype"/>
        </w:rPr>
        <w:lastRenderedPageBreak/>
        <w:t>finalidad en la disposición de esos recursos; preceptos legales que en su parte conducente señalan lo siguiente:</w:t>
      </w:r>
    </w:p>
    <w:p w14:paraId="11B04C1E" w14:textId="77777777" w:rsidR="001A3FC3" w:rsidRPr="00EA32BC" w:rsidRDefault="00C612D2">
      <w:pPr>
        <w:spacing w:before="120" w:after="120"/>
        <w:ind w:left="567" w:right="851"/>
        <w:jc w:val="both"/>
        <w:rPr>
          <w:rFonts w:ascii="Palatino Linotype" w:eastAsia="Palatino Linotype" w:hAnsi="Palatino Linotype" w:cs="Palatino Linotype"/>
          <w:i/>
          <w:sz w:val="22"/>
          <w:szCs w:val="22"/>
          <w:u w:val="single"/>
        </w:rPr>
      </w:pPr>
      <w:r w:rsidRPr="00EA32BC">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EA32BC">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EA32BC">
        <w:rPr>
          <w:rFonts w:ascii="Palatino Linotype" w:eastAsia="Palatino Linotype" w:hAnsi="Palatino Linotype" w:cs="Palatino Linotype"/>
          <w:b/>
          <w:i/>
          <w:sz w:val="22"/>
          <w:szCs w:val="22"/>
          <w:u w:val="single"/>
        </w:rPr>
        <w:t>que reciba y ejerza recursos públicos</w:t>
      </w:r>
      <w:r w:rsidRPr="00EA32BC">
        <w:rPr>
          <w:rFonts w:ascii="Palatino Linotype" w:eastAsia="Palatino Linotype" w:hAnsi="Palatino Linotype" w:cs="Palatino Linotype"/>
          <w:i/>
          <w:sz w:val="22"/>
          <w:szCs w:val="22"/>
        </w:rPr>
        <w:t xml:space="preserve"> o realice actos de autoridad </w:t>
      </w:r>
      <w:r w:rsidRPr="00EA32BC">
        <w:rPr>
          <w:rFonts w:ascii="Palatino Linotype" w:eastAsia="Palatino Linotype" w:hAnsi="Palatino Linotype" w:cs="Palatino Linotype"/>
          <w:b/>
          <w:i/>
          <w:sz w:val="22"/>
          <w:szCs w:val="22"/>
          <w:u w:val="single"/>
        </w:rPr>
        <w:t>en el ámbito de competencia del Estado de México y sus municipios</w:t>
      </w:r>
      <w:r w:rsidRPr="00EA32BC">
        <w:rPr>
          <w:rFonts w:ascii="Palatino Linotype" w:eastAsia="Palatino Linotype" w:hAnsi="Palatino Linotype" w:cs="Palatino Linotype"/>
          <w:i/>
          <w:sz w:val="22"/>
          <w:szCs w:val="22"/>
          <w:u w:val="single"/>
        </w:rPr>
        <w:t>.</w:t>
      </w:r>
    </w:p>
    <w:p w14:paraId="3364D81E" w14:textId="77777777" w:rsidR="001A3FC3" w:rsidRPr="00EA32BC" w:rsidRDefault="00C612D2">
      <w:pPr>
        <w:spacing w:before="120" w:after="120"/>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w:t>
      </w:r>
    </w:p>
    <w:p w14:paraId="3EC3B9BC" w14:textId="77777777" w:rsidR="001A3FC3" w:rsidRPr="00EA32BC" w:rsidRDefault="00C612D2">
      <w:pPr>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Artículo 23.</w:t>
      </w:r>
      <w:r w:rsidRPr="00EA32BC">
        <w:rPr>
          <w:rFonts w:ascii="Palatino Linotype" w:eastAsia="Palatino Linotype" w:hAnsi="Palatino Linotype" w:cs="Palatino Linotype"/>
          <w:i/>
          <w:sz w:val="22"/>
          <w:szCs w:val="22"/>
        </w:rPr>
        <w:t xml:space="preserve"> Son sujetos obligados a transparentar y permitir el acceso a su información y proteger los datos personales que obren en su poder:</w:t>
      </w:r>
    </w:p>
    <w:p w14:paraId="75B93C08" w14:textId="77777777" w:rsidR="001A3FC3" w:rsidRPr="00EA32BC" w:rsidRDefault="00C612D2">
      <w:pPr>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5E40FDD5" w14:textId="77777777" w:rsidR="001A3FC3" w:rsidRPr="00EA32BC" w:rsidRDefault="00C612D2">
      <w:pPr>
        <w:spacing w:before="120" w:after="120"/>
        <w:ind w:left="567" w:right="851"/>
        <w:jc w:val="both"/>
        <w:rPr>
          <w:rFonts w:ascii="Palatino Linotype" w:eastAsia="Palatino Linotype" w:hAnsi="Palatino Linotype" w:cs="Palatino Linotype"/>
          <w:b/>
          <w:i/>
          <w:sz w:val="22"/>
          <w:szCs w:val="22"/>
          <w:u w:val="single"/>
        </w:rPr>
      </w:pPr>
      <w:r w:rsidRPr="00EA32BC">
        <w:rPr>
          <w:rFonts w:ascii="Palatino Linotype" w:eastAsia="Palatino Linotype" w:hAnsi="Palatino Linotype" w:cs="Palatino Linotype"/>
          <w:b/>
          <w:i/>
          <w:sz w:val="22"/>
          <w:szCs w:val="22"/>
          <w:u w:val="single"/>
        </w:rPr>
        <w:t>IV. Los ayuntamientos y las dependencias, organismos, órganos y entidades de la administración municipal;</w:t>
      </w:r>
    </w:p>
    <w:p w14:paraId="7E56C930" w14:textId="77777777" w:rsidR="001A3FC3" w:rsidRPr="00EA32BC" w:rsidRDefault="00C612D2">
      <w:pPr>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62713D75" w14:textId="77777777" w:rsidR="001A3FC3" w:rsidRPr="00EA32BC" w:rsidRDefault="00C612D2">
      <w:pPr>
        <w:spacing w:before="120" w:after="120"/>
        <w:ind w:left="567" w:right="851"/>
        <w:jc w:val="both"/>
        <w:rPr>
          <w:rFonts w:ascii="Palatino Linotype" w:eastAsia="Palatino Linotype" w:hAnsi="Palatino Linotype" w:cs="Palatino Linotype"/>
          <w:b/>
          <w:i/>
          <w:sz w:val="22"/>
          <w:szCs w:val="22"/>
          <w:u w:val="single"/>
        </w:rPr>
      </w:pPr>
      <w:r w:rsidRPr="00EA32BC">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D4F97A2" w14:textId="77777777" w:rsidR="001A3FC3" w:rsidRPr="00EA32BC" w:rsidRDefault="00C612D2">
      <w:pPr>
        <w:spacing w:before="120" w:after="120"/>
        <w:ind w:left="567" w:right="851"/>
        <w:jc w:val="both"/>
        <w:rPr>
          <w:rFonts w:ascii="Palatino Linotype" w:eastAsia="Palatino Linotype" w:hAnsi="Palatino Linotype" w:cs="Palatino Linotype"/>
        </w:rPr>
      </w:pPr>
      <w:r w:rsidRPr="00EA32BC">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14:paraId="6178EB6E"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Sirven de sustento por analogía, para justificar la publicidad sobre los datos relativos a los montos por concepto de pago de las remuneraciones, los criterios </w:t>
      </w:r>
      <w:r w:rsidRPr="00EA32BC">
        <w:rPr>
          <w:rFonts w:ascii="Palatino Linotype" w:eastAsia="Palatino Linotype" w:hAnsi="Palatino Linotype" w:cs="Palatino Linotype"/>
          <w:b/>
        </w:rPr>
        <w:t>01/2003</w:t>
      </w:r>
      <w:r w:rsidRPr="00EA32BC">
        <w:rPr>
          <w:rFonts w:ascii="Palatino Linotype" w:eastAsia="Palatino Linotype" w:hAnsi="Palatino Linotype" w:cs="Palatino Linotype"/>
        </w:rPr>
        <w:t xml:space="preserve"> y </w:t>
      </w:r>
      <w:r w:rsidRPr="00EA32BC">
        <w:rPr>
          <w:rFonts w:ascii="Palatino Linotype" w:eastAsia="Palatino Linotype" w:hAnsi="Palatino Linotype" w:cs="Palatino Linotype"/>
          <w:b/>
        </w:rPr>
        <w:t>02/2003</w:t>
      </w:r>
      <w:r w:rsidRPr="00EA32BC">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14:paraId="76ECC309" w14:textId="77777777" w:rsidR="001A3FC3" w:rsidRPr="00EA32BC" w:rsidRDefault="00C612D2">
      <w:pPr>
        <w:spacing w:before="120" w:after="120"/>
        <w:ind w:left="851" w:right="851"/>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“Criterio 01/2003.</w:t>
      </w:r>
    </w:p>
    <w:p w14:paraId="74031592" w14:textId="77777777" w:rsidR="001A3FC3" w:rsidRPr="00EA32BC" w:rsidRDefault="00C612D2">
      <w:pPr>
        <w:spacing w:before="120" w:after="120"/>
        <w:ind w:left="851"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EA32BC">
        <w:rPr>
          <w:rFonts w:ascii="Palatino Linotype" w:eastAsia="Palatino Linotype" w:hAnsi="Palatino Linotype" w:cs="Palatino Linotype"/>
          <w:i/>
          <w:sz w:val="22"/>
          <w:szCs w:val="22"/>
        </w:rPr>
        <w:t xml:space="preserve"> </w:t>
      </w:r>
    </w:p>
    <w:p w14:paraId="355F720F" w14:textId="77777777" w:rsidR="001A3FC3" w:rsidRPr="00EA32BC" w:rsidRDefault="00C612D2">
      <w:pPr>
        <w:spacing w:before="120" w:after="120"/>
        <w:ind w:left="851" w:right="851"/>
        <w:jc w:val="both"/>
        <w:rPr>
          <w:rFonts w:ascii="Palatino Linotype" w:eastAsia="Palatino Linotype" w:hAnsi="Palatino Linotype" w:cs="Palatino Linotype"/>
          <w:i/>
          <w:sz w:val="22"/>
          <w:szCs w:val="22"/>
          <w:u w:val="single"/>
        </w:rPr>
      </w:pPr>
      <w:r w:rsidRPr="00EA32BC">
        <w:rPr>
          <w:rFonts w:ascii="Palatino Linotype" w:eastAsia="Palatino Linotype" w:hAnsi="Palatino Linotype" w:cs="Palatino Linotype"/>
          <w:i/>
          <w:sz w:val="22"/>
          <w:szCs w:val="22"/>
        </w:rPr>
        <w:lastRenderedPageBreak/>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EA32BC">
        <w:rPr>
          <w:rFonts w:ascii="Palatino Linotype" w:eastAsia="Palatino Linotype" w:hAnsi="Palatino Linotype" w:cs="Palatino Linotype"/>
          <w:b/>
          <w:i/>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EA32BC">
        <w:rPr>
          <w:rFonts w:ascii="Palatino Linotype" w:eastAsia="Palatino Linotype" w:hAnsi="Palatino Linotype" w:cs="Palatino Linotype"/>
          <w:i/>
          <w:sz w:val="22"/>
          <w:szCs w:val="22"/>
          <w:u w:val="single"/>
        </w:rPr>
        <w:t>…”</w:t>
      </w:r>
    </w:p>
    <w:p w14:paraId="29A77235" w14:textId="77777777" w:rsidR="001A3FC3" w:rsidRPr="00EA32BC" w:rsidRDefault="001A3FC3">
      <w:pPr>
        <w:spacing w:before="120" w:after="120"/>
        <w:ind w:left="851" w:right="851"/>
        <w:jc w:val="both"/>
        <w:rPr>
          <w:rFonts w:ascii="Palatino Linotype" w:eastAsia="Palatino Linotype" w:hAnsi="Palatino Linotype" w:cs="Palatino Linotype"/>
          <w:i/>
          <w:sz w:val="22"/>
          <w:szCs w:val="22"/>
        </w:rPr>
      </w:pPr>
    </w:p>
    <w:p w14:paraId="17D51D0B" w14:textId="77777777" w:rsidR="001A3FC3" w:rsidRPr="00EA32BC" w:rsidRDefault="00C612D2">
      <w:pPr>
        <w:spacing w:before="120" w:after="120"/>
        <w:ind w:left="851" w:right="851"/>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“Criterio 02/2003.</w:t>
      </w:r>
    </w:p>
    <w:p w14:paraId="65C7F4E7" w14:textId="77777777" w:rsidR="001A3FC3" w:rsidRPr="00EA32BC" w:rsidRDefault="00C612D2">
      <w:pPr>
        <w:spacing w:before="120" w:after="120"/>
        <w:ind w:left="851"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EA32BC">
        <w:rPr>
          <w:rFonts w:ascii="Palatino Linotype" w:eastAsia="Palatino Linotype" w:hAnsi="Palatino Linotype" w:cs="Palatino Linotype"/>
          <w:i/>
          <w:sz w:val="22"/>
          <w:szCs w:val="22"/>
        </w:rPr>
        <w:t xml:space="preserve"> </w:t>
      </w:r>
    </w:p>
    <w:p w14:paraId="430B2DD1" w14:textId="77777777" w:rsidR="001A3FC3" w:rsidRPr="00EA32BC" w:rsidRDefault="00C612D2">
      <w:pPr>
        <w:spacing w:before="120" w:after="120"/>
        <w:ind w:left="851"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EA32BC">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A32BC">
        <w:rPr>
          <w:rFonts w:ascii="Palatino Linotype" w:eastAsia="Palatino Linotype" w:hAnsi="Palatino Linotype" w:cs="Palatino Linotype"/>
          <w:i/>
          <w:sz w:val="22"/>
          <w:szCs w:val="22"/>
        </w:rPr>
        <w:t xml:space="preserve"> el sistema de compensación…” </w:t>
      </w:r>
      <w:r w:rsidRPr="00EA32BC">
        <w:rPr>
          <w:rFonts w:ascii="Palatino Linotype" w:eastAsia="Palatino Linotype" w:hAnsi="Palatino Linotype" w:cs="Palatino Linotype"/>
          <w:b/>
          <w:i/>
          <w:sz w:val="22"/>
          <w:szCs w:val="22"/>
        </w:rPr>
        <w:t>[Sic]</w:t>
      </w:r>
    </w:p>
    <w:p w14:paraId="1EE973FC"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Así, respecto de este punto es de señalar que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proporcionó los recibos de nómina requeridos, sin embargo, del análisis practicado a la respuesta, se apreció lo siguiente: </w:t>
      </w:r>
    </w:p>
    <w:p w14:paraId="7D1341D7" w14:textId="77777777" w:rsidR="001A3FC3" w:rsidRPr="00EA32BC" w:rsidRDefault="00C612D2">
      <w:pPr>
        <w:numPr>
          <w:ilvl w:val="1"/>
          <w:numId w:val="3"/>
        </w:numPr>
        <w:pBdr>
          <w:top w:val="nil"/>
          <w:left w:val="nil"/>
          <w:bottom w:val="nil"/>
          <w:right w:val="nil"/>
          <w:between w:val="nil"/>
        </w:pBdr>
        <w:spacing w:before="240" w:after="240" w:line="276" w:lineRule="auto"/>
        <w:ind w:left="567" w:right="851" w:hanging="141"/>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lastRenderedPageBreak/>
        <w:t>Los recibos de nómina del mes de abril y mayo del año 2022, de la Unidad de Transparencia, y de los que actualmente están Comisionados a la Unidad de Transparencia</w:t>
      </w:r>
    </w:p>
    <w:p w14:paraId="66D1D741" w14:textId="77777777" w:rsidR="001A3FC3" w:rsidRPr="00EA32BC" w:rsidRDefault="00C612D2">
      <w:pPr>
        <w:spacing w:before="240" w:after="240" w:line="360" w:lineRule="auto"/>
        <w:ind w:left="567" w:right="567"/>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sz w:val="22"/>
          <w:szCs w:val="22"/>
        </w:rPr>
        <w:t xml:space="preserve">Faltan los recibos de la segunda quincena del mes de abril </w:t>
      </w:r>
    </w:p>
    <w:p w14:paraId="1B3BC616" w14:textId="77777777" w:rsidR="001A3FC3" w:rsidRPr="00EA32BC" w:rsidRDefault="00C612D2">
      <w:pPr>
        <w:spacing w:before="240" w:after="240" w:line="276" w:lineRule="auto"/>
        <w:ind w:left="567" w:right="851"/>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2.- Los recibos de nómina de todo personal de presidencia, secretaría del ayuntamiento, contraloría, regidurías, sindicaturas, del año 2022.</w:t>
      </w:r>
    </w:p>
    <w:p w14:paraId="5F2AFBED" w14:textId="77777777" w:rsidR="001A3FC3" w:rsidRPr="00EA32BC" w:rsidRDefault="00C612D2">
      <w:pPr>
        <w:spacing w:before="240" w:after="240" w:line="360" w:lineRule="auto"/>
        <w:ind w:left="567" w:right="851"/>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sz w:val="22"/>
          <w:szCs w:val="22"/>
        </w:rPr>
        <w:t xml:space="preserve">En la primera quincena, faltan los recibos de la segunda sindicatura y de diversas áreas que conforman a la Contraloría Municipal, como son: Departamento Resolutor de Responsabilidades Administrativas, Dirección de Investigación Responsabilidades Administrativas, Departamento de Auditoria Financiera y Dirección de Auditoria. </w:t>
      </w:r>
    </w:p>
    <w:p w14:paraId="0F0FAD4F" w14:textId="77777777" w:rsidR="001A3FC3" w:rsidRPr="00EA32BC" w:rsidRDefault="00C612D2">
      <w:pPr>
        <w:spacing w:before="240" w:after="240" w:line="360" w:lineRule="auto"/>
        <w:ind w:left="567" w:right="567"/>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sz w:val="22"/>
          <w:szCs w:val="22"/>
        </w:rPr>
        <w:t>En la novena quincena, faltan los recibos de nómina de las sindicaturas y de la contraloría.</w:t>
      </w:r>
    </w:p>
    <w:p w14:paraId="67786CFD" w14:textId="77777777" w:rsidR="001A3FC3" w:rsidRPr="00EA32BC" w:rsidRDefault="00C612D2">
      <w:pPr>
        <w:spacing w:before="240" w:after="240" w:line="360" w:lineRule="auto"/>
        <w:ind w:left="567" w:right="567"/>
        <w:jc w:val="both"/>
        <w:rPr>
          <w:rFonts w:ascii="Palatino Linotype" w:eastAsia="Palatino Linotype" w:hAnsi="Palatino Linotype" w:cs="Palatino Linotype"/>
          <w:sz w:val="28"/>
          <w:szCs w:val="28"/>
        </w:rPr>
      </w:pPr>
      <w:r w:rsidRPr="00EA32BC">
        <w:rPr>
          <w:rFonts w:ascii="Palatino Linotype" w:eastAsia="Palatino Linotype" w:hAnsi="Palatino Linotype" w:cs="Palatino Linotype"/>
          <w:sz w:val="22"/>
          <w:szCs w:val="22"/>
        </w:rPr>
        <w:t>Es de precisar que dichos recibos de nómina fueron remitidos en versión pública, adjuntando para dar sustento a la versión pública, el Acta de la Tricentésima Quincuagésima Primera Sesión Extraordinaria del Comité de Transparencia del Municipio de Toluca, administración 2022-2024.</w:t>
      </w:r>
    </w:p>
    <w:p w14:paraId="11FA1615" w14:textId="77777777" w:rsidR="001A3FC3" w:rsidRPr="00EA32BC" w:rsidRDefault="00C612D2">
      <w:pPr>
        <w:tabs>
          <w:tab w:val="right" w:pos="8505"/>
        </w:tabs>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En tal sentido, se advierte que si bien, el </w:t>
      </w:r>
      <w:r w:rsidRPr="00EA32BC">
        <w:rPr>
          <w:rFonts w:ascii="Palatino Linotype" w:eastAsia="Palatino Linotype" w:hAnsi="Palatino Linotype" w:cs="Palatino Linotype"/>
          <w:b/>
        </w:rPr>
        <w:t xml:space="preserve">Sujeto Obligado, </w:t>
      </w:r>
      <w:r w:rsidRPr="00EA32BC">
        <w:rPr>
          <w:rFonts w:ascii="Palatino Linotype" w:eastAsia="Palatino Linotype" w:hAnsi="Palatino Linotype" w:cs="Palatino Linotype"/>
        </w:rPr>
        <w:t xml:space="preserve">pretendió atender lo solicitado mediante la entrega de recibos de nómina que se generan con motivo del pago de nómina, no debe perderse de vista que estos se encuentran incompletos y por lo tanto, no colman en su totalidad este punto de la solicitud. Asimismo, resulta importante señalar que si bien es cierto, requiere los recibos de nómina del mes de abril y mayo del año 2022 de la Unidad de Transparencia, y de los que actualmente están Comisionados a dicha Unidad, no pasa desapercibido para este organismo </w:t>
      </w:r>
      <w:r w:rsidRPr="00EA32BC">
        <w:rPr>
          <w:rFonts w:ascii="Palatino Linotype" w:eastAsia="Palatino Linotype" w:hAnsi="Palatino Linotype" w:cs="Palatino Linotype"/>
        </w:rPr>
        <w:lastRenderedPageBreak/>
        <w:t xml:space="preserve">garante que la solicitud ingresó el treinta de mayo de dos mil veintidós, por lo tanto, no es procedente ordenar la entrega de los recibos de la segunda quincena del mes de mayo de dos mil veintidós. </w:t>
      </w:r>
    </w:p>
    <w:p w14:paraId="422DD3E2" w14:textId="77777777" w:rsidR="001A3FC3" w:rsidRPr="00EA32BC" w:rsidRDefault="00C612D2">
      <w:pPr>
        <w:spacing w:before="240" w:after="240" w:line="360" w:lineRule="auto"/>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10) Actividades desarrolladas de todo el personal de presidencia, secretaría del ayuntamiento, contraloría, regidurías, sindicaturas, del año 2022.</w:t>
      </w:r>
    </w:p>
    <w:p w14:paraId="73265E0A" w14:textId="77777777" w:rsidR="001A3FC3" w:rsidRPr="00EA32BC" w:rsidRDefault="00C612D2">
      <w:pPr>
        <w:spacing w:before="240" w:after="240" w:line="360" w:lineRule="auto"/>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sz w:val="22"/>
          <w:szCs w:val="22"/>
        </w:rPr>
        <w:t xml:space="preserve">Para atender este punto, las áreas referidas en la solicitud se pronunciaron de la siguiente manera: </w:t>
      </w:r>
    </w:p>
    <w:tbl>
      <w:tblPr>
        <w:tblStyle w:val="a7"/>
        <w:tblW w:w="877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9"/>
        <w:gridCol w:w="5367"/>
        <w:gridCol w:w="1762"/>
      </w:tblGrid>
      <w:tr w:rsidR="00EA32BC" w:rsidRPr="00EA32BC" w14:paraId="0E7D83F5" w14:textId="77777777">
        <w:tc>
          <w:tcPr>
            <w:tcW w:w="1649" w:type="dxa"/>
            <w:shd w:val="clear" w:color="auto" w:fill="9BBB59"/>
          </w:tcPr>
          <w:p w14:paraId="21F296C7" w14:textId="77777777" w:rsidR="001A3FC3" w:rsidRPr="00EA32BC" w:rsidRDefault="00C612D2">
            <w:pPr>
              <w:spacing w:before="240" w:after="240" w:line="276" w:lineRule="auto"/>
              <w:jc w:val="center"/>
              <w:rPr>
                <w:rFonts w:ascii="Palatino Linotype" w:eastAsia="Palatino Linotype" w:hAnsi="Palatino Linotype" w:cs="Palatino Linotype"/>
                <w:b/>
                <w:sz w:val="20"/>
                <w:szCs w:val="20"/>
              </w:rPr>
            </w:pPr>
            <w:r w:rsidRPr="00EA32BC">
              <w:rPr>
                <w:rFonts w:ascii="Palatino Linotype" w:eastAsia="Palatino Linotype" w:hAnsi="Palatino Linotype" w:cs="Palatino Linotype"/>
                <w:b/>
                <w:sz w:val="20"/>
                <w:szCs w:val="20"/>
              </w:rPr>
              <w:t>Unidad administrativa</w:t>
            </w:r>
          </w:p>
        </w:tc>
        <w:tc>
          <w:tcPr>
            <w:tcW w:w="5368" w:type="dxa"/>
            <w:shd w:val="clear" w:color="auto" w:fill="9BBB59"/>
          </w:tcPr>
          <w:p w14:paraId="728F0E8E" w14:textId="77777777" w:rsidR="001A3FC3" w:rsidRPr="00EA32BC" w:rsidRDefault="00C612D2">
            <w:pPr>
              <w:spacing w:before="240" w:after="240" w:line="276" w:lineRule="auto"/>
              <w:jc w:val="center"/>
              <w:rPr>
                <w:rFonts w:ascii="Palatino Linotype" w:eastAsia="Palatino Linotype" w:hAnsi="Palatino Linotype" w:cs="Palatino Linotype"/>
                <w:b/>
                <w:sz w:val="20"/>
                <w:szCs w:val="20"/>
              </w:rPr>
            </w:pPr>
            <w:r w:rsidRPr="00EA32BC">
              <w:rPr>
                <w:rFonts w:ascii="Palatino Linotype" w:eastAsia="Palatino Linotype" w:hAnsi="Palatino Linotype" w:cs="Palatino Linotype"/>
                <w:b/>
                <w:sz w:val="20"/>
                <w:szCs w:val="20"/>
              </w:rPr>
              <w:t>Pronunciamiento</w:t>
            </w:r>
          </w:p>
        </w:tc>
        <w:tc>
          <w:tcPr>
            <w:tcW w:w="1762" w:type="dxa"/>
            <w:shd w:val="clear" w:color="auto" w:fill="9BBB59"/>
          </w:tcPr>
          <w:p w14:paraId="752E5B9D" w14:textId="77777777" w:rsidR="001A3FC3" w:rsidRPr="00EA32BC" w:rsidRDefault="00C612D2">
            <w:pPr>
              <w:spacing w:before="240" w:after="240" w:line="276" w:lineRule="auto"/>
              <w:jc w:val="center"/>
              <w:rPr>
                <w:rFonts w:ascii="Palatino Linotype" w:eastAsia="Palatino Linotype" w:hAnsi="Palatino Linotype" w:cs="Palatino Linotype"/>
                <w:b/>
                <w:sz w:val="20"/>
                <w:szCs w:val="20"/>
              </w:rPr>
            </w:pPr>
            <w:r w:rsidRPr="00EA32BC">
              <w:rPr>
                <w:rFonts w:ascii="Palatino Linotype" w:eastAsia="Palatino Linotype" w:hAnsi="Palatino Linotype" w:cs="Palatino Linotype"/>
                <w:b/>
                <w:sz w:val="20"/>
                <w:szCs w:val="20"/>
              </w:rPr>
              <w:t>Colma</w:t>
            </w:r>
          </w:p>
        </w:tc>
      </w:tr>
      <w:tr w:rsidR="00EA32BC" w:rsidRPr="00EA32BC" w14:paraId="4C6D9A0D" w14:textId="77777777">
        <w:tc>
          <w:tcPr>
            <w:tcW w:w="1649" w:type="dxa"/>
          </w:tcPr>
          <w:p w14:paraId="003C1377" w14:textId="77777777" w:rsidR="001A3FC3" w:rsidRPr="00EA32BC" w:rsidRDefault="00C612D2">
            <w:pPr>
              <w:spacing w:before="240" w:after="240" w:line="360" w:lineRule="auto"/>
              <w:jc w:val="center"/>
              <w:rPr>
                <w:rFonts w:ascii="Palatino Linotype" w:eastAsia="Palatino Linotype" w:hAnsi="Palatino Linotype" w:cs="Palatino Linotype"/>
                <w:b/>
                <w:sz w:val="20"/>
                <w:szCs w:val="20"/>
              </w:rPr>
            </w:pPr>
            <w:r w:rsidRPr="00EA32BC">
              <w:rPr>
                <w:rFonts w:ascii="Palatino Linotype" w:eastAsia="Palatino Linotype" w:hAnsi="Palatino Linotype" w:cs="Palatino Linotype"/>
                <w:b/>
                <w:sz w:val="20"/>
                <w:szCs w:val="20"/>
              </w:rPr>
              <w:t>Presidencia</w:t>
            </w:r>
          </w:p>
        </w:tc>
        <w:tc>
          <w:tcPr>
            <w:tcW w:w="5368" w:type="dxa"/>
          </w:tcPr>
          <w:p w14:paraId="1BC37E52" w14:textId="77777777" w:rsidR="001A3FC3" w:rsidRPr="00EA32BC" w:rsidRDefault="00C612D2">
            <w:pPr>
              <w:spacing w:before="240" w:after="240" w:line="276" w:lineRule="auto"/>
              <w:jc w:val="both"/>
              <w:rPr>
                <w:rFonts w:ascii="Palatino Linotype" w:eastAsia="Palatino Linotype" w:hAnsi="Palatino Linotype" w:cs="Palatino Linotype"/>
                <w:sz w:val="22"/>
                <w:szCs w:val="22"/>
              </w:rPr>
            </w:pPr>
            <w:r w:rsidRPr="00EA32BC">
              <w:rPr>
                <w:rFonts w:ascii="Palatino Linotype" w:eastAsia="Palatino Linotype" w:hAnsi="Palatino Linotype" w:cs="Palatino Linotype"/>
                <w:sz w:val="18"/>
                <w:szCs w:val="18"/>
              </w:rPr>
              <w:t>Remite el Manual General de Organización y Manual General de Procedimientos de la Presidencia.</w:t>
            </w:r>
          </w:p>
        </w:tc>
        <w:tc>
          <w:tcPr>
            <w:tcW w:w="1762" w:type="dxa"/>
          </w:tcPr>
          <w:p w14:paraId="35D1CB36" w14:textId="77777777" w:rsidR="001A3FC3" w:rsidRPr="00EA32BC" w:rsidRDefault="00C612D2">
            <w:pPr>
              <w:spacing w:before="240" w:after="240" w:line="360" w:lineRule="auto"/>
              <w:jc w:val="center"/>
              <w:rPr>
                <w:rFonts w:ascii="Palatino Linotype" w:eastAsia="Palatino Linotype" w:hAnsi="Palatino Linotype" w:cs="Palatino Linotype"/>
                <w:b/>
                <w:sz w:val="20"/>
                <w:szCs w:val="20"/>
              </w:rPr>
            </w:pPr>
            <w:r w:rsidRPr="00EA32BC">
              <w:rPr>
                <w:rFonts w:ascii="Palatino Linotype" w:eastAsia="Palatino Linotype" w:hAnsi="Palatino Linotype" w:cs="Palatino Linotype"/>
                <w:b/>
                <w:sz w:val="20"/>
                <w:szCs w:val="20"/>
              </w:rPr>
              <w:t>No</w:t>
            </w:r>
          </w:p>
        </w:tc>
      </w:tr>
      <w:tr w:rsidR="00EA32BC" w:rsidRPr="00EA32BC" w14:paraId="2B24E5F7" w14:textId="77777777">
        <w:tc>
          <w:tcPr>
            <w:tcW w:w="1649" w:type="dxa"/>
          </w:tcPr>
          <w:p w14:paraId="23BBD0D9" w14:textId="77777777" w:rsidR="001A3FC3" w:rsidRPr="00EA32BC" w:rsidRDefault="00C612D2">
            <w:pPr>
              <w:spacing w:before="240" w:after="240" w:line="276" w:lineRule="auto"/>
              <w:jc w:val="both"/>
              <w:rPr>
                <w:rFonts w:ascii="Palatino Linotype" w:eastAsia="Palatino Linotype" w:hAnsi="Palatino Linotype" w:cs="Palatino Linotype"/>
                <w:b/>
                <w:sz w:val="20"/>
                <w:szCs w:val="20"/>
              </w:rPr>
            </w:pPr>
            <w:r w:rsidRPr="00EA32BC">
              <w:rPr>
                <w:rFonts w:ascii="Palatino Linotype" w:eastAsia="Palatino Linotype" w:hAnsi="Palatino Linotype" w:cs="Palatino Linotype"/>
                <w:b/>
                <w:sz w:val="20"/>
                <w:szCs w:val="20"/>
              </w:rPr>
              <w:t>Secretaría del Ayuntamiento</w:t>
            </w:r>
          </w:p>
        </w:tc>
        <w:tc>
          <w:tcPr>
            <w:tcW w:w="5368" w:type="dxa"/>
          </w:tcPr>
          <w:p w14:paraId="7747CC6D" w14:textId="77777777" w:rsidR="001A3FC3" w:rsidRPr="00EA32BC" w:rsidRDefault="00C612D2">
            <w:pPr>
              <w:spacing w:before="240" w:after="240" w:line="276" w:lineRule="auto"/>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Las actividades se encuentran establecidas en diferentes ordenamientos jurídicos administrativos como lo son la Ley Orgánica Municipal del Estado de México y Municipios, Bando Municipal 2022, Código Reglamentario Municipal 2022 y Manual de Organización de la Secretaría del Ayuntamiento, remite ligas electrónicas para su consulta.</w:t>
            </w:r>
          </w:p>
        </w:tc>
        <w:tc>
          <w:tcPr>
            <w:tcW w:w="1762" w:type="dxa"/>
          </w:tcPr>
          <w:p w14:paraId="187A6943" w14:textId="77777777" w:rsidR="001A3FC3" w:rsidRPr="00EA32BC" w:rsidRDefault="00C612D2">
            <w:pPr>
              <w:spacing w:before="240" w:after="240" w:line="360" w:lineRule="auto"/>
              <w:jc w:val="center"/>
              <w:rPr>
                <w:rFonts w:ascii="Palatino Linotype" w:eastAsia="Palatino Linotype" w:hAnsi="Palatino Linotype" w:cs="Palatino Linotype"/>
                <w:b/>
                <w:sz w:val="20"/>
                <w:szCs w:val="20"/>
              </w:rPr>
            </w:pPr>
            <w:r w:rsidRPr="00EA32BC">
              <w:rPr>
                <w:rFonts w:ascii="Palatino Linotype" w:eastAsia="Palatino Linotype" w:hAnsi="Palatino Linotype" w:cs="Palatino Linotype"/>
                <w:b/>
                <w:sz w:val="20"/>
                <w:szCs w:val="20"/>
              </w:rPr>
              <w:t>No</w:t>
            </w:r>
          </w:p>
        </w:tc>
      </w:tr>
      <w:tr w:rsidR="00EA32BC" w:rsidRPr="00EA32BC" w14:paraId="21B6E7D4" w14:textId="77777777">
        <w:tc>
          <w:tcPr>
            <w:tcW w:w="1649" w:type="dxa"/>
          </w:tcPr>
          <w:p w14:paraId="4196F82B" w14:textId="77777777" w:rsidR="001A3FC3" w:rsidRPr="00EA32BC" w:rsidRDefault="00C612D2">
            <w:pPr>
              <w:spacing w:before="240" w:after="240" w:line="360" w:lineRule="auto"/>
              <w:jc w:val="center"/>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0"/>
                <w:szCs w:val="20"/>
              </w:rPr>
              <w:t>Contraloría</w:t>
            </w:r>
          </w:p>
        </w:tc>
        <w:tc>
          <w:tcPr>
            <w:tcW w:w="5368" w:type="dxa"/>
          </w:tcPr>
          <w:p w14:paraId="57BB4F61" w14:textId="77777777" w:rsidR="001A3FC3" w:rsidRPr="00EA32BC" w:rsidRDefault="00C612D2">
            <w:pPr>
              <w:spacing w:before="240" w:after="240" w:line="360" w:lineRule="auto"/>
              <w:jc w:val="center"/>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No se pronuncia</w:t>
            </w:r>
          </w:p>
        </w:tc>
        <w:tc>
          <w:tcPr>
            <w:tcW w:w="1762" w:type="dxa"/>
          </w:tcPr>
          <w:p w14:paraId="47E11A33" w14:textId="77777777" w:rsidR="001A3FC3" w:rsidRPr="00EA32BC" w:rsidRDefault="00C612D2">
            <w:pPr>
              <w:spacing w:before="240" w:after="240" w:line="360" w:lineRule="auto"/>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No</w:t>
            </w:r>
          </w:p>
        </w:tc>
      </w:tr>
      <w:tr w:rsidR="00EA32BC" w:rsidRPr="00EA32BC" w14:paraId="057BF424" w14:textId="77777777">
        <w:tc>
          <w:tcPr>
            <w:tcW w:w="1649" w:type="dxa"/>
          </w:tcPr>
          <w:p w14:paraId="00E86691" w14:textId="77777777" w:rsidR="001A3FC3" w:rsidRPr="00EA32BC" w:rsidRDefault="00C612D2">
            <w:pPr>
              <w:spacing w:before="240" w:after="240" w:line="360" w:lineRule="auto"/>
              <w:jc w:val="center"/>
              <w:rPr>
                <w:rFonts w:ascii="Palatino Linotype" w:eastAsia="Palatino Linotype" w:hAnsi="Palatino Linotype" w:cs="Palatino Linotype"/>
                <w:b/>
                <w:sz w:val="20"/>
                <w:szCs w:val="20"/>
              </w:rPr>
            </w:pPr>
            <w:r w:rsidRPr="00EA32BC">
              <w:rPr>
                <w:rFonts w:ascii="Palatino Linotype" w:eastAsia="Palatino Linotype" w:hAnsi="Palatino Linotype" w:cs="Palatino Linotype"/>
                <w:b/>
                <w:sz w:val="20"/>
                <w:szCs w:val="20"/>
              </w:rPr>
              <w:t>Regidurías</w:t>
            </w:r>
          </w:p>
        </w:tc>
        <w:tc>
          <w:tcPr>
            <w:tcW w:w="5368" w:type="dxa"/>
          </w:tcPr>
          <w:p w14:paraId="6EB38524" w14:textId="77777777" w:rsidR="001A3FC3" w:rsidRPr="00EA32BC" w:rsidRDefault="00C612D2">
            <w:pPr>
              <w:spacing w:before="240" w:after="240" w:line="276"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1ª. Regiduría:</w:t>
            </w:r>
            <w:r w:rsidRPr="00EA32BC">
              <w:rPr>
                <w:rFonts w:ascii="Palatino Linotype" w:eastAsia="Palatino Linotype" w:hAnsi="Palatino Linotype" w:cs="Palatino Linotype"/>
                <w:sz w:val="18"/>
                <w:szCs w:val="18"/>
              </w:rPr>
              <w:t xml:space="preserve"> Cita atribuciones del artículo 55 de la Ley Orgánica Municipal.</w:t>
            </w:r>
            <w:r w:rsidRPr="00EA32BC">
              <w:rPr>
                <w:rFonts w:ascii="Palatino Linotype" w:eastAsia="Palatino Linotype" w:hAnsi="Palatino Linotype" w:cs="Palatino Linotype"/>
                <w:b/>
                <w:sz w:val="18"/>
                <w:szCs w:val="18"/>
              </w:rPr>
              <w:t xml:space="preserve"> </w:t>
            </w:r>
          </w:p>
          <w:p w14:paraId="7807A652" w14:textId="77777777" w:rsidR="001A3FC3" w:rsidRPr="00EA32BC" w:rsidRDefault="00C612D2">
            <w:pPr>
              <w:spacing w:before="240" w:after="240" w:line="276" w:lineRule="auto"/>
              <w:ind w:right="51"/>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t xml:space="preserve">2ª. Regiduría: </w:t>
            </w:r>
            <w:r w:rsidRPr="00EA32BC">
              <w:rPr>
                <w:rFonts w:ascii="Palatino Linotype" w:eastAsia="Palatino Linotype" w:hAnsi="Palatino Linotype" w:cs="Palatino Linotype"/>
                <w:sz w:val="18"/>
                <w:szCs w:val="18"/>
              </w:rPr>
              <w:t xml:space="preserve">Adjunta un documento en el que da cuenta de la normatividad, funciones del personal y actividades relevantes. </w:t>
            </w:r>
          </w:p>
          <w:p w14:paraId="588480EA" w14:textId="77777777" w:rsidR="001A3FC3" w:rsidRPr="00EA32BC" w:rsidRDefault="00C612D2">
            <w:pPr>
              <w:spacing w:before="240" w:after="240" w:line="276"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3ª. Regiduría: </w:t>
            </w:r>
          </w:p>
          <w:p w14:paraId="6E5264DA" w14:textId="77777777" w:rsidR="001A3FC3" w:rsidRPr="00EA32BC" w:rsidRDefault="00C612D2">
            <w:pPr>
              <w:spacing w:before="240" w:after="240" w:line="360"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noProof/>
                <w:sz w:val="18"/>
                <w:szCs w:val="18"/>
                <w:lang w:val="es-MX"/>
              </w:rPr>
              <w:lastRenderedPageBreak/>
              <w:drawing>
                <wp:inline distT="0" distB="0" distL="0" distR="0" wp14:anchorId="7EDF859E" wp14:editId="6015FCA7">
                  <wp:extent cx="2975353" cy="2148505"/>
                  <wp:effectExtent l="0" t="0" r="0" b="0"/>
                  <wp:docPr id="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2975353" cy="2148505"/>
                          </a:xfrm>
                          <a:prstGeom prst="rect">
                            <a:avLst/>
                          </a:prstGeom>
                          <a:ln/>
                        </pic:spPr>
                      </pic:pic>
                    </a:graphicData>
                  </a:graphic>
                </wp:inline>
              </w:drawing>
            </w:r>
          </w:p>
          <w:p w14:paraId="69F3E2D9" w14:textId="77777777" w:rsidR="001A3FC3" w:rsidRPr="00EA32BC" w:rsidRDefault="00C612D2">
            <w:pPr>
              <w:spacing w:before="240" w:after="240" w:line="360"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4ª. Regiduría: </w:t>
            </w:r>
            <w:r w:rsidRPr="00EA32BC">
              <w:rPr>
                <w:rFonts w:ascii="Palatino Linotype" w:eastAsia="Palatino Linotype" w:hAnsi="Palatino Linotype" w:cs="Palatino Linotype"/>
                <w:b/>
                <w:noProof/>
                <w:sz w:val="18"/>
                <w:szCs w:val="18"/>
                <w:lang w:val="es-MX"/>
              </w:rPr>
              <w:drawing>
                <wp:inline distT="0" distB="0" distL="0" distR="0" wp14:anchorId="468A6F0E" wp14:editId="47D34480">
                  <wp:extent cx="3162141" cy="3268970"/>
                  <wp:effectExtent l="0" t="0" r="0" b="0"/>
                  <wp:docPr id="9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162141" cy="3268970"/>
                          </a:xfrm>
                          <a:prstGeom prst="rect">
                            <a:avLst/>
                          </a:prstGeom>
                          <a:ln/>
                        </pic:spPr>
                      </pic:pic>
                    </a:graphicData>
                  </a:graphic>
                </wp:inline>
              </w:drawing>
            </w:r>
          </w:p>
          <w:p w14:paraId="4C528F26" w14:textId="77777777" w:rsidR="001A3FC3" w:rsidRPr="00EA32BC" w:rsidRDefault="00C612D2">
            <w:pPr>
              <w:spacing w:before="240" w:after="240" w:line="360"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5ª. Regiduría: </w:t>
            </w:r>
          </w:p>
          <w:p w14:paraId="164A895C" w14:textId="77777777" w:rsidR="001A3FC3" w:rsidRPr="00EA32BC" w:rsidRDefault="00C612D2">
            <w:pPr>
              <w:spacing w:before="240" w:after="240" w:line="360"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noProof/>
                <w:sz w:val="18"/>
                <w:szCs w:val="18"/>
                <w:lang w:val="es-MX"/>
              </w:rPr>
              <w:drawing>
                <wp:inline distT="0" distB="0" distL="0" distR="0" wp14:anchorId="0EF7C93B" wp14:editId="52EF9108">
                  <wp:extent cx="3218365" cy="875794"/>
                  <wp:effectExtent l="0" t="0" r="0" b="0"/>
                  <wp:docPr id="9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218365" cy="875794"/>
                          </a:xfrm>
                          <a:prstGeom prst="rect">
                            <a:avLst/>
                          </a:prstGeom>
                          <a:ln/>
                        </pic:spPr>
                      </pic:pic>
                    </a:graphicData>
                  </a:graphic>
                </wp:inline>
              </w:drawing>
            </w:r>
          </w:p>
          <w:p w14:paraId="44845F1F" w14:textId="77777777" w:rsidR="001A3FC3" w:rsidRPr="00EA32BC" w:rsidRDefault="00C612D2">
            <w:pPr>
              <w:spacing w:before="240" w:after="240" w:line="276" w:lineRule="auto"/>
              <w:ind w:right="51"/>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b/>
                <w:sz w:val="18"/>
                <w:szCs w:val="18"/>
              </w:rPr>
              <w:lastRenderedPageBreak/>
              <w:t xml:space="preserve">6ª. y 7ª Regiduría: </w:t>
            </w:r>
            <w:r w:rsidRPr="00EA32BC">
              <w:rPr>
                <w:rFonts w:ascii="Palatino Linotype" w:eastAsia="Palatino Linotype" w:hAnsi="Palatino Linotype" w:cs="Palatino Linotype"/>
                <w:sz w:val="18"/>
                <w:szCs w:val="18"/>
              </w:rPr>
              <w:t>Citan atribuciones del artículo 55 de la Ley Orgánica Municipal.</w:t>
            </w:r>
          </w:p>
          <w:p w14:paraId="2541F3CB" w14:textId="77777777" w:rsidR="001A3FC3" w:rsidRPr="00EA32BC" w:rsidRDefault="00C612D2">
            <w:pPr>
              <w:spacing w:before="240" w:after="240" w:line="276"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8ª. Regiduría: </w:t>
            </w:r>
            <w:r w:rsidRPr="00EA32BC">
              <w:rPr>
                <w:rFonts w:ascii="Palatino Linotype" w:eastAsia="Palatino Linotype" w:hAnsi="Palatino Linotype" w:cs="Palatino Linotype"/>
                <w:sz w:val="18"/>
                <w:szCs w:val="18"/>
              </w:rPr>
              <w:t>No se pronuncia</w:t>
            </w:r>
          </w:p>
          <w:p w14:paraId="6E3269D1" w14:textId="77777777" w:rsidR="001A3FC3" w:rsidRPr="00EA32BC" w:rsidRDefault="00C612D2">
            <w:pPr>
              <w:spacing w:before="240" w:after="240" w:line="360"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9ª.Regiduría: </w:t>
            </w:r>
            <w:r w:rsidRPr="00EA32BC">
              <w:rPr>
                <w:rFonts w:ascii="Palatino Linotype" w:eastAsia="Palatino Linotype" w:hAnsi="Palatino Linotype" w:cs="Palatino Linotype"/>
                <w:b/>
                <w:noProof/>
                <w:sz w:val="18"/>
                <w:szCs w:val="18"/>
                <w:lang w:val="es-MX"/>
              </w:rPr>
              <w:drawing>
                <wp:inline distT="0" distB="0" distL="0" distR="0" wp14:anchorId="4B9BCD60" wp14:editId="3322C42D">
                  <wp:extent cx="3121721" cy="432991"/>
                  <wp:effectExtent l="0" t="0" r="0" b="0"/>
                  <wp:docPr id="9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121721" cy="432991"/>
                          </a:xfrm>
                          <a:prstGeom prst="rect">
                            <a:avLst/>
                          </a:prstGeom>
                          <a:ln/>
                        </pic:spPr>
                      </pic:pic>
                    </a:graphicData>
                  </a:graphic>
                </wp:inline>
              </w:drawing>
            </w:r>
          </w:p>
          <w:p w14:paraId="1F12642C" w14:textId="77777777" w:rsidR="001A3FC3" w:rsidRPr="00EA32BC" w:rsidRDefault="00C612D2">
            <w:pPr>
              <w:spacing w:before="240" w:after="240" w:line="360"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10ª. Regiduría: </w:t>
            </w:r>
          </w:p>
          <w:p w14:paraId="1F99BF88" w14:textId="77777777" w:rsidR="001A3FC3" w:rsidRPr="00EA32BC" w:rsidRDefault="00C612D2">
            <w:pPr>
              <w:spacing w:before="240" w:after="240" w:line="360"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noProof/>
                <w:sz w:val="18"/>
                <w:szCs w:val="18"/>
                <w:lang w:val="es-MX"/>
              </w:rPr>
              <w:drawing>
                <wp:inline distT="0" distB="0" distL="0" distR="0" wp14:anchorId="57CCC631" wp14:editId="65DC2974">
                  <wp:extent cx="3183391" cy="1304553"/>
                  <wp:effectExtent l="0" t="0" r="0" b="0"/>
                  <wp:docPr id="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183391" cy="1304553"/>
                          </a:xfrm>
                          <a:prstGeom prst="rect">
                            <a:avLst/>
                          </a:prstGeom>
                          <a:ln/>
                        </pic:spPr>
                      </pic:pic>
                    </a:graphicData>
                  </a:graphic>
                </wp:inline>
              </w:drawing>
            </w:r>
          </w:p>
          <w:p w14:paraId="68558C2F" w14:textId="77777777" w:rsidR="001A3FC3" w:rsidRPr="00EA32BC" w:rsidRDefault="00C612D2">
            <w:pPr>
              <w:spacing w:before="240" w:after="240" w:line="360"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11ª. Regiduría: </w:t>
            </w:r>
            <w:r w:rsidRPr="00EA32BC">
              <w:rPr>
                <w:rFonts w:ascii="Palatino Linotype" w:eastAsia="Palatino Linotype" w:hAnsi="Palatino Linotype" w:cs="Palatino Linotype"/>
                <w:b/>
                <w:noProof/>
                <w:sz w:val="18"/>
                <w:szCs w:val="18"/>
                <w:lang w:val="es-MX"/>
              </w:rPr>
              <w:drawing>
                <wp:inline distT="0" distB="0" distL="0" distR="0" wp14:anchorId="4A2F374F" wp14:editId="1069A852">
                  <wp:extent cx="3240844" cy="468052"/>
                  <wp:effectExtent l="0" t="0" r="0" b="0"/>
                  <wp:docPr id="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3240844" cy="468052"/>
                          </a:xfrm>
                          <a:prstGeom prst="rect">
                            <a:avLst/>
                          </a:prstGeom>
                          <a:ln/>
                        </pic:spPr>
                      </pic:pic>
                    </a:graphicData>
                  </a:graphic>
                </wp:inline>
              </w:drawing>
            </w:r>
          </w:p>
          <w:p w14:paraId="34EFE7BA" w14:textId="77777777" w:rsidR="001A3FC3" w:rsidRPr="00EA32BC" w:rsidRDefault="00681B3F">
            <w:pPr>
              <w:spacing w:before="240" w:after="240" w:line="360" w:lineRule="auto"/>
              <w:ind w:right="51"/>
              <w:jc w:val="both"/>
              <w:rPr>
                <w:rFonts w:ascii="Palatino Linotype" w:eastAsia="Palatino Linotype" w:hAnsi="Palatino Linotype" w:cs="Palatino Linotype"/>
                <w:sz w:val="18"/>
                <w:szCs w:val="18"/>
              </w:rPr>
            </w:pPr>
            <w:hyperlink r:id="rId29">
              <w:r w:rsidR="00C612D2" w:rsidRPr="00EA32BC">
                <w:rPr>
                  <w:rFonts w:ascii="Palatino Linotype" w:eastAsia="Palatino Linotype" w:hAnsi="Palatino Linotype" w:cs="Palatino Linotype"/>
                  <w:sz w:val="18"/>
                  <w:szCs w:val="18"/>
                  <w:u w:val="single"/>
                </w:rPr>
                <w:t>https://www2.toluca.gob.mx/wp-content/uploads/2022/04/tol-pdf-pbRM-2022.pdf</w:t>
              </w:r>
            </w:hyperlink>
            <w:r w:rsidR="00C612D2" w:rsidRPr="00EA32BC">
              <w:rPr>
                <w:rFonts w:ascii="Palatino Linotype" w:eastAsia="Palatino Linotype" w:hAnsi="Palatino Linotype" w:cs="Palatino Linotype"/>
                <w:sz w:val="18"/>
                <w:szCs w:val="18"/>
              </w:rPr>
              <w:t xml:space="preserve"> </w:t>
            </w:r>
          </w:p>
          <w:p w14:paraId="72999FB0" w14:textId="77777777" w:rsidR="001A3FC3" w:rsidRPr="00EA32BC" w:rsidRDefault="00C612D2">
            <w:pPr>
              <w:spacing w:before="240" w:after="240" w:line="360"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t xml:space="preserve">12ª. Regiduría: </w:t>
            </w:r>
          </w:p>
          <w:p w14:paraId="0A9009F8" w14:textId="77777777" w:rsidR="001A3FC3" w:rsidRPr="00EA32BC" w:rsidRDefault="00C612D2">
            <w:pPr>
              <w:spacing w:before="240" w:after="240" w:line="360" w:lineRule="auto"/>
              <w:ind w:right="51"/>
              <w:jc w:val="both"/>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noProof/>
                <w:sz w:val="18"/>
                <w:szCs w:val="18"/>
                <w:lang w:val="es-MX"/>
              </w:rPr>
              <w:lastRenderedPageBreak/>
              <w:drawing>
                <wp:inline distT="0" distB="0" distL="0" distR="0" wp14:anchorId="406B045E" wp14:editId="649354ED">
                  <wp:extent cx="2912990" cy="2874322"/>
                  <wp:effectExtent l="0" t="0" r="0" b="0"/>
                  <wp:docPr id="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a:stretch>
                            <a:fillRect/>
                          </a:stretch>
                        </pic:blipFill>
                        <pic:spPr>
                          <a:xfrm>
                            <a:off x="0" y="0"/>
                            <a:ext cx="2912990" cy="2874322"/>
                          </a:xfrm>
                          <a:prstGeom prst="rect">
                            <a:avLst/>
                          </a:prstGeom>
                          <a:ln/>
                        </pic:spPr>
                      </pic:pic>
                    </a:graphicData>
                  </a:graphic>
                </wp:inline>
              </w:drawing>
            </w:r>
          </w:p>
        </w:tc>
        <w:tc>
          <w:tcPr>
            <w:tcW w:w="1762" w:type="dxa"/>
          </w:tcPr>
          <w:p w14:paraId="52DB1947" w14:textId="77777777" w:rsidR="001A3FC3" w:rsidRPr="00EA32BC" w:rsidRDefault="00C612D2">
            <w:pPr>
              <w:spacing w:before="240" w:after="240" w:line="360" w:lineRule="auto"/>
              <w:jc w:val="center"/>
              <w:rPr>
                <w:rFonts w:ascii="Palatino Linotype" w:eastAsia="Palatino Linotype" w:hAnsi="Palatino Linotype" w:cs="Palatino Linotype"/>
                <w:b/>
                <w:sz w:val="18"/>
                <w:szCs w:val="18"/>
              </w:rPr>
            </w:pPr>
            <w:r w:rsidRPr="00EA32BC">
              <w:rPr>
                <w:rFonts w:ascii="Palatino Linotype" w:eastAsia="Palatino Linotype" w:hAnsi="Palatino Linotype" w:cs="Palatino Linotype"/>
                <w:b/>
                <w:sz w:val="18"/>
                <w:szCs w:val="18"/>
              </w:rPr>
              <w:lastRenderedPageBreak/>
              <w:t>Parcialmente</w:t>
            </w:r>
          </w:p>
          <w:p w14:paraId="3A659CBF" w14:textId="77777777" w:rsidR="001A3FC3" w:rsidRPr="00EA32BC" w:rsidRDefault="00C612D2">
            <w:pPr>
              <w:spacing w:before="240" w:after="240" w:line="276" w:lineRule="auto"/>
              <w:jc w:val="both"/>
              <w:rPr>
                <w:rFonts w:ascii="Palatino Linotype" w:eastAsia="Palatino Linotype" w:hAnsi="Palatino Linotype" w:cs="Palatino Linotype"/>
                <w:b/>
                <w:sz w:val="18"/>
                <w:szCs w:val="18"/>
                <w:u w:val="single"/>
              </w:rPr>
            </w:pPr>
            <w:r w:rsidRPr="00EA32BC">
              <w:rPr>
                <w:rFonts w:ascii="Palatino Linotype" w:eastAsia="Palatino Linotype" w:hAnsi="Palatino Linotype" w:cs="Palatino Linotype"/>
                <w:b/>
                <w:sz w:val="18"/>
                <w:szCs w:val="18"/>
              </w:rPr>
              <w:t xml:space="preserve">Observaciones: </w:t>
            </w:r>
            <w:r w:rsidRPr="00EA32BC">
              <w:rPr>
                <w:rFonts w:ascii="Palatino Linotype" w:eastAsia="Palatino Linotype" w:hAnsi="Palatino Linotype" w:cs="Palatino Linotype"/>
                <w:sz w:val="18"/>
                <w:szCs w:val="18"/>
              </w:rPr>
              <w:t xml:space="preserve">Únicamente colman este punto, los pronunciamientos de </w:t>
            </w:r>
            <w:r w:rsidRPr="00EA32BC">
              <w:rPr>
                <w:rFonts w:ascii="Palatino Linotype" w:eastAsia="Palatino Linotype" w:hAnsi="Palatino Linotype" w:cs="Palatino Linotype"/>
                <w:b/>
                <w:sz w:val="18"/>
                <w:szCs w:val="18"/>
                <w:u w:val="single"/>
              </w:rPr>
              <w:t xml:space="preserve">la segunda, cuarta, quinta  y </w:t>
            </w:r>
            <w:r w:rsidRPr="00EA32BC">
              <w:rPr>
                <w:rFonts w:ascii="Palatino Linotype" w:eastAsia="Palatino Linotype" w:hAnsi="Palatino Linotype" w:cs="Palatino Linotype"/>
                <w:b/>
                <w:sz w:val="18"/>
                <w:szCs w:val="18"/>
                <w:u w:val="single"/>
              </w:rPr>
              <w:lastRenderedPageBreak/>
              <w:t>décima segunda regiduría.</w:t>
            </w:r>
          </w:p>
          <w:p w14:paraId="673B3110" w14:textId="77777777" w:rsidR="001A3FC3" w:rsidRPr="00EA32BC" w:rsidRDefault="00C612D2">
            <w:pPr>
              <w:spacing w:before="240" w:after="240" w:line="276" w:lineRule="auto"/>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Respecto a la novena y décima primera regidurías, su respuesta no se encuentra conforme a los artículos 11 y 161 de la Ley de Transparencia Local, en virtud de que la liga electrónica remitida por la décima primera regiduría no remite a lo requerido y el pronunciamiento de la novena regiduría implica realizar una búsqueda, toda vez que únicamente manifestó que se localiza la información en Facebook.</w:t>
            </w:r>
          </w:p>
          <w:p w14:paraId="64D61F4F" w14:textId="77777777" w:rsidR="001A3FC3" w:rsidRPr="00EA32BC" w:rsidRDefault="001A3FC3">
            <w:pPr>
              <w:spacing w:before="240" w:after="240" w:line="276" w:lineRule="auto"/>
              <w:jc w:val="both"/>
              <w:rPr>
                <w:rFonts w:ascii="Palatino Linotype" w:eastAsia="Palatino Linotype" w:hAnsi="Palatino Linotype" w:cs="Palatino Linotype"/>
                <w:sz w:val="18"/>
                <w:szCs w:val="18"/>
              </w:rPr>
            </w:pPr>
          </w:p>
        </w:tc>
      </w:tr>
      <w:tr w:rsidR="001A3FC3" w:rsidRPr="00EA32BC" w14:paraId="54CC4342" w14:textId="77777777">
        <w:tc>
          <w:tcPr>
            <w:tcW w:w="1649" w:type="dxa"/>
          </w:tcPr>
          <w:p w14:paraId="7F51C5C4" w14:textId="77777777" w:rsidR="001A3FC3" w:rsidRPr="00EA32BC" w:rsidRDefault="00C612D2">
            <w:pPr>
              <w:spacing w:before="240" w:after="240" w:line="360" w:lineRule="auto"/>
              <w:jc w:val="center"/>
              <w:rPr>
                <w:rFonts w:ascii="Palatino Linotype" w:eastAsia="Palatino Linotype" w:hAnsi="Palatino Linotype" w:cs="Palatino Linotype"/>
                <w:b/>
                <w:sz w:val="20"/>
                <w:szCs w:val="20"/>
              </w:rPr>
            </w:pPr>
            <w:r w:rsidRPr="00EA32BC">
              <w:rPr>
                <w:rFonts w:ascii="Palatino Linotype" w:eastAsia="Palatino Linotype" w:hAnsi="Palatino Linotype" w:cs="Palatino Linotype"/>
                <w:b/>
                <w:sz w:val="20"/>
                <w:szCs w:val="20"/>
              </w:rPr>
              <w:lastRenderedPageBreak/>
              <w:t>Sindicaturas</w:t>
            </w:r>
          </w:p>
        </w:tc>
        <w:tc>
          <w:tcPr>
            <w:tcW w:w="5368" w:type="dxa"/>
          </w:tcPr>
          <w:p w14:paraId="7F1CF559" w14:textId="77777777" w:rsidR="001A3FC3" w:rsidRPr="00EA32BC" w:rsidRDefault="00C612D2">
            <w:pPr>
              <w:spacing w:before="240" w:after="240" w:line="276" w:lineRule="auto"/>
              <w:jc w:val="both"/>
              <w:rPr>
                <w:rFonts w:ascii="Palatino Linotype" w:eastAsia="Palatino Linotype" w:hAnsi="Palatino Linotype" w:cs="Palatino Linotype"/>
                <w:sz w:val="18"/>
                <w:szCs w:val="18"/>
              </w:rPr>
            </w:pPr>
            <w:r w:rsidRPr="00EA32BC">
              <w:rPr>
                <w:rFonts w:ascii="Palatino Linotype" w:eastAsia="Palatino Linotype" w:hAnsi="Palatino Linotype" w:cs="Palatino Linotype"/>
                <w:sz w:val="18"/>
                <w:szCs w:val="18"/>
              </w:rPr>
              <w:t xml:space="preserve">Citan las atribuciones previstas en los artículos 52 y 53 de la Ley Orgánica Municipal.  </w:t>
            </w:r>
          </w:p>
        </w:tc>
        <w:tc>
          <w:tcPr>
            <w:tcW w:w="1762" w:type="dxa"/>
          </w:tcPr>
          <w:p w14:paraId="14FD4EFF" w14:textId="77777777" w:rsidR="001A3FC3" w:rsidRPr="00EA32BC" w:rsidRDefault="00C612D2">
            <w:pPr>
              <w:spacing w:before="240" w:after="240" w:line="360" w:lineRule="auto"/>
              <w:jc w:val="center"/>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0"/>
                <w:szCs w:val="20"/>
              </w:rPr>
              <w:t>No</w:t>
            </w:r>
          </w:p>
        </w:tc>
      </w:tr>
    </w:tbl>
    <w:p w14:paraId="3B3D24C7" w14:textId="77777777" w:rsidR="001A3FC3" w:rsidRPr="00EA32BC" w:rsidRDefault="001A3FC3">
      <w:pPr>
        <w:spacing w:before="240" w:after="240" w:line="360" w:lineRule="auto"/>
        <w:ind w:right="51"/>
        <w:jc w:val="both"/>
        <w:rPr>
          <w:rFonts w:ascii="Palatino Linotype" w:eastAsia="Palatino Linotype" w:hAnsi="Palatino Linotype" w:cs="Palatino Linotype"/>
          <w:sz w:val="22"/>
          <w:szCs w:val="22"/>
        </w:rPr>
      </w:pPr>
    </w:p>
    <w:p w14:paraId="33B8AC0D" w14:textId="77777777" w:rsidR="001A3FC3" w:rsidRPr="00EA32BC" w:rsidRDefault="00C612D2">
      <w:pPr>
        <w:spacing w:before="240" w:after="240" w:line="360" w:lineRule="auto"/>
        <w:ind w:right="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rPr>
        <w:t xml:space="preserve">Es importante señalar que con lo ilustrado en el cuadro de análisis,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emitió parcialmente respuesta a los requerimientos de información, toda vez que fueron omisos en pronunciarse la contraloría y la octava regiduría, es por ello que al no pronunciarse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respecto de este punto en particular, se estima que su falta de respuesta sobre este requerimiento actualizó la carencia de los principios de congruencia y exhaustividad, como refuerzo de lo anterior</w:t>
      </w:r>
      <w:r w:rsidRPr="00EA32BC">
        <w:rPr>
          <w:rFonts w:ascii="Palatino Linotype" w:eastAsia="Palatino Linotype" w:hAnsi="Palatino Linotype" w:cs="Palatino Linotype"/>
          <w:u w:val="single"/>
        </w:rPr>
        <w:t xml:space="preserve">, resulta crucial el Criterio 02/17, emitido por el Pleno del </w:t>
      </w:r>
      <w:r w:rsidRPr="00EA32BC">
        <w:rPr>
          <w:rFonts w:ascii="Palatino Linotype" w:eastAsia="Palatino Linotype" w:hAnsi="Palatino Linotype" w:cs="Palatino Linotype"/>
        </w:rPr>
        <w:t>Instituto Nacional de Transparencia y Acceso a la Información y Protección de Datos Personales, mismo que ya fue citado con antelación.</w:t>
      </w:r>
    </w:p>
    <w:p w14:paraId="4EAD4CAF" w14:textId="77777777" w:rsidR="001A3FC3" w:rsidRPr="00EA32BC" w:rsidRDefault="001A3FC3">
      <w:pPr>
        <w:spacing w:line="360" w:lineRule="auto"/>
        <w:jc w:val="both"/>
        <w:rPr>
          <w:rFonts w:ascii="Palatino Linotype" w:eastAsia="Palatino Linotype" w:hAnsi="Palatino Linotype" w:cs="Palatino Linotype"/>
        </w:rPr>
      </w:pPr>
    </w:p>
    <w:p w14:paraId="6963A6DF" w14:textId="77777777" w:rsidR="001A3FC3" w:rsidRPr="00EA32BC" w:rsidRDefault="001A3FC3">
      <w:pPr>
        <w:spacing w:line="360" w:lineRule="auto"/>
        <w:jc w:val="both"/>
        <w:rPr>
          <w:rFonts w:ascii="Palatino Linotype" w:eastAsia="Palatino Linotype" w:hAnsi="Palatino Linotype" w:cs="Palatino Linotype"/>
        </w:rPr>
      </w:pPr>
    </w:p>
    <w:p w14:paraId="2F0595ED" w14:textId="77777777" w:rsidR="001A3FC3" w:rsidRPr="00EA32BC" w:rsidRDefault="00C612D2">
      <w:pPr>
        <w:spacing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Por otra parte, la novena y décima primera regiduría no remiten a la fuente precisa, en virtud de que únicamente señala que se encuentra en Facebook y la liga electrónica remitida por la décima primera regiduría no remite a la información que señala, situaciones que contravienen a lo dispuesto por los artículos 11 y 161 de la Ley de Transparencia y Acceso a la Información Pública del Estado de México y Municipios. </w:t>
      </w:r>
    </w:p>
    <w:p w14:paraId="04556192" w14:textId="77777777" w:rsidR="001A3FC3" w:rsidRPr="00EA32BC" w:rsidRDefault="001A3FC3">
      <w:pPr>
        <w:spacing w:line="360" w:lineRule="auto"/>
        <w:jc w:val="both"/>
        <w:rPr>
          <w:rFonts w:ascii="Palatino Linotype" w:eastAsia="Palatino Linotype" w:hAnsi="Palatino Linotype" w:cs="Palatino Linotype"/>
        </w:rPr>
      </w:pPr>
    </w:p>
    <w:p w14:paraId="5A8CC18E" w14:textId="77777777" w:rsidR="001A3FC3" w:rsidRPr="00EA32BC" w:rsidRDefault="00C612D2">
      <w:pPr>
        <w:spacing w:line="360" w:lineRule="auto"/>
        <w:jc w:val="both"/>
        <w:rPr>
          <w:rFonts w:ascii="Palatino Linotype" w:eastAsia="Palatino Linotype" w:hAnsi="Palatino Linotype" w:cs="Palatino Linotype"/>
          <w:b/>
        </w:rPr>
      </w:pPr>
      <w:r w:rsidRPr="00EA32BC">
        <w:rPr>
          <w:rFonts w:ascii="Palatino Linotype" w:eastAsia="Palatino Linotype" w:hAnsi="Palatino Linotype" w:cs="Palatino Linotype"/>
        </w:rPr>
        <w:t xml:space="preserve">Bajo esta línea de pensamiento, se tiene que este punto de la solicitud no fue atendido correctamente, en razón de que se citaron artículos de normatividad municipal en los que obran las atribuciones de Presidencia, Regidurías y Sindicaturas Municipales, sin embargo, no debe perderse de vista que lo que requiere el particular son las </w:t>
      </w:r>
      <w:r w:rsidRPr="00EA32BC">
        <w:rPr>
          <w:rFonts w:ascii="Palatino Linotype" w:eastAsia="Palatino Linotype" w:hAnsi="Palatino Linotype" w:cs="Palatino Linotype"/>
          <w:b/>
        </w:rPr>
        <w:t xml:space="preserve">actividades desarrolladas de todo el personal de dichas áreas, </w:t>
      </w:r>
      <w:r w:rsidRPr="00EA32BC">
        <w:rPr>
          <w:rFonts w:ascii="Palatino Linotype" w:eastAsia="Palatino Linotype" w:hAnsi="Palatino Linotype" w:cs="Palatino Linotype"/>
        </w:rPr>
        <w:t>es decir,</w:t>
      </w:r>
      <w:r w:rsidRPr="00EA32BC">
        <w:rPr>
          <w:rFonts w:ascii="Palatino Linotype" w:eastAsia="Palatino Linotype" w:hAnsi="Palatino Linotype" w:cs="Palatino Linotype"/>
          <w:b/>
        </w:rPr>
        <w:t xml:space="preserve"> </w:t>
      </w:r>
      <w:r w:rsidRPr="00EA32BC">
        <w:rPr>
          <w:rFonts w:ascii="Palatino Linotype" w:eastAsia="Palatino Linotype" w:hAnsi="Palatino Linotype" w:cs="Palatino Linotype"/>
        </w:rPr>
        <w:t xml:space="preserve">no comprende a titulares únicamente sino al personal adscrito a dichas unidades, por lo tanto, se estima que para dar cumplimiento a este punto, debió atenderse la solicitud a la literalidad de lo peticionado por </w:t>
      </w:r>
      <w:r w:rsidRPr="00EA32BC">
        <w:rPr>
          <w:rFonts w:ascii="Palatino Linotype" w:eastAsia="Palatino Linotype" w:hAnsi="Palatino Linotype" w:cs="Palatino Linotype"/>
          <w:b/>
        </w:rPr>
        <w:t xml:space="preserve">el Recurrente </w:t>
      </w:r>
      <w:r w:rsidRPr="00EA32BC">
        <w:rPr>
          <w:rFonts w:ascii="Palatino Linotype" w:eastAsia="Palatino Linotype" w:hAnsi="Palatino Linotype" w:cs="Palatino Linotype"/>
        </w:rPr>
        <w:t>si es que se cuenta con un documento que dé cuenta de las actividades realizadas por el personal de dichas áreas</w:t>
      </w:r>
      <w:r w:rsidRPr="00EA32BC">
        <w:rPr>
          <w:rFonts w:ascii="Palatino Linotype" w:eastAsia="Palatino Linotype" w:hAnsi="Palatino Linotype" w:cs="Palatino Linotype"/>
          <w:b/>
        </w:rPr>
        <w:t xml:space="preserve"> </w:t>
      </w:r>
      <w:r w:rsidRPr="00EA32BC">
        <w:rPr>
          <w:rFonts w:ascii="Palatino Linotype" w:eastAsia="Palatino Linotype" w:hAnsi="Palatino Linotype" w:cs="Palatino Linotype"/>
        </w:rPr>
        <w:t xml:space="preserve">para lo cual es imprescindible mencionar que es obligación de los Sujetos Obligados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en el presente caso, se deberá proceder a la entrega del soporte documental en donde conste la </w:t>
      </w:r>
      <w:r w:rsidRPr="00EA32BC">
        <w:rPr>
          <w:rFonts w:ascii="Palatino Linotype" w:eastAsia="Palatino Linotype" w:hAnsi="Palatino Linotype" w:cs="Palatino Linotype"/>
        </w:rPr>
        <w:lastRenderedPageBreak/>
        <w:t xml:space="preserve">información que brinde respuesta a la solicitud, sin la necesidad de elaborar documentos </w:t>
      </w:r>
      <w:r w:rsidRPr="00EA32BC">
        <w:rPr>
          <w:rFonts w:ascii="Palatino Linotype" w:eastAsia="Palatino Linotype" w:hAnsi="Palatino Linotype" w:cs="Palatino Linotype"/>
          <w:i/>
        </w:rPr>
        <w:t xml:space="preserve">ad hoc </w:t>
      </w:r>
      <w:r w:rsidRPr="00EA32BC">
        <w:rPr>
          <w:rFonts w:ascii="Palatino Linotype" w:eastAsia="Palatino Linotype" w:hAnsi="Palatino Linotype" w:cs="Palatino Linotype"/>
        </w:rPr>
        <w:t>conforme al criterio orientador 03/17 citado con antelación, así el particular podrá buscar conforme a su interés, pudiendo ser, de manera enunciativa, más no limitativa, manuales de organización o de procedimientos de las Regidurías, el Reglamento Interno de las Regidurías, oficios, etcétera.</w:t>
      </w:r>
    </w:p>
    <w:p w14:paraId="64EA422B" w14:textId="77777777" w:rsidR="001A3FC3" w:rsidRPr="00EA32BC" w:rsidRDefault="00C612D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09F966CF" w14:textId="77777777" w:rsidR="001A3FC3" w:rsidRPr="00EA32BC" w:rsidRDefault="00C612D2">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EA32BC">
        <w:rPr>
          <w:sz w:val="22"/>
          <w:szCs w:val="22"/>
        </w:rPr>
        <w:t xml:space="preserve"> “</w:t>
      </w:r>
      <w:r w:rsidRPr="00EA32BC">
        <w:rPr>
          <w:rFonts w:ascii="Palatino Linotype" w:eastAsia="Palatino Linotype" w:hAnsi="Palatino Linotype" w:cs="Palatino Linotype"/>
          <w:b/>
          <w:i/>
          <w:sz w:val="22"/>
          <w:szCs w:val="22"/>
        </w:rPr>
        <w:t xml:space="preserve">Expresión documental. </w:t>
      </w:r>
      <w:r w:rsidRPr="00EA32BC">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3FE9B7FD" w14:textId="77777777" w:rsidR="001A3FC3" w:rsidRPr="00EA32BC" w:rsidRDefault="00C612D2">
      <w:pPr>
        <w:spacing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Lo anterior en virtud de que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se encuentra constreñido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14:paraId="044445DF" w14:textId="77777777" w:rsidR="001A3FC3" w:rsidRPr="00EA32BC" w:rsidRDefault="00C612D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“Artículo 18</w:t>
      </w:r>
      <w:r w:rsidRPr="00EA32BC">
        <w:rPr>
          <w:rFonts w:ascii="Palatino Linotype" w:eastAsia="Palatino Linotype" w:hAnsi="Palatino Linotype" w:cs="Palatino Linotype"/>
          <w:i/>
          <w:sz w:val="22"/>
          <w:szCs w:val="22"/>
        </w:rPr>
        <w:t>. Los sujetos obligados deberán documentar todo acto que derive del ejercicio de sus facultades, competencias o funciones, considerando desde su origen la eventual publicidad y reutilización de la información que generen.</w:t>
      </w:r>
    </w:p>
    <w:p w14:paraId="4A393123" w14:textId="77777777" w:rsidR="001A3FC3" w:rsidRPr="00EA32BC" w:rsidRDefault="00C612D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0F1EDD3D" w14:textId="77777777" w:rsidR="001A3FC3" w:rsidRPr="00EA32BC" w:rsidRDefault="00C612D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Artículo 24.</w:t>
      </w:r>
      <w:r w:rsidRPr="00EA32BC">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2E1A389D" w14:textId="77777777" w:rsidR="001A3FC3" w:rsidRPr="00EA32BC" w:rsidRDefault="00C612D2">
      <w:pPr>
        <w:pBdr>
          <w:top w:val="nil"/>
          <w:left w:val="nil"/>
          <w:bottom w:val="nil"/>
          <w:right w:val="nil"/>
          <w:between w:val="nil"/>
        </w:pBd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lastRenderedPageBreak/>
        <w:t>XXII.</w:t>
      </w:r>
      <w:r w:rsidRPr="00EA32BC">
        <w:rPr>
          <w:rFonts w:ascii="Palatino Linotype" w:eastAsia="Palatino Linotype" w:hAnsi="Palatino Linotype" w:cs="Palatino Linotype"/>
          <w:i/>
          <w:sz w:val="22"/>
          <w:szCs w:val="22"/>
        </w:rPr>
        <w:t xml:space="preserve"> Documentar todo acto que derive del ejercicio de sus facultades, competencias o funciones y abstenerse de destruirlos u ocultarlos, dentro de los que destacan los procesos deliberativos y de decisión definitiva;</w:t>
      </w:r>
    </w:p>
    <w:p w14:paraId="3EFAB581" w14:textId="77777777" w:rsidR="001A3FC3" w:rsidRPr="00EA32BC" w:rsidRDefault="00C612D2">
      <w:pPr>
        <w:spacing w:before="120" w:after="120"/>
        <w:ind w:left="567" w:right="902"/>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w:t>
      </w:r>
    </w:p>
    <w:p w14:paraId="3311E0DE" w14:textId="77777777" w:rsidR="001A3FC3" w:rsidRPr="00EA32BC" w:rsidRDefault="00C612D2">
      <w:pPr>
        <w:spacing w:before="120" w:after="120"/>
        <w:ind w:left="567" w:right="902"/>
        <w:jc w:val="both"/>
        <w:rPr>
          <w:rFonts w:ascii="Palatino Linotype" w:eastAsia="Palatino Linotype" w:hAnsi="Palatino Linotype" w:cs="Palatino Linotype"/>
          <w:i/>
          <w:sz w:val="36"/>
          <w:szCs w:val="36"/>
        </w:rPr>
      </w:pPr>
      <w:r w:rsidRPr="00EA32BC">
        <w:rPr>
          <w:rFonts w:ascii="Palatino Linotype" w:eastAsia="Palatino Linotype" w:hAnsi="Palatino Linotype" w:cs="Palatino Linotype"/>
          <w:b/>
          <w:i/>
          <w:sz w:val="22"/>
          <w:szCs w:val="22"/>
        </w:rPr>
        <w:t>Artículo 160</w:t>
      </w:r>
      <w:r w:rsidRPr="00EA32BC">
        <w:rPr>
          <w:rFonts w:ascii="Palatino Linotype" w:eastAsia="Palatino Linotype" w:hAnsi="Palatino Linotype" w:cs="Palatino Linotype"/>
          <w:i/>
          <w:sz w:val="22"/>
          <w:szCs w:val="22"/>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FEC77AB" w14:textId="77777777" w:rsidR="001A3FC3" w:rsidRPr="00EA32BC" w:rsidRDefault="00C612D2">
      <w:pPr>
        <w:spacing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Por lo tanto, en apego al principio de máxima publicidad resulta pertinente ordenar la entrega del soporte documental que dé cuenta de las actividades de desarrolladas de todo el personal de Presidencia, Secretaría del Ayuntamiento, Contraloría, Sindicaturas y de las Regidurías faltantes, del 1 </w:t>
      </w:r>
      <w:r w:rsidR="00830376" w:rsidRPr="00EA32BC">
        <w:rPr>
          <w:rFonts w:ascii="Palatino Linotype" w:eastAsia="Palatino Linotype" w:hAnsi="Palatino Linotype" w:cs="Palatino Linotype"/>
        </w:rPr>
        <w:t>de enero al 30 de mayo del 2022</w:t>
      </w:r>
      <w:r w:rsidRPr="00EA32BC">
        <w:rPr>
          <w:rFonts w:ascii="Palatino Linotype" w:eastAsia="Palatino Linotype" w:hAnsi="Palatino Linotype" w:cs="Palatino Linotype"/>
        </w:rPr>
        <w:t>.</w:t>
      </w:r>
    </w:p>
    <w:p w14:paraId="3DB7BEDA" w14:textId="77777777" w:rsidR="001A3FC3" w:rsidRPr="00EA32BC" w:rsidRDefault="00C612D2">
      <w:pPr>
        <w:spacing w:before="240" w:after="240" w:line="360" w:lineRule="auto"/>
        <w:ind w:right="51"/>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De lo hasta aquí expuesto, se concluye que los motivos de inconformidad de </w:t>
      </w:r>
      <w:r w:rsidRPr="00EA32BC">
        <w:rPr>
          <w:rFonts w:ascii="Palatino Linotype" w:eastAsia="Palatino Linotype" w:hAnsi="Palatino Linotype" w:cs="Palatino Linotype"/>
          <w:b/>
        </w:rPr>
        <w:t xml:space="preserve">la parte Recurrente </w:t>
      </w:r>
      <w:r w:rsidRPr="00EA32BC">
        <w:rPr>
          <w:rFonts w:ascii="Palatino Linotype" w:eastAsia="Palatino Linotype" w:hAnsi="Palatino Linotype" w:cs="Palatino Linotype"/>
        </w:rPr>
        <w:t xml:space="preserve">devienen fundados, siendo procedente </w:t>
      </w:r>
      <w:r w:rsidRPr="00EA32BC">
        <w:rPr>
          <w:rFonts w:ascii="Palatino Linotype" w:eastAsia="Palatino Linotype" w:hAnsi="Palatino Linotype" w:cs="Palatino Linotype"/>
          <w:b/>
        </w:rPr>
        <w:t>Modificar</w:t>
      </w:r>
      <w:r w:rsidRPr="00EA32BC">
        <w:rPr>
          <w:rFonts w:ascii="Palatino Linotype" w:eastAsia="Palatino Linotype" w:hAnsi="Palatino Linotype" w:cs="Palatino Linotype"/>
        </w:rPr>
        <w:t xml:space="preserve"> la respuesta proporcionada por el </w:t>
      </w:r>
      <w:r w:rsidRPr="00EA32BC">
        <w:rPr>
          <w:rFonts w:ascii="Palatino Linotype" w:eastAsia="Palatino Linotype" w:hAnsi="Palatino Linotype" w:cs="Palatino Linotype"/>
          <w:b/>
        </w:rPr>
        <w:t xml:space="preserve">Sujeto Obligado </w:t>
      </w:r>
      <w:r w:rsidRPr="00EA32BC">
        <w:rPr>
          <w:rFonts w:ascii="Palatino Linotype" w:eastAsia="Palatino Linotype" w:hAnsi="Palatino Linotype" w:cs="Palatino Linotype"/>
        </w:rPr>
        <w:t>en términos del artículo 186 fracción III de la Ley de Transparencia y Acceso a la Información Pública del Estado de México y Municipios, para efecto de que haga entrega, previa búsqueda exhaustiva y razonable de la siguiente información de los siguientes servidores públicos:</w:t>
      </w:r>
    </w:p>
    <w:p w14:paraId="4D2181F8"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1.- Los convenios con los medios de comunicación, signados durante el periodo del primero de enero al treinta de mayo de dos mil veintidós.</w:t>
      </w:r>
    </w:p>
    <w:p w14:paraId="1983D998" w14:textId="77777777" w:rsidR="00830376" w:rsidRPr="00EA32BC" w:rsidRDefault="00830376" w:rsidP="00830376">
      <w:pPr>
        <w:pBdr>
          <w:top w:val="nil"/>
          <w:left w:val="nil"/>
          <w:bottom w:val="nil"/>
          <w:right w:val="nil"/>
          <w:between w:val="nil"/>
        </w:pBdr>
        <w:spacing w:line="276" w:lineRule="auto"/>
        <w:ind w:right="567"/>
        <w:jc w:val="both"/>
        <w:rPr>
          <w:rFonts w:ascii="Palatino Linotype" w:eastAsia="Palatino Linotype" w:hAnsi="Palatino Linotype" w:cs="Palatino Linotype"/>
          <w:b/>
          <w:sz w:val="22"/>
          <w:szCs w:val="22"/>
        </w:rPr>
      </w:pPr>
    </w:p>
    <w:p w14:paraId="723F4F2B"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2.- Actas de las sesiones de Comisión de Transparencia, Acceso a la Información Pública y Protección de Datos Personales faltantes, generadas del veinticinco de enero al treinta de mayo de dos mil veintidós.</w:t>
      </w:r>
    </w:p>
    <w:p w14:paraId="01CD123F"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p>
    <w:p w14:paraId="3341A479"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 xml:space="preserve">3.- Recibos de nómina de la primera quincena del 2022, del personal adscrito a la segunda sindicatura y de las áreas faltantes de la Contraloría Municipal, como son: Departamento Resolutor de Responsabilidades Administrativas, </w:t>
      </w:r>
      <w:r w:rsidRPr="00EA32BC">
        <w:rPr>
          <w:rFonts w:ascii="Palatino Linotype" w:eastAsia="Palatino Linotype" w:hAnsi="Palatino Linotype" w:cs="Palatino Linotype"/>
          <w:b/>
          <w:sz w:val="22"/>
          <w:szCs w:val="22"/>
        </w:rPr>
        <w:lastRenderedPageBreak/>
        <w:t>Dirección de Investigación Responsabilidades Administrativas, Departamento de Auditoria Financiera y Dirección de Auditoria.</w:t>
      </w:r>
    </w:p>
    <w:p w14:paraId="784F8887"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p>
    <w:p w14:paraId="1E359A55"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 xml:space="preserve">4.- Recibos de nómina de la novena quincena del 2022, del personal adscrito a las sindicaturas y la Contraloría Municipal. </w:t>
      </w:r>
    </w:p>
    <w:p w14:paraId="096E68F4"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p>
    <w:p w14:paraId="6BBD0359"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5.- Recibos de nómina de la segunda quincena del mes de abril del año 2022, de los servidores públicos adscritos a la Unidad de Transparencia.</w:t>
      </w:r>
    </w:p>
    <w:p w14:paraId="4D365BB3"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p>
    <w:p w14:paraId="3968D14C"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6.- Fotografías de las sesiones del comité de transparencia, generadas del 1 de enero al 30 de mayo de 2022.</w:t>
      </w:r>
    </w:p>
    <w:p w14:paraId="05322056"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p>
    <w:p w14:paraId="6F0F40E8" w14:textId="77777777" w:rsidR="00830376" w:rsidRPr="00EA32BC" w:rsidRDefault="00830376" w:rsidP="00830376">
      <w:pPr>
        <w:pBdr>
          <w:top w:val="nil"/>
          <w:left w:val="nil"/>
          <w:bottom w:val="nil"/>
          <w:right w:val="nil"/>
          <w:between w:val="nil"/>
        </w:pBdr>
        <w:spacing w:line="276" w:lineRule="auto"/>
        <w:ind w:left="567" w:right="567"/>
        <w:jc w:val="both"/>
        <w:rPr>
          <w:rFonts w:ascii="Palatino Linotype" w:eastAsia="Palatino Linotype" w:hAnsi="Palatino Linotype" w:cs="Palatino Linotype"/>
          <w:b/>
          <w:sz w:val="22"/>
          <w:szCs w:val="22"/>
        </w:rPr>
      </w:pPr>
      <w:r w:rsidRPr="00EA32BC">
        <w:rPr>
          <w:rFonts w:ascii="Palatino Linotype" w:eastAsia="Palatino Linotype" w:hAnsi="Palatino Linotype" w:cs="Palatino Linotype"/>
          <w:b/>
          <w:sz w:val="22"/>
          <w:szCs w:val="22"/>
        </w:rPr>
        <w:t>7.- Soporte documental que dé cuenta de las actividades de desarrolladas de todo el personal de Presidencia, Secretaría del Ayuntamiento, Contraloría, Sindicaturas y de las Regidurías faltantes, del 1 de enero al 30 de mayo del 2022.</w:t>
      </w:r>
    </w:p>
    <w:p w14:paraId="3739F0EE" w14:textId="77777777" w:rsidR="001A3FC3" w:rsidRPr="00EA32BC" w:rsidRDefault="00C612D2">
      <w:pPr>
        <w:spacing w:before="240" w:after="240" w:line="360" w:lineRule="auto"/>
        <w:ind w:right="51"/>
        <w:jc w:val="both"/>
        <w:rPr>
          <w:rFonts w:ascii="Palatino Linotype" w:eastAsia="Palatino Linotype" w:hAnsi="Palatino Linotype" w:cs="Palatino Linotype"/>
        </w:rPr>
      </w:pPr>
      <w:r w:rsidRPr="00EA32BC">
        <w:rPr>
          <w:rFonts w:ascii="Palatino Linotype" w:eastAsia="Palatino Linotype" w:hAnsi="Palatino Linotype" w:cs="Palatino Linotype"/>
          <w:b/>
        </w:rPr>
        <w:t xml:space="preserve">Quinto. Versión Pública. </w:t>
      </w:r>
      <w:r w:rsidRPr="00EA32BC">
        <w:rPr>
          <w:rFonts w:ascii="Palatino Linotype" w:eastAsia="Palatino Linotype" w:hAnsi="Palatino Linotype" w:cs="Palatino Linotype"/>
        </w:rPr>
        <w:t>Como fue debidamente apuntado,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44DC9C9F" w14:textId="77777777" w:rsidR="001A3FC3" w:rsidRPr="00EA32BC" w:rsidRDefault="00C612D2">
      <w:pPr>
        <w:spacing w:before="240" w:after="240"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5E716883" w14:textId="77777777" w:rsidR="001A3FC3" w:rsidRPr="00EA32BC" w:rsidRDefault="00C612D2">
      <w:pPr>
        <w:spacing w:before="240" w:after="240"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FC340E2" w14:textId="77777777" w:rsidR="001A3FC3" w:rsidRPr="00EA32BC" w:rsidRDefault="00C612D2">
      <w:pPr>
        <w:spacing w:before="240" w:after="240"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14:paraId="409CE908" w14:textId="77777777" w:rsidR="001A3FC3" w:rsidRPr="00EA32BC" w:rsidRDefault="00C612D2">
      <w:pPr>
        <w:spacing w:before="120" w:after="120"/>
        <w:ind w:left="851"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rPr>
        <w:t> </w:t>
      </w: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Artículo 3.</w:t>
      </w:r>
      <w:r w:rsidRPr="00EA32BC">
        <w:rPr>
          <w:rFonts w:ascii="Palatino Linotype" w:eastAsia="Palatino Linotype" w:hAnsi="Palatino Linotype" w:cs="Palatino Linotype"/>
          <w:i/>
          <w:sz w:val="22"/>
          <w:szCs w:val="22"/>
        </w:rPr>
        <w:t xml:space="preserve"> Para los efectos de la presente Ley se entenderá por:</w:t>
      </w:r>
    </w:p>
    <w:p w14:paraId="5EA4A3F5" w14:textId="77777777" w:rsidR="001A3FC3" w:rsidRPr="00EA32BC" w:rsidRDefault="00C612D2">
      <w:pPr>
        <w:tabs>
          <w:tab w:val="left" w:pos="1276"/>
        </w:tabs>
        <w:spacing w:before="120" w:after="120"/>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6D32D5DA" w14:textId="77777777" w:rsidR="001A3FC3" w:rsidRPr="00EA32BC" w:rsidRDefault="00C612D2">
      <w:pPr>
        <w:tabs>
          <w:tab w:val="left" w:pos="1276"/>
        </w:tabs>
        <w:spacing w:before="120" w:after="120"/>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IX. Datos personales</w:t>
      </w:r>
      <w:r w:rsidRPr="00EA32BC">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14:paraId="524302F5" w14:textId="77777777" w:rsidR="001A3FC3" w:rsidRPr="00EA32BC" w:rsidRDefault="00C612D2">
      <w:pPr>
        <w:tabs>
          <w:tab w:val="left" w:pos="1276"/>
        </w:tabs>
        <w:spacing w:before="120" w:after="120"/>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6FD54718" w14:textId="77777777" w:rsidR="001A3FC3" w:rsidRPr="00EA32BC" w:rsidRDefault="00C612D2">
      <w:pPr>
        <w:tabs>
          <w:tab w:val="left" w:pos="1276"/>
        </w:tabs>
        <w:spacing w:before="120" w:after="120"/>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XX. Información clasificada</w:t>
      </w:r>
      <w:r w:rsidRPr="00EA32BC">
        <w:rPr>
          <w:rFonts w:ascii="Palatino Linotype" w:eastAsia="Palatino Linotype" w:hAnsi="Palatino Linotype" w:cs="Palatino Linotype"/>
          <w:i/>
          <w:sz w:val="22"/>
          <w:szCs w:val="22"/>
        </w:rPr>
        <w:t>: Aquella considerada por la presente Ley como reservada o confidencial;</w:t>
      </w:r>
    </w:p>
    <w:p w14:paraId="6415589B" w14:textId="77777777" w:rsidR="001A3FC3" w:rsidRPr="00EA32BC" w:rsidRDefault="00C612D2">
      <w:pPr>
        <w:tabs>
          <w:tab w:val="left" w:pos="1276"/>
        </w:tabs>
        <w:spacing w:before="120" w:after="120"/>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XXI. Información confidencial</w:t>
      </w:r>
      <w:r w:rsidRPr="00EA32BC">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1F519F0" w14:textId="77777777" w:rsidR="001A3FC3" w:rsidRPr="00EA32BC" w:rsidRDefault="00C612D2">
      <w:pPr>
        <w:tabs>
          <w:tab w:val="left" w:pos="1276"/>
        </w:tabs>
        <w:spacing w:before="120" w:after="120"/>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52F0C7AE" w14:textId="77777777" w:rsidR="001A3FC3" w:rsidRPr="00EA32BC" w:rsidRDefault="00C612D2">
      <w:pPr>
        <w:tabs>
          <w:tab w:val="left" w:pos="1276"/>
        </w:tabs>
        <w:spacing w:before="120" w:after="120"/>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XXXII. Protección de Datos Personales</w:t>
      </w:r>
      <w:r w:rsidRPr="00EA32BC">
        <w:rPr>
          <w:rFonts w:ascii="Palatino Linotype" w:eastAsia="Palatino Linotype" w:hAnsi="Palatino Linotype" w:cs="Palatino Linotype"/>
          <w:i/>
          <w:sz w:val="22"/>
          <w:szCs w:val="22"/>
        </w:rPr>
        <w:t>: Derecho humano que tutela la privacidad de datos personales en poder de los sujetos obligados y sujetos particulares;</w:t>
      </w:r>
    </w:p>
    <w:p w14:paraId="7A294097" w14:textId="77777777" w:rsidR="001A3FC3" w:rsidRPr="00EA32BC" w:rsidRDefault="00C612D2">
      <w:pPr>
        <w:tabs>
          <w:tab w:val="left" w:pos="1276"/>
        </w:tabs>
        <w:spacing w:before="120" w:after="120"/>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1B9FCDA7" w14:textId="77777777" w:rsidR="001A3FC3" w:rsidRPr="00EA32BC" w:rsidRDefault="00C612D2">
      <w:pPr>
        <w:tabs>
          <w:tab w:val="left" w:pos="1276"/>
        </w:tabs>
        <w:spacing w:before="120" w:after="120"/>
        <w:ind w:left="1134"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XLV. Versión pública</w:t>
      </w:r>
      <w:r w:rsidRPr="00EA32BC">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5CA14F9D" w14:textId="77777777" w:rsidR="001A3FC3" w:rsidRPr="00EA32BC" w:rsidRDefault="00C612D2" w:rsidP="00830376">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 Artículo 6</w:t>
      </w:r>
      <w:r w:rsidRPr="00EA32BC">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w:t>
      </w:r>
      <w:r w:rsidRPr="00EA32BC">
        <w:rPr>
          <w:rFonts w:ascii="Palatino Linotype" w:eastAsia="Palatino Linotype" w:hAnsi="Palatino Linotype" w:cs="Palatino Linotype"/>
          <w:i/>
          <w:sz w:val="22"/>
          <w:szCs w:val="22"/>
        </w:rPr>
        <w:lastRenderedPageBreak/>
        <w:t>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37832F8" w14:textId="77777777" w:rsidR="001A3FC3" w:rsidRPr="00EA32BC" w:rsidRDefault="00C612D2" w:rsidP="00830376">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 (…)</w:t>
      </w:r>
    </w:p>
    <w:p w14:paraId="25483461" w14:textId="77777777" w:rsidR="001A3FC3" w:rsidRPr="00EA32BC" w:rsidRDefault="00C612D2" w:rsidP="00830376">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Artículo 91.</w:t>
      </w:r>
      <w:r w:rsidRPr="00EA32BC">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E0E305F" w14:textId="77777777" w:rsidR="001A3FC3" w:rsidRPr="00EA32BC" w:rsidRDefault="00C612D2" w:rsidP="00830376">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6162A31F" w14:textId="77777777" w:rsidR="001A3FC3" w:rsidRPr="00EA32BC" w:rsidRDefault="00C612D2" w:rsidP="00830376">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Artículo 137.</w:t>
      </w:r>
      <w:r w:rsidRPr="00EA32BC">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018CAB5" w14:textId="77777777" w:rsidR="001A3FC3" w:rsidRPr="00EA32BC" w:rsidRDefault="00C612D2" w:rsidP="00830376">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 Artículo 143.</w:t>
      </w:r>
      <w:r w:rsidRPr="00EA32BC">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7225518D" w14:textId="77777777" w:rsidR="001A3FC3" w:rsidRPr="00EA32BC" w:rsidRDefault="00C612D2" w:rsidP="00830376">
      <w:pPr>
        <w:spacing w:before="120" w:after="120"/>
        <w:ind w:left="567"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w:t>
      </w:r>
      <w:r w:rsidRPr="00EA32B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CB67939" w14:textId="77777777" w:rsidR="001A3FC3" w:rsidRPr="00EA32BC" w:rsidRDefault="00C612D2">
      <w:pPr>
        <w:spacing w:before="240" w:after="240" w:line="360" w:lineRule="auto"/>
        <w:ind w:right="50"/>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w:t>
      </w:r>
      <w:r w:rsidRPr="00EA32BC">
        <w:rPr>
          <w:rFonts w:ascii="Palatino Linotype" w:eastAsia="Palatino Linotype" w:hAnsi="Palatino Linotype" w:cs="Palatino Linotype"/>
        </w:rPr>
        <w:lastRenderedPageBreak/>
        <w:t>Protección de Datos Personales en posesión de Sujeto Obligados del Estado de México.</w:t>
      </w:r>
    </w:p>
    <w:p w14:paraId="1F5541DF" w14:textId="77777777" w:rsidR="001A3FC3" w:rsidRPr="00EA32BC" w:rsidRDefault="00C612D2">
      <w:pPr>
        <w:spacing w:before="240" w:after="240" w:line="360" w:lineRule="auto"/>
        <w:ind w:right="50"/>
        <w:jc w:val="both"/>
        <w:rPr>
          <w:rFonts w:ascii="Palatino Linotype" w:eastAsia="Palatino Linotype" w:hAnsi="Palatino Linotype" w:cs="Palatino Linotype"/>
        </w:rPr>
      </w:pPr>
      <w:r w:rsidRPr="00EA32B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4CCCA66"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EA32BC">
        <w:rPr>
          <w:rFonts w:ascii="Palatino Linotype" w:eastAsia="Palatino Linotype" w:hAnsi="Palatino Linotype" w:cs="Palatino Linotype"/>
          <w:b/>
        </w:rPr>
        <w:t>Registro Federal de Contribuyentes</w:t>
      </w:r>
      <w:r w:rsidRPr="00EA32BC">
        <w:rPr>
          <w:rFonts w:ascii="Palatino Linotype" w:eastAsia="Palatino Linotype" w:hAnsi="Palatino Linotype" w:cs="Palatino Linotype"/>
        </w:rPr>
        <w:t xml:space="preserve"> (RFC), la </w:t>
      </w:r>
      <w:r w:rsidRPr="00EA32BC">
        <w:rPr>
          <w:rFonts w:ascii="Palatino Linotype" w:eastAsia="Palatino Linotype" w:hAnsi="Palatino Linotype" w:cs="Palatino Linotype"/>
          <w:b/>
        </w:rPr>
        <w:t>Clave Única de Registro de Población</w:t>
      </w:r>
      <w:r w:rsidRPr="00EA32BC">
        <w:rPr>
          <w:rFonts w:ascii="Palatino Linotype" w:eastAsia="Palatino Linotype" w:hAnsi="Palatino Linotype" w:cs="Palatino Linotype"/>
        </w:rPr>
        <w:t xml:space="preserve"> (CURP), la </w:t>
      </w:r>
      <w:r w:rsidRPr="00EA32BC">
        <w:rPr>
          <w:rFonts w:ascii="Palatino Linotype" w:eastAsia="Palatino Linotype" w:hAnsi="Palatino Linotype" w:cs="Palatino Linotype"/>
          <w:b/>
        </w:rPr>
        <w:t>Clave de cualquier tipo de seguridad social</w:t>
      </w:r>
      <w:r w:rsidRPr="00EA32BC">
        <w:rPr>
          <w:rFonts w:ascii="Palatino Linotype" w:eastAsia="Palatino Linotype" w:hAnsi="Palatino Linotype" w:cs="Palatino Linotype"/>
        </w:rPr>
        <w:t xml:space="preserve"> (ISSEMYM, u otros), los </w:t>
      </w:r>
      <w:r w:rsidRPr="00EA32BC">
        <w:rPr>
          <w:rFonts w:ascii="Palatino Linotype" w:eastAsia="Palatino Linotype" w:hAnsi="Palatino Linotype" w:cs="Palatino Linotype"/>
          <w:b/>
        </w:rPr>
        <w:t>números de cuentas bancarias</w:t>
      </w:r>
      <w:r w:rsidRPr="00EA32BC">
        <w:rPr>
          <w:rFonts w:ascii="Palatino Linotype" w:eastAsia="Palatino Linotype" w:hAnsi="Palatino Linotype" w:cs="Palatino Linotype"/>
        </w:rPr>
        <w:t xml:space="preserve">, claves estandarizadas – interbancarias - (CLABES) y de tarjetas, los </w:t>
      </w:r>
      <w:r w:rsidRPr="00EA32BC">
        <w:rPr>
          <w:rFonts w:ascii="Palatino Linotype" w:eastAsia="Palatino Linotype" w:hAnsi="Palatino Linotype" w:cs="Palatino Linotype"/>
          <w:b/>
        </w:rPr>
        <w:t>préstamos o descuentos</w:t>
      </w:r>
      <w:r w:rsidRPr="00EA32BC">
        <w:rPr>
          <w:rFonts w:ascii="Palatino Linotype" w:eastAsia="Palatino Linotype" w:hAnsi="Palatino Linotype" w:cs="Palatino Linotype"/>
        </w:rPr>
        <w:t xml:space="preserve"> que se le hagan a la persona y que no tengan relación con los impuestos o la cuota por seguridad social, así como los </w:t>
      </w:r>
      <w:r w:rsidRPr="00EA32BC">
        <w:rPr>
          <w:rFonts w:ascii="Palatino Linotype" w:eastAsia="Palatino Linotype" w:hAnsi="Palatino Linotype" w:cs="Palatino Linotype"/>
          <w:b/>
        </w:rPr>
        <w:t xml:space="preserve">códigos bidimensionales o códigos QR </w:t>
      </w:r>
      <w:r w:rsidRPr="00EA32BC">
        <w:rPr>
          <w:rFonts w:ascii="Palatino Linotype" w:eastAsia="Palatino Linotype" w:hAnsi="Palatino Linotype" w:cs="Palatino Linotype"/>
        </w:rPr>
        <w:t>y</w:t>
      </w:r>
      <w:r w:rsidRPr="00EA32BC">
        <w:rPr>
          <w:rFonts w:ascii="Palatino Linotype" w:eastAsia="Palatino Linotype" w:hAnsi="Palatino Linotype" w:cs="Palatino Linotype"/>
          <w:b/>
        </w:rPr>
        <w:t xml:space="preserve"> el número de empleado.</w:t>
      </w:r>
    </w:p>
    <w:p w14:paraId="5F7D8258"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lastRenderedPageBreak/>
        <w:t>Por cuanto hace al Registro Federal de Contribuyentes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CFE5B42"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74FFE564"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Lo anterior es compartido por el Instituto Nacional de Transparencia, Acceso a la Información y Protección de Datos Personales, INAI, a través del Criterio 19/17, el cual es del tenor literal siguiente:</w:t>
      </w:r>
    </w:p>
    <w:p w14:paraId="18101542" w14:textId="77777777" w:rsidR="001A3FC3" w:rsidRPr="00EA32BC" w:rsidRDefault="00C612D2">
      <w:pPr>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 xml:space="preserve"> “Registro Federal de Contribuyentes (RFC) de personas físicas</w:t>
      </w:r>
      <w:r w:rsidRPr="00EA32BC">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14:paraId="3C0C360E" w14:textId="77777777" w:rsidR="001A3FC3" w:rsidRPr="00EA32BC" w:rsidRDefault="00C612D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w:t>
      </w:r>
      <w:r w:rsidRPr="00EA32BC">
        <w:rPr>
          <w:rFonts w:ascii="Palatino Linotype" w:eastAsia="Palatino Linotype" w:hAnsi="Palatino Linotype" w:cs="Palatino Linotype"/>
        </w:rPr>
        <w:lastRenderedPageBreak/>
        <w:t>de México y Municipios, y  4 fracciones XI y XII de la Ley de Protección de Datos Personales en Posesión de los Sujetos Obligados del Estado de México y Municipios.</w:t>
      </w:r>
    </w:p>
    <w:p w14:paraId="3B828FF4" w14:textId="77777777" w:rsidR="001A3FC3" w:rsidRPr="00EA32BC" w:rsidRDefault="00C612D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1AD94774" w14:textId="77777777" w:rsidR="001A3FC3" w:rsidRPr="00EA32BC" w:rsidRDefault="00C612D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Argumento que es compartido por el Instituto Nacional de Transparencia, Acceso a la Información y Protección de Datos Personales, INAI, conforme al criterio 18/17, el cual refiere:</w:t>
      </w:r>
    </w:p>
    <w:p w14:paraId="1C96EF61" w14:textId="77777777" w:rsidR="001A3FC3" w:rsidRPr="00EA32BC" w:rsidRDefault="00C612D2">
      <w:pPr>
        <w:ind w:left="851"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 xml:space="preserve"> “Clave Única de Registro de Población (CURP). </w:t>
      </w:r>
      <w:r w:rsidRPr="00EA32BC">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656A2597"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34310B64"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Respecto de los números de cuentas bancarias, claves estandarizadas –interbancarias- (CLABES) y de tarjetas, el Pleno de este Instituto ha determinado </w:t>
      </w:r>
      <w:r w:rsidRPr="00EA32BC">
        <w:rPr>
          <w:rFonts w:ascii="Palatino Linotype" w:eastAsia="Palatino Linotype" w:hAnsi="Palatino Linotype" w:cs="Palatino Linotype"/>
        </w:rPr>
        <w:lastRenderedPageBreak/>
        <w:t>que esa información debe clasificarse como confidencial, y elaborarse una versión pública en la que se teste la misma.</w:t>
      </w:r>
    </w:p>
    <w:p w14:paraId="588EC6A1"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7866FD61"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22136BD9" w14:textId="77777777" w:rsidR="001A3FC3" w:rsidRPr="00EA32BC" w:rsidRDefault="00C612D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14:paraId="5E1D362D"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14:paraId="21B44E17"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14:paraId="1D2497DB" w14:textId="77777777" w:rsidR="001A3FC3" w:rsidRPr="00EA32BC" w:rsidRDefault="00C612D2">
      <w:pPr>
        <w:spacing w:before="240" w:after="24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Cuentas bancarias y/o CLABE interbancaria de personas físicas y morales privadas.</w:t>
      </w:r>
      <w:r w:rsidRPr="00EA32BC">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w:t>
      </w:r>
      <w:r w:rsidRPr="00EA32BC">
        <w:rPr>
          <w:rFonts w:ascii="Palatino Linotype" w:eastAsia="Palatino Linotype" w:hAnsi="Palatino Linotype" w:cs="Palatino Linotype"/>
          <w:i/>
          <w:sz w:val="22"/>
          <w:szCs w:val="22"/>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1FE27BAF" w14:textId="77777777" w:rsidR="001A3FC3" w:rsidRPr="00EA32BC" w:rsidRDefault="00C612D2">
      <w:pPr>
        <w:spacing w:before="240" w:after="24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EA32BC">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EAFBB38"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Por cuanto hace a los </w:t>
      </w:r>
      <w:r w:rsidRPr="00EA32BC">
        <w:rPr>
          <w:rFonts w:ascii="Palatino Linotype" w:eastAsia="Palatino Linotype" w:hAnsi="Palatino Linotype" w:cs="Palatino Linotype"/>
          <w:b/>
        </w:rPr>
        <w:t>préstamos o descuentos de carácter personal</w:t>
      </w:r>
      <w:r w:rsidRPr="00EA32BC">
        <w:rPr>
          <w:rFonts w:ascii="Palatino Linotype" w:eastAsia="Palatino Linotype" w:hAnsi="Palatino Linotype" w:cs="Palatino Linotype"/>
        </w:rPr>
        <w:t>, en virtud de no tener relación con la prestación del servicio y al no involucrar instituciones públicas, se consideran datos confidenciales.</w:t>
      </w:r>
    </w:p>
    <w:p w14:paraId="46AE3A98"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Para entender los límites y alcances de esta restricción, es oportuno recurrir al artículo 84 de la Ley del Trabajo de los Servidores Públicos del Estado y Municipios:</w:t>
      </w:r>
    </w:p>
    <w:p w14:paraId="250ABE99" w14:textId="77777777" w:rsidR="001A3FC3" w:rsidRPr="00EA32BC" w:rsidRDefault="00C612D2">
      <w:pPr>
        <w:spacing w:before="240" w:after="240"/>
        <w:ind w:left="851" w:right="900"/>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 xml:space="preserve">“ARTÍCULO 84. </w:t>
      </w:r>
      <w:r w:rsidRPr="00EA32BC">
        <w:rPr>
          <w:rFonts w:ascii="Palatino Linotype" w:eastAsia="Palatino Linotype" w:hAnsi="Palatino Linotype" w:cs="Palatino Linotype"/>
          <w:i/>
          <w:sz w:val="22"/>
          <w:szCs w:val="22"/>
        </w:rPr>
        <w:t>Sólo podrán hacerse retenciones, descuentos o deducciones al sueldo de los servidores públicos por concepto de:</w:t>
      </w:r>
    </w:p>
    <w:p w14:paraId="283EC435" w14:textId="77777777" w:rsidR="001A3FC3" w:rsidRPr="00EA32BC" w:rsidRDefault="00C612D2">
      <w:pPr>
        <w:ind w:left="993"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I. Gravámenes fiscales relacionados con el sueldo;</w:t>
      </w:r>
    </w:p>
    <w:p w14:paraId="0AF9E9D1" w14:textId="77777777" w:rsidR="001A3FC3" w:rsidRPr="00EA32BC" w:rsidRDefault="00C612D2">
      <w:pPr>
        <w:ind w:left="993"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308BB21F" w14:textId="77777777" w:rsidR="001A3FC3" w:rsidRPr="00EA32BC" w:rsidRDefault="00C612D2">
      <w:pPr>
        <w:ind w:left="993"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III. Cuotas sindicales;</w:t>
      </w:r>
    </w:p>
    <w:p w14:paraId="7A3D15C4" w14:textId="77777777" w:rsidR="001A3FC3" w:rsidRPr="00EA32BC" w:rsidRDefault="00C612D2">
      <w:pPr>
        <w:ind w:left="993"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1478FD7C" w14:textId="77777777" w:rsidR="001A3FC3" w:rsidRPr="00EA32BC" w:rsidRDefault="00C612D2">
      <w:pPr>
        <w:ind w:left="993"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00A14C80" w14:textId="77777777" w:rsidR="001A3FC3" w:rsidRPr="00EA32BC" w:rsidRDefault="00C612D2">
      <w:pPr>
        <w:ind w:left="993"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470084CB" w14:textId="77777777" w:rsidR="001A3FC3" w:rsidRPr="00EA32BC" w:rsidRDefault="00C612D2">
      <w:pPr>
        <w:ind w:left="993"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lastRenderedPageBreak/>
        <w:t>VII. Faltas de puntualidad o de asistencia injustificadas;</w:t>
      </w:r>
    </w:p>
    <w:p w14:paraId="79F345B9" w14:textId="77777777" w:rsidR="001A3FC3" w:rsidRPr="00EA32BC" w:rsidRDefault="00C612D2">
      <w:pPr>
        <w:ind w:left="993" w:right="90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VIII. Pensiones alimenticias ordenadas por la autoridad judicial;</w:t>
      </w:r>
      <w:r w:rsidRPr="00EA32BC">
        <w:rPr>
          <w:rFonts w:ascii="Palatino Linotype" w:eastAsia="Palatino Linotype" w:hAnsi="Palatino Linotype" w:cs="Palatino Linotype"/>
          <w:i/>
          <w:sz w:val="22"/>
          <w:szCs w:val="22"/>
        </w:rPr>
        <w:t xml:space="preserve"> o</w:t>
      </w:r>
    </w:p>
    <w:p w14:paraId="04C6B7AE" w14:textId="77777777" w:rsidR="001A3FC3" w:rsidRPr="00EA32BC" w:rsidRDefault="00C612D2">
      <w:pPr>
        <w:ind w:left="993" w:right="902"/>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IX. Cualquier otro convenido con instituciones de servicios y aceptado por el servidor público.</w:t>
      </w:r>
    </w:p>
    <w:p w14:paraId="56815039" w14:textId="77777777" w:rsidR="001A3FC3" w:rsidRPr="00EA32BC" w:rsidRDefault="00C612D2">
      <w:pPr>
        <w:spacing w:before="240" w:after="24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39EF7585"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27C4EDA"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Los </w:t>
      </w:r>
      <w:r w:rsidRPr="00EA32BC">
        <w:rPr>
          <w:rFonts w:ascii="Palatino Linotype" w:eastAsia="Palatino Linotype" w:hAnsi="Palatino Linotype" w:cs="Palatino Linotype"/>
          <w:b/>
        </w:rPr>
        <w:t>códigos bidimensionales</w:t>
      </w:r>
      <w:r w:rsidRPr="00EA32BC">
        <w:rPr>
          <w:rFonts w:ascii="Palatino Linotype" w:eastAsia="Palatino Linotype" w:hAnsi="Palatino Linotype" w:cs="Palatino Linotype"/>
        </w:rPr>
        <w:t xml:space="preserve"> o </w:t>
      </w:r>
      <w:r w:rsidRPr="00EA32BC">
        <w:rPr>
          <w:rFonts w:ascii="Palatino Linotype" w:eastAsia="Palatino Linotype" w:hAnsi="Palatino Linotype" w:cs="Palatino Linotype"/>
          <w:b/>
        </w:rPr>
        <w:t xml:space="preserve">códigos QR, </w:t>
      </w:r>
      <w:r w:rsidRPr="00EA32BC">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por lo que, si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advierte que en el presente caso se pueden obtener datos como el Registro Federal de Contribuyentes, la Clave Única del Registro de Población, entre otros que pudieran hacer identificable a una persona, deberá clasificarlo como confidencial.</w:t>
      </w:r>
    </w:p>
    <w:p w14:paraId="65E9CB5F"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lastRenderedPageBreak/>
        <w:t xml:space="preserve">Respecto a </w:t>
      </w:r>
      <w:r w:rsidRPr="00EA32BC">
        <w:rPr>
          <w:rFonts w:ascii="Palatino Linotype" w:eastAsia="Palatino Linotype" w:hAnsi="Palatino Linotype" w:cs="Palatino Linotype"/>
          <w:b/>
        </w:rPr>
        <w:t>la cadena original</w:t>
      </w:r>
      <w:r w:rsidRPr="00EA32BC">
        <w:rPr>
          <w:rFonts w:ascii="Palatino Linotype" w:eastAsia="Palatino Linotype" w:hAnsi="Palatino Linotype" w:cs="Palatino Linotype"/>
        </w:rPr>
        <w:t xml:space="preserve"> es importante señalar que </w:t>
      </w:r>
      <w:r w:rsidRPr="00EA32BC">
        <w:t xml:space="preserve">el </w:t>
      </w:r>
      <w:r w:rsidRPr="00EA32BC">
        <w:rPr>
          <w:rFonts w:ascii="Palatino Linotype" w:eastAsia="Palatino Linotype" w:hAnsi="Palatino Linotype" w:cs="Palatino Linotype"/>
        </w:rPr>
        <w:t>Servicio de Administración Tributaria refirió que de la cadena original se pueden obtener datos personales de los contribuyentes, tales como: RFC del emisor, RFC del receptor, folio fiscal y resumen general de la factura electrónica tales como totales de percepciones, retenciones, dicha consideración es compartida por el Instituto Nacional de Transparencia, Acceso a la Información y Protección de Datos Personales en la resolución RRA 09673/20.</w:t>
      </w:r>
    </w:p>
    <w:p w14:paraId="552BF4F8"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De acuerdo a lo anterior, se advierte que la cadena original se constituye como información que únicamente les atañe a los contribuyentes; así en el caso que nos ocupa, al acceder a la Cadena Original, también se estaría dando acceso al RFC del particular; en virtud de lo anterior,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deberá verificar si las cadenas originales son susceptibles de dirigir a datos personales y de ser el caso en el que dichas cadenas conduzcan a datos que atañen únicamente a sus titulares, resultará procedente la confidencialidad de dicho dato, de conformidad con el artículo 143, fracción I de la Ley Local de la materia.</w:t>
      </w:r>
    </w:p>
    <w:p w14:paraId="1261B8CB"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Por cuanto hace al </w:t>
      </w:r>
      <w:r w:rsidRPr="00EA32BC">
        <w:rPr>
          <w:rFonts w:ascii="Palatino Linotype" w:eastAsia="Palatino Linotype" w:hAnsi="Palatino Linotype" w:cs="Palatino Linotype"/>
          <w:b/>
        </w:rPr>
        <w:t xml:space="preserve">sello digital, </w:t>
      </w:r>
      <w:r w:rsidRPr="00EA32BC">
        <w:rPr>
          <w:rFonts w:ascii="Palatino Linotype" w:eastAsia="Palatino Linotype" w:hAnsi="Palatino Linotype" w:cs="Palatino Linotype"/>
        </w:rPr>
        <w:t>el Servicio de Administración Tributaria señaló que el sello digital del SAT es la validación de las facturas electrónicas con fundamento legal y reconocimiento fiscal a través de las diversas vías como lo son las herramientas que ofrece el propio SAT o por medio de un proveedor autorizado de certificación de CFDI (PAC), de esta forma cuando el PAC o la herramienta del SAT (Factura fácil) asigna a este comprobante el sello digital del SAT, es decir lo “timbra”, se está validando el comprobante por ese Servicio a través del PAC o la herramienta de factura fácil.</w:t>
      </w:r>
    </w:p>
    <w:p w14:paraId="49FB1066"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lastRenderedPageBreak/>
        <w:t xml:space="preserve">Asimismo, el SAT puntualizó que el Sello Digital del SAT sí contiene datos personales, tales como Nombre y RFC del Contribuyente emisor, entre otros; no obstante, si la persona descifra algoritmos informáticos, puede acceder a la totalidad de los datos personales del contribuyente. </w:t>
      </w:r>
    </w:p>
    <w:p w14:paraId="3FB0EBED"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Derivado de lo anterior, se advierte que, el sello digital del SAT da cuenta de la validez y certificación de legalidad fiscal que se le dé a un comprobante electrónico, por lo que sirve para que cualquiera pueda verificar que el comprobante esta efectivamente sellado digitalmente por el SAT y con dicho dato se puede acceder al nombre, y RFC del contribuyente emisor. </w:t>
      </w:r>
    </w:p>
    <w:p w14:paraId="0157B8E5"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En este sentido, corresponderá verificar al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si los sellos digitales son susceptibles de dirigir a datos personales y de ser el caso en el que dichas cadenas conduzcan a datos que atañen únicamente a sus titulares, resultará procedente la confidencialidad de dicho dato, de conformidad con el artículo 143, fracción I de la Ley Local de la materia.</w:t>
      </w:r>
    </w:p>
    <w:p w14:paraId="1D5CDBD8"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Con relación al </w:t>
      </w:r>
      <w:r w:rsidRPr="00EA32BC">
        <w:rPr>
          <w:rFonts w:ascii="Palatino Linotype" w:eastAsia="Palatino Linotype" w:hAnsi="Palatino Linotype" w:cs="Palatino Linotype"/>
          <w:b/>
        </w:rPr>
        <w:t>número de empleado</w:t>
      </w:r>
      <w:r w:rsidRPr="00EA32BC">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EA32BC">
        <w:rPr>
          <w:rFonts w:ascii="Palatino Linotype" w:eastAsia="Palatino Linotype" w:hAnsi="Palatino Linotype" w:cs="Palatino Linotype"/>
          <w:vertAlign w:val="superscript"/>
        </w:rPr>
        <w:footnoteReference w:id="3"/>
      </w:r>
      <w:r w:rsidRPr="00EA32BC">
        <w:rPr>
          <w:rFonts w:ascii="Palatino Linotype" w:eastAsia="Palatino Linotype" w:hAnsi="Palatino Linotype" w:cs="Palatino Linotype"/>
        </w:rPr>
        <w:t>.</w:t>
      </w:r>
    </w:p>
    <w:p w14:paraId="0E6ABF38"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lastRenderedPageBreak/>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Federal de Acceso a la Información y Protección de Datos (IFAI) se ha pronunciado sobre su publicidad, a través del criterio 03/14, que indica lo siguiente:</w:t>
      </w:r>
    </w:p>
    <w:p w14:paraId="30368CD7" w14:textId="77777777" w:rsidR="001A3FC3" w:rsidRPr="00EA32BC" w:rsidRDefault="00C612D2">
      <w:pPr>
        <w:tabs>
          <w:tab w:val="left" w:pos="7655"/>
        </w:tabs>
        <w:spacing w:before="240" w:after="240"/>
        <w:ind w:left="993" w:right="992"/>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“Número de empleado, o su equivalente, si se integra con datos personales del trabajador o permite acceder a éstos sin necesidad de una contraseña, constituye información confidencial</w:t>
      </w:r>
      <w:r w:rsidRPr="00EA32BC">
        <w:rPr>
          <w:rFonts w:ascii="Palatino Linotype" w:eastAsia="Palatino Linotype" w:hAnsi="Palatino Linotype" w:cs="Palatino Linotype"/>
          <w:i/>
          <w:sz w:val="22"/>
          <w:szCs w:val="22"/>
        </w:rPr>
        <w:t>.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37C5ECDC"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EA32BC">
        <w:rPr>
          <w:rFonts w:ascii="Palatino Linotype" w:eastAsia="Palatino Linotype" w:hAnsi="Palatino Linotype" w:cs="Palatino Linotype"/>
          <w:b/>
        </w:rPr>
        <w:lastRenderedPageBreak/>
        <w:t>Sujeto Obligado</w:t>
      </w:r>
      <w:r w:rsidRPr="00EA32BC">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3F1C8076" w14:textId="77777777" w:rsidR="001A3FC3" w:rsidRPr="00EA32BC" w:rsidRDefault="00C612D2">
      <w:pPr>
        <w:spacing w:before="240" w:after="240" w:line="360" w:lineRule="auto"/>
        <w:ind w:right="50"/>
        <w:jc w:val="both"/>
        <w:rPr>
          <w:rFonts w:ascii="Palatino Linotype" w:eastAsia="Palatino Linotype" w:hAnsi="Palatino Linotype" w:cs="Palatino Linotype"/>
        </w:rPr>
      </w:pPr>
      <w:r w:rsidRPr="00EA32BC">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43790A6E" w14:textId="77777777" w:rsidR="001A3FC3" w:rsidRPr="00EA32BC" w:rsidRDefault="00C612D2">
      <w:pPr>
        <w:widowControl w:val="0"/>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El Acuerdo de Clasificación de Información, se emitirá en términos de lo dispuesto 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EA32BC">
        <w:rPr>
          <w:rFonts w:ascii="Palatino Linotype" w:eastAsia="Palatino Linotype" w:hAnsi="Palatino Linotype" w:cs="Palatino Linotype"/>
          <w:b/>
          <w:u w:val="single"/>
        </w:rPr>
        <w:t>razones, motivos o circunstancias especiales</w:t>
      </w:r>
      <w:r w:rsidRPr="00EA32BC">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w:t>
      </w:r>
      <w:r w:rsidRPr="00EA32BC">
        <w:rPr>
          <w:rFonts w:ascii="Palatino Linotype" w:eastAsia="Palatino Linotype" w:hAnsi="Palatino Linotype" w:cs="Palatino Linotype"/>
        </w:rPr>
        <w:lastRenderedPageBreak/>
        <w:t>al principio de proporcionalidad y representa el medio menos restrictivo disponible para evitar el perjuicio.</w:t>
      </w:r>
    </w:p>
    <w:p w14:paraId="1591F674" w14:textId="77777777" w:rsidR="001A3FC3" w:rsidRPr="00EA32BC" w:rsidRDefault="00C612D2">
      <w:pPr>
        <w:spacing w:before="240" w:after="240" w:line="360" w:lineRule="auto"/>
        <w:ind w:right="50"/>
        <w:jc w:val="both"/>
        <w:rPr>
          <w:rFonts w:ascii="Palatino Linotype" w:eastAsia="Palatino Linotype" w:hAnsi="Palatino Linotype" w:cs="Palatino Linotype"/>
        </w:rPr>
      </w:pPr>
      <w:r w:rsidRPr="00EA32BC">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BA8877A" w14:textId="77777777" w:rsidR="001A3FC3" w:rsidRPr="00EA32BC" w:rsidRDefault="00C612D2">
      <w:pPr>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“Artículo 49.</w:t>
      </w: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Los Comités de Transparencia</w:t>
      </w:r>
      <w:r w:rsidRPr="00EA32BC">
        <w:rPr>
          <w:rFonts w:ascii="Palatino Linotype" w:eastAsia="Palatino Linotype" w:hAnsi="Palatino Linotype" w:cs="Palatino Linotype"/>
          <w:i/>
          <w:sz w:val="22"/>
          <w:szCs w:val="22"/>
        </w:rPr>
        <w:t xml:space="preserve"> tendrán las siguientes atribuciones:</w:t>
      </w:r>
    </w:p>
    <w:p w14:paraId="2B6203CD" w14:textId="77777777" w:rsidR="001A3FC3" w:rsidRPr="00EA32BC" w:rsidRDefault="00C612D2">
      <w:pPr>
        <w:spacing w:before="120" w:after="120"/>
        <w:ind w:left="993"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VIII. Aprobar, modificar o revocar la clasificación de la información</w:t>
      </w:r>
      <w:r w:rsidRPr="00EA32BC">
        <w:rPr>
          <w:rFonts w:ascii="Palatino Linotype" w:eastAsia="Palatino Linotype" w:hAnsi="Palatino Linotype" w:cs="Palatino Linotype"/>
          <w:i/>
          <w:sz w:val="22"/>
          <w:szCs w:val="22"/>
        </w:rPr>
        <w:t>…”</w:t>
      </w:r>
    </w:p>
    <w:p w14:paraId="6A3896F4" w14:textId="77777777" w:rsidR="001A3FC3" w:rsidRPr="00EA32BC" w:rsidRDefault="00C612D2">
      <w:pPr>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Artículo 53.</w:t>
      </w:r>
      <w:r w:rsidRPr="00EA32BC">
        <w:rPr>
          <w:rFonts w:ascii="Palatino Linotype" w:eastAsia="Palatino Linotype" w:hAnsi="Palatino Linotype" w:cs="Palatino Linotype"/>
          <w:i/>
          <w:sz w:val="22"/>
          <w:szCs w:val="22"/>
        </w:rPr>
        <w:t xml:space="preserve"> Las </w:t>
      </w:r>
      <w:r w:rsidRPr="00EA32BC">
        <w:rPr>
          <w:rFonts w:ascii="Palatino Linotype" w:eastAsia="Palatino Linotype" w:hAnsi="Palatino Linotype" w:cs="Palatino Linotype"/>
          <w:b/>
          <w:i/>
          <w:sz w:val="22"/>
          <w:szCs w:val="22"/>
        </w:rPr>
        <w:t>Unidades de Transparencia</w:t>
      </w:r>
      <w:r w:rsidRPr="00EA32BC">
        <w:rPr>
          <w:rFonts w:ascii="Palatino Linotype" w:eastAsia="Palatino Linotype" w:hAnsi="Palatino Linotype" w:cs="Palatino Linotype"/>
          <w:i/>
          <w:sz w:val="22"/>
          <w:szCs w:val="22"/>
        </w:rPr>
        <w:t xml:space="preserve"> tendrán las siguientes </w:t>
      </w:r>
      <w:r w:rsidRPr="00EA32BC">
        <w:rPr>
          <w:rFonts w:ascii="Palatino Linotype" w:eastAsia="Palatino Linotype" w:hAnsi="Palatino Linotype" w:cs="Palatino Linotype"/>
          <w:b/>
          <w:i/>
          <w:sz w:val="22"/>
          <w:szCs w:val="22"/>
        </w:rPr>
        <w:t>funciones</w:t>
      </w:r>
      <w:r w:rsidRPr="00EA32BC">
        <w:rPr>
          <w:rFonts w:ascii="Palatino Linotype" w:eastAsia="Palatino Linotype" w:hAnsi="Palatino Linotype" w:cs="Palatino Linotype"/>
          <w:i/>
          <w:sz w:val="22"/>
          <w:szCs w:val="22"/>
        </w:rPr>
        <w:t>:</w:t>
      </w:r>
    </w:p>
    <w:p w14:paraId="1803F36C" w14:textId="77777777" w:rsidR="001A3FC3" w:rsidRPr="00EA32BC" w:rsidRDefault="00C612D2">
      <w:pPr>
        <w:spacing w:before="120" w:after="120"/>
        <w:ind w:left="993"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X. Presentar ante el Comité, el proyecto de clasificación de información</w:t>
      </w:r>
      <w:r w:rsidRPr="00EA32BC">
        <w:rPr>
          <w:rFonts w:ascii="Palatino Linotype" w:eastAsia="Palatino Linotype" w:hAnsi="Palatino Linotype" w:cs="Palatino Linotype"/>
          <w:i/>
          <w:sz w:val="22"/>
          <w:szCs w:val="22"/>
        </w:rPr>
        <w:t xml:space="preserve">…” </w:t>
      </w:r>
    </w:p>
    <w:p w14:paraId="6A9E3579" w14:textId="77777777" w:rsidR="001A3FC3" w:rsidRPr="00EA32BC" w:rsidRDefault="00C612D2">
      <w:pPr>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“Artículo 59.</w:t>
      </w:r>
      <w:r w:rsidRPr="00EA32BC">
        <w:rPr>
          <w:rFonts w:ascii="Palatino Linotype" w:eastAsia="Palatino Linotype" w:hAnsi="Palatino Linotype" w:cs="Palatino Linotype"/>
          <w:i/>
          <w:sz w:val="22"/>
          <w:szCs w:val="22"/>
        </w:rPr>
        <w:t xml:space="preserve"> Los </w:t>
      </w:r>
      <w:r w:rsidRPr="00EA32BC">
        <w:rPr>
          <w:rFonts w:ascii="Palatino Linotype" w:eastAsia="Palatino Linotype" w:hAnsi="Palatino Linotype" w:cs="Palatino Linotype"/>
          <w:b/>
          <w:i/>
          <w:sz w:val="22"/>
          <w:szCs w:val="22"/>
        </w:rPr>
        <w:t>servidores públicos habilitados</w:t>
      </w:r>
      <w:r w:rsidRPr="00EA32BC">
        <w:rPr>
          <w:rFonts w:ascii="Palatino Linotype" w:eastAsia="Palatino Linotype" w:hAnsi="Palatino Linotype" w:cs="Palatino Linotype"/>
          <w:i/>
          <w:sz w:val="22"/>
          <w:szCs w:val="22"/>
        </w:rPr>
        <w:t xml:space="preserve"> tendrán las </w:t>
      </w:r>
      <w:r w:rsidRPr="00EA32BC">
        <w:rPr>
          <w:rFonts w:ascii="Palatino Linotype" w:eastAsia="Palatino Linotype" w:hAnsi="Palatino Linotype" w:cs="Palatino Linotype"/>
          <w:b/>
          <w:i/>
          <w:sz w:val="22"/>
          <w:szCs w:val="22"/>
        </w:rPr>
        <w:t>funciones</w:t>
      </w:r>
      <w:r w:rsidRPr="00EA32BC">
        <w:rPr>
          <w:rFonts w:ascii="Palatino Linotype" w:eastAsia="Palatino Linotype" w:hAnsi="Palatino Linotype" w:cs="Palatino Linotype"/>
          <w:i/>
          <w:sz w:val="22"/>
          <w:szCs w:val="22"/>
        </w:rPr>
        <w:t xml:space="preserve"> siguientes:</w:t>
      </w:r>
    </w:p>
    <w:p w14:paraId="5276487C" w14:textId="77777777" w:rsidR="001A3FC3" w:rsidRPr="00EA32BC" w:rsidRDefault="00C612D2">
      <w:pPr>
        <w:spacing w:before="120" w:after="12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EA32BC">
        <w:rPr>
          <w:rFonts w:ascii="Palatino Linotype" w:eastAsia="Palatino Linotype" w:hAnsi="Palatino Linotype" w:cs="Palatino Linotype"/>
          <w:i/>
          <w:sz w:val="22"/>
          <w:szCs w:val="22"/>
        </w:rPr>
        <w:t>, la cual tendrá los fundamentos y argumentos en que se basa dicha propuesta…”</w:t>
      </w:r>
    </w:p>
    <w:p w14:paraId="1EC79B9C"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EA32BC">
        <w:rPr>
          <w:rFonts w:ascii="Palatino Linotype" w:eastAsia="Palatino Linotype" w:hAnsi="Palatino Linotype" w:cs="Palatino Linotype"/>
        </w:rPr>
        <w:lastRenderedPageBreak/>
        <w:t>de clasificación de la información y finalmente sea éste último quien apruebe, modifique o revoque la clasificación de la información solicitada.</w:t>
      </w:r>
    </w:p>
    <w:p w14:paraId="6AA96BFD"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0A0AB38" w14:textId="77777777" w:rsidR="001A3FC3" w:rsidRPr="00EA32BC" w:rsidRDefault="00C612D2">
      <w:pPr>
        <w:spacing w:after="24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Artículo 149.</w:t>
      </w:r>
      <w:r w:rsidRPr="00EA32BC">
        <w:rPr>
          <w:rFonts w:ascii="Palatino Linotype" w:eastAsia="Palatino Linotype" w:hAnsi="Palatino Linotype" w:cs="Palatino Linotype"/>
          <w:i/>
          <w:sz w:val="22"/>
          <w:szCs w:val="22"/>
        </w:rPr>
        <w:t xml:space="preserve"> El </w:t>
      </w:r>
      <w:r w:rsidRPr="00EA32BC">
        <w:rPr>
          <w:rFonts w:ascii="Palatino Linotype" w:eastAsia="Palatino Linotype" w:hAnsi="Palatino Linotype" w:cs="Palatino Linotype"/>
          <w:b/>
          <w:i/>
          <w:sz w:val="22"/>
          <w:szCs w:val="22"/>
        </w:rPr>
        <w:t>acuerdo que clasifique la información como confidencial</w:t>
      </w:r>
      <w:r w:rsidRPr="00EA32BC">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2ED542CF" w14:textId="77777777" w:rsidR="001A3FC3" w:rsidRPr="00EA32BC" w:rsidRDefault="00C612D2">
      <w:pPr>
        <w:spacing w:before="240" w:after="240" w:line="360" w:lineRule="auto"/>
        <w:ind w:right="51"/>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Es decir,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4670D345" w14:textId="77777777" w:rsidR="001A3FC3" w:rsidRPr="00EA32BC" w:rsidRDefault="00C612D2">
      <w:pPr>
        <w:spacing w:before="240" w:after="240" w:line="360" w:lineRule="auto"/>
        <w:ind w:right="49"/>
        <w:jc w:val="both"/>
        <w:rPr>
          <w:rFonts w:ascii="Palatino Linotype" w:eastAsia="Palatino Linotype" w:hAnsi="Palatino Linotype" w:cs="Palatino Linotype"/>
        </w:rPr>
      </w:pPr>
      <w:bookmarkStart w:id="1" w:name="_heading=h.1fob9te" w:colFirst="0" w:colLast="0"/>
      <w:bookmarkEnd w:id="1"/>
      <w:r w:rsidRPr="00EA32BC">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w:t>
      </w:r>
      <w:r w:rsidRPr="00EA32BC">
        <w:rPr>
          <w:rFonts w:ascii="Palatino Linotype" w:eastAsia="Palatino Linotype" w:hAnsi="Palatino Linotype" w:cs="Palatino Linotype"/>
        </w:rPr>
        <w:lastRenderedPageBreak/>
        <w:t>Décimo Primero de los “Lineamientos Generales en materia de Clasificación y Desclasificación de la Información, así como para la elaboración de Versiones Públicas”, que literalmente expresan:</w:t>
      </w:r>
    </w:p>
    <w:p w14:paraId="7165DBC3"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b/>
          <w:i/>
          <w:sz w:val="22"/>
          <w:szCs w:val="22"/>
        </w:rPr>
      </w:pPr>
      <w:bookmarkStart w:id="2" w:name="_heading=h.3znysh7" w:colFirst="0" w:colLast="0"/>
      <w:bookmarkEnd w:id="2"/>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Artículo 132.</w:t>
      </w: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La clasificación de la información se llevará a cabo en el momento en que:</w:t>
      </w:r>
    </w:p>
    <w:p w14:paraId="6BACBA54"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5C751755"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II.</w:t>
      </w:r>
      <w:r w:rsidRPr="00EA32BC">
        <w:rPr>
          <w:rFonts w:ascii="Palatino Linotype" w:eastAsia="Palatino Linotype" w:hAnsi="Palatino Linotype" w:cs="Palatino Linotype"/>
          <w:i/>
          <w:sz w:val="22"/>
          <w:szCs w:val="22"/>
        </w:rPr>
        <w:t xml:space="preserve"> Se determine mediante resolución de autoridad competente; o</w:t>
      </w:r>
    </w:p>
    <w:p w14:paraId="130D0A99"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III</w:t>
      </w: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Se generen versiones públicas para dar cumplimiento a las obligaciones de transparencia previstas en esta Ley</w:t>
      </w:r>
      <w:r w:rsidRPr="00EA32BC">
        <w:rPr>
          <w:rFonts w:ascii="Palatino Linotype" w:eastAsia="Palatino Linotype" w:hAnsi="Palatino Linotype" w:cs="Palatino Linotype"/>
          <w:i/>
          <w:sz w:val="22"/>
          <w:szCs w:val="22"/>
        </w:rPr>
        <w:t>.”</w:t>
      </w:r>
    </w:p>
    <w:p w14:paraId="765C4694"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r w:rsidRPr="00EA32BC">
        <w:rPr>
          <w:rFonts w:ascii="Palatino Linotype" w:eastAsia="Palatino Linotype" w:hAnsi="Palatino Linotype" w:cs="Palatino Linotype"/>
          <w:b/>
          <w:i/>
          <w:sz w:val="22"/>
          <w:szCs w:val="22"/>
        </w:rPr>
        <w:t>Segundo.-</w:t>
      </w:r>
      <w:r w:rsidRPr="00EA32BC">
        <w:rPr>
          <w:rFonts w:ascii="Palatino Linotype" w:eastAsia="Palatino Linotype" w:hAnsi="Palatino Linotype" w:cs="Palatino Linotype"/>
          <w:i/>
          <w:sz w:val="22"/>
          <w:szCs w:val="22"/>
        </w:rPr>
        <w:t xml:space="preserve"> Para efectos de los presentes Lineamientos Generales, se entenderá por:</w:t>
      </w:r>
    </w:p>
    <w:p w14:paraId="4D0C820B"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XVIII.</w:t>
      </w: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Versión pública:</w:t>
      </w:r>
      <w:r w:rsidRPr="00EA32BC">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EA32BC">
        <w:rPr>
          <w:rFonts w:ascii="Palatino Linotype" w:eastAsia="Palatino Linotype" w:hAnsi="Palatino Linotype" w:cs="Palatino Linotype"/>
          <w:b/>
          <w:i/>
          <w:sz w:val="22"/>
          <w:szCs w:val="22"/>
        </w:rPr>
        <w:t>fundando y motivando la</w:t>
      </w:r>
      <w:r w:rsidRPr="00EA32BC">
        <w:rPr>
          <w:rFonts w:ascii="Palatino Linotype" w:eastAsia="Palatino Linotype" w:hAnsi="Palatino Linotype" w:cs="Palatino Linotype"/>
          <w:i/>
          <w:sz w:val="22"/>
          <w:szCs w:val="22"/>
        </w:rPr>
        <w:t xml:space="preserve"> reserva o </w:t>
      </w:r>
      <w:r w:rsidRPr="00EA32BC">
        <w:rPr>
          <w:rFonts w:ascii="Palatino Linotype" w:eastAsia="Palatino Linotype" w:hAnsi="Palatino Linotype" w:cs="Palatino Linotype"/>
          <w:b/>
          <w:i/>
          <w:sz w:val="22"/>
          <w:szCs w:val="22"/>
        </w:rPr>
        <w:t>confidencialidad</w:t>
      </w:r>
      <w:r w:rsidRPr="00EA32BC">
        <w:rPr>
          <w:rFonts w:ascii="Palatino Linotype" w:eastAsia="Palatino Linotype" w:hAnsi="Palatino Linotype" w:cs="Palatino Linotype"/>
          <w:i/>
          <w:sz w:val="22"/>
          <w:szCs w:val="22"/>
        </w:rPr>
        <w:t>, a través de la resolución que para tal efecto emita el Comité de Transparencia.</w:t>
      </w:r>
    </w:p>
    <w:p w14:paraId="73E5B796"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Cuarto.</w:t>
      </w: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Para clasificar la información como</w:t>
      </w:r>
      <w:r w:rsidRPr="00EA32BC">
        <w:rPr>
          <w:rFonts w:ascii="Palatino Linotype" w:eastAsia="Palatino Linotype" w:hAnsi="Palatino Linotype" w:cs="Palatino Linotype"/>
          <w:i/>
          <w:sz w:val="22"/>
          <w:szCs w:val="22"/>
        </w:rPr>
        <w:t xml:space="preserve"> reservada o </w:t>
      </w:r>
      <w:r w:rsidRPr="00EA32BC">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sidRPr="00EA32BC">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EC0DC4B"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7D00B2D"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Quinto.</w:t>
      </w:r>
      <w:r w:rsidRPr="00EA32BC">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349A6B2" w14:textId="77777777" w:rsidR="001A3FC3" w:rsidRPr="00EA32BC" w:rsidRDefault="00C612D2">
      <w:pPr>
        <w:tabs>
          <w:tab w:val="left" w:pos="7371"/>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Sexto.</w:t>
      </w:r>
      <w:r w:rsidRPr="00EA32BC">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1B8CE357" w14:textId="77777777" w:rsidR="001A3FC3" w:rsidRPr="00EA32BC" w:rsidRDefault="00C612D2">
      <w:pPr>
        <w:tabs>
          <w:tab w:val="left" w:pos="7371"/>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06FA50EF" w14:textId="77777777" w:rsidR="001A3FC3" w:rsidRPr="00EA32BC" w:rsidRDefault="00C612D2">
      <w:pPr>
        <w:tabs>
          <w:tab w:val="left" w:pos="7371"/>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Séptimo.</w:t>
      </w:r>
      <w:r w:rsidRPr="00EA32BC">
        <w:rPr>
          <w:rFonts w:ascii="Palatino Linotype" w:eastAsia="Palatino Linotype" w:hAnsi="Palatino Linotype" w:cs="Palatino Linotype"/>
          <w:i/>
          <w:sz w:val="22"/>
          <w:szCs w:val="22"/>
        </w:rPr>
        <w:t xml:space="preserve"> La clasificación de la información se llevará a cabo en el momento en que:</w:t>
      </w:r>
    </w:p>
    <w:p w14:paraId="4BFF8983" w14:textId="77777777" w:rsidR="001A3FC3" w:rsidRPr="00EA32BC" w:rsidRDefault="00C612D2">
      <w:pPr>
        <w:tabs>
          <w:tab w:val="left" w:pos="7371"/>
          <w:tab w:val="left" w:pos="8222"/>
        </w:tabs>
        <w:spacing w:before="120" w:after="120"/>
        <w:ind w:left="567" w:right="851"/>
        <w:jc w:val="both"/>
        <w:rPr>
          <w:rFonts w:ascii="Palatino Linotype" w:eastAsia="Palatino Linotype" w:hAnsi="Palatino Linotype" w:cs="Palatino Linotype"/>
          <w:i/>
          <w:sz w:val="22"/>
          <w:szCs w:val="22"/>
        </w:rPr>
      </w:pPr>
      <w:bookmarkStart w:id="3" w:name="_heading=h.2et92p0" w:colFirst="0" w:colLast="0"/>
      <w:bookmarkEnd w:id="3"/>
      <w:r w:rsidRPr="00EA32BC">
        <w:rPr>
          <w:rFonts w:ascii="Palatino Linotype" w:eastAsia="Palatino Linotype" w:hAnsi="Palatino Linotype" w:cs="Palatino Linotype"/>
          <w:b/>
          <w:i/>
          <w:sz w:val="22"/>
          <w:szCs w:val="22"/>
        </w:rPr>
        <w:t>I.</w:t>
      </w:r>
      <w:r w:rsidRPr="00EA32BC">
        <w:rPr>
          <w:rFonts w:ascii="Palatino Linotype" w:eastAsia="Palatino Linotype" w:hAnsi="Palatino Linotype" w:cs="Palatino Linotype"/>
          <w:i/>
          <w:sz w:val="22"/>
          <w:szCs w:val="22"/>
        </w:rPr>
        <w:t xml:space="preserve"> Se reciba una solicitud de acceso a la información;</w:t>
      </w:r>
    </w:p>
    <w:p w14:paraId="254B3245" w14:textId="77777777" w:rsidR="001A3FC3" w:rsidRPr="00EA32BC" w:rsidRDefault="00C612D2">
      <w:pPr>
        <w:tabs>
          <w:tab w:val="left" w:pos="7371"/>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II.</w:t>
      </w:r>
      <w:r w:rsidRPr="00EA32BC">
        <w:rPr>
          <w:rFonts w:ascii="Palatino Linotype" w:eastAsia="Palatino Linotype" w:hAnsi="Palatino Linotype" w:cs="Palatino Linotype"/>
          <w:i/>
          <w:sz w:val="22"/>
          <w:szCs w:val="22"/>
        </w:rPr>
        <w:t xml:space="preserve"> Se determine mediante resolución de autoridad competente, o</w:t>
      </w:r>
    </w:p>
    <w:p w14:paraId="50D44613" w14:textId="77777777" w:rsidR="001A3FC3" w:rsidRPr="00EA32BC" w:rsidRDefault="00C612D2">
      <w:pPr>
        <w:tabs>
          <w:tab w:val="left" w:pos="7371"/>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III.</w:t>
      </w:r>
      <w:r w:rsidRPr="00EA32BC">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A912BE7" w14:textId="77777777" w:rsidR="001A3FC3" w:rsidRPr="00EA32BC" w:rsidRDefault="00C612D2">
      <w:pPr>
        <w:tabs>
          <w:tab w:val="left" w:pos="7371"/>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E4E376D"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Octavo.</w:t>
      </w:r>
      <w:r w:rsidRPr="00EA32BC">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9B129D7"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1"/>
          <w:szCs w:val="21"/>
        </w:rPr>
      </w:pPr>
      <w:r w:rsidRPr="00EA32BC">
        <w:rPr>
          <w:rFonts w:ascii="Palatino Linotype" w:eastAsia="Palatino Linotype" w:hAnsi="Palatino Linotype" w:cs="Palatino Linotype"/>
          <w:i/>
          <w:sz w:val="21"/>
          <w:szCs w:val="21"/>
        </w:rPr>
        <w:t>Para motivar la clasificación se deberán señalar las razones o circunstancias especiales que lo llevaron a concluir que el caso particular se ajusta al supuesto previsto por la norma legal invocada como fundamento.</w:t>
      </w:r>
    </w:p>
    <w:p w14:paraId="6C9EDD64"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1"/>
          <w:szCs w:val="21"/>
        </w:rPr>
      </w:pPr>
      <w:r w:rsidRPr="00EA32BC">
        <w:rPr>
          <w:rFonts w:ascii="Palatino Linotype" w:eastAsia="Palatino Linotype" w:hAnsi="Palatino Linotype" w:cs="Palatino Linotype"/>
          <w:i/>
          <w:sz w:val="21"/>
          <w:szCs w:val="21"/>
        </w:rPr>
        <w:t>En caso de referirse a información reservada, la motivación de la clasificación también deberá comprender las circunstancias que justifican el establecimiento de determinado plazo de reserva.</w:t>
      </w:r>
    </w:p>
    <w:p w14:paraId="25A03FB0"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1"/>
          <w:szCs w:val="21"/>
        </w:rPr>
      </w:pPr>
      <w:r w:rsidRPr="00EA32BC">
        <w:rPr>
          <w:rFonts w:ascii="Palatino Linotype" w:eastAsia="Palatino Linotype" w:hAnsi="Palatino Linotype" w:cs="Palatino Linotype"/>
          <w:i/>
          <w:sz w:val="21"/>
          <w:szCs w:val="21"/>
        </w:rPr>
        <w:t>Tratándose de información clasificada como confidencial respecto de la cual se haya determinado su conservación permanente por tener valor histórico, ésta conservará tal carácter de conformidad con la normativa aplicable en materia de archivos.</w:t>
      </w:r>
    </w:p>
    <w:p w14:paraId="0FB80E3E"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1"/>
          <w:szCs w:val="21"/>
        </w:rPr>
      </w:pPr>
      <w:r w:rsidRPr="00EA32BC">
        <w:rPr>
          <w:rFonts w:ascii="Palatino Linotype" w:eastAsia="Palatino Linotype" w:hAnsi="Palatino Linotype" w:cs="Palatino Linotype"/>
          <w:i/>
          <w:sz w:val="21"/>
          <w:szCs w:val="21"/>
        </w:rPr>
        <w:t>Los documentos contenidos en los archivos históricos y los identificados como históricos confidenciales no serán susceptibles de clasificación como reservados.</w:t>
      </w:r>
    </w:p>
    <w:p w14:paraId="2307290E"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1"/>
          <w:szCs w:val="21"/>
        </w:rPr>
      </w:pPr>
      <w:r w:rsidRPr="00EA32BC">
        <w:rPr>
          <w:rFonts w:ascii="Palatino Linotype" w:eastAsia="Palatino Linotype" w:hAnsi="Palatino Linotype" w:cs="Palatino Linotype"/>
          <w:b/>
          <w:i/>
          <w:sz w:val="21"/>
          <w:szCs w:val="21"/>
        </w:rPr>
        <w:t>Noveno.</w:t>
      </w:r>
      <w:r w:rsidRPr="00EA32BC">
        <w:rPr>
          <w:rFonts w:ascii="Palatino Linotype" w:eastAsia="Palatino Linotype" w:hAnsi="Palatino Linotype" w:cs="Palatino Linotype"/>
          <w:i/>
          <w:sz w:val="21"/>
          <w:szCs w:val="21"/>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BED154" w14:textId="77777777" w:rsidR="001A3FC3" w:rsidRPr="00EA32BC" w:rsidRDefault="00C612D2">
      <w:pPr>
        <w:tabs>
          <w:tab w:val="left" w:pos="8222"/>
        </w:tabs>
        <w:spacing w:before="120" w:after="120"/>
        <w:ind w:left="567" w:right="851"/>
        <w:jc w:val="both"/>
        <w:rPr>
          <w:rFonts w:ascii="Palatino Linotype" w:eastAsia="Palatino Linotype" w:hAnsi="Palatino Linotype" w:cs="Palatino Linotype"/>
          <w:i/>
          <w:sz w:val="21"/>
          <w:szCs w:val="21"/>
        </w:rPr>
      </w:pPr>
      <w:r w:rsidRPr="00EA32BC">
        <w:rPr>
          <w:rFonts w:ascii="Palatino Linotype" w:eastAsia="Palatino Linotype" w:hAnsi="Palatino Linotype" w:cs="Palatino Linotype"/>
          <w:b/>
          <w:i/>
          <w:sz w:val="21"/>
          <w:szCs w:val="21"/>
        </w:rPr>
        <w:t>Décimo.</w:t>
      </w:r>
      <w:r w:rsidRPr="00EA32BC">
        <w:rPr>
          <w:rFonts w:ascii="Palatino Linotype" w:eastAsia="Palatino Linotype" w:hAnsi="Palatino Linotype" w:cs="Palatino Linotype"/>
          <w:i/>
          <w:sz w:val="21"/>
          <w:szCs w:val="21"/>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7717C27" w14:textId="77777777" w:rsidR="001A3FC3" w:rsidRPr="00EA32BC" w:rsidRDefault="00C612D2">
      <w:pPr>
        <w:tabs>
          <w:tab w:val="left" w:pos="8222"/>
        </w:tabs>
        <w:spacing w:before="120" w:after="120"/>
        <w:ind w:left="851" w:right="1134"/>
        <w:jc w:val="both"/>
        <w:rPr>
          <w:rFonts w:ascii="Palatino Linotype" w:eastAsia="Palatino Linotype" w:hAnsi="Palatino Linotype" w:cs="Palatino Linotype"/>
          <w:i/>
          <w:sz w:val="21"/>
          <w:szCs w:val="21"/>
        </w:rPr>
      </w:pPr>
      <w:r w:rsidRPr="00EA32BC">
        <w:rPr>
          <w:rFonts w:ascii="Palatino Linotype" w:eastAsia="Palatino Linotype" w:hAnsi="Palatino Linotype" w:cs="Palatino Linotype"/>
          <w:i/>
          <w:sz w:val="21"/>
          <w:szCs w:val="21"/>
        </w:rPr>
        <w:lastRenderedPageBreak/>
        <w:t>En ausencia de los titulares de las áreas, la información será clasificada o desclasificada por la persona que lo supla, en términos de la normativa que rija la actuación del sujeto obligado.</w:t>
      </w:r>
    </w:p>
    <w:p w14:paraId="27B4A894" w14:textId="77777777" w:rsidR="001A3FC3" w:rsidRPr="00EA32BC" w:rsidRDefault="00C612D2">
      <w:pPr>
        <w:tabs>
          <w:tab w:val="left" w:pos="8222"/>
        </w:tabs>
        <w:spacing w:before="120" w:after="120"/>
        <w:ind w:left="851" w:right="1134"/>
        <w:jc w:val="both"/>
        <w:rPr>
          <w:rFonts w:ascii="Palatino Linotype" w:eastAsia="Palatino Linotype" w:hAnsi="Palatino Linotype" w:cs="Palatino Linotype"/>
          <w:i/>
          <w:sz w:val="21"/>
          <w:szCs w:val="21"/>
        </w:rPr>
      </w:pPr>
      <w:r w:rsidRPr="00EA32BC">
        <w:rPr>
          <w:rFonts w:ascii="Palatino Linotype" w:eastAsia="Palatino Linotype" w:hAnsi="Palatino Linotype" w:cs="Palatino Linotype"/>
          <w:b/>
          <w:i/>
          <w:sz w:val="21"/>
          <w:szCs w:val="21"/>
        </w:rPr>
        <w:t>Décimo primero.</w:t>
      </w:r>
      <w:r w:rsidRPr="00EA32BC">
        <w:rPr>
          <w:rFonts w:ascii="Palatino Linotype" w:eastAsia="Palatino Linotype" w:hAnsi="Palatino Linotype" w:cs="Palatino Linotype"/>
          <w:i/>
          <w:sz w:val="21"/>
          <w:szCs w:val="21"/>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58B40962" w14:textId="77777777" w:rsidR="001A3FC3" w:rsidRPr="00EA32BC" w:rsidRDefault="00C612D2">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EA32BC">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p w14:paraId="0DD8E9B8" w14:textId="77777777" w:rsidR="001A3FC3" w:rsidRPr="00EA32BC" w:rsidRDefault="001A3FC3">
      <w:pPr>
        <w:ind w:left="851" w:right="900"/>
        <w:jc w:val="center"/>
        <w:rPr>
          <w:rFonts w:ascii="Palatino Linotype" w:eastAsia="Palatino Linotype" w:hAnsi="Palatino Linotype" w:cs="Palatino Linotype"/>
          <w:b/>
          <w:i/>
          <w:sz w:val="22"/>
          <w:szCs w:val="22"/>
        </w:rPr>
      </w:pPr>
    </w:p>
    <w:p w14:paraId="558AE7A6" w14:textId="77777777" w:rsidR="001A3FC3" w:rsidRPr="00EA32BC" w:rsidRDefault="00C612D2">
      <w:pPr>
        <w:ind w:left="851" w:right="900"/>
        <w:jc w:val="center"/>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“CAPÍTULO VIII</w:t>
      </w:r>
    </w:p>
    <w:p w14:paraId="4CE5A0CC" w14:textId="77777777" w:rsidR="001A3FC3" w:rsidRPr="00EA32BC" w:rsidRDefault="00C612D2">
      <w:pPr>
        <w:ind w:left="851" w:right="900"/>
        <w:jc w:val="center"/>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DE LA LEYENDA DE CLASIFICACIÓN</w:t>
      </w:r>
    </w:p>
    <w:p w14:paraId="2056959E" w14:textId="77777777" w:rsidR="001A3FC3" w:rsidRPr="00EA32BC" w:rsidRDefault="00C612D2">
      <w:pPr>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w:t>
      </w:r>
    </w:p>
    <w:p w14:paraId="34B68A44" w14:textId="77777777" w:rsidR="001A3FC3" w:rsidRPr="00EA32BC" w:rsidRDefault="00C612D2">
      <w:pPr>
        <w:spacing w:after="16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 xml:space="preserve">Quincuagésimo tercero. </w:t>
      </w:r>
      <w:r w:rsidRPr="00EA32BC">
        <w:rPr>
          <w:rFonts w:ascii="Palatino Linotype" w:eastAsia="Palatino Linotype" w:hAnsi="Palatino Linotype" w:cs="Palatino Linotype"/>
          <w:b/>
          <w:i/>
          <w:sz w:val="22"/>
          <w:szCs w:val="22"/>
          <w:u w:val="single"/>
        </w:rPr>
        <w:t>El formato para señalar la clasificación parcial de un documento</w:t>
      </w:r>
      <w:r w:rsidRPr="00EA32BC">
        <w:rPr>
          <w:rFonts w:ascii="Palatino Linotype" w:eastAsia="Palatino Linotype" w:hAnsi="Palatino Linotype" w:cs="Palatino Linotype"/>
          <w:i/>
          <w:sz w:val="22"/>
          <w:szCs w:val="22"/>
        </w:rPr>
        <w:t>, es el siguiente:</w:t>
      </w:r>
    </w:p>
    <w:p w14:paraId="59E33190" w14:textId="77777777" w:rsidR="001A3FC3" w:rsidRPr="00EA32BC" w:rsidRDefault="00C612D2">
      <w:pPr>
        <w:spacing w:after="160"/>
        <w:ind w:left="851" w:right="900"/>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w:t>
      </w:r>
    </w:p>
    <w:p w14:paraId="7BF13980" w14:textId="77777777" w:rsidR="001A3FC3" w:rsidRPr="00EA32BC" w:rsidRDefault="00C612D2">
      <w:pPr>
        <w:spacing w:after="16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b/>
          <w:i/>
          <w:sz w:val="22"/>
          <w:szCs w:val="22"/>
        </w:rPr>
        <w:t>Quincuagésimo quinto</w:t>
      </w:r>
      <w:r w:rsidRPr="00EA32BC">
        <w:rPr>
          <w:rFonts w:ascii="Palatino Linotype" w:eastAsia="Palatino Linotype" w:hAnsi="Palatino Linotype" w:cs="Palatino Linotype"/>
          <w:i/>
          <w:sz w:val="22"/>
          <w:szCs w:val="22"/>
        </w:rPr>
        <w:t>. Los documentos que integren un expediente reservado o confidencial en su totalidad no deberán marcarse en lo individual.</w:t>
      </w:r>
    </w:p>
    <w:p w14:paraId="7037DBAF" w14:textId="77777777" w:rsidR="001A3FC3" w:rsidRPr="00EA32BC" w:rsidRDefault="00C612D2">
      <w:pPr>
        <w:spacing w:after="16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Una vez desclasificados los expedientes, si existieren documentos que tuvieran el carácter de reservados o confidenciales, deberán ser marcados.</w:t>
      </w:r>
    </w:p>
    <w:p w14:paraId="29F3AFE7" w14:textId="77777777" w:rsidR="001A3FC3" w:rsidRPr="00EA32BC" w:rsidRDefault="00C612D2">
      <w:pPr>
        <w:spacing w:after="160"/>
        <w:ind w:left="851" w:right="900"/>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El formato para señalar la clasificación de expedientes que por su naturaleza sean en su totalidad reservados o confidenciales, es el siguiente:”</w:t>
      </w:r>
    </w:p>
    <w:tbl>
      <w:tblPr>
        <w:tblStyle w:val="a8"/>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3421"/>
        <w:gridCol w:w="968"/>
        <w:gridCol w:w="3446"/>
      </w:tblGrid>
      <w:tr w:rsidR="00EA32BC" w:rsidRPr="00EA32BC" w14:paraId="141F0610" w14:textId="77777777" w:rsidTr="001A3F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04AFF6FB" w14:textId="77777777" w:rsidR="001A3FC3" w:rsidRPr="00EA32BC" w:rsidRDefault="00C612D2">
            <w:pPr>
              <w:jc w:val="center"/>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Parcial</w:t>
            </w:r>
          </w:p>
        </w:tc>
        <w:tc>
          <w:tcPr>
            <w:tcW w:w="4414" w:type="dxa"/>
            <w:gridSpan w:val="2"/>
          </w:tcPr>
          <w:p w14:paraId="6DA2A84A" w14:textId="77777777" w:rsidR="001A3FC3" w:rsidRPr="00EA32BC" w:rsidRDefault="00C612D2">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Total</w:t>
            </w:r>
          </w:p>
        </w:tc>
      </w:tr>
      <w:tr w:rsidR="00EA32BC" w:rsidRPr="00EA32BC" w14:paraId="212970FE" w14:textId="77777777" w:rsidTr="001A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5384BF0" w14:textId="77777777" w:rsidR="001A3FC3" w:rsidRPr="00EA32BC" w:rsidRDefault="00C612D2">
            <w:pPr>
              <w:jc w:val="center"/>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Concepto</w:t>
            </w:r>
          </w:p>
        </w:tc>
        <w:tc>
          <w:tcPr>
            <w:tcW w:w="3421" w:type="dxa"/>
          </w:tcPr>
          <w:p w14:paraId="5BC5EB89" w14:textId="77777777" w:rsidR="001A3FC3" w:rsidRPr="00EA32BC" w:rsidRDefault="00C612D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Dónde</w:t>
            </w:r>
          </w:p>
        </w:tc>
        <w:tc>
          <w:tcPr>
            <w:tcW w:w="968" w:type="dxa"/>
          </w:tcPr>
          <w:p w14:paraId="52E9CD32" w14:textId="77777777" w:rsidR="001A3FC3" w:rsidRPr="00EA32BC" w:rsidRDefault="00C612D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Concepto</w:t>
            </w:r>
          </w:p>
        </w:tc>
        <w:tc>
          <w:tcPr>
            <w:tcW w:w="3446" w:type="dxa"/>
          </w:tcPr>
          <w:p w14:paraId="6E71DC9D" w14:textId="77777777" w:rsidR="001A3FC3" w:rsidRPr="00EA32BC" w:rsidRDefault="00C612D2">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Dónde</w:t>
            </w:r>
          </w:p>
        </w:tc>
      </w:tr>
      <w:tr w:rsidR="00EA32BC" w:rsidRPr="00EA32BC" w14:paraId="38B987EB" w14:textId="77777777" w:rsidTr="001A3FC3">
        <w:tc>
          <w:tcPr>
            <w:cnfStyle w:val="001000000000" w:firstRow="0" w:lastRow="0" w:firstColumn="1" w:lastColumn="0" w:oddVBand="0" w:evenVBand="0" w:oddHBand="0" w:evenHBand="0" w:firstRowFirstColumn="0" w:firstRowLastColumn="0" w:lastRowFirstColumn="0" w:lastRowLastColumn="0"/>
            <w:tcW w:w="8828" w:type="dxa"/>
            <w:gridSpan w:val="4"/>
          </w:tcPr>
          <w:p w14:paraId="4DE080C9" w14:textId="77777777" w:rsidR="001A3FC3" w:rsidRPr="00EA32BC" w:rsidRDefault="00C612D2">
            <w:pPr>
              <w:jc w:val="center"/>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Sello oficial o logotipo del sujeto obligado</w:t>
            </w:r>
          </w:p>
        </w:tc>
      </w:tr>
      <w:tr w:rsidR="00EA32BC" w:rsidRPr="00EA32BC" w14:paraId="6FA4F0DE" w14:textId="77777777" w:rsidTr="001A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0A02799" w14:textId="77777777" w:rsidR="001A3FC3" w:rsidRPr="00EA32BC" w:rsidRDefault="00C612D2">
            <w:pPr>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Fecha de clasificación</w:t>
            </w:r>
          </w:p>
        </w:tc>
        <w:tc>
          <w:tcPr>
            <w:tcW w:w="3421" w:type="dxa"/>
          </w:tcPr>
          <w:p w14:paraId="5B1C01A1"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5C7770A7"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Fecha de clasificación</w:t>
            </w:r>
          </w:p>
        </w:tc>
        <w:tc>
          <w:tcPr>
            <w:tcW w:w="3446" w:type="dxa"/>
          </w:tcPr>
          <w:p w14:paraId="6D299779"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A32BC" w:rsidRPr="00EA32BC" w14:paraId="064CBAE2" w14:textId="77777777" w:rsidTr="001A3FC3">
        <w:tc>
          <w:tcPr>
            <w:cnfStyle w:val="001000000000" w:firstRow="0" w:lastRow="0" w:firstColumn="1" w:lastColumn="0" w:oddVBand="0" w:evenVBand="0" w:oddHBand="0" w:evenHBand="0" w:firstRowFirstColumn="0" w:firstRowLastColumn="0" w:lastRowFirstColumn="0" w:lastRowLastColumn="0"/>
            <w:tcW w:w="993" w:type="dxa"/>
          </w:tcPr>
          <w:p w14:paraId="25B974DA" w14:textId="77777777" w:rsidR="001A3FC3" w:rsidRPr="00EA32BC" w:rsidRDefault="00C612D2">
            <w:pPr>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Área</w:t>
            </w:r>
          </w:p>
        </w:tc>
        <w:tc>
          <w:tcPr>
            <w:tcW w:w="3421" w:type="dxa"/>
          </w:tcPr>
          <w:p w14:paraId="56C4A0F1"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señalará el nombre del área del cual es titular quien clasifica.</w:t>
            </w:r>
          </w:p>
        </w:tc>
        <w:tc>
          <w:tcPr>
            <w:tcW w:w="968" w:type="dxa"/>
          </w:tcPr>
          <w:p w14:paraId="505F1DE8"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Área</w:t>
            </w:r>
          </w:p>
        </w:tc>
        <w:tc>
          <w:tcPr>
            <w:tcW w:w="3446" w:type="dxa"/>
          </w:tcPr>
          <w:p w14:paraId="6C0B3DBF"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señalará el nombre del área de la cual es el titular quien clasifica.</w:t>
            </w:r>
          </w:p>
        </w:tc>
      </w:tr>
      <w:tr w:rsidR="00EA32BC" w:rsidRPr="00EA32BC" w14:paraId="0248B8EC" w14:textId="77777777" w:rsidTr="001A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8AA1232" w14:textId="77777777" w:rsidR="001A3FC3" w:rsidRPr="00EA32BC" w:rsidRDefault="00C612D2">
            <w:pPr>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Información reservada</w:t>
            </w:r>
          </w:p>
        </w:tc>
        <w:tc>
          <w:tcPr>
            <w:tcW w:w="3421" w:type="dxa"/>
          </w:tcPr>
          <w:p w14:paraId="3F88D471"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7F4AC971"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Reservado</w:t>
            </w:r>
          </w:p>
        </w:tc>
        <w:tc>
          <w:tcPr>
            <w:tcW w:w="3446" w:type="dxa"/>
          </w:tcPr>
          <w:p w14:paraId="731EDE72"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Leyenda de información RESERVADA.</w:t>
            </w:r>
          </w:p>
        </w:tc>
      </w:tr>
      <w:tr w:rsidR="00EA32BC" w:rsidRPr="00EA32BC" w14:paraId="1E8E1973" w14:textId="77777777" w:rsidTr="001A3FC3">
        <w:tc>
          <w:tcPr>
            <w:cnfStyle w:val="001000000000" w:firstRow="0" w:lastRow="0" w:firstColumn="1" w:lastColumn="0" w:oddVBand="0" w:evenVBand="0" w:oddHBand="0" w:evenHBand="0" w:firstRowFirstColumn="0" w:firstRowLastColumn="0" w:lastRowFirstColumn="0" w:lastRowLastColumn="0"/>
            <w:tcW w:w="993" w:type="dxa"/>
          </w:tcPr>
          <w:p w14:paraId="3AEAF2CD" w14:textId="77777777" w:rsidR="001A3FC3" w:rsidRPr="00EA32BC" w:rsidRDefault="00C612D2">
            <w:pPr>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Fundamento legal</w:t>
            </w:r>
          </w:p>
        </w:tc>
        <w:tc>
          <w:tcPr>
            <w:tcW w:w="3421" w:type="dxa"/>
          </w:tcPr>
          <w:p w14:paraId="62717DBC"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6F18F48"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Periodo de reserva</w:t>
            </w:r>
          </w:p>
        </w:tc>
        <w:tc>
          <w:tcPr>
            <w:tcW w:w="3446" w:type="dxa"/>
          </w:tcPr>
          <w:p w14:paraId="6C128BE7"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A32BC" w:rsidRPr="00EA32BC" w14:paraId="60136EE5" w14:textId="77777777" w:rsidTr="001A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C73266C" w14:textId="77777777" w:rsidR="001A3FC3" w:rsidRPr="00EA32BC" w:rsidRDefault="00C612D2">
            <w:pPr>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lastRenderedPageBreak/>
              <w:t>Ampliación del periodo de reserva</w:t>
            </w:r>
          </w:p>
        </w:tc>
        <w:tc>
          <w:tcPr>
            <w:tcW w:w="3421" w:type="dxa"/>
          </w:tcPr>
          <w:p w14:paraId="7895C84F"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5327F0E"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Fundamento legal</w:t>
            </w:r>
          </w:p>
        </w:tc>
        <w:tc>
          <w:tcPr>
            <w:tcW w:w="3446" w:type="dxa"/>
          </w:tcPr>
          <w:p w14:paraId="1D40F569"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A32BC" w:rsidRPr="00EA32BC" w14:paraId="7FF1F95A" w14:textId="77777777" w:rsidTr="001A3FC3">
        <w:tc>
          <w:tcPr>
            <w:cnfStyle w:val="001000000000" w:firstRow="0" w:lastRow="0" w:firstColumn="1" w:lastColumn="0" w:oddVBand="0" w:evenVBand="0" w:oddHBand="0" w:evenHBand="0" w:firstRowFirstColumn="0" w:firstRowLastColumn="0" w:lastRowFirstColumn="0" w:lastRowLastColumn="0"/>
            <w:tcW w:w="993" w:type="dxa"/>
          </w:tcPr>
          <w:p w14:paraId="64923868" w14:textId="77777777" w:rsidR="001A3FC3" w:rsidRPr="00EA32BC" w:rsidRDefault="00C612D2">
            <w:pPr>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Confidencial</w:t>
            </w:r>
          </w:p>
        </w:tc>
        <w:tc>
          <w:tcPr>
            <w:tcW w:w="3421" w:type="dxa"/>
          </w:tcPr>
          <w:p w14:paraId="588AD93A"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61BC720A"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Ampliación del periodo de reserva</w:t>
            </w:r>
          </w:p>
        </w:tc>
        <w:tc>
          <w:tcPr>
            <w:tcW w:w="3446" w:type="dxa"/>
          </w:tcPr>
          <w:p w14:paraId="156FE006"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A32BC" w:rsidRPr="00EA32BC" w14:paraId="429ED6AE" w14:textId="77777777" w:rsidTr="001A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0F7F439" w14:textId="77777777" w:rsidR="001A3FC3" w:rsidRPr="00EA32BC" w:rsidRDefault="00C612D2">
            <w:pPr>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Fundamento legal</w:t>
            </w:r>
          </w:p>
        </w:tc>
        <w:tc>
          <w:tcPr>
            <w:tcW w:w="3421" w:type="dxa"/>
          </w:tcPr>
          <w:p w14:paraId="4360F25E"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793EDACF"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Confidencial</w:t>
            </w:r>
          </w:p>
        </w:tc>
        <w:tc>
          <w:tcPr>
            <w:tcW w:w="3446" w:type="dxa"/>
          </w:tcPr>
          <w:p w14:paraId="7B5D3A9F"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Leyenda de información CONFIDENCIAL.</w:t>
            </w:r>
          </w:p>
        </w:tc>
      </w:tr>
      <w:tr w:rsidR="00EA32BC" w:rsidRPr="00EA32BC" w14:paraId="1560A500" w14:textId="77777777" w:rsidTr="001A3FC3">
        <w:tc>
          <w:tcPr>
            <w:cnfStyle w:val="001000000000" w:firstRow="0" w:lastRow="0" w:firstColumn="1" w:lastColumn="0" w:oddVBand="0" w:evenVBand="0" w:oddHBand="0" w:evenHBand="0" w:firstRowFirstColumn="0" w:firstRowLastColumn="0" w:lastRowFirstColumn="0" w:lastRowLastColumn="0"/>
            <w:tcW w:w="993" w:type="dxa"/>
          </w:tcPr>
          <w:p w14:paraId="629EA0DC" w14:textId="77777777" w:rsidR="001A3FC3" w:rsidRPr="00EA32BC" w:rsidRDefault="00C612D2">
            <w:pPr>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Rúbrica del titular del área</w:t>
            </w:r>
          </w:p>
        </w:tc>
        <w:tc>
          <w:tcPr>
            <w:tcW w:w="3421" w:type="dxa"/>
          </w:tcPr>
          <w:p w14:paraId="7A8DF4FB"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Rúbrica autógrafa de quien clasifica.</w:t>
            </w:r>
          </w:p>
        </w:tc>
        <w:tc>
          <w:tcPr>
            <w:tcW w:w="968" w:type="dxa"/>
          </w:tcPr>
          <w:p w14:paraId="32FC31F4"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Fundamento legal</w:t>
            </w:r>
          </w:p>
        </w:tc>
        <w:tc>
          <w:tcPr>
            <w:tcW w:w="3446" w:type="dxa"/>
          </w:tcPr>
          <w:p w14:paraId="10151F5B"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A32BC" w:rsidRPr="00EA32BC" w14:paraId="01C6B187" w14:textId="77777777" w:rsidTr="001A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7A6BAA8" w14:textId="77777777" w:rsidR="001A3FC3" w:rsidRPr="00EA32BC" w:rsidRDefault="00C612D2">
            <w:pPr>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Fecha de desclasificación</w:t>
            </w:r>
          </w:p>
        </w:tc>
        <w:tc>
          <w:tcPr>
            <w:tcW w:w="3421" w:type="dxa"/>
          </w:tcPr>
          <w:p w14:paraId="125387B7"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anotará la fecha en que se desclasifica el documento.</w:t>
            </w:r>
          </w:p>
        </w:tc>
        <w:tc>
          <w:tcPr>
            <w:tcW w:w="968" w:type="dxa"/>
          </w:tcPr>
          <w:p w14:paraId="298A324D"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Rúbrica del titular del área</w:t>
            </w:r>
          </w:p>
        </w:tc>
        <w:tc>
          <w:tcPr>
            <w:tcW w:w="3446" w:type="dxa"/>
          </w:tcPr>
          <w:p w14:paraId="35B87E01"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Rúbrica autógrafa de quien clasifica.</w:t>
            </w:r>
          </w:p>
        </w:tc>
      </w:tr>
      <w:tr w:rsidR="00EA32BC" w:rsidRPr="00EA32BC" w14:paraId="177B5D46" w14:textId="77777777" w:rsidTr="001A3FC3">
        <w:tc>
          <w:tcPr>
            <w:cnfStyle w:val="001000000000" w:firstRow="0" w:lastRow="0" w:firstColumn="1" w:lastColumn="0" w:oddVBand="0" w:evenVBand="0" w:oddHBand="0" w:evenHBand="0" w:firstRowFirstColumn="0" w:firstRowLastColumn="0" w:lastRowFirstColumn="0" w:lastRowLastColumn="0"/>
            <w:tcW w:w="993" w:type="dxa"/>
          </w:tcPr>
          <w:p w14:paraId="3E952E42" w14:textId="77777777" w:rsidR="001A3FC3" w:rsidRPr="00EA32BC" w:rsidRDefault="00C612D2">
            <w:pPr>
              <w:jc w:val="both"/>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Rúbrica y cargo del servidor público</w:t>
            </w:r>
          </w:p>
        </w:tc>
        <w:tc>
          <w:tcPr>
            <w:tcW w:w="3421" w:type="dxa"/>
          </w:tcPr>
          <w:p w14:paraId="7C1C65E1"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Rúbrica autógrafa de quien desclasifica.</w:t>
            </w:r>
          </w:p>
        </w:tc>
        <w:tc>
          <w:tcPr>
            <w:tcW w:w="968" w:type="dxa"/>
          </w:tcPr>
          <w:p w14:paraId="687D59A7"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Fecha de desclasificación</w:t>
            </w:r>
          </w:p>
        </w:tc>
        <w:tc>
          <w:tcPr>
            <w:tcW w:w="3446" w:type="dxa"/>
          </w:tcPr>
          <w:p w14:paraId="2BE551AE"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Se anotará la fecha en que se desclasifica.</w:t>
            </w:r>
          </w:p>
        </w:tc>
      </w:tr>
      <w:tr w:rsidR="00EA32BC" w:rsidRPr="00EA32BC" w14:paraId="5BB31C04" w14:textId="77777777" w:rsidTr="001A3F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2B610D5" w14:textId="77777777" w:rsidR="001A3FC3" w:rsidRPr="00EA32BC" w:rsidRDefault="001A3FC3">
            <w:pPr>
              <w:jc w:val="both"/>
              <w:rPr>
                <w:rFonts w:ascii="Palatino Linotype" w:eastAsia="Palatino Linotype" w:hAnsi="Palatino Linotype" w:cs="Palatino Linotype"/>
                <w:sz w:val="12"/>
                <w:szCs w:val="12"/>
              </w:rPr>
            </w:pPr>
          </w:p>
        </w:tc>
        <w:tc>
          <w:tcPr>
            <w:tcW w:w="3421" w:type="dxa"/>
          </w:tcPr>
          <w:p w14:paraId="4DB0A361" w14:textId="77777777" w:rsidR="001A3FC3" w:rsidRPr="00EA32BC" w:rsidRDefault="001A3FC3">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0C789E94"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Partes o secciones reservadas o confidenciales</w:t>
            </w:r>
          </w:p>
        </w:tc>
        <w:tc>
          <w:tcPr>
            <w:tcW w:w="3446" w:type="dxa"/>
          </w:tcPr>
          <w:p w14:paraId="0A683B2E" w14:textId="77777777" w:rsidR="001A3FC3" w:rsidRPr="00EA32BC" w:rsidRDefault="00C612D2">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EA32BC" w:rsidRPr="00EA32BC" w14:paraId="6EC6C09E" w14:textId="77777777" w:rsidTr="001A3FC3">
        <w:tc>
          <w:tcPr>
            <w:cnfStyle w:val="001000000000" w:firstRow="0" w:lastRow="0" w:firstColumn="1" w:lastColumn="0" w:oddVBand="0" w:evenVBand="0" w:oddHBand="0" w:evenHBand="0" w:firstRowFirstColumn="0" w:firstRowLastColumn="0" w:lastRowFirstColumn="0" w:lastRowLastColumn="0"/>
            <w:tcW w:w="993" w:type="dxa"/>
          </w:tcPr>
          <w:p w14:paraId="0146AA29" w14:textId="77777777" w:rsidR="001A3FC3" w:rsidRPr="00EA32BC" w:rsidRDefault="001A3FC3">
            <w:pPr>
              <w:jc w:val="both"/>
              <w:rPr>
                <w:rFonts w:ascii="Palatino Linotype" w:eastAsia="Palatino Linotype" w:hAnsi="Palatino Linotype" w:cs="Palatino Linotype"/>
                <w:sz w:val="12"/>
                <w:szCs w:val="12"/>
              </w:rPr>
            </w:pPr>
          </w:p>
        </w:tc>
        <w:tc>
          <w:tcPr>
            <w:tcW w:w="3421" w:type="dxa"/>
          </w:tcPr>
          <w:p w14:paraId="0EFA9F2B" w14:textId="77777777" w:rsidR="001A3FC3" w:rsidRPr="00EA32BC" w:rsidRDefault="001A3FC3">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14:paraId="3FB8F7E9"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sidRPr="00EA32BC">
              <w:rPr>
                <w:rFonts w:ascii="Palatino Linotype" w:eastAsia="Palatino Linotype" w:hAnsi="Palatino Linotype" w:cs="Palatino Linotype"/>
                <w:b/>
                <w:sz w:val="12"/>
                <w:szCs w:val="12"/>
              </w:rPr>
              <w:t>Rúbrica y cargo del servidor público</w:t>
            </w:r>
          </w:p>
        </w:tc>
        <w:tc>
          <w:tcPr>
            <w:tcW w:w="3446" w:type="dxa"/>
          </w:tcPr>
          <w:p w14:paraId="360B68F8" w14:textId="77777777" w:rsidR="001A3FC3" w:rsidRPr="00EA32BC" w:rsidRDefault="00C612D2">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sidRPr="00EA32BC">
              <w:rPr>
                <w:rFonts w:ascii="Palatino Linotype" w:eastAsia="Palatino Linotype" w:hAnsi="Palatino Linotype" w:cs="Palatino Linotype"/>
                <w:sz w:val="12"/>
                <w:szCs w:val="12"/>
              </w:rPr>
              <w:t>Rúbrica autógrafa de quien desclasifica.</w:t>
            </w:r>
          </w:p>
        </w:tc>
      </w:tr>
    </w:tbl>
    <w:p w14:paraId="59D85506" w14:textId="77777777" w:rsidR="001A3FC3" w:rsidRPr="00EA32BC" w:rsidRDefault="00C612D2">
      <w:pPr>
        <w:spacing w:before="240" w:after="240"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EA32BC">
        <w:rPr>
          <w:rFonts w:ascii="Palatino Linotype" w:eastAsia="Palatino Linotype" w:hAnsi="Palatino Linotype" w:cs="Palatino Linotype"/>
          <w:b/>
        </w:rPr>
        <w:t xml:space="preserve">Sujeto Obligado </w:t>
      </w:r>
      <w:r w:rsidRPr="00EA32BC">
        <w:rPr>
          <w:rFonts w:ascii="Palatino Linotype" w:eastAsia="Palatino Linotype" w:hAnsi="Palatino Linotype" w:cs="Palatino Linotype"/>
        </w:rPr>
        <w:t>entregue la información requerida.</w:t>
      </w:r>
    </w:p>
    <w:p w14:paraId="5B42A91C"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275E8086" w14:textId="77777777" w:rsidR="001A3FC3" w:rsidRPr="00EA32BC" w:rsidRDefault="00C612D2">
      <w:pPr>
        <w:numPr>
          <w:ilvl w:val="0"/>
          <w:numId w:val="1"/>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EA32BC">
        <w:rPr>
          <w:rFonts w:ascii="Palatino Linotype" w:eastAsia="Palatino Linotype" w:hAnsi="Palatino Linotype" w:cs="Palatino Linotype"/>
          <w:b/>
        </w:rPr>
        <w:t>R E S U E L V E</w:t>
      </w:r>
    </w:p>
    <w:p w14:paraId="6F7556FD"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b/>
        </w:rPr>
        <w:t>Primero</w:t>
      </w:r>
      <w:r w:rsidRPr="00EA32BC">
        <w:rPr>
          <w:rFonts w:ascii="Palatino Linotype" w:eastAsia="Palatino Linotype" w:hAnsi="Palatino Linotype" w:cs="Palatino Linotype"/>
        </w:rPr>
        <w:t xml:space="preserve">. Resulta </w:t>
      </w:r>
      <w:r w:rsidRPr="00EA32BC">
        <w:rPr>
          <w:rFonts w:ascii="Palatino Linotype" w:eastAsia="Palatino Linotype" w:hAnsi="Palatino Linotype" w:cs="Palatino Linotype"/>
          <w:b/>
        </w:rPr>
        <w:t>fundado</w:t>
      </w:r>
      <w:r w:rsidRPr="00EA32BC">
        <w:rPr>
          <w:rFonts w:ascii="Palatino Linotype" w:eastAsia="Palatino Linotype" w:hAnsi="Palatino Linotype" w:cs="Palatino Linotype"/>
        </w:rPr>
        <w:t xml:space="preserve"> el motivo de inconformidad planteado por </w:t>
      </w:r>
      <w:r w:rsidRPr="00EA32BC">
        <w:rPr>
          <w:rFonts w:ascii="Palatino Linotype" w:eastAsia="Palatino Linotype" w:hAnsi="Palatino Linotype" w:cs="Palatino Linotype"/>
          <w:b/>
        </w:rPr>
        <w:t>el Recurrente</w:t>
      </w:r>
      <w:r w:rsidRPr="00EA32BC">
        <w:rPr>
          <w:rFonts w:ascii="Palatino Linotype" w:eastAsia="Palatino Linotype" w:hAnsi="Palatino Linotype" w:cs="Palatino Linotype"/>
          <w:b/>
          <w:i/>
        </w:rPr>
        <w:t xml:space="preserve"> </w:t>
      </w:r>
      <w:r w:rsidRPr="00EA32BC">
        <w:rPr>
          <w:rFonts w:ascii="Palatino Linotype" w:eastAsia="Palatino Linotype" w:hAnsi="Palatino Linotype" w:cs="Palatino Linotype"/>
        </w:rPr>
        <w:t xml:space="preserve">en el recurso de revisión </w:t>
      </w:r>
      <w:r w:rsidRPr="00EA32BC">
        <w:rPr>
          <w:rFonts w:ascii="Palatino Linotype" w:eastAsia="Palatino Linotype" w:hAnsi="Palatino Linotype" w:cs="Palatino Linotype"/>
          <w:b/>
        </w:rPr>
        <w:t>12454/INFOEM/IP/RR/2022</w:t>
      </w:r>
      <w:r w:rsidRPr="00EA32BC">
        <w:rPr>
          <w:rFonts w:ascii="Palatino Linotype" w:eastAsia="Palatino Linotype" w:hAnsi="Palatino Linotype" w:cs="Palatino Linotype"/>
        </w:rPr>
        <w:t xml:space="preserve">, por lo que, en términos del </w:t>
      </w:r>
      <w:r w:rsidRPr="00EA32BC">
        <w:rPr>
          <w:rFonts w:ascii="Palatino Linotype" w:eastAsia="Palatino Linotype" w:hAnsi="Palatino Linotype" w:cs="Palatino Linotype"/>
          <w:b/>
        </w:rPr>
        <w:lastRenderedPageBreak/>
        <w:t>Considerando Cuarto</w:t>
      </w:r>
      <w:r w:rsidRPr="00EA32BC">
        <w:rPr>
          <w:rFonts w:ascii="Palatino Linotype" w:eastAsia="Palatino Linotype" w:hAnsi="Palatino Linotype" w:cs="Palatino Linotype"/>
        </w:rPr>
        <w:t xml:space="preserve"> de la presente resolución, se </w:t>
      </w:r>
      <w:r w:rsidRPr="00EA32BC">
        <w:rPr>
          <w:rFonts w:ascii="Palatino Linotype" w:eastAsia="Palatino Linotype" w:hAnsi="Palatino Linotype" w:cs="Palatino Linotype"/>
          <w:b/>
        </w:rPr>
        <w:t>MODIFICA</w:t>
      </w:r>
      <w:r w:rsidRPr="00EA32BC">
        <w:rPr>
          <w:rFonts w:ascii="Palatino Linotype" w:eastAsia="Palatino Linotype" w:hAnsi="Palatino Linotype" w:cs="Palatino Linotype"/>
        </w:rPr>
        <w:t xml:space="preserve"> la respuesta emitida por el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w:t>
      </w:r>
    </w:p>
    <w:p w14:paraId="03971E9A" w14:textId="77777777" w:rsidR="001A3FC3" w:rsidRPr="00EA32BC" w:rsidRDefault="00C612D2">
      <w:pPr>
        <w:spacing w:before="240" w:after="240" w:line="360" w:lineRule="auto"/>
        <w:ind w:right="49"/>
        <w:jc w:val="both"/>
        <w:rPr>
          <w:rFonts w:ascii="Palatino Linotype" w:eastAsia="Palatino Linotype" w:hAnsi="Palatino Linotype" w:cs="Palatino Linotype"/>
        </w:rPr>
      </w:pPr>
      <w:r w:rsidRPr="00EA32BC">
        <w:rPr>
          <w:rFonts w:ascii="Palatino Linotype" w:eastAsia="Palatino Linotype" w:hAnsi="Palatino Linotype" w:cs="Palatino Linotype"/>
          <w:b/>
        </w:rPr>
        <w:t>Segundo.</w:t>
      </w:r>
      <w:r w:rsidRPr="00EA32BC">
        <w:rPr>
          <w:rFonts w:ascii="Palatino Linotype" w:eastAsia="Palatino Linotype" w:hAnsi="Palatino Linotype" w:cs="Palatino Linotype"/>
          <w:b/>
          <w:sz w:val="28"/>
          <w:szCs w:val="28"/>
        </w:rPr>
        <w:t xml:space="preserve"> </w:t>
      </w:r>
      <w:r w:rsidRPr="00EA32BC">
        <w:rPr>
          <w:rFonts w:ascii="Palatino Linotype" w:eastAsia="Palatino Linotype" w:hAnsi="Palatino Linotype" w:cs="Palatino Linotype"/>
        </w:rPr>
        <w:t>Se</w:t>
      </w:r>
      <w:r w:rsidRPr="00EA32BC">
        <w:rPr>
          <w:rFonts w:ascii="Palatino Linotype" w:eastAsia="Palatino Linotype" w:hAnsi="Palatino Linotype" w:cs="Palatino Linotype"/>
          <w:b/>
        </w:rPr>
        <w:t xml:space="preserve"> ORDENA </w:t>
      </w:r>
      <w:r w:rsidRPr="00EA32BC">
        <w:rPr>
          <w:rFonts w:ascii="Palatino Linotype" w:eastAsia="Palatino Linotype" w:hAnsi="Palatino Linotype" w:cs="Palatino Linotype"/>
        </w:rPr>
        <w:t xml:space="preserve">al </w:t>
      </w:r>
      <w:r w:rsidRPr="00EA32BC">
        <w:rPr>
          <w:rFonts w:ascii="Palatino Linotype" w:eastAsia="Palatino Linotype" w:hAnsi="Palatino Linotype" w:cs="Palatino Linotype"/>
          <w:b/>
        </w:rPr>
        <w:t>Sujeto Obligado</w:t>
      </w:r>
      <w:r w:rsidRPr="00EA32BC">
        <w:rPr>
          <w:rFonts w:ascii="Palatino Linotype" w:eastAsia="Palatino Linotype" w:hAnsi="Palatino Linotype" w:cs="Palatino Linotype"/>
        </w:rPr>
        <w:t xml:space="preserve"> que en términos de los </w:t>
      </w:r>
      <w:r w:rsidRPr="00EA32BC">
        <w:rPr>
          <w:rFonts w:ascii="Palatino Linotype" w:eastAsia="Palatino Linotype" w:hAnsi="Palatino Linotype" w:cs="Palatino Linotype"/>
          <w:b/>
        </w:rPr>
        <w:t xml:space="preserve">Considerandos Cuarto y Quinto </w:t>
      </w:r>
      <w:r w:rsidRPr="00EA32BC">
        <w:rPr>
          <w:rFonts w:ascii="Palatino Linotype" w:eastAsia="Palatino Linotype" w:hAnsi="Palatino Linotype" w:cs="Palatino Linotype"/>
        </w:rPr>
        <w:t xml:space="preserve">de esta resolución </w:t>
      </w:r>
      <w:r w:rsidRPr="00EA32BC">
        <w:rPr>
          <w:rFonts w:ascii="Palatino Linotype" w:eastAsia="Palatino Linotype" w:hAnsi="Palatino Linotype" w:cs="Palatino Linotype"/>
          <w:b/>
        </w:rPr>
        <w:t>haga entrega al Recurrente</w:t>
      </w:r>
      <w:r w:rsidRPr="00EA32BC">
        <w:rPr>
          <w:rFonts w:ascii="Palatino Linotype" w:eastAsia="Palatino Linotype" w:hAnsi="Palatino Linotype" w:cs="Palatino Linotype"/>
        </w:rPr>
        <w:t xml:space="preserve"> a través del </w:t>
      </w:r>
      <w:r w:rsidRPr="00EA32BC">
        <w:rPr>
          <w:rFonts w:ascii="Palatino Linotype" w:eastAsia="Palatino Linotype" w:hAnsi="Palatino Linotype" w:cs="Palatino Linotype"/>
          <w:b/>
        </w:rPr>
        <w:t>SAIMEX, previa búsqueda exhaustiva y razonable y en versión publica lo siguiente</w:t>
      </w:r>
      <w:r w:rsidRPr="00EA32BC">
        <w:rPr>
          <w:rFonts w:ascii="Palatino Linotype" w:eastAsia="Palatino Linotype" w:hAnsi="Palatino Linotype" w:cs="Palatino Linotype"/>
        </w:rPr>
        <w:t>:</w:t>
      </w:r>
    </w:p>
    <w:p w14:paraId="577DA2A1"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1.- Los convenios con los medios de comunicación, signados durante el periodo del primero de enero al treinta de mayo de dos mil veintidós.</w:t>
      </w:r>
    </w:p>
    <w:p w14:paraId="09D4EC88"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p>
    <w:p w14:paraId="4882E26A"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2.- Actas de las sesiones de Comisión de Transparencia, Acceso a la Información Pública y Protección de Datos Personales faltantes, generadas del veinticinco de enero al treinta de mayo de dos mil veintidós.</w:t>
      </w:r>
    </w:p>
    <w:p w14:paraId="6034E182"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p>
    <w:p w14:paraId="67BC32BB"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3.- Recibos de nómina de la primera quincena del 2022, del personal adscrito a la segunda sindicatura y de las áreas faltantes de la Contraloría Municipal, como son: Departamento Resolutor de Responsabilidades Administrativas, Dirección de Investigación Responsabilidades Administrativas, Departamento de Auditoria Financiera y Dirección de Auditoria.</w:t>
      </w:r>
    </w:p>
    <w:p w14:paraId="39F32F76"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p>
    <w:p w14:paraId="4170A18D"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 xml:space="preserve">4.- Recibos de nómina de la novena quincena del 2022, del personal adscrito a las sindicaturas y la Contraloría Municipal. </w:t>
      </w:r>
    </w:p>
    <w:p w14:paraId="18F27657"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p>
    <w:p w14:paraId="28B2B276"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5.- Recibos de nómina de la segunda quincena del mes de abril del año 2022, de los servidores públicos adscritos a la Unidad de Transparencia.</w:t>
      </w:r>
    </w:p>
    <w:p w14:paraId="6A751DF3"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p>
    <w:p w14:paraId="2A0ADF40"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6.- Fotografías de las sesiones del comité de transparencia, generadas del 1 de enero al 30 de mayo de 2022.</w:t>
      </w:r>
    </w:p>
    <w:p w14:paraId="7E236A45"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p>
    <w:p w14:paraId="2FB0D8F8" w14:textId="77777777" w:rsidR="00830376" w:rsidRPr="00EA32BC" w:rsidRDefault="00830376" w:rsidP="00830376">
      <w:pPr>
        <w:pBdr>
          <w:top w:val="nil"/>
          <w:left w:val="nil"/>
          <w:bottom w:val="nil"/>
          <w:right w:val="nil"/>
          <w:between w:val="nil"/>
        </w:pBdr>
        <w:ind w:left="567" w:right="851"/>
        <w:jc w:val="both"/>
        <w:rPr>
          <w:rFonts w:ascii="Palatino Linotype" w:eastAsia="Palatino Linotype" w:hAnsi="Palatino Linotype" w:cs="Palatino Linotype"/>
          <w:b/>
          <w:i/>
          <w:sz w:val="22"/>
          <w:szCs w:val="22"/>
        </w:rPr>
      </w:pPr>
      <w:r w:rsidRPr="00EA32BC">
        <w:rPr>
          <w:rFonts w:ascii="Palatino Linotype" w:eastAsia="Palatino Linotype" w:hAnsi="Palatino Linotype" w:cs="Palatino Linotype"/>
          <w:b/>
          <w:i/>
          <w:sz w:val="22"/>
          <w:szCs w:val="22"/>
        </w:rPr>
        <w:t>7.- Soporte documental que dé cuenta de las actividades de desarrolladas de todo el personal de Presidencia, Secretaría del Ayuntamiento, Contraloría, Sindicaturas y de las Regidurías faltantes, del 1 de enero al 30 de mayo del 2022.</w:t>
      </w:r>
    </w:p>
    <w:p w14:paraId="2E807E55" w14:textId="77777777" w:rsidR="001A3FC3" w:rsidRPr="00EA32BC" w:rsidRDefault="001A3FC3">
      <w:pPr>
        <w:pBdr>
          <w:top w:val="nil"/>
          <w:left w:val="nil"/>
          <w:bottom w:val="nil"/>
          <w:right w:val="nil"/>
          <w:between w:val="nil"/>
        </w:pBdr>
        <w:ind w:right="567"/>
        <w:jc w:val="both"/>
        <w:rPr>
          <w:rFonts w:ascii="Palatino Linotype" w:eastAsia="Palatino Linotype" w:hAnsi="Palatino Linotype" w:cs="Palatino Linotype"/>
          <w:b/>
          <w:i/>
        </w:rPr>
      </w:pPr>
    </w:p>
    <w:p w14:paraId="127B4D5C" w14:textId="77777777" w:rsidR="001A3FC3" w:rsidRPr="00EA32BC" w:rsidRDefault="00C612D2">
      <w:pPr>
        <w:ind w:left="567" w:right="709"/>
        <w:jc w:val="both"/>
        <w:rPr>
          <w:rFonts w:ascii="Palatino Linotype" w:eastAsia="Palatino Linotype" w:hAnsi="Palatino Linotype" w:cs="Palatino Linotype"/>
          <w:i/>
          <w:sz w:val="22"/>
          <w:szCs w:val="22"/>
        </w:rPr>
      </w:pPr>
      <w:bookmarkStart w:id="5" w:name="_heading=h.30j0zll" w:colFirst="0" w:colLast="0"/>
      <w:bookmarkEnd w:id="5"/>
      <w:r w:rsidRPr="00EA32BC">
        <w:rPr>
          <w:rFonts w:ascii="Palatino Linotype" w:eastAsia="Palatino Linotype" w:hAnsi="Palatino Linotype" w:cs="Palatino Linotype"/>
          <w:i/>
          <w:sz w:val="22"/>
          <w:szCs w:val="22"/>
        </w:rPr>
        <w:lastRenderedPageBreak/>
        <w:t xml:space="preserve">Para la entrega de los documentos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EA32BC">
        <w:rPr>
          <w:rFonts w:ascii="Palatino Linotype" w:eastAsia="Palatino Linotype" w:hAnsi="Palatino Linotype" w:cs="Palatino Linotype"/>
          <w:b/>
          <w:i/>
          <w:sz w:val="22"/>
          <w:szCs w:val="22"/>
        </w:rPr>
        <w:t>la parte</w:t>
      </w:r>
      <w:r w:rsidRPr="00EA32BC">
        <w:rPr>
          <w:rFonts w:ascii="Palatino Linotype" w:eastAsia="Palatino Linotype" w:hAnsi="Palatino Linotype" w:cs="Palatino Linotype"/>
          <w:i/>
          <w:sz w:val="22"/>
          <w:szCs w:val="22"/>
        </w:rPr>
        <w:t xml:space="preserve"> </w:t>
      </w:r>
      <w:r w:rsidRPr="00EA32BC">
        <w:rPr>
          <w:rFonts w:ascii="Palatino Linotype" w:eastAsia="Palatino Linotype" w:hAnsi="Palatino Linotype" w:cs="Palatino Linotype"/>
          <w:b/>
          <w:i/>
          <w:sz w:val="22"/>
          <w:szCs w:val="22"/>
        </w:rPr>
        <w:t>Recurrente</w:t>
      </w:r>
      <w:r w:rsidRPr="00EA32BC">
        <w:rPr>
          <w:rFonts w:ascii="Palatino Linotype" w:eastAsia="Palatino Linotype" w:hAnsi="Palatino Linotype" w:cs="Palatino Linotype"/>
          <w:i/>
          <w:sz w:val="22"/>
          <w:szCs w:val="22"/>
        </w:rPr>
        <w:t>.</w:t>
      </w:r>
    </w:p>
    <w:p w14:paraId="1F538B08" w14:textId="77777777" w:rsidR="001A3FC3" w:rsidRPr="00EA32BC" w:rsidRDefault="00C612D2">
      <w:pPr>
        <w:spacing w:before="240" w:after="240" w:line="276" w:lineRule="auto"/>
        <w:ind w:left="567" w:right="851"/>
        <w:jc w:val="both"/>
        <w:rPr>
          <w:rFonts w:ascii="Palatino Linotype" w:eastAsia="Palatino Linotype" w:hAnsi="Palatino Linotype" w:cs="Palatino Linotype"/>
          <w:i/>
          <w:sz w:val="22"/>
          <w:szCs w:val="22"/>
        </w:rPr>
      </w:pPr>
      <w:r w:rsidRPr="00EA32BC">
        <w:rPr>
          <w:rFonts w:ascii="Palatino Linotype" w:eastAsia="Palatino Linotype" w:hAnsi="Palatino Linotype" w:cs="Palatino Linotype"/>
          <w:i/>
          <w:sz w:val="22"/>
          <w:szCs w:val="22"/>
        </w:rPr>
        <w:t xml:space="preserve">En el supuesto que la información que se ordena entregar en los </w:t>
      </w:r>
      <w:r w:rsidR="00830376" w:rsidRPr="00EA32BC">
        <w:rPr>
          <w:rFonts w:ascii="Palatino Linotype" w:eastAsia="Palatino Linotype" w:hAnsi="Palatino Linotype" w:cs="Palatino Linotype"/>
          <w:i/>
          <w:sz w:val="22"/>
          <w:szCs w:val="22"/>
        </w:rPr>
        <w:t>numerales 1, 2 y 6</w:t>
      </w:r>
      <w:r w:rsidRPr="00EA32BC">
        <w:rPr>
          <w:rFonts w:ascii="Palatino Linotype" w:eastAsia="Palatino Linotype" w:hAnsi="Palatino Linotype" w:cs="Palatino Linotype"/>
          <w:i/>
          <w:sz w:val="22"/>
          <w:szCs w:val="22"/>
        </w:rPr>
        <w:t xml:space="preserve"> no obre en los archivos del </w:t>
      </w:r>
      <w:r w:rsidRPr="00EA32BC">
        <w:rPr>
          <w:rFonts w:ascii="Palatino Linotype" w:eastAsia="Palatino Linotype" w:hAnsi="Palatino Linotype" w:cs="Palatino Linotype"/>
          <w:b/>
          <w:i/>
          <w:sz w:val="22"/>
          <w:szCs w:val="22"/>
        </w:rPr>
        <w:t xml:space="preserve">Sujeto Obligado, </w:t>
      </w:r>
      <w:r w:rsidRPr="00EA32BC">
        <w:rPr>
          <w:rFonts w:ascii="Palatino Linotype" w:eastAsia="Palatino Linotype" w:hAnsi="Palatino Linotype" w:cs="Palatino Linotype"/>
          <w:i/>
          <w:sz w:val="22"/>
          <w:szCs w:val="22"/>
        </w:rPr>
        <w:t xml:space="preserve">por no haberse generado deberá hacerlo del conocimiento de la parte </w:t>
      </w:r>
      <w:r w:rsidRPr="00EA32BC">
        <w:rPr>
          <w:rFonts w:ascii="Palatino Linotype" w:eastAsia="Palatino Linotype" w:hAnsi="Palatino Linotype" w:cs="Palatino Linotype"/>
          <w:b/>
          <w:i/>
          <w:sz w:val="22"/>
          <w:szCs w:val="22"/>
        </w:rPr>
        <w:t>Recurrente</w:t>
      </w:r>
      <w:r w:rsidRPr="00EA32BC">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630965C1"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b/>
        </w:rPr>
        <w:t>Tercero.</w:t>
      </w:r>
      <w:r w:rsidRPr="00EA32BC">
        <w:rPr>
          <w:rFonts w:ascii="Palatino Linotype" w:eastAsia="Palatino Linotype" w:hAnsi="Palatino Linotype" w:cs="Palatino Linotype"/>
          <w:b/>
          <w:sz w:val="28"/>
          <w:szCs w:val="28"/>
        </w:rPr>
        <w:t xml:space="preserve">  </w:t>
      </w:r>
      <w:r w:rsidRPr="00EA32BC">
        <w:rPr>
          <w:rFonts w:ascii="Palatino Linotype" w:eastAsia="Palatino Linotype" w:hAnsi="Palatino Linotype" w:cs="Palatino Linotype"/>
          <w:b/>
        </w:rPr>
        <w:t>Notifíquese,</w:t>
      </w:r>
      <w:r w:rsidRPr="00EA32BC">
        <w:rPr>
          <w:rFonts w:ascii="Palatino Linotype" w:eastAsia="Palatino Linotype" w:hAnsi="Palatino Linotype" w:cs="Palatino Linotype"/>
          <w:b/>
          <w:sz w:val="28"/>
          <w:szCs w:val="28"/>
        </w:rPr>
        <w:t xml:space="preserve"> </w:t>
      </w:r>
      <w:r w:rsidRPr="00EA32BC">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A9191A0"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b/>
        </w:rPr>
        <w:t>Cuarto.</w:t>
      </w:r>
      <w:r w:rsidRPr="00EA32BC">
        <w:rPr>
          <w:rFonts w:ascii="Palatino Linotype" w:eastAsia="Palatino Linotype" w:hAnsi="Palatino Linotype" w:cs="Palatino Linotype"/>
          <w:b/>
          <w:sz w:val="28"/>
          <w:szCs w:val="28"/>
        </w:rPr>
        <w:t xml:space="preserve"> </w:t>
      </w:r>
      <w:r w:rsidRPr="00EA32BC">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D8C9246" w14:textId="77777777" w:rsidR="001A3FC3" w:rsidRPr="00EA32BC" w:rsidRDefault="00C612D2">
      <w:pPr>
        <w:spacing w:before="240" w:after="240" w:line="360" w:lineRule="auto"/>
        <w:jc w:val="both"/>
        <w:rPr>
          <w:rFonts w:ascii="Palatino Linotype" w:eastAsia="Palatino Linotype" w:hAnsi="Palatino Linotype" w:cs="Palatino Linotype"/>
        </w:rPr>
      </w:pPr>
      <w:r w:rsidRPr="00EA32BC">
        <w:rPr>
          <w:rFonts w:ascii="Palatino Linotype" w:eastAsia="Palatino Linotype" w:hAnsi="Palatino Linotype" w:cs="Palatino Linotype"/>
          <w:b/>
        </w:rPr>
        <w:t xml:space="preserve">Quinto. Notifíquese, </w:t>
      </w:r>
      <w:r w:rsidR="00830376" w:rsidRPr="00EA32BC">
        <w:rPr>
          <w:rFonts w:ascii="Palatino Linotype" w:eastAsia="Palatino Linotype" w:hAnsi="Palatino Linotype" w:cs="Palatino Linotype"/>
        </w:rPr>
        <w:t>a</w:t>
      </w:r>
      <w:r w:rsidR="00830376" w:rsidRPr="00EA32BC">
        <w:rPr>
          <w:rFonts w:ascii="Palatino Linotype" w:eastAsia="Palatino Linotype" w:hAnsi="Palatino Linotype" w:cs="Palatino Linotype"/>
          <w:b/>
        </w:rPr>
        <w:t>l</w:t>
      </w:r>
      <w:r w:rsidRPr="00EA32BC">
        <w:rPr>
          <w:rFonts w:ascii="Palatino Linotype" w:eastAsia="Palatino Linotype" w:hAnsi="Palatino Linotype" w:cs="Palatino Linotype"/>
          <w:b/>
        </w:rPr>
        <w:t xml:space="preserve"> Recurrente</w:t>
      </w:r>
      <w:r w:rsidRPr="00EA32BC">
        <w:rPr>
          <w:rFonts w:ascii="Palatino Linotype" w:eastAsia="Palatino Linotype" w:hAnsi="Palatino Linotype" w:cs="Palatino Linotype"/>
        </w:rPr>
        <w:t xml:space="preserve"> </w:t>
      </w:r>
      <w:r w:rsidRPr="00EA32BC">
        <w:rPr>
          <w:rFonts w:ascii="Palatino Linotype" w:eastAsia="Palatino Linotype" w:hAnsi="Palatino Linotype" w:cs="Palatino Linotype"/>
          <w:b/>
        </w:rPr>
        <w:t xml:space="preserve">vía SAIMEX </w:t>
      </w:r>
      <w:r w:rsidRPr="00EA32BC">
        <w:rPr>
          <w:rFonts w:ascii="Palatino Linotype" w:eastAsia="Palatino Linotype" w:hAnsi="Palatino Linotype" w:cs="Palatino Linotype"/>
        </w:rPr>
        <w:t xml:space="preserve">la presente resolución, así como que podrá impugnarla vía </w:t>
      </w:r>
      <w:r w:rsidRPr="00EA32BC">
        <w:rPr>
          <w:rFonts w:ascii="Palatino Linotype" w:eastAsia="Palatino Linotype" w:hAnsi="Palatino Linotype" w:cs="Palatino Linotype"/>
          <w:b/>
        </w:rPr>
        <w:t>Juicio de Amparo</w:t>
      </w:r>
      <w:r w:rsidRPr="00EA32BC">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14:paraId="54D457AD" w14:textId="77777777" w:rsidR="001A3FC3" w:rsidRPr="00EA32BC" w:rsidRDefault="00C612D2">
      <w:pPr>
        <w:spacing w:before="240" w:after="240" w:line="360" w:lineRule="auto"/>
        <w:jc w:val="both"/>
        <w:rPr>
          <w:rFonts w:ascii="Palatino Linotype" w:eastAsia="Palatino Linotype" w:hAnsi="Palatino Linotype" w:cs="Palatino Linotype"/>
        </w:rPr>
        <w:sectPr w:rsidR="001A3FC3" w:rsidRPr="00EA32BC">
          <w:headerReference w:type="default" r:id="rId30"/>
          <w:footerReference w:type="default" r:id="rId31"/>
          <w:headerReference w:type="first" r:id="rId32"/>
          <w:footerReference w:type="first" r:id="rId33"/>
          <w:pgSz w:w="12240" w:h="15840"/>
          <w:pgMar w:top="1417" w:right="1750" w:bottom="1417" w:left="1701" w:header="709" w:footer="709" w:gutter="0"/>
          <w:pgNumType w:start="1"/>
          <w:cols w:space="720"/>
          <w:titlePg/>
        </w:sectPr>
      </w:pPr>
      <w:bookmarkStart w:id="6" w:name="_heading=h.gjdgxs" w:colFirst="0" w:colLast="0"/>
      <w:bookmarkEnd w:id="6"/>
      <w:r w:rsidRPr="00EA32BC">
        <w:rPr>
          <w:rFonts w:ascii="Palatino Linotype" w:eastAsia="Palatino Linotype" w:hAnsi="Palatino Linotype" w:cs="Palatino Linotype"/>
        </w:rPr>
        <w:t xml:space="preserve">ASÍ LO RESUELVE, POR UNANIMIDAD DE VOTOS, EL PLENO DEL INSTITUTO DE TRANSPARENCIA, ACCESO A LA INFORMACIÓN </w:t>
      </w:r>
      <w:r w:rsidRPr="00EA32BC">
        <w:rPr>
          <w:rFonts w:ascii="Palatino Linotype" w:eastAsia="Palatino Linotype" w:hAnsi="Palatino Linotype" w:cs="Palatino Linotype"/>
        </w:rPr>
        <w:lastRenderedPageBreak/>
        <w:t xml:space="preserve">PÚBLICA Y PROTECCIÓN DE DATOS PERSONALES DEL ESTADO DE MÉXICO Y MUNICIPIOS, CONFORMADO POR LOS COMISIONADOS JOSÉ MARTÍNEZ VILCHIS, MARÍA DEL ROSARIO MEJÍA AYALA, SHARON CRISTINA MORALES MARTÍNEZ, LUIS GUSTAVO PARRA NORIEGA Y GUADALUPE RAMÍREZ PEÑA; EN LA SEGUNDA SESIÓN ORDINARIA CELEBRADA EL DIECIOCHO DE ENERO DEL DOS MIL VEINTITRÉS, ANTE EL SECRETARIO </w:t>
      </w:r>
      <w:r w:rsidR="00975AE9" w:rsidRPr="00EA32BC">
        <w:rPr>
          <w:rFonts w:ascii="Palatino Linotype" w:eastAsia="Palatino Linotype" w:hAnsi="Palatino Linotype" w:cs="Palatino Linotype"/>
          <w:noProof/>
          <w:lang w:val="es-MX"/>
        </w:rPr>
        <mc:AlternateContent>
          <mc:Choice Requires="wps">
            <w:drawing>
              <wp:anchor distT="0" distB="0" distL="114300" distR="114300" simplePos="0" relativeHeight="251661312" behindDoc="0" locked="0" layoutInCell="1" allowOverlap="1" wp14:anchorId="032DEC95" wp14:editId="13D9B380">
                <wp:simplePos x="0" y="0"/>
                <wp:positionH relativeFrom="column">
                  <wp:posOffset>43814</wp:posOffset>
                </wp:positionH>
                <wp:positionV relativeFrom="paragraph">
                  <wp:posOffset>2048510</wp:posOffset>
                </wp:positionV>
                <wp:extent cx="5381625" cy="5600700"/>
                <wp:effectExtent l="38100" t="19050" r="66675" b="95250"/>
                <wp:wrapNone/>
                <wp:docPr id="1" name="Conector recto 1"/>
                <wp:cNvGraphicFramePr/>
                <a:graphic xmlns:a="http://schemas.openxmlformats.org/drawingml/2006/main">
                  <a:graphicData uri="http://schemas.microsoft.com/office/word/2010/wordprocessingShape">
                    <wps:wsp>
                      <wps:cNvCnPr/>
                      <wps:spPr>
                        <a:xfrm>
                          <a:off x="0" y="0"/>
                          <a:ext cx="5381625" cy="5600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B5E155"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45pt,161.3pt" to="427.2pt,6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" strokecolor="black [3200]" strokeweight="2pt">
                <v:shadow on="t" color="black" opacity="24903f" origin=",.5" offset="0,.55556mm"/>
              </v:line>
            </w:pict>
          </mc:Fallback>
        </mc:AlternateContent>
      </w:r>
      <w:r w:rsidRPr="00EA32BC">
        <w:rPr>
          <w:rFonts w:ascii="Palatino Linotype" w:eastAsia="Palatino Linotype" w:hAnsi="Palatino Linotype" w:cs="Palatino Linotype"/>
        </w:rPr>
        <w:t>TÉCNICO DEL PLENO, ALEXIS TAPIA RAMÍREZ.</w:t>
      </w:r>
    </w:p>
    <w:p w14:paraId="7134764A" w14:textId="77777777" w:rsidR="001A3FC3" w:rsidRPr="00EA32BC" w:rsidRDefault="001A3FC3">
      <w:pPr>
        <w:spacing w:before="240" w:after="240" w:line="360" w:lineRule="auto"/>
        <w:jc w:val="both"/>
        <w:rPr>
          <w:rFonts w:ascii="Palatino Linotype" w:eastAsia="Palatino Linotype" w:hAnsi="Palatino Linotype" w:cs="Palatino Linotype"/>
        </w:rPr>
      </w:pPr>
    </w:p>
    <w:sectPr w:rsidR="001A3FC3" w:rsidRPr="00EA32BC">
      <w:headerReference w:type="first" r:id="rId34"/>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068C1" w14:textId="77777777" w:rsidR="00681B3F" w:rsidRDefault="00681B3F">
      <w:r>
        <w:separator/>
      </w:r>
    </w:p>
  </w:endnote>
  <w:endnote w:type="continuationSeparator" w:id="0">
    <w:p w14:paraId="17372101" w14:textId="77777777" w:rsidR="00681B3F" w:rsidRDefault="00681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60117" w14:textId="77777777" w:rsidR="00681B3F" w:rsidRDefault="00681B3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760EC">
      <w:rPr>
        <w:rFonts w:ascii="Arial" w:eastAsia="Arial" w:hAnsi="Arial" w:cs="Arial"/>
        <w:b/>
        <w:noProof/>
        <w:color w:val="000000"/>
        <w:sz w:val="20"/>
        <w:szCs w:val="20"/>
      </w:rPr>
      <w:t>87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760EC">
      <w:rPr>
        <w:rFonts w:ascii="Arial" w:eastAsia="Arial" w:hAnsi="Arial" w:cs="Arial"/>
        <w:b/>
        <w:noProof/>
        <w:color w:val="000000"/>
        <w:sz w:val="20"/>
        <w:szCs w:val="20"/>
      </w:rPr>
      <w:t>88</w:t>
    </w:r>
    <w:r>
      <w:rPr>
        <w:rFonts w:ascii="Arial" w:eastAsia="Arial" w:hAnsi="Arial" w:cs="Arial"/>
        <w:b/>
        <w:color w:val="000000"/>
        <w:sz w:val="20"/>
        <w:szCs w:val="20"/>
      </w:rPr>
      <w:fldChar w:fldCharType="end"/>
    </w:r>
  </w:p>
  <w:p w14:paraId="33E4B110" w14:textId="77777777" w:rsidR="00681B3F" w:rsidRDefault="00681B3F">
    <w:pPr>
      <w:pBdr>
        <w:top w:val="nil"/>
        <w:left w:val="nil"/>
        <w:bottom w:val="nil"/>
        <w:right w:val="nil"/>
        <w:between w:val="nil"/>
      </w:pBdr>
      <w:tabs>
        <w:tab w:val="center" w:pos="4252"/>
        <w:tab w:val="right" w:pos="8504"/>
      </w:tabs>
      <w:rPr>
        <w:color w:val="000000"/>
      </w:rPr>
    </w:pPr>
  </w:p>
  <w:p w14:paraId="67698741" w14:textId="77777777" w:rsidR="00681B3F" w:rsidRDefault="00681B3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6ABED" w14:textId="77777777" w:rsidR="00681B3F" w:rsidRDefault="00681B3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760EC">
      <w:rPr>
        <w:rFonts w:ascii="Arial" w:eastAsia="Arial" w:hAnsi="Arial" w:cs="Arial"/>
        <w:b/>
        <w:noProof/>
        <w:color w:val="000000"/>
        <w:sz w:val="20"/>
        <w:szCs w:val="20"/>
      </w:rPr>
      <w:t>88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760EC">
      <w:rPr>
        <w:rFonts w:ascii="Arial" w:eastAsia="Arial" w:hAnsi="Arial" w:cs="Arial"/>
        <w:b/>
        <w:noProof/>
        <w:color w:val="000000"/>
        <w:sz w:val="20"/>
        <w:szCs w:val="20"/>
      </w:rPr>
      <w:t>88</w:t>
    </w:r>
    <w:r>
      <w:rPr>
        <w:rFonts w:ascii="Arial" w:eastAsia="Arial" w:hAnsi="Arial" w:cs="Arial"/>
        <w:b/>
        <w:color w:val="000000"/>
        <w:sz w:val="20"/>
        <w:szCs w:val="20"/>
      </w:rPr>
      <w:fldChar w:fldCharType="end"/>
    </w:r>
  </w:p>
  <w:p w14:paraId="695E9B6E" w14:textId="77777777" w:rsidR="00681B3F" w:rsidRDefault="00681B3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4111C" w14:textId="77777777" w:rsidR="00681B3F" w:rsidRDefault="00681B3F">
      <w:r>
        <w:separator/>
      </w:r>
    </w:p>
  </w:footnote>
  <w:footnote w:type="continuationSeparator" w:id="0">
    <w:p w14:paraId="73BB4048" w14:textId="77777777" w:rsidR="00681B3F" w:rsidRDefault="00681B3F">
      <w:r>
        <w:continuationSeparator/>
      </w:r>
    </w:p>
  </w:footnote>
  <w:footnote w:id="1">
    <w:p w14:paraId="0F8BBC70" w14:textId="77777777" w:rsidR="00681B3F" w:rsidRDefault="00681B3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hyperlink r:id="rId1">
        <w:r>
          <w:rPr>
            <w:rFonts w:ascii="Palatino Linotype" w:eastAsia="Palatino Linotype" w:hAnsi="Palatino Linotype" w:cs="Palatino Linotype"/>
            <w:color w:val="0000FF"/>
            <w:sz w:val="16"/>
            <w:szCs w:val="16"/>
            <w:u w:val="single"/>
          </w:rPr>
          <w:t>https://www.osfem.gob.mx/04_Iconografia/Ent_Fisc/Doc_Apoy/Doc_Apoy.html</w:t>
        </w:r>
      </w:hyperlink>
    </w:p>
  </w:footnote>
  <w:footnote w:id="2">
    <w:p w14:paraId="7EC8D1E7" w14:textId="77777777" w:rsidR="00681B3F" w:rsidRDefault="00681B3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29...</w:t>
      </w:r>
    </w:p>
    <w:p w14:paraId="7929741D" w14:textId="77777777" w:rsidR="00681B3F" w:rsidRDefault="00681B3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Los contribuyentes a que se refiere el párrafo anterior deberán cumplir con las obligaciones siguientes:</w:t>
      </w:r>
    </w:p>
    <w:p w14:paraId="46587DA3" w14:textId="77777777" w:rsidR="00681B3F" w:rsidRDefault="00681B3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VI. Cumplir con las especificaciones que en materia de informática determine el Servicio de Administración Tributaria mediante reglas de carácter general. </w:t>
      </w:r>
    </w:p>
    <w:p w14:paraId="4BD8AEDB" w14:textId="77777777" w:rsidR="00681B3F" w:rsidRDefault="00681B3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En el caso de las devoluciones, descuentos o bonificaciones a que se refiere el artículo 25 de la Ley del Impuesto sobre la Renta, se deberán expedir comprobantes fiscales digitales por Internet. </w:t>
      </w:r>
    </w:p>
    <w:p w14:paraId="52B8DCD4" w14:textId="77777777" w:rsidR="00681B3F" w:rsidRDefault="00681B3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footnote>
  <w:footnote w:id="3">
    <w:p w14:paraId="18FC7F9E" w14:textId="77777777" w:rsidR="00681B3F" w:rsidRDefault="00681B3F">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3848A" w14:textId="77777777" w:rsidR="00681B3F" w:rsidRDefault="00681B3F">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AA8076F" wp14:editId="7B3217CB">
          <wp:simplePos x="0" y="0"/>
          <wp:positionH relativeFrom="column">
            <wp:posOffset>-943608</wp:posOffset>
          </wp:positionH>
          <wp:positionV relativeFrom="paragraph">
            <wp:posOffset>-309878</wp:posOffset>
          </wp:positionV>
          <wp:extent cx="7635600" cy="9943200"/>
          <wp:effectExtent l="0" t="0" r="0" b="0"/>
          <wp:wrapNone/>
          <wp:docPr id="8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a"/>
      <w:tblW w:w="6240" w:type="dxa"/>
      <w:tblInd w:w="3746" w:type="dxa"/>
      <w:tblLayout w:type="fixed"/>
      <w:tblLook w:val="0400" w:firstRow="0" w:lastRow="0" w:firstColumn="0" w:lastColumn="0" w:noHBand="0" w:noVBand="1"/>
    </w:tblPr>
    <w:tblGrid>
      <w:gridCol w:w="2553"/>
      <w:gridCol w:w="3687"/>
    </w:tblGrid>
    <w:tr w:rsidR="00681B3F" w14:paraId="7FCCF738" w14:textId="77777777">
      <w:tc>
        <w:tcPr>
          <w:tcW w:w="2553" w:type="dxa"/>
          <w:vAlign w:val="center"/>
        </w:tcPr>
        <w:p w14:paraId="71F07A05" w14:textId="77777777" w:rsidR="00681B3F" w:rsidRDefault="00681B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186147E" w14:textId="77777777" w:rsidR="00681B3F" w:rsidRDefault="00681B3F">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12454/INFOEM/IP/RR/2022</w:t>
          </w:r>
        </w:p>
      </w:tc>
    </w:tr>
    <w:tr w:rsidR="00681B3F" w14:paraId="15EA8AC7" w14:textId="77777777">
      <w:trPr>
        <w:trHeight w:val="228"/>
      </w:trPr>
      <w:tc>
        <w:tcPr>
          <w:tcW w:w="2553" w:type="dxa"/>
          <w:vAlign w:val="center"/>
        </w:tcPr>
        <w:p w14:paraId="75350A30" w14:textId="77777777" w:rsidR="00681B3F" w:rsidRDefault="00681B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ED4D48B" w14:textId="77777777" w:rsidR="00681B3F" w:rsidRDefault="00681B3F">
          <w:pPr>
            <w:tabs>
              <w:tab w:val="left" w:pos="1531"/>
            </w:tabs>
            <w:ind w:right="65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681B3F" w14:paraId="56927C38" w14:textId="77777777">
      <w:tc>
        <w:tcPr>
          <w:tcW w:w="2553" w:type="dxa"/>
          <w:vAlign w:val="center"/>
        </w:tcPr>
        <w:p w14:paraId="61DAA332" w14:textId="77777777" w:rsidR="00681B3F" w:rsidRDefault="00681B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1BB3AA21" w14:textId="77777777" w:rsidR="00681B3F" w:rsidRDefault="00681B3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CB44E14" w14:textId="77777777" w:rsidR="00681B3F" w:rsidRDefault="00681B3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67EDF" w14:textId="77777777" w:rsidR="00681B3F" w:rsidRDefault="00681B3F">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4BC7CB38" wp14:editId="4ACC0294">
          <wp:simplePos x="0" y="0"/>
          <wp:positionH relativeFrom="column">
            <wp:posOffset>-973451</wp:posOffset>
          </wp:positionH>
          <wp:positionV relativeFrom="paragraph">
            <wp:posOffset>-354962</wp:posOffset>
          </wp:positionV>
          <wp:extent cx="7635600" cy="9943200"/>
          <wp:effectExtent l="0" t="0" r="0" b="0"/>
          <wp:wrapNone/>
          <wp:docPr id="10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9"/>
      <w:tblW w:w="6240" w:type="dxa"/>
      <w:tblInd w:w="3685" w:type="dxa"/>
      <w:tblLayout w:type="fixed"/>
      <w:tblLook w:val="0400" w:firstRow="0" w:lastRow="0" w:firstColumn="0" w:lastColumn="0" w:noHBand="0" w:noVBand="1"/>
    </w:tblPr>
    <w:tblGrid>
      <w:gridCol w:w="2553"/>
      <w:gridCol w:w="3687"/>
    </w:tblGrid>
    <w:tr w:rsidR="00681B3F" w14:paraId="411CFE59" w14:textId="77777777">
      <w:tc>
        <w:tcPr>
          <w:tcW w:w="2553" w:type="dxa"/>
          <w:vAlign w:val="center"/>
        </w:tcPr>
        <w:p w14:paraId="254DE444" w14:textId="77777777" w:rsidR="00681B3F" w:rsidRDefault="00681B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83AC179" w14:textId="77777777" w:rsidR="00681B3F" w:rsidRDefault="00681B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12454/INFOEM/IP/RR/2022</w:t>
          </w:r>
        </w:p>
      </w:tc>
    </w:tr>
    <w:tr w:rsidR="00681B3F" w14:paraId="4B078002" w14:textId="77777777">
      <w:tc>
        <w:tcPr>
          <w:tcW w:w="2553" w:type="dxa"/>
          <w:vAlign w:val="center"/>
        </w:tcPr>
        <w:p w14:paraId="10566970" w14:textId="77777777" w:rsidR="00681B3F" w:rsidRDefault="00681B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5E179DA4" w14:textId="77C35525" w:rsidR="00681B3F" w:rsidRDefault="00681B3F" w:rsidP="00681B3F">
          <w:pPr>
            <w:ind w:right="-3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 XX XXXXXXX</w:t>
          </w:r>
        </w:p>
      </w:tc>
    </w:tr>
    <w:tr w:rsidR="00681B3F" w14:paraId="662F3DB8" w14:textId="77777777">
      <w:trPr>
        <w:trHeight w:val="228"/>
      </w:trPr>
      <w:tc>
        <w:tcPr>
          <w:tcW w:w="2553" w:type="dxa"/>
          <w:vAlign w:val="center"/>
        </w:tcPr>
        <w:p w14:paraId="79C6A7FC" w14:textId="77777777" w:rsidR="00681B3F" w:rsidRDefault="00681B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52777E4" w14:textId="77777777" w:rsidR="00681B3F" w:rsidRDefault="00681B3F">
          <w:pPr>
            <w:ind w:right="73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681B3F" w14:paraId="6707ECAA" w14:textId="77777777">
      <w:tc>
        <w:tcPr>
          <w:tcW w:w="2553" w:type="dxa"/>
          <w:vAlign w:val="center"/>
        </w:tcPr>
        <w:p w14:paraId="3D5F9828" w14:textId="77777777" w:rsidR="00681B3F" w:rsidRDefault="00681B3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175D07FB" w14:textId="77777777" w:rsidR="00681B3F" w:rsidRDefault="00681B3F">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60F36B6" w14:textId="77777777" w:rsidR="00681B3F" w:rsidRDefault="00681B3F">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BFB07" w14:textId="77777777" w:rsidR="00681B3F" w:rsidRDefault="00681B3F">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16D9F82A" w14:textId="77777777" w:rsidR="00681B3F" w:rsidRDefault="00681B3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82078D"/>
    <w:multiLevelType w:val="multilevel"/>
    <w:tmpl w:val="BAF026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E581AF0"/>
    <w:multiLevelType w:val="multilevel"/>
    <w:tmpl w:val="2C74DD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3F833ED9"/>
    <w:multiLevelType w:val="multilevel"/>
    <w:tmpl w:val="BC8CD148"/>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51B979D5"/>
    <w:multiLevelType w:val="multilevel"/>
    <w:tmpl w:val="5A72432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40F0345"/>
    <w:multiLevelType w:val="multilevel"/>
    <w:tmpl w:val="4D3C78F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FC3"/>
    <w:rsid w:val="00114B62"/>
    <w:rsid w:val="0013539B"/>
    <w:rsid w:val="00172DD5"/>
    <w:rsid w:val="001A3FC3"/>
    <w:rsid w:val="001D6E43"/>
    <w:rsid w:val="001F2B6F"/>
    <w:rsid w:val="0034511C"/>
    <w:rsid w:val="006760EC"/>
    <w:rsid w:val="00681B3F"/>
    <w:rsid w:val="00830376"/>
    <w:rsid w:val="0085062D"/>
    <w:rsid w:val="008B2ADF"/>
    <w:rsid w:val="00975AE9"/>
    <w:rsid w:val="00A42A12"/>
    <w:rsid w:val="00C612D2"/>
    <w:rsid w:val="00D4660C"/>
    <w:rsid w:val="00D64BE0"/>
    <w:rsid w:val="00EA32BC"/>
    <w:rsid w:val="00F31F49"/>
    <w:rsid w:val="00F65FEF"/>
    <w:rsid w:val="00FA0E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7F8BD"/>
  <w15:docId w15:val="{D08C358C-F7C5-4EDA-B720-7AA79A59C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3822"/>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1"/>
    <w:tblPr>
      <w:tblStyleRowBandSize w:val="1"/>
      <w:tblStyleColBandSize w:val="1"/>
      <w:tblCellMar>
        <w:top w:w="0" w:type="dxa"/>
        <w:left w:w="115" w:type="dxa"/>
        <w:bottom w:w="0" w:type="dxa"/>
        <w:right w:w="115" w:type="dxa"/>
      </w:tblCellMar>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0" w:type="dxa"/>
        <w:left w:w="115" w:type="dxa"/>
        <w:bottom w:w="0" w:type="dxa"/>
        <w:right w:w="115" w:type="dxa"/>
      </w:tblCellMar>
    </w:tblPr>
  </w:style>
  <w:style w:type="table" w:customStyle="1" w:styleId="a5">
    <w:basedOn w:val="TableNormal1"/>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2.toluca.gob.mx/wp-content/uploads/2022/04/tol-pdf-pbRM-202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1uFQLHxWGcrOHS8F7flmfgtO7A==">AMUW2mUu0ddcP9VwPHA+faSp+q2pvcb7aERF1Uzw2XBXHdLWPHIgtZsh7HIakjMtkAezoDCPUtILm1zEAmQ9R6sJUmDJpebn4e5a8HsSJCUA/fCa3waHEwCe83I8a8g8/KoCO2mdSn3k14CYJaNhUA/JFnk9orJeKDSY9jQSNmeqXoPv372YYoGuOfuMjRTnaDa2jC2XbHPW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19678</Words>
  <Characters>108235</Characters>
  <Application>Microsoft Office Word</Application>
  <DocSecurity>0</DocSecurity>
  <Lines>901</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2023-01-20T16:42:00Z</cp:lastPrinted>
  <dcterms:created xsi:type="dcterms:W3CDTF">2023-01-26T00:26:00Z</dcterms:created>
  <dcterms:modified xsi:type="dcterms:W3CDTF">2023-01-26T00:26:00Z</dcterms:modified>
</cp:coreProperties>
</file>