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564D27A5"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2F4622">
        <w:rPr>
          <w:rFonts w:ascii="Palatino Linotype" w:eastAsia="Times New Roman" w:hAnsi="Palatino Linotype" w:cs="Arial"/>
          <w:color w:val="000000"/>
          <w:sz w:val="24"/>
          <w:szCs w:val="24"/>
          <w:lang w:eastAsia="es-MX"/>
        </w:rPr>
        <w:t>quince</w:t>
      </w:r>
      <w:r w:rsidR="00CB6997">
        <w:rPr>
          <w:rFonts w:ascii="Palatino Linotype" w:eastAsia="Times New Roman" w:hAnsi="Palatino Linotype" w:cs="Arial"/>
          <w:color w:val="000000"/>
          <w:sz w:val="24"/>
          <w:szCs w:val="24"/>
          <w:lang w:eastAsia="es-MX"/>
        </w:rPr>
        <w:t xml:space="preserve"> de febrero de dos mil veintitrés. </w:t>
      </w:r>
      <w:r w:rsidR="00431812">
        <w:rPr>
          <w:rFonts w:ascii="Palatino Linotype" w:eastAsia="Times New Roman" w:hAnsi="Palatino Linotype" w:cs="Arial"/>
          <w:color w:val="000000"/>
          <w:sz w:val="24"/>
          <w:szCs w:val="24"/>
          <w:lang w:eastAsia="es-MX"/>
        </w:rPr>
        <w:t xml:space="preserve"> </w:t>
      </w:r>
      <w:r w:rsidR="00395F5A">
        <w:rPr>
          <w:rFonts w:ascii="Palatino Linotype" w:eastAsia="Times New Roman" w:hAnsi="Palatino Linotype" w:cs="Arial"/>
          <w:color w:val="000000"/>
          <w:sz w:val="24"/>
          <w:szCs w:val="24"/>
          <w:lang w:eastAsia="es-MX"/>
        </w:rPr>
        <w:t xml:space="preserve">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40E1F52" w14:textId="59BF021E" w:rsidR="00CB6997" w:rsidRDefault="006D5803" w:rsidP="00E669E6">
      <w:pPr>
        <w:tabs>
          <w:tab w:val="left" w:pos="1701"/>
        </w:tabs>
        <w:spacing w:before="240" w:line="360" w:lineRule="auto"/>
        <w:jc w:val="both"/>
        <w:rPr>
          <w:rFonts w:ascii="Palatino Linotype" w:hAnsi="Palatino Linotype" w:cs="Arial"/>
          <w:b/>
          <w:bCs/>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CB6997">
        <w:rPr>
          <w:rFonts w:ascii="Palatino Linotype" w:hAnsi="Palatino Linotype" w:cs="Arial"/>
          <w:b/>
          <w:sz w:val="24"/>
        </w:rPr>
        <w:t>16635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w:t>
      </w:r>
      <w:r w:rsidR="00431812">
        <w:rPr>
          <w:rFonts w:ascii="Palatino Linotype" w:hAnsi="Palatino Linotype" w:cs="Arial"/>
          <w:sz w:val="24"/>
        </w:rPr>
        <w:t xml:space="preserve">por el </w:t>
      </w:r>
      <w:r w:rsidR="00431812">
        <w:rPr>
          <w:rFonts w:ascii="Palatino Linotype" w:hAnsi="Palatino Linotype" w:cs="Arial"/>
          <w:b/>
          <w:bCs/>
          <w:sz w:val="24"/>
        </w:rPr>
        <w:t xml:space="preserve">C. </w:t>
      </w:r>
      <w:r w:rsidR="00140571">
        <w:rPr>
          <w:rFonts w:ascii="Palatino Linotype" w:hAnsi="Palatino Linotype" w:cs="Arial"/>
          <w:b/>
          <w:bCs/>
          <w:sz w:val="24"/>
        </w:rPr>
        <w:t>XXXXXXXXXXX</w:t>
      </w:r>
      <w:r w:rsidR="00CB6997">
        <w:rPr>
          <w:rFonts w:ascii="Palatino Linotype" w:hAnsi="Palatino Linotype" w:cs="Arial"/>
          <w:b/>
          <w:bCs/>
          <w:sz w:val="24"/>
        </w:rPr>
        <w:t xml:space="preserve">, </w:t>
      </w:r>
      <w:r w:rsidR="00CB6997">
        <w:rPr>
          <w:rFonts w:ascii="Palatino Linotype" w:hAnsi="Palatino Linotype" w:cs="Arial"/>
          <w:sz w:val="24"/>
        </w:rPr>
        <w:t xml:space="preserve">en lo sucesivo </w:t>
      </w:r>
      <w:r w:rsidR="00CB6997">
        <w:rPr>
          <w:rFonts w:ascii="Palatino Linotype" w:hAnsi="Palatino Linotype" w:cs="Arial"/>
          <w:b/>
          <w:bCs/>
          <w:sz w:val="24"/>
        </w:rPr>
        <w:t xml:space="preserve">El Recurrente, </w:t>
      </w:r>
      <w:r w:rsidR="00CB6997">
        <w:rPr>
          <w:rFonts w:ascii="Palatino Linotype" w:hAnsi="Palatino Linotype" w:cs="Arial"/>
          <w:sz w:val="24"/>
        </w:rPr>
        <w:t xml:space="preserve">en contra de la respuesta de la </w:t>
      </w:r>
      <w:r w:rsidR="00CB6997">
        <w:rPr>
          <w:rFonts w:ascii="Palatino Linotype" w:hAnsi="Palatino Linotype" w:cs="Arial"/>
          <w:b/>
          <w:bCs/>
          <w:sz w:val="24"/>
        </w:rPr>
        <w:t xml:space="preserve">Fiscalía General de Justicia del Estado de México, </w:t>
      </w:r>
      <w:r w:rsidR="00CB6997">
        <w:rPr>
          <w:rFonts w:ascii="Palatino Linotype" w:hAnsi="Palatino Linotype" w:cs="Arial"/>
          <w:sz w:val="24"/>
        </w:rPr>
        <w:t xml:space="preserve">en lo sucesivo </w:t>
      </w:r>
      <w:r w:rsidR="00CB6997">
        <w:rPr>
          <w:rFonts w:ascii="Palatino Linotype" w:hAnsi="Palatino Linotype" w:cs="Arial"/>
          <w:b/>
          <w:bCs/>
          <w:sz w:val="24"/>
        </w:rPr>
        <w:t xml:space="preserve">El Sujeto Obligado, </w:t>
      </w:r>
      <w:r w:rsidR="00CB6997">
        <w:rPr>
          <w:rFonts w:ascii="Palatino Linotype" w:hAnsi="Palatino Linotype" w:cs="Arial"/>
          <w:sz w:val="24"/>
        </w:rPr>
        <w:t xml:space="preserve">se procede a dictar la presente resolución.  </w:t>
      </w:r>
      <w:r w:rsidR="00CB6997">
        <w:rPr>
          <w:rFonts w:ascii="Palatino Linotype" w:hAnsi="Palatino Linotype" w:cs="Arial"/>
          <w:b/>
          <w:bCs/>
          <w:sz w:val="24"/>
        </w:rPr>
        <w:t xml:space="preserve"> </w:t>
      </w:r>
    </w:p>
    <w:p w14:paraId="6065A720" w14:textId="77777777" w:rsidR="00CB6997" w:rsidRDefault="00CB6997" w:rsidP="00E669E6">
      <w:pPr>
        <w:tabs>
          <w:tab w:val="left" w:pos="1701"/>
        </w:tabs>
        <w:spacing w:before="240" w:line="360" w:lineRule="auto"/>
        <w:jc w:val="both"/>
        <w:rPr>
          <w:rFonts w:ascii="Palatino Linotype" w:hAnsi="Palatino Linotype" w:cs="Arial"/>
          <w:b/>
          <w:bCs/>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1CDCED1" w14:textId="219F6168" w:rsidR="00CB6997"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CB6997">
        <w:rPr>
          <w:rFonts w:ascii="Palatino Linotype" w:hAnsi="Palatino Linotype" w:cs="Arial"/>
          <w:sz w:val="24"/>
        </w:rPr>
        <w:t xml:space="preserve">ocho de noviembre de dos mil veintidós, </w:t>
      </w:r>
      <w:r w:rsidR="00CB6997">
        <w:rPr>
          <w:rFonts w:ascii="Palatino Linotype" w:hAnsi="Palatino Linotype" w:cs="Arial"/>
          <w:b/>
          <w:bCs/>
          <w:sz w:val="24"/>
        </w:rPr>
        <w:t xml:space="preserve">El Recurrente, </w:t>
      </w:r>
      <w:r w:rsidR="00CB6997">
        <w:rPr>
          <w:rFonts w:ascii="Palatino Linotype" w:hAnsi="Palatino Linotype" w:cs="Arial"/>
          <w:sz w:val="24"/>
        </w:rPr>
        <w:t xml:space="preserve">presentó a través del Sistema de Acceso a la Información Mexiquense </w:t>
      </w:r>
      <w:r w:rsidR="00CB6997" w:rsidRPr="00D3218F">
        <w:rPr>
          <w:rFonts w:ascii="Palatino Linotype" w:hAnsi="Palatino Linotype" w:cs="Arial"/>
          <w:sz w:val="24"/>
        </w:rPr>
        <w:t>(</w:t>
      </w:r>
      <w:r w:rsidR="00CB6997" w:rsidRPr="00D3218F">
        <w:rPr>
          <w:rFonts w:ascii="Palatino Linotype" w:hAnsi="Palatino Linotype" w:cs="Arial"/>
          <w:b/>
          <w:sz w:val="24"/>
        </w:rPr>
        <w:t>SAIMEX)</w:t>
      </w:r>
      <w:r w:rsidR="00CB6997" w:rsidRPr="00D3218F">
        <w:rPr>
          <w:rFonts w:ascii="Palatino Linotype" w:hAnsi="Palatino Linotype" w:cs="Arial"/>
          <w:sz w:val="24"/>
        </w:rPr>
        <w:t xml:space="preserve"> ante </w:t>
      </w:r>
      <w:r w:rsidR="00CB6997" w:rsidRPr="00D3218F">
        <w:rPr>
          <w:rFonts w:ascii="Palatino Linotype" w:hAnsi="Palatino Linotype" w:cs="Arial"/>
          <w:b/>
          <w:sz w:val="24"/>
        </w:rPr>
        <w:t>El Sujeto Obligado</w:t>
      </w:r>
      <w:r w:rsidR="00CB6997" w:rsidRPr="00D3218F">
        <w:rPr>
          <w:rFonts w:ascii="Palatino Linotype" w:hAnsi="Palatino Linotype" w:cs="Arial"/>
          <w:sz w:val="24"/>
        </w:rPr>
        <w:t>,</w:t>
      </w:r>
      <w:r w:rsidR="00CB6997">
        <w:rPr>
          <w:rFonts w:ascii="Palatino Linotype" w:hAnsi="Palatino Linotype" w:cs="Arial"/>
          <w:sz w:val="24"/>
        </w:rPr>
        <w:t xml:space="preserve"> la solicitud de acceso a la información pública, registrada bajo el número de expediente </w:t>
      </w:r>
      <w:r w:rsidR="00CB6997">
        <w:rPr>
          <w:rFonts w:ascii="Palatino Linotype" w:hAnsi="Palatino Linotype" w:cs="Arial"/>
          <w:b/>
          <w:bCs/>
          <w:sz w:val="24"/>
        </w:rPr>
        <w:t xml:space="preserve">00889/FGJ/IP/2022, </w:t>
      </w:r>
      <w:r w:rsidR="00CB6997">
        <w:rPr>
          <w:rFonts w:ascii="Palatino Linotype" w:hAnsi="Palatino Linotype" w:cs="Arial"/>
          <w:sz w:val="24"/>
        </w:rPr>
        <w:t>mediante la cual solicitó información en el tenor siguiente:</w:t>
      </w:r>
    </w:p>
    <w:p w14:paraId="7A68A50D" w14:textId="68FCD2B6" w:rsidR="00CB6997" w:rsidRPr="00CB6997" w:rsidRDefault="00CB6997" w:rsidP="00CB6997">
      <w:pPr>
        <w:pStyle w:val="Citas"/>
        <w:rPr>
          <w:b/>
          <w:bCs/>
        </w:rPr>
      </w:pPr>
      <w:r w:rsidRPr="00CB6997">
        <w:t>“la versión pública de todo el expediente de el mas reciente procedimiento que se encuentre concluido en el que se configure el delito de quebrantamiento de sellos”</w:t>
      </w:r>
      <w:r>
        <w:t xml:space="preserve"> </w:t>
      </w:r>
      <w:r>
        <w:rPr>
          <w:b/>
          <w:bCs/>
        </w:rPr>
        <w:t>(Sic)</w:t>
      </w:r>
    </w:p>
    <w:p w14:paraId="6C718A25" w14:textId="7496B845"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2EADEA50" w14:textId="547A9658" w:rsidR="00395F5A" w:rsidRPr="000256D8" w:rsidRDefault="003C0C0D" w:rsidP="00395F5A">
      <w:pPr>
        <w:spacing w:after="0" w:line="360" w:lineRule="auto"/>
        <w:jc w:val="both"/>
        <w:rPr>
          <w:rFonts w:ascii="Palatino Linotype" w:hAnsi="Palatino Linotype" w:cs="Arial"/>
          <w:b/>
          <w:sz w:val="28"/>
        </w:rPr>
      </w:pPr>
      <w:r>
        <w:rPr>
          <w:rFonts w:ascii="Palatino Linotype" w:hAnsi="Palatino Linotype" w:cs="Arial"/>
          <w:b/>
          <w:sz w:val="28"/>
        </w:rPr>
        <w:lastRenderedPageBreak/>
        <w:t>SEGUNDO</w:t>
      </w:r>
      <w:r w:rsidR="00395F5A" w:rsidRPr="000256D8">
        <w:rPr>
          <w:rFonts w:ascii="Palatino Linotype" w:hAnsi="Palatino Linotype" w:cs="Arial"/>
          <w:b/>
          <w:sz w:val="28"/>
        </w:rPr>
        <w:t xml:space="preserve">.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2C046C6" w14:textId="10383EA5" w:rsidR="00CB6997" w:rsidRDefault="003C0C0D" w:rsidP="0098057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el expediente electrónico </w:t>
      </w:r>
      <w:r>
        <w:rPr>
          <w:rFonts w:ascii="Palatino Linotype" w:eastAsia="Times New Roman" w:hAnsi="Palatino Linotype" w:cs="Times New Roman"/>
          <w:b/>
          <w:bCs/>
          <w:sz w:val="24"/>
          <w:szCs w:val="24"/>
          <w:lang w:eastAsia="es-ES"/>
        </w:rPr>
        <w:t xml:space="preserve">SAIMEX, </w:t>
      </w:r>
      <w:r>
        <w:rPr>
          <w:rFonts w:ascii="Palatino Linotype" w:eastAsia="Times New Roman" w:hAnsi="Palatino Linotype" w:cs="Times New Roman"/>
          <w:sz w:val="24"/>
          <w:szCs w:val="24"/>
          <w:lang w:eastAsia="es-ES"/>
        </w:rPr>
        <w:t xml:space="preserve">se aprecia que el </w:t>
      </w:r>
      <w:r w:rsidR="00CB6997">
        <w:rPr>
          <w:rFonts w:ascii="Palatino Linotype" w:eastAsia="Times New Roman" w:hAnsi="Palatino Linotype" w:cs="Times New Roman"/>
          <w:sz w:val="24"/>
          <w:szCs w:val="24"/>
          <w:lang w:eastAsia="es-ES"/>
        </w:rPr>
        <w:t xml:space="preserve">diecisiete de noviembre de dos mil veintidós, </w:t>
      </w:r>
      <w:r w:rsidR="00CB6997">
        <w:rPr>
          <w:rFonts w:ascii="Palatino Linotype" w:eastAsia="Times New Roman" w:hAnsi="Palatino Linotype" w:cs="Times New Roman"/>
          <w:b/>
          <w:bCs/>
          <w:sz w:val="24"/>
          <w:szCs w:val="24"/>
          <w:lang w:eastAsia="es-ES"/>
        </w:rPr>
        <w:t xml:space="preserve">El Sujeto Obligado </w:t>
      </w:r>
      <w:r w:rsidR="00CB6997">
        <w:rPr>
          <w:rFonts w:ascii="Palatino Linotype" w:eastAsia="Times New Roman" w:hAnsi="Palatino Linotype" w:cs="Times New Roman"/>
          <w:sz w:val="24"/>
          <w:szCs w:val="24"/>
          <w:lang w:eastAsia="es-ES"/>
        </w:rPr>
        <w:t>dio respuesta a la solicitud de información en los siguientes términos:</w:t>
      </w:r>
    </w:p>
    <w:p w14:paraId="58C7E6FA" w14:textId="7521CB24" w:rsidR="00CB6997" w:rsidRPr="00CB6997" w:rsidRDefault="00CB6997" w:rsidP="00CB6997">
      <w:pPr>
        <w:pStyle w:val="Citas"/>
        <w:rPr>
          <w:rFonts w:eastAsia="Times New Roman" w:cs="Times New Roman"/>
          <w:b/>
          <w:bCs/>
          <w:sz w:val="24"/>
          <w:szCs w:val="24"/>
          <w:lang w:eastAsia="es-ES"/>
        </w:rPr>
      </w:pPr>
      <w:r>
        <w:t xml:space="preserve">“SE REMITE RESPUESTA VÍA SAIMEX” </w:t>
      </w:r>
      <w:r>
        <w:rPr>
          <w:b/>
          <w:bCs/>
        </w:rPr>
        <w:t>(Sic)</w:t>
      </w:r>
    </w:p>
    <w:p w14:paraId="0AF7F23C" w14:textId="0937E69F" w:rsidR="00CB6997" w:rsidRPr="00CB6997" w:rsidRDefault="003C0C0D" w:rsidP="003C0C0D">
      <w:pPr>
        <w:pStyle w:val="Citas"/>
        <w:ind w:left="0" w:right="72"/>
        <w:rPr>
          <w:rFonts w:eastAsia="Times New Roman" w:cs="Times New Roman"/>
          <w:i w:val="0"/>
          <w:iCs/>
          <w:sz w:val="24"/>
          <w:szCs w:val="24"/>
          <w:lang w:eastAsia="es-ES"/>
        </w:rPr>
      </w:pPr>
      <w:r>
        <w:rPr>
          <w:rFonts w:eastAsia="Times New Roman" w:cs="Times New Roman"/>
          <w:i w:val="0"/>
          <w:iCs/>
          <w:sz w:val="24"/>
          <w:szCs w:val="24"/>
          <w:lang w:eastAsia="es-ES"/>
        </w:rPr>
        <w:t xml:space="preserve">Adicionalmente, </w:t>
      </w:r>
      <w:r>
        <w:rPr>
          <w:rFonts w:eastAsia="Times New Roman" w:cs="Times New Roman"/>
          <w:b/>
          <w:bCs/>
          <w:i w:val="0"/>
          <w:iCs/>
          <w:sz w:val="24"/>
          <w:szCs w:val="24"/>
          <w:lang w:eastAsia="es-ES"/>
        </w:rPr>
        <w:t xml:space="preserve">El Sujeto Obligado </w:t>
      </w:r>
      <w:r>
        <w:rPr>
          <w:rFonts w:eastAsia="Times New Roman" w:cs="Times New Roman"/>
          <w:i w:val="0"/>
          <w:iCs/>
          <w:sz w:val="24"/>
          <w:szCs w:val="24"/>
          <w:lang w:eastAsia="es-ES"/>
        </w:rPr>
        <w:t xml:space="preserve">adjuntó el documento electrónico </w:t>
      </w:r>
      <w:r w:rsidR="00CB6997">
        <w:rPr>
          <w:rFonts w:eastAsia="Times New Roman" w:cs="Times New Roman"/>
          <w:b/>
          <w:bCs/>
          <w:i w:val="0"/>
          <w:iCs/>
          <w:sz w:val="24"/>
          <w:szCs w:val="24"/>
          <w:lang w:eastAsia="es-ES"/>
        </w:rPr>
        <w:t xml:space="preserve">“resp 889_2022_11_17_11_02_16_881.pdf”, </w:t>
      </w:r>
      <w:r w:rsidR="00CB6997">
        <w:rPr>
          <w:rFonts w:eastAsia="Times New Roman" w:cs="Times New Roman"/>
          <w:i w:val="0"/>
          <w:iCs/>
          <w:sz w:val="24"/>
          <w:szCs w:val="24"/>
          <w:lang w:eastAsia="es-ES"/>
        </w:rPr>
        <w:t xml:space="preserve">cuyo contenido será materia de análisis en el considerando respectivo. </w:t>
      </w:r>
    </w:p>
    <w:p w14:paraId="632DF73F" w14:textId="77777777" w:rsidR="00CB6997" w:rsidRDefault="00CB6997" w:rsidP="003C0C0D">
      <w:pPr>
        <w:pStyle w:val="Citas"/>
        <w:ind w:left="0" w:right="72"/>
        <w:rPr>
          <w:rFonts w:eastAsia="Times New Roman" w:cs="Times New Roman"/>
          <w:i w:val="0"/>
          <w:iCs/>
          <w:sz w:val="24"/>
          <w:szCs w:val="24"/>
          <w:lang w:eastAsia="es-ES"/>
        </w:rPr>
      </w:pPr>
    </w:p>
    <w:p w14:paraId="067753A9" w14:textId="51949414" w:rsidR="00073E92" w:rsidRDefault="003C0C0D"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D2B0CF1" w14:textId="28EEE33F" w:rsidR="00CB6997" w:rsidRPr="00CB6997"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CB6997">
        <w:rPr>
          <w:rFonts w:ascii="Palatino Linotype" w:hAnsi="Palatino Linotype" w:cs="Arial"/>
          <w:sz w:val="24"/>
          <w:szCs w:val="24"/>
        </w:rPr>
        <w:t xml:space="preserve">diecisiete de noviembre de dos mil veintidós, el cual fue registrado con el expediente número </w:t>
      </w:r>
      <w:r w:rsidR="00CB6997">
        <w:rPr>
          <w:rFonts w:ascii="Palatino Linotype" w:hAnsi="Palatino Linotype" w:cs="Arial"/>
          <w:b/>
          <w:bCs/>
          <w:sz w:val="24"/>
          <w:szCs w:val="24"/>
        </w:rPr>
        <w:t xml:space="preserve">16635/INFOEM/IP/RR/2022, </w:t>
      </w:r>
      <w:r w:rsidR="00CB6997">
        <w:rPr>
          <w:rFonts w:ascii="Palatino Linotype" w:hAnsi="Palatino Linotype" w:cs="Arial"/>
          <w:sz w:val="24"/>
          <w:szCs w:val="24"/>
        </w:rPr>
        <w:t>en el cual arguye las siguientes manifestaciones:</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3700601D" w:rsidR="00073E92" w:rsidRDefault="00F2667C" w:rsidP="007D581B">
      <w:pPr>
        <w:pStyle w:val="Citas"/>
        <w:rPr>
          <w:b/>
        </w:rPr>
      </w:pPr>
      <w:r w:rsidRPr="00CB6997">
        <w:t xml:space="preserve"> </w:t>
      </w:r>
      <w:r w:rsidR="00073E92" w:rsidRPr="00CB6997">
        <w:t>“</w:t>
      </w:r>
      <w:r w:rsidR="00CB6997" w:rsidRPr="00CB6997">
        <w:t>La respuesta del sujeto obligado</w:t>
      </w:r>
      <w:r w:rsidR="00073E92" w:rsidRPr="00CB6997">
        <w:t>”</w:t>
      </w:r>
      <w:r w:rsidR="00073E92" w:rsidRPr="007E24F0">
        <w:t xml:space="preserve"> </w:t>
      </w:r>
      <w:r w:rsidR="007D581B">
        <w:rPr>
          <w:b/>
        </w:rPr>
        <w:t>(Sic)</w:t>
      </w:r>
      <w:r w:rsidR="00073E92">
        <w:rPr>
          <w:b/>
        </w:rPr>
        <w:t xml:space="preserve">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76B02F72" w:rsidR="003442C8" w:rsidRPr="00F2667C" w:rsidRDefault="00F2667C" w:rsidP="00F2667C">
      <w:pPr>
        <w:pStyle w:val="Citas"/>
        <w:rPr>
          <w:b/>
        </w:rPr>
      </w:pPr>
      <w:r w:rsidRPr="00CB6997">
        <w:t>“</w:t>
      </w:r>
      <w:r w:rsidR="00CB6997" w:rsidRPr="00CB6997">
        <w:t xml:space="preserve">El sujeto obligado manifiesta que no se puede entregar la informacion, sin embargo de la solicitud se desprende que se solicita la VERSION PÚBLICA de CUALQUIER </w:t>
      </w:r>
      <w:r w:rsidR="00CB6997" w:rsidRPr="00CB6997">
        <w:lastRenderedPageBreak/>
        <w:t>procedimiento CONCLUIDO que configure dicho delito, ya que solo es con la finalidad de conocer como es que se lleva a cabo dicho procedimiento</w:t>
      </w:r>
      <w:r w:rsidRPr="00CB6997">
        <w:t>”</w:t>
      </w:r>
      <w:r>
        <w:t xml:space="preserve"> </w:t>
      </w:r>
      <w:r w:rsidR="007D581B">
        <w:rPr>
          <w:b/>
        </w:rPr>
        <w:t>(Sic)</w:t>
      </w:r>
    </w:p>
    <w:p w14:paraId="2604D2B2" w14:textId="77777777" w:rsidR="008C3857" w:rsidRDefault="008C3857" w:rsidP="00875611">
      <w:pPr>
        <w:pStyle w:val="Citas"/>
        <w:ind w:left="0" w:right="0"/>
        <w:rPr>
          <w:i w:val="0"/>
          <w:sz w:val="24"/>
          <w:szCs w:val="24"/>
        </w:rPr>
      </w:pPr>
    </w:p>
    <w:p w14:paraId="6B689A4F" w14:textId="5E08CBC5" w:rsidR="00073E92" w:rsidRDefault="00252070"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78635FF5"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7645A9">
        <w:rPr>
          <w:rFonts w:ascii="Palatino Linotype" w:hAnsi="Palatino Linotype" w:cs="Arial"/>
          <w:sz w:val="24"/>
          <w:szCs w:val="24"/>
        </w:rPr>
        <w:t xml:space="preserve">veintidós de noviembre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44610E15" w:rsidR="00073E92" w:rsidRDefault="00252070"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E353A82" w14:textId="177BFADA" w:rsidR="007645A9" w:rsidRPr="007645A9" w:rsidRDefault="00053364" w:rsidP="00053364">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7645A9">
        <w:rPr>
          <w:rFonts w:ascii="Palatino Linotype" w:hAnsi="Palatino Linotype" w:cs="Arial"/>
          <w:b/>
          <w:bCs/>
          <w:sz w:val="24"/>
          <w:szCs w:val="24"/>
        </w:rPr>
        <w:t xml:space="preserve">dos de diciembre de dos mil veintidós, </w:t>
      </w:r>
      <w:r w:rsidR="007645A9">
        <w:rPr>
          <w:rFonts w:ascii="Palatino Linotype" w:hAnsi="Palatino Linotype" w:cs="Arial"/>
          <w:sz w:val="24"/>
          <w:szCs w:val="24"/>
        </w:rPr>
        <w:t xml:space="preserve">mismo que se puso a la vista del </w:t>
      </w:r>
      <w:r w:rsidR="007645A9">
        <w:rPr>
          <w:rFonts w:ascii="Palatino Linotype" w:hAnsi="Palatino Linotype" w:cs="Arial"/>
          <w:b/>
          <w:bCs/>
          <w:sz w:val="24"/>
          <w:szCs w:val="24"/>
        </w:rPr>
        <w:t xml:space="preserve">Recurrente, </w:t>
      </w:r>
      <w:r w:rsidR="007645A9">
        <w:rPr>
          <w:rFonts w:ascii="Palatino Linotype" w:hAnsi="Palatino Linotype" w:cs="Arial"/>
          <w:sz w:val="24"/>
          <w:szCs w:val="24"/>
        </w:rPr>
        <w:t xml:space="preserve">en fecha </w:t>
      </w:r>
      <w:r w:rsidR="007645A9">
        <w:rPr>
          <w:rFonts w:ascii="Palatino Linotype" w:hAnsi="Palatino Linotype" w:cs="Arial"/>
          <w:b/>
          <w:bCs/>
          <w:sz w:val="24"/>
          <w:szCs w:val="24"/>
        </w:rPr>
        <w:t xml:space="preserve">cinco de diciembre de dos mil veintidós. </w:t>
      </w:r>
    </w:p>
    <w:p w14:paraId="6C093637" w14:textId="3BE24A3D" w:rsidR="00905772" w:rsidRDefault="00053364" w:rsidP="0090577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7645A9">
        <w:rPr>
          <w:rFonts w:ascii="Palatino Linotype" w:hAnsi="Palatino Linotype" w:cs="Arial"/>
          <w:b/>
          <w:bCs/>
          <w:sz w:val="24"/>
          <w:szCs w:val="24"/>
        </w:rPr>
        <w:t xml:space="preserve">veinte de diciembre de dos mil veintidós, </w:t>
      </w:r>
      <w:r w:rsidR="0090577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8264FD3" w14:textId="29A40F22" w:rsidR="00053364" w:rsidRDefault="00053364" w:rsidP="00053364">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 xml:space="preserve">Así,  en </w:t>
      </w:r>
      <w:r w:rsidRPr="00E926B4">
        <w:rPr>
          <w:rFonts w:ascii="Palatino Linotype" w:hAnsi="Palatino Linotype" w:cs="Arial"/>
          <w:sz w:val="24"/>
          <w:szCs w:val="24"/>
        </w:rPr>
        <w:t xml:space="preserve">fecha </w:t>
      </w:r>
      <w:r w:rsidR="007645A9">
        <w:rPr>
          <w:rFonts w:ascii="Palatino Linotype" w:hAnsi="Palatino Linotype" w:cs="Arial"/>
          <w:b/>
          <w:bCs/>
          <w:sz w:val="24"/>
          <w:szCs w:val="24"/>
        </w:rPr>
        <w:t xml:space="preserve">dieciséis de enero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0D1237A"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4ACBBF"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w:t>
      </w:r>
      <w:bookmarkStart w:id="0" w:name="_GoBack"/>
      <w:bookmarkEnd w:id="0"/>
      <w:r w:rsidRPr="001F3B43">
        <w:rPr>
          <w:rFonts w:ascii="Palatino Linotype" w:hAnsi="Palatino Linotype" w:cstheme="majorHAnsi"/>
          <w:sz w:val="24"/>
          <w:szCs w:val="24"/>
        </w:rPr>
        <w:t xml:space="preserve">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A7742B7"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4748A2"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BA6D1B"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BF88131"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813395"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72A49B7D"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FEE0BBD"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A4518EA"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D9BF3F"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w:t>
      </w:r>
      <w:r w:rsidRPr="001F3B43">
        <w:rPr>
          <w:rFonts w:ascii="Palatino Linotype" w:hAnsi="Palatino Linotype" w:cstheme="majorHAnsi"/>
          <w:sz w:val="24"/>
          <w:szCs w:val="24"/>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78A9F7D"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1562D0"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6B7CAEAF"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94669B6" w14:textId="77777777" w:rsidR="00053364" w:rsidRPr="001F3B43" w:rsidRDefault="00053364" w:rsidP="000533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CONCEPTO Y ELEMENTOS QUE LO INTEGRAN A LA LUZ DEL DERECHO INTERNACIONAL DE LOS DERECHOS HUMANOS.”, visible en el Seminario Judicial de la Federación y su gaceta, con el registro digital 2002350.</w:t>
      </w:r>
    </w:p>
    <w:p w14:paraId="0D522198" w14:textId="77777777" w:rsidR="00053364" w:rsidRPr="00B01D73" w:rsidRDefault="00053364" w:rsidP="00053364">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3F14F07" w14:textId="77777777" w:rsidR="00252070" w:rsidRDefault="00252070"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67F74152"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5, pá</w:t>
      </w:r>
      <w:r w:rsidR="00D8428D">
        <w:rPr>
          <w:rFonts w:ascii="Palatino Linotype" w:eastAsia="Calibri" w:hAnsi="Palatino Linotype"/>
          <w:color w:val="000000" w:themeColor="text1"/>
          <w:sz w:val="24"/>
          <w:szCs w:val="24"/>
        </w:rPr>
        <w:tab/>
      </w:r>
      <w:r>
        <w:rPr>
          <w:rFonts w:ascii="Palatino Linotype" w:eastAsia="Calibri" w:hAnsi="Palatino Linotype"/>
          <w:color w:val="000000" w:themeColor="text1"/>
          <w:sz w:val="24"/>
          <w:szCs w:val="24"/>
        </w:rPr>
        <w:t xml:space="preserve">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 xml:space="preserve">Reglamento Interior del Instituto de Transparencia, Acceso a la </w:t>
      </w:r>
      <w:r>
        <w:rPr>
          <w:rFonts w:ascii="Palatino Linotype" w:eastAsia="Calibri" w:hAnsi="Palatino Linotype" w:cs="Arial"/>
          <w:b/>
          <w:color w:val="000000" w:themeColor="text1"/>
          <w:sz w:val="24"/>
          <w:szCs w:val="24"/>
        </w:rPr>
        <w:lastRenderedPageBreak/>
        <w:t>Información Pública y Protección de Datos Personales del Estado de México y Municipios.</w:t>
      </w:r>
    </w:p>
    <w:p w14:paraId="1391D456" w14:textId="77777777" w:rsidR="00905772" w:rsidRDefault="00905772"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84BEF8" w14:textId="77777777" w:rsidR="003B6539" w:rsidRDefault="003B6539" w:rsidP="0090577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1D3D4BC" w14:textId="137C8847" w:rsidR="00905772" w:rsidRDefault="00905772" w:rsidP="0090577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694DCCE" w14:textId="77777777" w:rsidR="00905772" w:rsidRPr="00514E66" w:rsidRDefault="00905772" w:rsidP="0090577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7E7A0A3" w14:textId="77777777" w:rsidR="00905772" w:rsidRDefault="00905772" w:rsidP="0090577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4842077" w14:textId="77777777" w:rsidR="00EB6D22" w:rsidRDefault="00EB6D22"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09176910" w:rsidR="0072378A" w:rsidRDefault="0072378A" w:rsidP="006D5803">
      <w:pPr>
        <w:tabs>
          <w:tab w:val="left" w:pos="709"/>
        </w:tabs>
        <w:spacing w:before="240" w:line="360" w:lineRule="auto"/>
        <w:ind w:right="51"/>
        <w:jc w:val="both"/>
        <w:rPr>
          <w:rFonts w:ascii="Palatino Linotype" w:hAnsi="Palatino Linotype"/>
          <w:sz w:val="24"/>
          <w:szCs w:val="24"/>
        </w:rPr>
      </w:pPr>
    </w:p>
    <w:p w14:paraId="1A7F3076" w14:textId="29D4095A" w:rsidR="007645A9" w:rsidRDefault="00EB6D22" w:rsidP="00EB6D22">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procedente mencionar que mediante la solicitud de información</w:t>
      </w:r>
      <w:r>
        <w:rPr>
          <w:rFonts w:ascii="Palatino Linotype" w:hAnsi="Palatino Linotype"/>
          <w:sz w:val="24"/>
          <w:szCs w:val="24"/>
        </w:rPr>
        <w:t xml:space="preserve"> </w:t>
      </w:r>
      <w:r w:rsidR="007645A9">
        <w:rPr>
          <w:rFonts w:ascii="Palatino Linotype" w:hAnsi="Palatino Linotype"/>
          <w:b/>
          <w:bCs/>
          <w:sz w:val="24"/>
          <w:szCs w:val="24"/>
        </w:rPr>
        <w:t xml:space="preserve">00889/FGJ/IP/2022 </w:t>
      </w:r>
      <w:r w:rsidR="007645A9">
        <w:rPr>
          <w:rFonts w:ascii="Palatino Linotype" w:hAnsi="Palatino Linotype"/>
          <w:sz w:val="24"/>
          <w:szCs w:val="24"/>
        </w:rPr>
        <w:t xml:space="preserve">fue formulado </w:t>
      </w:r>
      <w:r w:rsidR="007645A9">
        <w:rPr>
          <w:rFonts w:ascii="Palatino Linotype" w:hAnsi="Palatino Linotype"/>
          <w:b/>
          <w:bCs/>
          <w:sz w:val="24"/>
          <w:szCs w:val="24"/>
        </w:rPr>
        <w:t xml:space="preserve">1 -un- </w:t>
      </w:r>
      <w:r w:rsidR="007645A9">
        <w:rPr>
          <w:rFonts w:ascii="Palatino Linotype" w:hAnsi="Palatino Linotype"/>
          <w:sz w:val="24"/>
          <w:szCs w:val="24"/>
        </w:rPr>
        <w:t>requerimiento respecto del cual se desprenden la siguiente consideraci</w:t>
      </w:r>
      <w:r w:rsidR="002F4622">
        <w:rPr>
          <w:rFonts w:ascii="Palatino Linotype" w:hAnsi="Palatino Linotype"/>
          <w:sz w:val="24"/>
          <w:szCs w:val="24"/>
        </w:rPr>
        <w:t>ón</w:t>
      </w:r>
      <w:r w:rsidR="007645A9">
        <w:rPr>
          <w:rFonts w:ascii="Palatino Linotype" w:hAnsi="Palatino Linotype"/>
          <w:sz w:val="24"/>
          <w:szCs w:val="24"/>
        </w:rPr>
        <w:t>:</w:t>
      </w:r>
    </w:p>
    <w:p w14:paraId="652E9889" w14:textId="3D8D9AFF" w:rsidR="007645A9" w:rsidRDefault="007645A9" w:rsidP="007645A9">
      <w:pPr>
        <w:pStyle w:val="Prrafodelista"/>
        <w:numPr>
          <w:ilvl w:val="0"/>
          <w:numId w:val="20"/>
        </w:numPr>
        <w:spacing w:before="240" w:line="360" w:lineRule="auto"/>
        <w:jc w:val="both"/>
        <w:rPr>
          <w:rFonts w:ascii="Palatino Linotype" w:hAnsi="Palatino Linotype"/>
        </w:rPr>
      </w:pPr>
      <w:r>
        <w:rPr>
          <w:rFonts w:ascii="Palatino Linotype" w:hAnsi="Palatino Linotype"/>
        </w:rPr>
        <w:t xml:space="preserve">Que con relación al elemento temporal, el particular señaló </w:t>
      </w:r>
      <w:r>
        <w:rPr>
          <w:rFonts w:ascii="Palatino Linotype" w:hAnsi="Palatino Linotype"/>
          <w:i/>
          <w:iCs/>
        </w:rPr>
        <w:t>“de el mas reciente”</w:t>
      </w:r>
      <w:r>
        <w:rPr>
          <w:rFonts w:ascii="Palatino Linotype" w:hAnsi="Palatino Linotype"/>
        </w:rPr>
        <w:t xml:space="preserve">, luego entonces se desprende que alude </w:t>
      </w:r>
      <w:r w:rsidRPr="000F38E5">
        <w:rPr>
          <w:rFonts w:ascii="Palatino Linotype" w:hAnsi="Palatino Linotype"/>
        </w:rPr>
        <w:t xml:space="preserve">al </w:t>
      </w:r>
      <w:r w:rsidR="001850E5" w:rsidRPr="000F38E5">
        <w:rPr>
          <w:rFonts w:ascii="Palatino Linotype" w:hAnsi="Palatino Linotype"/>
        </w:rPr>
        <w:t>último</w:t>
      </w:r>
      <w:r w:rsidRPr="000F38E5">
        <w:rPr>
          <w:rFonts w:ascii="Palatino Linotype" w:hAnsi="Palatino Linotype"/>
        </w:rPr>
        <w:t xml:space="preserve"> disponible</w:t>
      </w:r>
      <w:r>
        <w:rPr>
          <w:rFonts w:ascii="Palatino Linotype" w:hAnsi="Palatino Linotype"/>
        </w:rPr>
        <w:t xml:space="preserve"> al ocho de </w:t>
      </w:r>
      <w:r>
        <w:rPr>
          <w:rFonts w:ascii="Palatino Linotype" w:hAnsi="Palatino Linotype"/>
        </w:rPr>
        <w:lastRenderedPageBreak/>
        <w:t xml:space="preserve">noviembre de dos mil veintidós, al corresponder a la fecha en que se ejerció el derecho de acceso a la información pública. </w:t>
      </w:r>
    </w:p>
    <w:p w14:paraId="12FBD057" w14:textId="77777777" w:rsidR="007645A9" w:rsidRDefault="007645A9" w:rsidP="00881A04">
      <w:pPr>
        <w:spacing w:before="240" w:line="360" w:lineRule="auto"/>
        <w:jc w:val="both"/>
        <w:rPr>
          <w:rFonts w:ascii="Palatino Linotype" w:hAnsi="Palatino Linotype"/>
          <w:sz w:val="24"/>
          <w:szCs w:val="24"/>
        </w:rPr>
      </w:pPr>
    </w:p>
    <w:p w14:paraId="4F55E73A" w14:textId="0C9AAB8C" w:rsidR="00881A04" w:rsidRPr="0051062B" w:rsidRDefault="002F4622" w:rsidP="00881A04">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881A04" w:rsidRPr="00A44FBE">
        <w:rPr>
          <w:rFonts w:ascii="Palatino Linotype" w:hAnsi="Palatino Linotype"/>
          <w:sz w:val="24"/>
          <w:szCs w:val="24"/>
        </w:rPr>
        <w:t xml:space="preserve">, con fundamento </w:t>
      </w:r>
      <w:r w:rsidR="00881A04" w:rsidRPr="0051062B">
        <w:rPr>
          <w:rFonts w:ascii="Palatino Linotype" w:hAnsi="Palatino Linotype"/>
          <w:sz w:val="24"/>
          <w:szCs w:val="24"/>
        </w:rPr>
        <w:t xml:space="preserve">en los artículos 13 y 181 cuarto párrafo de la Ley en materia, los cuales a la letra rezan: </w:t>
      </w:r>
    </w:p>
    <w:p w14:paraId="2D94887F" w14:textId="77777777" w:rsidR="00881A04" w:rsidRPr="0051062B" w:rsidRDefault="00881A04" w:rsidP="00881A0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64528B5" w14:textId="77777777" w:rsidR="00881A04" w:rsidRPr="0051062B" w:rsidRDefault="00881A04" w:rsidP="00881A04">
      <w:pPr>
        <w:pStyle w:val="Citas"/>
        <w:rPr>
          <w:b/>
        </w:rPr>
      </w:pPr>
      <w:r w:rsidRPr="0051062B">
        <w:rPr>
          <w:b/>
        </w:rPr>
        <w:t xml:space="preserve">Artículo 181. … </w:t>
      </w:r>
    </w:p>
    <w:p w14:paraId="163786EA" w14:textId="77777777" w:rsidR="00881A04" w:rsidRDefault="00881A04" w:rsidP="00881A0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B3F8CB5" w14:textId="77777777" w:rsidR="00881A04" w:rsidRDefault="00881A04" w:rsidP="00881A04">
      <w:pPr>
        <w:spacing w:before="240" w:line="360" w:lineRule="auto"/>
        <w:jc w:val="both"/>
        <w:rPr>
          <w:rFonts w:ascii="Palatino Linotype" w:hAnsi="Palatino Linotype"/>
          <w:sz w:val="24"/>
          <w:szCs w:val="24"/>
        </w:rPr>
      </w:pPr>
    </w:p>
    <w:p w14:paraId="0005E375" w14:textId="77777777" w:rsidR="00881A04" w:rsidRPr="00074A76" w:rsidRDefault="00881A04" w:rsidP="00881A0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bookmarkStart w:id="1" w:name="_Hlk121216119"/>
    </w:p>
    <w:p w14:paraId="40FAB8E7" w14:textId="4146D82E" w:rsidR="007645A9" w:rsidRPr="00074A76" w:rsidRDefault="007645A9" w:rsidP="007645A9">
      <w:pPr>
        <w:pStyle w:val="Prrafodelista"/>
        <w:numPr>
          <w:ilvl w:val="0"/>
          <w:numId w:val="2"/>
        </w:numPr>
        <w:spacing w:before="240" w:line="360" w:lineRule="auto"/>
        <w:jc w:val="both"/>
        <w:rPr>
          <w:rFonts w:ascii="Palatino Linotype" w:hAnsi="Palatino Linotype"/>
        </w:rPr>
      </w:pPr>
      <w:r>
        <w:rPr>
          <w:rFonts w:ascii="Palatino Linotype" w:hAnsi="Palatino Linotype" w:cs="Arial"/>
        </w:rPr>
        <w:t xml:space="preserve">El o los documentos que </w:t>
      </w:r>
      <w:r w:rsidRPr="000F38E5">
        <w:rPr>
          <w:rFonts w:ascii="Palatino Linotype" w:hAnsi="Palatino Linotype" w:cs="Arial"/>
        </w:rPr>
        <w:t xml:space="preserve">integren el </w:t>
      </w:r>
      <w:r w:rsidR="001850E5" w:rsidRPr="000F38E5">
        <w:rPr>
          <w:rFonts w:ascii="Palatino Linotype" w:hAnsi="Palatino Linotype" w:cs="Arial"/>
        </w:rPr>
        <w:t>último</w:t>
      </w:r>
      <w:r w:rsidRPr="000F38E5">
        <w:rPr>
          <w:rFonts w:ascii="Palatino Linotype" w:hAnsi="Palatino Linotype" w:cs="Arial"/>
        </w:rPr>
        <w:t xml:space="preserve"> expediente</w:t>
      </w:r>
      <w:r>
        <w:rPr>
          <w:rFonts w:ascii="Palatino Linotype" w:hAnsi="Palatino Linotype" w:cs="Arial"/>
        </w:rPr>
        <w:t xml:space="preserve"> concluido en el que se configure el delito de quebrantamiento de sellos, al ocho de noviembre de dos mil veintidós. </w:t>
      </w:r>
    </w:p>
    <w:p w14:paraId="7F2E60C7" w14:textId="4B2156DA" w:rsidR="00663446" w:rsidRPr="00074A76" w:rsidRDefault="00663446" w:rsidP="007645A9">
      <w:pPr>
        <w:pStyle w:val="Prrafodelista"/>
        <w:tabs>
          <w:tab w:val="left" w:pos="709"/>
        </w:tabs>
        <w:spacing w:before="240" w:line="360" w:lineRule="auto"/>
        <w:ind w:left="782" w:right="51"/>
        <w:jc w:val="both"/>
        <w:rPr>
          <w:rFonts w:ascii="Palatino Linotype" w:hAnsi="Palatino Linotype"/>
        </w:rPr>
      </w:pPr>
    </w:p>
    <w:bookmarkEnd w:id="1"/>
    <w:p w14:paraId="2F516616" w14:textId="26D81314" w:rsidR="008C3628" w:rsidRDefault="008C3628" w:rsidP="008C3628">
      <w:pPr>
        <w:autoSpaceDE w:val="0"/>
        <w:autoSpaceDN w:val="0"/>
        <w:adjustRightInd w:val="0"/>
        <w:spacing w:line="360" w:lineRule="auto"/>
        <w:jc w:val="both"/>
        <w:rPr>
          <w:rFonts w:ascii="Palatino Linotype" w:hAnsi="Palatino Linotype" w:cs="Arial"/>
          <w:sz w:val="24"/>
          <w:szCs w:val="24"/>
        </w:rPr>
      </w:pPr>
      <w:r w:rsidRPr="00AE463F">
        <w:rPr>
          <w:rFonts w:ascii="Palatino Linotype" w:hAnsi="Palatino Linotype" w:cs="Arial"/>
          <w:sz w:val="24"/>
          <w:szCs w:val="24"/>
        </w:rPr>
        <w:lastRenderedPageBreak/>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delimitar las fronteras conceptuales del quebrantamiento de sellos. </w:t>
      </w:r>
    </w:p>
    <w:p w14:paraId="20C348DE" w14:textId="77777777" w:rsidR="00244314" w:rsidRDefault="008C3628" w:rsidP="008C362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razón de lo anterior, desde una </w:t>
      </w:r>
      <w:r w:rsidR="00244314">
        <w:rPr>
          <w:rFonts w:ascii="Palatino Linotype" w:hAnsi="Palatino Linotype" w:cs="Arial"/>
          <w:sz w:val="24"/>
          <w:szCs w:val="24"/>
        </w:rPr>
        <w:t xml:space="preserve">perspectiva etimológica la palabra quebrantar proviene del latín </w:t>
      </w:r>
      <w:r w:rsidR="00244314">
        <w:rPr>
          <w:rFonts w:ascii="Palatino Linotype" w:hAnsi="Palatino Linotype" w:cs="Arial"/>
          <w:b/>
          <w:bCs/>
          <w:i/>
          <w:iCs/>
          <w:sz w:val="24"/>
          <w:szCs w:val="24"/>
        </w:rPr>
        <w:t xml:space="preserve">crepantare </w:t>
      </w:r>
      <w:r w:rsidR="00244314">
        <w:rPr>
          <w:rFonts w:ascii="Palatino Linotype" w:hAnsi="Palatino Linotype" w:cs="Arial"/>
          <w:sz w:val="24"/>
          <w:szCs w:val="24"/>
        </w:rPr>
        <w:t xml:space="preserve">(crujir, rasgarse, agrietarse). En contraste, la palabra sello proviene del latín </w:t>
      </w:r>
      <w:r w:rsidR="00244314">
        <w:rPr>
          <w:rFonts w:ascii="Palatino Linotype" w:hAnsi="Palatino Linotype" w:cs="Arial"/>
          <w:b/>
          <w:bCs/>
          <w:i/>
          <w:iCs/>
          <w:sz w:val="24"/>
          <w:szCs w:val="24"/>
        </w:rPr>
        <w:t xml:space="preserve">sigillum </w:t>
      </w:r>
      <w:r w:rsidR="00244314">
        <w:rPr>
          <w:rFonts w:ascii="Palatino Linotype" w:hAnsi="Palatino Linotype" w:cs="Arial"/>
          <w:sz w:val="24"/>
          <w:szCs w:val="24"/>
        </w:rPr>
        <w:t>(marca, señal o insignia). Asimismo, la Real Academia Española la define como:</w:t>
      </w:r>
    </w:p>
    <w:p w14:paraId="6DCAADBB" w14:textId="77777777" w:rsidR="00244314" w:rsidRDefault="00244314" w:rsidP="00244314">
      <w:pPr>
        <w:pStyle w:val="Citas"/>
      </w:pPr>
      <w:r>
        <w:t xml:space="preserve">“1. Delito de infidelidad en al custodia de documentos que consistía en la ruptura de los precintos con los que se protegía la confidencialidad del contenido del contenido de determinados documentos. </w:t>
      </w:r>
    </w:p>
    <w:p w14:paraId="6DA811AF" w14:textId="77777777" w:rsidR="00244314" w:rsidRDefault="00244314" w:rsidP="00244314">
      <w:pPr>
        <w:pStyle w:val="Citas"/>
      </w:pPr>
      <w:r>
        <w:t>2. El funcionario público que, teniendo a su cargo la custodia de papeles o efectos sellados por la autoridad, quebrantare los sellos o consintiere su quebrantamiento.</w:t>
      </w:r>
    </w:p>
    <w:p w14:paraId="4A60B803" w14:textId="03470F3E" w:rsidR="008C3628" w:rsidRPr="008C3628" w:rsidRDefault="00244314" w:rsidP="00244314">
      <w:pPr>
        <w:pStyle w:val="Citas"/>
      </w:pPr>
      <w:r>
        <w:t xml:space="preserve">3. delito de infidelidad en la custodia de documentos” </w:t>
      </w:r>
      <w:r>
        <w:rPr>
          <w:b/>
          <w:bCs/>
        </w:rPr>
        <w:t>(Sic)</w:t>
      </w:r>
      <w:r>
        <w:tab/>
      </w:r>
    </w:p>
    <w:p w14:paraId="5348C1BD" w14:textId="77777777" w:rsidR="008C3628" w:rsidRDefault="008C3628" w:rsidP="008C3628">
      <w:pPr>
        <w:spacing w:after="0" w:line="360" w:lineRule="auto"/>
        <w:jc w:val="both"/>
        <w:rPr>
          <w:rFonts w:ascii="Palatino Linotype" w:hAnsi="Palatino Linotype" w:cs="Arial"/>
          <w:sz w:val="24"/>
          <w:szCs w:val="24"/>
        </w:rPr>
      </w:pPr>
    </w:p>
    <w:p w14:paraId="1F4D6A5E" w14:textId="24B3C9D1" w:rsidR="008C3628" w:rsidRDefault="00A60803" w:rsidP="008C3628">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De esta manera, en el delito que nos ocupa se arriba a la premisa de que comete dicho delito quien quebrante los sellos puestos por orden de la autoridad competente o quebrante la restricción impuesta por la autoridad aún sin afectar los sellos.</w:t>
      </w:r>
    </w:p>
    <w:p w14:paraId="205213FF" w14:textId="77777777" w:rsidR="002F4622" w:rsidRDefault="002F4622" w:rsidP="008C3628">
      <w:pPr>
        <w:spacing w:after="0" w:line="360" w:lineRule="auto"/>
        <w:jc w:val="both"/>
        <w:rPr>
          <w:rFonts w:ascii="Palatino Linotype" w:hAnsi="Palatino Linotype" w:cs="Arial"/>
          <w:sz w:val="24"/>
          <w:szCs w:val="24"/>
        </w:rPr>
      </w:pPr>
    </w:p>
    <w:p w14:paraId="46E8A8F3" w14:textId="77F64B52" w:rsidR="008C3628" w:rsidRDefault="008C3628" w:rsidP="008C362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66A658A1"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6A2F6FA"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4E98A2C" w14:textId="77777777" w:rsidR="008C3628" w:rsidRPr="00C231A5" w:rsidRDefault="008C3628" w:rsidP="008C3628">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0E667A0D" w14:textId="77777777" w:rsidR="008C3628" w:rsidRPr="009535E0" w:rsidRDefault="008C3628" w:rsidP="008C362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6503D1" w14:textId="77777777" w:rsidR="008C3628" w:rsidRDefault="008C3628" w:rsidP="008C362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A501A28" w14:textId="07D5D28A" w:rsidR="008C3628" w:rsidRDefault="008C3628" w:rsidP="008C3628">
      <w:pPr>
        <w:pStyle w:val="INFOEM"/>
        <w:rPr>
          <w:b/>
        </w:rPr>
      </w:pPr>
      <w:r>
        <w:t xml:space="preserve"> (…)” </w:t>
      </w:r>
      <w:r>
        <w:rPr>
          <w:b/>
        </w:rPr>
        <w:t xml:space="preserve">[Sic] </w:t>
      </w:r>
    </w:p>
    <w:p w14:paraId="30FAB4C0" w14:textId="77777777" w:rsidR="002F4622" w:rsidRPr="00A94BBE" w:rsidRDefault="002F4622" w:rsidP="008C3628">
      <w:pPr>
        <w:pStyle w:val="INFOEM"/>
        <w:rPr>
          <w:b/>
        </w:rPr>
      </w:pPr>
    </w:p>
    <w:p w14:paraId="0ED76DE9" w14:textId="076696A6" w:rsidR="007645A9" w:rsidRDefault="0060511C"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Sirven de sustento las siguientes imágenes ilustrativas:</w:t>
      </w:r>
    </w:p>
    <w:p w14:paraId="05AE1B26" w14:textId="39FA7474" w:rsidR="0060511C" w:rsidRDefault="0060511C" w:rsidP="006D5803">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4864" behindDoc="0" locked="0" layoutInCell="1" allowOverlap="1" wp14:anchorId="11711BD9" wp14:editId="22078642">
            <wp:simplePos x="0" y="0"/>
            <wp:positionH relativeFrom="column">
              <wp:posOffset>20955</wp:posOffset>
            </wp:positionH>
            <wp:positionV relativeFrom="paragraph">
              <wp:posOffset>3710305</wp:posOffset>
            </wp:positionV>
            <wp:extent cx="5695315" cy="3552825"/>
            <wp:effectExtent l="19050" t="19050" r="19685" b="28575"/>
            <wp:wrapThrough wrapText="bothSides">
              <wp:wrapPolygon edited="0">
                <wp:start x="-72" y="-116"/>
                <wp:lineTo x="-72" y="21658"/>
                <wp:lineTo x="21602" y="21658"/>
                <wp:lineTo x="21602" y="-116"/>
                <wp:lineTo x="-72" y="-11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315" cy="3552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83840" behindDoc="0" locked="0" layoutInCell="1" allowOverlap="1" wp14:anchorId="2AA4FEAD" wp14:editId="75DF8198">
            <wp:simplePos x="0" y="0"/>
            <wp:positionH relativeFrom="column">
              <wp:posOffset>20955</wp:posOffset>
            </wp:positionH>
            <wp:positionV relativeFrom="paragraph">
              <wp:posOffset>21590</wp:posOffset>
            </wp:positionV>
            <wp:extent cx="5695315" cy="3552825"/>
            <wp:effectExtent l="19050" t="19050" r="19685" b="28575"/>
            <wp:wrapThrough wrapText="bothSides">
              <wp:wrapPolygon edited="0">
                <wp:start x="-72" y="-116"/>
                <wp:lineTo x="-72" y="21658"/>
                <wp:lineTo x="21602" y="21658"/>
                <wp:lineTo x="21602" y="-116"/>
                <wp:lineTo x="-72" y="-11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315" cy="3552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t xml:space="preserve"> </w:t>
      </w:r>
    </w:p>
    <w:p w14:paraId="19CE65D1" w14:textId="51FB9C63" w:rsidR="003F0EC7" w:rsidRPr="00A60803" w:rsidRDefault="000B2A89" w:rsidP="00A60803">
      <w:pPr>
        <w:tabs>
          <w:tab w:val="left" w:pos="709"/>
        </w:tabs>
        <w:spacing w:before="240" w:line="360" w:lineRule="auto"/>
        <w:ind w:right="51"/>
        <w:jc w:val="both"/>
        <w:rPr>
          <w:rFonts w:ascii="Palatino Linotype" w:hAnsi="Palatino Linotype" w:cs="Arial"/>
          <w:sz w:val="24"/>
          <w:szCs w:val="24"/>
        </w:rPr>
      </w:pPr>
      <w:r w:rsidRPr="00A60803">
        <w:rPr>
          <w:rFonts w:ascii="Palatino Linotype" w:hAnsi="Palatino Linotype" w:cs="Arial"/>
          <w:sz w:val="24"/>
          <w:szCs w:val="24"/>
        </w:rPr>
        <w:lastRenderedPageBreak/>
        <w:t>D</w:t>
      </w:r>
      <w:r w:rsidR="003F0EC7" w:rsidRPr="00A60803">
        <w:rPr>
          <w:rFonts w:ascii="Palatino Linotype" w:hAnsi="Palatino Linotype" w:cs="Arial"/>
          <w:sz w:val="24"/>
          <w:szCs w:val="24"/>
        </w:rPr>
        <w:t xml:space="preserve">e lo expuesto con anterioridad, se desprende que </w:t>
      </w:r>
      <w:r w:rsidR="003F0EC7" w:rsidRPr="00A60803">
        <w:rPr>
          <w:rFonts w:ascii="Palatino Linotype" w:hAnsi="Palatino Linotype" w:cs="Arial"/>
          <w:b/>
          <w:sz w:val="24"/>
          <w:szCs w:val="24"/>
        </w:rPr>
        <w:t xml:space="preserve">El Sujeto Obligado </w:t>
      </w:r>
      <w:r w:rsidR="003F0EC7" w:rsidRPr="00A60803">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60511C">
        <w:rPr>
          <w:rFonts w:ascii="Palatino Linotype" w:hAnsi="Palatino Linotype" w:cs="Arial"/>
          <w:sz w:val="24"/>
          <w:szCs w:val="24"/>
        </w:rPr>
        <w:t>Fiscalía Central Jurídica</w:t>
      </w:r>
      <w:r w:rsidR="0071760A">
        <w:rPr>
          <w:rFonts w:ascii="Palatino Linotype" w:hAnsi="Palatino Linotype" w:cs="Arial"/>
          <w:sz w:val="24"/>
          <w:szCs w:val="24"/>
        </w:rPr>
        <w:t xml:space="preserve">, así como su Dirección General Jurídica y Consultiva. </w:t>
      </w:r>
    </w:p>
    <w:p w14:paraId="04EEA610" w14:textId="73CD779C" w:rsidR="003F0EC7" w:rsidRDefault="003F0EC7" w:rsidP="003F0EC7">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resulta oportuno traer a colación </w:t>
      </w:r>
      <w:r w:rsidR="00FC2D84">
        <w:rPr>
          <w:rFonts w:ascii="Palatino Linotype" w:hAnsi="Palatino Linotype" w:cs="Arial"/>
          <w:sz w:val="24"/>
          <w:szCs w:val="24"/>
        </w:rPr>
        <w:t xml:space="preserve">los </w:t>
      </w:r>
      <w:r w:rsidR="009B3329">
        <w:rPr>
          <w:rFonts w:ascii="Palatino Linotype" w:hAnsi="Palatino Linotype" w:cs="Arial"/>
          <w:sz w:val="24"/>
          <w:szCs w:val="24"/>
        </w:rPr>
        <w:t>artículos 221, 309, 329 y 382 del Código de Procedimientos Penales del Estado de México</w:t>
      </w:r>
      <w:r w:rsidR="0033333B">
        <w:rPr>
          <w:rFonts w:ascii="Palatino Linotype" w:hAnsi="Palatino Linotype" w:cs="Arial"/>
          <w:sz w:val="24"/>
          <w:szCs w:val="24"/>
        </w:rPr>
        <w:t>; numerales 124, 124 Bis y 125 del Código Penal del Estado de México; así como el artículo 32, fracciones I, II y IV del Reglamento de la Ley Orgánica de la Procuraduría General de Justicia del Estado de México, porciones normativas que disponen a la literalidad lo siguiente:</w:t>
      </w:r>
    </w:p>
    <w:p w14:paraId="6014005D" w14:textId="0AEBE532" w:rsidR="0060511C" w:rsidRPr="009B3329" w:rsidRDefault="009B3329" w:rsidP="009B3329">
      <w:pPr>
        <w:pStyle w:val="Citas"/>
        <w:rPr>
          <w:b/>
          <w:bCs/>
        </w:rPr>
      </w:pPr>
      <w:r w:rsidRPr="009B3329">
        <w:rPr>
          <w:b/>
          <w:bCs/>
        </w:rPr>
        <w:t>CÓDIGO DE PROCEDIMIENTOS PENALES PARA EL ESTADO DE MÉXICO</w:t>
      </w:r>
    </w:p>
    <w:p w14:paraId="18FF8F1B" w14:textId="16A2A8A0" w:rsidR="009B3329" w:rsidRDefault="0033333B" w:rsidP="009B3329">
      <w:pPr>
        <w:pStyle w:val="Citas"/>
      </w:pPr>
      <w:r>
        <w:t>“</w:t>
      </w:r>
      <w:r w:rsidR="009B3329">
        <w:t>Artículo 221. La etapa de investigación tiene por objeto determinar si hay fundamento para iniciar un proceso penal, mediante la obtención de los elementos que permitan sustentar la acusación y garantizar la defensa del imputado.</w:t>
      </w:r>
    </w:p>
    <w:p w14:paraId="6D9A01CD" w14:textId="40FC8AA5" w:rsidR="009B3329" w:rsidRDefault="009B3329" w:rsidP="009B3329">
      <w:pPr>
        <w:pStyle w:val="Citas"/>
      </w:pPr>
      <w:r>
        <w:t>Estará a cargo del ministerio público y de la policía que actuará bajo la conducción y mando de aquél en el ejercicio de esta función</w:t>
      </w:r>
    </w:p>
    <w:p w14:paraId="335FB8A1" w14:textId="201D0D19" w:rsidR="009B3329" w:rsidRDefault="009B3329" w:rsidP="009B3329">
      <w:pPr>
        <w:pStyle w:val="Citas"/>
      </w:pPr>
      <w:r>
        <w:t>Artículo 309. La etapa intermedia tiene por objeto el ofrecimiento y admisión de pruebas, así como la depuración de los hechos controvertidos que serán materia de juicio oral.</w:t>
      </w:r>
    </w:p>
    <w:p w14:paraId="158C40FD" w14:textId="6ED37741" w:rsidR="009B3329" w:rsidRDefault="009B3329" w:rsidP="009B3329">
      <w:pPr>
        <w:pStyle w:val="Citas"/>
      </w:pPr>
      <w:r>
        <w:t>Artículo 329. El juicio es la etapa de decisión de las cuestiones esenciales del proceso.</w:t>
      </w:r>
    </w:p>
    <w:p w14:paraId="6669BAAC" w14:textId="1F21B296" w:rsidR="009B3329" w:rsidRPr="002F4622" w:rsidRDefault="0060511C" w:rsidP="009B3329">
      <w:pPr>
        <w:pStyle w:val="Citas"/>
        <w:rPr>
          <w:b/>
          <w:bCs/>
          <w:u w:val="single"/>
        </w:rPr>
      </w:pPr>
      <w:r w:rsidRPr="002F4622">
        <w:rPr>
          <w:b/>
          <w:bCs/>
          <w:u w:val="single"/>
        </w:rPr>
        <w:lastRenderedPageBreak/>
        <w:t xml:space="preserve">Artículo 382. Terminado el debate, el juez o tribunal procederá a emitir sentencia, y sólo en casos excepcionales expresando el motivo, podrá aplazar su pronunciamiento, suspendiendo la audiencia hasta por tres días. La sentencia será explicada en la audiencia. </w:t>
      </w:r>
    </w:p>
    <w:p w14:paraId="79235A6A" w14:textId="7438C929" w:rsidR="0060511C" w:rsidRDefault="0060511C" w:rsidP="009B3329">
      <w:pPr>
        <w:pStyle w:val="Citas"/>
      </w:pPr>
      <w:r>
        <w:t>Tratándose del tribunal de juicio oral, en casos de extrema complejidad los jueces podrán retirarse a deliberar de manera privada y continúa hasta emitir su resolución</w:t>
      </w:r>
      <w:r w:rsidR="009B3329">
        <w:t>.</w:t>
      </w:r>
    </w:p>
    <w:p w14:paraId="418A31BE" w14:textId="4436A830" w:rsidR="009B3329" w:rsidRPr="0033333B" w:rsidRDefault="009B3329" w:rsidP="009B3329">
      <w:pPr>
        <w:pStyle w:val="Citas"/>
        <w:rPr>
          <w:b/>
          <w:bCs/>
        </w:rPr>
      </w:pPr>
      <w:r>
        <w:t>El tribunal de juicio oral tomará sus decisiones por unanimidad o mayoría de votos. Sólo en las sentencias se formulará voto particular.</w:t>
      </w:r>
      <w:r w:rsidR="0033333B">
        <w:t xml:space="preserve">” </w:t>
      </w:r>
      <w:r w:rsidR="0033333B">
        <w:rPr>
          <w:b/>
          <w:bCs/>
        </w:rPr>
        <w:t>(Sic)</w:t>
      </w:r>
    </w:p>
    <w:p w14:paraId="6834C588" w14:textId="77777777" w:rsidR="0060511C" w:rsidRDefault="0060511C" w:rsidP="003F0EC7">
      <w:pPr>
        <w:spacing w:before="240" w:after="240" w:line="360" w:lineRule="auto"/>
        <w:jc w:val="both"/>
        <w:rPr>
          <w:rFonts w:ascii="Palatino Linotype" w:hAnsi="Palatino Linotype" w:cs="Arial"/>
          <w:sz w:val="24"/>
          <w:szCs w:val="24"/>
        </w:rPr>
      </w:pPr>
    </w:p>
    <w:p w14:paraId="266057A3" w14:textId="009FFFA8" w:rsidR="0060511C" w:rsidRPr="009B3329" w:rsidRDefault="009B3329" w:rsidP="0033333B">
      <w:pPr>
        <w:pStyle w:val="Citas"/>
        <w:jc w:val="center"/>
        <w:rPr>
          <w:b/>
          <w:bCs/>
        </w:rPr>
      </w:pPr>
      <w:r w:rsidRPr="009B3329">
        <w:rPr>
          <w:b/>
          <w:bCs/>
        </w:rPr>
        <w:t>CÓDIGO PENAL DEL ESTADO DE MÉXICO</w:t>
      </w:r>
    </w:p>
    <w:p w14:paraId="3DCAFA88" w14:textId="03145BF5" w:rsidR="009B3329" w:rsidRPr="0033333B" w:rsidRDefault="0033333B" w:rsidP="009B3329">
      <w:pPr>
        <w:pStyle w:val="Citas"/>
        <w:rPr>
          <w:b/>
          <w:bCs/>
          <w:u w:val="single"/>
        </w:rPr>
      </w:pPr>
      <w:r w:rsidRPr="0033333B">
        <w:rPr>
          <w:b/>
          <w:bCs/>
          <w:u w:val="single"/>
        </w:rPr>
        <w:t>“</w:t>
      </w:r>
      <w:r w:rsidR="009B3329" w:rsidRPr="0033333B">
        <w:rPr>
          <w:b/>
          <w:bCs/>
          <w:u w:val="single"/>
        </w:rPr>
        <w:t>Artículo 124. Comete este delito el que quebrante los sellos puestos por orden de la autoridad competente o quebrante la restricción impuesta por la autoridad aun sin afectar los sellos y se le impondrán de uno a siete años de prisión y de cien a quinientos días multa.</w:t>
      </w:r>
    </w:p>
    <w:p w14:paraId="70CBD28C" w14:textId="3EF00EDB" w:rsidR="009B3329" w:rsidRDefault="009B3329" w:rsidP="009B3329">
      <w:pPr>
        <w:pStyle w:val="Citas"/>
      </w:pPr>
      <w:r>
        <w:t>Cuando el quebrantamiento se haga en sellos colocados en unidades económicas con venta de bebidas alcohólicas, las penas se aumentarán hasta en una mitad.</w:t>
      </w:r>
    </w:p>
    <w:p w14:paraId="1A76CE10" w14:textId="3A28AB36" w:rsidR="009B3329" w:rsidRDefault="009B3329" w:rsidP="009B3329">
      <w:pPr>
        <w:pStyle w:val="Citas"/>
      </w:pPr>
      <w:r>
        <w:t xml:space="preserve">Se equipara al delito de quebrantamiento de sellos y se sancionará con una pena de cuatro a ocho años de prisión y de quinientos a mil días multa al titular, propietario o responsable en unidades económicas con venta de bebidas alcohólicas y en las unidades económicas dedicadas a! aprovechamiento de vehículos usados, en estado de clausura o suspensión de actividades, que use, realice, promueva o tolere actos de </w:t>
      </w:r>
      <w:r>
        <w:lastRenderedPageBreak/>
        <w:t>comercio, o prestación de un servicio en el inmueble, aun cuando los sellos permanezcan incólumes.</w:t>
      </w:r>
    </w:p>
    <w:p w14:paraId="453CF808" w14:textId="32FA4437" w:rsidR="009B3329" w:rsidRDefault="009B3329" w:rsidP="009B3329">
      <w:pPr>
        <w:pStyle w:val="Citas"/>
      </w:pPr>
      <w:r>
        <w:t>Artículo 124 Bis. Incurre en igual delito y se le impondrá de tres a ocho años y seis meses de prisión y de quinientos a mil días multa, al que obligado por una resolución de autoridad competente a mantener el estado de clausura o de suspensión de actividades, no la acate</w:t>
      </w:r>
    </w:p>
    <w:p w14:paraId="4617CBD2" w14:textId="3F787A12" w:rsidR="009B3329" w:rsidRPr="0033333B" w:rsidRDefault="009B3329" w:rsidP="009B3329">
      <w:pPr>
        <w:pStyle w:val="Citas"/>
        <w:rPr>
          <w:b/>
          <w:bCs/>
        </w:rPr>
      </w:pPr>
      <w:r>
        <w:t>Artículo 125.- Incurren en igual delito las partes en un juicio civil, cuando de común acuerdo alteren, destruyan o quiten, los sellos puestos por la autoridad y se les impondrán de treinta a doscientos días multa.</w:t>
      </w:r>
      <w:r w:rsidR="0033333B">
        <w:t xml:space="preserve">” </w:t>
      </w:r>
      <w:r w:rsidR="0033333B">
        <w:rPr>
          <w:b/>
          <w:bCs/>
        </w:rPr>
        <w:t>(Sic)</w:t>
      </w:r>
    </w:p>
    <w:p w14:paraId="282EA55A" w14:textId="4E871F2A" w:rsidR="0060511C" w:rsidRDefault="0060511C" w:rsidP="003F0EC7">
      <w:pPr>
        <w:spacing w:before="240" w:after="240" w:line="360" w:lineRule="auto"/>
        <w:jc w:val="both"/>
        <w:rPr>
          <w:rFonts w:ascii="Palatino Linotype" w:hAnsi="Palatino Linotype" w:cs="Arial"/>
          <w:sz w:val="24"/>
          <w:szCs w:val="24"/>
        </w:rPr>
      </w:pPr>
    </w:p>
    <w:p w14:paraId="30C35EE2" w14:textId="0BEFD17E" w:rsidR="0033333B" w:rsidRPr="0033333B" w:rsidRDefault="0033333B" w:rsidP="0033333B">
      <w:pPr>
        <w:pStyle w:val="Citas"/>
        <w:jc w:val="center"/>
        <w:rPr>
          <w:b/>
          <w:bCs/>
        </w:rPr>
      </w:pPr>
      <w:r w:rsidRPr="0033333B">
        <w:rPr>
          <w:b/>
          <w:bCs/>
        </w:rPr>
        <w:t>REGLAMENTO DE LA LEY ORGÁNICA DE LA PROCURADURÍA GENERAL DE JUSTICIA DEL ESTADO DE MÉXICO</w:t>
      </w:r>
    </w:p>
    <w:p w14:paraId="3C84D25D" w14:textId="33F51CE6" w:rsidR="0033333B" w:rsidRDefault="0033333B" w:rsidP="0033333B">
      <w:pPr>
        <w:pStyle w:val="Citas"/>
      </w:pPr>
      <w:r>
        <w:t>“</w:t>
      </w:r>
      <w:r w:rsidR="0071760A">
        <w:t xml:space="preserve">Atribuciones de la Dirección General Jurídica y Consultiva </w:t>
      </w:r>
    </w:p>
    <w:p w14:paraId="6E7DA2C6" w14:textId="19390BC2" w:rsidR="0060511C" w:rsidRDefault="0071760A" w:rsidP="0033333B">
      <w:pPr>
        <w:pStyle w:val="Citas"/>
      </w:pPr>
      <w:r>
        <w:t>Artículo 32. Al frente de la Dirección General Jurídica y Consultiva habrá un Director General, quien se auxiliará de las unidades administrativas y servidores públicos necesarios para el cumplimiento de sus atribuciones, de acuerdo con las disposiciones legales en la materia. Corresponde a la Dirección General Jurídica y Consultiva las atribuciones siguientes:</w:t>
      </w:r>
    </w:p>
    <w:p w14:paraId="39B4F5DF" w14:textId="77777777" w:rsidR="0071760A" w:rsidRPr="0033333B" w:rsidRDefault="0071760A" w:rsidP="0033333B">
      <w:pPr>
        <w:pStyle w:val="Citas"/>
        <w:rPr>
          <w:b/>
          <w:bCs/>
          <w:u w:val="single"/>
        </w:rPr>
      </w:pPr>
      <w:r w:rsidRPr="0033333B">
        <w:rPr>
          <w:b/>
          <w:bCs/>
          <w:u w:val="single"/>
        </w:rPr>
        <w:t xml:space="preserve">I. Realizar la defensa jurídica de la Procuraduría ante cualquier instancia y representar jurídicamente al Procurador y, en su caso, a los titulares de las áreas o unidades de la Procuraduría ante autoridades administrativas, judiciales y laborales; </w:t>
      </w:r>
    </w:p>
    <w:p w14:paraId="43ECFA14" w14:textId="0BC5DB10" w:rsidR="0071760A" w:rsidRPr="0033333B" w:rsidRDefault="0071760A" w:rsidP="0033333B">
      <w:pPr>
        <w:pStyle w:val="Citas"/>
      </w:pPr>
      <w:r w:rsidRPr="0033333B">
        <w:lastRenderedPageBreak/>
        <w:t>II. Representar legal y jurídicamente a la Procuraduría ante autoridades jurisdiccionales, administrativas y legislativas federales, estatales o municipales, incluso en materia de amparo;</w:t>
      </w:r>
    </w:p>
    <w:p w14:paraId="4071AE35" w14:textId="57E90BFE" w:rsidR="0071760A" w:rsidRDefault="0071760A" w:rsidP="0033333B">
      <w:pPr>
        <w:pStyle w:val="Citas"/>
      </w:pPr>
      <w:r>
        <w:t>(…)</w:t>
      </w:r>
    </w:p>
    <w:p w14:paraId="227E02AA" w14:textId="5F896358" w:rsidR="0071760A" w:rsidRDefault="0071760A" w:rsidP="0033333B">
      <w:pPr>
        <w:pStyle w:val="Citas"/>
      </w:pPr>
      <w:r>
        <w:t>IV. Formular y presentar querellas o denuncias por hechos probablemente constitutivos de delito que afecten los intereses de la Procuraduría, así como otorgar perdón cuando éste proceda;</w:t>
      </w:r>
    </w:p>
    <w:p w14:paraId="34B502FB" w14:textId="6E04E0D9" w:rsidR="0033333B" w:rsidRPr="0033333B" w:rsidRDefault="0033333B" w:rsidP="0033333B">
      <w:pPr>
        <w:pStyle w:val="Citas"/>
        <w:rPr>
          <w:b/>
          <w:bCs/>
        </w:rPr>
      </w:pPr>
      <w:r>
        <w:t xml:space="preserve">(…)” </w:t>
      </w:r>
      <w:r>
        <w:rPr>
          <w:b/>
          <w:bCs/>
        </w:rPr>
        <w:t>(Sic)</w:t>
      </w:r>
    </w:p>
    <w:p w14:paraId="19FE58BC" w14:textId="4D9ED2FA" w:rsidR="0071760A" w:rsidRDefault="0071760A" w:rsidP="003F0EC7">
      <w:pPr>
        <w:spacing w:before="240" w:after="240" w:line="360" w:lineRule="auto"/>
        <w:jc w:val="both"/>
      </w:pPr>
    </w:p>
    <w:p w14:paraId="6110A0E0" w14:textId="22B73272" w:rsidR="0071760A" w:rsidRDefault="0033333B" w:rsidP="003F0EC7">
      <w:pPr>
        <w:spacing w:before="240" w:after="240" w:line="360" w:lineRule="auto"/>
        <w:jc w:val="both"/>
        <w:rPr>
          <w:rFonts w:ascii="Palatino Linotype" w:hAnsi="Palatino Linotype"/>
          <w:sz w:val="24"/>
          <w:szCs w:val="24"/>
        </w:rPr>
      </w:pPr>
      <w:r w:rsidRPr="0033333B">
        <w:rPr>
          <w:rFonts w:ascii="Palatino Linotype" w:hAnsi="Palatino Linotype"/>
          <w:sz w:val="24"/>
          <w:szCs w:val="24"/>
        </w:rPr>
        <w:t xml:space="preserve">De ahí </w:t>
      </w:r>
      <w:r>
        <w:rPr>
          <w:rFonts w:ascii="Palatino Linotype" w:hAnsi="Palatino Linotype"/>
          <w:sz w:val="24"/>
          <w:szCs w:val="24"/>
        </w:rPr>
        <w:t xml:space="preserve">que deba arribarse a la premisa de que el delito de quebrantamiento de sellos no solo se actualiza con la ruptura, destrucción o separación violenta, pues lo que se requiere fundamentalmente es que se vulnere la salvaguarda realizada sobre objetos o espacios restringidos. </w:t>
      </w:r>
    </w:p>
    <w:p w14:paraId="69170878" w14:textId="7206BA3C" w:rsidR="0033333B" w:rsidRPr="0033333B" w:rsidRDefault="0033333B" w:rsidP="003F0EC7">
      <w:pPr>
        <w:spacing w:before="240" w:after="240" w:line="360" w:lineRule="auto"/>
        <w:jc w:val="both"/>
        <w:rPr>
          <w:rFonts w:ascii="Palatino Linotype" w:hAnsi="Palatino Linotype"/>
          <w:sz w:val="24"/>
          <w:szCs w:val="24"/>
        </w:rPr>
      </w:pPr>
      <w:r>
        <w:rPr>
          <w:rFonts w:ascii="Palatino Linotype" w:hAnsi="Palatino Linotype"/>
          <w:sz w:val="24"/>
          <w:szCs w:val="24"/>
        </w:rPr>
        <w:t xml:space="preserve">Por otra parte, se destaca que la Dirección General Jurídica y Consultiva, dependiente de la Fiscalía Central Jurídica funge como una de las unidades administrativas competentes para generar, poseer o administrar la información, al tomar en consideración que </w:t>
      </w:r>
      <w:r w:rsidR="001E516D">
        <w:rPr>
          <w:rFonts w:ascii="Palatino Linotype" w:hAnsi="Palatino Linotype"/>
          <w:sz w:val="24"/>
          <w:szCs w:val="24"/>
        </w:rPr>
        <w:t xml:space="preserve">resulta competente para formular y presentar querellas o denuncias, así como para ejercer actos de representación frente a diversos entes públicos, destacando juzgados y tribunales.  </w:t>
      </w:r>
    </w:p>
    <w:p w14:paraId="4DD63C26" w14:textId="26E7E8CD" w:rsidR="00C065F7" w:rsidRDefault="002F4622" w:rsidP="00C065F7">
      <w:pPr>
        <w:spacing w:line="360" w:lineRule="auto"/>
        <w:jc w:val="both"/>
        <w:rPr>
          <w:rFonts w:ascii="Palatino Linotype" w:hAnsi="Palatino Linotype" w:cs="Arial"/>
          <w:sz w:val="24"/>
          <w:szCs w:val="24"/>
        </w:rPr>
      </w:pPr>
      <w:r>
        <w:rPr>
          <w:rFonts w:ascii="Palatino Linotype" w:hAnsi="Palatino Linotype" w:cs="Arial"/>
          <w:sz w:val="24"/>
          <w:szCs w:val="24"/>
        </w:rPr>
        <w:t>Adicionalmente</w:t>
      </w:r>
      <w:r w:rsidR="00C065F7">
        <w:rPr>
          <w:rFonts w:ascii="Palatino Linotype" w:hAnsi="Palatino Linotype" w:cs="Arial"/>
          <w:sz w:val="24"/>
          <w:szCs w:val="24"/>
        </w:rPr>
        <w:t xml:space="preserve">, en términos de los numerales 18 y 19 de la Ley de Transparencia local existe obligación de documentar actos de autoridad, así como una presunción de </w:t>
      </w:r>
      <w:r w:rsidR="00C065F7">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2ECE5732" w14:textId="77777777" w:rsidR="00C065F7" w:rsidRDefault="00C065F7" w:rsidP="00C065F7">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CF3E764" w14:textId="77777777" w:rsidR="00C065F7" w:rsidRDefault="00C065F7" w:rsidP="00C065F7">
      <w:pPr>
        <w:pStyle w:val="Citas"/>
      </w:pPr>
      <w:r>
        <w:t xml:space="preserve">Artículo 19. Se presume que la información debe existir si se refiere a las facultades, competencias y funciones que los ordenamientos jurídicos aplicables otorgan a los sujetos obligados. </w:t>
      </w:r>
    </w:p>
    <w:p w14:paraId="7400B314" w14:textId="77777777" w:rsidR="00C065F7" w:rsidRDefault="00C065F7" w:rsidP="00C065F7">
      <w:pPr>
        <w:pStyle w:val="Citas"/>
      </w:pPr>
      <w:r>
        <w:t xml:space="preserve">En los casos en que ciertas facultades, competencias o funciones no se hayan ejercido, se debe motivar la respuesta en función de las causas que motiven tal circunstancia. </w:t>
      </w:r>
    </w:p>
    <w:p w14:paraId="59E2F89B" w14:textId="77777777" w:rsidR="00C065F7" w:rsidRPr="00407C65" w:rsidRDefault="00C065F7" w:rsidP="00C065F7">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5C7B1DB" w14:textId="77777777" w:rsidR="00502595" w:rsidRDefault="00502595" w:rsidP="00502595">
      <w:pPr>
        <w:spacing w:before="240" w:line="360" w:lineRule="auto"/>
        <w:jc w:val="both"/>
        <w:rPr>
          <w:rFonts w:ascii="Palatino Linotype" w:hAnsi="Palatino Linotype"/>
          <w:sz w:val="24"/>
          <w:szCs w:val="24"/>
        </w:rPr>
      </w:pPr>
    </w:p>
    <w:p w14:paraId="7758A433" w14:textId="06767F93" w:rsidR="001E516D" w:rsidRDefault="00C065F7" w:rsidP="00C065F7">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sidR="008F6161">
        <w:rPr>
          <w:rFonts w:ascii="Palatino Linotype" w:hAnsi="Palatino Linotype"/>
          <w:sz w:val="24"/>
          <w:szCs w:val="24"/>
        </w:rPr>
        <w:t>segundo</w:t>
      </w:r>
      <w:r>
        <w:rPr>
          <w:rFonts w:ascii="Palatino Linotype" w:hAnsi="Palatino Linotype"/>
          <w:sz w:val="24"/>
          <w:szCs w:val="24"/>
        </w:rPr>
        <w:t xml:space="preserve">, </w:t>
      </w:r>
      <w:r>
        <w:rPr>
          <w:rFonts w:ascii="Palatino Linotype" w:hAnsi="Palatino Linotype"/>
          <w:b/>
          <w:sz w:val="24"/>
          <w:szCs w:val="24"/>
        </w:rPr>
        <w:t xml:space="preserve">El Sujeto Obligado </w:t>
      </w:r>
      <w:r>
        <w:rPr>
          <w:rFonts w:ascii="Palatino Linotype" w:hAnsi="Palatino Linotype"/>
          <w:sz w:val="24"/>
          <w:szCs w:val="24"/>
        </w:rPr>
        <w:t>en fecha</w:t>
      </w:r>
      <w:r w:rsidR="00601159">
        <w:rPr>
          <w:rFonts w:ascii="Palatino Linotype" w:hAnsi="Palatino Linotype"/>
          <w:sz w:val="24"/>
          <w:szCs w:val="24"/>
        </w:rPr>
        <w:t xml:space="preserve"> </w:t>
      </w:r>
      <w:r w:rsidR="001E516D">
        <w:rPr>
          <w:rFonts w:ascii="Palatino Linotype" w:hAnsi="Palatino Linotype"/>
          <w:sz w:val="24"/>
          <w:szCs w:val="24"/>
        </w:rPr>
        <w:t>diecisiete de noviembre de dos mil veintidós, rindió su respuesta a la solicitud de información formulada por el particular, adjuntando para tal efecto lo siguiente:</w:t>
      </w:r>
    </w:p>
    <w:p w14:paraId="0B08CFF2" w14:textId="31AC416C" w:rsidR="001E516D" w:rsidRPr="001E516D" w:rsidRDefault="001E516D" w:rsidP="001E516D">
      <w:pPr>
        <w:pStyle w:val="Prrafodelista"/>
        <w:numPr>
          <w:ilvl w:val="0"/>
          <w:numId w:val="21"/>
        </w:numPr>
        <w:spacing w:before="240" w:line="360" w:lineRule="auto"/>
        <w:jc w:val="both"/>
        <w:rPr>
          <w:rFonts w:ascii="Palatino Linotype" w:hAnsi="Palatino Linotype"/>
          <w:b/>
          <w:bCs/>
        </w:rPr>
      </w:pPr>
      <w:r>
        <w:rPr>
          <w:rFonts w:ascii="Palatino Linotype" w:hAnsi="Palatino Linotype"/>
          <w:b/>
          <w:bCs/>
        </w:rPr>
        <w:t xml:space="preserve">“resp 889_2022_11_17_11_02_16_881.pdf”: </w:t>
      </w:r>
      <w:r>
        <w:rPr>
          <w:rFonts w:ascii="Palatino Linotype" w:hAnsi="Palatino Linotype"/>
        </w:rPr>
        <w:t xml:space="preserve">Oficio número </w:t>
      </w:r>
      <w:r>
        <w:rPr>
          <w:rFonts w:ascii="Palatino Linotype" w:hAnsi="Palatino Linotype"/>
          <w:b/>
          <w:bCs/>
        </w:rPr>
        <w:t xml:space="preserve">2596/MAIP/FGJ/2022 </w:t>
      </w:r>
      <w:r>
        <w:rPr>
          <w:rFonts w:ascii="Palatino Linotype" w:hAnsi="Palatino Linotype"/>
        </w:rPr>
        <w:t xml:space="preserve">signado por la Titular de la Unidad de Transparencia y </w:t>
      </w:r>
      <w:r>
        <w:rPr>
          <w:rFonts w:ascii="Palatino Linotype" w:hAnsi="Palatino Linotype"/>
        </w:rPr>
        <w:lastRenderedPageBreak/>
        <w:t>dirigido al particular, de fecha dieciséis de noviembre de dos mil veintidós, en lo medular expone las siguientes premisas argumentativas:</w:t>
      </w:r>
    </w:p>
    <w:p w14:paraId="38568F85" w14:textId="5B9EEF47" w:rsidR="001E516D" w:rsidRPr="001E516D" w:rsidRDefault="001E516D" w:rsidP="001E516D">
      <w:pPr>
        <w:pStyle w:val="Prrafodelista"/>
        <w:numPr>
          <w:ilvl w:val="0"/>
          <w:numId w:val="22"/>
        </w:numPr>
        <w:spacing w:before="240" w:line="360" w:lineRule="auto"/>
        <w:jc w:val="both"/>
        <w:rPr>
          <w:rFonts w:ascii="Palatino Linotype" w:hAnsi="Palatino Linotype"/>
          <w:b/>
          <w:bCs/>
        </w:rPr>
      </w:pPr>
      <w:r>
        <w:rPr>
          <w:rFonts w:ascii="Palatino Linotype" w:hAnsi="Palatino Linotype"/>
        </w:rPr>
        <w:t xml:space="preserve">Que en términos del numeral 109 del Código Nacional de Procedimientos Penales, la víctima u ofendido tienen derecho a acceder a los registros de la investigación, así como a obtener copia gratuita de éstos. </w:t>
      </w:r>
    </w:p>
    <w:p w14:paraId="7B4E68FB" w14:textId="21595DF4" w:rsidR="001E516D" w:rsidRPr="00A843A1" w:rsidRDefault="001E516D" w:rsidP="001E516D">
      <w:pPr>
        <w:pStyle w:val="Prrafodelista"/>
        <w:numPr>
          <w:ilvl w:val="0"/>
          <w:numId w:val="22"/>
        </w:numPr>
        <w:spacing w:before="240" w:line="360" w:lineRule="auto"/>
        <w:jc w:val="both"/>
        <w:rPr>
          <w:rFonts w:ascii="Palatino Linotype" w:hAnsi="Palatino Linotype"/>
          <w:b/>
          <w:bCs/>
        </w:rPr>
      </w:pPr>
      <w:r>
        <w:rPr>
          <w:rFonts w:ascii="Palatino Linotype" w:hAnsi="Palatino Linotype"/>
        </w:rPr>
        <w:t xml:space="preserve">Que el acceso a carpetas de investigación redunda en un trámite en específico, por ello, el Sistema de Acceso a la Información Mexiquense (SAIMEX) no es la vía correspondiente para acceder a la información solicitada. </w:t>
      </w:r>
    </w:p>
    <w:p w14:paraId="7C76180D" w14:textId="6E625A1F" w:rsidR="00A843A1" w:rsidRPr="001E516D" w:rsidRDefault="00A843A1" w:rsidP="001E516D">
      <w:pPr>
        <w:pStyle w:val="Prrafodelista"/>
        <w:numPr>
          <w:ilvl w:val="0"/>
          <w:numId w:val="22"/>
        </w:numPr>
        <w:spacing w:before="240" w:line="360" w:lineRule="auto"/>
        <w:jc w:val="both"/>
        <w:rPr>
          <w:rFonts w:ascii="Palatino Linotype" w:hAnsi="Palatino Linotype"/>
          <w:b/>
          <w:bCs/>
        </w:rPr>
      </w:pPr>
      <w:r>
        <w:rPr>
          <w:rFonts w:ascii="Palatino Linotype" w:hAnsi="Palatino Linotype"/>
        </w:rPr>
        <w:t xml:space="preserve">Que los registros de investigación, documentos, objetos, registros de voz, imágenes y otros son de naturaleza reservada, es decir, únicamente las partes podrán tener acceso. </w:t>
      </w:r>
    </w:p>
    <w:p w14:paraId="28693A24" w14:textId="77777777" w:rsidR="001E516D" w:rsidRPr="001E516D" w:rsidRDefault="001E516D" w:rsidP="001E516D">
      <w:pPr>
        <w:spacing w:before="240" w:line="360" w:lineRule="auto"/>
        <w:jc w:val="both"/>
        <w:rPr>
          <w:rFonts w:ascii="Palatino Linotype" w:hAnsi="Palatino Linotype"/>
          <w:b/>
          <w:bCs/>
        </w:rPr>
      </w:pPr>
    </w:p>
    <w:p w14:paraId="70469688" w14:textId="4B78023F" w:rsidR="001E516D" w:rsidRDefault="00C065F7" w:rsidP="00C065F7">
      <w:pPr>
        <w:pStyle w:val="Citas"/>
        <w:ind w:left="0" w:right="0"/>
        <w:rPr>
          <w:i w:val="0"/>
          <w:sz w:val="24"/>
          <w:szCs w:val="24"/>
        </w:rPr>
      </w:pPr>
      <w:r>
        <w:rPr>
          <w:i w:val="0"/>
          <w:sz w:val="24"/>
          <w:szCs w:val="24"/>
        </w:rPr>
        <w:t xml:space="preserve">Inconforme con la respuesta del </w:t>
      </w:r>
      <w:r>
        <w:rPr>
          <w:b/>
          <w:i w:val="0"/>
          <w:sz w:val="24"/>
          <w:szCs w:val="24"/>
        </w:rPr>
        <w:t xml:space="preserve">Sujeto Obligado, </w:t>
      </w:r>
      <w:r w:rsidR="00E2158E">
        <w:rPr>
          <w:b/>
          <w:i w:val="0"/>
          <w:sz w:val="24"/>
          <w:szCs w:val="24"/>
        </w:rPr>
        <w:t>El</w:t>
      </w:r>
      <w:r>
        <w:rPr>
          <w:b/>
          <w:i w:val="0"/>
          <w:sz w:val="24"/>
          <w:szCs w:val="24"/>
        </w:rPr>
        <w:t xml:space="preserve"> Recurrente </w:t>
      </w:r>
      <w:r>
        <w:rPr>
          <w:i w:val="0"/>
          <w:sz w:val="24"/>
          <w:szCs w:val="24"/>
        </w:rPr>
        <w:t xml:space="preserve">interpuso recurso de revisión en fecha </w:t>
      </w:r>
      <w:r w:rsidR="001E516D">
        <w:rPr>
          <w:i w:val="0"/>
          <w:sz w:val="24"/>
          <w:szCs w:val="24"/>
        </w:rPr>
        <w:t>diecisiete de noviembre, admitiéndose el veintidós de noviembre de dos mil veintidós. Señalando como razones o motivos de inconformidad:</w:t>
      </w:r>
    </w:p>
    <w:p w14:paraId="349BB4F1" w14:textId="51600C0B" w:rsidR="001E516D" w:rsidRPr="001E516D" w:rsidRDefault="001E516D" w:rsidP="001E516D">
      <w:pPr>
        <w:pStyle w:val="Citas"/>
        <w:rPr>
          <w:b/>
          <w:bCs/>
        </w:rPr>
      </w:pPr>
      <w:r>
        <w:t>“</w:t>
      </w:r>
      <w:r w:rsidRPr="001E516D">
        <w:t>El sujeto obligado manifiesta que no se puede entregar la informacion, sin embargo de la solicitud se desprende que se solicita la VERSION PÚBLICA de CUALQUIER procedimiento CONCLUIDO que configure dicho delito, ya que solo es con la finalidad de conocer como es que se lleva a cabo dicho procedimiento.</w:t>
      </w:r>
      <w:r>
        <w:t xml:space="preserve">” </w:t>
      </w:r>
      <w:r>
        <w:rPr>
          <w:b/>
          <w:bCs/>
        </w:rPr>
        <w:t>(Sic)</w:t>
      </w:r>
    </w:p>
    <w:p w14:paraId="1372D025" w14:textId="29DAD299" w:rsidR="00BD30CA" w:rsidRDefault="00BD30CA" w:rsidP="00BD30CA">
      <w:pPr>
        <w:pStyle w:val="infoemcitas"/>
        <w:tabs>
          <w:tab w:val="left" w:pos="7655"/>
        </w:tabs>
        <w:ind w:left="0" w:right="0"/>
        <w:rPr>
          <w:rFonts w:cs="Arial"/>
          <w:i w:val="0"/>
          <w:noProof/>
          <w:color w:val="000000"/>
          <w:sz w:val="24"/>
          <w:lang w:eastAsia="es-MX"/>
        </w:rPr>
      </w:pPr>
      <w:r w:rsidRPr="004B0DB0">
        <w:rPr>
          <w:i w:val="0"/>
          <w:sz w:val="24"/>
          <w:szCs w:val="24"/>
        </w:rPr>
        <w:lastRenderedPageBreak/>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fracción 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6A7D822" w14:textId="77777777" w:rsidR="00BD30CA" w:rsidRDefault="00BD30CA" w:rsidP="00BD30CA">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601B6F22" w14:textId="77777777" w:rsidR="00BD30CA" w:rsidRDefault="00BD30CA" w:rsidP="00BD30CA">
      <w:pPr>
        <w:pStyle w:val="Citas"/>
      </w:pPr>
      <w:r>
        <w:t>I. La negativa a la información solicitada;</w:t>
      </w:r>
    </w:p>
    <w:p w14:paraId="178362F1" w14:textId="77777777" w:rsidR="00BD30CA" w:rsidRPr="004B0DB0" w:rsidRDefault="00BD30CA" w:rsidP="00BD30CA">
      <w:pPr>
        <w:pStyle w:val="Citas"/>
        <w:rPr>
          <w:b/>
          <w:bCs/>
        </w:rPr>
      </w:pPr>
      <w:r>
        <w:t xml:space="preserve">(…)” </w:t>
      </w:r>
      <w:r>
        <w:rPr>
          <w:b/>
          <w:bCs/>
        </w:rPr>
        <w:t>(Sic)</w:t>
      </w:r>
    </w:p>
    <w:p w14:paraId="56DD3888" w14:textId="65DA38E1" w:rsidR="003F0EC7" w:rsidRDefault="003F0EC7" w:rsidP="00B6662B">
      <w:pPr>
        <w:spacing w:before="240" w:line="360" w:lineRule="auto"/>
        <w:jc w:val="both"/>
        <w:rPr>
          <w:rFonts w:ascii="Palatino Linotype" w:hAnsi="Palatino Linotype"/>
          <w:sz w:val="24"/>
          <w:szCs w:val="24"/>
        </w:rPr>
      </w:pPr>
    </w:p>
    <w:p w14:paraId="5964FD55" w14:textId="18E305FD" w:rsidR="001E516D" w:rsidRDefault="00BD30CA" w:rsidP="00BD30CA">
      <w:pPr>
        <w:pStyle w:val="Citas"/>
        <w:tabs>
          <w:tab w:val="left" w:pos="7470"/>
        </w:tabs>
        <w:ind w:left="0" w:right="72"/>
        <w:rPr>
          <w:bCs/>
          <w:i w:val="0"/>
          <w:sz w:val="24"/>
          <w:szCs w:val="24"/>
        </w:rPr>
      </w:pPr>
      <w:r w:rsidRPr="00EA1BA1">
        <w:rPr>
          <w:i w:val="0"/>
          <w:sz w:val="24"/>
          <w:szCs w:val="24"/>
        </w:rPr>
        <w:t xml:space="preserve">Por otra parte, como fue referido en el antecedente </w:t>
      </w:r>
      <w:r w:rsidR="009A6322">
        <w:rPr>
          <w:i w:val="0"/>
          <w:sz w:val="24"/>
          <w:szCs w:val="24"/>
        </w:rPr>
        <w:t>quinto</w:t>
      </w:r>
      <w:r w:rsidRPr="00EA1BA1">
        <w:rPr>
          <w:i w:val="0"/>
          <w:sz w:val="24"/>
          <w:szCs w:val="24"/>
        </w:rPr>
        <w:t xml:space="preserve">, </w:t>
      </w:r>
      <w:r w:rsidRPr="00EA1BA1">
        <w:rPr>
          <w:b/>
          <w:i w:val="0"/>
          <w:sz w:val="24"/>
          <w:szCs w:val="24"/>
        </w:rPr>
        <w:t xml:space="preserve">El Sujeto Obligado </w:t>
      </w:r>
      <w:r w:rsidR="009A6322">
        <w:rPr>
          <w:bCs/>
          <w:i w:val="0"/>
          <w:sz w:val="24"/>
          <w:szCs w:val="24"/>
        </w:rPr>
        <w:t xml:space="preserve">rindió su informe justificado en fecha </w:t>
      </w:r>
      <w:r w:rsidR="001E516D">
        <w:rPr>
          <w:bCs/>
          <w:i w:val="0"/>
          <w:sz w:val="24"/>
          <w:szCs w:val="24"/>
        </w:rPr>
        <w:t>dos de diciembre de dos mil veintidós, adjuntando para tal efecto lo siguiente:</w:t>
      </w:r>
    </w:p>
    <w:p w14:paraId="58697FFE" w14:textId="3CF704CC" w:rsidR="001E516D" w:rsidRDefault="001E516D" w:rsidP="001E516D">
      <w:pPr>
        <w:pStyle w:val="Citas"/>
        <w:numPr>
          <w:ilvl w:val="0"/>
          <w:numId w:val="23"/>
        </w:numPr>
        <w:tabs>
          <w:tab w:val="left" w:pos="7470"/>
        </w:tabs>
        <w:ind w:right="72"/>
        <w:rPr>
          <w:b/>
          <w:i w:val="0"/>
          <w:sz w:val="24"/>
          <w:szCs w:val="24"/>
        </w:rPr>
      </w:pPr>
      <w:r>
        <w:rPr>
          <w:b/>
          <w:i w:val="0"/>
          <w:sz w:val="24"/>
          <w:szCs w:val="24"/>
        </w:rPr>
        <w:t>“2714_2022_12_02_18_38_23_728.pdf”:</w:t>
      </w:r>
      <w:r w:rsidR="00A843A1">
        <w:rPr>
          <w:b/>
          <w:i w:val="0"/>
          <w:sz w:val="24"/>
          <w:szCs w:val="24"/>
        </w:rPr>
        <w:t xml:space="preserve"> </w:t>
      </w:r>
      <w:r w:rsidR="00A843A1">
        <w:rPr>
          <w:bCs/>
          <w:i w:val="0"/>
          <w:sz w:val="24"/>
          <w:szCs w:val="24"/>
        </w:rPr>
        <w:t xml:space="preserve">Oficio número </w:t>
      </w:r>
      <w:r w:rsidR="00A843A1">
        <w:rPr>
          <w:b/>
          <w:i w:val="0"/>
          <w:sz w:val="24"/>
          <w:szCs w:val="24"/>
        </w:rPr>
        <w:t xml:space="preserve">2714/MAIP/FGJ/2022 </w:t>
      </w:r>
      <w:r w:rsidR="00A843A1">
        <w:rPr>
          <w:bCs/>
          <w:i w:val="0"/>
          <w:sz w:val="24"/>
          <w:szCs w:val="24"/>
        </w:rPr>
        <w:t xml:space="preserve">signado por la Titular de la Unidad de Transparencia y dirigido al Comisionado Ponente, de fecha treinta de noviembre de dos mil veintidós, en lo medular refiere adjuntar informe justificado. </w:t>
      </w:r>
    </w:p>
    <w:p w14:paraId="2F795B2F" w14:textId="1C0AAEBE" w:rsidR="001E516D" w:rsidRPr="00A843A1" w:rsidRDefault="001E516D" w:rsidP="001E516D">
      <w:pPr>
        <w:pStyle w:val="Citas"/>
        <w:numPr>
          <w:ilvl w:val="0"/>
          <w:numId w:val="23"/>
        </w:numPr>
        <w:tabs>
          <w:tab w:val="left" w:pos="7470"/>
        </w:tabs>
        <w:ind w:right="72"/>
        <w:rPr>
          <w:b/>
          <w:i w:val="0"/>
          <w:sz w:val="24"/>
          <w:szCs w:val="24"/>
        </w:rPr>
      </w:pPr>
      <w:r>
        <w:rPr>
          <w:b/>
          <w:i w:val="0"/>
          <w:sz w:val="24"/>
          <w:szCs w:val="24"/>
        </w:rPr>
        <w:t xml:space="preserve">“2713_2022_12_02_18_41_40_127.pdf”: </w:t>
      </w:r>
      <w:r w:rsidR="00A843A1">
        <w:rPr>
          <w:bCs/>
          <w:i w:val="0"/>
          <w:sz w:val="24"/>
          <w:szCs w:val="24"/>
        </w:rPr>
        <w:t xml:space="preserve">Oficio número </w:t>
      </w:r>
      <w:r w:rsidR="00A843A1">
        <w:rPr>
          <w:b/>
          <w:i w:val="0"/>
          <w:sz w:val="24"/>
          <w:szCs w:val="24"/>
        </w:rPr>
        <w:t xml:space="preserve">2713/MAIP/FGJ/2022 </w:t>
      </w:r>
      <w:r w:rsidR="00A843A1">
        <w:rPr>
          <w:bCs/>
          <w:i w:val="0"/>
          <w:sz w:val="24"/>
          <w:szCs w:val="24"/>
        </w:rPr>
        <w:t xml:space="preserve">signado por la Titular de la Unidad de Transparencia y dirigido al </w:t>
      </w:r>
      <w:r w:rsidR="00A843A1">
        <w:rPr>
          <w:bCs/>
          <w:i w:val="0"/>
          <w:sz w:val="24"/>
          <w:szCs w:val="24"/>
        </w:rPr>
        <w:lastRenderedPageBreak/>
        <w:t xml:space="preserve">Comisionado Ponente, de fecha treinta de noviembre de dos mil veintidós, en </w:t>
      </w:r>
      <w:r w:rsidR="009A706F">
        <w:rPr>
          <w:bCs/>
          <w:i w:val="0"/>
          <w:sz w:val="24"/>
          <w:szCs w:val="24"/>
        </w:rPr>
        <w:t>síntesis,</w:t>
      </w:r>
      <w:r w:rsidR="00A843A1">
        <w:rPr>
          <w:bCs/>
          <w:i w:val="0"/>
          <w:sz w:val="24"/>
          <w:szCs w:val="24"/>
        </w:rPr>
        <w:t xml:space="preserve"> </w:t>
      </w:r>
      <w:r w:rsidR="009A706F">
        <w:rPr>
          <w:bCs/>
          <w:i w:val="0"/>
          <w:sz w:val="24"/>
          <w:szCs w:val="24"/>
        </w:rPr>
        <w:t xml:space="preserve">ratifica la respuesta primigenia. </w:t>
      </w:r>
    </w:p>
    <w:p w14:paraId="1DA78C14" w14:textId="77777777" w:rsidR="001E516D" w:rsidRDefault="001E516D" w:rsidP="00BD30CA">
      <w:pPr>
        <w:pStyle w:val="Citas"/>
        <w:tabs>
          <w:tab w:val="left" w:pos="7470"/>
        </w:tabs>
        <w:ind w:left="0" w:right="72"/>
        <w:rPr>
          <w:bCs/>
          <w:i w:val="0"/>
          <w:sz w:val="24"/>
          <w:szCs w:val="24"/>
        </w:rPr>
      </w:pPr>
    </w:p>
    <w:p w14:paraId="01DDF548" w14:textId="3B321E0E" w:rsidR="009A706F" w:rsidRDefault="009A706F" w:rsidP="009A706F">
      <w:pPr>
        <w:pStyle w:val="Citas"/>
        <w:tabs>
          <w:tab w:val="left" w:pos="7470"/>
        </w:tabs>
        <w:ind w:left="0" w:right="72"/>
        <w:rPr>
          <w:bCs/>
          <w:i w:val="0"/>
          <w:sz w:val="24"/>
          <w:szCs w:val="24"/>
        </w:rPr>
      </w:pPr>
      <w:r>
        <w:rPr>
          <w:bCs/>
          <w:i w:val="0"/>
          <w:sz w:val="24"/>
          <w:szCs w:val="24"/>
        </w:rPr>
        <w:t>Hasta aquí lo expuesto se desprenden las siguientes consideraciones:</w:t>
      </w:r>
    </w:p>
    <w:p w14:paraId="246F0D86" w14:textId="77777777" w:rsidR="009A706F" w:rsidRDefault="009A706F" w:rsidP="009A706F">
      <w:pPr>
        <w:pStyle w:val="Citas"/>
        <w:numPr>
          <w:ilvl w:val="0"/>
          <w:numId w:val="24"/>
        </w:numPr>
        <w:tabs>
          <w:tab w:val="left" w:pos="7470"/>
        </w:tabs>
        <w:ind w:right="72"/>
        <w:rPr>
          <w:i w:val="0"/>
          <w:sz w:val="24"/>
          <w:szCs w:val="24"/>
        </w:rPr>
      </w:pPr>
      <w:r>
        <w:rPr>
          <w:i w:val="0"/>
          <w:sz w:val="24"/>
          <w:szCs w:val="24"/>
        </w:rPr>
        <w:t xml:space="preserve">Que el derecho de acceso a la información pública se traduce en la prerrogativa constitucional que reconoce la potestad de los ciudadanos para acceder a los soportes documentales generados, poseídos o administrados por los </w:t>
      </w:r>
      <w:r>
        <w:rPr>
          <w:b/>
          <w:bCs/>
          <w:i w:val="0"/>
          <w:sz w:val="24"/>
          <w:szCs w:val="24"/>
        </w:rPr>
        <w:t xml:space="preserve">Sujetos Obligados, </w:t>
      </w:r>
      <w:r>
        <w:rPr>
          <w:i w:val="0"/>
          <w:sz w:val="24"/>
          <w:szCs w:val="24"/>
        </w:rPr>
        <w:t xml:space="preserve">mismo que puede ser restringido excepcionalmente. </w:t>
      </w:r>
    </w:p>
    <w:p w14:paraId="53668FC4" w14:textId="77777777" w:rsidR="009A706F" w:rsidRDefault="009A706F" w:rsidP="009A706F">
      <w:pPr>
        <w:pStyle w:val="Citas"/>
        <w:numPr>
          <w:ilvl w:val="0"/>
          <w:numId w:val="24"/>
        </w:numPr>
        <w:tabs>
          <w:tab w:val="left" w:pos="7470"/>
        </w:tabs>
        <w:ind w:right="72"/>
        <w:rPr>
          <w:i w:val="0"/>
          <w:sz w:val="24"/>
          <w:szCs w:val="24"/>
        </w:rPr>
      </w:pPr>
      <w:r>
        <w:rPr>
          <w:i w:val="0"/>
          <w:sz w:val="24"/>
          <w:szCs w:val="24"/>
        </w:rPr>
        <w:t xml:space="preserve">Que, para garantizar el derecho de acceso a la información pública, los </w:t>
      </w:r>
      <w:r>
        <w:rPr>
          <w:b/>
          <w:bCs/>
          <w:i w:val="0"/>
          <w:sz w:val="24"/>
          <w:szCs w:val="24"/>
        </w:rPr>
        <w:t xml:space="preserve">Sujetos Obligados </w:t>
      </w:r>
      <w:r>
        <w:rPr>
          <w:i w:val="0"/>
          <w:sz w:val="24"/>
          <w:szCs w:val="24"/>
        </w:rPr>
        <w:t xml:space="preserve">solo deberán de proporcionar la información requerida y que obre en sus archivos, es decir, excluye la obligación de procesar, generar, resumir, efectuar cálculos o practicar investigaciones. </w:t>
      </w:r>
    </w:p>
    <w:p w14:paraId="14E8EABF" w14:textId="77777777" w:rsidR="009A706F" w:rsidRDefault="009A706F" w:rsidP="009A706F">
      <w:pPr>
        <w:pStyle w:val="Citas"/>
        <w:numPr>
          <w:ilvl w:val="0"/>
          <w:numId w:val="24"/>
        </w:numPr>
        <w:tabs>
          <w:tab w:val="left" w:pos="7470"/>
        </w:tabs>
        <w:ind w:right="72"/>
        <w:rPr>
          <w:bCs/>
          <w:i w:val="0"/>
          <w:sz w:val="24"/>
          <w:szCs w:val="24"/>
        </w:rPr>
      </w:pPr>
      <w:r>
        <w:rPr>
          <w:bCs/>
          <w:i w:val="0"/>
          <w:sz w:val="24"/>
          <w:szCs w:val="24"/>
        </w:rPr>
        <w:t xml:space="preserve">Que se concuerda con la postura del </w:t>
      </w:r>
      <w:r>
        <w:rPr>
          <w:b/>
          <w:i w:val="0"/>
          <w:sz w:val="24"/>
          <w:szCs w:val="24"/>
        </w:rPr>
        <w:t xml:space="preserve">Sujeto Obligado, </w:t>
      </w:r>
      <w:r>
        <w:rPr>
          <w:bCs/>
          <w:i w:val="0"/>
          <w:sz w:val="24"/>
          <w:szCs w:val="24"/>
        </w:rPr>
        <w:t xml:space="preserve">al manifestar que las partes de procesos penales pueden acceder a las constancias inmersas en sus expedientes. </w:t>
      </w:r>
    </w:p>
    <w:p w14:paraId="0CB7DA5A" w14:textId="6A348634" w:rsidR="009A706F" w:rsidRDefault="009A706F" w:rsidP="009A706F">
      <w:pPr>
        <w:pStyle w:val="Citas"/>
        <w:numPr>
          <w:ilvl w:val="0"/>
          <w:numId w:val="24"/>
        </w:numPr>
        <w:tabs>
          <w:tab w:val="left" w:pos="7470"/>
        </w:tabs>
        <w:ind w:right="72"/>
        <w:rPr>
          <w:bCs/>
          <w:i w:val="0"/>
          <w:sz w:val="24"/>
          <w:szCs w:val="24"/>
        </w:rPr>
      </w:pPr>
      <w:r>
        <w:rPr>
          <w:bCs/>
          <w:i w:val="0"/>
          <w:sz w:val="24"/>
          <w:szCs w:val="24"/>
        </w:rPr>
        <w:t xml:space="preserve">Que de una interpretación literal a la solicitud de información </w:t>
      </w:r>
      <w:r>
        <w:rPr>
          <w:b/>
          <w:i w:val="0"/>
          <w:sz w:val="24"/>
          <w:szCs w:val="24"/>
        </w:rPr>
        <w:t>00889/FGJ/IP/2022</w:t>
      </w:r>
      <w:r>
        <w:rPr>
          <w:bCs/>
          <w:i w:val="0"/>
          <w:sz w:val="24"/>
          <w:szCs w:val="24"/>
        </w:rPr>
        <w:t xml:space="preserve"> se arriba a la premisa de que el particular no forma parte de ningún proceso penal, al precisar que resulta de su interés el ultimo expediente concluido. </w:t>
      </w:r>
      <w:r w:rsidR="002049C3">
        <w:rPr>
          <w:bCs/>
          <w:i w:val="0"/>
          <w:sz w:val="24"/>
          <w:szCs w:val="24"/>
        </w:rPr>
        <w:t xml:space="preserve">Luego entonces, el derecho de acceso a la información pública resulta la única vía a su disposición para acceder a la información requerida. </w:t>
      </w:r>
    </w:p>
    <w:p w14:paraId="13E18F23" w14:textId="64E698C9" w:rsidR="009A706F" w:rsidRDefault="009A706F" w:rsidP="009A706F">
      <w:pPr>
        <w:pStyle w:val="Citas"/>
        <w:numPr>
          <w:ilvl w:val="0"/>
          <w:numId w:val="24"/>
        </w:numPr>
        <w:tabs>
          <w:tab w:val="left" w:pos="7470"/>
        </w:tabs>
        <w:ind w:right="72"/>
        <w:rPr>
          <w:bCs/>
          <w:i w:val="0"/>
          <w:sz w:val="24"/>
          <w:szCs w:val="24"/>
        </w:rPr>
      </w:pPr>
      <w:r>
        <w:rPr>
          <w:bCs/>
          <w:i w:val="0"/>
          <w:sz w:val="24"/>
          <w:szCs w:val="24"/>
        </w:rPr>
        <w:lastRenderedPageBreak/>
        <w:t>Que cuando en un mismo medio</w:t>
      </w:r>
      <w:r w:rsidR="002049C3">
        <w:rPr>
          <w:bCs/>
          <w:i w:val="0"/>
          <w:sz w:val="24"/>
          <w:szCs w:val="24"/>
        </w:rPr>
        <w:t xml:space="preserve">, impreso o electrónico, contenga información pública y reservada o confidencial, para atender el derecho de acceso a la información pública, resulta procedente elaborar una versión pública en la que se testen las partes o secciones clasificadas, indicando su contenido de forma genérica y fundando o motivando su clasificación. </w:t>
      </w:r>
    </w:p>
    <w:p w14:paraId="7D8034D4" w14:textId="4E77F604" w:rsidR="002049C3" w:rsidRPr="009A706F" w:rsidRDefault="002049C3" w:rsidP="009A706F">
      <w:pPr>
        <w:pStyle w:val="Citas"/>
        <w:numPr>
          <w:ilvl w:val="0"/>
          <w:numId w:val="24"/>
        </w:numPr>
        <w:tabs>
          <w:tab w:val="left" w:pos="7470"/>
        </w:tabs>
        <w:ind w:right="72"/>
        <w:rPr>
          <w:bCs/>
          <w:i w:val="0"/>
          <w:sz w:val="24"/>
          <w:szCs w:val="24"/>
        </w:rPr>
      </w:pPr>
      <w:r>
        <w:rPr>
          <w:bCs/>
          <w:i w:val="0"/>
          <w:sz w:val="24"/>
          <w:szCs w:val="24"/>
        </w:rPr>
        <w:t>Que al haber delimitado la solicitud de información a un expediente concluido se precisa que engloba aquellos actos que no son susceptibles de recurrirse</w:t>
      </w:r>
      <w:r w:rsidR="002F4622">
        <w:rPr>
          <w:bCs/>
          <w:i w:val="0"/>
          <w:sz w:val="24"/>
          <w:szCs w:val="24"/>
        </w:rPr>
        <w:t>,</w:t>
      </w:r>
      <w:r>
        <w:rPr>
          <w:bCs/>
          <w:i w:val="0"/>
          <w:sz w:val="24"/>
          <w:szCs w:val="24"/>
        </w:rPr>
        <w:t xml:space="preserve"> aquellos que no se recurren en tiempo</w:t>
      </w:r>
      <w:r w:rsidR="002F4622">
        <w:rPr>
          <w:bCs/>
          <w:i w:val="0"/>
          <w:sz w:val="24"/>
          <w:szCs w:val="24"/>
        </w:rPr>
        <w:t xml:space="preserve">, </w:t>
      </w:r>
      <w:r>
        <w:rPr>
          <w:bCs/>
          <w:i w:val="0"/>
          <w:sz w:val="24"/>
          <w:szCs w:val="24"/>
        </w:rPr>
        <w:t>así como aquellos recurridos respecto de los cuales ya se adoptó una decisión de fondo</w:t>
      </w:r>
      <w:r w:rsidR="002F4622">
        <w:rPr>
          <w:bCs/>
          <w:i w:val="0"/>
          <w:sz w:val="24"/>
          <w:szCs w:val="24"/>
        </w:rPr>
        <w:t xml:space="preserve">. </w:t>
      </w:r>
    </w:p>
    <w:p w14:paraId="0C6DE08B" w14:textId="77777777" w:rsidR="009A706F" w:rsidRDefault="009A706F" w:rsidP="009A706F">
      <w:pPr>
        <w:pStyle w:val="Citas"/>
        <w:tabs>
          <w:tab w:val="left" w:pos="7470"/>
        </w:tabs>
        <w:ind w:left="720" w:right="72"/>
        <w:rPr>
          <w:b/>
          <w:i w:val="0"/>
          <w:sz w:val="24"/>
          <w:szCs w:val="24"/>
        </w:rPr>
      </w:pPr>
    </w:p>
    <w:p w14:paraId="702357BB" w14:textId="638F1F10" w:rsidR="009A706F" w:rsidRDefault="002049C3" w:rsidP="002049C3">
      <w:pPr>
        <w:pStyle w:val="Citas"/>
        <w:tabs>
          <w:tab w:val="left" w:pos="7470"/>
        </w:tabs>
        <w:ind w:left="0" w:right="72"/>
        <w:rPr>
          <w:bCs/>
          <w:i w:val="0"/>
          <w:sz w:val="24"/>
          <w:szCs w:val="24"/>
        </w:rPr>
      </w:pPr>
      <w:r w:rsidRPr="002049C3">
        <w:rPr>
          <w:bCs/>
          <w:i w:val="0"/>
          <w:sz w:val="24"/>
          <w:szCs w:val="24"/>
        </w:rPr>
        <w:t xml:space="preserve">Con base en lo anteriormente expuesto, </w:t>
      </w:r>
      <w:r>
        <w:rPr>
          <w:bCs/>
          <w:i w:val="0"/>
          <w:sz w:val="24"/>
          <w:szCs w:val="24"/>
        </w:rPr>
        <w:t>resulta procedente realizar una búsqueda exhaustiva y razonable, a efecto de hacer entrega en versión pública de la siguiente información:</w:t>
      </w:r>
    </w:p>
    <w:p w14:paraId="13599C41" w14:textId="62EAF73E" w:rsidR="00FB4A53" w:rsidRPr="00074A76" w:rsidRDefault="00FB4A53" w:rsidP="00FB4A53">
      <w:pPr>
        <w:pStyle w:val="Prrafodelista"/>
        <w:numPr>
          <w:ilvl w:val="0"/>
          <w:numId w:val="27"/>
        </w:numPr>
        <w:spacing w:before="240" w:line="360" w:lineRule="auto"/>
        <w:jc w:val="both"/>
        <w:rPr>
          <w:rFonts w:ascii="Palatino Linotype" w:hAnsi="Palatino Linotype"/>
        </w:rPr>
      </w:pPr>
      <w:r>
        <w:rPr>
          <w:rFonts w:ascii="Palatino Linotype" w:hAnsi="Palatino Linotype" w:cs="Arial"/>
        </w:rPr>
        <w:t xml:space="preserve">El o los documentos que integren </w:t>
      </w:r>
      <w:r w:rsidRPr="000F38E5">
        <w:rPr>
          <w:rFonts w:ascii="Palatino Linotype" w:hAnsi="Palatino Linotype" w:cs="Arial"/>
        </w:rPr>
        <w:t xml:space="preserve">el </w:t>
      </w:r>
      <w:r w:rsidR="001850E5" w:rsidRPr="000F38E5">
        <w:rPr>
          <w:rFonts w:ascii="Palatino Linotype" w:hAnsi="Palatino Linotype" w:cs="Arial"/>
        </w:rPr>
        <w:t>último</w:t>
      </w:r>
      <w:r>
        <w:rPr>
          <w:rFonts w:ascii="Palatino Linotype" w:hAnsi="Palatino Linotype" w:cs="Arial"/>
        </w:rPr>
        <w:t xml:space="preserve"> expediente concluido en el que se configure el delito de quebrantamiento de sellos, al ocho de noviembre de dos mil veintidós. </w:t>
      </w:r>
    </w:p>
    <w:p w14:paraId="04A78DE5" w14:textId="77777777" w:rsidR="002049C3" w:rsidRPr="00FB4A53" w:rsidRDefault="002049C3" w:rsidP="002049C3">
      <w:pPr>
        <w:pStyle w:val="Citas"/>
        <w:tabs>
          <w:tab w:val="left" w:pos="7470"/>
        </w:tabs>
        <w:ind w:left="0" w:right="72"/>
        <w:rPr>
          <w:bCs/>
          <w:i w:val="0"/>
          <w:sz w:val="24"/>
          <w:szCs w:val="24"/>
          <w:lang w:val="es-ES"/>
        </w:rPr>
      </w:pPr>
    </w:p>
    <w:p w14:paraId="2C32F424" w14:textId="77777777" w:rsidR="00E2158E" w:rsidRDefault="00E2158E" w:rsidP="00E2158E">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9CCC6BF" w14:textId="77777777" w:rsidR="00E2158E" w:rsidRDefault="00E2158E" w:rsidP="00E2158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w:t>
      </w:r>
      <w:r w:rsidRPr="001571EB">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FF153AA" w14:textId="77777777" w:rsidR="00E2158E" w:rsidRPr="00E60DEF" w:rsidRDefault="00E2158E" w:rsidP="00E2158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823AF7E" w14:textId="77777777" w:rsidR="00E2158E" w:rsidRPr="00E60DEF" w:rsidRDefault="00E2158E" w:rsidP="00E2158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107606"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E8CAAAE"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57CC1A2" w14:textId="77777777" w:rsidR="00E2158E" w:rsidRPr="001571EB"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E1D3753" w14:textId="77777777" w:rsidR="00E2158E" w:rsidRPr="001571EB" w:rsidRDefault="00E2158E" w:rsidP="00E2158E">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1E02BF7"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0038125"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217E16D3" w14:textId="77777777" w:rsidR="00E2158E" w:rsidRPr="001571EB" w:rsidRDefault="00E2158E" w:rsidP="00E2158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D3E60D6" w14:textId="77777777" w:rsidR="00E2158E" w:rsidRPr="00E60DEF" w:rsidRDefault="00E2158E" w:rsidP="00E2158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D15E4A5" w14:textId="77777777" w:rsidR="00E2158E" w:rsidRPr="001571EB" w:rsidRDefault="00E2158E" w:rsidP="00E2158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BF16995" w14:textId="77777777" w:rsidR="00E2158E" w:rsidRDefault="00E2158E" w:rsidP="00E2158E">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76C3239" w14:textId="77777777" w:rsidR="00E2158E" w:rsidRDefault="00E2158E" w:rsidP="00E2158E">
      <w:pPr>
        <w:spacing w:after="0" w:line="360" w:lineRule="auto"/>
        <w:ind w:right="51"/>
        <w:jc w:val="both"/>
        <w:rPr>
          <w:rFonts w:ascii="Palatino Linotype" w:eastAsia="Arial Unicode MS" w:hAnsi="Palatino Linotype" w:cs="Arial"/>
          <w:sz w:val="24"/>
          <w:szCs w:val="24"/>
        </w:rPr>
      </w:pPr>
    </w:p>
    <w:p w14:paraId="3CCF9E48" w14:textId="77777777" w:rsidR="00E2158E" w:rsidRPr="001571EB" w:rsidRDefault="00E2158E" w:rsidP="00E2158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F80760" w14:textId="77777777" w:rsidR="00E2158E" w:rsidRPr="001571EB" w:rsidRDefault="00E2158E" w:rsidP="00E2158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D3FB1D5" w14:textId="77777777" w:rsidR="00E2158E" w:rsidRPr="001571EB"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F962EEA" w14:textId="77777777" w:rsidR="00E2158E" w:rsidRDefault="00E2158E" w:rsidP="00E2158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F92AE7B"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93C9F0A"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5AE344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7193682"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D4CC61C"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558F271" w14:textId="77777777" w:rsidR="00E2158E" w:rsidRPr="00EE0180"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059C3D4" w14:textId="77777777" w:rsidR="00E2158E" w:rsidRPr="001571EB" w:rsidRDefault="00E2158E" w:rsidP="00E2158E">
      <w:pPr>
        <w:autoSpaceDE w:val="0"/>
        <w:autoSpaceDN w:val="0"/>
        <w:adjustRightInd w:val="0"/>
        <w:spacing w:before="120" w:after="120"/>
        <w:ind w:left="567" w:right="850"/>
        <w:jc w:val="both"/>
        <w:rPr>
          <w:rFonts w:ascii="Palatino Linotype" w:eastAsia="Times New Roman" w:hAnsi="Palatino Linotype" w:cs="Arial"/>
          <w:i/>
        </w:rPr>
      </w:pPr>
    </w:p>
    <w:p w14:paraId="0EBA4947" w14:textId="77777777" w:rsidR="00E2158E" w:rsidRPr="001571EB" w:rsidRDefault="00E2158E" w:rsidP="00E2158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B99D12F" w14:textId="77777777" w:rsidR="00E2158E" w:rsidRPr="001571EB" w:rsidRDefault="00E2158E" w:rsidP="00E2158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FAB63E" w14:textId="77777777" w:rsidR="00E2158E" w:rsidRDefault="00E2158E" w:rsidP="00E2158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B2E6775" w14:textId="77777777" w:rsidR="00E2158E" w:rsidRDefault="00E2158E" w:rsidP="00E2158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E439B98"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B4D083"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DB01790"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784F7AE" w14:textId="77777777" w:rsidR="00E2158E" w:rsidRPr="001571EB"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31EBE87" w14:textId="77777777" w:rsidR="00E2158E" w:rsidRDefault="00E2158E" w:rsidP="00E2158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017AEB4" w14:textId="77777777" w:rsidR="003C3359" w:rsidRDefault="003C3359" w:rsidP="00E2158E">
      <w:pPr>
        <w:spacing w:after="0" w:line="360" w:lineRule="auto"/>
        <w:ind w:right="51"/>
        <w:jc w:val="both"/>
        <w:rPr>
          <w:rFonts w:ascii="Palatino Linotype" w:hAnsi="Palatino Linotype" w:cs="Arial"/>
          <w:sz w:val="24"/>
          <w:szCs w:val="24"/>
        </w:rPr>
      </w:pPr>
    </w:p>
    <w:p w14:paraId="382F2F6E" w14:textId="493136FF" w:rsidR="00E2158E" w:rsidRDefault="00E2158E" w:rsidP="00E2158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0CF35F2"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p>
    <w:p w14:paraId="019B5905" w14:textId="48DF5601" w:rsidR="00E2158E" w:rsidRPr="00AB3254" w:rsidRDefault="00E2158E" w:rsidP="00E2158E">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w:t>
      </w:r>
      <w:r w:rsidRPr="000F5B7E">
        <w:rPr>
          <w:rFonts w:ascii="Palatino Linotype" w:eastAsia="Times New Roman" w:hAnsi="Palatino Linotype" w:cs="Arial"/>
          <w:sz w:val="24"/>
          <w:szCs w:val="24"/>
          <w:lang w:eastAsia="es-ES"/>
        </w:rPr>
        <w:lastRenderedPageBreak/>
        <w:t xml:space="preserve">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FB4A53">
        <w:rPr>
          <w:rFonts w:ascii="Palatino Linotype" w:hAnsi="Palatino Linotype" w:cs="Arial"/>
          <w:b/>
          <w:sz w:val="24"/>
          <w:szCs w:val="24"/>
        </w:rPr>
        <w:t>00889/FGJ/IP/2022</w:t>
      </w:r>
      <w:r>
        <w:rPr>
          <w:rFonts w:ascii="Palatino Linotype" w:hAnsi="Palatino Linotype" w:cs="Arial"/>
          <w:b/>
          <w:sz w:val="24"/>
          <w:szCs w:val="24"/>
        </w:rPr>
        <w:t xml:space="preserve"> </w:t>
      </w:r>
      <w:r>
        <w:rPr>
          <w:rFonts w:ascii="Palatino Linotype" w:hAnsi="Palatino Linotype" w:cs="Arial"/>
          <w:sz w:val="24"/>
          <w:szCs w:val="24"/>
        </w:rPr>
        <w:t xml:space="preserve">que ha sido materia del presente fallo. </w:t>
      </w:r>
    </w:p>
    <w:p w14:paraId="14890E12" w14:textId="77777777" w:rsidR="003C3359" w:rsidRDefault="003C3359" w:rsidP="00E2158E">
      <w:pPr>
        <w:spacing w:after="0" w:line="360" w:lineRule="auto"/>
        <w:jc w:val="both"/>
        <w:rPr>
          <w:rFonts w:ascii="Palatino Linotype" w:eastAsia="Times New Roman" w:hAnsi="Palatino Linotype" w:cs="Times New Roman"/>
          <w:sz w:val="24"/>
          <w:szCs w:val="24"/>
          <w:lang w:eastAsia="es-ES"/>
        </w:rPr>
      </w:pPr>
    </w:p>
    <w:p w14:paraId="3FB2C3CC" w14:textId="6B3CBF70" w:rsidR="00E2158E" w:rsidRDefault="00E2158E" w:rsidP="00E2158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480E3EAE" w14:textId="4644525A" w:rsidR="00E2158E" w:rsidRDefault="00E2158E" w:rsidP="00E2158E">
      <w:pPr>
        <w:spacing w:line="360" w:lineRule="auto"/>
        <w:contextualSpacing/>
        <w:jc w:val="both"/>
        <w:rPr>
          <w:rFonts w:ascii="Palatino Linotype" w:eastAsia="MS Mincho" w:hAnsi="Palatino Linotype"/>
        </w:rPr>
      </w:pPr>
    </w:p>
    <w:p w14:paraId="46182122" w14:textId="26BBF869" w:rsidR="00700F79" w:rsidRDefault="00700F79" w:rsidP="00E2158E">
      <w:pPr>
        <w:spacing w:line="360" w:lineRule="auto"/>
        <w:contextualSpacing/>
        <w:jc w:val="both"/>
        <w:rPr>
          <w:rFonts w:ascii="Palatino Linotype" w:eastAsia="MS Mincho" w:hAnsi="Palatino Linotype"/>
        </w:rPr>
      </w:pPr>
    </w:p>
    <w:p w14:paraId="658768C8" w14:textId="77777777" w:rsidR="00E2158E" w:rsidRPr="00413327" w:rsidRDefault="00E2158E" w:rsidP="00E2158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6CBBD1D" w14:textId="665C9C9C" w:rsidR="00E2158E" w:rsidRDefault="00E2158E" w:rsidP="00E2158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FB4A53">
        <w:rPr>
          <w:rFonts w:ascii="Palatino Linotype" w:hAnsi="Palatino Linotype" w:cs="Arial"/>
          <w:b/>
          <w:sz w:val="24"/>
          <w:szCs w:val="24"/>
        </w:rPr>
        <w:t xml:space="preserve">00889/FGJ/IP/2022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122D010" w14:textId="77777777" w:rsidR="00E2158E" w:rsidRDefault="00E2158E" w:rsidP="00E2158E">
      <w:pPr>
        <w:spacing w:before="240" w:line="360" w:lineRule="auto"/>
        <w:jc w:val="both"/>
        <w:rPr>
          <w:rFonts w:ascii="Palatino Linotype" w:hAnsi="Palatino Linotype" w:cs="Arial"/>
          <w:sz w:val="24"/>
          <w:szCs w:val="24"/>
        </w:rPr>
      </w:pPr>
    </w:p>
    <w:p w14:paraId="4F94B713" w14:textId="77777777" w:rsidR="00E2158E" w:rsidRPr="00074A76"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en versión pública de ser procedente, 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37BB74E0" w14:textId="764F9C1C" w:rsidR="00FB4A53" w:rsidRPr="00FB4A53" w:rsidRDefault="00FB4A53" w:rsidP="00FB4A53">
      <w:pPr>
        <w:pStyle w:val="Prrafodelista"/>
        <w:numPr>
          <w:ilvl w:val="0"/>
          <w:numId w:val="8"/>
        </w:numPr>
        <w:spacing w:before="240" w:line="360" w:lineRule="auto"/>
        <w:jc w:val="both"/>
        <w:rPr>
          <w:rFonts w:ascii="Palatino Linotype" w:hAnsi="Palatino Linotype"/>
          <w:i/>
          <w:iCs/>
        </w:rPr>
      </w:pPr>
      <w:bookmarkStart w:id="2" w:name="_Hlk121218568"/>
      <w:r w:rsidRPr="00FB4A53">
        <w:rPr>
          <w:rFonts w:ascii="Palatino Linotype" w:hAnsi="Palatino Linotype" w:cs="Arial"/>
          <w:i/>
          <w:iCs/>
        </w:rPr>
        <w:t xml:space="preserve">El o los documentos que </w:t>
      </w:r>
      <w:r w:rsidRPr="000F38E5">
        <w:rPr>
          <w:rFonts w:ascii="Palatino Linotype" w:hAnsi="Palatino Linotype" w:cs="Arial"/>
          <w:i/>
          <w:iCs/>
        </w:rPr>
        <w:t xml:space="preserve">integren el </w:t>
      </w:r>
      <w:r w:rsidR="001850E5" w:rsidRPr="000F38E5">
        <w:rPr>
          <w:rFonts w:ascii="Palatino Linotype" w:hAnsi="Palatino Linotype" w:cs="Arial"/>
          <w:i/>
          <w:iCs/>
        </w:rPr>
        <w:t>último</w:t>
      </w:r>
      <w:r w:rsidRPr="000F38E5">
        <w:rPr>
          <w:rFonts w:ascii="Palatino Linotype" w:hAnsi="Palatino Linotype" w:cs="Arial"/>
          <w:i/>
          <w:iCs/>
        </w:rPr>
        <w:t xml:space="preserve"> expediente</w:t>
      </w:r>
      <w:r w:rsidRPr="00FB4A53">
        <w:rPr>
          <w:rFonts w:ascii="Palatino Linotype" w:hAnsi="Palatino Linotype" w:cs="Arial"/>
          <w:i/>
          <w:iCs/>
        </w:rPr>
        <w:t xml:space="preserve"> concluido en el que se configure el delito de quebrantamiento de sellos, al ocho de noviembre de dos mil veintidós. </w:t>
      </w:r>
    </w:p>
    <w:bookmarkEnd w:id="2"/>
    <w:p w14:paraId="101CA65A" w14:textId="01B54316" w:rsidR="003C3359" w:rsidRPr="00074A76" w:rsidRDefault="003C3359" w:rsidP="003C3359">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w:t>
      </w:r>
      <w:r w:rsidRPr="00074A76">
        <w:rPr>
          <w:rFonts w:ascii="Palatino Linotype" w:hAnsi="Palatino Linotype" w:cs="Arial"/>
          <w:i/>
        </w:rPr>
        <w:t xml:space="preserve">la Información Pública del Estado de México y </w:t>
      </w:r>
      <w:r w:rsidRPr="00074A76">
        <w:rPr>
          <w:rFonts w:ascii="Palatino Linotype" w:hAnsi="Palatino Linotype" w:cs="Arial"/>
          <w:i/>
        </w:rPr>
        <w:lastRenderedPageBreak/>
        <w:t>Municipios, en el que funde y motive las razones sobre los datos que se supriman o eliminen y se ponga a disposición del recurrente.</w:t>
      </w:r>
    </w:p>
    <w:p w14:paraId="24DEFC41" w14:textId="19800A0E" w:rsidR="003C3359" w:rsidRDefault="003C3359" w:rsidP="003C3359">
      <w:pPr>
        <w:pStyle w:val="Prrafodelista"/>
        <w:spacing w:before="240" w:line="360" w:lineRule="auto"/>
        <w:ind w:left="782"/>
        <w:jc w:val="both"/>
        <w:rPr>
          <w:rFonts w:ascii="Palatino Linotype" w:hAnsi="Palatino Linotype" w:cs="Arial"/>
          <w:i/>
        </w:rPr>
      </w:pPr>
    </w:p>
    <w:p w14:paraId="4BE1E549" w14:textId="77777777" w:rsidR="00E2158E" w:rsidRDefault="00E2158E" w:rsidP="00E2158E">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25F152" w14:textId="77777777" w:rsidR="00E2158E" w:rsidRPr="00593F5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593F5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0B6880EF" w:rsidR="00E2158E"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326FF34" w14:textId="77777777" w:rsidR="009D75B9" w:rsidRDefault="009D75B9"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23F374" w14:textId="3619FFA8" w:rsidR="00E2158E" w:rsidRPr="00502595" w:rsidRDefault="00E2158E" w:rsidP="00E2158E">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502595">
        <w:rPr>
          <w:rFonts w:ascii="Palatino Linotype" w:hAnsi="Palatino Linotype" w:cs="Arial"/>
          <w:sz w:val="22"/>
          <w:szCs w:val="22"/>
        </w:rPr>
        <w:lastRenderedPageBreak/>
        <w:t>ASÍ LO ACORDÓ, POR UNANIMIDAD DE VOTOS, EL PLENO DEL</w:t>
      </w:r>
      <w:r w:rsidRPr="00502595">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502595">
        <w:rPr>
          <w:rFonts w:ascii="Palatino Linotype" w:hAnsi="Palatino Linotype" w:cs="Arial"/>
          <w:sz w:val="22"/>
          <w:szCs w:val="22"/>
        </w:rPr>
        <w:t xml:space="preserve">, CONFORMADO POR LOS COMISIONADOS JOSÉ MARTÍNEZ VILCHIS, MARÍA DEL ROSARIO MEJÍA AYALA, SHARON CRISTINA MORALES MARTÍNEZ, LUIS GUSTAVO PARRA NORIEGA Y GUADALUPE RAMÍREZ PEÑA; </w:t>
      </w:r>
      <w:r w:rsidR="009D75B9" w:rsidRPr="00502595">
        <w:rPr>
          <w:rFonts w:ascii="Palatino Linotype" w:hAnsi="Palatino Linotype" w:cs="Arial"/>
          <w:sz w:val="22"/>
          <w:szCs w:val="22"/>
        </w:rPr>
        <w:t xml:space="preserve">EN LA </w:t>
      </w:r>
      <w:r w:rsidR="009D75B9">
        <w:rPr>
          <w:rFonts w:ascii="Palatino Linotype" w:hAnsi="Palatino Linotype" w:cs="Arial"/>
          <w:sz w:val="22"/>
          <w:szCs w:val="22"/>
        </w:rPr>
        <w:t xml:space="preserve">SEXTA SESIÓN ORDINARIA CELEBRADA EL QUINCE DE FEBRERO DE DOS MIL VEINTITRÉS, </w:t>
      </w:r>
      <w:r w:rsidRPr="00502595">
        <w:rPr>
          <w:rFonts w:ascii="Palatino Linotype" w:hAnsi="Palatino Linotype" w:cs="Arial"/>
          <w:sz w:val="22"/>
          <w:szCs w:val="22"/>
        </w:rPr>
        <w:t xml:space="preserve">ANTE EL  SECRETARIO TÉCNICO DEL PLENO, ALEXIS TAPIA RAMÍREZ. </w:t>
      </w:r>
    </w:p>
    <w:p w14:paraId="763F9350" w14:textId="56D1039F" w:rsidR="00E2158E" w:rsidRDefault="00E2158E"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502595">
        <w:rPr>
          <w:rFonts w:ascii="Palatino Linotype" w:hAnsi="Palatino Linotype"/>
          <w:bCs/>
          <w:sz w:val="22"/>
          <w:szCs w:val="22"/>
        </w:rPr>
        <w:t>CCR/JCMA</w:t>
      </w:r>
    </w:p>
    <w:p w14:paraId="65A29A2F" w14:textId="1E71A168" w:rsidR="000B3382" w:rsidRDefault="009D75B9"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r>
        <w:rPr>
          <w:rFonts w:ascii="Palatino Linotype" w:hAnsi="Palatino Linotype"/>
          <w:bCs/>
          <w:noProof/>
          <w:sz w:val="22"/>
          <w:szCs w:val="22"/>
          <w:lang w:val="es-MX" w:eastAsia="es-MX"/>
        </w:rPr>
        <mc:AlternateContent>
          <mc:Choice Requires="wps">
            <w:drawing>
              <wp:anchor distT="0" distB="0" distL="114300" distR="114300" simplePos="0" relativeHeight="251682816" behindDoc="0" locked="0" layoutInCell="1" allowOverlap="1" wp14:anchorId="18D2A796" wp14:editId="6016016C">
                <wp:simplePos x="0" y="0"/>
                <wp:positionH relativeFrom="column">
                  <wp:posOffset>-165735</wp:posOffset>
                </wp:positionH>
                <wp:positionV relativeFrom="paragraph">
                  <wp:posOffset>144780</wp:posOffset>
                </wp:positionV>
                <wp:extent cx="6353175" cy="4669155"/>
                <wp:effectExtent l="0" t="0" r="28575" b="36195"/>
                <wp:wrapNone/>
                <wp:docPr id="4" name="Straight Connector 4"/>
                <wp:cNvGraphicFramePr/>
                <a:graphic xmlns:a="http://schemas.openxmlformats.org/drawingml/2006/main">
                  <a:graphicData uri="http://schemas.microsoft.com/office/word/2010/wordprocessingShape">
                    <wps:wsp>
                      <wps:cNvCnPr/>
                      <wps:spPr>
                        <a:xfrm>
                          <a:off x="0" y="0"/>
                          <a:ext cx="6353175" cy="4669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31F23"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1.4pt" to="487.2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" strokecolor="#5b9bd5 [3204]" strokeweight=".5pt">
                <v:stroke joinstyle="miter"/>
              </v:line>
            </w:pict>
          </mc:Fallback>
        </mc:AlternateContent>
      </w:r>
    </w:p>
    <w:p w14:paraId="274D7643" w14:textId="61BEB8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CC200AD" w14:textId="69A0DAC4"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AF57D06" w14:textId="16CA37A2"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6C4FD45" w14:textId="2E351B7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66C083D" w14:textId="3984DBBC"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8EE9164" w14:textId="334C77DB"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9ECDD3" w14:textId="424AD32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B9314D2" w14:textId="6492A915"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696D80F0" w14:textId="28F87020"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DF2358B" w14:textId="2FFCFEFF"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7CF4CE3" w14:textId="06C5688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E4892A8" w14:textId="212F2208"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28394F12" w14:textId="399B27ED"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0578664" w14:textId="08CB7543" w:rsidR="000B3382"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005E3108" w14:textId="77777777" w:rsidR="000B3382" w:rsidRPr="00502595" w:rsidRDefault="000B3382" w:rsidP="00E2158E">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43B5AD1" w14:textId="77777777" w:rsidR="003F0EC7" w:rsidRDefault="003F0EC7" w:rsidP="00B6662B">
      <w:pPr>
        <w:spacing w:before="240" w:line="360" w:lineRule="auto"/>
        <w:jc w:val="both"/>
        <w:rPr>
          <w:rFonts w:ascii="Palatino Linotype" w:hAnsi="Palatino Linotype"/>
          <w:sz w:val="24"/>
          <w:szCs w:val="24"/>
        </w:rPr>
      </w:pPr>
    </w:p>
    <w:p w14:paraId="01280AF3" w14:textId="77777777" w:rsidR="003F0EC7" w:rsidRDefault="003F0EC7" w:rsidP="00B6662B">
      <w:pPr>
        <w:spacing w:before="240" w:line="360" w:lineRule="auto"/>
        <w:jc w:val="both"/>
        <w:rPr>
          <w:rFonts w:ascii="Palatino Linotype" w:hAnsi="Palatino Linotype"/>
          <w:sz w:val="24"/>
          <w:szCs w:val="24"/>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77777777" w:rsidR="003F0EC7" w:rsidRDefault="003F0EC7" w:rsidP="00B6662B">
      <w:pPr>
        <w:spacing w:before="240" w:line="360" w:lineRule="auto"/>
        <w:jc w:val="both"/>
        <w:rPr>
          <w:rFonts w:ascii="Palatino Linotype" w:hAnsi="Palatino Linotype"/>
          <w:sz w:val="24"/>
          <w:szCs w:val="24"/>
        </w:rPr>
      </w:pPr>
    </w:p>
    <w:sectPr w:rsidR="003F0EC7"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430DC" w14:textId="77777777" w:rsidR="003A628A" w:rsidRDefault="003A628A" w:rsidP="006168E4">
      <w:pPr>
        <w:spacing w:after="0" w:line="240" w:lineRule="auto"/>
      </w:pPr>
      <w:r>
        <w:separator/>
      </w:r>
    </w:p>
  </w:endnote>
  <w:endnote w:type="continuationSeparator" w:id="0">
    <w:p w14:paraId="5803DA52" w14:textId="77777777" w:rsidR="003A628A" w:rsidRDefault="003A628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0571">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0571">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05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0571">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6FC52" w14:textId="77777777" w:rsidR="003A628A" w:rsidRDefault="003A628A" w:rsidP="006168E4">
      <w:pPr>
        <w:spacing w:after="0" w:line="240" w:lineRule="auto"/>
      </w:pPr>
      <w:r>
        <w:separator/>
      </w:r>
    </w:p>
  </w:footnote>
  <w:footnote w:type="continuationSeparator" w:id="0">
    <w:p w14:paraId="6AFC5769" w14:textId="77777777" w:rsidR="003A628A" w:rsidRDefault="003A628A" w:rsidP="006168E4">
      <w:pPr>
        <w:spacing w:after="0" w:line="240" w:lineRule="auto"/>
      </w:pPr>
      <w:r>
        <w:continuationSeparator/>
      </w:r>
    </w:p>
  </w:footnote>
  <w:footnote w:id="1">
    <w:p w14:paraId="5C0A3081" w14:textId="77777777" w:rsidR="00905772" w:rsidRPr="005552A8" w:rsidRDefault="00905772" w:rsidP="0090577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DF3B3E9" w14:textId="77777777" w:rsidR="00905772" w:rsidRPr="005552A8" w:rsidRDefault="00905772" w:rsidP="0090577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113976F" w:rsidR="00E05600" w:rsidRPr="00B4142F" w:rsidRDefault="00CB699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16635</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03379A6" w:rsidR="00E05600" w:rsidRPr="00F06FED" w:rsidRDefault="00CB6997" w:rsidP="00F2667C">
          <w:pPr>
            <w:spacing w:after="120" w:line="256" w:lineRule="auto"/>
            <w:ind w:left="639" w:right="214"/>
            <w:jc w:val="both"/>
            <w:rPr>
              <w:rFonts w:ascii="Palatino Linotype" w:hAnsi="Palatino Linotype" w:cs="Arial"/>
            </w:rPr>
          </w:pPr>
          <w:r>
            <w:rPr>
              <w:rFonts w:ascii="Palatino Linotype" w:hAnsi="Palatino Linotype" w:cs="Arial"/>
            </w:rPr>
            <w:t xml:space="preserve">Fiscalía General de Justicia del Estado de México </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D30F946" w:rsidR="00E05600" w:rsidRPr="00B4142F" w:rsidRDefault="00CB699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16635</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DEABE9E" w:rsidR="00E05600" w:rsidRPr="00F06FED" w:rsidRDefault="00140571" w:rsidP="007A3BB5">
          <w:pPr>
            <w:spacing w:after="120" w:line="256" w:lineRule="auto"/>
            <w:ind w:left="639" w:right="214"/>
            <w:jc w:val="both"/>
            <w:rPr>
              <w:rFonts w:ascii="Palatino Linotype" w:hAnsi="Palatino Linotype" w:cs="Arial"/>
            </w:rPr>
          </w:pPr>
          <w:r>
            <w:rPr>
              <w:rFonts w:ascii="Palatino Linotype" w:hAnsi="Palatino Linotype" w:cs="Arial"/>
            </w:rPr>
            <w:t>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D0439F3" w:rsidR="00E05600" w:rsidRDefault="00CB6997"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Fiscalía General de Justicia del Estado de México </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2E1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0D09561E"/>
    <w:multiLevelType w:val="hybridMultilevel"/>
    <w:tmpl w:val="417E0938"/>
    <w:lvl w:ilvl="0" w:tplc="59A2F2A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15:restartNumberingAfterBreak="0">
    <w:nsid w:val="351A6759"/>
    <w:multiLevelType w:val="hybridMultilevel"/>
    <w:tmpl w:val="28EA21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F702D"/>
    <w:multiLevelType w:val="hybridMultilevel"/>
    <w:tmpl w:val="A0685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13EF2"/>
    <w:multiLevelType w:val="hybridMultilevel"/>
    <w:tmpl w:val="3C74A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44190B"/>
    <w:multiLevelType w:val="hybridMultilevel"/>
    <w:tmpl w:val="3DE4A31C"/>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2" w15:restartNumberingAfterBreak="0">
    <w:nsid w:val="43556634"/>
    <w:multiLevelType w:val="hybridMultilevel"/>
    <w:tmpl w:val="66B0C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6" w15:restartNumberingAfterBreak="0">
    <w:nsid w:val="527D3B83"/>
    <w:multiLevelType w:val="hybridMultilevel"/>
    <w:tmpl w:val="AEC0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4E14BD8"/>
    <w:multiLevelType w:val="hybridMultilevel"/>
    <w:tmpl w:val="D83C3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6AE65131"/>
    <w:multiLevelType w:val="hybridMultilevel"/>
    <w:tmpl w:val="720EF4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2"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3" w15:restartNumberingAfterBreak="0">
    <w:nsid w:val="729C1ADE"/>
    <w:multiLevelType w:val="hybridMultilevel"/>
    <w:tmpl w:val="C2B6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715B8"/>
    <w:multiLevelType w:val="hybridMultilevel"/>
    <w:tmpl w:val="201C5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6C3815"/>
    <w:multiLevelType w:val="hybridMultilevel"/>
    <w:tmpl w:val="ACB8A46E"/>
    <w:lvl w:ilvl="0" w:tplc="55C4D428">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1"/>
  </w:num>
  <w:num w:numId="3">
    <w:abstractNumId w:val="2"/>
  </w:num>
  <w:num w:numId="4">
    <w:abstractNumId w:val="13"/>
  </w:num>
  <w:num w:numId="5">
    <w:abstractNumId w:val="14"/>
  </w:num>
  <w:num w:numId="6">
    <w:abstractNumId w:val="17"/>
  </w:num>
  <w:num w:numId="7">
    <w:abstractNumId w:val="22"/>
  </w:num>
  <w:num w:numId="8">
    <w:abstractNumId w:val="3"/>
  </w:num>
  <w:num w:numId="9">
    <w:abstractNumId w:val="15"/>
  </w:num>
  <w:num w:numId="10">
    <w:abstractNumId w:val="24"/>
  </w:num>
  <w:num w:numId="11">
    <w:abstractNumId w:val="5"/>
  </w:num>
  <w:num w:numId="12">
    <w:abstractNumId w:val="20"/>
  </w:num>
  <w:num w:numId="13">
    <w:abstractNumId w:val="9"/>
  </w:num>
  <w:num w:numId="14">
    <w:abstractNumId w:val="26"/>
  </w:num>
  <w:num w:numId="15">
    <w:abstractNumId w:val="4"/>
  </w:num>
  <w:num w:numId="16">
    <w:abstractNumId w:val="10"/>
  </w:num>
  <w:num w:numId="17">
    <w:abstractNumId w:val="19"/>
  </w:num>
  <w:num w:numId="18">
    <w:abstractNumId w:val="7"/>
  </w:num>
  <w:num w:numId="19">
    <w:abstractNumId w:val="8"/>
  </w:num>
  <w:num w:numId="20">
    <w:abstractNumId w:val="23"/>
  </w:num>
  <w:num w:numId="21">
    <w:abstractNumId w:val="18"/>
  </w:num>
  <w:num w:numId="22">
    <w:abstractNumId w:val="1"/>
  </w:num>
  <w:num w:numId="23">
    <w:abstractNumId w:val="25"/>
  </w:num>
  <w:num w:numId="24">
    <w:abstractNumId w:val="16"/>
  </w:num>
  <w:num w:numId="25">
    <w:abstractNumId w:val="12"/>
  </w:num>
  <w:num w:numId="26">
    <w:abstractNumId w:val="0"/>
  </w:num>
  <w:num w:numId="2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685D"/>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3364"/>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A76"/>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3382"/>
    <w:rsid w:val="000B45EB"/>
    <w:rsid w:val="000B4B51"/>
    <w:rsid w:val="000B4D0F"/>
    <w:rsid w:val="000B5864"/>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8E5"/>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2827"/>
    <w:rsid w:val="00136C13"/>
    <w:rsid w:val="00136FAD"/>
    <w:rsid w:val="00140557"/>
    <w:rsid w:val="00140571"/>
    <w:rsid w:val="001408A0"/>
    <w:rsid w:val="001414E7"/>
    <w:rsid w:val="001416FE"/>
    <w:rsid w:val="00141BDA"/>
    <w:rsid w:val="001439C9"/>
    <w:rsid w:val="00146F0A"/>
    <w:rsid w:val="001503DD"/>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0E5"/>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16D"/>
    <w:rsid w:val="001E58D8"/>
    <w:rsid w:val="001E6631"/>
    <w:rsid w:val="001E78AA"/>
    <w:rsid w:val="001F2101"/>
    <w:rsid w:val="001F2360"/>
    <w:rsid w:val="001F3385"/>
    <w:rsid w:val="001F3969"/>
    <w:rsid w:val="001F607C"/>
    <w:rsid w:val="001F6084"/>
    <w:rsid w:val="001F61DA"/>
    <w:rsid w:val="001F6D13"/>
    <w:rsid w:val="00204420"/>
    <w:rsid w:val="002044EF"/>
    <w:rsid w:val="002049C3"/>
    <w:rsid w:val="00205ACD"/>
    <w:rsid w:val="002075A5"/>
    <w:rsid w:val="00212797"/>
    <w:rsid w:val="00212A9D"/>
    <w:rsid w:val="00213AF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314"/>
    <w:rsid w:val="002448CB"/>
    <w:rsid w:val="00252070"/>
    <w:rsid w:val="002525C7"/>
    <w:rsid w:val="002526E7"/>
    <w:rsid w:val="002534AB"/>
    <w:rsid w:val="00253B31"/>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1746"/>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3F45"/>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4622"/>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67F4"/>
    <w:rsid w:val="003179EC"/>
    <w:rsid w:val="00317A04"/>
    <w:rsid w:val="00317A10"/>
    <w:rsid w:val="00320A67"/>
    <w:rsid w:val="00321565"/>
    <w:rsid w:val="0032187D"/>
    <w:rsid w:val="00322039"/>
    <w:rsid w:val="00323CD2"/>
    <w:rsid w:val="00324E31"/>
    <w:rsid w:val="00325645"/>
    <w:rsid w:val="00326F6B"/>
    <w:rsid w:val="003272FB"/>
    <w:rsid w:val="003317CD"/>
    <w:rsid w:val="0033333B"/>
    <w:rsid w:val="00335EE5"/>
    <w:rsid w:val="0033704D"/>
    <w:rsid w:val="00337BA5"/>
    <w:rsid w:val="0034179E"/>
    <w:rsid w:val="00341AC3"/>
    <w:rsid w:val="0034299B"/>
    <w:rsid w:val="003430A8"/>
    <w:rsid w:val="003442C8"/>
    <w:rsid w:val="003443B2"/>
    <w:rsid w:val="00345B43"/>
    <w:rsid w:val="00346B14"/>
    <w:rsid w:val="00352D61"/>
    <w:rsid w:val="003549DC"/>
    <w:rsid w:val="003572AB"/>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96"/>
    <w:rsid w:val="003827B4"/>
    <w:rsid w:val="00383C82"/>
    <w:rsid w:val="00386BBB"/>
    <w:rsid w:val="00386D84"/>
    <w:rsid w:val="0039245A"/>
    <w:rsid w:val="00393CEA"/>
    <w:rsid w:val="00393F7A"/>
    <w:rsid w:val="00394A1E"/>
    <w:rsid w:val="00395F5A"/>
    <w:rsid w:val="003A19E1"/>
    <w:rsid w:val="003A241D"/>
    <w:rsid w:val="003A43CE"/>
    <w:rsid w:val="003A60CC"/>
    <w:rsid w:val="003A61F9"/>
    <w:rsid w:val="003A628A"/>
    <w:rsid w:val="003A73D3"/>
    <w:rsid w:val="003B1A03"/>
    <w:rsid w:val="003B1C4E"/>
    <w:rsid w:val="003B1E88"/>
    <w:rsid w:val="003B2317"/>
    <w:rsid w:val="003B5455"/>
    <w:rsid w:val="003B5FFE"/>
    <w:rsid w:val="003B63C0"/>
    <w:rsid w:val="003B6539"/>
    <w:rsid w:val="003B6686"/>
    <w:rsid w:val="003C0C0D"/>
    <w:rsid w:val="003C1C73"/>
    <w:rsid w:val="003C2632"/>
    <w:rsid w:val="003C2A8E"/>
    <w:rsid w:val="003C3359"/>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812"/>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397"/>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3FEA"/>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6D8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1159"/>
    <w:rsid w:val="00602223"/>
    <w:rsid w:val="0060225F"/>
    <w:rsid w:val="0060242C"/>
    <w:rsid w:val="006041EC"/>
    <w:rsid w:val="0060511C"/>
    <w:rsid w:val="00606FDA"/>
    <w:rsid w:val="0061042F"/>
    <w:rsid w:val="00612499"/>
    <w:rsid w:val="00612954"/>
    <w:rsid w:val="006168E4"/>
    <w:rsid w:val="00616943"/>
    <w:rsid w:val="006174FA"/>
    <w:rsid w:val="00620EEE"/>
    <w:rsid w:val="00621171"/>
    <w:rsid w:val="006214B9"/>
    <w:rsid w:val="00621940"/>
    <w:rsid w:val="006223C1"/>
    <w:rsid w:val="00623544"/>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1CFE"/>
    <w:rsid w:val="006522DA"/>
    <w:rsid w:val="006529A5"/>
    <w:rsid w:val="00652E67"/>
    <w:rsid w:val="0065450F"/>
    <w:rsid w:val="00655735"/>
    <w:rsid w:val="00656289"/>
    <w:rsid w:val="00660155"/>
    <w:rsid w:val="00661404"/>
    <w:rsid w:val="00661753"/>
    <w:rsid w:val="00663446"/>
    <w:rsid w:val="006646AC"/>
    <w:rsid w:val="00664D5B"/>
    <w:rsid w:val="0066790A"/>
    <w:rsid w:val="00671D7C"/>
    <w:rsid w:val="00672112"/>
    <w:rsid w:val="0067222A"/>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28D7"/>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0F79"/>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1760A"/>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45A9"/>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7A1"/>
    <w:rsid w:val="007F5AB8"/>
    <w:rsid w:val="007F67C9"/>
    <w:rsid w:val="007F6C8E"/>
    <w:rsid w:val="007F76DF"/>
    <w:rsid w:val="00800927"/>
    <w:rsid w:val="008016F1"/>
    <w:rsid w:val="00802C56"/>
    <w:rsid w:val="0080421D"/>
    <w:rsid w:val="0080447F"/>
    <w:rsid w:val="00804BD9"/>
    <w:rsid w:val="00805270"/>
    <w:rsid w:val="00806148"/>
    <w:rsid w:val="00807868"/>
    <w:rsid w:val="008111EB"/>
    <w:rsid w:val="00811205"/>
    <w:rsid w:val="00811D16"/>
    <w:rsid w:val="00811DCF"/>
    <w:rsid w:val="00812C48"/>
    <w:rsid w:val="008146F9"/>
    <w:rsid w:val="00814D55"/>
    <w:rsid w:val="00821792"/>
    <w:rsid w:val="00821C2C"/>
    <w:rsid w:val="008230AE"/>
    <w:rsid w:val="00824DCD"/>
    <w:rsid w:val="008253B0"/>
    <w:rsid w:val="00831D3F"/>
    <w:rsid w:val="00832986"/>
    <w:rsid w:val="00833DB5"/>
    <w:rsid w:val="00834F8E"/>
    <w:rsid w:val="00835692"/>
    <w:rsid w:val="008419A8"/>
    <w:rsid w:val="00842697"/>
    <w:rsid w:val="008436AD"/>
    <w:rsid w:val="00844569"/>
    <w:rsid w:val="00846539"/>
    <w:rsid w:val="0084766D"/>
    <w:rsid w:val="008479F1"/>
    <w:rsid w:val="00847D23"/>
    <w:rsid w:val="00847E28"/>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4642"/>
    <w:rsid w:val="00875611"/>
    <w:rsid w:val="00876A75"/>
    <w:rsid w:val="0087786C"/>
    <w:rsid w:val="00877DCA"/>
    <w:rsid w:val="00881A04"/>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628"/>
    <w:rsid w:val="008C3857"/>
    <w:rsid w:val="008C55A3"/>
    <w:rsid w:val="008C5EC3"/>
    <w:rsid w:val="008D06E0"/>
    <w:rsid w:val="008D1DFF"/>
    <w:rsid w:val="008D29A7"/>
    <w:rsid w:val="008D2F5B"/>
    <w:rsid w:val="008D4DDD"/>
    <w:rsid w:val="008D5A7E"/>
    <w:rsid w:val="008D6473"/>
    <w:rsid w:val="008D6D20"/>
    <w:rsid w:val="008D7675"/>
    <w:rsid w:val="008E6024"/>
    <w:rsid w:val="008E6375"/>
    <w:rsid w:val="008E7DB4"/>
    <w:rsid w:val="008F10A6"/>
    <w:rsid w:val="008F16D2"/>
    <w:rsid w:val="008F3674"/>
    <w:rsid w:val="008F4944"/>
    <w:rsid w:val="008F4AB6"/>
    <w:rsid w:val="008F4C65"/>
    <w:rsid w:val="008F5B38"/>
    <w:rsid w:val="008F6161"/>
    <w:rsid w:val="008F63B0"/>
    <w:rsid w:val="0090155A"/>
    <w:rsid w:val="0090162D"/>
    <w:rsid w:val="009020E0"/>
    <w:rsid w:val="0090233A"/>
    <w:rsid w:val="00903376"/>
    <w:rsid w:val="00903410"/>
    <w:rsid w:val="00905422"/>
    <w:rsid w:val="00905772"/>
    <w:rsid w:val="0090614B"/>
    <w:rsid w:val="00906EFE"/>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37FD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322"/>
    <w:rsid w:val="009A64BD"/>
    <w:rsid w:val="009A686F"/>
    <w:rsid w:val="009A6ACC"/>
    <w:rsid w:val="009A706F"/>
    <w:rsid w:val="009B1636"/>
    <w:rsid w:val="009B3329"/>
    <w:rsid w:val="009B33A8"/>
    <w:rsid w:val="009B3487"/>
    <w:rsid w:val="009B4429"/>
    <w:rsid w:val="009B4510"/>
    <w:rsid w:val="009B5F5A"/>
    <w:rsid w:val="009B7C61"/>
    <w:rsid w:val="009B7D7D"/>
    <w:rsid w:val="009C0DC9"/>
    <w:rsid w:val="009C2394"/>
    <w:rsid w:val="009C3793"/>
    <w:rsid w:val="009C451F"/>
    <w:rsid w:val="009C4547"/>
    <w:rsid w:val="009C5075"/>
    <w:rsid w:val="009C5E96"/>
    <w:rsid w:val="009C726D"/>
    <w:rsid w:val="009D1B1E"/>
    <w:rsid w:val="009D3697"/>
    <w:rsid w:val="009D42F9"/>
    <w:rsid w:val="009D5F9E"/>
    <w:rsid w:val="009D735D"/>
    <w:rsid w:val="009D75B9"/>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4D6D"/>
    <w:rsid w:val="00A0717F"/>
    <w:rsid w:val="00A07627"/>
    <w:rsid w:val="00A11AE6"/>
    <w:rsid w:val="00A12205"/>
    <w:rsid w:val="00A21876"/>
    <w:rsid w:val="00A230E1"/>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0803"/>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3A1"/>
    <w:rsid w:val="00A84571"/>
    <w:rsid w:val="00A84CDC"/>
    <w:rsid w:val="00A84DFE"/>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33B5"/>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28D"/>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3F85"/>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558"/>
    <w:rsid w:val="00BC5852"/>
    <w:rsid w:val="00BC6C97"/>
    <w:rsid w:val="00BD293B"/>
    <w:rsid w:val="00BD2C39"/>
    <w:rsid w:val="00BD30CA"/>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488"/>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997"/>
    <w:rsid w:val="00CB6F8B"/>
    <w:rsid w:val="00CB7F87"/>
    <w:rsid w:val="00CC0C5F"/>
    <w:rsid w:val="00CC1FE6"/>
    <w:rsid w:val="00CC24B0"/>
    <w:rsid w:val="00CC2788"/>
    <w:rsid w:val="00CC2F3D"/>
    <w:rsid w:val="00CC3AD5"/>
    <w:rsid w:val="00CC436A"/>
    <w:rsid w:val="00CC5FF3"/>
    <w:rsid w:val="00CC6E52"/>
    <w:rsid w:val="00CD1E46"/>
    <w:rsid w:val="00CD7178"/>
    <w:rsid w:val="00CE2ADF"/>
    <w:rsid w:val="00CE33FC"/>
    <w:rsid w:val="00CE39B8"/>
    <w:rsid w:val="00CE4B84"/>
    <w:rsid w:val="00CE57D6"/>
    <w:rsid w:val="00CE59DE"/>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0CBA"/>
    <w:rsid w:val="00D1312A"/>
    <w:rsid w:val="00D13159"/>
    <w:rsid w:val="00D13814"/>
    <w:rsid w:val="00D139EB"/>
    <w:rsid w:val="00D14BA9"/>
    <w:rsid w:val="00D16498"/>
    <w:rsid w:val="00D166FF"/>
    <w:rsid w:val="00D171EB"/>
    <w:rsid w:val="00D17789"/>
    <w:rsid w:val="00D206A5"/>
    <w:rsid w:val="00D21565"/>
    <w:rsid w:val="00D22B01"/>
    <w:rsid w:val="00D25E04"/>
    <w:rsid w:val="00D266BE"/>
    <w:rsid w:val="00D270E7"/>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73D"/>
    <w:rsid w:val="00DE1FC5"/>
    <w:rsid w:val="00DE34FF"/>
    <w:rsid w:val="00DE35D7"/>
    <w:rsid w:val="00DE4454"/>
    <w:rsid w:val="00DE44AB"/>
    <w:rsid w:val="00DF003C"/>
    <w:rsid w:val="00DF00D4"/>
    <w:rsid w:val="00DF181A"/>
    <w:rsid w:val="00DF1C0F"/>
    <w:rsid w:val="00DF2729"/>
    <w:rsid w:val="00DF4501"/>
    <w:rsid w:val="00DF4928"/>
    <w:rsid w:val="00DF60F6"/>
    <w:rsid w:val="00DF7233"/>
    <w:rsid w:val="00DF73DC"/>
    <w:rsid w:val="00DF75B7"/>
    <w:rsid w:val="00DF78AE"/>
    <w:rsid w:val="00E0171F"/>
    <w:rsid w:val="00E02AC4"/>
    <w:rsid w:val="00E02BFC"/>
    <w:rsid w:val="00E033F2"/>
    <w:rsid w:val="00E0462A"/>
    <w:rsid w:val="00E05600"/>
    <w:rsid w:val="00E05BB8"/>
    <w:rsid w:val="00E075D4"/>
    <w:rsid w:val="00E07AAA"/>
    <w:rsid w:val="00E07CC2"/>
    <w:rsid w:val="00E115FB"/>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40D6"/>
    <w:rsid w:val="00EB5CDD"/>
    <w:rsid w:val="00EB5F75"/>
    <w:rsid w:val="00EB6D22"/>
    <w:rsid w:val="00EB7852"/>
    <w:rsid w:val="00EB79CD"/>
    <w:rsid w:val="00EC060D"/>
    <w:rsid w:val="00EC1B22"/>
    <w:rsid w:val="00EC2480"/>
    <w:rsid w:val="00EC2525"/>
    <w:rsid w:val="00EC4F33"/>
    <w:rsid w:val="00EC7410"/>
    <w:rsid w:val="00EC77D8"/>
    <w:rsid w:val="00EC7E6C"/>
    <w:rsid w:val="00ED3C5C"/>
    <w:rsid w:val="00ED3DE9"/>
    <w:rsid w:val="00ED4B06"/>
    <w:rsid w:val="00EE05C1"/>
    <w:rsid w:val="00EE0713"/>
    <w:rsid w:val="00EE07A6"/>
    <w:rsid w:val="00EE0A53"/>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47662"/>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5223"/>
    <w:rsid w:val="00FA7CFC"/>
    <w:rsid w:val="00FB00AF"/>
    <w:rsid w:val="00FB097C"/>
    <w:rsid w:val="00FB1D16"/>
    <w:rsid w:val="00FB21C2"/>
    <w:rsid w:val="00FB3846"/>
    <w:rsid w:val="00FB4A53"/>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2D84"/>
    <w:rsid w:val="00FC3549"/>
    <w:rsid w:val="00FC4F9B"/>
    <w:rsid w:val="00FC59F0"/>
    <w:rsid w:val="00FD2B77"/>
    <w:rsid w:val="00FD302E"/>
    <w:rsid w:val="00FD3863"/>
    <w:rsid w:val="00FD4474"/>
    <w:rsid w:val="00FD4599"/>
    <w:rsid w:val="00FD4784"/>
    <w:rsid w:val="00FD51C8"/>
    <w:rsid w:val="00FD5753"/>
    <w:rsid w:val="00FD65FE"/>
    <w:rsid w:val="00FD6B57"/>
    <w:rsid w:val="00FD7C8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97318063">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3C397-980D-49C9-A55A-CD2C42743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34</Pages>
  <Words>6400</Words>
  <Characters>35200</Characters>
  <Application>Microsoft Office Word</Application>
  <DocSecurity>0</DocSecurity>
  <Lines>293</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28</cp:revision>
  <cp:lastPrinted>2018-12-04T20:35:00Z</cp:lastPrinted>
  <dcterms:created xsi:type="dcterms:W3CDTF">2022-11-16T16:30:00Z</dcterms:created>
  <dcterms:modified xsi:type="dcterms:W3CDTF">2023-02-24T19:20:00Z</dcterms:modified>
</cp:coreProperties>
</file>