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2CCF0" w14:textId="7693F4F1" w:rsidR="00AD4DF3" w:rsidRPr="00C76D23" w:rsidRDefault="00CD0BE5" w:rsidP="00433676">
      <w:pPr>
        <w:tabs>
          <w:tab w:val="left" w:pos="2552"/>
        </w:tabs>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915ABC" w:rsidRPr="00C76D23">
        <w:rPr>
          <w:rFonts w:ascii="Palatino Linotype" w:eastAsia="Palatino Linotype" w:hAnsi="Palatino Linotype" w:cs="Palatino Linotype"/>
        </w:rPr>
        <w:t xml:space="preserve">diecisiete </w:t>
      </w:r>
      <w:r w:rsidRPr="00C76D23">
        <w:rPr>
          <w:rFonts w:ascii="Palatino Linotype" w:eastAsia="Palatino Linotype" w:hAnsi="Palatino Linotype" w:cs="Palatino Linotype"/>
        </w:rPr>
        <w:t xml:space="preserve">de mayo de dos mil veintitrés. </w:t>
      </w:r>
    </w:p>
    <w:p w14:paraId="511CCA42"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b/>
        </w:rPr>
        <w:t>VISTO</w:t>
      </w:r>
      <w:r w:rsidRPr="00C76D23">
        <w:rPr>
          <w:rFonts w:ascii="Palatino Linotype" w:eastAsia="Palatino Linotype" w:hAnsi="Palatino Linotype" w:cs="Palatino Linotype"/>
        </w:rPr>
        <w:t xml:space="preserve"> el expediente formado con motivo del recurso de revisión </w:t>
      </w:r>
      <w:r w:rsidR="00915ABC" w:rsidRPr="00C76D23">
        <w:rPr>
          <w:rFonts w:ascii="Palatino Linotype" w:eastAsia="Palatino Linotype" w:hAnsi="Palatino Linotype" w:cs="Palatino Linotype"/>
          <w:b/>
        </w:rPr>
        <w:t>14404</w:t>
      </w:r>
      <w:r w:rsidRPr="00C76D23">
        <w:rPr>
          <w:rFonts w:ascii="Palatino Linotype" w:eastAsia="Palatino Linotype" w:hAnsi="Palatino Linotype" w:cs="Palatino Linotype"/>
          <w:b/>
        </w:rPr>
        <w:t>/INFOEM/IP/RR/2022</w:t>
      </w:r>
      <w:r w:rsidRPr="00C76D23">
        <w:rPr>
          <w:rFonts w:ascii="Palatino Linotype" w:eastAsia="Palatino Linotype" w:hAnsi="Palatino Linotype" w:cs="Palatino Linotype"/>
        </w:rPr>
        <w:t>, interpuesto por</w:t>
      </w:r>
      <w:r w:rsidRPr="00C76D23">
        <w:rPr>
          <w:rFonts w:ascii="Palatino Linotype" w:eastAsia="Palatino Linotype" w:hAnsi="Palatino Linotype" w:cs="Palatino Linotype"/>
          <w:b/>
        </w:rPr>
        <w:t xml:space="preserve"> un particular que no proporcionó nombre o seudónimo</w:t>
      </w:r>
      <w:r w:rsidRPr="00C76D23">
        <w:rPr>
          <w:rFonts w:ascii="Palatino Linotype" w:eastAsia="Palatino Linotype" w:hAnsi="Palatino Linotype" w:cs="Palatino Linotype"/>
        </w:rPr>
        <w:t>, en lo sucesivo</w:t>
      </w:r>
      <w:r w:rsidRPr="00C76D23">
        <w:rPr>
          <w:rFonts w:ascii="Palatino Linotype" w:eastAsia="Palatino Linotype" w:hAnsi="Palatino Linotype" w:cs="Palatino Linotype"/>
          <w:b/>
        </w:rPr>
        <w:t xml:space="preserve"> </w:t>
      </w:r>
      <w:r w:rsidRPr="00C76D23">
        <w:rPr>
          <w:rFonts w:ascii="Palatino Linotype" w:eastAsia="Palatino Linotype" w:hAnsi="Palatino Linotype" w:cs="Palatino Linotype"/>
        </w:rPr>
        <w:t xml:space="preserve">la parte </w:t>
      </w:r>
      <w:r w:rsidRPr="00C76D23">
        <w:rPr>
          <w:rFonts w:ascii="Palatino Linotype" w:eastAsia="Palatino Linotype" w:hAnsi="Palatino Linotype" w:cs="Palatino Linotype"/>
          <w:b/>
        </w:rPr>
        <w:t>Recurrente,</w:t>
      </w:r>
      <w:r w:rsidRPr="00C76D23">
        <w:rPr>
          <w:rFonts w:ascii="Palatino Linotype" w:eastAsia="Palatino Linotype" w:hAnsi="Palatino Linotype" w:cs="Palatino Linotype"/>
        </w:rPr>
        <w:t xml:space="preserve"> en contra de la respue</w:t>
      </w:r>
      <w:r w:rsidR="00915ABC" w:rsidRPr="00C76D23">
        <w:rPr>
          <w:rFonts w:ascii="Palatino Linotype" w:eastAsia="Palatino Linotype" w:hAnsi="Palatino Linotype" w:cs="Palatino Linotype"/>
        </w:rPr>
        <w:t>sta a su solicitud por parte de</w:t>
      </w:r>
      <w:r w:rsidRPr="00C76D23">
        <w:rPr>
          <w:rFonts w:ascii="Palatino Linotype" w:eastAsia="Palatino Linotype" w:hAnsi="Palatino Linotype" w:cs="Palatino Linotype"/>
        </w:rPr>
        <w:t xml:space="preserve">l </w:t>
      </w:r>
      <w:r w:rsidR="00915ABC" w:rsidRPr="00C76D23">
        <w:rPr>
          <w:rFonts w:ascii="Palatino Linotype" w:eastAsia="Palatino Linotype" w:hAnsi="Palatino Linotype" w:cs="Palatino Linotype"/>
          <w:b/>
        </w:rPr>
        <w:t>Ayuntamiento de Coacalco de Berriozábal</w:t>
      </w:r>
      <w:r w:rsidRPr="00C76D23">
        <w:rPr>
          <w:rFonts w:ascii="Palatino Linotype" w:eastAsia="Palatino Linotype" w:hAnsi="Palatino Linotype" w:cs="Palatino Linotype"/>
          <w:b/>
        </w:rPr>
        <w:t xml:space="preserve">, </w:t>
      </w:r>
      <w:r w:rsidRPr="00C76D23">
        <w:rPr>
          <w:rFonts w:ascii="Palatino Linotype" w:eastAsia="Palatino Linotype" w:hAnsi="Palatino Linotype" w:cs="Palatino Linotype"/>
        </w:rPr>
        <w:t xml:space="preserve">en lo sucesivo el </w:t>
      </w:r>
      <w:r w:rsidRPr="00C76D23">
        <w:rPr>
          <w:rFonts w:ascii="Palatino Linotype" w:eastAsia="Palatino Linotype" w:hAnsi="Palatino Linotype" w:cs="Palatino Linotype"/>
          <w:b/>
        </w:rPr>
        <w:t xml:space="preserve">Sujeto Obligado, </w:t>
      </w:r>
      <w:r w:rsidRPr="00C76D23">
        <w:rPr>
          <w:rFonts w:ascii="Palatino Linotype" w:eastAsia="Palatino Linotype" w:hAnsi="Palatino Linotype" w:cs="Palatino Linotype"/>
        </w:rPr>
        <w:t xml:space="preserve">se procede a dictar la presente resolución con base en los siguientes: </w:t>
      </w:r>
    </w:p>
    <w:p w14:paraId="58883339" w14:textId="77777777" w:rsidR="00AD4DF3" w:rsidRPr="00C76D23" w:rsidRDefault="00CD0BE5">
      <w:pPr>
        <w:spacing w:before="240" w:after="240" w:line="360" w:lineRule="auto"/>
        <w:jc w:val="center"/>
        <w:rPr>
          <w:rFonts w:ascii="Palatino Linotype" w:eastAsia="Palatino Linotype" w:hAnsi="Palatino Linotype" w:cs="Palatino Linotype"/>
          <w:b/>
        </w:rPr>
      </w:pPr>
      <w:r w:rsidRPr="00C76D23">
        <w:rPr>
          <w:rFonts w:ascii="Palatino Linotype" w:eastAsia="Palatino Linotype" w:hAnsi="Palatino Linotype" w:cs="Palatino Linotype"/>
          <w:b/>
        </w:rPr>
        <w:t>I. A N T E C E D E N T E S</w:t>
      </w:r>
    </w:p>
    <w:p w14:paraId="7C21E519"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b/>
        </w:rPr>
        <w:t>1. Solicitud de acceso a la información.</w:t>
      </w:r>
      <w:r w:rsidRPr="00C76D23">
        <w:rPr>
          <w:rFonts w:ascii="Palatino Linotype" w:eastAsia="Palatino Linotype" w:hAnsi="Palatino Linotype" w:cs="Palatino Linotype"/>
        </w:rPr>
        <w:t xml:space="preserve"> Con fecha </w:t>
      </w:r>
      <w:r w:rsidR="00915ABC" w:rsidRPr="00C76D23">
        <w:rPr>
          <w:rFonts w:ascii="Palatino Linotype" w:eastAsia="Palatino Linotype" w:hAnsi="Palatino Linotype" w:cs="Palatino Linotype"/>
          <w:b/>
        </w:rPr>
        <w:t>quince</w:t>
      </w:r>
      <w:r w:rsidRPr="00C76D23">
        <w:rPr>
          <w:rFonts w:ascii="Palatino Linotype" w:eastAsia="Palatino Linotype" w:hAnsi="Palatino Linotype" w:cs="Palatino Linotype"/>
          <w:b/>
        </w:rPr>
        <w:t xml:space="preserve"> de agosto de</w:t>
      </w:r>
      <w:r w:rsidRPr="00C76D23">
        <w:rPr>
          <w:rFonts w:ascii="Palatino Linotype" w:eastAsia="Palatino Linotype" w:hAnsi="Palatino Linotype" w:cs="Palatino Linotype"/>
        </w:rPr>
        <w:t xml:space="preserve"> </w:t>
      </w:r>
      <w:r w:rsidRPr="00C76D23">
        <w:rPr>
          <w:rFonts w:ascii="Palatino Linotype" w:eastAsia="Palatino Linotype" w:hAnsi="Palatino Linotype" w:cs="Palatino Linotype"/>
          <w:b/>
        </w:rPr>
        <w:t>dos mil veintidós,</w:t>
      </w:r>
      <w:r w:rsidRPr="00C76D23">
        <w:rPr>
          <w:rFonts w:ascii="Palatino Linotype" w:eastAsia="Palatino Linotype" w:hAnsi="Palatino Linotype" w:cs="Palatino Linotype"/>
        </w:rPr>
        <w:t xml:space="preserve"> la parte </w:t>
      </w:r>
      <w:r w:rsidRPr="00C76D23">
        <w:rPr>
          <w:rFonts w:ascii="Palatino Linotype" w:eastAsia="Palatino Linotype" w:hAnsi="Palatino Linotype" w:cs="Palatino Linotype"/>
          <w:b/>
        </w:rPr>
        <w:t xml:space="preserve">Recurrente </w:t>
      </w:r>
      <w:r w:rsidRPr="00C76D23">
        <w:rPr>
          <w:rFonts w:ascii="Palatino Linotype" w:eastAsia="Palatino Linotype" w:hAnsi="Palatino Linotype" w:cs="Palatino Linotype"/>
        </w:rPr>
        <w:t xml:space="preserve">presentó, a través del Sistema de Acceso a la Información Mexiquense, en lo subsecuente el </w:t>
      </w:r>
      <w:r w:rsidRPr="00C76D23">
        <w:rPr>
          <w:rFonts w:ascii="Palatino Linotype" w:eastAsia="Palatino Linotype" w:hAnsi="Palatino Linotype" w:cs="Palatino Linotype"/>
          <w:b/>
        </w:rPr>
        <w:t>SAIMEX,</w:t>
      </w:r>
      <w:r w:rsidRPr="00C76D23">
        <w:rPr>
          <w:rFonts w:ascii="Palatino Linotype" w:eastAsia="Palatino Linotype" w:hAnsi="Palatino Linotype" w:cs="Palatino Linotype"/>
        </w:rPr>
        <w:t xml:space="preserve"> ante el </w:t>
      </w:r>
      <w:r w:rsidRPr="00C76D23">
        <w:rPr>
          <w:rFonts w:ascii="Palatino Linotype" w:eastAsia="Palatino Linotype" w:hAnsi="Palatino Linotype" w:cs="Palatino Linotype"/>
          <w:b/>
        </w:rPr>
        <w:t>Sujeto Obligado</w:t>
      </w:r>
      <w:r w:rsidRPr="00C76D23">
        <w:rPr>
          <w:rFonts w:ascii="Palatino Linotype" w:eastAsia="Palatino Linotype" w:hAnsi="Palatino Linotype" w:cs="Palatino Linotype"/>
        </w:rPr>
        <w:t>, la solicitud de acceso a la información pública, a la que se le asignó el número</w:t>
      </w:r>
      <w:r w:rsidRPr="00C76D23">
        <w:rPr>
          <w:rFonts w:ascii="Palatino Linotype" w:eastAsia="Palatino Linotype" w:hAnsi="Palatino Linotype" w:cs="Palatino Linotype"/>
          <w:b/>
        </w:rPr>
        <w:t xml:space="preserve"> </w:t>
      </w:r>
      <w:r w:rsidR="00915ABC" w:rsidRPr="00C76D23">
        <w:rPr>
          <w:rFonts w:ascii="Palatino Linotype" w:eastAsia="Palatino Linotype" w:hAnsi="Palatino Linotype" w:cs="Palatino Linotype"/>
          <w:b/>
        </w:rPr>
        <w:t>00308/COACALCO/IP/2022</w:t>
      </w:r>
      <w:r w:rsidRPr="00C76D23">
        <w:rPr>
          <w:rFonts w:ascii="Palatino Linotype" w:eastAsia="Palatino Linotype" w:hAnsi="Palatino Linotype" w:cs="Palatino Linotype"/>
          <w:b/>
        </w:rPr>
        <w:t xml:space="preserve">, </w:t>
      </w:r>
      <w:r w:rsidRPr="00C76D23">
        <w:rPr>
          <w:rFonts w:ascii="Palatino Linotype" w:eastAsia="Palatino Linotype" w:hAnsi="Palatino Linotype" w:cs="Palatino Linotype"/>
        </w:rPr>
        <w:t xml:space="preserve">mediante la cual requirió la información siguiente: </w:t>
      </w:r>
    </w:p>
    <w:p w14:paraId="3B5EF6A7" w14:textId="77777777" w:rsidR="00AD4DF3" w:rsidRPr="00C76D23" w:rsidRDefault="00CD0BE5">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C76D23">
        <w:rPr>
          <w:rFonts w:ascii="Palatino Linotype" w:eastAsia="Palatino Linotype" w:hAnsi="Palatino Linotype" w:cs="Palatino Linotype"/>
          <w:i/>
          <w:sz w:val="22"/>
          <w:szCs w:val="22"/>
        </w:rPr>
        <w:t>“</w:t>
      </w:r>
      <w:r w:rsidR="00915ABC" w:rsidRPr="00C76D23">
        <w:rPr>
          <w:rFonts w:ascii="Palatino Linotype" w:eastAsia="Palatino Linotype" w:hAnsi="Palatino Linotype" w:cs="Palatino Linotype"/>
          <w:i/>
          <w:sz w:val="22"/>
          <w:szCs w:val="22"/>
        </w:rPr>
        <w:t xml:space="preserve">Cuantas patrullas recibió la actual administración 2022, </w:t>
      </w:r>
      <w:proofErr w:type="spellStart"/>
      <w:r w:rsidR="00915ABC" w:rsidRPr="00C76D23">
        <w:rPr>
          <w:rFonts w:ascii="Palatino Linotype" w:eastAsia="Palatino Linotype" w:hAnsi="Palatino Linotype" w:cs="Palatino Linotype"/>
          <w:i/>
          <w:sz w:val="22"/>
          <w:szCs w:val="22"/>
        </w:rPr>
        <w:t>cual</w:t>
      </w:r>
      <w:proofErr w:type="spellEnd"/>
      <w:r w:rsidR="00915ABC" w:rsidRPr="00C76D23">
        <w:rPr>
          <w:rFonts w:ascii="Palatino Linotype" w:eastAsia="Palatino Linotype" w:hAnsi="Palatino Linotype" w:cs="Palatino Linotype"/>
          <w:i/>
          <w:sz w:val="22"/>
          <w:szCs w:val="22"/>
        </w:rPr>
        <w:t xml:space="preserve"> era su estatus (propias, arrendadas) cuantas patrullas adquirió o arrendó la administración municipal actual (adjuntar factura cualquiera que sea el </w:t>
      </w:r>
      <w:proofErr w:type="gramStart"/>
      <w:r w:rsidR="00915ABC" w:rsidRPr="00C76D23">
        <w:rPr>
          <w:rFonts w:ascii="Palatino Linotype" w:eastAsia="Palatino Linotype" w:hAnsi="Palatino Linotype" w:cs="Palatino Linotype"/>
          <w:i/>
          <w:sz w:val="22"/>
          <w:szCs w:val="22"/>
        </w:rPr>
        <w:t>caso )</w:t>
      </w:r>
      <w:proofErr w:type="gramEnd"/>
      <w:r w:rsidR="00915ABC" w:rsidRPr="00C76D23">
        <w:rPr>
          <w:rFonts w:ascii="Palatino Linotype" w:eastAsia="Palatino Linotype" w:hAnsi="Palatino Linotype" w:cs="Palatino Linotype"/>
          <w:i/>
          <w:sz w:val="22"/>
          <w:szCs w:val="22"/>
        </w:rPr>
        <w:t xml:space="preserve"> las torres móviles de videovigilancia son propias o arrendadas (adjuntar factura) en ambos casos adjuntar contratos correspondientes</w:t>
      </w:r>
      <w:r w:rsidRPr="00C76D23">
        <w:rPr>
          <w:rFonts w:ascii="Palatino Linotype" w:eastAsia="Palatino Linotype" w:hAnsi="Palatino Linotype" w:cs="Palatino Linotype"/>
          <w:i/>
          <w:sz w:val="22"/>
          <w:szCs w:val="22"/>
        </w:rPr>
        <w:t>.</w:t>
      </w:r>
      <w:r w:rsidRPr="00C76D23">
        <w:rPr>
          <w:rFonts w:ascii="Palatino Linotype" w:eastAsia="Palatino Linotype" w:hAnsi="Palatino Linotype" w:cs="Palatino Linotype"/>
          <w:b/>
          <w:i/>
          <w:sz w:val="22"/>
          <w:szCs w:val="22"/>
        </w:rPr>
        <w:t>”</w:t>
      </w:r>
      <w:r w:rsidRPr="00C76D23">
        <w:rPr>
          <w:rFonts w:ascii="Palatino Linotype" w:eastAsia="Palatino Linotype" w:hAnsi="Palatino Linotype" w:cs="Palatino Linotype"/>
          <w:i/>
          <w:sz w:val="22"/>
          <w:szCs w:val="22"/>
        </w:rPr>
        <w:t xml:space="preserve"> (sic) </w:t>
      </w:r>
    </w:p>
    <w:p w14:paraId="45294733" w14:textId="77777777" w:rsidR="00AD4DF3" w:rsidRPr="00C76D23" w:rsidRDefault="00CD0BE5">
      <w:pPr>
        <w:spacing w:before="240" w:after="240" w:line="360" w:lineRule="auto"/>
        <w:ind w:right="49"/>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La parte </w:t>
      </w:r>
      <w:r w:rsidRPr="00C76D23">
        <w:rPr>
          <w:rFonts w:ascii="Palatino Linotype" w:eastAsia="Palatino Linotype" w:hAnsi="Palatino Linotype" w:cs="Palatino Linotype"/>
          <w:b/>
        </w:rPr>
        <w:t>Recurrente</w:t>
      </w:r>
      <w:r w:rsidRPr="00C76D23">
        <w:rPr>
          <w:rFonts w:ascii="Palatino Linotype" w:eastAsia="Palatino Linotype" w:hAnsi="Palatino Linotype" w:cs="Palatino Linotype"/>
        </w:rPr>
        <w:t xml:space="preserve"> no adjuntó archivos.</w:t>
      </w:r>
    </w:p>
    <w:p w14:paraId="5B9D43E5" w14:textId="77777777" w:rsidR="00AD4DF3" w:rsidRPr="00C76D23" w:rsidRDefault="00CD0BE5">
      <w:pPr>
        <w:spacing w:before="240" w:after="240" w:line="360" w:lineRule="auto"/>
        <w:jc w:val="both"/>
        <w:rPr>
          <w:rFonts w:ascii="Palatino Linotype" w:eastAsia="Palatino Linotype" w:hAnsi="Palatino Linotype" w:cs="Palatino Linotype"/>
        </w:rPr>
      </w:pPr>
      <w:bookmarkStart w:id="1" w:name="_heading=h.17dp8vu" w:colFirst="0" w:colLast="0"/>
      <w:bookmarkEnd w:id="1"/>
      <w:r w:rsidRPr="00C76D23">
        <w:rPr>
          <w:rFonts w:ascii="Palatino Linotype" w:eastAsia="Palatino Linotype" w:hAnsi="Palatino Linotype" w:cs="Palatino Linotype"/>
          <w:b/>
        </w:rPr>
        <w:lastRenderedPageBreak/>
        <w:t>Modalidad de Entrega:</w:t>
      </w:r>
      <w:r w:rsidRPr="00C76D23">
        <w:rPr>
          <w:rFonts w:ascii="Palatino Linotype" w:eastAsia="Palatino Linotype" w:hAnsi="Palatino Linotype" w:cs="Palatino Linotype"/>
        </w:rPr>
        <w:t xml:space="preserve"> a través </w:t>
      </w:r>
      <w:r w:rsidRPr="00C76D23">
        <w:rPr>
          <w:rFonts w:ascii="Palatino Linotype" w:eastAsia="Palatino Linotype" w:hAnsi="Palatino Linotype" w:cs="Palatino Linotype"/>
          <w:b/>
        </w:rPr>
        <w:t>de SAIMEX</w:t>
      </w:r>
    </w:p>
    <w:p w14:paraId="3B429643" w14:textId="77777777" w:rsidR="00AD4DF3" w:rsidRPr="00C76D23" w:rsidRDefault="00CD0BE5">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C76D23">
        <w:rPr>
          <w:rFonts w:ascii="Palatino Linotype" w:eastAsia="Palatino Linotype" w:hAnsi="Palatino Linotype" w:cs="Palatino Linotype"/>
          <w:b/>
        </w:rPr>
        <w:t xml:space="preserve">2. Respuesta. </w:t>
      </w:r>
      <w:r w:rsidRPr="00C76D23">
        <w:rPr>
          <w:rFonts w:ascii="Palatino Linotype" w:eastAsia="Palatino Linotype" w:hAnsi="Palatino Linotype" w:cs="Palatino Linotype"/>
        </w:rPr>
        <w:t>Con fecha</w:t>
      </w:r>
      <w:r w:rsidRPr="00C76D23">
        <w:rPr>
          <w:rFonts w:ascii="Palatino Linotype" w:eastAsia="Palatino Linotype" w:hAnsi="Palatino Linotype" w:cs="Palatino Linotype"/>
          <w:b/>
        </w:rPr>
        <w:t xml:space="preserve"> </w:t>
      </w:r>
      <w:r w:rsidR="00915ABC" w:rsidRPr="00C76D23">
        <w:rPr>
          <w:rFonts w:ascii="Palatino Linotype" w:eastAsia="Palatino Linotype" w:hAnsi="Palatino Linotype" w:cs="Palatino Linotype"/>
          <w:b/>
        </w:rPr>
        <w:t xml:space="preserve">cinco </w:t>
      </w:r>
      <w:r w:rsidRPr="00C76D23">
        <w:rPr>
          <w:rFonts w:ascii="Palatino Linotype" w:eastAsia="Palatino Linotype" w:hAnsi="Palatino Linotype" w:cs="Palatino Linotype"/>
          <w:b/>
        </w:rPr>
        <w:t>de septiembre de dos mil veintidós</w:t>
      </w:r>
      <w:r w:rsidRPr="00C76D23">
        <w:rPr>
          <w:rFonts w:ascii="Palatino Linotype" w:eastAsia="Palatino Linotype" w:hAnsi="Palatino Linotype" w:cs="Palatino Linotype"/>
        </w:rPr>
        <w:t xml:space="preserve">, el </w:t>
      </w:r>
      <w:r w:rsidRPr="00C76D23">
        <w:rPr>
          <w:rFonts w:ascii="Palatino Linotype" w:eastAsia="Palatino Linotype" w:hAnsi="Palatino Linotype" w:cs="Palatino Linotype"/>
          <w:b/>
        </w:rPr>
        <w:t xml:space="preserve">Sujeto Obligado </w:t>
      </w:r>
      <w:r w:rsidRPr="00C76D23">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48B5BAA" w14:textId="77777777" w:rsidR="00AD4DF3" w:rsidRPr="00C76D23" w:rsidRDefault="00CD0BE5">
      <w:pPr>
        <w:spacing w:before="240" w:after="240"/>
        <w:ind w:left="851" w:right="902"/>
        <w:jc w:val="both"/>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i/>
          <w:sz w:val="22"/>
          <w:szCs w:val="22"/>
        </w:rPr>
        <w:t>“…</w:t>
      </w:r>
      <w:r w:rsidR="00915ABC" w:rsidRPr="00C76D23">
        <w:rPr>
          <w:rFonts w:ascii="Palatino Linotype" w:eastAsia="Palatino Linotype" w:hAnsi="Palatino Linotype" w:cs="Palatino Linotype"/>
          <w:i/>
          <w:sz w:val="22"/>
          <w:szCs w:val="22"/>
        </w:rPr>
        <w:t xml:space="preserve">se da respuesta a la presente solicitud con el oficio que emite la Dirección de Administración y la </w:t>
      </w:r>
      <w:proofErr w:type="gramStart"/>
      <w:r w:rsidR="00915ABC" w:rsidRPr="00C76D23">
        <w:rPr>
          <w:rFonts w:ascii="Palatino Linotype" w:eastAsia="Palatino Linotype" w:hAnsi="Palatino Linotype" w:cs="Palatino Linotype"/>
          <w:i/>
          <w:sz w:val="22"/>
          <w:szCs w:val="22"/>
        </w:rPr>
        <w:t>Secretaria</w:t>
      </w:r>
      <w:proofErr w:type="gramEnd"/>
      <w:r w:rsidR="00915ABC" w:rsidRPr="00C76D23">
        <w:rPr>
          <w:rFonts w:ascii="Palatino Linotype" w:eastAsia="Palatino Linotype" w:hAnsi="Palatino Linotype" w:cs="Palatino Linotype"/>
          <w:i/>
          <w:sz w:val="22"/>
          <w:szCs w:val="22"/>
        </w:rPr>
        <w:t xml:space="preserve"> del Ayuntamiento del cual se anexa copia, así como la respuesta integradora por parte de la Unidad de Transparencia cumpliendo en tiempo y forma con lo solicitado.</w:t>
      </w:r>
      <w:r w:rsidRPr="00C76D23">
        <w:rPr>
          <w:rFonts w:ascii="Palatino Linotype" w:eastAsia="Palatino Linotype" w:hAnsi="Palatino Linotype" w:cs="Palatino Linotype"/>
          <w:i/>
          <w:sz w:val="22"/>
          <w:szCs w:val="22"/>
        </w:rPr>
        <w:t>..” (sic)</w:t>
      </w:r>
    </w:p>
    <w:p w14:paraId="71483BA2" w14:textId="77777777" w:rsidR="00AD4DF3" w:rsidRPr="00C76D23" w:rsidRDefault="00CD0BE5">
      <w:pPr>
        <w:spacing w:before="240" w:after="240" w:line="360" w:lineRule="auto"/>
        <w:ind w:right="49"/>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El </w:t>
      </w:r>
      <w:r w:rsidRPr="00C76D23">
        <w:rPr>
          <w:rFonts w:ascii="Palatino Linotype" w:eastAsia="Palatino Linotype" w:hAnsi="Palatino Linotype" w:cs="Palatino Linotype"/>
          <w:b/>
        </w:rPr>
        <w:t xml:space="preserve">Sujeto Obligado </w:t>
      </w:r>
      <w:r w:rsidRPr="00C76D23">
        <w:rPr>
          <w:rFonts w:ascii="Palatino Linotype" w:eastAsia="Palatino Linotype" w:hAnsi="Palatino Linotype" w:cs="Palatino Linotype"/>
        </w:rPr>
        <w:t>adjuntó lo siguiente:</w:t>
      </w:r>
    </w:p>
    <w:p w14:paraId="7B249C80" w14:textId="77777777" w:rsidR="00915ABC" w:rsidRPr="00C76D23" w:rsidRDefault="00CD0BE5">
      <w:pPr>
        <w:spacing w:before="240" w:after="240" w:line="360" w:lineRule="auto"/>
        <w:ind w:right="49"/>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 </w:t>
      </w:r>
      <w:r w:rsidR="00915ABC" w:rsidRPr="00C76D23">
        <w:rPr>
          <w:rFonts w:ascii="Palatino Linotype" w:eastAsia="Palatino Linotype" w:hAnsi="Palatino Linotype" w:cs="Palatino Linotype"/>
        </w:rPr>
        <w:t xml:space="preserve">Oficio número PM/UT/CAMG/1054/2022 de fecha cinco de septiembre de dos mil veintidós, signado por el Titular de la Unidad de la Unidad de Transparencia y Protección de Datos Personales, mediante el cual informa que la solicitud se turnó a la Dirección de Administración y a la </w:t>
      </w:r>
      <w:proofErr w:type="gramStart"/>
      <w:r w:rsidR="00915ABC" w:rsidRPr="00C76D23">
        <w:rPr>
          <w:rFonts w:ascii="Palatino Linotype" w:eastAsia="Palatino Linotype" w:hAnsi="Palatino Linotype" w:cs="Palatino Linotype"/>
        </w:rPr>
        <w:t>Secretaria</w:t>
      </w:r>
      <w:proofErr w:type="gramEnd"/>
      <w:r w:rsidR="00915ABC" w:rsidRPr="00C76D23">
        <w:rPr>
          <w:rFonts w:ascii="Palatino Linotype" w:eastAsia="Palatino Linotype" w:hAnsi="Palatino Linotype" w:cs="Palatino Linotype"/>
        </w:rPr>
        <w:t xml:space="preserve"> del Ayuntamiento, adjuntando los oficios DA//2022 y SRIA/812/2022</w:t>
      </w:r>
      <w:r w:rsidR="00A709E0" w:rsidRPr="00C76D23">
        <w:rPr>
          <w:rFonts w:ascii="Palatino Linotype" w:eastAsia="Palatino Linotype" w:hAnsi="Palatino Linotype" w:cs="Palatino Linotype"/>
        </w:rPr>
        <w:t>,</w:t>
      </w:r>
      <w:r w:rsidR="00915ABC" w:rsidRPr="00C76D23">
        <w:rPr>
          <w:rFonts w:ascii="Palatino Linotype" w:eastAsia="Palatino Linotype" w:hAnsi="Palatino Linotype" w:cs="Palatino Linotype"/>
        </w:rPr>
        <w:t xml:space="preserve"> mediante los cuales dichas áreas entregaron su respuesta.</w:t>
      </w:r>
    </w:p>
    <w:p w14:paraId="4694D502" w14:textId="77777777" w:rsidR="007D43FD" w:rsidRPr="00C76D23" w:rsidRDefault="00915ABC">
      <w:pPr>
        <w:spacing w:before="240" w:after="240" w:line="360" w:lineRule="auto"/>
        <w:ind w:right="49"/>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 Oficio número DA//2022, de fecha dos de septiembre de dos mil veintidós, </w:t>
      </w:r>
      <w:r w:rsidR="007D43FD" w:rsidRPr="00C76D23">
        <w:rPr>
          <w:rFonts w:ascii="Palatino Linotype" w:eastAsia="Palatino Linotype" w:hAnsi="Palatino Linotype" w:cs="Palatino Linotype"/>
        </w:rPr>
        <w:t xml:space="preserve">signado por la </w:t>
      </w:r>
      <w:proofErr w:type="gramStart"/>
      <w:r w:rsidR="007D43FD" w:rsidRPr="00C76D23">
        <w:rPr>
          <w:rFonts w:ascii="Palatino Linotype" w:eastAsia="Palatino Linotype" w:hAnsi="Palatino Linotype" w:cs="Palatino Linotype"/>
        </w:rPr>
        <w:t>Directora</w:t>
      </w:r>
      <w:proofErr w:type="gramEnd"/>
      <w:r w:rsidR="007D43FD" w:rsidRPr="00C76D23">
        <w:rPr>
          <w:rFonts w:ascii="Palatino Linotype" w:eastAsia="Palatino Linotype" w:hAnsi="Palatino Linotype" w:cs="Palatino Linotype"/>
        </w:rPr>
        <w:t xml:space="preserve"> de Administración, mediante el cual notifica el pronunciamiento emitido por la Subdirección de Adquisiciones y Recursos Materiales.</w:t>
      </w:r>
    </w:p>
    <w:p w14:paraId="56BC86F7" w14:textId="77777777" w:rsidR="007D43FD" w:rsidRPr="00C76D23" w:rsidRDefault="007D43FD">
      <w:pPr>
        <w:spacing w:before="240" w:after="240" w:line="360" w:lineRule="auto"/>
        <w:ind w:right="49"/>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 </w:t>
      </w:r>
      <w:r w:rsidR="00B7132B" w:rsidRPr="00C76D23">
        <w:rPr>
          <w:rFonts w:ascii="Palatino Linotype" w:eastAsia="Palatino Linotype" w:hAnsi="Palatino Linotype" w:cs="Palatino Linotype"/>
        </w:rPr>
        <w:t xml:space="preserve">Oficio número SRM/ACO/242/2022, de fecha dos de septiembre de dos mil veintidós, signado por el </w:t>
      </w:r>
      <w:proofErr w:type="gramStart"/>
      <w:r w:rsidR="00B7132B" w:rsidRPr="00C76D23">
        <w:rPr>
          <w:rFonts w:ascii="Palatino Linotype" w:eastAsia="Palatino Linotype" w:hAnsi="Palatino Linotype" w:cs="Palatino Linotype"/>
        </w:rPr>
        <w:t>Subdirector</w:t>
      </w:r>
      <w:proofErr w:type="gramEnd"/>
      <w:r w:rsidR="00B7132B" w:rsidRPr="00C76D23">
        <w:rPr>
          <w:rFonts w:ascii="Palatino Linotype" w:eastAsia="Palatino Linotype" w:hAnsi="Palatino Linotype" w:cs="Palatino Linotype"/>
        </w:rPr>
        <w:t xml:space="preserve"> de Recursos Materiales, </w:t>
      </w:r>
      <w:r w:rsidR="00C53859" w:rsidRPr="00C76D23">
        <w:rPr>
          <w:rFonts w:ascii="Palatino Linotype" w:eastAsia="Palatino Linotype" w:hAnsi="Palatino Linotype" w:cs="Palatino Linotype"/>
        </w:rPr>
        <w:t xml:space="preserve">mediante el cual, respecto a la primera parte de la solicitud en la que se hace referencia a cuantas patrullas recibió la actual administración 2022, </w:t>
      </w:r>
      <w:r w:rsidR="0030123A" w:rsidRPr="00C76D23">
        <w:rPr>
          <w:rFonts w:ascii="Palatino Linotype" w:eastAsia="Palatino Linotype" w:hAnsi="Palatino Linotype" w:cs="Palatino Linotype"/>
        </w:rPr>
        <w:t xml:space="preserve">informa que no es competente para </w:t>
      </w:r>
      <w:r w:rsidR="0030123A" w:rsidRPr="00C76D23">
        <w:rPr>
          <w:rFonts w:ascii="Palatino Linotype" w:eastAsia="Palatino Linotype" w:hAnsi="Palatino Linotype" w:cs="Palatino Linotype"/>
        </w:rPr>
        <w:lastRenderedPageBreak/>
        <w:t xml:space="preserve">conocer sobre dicha solicitud toda vez que el área a </w:t>
      </w:r>
      <w:r w:rsidR="00AD77F6" w:rsidRPr="00C76D23">
        <w:rPr>
          <w:rFonts w:ascii="Palatino Linotype" w:eastAsia="Palatino Linotype" w:hAnsi="Palatino Linotype" w:cs="Palatino Linotype"/>
        </w:rPr>
        <w:t>su</w:t>
      </w:r>
      <w:r w:rsidR="0030123A" w:rsidRPr="00C76D23">
        <w:rPr>
          <w:rFonts w:ascii="Palatino Linotype" w:eastAsia="Palatino Linotype" w:hAnsi="Palatino Linotype" w:cs="Palatino Linotype"/>
        </w:rPr>
        <w:t xml:space="preserve"> cargo no recibió ninguna unidad por parte de la administración pasada.</w:t>
      </w:r>
      <w:r w:rsidR="00A709E0" w:rsidRPr="00C76D23">
        <w:rPr>
          <w:rFonts w:ascii="Palatino Linotype" w:eastAsia="Palatino Linotype" w:hAnsi="Palatino Linotype" w:cs="Palatino Linotype"/>
        </w:rPr>
        <w:t xml:space="preserve"> Por otro lado, en relación a cuantas patrullas adquirió arrendó la presente administración, así como las torres de vigilancia, informa que son arrendadas 40 patrullas y 5 plataformas de posicionamiento táctico.</w:t>
      </w:r>
    </w:p>
    <w:p w14:paraId="19929863" w14:textId="77777777" w:rsidR="00AD77F6" w:rsidRPr="00C76D23" w:rsidRDefault="00A709E0">
      <w:pPr>
        <w:spacing w:before="240" w:after="240" w:line="360" w:lineRule="auto"/>
        <w:ind w:right="49"/>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 Oficio número SRIA/812/2022, de fecha dieciséis de agosto de dos mil veintidós, signado por la </w:t>
      </w:r>
      <w:proofErr w:type="gramStart"/>
      <w:r w:rsidRPr="00C76D23">
        <w:rPr>
          <w:rFonts w:ascii="Palatino Linotype" w:eastAsia="Palatino Linotype" w:hAnsi="Palatino Linotype" w:cs="Palatino Linotype"/>
        </w:rPr>
        <w:t>Secretaria</w:t>
      </w:r>
      <w:proofErr w:type="gramEnd"/>
      <w:r w:rsidRPr="00C76D23">
        <w:rPr>
          <w:rFonts w:ascii="Palatino Linotype" w:eastAsia="Palatino Linotype" w:hAnsi="Palatino Linotype" w:cs="Palatino Linotype"/>
        </w:rPr>
        <w:t xml:space="preserve"> del Ayuntamiento, mediante el cual refiere que, a fin de dar cabal cumplimiento a lo solicitado, remite copia del oficio PM/123/08/2022 suscrito por la Jefa de Bienes Muebles.</w:t>
      </w:r>
    </w:p>
    <w:p w14:paraId="27ECBB99" w14:textId="77777777" w:rsidR="00A709E0" w:rsidRPr="00C76D23" w:rsidRDefault="00A709E0">
      <w:pPr>
        <w:spacing w:before="240" w:after="240" w:line="360" w:lineRule="auto"/>
        <w:ind w:right="49"/>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 Oficio número PM/123/08/2022 de fecha diecisiete de agosto de dos mil veintidós, signado por la Jefa de Bienes Muebles, mediante el cual, respecto a los bienes arrendados y contratos de arrendamiento, señala que no cuenta con dicha información, al manejar únicamente los bienes que forman parte del patrimonio municipal; razón por la cual </w:t>
      </w:r>
      <w:r w:rsidR="00802C24" w:rsidRPr="00C76D23">
        <w:rPr>
          <w:rFonts w:ascii="Palatino Linotype" w:eastAsia="Palatino Linotype" w:hAnsi="Palatino Linotype" w:cs="Palatino Linotype"/>
        </w:rPr>
        <w:t>envía</w:t>
      </w:r>
      <w:r w:rsidRPr="00C76D23">
        <w:rPr>
          <w:rFonts w:ascii="Palatino Linotype" w:eastAsia="Palatino Linotype" w:hAnsi="Palatino Linotype" w:cs="Palatino Linotype"/>
        </w:rPr>
        <w:t xml:space="preserve"> la relación de vehículos de seguridad pública y tránsito que se recibieron al inicio de la actual administración, así como facturas de los vehículos que han adquirido en la misma.</w:t>
      </w:r>
    </w:p>
    <w:p w14:paraId="3FE5A7CF" w14:textId="77777777" w:rsidR="00AD4DF3" w:rsidRPr="00C76D23" w:rsidRDefault="00915ABC">
      <w:pPr>
        <w:spacing w:before="240" w:after="240" w:line="360" w:lineRule="auto"/>
        <w:ind w:right="49"/>
        <w:jc w:val="both"/>
        <w:rPr>
          <w:rFonts w:ascii="Palatino Linotype" w:eastAsia="Palatino Linotype" w:hAnsi="Palatino Linotype" w:cs="Palatino Linotype"/>
        </w:rPr>
      </w:pPr>
      <w:r w:rsidRPr="00C76D23">
        <w:rPr>
          <w:rFonts w:ascii="Palatino Linotype" w:eastAsia="Palatino Linotype" w:hAnsi="Palatino Linotype" w:cs="Palatino Linotype"/>
          <w:b/>
        </w:rPr>
        <w:t>3</w:t>
      </w:r>
      <w:r w:rsidR="00CD0BE5" w:rsidRPr="00C76D23">
        <w:rPr>
          <w:rFonts w:ascii="Palatino Linotype" w:eastAsia="Palatino Linotype" w:hAnsi="Palatino Linotype" w:cs="Palatino Linotype"/>
          <w:b/>
        </w:rPr>
        <w:t xml:space="preserve">. Interposición del recurso de revisión. </w:t>
      </w:r>
      <w:r w:rsidR="00CD0BE5" w:rsidRPr="00C76D23">
        <w:rPr>
          <w:rFonts w:ascii="Palatino Linotype" w:eastAsia="Palatino Linotype" w:hAnsi="Palatino Linotype" w:cs="Palatino Linotype"/>
        </w:rPr>
        <w:t xml:space="preserve">Inconforme con los términos de la respuesta emitida por parte del </w:t>
      </w:r>
      <w:r w:rsidR="00CD0BE5" w:rsidRPr="00C76D23">
        <w:rPr>
          <w:rFonts w:ascii="Palatino Linotype" w:eastAsia="Palatino Linotype" w:hAnsi="Palatino Linotype" w:cs="Palatino Linotype"/>
          <w:b/>
        </w:rPr>
        <w:t>Sujeto Obligado</w:t>
      </w:r>
      <w:r w:rsidR="00CD0BE5" w:rsidRPr="00C76D23">
        <w:rPr>
          <w:rFonts w:ascii="Palatino Linotype" w:eastAsia="Palatino Linotype" w:hAnsi="Palatino Linotype" w:cs="Palatino Linotype"/>
        </w:rPr>
        <w:t xml:space="preserve">, </w:t>
      </w:r>
      <w:r w:rsidR="00A709E0" w:rsidRPr="00C76D23">
        <w:rPr>
          <w:rFonts w:ascii="Palatino Linotype" w:eastAsia="Palatino Linotype" w:hAnsi="Palatino Linotype" w:cs="Palatino Linotype"/>
          <w:b/>
        </w:rPr>
        <w:t xml:space="preserve">seis </w:t>
      </w:r>
      <w:r w:rsidR="00CD0BE5" w:rsidRPr="00C76D23">
        <w:rPr>
          <w:rFonts w:ascii="Palatino Linotype" w:eastAsia="Palatino Linotype" w:hAnsi="Palatino Linotype" w:cs="Palatino Linotype"/>
          <w:b/>
        </w:rPr>
        <w:t>de septiembre de dos mil veintidós,</w:t>
      </w:r>
      <w:r w:rsidR="00CD0BE5" w:rsidRPr="00C76D23">
        <w:rPr>
          <w:rFonts w:ascii="Palatino Linotype" w:eastAsia="Palatino Linotype" w:hAnsi="Palatino Linotype" w:cs="Palatino Linotype"/>
        </w:rPr>
        <w:t xml:space="preserve"> la parte </w:t>
      </w:r>
      <w:r w:rsidR="00CD0BE5" w:rsidRPr="00C76D23">
        <w:rPr>
          <w:rFonts w:ascii="Palatino Linotype" w:eastAsia="Palatino Linotype" w:hAnsi="Palatino Linotype" w:cs="Palatino Linotype"/>
          <w:b/>
        </w:rPr>
        <w:t>Recurrente</w:t>
      </w:r>
      <w:r w:rsidR="00CD0BE5" w:rsidRPr="00C76D23">
        <w:rPr>
          <w:rFonts w:ascii="Palatino Linotype" w:eastAsia="Palatino Linotype" w:hAnsi="Palatino Linotype" w:cs="Palatino Linotype"/>
        </w:rPr>
        <w:t xml:space="preserve"> interpuso el recurso de revisión a través de </w:t>
      </w:r>
      <w:r w:rsidR="00CD0BE5" w:rsidRPr="00C76D23">
        <w:rPr>
          <w:rFonts w:ascii="Palatino Linotype" w:eastAsia="Palatino Linotype" w:hAnsi="Palatino Linotype" w:cs="Palatino Linotype"/>
          <w:b/>
        </w:rPr>
        <w:t xml:space="preserve">SAIMEX, </w:t>
      </w:r>
      <w:r w:rsidR="00CD0BE5" w:rsidRPr="00C76D23">
        <w:rPr>
          <w:rFonts w:ascii="Palatino Linotype" w:eastAsia="Palatino Linotype" w:hAnsi="Palatino Linotype" w:cs="Palatino Linotype"/>
        </w:rPr>
        <w:t>en donde se manifestó de la siguiente manera:</w:t>
      </w:r>
    </w:p>
    <w:p w14:paraId="6863981F" w14:textId="77777777" w:rsidR="00A709E0" w:rsidRPr="00C76D23" w:rsidRDefault="00A709E0">
      <w:pPr>
        <w:spacing w:before="240" w:after="240" w:line="360" w:lineRule="auto"/>
        <w:ind w:right="49"/>
        <w:jc w:val="both"/>
        <w:rPr>
          <w:rFonts w:ascii="Palatino Linotype" w:eastAsia="Palatino Linotype" w:hAnsi="Palatino Linotype" w:cs="Palatino Linotype"/>
        </w:rPr>
      </w:pPr>
    </w:p>
    <w:p w14:paraId="4FCFDAFE" w14:textId="77777777" w:rsidR="00AD4DF3" w:rsidRPr="00C76D23" w:rsidRDefault="00CD0BE5">
      <w:pPr>
        <w:tabs>
          <w:tab w:val="left" w:pos="2745"/>
        </w:tabs>
        <w:spacing w:before="240" w:after="240" w:line="360" w:lineRule="auto"/>
        <w:jc w:val="both"/>
        <w:rPr>
          <w:rFonts w:ascii="Palatino Linotype" w:eastAsia="Palatino Linotype" w:hAnsi="Palatino Linotype" w:cs="Palatino Linotype"/>
          <w:b/>
        </w:rPr>
      </w:pPr>
      <w:r w:rsidRPr="00C76D23">
        <w:rPr>
          <w:rFonts w:ascii="Palatino Linotype" w:eastAsia="Palatino Linotype" w:hAnsi="Palatino Linotype" w:cs="Palatino Linotype"/>
          <w:b/>
        </w:rPr>
        <w:lastRenderedPageBreak/>
        <w:t xml:space="preserve">Acto impugnado: </w:t>
      </w:r>
    </w:p>
    <w:p w14:paraId="7411142B" w14:textId="77777777" w:rsidR="00AD4DF3" w:rsidRPr="00C76D23" w:rsidRDefault="00CD0BE5">
      <w:pPr>
        <w:tabs>
          <w:tab w:val="left" w:pos="2745"/>
        </w:tabs>
        <w:spacing w:before="240" w:after="240"/>
        <w:ind w:left="851" w:right="90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proofErr w:type="spellStart"/>
      <w:r w:rsidR="00A709E0" w:rsidRPr="00C76D23">
        <w:rPr>
          <w:rFonts w:ascii="Palatino Linotype" w:eastAsia="Palatino Linotype" w:hAnsi="Palatino Linotype" w:cs="Palatino Linotype"/>
          <w:i/>
          <w:sz w:val="22"/>
          <w:szCs w:val="22"/>
        </w:rPr>
        <w:t>Ademas</w:t>
      </w:r>
      <w:proofErr w:type="spellEnd"/>
      <w:r w:rsidR="00A709E0" w:rsidRPr="00C76D23">
        <w:rPr>
          <w:rFonts w:ascii="Palatino Linotype" w:eastAsia="Palatino Linotype" w:hAnsi="Palatino Linotype" w:cs="Palatino Linotype"/>
          <w:i/>
          <w:sz w:val="22"/>
          <w:szCs w:val="22"/>
        </w:rPr>
        <w:t xml:space="preserve"> del slogan Cuando se trabaja se nota, podríamos recomendarles otro, Cuando se trata de ser omiso, también se nota. Pues con la casualidad que no encontraron los contratos para adjuntarlos, seguro están escondidos en lo más recóndito de algún archivero. No se preocupen aquí está su recurso de revisión para que se apliquen en buscarlos.</w:t>
      </w:r>
      <w:r w:rsidRPr="00C76D23">
        <w:rPr>
          <w:rFonts w:ascii="Palatino Linotype" w:eastAsia="Palatino Linotype" w:hAnsi="Palatino Linotype" w:cs="Palatino Linotype"/>
          <w:i/>
          <w:sz w:val="22"/>
          <w:szCs w:val="22"/>
        </w:rPr>
        <w:t>” (sic)</w:t>
      </w:r>
    </w:p>
    <w:p w14:paraId="4E3FA3EA" w14:textId="77777777" w:rsidR="00AD4DF3" w:rsidRPr="00C76D23" w:rsidRDefault="00CD0BE5">
      <w:pPr>
        <w:spacing w:line="360" w:lineRule="auto"/>
        <w:jc w:val="both"/>
        <w:rPr>
          <w:rFonts w:ascii="Palatino Linotype" w:eastAsia="Palatino Linotype" w:hAnsi="Palatino Linotype" w:cs="Palatino Linotype"/>
        </w:rPr>
      </w:pPr>
      <w:bookmarkStart w:id="3" w:name="_heading=h.30j0zll" w:colFirst="0" w:colLast="0"/>
      <w:bookmarkEnd w:id="3"/>
      <w:r w:rsidRPr="00C76D23">
        <w:rPr>
          <w:rFonts w:ascii="Palatino Linotype" w:eastAsia="Palatino Linotype" w:hAnsi="Palatino Linotype" w:cs="Palatino Linotype"/>
          <w:b/>
        </w:rPr>
        <w:t>Y Razones o motivos de inconformidad</w:t>
      </w:r>
      <w:r w:rsidRPr="00C76D23">
        <w:rPr>
          <w:rFonts w:ascii="Palatino Linotype" w:eastAsia="Palatino Linotype" w:hAnsi="Palatino Linotype" w:cs="Palatino Linotype"/>
        </w:rPr>
        <w:t xml:space="preserve">: </w:t>
      </w:r>
    </w:p>
    <w:p w14:paraId="7A80303B" w14:textId="77777777" w:rsidR="00AD4DF3" w:rsidRPr="00C76D23" w:rsidRDefault="00CD0BE5">
      <w:pPr>
        <w:tabs>
          <w:tab w:val="left" w:pos="2745"/>
        </w:tabs>
        <w:spacing w:before="240" w:after="240"/>
        <w:ind w:left="851" w:right="90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r w:rsidR="00A709E0" w:rsidRPr="00C76D23">
        <w:rPr>
          <w:rFonts w:ascii="Palatino Linotype" w:eastAsia="Palatino Linotype" w:hAnsi="Palatino Linotype" w:cs="Palatino Linotype"/>
          <w:i/>
          <w:sz w:val="22"/>
          <w:szCs w:val="22"/>
        </w:rPr>
        <w:t>Entrega de información incompleta</w:t>
      </w:r>
      <w:r w:rsidRPr="00C76D23">
        <w:rPr>
          <w:rFonts w:ascii="Palatino Linotype" w:eastAsia="Palatino Linotype" w:hAnsi="Palatino Linotype" w:cs="Palatino Linotype"/>
          <w:i/>
          <w:sz w:val="22"/>
          <w:szCs w:val="22"/>
        </w:rPr>
        <w:t>” (sic)</w:t>
      </w:r>
    </w:p>
    <w:p w14:paraId="22C73AAD" w14:textId="77777777" w:rsidR="00AD4DF3" w:rsidRPr="00C76D23" w:rsidRDefault="00915ABC">
      <w:pPr>
        <w:spacing w:before="240" w:after="240" w:line="360" w:lineRule="auto"/>
        <w:ind w:right="51"/>
        <w:jc w:val="both"/>
        <w:rPr>
          <w:rFonts w:ascii="Palatino Linotype" w:eastAsia="Palatino Linotype" w:hAnsi="Palatino Linotype" w:cs="Palatino Linotype"/>
        </w:rPr>
      </w:pPr>
      <w:r w:rsidRPr="00C76D23">
        <w:rPr>
          <w:rFonts w:ascii="Palatino Linotype" w:eastAsia="Palatino Linotype" w:hAnsi="Palatino Linotype" w:cs="Palatino Linotype"/>
          <w:b/>
        </w:rPr>
        <w:t>4</w:t>
      </w:r>
      <w:r w:rsidR="00CD0BE5" w:rsidRPr="00C76D23">
        <w:rPr>
          <w:rFonts w:ascii="Palatino Linotype" w:eastAsia="Palatino Linotype" w:hAnsi="Palatino Linotype" w:cs="Palatino Linotype"/>
          <w:b/>
        </w:rPr>
        <w:t xml:space="preserve">. Turno. </w:t>
      </w:r>
      <w:r w:rsidR="00CD0BE5" w:rsidRPr="00C76D2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CD0BE5" w:rsidRPr="00C76D23">
        <w:rPr>
          <w:rFonts w:ascii="Palatino Linotype" w:eastAsia="Palatino Linotype" w:hAnsi="Palatino Linotype" w:cs="Palatino Linotype"/>
          <w:b/>
        </w:rPr>
        <w:t xml:space="preserve">Guadalupe Ramírez Peña, </w:t>
      </w:r>
      <w:r w:rsidR="00CD0BE5" w:rsidRPr="00C76D23">
        <w:rPr>
          <w:rFonts w:ascii="Palatino Linotype" w:eastAsia="Palatino Linotype" w:hAnsi="Palatino Linotype" w:cs="Palatino Linotype"/>
        </w:rPr>
        <w:t xml:space="preserve">a efecto de que analizará sobre su admisión o su </w:t>
      </w:r>
      <w:proofErr w:type="spellStart"/>
      <w:r w:rsidR="00CD0BE5" w:rsidRPr="00C76D23">
        <w:rPr>
          <w:rFonts w:ascii="Palatino Linotype" w:eastAsia="Palatino Linotype" w:hAnsi="Palatino Linotype" w:cs="Palatino Linotype"/>
        </w:rPr>
        <w:t>desechamiento</w:t>
      </w:r>
      <w:proofErr w:type="spellEnd"/>
      <w:r w:rsidR="00CD0BE5" w:rsidRPr="00C76D23">
        <w:rPr>
          <w:rFonts w:ascii="Palatino Linotype" w:eastAsia="Palatino Linotype" w:hAnsi="Palatino Linotype" w:cs="Palatino Linotype"/>
        </w:rPr>
        <w:t>.</w:t>
      </w:r>
    </w:p>
    <w:p w14:paraId="5022C069" w14:textId="77777777" w:rsidR="00AD4DF3" w:rsidRPr="00C76D23" w:rsidRDefault="00915ABC">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b/>
        </w:rPr>
        <w:t>5</w:t>
      </w:r>
      <w:r w:rsidR="00CD0BE5" w:rsidRPr="00C76D23">
        <w:rPr>
          <w:rFonts w:ascii="Palatino Linotype" w:eastAsia="Palatino Linotype" w:hAnsi="Palatino Linotype" w:cs="Palatino Linotype"/>
          <w:b/>
        </w:rPr>
        <w:t>. Admisión del Recurso de revisión.</w:t>
      </w:r>
      <w:r w:rsidR="00CD0BE5" w:rsidRPr="00C76D23">
        <w:rPr>
          <w:rFonts w:ascii="Palatino Linotype" w:eastAsia="Palatino Linotype" w:hAnsi="Palatino Linotype" w:cs="Palatino Linotype"/>
        </w:rPr>
        <w:t xml:space="preserve"> Con fecha</w:t>
      </w:r>
      <w:r w:rsidR="00CD0BE5" w:rsidRPr="00C76D23">
        <w:rPr>
          <w:rFonts w:ascii="Palatino Linotype" w:eastAsia="Palatino Linotype" w:hAnsi="Palatino Linotype" w:cs="Palatino Linotype"/>
          <w:b/>
        </w:rPr>
        <w:t xml:space="preserve"> </w:t>
      </w:r>
      <w:r w:rsidR="008916B5" w:rsidRPr="00C76D23">
        <w:rPr>
          <w:rFonts w:ascii="Palatino Linotype" w:eastAsia="Palatino Linotype" w:hAnsi="Palatino Linotype" w:cs="Palatino Linotype"/>
          <w:b/>
        </w:rPr>
        <w:t>nueve</w:t>
      </w:r>
      <w:r w:rsidR="00CD0BE5" w:rsidRPr="00C76D23">
        <w:rPr>
          <w:rFonts w:ascii="Palatino Linotype" w:eastAsia="Palatino Linotype" w:hAnsi="Palatino Linotype" w:cs="Palatino Linotype"/>
          <w:b/>
        </w:rPr>
        <w:t xml:space="preserve"> de septiembre de dos mil veintidós, </w:t>
      </w:r>
      <w:r w:rsidR="00CD0BE5" w:rsidRPr="00C76D2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CD0BE5" w:rsidRPr="00C76D23">
        <w:rPr>
          <w:rFonts w:ascii="Palatino Linotype" w:eastAsia="Palatino Linotype" w:hAnsi="Palatino Linotype" w:cs="Palatino Linotype"/>
          <w:b/>
        </w:rPr>
        <w:t xml:space="preserve">Sujeto Obligado </w:t>
      </w:r>
      <w:r w:rsidR="00CD0BE5" w:rsidRPr="00C76D23">
        <w:rPr>
          <w:rFonts w:ascii="Palatino Linotype" w:eastAsia="Palatino Linotype" w:hAnsi="Palatino Linotype" w:cs="Palatino Linotype"/>
        </w:rPr>
        <w:t>presentara su informe justificado.</w:t>
      </w:r>
    </w:p>
    <w:p w14:paraId="603C5382" w14:textId="77777777" w:rsidR="008916B5" w:rsidRPr="00C76D23" w:rsidRDefault="00915ABC">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C76D23">
        <w:rPr>
          <w:rFonts w:ascii="Palatino Linotype" w:eastAsia="Palatino Linotype" w:hAnsi="Palatino Linotype" w:cs="Palatino Linotype"/>
          <w:b/>
        </w:rPr>
        <w:t>6</w:t>
      </w:r>
      <w:r w:rsidR="00CD0BE5" w:rsidRPr="00C76D23">
        <w:rPr>
          <w:rFonts w:ascii="Palatino Linotype" w:eastAsia="Palatino Linotype" w:hAnsi="Palatino Linotype" w:cs="Palatino Linotype"/>
          <w:b/>
        </w:rPr>
        <w:t>. Manifestaciones</w:t>
      </w:r>
      <w:r w:rsidR="00CD0BE5" w:rsidRPr="00C76D23">
        <w:rPr>
          <w:rFonts w:ascii="Palatino Linotype" w:eastAsia="Palatino Linotype" w:hAnsi="Palatino Linotype" w:cs="Palatino Linotype"/>
        </w:rPr>
        <w:t xml:space="preserve">. En fecha </w:t>
      </w:r>
      <w:r w:rsidR="008916B5" w:rsidRPr="00C76D23">
        <w:rPr>
          <w:rFonts w:ascii="Palatino Linotype" w:eastAsia="Palatino Linotype" w:hAnsi="Palatino Linotype" w:cs="Palatino Linotype"/>
          <w:b/>
        </w:rPr>
        <w:t>veinte de septiembre</w:t>
      </w:r>
      <w:r w:rsidR="00CD0BE5" w:rsidRPr="00C76D23">
        <w:rPr>
          <w:rFonts w:ascii="Palatino Linotype" w:eastAsia="Palatino Linotype" w:hAnsi="Palatino Linotype" w:cs="Palatino Linotype"/>
          <w:b/>
        </w:rPr>
        <w:t xml:space="preserve"> de dos mil veintidós, </w:t>
      </w:r>
      <w:r w:rsidR="00CD0BE5" w:rsidRPr="00C76D23">
        <w:rPr>
          <w:rFonts w:ascii="Palatino Linotype" w:eastAsia="Palatino Linotype" w:hAnsi="Palatino Linotype" w:cs="Palatino Linotype"/>
        </w:rPr>
        <w:t xml:space="preserve">el </w:t>
      </w:r>
      <w:r w:rsidR="00CD0BE5" w:rsidRPr="00C76D23">
        <w:rPr>
          <w:rFonts w:ascii="Palatino Linotype" w:eastAsia="Palatino Linotype" w:hAnsi="Palatino Linotype" w:cs="Palatino Linotype"/>
          <w:b/>
        </w:rPr>
        <w:t xml:space="preserve">Sujeto Obligado </w:t>
      </w:r>
      <w:r w:rsidR="00CD0BE5" w:rsidRPr="00C76D23">
        <w:rPr>
          <w:rFonts w:ascii="Palatino Linotype" w:eastAsia="Palatino Linotype" w:hAnsi="Palatino Linotype" w:cs="Palatino Linotype"/>
        </w:rPr>
        <w:t xml:space="preserve">remitió, a través de SAIMEX, </w:t>
      </w:r>
      <w:r w:rsidR="00C57740" w:rsidRPr="00C76D23">
        <w:rPr>
          <w:rFonts w:ascii="Palatino Linotype" w:eastAsia="Palatino Linotype" w:hAnsi="Palatino Linotype" w:cs="Palatino Linotype"/>
        </w:rPr>
        <w:t xml:space="preserve">remitió </w:t>
      </w:r>
      <w:r w:rsidR="008916B5" w:rsidRPr="00C76D23">
        <w:rPr>
          <w:rFonts w:ascii="Palatino Linotype" w:eastAsia="Palatino Linotype" w:hAnsi="Palatino Linotype" w:cs="Palatino Linotype"/>
        </w:rPr>
        <w:t xml:space="preserve">su informe justificado, mediante </w:t>
      </w:r>
      <w:r w:rsidR="00733C99" w:rsidRPr="00C76D23">
        <w:rPr>
          <w:rFonts w:ascii="Palatino Linotype" w:eastAsia="Palatino Linotype" w:hAnsi="Palatino Linotype" w:cs="Palatino Linotype"/>
        </w:rPr>
        <w:t xml:space="preserve">el </w:t>
      </w:r>
      <w:r w:rsidR="00733C99" w:rsidRPr="00C76D23">
        <w:rPr>
          <w:rFonts w:ascii="Palatino Linotype" w:eastAsia="Palatino Linotype" w:hAnsi="Palatino Linotype" w:cs="Palatino Linotype"/>
        </w:rPr>
        <w:lastRenderedPageBreak/>
        <w:t xml:space="preserve">cual, </w:t>
      </w:r>
      <w:r w:rsidR="00530A82" w:rsidRPr="00C76D23">
        <w:rPr>
          <w:rFonts w:ascii="Palatino Linotype" w:eastAsia="Palatino Linotype" w:hAnsi="Palatino Linotype" w:cs="Palatino Linotype"/>
        </w:rPr>
        <w:t>en atención</w:t>
      </w:r>
      <w:r w:rsidR="00733C99" w:rsidRPr="00C76D23">
        <w:rPr>
          <w:rFonts w:ascii="Palatino Linotype" w:eastAsia="Palatino Linotype" w:hAnsi="Palatino Linotype" w:cs="Palatino Linotype"/>
        </w:rPr>
        <w:t xml:space="preserve"> a los motivos de inconformidad aducidos por la parte </w:t>
      </w:r>
      <w:r w:rsidR="00733C99" w:rsidRPr="00C76D23">
        <w:rPr>
          <w:rFonts w:ascii="Palatino Linotype" w:eastAsia="Palatino Linotype" w:hAnsi="Palatino Linotype" w:cs="Palatino Linotype"/>
          <w:b/>
        </w:rPr>
        <w:t>Recurrente</w:t>
      </w:r>
      <w:r w:rsidR="00922B64" w:rsidRPr="00C76D23">
        <w:rPr>
          <w:rFonts w:ascii="Palatino Linotype" w:eastAsia="Palatino Linotype" w:hAnsi="Palatino Linotype" w:cs="Palatino Linotype"/>
          <w:b/>
        </w:rPr>
        <w:t xml:space="preserve">, </w:t>
      </w:r>
      <w:r w:rsidR="00530A82" w:rsidRPr="00C76D23">
        <w:rPr>
          <w:rFonts w:ascii="Palatino Linotype" w:eastAsia="Palatino Linotype" w:hAnsi="Palatino Linotype" w:cs="Palatino Linotype"/>
        </w:rPr>
        <w:t>remitió los oficios signados por los servidores públicos habilitados de la Dirección de Administración y la Comisaría de Seguridad Pública y Tránsito</w:t>
      </w:r>
      <w:r w:rsidR="00A22449" w:rsidRPr="00C76D23">
        <w:rPr>
          <w:rFonts w:ascii="Palatino Linotype" w:eastAsia="Palatino Linotype" w:hAnsi="Palatino Linotype" w:cs="Palatino Linotype"/>
        </w:rPr>
        <w:t xml:space="preserve">, oficios que corresponden con los </w:t>
      </w:r>
      <w:r w:rsidR="00530A82" w:rsidRPr="00C76D23">
        <w:rPr>
          <w:rFonts w:ascii="Palatino Linotype" w:eastAsia="Palatino Linotype" w:hAnsi="Palatino Linotype" w:cs="Palatino Linotype"/>
        </w:rPr>
        <w:t>números SA/1918/2022, con anexo de la Subdirección de Recursos Materiales con número de oficio SRM/ACO/262/2022</w:t>
      </w:r>
      <w:r w:rsidR="00A22449" w:rsidRPr="00C76D23">
        <w:rPr>
          <w:rFonts w:ascii="Palatino Linotype" w:eastAsia="Palatino Linotype" w:hAnsi="Palatino Linotype" w:cs="Palatino Linotype"/>
        </w:rPr>
        <w:t xml:space="preserve"> </w:t>
      </w:r>
      <w:r w:rsidR="009E3962" w:rsidRPr="00C76D23">
        <w:rPr>
          <w:rFonts w:ascii="Palatino Linotype" w:eastAsia="Palatino Linotype" w:hAnsi="Palatino Linotype" w:cs="Palatino Linotype"/>
        </w:rPr>
        <w:t>con anexo de prueba de daño</w:t>
      </w:r>
      <w:r w:rsidR="00A22449" w:rsidRPr="00C76D23">
        <w:rPr>
          <w:rFonts w:ascii="Palatino Linotype" w:eastAsia="Palatino Linotype" w:hAnsi="Palatino Linotype" w:cs="Palatino Linotype"/>
        </w:rPr>
        <w:t>;</w:t>
      </w:r>
      <w:r w:rsidR="009E3962" w:rsidRPr="00C76D23">
        <w:rPr>
          <w:rFonts w:ascii="Palatino Linotype" w:eastAsia="Palatino Linotype" w:hAnsi="Palatino Linotype" w:cs="Palatino Linotype"/>
        </w:rPr>
        <w:t xml:space="preserve"> y oficio CSPYM/ET/051/2022 con anexo de la prueba de daño, manifestando que se reserva la información en virtud de que al hacer pública la información, se pone en alto riesgo las estrategias y programas proyectados para inhibir y combatir la delincuencia del Municipio, mismo que se encuentra fundado y motivado en el Acta Vigésimo Novena Extraordinaria del Comité de Transparencia.</w:t>
      </w:r>
    </w:p>
    <w:p w14:paraId="055C9A7E" w14:textId="77777777" w:rsidR="00A73F4C" w:rsidRPr="00C76D23" w:rsidRDefault="00A73F4C">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ANEXOS:</w:t>
      </w:r>
    </w:p>
    <w:p w14:paraId="4C9F7557" w14:textId="77777777" w:rsidR="00A73F4C" w:rsidRPr="00C76D23" w:rsidRDefault="00A73F4C">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 Oficio número SA/1918/2022, de fecha trece de septiembre de dos mil veintitrés, signado por la </w:t>
      </w:r>
      <w:proofErr w:type="gramStart"/>
      <w:r w:rsidRPr="00C76D23">
        <w:rPr>
          <w:rFonts w:ascii="Palatino Linotype" w:eastAsia="Palatino Linotype" w:hAnsi="Palatino Linotype" w:cs="Palatino Linotype"/>
        </w:rPr>
        <w:t>Directora</w:t>
      </w:r>
      <w:proofErr w:type="gramEnd"/>
      <w:r w:rsidRPr="00C76D23">
        <w:rPr>
          <w:rFonts w:ascii="Palatino Linotype" w:eastAsia="Palatino Linotype" w:hAnsi="Palatino Linotype" w:cs="Palatino Linotype"/>
        </w:rPr>
        <w:t xml:space="preserve"> de Administración, mediante el cua</w:t>
      </w:r>
      <w:r w:rsidR="00A15CBC" w:rsidRPr="00C76D23">
        <w:rPr>
          <w:rFonts w:ascii="Palatino Linotype" w:eastAsia="Palatino Linotype" w:hAnsi="Palatino Linotype" w:cs="Palatino Linotype"/>
        </w:rPr>
        <w:t>l remite la contestación de la S</w:t>
      </w:r>
      <w:r w:rsidRPr="00C76D23">
        <w:rPr>
          <w:rFonts w:ascii="Palatino Linotype" w:eastAsia="Palatino Linotype" w:hAnsi="Palatino Linotype" w:cs="Palatino Linotype"/>
        </w:rPr>
        <w:t xml:space="preserve">ubdirección de Adquisiciones y Recursos Materiales. </w:t>
      </w:r>
    </w:p>
    <w:p w14:paraId="1C6572D5" w14:textId="77777777" w:rsidR="00A73F4C" w:rsidRPr="00C76D23" w:rsidRDefault="00A73F4C">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 Oficio número SRM/ACO/262/2022, de fecha trece de septiembre de dos mil veintidós, signado por el </w:t>
      </w:r>
      <w:proofErr w:type="gramStart"/>
      <w:r w:rsidR="008078C3" w:rsidRPr="00C76D23">
        <w:rPr>
          <w:rFonts w:ascii="Palatino Linotype" w:eastAsia="Palatino Linotype" w:hAnsi="Palatino Linotype" w:cs="Palatino Linotype"/>
        </w:rPr>
        <w:t>S</w:t>
      </w:r>
      <w:r w:rsidRPr="00C76D23">
        <w:rPr>
          <w:rFonts w:ascii="Palatino Linotype" w:eastAsia="Palatino Linotype" w:hAnsi="Palatino Linotype" w:cs="Palatino Linotype"/>
        </w:rPr>
        <w:t>ubdirector</w:t>
      </w:r>
      <w:proofErr w:type="gramEnd"/>
      <w:r w:rsidRPr="00C76D23">
        <w:rPr>
          <w:rFonts w:ascii="Palatino Linotype" w:eastAsia="Palatino Linotype" w:hAnsi="Palatino Linotype" w:cs="Palatino Linotype"/>
        </w:rPr>
        <w:t xml:space="preserve"> de Recursos Materiales, </w:t>
      </w:r>
      <w:r w:rsidR="008078C3" w:rsidRPr="00C76D23">
        <w:rPr>
          <w:rFonts w:ascii="Palatino Linotype" w:eastAsia="Palatino Linotype" w:hAnsi="Palatino Linotype" w:cs="Palatino Linotype"/>
        </w:rPr>
        <w:t xml:space="preserve">mediante el cual refiere que se encuentra imposibilitada para remitir la información solicitada en términos de lo establecido en la prueba de daño que agrega, solicitando en el acto la clasificación de la información.  </w:t>
      </w:r>
    </w:p>
    <w:p w14:paraId="7AF32241" w14:textId="77777777" w:rsidR="00CD0BE5" w:rsidRPr="00C76D23" w:rsidRDefault="008078C3">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 Solicitud de Clasificación, escrito signado por el Subdirector de Recursos Materiales, mediante el cual </w:t>
      </w:r>
      <w:r w:rsidR="00403599" w:rsidRPr="00C76D23">
        <w:rPr>
          <w:rFonts w:ascii="Palatino Linotype" w:eastAsia="Palatino Linotype" w:hAnsi="Palatino Linotype" w:cs="Palatino Linotype"/>
        </w:rPr>
        <w:t xml:space="preserve">solicita al Comité de Transparencia </w:t>
      </w:r>
      <w:r w:rsidR="00A5771E" w:rsidRPr="00C76D23">
        <w:rPr>
          <w:rFonts w:ascii="Palatino Linotype" w:eastAsia="Palatino Linotype" w:hAnsi="Palatino Linotype" w:cs="Palatino Linotype"/>
        </w:rPr>
        <w:t>la clasificación de la</w:t>
      </w:r>
      <w:r w:rsidR="00403599" w:rsidRPr="00C76D23">
        <w:rPr>
          <w:rFonts w:ascii="Palatino Linotype" w:eastAsia="Palatino Linotype" w:hAnsi="Palatino Linotype" w:cs="Palatino Linotype"/>
        </w:rPr>
        <w:t xml:space="preserve"> </w:t>
      </w:r>
      <w:r w:rsidR="00A5771E" w:rsidRPr="00C76D23">
        <w:rPr>
          <w:rFonts w:ascii="Palatino Linotype" w:eastAsia="Palatino Linotype" w:hAnsi="Palatino Linotype" w:cs="Palatino Linotype"/>
        </w:rPr>
        <w:t>información como reservada por un periodo de tres años</w:t>
      </w:r>
      <w:r w:rsidR="002B5E00" w:rsidRPr="00C76D23">
        <w:rPr>
          <w:rFonts w:ascii="Palatino Linotype" w:eastAsia="Palatino Linotype" w:hAnsi="Palatino Linotype" w:cs="Palatino Linotype"/>
        </w:rPr>
        <w:t xml:space="preserve"> a noviembre de 2024</w:t>
      </w:r>
      <w:r w:rsidR="00A5771E" w:rsidRPr="00C76D23">
        <w:rPr>
          <w:rFonts w:ascii="Palatino Linotype" w:eastAsia="Palatino Linotype" w:hAnsi="Palatino Linotype" w:cs="Palatino Linotype"/>
        </w:rPr>
        <w:t>,</w:t>
      </w:r>
      <w:r w:rsidR="00922E96" w:rsidRPr="00C76D23">
        <w:rPr>
          <w:rFonts w:ascii="Palatino Linotype" w:eastAsia="Palatino Linotype" w:hAnsi="Palatino Linotype" w:cs="Palatino Linotype"/>
        </w:rPr>
        <w:t xml:space="preserve"> en </w:t>
      </w:r>
      <w:r w:rsidR="00922E96" w:rsidRPr="00C76D23">
        <w:rPr>
          <w:rFonts w:ascii="Palatino Linotype" w:eastAsia="Palatino Linotype" w:hAnsi="Palatino Linotype" w:cs="Palatino Linotype"/>
        </w:rPr>
        <w:lastRenderedPageBreak/>
        <w:t>virtud de que es el lapso de tiempo que abarca el contrato y las</w:t>
      </w:r>
      <w:r w:rsidR="002B5E00" w:rsidRPr="00C76D23">
        <w:rPr>
          <w:rFonts w:ascii="Palatino Linotype" w:eastAsia="Palatino Linotype" w:hAnsi="Palatino Linotype" w:cs="Palatino Linotype"/>
        </w:rPr>
        <w:t xml:space="preserve"> facturas, de conformidad con el artículo 113, fracción I de la Ley General de Transparencia y Acceso a la Información Pública,</w:t>
      </w:r>
      <w:r w:rsidR="00A6221B" w:rsidRPr="00C76D23">
        <w:rPr>
          <w:rFonts w:ascii="Palatino Linotype" w:eastAsia="Palatino Linotype" w:hAnsi="Palatino Linotype" w:cs="Palatino Linotype"/>
        </w:rPr>
        <w:t xml:space="preserve"> en virtud de que el contenido reflejado en el contrato evidencia las características técnicas de las unidades que forman parte de la Comisaría de Seguridad Pública y Tránsito Municipal, por lo que al ser proporcionada dicha información se vería comprometida la seguridad pública, en razón de que se estaría proporcionando el número de unidades que están como primer respondiente para efectuar las peticiones de auxilio de la comunidad; mientras que el caso de las facturas señaló que estas derivan del contenido del contrato, por lo que al ser accesorias de este siguen la misma suerte de la obligación principal.</w:t>
      </w:r>
      <w:r w:rsidR="00A856D3" w:rsidRPr="00C76D23">
        <w:rPr>
          <w:rFonts w:ascii="Palatino Linotype" w:eastAsia="Palatino Linotype" w:hAnsi="Palatino Linotype" w:cs="Palatino Linotype"/>
        </w:rPr>
        <w:t xml:space="preserve"> </w:t>
      </w:r>
      <w:proofErr w:type="gramStart"/>
      <w:r w:rsidR="00A856D3" w:rsidRPr="00C76D23">
        <w:rPr>
          <w:rFonts w:ascii="Palatino Linotype" w:eastAsia="Palatino Linotype" w:hAnsi="Palatino Linotype" w:cs="Palatino Linotype"/>
        </w:rPr>
        <w:t>A</w:t>
      </w:r>
      <w:r w:rsidR="00A6221B" w:rsidRPr="00C76D23">
        <w:rPr>
          <w:rFonts w:ascii="Palatino Linotype" w:eastAsia="Palatino Linotype" w:hAnsi="Palatino Linotype" w:cs="Palatino Linotype"/>
        </w:rPr>
        <w:t>simismo</w:t>
      </w:r>
      <w:proofErr w:type="gramEnd"/>
      <w:r w:rsidR="00A6221B" w:rsidRPr="00C76D23">
        <w:rPr>
          <w:rFonts w:ascii="Palatino Linotype" w:eastAsia="Palatino Linotype" w:hAnsi="Palatino Linotype" w:cs="Palatino Linotype"/>
        </w:rPr>
        <w:t xml:space="preserve"> remitió la </w:t>
      </w:r>
      <w:r w:rsidR="00CD0BE5" w:rsidRPr="00C76D23">
        <w:rPr>
          <w:rFonts w:ascii="Palatino Linotype" w:eastAsia="Palatino Linotype" w:hAnsi="Palatino Linotype" w:cs="Palatino Linotype"/>
        </w:rPr>
        <w:t>prueba de daño correspondiente.</w:t>
      </w:r>
    </w:p>
    <w:p w14:paraId="5C75FF63" w14:textId="77777777" w:rsidR="002B5E00" w:rsidRPr="00C76D23" w:rsidRDefault="00A856D3">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Oficio CSPYTM/ET/051/2022, de fecha catorce de septiembre de dos mil veintidós, signado por el Comisario de Seguridad Pública y Tránsito Municipal, mediante el cual solicita la clasificación</w:t>
      </w:r>
      <w:r w:rsidR="006844E1" w:rsidRPr="00C76D23">
        <w:rPr>
          <w:rFonts w:ascii="Palatino Linotype" w:eastAsia="Palatino Linotype" w:hAnsi="Palatino Linotype" w:cs="Palatino Linotype"/>
        </w:rPr>
        <w:t xml:space="preserve"> como reservada, </w:t>
      </w:r>
      <w:r w:rsidRPr="00C76D23">
        <w:rPr>
          <w:rFonts w:ascii="Palatino Linotype" w:eastAsia="Palatino Linotype" w:hAnsi="Palatino Linotype" w:cs="Palatino Linotype"/>
        </w:rPr>
        <w:t>de la información relativa a las patrullas recibidas por la actual administración y el número de patrullas que adquirió o arrendó la administración actual, así como</w:t>
      </w:r>
      <w:r w:rsidR="00B13C76" w:rsidRPr="00C76D23">
        <w:rPr>
          <w:rFonts w:ascii="Palatino Linotype" w:eastAsia="Palatino Linotype" w:hAnsi="Palatino Linotype" w:cs="Palatino Linotype"/>
        </w:rPr>
        <w:t xml:space="preserve"> de</w:t>
      </w:r>
      <w:r w:rsidRPr="00C76D23">
        <w:rPr>
          <w:rFonts w:ascii="Palatino Linotype" w:eastAsia="Palatino Linotype" w:hAnsi="Palatino Linotype" w:cs="Palatino Linotype"/>
        </w:rPr>
        <w:t xml:space="preserve"> las torres móviles, en atención a las particularidades y anomalías referentes al parque vehicular que integra el Estado de Fuerza de la Dependencia a su cargo y el parque vehicular que adquirió o arrendó la administración actual, anexando para tales efectos, la prueba de daño para fundar y motivar su contestación; y, respecto de las facturas y contratos, señaló que la Dependencia a su cargo no tiene a resguardo dicha documentación, atendiendo a las facultades establecidas en el artículo 72 de la Ley de Contratación Pública.</w:t>
      </w:r>
    </w:p>
    <w:p w14:paraId="35D368D5" w14:textId="77777777" w:rsidR="00CD0BE5" w:rsidRPr="00C76D23" w:rsidRDefault="00CD0BE5" w:rsidP="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lastRenderedPageBreak/>
        <w:t xml:space="preserve">- Desarrollo de los puntos 4 y 5 del Acta </w:t>
      </w:r>
      <w:r w:rsidR="00356345" w:rsidRPr="00C76D23">
        <w:rPr>
          <w:rFonts w:ascii="Palatino Linotype" w:eastAsia="Palatino Linotype" w:hAnsi="Palatino Linotype" w:cs="Palatino Linotype"/>
        </w:rPr>
        <w:t xml:space="preserve">de la </w:t>
      </w:r>
      <w:r w:rsidRPr="00C76D23">
        <w:rPr>
          <w:rFonts w:ascii="Palatino Linotype" w:eastAsia="Palatino Linotype" w:hAnsi="Palatino Linotype" w:cs="Palatino Linotype"/>
        </w:rPr>
        <w:t>Vigésimo Novena Extraordinaria del Comité de Transparencia, en los que se sometió a consideración de los integrantes, el análisis y en su caso confirmación, modificación o revocación del acuerdo de clasificación de información solicitada por la Subdirección de Adquisiciones y Recursos Materiales, y la Comisaría de Seguridad Pública y Tránsito Municipal, en relación con el recurso de revisión 14404/INFOEM/IP/RR/2022, bajo la solicitud 00308/COACALCO/IP/2022.</w:t>
      </w:r>
    </w:p>
    <w:p w14:paraId="0A69947D" w14:textId="77777777" w:rsidR="00CD0BE5"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Una vez analizado el documento, se hizo del conocimiento de la parte </w:t>
      </w:r>
      <w:r w:rsidRPr="00C76D23">
        <w:rPr>
          <w:rFonts w:ascii="Palatino Linotype" w:eastAsia="Palatino Linotype" w:hAnsi="Palatino Linotype" w:cs="Palatino Linotype"/>
          <w:b/>
        </w:rPr>
        <w:t>Recurrente</w:t>
      </w:r>
      <w:r w:rsidRPr="00C76D23">
        <w:rPr>
          <w:rFonts w:ascii="Palatino Linotype" w:eastAsia="Palatino Linotype" w:hAnsi="Palatino Linotype" w:cs="Palatino Linotype"/>
        </w:rPr>
        <w:t xml:space="preserve">, con la finalidad de que manifestara lo que a su derecho estimara conveniente, haciendo válida dicha prerrogativa en fecha </w:t>
      </w:r>
      <w:r w:rsidRPr="00C76D23">
        <w:rPr>
          <w:rFonts w:ascii="Palatino Linotype" w:eastAsia="Palatino Linotype" w:hAnsi="Palatino Linotype" w:cs="Palatino Linotype"/>
          <w:b/>
        </w:rPr>
        <w:t xml:space="preserve">veintisiete de enero de dos mil veintitrés, </w:t>
      </w:r>
      <w:r w:rsidRPr="00C76D23">
        <w:rPr>
          <w:rFonts w:ascii="Palatino Linotype" w:eastAsia="Palatino Linotype" w:hAnsi="Palatino Linotype" w:cs="Palatino Linotype"/>
        </w:rPr>
        <w:t>mediante escrito libre en el que refirió lo siguiente:</w:t>
      </w:r>
    </w:p>
    <w:p w14:paraId="0F724279" w14:textId="77777777" w:rsidR="00CD0BE5" w:rsidRPr="00C76D23" w:rsidRDefault="00CD0BE5" w:rsidP="00976F5A">
      <w:pPr>
        <w:spacing w:before="120" w:after="120"/>
        <w:ind w:left="851" w:right="902"/>
        <w:jc w:val="both"/>
        <w:rPr>
          <w:rFonts w:ascii="Palatino Linotype" w:hAnsi="Palatino Linotype"/>
          <w:i/>
          <w:sz w:val="22"/>
          <w:szCs w:val="22"/>
        </w:rPr>
      </w:pPr>
      <w:r w:rsidRPr="00C76D23">
        <w:rPr>
          <w:rFonts w:ascii="Palatino Linotype" w:eastAsia="Palatino Linotype" w:hAnsi="Palatino Linotype" w:cs="Palatino Linotype"/>
          <w:i/>
          <w:sz w:val="22"/>
          <w:szCs w:val="22"/>
        </w:rPr>
        <w:t>“</w:t>
      </w:r>
      <w:r w:rsidRPr="00C76D23">
        <w:rPr>
          <w:rFonts w:ascii="Palatino Linotype" w:hAnsi="Palatino Linotype"/>
          <w:i/>
          <w:sz w:val="22"/>
          <w:szCs w:val="22"/>
        </w:rPr>
        <w:t xml:space="preserve">Mucha preocupación por que se conozca el estado de </w:t>
      </w:r>
      <w:proofErr w:type="gramStart"/>
      <w:r w:rsidRPr="00C76D23">
        <w:rPr>
          <w:rFonts w:ascii="Palatino Linotype" w:hAnsi="Palatino Linotype"/>
          <w:i/>
          <w:sz w:val="22"/>
          <w:szCs w:val="22"/>
        </w:rPr>
        <w:t>fuerza</w:t>
      </w:r>
      <w:proofErr w:type="gramEnd"/>
      <w:r w:rsidRPr="00C76D23">
        <w:rPr>
          <w:rFonts w:ascii="Palatino Linotype" w:hAnsi="Palatino Linotype"/>
          <w:i/>
          <w:sz w:val="22"/>
          <w:szCs w:val="22"/>
        </w:rPr>
        <w:t xml:space="preserve"> pero yo no los veo reservado la información en su informe de gobierno o en su página de Internet</w:t>
      </w:r>
    </w:p>
    <w:p w14:paraId="2D6CE53D" w14:textId="77777777" w:rsidR="00976F5A" w:rsidRPr="00C76D23" w:rsidRDefault="00976F5A" w:rsidP="00976F5A">
      <w:pPr>
        <w:spacing w:before="120" w:after="120"/>
        <w:ind w:left="851" w:right="902"/>
        <w:jc w:val="center"/>
        <w:rPr>
          <w:rFonts w:ascii="Palatino Linotype" w:hAnsi="Palatino Linotype"/>
          <w:i/>
          <w:sz w:val="22"/>
          <w:szCs w:val="22"/>
        </w:rPr>
      </w:pPr>
      <w:r w:rsidRPr="00C76D23">
        <w:rPr>
          <w:rFonts w:ascii="Palatino Linotype" w:hAnsi="Palatino Linotype"/>
          <w:i/>
          <w:noProof/>
          <w:sz w:val="22"/>
          <w:szCs w:val="22"/>
        </w:rPr>
        <w:drawing>
          <wp:inline distT="0" distB="0" distL="0" distR="0" wp14:anchorId="418D3F44" wp14:editId="62C0EF1D">
            <wp:extent cx="3420000" cy="3122530"/>
            <wp:effectExtent l="0" t="0" r="952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 b="44"/>
                    <a:stretch/>
                  </pic:blipFill>
                  <pic:spPr bwMode="auto">
                    <a:xfrm>
                      <a:off x="0" y="0"/>
                      <a:ext cx="3420000" cy="3122530"/>
                    </a:xfrm>
                    <a:prstGeom prst="rect">
                      <a:avLst/>
                    </a:prstGeom>
                    <a:noFill/>
                    <a:ln>
                      <a:noFill/>
                    </a:ln>
                    <a:extLst>
                      <a:ext uri="{53640926-AAD7-44D8-BBD7-CCE9431645EC}">
                        <a14:shadowObscured xmlns:a14="http://schemas.microsoft.com/office/drawing/2010/main"/>
                      </a:ext>
                    </a:extLst>
                  </pic:spPr>
                </pic:pic>
              </a:graphicData>
            </a:graphic>
          </wp:inline>
        </w:drawing>
      </w:r>
    </w:p>
    <w:p w14:paraId="45A3215D" w14:textId="77777777" w:rsidR="00976F5A" w:rsidRPr="00C76D23" w:rsidRDefault="00976F5A" w:rsidP="00976F5A">
      <w:pPr>
        <w:spacing w:before="120" w:after="120"/>
        <w:ind w:left="851" w:right="902"/>
        <w:jc w:val="center"/>
        <w:rPr>
          <w:rFonts w:ascii="Palatino Linotype" w:hAnsi="Palatino Linotype"/>
          <w:i/>
          <w:sz w:val="22"/>
          <w:szCs w:val="22"/>
        </w:rPr>
      </w:pPr>
    </w:p>
    <w:p w14:paraId="1E43BC36" w14:textId="77777777" w:rsidR="00976F5A" w:rsidRPr="00C76D23" w:rsidRDefault="00976F5A" w:rsidP="00976F5A">
      <w:pPr>
        <w:spacing w:before="120" w:after="120"/>
        <w:ind w:left="851" w:right="902"/>
        <w:jc w:val="both"/>
        <w:rPr>
          <w:rFonts w:ascii="Palatino Linotype" w:eastAsia="Palatino Linotype" w:hAnsi="Palatino Linotype" w:cs="Palatino Linotype"/>
          <w:i/>
          <w:sz w:val="22"/>
          <w:szCs w:val="22"/>
        </w:rPr>
      </w:pPr>
      <w:r w:rsidRPr="00C76D23">
        <w:rPr>
          <w:rFonts w:ascii="Palatino Linotype" w:hAnsi="Palatino Linotype"/>
          <w:i/>
          <w:sz w:val="22"/>
          <w:szCs w:val="22"/>
        </w:rPr>
        <w:t>El compromiso más grande de esta administración cada día es más claro, es con la opacidad, cuanto habrán costado que esconden el gasto Eso es todo lo que deseo manifestar Comisionados Gracias” (sic)</w:t>
      </w:r>
    </w:p>
    <w:p w14:paraId="27982BC6" w14:textId="77777777" w:rsidR="00AD4DF3" w:rsidRPr="00C76D23" w:rsidRDefault="00915ABC">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b/>
        </w:rPr>
        <w:t>7</w:t>
      </w:r>
      <w:r w:rsidR="00CD0BE5" w:rsidRPr="00C76D23">
        <w:rPr>
          <w:rFonts w:ascii="Palatino Linotype" w:eastAsia="Palatino Linotype" w:hAnsi="Palatino Linotype" w:cs="Palatino Linotype"/>
          <w:b/>
        </w:rPr>
        <w:t>. Ampliación del término para resolver</w:t>
      </w:r>
      <w:r w:rsidR="00CD0BE5" w:rsidRPr="00C76D23">
        <w:rPr>
          <w:rFonts w:ascii="Palatino Linotype" w:eastAsia="Palatino Linotype" w:hAnsi="Palatino Linotype" w:cs="Palatino Linotype"/>
        </w:rPr>
        <w:t xml:space="preserve">. En fecha </w:t>
      </w:r>
      <w:r w:rsidR="00CD0BE5" w:rsidRPr="00C76D23">
        <w:rPr>
          <w:rFonts w:ascii="Palatino Linotype" w:eastAsia="Palatino Linotype" w:hAnsi="Palatino Linotype" w:cs="Palatino Linotype"/>
          <w:b/>
        </w:rPr>
        <w:t>ocho de noviembre de dos mil veintidós</w:t>
      </w:r>
      <w:r w:rsidR="00CD0BE5" w:rsidRPr="00C76D23">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13D421B3"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4C1D908A"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53EE709"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C76D23">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79320322"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EAF1868" w14:textId="77777777" w:rsidR="00AD4DF3" w:rsidRPr="00C76D23" w:rsidRDefault="00CD0BE5">
      <w:pPr>
        <w:spacing w:before="240" w:after="240" w:line="360" w:lineRule="auto"/>
        <w:jc w:val="both"/>
        <w:rPr>
          <w:rFonts w:ascii="Palatino Linotype" w:eastAsia="Palatino Linotype" w:hAnsi="Palatino Linotype" w:cs="Palatino Linotype"/>
          <w:strike/>
        </w:rPr>
      </w:pPr>
      <w:r w:rsidRPr="00C76D2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E47F45E" w14:textId="77777777" w:rsidR="00AD4DF3" w:rsidRPr="00C76D23" w:rsidRDefault="00CD0BE5">
      <w:pPr>
        <w:numPr>
          <w:ilvl w:val="0"/>
          <w:numId w:val="2"/>
        </w:num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976A8E4" w14:textId="77777777" w:rsidR="00AD4DF3" w:rsidRPr="00C76D23" w:rsidRDefault="00CD0BE5">
      <w:pPr>
        <w:numPr>
          <w:ilvl w:val="0"/>
          <w:numId w:val="2"/>
        </w:num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Actividad Procesal del interesado. Acciones u omisiones del interesado.</w:t>
      </w:r>
    </w:p>
    <w:p w14:paraId="383A1EA7" w14:textId="77777777" w:rsidR="00AD4DF3" w:rsidRPr="00C76D23" w:rsidRDefault="00CD0BE5">
      <w:pPr>
        <w:numPr>
          <w:ilvl w:val="0"/>
          <w:numId w:val="2"/>
        </w:num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Conducta de la Autoridad: Las Acciones u omisiones realizadas en el procedimiento. Así como si la autoridad actuó con la debida diligencia.</w:t>
      </w:r>
    </w:p>
    <w:p w14:paraId="28B6AEC2" w14:textId="77777777" w:rsidR="00AD4DF3" w:rsidRPr="00C76D23" w:rsidRDefault="00CD0BE5">
      <w:pPr>
        <w:spacing w:before="240" w:after="240" w:line="360" w:lineRule="auto"/>
        <w:ind w:left="567"/>
        <w:jc w:val="both"/>
        <w:rPr>
          <w:rFonts w:ascii="Palatino Linotype" w:eastAsia="Palatino Linotype" w:hAnsi="Palatino Linotype" w:cs="Palatino Linotype"/>
        </w:rPr>
      </w:pPr>
      <w:r w:rsidRPr="00C76D23">
        <w:rPr>
          <w:rFonts w:ascii="Palatino Linotype" w:eastAsia="Palatino Linotype" w:hAnsi="Palatino Linotype" w:cs="Palatino Linotype"/>
        </w:rPr>
        <w:t>d) La afectación generada en la situación jurídica de la persona involucrada en el proceso: Violación a sus derechos humanos.</w:t>
      </w:r>
    </w:p>
    <w:p w14:paraId="035B03E6"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C76D23">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55B1439A" w14:textId="77777777" w:rsidR="00AD4DF3" w:rsidRPr="00C76D23" w:rsidRDefault="00CD0BE5">
      <w:pPr>
        <w:spacing w:before="240" w:after="240" w:line="360" w:lineRule="auto"/>
        <w:jc w:val="both"/>
        <w:rPr>
          <w:rFonts w:ascii="Palatino Linotype" w:eastAsia="Palatino Linotype" w:hAnsi="Palatino Linotype" w:cs="Palatino Linotype"/>
          <w:b/>
        </w:rPr>
      </w:pPr>
      <w:r w:rsidRPr="00C76D2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76D2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76D23">
        <w:rPr>
          <w:rFonts w:ascii="Palatino Linotype" w:eastAsia="Palatino Linotype" w:hAnsi="Palatino Linotype" w:cs="Palatino Linotype"/>
        </w:rPr>
        <w:t>, visible en la Gaceta del Seminario Judicial de la Federación con el registro digital 205635.</w:t>
      </w:r>
    </w:p>
    <w:p w14:paraId="0C7B5BDE"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37FFCDB"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10145A05" w14:textId="77777777" w:rsidR="00AD4DF3" w:rsidRPr="00C76D23" w:rsidRDefault="00CD0BE5">
      <w:pPr>
        <w:spacing w:before="240" w:after="240"/>
        <w:ind w:left="851" w:right="902"/>
        <w:jc w:val="both"/>
        <w:rPr>
          <w:rFonts w:ascii="Palatino Linotype" w:eastAsia="Palatino Linotype" w:hAnsi="Palatino Linotype" w:cs="Palatino Linotype"/>
          <w:sz w:val="22"/>
          <w:szCs w:val="22"/>
        </w:rPr>
      </w:pPr>
      <w:r w:rsidRPr="00C76D23">
        <w:rPr>
          <w:rFonts w:ascii="Palatino Linotype" w:eastAsia="Palatino Linotype" w:hAnsi="Palatino Linotype" w:cs="Palatino Linotype"/>
        </w:rPr>
        <w:t xml:space="preserve"> </w:t>
      </w:r>
      <w:r w:rsidRPr="00C76D23">
        <w:rPr>
          <w:rFonts w:ascii="Palatino Linotype" w:eastAsia="Palatino Linotype" w:hAnsi="Palatino Linotype" w:cs="Palatino Linotype"/>
          <w:i/>
          <w:sz w:val="22"/>
          <w:szCs w:val="22"/>
        </w:rPr>
        <w:t>“</w:t>
      </w:r>
      <w:r w:rsidRPr="00C76D23">
        <w:rPr>
          <w:rFonts w:ascii="Palatino Linotype" w:eastAsia="Palatino Linotype" w:hAnsi="Palatino Linotype" w:cs="Palatino Linotype"/>
          <w:b/>
          <w:i/>
          <w:sz w:val="22"/>
          <w:szCs w:val="22"/>
        </w:rPr>
        <w:t>PLAZO RAZONABLE PARA RESOLVER. DIMENSIÓN Y EFECTOS DE ESTE CONCEPTO CUANDO SE ADUCE EXCESIVA CARGA DE TRABAJO</w:t>
      </w:r>
      <w:r w:rsidRPr="00C76D23">
        <w:rPr>
          <w:rFonts w:ascii="Palatino Linotype" w:eastAsia="Palatino Linotype" w:hAnsi="Palatino Linotype" w:cs="Palatino Linotype"/>
          <w:i/>
          <w:sz w:val="22"/>
          <w:szCs w:val="22"/>
        </w:rPr>
        <w:t>.”</w:t>
      </w:r>
      <w:r w:rsidRPr="00C76D23">
        <w:rPr>
          <w:rFonts w:ascii="Palatino Linotype" w:eastAsia="Palatino Linotype" w:hAnsi="Palatino Linotype" w:cs="Palatino Linotype"/>
          <w:sz w:val="22"/>
          <w:szCs w:val="22"/>
        </w:rPr>
        <w:t xml:space="preserve"> consultable en el Seminario Judicial de la Federación y su gaceta, con el registro digital 2002351.</w:t>
      </w:r>
    </w:p>
    <w:p w14:paraId="77CE1A0D" w14:textId="77777777" w:rsidR="00AD4DF3" w:rsidRPr="00C76D23" w:rsidRDefault="00CD0BE5">
      <w:pPr>
        <w:spacing w:before="240" w:after="240"/>
        <w:ind w:left="851" w:right="902"/>
        <w:jc w:val="both"/>
        <w:rPr>
          <w:rFonts w:ascii="Palatino Linotype" w:eastAsia="Palatino Linotype" w:hAnsi="Palatino Linotype" w:cs="Palatino Linotype"/>
          <w:sz w:val="22"/>
          <w:szCs w:val="22"/>
        </w:rPr>
      </w:pPr>
      <w:r w:rsidRPr="00C76D23">
        <w:rPr>
          <w:rFonts w:ascii="Palatino Linotype" w:eastAsia="Palatino Linotype" w:hAnsi="Palatino Linotype" w:cs="Palatino Linotype"/>
          <w:i/>
          <w:sz w:val="22"/>
          <w:szCs w:val="22"/>
        </w:rPr>
        <w:t>“</w:t>
      </w:r>
      <w:r w:rsidRPr="00C76D23">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C76D23">
        <w:rPr>
          <w:rFonts w:ascii="Palatino Linotype" w:eastAsia="Palatino Linotype" w:hAnsi="Palatino Linotype" w:cs="Palatino Linotype"/>
          <w:i/>
          <w:sz w:val="22"/>
          <w:szCs w:val="22"/>
        </w:rPr>
        <w:t>.”</w:t>
      </w:r>
      <w:r w:rsidRPr="00C76D23">
        <w:rPr>
          <w:rFonts w:ascii="Palatino Linotype" w:eastAsia="Palatino Linotype" w:hAnsi="Palatino Linotype" w:cs="Palatino Linotype"/>
          <w:sz w:val="22"/>
          <w:szCs w:val="22"/>
        </w:rPr>
        <w:t>, visible en el Seminario Judicial de la Federación y su gaceta, con el registro digital 2002350.</w:t>
      </w:r>
    </w:p>
    <w:p w14:paraId="38CA5351"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4EB2829" w14:textId="77777777" w:rsidR="00AD4DF3" w:rsidRPr="00C76D23" w:rsidRDefault="00915ABC">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b/>
        </w:rPr>
        <w:t>8</w:t>
      </w:r>
      <w:r w:rsidR="00CD0BE5" w:rsidRPr="00C76D23">
        <w:rPr>
          <w:rFonts w:ascii="Palatino Linotype" w:eastAsia="Palatino Linotype" w:hAnsi="Palatino Linotype" w:cs="Palatino Linotype"/>
          <w:b/>
        </w:rPr>
        <w:t xml:space="preserve">. Cierre de instrucción. </w:t>
      </w:r>
      <w:r w:rsidR="00CD0BE5" w:rsidRPr="00C76D2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976F5A" w:rsidRPr="00C76D23">
        <w:rPr>
          <w:rFonts w:ascii="Palatino Linotype" w:eastAsia="Palatino Linotype" w:hAnsi="Palatino Linotype" w:cs="Palatino Linotype"/>
          <w:b/>
        </w:rPr>
        <w:t>nueve</w:t>
      </w:r>
      <w:r w:rsidR="00CD0BE5" w:rsidRPr="00C76D23">
        <w:rPr>
          <w:rFonts w:ascii="Palatino Linotype" w:eastAsia="Palatino Linotype" w:hAnsi="Palatino Linotype" w:cs="Palatino Linotype"/>
          <w:b/>
        </w:rPr>
        <w:t xml:space="preserve"> de mayo de dos mil veintitrés, </w:t>
      </w:r>
      <w:r w:rsidR="00CD0BE5" w:rsidRPr="00C76D23">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0C708FA7"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543BC94" w14:textId="77777777" w:rsidR="00976F5A" w:rsidRPr="00C76D23" w:rsidRDefault="00976F5A">
      <w:pPr>
        <w:spacing w:before="240" w:after="240" w:line="360" w:lineRule="auto"/>
        <w:jc w:val="both"/>
        <w:rPr>
          <w:rFonts w:ascii="Palatino Linotype" w:eastAsia="Palatino Linotype" w:hAnsi="Palatino Linotype" w:cs="Palatino Linotype"/>
        </w:rPr>
      </w:pPr>
    </w:p>
    <w:p w14:paraId="22A65B79" w14:textId="77777777" w:rsidR="00AD4DF3" w:rsidRPr="00C76D23" w:rsidRDefault="00CD0BE5">
      <w:pPr>
        <w:widowControl w:val="0"/>
        <w:spacing w:before="240" w:after="240" w:line="360" w:lineRule="auto"/>
        <w:jc w:val="center"/>
        <w:rPr>
          <w:rFonts w:ascii="Palatino Linotype" w:eastAsia="Palatino Linotype" w:hAnsi="Palatino Linotype" w:cs="Palatino Linotype"/>
          <w:b/>
        </w:rPr>
      </w:pPr>
      <w:r w:rsidRPr="00C76D23">
        <w:rPr>
          <w:rFonts w:ascii="Palatino Linotype" w:eastAsia="Palatino Linotype" w:hAnsi="Palatino Linotype" w:cs="Palatino Linotype"/>
          <w:b/>
        </w:rPr>
        <w:lastRenderedPageBreak/>
        <w:t>II. C O N S I D E R A N D O S</w:t>
      </w:r>
    </w:p>
    <w:p w14:paraId="63100566"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b/>
        </w:rPr>
        <w:t>Primero. Competencia.</w:t>
      </w:r>
      <w:r w:rsidRPr="00C76D2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8AC0F17" w14:textId="77777777" w:rsidR="00AD4DF3" w:rsidRPr="00C76D23" w:rsidRDefault="00CD0BE5">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C76D23">
        <w:rPr>
          <w:rFonts w:ascii="Palatino Linotype" w:eastAsia="Palatino Linotype" w:hAnsi="Palatino Linotype" w:cs="Palatino Linotype"/>
          <w:b/>
        </w:rPr>
        <w:t>Segundo. Oportunidad y Procedibilidad del Recurso de Revisión</w:t>
      </w:r>
      <w:r w:rsidRPr="00C76D23">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BCBDAEA"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C76D23">
        <w:rPr>
          <w:rFonts w:ascii="Palatino Linotype" w:eastAsia="Palatino Linotype" w:hAnsi="Palatino Linotype" w:cs="Palatino Linotype"/>
          <w:b/>
        </w:rPr>
        <w:t xml:space="preserve">Sujeto Obligado </w:t>
      </w:r>
      <w:r w:rsidRPr="00C76D23">
        <w:rPr>
          <w:rFonts w:ascii="Palatino Linotype" w:eastAsia="Palatino Linotype" w:hAnsi="Palatino Linotype" w:cs="Palatino Linotype"/>
        </w:rPr>
        <w:t xml:space="preserve">remitió la respuesta a la solicitud de información el día </w:t>
      </w:r>
      <w:r w:rsidR="00976F5A" w:rsidRPr="00C76D23">
        <w:rPr>
          <w:rFonts w:ascii="Palatino Linotype" w:eastAsia="Palatino Linotype" w:hAnsi="Palatino Linotype" w:cs="Palatino Linotype"/>
          <w:b/>
        </w:rPr>
        <w:t>cinco</w:t>
      </w:r>
      <w:r w:rsidRPr="00C76D23">
        <w:rPr>
          <w:rFonts w:ascii="Palatino Linotype" w:eastAsia="Palatino Linotype" w:hAnsi="Palatino Linotype" w:cs="Palatino Linotype"/>
          <w:b/>
        </w:rPr>
        <w:t xml:space="preserve"> de septiembre de dos mil veintidós, </w:t>
      </w:r>
      <w:r w:rsidRPr="00C76D23">
        <w:rPr>
          <w:rFonts w:ascii="Palatino Linotype" w:eastAsia="Palatino Linotype" w:hAnsi="Palatino Linotype" w:cs="Palatino Linotype"/>
        </w:rPr>
        <w:t xml:space="preserve">mientras que el recurso de revisión interpuesto por la parte </w:t>
      </w:r>
      <w:r w:rsidRPr="00C76D23">
        <w:rPr>
          <w:rFonts w:ascii="Palatino Linotype" w:eastAsia="Palatino Linotype" w:hAnsi="Palatino Linotype" w:cs="Palatino Linotype"/>
          <w:b/>
        </w:rPr>
        <w:t>Recurrente</w:t>
      </w:r>
      <w:r w:rsidRPr="00C76D23">
        <w:rPr>
          <w:rFonts w:ascii="Palatino Linotype" w:eastAsia="Palatino Linotype" w:hAnsi="Palatino Linotype" w:cs="Palatino Linotype"/>
        </w:rPr>
        <w:t xml:space="preserve">, </w:t>
      </w:r>
      <w:r w:rsidRPr="00C76D23">
        <w:rPr>
          <w:rFonts w:ascii="Palatino Linotype" w:eastAsia="Palatino Linotype" w:hAnsi="Palatino Linotype" w:cs="Palatino Linotype"/>
        </w:rPr>
        <w:lastRenderedPageBreak/>
        <w:t xml:space="preserve">se tuvo por presentado el día </w:t>
      </w:r>
      <w:r w:rsidR="00976F5A" w:rsidRPr="00C76D23">
        <w:rPr>
          <w:rFonts w:ascii="Palatino Linotype" w:eastAsia="Palatino Linotype" w:hAnsi="Palatino Linotype" w:cs="Palatino Linotype"/>
          <w:b/>
        </w:rPr>
        <w:t>seis</w:t>
      </w:r>
      <w:r w:rsidR="00685D49" w:rsidRPr="00C76D23">
        <w:rPr>
          <w:rFonts w:ascii="Palatino Linotype" w:eastAsia="Palatino Linotype" w:hAnsi="Palatino Linotype" w:cs="Palatino Linotype"/>
          <w:b/>
        </w:rPr>
        <w:t xml:space="preserve"> </w:t>
      </w:r>
      <w:r w:rsidRPr="00C76D23">
        <w:rPr>
          <w:rFonts w:ascii="Palatino Linotype" w:eastAsia="Palatino Linotype" w:hAnsi="Palatino Linotype" w:cs="Palatino Linotype"/>
          <w:b/>
        </w:rPr>
        <w:t>de septiembre de dos mil veintidós</w:t>
      </w:r>
      <w:r w:rsidRPr="00C76D23">
        <w:rPr>
          <w:rFonts w:ascii="Palatino Linotype" w:eastAsia="Palatino Linotype" w:hAnsi="Palatino Linotype" w:cs="Palatino Linotype"/>
        </w:rPr>
        <w:t>, esto es, al siguiente día hábil siguiente en que tuvo conocimiento de la respuesta impugnada.</w:t>
      </w:r>
    </w:p>
    <w:p w14:paraId="569A430F" w14:textId="77777777" w:rsidR="00AD4DF3" w:rsidRPr="00C76D23" w:rsidRDefault="00CD0BE5">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C76D23">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70B809F"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A efecto de sustentar lo anterior, es de suma importancia mencionar que si bien la persona solicitante </w:t>
      </w:r>
      <w:r w:rsidRPr="00C76D23">
        <w:rPr>
          <w:rFonts w:ascii="Palatino Linotype" w:eastAsia="Palatino Linotype" w:hAnsi="Palatino Linotype" w:cs="Palatino Linotype"/>
          <w:b/>
        </w:rPr>
        <w:t xml:space="preserve">no proporcionó nombre o seudónimo </w:t>
      </w:r>
      <w:r w:rsidRPr="00C76D23">
        <w:rPr>
          <w:rFonts w:ascii="Palatino Linotype" w:eastAsia="Palatino Linotype" w:hAnsi="Palatino Linotype" w:cs="Palatino Linotype"/>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F523C5D" w14:textId="77777777" w:rsidR="00AD4DF3" w:rsidRPr="00C76D23" w:rsidRDefault="00CD0BE5">
      <w:pPr>
        <w:spacing w:before="120" w:after="120"/>
        <w:ind w:left="851" w:right="902"/>
        <w:jc w:val="both"/>
        <w:rPr>
          <w:rFonts w:ascii="Palatino Linotype" w:eastAsia="Palatino Linotype" w:hAnsi="Palatino Linotype" w:cs="Palatino Linotype"/>
        </w:rPr>
      </w:pPr>
      <w:r w:rsidRPr="00C76D23">
        <w:rPr>
          <w:rFonts w:ascii="Palatino Linotype" w:eastAsia="Palatino Linotype" w:hAnsi="Palatino Linotype" w:cs="Palatino Linotype"/>
          <w:i/>
        </w:rPr>
        <w:t>"</w:t>
      </w:r>
      <w:r w:rsidRPr="00C76D23">
        <w:rPr>
          <w:rFonts w:ascii="Palatino Linotype" w:eastAsia="Palatino Linotype" w:hAnsi="Palatino Linotype" w:cs="Palatino Linotype"/>
          <w:b/>
          <w:i/>
          <w:sz w:val="22"/>
          <w:szCs w:val="22"/>
        </w:rPr>
        <w:t>Las solicitudes anónimas</w:t>
      </w:r>
      <w:r w:rsidRPr="00C76D23">
        <w:rPr>
          <w:rFonts w:ascii="Palatino Linotype" w:eastAsia="Palatino Linotype" w:hAnsi="Palatino Linotype" w:cs="Palatino Linotype"/>
          <w:i/>
          <w:sz w:val="22"/>
          <w:szCs w:val="22"/>
        </w:rPr>
        <w:t xml:space="preserve">, con nombre incompleto o seudónimo </w:t>
      </w:r>
      <w:r w:rsidRPr="00C76D23">
        <w:rPr>
          <w:rFonts w:ascii="Palatino Linotype" w:eastAsia="Palatino Linotype" w:hAnsi="Palatino Linotype" w:cs="Palatino Linotype"/>
          <w:b/>
          <w:i/>
          <w:sz w:val="22"/>
          <w:szCs w:val="22"/>
        </w:rPr>
        <w:t>serán procedentes para su trámite por parte del sujeto obligado ante quien se presente</w:t>
      </w:r>
      <w:r w:rsidRPr="00C76D23">
        <w:rPr>
          <w:rFonts w:ascii="Palatino Linotype" w:eastAsia="Palatino Linotype" w:hAnsi="Palatino Linotype" w:cs="Palatino Linotype"/>
          <w:i/>
          <w:sz w:val="22"/>
          <w:szCs w:val="22"/>
        </w:rPr>
        <w:t>. No podrá requerirse información adicional con motivo del nombre proporcionado por el solicitante."</w:t>
      </w:r>
    </w:p>
    <w:p w14:paraId="60E28523"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w:t>
      </w:r>
      <w:r w:rsidRPr="00C76D23">
        <w:rPr>
          <w:rFonts w:ascii="Palatino Linotype" w:eastAsia="Palatino Linotype" w:hAnsi="Palatino Linotype" w:cs="Palatino Linotype"/>
        </w:rPr>
        <w:lastRenderedPageBreak/>
        <w:t xml:space="preserve">el nombre de la parte </w:t>
      </w:r>
      <w:r w:rsidRPr="00C76D23">
        <w:rPr>
          <w:rFonts w:ascii="Palatino Linotype" w:eastAsia="Palatino Linotype" w:hAnsi="Palatino Linotype" w:cs="Palatino Linotype"/>
          <w:b/>
        </w:rPr>
        <w:t>Recurrente</w:t>
      </w:r>
      <w:r w:rsidRPr="00C76D23">
        <w:rPr>
          <w:rFonts w:ascii="Palatino Linotype" w:eastAsia="Palatino Linotype" w:hAnsi="Palatino Linotype" w:cs="Palatino Linotype"/>
        </w:rPr>
        <w:t>, por lo que, en el presente caso, al haber sido presentado el recurso de revisión vía SAIMEX, dicho requisito resulta innecesario.</w:t>
      </w:r>
    </w:p>
    <w:p w14:paraId="6D1A893F"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Finalmente, se advierte que resulta procedente la interposición del recurso, según lo manifestado por la parte </w:t>
      </w:r>
      <w:r w:rsidRPr="00C76D23">
        <w:rPr>
          <w:rFonts w:ascii="Palatino Linotype" w:eastAsia="Palatino Linotype" w:hAnsi="Palatino Linotype" w:cs="Palatino Linotype"/>
          <w:b/>
        </w:rPr>
        <w:t>Recurrente</w:t>
      </w:r>
      <w:r w:rsidRPr="00C76D23">
        <w:rPr>
          <w:rFonts w:ascii="Palatino Linotype" w:eastAsia="Palatino Linotype" w:hAnsi="Palatino Linotype" w:cs="Palatino Linotype"/>
        </w:rPr>
        <w:t xml:space="preserve"> en sus motivos de inconformidad, de </w:t>
      </w:r>
      <w:r w:rsidR="00976F5A" w:rsidRPr="00C76D23">
        <w:rPr>
          <w:rFonts w:ascii="Palatino Linotype" w:eastAsia="Palatino Linotype" w:hAnsi="Palatino Linotype" w:cs="Palatino Linotype"/>
        </w:rPr>
        <w:t>acuerdo al artículo 179, fracció</w:t>
      </w:r>
      <w:r w:rsidRPr="00C76D23">
        <w:rPr>
          <w:rFonts w:ascii="Palatino Linotype" w:eastAsia="Palatino Linotype" w:hAnsi="Palatino Linotype" w:cs="Palatino Linotype"/>
        </w:rPr>
        <w:t>n V del ordenamiento legal citado, que a la letra dice: </w:t>
      </w:r>
    </w:p>
    <w:p w14:paraId="2E10278E" w14:textId="77777777" w:rsidR="00AD4DF3" w:rsidRPr="00C76D23" w:rsidRDefault="00CD0BE5" w:rsidP="00976F5A">
      <w:pPr>
        <w:spacing w:before="120" w:after="120"/>
        <w:ind w:left="993"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r w:rsidRPr="00C76D23">
        <w:rPr>
          <w:rFonts w:ascii="Palatino Linotype" w:eastAsia="Palatino Linotype" w:hAnsi="Palatino Linotype" w:cs="Palatino Linotype"/>
          <w:b/>
          <w:i/>
          <w:sz w:val="22"/>
          <w:szCs w:val="22"/>
        </w:rPr>
        <w:t>Artículo 179.</w:t>
      </w:r>
      <w:r w:rsidRPr="00C76D2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CCA3B31" w14:textId="77777777" w:rsidR="00AD4DF3" w:rsidRPr="00C76D23" w:rsidRDefault="00CD0BE5">
      <w:pPr>
        <w:spacing w:before="120" w:after="120"/>
        <w:ind w:left="1134"/>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p>
    <w:p w14:paraId="354DA104" w14:textId="77777777" w:rsidR="00AD4DF3" w:rsidRPr="00C76D23" w:rsidRDefault="00CD0BE5">
      <w:pPr>
        <w:spacing w:before="120" w:after="120"/>
        <w:ind w:left="1134"/>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 xml:space="preserve">V. </w:t>
      </w:r>
      <w:r w:rsidRPr="00C76D23">
        <w:rPr>
          <w:rFonts w:ascii="Palatino Linotype" w:eastAsia="Palatino Linotype" w:hAnsi="Palatino Linotype" w:cs="Palatino Linotype"/>
          <w:i/>
          <w:sz w:val="22"/>
          <w:szCs w:val="22"/>
        </w:rPr>
        <w:t>La entrega de información incompleta</w:t>
      </w:r>
      <w:r w:rsidRPr="00C76D23">
        <w:rPr>
          <w:rFonts w:ascii="Palatino Linotype" w:eastAsia="Palatino Linotype" w:hAnsi="Palatino Linotype" w:cs="Palatino Linotype"/>
          <w:b/>
          <w:i/>
          <w:sz w:val="22"/>
          <w:szCs w:val="22"/>
        </w:rPr>
        <w:t>;</w:t>
      </w:r>
      <w:r w:rsidRPr="00C76D23">
        <w:rPr>
          <w:rFonts w:ascii="Palatino Linotype" w:eastAsia="Palatino Linotype" w:hAnsi="Palatino Linotype" w:cs="Palatino Linotype"/>
          <w:i/>
          <w:sz w:val="22"/>
          <w:szCs w:val="22"/>
        </w:rPr>
        <w:t>”</w:t>
      </w:r>
    </w:p>
    <w:p w14:paraId="7E26E49A"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b/>
        </w:rPr>
        <w:t xml:space="preserve">Tercero. Materia de la revisión. </w:t>
      </w:r>
      <w:r w:rsidRPr="00C76D23">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C76D23">
        <w:rPr>
          <w:rFonts w:ascii="Palatino Linotype" w:eastAsia="Palatino Linotype" w:hAnsi="Palatino Linotype" w:cs="Palatino Linotype"/>
          <w:b/>
        </w:rPr>
        <w:t xml:space="preserve">verificar si la información otorgada por el Sujeto Obligado es adecuada y suficiente para satisfacer el derecho de acceso a la información pública </w:t>
      </w:r>
      <w:r w:rsidRPr="00C76D23">
        <w:rPr>
          <w:rFonts w:ascii="Palatino Linotype" w:eastAsia="Palatino Linotype" w:hAnsi="Palatino Linotype" w:cs="Palatino Linotype"/>
        </w:rPr>
        <w:t xml:space="preserve">de la parte </w:t>
      </w:r>
      <w:r w:rsidRPr="00C76D23">
        <w:rPr>
          <w:rFonts w:ascii="Palatino Linotype" w:eastAsia="Palatino Linotype" w:hAnsi="Palatino Linotype" w:cs="Palatino Linotype"/>
          <w:b/>
        </w:rPr>
        <w:t>Recurrente</w:t>
      </w:r>
      <w:r w:rsidRPr="00C76D23">
        <w:rPr>
          <w:rFonts w:ascii="Palatino Linotype" w:eastAsia="Palatino Linotype" w:hAnsi="Palatino Linotype" w:cs="Palatino Linotype"/>
        </w:rPr>
        <w:t>, o en su defecto, en caso de ser procedente, ordenar la entrega de información oportuna.</w:t>
      </w:r>
    </w:p>
    <w:p w14:paraId="351CD318" w14:textId="77777777" w:rsidR="00AD4DF3" w:rsidRPr="00C76D23" w:rsidRDefault="00CD0BE5">
      <w:pPr>
        <w:spacing w:before="240" w:after="240" w:line="360" w:lineRule="auto"/>
        <w:ind w:right="51"/>
        <w:jc w:val="both"/>
        <w:rPr>
          <w:rFonts w:ascii="Palatino Linotype" w:eastAsia="Palatino Linotype" w:hAnsi="Palatino Linotype" w:cs="Palatino Linotype"/>
        </w:rPr>
      </w:pPr>
      <w:bookmarkStart w:id="7" w:name="_heading=h.2et92p0" w:colFirst="0" w:colLast="0"/>
      <w:bookmarkEnd w:id="7"/>
      <w:r w:rsidRPr="00C76D23">
        <w:rPr>
          <w:rFonts w:ascii="Palatino Linotype" w:eastAsia="Palatino Linotype" w:hAnsi="Palatino Linotype" w:cs="Palatino Linotype"/>
          <w:b/>
        </w:rPr>
        <w:t xml:space="preserve">Cuarto. Estudio del asunto. </w:t>
      </w:r>
      <w:r w:rsidRPr="00C76D23">
        <w:rPr>
          <w:rFonts w:ascii="Palatino Linotype" w:eastAsia="Palatino Linotype" w:hAnsi="Palatino Linotype" w:cs="Palatino Linotype"/>
        </w:rPr>
        <w:t xml:space="preserve">Del análisis de la solicitud de información, motivo del recurso de revisión que ahora se resuelve se advierte que la parte </w:t>
      </w:r>
      <w:r w:rsidRPr="00C76D23">
        <w:rPr>
          <w:rFonts w:ascii="Palatino Linotype" w:eastAsia="Palatino Linotype" w:hAnsi="Palatino Linotype" w:cs="Palatino Linotype"/>
          <w:b/>
        </w:rPr>
        <w:t>Recurrente</w:t>
      </w:r>
      <w:r w:rsidRPr="00C76D23">
        <w:rPr>
          <w:rFonts w:ascii="Palatino Linotype" w:eastAsia="Palatino Linotype" w:hAnsi="Palatino Linotype" w:cs="Palatino Linotype"/>
        </w:rPr>
        <w:t xml:space="preserve"> requirió al </w:t>
      </w:r>
      <w:r w:rsidRPr="00C76D23">
        <w:rPr>
          <w:rFonts w:ascii="Palatino Linotype" w:eastAsia="Palatino Linotype" w:hAnsi="Palatino Linotype" w:cs="Palatino Linotype"/>
          <w:b/>
        </w:rPr>
        <w:t xml:space="preserve">Sujeto Obligado </w:t>
      </w:r>
      <w:r w:rsidRPr="00C76D23">
        <w:rPr>
          <w:rFonts w:ascii="Palatino Linotype" w:eastAsia="Palatino Linotype" w:hAnsi="Palatino Linotype" w:cs="Palatino Linotype"/>
        </w:rPr>
        <w:t>le proporcione, información consistente en lo siguiente:</w:t>
      </w:r>
    </w:p>
    <w:p w14:paraId="2DDB0FF8" w14:textId="77777777" w:rsidR="00976F5A" w:rsidRPr="00C76D23" w:rsidRDefault="00976F5A">
      <w:pPr>
        <w:spacing w:before="240" w:after="240" w:line="360" w:lineRule="auto"/>
        <w:ind w:right="51"/>
        <w:jc w:val="both"/>
        <w:rPr>
          <w:rFonts w:ascii="Palatino Linotype" w:eastAsia="Palatino Linotype" w:hAnsi="Palatino Linotype" w:cs="Palatino Linotype"/>
        </w:rPr>
      </w:pPr>
    </w:p>
    <w:p w14:paraId="4800652D" w14:textId="77777777" w:rsidR="00976F5A" w:rsidRPr="00C76D23" w:rsidRDefault="00976F5A" w:rsidP="00976F5A">
      <w:pPr>
        <w:spacing w:before="240" w:after="240" w:line="360" w:lineRule="auto"/>
        <w:ind w:left="426" w:right="51"/>
        <w:jc w:val="both"/>
        <w:rPr>
          <w:rFonts w:ascii="Palatino Linotype" w:eastAsia="Palatino Linotype" w:hAnsi="Palatino Linotype" w:cs="Palatino Linotype"/>
        </w:rPr>
      </w:pPr>
      <w:r w:rsidRPr="00C76D23">
        <w:rPr>
          <w:rFonts w:ascii="Palatino Linotype" w:eastAsia="Palatino Linotype" w:hAnsi="Palatino Linotype" w:cs="Palatino Linotype"/>
        </w:rPr>
        <w:lastRenderedPageBreak/>
        <w:t>1. Cuantas patrullas recibió la actual administración 2022, cuál era su estatus (propias, arrendadas).</w:t>
      </w:r>
    </w:p>
    <w:p w14:paraId="52363F25" w14:textId="77777777" w:rsidR="00976F5A" w:rsidRPr="00C76D23" w:rsidRDefault="00976F5A" w:rsidP="00976F5A">
      <w:pPr>
        <w:spacing w:before="240" w:after="240" w:line="360" w:lineRule="auto"/>
        <w:ind w:left="426" w:right="51"/>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2. Cuantas patrullas adquirió o arrendó la administración municipal actual, </w:t>
      </w:r>
    </w:p>
    <w:p w14:paraId="06215971" w14:textId="77777777" w:rsidR="00976F5A" w:rsidRPr="00C76D23" w:rsidRDefault="00976F5A" w:rsidP="00976F5A">
      <w:pPr>
        <w:spacing w:before="240" w:after="240" w:line="360" w:lineRule="auto"/>
        <w:ind w:left="426" w:right="51"/>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3. Las torres móviles de video vigilancia son propias o arrendadas </w:t>
      </w:r>
    </w:p>
    <w:p w14:paraId="48710636" w14:textId="77777777" w:rsidR="00976F5A" w:rsidRPr="00C76D23" w:rsidRDefault="00976F5A" w:rsidP="00976F5A">
      <w:pPr>
        <w:spacing w:before="240" w:after="240" w:line="360" w:lineRule="auto"/>
        <w:ind w:left="426" w:right="51"/>
        <w:jc w:val="both"/>
        <w:rPr>
          <w:rFonts w:ascii="Palatino Linotype" w:eastAsia="Palatino Linotype" w:hAnsi="Palatino Linotype" w:cs="Palatino Linotype"/>
        </w:rPr>
      </w:pPr>
      <w:r w:rsidRPr="00C76D23">
        <w:rPr>
          <w:rFonts w:ascii="Palatino Linotype" w:eastAsia="Palatino Linotype" w:hAnsi="Palatino Linotype" w:cs="Palatino Linotype"/>
        </w:rPr>
        <w:t>4. Facturas y contratos correspondientes en cualquiera de los casos señalados en los puntos 2 y 3.</w:t>
      </w:r>
    </w:p>
    <w:p w14:paraId="33082E5E" w14:textId="77777777" w:rsidR="00DC03C4" w:rsidRPr="00C76D23" w:rsidRDefault="00CD0BE5">
      <w:pPr>
        <w:spacing w:before="240" w:after="240" w:line="360" w:lineRule="auto"/>
        <w:ind w:right="49"/>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En respuesta, el </w:t>
      </w:r>
      <w:r w:rsidRPr="00C76D23">
        <w:rPr>
          <w:rFonts w:ascii="Palatino Linotype" w:eastAsia="Palatino Linotype" w:hAnsi="Palatino Linotype" w:cs="Palatino Linotype"/>
          <w:b/>
        </w:rPr>
        <w:t>Sujeto Obligado</w:t>
      </w:r>
      <w:r w:rsidRPr="00C76D23">
        <w:rPr>
          <w:rFonts w:ascii="Palatino Linotype" w:eastAsia="Palatino Linotype" w:hAnsi="Palatino Linotype" w:cs="Palatino Linotype"/>
        </w:rPr>
        <w:t xml:space="preserve">, a través de la Unidad de Transparencia, hizo del conocimiento de la persona solicitante el pronunciamiento emitido por </w:t>
      </w:r>
      <w:r w:rsidR="00DC03C4" w:rsidRPr="00C76D23">
        <w:rPr>
          <w:rFonts w:ascii="Palatino Linotype" w:eastAsia="Palatino Linotype" w:hAnsi="Palatino Linotype" w:cs="Palatino Linotype"/>
        </w:rPr>
        <w:t xml:space="preserve">la Dirección de Administración y a la </w:t>
      </w:r>
      <w:proofErr w:type="gramStart"/>
      <w:r w:rsidR="00DC03C4" w:rsidRPr="00C76D23">
        <w:rPr>
          <w:rFonts w:ascii="Palatino Linotype" w:eastAsia="Palatino Linotype" w:hAnsi="Palatino Linotype" w:cs="Palatino Linotype"/>
        </w:rPr>
        <w:t>Secretaria</w:t>
      </w:r>
      <w:proofErr w:type="gramEnd"/>
      <w:r w:rsidR="00DC03C4" w:rsidRPr="00C76D23">
        <w:rPr>
          <w:rFonts w:ascii="Palatino Linotype" w:eastAsia="Palatino Linotype" w:hAnsi="Palatino Linotype" w:cs="Palatino Linotype"/>
        </w:rPr>
        <w:t xml:space="preserve"> del Ayuntamiento</w:t>
      </w:r>
      <w:r w:rsidR="00981C42" w:rsidRPr="00C76D23">
        <w:rPr>
          <w:rFonts w:ascii="Palatino Linotype" w:eastAsia="Palatino Linotype" w:hAnsi="Palatino Linotype" w:cs="Palatino Linotype"/>
        </w:rPr>
        <w:t>, cuyos Titulares manifestaron lo siguiente:</w:t>
      </w:r>
    </w:p>
    <w:p w14:paraId="5BE7A370" w14:textId="77777777" w:rsidR="000C04C2" w:rsidRPr="00C76D23" w:rsidRDefault="000C04C2" w:rsidP="000C04C2">
      <w:pPr>
        <w:spacing w:before="240" w:after="240" w:line="360" w:lineRule="auto"/>
        <w:ind w:right="49"/>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 </w:t>
      </w:r>
      <w:proofErr w:type="gramStart"/>
      <w:r w:rsidRPr="00C76D23">
        <w:rPr>
          <w:rFonts w:ascii="Palatino Linotype" w:eastAsia="Palatino Linotype" w:hAnsi="Palatino Linotype" w:cs="Palatino Linotype"/>
        </w:rPr>
        <w:t>Directora</w:t>
      </w:r>
      <w:proofErr w:type="gramEnd"/>
      <w:r w:rsidRPr="00C76D23">
        <w:rPr>
          <w:rFonts w:ascii="Palatino Linotype" w:eastAsia="Palatino Linotype" w:hAnsi="Palatino Linotype" w:cs="Palatino Linotype"/>
        </w:rPr>
        <w:t xml:space="preserve"> de Administración: Notificó el pronunciamiento emitido por la Subdirección de Adquisiciones y Recursos Materiales, quien informa que no es competente para conocer la información relativa a cuántas patrullas recibió la actual administración 2022, toda vez que el área a su cargo no recibió ninguna unidad por parte de la administración pasada. Por otro lado, en relación a cuantas patrullas adquirió arrendó la presente administración, así como las torres de vigilancia, informó que son arrendadas 40 patrullas y 5 plataformas de posicionamiento táctico.</w:t>
      </w:r>
    </w:p>
    <w:p w14:paraId="6075F0FA" w14:textId="77777777" w:rsidR="000C04C2" w:rsidRPr="00C76D23" w:rsidRDefault="000C04C2" w:rsidP="000C04C2">
      <w:pPr>
        <w:spacing w:before="240" w:after="240" w:line="360" w:lineRule="auto"/>
        <w:ind w:right="49"/>
        <w:jc w:val="both"/>
        <w:rPr>
          <w:rFonts w:ascii="Palatino Linotype" w:eastAsia="Palatino Linotype" w:hAnsi="Palatino Linotype" w:cs="Palatino Linotype"/>
        </w:rPr>
      </w:pPr>
      <w:r w:rsidRPr="00C76D23">
        <w:rPr>
          <w:rFonts w:ascii="Palatino Linotype" w:eastAsia="Palatino Linotype" w:hAnsi="Palatino Linotype" w:cs="Palatino Linotype"/>
        </w:rPr>
        <w:t>- Secretaria del Ayuntamiento: Notificó el pronunciamiento emitido por la Jefa de Bienes Muebles, quien informa que no cuenta con dicha información, al manejar únicamente los bienes que forman parte del patrimonio municipal</w:t>
      </w:r>
      <w:r w:rsidR="00802C24" w:rsidRPr="00C76D23">
        <w:rPr>
          <w:rFonts w:ascii="Palatino Linotype" w:eastAsia="Palatino Linotype" w:hAnsi="Palatino Linotype" w:cs="Palatino Linotype"/>
        </w:rPr>
        <w:t xml:space="preserve">, en tal sentido, </w:t>
      </w:r>
      <w:r w:rsidR="00802C24" w:rsidRPr="00C76D23">
        <w:rPr>
          <w:rFonts w:ascii="Palatino Linotype" w:eastAsia="Palatino Linotype" w:hAnsi="Palatino Linotype" w:cs="Palatino Linotype"/>
        </w:rPr>
        <w:lastRenderedPageBreak/>
        <w:t xml:space="preserve">manifiesta remitir la relación de vehículos de seguridad pública y tránsito que se recibieron al inicio de la actual administración, así como facturas de los vehículos que han adquirido en la misma, sin embargo, es de suma importancia mencionar que dichos documentos </w:t>
      </w:r>
      <w:r w:rsidR="00FB0FE6" w:rsidRPr="00C76D23">
        <w:rPr>
          <w:rFonts w:ascii="Palatino Linotype" w:eastAsia="Palatino Linotype" w:hAnsi="Palatino Linotype" w:cs="Palatino Linotype"/>
        </w:rPr>
        <w:t>no obran en el expediente en el que se actúa.</w:t>
      </w:r>
    </w:p>
    <w:p w14:paraId="27AA993D" w14:textId="77777777" w:rsidR="00FB0FE6" w:rsidRPr="00C76D23" w:rsidRDefault="00CD0BE5">
      <w:pPr>
        <w:spacing w:before="240" w:after="240" w:line="360" w:lineRule="auto"/>
        <w:ind w:right="49"/>
        <w:jc w:val="both"/>
        <w:rPr>
          <w:rFonts w:ascii="Palatino Linotype" w:eastAsia="Palatino Linotype" w:hAnsi="Palatino Linotype" w:cs="Palatino Linotype"/>
        </w:rPr>
      </w:pPr>
      <w:r w:rsidRPr="00C76D23">
        <w:rPr>
          <w:rFonts w:ascii="Palatino Linotype" w:eastAsia="Palatino Linotype" w:hAnsi="Palatino Linotype" w:cs="Palatino Linotype"/>
        </w:rPr>
        <w:t>Conocida la respuesta por la persona solicitante, al no estar conforme con los términos de la misma, interpuso el recurso de revisión que nos ocupa, mediante el cual manifestó, como</w:t>
      </w:r>
      <w:r w:rsidR="00FB0FE6" w:rsidRPr="00C76D23">
        <w:rPr>
          <w:rFonts w:ascii="Palatino Linotype" w:eastAsia="Palatino Linotype" w:hAnsi="Palatino Linotype" w:cs="Palatino Linotype"/>
        </w:rPr>
        <w:t xml:space="preserve"> motivo de inconformidad</w:t>
      </w:r>
      <w:r w:rsidRPr="00C76D23">
        <w:rPr>
          <w:rFonts w:ascii="Palatino Linotype" w:eastAsia="Palatino Linotype" w:hAnsi="Palatino Linotype" w:cs="Palatino Linotype"/>
        </w:rPr>
        <w:t xml:space="preserve"> que</w:t>
      </w:r>
      <w:r w:rsidR="00FB0FE6" w:rsidRPr="00C76D23">
        <w:rPr>
          <w:rFonts w:ascii="Palatino Linotype" w:eastAsia="Palatino Linotype" w:hAnsi="Palatino Linotype" w:cs="Palatino Linotype"/>
        </w:rPr>
        <w:t xml:space="preserve"> la información se entregó incompleta, </w:t>
      </w:r>
      <w:r w:rsidR="0044223D" w:rsidRPr="00C76D23">
        <w:rPr>
          <w:rFonts w:ascii="Palatino Linotype" w:eastAsia="Palatino Linotype" w:hAnsi="Palatino Linotype" w:cs="Palatino Linotype"/>
        </w:rPr>
        <w:t>al precisar, mediante el acto impugnado, que los contratos no se adjuntaron.</w:t>
      </w:r>
    </w:p>
    <w:p w14:paraId="56C57AA5" w14:textId="77777777" w:rsidR="00AD4DF3" w:rsidRPr="00C76D23" w:rsidRDefault="0044223D">
      <w:pPr>
        <w:spacing w:before="240" w:after="240" w:line="360" w:lineRule="auto"/>
        <w:jc w:val="both"/>
        <w:rPr>
          <w:rFonts w:ascii="Palatino Linotype" w:eastAsia="Palatino Linotype" w:hAnsi="Palatino Linotype" w:cs="Palatino Linotype"/>
        </w:rPr>
      </w:pPr>
      <w:r w:rsidRPr="00C76D23">
        <w:rPr>
          <w:rFonts w:ascii="Palatino Linotype" w:hAnsi="Palatino Linotype"/>
        </w:rPr>
        <w:t>En tal sentido, n</w:t>
      </w:r>
      <w:r w:rsidR="00CD0BE5" w:rsidRPr="00C76D23">
        <w:rPr>
          <w:rFonts w:ascii="Palatino Linotype" w:eastAsia="Palatino Linotype" w:hAnsi="Palatino Linotype" w:cs="Palatino Linotype"/>
        </w:rPr>
        <w:t xml:space="preserve">o pasa inadvertido para este Organismo Garante que los motivos de inconformidad aducidos, no versan sobre la totalidad de la información proporcionada por el </w:t>
      </w:r>
      <w:r w:rsidR="00CD0BE5" w:rsidRPr="00C76D23">
        <w:rPr>
          <w:rFonts w:ascii="Palatino Linotype" w:eastAsia="Palatino Linotype" w:hAnsi="Palatino Linotype" w:cs="Palatino Linotype"/>
          <w:b/>
        </w:rPr>
        <w:t xml:space="preserve">Sujeto Obligado, </w:t>
      </w:r>
      <w:r w:rsidR="00CD0BE5" w:rsidRPr="00C76D23">
        <w:rPr>
          <w:rFonts w:ascii="Palatino Linotype" w:eastAsia="Palatino Linotype" w:hAnsi="Palatino Linotype" w:cs="Palatino Linotype"/>
        </w:rPr>
        <w:t xml:space="preserve">pues la parte </w:t>
      </w:r>
      <w:r w:rsidR="00CD0BE5" w:rsidRPr="00C76D23">
        <w:rPr>
          <w:rFonts w:ascii="Palatino Linotype" w:eastAsia="Palatino Linotype" w:hAnsi="Palatino Linotype" w:cs="Palatino Linotype"/>
          <w:b/>
        </w:rPr>
        <w:t>Recurrente</w:t>
      </w:r>
      <w:r w:rsidR="00CD0BE5" w:rsidRPr="00C76D23">
        <w:rPr>
          <w:rFonts w:ascii="Palatino Linotype" w:eastAsia="Palatino Linotype" w:hAnsi="Palatino Linotype" w:cs="Palatino Linotype"/>
        </w:rPr>
        <w:t xml:space="preserve"> manifestó, de manera expresa, </w:t>
      </w:r>
      <w:r w:rsidR="008C3F53" w:rsidRPr="00C76D23">
        <w:rPr>
          <w:rFonts w:ascii="Palatino Linotype" w:eastAsia="Palatino Linotype" w:hAnsi="Palatino Linotype" w:cs="Palatino Linotype"/>
        </w:rPr>
        <w:t xml:space="preserve">si inconformidad respecto de los </w:t>
      </w:r>
      <w:r w:rsidR="00CD0BE5" w:rsidRPr="00C76D23">
        <w:rPr>
          <w:rFonts w:ascii="Palatino Linotype" w:eastAsia="Palatino Linotype" w:hAnsi="Palatino Linotype" w:cs="Palatino Linotype"/>
        </w:rPr>
        <w:t>contratos que fueron solicitados.</w:t>
      </w:r>
    </w:p>
    <w:p w14:paraId="70FF02B3"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En este orden de ideas, el resto de</w:t>
      </w:r>
      <w:r w:rsidR="008C3F53" w:rsidRPr="00C76D23">
        <w:rPr>
          <w:rFonts w:ascii="Palatino Linotype" w:eastAsia="Palatino Linotype" w:hAnsi="Palatino Linotype" w:cs="Palatino Linotype"/>
        </w:rPr>
        <w:t xml:space="preserve"> la información que fue proporcionada</w:t>
      </w:r>
      <w:r w:rsidRPr="00C76D23">
        <w:rPr>
          <w:rFonts w:ascii="Palatino Linotype" w:eastAsia="Palatino Linotype" w:hAnsi="Palatino Linotype" w:cs="Palatino Linotype"/>
        </w:rPr>
        <w:t xml:space="preserve">,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C76D23">
        <w:rPr>
          <w:rFonts w:ascii="Palatino Linotype" w:eastAsia="Palatino Linotype" w:hAnsi="Palatino Linotype" w:cs="Palatino Linotype"/>
          <w:b/>
        </w:rPr>
        <w:t>Sujeto Obligado</w:t>
      </w:r>
      <w:r w:rsidRPr="00C76D23">
        <w:rPr>
          <w:rFonts w:ascii="Palatino Linotype" w:eastAsia="Palatino Linotype" w:hAnsi="Palatino Linotype" w:cs="Palatino Linotype"/>
        </w:rPr>
        <w:t>, satisface la solicitud presentada.</w:t>
      </w:r>
    </w:p>
    <w:p w14:paraId="0217896A" w14:textId="77777777" w:rsidR="00AD4DF3" w:rsidRPr="00C76D23" w:rsidRDefault="00CD0BE5">
      <w:pPr>
        <w:spacing w:before="240" w:after="36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Lo anterior es así, debido a que cuando la parte </w:t>
      </w:r>
      <w:r w:rsidRPr="00C76D23">
        <w:rPr>
          <w:rFonts w:ascii="Palatino Linotype" w:eastAsia="Palatino Linotype" w:hAnsi="Palatino Linotype" w:cs="Palatino Linotype"/>
          <w:b/>
        </w:rPr>
        <w:t>Recurrente</w:t>
      </w:r>
      <w:r w:rsidRPr="00C76D23">
        <w:rPr>
          <w:rFonts w:ascii="Palatino Linotype" w:eastAsia="Palatino Linotype" w:hAnsi="Palatino Linotype" w:cs="Palatino Linotype"/>
        </w:rPr>
        <w:t xml:space="preserve"> impugna la respuesta del </w:t>
      </w:r>
      <w:r w:rsidRPr="00C76D23">
        <w:rPr>
          <w:rFonts w:ascii="Palatino Linotype" w:eastAsia="Palatino Linotype" w:hAnsi="Palatino Linotype" w:cs="Palatino Linotype"/>
          <w:b/>
        </w:rPr>
        <w:t>Sujeto Obligado</w:t>
      </w:r>
      <w:r w:rsidRPr="00C76D23">
        <w:rPr>
          <w:rFonts w:ascii="Palatino Linotype" w:eastAsia="Palatino Linotype" w:hAnsi="Palatino Linotype" w:cs="Palatino Linotype"/>
        </w:rPr>
        <w:t xml:space="preserve">, y este no expresa Razón o Motivo de Inconformidad en contra de todos los rubros solicitados, dichos rubros deben declararse atendidos, pues se </w:t>
      </w:r>
      <w:r w:rsidRPr="00C76D23">
        <w:rPr>
          <w:rFonts w:ascii="Palatino Linotype" w:eastAsia="Palatino Linotype" w:hAnsi="Palatino Linotype" w:cs="Palatino Linotype"/>
        </w:rPr>
        <w:lastRenderedPageBreak/>
        <w:t xml:space="preserve">entiende que la parte </w:t>
      </w:r>
      <w:r w:rsidRPr="00C76D23">
        <w:rPr>
          <w:rFonts w:ascii="Palatino Linotype" w:eastAsia="Palatino Linotype" w:hAnsi="Palatino Linotype" w:cs="Palatino Linotype"/>
          <w:b/>
        </w:rPr>
        <w:t xml:space="preserve">Recurrente </w:t>
      </w:r>
      <w:r w:rsidRPr="00C76D23">
        <w:rPr>
          <w:rFonts w:ascii="Palatino Linotype" w:eastAsia="Palatino Linotype" w:hAnsi="Palatino Linotype" w:cs="Palatino Linotype"/>
        </w:rPr>
        <w:t>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BFF48B3" w14:textId="77777777" w:rsidR="00AD4DF3" w:rsidRPr="00C76D23" w:rsidRDefault="00CD0BE5">
      <w:pPr>
        <w:spacing w:before="240" w:after="360"/>
        <w:ind w:left="851" w:right="90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 xml:space="preserve">“REVISIÓN EN AMPARO. LOS RESOLUTIVOS NO COMBATIDOS DEBEN DECLARARSE FIRMES. </w:t>
      </w:r>
      <w:r w:rsidRPr="00C76D23">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B94E6C6" w14:textId="77777777" w:rsidR="00AD4DF3" w:rsidRPr="00C76D23" w:rsidRDefault="00CD0BE5">
      <w:pPr>
        <w:spacing w:before="240" w:after="240" w:line="360" w:lineRule="auto"/>
        <w:jc w:val="both"/>
        <w:rPr>
          <w:rFonts w:ascii="Palatino Linotype" w:eastAsia="Palatino Linotype" w:hAnsi="Palatino Linotype" w:cs="Palatino Linotype"/>
        </w:rPr>
      </w:pPr>
      <w:bookmarkStart w:id="8" w:name="_heading=h.26in1rg" w:colFirst="0" w:colLast="0"/>
      <w:bookmarkEnd w:id="8"/>
      <w:r w:rsidRPr="00C76D23">
        <w:rPr>
          <w:rFonts w:ascii="Palatino Linotype" w:eastAsia="Palatino Linotype" w:hAnsi="Palatino Linotype" w:cs="Palatino Linotype"/>
        </w:rPr>
        <w:t>Consecuentemente, se insiste, ante la falta de impugnación eficaz, la respuesta entregada debe declararse consentida por persona solicitante.</w:t>
      </w:r>
    </w:p>
    <w:p w14:paraId="4A66326A"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4DA8E958" w14:textId="77777777" w:rsidR="00AD4DF3" w:rsidRPr="00C76D23" w:rsidRDefault="00CD0BE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r w:rsidRPr="00C76D23">
        <w:rPr>
          <w:rFonts w:ascii="Palatino Linotype" w:eastAsia="Palatino Linotype" w:hAnsi="Palatino Linotype" w:cs="Palatino Linotype"/>
          <w:b/>
          <w:i/>
          <w:sz w:val="22"/>
          <w:szCs w:val="22"/>
        </w:rPr>
        <w:t xml:space="preserve">Actos consentidos tácitamente. Improcedencia de su análisis. </w:t>
      </w:r>
      <w:r w:rsidRPr="00C76D23">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40CB0D4"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55E8A961" w14:textId="77777777" w:rsidR="00AD4DF3" w:rsidRPr="00C76D23" w:rsidRDefault="00CD0BE5">
      <w:pPr>
        <w:ind w:left="851" w:right="90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mallCaps/>
          <w:sz w:val="22"/>
          <w:szCs w:val="22"/>
        </w:rPr>
        <w:lastRenderedPageBreak/>
        <w:t xml:space="preserve">“ACTOS CONSENTIDOS. SON LOS QUE NO SE IMPUGNAN MEDIANTE EL RECURSO IDÓNEO. </w:t>
      </w:r>
      <w:r w:rsidRPr="00C76D23">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C76D23">
        <w:rPr>
          <w:rFonts w:ascii="Palatino Linotype" w:eastAsia="Palatino Linotype" w:hAnsi="Palatino Linotype" w:cs="Palatino Linotype"/>
          <w:i/>
          <w:sz w:val="22"/>
          <w:szCs w:val="22"/>
        </w:rPr>
        <w:t>ya que</w:t>
      </w:r>
      <w:proofErr w:type="gramEnd"/>
      <w:r w:rsidRPr="00C76D23">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9B6CB73"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Por otro lado, una vez admitido el presente recurso de revisión, en términos del artículo 185 fracción II</w:t>
      </w:r>
      <w:r w:rsidRPr="00C76D23">
        <w:rPr>
          <w:rFonts w:ascii="Palatino Linotype" w:eastAsia="Palatino Linotype" w:hAnsi="Palatino Linotype" w:cs="Palatino Linotype"/>
          <w:vertAlign w:val="superscript"/>
        </w:rPr>
        <w:footnoteReference w:id="1"/>
      </w:r>
      <w:r w:rsidRPr="00C76D23">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54A7D31E" w14:textId="77777777" w:rsidR="00BA4D2E"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En tal sentido, </w:t>
      </w:r>
      <w:r w:rsidR="000B289F" w:rsidRPr="00C76D23">
        <w:rPr>
          <w:rFonts w:ascii="Palatino Linotype" w:eastAsia="Palatino Linotype" w:hAnsi="Palatino Linotype" w:cs="Palatino Linotype"/>
        </w:rPr>
        <w:t>l</w:t>
      </w:r>
      <w:r w:rsidR="00A15CBC" w:rsidRPr="00C76D23">
        <w:rPr>
          <w:rFonts w:ascii="Palatino Linotype" w:eastAsia="Palatino Linotype" w:hAnsi="Palatino Linotype" w:cs="Palatino Linotype"/>
        </w:rPr>
        <w:t>a Dirección de Administraci</w:t>
      </w:r>
      <w:r w:rsidR="000B289F" w:rsidRPr="00C76D23">
        <w:rPr>
          <w:rFonts w:ascii="Palatino Linotype" w:eastAsia="Palatino Linotype" w:hAnsi="Palatino Linotype" w:cs="Palatino Linotype"/>
        </w:rPr>
        <w:t xml:space="preserve">ón a través de </w:t>
      </w:r>
      <w:r w:rsidR="00A15CBC" w:rsidRPr="00C76D23">
        <w:rPr>
          <w:rFonts w:ascii="Palatino Linotype" w:eastAsia="Palatino Linotype" w:hAnsi="Palatino Linotype" w:cs="Palatino Linotype"/>
        </w:rPr>
        <w:t>la Subdirección de Recursos Materiales</w:t>
      </w:r>
      <w:r w:rsidR="00DE39AE" w:rsidRPr="00C76D23">
        <w:rPr>
          <w:rFonts w:ascii="Palatino Linotype" w:eastAsia="Palatino Linotype" w:hAnsi="Palatino Linotype" w:cs="Palatino Linotype"/>
        </w:rPr>
        <w:t xml:space="preserve">, señaló que se encontraba imposibilitado para remitir el contrato y las facturas, al considerar que dicha información actualizaba el supuesto previsto en el artículo 113, fracción I de la Ley General de Transparencia y Acceso a la Información Pública, en virtud de que el contenido reflejado en el contrato evidencia las características técnicas de las unidades que forman parte de la Comisaría de Seguridad Pública y Tránsito Municipal, por lo que al ser proporcionada dicha información se vería comprometida la seguridad pública, en razón de que se estaría proporcionando el número de unidades que están como primer respondiente para efectuar las peticiones de auxilio de la comunidad; mientras que el caso de las facturas señaló que estas derivan del contenido del </w:t>
      </w:r>
      <w:r w:rsidR="00DE39AE" w:rsidRPr="00C76D23">
        <w:rPr>
          <w:rFonts w:ascii="Palatino Linotype" w:eastAsia="Palatino Linotype" w:hAnsi="Palatino Linotype" w:cs="Palatino Linotype"/>
        </w:rPr>
        <w:lastRenderedPageBreak/>
        <w:t>contrato, por lo que al ser accesorias de este siguen la misma su</w:t>
      </w:r>
      <w:r w:rsidR="004C78C7" w:rsidRPr="00C76D23">
        <w:rPr>
          <w:rFonts w:ascii="Palatino Linotype" w:eastAsia="Palatino Linotype" w:hAnsi="Palatino Linotype" w:cs="Palatino Linotype"/>
        </w:rPr>
        <w:t xml:space="preserve">erte de la obligación principal, </w:t>
      </w:r>
      <w:r w:rsidR="00DE39AE" w:rsidRPr="00C76D23">
        <w:rPr>
          <w:rFonts w:ascii="Palatino Linotype" w:eastAsia="Palatino Linotype" w:hAnsi="Palatino Linotype" w:cs="Palatino Linotype"/>
        </w:rPr>
        <w:t xml:space="preserve">motivo por el cual solicitó al Comité de Transparencia la clasificación de la información como reservada por un periodo de tres años, </w:t>
      </w:r>
      <w:r w:rsidR="004C78C7" w:rsidRPr="00C76D23">
        <w:rPr>
          <w:rFonts w:ascii="Palatino Linotype" w:eastAsia="Palatino Linotype" w:hAnsi="Palatino Linotype" w:cs="Palatino Linotype"/>
        </w:rPr>
        <w:t xml:space="preserve">atendiendo a lo establecido </w:t>
      </w:r>
      <w:r w:rsidR="00DE39AE" w:rsidRPr="00C76D23">
        <w:rPr>
          <w:rFonts w:ascii="Palatino Linotype" w:eastAsia="Palatino Linotype" w:hAnsi="Palatino Linotype" w:cs="Palatino Linotype"/>
        </w:rPr>
        <w:t>en la prueba de daño que agrega</w:t>
      </w:r>
      <w:r w:rsidR="004C78C7" w:rsidRPr="00C76D23">
        <w:rPr>
          <w:rFonts w:ascii="Palatino Linotype" w:eastAsia="Palatino Linotype" w:hAnsi="Palatino Linotype" w:cs="Palatino Linotype"/>
        </w:rPr>
        <w:t>.</w:t>
      </w:r>
    </w:p>
    <w:p w14:paraId="455B05A8" w14:textId="77777777" w:rsidR="00BA4D2E" w:rsidRPr="00C76D23" w:rsidRDefault="006844E1">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Por otro lado, el Comisario de Seguridad Pública y Tránsito Municipal, solicitó la clasificación como reservada, de la información relativa a las patrullas recibidas por la actual administración y el número de patrullas que adquirió o arrendó la administración actual, así como</w:t>
      </w:r>
      <w:r w:rsidR="00B13C76" w:rsidRPr="00C76D23">
        <w:rPr>
          <w:rFonts w:ascii="Palatino Linotype" w:eastAsia="Palatino Linotype" w:hAnsi="Palatino Linotype" w:cs="Palatino Linotype"/>
        </w:rPr>
        <w:t xml:space="preserve"> de</w:t>
      </w:r>
      <w:r w:rsidRPr="00C76D23">
        <w:rPr>
          <w:rFonts w:ascii="Palatino Linotype" w:eastAsia="Palatino Linotype" w:hAnsi="Palatino Linotype" w:cs="Palatino Linotype"/>
        </w:rPr>
        <w:t xml:space="preserve"> las torres móviles, en atención a las particularidades y anomalías referentes al parque vehicular que integra el Estado de Fuerza de la Dependencia a su cargo y el parque vehicular que adquirió o arrendó la administración actual, anexando para tales efectos, la prueba de daño para f</w:t>
      </w:r>
      <w:r w:rsidR="000431E7" w:rsidRPr="00C76D23">
        <w:rPr>
          <w:rFonts w:ascii="Palatino Linotype" w:eastAsia="Palatino Linotype" w:hAnsi="Palatino Linotype" w:cs="Palatino Linotype"/>
        </w:rPr>
        <w:t xml:space="preserve">undar y motivar su contestación, </w:t>
      </w:r>
      <w:r w:rsidR="000431E7" w:rsidRPr="00C76D23">
        <w:rPr>
          <w:rFonts w:ascii="Palatino Linotype" w:eastAsia="Palatino Linotype" w:hAnsi="Palatino Linotype" w:cs="Palatino Linotype"/>
          <w:b/>
        </w:rPr>
        <w:t xml:space="preserve">siendo importante reiterar que dicha información no fue combatida por la parte Recurrente; </w:t>
      </w:r>
      <w:r w:rsidRPr="00C76D23">
        <w:rPr>
          <w:rFonts w:ascii="Palatino Linotype" w:eastAsia="Palatino Linotype" w:hAnsi="Palatino Linotype" w:cs="Palatino Linotype"/>
        </w:rPr>
        <w:t>y, respecto de las facturas y contratos, señaló que la Dependencia a su cargo no tiene a resguardo dicha documentación, atendiendo a las facultades establecidas en el artículo 72 de la Ley de Contratación Pública.</w:t>
      </w:r>
    </w:p>
    <w:p w14:paraId="4FF4DD1D" w14:textId="6FA0DE7C" w:rsidR="00672BC2"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Información que se hizo del conocimiento de la parte </w:t>
      </w:r>
      <w:r w:rsidRPr="00C76D23">
        <w:rPr>
          <w:rFonts w:ascii="Palatino Linotype" w:eastAsia="Palatino Linotype" w:hAnsi="Palatino Linotype" w:cs="Palatino Linotype"/>
          <w:b/>
        </w:rPr>
        <w:t>Recurrente,</w:t>
      </w:r>
      <w:r w:rsidRPr="00C76D23">
        <w:rPr>
          <w:rFonts w:ascii="Palatino Linotype" w:eastAsia="Palatino Linotype" w:hAnsi="Palatino Linotype" w:cs="Palatino Linotype"/>
        </w:rPr>
        <w:t xml:space="preserve"> a efecto de que manifestara lo que a su derecho estimara conveniente, </w:t>
      </w:r>
      <w:r w:rsidR="000431E7" w:rsidRPr="00C76D23">
        <w:rPr>
          <w:rFonts w:ascii="Palatino Linotype" w:eastAsia="Palatino Linotype" w:hAnsi="Palatino Linotype" w:cs="Palatino Linotype"/>
        </w:rPr>
        <w:t xml:space="preserve">quien señaló que la información no se reservó para el informe de gobierno, o en la página de internet, agregando dos imágenes en las </w:t>
      </w:r>
      <w:r w:rsidR="000A0F67" w:rsidRPr="00C76D23">
        <w:rPr>
          <w:rFonts w:ascii="Palatino Linotype" w:eastAsia="Palatino Linotype" w:hAnsi="Palatino Linotype" w:cs="Palatino Linotype"/>
        </w:rPr>
        <w:t>que se hace referencia a las 5 t</w:t>
      </w:r>
      <w:r w:rsidR="000431E7" w:rsidRPr="00C76D23">
        <w:rPr>
          <w:rFonts w:ascii="Palatino Linotype" w:eastAsia="Palatino Linotype" w:hAnsi="Palatino Linotype" w:cs="Palatino Linotype"/>
        </w:rPr>
        <w:t xml:space="preserve">orres de seguridad y más de </w:t>
      </w:r>
      <w:r w:rsidR="001C280E" w:rsidRPr="00C76D23">
        <w:rPr>
          <w:rFonts w:ascii="Palatino Linotype" w:eastAsia="Palatino Linotype" w:hAnsi="Palatino Linotype" w:cs="Palatino Linotype"/>
        </w:rPr>
        <w:t xml:space="preserve">50 </w:t>
      </w:r>
      <w:r w:rsidR="000431E7" w:rsidRPr="00C76D23">
        <w:rPr>
          <w:rFonts w:ascii="Palatino Linotype" w:eastAsia="Palatino Linotype" w:hAnsi="Palatino Linotype" w:cs="Palatino Linotype"/>
        </w:rPr>
        <w:t xml:space="preserve">unidades </w:t>
      </w:r>
      <w:r w:rsidR="001C280E" w:rsidRPr="00C76D23">
        <w:rPr>
          <w:rFonts w:ascii="Palatino Linotype" w:eastAsia="Palatino Linotype" w:hAnsi="Palatino Linotype" w:cs="Palatino Linotype"/>
        </w:rPr>
        <w:t>de seguridad pública</w:t>
      </w:r>
      <w:r w:rsidR="00672BC2" w:rsidRPr="00C76D23">
        <w:rPr>
          <w:rFonts w:ascii="Palatino Linotype" w:eastAsia="Palatino Linotype" w:hAnsi="Palatino Linotype" w:cs="Palatino Linotype"/>
        </w:rPr>
        <w:t xml:space="preserve">, y finamente hizo referencia, desde su </w:t>
      </w:r>
      <w:proofErr w:type="gramStart"/>
      <w:r w:rsidR="00672BC2" w:rsidRPr="00C76D23">
        <w:rPr>
          <w:rFonts w:ascii="Palatino Linotype" w:eastAsia="Palatino Linotype" w:hAnsi="Palatino Linotype" w:cs="Palatino Linotype"/>
        </w:rPr>
        <w:t>perspectiva,  a</w:t>
      </w:r>
      <w:proofErr w:type="gramEnd"/>
      <w:r w:rsidR="00672BC2" w:rsidRPr="00C76D23">
        <w:rPr>
          <w:rFonts w:ascii="Palatino Linotype" w:eastAsia="Palatino Linotype" w:hAnsi="Palatino Linotype" w:cs="Palatino Linotype"/>
        </w:rPr>
        <w:t xml:space="preserve"> la opacidad por parte de la administración respecto del costo o gasto erogado.</w:t>
      </w:r>
    </w:p>
    <w:p w14:paraId="7FD38EA1" w14:textId="77777777" w:rsidR="00574C9A" w:rsidRPr="00C76D23" w:rsidRDefault="00574C9A" w:rsidP="00574C9A">
      <w:pPr>
        <w:spacing w:before="240" w:after="240" w:line="360" w:lineRule="auto"/>
        <w:ind w:right="49"/>
        <w:jc w:val="both"/>
        <w:rPr>
          <w:rFonts w:ascii="Palatino Linotype" w:eastAsia="Calibri" w:hAnsi="Palatino Linotype" w:cs="Arial"/>
        </w:rPr>
      </w:pPr>
      <w:r w:rsidRPr="00C76D23">
        <w:rPr>
          <w:rFonts w:ascii="Palatino Linotype" w:hAnsi="Palatino Linotype"/>
        </w:rPr>
        <w:lastRenderedPageBreak/>
        <w:t xml:space="preserve">Acotado lo anterior, tomando en consideración las constancias que integran el expediente electrónico  relacionado con el recurso de revisión materia de estudio, </w:t>
      </w:r>
      <w:r w:rsidRPr="00C76D23">
        <w:rPr>
          <w:rFonts w:ascii="Palatino Linotype" w:hAnsi="Palatino Linotype" w:cs="Arial"/>
        </w:rPr>
        <w:t xml:space="preserve">se colige que </w:t>
      </w:r>
      <w:r w:rsidRPr="00C76D23">
        <w:rPr>
          <w:rFonts w:ascii="Palatino Linotype" w:eastAsia="Calibri" w:hAnsi="Palatino Linotype" w:cs="Arial"/>
        </w:rPr>
        <w:t xml:space="preserve">el </w:t>
      </w:r>
      <w:r w:rsidRPr="00C76D23">
        <w:rPr>
          <w:rFonts w:ascii="Palatino Linotype" w:eastAsia="Calibri" w:hAnsi="Palatino Linotype" w:cs="Arial"/>
          <w:b/>
        </w:rPr>
        <w:t xml:space="preserve">Sujeto Obligado </w:t>
      </w:r>
      <w:r w:rsidRPr="00C76D23">
        <w:rPr>
          <w:rFonts w:ascii="Palatino Linotype" w:eastAsia="Calibri" w:hAnsi="Palatino Linotype" w:cs="Arial"/>
        </w:rPr>
        <w:t xml:space="preserve">no niega la competencia para conocer de la información solicitada, sino por el contrario, con la respuesta pronunciada </w:t>
      </w:r>
      <w:r w:rsidRPr="00C76D23">
        <w:rPr>
          <w:rFonts w:ascii="Palatino Linotype" w:hAnsi="Palatino Linotype" w:cs="Arial"/>
        </w:rPr>
        <w:t>asevera que es competente para conocer de la solicitud de información</w:t>
      </w:r>
      <w:r w:rsidRPr="00C76D23">
        <w:rPr>
          <w:rFonts w:ascii="Palatino Linotype" w:eastAsia="MS Mincho" w:hAnsi="Palatino Linotype" w:cs="Bookman Old Style"/>
          <w:i/>
          <w:iCs/>
          <w:sz w:val="20"/>
          <w:szCs w:val="20"/>
        </w:rPr>
        <w:t xml:space="preserve">, </w:t>
      </w:r>
      <w:r w:rsidRPr="00C76D23">
        <w:rPr>
          <w:rFonts w:ascii="Palatino Linotype" w:hAnsi="Palatino Linotype" w:cs="Arial"/>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w:t>
      </w:r>
      <w:r w:rsidRPr="00C76D23">
        <w:rPr>
          <w:rFonts w:ascii="Palatino Linotype" w:hAnsi="Palatino Linotype"/>
        </w:rPr>
        <w:t xml:space="preserve">motivo por el cual se actualiza el supuesto previsto en el artículo 12 de la legislación aplicable en la materia. </w:t>
      </w:r>
    </w:p>
    <w:p w14:paraId="7213A24F" w14:textId="77777777" w:rsidR="00574C9A" w:rsidRPr="00C76D23" w:rsidRDefault="00574C9A" w:rsidP="00574C9A">
      <w:pPr>
        <w:spacing w:before="240" w:after="240"/>
        <w:ind w:left="851" w:right="902"/>
        <w:jc w:val="both"/>
        <w:rPr>
          <w:rFonts w:ascii="Palatino Linotype" w:eastAsia="MS Mincho" w:hAnsi="Palatino Linotype" w:cs="Bookman Old Style"/>
          <w:i/>
          <w:iCs/>
          <w:sz w:val="22"/>
          <w:szCs w:val="20"/>
        </w:rPr>
      </w:pPr>
      <w:r w:rsidRPr="00C76D23">
        <w:rPr>
          <w:rFonts w:ascii="Palatino Linotype" w:eastAsia="MS Mincho" w:hAnsi="Palatino Linotype" w:cs="Bookman Old Style"/>
          <w:b/>
          <w:bCs/>
          <w:i/>
          <w:iCs/>
          <w:sz w:val="22"/>
          <w:szCs w:val="20"/>
        </w:rPr>
        <w:t xml:space="preserve">“Artículo 12. </w:t>
      </w:r>
      <w:r w:rsidRPr="00C76D23">
        <w:rPr>
          <w:rFonts w:ascii="Palatino Linotype" w:eastAsia="MS Mincho" w:hAnsi="Palatino Linotype" w:cs="Bookman Old Style"/>
          <w:b/>
          <w:i/>
          <w:iCs/>
          <w:sz w:val="22"/>
          <w:szCs w:val="20"/>
        </w:rPr>
        <w:t>Quienes generen, recopilen, administren, manejen, procesen, archiven o conserven información pública serán responsables de la misma</w:t>
      </w:r>
      <w:r w:rsidRPr="00C76D23">
        <w:rPr>
          <w:rFonts w:ascii="Palatino Linotype" w:eastAsia="MS Mincho" w:hAnsi="Palatino Linotype" w:cs="Bookman Old Style"/>
          <w:i/>
          <w:iCs/>
          <w:sz w:val="22"/>
          <w:szCs w:val="20"/>
        </w:rPr>
        <w:t xml:space="preserve"> en los términos de las disposiciones jurídicas aplicables. </w:t>
      </w:r>
    </w:p>
    <w:p w14:paraId="76469939" w14:textId="77777777" w:rsidR="00574C9A" w:rsidRPr="00C76D23" w:rsidRDefault="00574C9A" w:rsidP="00574C9A">
      <w:pPr>
        <w:spacing w:before="240" w:after="240"/>
        <w:ind w:left="851" w:right="902"/>
        <w:jc w:val="both"/>
        <w:rPr>
          <w:rFonts w:ascii="Palatino Linotype" w:eastAsia="MS Mincho" w:hAnsi="Palatino Linotype" w:cs="Bookman Old Style"/>
          <w:i/>
          <w:iCs/>
          <w:sz w:val="22"/>
          <w:szCs w:val="20"/>
        </w:rPr>
      </w:pPr>
      <w:r w:rsidRPr="00C76D23">
        <w:rPr>
          <w:rFonts w:ascii="Palatino Linotype" w:eastAsia="MS Mincho" w:hAnsi="Palatino Linotype" w:cs="Bookman Old Style"/>
          <w:b/>
          <w:i/>
          <w:iCs/>
          <w:sz w:val="22"/>
          <w:szCs w:val="20"/>
        </w:rPr>
        <w:t>Los sujetos obligados sólo proporcionarán la información pública que se les requiera y que obre en sus archivos y en el estado en que ésta se encuentre</w:t>
      </w:r>
      <w:r w:rsidRPr="00C76D23">
        <w:rPr>
          <w:rFonts w:ascii="Palatino Linotype" w:eastAsia="MS Mincho" w:hAnsi="Palatino Linotype" w:cs="Bookman Old Style"/>
          <w:i/>
          <w:iCs/>
          <w:sz w:val="22"/>
          <w:szCs w:val="20"/>
        </w:rPr>
        <w:t>. La obligación de proporcionar información no comprende el procesamiento de la misma, ni el presentarla conforme al interés del solicitante; no estarán obligados a generarla, resumirla, efectuar cálculos o practicar investigaciones.”</w:t>
      </w:r>
    </w:p>
    <w:p w14:paraId="0D710889" w14:textId="47843199" w:rsidR="00574C9A" w:rsidRPr="00C76D23" w:rsidRDefault="00574C9A" w:rsidP="00574C9A">
      <w:pPr>
        <w:pStyle w:val="NormalWeb"/>
        <w:spacing w:line="360" w:lineRule="auto"/>
        <w:jc w:val="both"/>
        <w:rPr>
          <w:rFonts w:ascii="Palatino Linotype" w:hAnsi="Palatino Linotype"/>
        </w:rPr>
      </w:pPr>
      <w:r w:rsidRPr="00C76D23">
        <w:rPr>
          <w:rFonts w:ascii="Palatino Linotype" w:hAnsi="Palatino Linotype" w:cs="Arial"/>
        </w:rPr>
        <w:t xml:space="preserve">Por consiguiente, </w:t>
      </w:r>
      <w:r w:rsidRPr="00C76D23">
        <w:rPr>
          <w:rFonts w:ascii="Palatino Linotype" w:hAnsi="Palatino Linotype"/>
        </w:rPr>
        <w:t>se procede al análisis de los requerimientos planteados por la persona solicitante</w:t>
      </w:r>
      <w:r w:rsidR="009E1F9E" w:rsidRPr="00C76D23">
        <w:rPr>
          <w:rFonts w:ascii="Palatino Linotype" w:hAnsi="Palatino Linotype"/>
        </w:rPr>
        <w:t>, así como la</w:t>
      </w:r>
      <w:r w:rsidRPr="00C76D23">
        <w:rPr>
          <w:rFonts w:ascii="Palatino Linotype" w:hAnsi="Palatino Linotype"/>
        </w:rPr>
        <w:t xml:space="preserve"> información proporcionada por el </w:t>
      </w:r>
      <w:r w:rsidRPr="00C76D23">
        <w:rPr>
          <w:rFonts w:ascii="Palatino Linotype" w:eastAsia="Calibri" w:hAnsi="Palatino Linotype" w:cs="Arial"/>
          <w:b/>
          <w:bCs/>
          <w:lang w:val="es-ES_tradnl"/>
        </w:rPr>
        <w:t>Sujeto Obligado</w:t>
      </w:r>
      <w:r w:rsidRPr="00C76D23">
        <w:rPr>
          <w:rFonts w:ascii="Palatino Linotype" w:hAnsi="Palatino Linotype"/>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14:paraId="446127BE" w14:textId="5CBAA4B2" w:rsidR="0098613A" w:rsidRPr="00C76D23" w:rsidRDefault="00574C9A" w:rsidP="0098613A">
      <w:pPr>
        <w:pStyle w:val="NormalWeb"/>
        <w:spacing w:line="360" w:lineRule="auto"/>
        <w:jc w:val="both"/>
        <w:rPr>
          <w:rFonts w:ascii="Palatino Linotype" w:eastAsia="Palatino Linotype" w:hAnsi="Palatino Linotype" w:cs="Palatino Linotype"/>
        </w:rPr>
      </w:pPr>
      <w:r w:rsidRPr="00C76D23">
        <w:rPr>
          <w:rFonts w:ascii="Palatino Linotype" w:hAnsi="Palatino Linotype"/>
        </w:rPr>
        <w:lastRenderedPageBreak/>
        <w:t>En primer lugar, respecto a la materia del requerimiento de información combatido, relativo a los contratos de las patrullas y las torres</w:t>
      </w:r>
      <w:r w:rsidR="00D42BCE" w:rsidRPr="00C76D23">
        <w:rPr>
          <w:rFonts w:ascii="Palatino Linotype" w:hAnsi="Palatino Linotype"/>
        </w:rPr>
        <w:t xml:space="preserve"> móviles</w:t>
      </w:r>
      <w:r w:rsidRPr="00C76D23">
        <w:rPr>
          <w:rFonts w:ascii="Palatino Linotype" w:hAnsi="Palatino Linotype"/>
        </w:rPr>
        <w:t xml:space="preserve"> de video vigilancia adquiridas o compradas por la presente administración, recordemos que la Subdirección de Adquisiciones y Recursos Materiales</w:t>
      </w:r>
      <w:r w:rsidR="008703F7" w:rsidRPr="00C76D23">
        <w:rPr>
          <w:rFonts w:ascii="Palatino Linotype" w:hAnsi="Palatino Linotype"/>
        </w:rPr>
        <w:t xml:space="preserve"> de la Dirección de Administración</w:t>
      </w:r>
      <w:r w:rsidRPr="00C76D23">
        <w:rPr>
          <w:rFonts w:ascii="Palatino Linotype" w:hAnsi="Palatino Linotype"/>
        </w:rPr>
        <w:t>, informó que se habían arrendado 40 patrullas y 5 plataformas de posicionamiento táctico</w:t>
      </w:r>
      <w:r w:rsidR="00D42BCE" w:rsidRPr="00C76D23">
        <w:rPr>
          <w:rStyle w:val="Refdenotaalpie"/>
          <w:rFonts w:ascii="Palatino Linotype" w:hAnsi="Palatino Linotype"/>
        </w:rPr>
        <w:footnoteReference w:id="2"/>
      </w:r>
      <w:r w:rsidRPr="00C76D23">
        <w:rPr>
          <w:rFonts w:ascii="Palatino Linotype" w:hAnsi="Palatino Linotype"/>
        </w:rPr>
        <w:t>,</w:t>
      </w:r>
      <w:r w:rsidR="008703F7" w:rsidRPr="00C76D23">
        <w:rPr>
          <w:rFonts w:ascii="Palatino Linotype" w:hAnsi="Palatino Linotype"/>
        </w:rPr>
        <w:t xml:space="preserve"> es decir, los documentos que colmarían el derecho de acceso de la parte recurrente lo son los contratos  de arrendamiento de dichos bienes</w:t>
      </w:r>
      <w:r w:rsidR="0098613A" w:rsidRPr="00C76D23">
        <w:rPr>
          <w:rFonts w:ascii="Palatino Linotype" w:hAnsi="Palatino Linotype"/>
        </w:rPr>
        <w:t xml:space="preserve">, información que el </w:t>
      </w:r>
      <w:r w:rsidR="0098613A" w:rsidRPr="00C76D23">
        <w:rPr>
          <w:rFonts w:ascii="Palatino Linotype" w:hAnsi="Palatino Linotype"/>
          <w:b/>
        </w:rPr>
        <w:t xml:space="preserve">Sujeto Obligado </w:t>
      </w:r>
      <w:r w:rsidR="0098613A" w:rsidRPr="00C76D23">
        <w:rPr>
          <w:rFonts w:ascii="Palatino Linotype" w:hAnsi="Palatino Linotype"/>
        </w:rPr>
        <w:t xml:space="preserve">asumió tener de manera explícita, tan es así que restringió el derecho de acceso a la información al pretender clasificarla, bajo el argumento de que esta  </w:t>
      </w:r>
      <w:r w:rsidR="0098613A" w:rsidRPr="00C76D23">
        <w:rPr>
          <w:rFonts w:ascii="Palatino Linotype" w:eastAsia="Palatino Linotype" w:hAnsi="Palatino Linotype" w:cs="Palatino Linotype"/>
        </w:rPr>
        <w:t>actualizaba el supuesto previsto en el artículo 113, fracción I de la Ley General de Transparencia y Acceso a la Información Pública.</w:t>
      </w:r>
    </w:p>
    <w:p w14:paraId="5E3E71CC" w14:textId="77777777" w:rsidR="00017322" w:rsidRPr="00C76D23" w:rsidRDefault="0098613A" w:rsidP="00017322">
      <w:pPr>
        <w:spacing w:line="360" w:lineRule="auto"/>
        <w:ind w:right="49"/>
        <w:jc w:val="both"/>
        <w:rPr>
          <w:rFonts w:ascii="Palatino Linotype" w:hAnsi="Palatino Linotype"/>
        </w:rPr>
      </w:pPr>
      <w:r w:rsidRPr="00C76D23">
        <w:rPr>
          <w:rFonts w:ascii="Palatino Linotype" w:eastAsia="Palatino Linotype" w:hAnsi="Palatino Linotype" w:cs="Palatino Linotype"/>
        </w:rPr>
        <w:t xml:space="preserve">Sirve de sustento </w:t>
      </w:r>
      <w:r w:rsidR="00017322" w:rsidRPr="00C76D23">
        <w:rPr>
          <w:rFonts w:ascii="Palatino Linotype" w:eastAsia="Palatino Linotype" w:hAnsi="Palatino Linotype" w:cs="Palatino Linotype"/>
        </w:rPr>
        <w:t xml:space="preserve">a lo anterior </w:t>
      </w:r>
      <w:r w:rsidR="00017322" w:rsidRPr="00C76D23">
        <w:rPr>
          <w:rFonts w:ascii="Palatino Linotype" w:hAnsi="Palatino Linotype"/>
        </w:rPr>
        <w:t>el criterio orientador 29/10 emitido por el Instituto Nacional de Transparencia, Acceso a la Información y Protección de Datos Personales, INAI</w:t>
      </w:r>
      <w:r w:rsidR="00017322" w:rsidRPr="00C76D23">
        <w:rPr>
          <w:rFonts w:ascii="Palatino Linotype" w:hAnsi="Palatino Linotype"/>
          <w:b/>
        </w:rPr>
        <w:t xml:space="preserve">, </w:t>
      </w:r>
      <w:r w:rsidR="00017322" w:rsidRPr="00C76D23">
        <w:rPr>
          <w:rFonts w:ascii="Palatino Linotype" w:hAnsi="Palatino Linotype"/>
        </w:rPr>
        <w:t xml:space="preserve">el cual refiere lo siguiente: </w:t>
      </w:r>
    </w:p>
    <w:p w14:paraId="1CA08DC8" w14:textId="77777777" w:rsidR="00017322" w:rsidRPr="00C76D23" w:rsidRDefault="00017322" w:rsidP="00017322">
      <w:pPr>
        <w:spacing w:before="67"/>
        <w:ind w:left="851" w:right="900"/>
        <w:jc w:val="both"/>
        <w:rPr>
          <w:rFonts w:ascii="Palatino Linotype" w:hAnsi="Palatino Linotype"/>
          <w:i/>
          <w:sz w:val="22"/>
          <w:szCs w:val="22"/>
        </w:rPr>
      </w:pPr>
      <w:r w:rsidRPr="00C76D23">
        <w:rPr>
          <w:rFonts w:ascii="Palatino Linotype" w:hAnsi="Palatino Linotype"/>
          <w:b/>
          <w:i/>
          <w:sz w:val="22"/>
          <w:szCs w:val="22"/>
        </w:rPr>
        <w:t xml:space="preserve">“La clasificación y la inexistencia de información son conceptos que no pueden coexistir. </w:t>
      </w:r>
      <w:r w:rsidRPr="00C76D23">
        <w:rPr>
          <w:rFonts w:ascii="Palatino Linotype" w:hAnsi="Palatino Linotype"/>
          <w:i/>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w:t>
      </w:r>
      <w:proofErr w:type="gramStart"/>
      <w:r w:rsidRPr="00C76D23">
        <w:rPr>
          <w:rFonts w:ascii="Palatino Linotype" w:hAnsi="Palatino Linotype"/>
          <w:i/>
          <w:sz w:val="22"/>
          <w:szCs w:val="22"/>
        </w:rPr>
        <w:t>documento  específico</w:t>
      </w:r>
      <w:proofErr w:type="gramEnd"/>
      <w:r w:rsidRPr="00C76D23">
        <w:rPr>
          <w:rFonts w:ascii="Palatino Linotype" w:hAnsi="Palatino Linotype"/>
          <w:i/>
          <w:sz w:val="22"/>
          <w:szCs w:val="22"/>
        </w:rPr>
        <w:t xml:space="preserve">,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w:t>
      </w:r>
      <w:r w:rsidRPr="00C76D23">
        <w:rPr>
          <w:rFonts w:ascii="Palatino Linotype" w:hAnsi="Palatino Linotype"/>
          <w:b/>
          <w:i/>
          <w:sz w:val="22"/>
          <w:szCs w:val="22"/>
        </w:rPr>
        <w:t xml:space="preserve">la clasificación y la inexistencia no coexisten entre sí, en virtud de que la clasificación de información implica </w:t>
      </w:r>
      <w:r w:rsidRPr="00C76D23">
        <w:rPr>
          <w:rFonts w:ascii="Palatino Linotype" w:hAnsi="Palatino Linotype"/>
          <w:b/>
          <w:i/>
          <w:sz w:val="22"/>
          <w:szCs w:val="22"/>
        </w:rPr>
        <w:lastRenderedPageBreak/>
        <w:t>invariablemente la existencia de un documento o documentos determinados, mientras que la inexistencia conlleva la ausencia de los mismos en los archivos de la dependencia o entidad de que se trate</w:t>
      </w:r>
      <w:r w:rsidRPr="00C76D23">
        <w:rPr>
          <w:rFonts w:ascii="Palatino Linotype" w:hAnsi="Palatino Linotype"/>
          <w:i/>
          <w:sz w:val="22"/>
          <w:szCs w:val="22"/>
        </w:rPr>
        <w:t>.”</w:t>
      </w:r>
    </w:p>
    <w:p w14:paraId="566BEFFF" w14:textId="77777777" w:rsidR="006D42C6" w:rsidRPr="00C76D23" w:rsidRDefault="00CA3FE7" w:rsidP="006D42C6">
      <w:pPr>
        <w:spacing w:before="240" w:after="240" w:line="360" w:lineRule="auto"/>
        <w:ind w:right="51"/>
        <w:jc w:val="both"/>
        <w:rPr>
          <w:rFonts w:ascii="Palatino Linotype" w:eastAsia="Palatino Linotype" w:hAnsi="Palatino Linotype" w:cs="Palatino Linotype"/>
        </w:rPr>
      </w:pPr>
      <w:r w:rsidRPr="00C76D23">
        <w:rPr>
          <w:rFonts w:ascii="Palatino Linotype" w:hAnsi="Palatino Linotype"/>
        </w:rPr>
        <w:t xml:space="preserve">En este tenor, </w:t>
      </w:r>
      <w:r w:rsidR="006D42C6" w:rsidRPr="00C76D23">
        <w:rPr>
          <w:rFonts w:ascii="Palatino Linotype" w:eastAsia="Palatino Linotype" w:hAnsi="Palatino Linotype" w:cs="Palatino Linotype"/>
        </w:rPr>
        <w:t>es oportuno mencionar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05E2E846" w14:textId="77777777" w:rsidR="006D42C6" w:rsidRPr="00C76D23" w:rsidRDefault="006D42C6" w:rsidP="006D42C6">
      <w:pPr>
        <w:ind w:left="851" w:right="90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 xml:space="preserve">“Artículo 91. </w:t>
      </w:r>
      <w:r w:rsidRPr="00C76D23">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CF588B6" w14:textId="77777777" w:rsidR="006D42C6" w:rsidRPr="00C76D23" w:rsidRDefault="006D42C6" w:rsidP="006D42C6">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Siendo importante mencionar que 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14:paraId="228AB2AB" w14:textId="77777777" w:rsidR="006D42C6" w:rsidRPr="00C76D23" w:rsidRDefault="006D42C6" w:rsidP="006D42C6">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Así, se entiende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C76D23">
        <w:rPr>
          <w:rFonts w:ascii="Palatino Linotype" w:eastAsia="Palatino Linotype" w:hAnsi="Palatino Linotype" w:cs="Palatino Linotype"/>
          <w:sz w:val="18"/>
          <w:szCs w:val="18"/>
        </w:rPr>
        <w:t xml:space="preserve">. </w:t>
      </w:r>
    </w:p>
    <w:p w14:paraId="3DF50A09" w14:textId="77777777" w:rsidR="006D42C6" w:rsidRPr="00C76D23" w:rsidRDefault="006D42C6" w:rsidP="006D42C6">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lastRenderedPageBreak/>
        <w:t>En lo que concierne a la información clasificada como reservada, para que el acceso a la información pública pueda ser restringido, se deben actualizar los supuestos establecidos en el artículo 113 de la y Ley General de Transparencia Acceso a la Información Pública y el artículo 140 de la Ley de Transparencia y Acceso a la Información Pública del Estado de México y Municipios, que a la letra señalan lo siguiente:</w:t>
      </w:r>
    </w:p>
    <w:p w14:paraId="7C8ED2C8" w14:textId="77777777" w:rsidR="006D42C6" w:rsidRPr="00C76D23" w:rsidRDefault="006D42C6" w:rsidP="006D42C6">
      <w:pPr>
        <w:spacing w:before="120" w:after="120"/>
        <w:ind w:left="851"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“Artículo 113.</w:t>
      </w:r>
      <w:r w:rsidRPr="00C76D23">
        <w:rPr>
          <w:rFonts w:ascii="Palatino Linotype" w:eastAsia="Palatino Linotype" w:hAnsi="Palatino Linotype" w:cs="Palatino Linotype"/>
          <w:i/>
          <w:sz w:val="22"/>
          <w:szCs w:val="22"/>
        </w:rPr>
        <w:t xml:space="preserve"> Como información reservada podrá clasificarse aquella cuya publicación:</w:t>
      </w:r>
    </w:p>
    <w:p w14:paraId="0E3948DB"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 xml:space="preserve"> I.</w:t>
      </w:r>
      <w:r w:rsidRPr="00C76D23">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14:paraId="46ACB953"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w:t>
      </w:r>
      <w:r w:rsidRPr="00C76D23">
        <w:rPr>
          <w:rFonts w:ascii="Palatino Linotype" w:eastAsia="Palatino Linotype" w:hAnsi="Palatino Linotype" w:cs="Palatino Linotype"/>
          <w:i/>
          <w:sz w:val="22"/>
          <w:szCs w:val="22"/>
        </w:rPr>
        <w:t xml:space="preserve"> Pueda menoscabar la conducción de las negociaciones y relaciones internacionales; </w:t>
      </w:r>
      <w:r w:rsidRPr="00C76D23">
        <w:rPr>
          <w:rFonts w:ascii="Palatino Linotype" w:eastAsia="Palatino Linotype" w:hAnsi="Palatino Linotype" w:cs="Palatino Linotype"/>
          <w:i/>
          <w:sz w:val="22"/>
          <w:szCs w:val="22"/>
        </w:rPr>
        <w:br/>
      </w:r>
      <w:r w:rsidRPr="00C76D23">
        <w:rPr>
          <w:rFonts w:ascii="Palatino Linotype" w:eastAsia="Palatino Linotype" w:hAnsi="Palatino Linotype" w:cs="Palatino Linotype"/>
          <w:b/>
          <w:i/>
          <w:sz w:val="22"/>
          <w:szCs w:val="22"/>
        </w:rPr>
        <w:t>III.</w:t>
      </w:r>
      <w:r w:rsidRPr="00C76D23">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6B4E6EBB"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IV.</w:t>
      </w:r>
      <w:r w:rsidRPr="00C76D23">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3AFAE402"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V.</w:t>
      </w:r>
      <w:r w:rsidRPr="00C76D23">
        <w:rPr>
          <w:rFonts w:ascii="Palatino Linotype" w:eastAsia="Palatino Linotype" w:hAnsi="Palatino Linotype" w:cs="Palatino Linotype"/>
          <w:i/>
          <w:sz w:val="22"/>
          <w:szCs w:val="22"/>
        </w:rPr>
        <w:t xml:space="preserve"> Pueda poner en riesgo la vida, seguridad o salud de una persona física; </w:t>
      </w:r>
    </w:p>
    <w:p w14:paraId="460A061B"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VI</w:t>
      </w:r>
      <w:r w:rsidRPr="00C76D23">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14:paraId="09990A6F"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VII.</w:t>
      </w:r>
      <w:r w:rsidRPr="00C76D23">
        <w:rPr>
          <w:rFonts w:ascii="Palatino Linotype" w:eastAsia="Palatino Linotype" w:hAnsi="Palatino Linotype" w:cs="Palatino Linotype"/>
          <w:i/>
          <w:sz w:val="22"/>
          <w:szCs w:val="22"/>
        </w:rPr>
        <w:t xml:space="preserve"> Obstruya la prevención o persecución de los delitos; </w:t>
      </w:r>
    </w:p>
    <w:p w14:paraId="4F3208E2"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VIII.</w:t>
      </w:r>
      <w:r w:rsidRPr="00C76D23">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 </w:t>
      </w:r>
    </w:p>
    <w:p w14:paraId="4D8BA7A8"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lastRenderedPageBreak/>
        <w:t>IX.</w:t>
      </w:r>
      <w:r w:rsidRPr="00C76D23">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14:paraId="01ABC4E8"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X.</w:t>
      </w:r>
      <w:r w:rsidRPr="00C76D23">
        <w:rPr>
          <w:rFonts w:ascii="Palatino Linotype" w:eastAsia="Palatino Linotype" w:hAnsi="Palatino Linotype" w:cs="Palatino Linotype"/>
          <w:i/>
          <w:sz w:val="22"/>
          <w:szCs w:val="22"/>
        </w:rPr>
        <w:t xml:space="preserve"> Afecte los derechos del debido proceso; </w:t>
      </w:r>
    </w:p>
    <w:p w14:paraId="35ADA8D6"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XI.</w:t>
      </w:r>
      <w:r w:rsidRPr="00C76D23">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14:paraId="6232E831" w14:textId="77777777" w:rsidR="006D42C6" w:rsidRPr="00C76D23" w:rsidRDefault="006D42C6" w:rsidP="006D42C6">
      <w:pPr>
        <w:spacing w:before="120" w:after="120"/>
        <w:ind w:left="851"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Artículo 140</w:t>
      </w:r>
      <w:r w:rsidRPr="00C76D23">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56029776"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w:t>
      </w:r>
      <w:r w:rsidRPr="00C76D23">
        <w:rPr>
          <w:rFonts w:ascii="Palatino Linotype" w:eastAsia="Palatino Linotype" w:hAnsi="Palatino Linotype" w:cs="Palatino Linotype"/>
          <w:i/>
          <w:sz w:val="22"/>
          <w:szCs w:val="22"/>
        </w:rPr>
        <w:t xml:space="preserve">. Comprometa la seguridad pública y cuente con un propósito genuino y un efecto demostrable; </w:t>
      </w:r>
    </w:p>
    <w:p w14:paraId="3C7966C7"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w:t>
      </w:r>
      <w:r w:rsidRPr="00C76D23">
        <w:rPr>
          <w:rFonts w:ascii="Palatino Linotype" w:eastAsia="Palatino Linotype" w:hAnsi="Palatino Linotype" w:cs="Palatino Linotype"/>
          <w:i/>
          <w:sz w:val="22"/>
          <w:szCs w:val="22"/>
        </w:rPr>
        <w:t xml:space="preserve"> Pueda menoscabar la conducción de las negociaciones y relaciones internacionales; </w:t>
      </w:r>
    </w:p>
    <w:p w14:paraId="1868C320"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III.</w:t>
      </w:r>
      <w:r w:rsidRPr="00C76D23">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6126C82"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IV.</w:t>
      </w:r>
      <w:r w:rsidRPr="00C76D23">
        <w:rPr>
          <w:rFonts w:ascii="Palatino Linotype" w:eastAsia="Palatino Linotype" w:hAnsi="Palatino Linotype" w:cs="Palatino Linotype"/>
          <w:i/>
          <w:sz w:val="22"/>
          <w:szCs w:val="22"/>
        </w:rPr>
        <w:t xml:space="preserve"> Ponga en riesgo la vida, la seguridad o la salud de una persona física; </w:t>
      </w:r>
    </w:p>
    <w:p w14:paraId="0BD96E74"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V</w:t>
      </w:r>
      <w:r w:rsidRPr="00C76D23">
        <w:rPr>
          <w:rFonts w:ascii="Palatino Linotype" w:eastAsia="Palatino Linotype" w:hAnsi="Palatino Linotype" w:cs="Palatino Linotype"/>
          <w:i/>
          <w:sz w:val="22"/>
          <w:szCs w:val="22"/>
        </w:rPr>
        <w:t xml:space="preserve">. Aquella cuya divulgación obstruya o pueda causar un serio perjuicio a: </w:t>
      </w:r>
    </w:p>
    <w:p w14:paraId="2F6F0699" w14:textId="77777777" w:rsidR="006D42C6" w:rsidRPr="00C76D23" w:rsidRDefault="006D42C6" w:rsidP="006D42C6">
      <w:pPr>
        <w:spacing w:before="120" w:after="120"/>
        <w:ind w:left="1418"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515CE6BC" w14:textId="77777777" w:rsidR="006D42C6" w:rsidRPr="00C76D23" w:rsidRDefault="006D42C6" w:rsidP="006D42C6">
      <w:pPr>
        <w:spacing w:before="120" w:after="120"/>
        <w:ind w:left="1418"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 xml:space="preserve">2. La recaudación de las contribuciones. </w:t>
      </w:r>
    </w:p>
    <w:p w14:paraId="740C9B40"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VI</w:t>
      </w:r>
      <w:r w:rsidRPr="00C76D23">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22ACE81A"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VII.</w:t>
      </w:r>
      <w:r w:rsidRPr="00C76D23">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5E50FF0A"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lastRenderedPageBreak/>
        <w:t>VIII.</w:t>
      </w:r>
      <w:r w:rsidRPr="00C76D23">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64551B6A"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IX</w:t>
      </w:r>
      <w:r w:rsidRPr="00C76D23">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3009AA38"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X.</w:t>
      </w:r>
      <w:r w:rsidRPr="00C76D23">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7DD3F1B8"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46ED15B5" w14:textId="77777777" w:rsidR="006D42C6" w:rsidRPr="00C76D23" w:rsidRDefault="006D42C6" w:rsidP="006D42C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XI.</w:t>
      </w:r>
      <w:r w:rsidRPr="00C76D23">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10668FF5" w14:textId="77777777" w:rsidR="006D42C6" w:rsidRPr="00C76D23" w:rsidRDefault="006D42C6" w:rsidP="006D42C6">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C76D23">
        <w:rPr>
          <w:rFonts w:ascii="Palatino Linotype" w:eastAsia="Palatino Linotype" w:hAnsi="Palatino Linotype" w:cs="Palatino Linotype"/>
          <w:b/>
        </w:rPr>
        <w:t>Reservada</w:t>
      </w:r>
      <w:r w:rsidRPr="00C76D23">
        <w:rPr>
          <w:rFonts w:ascii="Palatino Linotype" w:eastAsia="Palatino Linotype" w:hAnsi="Palatino Linotype" w:cs="Palatino Linotype"/>
        </w:rPr>
        <w:t xml:space="preserve">, delimitando una serie de hipótesis de hecho en las cuales descansa la posibilidad de reserva de información, por lo que, dentro la información que generen, posean o administren los Sujetos Obligados, se considerará reservada cuando su divulgación pueda causar un daño en términos de lo establecido en la Ley, de manera enunciativa más no limitativa, cuando comprometa la seguridad pública; ponga en riesgo la vida, la seguridad o la salud de una persona física; aquella que obstruya o pueda causar un serio perjuicio a las actividades de fiscalización, verificación, inspección, comprobación y auditoría sobre el cumplimiento de las Leyes; vulnere la conducción de los expedientes judiciales; que </w:t>
      </w:r>
      <w:r w:rsidRPr="00C76D23">
        <w:rPr>
          <w:rFonts w:ascii="Palatino Linotype" w:eastAsia="Palatino Linotype" w:hAnsi="Palatino Linotype" w:cs="Palatino Linotype"/>
        </w:rPr>
        <w:lastRenderedPageBreak/>
        <w:t>el daño que pueda producirse con la publicación de la información sea mayor que el interés público de conocer la información de referencia, siempre que esté directamente relacionado con procesos o procedimientos administrativos o judiciales que no hayan quedado firmes; o que por disposición expresa de una ley tengan tal carácter.</w:t>
      </w:r>
    </w:p>
    <w:p w14:paraId="49AD5D41" w14:textId="77777777" w:rsidR="009603B3" w:rsidRPr="00C76D23" w:rsidRDefault="009603B3" w:rsidP="009603B3">
      <w:pPr>
        <w:spacing w:line="360" w:lineRule="auto"/>
        <w:jc w:val="both"/>
        <w:rPr>
          <w:rFonts w:ascii="Palatino Linotype" w:hAnsi="Palatino Linotype"/>
        </w:rPr>
      </w:pPr>
      <w:r w:rsidRPr="00C76D23">
        <w:rPr>
          <w:rFonts w:ascii="Palatino Linotype" w:hAnsi="Palatino Linotype"/>
        </w:rPr>
        <w:t>No obstante, en términos generales, las Leyes de la materia disponen que, para proceder a realizar la reserva de la información, no basta que se refiera a alguno de los supuestos que enmarque</w:t>
      </w:r>
      <w:r w:rsidR="006D42C6" w:rsidRPr="00C76D23">
        <w:rPr>
          <w:rFonts w:ascii="Palatino Linotype" w:hAnsi="Palatino Linotype"/>
        </w:rPr>
        <w:t>n</w:t>
      </w:r>
      <w:r w:rsidRPr="00C76D23">
        <w:rPr>
          <w:rFonts w:ascii="Palatino Linotype" w:hAnsi="Palatino Linotype"/>
        </w:rPr>
        <w:t xml:space="preserve">, en este caso, los artículos 113 de la Ley General de </w:t>
      </w:r>
      <w:proofErr w:type="gramStart"/>
      <w:r w:rsidRPr="00C76D23">
        <w:rPr>
          <w:rFonts w:ascii="Palatino Linotype" w:hAnsi="Palatino Linotype"/>
        </w:rPr>
        <w:t>Transparencia  y</w:t>
      </w:r>
      <w:proofErr w:type="gramEnd"/>
      <w:r w:rsidRPr="00C76D23">
        <w:rPr>
          <w:rFonts w:ascii="Palatino Linotype" w:hAnsi="Palatino Linotype"/>
        </w:rPr>
        <w:t xml:space="preserve"> 140 de la Ley de Transparencia Local, sino que, es necesario que la autoridad demuestre que la divulgación de la información, puede causar un daño al interés público protegido.</w:t>
      </w:r>
    </w:p>
    <w:p w14:paraId="1ADF69BF" w14:textId="77777777" w:rsidR="009603B3" w:rsidRPr="00C76D23" w:rsidRDefault="009603B3" w:rsidP="009603B3">
      <w:pPr>
        <w:spacing w:line="360" w:lineRule="auto"/>
        <w:jc w:val="both"/>
        <w:rPr>
          <w:rFonts w:ascii="Palatino Linotype" w:hAnsi="Palatino Linotype"/>
          <w:sz w:val="10"/>
          <w:szCs w:val="10"/>
        </w:rPr>
      </w:pPr>
    </w:p>
    <w:p w14:paraId="07E883C8" w14:textId="77777777" w:rsidR="001D668A" w:rsidRPr="00C76D23" w:rsidRDefault="009603B3" w:rsidP="006D42C6">
      <w:pPr>
        <w:spacing w:before="240" w:after="240" w:line="360" w:lineRule="auto"/>
        <w:jc w:val="both"/>
        <w:rPr>
          <w:rFonts w:ascii="Palatino Linotype" w:hAnsi="Palatino Linotype"/>
        </w:rPr>
      </w:pPr>
      <w:r w:rsidRPr="00C76D23">
        <w:rPr>
          <w:rFonts w:ascii="Palatino Linotype" w:hAnsi="Palatino Linotype"/>
        </w:rPr>
        <w:t xml:space="preserve">Dicha valoración, debe realizarse caso por caso, a través de lo que se conoce como la llamada </w:t>
      </w:r>
      <w:r w:rsidRPr="00C76D23">
        <w:rPr>
          <w:rFonts w:ascii="Palatino Linotype" w:hAnsi="Palatino Linotype"/>
          <w:i/>
        </w:rPr>
        <w:t>“prueba de daño”</w:t>
      </w:r>
      <w:r w:rsidRPr="00C76D23">
        <w:rPr>
          <w:rFonts w:ascii="Palatino Linotype" w:hAnsi="Palatino Linotype"/>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ésta no debe basarse en meras especulaciones o suposiciones, sino en elementos objetivos que deban evaluar que existe un riego actual e inminente. </w:t>
      </w:r>
    </w:p>
    <w:p w14:paraId="7E143664" w14:textId="77777777" w:rsidR="001D668A" w:rsidRPr="00C76D23" w:rsidRDefault="001D668A" w:rsidP="006D42C6">
      <w:pPr>
        <w:spacing w:before="240" w:after="240" w:line="360" w:lineRule="auto"/>
        <w:jc w:val="both"/>
        <w:rPr>
          <w:rFonts w:ascii="Palatino Linotype" w:hAnsi="Palatino Linotype"/>
        </w:rPr>
      </w:pPr>
      <w:r w:rsidRPr="00C76D23">
        <w:rPr>
          <w:rFonts w:ascii="Palatino Linotype" w:hAnsi="Palatino Linotype"/>
        </w:rPr>
        <w:lastRenderedPageBreak/>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14:paraId="68779702" w14:textId="77777777" w:rsidR="006D42C6" w:rsidRPr="00C76D23" w:rsidRDefault="006D42C6" w:rsidP="006D42C6">
      <w:pPr>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“Segundo.</w:t>
      </w:r>
      <w:r w:rsidRPr="00C76D23">
        <w:rPr>
          <w:rFonts w:ascii="Palatino Linotype" w:eastAsia="Palatino Linotype" w:hAnsi="Palatino Linotype" w:cs="Palatino Linotype"/>
          <w:i/>
          <w:sz w:val="22"/>
          <w:szCs w:val="22"/>
        </w:rPr>
        <w:t xml:space="preserve"> Para efectos de los presentes Lineamientos Generales, se entenderá por: </w:t>
      </w:r>
    </w:p>
    <w:p w14:paraId="4EE90B28" w14:textId="77777777" w:rsidR="006D42C6" w:rsidRPr="00C76D23" w:rsidRDefault="006D42C6" w:rsidP="006D42C6">
      <w:pPr>
        <w:ind w:left="1134" w:right="902"/>
        <w:jc w:val="both"/>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b/>
          <w:i/>
          <w:sz w:val="22"/>
          <w:szCs w:val="22"/>
        </w:rPr>
        <w:t>...</w:t>
      </w:r>
    </w:p>
    <w:p w14:paraId="5D5DD8CB" w14:textId="77777777" w:rsidR="006D42C6" w:rsidRPr="00C76D23" w:rsidRDefault="006D42C6" w:rsidP="006D42C6">
      <w:pPr>
        <w:ind w:left="1134" w:right="902"/>
        <w:jc w:val="both"/>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b/>
          <w:i/>
          <w:sz w:val="22"/>
          <w:szCs w:val="22"/>
        </w:rPr>
        <w:t>XIII.    Prueba de daño</w:t>
      </w:r>
      <w:r w:rsidRPr="00C76D23">
        <w:rPr>
          <w:rFonts w:ascii="Palatino Linotype" w:eastAsia="Palatino Linotype" w:hAnsi="Palatino Linotype" w:cs="Palatino Linotype"/>
          <w:i/>
          <w:sz w:val="22"/>
          <w:szCs w:val="22"/>
        </w:rPr>
        <w:t>: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C76D23">
        <w:rPr>
          <w:rFonts w:ascii="Palatino Linotype" w:eastAsia="Palatino Linotype" w:hAnsi="Palatino Linotype" w:cs="Palatino Linotype"/>
          <w:b/>
          <w:i/>
          <w:sz w:val="22"/>
          <w:szCs w:val="22"/>
        </w:rPr>
        <w:t>”</w:t>
      </w:r>
    </w:p>
    <w:p w14:paraId="7452C6B9" w14:textId="77777777" w:rsidR="006D42C6" w:rsidRPr="00C76D23" w:rsidRDefault="006D42C6" w:rsidP="006D42C6">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y que para motivar la clasificación de la información y la ampliación del plazo de reserva, se deberán de señalar las razones, motivos o circunstancias especiales que llevaron al Sujeto Obligado a concluir que el caso particular se ajusta al supuesto previsto por la norma legal invocada como fundamento; siendo que, además, el Sujeto Obligado debe, en todo momento, aplicar una prueba de daño.</w:t>
      </w:r>
    </w:p>
    <w:p w14:paraId="269EA563" w14:textId="77777777" w:rsidR="006D42C6" w:rsidRPr="00C76D23" w:rsidRDefault="006D42C6" w:rsidP="006D42C6">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De este modo, conforme al artículo 132 de la Ley de Transparencia y Acceso a la Información Pública del Estado de México y Municipios, para clasificar la </w:t>
      </w:r>
      <w:r w:rsidRPr="00C76D23">
        <w:rPr>
          <w:rFonts w:ascii="Palatino Linotype" w:eastAsia="Palatino Linotype" w:hAnsi="Palatino Linotype" w:cs="Palatino Linotype"/>
        </w:rPr>
        <w:lastRenderedPageBreak/>
        <w:t>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2F3B9C4F" w14:textId="77777777" w:rsidR="006D42C6" w:rsidRPr="00C76D23" w:rsidRDefault="006D42C6" w:rsidP="006D42C6">
      <w:pPr>
        <w:numPr>
          <w:ilvl w:val="0"/>
          <w:numId w:val="4"/>
        </w:numPr>
        <w:spacing w:line="360" w:lineRule="auto"/>
        <w:ind w:left="851"/>
        <w:jc w:val="both"/>
        <w:rPr>
          <w:rFonts w:ascii="Palatino Linotype" w:eastAsia="Palatino Linotype" w:hAnsi="Palatino Linotype" w:cs="Palatino Linotype"/>
        </w:rPr>
      </w:pPr>
      <w:r w:rsidRPr="00C76D23">
        <w:rPr>
          <w:rFonts w:ascii="Palatino Linotype" w:eastAsia="Palatino Linotype" w:hAnsi="Palatino Linotype" w:cs="Palatino Linotype"/>
        </w:rPr>
        <w:t>Se reciba una solicitud de acceso a la información.</w:t>
      </w:r>
    </w:p>
    <w:p w14:paraId="1CE85845" w14:textId="77777777" w:rsidR="006D42C6" w:rsidRPr="00C76D23" w:rsidRDefault="006D42C6" w:rsidP="006D42C6">
      <w:pPr>
        <w:numPr>
          <w:ilvl w:val="0"/>
          <w:numId w:val="4"/>
        </w:numPr>
        <w:spacing w:line="360" w:lineRule="auto"/>
        <w:ind w:left="851"/>
        <w:jc w:val="both"/>
        <w:rPr>
          <w:rFonts w:ascii="Palatino Linotype" w:eastAsia="Palatino Linotype" w:hAnsi="Palatino Linotype" w:cs="Palatino Linotype"/>
        </w:rPr>
      </w:pPr>
      <w:r w:rsidRPr="00C76D23">
        <w:rPr>
          <w:rFonts w:ascii="Palatino Linotype" w:eastAsia="Palatino Linotype" w:hAnsi="Palatino Linotype" w:cs="Palatino Linotype"/>
        </w:rPr>
        <w:t>Se determine mediante resolución de autoridad competente.</w:t>
      </w:r>
    </w:p>
    <w:p w14:paraId="188F132E" w14:textId="77777777" w:rsidR="006D42C6" w:rsidRPr="00C76D23" w:rsidRDefault="006D42C6" w:rsidP="006D42C6">
      <w:pPr>
        <w:numPr>
          <w:ilvl w:val="0"/>
          <w:numId w:val="4"/>
        </w:numPr>
        <w:spacing w:line="360" w:lineRule="auto"/>
        <w:ind w:left="851"/>
        <w:jc w:val="both"/>
        <w:rPr>
          <w:rFonts w:ascii="Palatino Linotype" w:eastAsia="Palatino Linotype" w:hAnsi="Palatino Linotype" w:cs="Palatino Linotype"/>
        </w:rPr>
      </w:pPr>
      <w:r w:rsidRPr="00C76D23">
        <w:rPr>
          <w:rFonts w:ascii="Palatino Linotype" w:eastAsia="Palatino Linotype" w:hAnsi="Palatino Linotype" w:cs="Palatino Linotype"/>
        </w:rPr>
        <w:t>Se generen versiones públicas para dar cumplimiento a las obligaciones de transparencia previstas en la Ley.</w:t>
      </w:r>
    </w:p>
    <w:p w14:paraId="43DF8375" w14:textId="77777777" w:rsidR="006D42C6" w:rsidRPr="00C76D23" w:rsidRDefault="006D42C6" w:rsidP="006D42C6">
      <w:pPr>
        <w:spacing w:line="360" w:lineRule="auto"/>
        <w:jc w:val="both"/>
        <w:rPr>
          <w:rFonts w:ascii="Palatino Linotype" w:eastAsia="Palatino Linotype" w:hAnsi="Palatino Linotype" w:cs="Palatino Linotype"/>
          <w:sz w:val="10"/>
          <w:szCs w:val="10"/>
        </w:rPr>
      </w:pPr>
    </w:p>
    <w:p w14:paraId="70C2FEBC" w14:textId="77777777" w:rsidR="006D42C6" w:rsidRPr="00C76D23" w:rsidRDefault="006D42C6" w:rsidP="006D42C6">
      <w:pPr>
        <w:spacing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Situación que se robustece con el artículo 141 de la misma Ley, que señala que las causales de reserva previstas, se deberán fundar y motivar, a través de la aplicación de la prueba de daño.</w:t>
      </w:r>
    </w:p>
    <w:p w14:paraId="03B36D55" w14:textId="77777777" w:rsidR="006D42C6" w:rsidRPr="00C76D23" w:rsidRDefault="006D42C6" w:rsidP="006D42C6">
      <w:pPr>
        <w:spacing w:line="360" w:lineRule="auto"/>
        <w:jc w:val="both"/>
        <w:rPr>
          <w:rFonts w:ascii="Palatino Linotype" w:eastAsia="Palatino Linotype" w:hAnsi="Palatino Linotype" w:cs="Palatino Linotype"/>
          <w:sz w:val="10"/>
          <w:szCs w:val="10"/>
        </w:rPr>
      </w:pPr>
    </w:p>
    <w:p w14:paraId="15761340" w14:textId="77777777" w:rsidR="006D42C6" w:rsidRPr="00C76D23" w:rsidRDefault="006D42C6" w:rsidP="006D42C6">
      <w:pPr>
        <w:spacing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a saber:</w:t>
      </w:r>
    </w:p>
    <w:p w14:paraId="6DCD28A8" w14:textId="77777777" w:rsidR="006D42C6" w:rsidRPr="00C76D23" w:rsidRDefault="006D42C6" w:rsidP="006D42C6">
      <w:pPr>
        <w:spacing w:before="240" w:after="240"/>
        <w:ind w:left="851" w:right="90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“Artículo 129</w:t>
      </w:r>
      <w:r w:rsidRPr="00C76D23">
        <w:rPr>
          <w:rFonts w:ascii="Palatino Linotype" w:eastAsia="Palatino Linotype" w:hAnsi="Palatino Linotype" w:cs="Palatino Linotype"/>
          <w:i/>
          <w:sz w:val="22"/>
          <w:szCs w:val="22"/>
        </w:rPr>
        <w:t>. En la aplicación de la prueba de daño, el sujeto obligado deberá precisar las razones objetivas por las que la apertura de la información generaría una afectación, justificando que:</w:t>
      </w:r>
    </w:p>
    <w:p w14:paraId="729DADE3" w14:textId="77777777" w:rsidR="006D42C6" w:rsidRPr="00C76D23" w:rsidRDefault="006D42C6" w:rsidP="006D42C6">
      <w:pPr>
        <w:spacing w:before="240" w:after="240"/>
        <w:ind w:left="1134" w:right="90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w:t>
      </w:r>
      <w:r w:rsidRPr="00C76D23">
        <w:rPr>
          <w:rFonts w:ascii="Palatino Linotype" w:eastAsia="Palatino Linotype" w:hAnsi="Palatino Linotype" w:cs="Palatino Linotype"/>
          <w:i/>
          <w:sz w:val="22"/>
          <w:szCs w:val="22"/>
        </w:rPr>
        <w:t xml:space="preserve">. La divulgación de la información representa un riesgo real, demostrable e identificable del perjuicio significativo al interés público o a la seguridad pública; </w:t>
      </w:r>
    </w:p>
    <w:p w14:paraId="2624DD38" w14:textId="77777777" w:rsidR="006D42C6" w:rsidRPr="00C76D23" w:rsidRDefault="006D42C6" w:rsidP="006D42C6">
      <w:pPr>
        <w:spacing w:before="240" w:after="240"/>
        <w:ind w:left="1134" w:right="90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w:t>
      </w:r>
      <w:r w:rsidRPr="00C76D23">
        <w:rPr>
          <w:rFonts w:ascii="Palatino Linotype" w:eastAsia="Palatino Linotype" w:hAnsi="Palatino Linotype" w:cs="Palatino Linotype"/>
          <w:i/>
          <w:sz w:val="22"/>
          <w:szCs w:val="22"/>
        </w:rPr>
        <w:t xml:space="preserve"> El riesgo de perjuicio que supondría la divulgación supera el interés público general de que se difunda; y</w:t>
      </w:r>
    </w:p>
    <w:p w14:paraId="6F477BA4" w14:textId="77777777" w:rsidR="006D42C6" w:rsidRPr="00C76D23" w:rsidRDefault="006D42C6" w:rsidP="006D42C6">
      <w:pPr>
        <w:spacing w:before="240" w:after="240"/>
        <w:ind w:left="1134" w:right="90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lastRenderedPageBreak/>
        <w:t>III.</w:t>
      </w:r>
      <w:r w:rsidRPr="00C76D23">
        <w:rPr>
          <w:rFonts w:ascii="Palatino Linotype" w:eastAsia="Palatino Linotype" w:hAnsi="Palatino Linotype" w:cs="Palatino Linotype"/>
          <w:i/>
          <w:sz w:val="22"/>
          <w:szCs w:val="22"/>
        </w:rPr>
        <w:t xml:space="preserve"> La limitación se adecua al principio de proporcionalidad y representa el medio menos restrictivo disponible representa el medio menos restrictivo disponible para evitar el perjuicio.”</w:t>
      </w:r>
    </w:p>
    <w:p w14:paraId="245F3BAA" w14:textId="77777777" w:rsidR="006D42C6" w:rsidRPr="00C76D23" w:rsidRDefault="006D42C6" w:rsidP="006D42C6">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Al respecto, debe entenderse que la primera fracción consiste en verificar que existe un riesgo de publicar determinada información para el interés público o la seguridad pública, no implica, por el contrario, argumentar individualmente un riesgo real, demostrable e identificable, pues se entraría en una dinámica usar argumentos repetitivos en categorías de definición vaga. Por lo que el segundo paso de la prueba de daño es que, una vez que se acreditó el riesgo de hacer pública la información, es necesario ponderarlo con el interés público general de que se difunda esa información, demostrando que el primero </w:t>
      </w:r>
      <w:r w:rsidRPr="00C76D23">
        <w:rPr>
          <w:rFonts w:ascii="Palatino Linotype" w:eastAsia="Palatino Linotype" w:hAnsi="Palatino Linotype" w:cs="Palatino Linotype"/>
          <w:sz w:val="22"/>
          <w:szCs w:val="22"/>
        </w:rPr>
        <w:t xml:space="preserve">-el riesgo al divulgarse- </w:t>
      </w:r>
      <w:r w:rsidRPr="00C76D23">
        <w:rPr>
          <w:rFonts w:ascii="Palatino Linotype" w:eastAsia="Palatino Linotype" w:hAnsi="Palatino Linotype" w:cs="Palatino Linotype"/>
        </w:rPr>
        <w:t xml:space="preserve">supera al segundo </w:t>
      </w:r>
      <w:r w:rsidRPr="00C76D23">
        <w:rPr>
          <w:rFonts w:ascii="Palatino Linotype" w:eastAsia="Palatino Linotype" w:hAnsi="Palatino Linotype" w:cs="Palatino Linotype"/>
          <w:sz w:val="22"/>
          <w:szCs w:val="22"/>
        </w:rPr>
        <w:t>-el interés de que se conozca-</w:t>
      </w:r>
      <w:r w:rsidRPr="00C76D23">
        <w:rPr>
          <w:rFonts w:ascii="Palatino Linotype" w:eastAsia="Palatino Linotype" w:hAnsi="Palatino Linotype" w:cs="Palatino Linotype"/>
        </w:rPr>
        <w:t>. Mientras que la tercera fracción es una guía de cómo realizar dicha ponderación a través del principio de proporcionalidad. Es decir, se debe determinar, en resumen, la idoneidad, necesidad y proporcionalidad de la reserva de la información frente al interés público de divulgarla. Además, se deben explorar las alternativas a través de las cuales se puede conseguir un menor daño a los intereses en pugna, o verificar que el medio que se eligió para reservar la información es el más benigno.</w:t>
      </w:r>
    </w:p>
    <w:p w14:paraId="7480B09C" w14:textId="77777777" w:rsidR="006D42C6" w:rsidRPr="00C76D23" w:rsidRDefault="006D42C6" w:rsidP="006D42C6">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En el mismo tenor el Lineamiento Trigésimo Tercero, de los Lineamientos Generales en Materia de Clasificación y Desclasificación de la Información, dispone lo siguiente:</w:t>
      </w:r>
    </w:p>
    <w:p w14:paraId="0804584C" w14:textId="77777777" w:rsidR="006D42C6" w:rsidRPr="00C76D23" w:rsidRDefault="006D42C6" w:rsidP="006D42C6">
      <w:pPr>
        <w:spacing w:before="120" w:after="120"/>
        <w:ind w:left="851" w:right="758"/>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r w:rsidRPr="00C76D23">
        <w:rPr>
          <w:rFonts w:ascii="Palatino Linotype" w:eastAsia="Palatino Linotype" w:hAnsi="Palatino Linotype" w:cs="Palatino Linotype"/>
          <w:b/>
          <w:i/>
          <w:sz w:val="22"/>
          <w:szCs w:val="22"/>
        </w:rPr>
        <w:t>Trigésimo tercero</w:t>
      </w:r>
      <w:r w:rsidRPr="00C76D23">
        <w:rPr>
          <w:rFonts w:ascii="Palatino Linotype" w:eastAsia="Palatino Linotype" w:hAnsi="Palatino Linotype" w:cs="Palatino Linotype"/>
          <w:i/>
          <w:sz w:val="22"/>
          <w:szCs w:val="22"/>
        </w:rPr>
        <w:t>. Para la aplicación de la prueba de daño a la que hace referencia el artículo 104 de la Ley General, los sujetos obligados atenderán lo siguiente:</w:t>
      </w:r>
    </w:p>
    <w:p w14:paraId="29BC0665" w14:textId="77777777" w:rsidR="006D42C6" w:rsidRPr="00C76D23" w:rsidRDefault="006D42C6" w:rsidP="006D42C6">
      <w:pPr>
        <w:tabs>
          <w:tab w:val="left" w:pos="1701"/>
        </w:tabs>
        <w:spacing w:before="120" w:after="120"/>
        <w:ind w:left="1134" w:right="760"/>
        <w:jc w:val="both"/>
        <w:rPr>
          <w:rFonts w:ascii="Palatino Linotype" w:eastAsia="Palatino Linotype" w:hAnsi="Palatino Linotype" w:cs="Palatino Linotype"/>
          <w:b/>
          <w:i/>
          <w:sz w:val="20"/>
          <w:szCs w:val="20"/>
        </w:rPr>
      </w:pPr>
      <w:r w:rsidRPr="00C76D23">
        <w:rPr>
          <w:rFonts w:ascii="Palatino Linotype" w:eastAsia="Palatino Linotype" w:hAnsi="Palatino Linotype" w:cs="Palatino Linotype"/>
          <w:b/>
          <w:i/>
          <w:sz w:val="22"/>
          <w:szCs w:val="22"/>
        </w:rPr>
        <w:lastRenderedPageBreak/>
        <w:t xml:space="preserve">I. </w:t>
      </w:r>
      <w:r w:rsidRPr="00C76D23">
        <w:rPr>
          <w:rFonts w:ascii="Palatino Linotype" w:eastAsia="Palatino Linotype" w:hAnsi="Palatino Linotype" w:cs="Palatino Linotype"/>
          <w:i/>
          <w:sz w:val="22"/>
          <w:szCs w:val="22"/>
        </w:rPr>
        <w:t>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w:t>
      </w:r>
    </w:p>
    <w:p w14:paraId="2D4E1FAB" w14:textId="77777777" w:rsidR="006D42C6" w:rsidRPr="00C76D23" w:rsidRDefault="006D42C6" w:rsidP="006D42C6">
      <w:pPr>
        <w:tabs>
          <w:tab w:val="left" w:pos="1701"/>
        </w:tabs>
        <w:spacing w:before="120" w:after="120"/>
        <w:ind w:left="1134" w:right="76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w:t>
      </w:r>
      <w:r w:rsidRPr="00C76D23">
        <w:rPr>
          <w:rFonts w:ascii="Palatino Linotype" w:eastAsia="Palatino Linotype" w:hAnsi="Palatino Linotype" w:cs="Palatino Linotype"/>
          <w:i/>
          <w:sz w:val="22"/>
          <w:szCs w:val="22"/>
        </w:rPr>
        <w:t>. Se deberá motivar la clasificación, señalando las circunstancias de modo, tiempo y lugar que acrediten el vínculo entre la difusión de la información y la afectación al interés público o a la seguridad nacional;</w:t>
      </w:r>
    </w:p>
    <w:p w14:paraId="2921A7D5" w14:textId="77777777" w:rsidR="006D42C6" w:rsidRPr="00C76D23" w:rsidRDefault="006D42C6" w:rsidP="006D42C6">
      <w:pPr>
        <w:tabs>
          <w:tab w:val="left" w:pos="1701"/>
        </w:tabs>
        <w:spacing w:before="120" w:after="120"/>
        <w:ind w:left="1134" w:right="76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III.</w:t>
      </w:r>
      <w:r w:rsidRPr="00C76D23">
        <w:rPr>
          <w:rFonts w:ascii="Palatino Linotype" w:eastAsia="Palatino Linotype" w:hAnsi="Palatino Linotype" w:cs="Palatino Linotype"/>
          <w:i/>
          <w:sz w:val="22"/>
          <w:szCs w:val="22"/>
        </w:rPr>
        <w:t xml:space="preserve"> Se deberán precisar las razones objetivas por las que la apertura de la información generaría un riesgo de perjuicio real, demostrable e identificable al interés jurídico tutelado de que se trate;</w:t>
      </w:r>
    </w:p>
    <w:p w14:paraId="0B305F83" w14:textId="77777777" w:rsidR="006D42C6" w:rsidRPr="00C76D23" w:rsidRDefault="006D42C6" w:rsidP="006D42C6">
      <w:pPr>
        <w:tabs>
          <w:tab w:val="left" w:pos="1701"/>
        </w:tabs>
        <w:spacing w:before="120" w:after="120"/>
        <w:ind w:left="1134" w:right="760"/>
        <w:jc w:val="both"/>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b/>
          <w:i/>
          <w:sz w:val="22"/>
          <w:szCs w:val="22"/>
        </w:rPr>
        <w:t>IV.</w:t>
      </w:r>
      <w:r w:rsidRPr="00C76D23">
        <w:rPr>
          <w:rFonts w:ascii="Palatino Linotype" w:eastAsia="Palatino Linotype" w:hAnsi="Palatino Linotype" w:cs="Palatino Linotype"/>
          <w:i/>
          <w:sz w:val="22"/>
          <w:szCs w:val="22"/>
        </w:rPr>
        <w:t xml:space="preserve">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w:t>
      </w:r>
      <w:r w:rsidRPr="00C76D23">
        <w:rPr>
          <w:rFonts w:ascii="Palatino Linotype" w:eastAsia="Palatino Linotype" w:hAnsi="Palatino Linotype" w:cs="Palatino Linotype"/>
          <w:b/>
          <w:i/>
          <w:sz w:val="22"/>
          <w:szCs w:val="22"/>
        </w:rPr>
        <w:t xml:space="preserve"> </w:t>
      </w:r>
    </w:p>
    <w:p w14:paraId="59CCE2DB" w14:textId="77777777" w:rsidR="006D42C6" w:rsidRPr="00C76D23" w:rsidRDefault="006D42C6" w:rsidP="006D42C6">
      <w:pPr>
        <w:tabs>
          <w:tab w:val="left" w:pos="1701"/>
        </w:tabs>
        <w:spacing w:before="120" w:after="120"/>
        <w:ind w:left="1134" w:right="760"/>
        <w:jc w:val="both"/>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b/>
          <w:i/>
          <w:sz w:val="22"/>
          <w:szCs w:val="22"/>
        </w:rPr>
        <w:t>V</w:t>
      </w:r>
      <w:r w:rsidRPr="00C76D23">
        <w:rPr>
          <w:rFonts w:ascii="Palatino Linotype" w:eastAsia="Palatino Linotype" w:hAnsi="Palatino Linotype" w:cs="Palatino Linotype"/>
          <w:i/>
          <w:sz w:val="22"/>
          <w:szCs w:val="22"/>
        </w:rPr>
        <w:t>. Deberán elegir y justificar la opción de excepción al derecho de acceso a la información que menos lo restrinja y que sea adecuada y proporcional para evitar el perjuicio al interés público, evitando siempre que sea posible la reserva absoluta de documentos o expedientes; y</w:t>
      </w:r>
      <w:r w:rsidRPr="00C76D23">
        <w:rPr>
          <w:rFonts w:ascii="Palatino Linotype" w:eastAsia="Palatino Linotype" w:hAnsi="Palatino Linotype" w:cs="Palatino Linotype"/>
          <w:b/>
          <w:i/>
          <w:sz w:val="22"/>
          <w:szCs w:val="22"/>
        </w:rPr>
        <w:t xml:space="preserve"> </w:t>
      </w:r>
    </w:p>
    <w:p w14:paraId="2427C33A" w14:textId="77777777" w:rsidR="006D42C6" w:rsidRPr="00C76D23" w:rsidRDefault="006D42C6" w:rsidP="006D42C6">
      <w:pPr>
        <w:tabs>
          <w:tab w:val="left" w:pos="1701"/>
        </w:tabs>
        <w:spacing w:before="120" w:after="120"/>
        <w:ind w:left="1134" w:right="76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VI</w:t>
      </w:r>
      <w:r w:rsidRPr="00C76D23">
        <w:rPr>
          <w:rFonts w:ascii="Palatino Linotype" w:eastAsia="Palatino Linotype" w:hAnsi="Palatino Linotype" w:cs="Palatino Linotype"/>
          <w:i/>
          <w:sz w:val="22"/>
          <w:szCs w:val="22"/>
        </w:rPr>
        <w:t>.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14:paraId="24794F7B" w14:textId="77777777" w:rsidR="006D42C6" w:rsidRPr="00C76D23" w:rsidRDefault="006D42C6" w:rsidP="006D42C6">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De tal manera, las limitaciones al acceso a la información deben sustentarse en una adecuada clasificación que debe distinguir y tomar en cuenta qué información puede generar un daño desproporcionado o innecesario a valores jurídicamente protegidos.</w:t>
      </w:r>
    </w:p>
    <w:p w14:paraId="5CEAD921" w14:textId="77777777" w:rsidR="006D42C6" w:rsidRPr="00C76D23" w:rsidRDefault="006D42C6" w:rsidP="006D42C6">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Lo anterior, encuentra sustento en la Tesis de la Décima Época, publicada en la Gaceta del Semanario Judicial de la Federación, sección Tribunales Colegiados de Circuito, Libro 5, de fecha abril de 2014, pág. 1523, Registro, 2, 006,299. I.1o.A.E.3 K (10a.), que literalmente señala:</w:t>
      </w:r>
    </w:p>
    <w:p w14:paraId="3898B0B6" w14:textId="77777777" w:rsidR="006D42C6" w:rsidRPr="00C76D23" w:rsidRDefault="006D42C6" w:rsidP="006D42C6">
      <w:pPr>
        <w:spacing w:line="360" w:lineRule="auto"/>
        <w:jc w:val="both"/>
        <w:rPr>
          <w:rFonts w:ascii="Palatino Linotype" w:eastAsia="Palatino Linotype" w:hAnsi="Palatino Linotype" w:cs="Palatino Linotype"/>
          <w:sz w:val="10"/>
          <w:szCs w:val="10"/>
        </w:rPr>
      </w:pPr>
    </w:p>
    <w:p w14:paraId="54C01B45" w14:textId="77777777" w:rsidR="006D42C6" w:rsidRPr="00C76D23" w:rsidRDefault="006D42C6" w:rsidP="006D42C6">
      <w:pPr>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r w:rsidRPr="00C76D23">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C76D23">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C76D23">
        <w:rPr>
          <w:rFonts w:ascii="Palatino Linotype" w:eastAsia="Palatino Linotype" w:hAnsi="Palatino Linotype" w:cs="Palatino Linotype"/>
          <w:i/>
          <w:sz w:val="22"/>
          <w:szCs w:val="22"/>
        </w:rPr>
        <w:t>officio</w:t>
      </w:r>
      <w:proofErr w:type="spellEnd"/>
      <w:r w:rsidRPr="00C76D23">
        <w:rPr>
          <w:rFonts w:ascii="Palatino Linotype" w:eastAsia="Palatino Linotype" w:hAnsi="Palatino Linotype" w:cs="Palatino Linotype"/>
          <w:i/>
          <w:sz w:val="22"/>
          <w:szCs w:val="22"/>
        </w:rPr>
        <w:t>, con el propósito de obtener una versión que sea pública para la parte interesada.” (sic)</w:t>
      </w:r>
    </w:p>
    <w:p w14:paraId="68E30825" w14:textId="77777777" w:rsidR="006D42C6" w:rsidRPr="00C76D23" w:rsidRDefault="006D42C6" w:rsidP="006D42C6">
      <w:pPr>
        <w:spacing w:line="360" w:lineRule="auto"/>
        <w:jc w:val="both"/>
        <w:rPr>
          <w:rFonts w:ascii="Palatino Linotype" w:eastAsia="Palatino Linotype" w:hAnsi="Palatino Linotype" w:cs="Palatino Linotype"/>
          <w:sz w:val="10"/>
          <w:szCs w:val="10"/>
        </w:rPr>
      </w:pPr>
    </w:p>
    <w:p w14:paraId="68BC6ABA" w14:textId="77777777" w:rsidR="006D42C6" w:rsidRPr="00C76D23" w:rsidRDefault="006D42C6" w:rsidP="006D42C6">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Prueba de daño, que cobra relevancia puesto que sí ésta no arroja resultados contundentes sobre un posible peligro, deberá de publicarse o difundirse la información.</w:t>
      </w:r>
    </w:p>
    <w:p w14:paraId="1F574201" w14:textId="77777777" w:rsidR="006D42C6" w:rsidRPr="00C76D23" w:rsidRDefault="006D42C6" w:rsidP="006D42C6">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Asimismo, de conformidad con los artículos 108 de la Ley General de Transparencia y Acceso a la Información Pública y 134 de la Ley de Transparencia y Acceso a la Información Pública del Estado de México y Municipios, los Sujetos Obligados no pueden emitir acuerdos de carácter general ni particular que clasifiquen documentos o información como reservada, ya que dicha clasificación ya sea parcial o total, debe estar acorde con la actualización de los supuestos definidos; resaltándose además que, la clasificación de la información se debe realizar </w:t>
      </w:r>
      <w:r w:rsidRPr="00C76D23">
        <w:rPr>
          <w:rFonts w:ascii="Palatino Linotype" w:eastAsia="Palatino Linotype" w:hAnsi="Palatino Linotype" w:cs="Palatino Linotype"/>
        </w:rPr>
        <w:lastRenderedPageBreak/>
        <w:t>conforme a un análisis caso por caso, mediante la aplicación de la enunciada prueba de daño.</w:t>
      </w:r>
    </w:p>
    <w:p w14:paraId="718BF16F" w14:textId="77777777" w:rsidR="006D42C6" w:rsidRPr="00C76D23" w:rsidRDefault="006D42C6" w:rsidP="006D42C6">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De este modo, es necesario que el Sujeto Obligado,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20BA1DB2" w14:textId="77777777" w:rsidR="006D42C6" w:rsidRPr="00C76D23" w:rsidRDefault="006D42C6" w:rsidP="006D42C6">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Aunado a lo anterior, se tiene que conforme al Lineamiento Octavo, de los Lineamientos Generales en materia de Clasificación y Desclasificación de la Información, para fundar la clasificación de la información se debe señalar el artículo, fracción, inciso, párrafo o numeral de la Ley o tratado internacional suscrito por el Estado Mexicano que expresamente le otorgue el carácter de reservada, mientras que para motivar la clasificación se deben señalar las razones o circunstancias especiales que lo llevaron a concluir que el caso particular se ajusta al supuesto previsto por la norma legal invocada como fundamento</w:t>
      </w:r>
      <w:r w:rsidRPr="00C76D23">
        <w:rPr>
          <w:rFonts w:ascii="Palatino Linotype" w:eastAsia="Arial" w:hAnsi="Palatino Linotype" w:cs="Arial"/>
        </w:rPr>
        <w:t xml:space="preserve">, </w:t>
      </w:r>
      <w:r w:rsidRPr="00C76D23">
        <w:rPr>
          <w:rFonts w:ascii="Palatino Linotype" w:eastAsia="Palatino Linotype" w:hAnsi="Palatino Linotype" w:cs="Palatino Linotype"/>
        </w:rPr>
        <w:t>reiterando que en el caso específico de la reserva, la motivación de la clasificación deberá comprender el análisis de la prueba de daño a que hace</w:t>
      </w:r>
      <w:r w:rsidR="00140EEF" w:rsidRPr="00C76D23">
        <w:rPr>
          <w:rFonts w:ascii="Palatino Linotype" w:eastAsia="Palatino Linotype" w:hAnsi="Palatino Linotype" w:cs="Palatino Linotype"/>
        </w:rPr>
        <w:t>n</w:t>
      </w:r>
      <w:r w:rsidRPr="00C76D23">
        <w:rPr>
          <w:rFonts w:ascii="Palatino Linotype" w:eastAsia="Palatino Linotype" w:hAnsi="Palatino Linotype" w:cs="Palatino Linotype"/>
        </w:rPr>
        <w:t xml:space="preserve"> refer</w:t>
      </w:r>
      <w:r w:rsidR="00140EEF" w:rsidRPr="00C76D23">
        <w:rPr>
          <w:rFonts w:ascii="Palatino Linotype" w:eastAsia="Palatino Linotype" w:hAnsi="Palatino Linotype" w:cs="Palatino Linotype"/>
        </w:rPr>
        <w:t>encia los</w:t>
      </w:r>
      <w:r w:rsidRPr="00C76D23">
        <w:rPr>
          <w:rFonts w:ascii="Palatino Linotype" w:eastAsia="Palatino Linotype" w:hAnsi="Palatino Linotype" w:cs="Palatino Linotype"/>
        </w:rPr>
        <w:t xml:space="preserve"> artículo</w:t>
      </w:r>
      <w:r w:rsidR="00140EEF" w:rsidRPr="00C76D23">
        <w:rPr>
          <w:rFonts w:ascii="Palatino Linotype" w:eastAsia="Palatino Linotype" w:hAnsi="Palatino Linotype" w:cs="Palatino Linotype"/>
        </w:rPr>
        <w:t>s</w:t>
      </w:r>
      <w:r w:rsidRPr="00C76D23">
        <w:rPr>
          <w:rFonts w:ascii="Palatino Linotype" w:eastAsia="Palatino Linotype" w:hAnsi="Palatino Linotype" w:cs="Palatino Linotype"/>
        </w:rPr>
        <w:t xml:space="preserve"> 104 de la Ley General</w:t>
      </w:r>
      <w:r w:rsidR="00140EEF" w:rsidRPr="00C76D23">
        <w:rPr>
          <w:rFonts w:ascii="Palatino Linotype" w:eastAsia="Palatino Linotype" w:hAnsi="Palatino Linotype" w:cs="Palatino Linotype"/>
        </w:rPr>
        <w:t xml:space="preserve"> de Transparencia y 129 de la Ley de Transparencia Local</w:t>
      </w:r>
      <w:r w:rsidRPr="00C76D23">
        <w:rPr>
          <w:rFonts w:ascii="Palatino Linotype" w:eastAsia="Palatino Linotype" w:hAnsi="Palatino Linotype" w:cs="Palatino Linotype"/>
        </w:rPr>
        <w:t xml:space="preserve">, en relación con el artículo trigésimo tercero de los Lineamientos, así como las circunstancias que justifican el establecimiento de determinado plazo de reserva, en otras palabras, para </w:t>
      </w:r>
      <w:r w:rsidRPr="00C76D23">
        <w:rPr>
          <w:rFonts w:ascii="Palatino Linotype" w:eastAsia="Palatino Linotype" w:hAnsi="Palatino Linotype" w:cs="Palatino Linotype"/>
        </w:rPr>
        <w:lastRenderedPageBreak/>
        <w:t>clasificar la información como reservada, el acuerdo respectivo debe estar debidamente fundado y motivado.</w:t>
      </w:r>
    </w:p>
    <w:p w14:paraId="1F11FE92" w14:textId="77777777" w:rsidR="006D42C6" w:rsidRPr="00C76D23" w:rsidRDefault="006D42C6" w:rsidP="006D42C6">
      <w:pPr>
        <w:spacing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Sirve de sustento a lo anterior, la Tesis jurisprudencial número I.</w:t>
      </w:r>
      <w:proofErr w:type="gramStart"/>
      <w:r w:rsidRPr="00C76D23">
        <w:rPr>
          <w:rFonts w:ascii="Palatino Linotype" w:eastAsia="Palatino Linotype" w:hAnsi="Palatino Linotype" w:cs="Palatino Linotype"/>
        </w:rPr>
        <w:t>4º.A.</w:t>
      </w:r>
      <w:proofErr w:type="gramEnd"/>
      <w:r w:rsidRPr="00C76D23">
        <w:rPr>
          <w:rFonts w:ascii="Palatino Linotype" w:eastAsia="Palatino Linotype" w:hAnsi="Palatino Linotype" w:cs="Palatino Linotype"/>
        </w:rPr>
        <w:t xml:space="preserve"> J/43, publicada en el Semanario Judicial de la Federación y su Gaceta, bajo el número de registro 175,082; que a la letra dice:</w:t>
      </w:r>
    </w:p>
    <w:p w14:paraId="105FF6C4" w14:textId="77777777" w:rsidR="006D42C6" w:rsidRPr="00C76D23" w:rsidRDefault="006D42C6" w:rsidP="006D42C6">
      <w:pPr>
        <w:spacing w:line="360" w:lineRule="auto"/>
        <w:jc w:val="both"/>
        <w:rPr>
          <w:rFonts w:ascii="Palatino Linotype" w:eastAsia="Palatino Linotype" w:hAnsi="Palatino Linotype" w:cs="Palatino Linotype"/>
          <w:sz w:val="10"/>
          <w:szCs w:val="10"/>
        </w:rPr>
      </w:pPr>
    </w:p>
    <w:p w14:paraId="4C8A7ADE" w14:textId="77777777" w:rsidR="006D42C6" w:rsidRPr="00C76D23" w:rsidRDefault="006D42C6" w:rsidP="006D42C6">
      <w:pPr>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r w:rsidRPr="00C76D23">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 </w:t>
      </w:r>
      <w:r w:rsidRPr="00C76D23">
        <w:rPr>
          <w:rFonts w:ascii="Palatino Linotype" w:eastAsia="Palatino Linotype" w:hAnsi="Palatino Linotype" w:cs="Palatino Linotype"/>
          <w:i/>
          <w:sz w:val="22"/>
          <w:szCs w:val="22"/>
        </w:rPr>
        <w:t>El contenido formal de la garantía de legalidad prevista en el artículo 16 constitucional relativa a la fundamentación y motivación tiene como propósito primordial y ratio que el justiciable </w:t>
      </w:r>
      <w:r w:rsidRPr="00C76D23">
        <w:rPr>
          <w:rFonts w:ascii="Palatino Linotype" w:eastAsia="Palatino Linotype" w:hAnsi="Palatino Linotype" w:cs="Palatino Linotype"/>
          <w:b/>
          <w:i/>
          <w:sz w:val="22"/>
          <w:szCs w:val="22"/>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76D23">
        <w:rPr>
          <w:rFonts w:ascii="Palatino Linotype" w:eastAsia="Palatino Linotype" w:hAnsi="Palatino Linotype" w:cs="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C76D23">
        <w:rPr>
          <w:rFonts w:ascii="Palatino Linotype" w:eastAsia="Palatino Linotype" w:hAnsi="Palatino Linotype" w:cs="Palatino Linotype"/>
          <w:b/>
          <w:i/>
          <w:sz w:val="22"/>
          <w:szCs w:val="22"/>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C76D23">
        <w:rPr>
          <w:rFonts w:ascii="Palatino Linotype" w:eastAsia="Palatino Linotype" w:hAnsi="Palatino Linotype" w:cs="Palatino Linotype"/>
          <w:i/>
          <w:sz w:val="22"/>
          <w:szCs w:val="22"/>
        </w:rPr>
        <w:t> del que se deduzca la relación de pertenencia lógica de los hechos al derecho invocado, que es la subsunción.”</w:t>
      </w:r>
    </w:p>
    <w:p w14:paraId="7798834B" w14:textId="23129474" w:rsidR="00057142" w:rsidRPr="00C76D23" w:rsidRDefault="00140EEF" w:rsidP="006D42C6">
      <w:pPr>
        <w:spacing w:before="240" w:after="240" w:line="360" w:lineRule="auto"/>
        <w:jc w:val="both"/>
        <w:rPr>
          <w:rFonts w:ascii="Palatino Linotype" w:eastAsia="Palatino Linotype" w:hAnsi="Palatino Linotype" w:cs="Palatino Linotype"/>
        </w:rPr>
      </w:pPr>
      <w:r w:rsidRPr="00C76D23">
        <w:rPr>
          <w:rFonts w:ascii="Palatino Linotype" w:hAnsi="Palatino Linotype"/>
        </w:rPr>
        <w:t xml:space="preserve">En el caso concreto, si bien se coincide con los Servidores Públicos </w:t>
      </w:r>
      <w:r w:rsidR="00057142" w:rsidRPr="00C76D23">
        <w:rPr>
          <w:rFonts w:ascii="Palatino Linotype" w:hAnsi="Palatino Linotype"/>
        </w:rPr>
        <w:t xml:space="preserve">Habilitados </w:t>
      </w:r>
      <w:r w:rsidRPr="00C76D23">
        <w:rPr>
          <w:rFonts w:ascii="Palatino Linotype" w:hAnsi="Palatino Linotype"/>
        </w:rPr>
        <w:t xml:space="preserve">de la Dirección de Administración, respecto al </w:t>
      </w:r>
      <w:r w:rsidR="00057142" w:rsidRPr="00C76D23">
        <w:rPr>
          <w:rFonts w:ascii="Palatino Linotype" w:hAnsi="Palatino Linotype"/>
        </w:rPr>
        <w:t xml:space="preserve">hecho de que la información contenida en </w:t>
      </w:r>
      <w:r w:rsidRPr="00C76D23">
        <w:rPr>
          <w:rFonts w:ascii="Palatino Linotype" w:hAnsi="Palatino Linotype"/>
        </w:rPr>
        <w:t xml:space="preserve">contratos de arrendamiento de las patrullas de la </w:t>
      </w:r>
      <w:r w:rsidRPr="00C76D23">
        <w:rPr>
          <w:rFonts w:ascii="Palatino Linotype" w:eastAsia="Palatino Linotype" w:hAnsi="Palatino Linotype" w:cs="Palatino Linotype"/>
        </w:rPr>
        <w:t>Comisaría de Seguridad Pública y Tránsito Municipal</w:t>
      </w:r>
      <w:r w:rsidR="00057142" w:rsidRPr="00C76D23">
        <w:rPr>
          <w:rFonts w:ascii="Palatino Linotype" w:eastAsia="Palatino Linotype" w:hAnsi="Palatino Linotype" w:cs="Palatino Linotype"/>
        </w:rPr>
        <w:t xml:space="preserve"> pudiera actualizar alguna causal de reserva, ya que como ha sido mencionado, el derecho de acceso no es absoluto, sino que, como toda garantía, se </w:t>
      </w:r>
      <w:r w:rsidR="00057142" w:rsidRPr="00C76D23">
        <w:rPr>
          <w:rFonts w:ascii="Palatino Linotype" w:eastAsia="Palatino Linotype" w:hAnsi="Palatino Linotype" w:cs="Palatino Linotype"/>
        </w:rPr>
        <w:lastRenderedPageBreak/>
        <w:t xml:space="preserve">halla sujeto a limitaciones o excepciones que se sustentan en las disposiciones normativas aplicables, lo cierto es que </w:t>
      </w:r>
      <w:r w:rsidR="009E1F9E" w:rsidRPr="00C76D23">
        <w:rPr>
          <w:rFonts w:ascii="Palatino Linotype" w:eastAsia="Palatino Linotype" w:hAnsi="Palatino Linotype" w:cs="Palatino Linotype"/>
        </w:rPr>
        <w:t xml:space="preserve">dicho argumento es aplicable concretamente </w:t>
      </w:r>
      <w:r w:rsidR="00057142" w:rsidRPr="00C76D23">
        <w:rPr>
          <w:rFonts w:ascii="Palatino Linotype" w:eastAsia="Palatino Linotype" w:hAnsi="Palatino Linotype" w:cs="Palatino Linotype"/>
        </w:rPr>
        <w:t>respecto de las especificaciones técnicas de dichos vehículos operativos</w:t>
      </w:r>
      <w:r w:rsidR="007657D6" w:rsidRPr="00C76D23">
        <w:rPr>
          <w:rFonts w:ascii="Palatino Linotype" w:eastAsia="Palatino Linotype" w:hAnsi="Palatino Linotype" w:cs="Palatino Linotype"/>
        </w:rPr>
        <w:t xml:space="preserve">, y en su caso, respecto de las </w:t>
      </w:r>
      <w:r w:rsidR="006B6DA0" w:rsidRPr="00C76D23">
        <w:rPr>
          <w:rFonts w:ascii="Palatino Linotype" w:eastAsia="Palatino Linotype" w:hAnsi="Palatino Linotype" w:cs="Palatino Linotype"/>
        </w:rPr>
        <w:t xml:space="preserve">plataformas de posicionamiento táctico </w:t>
      </w:r>
      <w:r w:rsidR="007657D6" w:rsidRPr="00C76D23">
        <w:rPr>
          <w:rFonts w:ascii="Palatino Linotype" w:eastAsia="Palatino Linotype" w:hAnsi="Palatino Linotype" w:cs="Palatino Linotype"/>
        </w:rPr>
        <w:t>y la ubicación de estas</w:t>
      </w:r>
      <w:r w:rsidR="00057142" w:rsidRPr="00C76D23">
        <w:rPr>
          <w:rFonts w:ascii="Palatino Linotype" w:eastAsia="Palatino Linotype" w:hAnsi="Palatino Linotype" w:cs="Palatino Linotype"/>
        </w:rPr>
        <w:t xml:space="preserve">, información que por su naturaleza debe ser </w:t>
      </w:r>
      <w:r w:rsidR="003A7B50" w:rsidRPr="00C76D23">
        <w:rPr>
          <w:rFonts w:ascii="Palatino Linotype" w:eastAsia="Palatino Linotype" w:hAnsi="Palatino Linotype" w:cs="Palatino Linotype"/>
        </w:rPr>
        <w:t>clasificada como reservada, por lo que el  o los contratos de arrendamiento son susceptibles de entrega mediante versión pública en la que se clasifique dicha información.</w:t>
      </w:r>
    </w:p>
    <w:p w14:paraId="30F1BC9F" w14:textId="77777777" w:rsidR="00057142" w:rsidRPr="00C76D23" w:rsidRDefault="00057142" w:rsidP="00255EDE">
      <w:pPr>
        <w:spacing w:before="120" w:after="12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Lo anterior encuentra sustento en lo previsto por los Lineamientos Generales en Materia de Clasificación y Desclasificación de la Información, así como para la Elaboración de Versiones Públicas -Lineamientos Generales-, los cuales establecen lo siguiente:</w:t>
      </w:r>
    </w:p>
    <w:p w14:paraId="44DDFAA6" w14:textId="77777777" w:rsidR="00057142" w:rsidRPr="00C76D23" w:rsidRDefault="00057142" w:rsidP="000465A1">
      <w:pPr>
        <w:spacing w:before="120" w:after="120"/>
        <w:ind w:left="851" w:right="900"/>
        <w:jc w:val="both"/>
        <w:rPr>
          <w:rFonts w:ascii="Palatino Linotype" w:eastAsia="Palatino Linotype" w:hAnsi="Palatino Linotype" w:cs="Palatino Linotype"/>
          <w:sz w:val="22"/>
        </w:rPr>
      </w:pPr>
      <w:r w:rsidRPr="00C76D23">
        <w:rPr>
          <w:rFonts w:ascii="Palatino Linotype" w:eastAsia="Palatino Linotype" w:hAnsi="Palatino Linotype" w:cs="Palatino Linotype"/>
          <w:i/>
          <w:iCs/>
          <w:sz w:val="22"/>
        </w:rPr>
        <w:t>“</w:t>
      </w:r>
      <w:r w:rsidRPr="00C76D23">
        <w:rPr>
          <w:rFonts w:ascii="Palatino Linotype" w:eastAsia="Palatino Linotype" w:hAnsi="Palatino Linotype" w:cs="Palatino Linotype"/>
          <w:b/>
          <w:bCs/>
          <w:i/>
          <w:iCs/>
          <w:sz w:val="22"/>
        </w:rPr>
        <w:t>Décimo séptimo</w:t>
      </w:r>
      <w:r w:rsidRPr="00C76D23">
        <w:rPr>
          <w:rFonts w:ascii="Palatino Linotype" w:eastAsia="Palatino Linotype" w:hAnsi="Palatino Linotype" w:cs="Palatino Linotype"/>
          <w:i/>
          <w:iCs/>
          <w:sz w:val="22"/>
        </w:rPr>
        <w:t xml:space="preserve">. </w:t>
      </w:r>
      <w:r w:rsidRPr="00C76D23">
        <w:rPr>
          <w:rFonts w:ascii="Palatino Linotype" w:eastAsia="Palatino Linotype" w:hAnsi="Palatino Linotype" w:cs="Palatino Linotype"/>
          <w:b/>
          <w:bCs/>
          <w:i/>
          <w:iCs/>
          <w:sz w:val="22"/>
        </w:rPr>
        <w:t>De conformidad con el artículo 113, fracción I de la Ley General, podrá considerarse como información reservada, aquella que de difundirse actualice o potencialice un riesgo o amenaza a la seguridad nacional cuando</w:t>
      </w:r>
      <w:r w:rsidRPr="00C76D23">
        <w:rPr>
          <w:rFonts w:ascii="Palatino Linotype" w:eastAsia="Palatino Linotype" w:hAnsi="Palatino Linotype" w:cs="Palatino Linotype"/>
          <w:i/>
          <w:iCs/>
          <w:sz w:val="22"/>
        </w:rPr>
        <w:t>: </w:t>
      </w:r>
    </w:p>
    <w:p w14:paraId="12E598CF" w14:textId="77777777" w:rsidR="00057142" w:rsidRPr="00C76D23" w:rsidRDefault="00057142" w:rsidP="000465A1">
      <w:pPr>
        <w:spacing w:before="120" w:after="120"/>
        <w:ind w:left="1134" w:right="900"/>
        <w:jc w:val="both"/>
        <w:rPr>
          <w:rFonts w:ascii="Palatino Linotype" w:eastAsia="Palatino Linotype" w:hAnsi="Palatino Linotype" w:cs="Palatino Linotype"/>
          <w:sz w:val="22"/>
        </w:rPr>
      </w:pPr>
      <w:r w:rsidRPr="00C76D23">
        <w:rPr>
          <w:rFonts w:ascii="Palatino Linotype" w:eastAsia="Palatino Linotype" w:hAnsi="Palatino Linotype" w:cs="Palatino Linotype"/>
          <w:i/>
          <w:iCs/>
          <w:sz w:val="22"/>
        </w:rPr>
        <w:t>…</w:t>
      </w:r>
    </w:p>
    <w:p w14:paraId="0D240343" w14:textId="77777777" w:rsidR="00057142" w:rsidRPr="00C76D23" w:rsidRDefault="00057142" w:rsidP="000465A1">
      <w:pPr>
        <w:spacing w:before="120" w:after="120"/>
        <w:ind w:left="1134" w:right="900"/>
        <w:jc w:val="both"/>
        <w:rPr>
          <w:rFonts w:ascii="Palatino Linotype" w:eastAsia="Palatino Linotype" w:hAnsi="Palatino Linotype" w:cs="Palatino Linotype"/>
          <w:sz w:val="22"/>
        </w:rPr>
      </w:pPr>
      <w:r w:rsidRPr="00C76D23">
        <w:rPr>
          <w:rFonts w:ascii="Palatino Linotype" w:eastAsia="Palatino Linotype" w:hAnsi="Palatino Linotype" w:cs="Palatino Linotype"/>
          <w:b/>
          <w:bCs/>
          <w:i/>
          <w:iCs/>
          <w:sz w:val="22"/>
        </w:rPr>
        <w:t>VII. Se puedan menoscabar, obstaculizar o dificultar las estrategias o acciones para combatir la delincuencia organizada, la comisión de los delitos contra la seguridad de la nación, entendiéndose estos últimos como traición a la patria, espionaje, sedición, motín, rebelión, terrorismo, sabotaje, conspiración, el tráfico ilegal de materiales nucleares, de armas químicas, biológicas y convencionales de destrucción masiva;</w:t>
      </w:r>
    </w:p>
    <w:p w14:paraId="399DCE73" w14:textId="77777777" w:rsidR="00057142" w:rsidRPr="00C76D23" w:rsidRDefault="00057142" w:rsidP="000465A1">
      <w:pPr>
        <w:spacing w:before="120" w:after="120"/>
        <w:ind w:left="851" w:right="900"/>
        <w:jc w:val="both"/>
        <w:rPr>
          <w:rFonts w:ascii="Palatino Linotype" w:eastAsia="Palatino Linotype" w:hAnsi="Palatino Linotype" w:cs="Palatino Linotype"/>
          <w:sz w:val="22"/>
        </w:rPr>
      </w:pPr>
      <w:r w:rsidRPr="00C76D23">
        <w:rPr>
          <w:rFonts w:ascii="Palatino Linotype" w:eastAsia="Palatino Linotype" w:hAnsi="Palatino Linotype" w:cs="Palatino Linotype"/>
          <w:i/>
          <w:iCs/>
          <w:sz w:val="22"/>
        </w:rPr>
        <w:t>…</w:t>
      </w:r>
    </w:p>
    <w:p w14:paraId="7605D296" w14:textId="77777777" w:rsidR="00057142" w:rsidRPr="00C76D23" w:rsidRDefault="00057142" w:rsidP="000465A1">
      <w:pPr>
        <w:spacing w:before="120" w:after="120"/>
        <w:ind w:left="851" w:right="900"/>
        <w:jc w:val="both"/>
        <w:rPr>
          <w:rFonts w:ascii="Palatino Linotype" w:eastAsia="Palatino Linotype" w:hAnsi="Palatino Linotype" w:cs="Palatino Linotype"/>
          <w:sz w:val="22"/>
        </w:rPr>
      </w:pPr>
      <w:r w:rsidRPr="00C76D23">
        <w:rPr>
          <w:rFonts w:ascii="Palatino Linotype" w:eastAsia="Palatino Linotype" w:hAnsi="Palatino Linotype" w:cs="Palatino Linotype"/>
          <w:i/>
          <w:iCs/>
          <w:sz w:val="22"/>
        </w:rPr>
        <w:t xml:space="preserve">Asimismo, </w:t>
      </w:r>
      <w:r w:rsidRPr="00C76D23">
        <w:rPr>
          <w:rFonts w:ascii="Palatino Linotype" w:eastAsia="Palatino Linotype" w:hAnsi="Palatino Linotype" w:cs="Palatino Linotype"/>
          <w:b/>
          <w:bCs/>
          <w:i/>
          <w:iCs/>
          <w:sz w:val="22"/>
        </w:rPr>
        <w:t>podrá considerarse como reservada aquella que revele datos que pudieran ser aprovechados para conocer la capacidad de reacción de las instituciones encargadas de la seguridad nacional</w:t>
      </w:r>
      <w:r w:rsidRPr="00C76D23">
        <w:rPr>
          <w:rFonts w:ascii="Palatino Linotype" w:eastAsia="Palatino Linotype" w:hAnsi="Palatino Linotype" w:cs="Palatino Linotype"/>
          <w:i/>
          <w:iCs/>
          <w:sz w:val="22"/>
        </w:rPr>
        <w:t xml:space="preserve">; sus normas, procedimientos, métodos, fuentes, </w:t>
      </w:r>
      <w:r w:rsidRPr="00C76D23">
        <w:rPr>
          <w:rFonts w:ascii="Palatino Linotype" w:eastAsia="Palatino Linotype" w:hAnsi="Palatino Linotype" w:cs="Palatino Linotype"/>
          <w:b/>
          <w:i/>
          <w:iCs/>
          <w:sz w:val="22"/>
        </w:rPr>
        <w:t>especificaciones técnicas</w:t>
      </w:r>
      <w:r w:rsidRPr="00C76D23">
        <w:rPr>
          <w:rFonts w:ascii="Palatino Linotype" w:eastAsia="Palatino Linotype" w:hAnsi="Palatino Linotype" w:cs="Palatino Linotype"/>
          <w:i/>
          <w:iCs/>
          <w:sz w:val="22"/>
        </w:rPr>
        <w:t xml:space="preserve">, tecnología o </w:t>
      </w:r>
      <w:r w:rsidRPr="00C76D23">
        <w:rPr>
          <w:rFonts w:ascii="Palatino Linotype" w:eastAsia="Palatino Linotype" w:hAnsi="Palatino Linotype" w:cs="Palatino Linotype"/>
          <w:i/>
          <w:iCs/>
          <w:sz w:val="22"/>
        </w:rPr>
        <w:lastRenderedPageBreak/>
        <w:t>equipo útiles a la generación de inteligencia para la Seguridad Nacional, sin importar la naturaleza o el origen de los documentos que la consignen. </w:t>
      </w:r>
    </w:p>
    <w:p w14:paraId="586CC944" w14:textId="77777777" w:rsidR="00057142" w:rsidRPr="00C76D23" w:rsidRDefault="00057142" w:rsidP="000465A1">
      <w:pPr>
        <w:spacing w:before="120" w:after="120"/>
        <w:ind w:left="851" w:right="900"/>
        <w:jc w:val="both"/>
        <w:rPr>
          <w:rFonts w:ascii="Palatino Linotype" w:eastAsia="Palatino Linotype" w:hAnsi="Palatino Linotype" w:cs="Palatino Linotype"/>
          <w:i/>
          <w:iCs/>
          <w:sz w:val="22"/>
        </w:rPr>
      </w:pPr>
      <w:r w:rsidRPr="00C76D23">
        <w:rPr>
          <w:rFonts w:ascii="Palatino Linotype" w:eastAsia="Palatino Linotype" w:hAnsi="Palatino Linotype" w:cs="Palatino Linotype"/>
          <w:b/>
          <w:bCs/>
          <w:i/>
          <w:iCs/>
          <w:sz w:val="22"/>
        </w:rPr>
        <w:t>Décimo octavo</w:t>
      </w:r>
      <w:r w:rsidRPr="00C76D23">
        <w:rPr>
          <w:rFonts w:ascii="Palatino Linotype" w:eastAsia="Palatino Linotype" w:hAnsi="Palatino Linotype" w:cs="Palatino Linotype"/>
          <w:i/>
          <w:iCs/>
          <w:sz w:val="22"/>
        </w:rPr>
        <w:t xml:space="preserve">. De conformidad con el artículo 113, fracción I de la Ley General, </w:t>
      </w:r>
      <w:r w:rsidRPr="00C76D23">
        <w:rPr>
          <w:rFonts w:ascii="Palatino Linotype" w:eastAsia="Palatino Linotype" w:hAnsi="Palatino Linotype" w:cs="Palatino Linotype"/>
          <w:b/>
          <w:bCs/>
          <w:i/>
          <w:iCs/>
          <w:sz w:val="22"/>
        </w:rPr>
        <w:t>podrá considerarse como información reservada, aquella que comprometa la seguridad pública, al poner en peligro las funciones a cargo de la</w:t>
      </w:r>
      <w:r w:rsidRPr="00C76D23">
        <w:rPr>
          <w:rFonts w:ascii="Palatino Linotype" w:eastAsia="Palatino Linotype" w:hAnsi="Palatino Linotype" w:cs="Palatino Linotype"/>
          <w:i/>
          <w:iCs/>
          <w:sz w:val="22"/>
        </w:rPr>
        <w:t xml:space="preserve"> Federación, la Ciudad de México, los Estados y </w:t>
      </w:r>
      <w:r w:rsidRPr="00C76D23">
        <w:rPr>
          <w:rFonts w:ascii="Palatino Linotype" w:eastAsia="Palatino Linotype" w:hAnsi="Palatino Linotype" w:cs="Palatino Linotype"/>
          <w:b/>
          <w:bCs/>
          <w:i/>
          <w:iCs/>
          <w:sz w:val="22"/>
        </w:rPr>
        <w:t>los Municipios</w:t>
      </w:r>
      <w:r w:rsidRPr="00C76D23">
        <w:rPr>
          <w:rFonts w:ascii="Palatino Linotype" w:eastAsia="Palatino Linotype" w:hAnsi="Palatino Linotype" w:cs="Palatino Linotype"/>
          <w:i/>
          <w:iCs/>
          <w:sz w:val="22"/>
        </w:rPr>
        <w:t>, tendientes a preservar y resguardar la vida, la salud, la integridad y el ejercicio de los derechos de las personas, así como para el mantenimiento del orden público.</w:t>
      </w:r>
    </w:p>
    <w:p w14:paraId="60720A72" w14:textId="77777777" w:rsidR="00057142" w:rsidRPr="00C76D23" w:rsidRDefault="00057142" w:rsidP="000465A1">
      <w:pPr>
        <w:spacing w:before="120" w:after="120"/>
        <w:ind w:left="851" w:right="900"/>
        <w:jc w:val="both"/>
        <w:rPr>
          <w:rFonts w:ascii="Palatino Linotype" w:eastAsia="Palatino Linotype" w:hAnsi="Palatino Linotype" w:cs="Palatino Linotype"/>
          <w:sz w:val="22"/>
        </w:rPr>
      </w:pPr>
      <w:r w:rsidRPr="00C76D23">
        <w:rPr>
          <w:rFonts w:ascii="Palatino Linotype" w:eastAsia="Palatino Linotype" w:hAnsi="Palatino Linotype" w:cs="Palatino Linotype"/>
          <w:i/>
          <w:iCs/>
          <w:sz w:val="22"/>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1207A1F7" w14:textId="77777777" w:rsidR="00057142" w:rsidRPr="00C76D23" w:rsidRDefault="00057142" w:rsidP="000465A1">
      <w:pPr>
        <w:spacing w:before="120" w:after="120"/>
        <w:ind w:left="851" w:right="900"/>
        <w:jc w:val="both"/>
        <w:rPr>
          <w:rFonts w:ascii="Palatino Linotype" w:eastAsia="Palatino Linotype" w:hAnsi="Palatino Linotype" w:cs="Palatino Linotype"/>
          <w:sz w:val="22"/>
        </w:rPr>
      </w:pPr>
      <w:r w:rsidRPr="00C76D23">
        <w:rPr>
          <w:rFonts w:ascii="Palatino Linotype" w:eastAsia="Palatino Linotype" w:hAnsi="Palatino Linotype" w:cs="Palatino Linotype"/>
          <w:i/>
          <w:iCs/>
          <w:sz w:val="22"/>
        </w:rPr>
        <w:t xml:space="preserve">Asimismo, </w:t>
      </w:r>
      <w:r w:rsidRPr="00C76D23">
        <w:rPr>
          <w:rFonts w:ascii="Palatino Linotype" w:eastAsia="Palatino Linotype" w:hAnsi="Palatino Linotype" w:cs="Palatino Linotype"/>
          <w:b/>
          <w:bCs/>
          <w:i/>
          <w:iCs/>
          <w:sz w:val="22"/>
        </w:rPr>
        <w:t>podrá considerarse como reservada aquella que revele datos que pudieran ser aprovechados para conocer la capacidad de reacción de las instituciones encargadas de la seguridad pública, sus planes, estrategias, tecnología, información, sistemas de comunicaciones. </w:t>
      </w:r>
    </w:p>
    <w:p w14:paraId="49DD3F72" w14:textId="77777777" w:rsidR="000465A1" w:rsidRPr="00C76D23" w:rsidRDefault="00057142" w:rsidP="000465A1">
      <w:pPr>
        <w:spacing w:before="120" w:after="120"/>
        <w:ind w:left="851" w:right="900"/>
        <w:jc w:val="both"/>
        <w:rPr>
          <w:rFonts w:ascii="Palatino Linotype" w:eastAsia="Palatino Linotype" w:hAnsi="Palatino Linotype" w:cs="Palatino Linotype"/>
          <w:i/>
          <w:iCs/>
          <w:sz w:val="22"/>
        </w:rPr>
      </w:pPr>
      <w:r w:rsidRPr="00C76D23">
        <w:rPr>
          <w:rFonts w:ascii="Palatino Linotype" w:eastAsia="Palatino Linotype" w:hAnsi="Palatino Linotype" w:cs="Palatino Linotype"/>
          <w:b/>
          <w:bCs/>
          <w:i/>
          <w:iCs/>
          <w:sz w:val="22"/>
        </w:rPr>
        <w:t>Décimo noveno. De conformidad con el artículo 113, fracción I de la Ley General, podrá considerarse como información reservada que compromete la defensa nacional, aquella que difunda, actualice o potencialice un riesgo o amenaza que ponga en peligro las misiones generales</w:t>
      </w:r>
      <w:r w:rsidRPr="00C76D23">
        <w:rPr>
          <w:rFonts w:ascii="Palatino Linotype" w:eastAsia="Palatino Linotype" w:hAnsi="Palatino Linotype" w:cs="Palatino Linotype"/>
          <w:i/>
          <w:iCs/>
          <w:sz w:val="22"/>
        </w:rPr>
        <w:t xml:space="preserve"> del Ejército, Fuerza Aérea Mexicana o Armada de México, relacionadas con la defensa del Estado mexicano, para salvaguardar la soberanía y defender la integridad, y permanencia del territorio nacional. </w:t>
      </w:r>
    </w:p>
    <w:p w14:paraId="47D7D387" w14:textId="77777777" w:rsidR="00057142" w:rsidRPr="00C76D23" w:rsidRDefault="00057142" w:rsidP="000465A1">
      <w:pPr>
        <w:spacing w:before="120" w:after="120"/>
        <w:ind w:left="851" w:right="900"/>
        <w:jc w:val="both"/>
        <w:rPr>
          <w:rFonts w:ascii="Palatino Linotype" w:eastAsia="Palatino Linotype" w:hAnsi="Palatino Linotype" w:cs="Palatino Linotype"/>
          <w:sz w:val="22"/>
        </w:rPr>
      </w:pPr>
      <w:r w:rsidRPr="00C76D23">
        <w:rPr>
          <w:rFonts w:ascii="Palatino Linotype" w:eastAsia="Palatino Linotype" w:hAnsi="Palatino Linotype" w:cs="Palatino Linotype"/>
          <w:i/>
          <w:iCs/>
          <w:sz w:val="22"/>
        </w:rPr>
        <w:t xml:space="preserve">Asimismo, </w:t>
      </w:r>
      <w:r w:rsidRPr="00C76D23">
        <w:rPr>
          <w:rFonts w:ascii="Palatino Linotype" w:eastAsia="Palatino Linotype" w:hAnsi="Palatino Linotype" w:cs="Palatino Linotype"/>
          <w:b/>
          <w:bCs/>
          <w:i/>
          <w:iCs/>
          <w:sz w:val="22"/>
        </w:rPr>
        <w:t>podrá considerarse como reservada aquella que revele datos que pudieran ser aprovechados para conocer la capacidad de reacción del Estado, sus planes, o uso de tecnología, información y producción de los sistemas de armamento y otros sistemas militares incluidos lo</w:t>
      </w:r>
      <w:r w:rsidR="000465A1" w:rsidRPr="00C76D23">
        <w:rPr>
          <w:rFonts w:ascii="Palatino Linotype" w:eastAsia="Palatino Linotype" w:hAnsi="Palatino Linotype" w:cs="Palatino Linotype"/>
          <w:b/>
          <w:bCs/>
          <w:i/>
          <w:iCs/>
          <w:sz w:val="22"/>
        </w:rPr>
        <w:t>s sistemas de comunicaciones.”</w:t>
      </w:r>
    </w:p>
    <w:p w14:paraId="3DDAB716" w14:textId="77777777" w:rsidR="00057142" w:rsidRPr="00C76D23" w:rsidRDefault="00057142" w:rsidP="00057142">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De</w:t>
      </w:r>
      <w:r w:rsidR="000465A1" w:rsidRPr="00C76D23">
        <w:rPr>
          <w:rFonts w:ascii="Palatino Linotype" w:eastAsia="Palatino Linotype" w:hAnsi="Palatino Linotype" w:cs="Palatino Linotype"/>
        </w:rPr>
        <w:t xml:space="preserve"> </w:t>
      </w:r>
      <w:r w:rsidRPr="00C76D23">
        <w:rPr>
          <w:rFonts w:ascii="Palatino Linotype" w:eastAsia="Palatino Linotype" w:hAnsi="Palatino Linotype" w:cs="Palatino Linotype"/>
        </w:rPr>
        <w:t>l</w:t>
      </w:r>
      <w:r w:rsidR="000465A1" w:rsidRPr="00C76D23">
        <w:rPr>
          <w:rFonts w:ascii="Palatino Linotype" w:eastAsia="Palatino Linotype" w:hAnsi="Palatino Linotype" w:cs="Palatino Linotype"/>
        </w:rPr>
        <w:t>os</w:t>
      </w:r>
      <w:r w:rsidRPr="00C76D23">
        <w:rPr>
          <w:rFonts w:ascii="Palatino Linotype" w:eastAsia="Palatino Linotype" w:hAnsi="Palatino Linotype" w:cs="Palatino Linotype"/>
        </w:rPr>
        <w:t xml:space="preserve"> Lineamiento</w:t>
      </w:r>
      <w:r w:rsidR="000465A1" w:rsidRPr="00C76D23">
        <w:rPr>
          <w:rFonts w:ascii="Palatino Linotype" w:eastAsia="Palatino Linotype" w:hAnsi="Palatino Linotype" w:cs="Palatino Linotype"/>
        </w:rPr>
        <w:t>s</w:t>
      </w:r>
      <w:r w:rsidRPr="00C76D23">
        <w:rPr>
          <w:rFonts w:ascii="Palatino Linotype" w:eastAsia="Palatino Linotype" w:hAnsi="Palatino Linotype" w:cs="Palatino Linotype"/>
        </w:rPr>
        <w:t xml:space="preserve"> referido</w:t>
      </w:r>
      <w:r w:rsidR="000465A1" w:rsidRPr="00C76D23">
        <w:rPr>
          <w:rFonts w:ascii="Palatino Linotype" w:eastAsia="Palatino Linotype" w:hAnsi="Palatino Linotype" w:cs="Palatino Linotype"/>
        </w:rPr>
        <w:t>s</w:t>
      </w:r>
      <w:r w:rsidRPr="00C76D23">
        <w:rPr>
          <w:rFonts w:ascii="Palatino Linotype" w:eastAsia="Palatino Linotype" w:hAnsi="Palatino Linotype" w:cs="Palatino Linotype"/>
        </w:rPr>
        <w:t xml:space="preserve">, se desprende que </w:t>
      </w:r>
      <w:r w:rsidR="000465A1" w:rsidRPr="00C76D23">
        <w:rPr>
          <w:rFonts w:ascii="Palatino Linotype" w:eastAsia="Palatino Linotype" w:hAnsi="Palatino Linotype" w:cs="Palatino Linotype"/>
        </w:rPr>
        <w:t xml:space="preserve">la </w:t>
      </w:r>
      <w:r w:rsidRPr="00C76D23">
        <w:rPr>
          <w:rFonts w:ascii="Palatino Linotype" w:eastAsia="Palatino Linotype" w:hAnsi="Palatino Linotype" w:cs="Palatino Linotype"/>
        </w:rPr>
        <w:t xml:space="preserve">información </w:t>
      </w:r>
      <w:r w:rsidR="000465A1" w:rsidRPr="00C76D23">
        <w:rPr>
          <w:rFonts w:ascii="Palatino Linotype" w:eastAsia="Palatino Linotype" w:hAnsi="Palatino Linotype" w:cs="Palatino Linotype"/>
        </w:rPr>
        <w:t xml:space="preserve">clasificada </w:t>
      </w:r>
      <w:r w:rsidRPr="00C76D23">
        <w:rPr>
          <w:rFonts w:ascii="Palatino Linotype" w:eastAsia="Palatino Linotype" w:hAnsi="Palatino Linotype" w:cs="Palatino Linotype"/>
        </w:rPr>
        <w:t xml:space="preserve">como reservada, será aquella que revele datos que pudieran ser aprovechados para conocer la capacidad de reacción de las instituciones encargadas de la seguridad </w:t>
      </w:r>
      <w:r w:rsidRPr="00C76D23">
        <w:rPr>
          <w:rFonts w:ascii="Palatino Linotype" w:eastAsia="Palatino Linotype" w:hAnsi="Palatino Linotype" w:cs="Palatino Linotype"/>
        </w:rPr>
        <w:lastRenderedPageBreak/>
        <w:t>pública y que pongan en peligro la seguridad pública y funciones de los Municipios, tendientes a preservar y resguardar la vida e integridad física de los gobernados.</w:t>
      </w:r>
    </w:p>
    <w:p w14:paraId="0AAEA70E" w14:textId="77777777" w:rsidR="00057142" w:rsidRPr="00C76D23" w:rsidRDefault="000465A1" w:rsidP="00057142">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Por su parte </w:t>
      </w:r>
      <w:r w:rsidR="00057142" w:rsidRPr="00C76D23">
        <w:rPr>
          <w:rFonts w:ascii="Palatino Linotype" w:eastAsia="Palatino Linotype" w:hAnsi="Palatino Linotype" w:cs="Palatino Linotype"/>
        </w:rPr>
        <w:t>el artículo 81, fracción II, de la Ley de Seguridad del Estado de México, establece lo siguiente:</w:t>
      </w:r>
    </w:p>
    <w:p w14:paraId="694B7251" w14:textId="77777777" w:rsidR="00057142" w:rsidRPr="00C76D23" w:rsidRDefault="00057142" w:rsidP="000465A1">
      <w:pPr>
        <w:spacing w:before="240" w:after="240" w:line="276" w:lineRule="auto"/>
        <w:ind w:left="851" w:right="900"/>
        <w:jc w:val="both"/>
        <w:rPr>
          <w:rFonts w:ascii="Palatino Linotype" w:eastAsia="Palatino Linotype" w:hAnsi="Palatino Linotype" w:cs="Palatino Linotype"/>
          <w:sz w:val="22"/>
        </w:rPr>
      </w:pPr>
      <w:r w:rsidRPr="00C76D23">
        <w:rPr>
          <w:rFonts w:ascii="Palatino Linotype" w:eastAsia="Palatino Linotype" w:hAnsi="Palatino Linotype" w:cs="Palatino Linotype"/>
          <w:i/>
          <w:iCs/>
          <w:sz w:val="22"/>
        </w:rPr>
        <w:t>“</w:t>
      </w:r>
      <w:r w:rsidRPr="00C76D23">
        <w:rPr>
          <w:rFonts w:ascii="Palatino Linotype" w:eastAsia="Palatino Linotype" w:hAnsi="Palatino Linotype" w:cs="Palatino Linotype"/>
          <w:b/>
          <w:i/>
          <w:iCs/>
          <w:sz w:val="22"/>
        </w:rPr>
        <w:t>Artículo 81</w:t>
      </w:r>
      <w:r w:rsidRPr="00C76D23">
        <w:rPr>
          <w:rFonts w:ascii="Palatino Linotype" w:eastAsia="Palatino Linotype" w:hAnsi="Palatino Linotype" w:cs="Palatino Linotype"/>
          <w:i/>
          <w:iCs/>
          <w:sz w:val="22"/>
        </w:rPr>
        <w:t xml:space="preserve">.- Toda información para la seguridad pública generada o en poder de Instituciones de Seguridad Pública o de cualquier instancia del Sistema Estatal debe registrarse, clasificarse y tratarse de conformidad con las disposiciones aplicables. No </w:t>
      </w:r>
      <w:proofErr w:type="gramStart"/>
      <w:r w:rsidRPr="00C76D23">
        <w:rPr>
          <w:rFonts w:ascii="Palatino Linotype" w:eastAsia="Palatino Linotype" w:hAnsi="Palatino Linotype" w:cs="Palatino Linotype"/>
          <w:i/>
          <w:iCs/>
          <w:sz w:val="22"/>
        </w:rPr>
        <w:t>obstante</w:t>
      </w:r>
      <w:proofErr w:type="gramEnd"/>
      <w:r w:rsidRPr="00C76D23">
        <w:rPr>
          <w:rFonts w:ascii="Palatino Linotype" w:eastAsia="Palatino Linotype" w:hAnsi="Palatino Linotype" w:cs="Palatino Linotype"/>
          <w:i/>
          <w:iCs/>
          <w:sz w:val="22"/>
        </w:rPr>
        <w:t xml:space="preserve"> lo anterior, esta información se considerará reservada en los casos siguientes: </w:t>
      </w:r>
    </w:p>
    <w:p w14:paraId="0E6D6A0A" w14:textId="77777777" w:rsidR="00057142" w:rsidRPr="00C76D23" w:rsidRDefault="00057142" w:rsidP="000465A1">
      <w:pPr>
        <w:spacing w:before="240" w:after="240" w:line="276" w:lineRule="auto"/>
        <w:ind w:left="1134" w:right="900"/>
        <w:jc w:val="both"/>
        <w:rPr>
          <w:rFonts w:ascii="Palatino Linotype" w:eastAsia="Palatino Linotype" w:hAnsi="Palatino Linotype" w:cs="Palatino Linotype"/>
          <w:sz w:val="22"/>
        </w:rPr>
      </w:pPr>
      <w:r w:rsidRPr="00C76D23">
        <w:rPr>
          <w:rFonts w:ascii="Palatino Linotype" w:eastAsia="Palatino Linotype" w:hAnsi="Palatino Linotype" w:cs="Palatino Linotype"/>
          <w:i/>
          <w:iCs/>
          <w:sz w:val="22"/>
        </w:rPr>
        <w:t>…</w:t>
      </w:r>
    </w:p>
    <w:p w14:paraId="1689C898" w14:textId="77777777" w:rsidR="00057142" w:rsidRPr="00C76D23" w:rsidRDefault="00057142" w:rsidP="000465A1">
      <w:pPr>
        <w:spacing w:before="240" w:after="240" w:line="276" w:lineRule="auto"/>
        <w:ind w:left="1134" w:right="900"/>
        <w:jc w:val="both"/>
        <w:rPr>
          <w:rFonts w:ascii="Palatino Linotype" w:eastAsia="Palatino Linotype" w:hAnsi="Palatino Linotype" w:cs="Palatino Linotype"/>
          <w:sz w:val="22"/>
        </w:rPr>
      </w:pPr>
      <w:r w:rsidRPr="00C76D23">
        <w:rPr>
          <w:rFonts w:ascii="Palatino Linotype" w:eastAsia="Palatino Linotype" w:hAnsi="Palatino Linotype" w:cs="Palatino Linotype"/>
          <w:b/>
          <w:i/>
          <w:iCs/>
          <w:sz w:val="22"/>
        </w:rPr>
        <w:t>II.</w:t>
      </w:r>
      <w:r w:rsidRPr="00C76D23">
        <w:rPr>
          <w:rFonts w:ascii="Palatino Linotype" w:eastAsia="Palatino Linotype" w:hAnsi="Palatino Linotype" w:cs="Palatino Linotype"/>
          <w:i/>
          <w:iCs/>
          <w:sz w:val="22"/>
        </w:rPr>
        <w:t xml:space="preserve"> Aquella cuya revelación pueda ser utilizada para actualizar o potenciar una amenaza a la seguridad pública o a las instit</w:t>
      </w:r>
      <w:r w:rsidR="000465A1" w:rsidRPr="00C76D23">
        <w:rPr>
          <w:rFonts w:ascii="Palatino Linotype" w:eastAsia="Palatino Linotype" w:hAnsi="Palatino Linotype" w:cs="Palatino Linotype"/>
          <w:i/>
          <w:iCs/>
          <w:sz w:val="22"/>
        </w:rPr>
        <w:t>uciones del Estado de México…”</w:t>
      </w:r>
    </w:p>
    <w:p w14:paraId="3EE12338" w14:textId="77777777" w:rsidR="00057142" w:rsidRPr="00C76D23" w:rsidRDefault="00057142" w:rsidP="00057142">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Así, se desprende que es reservada toda aquella información que revele el estado de fuerza, y que puede ser utilizada para poner en riesgo la seguridad pública del Municipio. </w:t>
      </w:r>
    </w:p>
    <w:p w14:paraId="5E10F76E" w14:textId="4C3761D3" w:rsidR="00600BAE" w:rsidRPr="00C76D23" w:rsidRDefault="00600BAE" w:rsidP="00E82ECB">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Ahora bien</w:t>
      </w:r>
      <w:r w:rsidR="00E82ECB" w:rsidRPr="00C76D23">
        <w:rPr>
          <w:rFonts w:ascii="Palatino Linotype" w:eastAsia="Palatino Linotype" w:hAnsi="Palatino Linotype" w:cs="Palatino Linotype"/>
        </w:rPr>
        <w:t xml:space="preserve">, en el caso concreto </w:t>
      </w:r>
      <w:r w:rsidRPr="00C76D23">
        <w:rPr>
          <w:rFonts w:ascii="Palatino Linotype" w:eastAsia="Palatino Linotype" w:hAnsi="Palatino Linotype" w:cs="Palatino Linotype"/>
        </w:rPr>
        <w:t xml:space="preserve">el </w:t>
      </w:r>
      <w:r w:rsidRPr="00C76D23">
        <w:rPr>
          <w:rFonts w:ascii="Palatino Linotype" w:eastAsia="Palatino Linotype" w:hAnsi="Palatino Linotype" w:cs="Palatino Linotype"/>
          <w:b/>
        </w:rPr>
        <w:t>Sujeto Obligado</w:t>
      </w:r>
      <w:r w:rsidRPr="00C76D23">
        <w:rPr>
          <w:rFonts w:ascii="Palatino Linotype" w:eastAsia="Palatino Linotype" w:hAnsi="Palatino Linotype" w:cs="Palatino Linotype"/>
        </w:rPr>
        <w:t xml:space="preserve"> remitió un documento mediante el cual el Subdirector de Recursos Materiales desarrolla la prueba de daño </w:t>
      </w:r>
      <w:r w:rsidR="009E1F9E" w:rsidRPr="00C76D23">
        <w:rPr>
          <w:rFonts w:ascii="Palatino Linotype" w:eastAsia="Palatino Linotype" w:hAnsi="Palatino Linotype" w:cs="Palatino Linotype"/>
        </w:rPr>
        <w:t xml:space="preserve">a través de </w:t>
      </w:r>
      <w:r w:rsidRPr="00C76D23">
        <w:rPr>
          <w:rFonts w:ascii="Palatino Linotype" w:eastAsia="Palatino Linotype" w:hAnsi="Palatino Linotype" w:cs="Palatino Linotype"/>
        </w:rPr>
        <w:t>la cual pretendió acreditar, de manera fundada y motivada, que la divulgación del contrato y las facturas lesiona el interés jurídicamente proteg</w:t>
      </w:r>
      <w:r w:rsidR="00255EDE" w:rsidRPr="00C76D23">
        <w:rPr>
          <w:rFonts w:ascii="Palatino Linotype" w:eastAsia="Palatino Linotype" w:hAnsi="Palatino Linotype" w:cs="Palatino Linotype"/>
        </w:rPr>
        <w:t xml:space="preserve">ido por la normativa aplicable y </w:t>
      </w:r>
      <w:r w:rsidRPr="00C76D23">
        <w:rPr>
          <w:rFonts w:ascii="Palatino Linotype" w:eastAsia="Palatino Linotype" w:hAnsi="Palatino Linotype" w:cs="Palatino Linotype"/>
        </w:rPr>
        <w:t xml:space="preserve">que el daño que puede producirse con la </w:t>
      </w:r>
      <w:r w:rsidR="00255EDE" w:rsidRPr="00C76D23">
        <w:rPr>
          <w:rFonts w:ascii="Palatino Linotype" w:eastAsia="Palatino Linotype" w:hAnsi="Palatino Linotype" w:cs="Palatino Linotype"/>
        </w:rPr>
        <w:t xml:space="preserve">publicidad de dicha información es mayor que el interés de conocerla, sin embargo, se reitera que las facturas no fueron motivo de inconformidad por parte de la persona solicitante, asimismo, que solo la información referente a las especificaciones técnicas de las </w:t>
      </w:r>
      <w:r w:rsidR="00255EDE" w:rsidRPr="00C76D23">
        <w:rPr>
          <w:rFonts w:ascii="Palatino Linotype" w:eastAsia="Palatino Linotype" w:hAnsi="Palatino Linotype" w:cs="Palatino Linotype"/>
        </w:rPr>
        <w:lastRenderedPageBreak/>
        <w:t>patrullas de la Comisaría de Seguridad Pública y Tránsito Municipal</w:t>
      </w:r>
      <w:r w:rsidR="007657D6" w:rsidRPr="00C76D23">
        <w:rPr>
          <w:rFonts w:ascii="Palatino Linotype" w:eastAsia="Palatino Linotype" w:hAnsi="Palatino Linotype" w:cs="Palatino Linotype"/>
        </w:rPr>
        <w:t xml:space="preserve">, así como de </w:t>
      </w:r>
      <w:r w:rsidR="009E0215" w:rsidRPr="00C76D23">
        <w:rPr>
          <w:rFonts w:ascii="Palatino Linotype" w:eastAsia="Palatino Linotype" w:hAnsi="Palatino Linotype" w:cs="Palatino Linotype"/>
        </w:rPr>
        <w:t>las</w:t>
      </w:r>
      <w:r w:rsidR="009E1F9E" w:rsidRPr="00C76D23">
        <w:rPr>
          <w:rFonts w:ascii="Palatino Linotype" w:eastAsia="Palatino Linotype" w:hAnsi="Palatino Linotype" w:cs="Palatino Linotype"/>
        </w:rPr>
        <w:t xml:space="preserve"> </w:t>
      </w:r>
      <w:r w:rsidR="00D42BCE" w:rsidRPr="00C76D23">
        <w:rPr>
          <w:rFonts w:ascii="Palatino Linotype" w:eastAsia="Palatino Linotype" w:hAnsi="Palatino Linotype" w:cs="Palatino Linotype"/>
        </w:rPr>
        <w:t xml:space="preserve">plataformas de posicionamiento táctico </w:t>
      </w:r>
      <w:r w:rsidR="009E1F9E" w:rsidRPr="00C76D23">
        <w:rPr>
          <w:rFonts w:ascii="Palatino Linotype" w:eastAsia="Palatino Linotype" w:hAnsi="Palatino Linotype" w:cs="Palatino Linotype"/>
        </w:rPr>
        <w:t>y la</w:t>
      </w:r>
      <w:r w:rsidR="009E0215" w:rsidRPr="00C76D23">
        <w:rPr>
          <w:rFonts w:ascii="Palatino Linotype" w:eastAsia="Palatino Linotype" w:hAnsi="Palatino Linotype" w:cs="Palatino Linotype"/>
        </w:rPr>
        <w:t xml:space="preserve"> ubicación</w:t>
      </w:r>
      <w:r w:rsidR="009E1F9E" w:rsidRPr="00C76D23">
        <w:rPr>
          <w:rFonts w:ascii="Palatino Linotype" w:eastAsia="Palatino Linotype" w:hAnsi="Palatino Linotype" w:cs="Palatino Linotype"/>
        </w:rPr>
        <w:t xml:space="preserve"> de estas actualiza el supuesto de reserva</w:t>
      </w:r>
      <w:r w:rsidR="00255EDE" w:rsidRPr="00C76D23">
        <w:rPr>
          <w:rFonts w:ascii="Palatino Linotype" w:eastAsia="Palatino Linotype" w:hAnsi="Palatino Linotype" w:cs="Palatino Linotype"/>
        </w:rPr>
        <w:t>, por lo que no es pro</w:t>
      </w:r>
      <w:r w:rsidR="00046E39" w:rsidRPr="00C76D23">
        <w:rPr>
          <w:rFonts w:ascii="Palatino Linotype" w:eastAsia="Palatino Linotype" w:hAnsi="Palatino Linotype" w:cs="Palatino Linotype"/>
        </w:rPr>
        <w:t xml:space="preserve">cedente la clasificación total del contrato de arrendamiento </w:t>
      </w:r>
      <w:r w:rsidR="00F3700F" w:rsidRPr="00C76D23">
        <w:rPr>
          <w:rFonts w:ascii="Palatino Linotype" w:eastAsia="Palatino Linotype" w:hAnsi="Palatino Linotype" w:cs="Palatino Linotype"/>
        </w:rPr>
        <w:t>correspondiente</w:t>
      </w:r>
      <w:r w:rsidR="00046E39" w:rsidRPr="00C76D23">
        <w:rPr>
          <w:rFonts w:ascii="Palatino Linotype" w:eastAsia="Palatino Linotype" w:hAnsi="Palatino Linotype" w:cs="Palatino Linotype"/>
        </w:rPr>
        <w:t>.</w:t>
      </w:r>
    </w:p>
    <w:p w14:paraId="4BF119DE" w14:textId="34F920B5" w:rsidR="003A7B50" w:rsidRPr="00C76D23" w:rsidRDefault="003A7B50" w:rsidP="003A7B50">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Por otro lado, m</w:t>
      </w:r>
      <w:r w:rsidR="00474938" w:rsidRPr="00C76D23">
        <w:rPr>
          <w:rFonts w:ascii="Palatino Linotype" w:eastAsia="Palatino Linotype" w:hAnsi="Palatino Linotype" w:cs="Palatino Linotype"/>
        </w:rPr>
        <w:t xml:space="preserve">ediante el Acta de la Vigésimo Novena Extraordinaria del Comité de Transparencia, de la cual solo se remitió el desarrollo de los puntos 4 y 5 de orden del día, </w:t>
      </w:r>
      <w:r w:rsidR="00E82ECB" w:rsidRPr="00C76D23">
        <w:rPr>
          <w:rFonts w:ascii="Palatino Linotype" w:eastAsia="Palatino Linotype" w:hAnsi="Palatino Linotype" w:cs="Palatino Linotype"/>
          <w:b/>
        </w:rPr>
        <w:t>Sujeto Obligado</w:t>
      </w:r>
      <w:r w:rsidR="005A73AB" w:rsidRPr="00C76D23">
        <w:rPr>
          <w:rFonts w:ascii="Palatino Linotype" w:eastAsia="Palatino Linotype" w:hAnsi="Palatino Linotype" w:cs="Palatino Linotype"/>
          <w:b/>
        </w:rPr>
        <w:t xml:space="preserve"> </w:t>
      </w:r>
      <w:r w:rsidR="005A73AB" w:rsidRPr="00C76D23">
        <w:rPr>
          <w:rFonts w:ascii="Palatino Linotype" w:eastAsia="Palatino Linotype" w:hAnsi="Palatino Linotype" w:cs="Palatino Linotype"/>
        </w:rPr>
        <w:t xml:space="preserve">clasificó las facturas de los vehículos solicitados, como información reservada por un periodo de tres años, aprobándose dicha clasificación </w:t>
      </w:r>
      <w:r w:rsidR="00356345" w:rsidRPr="00C76D23">
        <w:rPr>
          <w:rFonts w:ascii="Palatino Linotype" w:eastAsia="Palatino Linotype" w:hAnsi="Palatino Linotype" w:cs="Palatino Linotype"/>
        </w:rPr>
        <w:t>por unanimidad de votos</w:t>
      </w:r>
      <w:r w:rsidR="00EF0B96" w:rsidRPr="00C76D23">
        <w:rPr>
          <w:rFonts w:ascii="Palatino Linotype" w:eastAsia="Palatino Linotype" w:hAnsi="Palatino Linotype" w:cs="Palatino Linotype"/>
        </w:rPr>
        <w:t>, mediante el acuerdo ACT/TRANSCOA/EXTRAORD/29/2022</w:t>
      </w:r>
      <w:r w:rsidRPr="00C76D23">
        <w:rPr>
          <w:rFonts w:ascii="Palatino Linotype" w:eastAsia="Palatino Linotype" w:hAnsi="Palatino Linotype" w:cs="Palatino Linotype"/>
        </w:rPr>
        <w:t xml:space="preserve">, </w:t>
      </w:r>
      <w:r w:rsidR="00F3700F" w:rsidRPr="00C76D23">
        <w:rPr>
          <w:rFonts w:ascii="Palatino Linotype" w:eastAsia="Palatino Linotype" w:hAnsi="Palatino Linotype" w:cs="Palatino Linotype"/>
        </w:rPr>
        <w:t xml:space="preserve">sin embargo, es de señalar </w:t>
      </w:r>
      <w:r w:rsidRPr="00C76D23">
        <w:rPr>
          <w:rFonts w:ascii="Palatino Linotype" w:eastAsia="Palatino Linotype" w:hAnsi="Palatino Linotype" w:cs="Palatino Linotype"/>
        </w:rPr>
        <w:t>que dicha acta no cumple con la totalidad de las formalidades precisadas en líneas anteriores, así como con el Lineamiento Quincuagésimo primero de los Lineamientos Generales en Materia de Clasificación y Desclasificación de la Información, que es del tenor literal siguiente:</w:t>
      </w:r>
    </w:p>
    <w:p w14:paraId="7B7A2A7E" w14:textId="77777777" w:rsidR="003A7B50" w:rsidRPr="00C76D23" w:rsidRDefault="003A7B50" w:rsidP="003A7B50">
      <w:pP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r w:rsidRPr="00C76D23">
        <w:rPr>
          <w:rFonts w:ascii="Palatino Linotype" w:eastAsia="Palatino Linotype" w:hAnsi="Palatino Linotype" w:cs="Palatino Linotype"/>
          <w:b/>
          <w:i/>
          <w:sz w:val="22"/>
          <w:szCs w:val="22"/>
        </w:rPr>
        <w:t>Quincuagésimo primero.</w:t>
      </w:r>
      <w:r w:rsidRPr="00C76D23">
        <w:rPr>
          <w:rFonts w:ascii="Palatino Linotype" w:eastAsia="Palatino Linotype" w:hAnsi="Palatino Linotype" w:cs="Palatino Linotype"/>
          <w:i/>
          <w:sz w:val="22"/>
          <w:szCs w:val="22"/>
        </w:rPr>
        <w:t xml:space="preserve"> Toda acta del Comité de Transparencia deberá contener:</w:t>
      </w:r>
    </w:p>
    <w:p w14:paraId="18BD239B" w14:textId="77777777" w:rsidR="003A7B50" w:rsidRPr="00C76D23" w:rsidRDefault="003A7B50" w:rsidP="003A7B50">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w:t>
      </w:r>
      <w:r w:rsidRPr="00C76D23">
        <w:rPr>
          <w:rFonts w:ascii="Palatino Linotype" w:eastAsia="Palatino Linotype" w:hAnsi="Palatino Linotype" w:cs="Palatino Linotype"/>
          <w:i/>
          <w:sz w:val="22"/>
          <w:szCs w:val="22"/>
        </w:rPr>
        <w:t xml:space="preserve"> El número de sesión y fecha;</w:t>
      </w:r>
    </w:p>
    <w:p w14:paraId="2B0BA04A" w14:textId="77777777" w:rsidR="003A7B50" w:rsidRPr="00C76D23" w:rsidRDefault="003A7B50" w:rsidP="003A7B50">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w:t>
      </w:r>
      <w:r w:rsidRPr="00C76D23">
        <w:rPr>
          <w:rFonts w:ascii="Palatino Linotype" w:eastAsia="Palatino Linotype" w:hAnsi="Palatino Linotype" w:cs="Palatino Linotype"/>
          <w:i/>
          <w:sz w:val="22"/>
          <w:szCs w:val="22"/>
        </w:rPr>
        <w:t xml:space="preserve"> El nombre del área que solicitó la clasificación de información;</w:t>
      </w:r>
    </w:p>
    <w:p w14:paraId="78110C73" w14:textId="77777777" w:rsidR="003A7B50" w:rsidRPr="00C76D23" w:rsidRDefault="003A7B50" w:rsidP="003A7B50">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III.</w:t>
      </w:r>
      <w:r w:rsidRPr="00C76D23">
        <w:rPr>
          <w:rFonts w:ascii="Palatino Linotype" w:eastAsia="Palatino Linotype" w:hAnsi="Palatino Linotype" w:cs="Palatino Linotype"/>
          <w:i/>
          <w:sz w:val="22"/>
          <w:szCs w:val="22"/>
        </w:rPr>
        <w:t xml:space="preserve"> La fundamentación legal y motivación correspondiente;</w:t>
      </w:r>
    </w:p>
    <w:p w14:paraId="41178240" w14:textId="77777777" w:rsidR="003A7B50" w:rsidRPr="00C76D23" w:rsidRDefault="003A7B50" w:rsidP="003A7B50">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IV</w:t>
      </w:r>
      <w:r w:rsidRPr="00C76D23">
        <w:rPr>
          <w:rFonts w:ascii="Palatino Linotype" w:eastAsia="Palatino Linotype" w:hAnsi="Palatino Linotype" w:cs="Palatino Linotype"/>
          <w:i/>
          <w:sz w:val="22"/>
          <w:szCs w:val="22"/>
        </w:rPr>
        <w:t xml:space="preserve">. La resolución o resoluciones aprobadas; y </w:t>
      </w:r>
    </w:p>
    <w:p w14:paraId="3DECAF6F" w14:textId="77777777" w:rsidR="003A7B50" w:rsidRPr="00C76D23" w:rsidRDefault="003A7B50" w:rsidP="003A7B50">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V.</w:t>
      </w:r>
      <w:r w:rsidRPr="00C76D23">
        <w:rPr>
          <w:rFonts w:ascii="Palatino Linotype" w:eastAsia="Palatino Linotype" w:hAnsi="Palatino Linotype" w:cs="Palatino Linotype"/>
          <w:i/>
          <w:sz w:val="22"/>
          <w:szCs w:val="22"/>
        </w:rPr>
        <w:t xml:space="preserve"> La rúbrica o firma digital de cada integrante del Comité de Transparencia.</w:t>
      </w:r>
    </w:p>
    <w:p w14:paraId="3C131B87" w14:textId="77777777" w:rsidR="003A7B50" w:rsidRPr="00C76D23" w:rsidRDefault="003A7B50" w:rsidP="003A7B50">
      <w:pP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4413DA97" w14:textId="77777777" w:rsidR="003A7B50" w:rsidRPr="00C76D23" w:rsidRDefault="003A7B50" w:rsidP="003A7B50">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lastRenderedPageBreak/>
        <w:t>I.</w:t>
      </w:r>
      <w:r w:rsidRPr="00C76D23">
        <w:rPr>
          <w:rFonts w:ascii="Palatino Linotype" w:eastAsia="Palatino Linotype" w:hAnsi="Palatino Linotype" w:cs="Palatino Linotype"/>
          <w:i/>
          <w:sz w:val="22"/>
          <w:szCs w:val="22"/>
        </w:rPr>
        <w:t xml:space="preserve"> Los motivos y razonamientos que sustenten la confirmación o modificación de la prueba de daño;</w:t>
      </w:r>
    </w:p>
    <w:p w14:paraId="48B5B6CF" w14:textId="77777777" w:rsidR="003A7B50" w:rsidRPr="00C76D23" w:rsidRDefault="003A7B50" w:rsidP="003A7B50">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w:t>
      </w:r>
      <w:r w:rsidRPr="00C76D23">
        <w:rPr>
          <w:rFonts w:ascii="Palatino Linotype" w:eastAsia="Palatino Linotype" w:hAnsi="Palatino Linotype" w:cs="Palatino Linotype"/>
          <w:i/>
          <w:sz w:val="22"/>
          <w:szCs w:val="22"/>
        </w:rPr>
        <w:t xml:space="preserve">. Descripción de las partes o secciones reservadas, en caso de clasificación parcial; </w:t>
      </w:r>
    </w:p>
    <w:p w14:paraId="7E3308E0" w14:textId="77777777" w:rsidR="003A7B50" w:rsidRPr="00C76D23" w:rsidRDefault="003A7B50" w:rsidP="003A7B50">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III</w:t>
      </w:r>
      <w:r w:rsidRPr="00C76D23">
        <w:rPr>
          <w:rFonts w:ascii="Palatino Linotype" w:eastAsia="Palatino Linotype" w:hAnsi="Palatino Linotype" w:cs="Palatino Linotype"/>
          <w:i/>
          <w:sz w:val="22"/>
          <w:szCs w:val="22"/>
        </w:rPr>
        <w:t>. El periodo por el que mantendrá su clasificación y fecha de expiración; y</w:t>
      </w:r>
    </w:p>
    <w:p w14:paraId="06E865E0" w14:textId="77777777" w:rsidR="003A7B50" w:rsidRPr="00C76D23" w:rsidRDefault="003A7B50" w:rsidP="003A7B50">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IV</w:t>
      </w:r>
      <w:r w:rsidRPr="00C76D23">
        <w:rPr>
          <w:rFonts w:ascii="Palatino Linotype" w:eastAsia="Palatino Linotype" w:hAnsi="Palatino Linotype" w:cs="Palatino Linotype"/>
          <w:i/>
          <w:sz w:val="22"/>
          <w:szCs w:val="22"/>
        </w:rPr>
        <w:t>. El nombre del titular y área encargada de realizar la versión pública del documento, en su caso.</w:t>
      </w:r>
    </w:p>
    <w:p w14:paraId="1C98F674" w14:textId="77777777" w:rsidR="003A7B50" w:rsidRPr="00C76D23" w:rsidRDefault="003A7B50" w:rsidP="003A7B50">
      <w:pP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w:t>
      </w:r>
    </w:p>
    <w:p w14:paraId="33337CD5" w14:textId="77777777" w:rsidR="003A7B50" w:rsidRPr="00C76D23" w:rsidRDefault="003A7B50" w:rsidP="003A7B50">
      <w:pP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 xml:space="preserve">En los casos de resoluciones del Comité de Transparencia en las que se confirme la clasificación de información confidencial solo se deberán de identificar los tipos de datos protegidos, de conformidad con el lineamiento trigésimo octavo.” </w:t>
      </w:r>
    </w:p>
    <w:p w14:paraId="5948D629" w14:textId="77777777" w:rsidR="003A7B50" w:rsidRPr="00C76D23" w:rsidRDefault="003A7B50" w:rsidP="003A7B50">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Para un mejor entendimiento, la afirmación anterior se sustenta en el siguiente cuadro: </w:t>
      </w:r>
    </w:p>
    <w:tbl>
      <w:tblPr>
        <w:tblW w:w="883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245"/>
        <w:gridCol w:w="1752"/>
      </w:tblGrid>
      <w:tr w:rsidR="00C76D23" w:rsidRPr="00C76D23" w14:paraId="096C2BC6" w14:textId="77777777" w:rsidTr="000617E6">
        <w:tc>
          <w:tcPr>
            <w:tcW w:w="183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4CDA7B" w14:textId="77777777" w:rsidR="003A7B50" w:rsidRPr="00C76D23" w:rsidRDefault="003A7B50" w:rsidP="000617E6">
            <w:pPr>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REQUISITOS</w:t>
            </w:r>
          </w:p>
        </w:tc>
        <w:tc>
          <w:tcPr>
            <w:tcW w:w="52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16676A0" w14:textId="77777777" w:rsidR="003A7B50" w:rsidRPr="00C76D23" w:rsidRDefault="003A7B50" w:rsidP="000617E6">
            <w:pPr>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ACUERDO</w:t>
            </w:r>
          </w:p>
        </w:tc>
        <w:tc>
          <w:tcPr>
            <w:tcW w:w="17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E1BF13" w14:textId="77777777" w:rsidR="003A7B50" w:rsidRPr="00C76D23" w:rsidRDefault="003A7B50" w:rsidP="000617E6">
            <w:pPr>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¿CUMPLE?</w:t>
            </w:r>
          </w:p>
        </w:tc>
      </w:tr>
      <w:tr w:rsidR="00C76D23" w:rsidRPr="00C76D23" w14:paraId="20F87466" w14:textId="77777777" w:rsidTr="000617E6">
        <w:trPr>
          <w:trHeight w:val="1794"/>
        </w:trPr>
        <w:tc>
          <w:tcPr>
            <w:tcW w:w="1838" w:type="dxa"/>
            <w:tcBorders>
              <w:top w:val="single" w:sz="4" w:space="0" w:color="000000"/>
              <w:left w:val="single" w:sz="4" w:space="0" w:color="000000"/>
              <w:bottom w:val="single" w:sz="4" w:space="0" w:color="000000"/>
              <w:right w:val="single" w:sz="4" w:space="0" w:color="000000"/>
            </w:tcBorders>
            <w:vAlign w:val="center"/>
          </w:tcPr>
          <w:p w14:paraId="15D805AD" w14:textId="77777777" w:rsidR="003A7B50" w:rsidRPr="00C76D23" w:rsidRDefault="003A7B50" w:rsidP="000617E6">
            <w:pPr>
              <w:widowControl w:val="0"/>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Numero de Sesión y fecha.</w:t>
            </w:r>
          </w:p>
        </w:tc>
        <w:tc>
          <w:tcPr>
            <w:tcW w:w="5245" w:type="dxa"/>
            <w:tcBorders>
              <w:top w:val="single" w:sz="4" w:space="0" w:color="000000"/>
              <w:left w:val="single" w:sz="4" w:space="0" w:color="000000"/>
              <w:bottom w:val="single" w:sz="4" w:space="0" w:color="000000"/>
              <w:right w:val="single" w:sz="4" w:space="0" w:color="000000"/>
            </w:tcBorders>
            <w:vAlign w:val="center"/>
          </w:tcPr>
          <w:p w14:paraId="1B5E80E9" w14:textId="77777777" w:rsidR="003A7B50" w:rsidRPr="00C76D23" w:rsidRDefault="003A7B50" w:rsidP="003A7B50">
            <w:pPr>
              <w:spacing w:before="240" w:after="240"/>
              <w:jc w:val="center"/>
              <w:rPr>
                <w:rFonts w:ascii="Palatino Linotype" w:hAnsi="Palatino Linotype"/>
                <w:sz w:val="20"/>
              </w:rPr>
            </w:pPr>
            <w:r w:rsidRPr="00C76D23">
              <w:rPr>
                <w:rFonts w:ascii="Palatino Linotype" w:hAnsi="Palatino Linotype"/>
                <w:sz w:val="20"/>
              </w:rPr>
              <w:t xml:space="preserve">No se advierte. </w:t>
            </w:r>
          </w:p>
          <w:p w14:paraId="138433ED" w14:textId="77777777" w:rsidR="003A7B50" w:rsidRPr="00C76D23" w:rsidRDefault="003A7B50" w:rsidP="003A7B50">
            <w:pPr>
              <w:spacing w:before="240" w:after="240"/>
              <w:jc w:val="center"/>
              <w:rPr>
                <w:rFonts w:ascii="Palatino Linotype" w:eastAsia="Palatino Linotype" w:hAnsi="Palatino Linotype" w:cs="Palatino Linotype"/>
              </w:rPr>
            </w:pPr>
            <w:r w:rsidRPr="00C76D23">
              <w:rPr>
                <w:rFonts w:ascii="Palatino Linotype" w:hAnsi="Palatino Linotype"/>
                <w:sz w:val="20"/>
              </w:rPr>
              <w:t>El acta se remitió incompleta.</w:t>
            </w:r>
          </w:p>
        </w:tc>
        <w:tc>
          <w:tcPr>
            <w:tcW w:w="1752" w:type="dxa"/>
            <w:tcBorders>
              <w:top w:val="single" w:sz="4" w:space="0" w:color="000000"/>
              <w:left w:val="single" w:sz="4" w:space="0" w:color="000000"/>
              <w:bottom w:val="single" w:sz="4" w:space="0" w:color="000000"/>
              <w:right w:val="single" w:sz="4" w:space="0" w:color="000000"/>
            </w:tcBorders>
            <w:vAlign w:val="center"/>
          </w:tcPr>
          <w:p w14:paraId="51C8D74D" w14:textId="77777777" w:rsidR="003A7B50" w:rsidRPr="00C76D23" w:rsidRDefault="003A7B50" w:rsidP="000617E6">
            <w:pPr>
              <w:spacing w:before="240" w:after="240" w:line="360" w:lineRule="auto"/>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NO</w:t>
            </w:r>
          </w:p>
        </w:tc>
      </w:tr>
      <w:tr w:rsidR="00C76D23" w:rsidRPr="00C76D23" w14:paraId="2EEA560A" w14:textId="77777777" w:rsidTr="000617E6">
        <w:tc>
          <w:tcPr>
            <w:tcW w:w="1838" w:type="dxa"/>
            <w:tcBorders>
              <w:top w:val="single" w:sz="4" w:space="0" w:color="000000"/>
              <w:left w:val="single" w:sz="4" w:space="0" w:color="000000"/>
              <w:bottom w:val="single" w:sz="4" w:space="0" w:color="000000"/>
              <w:right w:val="single" w:sz="4" w:space="0" w:color="000000"/>
            </w:tcBorders>
            <w:vAlign w:val="center"/>
          </w:tcPr>
          <w:p w14:paraId="76963535" w14:textId="77777777" w:rsidR="003A7B50" w:rsidRPr="00C76D23" w:rsidRDefault="003A7B50" w:rsidP="000617E6">
            <w:pPr>
              <w:widowControl w:val="0"/>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Nombre del área que solicitó la clasificación de la información, e información solicitada</w:t>
            </w:r>
          </w:p>
        </w:tc>
        <w:tc>
          <w:tcPr>
            <w:tcW w:w="5245" w:type="dxa"/>
            <w:tcBorders>
              <w:top w:val="single" w:sz="4" w:space="0" w:color="000000"/>
              <w:left w:val="single" w:sz="4" w:space="0" w:color="000000"/>
              <w:bottom w:val="single" w:sz="4" w:space="0" w:color="000000"/>
              <w:right w:val="single" w:sz="4" w:space="0" w:color="000000"/>
            </w:tcBorders>
            <w:vAlign w:val="center"/>
          </w:tcPr>
          <w:p w14:paraId="7B842F61" w14:textId="77777777" w:rsidR="003A7B50" w:rsidRPr="00C76D23" w:rsidRDefault="008166E1" w:rsidP="000617E6">
            <w:pPr>
              <w:spacing w:before="240" w:after="240" w:line="360" w:lineRule="auto"/>
              <w:jc w:val="center"/>
              <w:rPr>
                <w:rFonts w:ascii="Palatino Linotype" w:eastAsia="Palatino Linotype" w:hAnsi="Palatino Linotype" w:cs="Palatino Linotype"/>
              </w:rPr>
            </w:pPr>
            <w:r w:rsidRPr="00C76D23">
              <w:rPr>
                <w:rFonts w:ascii="Palatino Linotype" w:hAnsi="Palatino Linotype"/>
              </w:rPr>
              <w:object w:dxaOrig="9105" w:dyaOrig="2745" w14:anchorId="1EA21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79.5pt" o:ole="">
                  <v:imagedata r:id="rId10" o:title=""/>
                </v:shape>
                <o:OLEObject Type="Embed" ProgID="PBrush" ShapeID="_x0000_i1025" DrawAspect="Content" ObjectID="_1747206100" r:id="rId11"/>
              </w:object>
            </w:r>
          </w:p>
        </w:tc>
        <w:tc>
          <w:tcPr>
            <w:tcW w:w="1752" w:type="dxa"/>
            <w:tcBorders>
              <w:top w:val="single" w:sz="4" w:space="0" w:color="000000"/>
              <w:left w:val="single" w:sz="4" w:space="0" w:color="000000"/>
              <w:bottom w:val="single" w:sz="4" w:space="0" w:color="000000"/>
              <w:right w:val="single" w:sz="4" w:space="0" w:color="000000"/>
            </w:tcBorders>
            <w:vAlign w:val="center"/>
          </w:tcPr>
          <w:p w14:paraId="191AA9A1" w14:textId="77777777" w:rsidR="003A7B50" w:rsidRPr="00C76D23" w:rsidRDefault="003A7B50" w:rsidP="000617E6">
            <w:pPr>
              <w:spacing w:before="240" w:after="240" w:line="360" w:lineRule="auto"/>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SI</w:t>
            </w:r>
          </w:p>
        </w:tc>
      </w:tr>
      <w:tr w:rsidR="00C76D23" w:rsidRPr="00C76D23" w14:paraId="4FA0E012" w14:textId="77777777" w:rsidTr="000617E6">
        <w:tc>
          <w:tcPr>
            <w:tcW w:w="1838" w:type="dxa"/>
            <w:tcBorders>
              <w:top w:val="single" w:sz="4" w:space="0" w:color="000000"/>
              <w:left w:val="single" w:sz="4" w:space="0" w:color="000000"/>
              <w:bottom w:val="single" w:sz="4" w:space="0" w:color="000000"/>
              <w:right w:val="single" w:sz="4" w:space="0" w:color="000000"/>
            </w:tcBorders>
            <w:vAlign w:val="center"/>
          </w:tcPr>
          <w:p w14:paraId="6EF37B39" w14:textId="77777777" w:rsidR="003A7B50" w:rsidRPr="00C76D23" w:rsidRDefault="003A7B50" w:rsidP="000617E6">
            <w:pPr>
              <w:widowControl w:val="0"/>
              <w:jc w:val="center"/>
              <w:rPr>
                <w:rFonts w:ascii="Palatino Linotype" w:eastAsia="Palatino Linotype" w:hAnsi="Palatino Linotype" w:cs="Palatino Linotype"/>
                <w:sz w:val="20"/>
                <w:szCs w:val="20"/>
              </w:rPr>
            </w:pPr>
            <w:r w:rsidRPr="00C76D23">
              <w:rPr>
                <w:rFonts w:ascii="Palatino Linotype" w:eastAsia="Palatino Linotype" w:hAnsi="Palatino Linotype" w:cs="Palatino Linotype"/>
                <w:b/>
                <w:sz w:val="20"/>
                <w:szCs w:val="20"/>
              </w:rPr>
              <w:lastRenderedPageBreak/>
              <w:t>Fundamento de la clasificación</w:t>
            </w:r>
            <w:r w:rsidRPr="00C76D23">
              <w:rPr>
                <w:rFonts w:ascii="Palatino Linotype" w:eastAsia="Palatino Linotype" w:hAnsi="Palatino Linotype" w:cs="Palatino Linotype"/>
                <w:sz w:val="20"/>
                <w:szCs w:val="20"/>
              </w:rPr>
              <w:t>.</w:t>
            </w:r>
          </w:p>
          <w:p w14:paraId="0DCB1F63" w14:textId="77777777" w:rsidR="003A7B50" w:rsidRPr="00C76D23" w:rsidRDefault="003A7B50" w:rsidP="00887103">
            <w:pPr>
              <w:widowControl w:val="0"/>
              <w:jc w:val="center"/>
              <w:rPr>
                <w:rFonts w:ascii="Palatino Linotype" w:eastAsia="Palatino Linotype" w:hAnsi="Palatino Linotype" w:cs="Palatino Linotype"/>
                <w:sz w:val="20"/>
                <w:szCs w:val="20"/>
              </w:rPr>
            </w:pPr>
            <w:r w:rsidRPr="00C76D23">
              <w:rPr>
                <w:rFonts w:ascii="Palatino Linotype" w:eastAsia="Palatino Linotype" w:hAnsi="Palatino Linotype" w:cs="Palatino Linotype"/>
                <w:sz w:val="20"/>
                <w:szCs w:val="20"/>
              </w:rPr>
              <w:t>De conformidad con el párrafo primero del Lineamiento octavo de los Lineamientos de Clasificación y Desclasificación de la Información.</w:t>
            </w:r>
          </w:p>
        </w:tc>
        <w:tc>
          <w:tcPr>
            <w:tcW w:w="5245" w:type="dxa"/>
            <w:tcBorders>
              <w:top w:val="single" w:sz="4" w:space="0" w:color="000000"/>
              <w:left w:val="single" w:sz="4" w:space="0" w:color="000000"/>
              <w:bottom w:val="single" w:sz="4" w:space="0" w:color="000000"/>
              <w:right w:val="single" w:sz="4" w:space="0" w:color="000000"/>
            </w:tcBorders>
            <w:vAlign w:val="center"/>
          </w:tcPr>
          <w:p w14:paraId="447FDF2C" w14:textId="77777777" w:rsidR="003A7B50" w:rsidRPr="00C76D23" w:rsidRDefault="008166E1" w:rsidP="00887103">
            <w:pPr>
              <w:spacing w:before="240" w:after="240" w:line="360" w:lineRule="auto"/>
              <w:jc w:val="center"/>
              <w:rPr>
                <w:rFonts w:ascii="Palatino Linotype" w:hAnsi="Palatino Linotype"/>
              </w:rPr>
            </w:pPr>
            <w:r w:rsidRPr="00C76D23">
              <w:rPr>
                <w:rFonts w:ascii="Palatino Linotype" w:hAnsi="Palatino Linotype"/>
              </w:rPr>
              <w:object w:dxaOrig="8970" w:dyaOrig="5835" w14:anchorId="4C2A5DB7">
                <v:shape id="_x0000_i1026" type="#_x0000_t75" style="width:252pt;height:165.75pt" o:ole="">
                  <v:imagedata r:id="rId12" o:title=""/>
                </v:shape>
                <o:OLEObject Type="Embed" ProgID="PBrush" ShapeID="_x0000_i1026" DrawAspect="Content" ObjectID="_1747206101" r:id="rId13"/>
              </w:object>
            </w:r>
          </w:p>
        </w:tc>
        <w:tc>
          <w:tcPr>
            <w:tcW w:w="1752" w:type="dxa"/>
            <w:tcBorders>
              <w:top w:val="single" w:sz="4" w:space="0" w:color="000000"/>
              <w:left w:val="single" w:sz="4" w:space="0" w:color="000000"/>
              <w:bottom w:val="single" w:sz="4" w:space="0" w:color="000000"/>
              <w:right w:val="single" w:sz="4" w:space="0" w:color="000000"/>
            </w:tcBorders>
            <w:vAlign w:val="center"/>
          </w:tcPr>
          <w:p w14:paraId="78A17C63" w14:textId="77777777" w:rsidR="003A7B50" w:rsidRPr="00C76D23" w:rsidRDefault="003A7B50" w:rsidP="000617E6">
            <w:pPr>
              <w:spacing w:before="120" w:after="120"/>
              <w:jc w:val="center"/>
              <w:rPr>
                <w:rFonts w:ascii="Palatino Linotype" w:eastAsia="Palatino Linotype" w:hAnsi="Palatino Linotype" w:cs="Palatino Linotype"/>
                <w:b/>
                <w:sz w:val="14"/>
                <w:szCs w:val="14"/>
              </w:rPr>
            </w:pPr>
            <w:r w:rsidRPr="00C76D23">
              <w:rPr>
                <w:rFonts w:ascii="Palatino Linotype" w:eastAsia="Palatino Linotype" w:hAnsi="Palatino Linotype" w:cs="Palatino Linotype"/>
                <w:b/>
                <w:sz w:val="14"/>
                <w:szCs w:val="14"/>
              </w:rPr>
              <w:t>PARCIALMENTE</w:t>
            </w:r>
          </w:p>
          <w:p w14:paraId="662DE743" w14:textId="77777777" w:rsidR="00887103" w:rsidRPr="00C76D23" w:rsidRDefault="003A7B50" w:rsidP="003D1E5B">
            <w:pPr>
              <w:spacing w:before="120" w:after="120"/>
              <w:jc w:val="both"/>
              <w:rPr>
                <w:rFonts w:ascii="Palatino Linotype" w:eastAsia="Palatino Linotype" w:hAnsi="Palatino Linotype" w:cs="Palatino Linotype"/>
                <w:sz w:val="14"/>
                <w:szCs w:val="14"/>
              </w:rPr>
            </w:pPr>
            <w:r w:rsidRPr="00C76D23">
              <w:rPr>
                <w:rFonts w:ascii="Palatino Linotype" w:eastAsia="Palatino Linotype" w:hAnsi="Palatino Linotype" w:cs="Palatino Linotype"/>
                <w:sz w:val="14"/>
                <w:szCs w:val="14"/>
              </w:rPr>
              <w:t xml:space="preserve">En virtud de </w:t>
            </w:r>
            <w:proofErr w:type="gramStart"/>
            <w:r w:rsidRPr="00C76D23">
              <w:rPr>
                <w:rFonts w:ascii="Palatino Linotype" w:eastAsia="Palatino Linotype" w:hAnsi="Palatino Linotype" w:cs="Palatino Linotype"/>
                <w:sz w:val="14"/>
                <w:szCs w:val="14"/>
              </w:rPr>
              <w:t>que</w:t>
            </w:r>
            <w:proofErr w:type="gramEnd"/>
            <w:r w:rsidRPr="00C76D23">
              <w:rPr>
                <w:rFonts w:ascii="Palatino Linotype" w:eastAsia="Palatino Linotype" w:hAnsi="Palatino Linotype" w:cs="Palatino Linotype"/>
                <w:sz w:val="14"/>
                <w:szCs w:val="14"/>
              </w:rPr>
              <w:t xml:space="preserve"> si bien señala el </w:t>
            </w:r>
            <w:r w:rsidR="003D1E5B" w:rsidRPr="00C76D23">
              <w:rPr>
                <w:rFonts w:ascii="Palatino Linotype" w:eastAsia="Palatino Linotype" w:hAnsi="Palatino Linotype" w:cs="Palatino Linotype"/>
                <w:sz w:val="14"/>
                <w:szCs w:val="14"/>
              </w:rPr>
              <w:t xml:space="preserve">artículo </w:t>
            </w:r>
            <w:r w:rsidRPr="00C76D23">
              <w:rPr>
                <w:rFonts w:ascii="Palatino Linotype" w:eastAsia="Palatino Linotype" w:hAnsi="Palatino Linotype" w:cs="Palatino Linotype"/>
                <w:sz w:val="14"/>
                <w:szCs w:val="14"/>
              </w:rPr>
              <w:t xml:space="preserve">113, fracción </w:t>
            </w:r>
            <w:r w:rsidR="003D1E5B" w:rsidRPr="00C76D23">
              <w:rPr>
                <w:rFonts w:ascii="Palatino Linotype" w:eastAsia="Palatino Linotype" w:hAnsi="Palatino Linotype" w:cs="Palatino Linotype"/>
                <w:sz w:val="14"/>
                <w:szCs w:val="14"/>
              </w:rPr>
              <w:t>I</w:t>
            </w:r>
            <w:r w:rsidRPr="00C76D23">
              <w:rPr>
                <w:rFonts w:ascii="Palatino Linotype" w:eastAsia="Palatino Linotype" w:hAnsi="Palatino Linotype" w:cs="Palatino Linotype"/>
                <w:sz w:val="14"/>
                <w:szCs w:val="14"/>
              </w:rPr>
              <w:t>, de la Ley de General</w:t>
            </w:r>
            <w:r w:rsidR="003D1E5B" w:rsidRPr="00C76D23">
              <w:rPr>
                <w:rFonts w:ascii="Palatino Linotype" w:eastAsia="Palatino Linotype" w:hAnsi="Palatino Linotype" w:cs="Palatino Linotype"/>
                <w:sz w:val="14"/>
                <w:szCs w:val="14"/>
              </w:rPr>
              <w:t xml:space="preserve"> de Transparencia y</w:t>
            </w:r>
            <w:r w:rsidRPr="00C76D23">
              <w:rPr>
                <w:rFonts w:ascii="Palatino Linotype" w:eastAsia="Palatino Linotype" w:hAnsi="Palatino Linotype" w:cs="Palatino Linotype"/>
                <w:sz w:val="14"/>
                <w:szCs w:val="14"/>
              </w:rPr>
              <w:t xml:space="preserve"> 140, fracción</w:t>
            </w:r>
            <w:r w:rsidR="003D1E5B" w:rsidRPr="00C76D23">
              <w:rPr>
                <w:rFonts w:ascii="Palatino Linotype" w:eastAsia="Palatino Linotype" w:hAnsi="Palatino Linotype" w:cs="Palatino Linotype"/>
                <w:sz w:val="14"/>
                <w:szCs w:val="14"/>
              </w:rPr>
              <w:t xml:space="preserve"> I </w:t>
            </w:r>
            <w:r w:rsidRPr="00C76D23">
              <w:rPr>
                <w:rFonts w:ascii="Palatino Linotype" w:eastAsia="Palatino Linotype" w:hAnsi="Palatino Linotype" w:cs="Palatino Linotype"/>
                <w:sz w:val="14"/>
                <w:szCs w:val="14"/>
              </w:rPr>
              <w:t xml:space="preserve">de la Ley de Transparencia Local, </w:t>
            </w:r>
            <w:r w:rsidR="003D1E5B" w:rsidRPr="00C76D23">
              <w:rPr>
                <w:rFonts w:ascii="Palatino Linotype" w:eastAsia="Palatino Linotype" w:hAnsi="Palatino Linotype" w:cs="Palatino Linotype"/>
                <w:sz w:val="14"/>
                <w:szCs w:val="14"/>
              </w:rPr>
              <w:t>dicho fundamento no le otorga</w:t>
            </w:r>
            <w:r w:rsidRPr="00C76D23">
              <w:rPr>
                <w:rFonts w:ascii="Palatino Linotype" w:eastAsia="Palatino Linotype" w:hAnsi="Palatino Linotype" w:cs="Palatino Linotype"/>
                <w:sz w:val="14"/>
                <w:szCs w:val="14"/>
              </w:rPr>
              <w:t xml:space="preserve"> expresamente el carácter de reserva a </w:t>
            </w:r>
            <w:r w:rsidR="003D1E5B" w:rsidRPr="00C76D23">
              <w:rPr>
                <w:rFonts w:ascii="Palatino Linotype" w:eastAsia="Palatino Linotype" w:hAnsi="Palatino Linotype" w:cs="Palatino Linotype"/>
                <w:sz w:val="14"/>
                <w:szCs w:val="14"/>
              </w:rPr>
              <w:t xml:space="preserve">totalidad de los contratos </w:t>
            </w:r>
            <w:r w:rsidRPr="00C76D23">
              <w:rPr>
                <w:rFonts w:ascii="Palatino Linotype" w:eastAsia="Palatino Linotype" w:hAnsi="Palatino Linotype" w:cs="Palatino Linotype"/>
                <w:sz w:val="14"/>
                <w:szCs w:val="14"/>
              </w:rPr>
              <w:t>solicitad</w:t>
            </w:r>
            <w:r w:rsidR="003D1E5B" w:rsidRPr="00C76D23">
              <w:rPr>
                <w:rFonts w:ascii="Palatino Linotype" w:eastAsia="Palatino Linotype" w:hAnsi="Palatino Linotype" w:cs="Palatino Linotype"/>
                <w:sz w:val="14"/>
                <w:szCs w:val="14"/>
              </w:rPr>
              <w:t>os.</w:t>
            </w:r>
            <w:r w:rsidRPr="00C76D23">
              <w:rPr>
                <w:rFonts w:ascii="Palatino Linotype" w:eastAsia="Palatino Linotype" w:hAnsi="Palatino Linotype" w:cs="Palatino Linotype"/>
                <w:sz w:val="14"/>
                <w:szCs w:val="14"/>
              </w:rPr>
              <w:t xml:space="preserve"> </w:t>
            </w:r>
          </w:p>
          <w:p w14:paraId="0A0DD494" w14:textId="65AB52AA" w:rsidR="00887103" w:rsidRPr="00C76D23" w:rsidRDefault="00887103" w:rsidP="003D1E5B">
            <w:pPr>
              <w:spacing w:before="120" w:after="120"/>
              <w:jc w:val="both"/>
              <w:rPr>
                <w:rFonts w:ascii="Palatino Linotype" w:eastAsia="Palatino Linotype" w:hAnsi="Palatino Linotype" w:cs="Palatino Linotype"/>
                <w:sz w:val="14"/>
                <w:szCs w:val="14"/>
              </w:rPr>
            </w:pPr>
            <w:r w:rsidRPr="00C76D23">
              <w:rPr>
                <w:rFonts w:ascii="Palatino Linotype" w:eastAsia="Palatino Linotype" w:hAnsi="Palatino Linotype" w:cs="Palatino Linotype"/>
                <w:sz w:val="14"/>
                <w:szCs w:val="14"/>
              </w:rPr>
              <w:t xml:space="preserve">Sin perder de vista que se clasifican las facturas </w:t>
            </w:r>
            <w:r w:rsidR="00B7165A" w:rsidRPr="00C76D23">
              <w:rPr>
                <w:rFonts w:ascii="Palatino Linotype" w:eastAsia="Palatino Linotype" w:hAnsi="Palatino Linotype" w:cs="Palatino Linotype"/>
                <w:sz w:val="14"/>
                <w:szCs w:val="14"/>
              </w:rPr>
              <w:t xml:space="preserve">relacionadas con el arrendamiento </w:t>
            </w:r>
            <w:r w:rsidRPr="00C76D23">
              <w:rPr>
                <w:rFonts w:ascii="Palatino Linotype" w:eastAsia="Palatino Linotype" w:hAnsi="Palatino Linotype" w:cs="Palatino Linotype"/>
                <w:sz w:val="14"/>
                <w:szCs w:val="14"/>
              </w:rPr>
              <w:t>de las patrullas</w:t>
            </w:r>
            <w:r w:rsidR="00B7165A" w:rsidRPr="00C76D23">
              <w:rPr>
                <w:rFonts w:ascii="Palatino Linotype" w:eastAsia="Palatino Linotype" w:hAnsi="Palatino Linotype" w:cs="Palatino Linotype"/>
                <w:sz w:val="14"/>
                <w:szCs w:val="14"/>
              </w:rPr>
              <w:t xml:space="preserve"> y las </w:t>
            </w:r>
            <w:r w:rsidR="000A0F67" w:rsidRPr="00C76D23">
              <w:rPr>
                <w:rFonts w:ascii="Palatino Linotype" w:eastAsia="Palatino Linotype" w:hAnsi="Palatino Linotype" w:cs="Palatino Linotype"/>
                <w:sz w:val="14"/>
                <w:szCs w:val="14"/>
              </w:rPr>
              <w:t>plataformas de posicionamiento táctico</w:t>
            </w:r>
            <w:r w:rsidR="00B7165A" w:rsidRPr="00C76D23">
              <w:rPr>
                <w:rFonts w:ascii="Palatino Linotype" w:eastAsia="Palatino Linotype" w:hAnsi="Palatino Linotype" w:cs="Palatino Linotype"/>
                <w:sz w:val="14"/>
                <w:szCs w:val="14"/>
              </w:rPr>
              <w:t>.</w:t>
            </w:r>
          </w:p>
        </w:tc>
      </w:tr>
      <w:tr w:rsidR="00C76D23" w:rsidRPr="00C76D23" w14:paraId="5AA781CC" w14:textId="77777777" w:rsidTr="000617E6">
        <w:tc>
          <w:tcPr>
            <w:tcW w:w="1838" w:type="dxa"/>
            <w:tcBorders>
              <w:top w:val="single" w:sz="4" w:space="0" w:color="000000"/>
              <w:left w:val="single" w:sz="4" w:space="0" w:color="000000"/>
              <w:bottom w:val="single" w:sz="4" w:space="0" w:color="000000"/>
              <w:right w:val="single" w:sz="4" w:space="0" w:color="000000"/>
            </w:tcBorders>
            <w:vAlign w:val="center"/>
          </w:tcPr>
          <w:p w14:paraId="69C0F61E" w14:textId="77777777" w:rsidR="003A7B50" w:rsidRPr="00C76D23" w:rsidRDefault="003A7B50" w:rsidP="000617E6">
            <w:pPr>
              <w:widowControl w:val="0"/>
              <w:jc w:val="center"/>
              <w:rPr>
                <w:rFonts w:ascii="Palatino Linotype" w:eastAsia="Palatino Linotype" w:hAnsi="Palatino Linotype" w:cs="Palatino Linotype"/>
                <w:sz w:val="20"/>
                <w:szCs w:val="20"/>
              </w:rPr>
            </w:pPr>
            <w:r w:rsidRPr="00C76D23">
              <w:rPr>
                <w:rFonts w:ascii="Palatino Linotype" w:eastAsia="Palatino Linotype" w:hAnsi="Palatino Linotype" w:cs="Palatino Linotype"/>
                <w:b/>
                <w:sz w:val="20"/>
                <w:szCs w:val="20"/>
              </w:rPr>
              <w:t>Motivación de la clasificación</w:t>
            </w:r>
            <w:r w:rsidRPr="00C76D23">
              <w:rPr>
                <w:rFonts w:ascii="Palatino Linotype" w:eastAsia="Palatino Linotype" w:hAnsi="Palatino Linotype" w:cs="Palatino Linotype"/>
                <w:sz w:val="20"/>
                <w:szCs w:val="20"/>
              </w:rPr>
              <w:t>.</w:t>
            </w:r>
          </w:p>
          <w:p w14:paraId="2AAEC619" w14:textId="77777777" w:rsidR="003A7B50" w:rsidRPr="00C76D23" w:rsidRDefault="003A7B50" w:rsidP="000617E6">
            <w:pPr>
              <w:widowControl w:val="0"/>
              <w:jc w:val="center"/>
              <w:rPr>
                <w:rFonts w:ascii="Palatino Linotype" w:eastAsia="Palatino Linotype" w:hAnsi="Palatino Linotype" w:cs="Palatino Linotype"/>
                <w:sz w:val="20"/>
                <w:szCs w:val="20"/>
              </w:rPr>
            </w:pPr>
            <w:r w:rsidRPr="00C76D23">
              <w:rPr>
                <w:rFonts w:ascii="Palatino Linotype" w:eastAsia="Palatino Linotype" w:hAnsi="Palatino Linotype" w:cs="Palatino Linotype"/>
                <w:sz w:val="20"/>
                <w:szCs w:val="20"/>
              </w:rPr>
              <w:t>De conformidad con el párrafo segundo del Lineamiento octavo de los Lineamientos de Clasificación y Desclasificación de la Información.</w:t>
            </w:r>
          </w:p>
        </w:tc>
        <w:tc>
          <w:tcPr>
            <w:tcW w:w="5245" w:type="dxa"/>
            <w:tcBorders>
              <w:top w:val="single" w:sz="4" w:space="0" w:color="000000"/>
              <w:left w:val="single" w:sz="4" w:space="0" w:color="000000"/>
              <w:bottom w:val="single" w:sz="4" w:space="0" w:color="000000"/>
              <w:right w:val="single" w:sz="4" w:space="0" w:color="000000"/>
            </w:tcBorders>
            <w:vAlign w:val="center"/>
          </w:tcPr>
          <w:p w14:paraId="0DF287D3" w14:textId="77777777" w:rsidR="003A7B50" w:rsidRPr="00C76D23" w:rsidRDefault="003D1E5B" w:rsidP="000617E6">
            <w:pPr>
              <w:spacing w:before="240" w:after="240" w:line="360" w:lineRule="auto"/>
              <w:jc w:val="center"/>
              <w:rPr>
                <w:rFonts w:ascii="Palatino Linotype" w:eastAsia="Palatino Linotype" w:hAnsi="Palatino Linotype" w:cs="Palatino Linotype"/>
              </w:rPr>
            </w:pPr>
            <w:r w:rsidRPr="00C76D23">
              <w:rPr>
                <w:rFonts w:ascii="Palatino Linotype" w:hAnsi="Palatino Linotype"/>
              </w:rPr>
              <w:object w:dxaOrig="8925" w:dyaOrig="4155" w14:anchorId="105A0B94">
                <v:shape id="_x0000_i1027" type="#_x0000_t75" style="width:252pt;height:115.5pt" o:ole="">
                  <v:imagedata r:id="rId14" o:title=""/>
                </v:shape>
                <o:OLEObject Type="Embed" ProgID="PBrush" ShapeID="_x0000_i1027" DrawAspect="Content" ObjectID="_1747206102" r:id="rId15"/>
              </w:object>
            </w:r>
          </w:p>
        </w:tc>
        <w:tc>
          <w:tcPr>
            <w:tcW w:w="1752" w:type="dxa"/>
            <w:tcBorders>
              <w:top w:val="single" w:sz="4" w:space="0" w:color="000000"/>
              <w:left w:val="single" w:sz="4" w:space="0" w:color="000000"/>
              <w:bottom w:val="single" w:sz="4" w:space="0" w:color="000000"/>
              <w:right w:val="single" w:sz="4" w:space="0" w:color="000000"/>
            </w:tcBorders>
            <w:vAlign w:val="center"/>
          </w:tcPr>
          <w:p w14:paraId="2C515BDB" w14:textId="77777777" w:rsidR="003A7B50" w:rsidRPr="00C76D23" w:rsidRDefault="00887103" w:rsidP="00887103">
            <w:pPr>
              <w:spacing w:before="120" w:after="120"/>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NO</w:t>
            </w:r>
          </w:p>
          <w:p w14:paraId="483DAEDC" w14:textId="77777777" w:rsidR="003A7B50" w:rsidRPr="00C76D23" w:rsidRDefault="003A7B50" w:rsidP="00887103">
            <w:pPr>
              <w:spacing w:before="120" w:after="120"/>
              <w:jc w:val="both"/>
              <w:rPr>
                <w:rFonts w:ascii="Palatino Linotype" w:eastAsia="Palatino Linotype" w:hAnsi="Palatino Linotype" w:cs="Palatino Linotype"/>
                <w:sz w:val="14"/>
                <w:szCs w:val="14"/>
              </w:rPr>
            </w:pPr>
            <w:r w:rsidRPr="00C76D23">
              <w:rPr>
                <w:rFonts w:ascii="Palatino Linotype" w:eastAsia="Palatino Linotype" w:hAnsi="Palatino Linotype" w:cs="Palatino Linotype"/>
                <w:sz w:val="14"/>
                <w:szCs w:val="14"/>
              </w:rPr>
              <w:t xml:space="preserve">En virtud de que </w:t>
            </w:r>
            <w:r w:rsidRPr="00C76D23">
              <w:rPr>
                <w:rFonts w:ascii="Palatino Linotype" w:eastAsia="Palatino Linotype" w:hAnsi="Palatino Linotype" w:cs="Palatino Linotype"/>
                <w:b/>
                <w:sz w:val="14"/>
                <w:szCs w:val="14"/>
              </w:rPr>
              <w:t>no señaló las razones o circunstancias especiales que lo llevaron a concluir que el caso particular se ajusta al supuesto</w:t>
            </w:r>
            <w:r w:rsidRPr="00C76D23">
              <w:rPr>
                <w:rFonts w:ascii="Palatino Linotype" w:eastAsia="Palatino Linotype" w:hAnsi="Palatino Linotype" w:cs="Palatino Linotype"/>
                <w:sz w:val="14"/>
                <w:szCs w:val="14"/>
              </w:rPr>
              <w:t xml:space="preserve"> </w:t>
            </w:r>
            <w:r w:rsidRPr="00C76D23">
              <w:rPr>
                <w:rFonts w:ascii="Palatino Linotype" w:eastAsia="Palatino Linotype" w:hAnsi="Palatino Linotype" w:cs="Palatino Linotype"/>
                <w:b/>
                <w:sz w:val="14"/>
                <w:szCs w:val="14"/>
              </w:rPr>
              <w:t>previsto por la norma</w:t>
            </w:r>
            <w:r w:rsidRPr="00C76D23">
              <w:rPr>
                <w:rFonts w:ascii="Palatino Linotype" w:eastAsia="Palatino Linotype" w:hAnsi="Palatino Linotype" w:cs="Palatino Linotype"/>
                <w:sz w:val="14"/>
                <w:szCs w:val="14"/>
              </w:rPr>
              <w:t xml:space="preserve"> </w:t>
            </w:r>
            <w:r w:rsidRPr="00C76D23">
              <w:rPr>
                <w:rFonts w:ascii="Palatino Linotype" w:eastAsia="Palatino Linotype" w:hAnsi="Palatino Linotype" w:cs="Palatino Linotype"/>
                <w:b/>
                <w:sz w:val="14"/>
                <w:szCs w:val="14"/>
              </w:rPr>
              <w:t xml:space="preserve">legal </w:t>
            </w:r>
            <w:r w:rsidRPr="00C76D23">
              <w:rPr>
                <w:rFonts w:ascii="Palatino Linotype" w:eastAsia="Palatino Linotype" w:hAnsi="Palatino Linotype" w:cs="Palatino Linotype"/>
                <w:b/>
                <w:sz w:val="14"/>
                <w:szCs w:val="14"/>
                <w:u w:val="single"/>
              </w:rPr>
              <w:t>invocada como fundamento</w:t>
            </w:r>
            <w:r w:rsidRPr="00C76D23">
              <w:rPr>
                <w:rFonts w:ascii="Palatino Linotype" w:eastAsia="Palatino Linotype" w:hAnsi="Palatino Linotype" w:cs="Palatino Linotype"/>
                <w:sz w:val="14"/>
                <w:szCs w:val="14"/>
              </w:rPr>
              <w:t>.</w:t>
            </w:r>
          </w:p>
          <w:p w14:paraId="016A00A6" w14:textId="42CE41A9" w:rsidR="00887103" w:rsidRPr="00C76D23" w:rsidRDefault="00B7165A" w:rsidP="00887103">
            <w:pPr>
              <w:spacing w:before="120" w:after="120"/>
              <w:jc w:val="both"/>
              <w:rPr>
                <w:rFonts w:ascii="Palatino Linotype" w:eastAsia="Palatino Linotype" w:hAnsi="Palatino Linotype" w:cs="Palatino Linotype"/>
                <w:sz w:val="14"/>
                <w:szCs w:val="14"/>
              </w:rPr>
            </w:pPr>
            <w:r w:rsidRPr="00C76D23">
              <w:rPr>
                <w:rFonts w:ascii="Palatino Linotype" w:eastAsia="Palatino Linotype" w:hAnsi="Palatino Linotype" w:cs="Palatino Linotype"/>
                <w:sz w:val="14"/>
                <w:szCs w:val="14"/>
              </w:rPr>
              <w:t xml:space="preserve">Sin perder de vista que se clasifican las facturas relacionadas con el arrendamiento de las patrullas y las </w:t>
            </w:r>
            <w:r w:rsidR="000A0F67" w:rsidRPr="00C76D23">
              <w:rPr>
                <w:rFonts w:ascii="Palatino Linotype" w:eastAsia="Palatino Linotype" w:hAnsi="Palatino Linotype" w:cs="Palatino Linotype"/>
                <w:sz w:val="14"/>
                <w:szCs w:val="14"/>
              </w:rPr>
              <w:t>plataformas de posicionamiento táctico</w:t>
            </w:r>
            <w:r w:rsidRPr="00C76D23">
              <w:rPr>
                <w:rFonts w:ascii="Palatino Linotype" w:eastAsia="Palatino Linotype" w:hAnsi="Palatino Linotype" w:cs="Palatino Linotype"/>
                <w:sz w:val="14"/>
                <w:szCs w:val="14"/>
              </w:rPr>
              <w:t>.</w:t>
            </w:r>
          </w:p>
        </w:tc>
      </w:tr>
      <w:tr w:rsidR="00C76D23" w:rsidRPr="00C76D23" w14:paraId="2DB3DAA4" w14:textId="77777777" w:rsidTr="000617E6">
        <w:tc>
          <w:tcPr>
            <w:tcW w:w="1838" w:type="dxa"/>
            <w:tcBorders>
              <w:top w:val="single" w:sz="4" w:space="0" w:color="000000"/>
              <w:left w:val="single" w:sz="4" w:space="0" w:color="000000"/>
              <w:bottom w:val="single" w:sz="4" w:space="0" w:color="000000"/>
              <w:right w:val="single" w:sz="4" w:space="0" w:color="000000"/>
            </w:tcBorders>
            <w:vAlign w:val="center"/>
          </w:tcPr>
          <w:p w14:paraId="672B505E" w14:textId="77777777" w:rsidR="003A7B50" w:rsidRPr="00C76D23" w:rsidRDefault="003A7B50" w:rsidP="000617E6">
            <w:pPr>
              <w:widowControl w:val="0"/>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Resolución o resoluciones aprobadas</w:t>
            </w:r>
          </w:p>
        </w:tc>
        <w:tc>
          <w:tcPr>
            <w:tcW w:w="5245" w:type="dxa"/>
            <w:tcBorders>
              <w:top w:val="single" w:sz="4" w:space="0" w:color="000000"/>
              <w:left w:val="single" w:sz="4" w:space="0" w:color="000000"/>
              <w:bottom w:val="single" w:sz="4" w:space="0" w:color="000000"/>
              <w:right w:val="single" w:sz="4" w:space="0" w:color="000000"/>
            </w:tcBorders>
            <w:vAlign w:val="center"/>
          </w:tcPr>
          <w:p w14:paraId="03B7029D" w14:textId="77777777" w:rsidR="003A7B50" w:rsidRPr="00C76D23" w:rsidRDefault="003D1E5B" w:rsidP="000617E6">
            <w:pPr>
              <w:spacing w:before="240" w:after="240" w:line="360" w:lineRule="auto"/>
              <w:jc w:val="center"/>
              <w:rPr>
                <w:rFonts w:ascii="Palatino Linotype" w:hAnsi="Palatino Linotype"/>
              </w:rPr>
            </w:pPr>
            <w:r w:rsidRPr="00C76D23">
              <w:rPr>
                <w:rFonts w:ascii="Palatino Linotype" w:hAnsi="Palatino Linotype"/>
              </w:rPr>
              <w:object w:dxaOrig="8985" w:dyaOrig="4365" w14:anchorId="697AD4ED">
                <v:shape id="_x0000_i1028" type="#_x0000_t75" style="width:252pt;height:122.25pt" o:ole="">
                  <v:imagedata r:id="rId16" o:title=""/>
                </v:shape>
                <o:OLEObject Type="Embed" ProgID="PBrush" ShapeID="_x0000_i1028" DrawAspect="Content" ObjectID="_1747206103" r:id="rId17"/>
              </w:object>
            </w:r>
          </w:p>
        </w:tc>
        <w:tc>
          <w:tcPr>
            <w:tcW w:w="1752" w:type="dxa"/>
            <w:tcBorders>
              <w:top w:val="single" w:sz="4" w:space="0" w:color="000000"/>
              <w:left w:val="single" w:sz="4" w:space="0" w:color="000000"/>
              <w:bottom w:val="single" w:sz="4" w:space="0" w:color="000000"/>
              <w:right w:val="single" w:sz="4" w:space="0" w:color="000000"/>
            </w:tcBorders>
            <w:vAlign w:val="center"/>
          </w:tcPr>
          <w:p w14:paraId="1EEBFA0F" w14:textId="77777777" w:rsidR="003A7B50" w:rsidRPr="00C76D23" w:rsidRDefault="00887103" w:rsidP="000617E6">
            <w:pPr>
              <w:spacing w:before="240" w:after="240" w:line="360" w:lineRule="auto"/>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NO</w:t>
            </w:r>
          </w:p>
          <w:p w14:paraId="5DE4CDB1" w14:textId="55E38AD5" w:rsidR="003A7B50" w:rsidRPr="00C76D23" w:rsidRDefault="00B7165A" w:rsidP="003D1E5B">
            <w:pPr>
              <w:spacing w:before="240" w:after="240"/>
              <w:jc w:val="both"/>
              <w:rPr>
                <w:rFonts w:ascii="Palatino Linotype" w:eastAsia="Palatino Linotype" w:hAnsi="Palatino Linotype" w:cs="Palatino Linotype"/>
                <w:sz w:val="16"/>
                <w:szCs w:val="16"/>
              </w:rPr>
            </w:pPr>
            <w:r w:rsidRPr="00C76D23">
              <w:rPr>
                <w:rFonts w:ascii="Palatino Linotype" w:eastAsia="Palatino Linotype" w:hAnsi="Palatino Linotype" w:cs="Palatino Linotype"/>
                <w:sz w:val="14"/>
                <w:szCs w:val="14"/>
              </w:rPr>
              <w:t xml:space="preserve">Sin perder de vista que se clasifican las facturas relacionadas con el arrendamiento de las patrullas y </w:t>
            </w:r>
            <w:r w:rsidR="000A0F67" w:rsidRPr="00C76D23">
              <w:rPr>
                <w:rFonts w:ascii="Palatino Linotype" w:eastAsia="Palatino Linotype" w:hAnsi="Palatino Linotype" w:cs="Palatino Linotype"/>
                <w:sz w:val="14"/>
                <w:szCs w:val="14"/>
              </w:rPr>
              <w:t>plataformas de posicionamiento táctico</w:t>
            </w:r>
            <w:r w:rsidRPr="00C76D23">
              <w:rPr>
                <w:rFonts w:ascii="Palatino Linotype" w:eastAsia="Palatino Linotype" w:hAnsi="Palatino Linotype" w:cs="Palatino Linotype"/>
                <w:sz w:val="14"/>
                <w:szCs w:val="14"/>
              </w:rPr>
              <w:t>.</w:t>
            </w:r>
          </w:p>
        </w:tc>
      </w:tr>
      <w:tr w:rsidR="00C76D23" w:rsidRPr="00C76D23" w14:paraId="60237FD9" w14:textId="77777777" w:rsidTr="000617E6">
        <w:tc>
          <w:tcPr>
            <w:tcW w:w="1838" w:type="dxa"/>
            <w:tcBorders>
              <w:top w:val="single" w:sz="4" w:space="0" w:color="000000"/>
              <w:left w:val="single" w:sz="4" w:space="0" w:color="000000"/>
              <w:bottom w:val="single" w:sz="4" w:space="0" w:color="000000"/>
              <w:right w:val="single" w:sz="4" w:space="0" w:color="000000"/>
            </w:tcBorders>
            <w:vAlign w:val="center"/>
          </w:tcPr>
          <w:p w14:paraId="67D78929" w14:textId="77777777" w:rsidR="003A7B50" w:rsidRPr="00C76D23" w:rsidRDefault="003A7B50" w:rsidP="000617E6">
            <w:pPr>
              <w:widowControl w:val="0"/>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lastRenderedPageBreak/>
              <w:t>Nombre y firma de los integrantes del Comité</w:t>
            </w:r>
          </w:p>
        </w:tc>
        <w:tc>
          <w:tcPr>
            <w:tcW w:w="5245" w:type="dxa"/>
            <w:tcBorders>
              <w:top w:val="single" w:sz="4" w:space="0" w:color="000000"/>
              <w:left w:val="single" w:sz="4" w:space="0" w:color="000000"/>
              <w:bottom w:val="single" w:sz="4" w:space="0" w:color="000000"/>
              <w:right w:val="single" w:sz="4" w:space="0" w:color="000000"/>
            </w:tcBorders>
            <w:vAlign w:val="center"/>
          </w:tcPr>
          <w:p w14:paraId="52B5E3F4" w14:textId="77777777" w:rsidR="003A7B50" w:rsidRPr="00C76D23" w:rsidRDefault="003A7B50" w:rsidP="000617E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p w14:paraId="26F6DD5C" w14:textId="77777777" w:rsidR="003D1E5B" w:rsidRPr="00C76D23" w:rsidRDefault="003D1E5B" w:rsidP="003D1E5B">
            <w:pPr>
              <w:spacing w:before="240" w:after="240"/>
              <w:jc w:val="center"/>
              <w:rPr>
                <w:rFonts w:ascii="Palatino Linotype" w:hAnsi="Palatino Linotype"/>
                <w:sz w:val="20"/>
              </w:rPr>
            </w:pPr>
            <w:r w:rsidRPr="00C76D23">
              <w:rPr>
                <w:rFonts w:ascii="Palatino Linotype" w:hAnsi="Palatino Linotype"/>
                <w:sz w:val="20"/>
              </w:rPr>
              <w:t xml:space="preserve">No se advierte. </w:t>
            </w:r>
          </w:p>
          <w:p w14:paraId="6796E477" w14:textId="77777777" w:rsidR="003A7B50" w:rsidRPr="00C76D23" w:rsidRDefault="003D1E5B" w:rsidP="003D1E5B">
            <w:pPr>
              <w:spacing w:before="240" w:after="240" w:line="360" w:lineRule="auto"/>
              <w:jc w:val="center"/>
              <w:rPr>
                <w:rFonts w:ascii="Palatino Linotype" w:hAnsi="Palatino Linotype"/>
              </w:rPr>
            </w:pPr>
            <w:r w:rsidRPr="00C76D23">
              <w:rPr>
                <w:rFonts w:ascii="Palatino Linotype" w:hAnsi="Palatino Linotype"/>
                <w:sz w:val="20"/>
              </w:rPr>
              <w:t>El acta se remitió incompleta.</w:t>
            </w:r>
          </w:p>
        </w:tc>
        <w:tc>
          <w:tcPr>
            <w:tcW w:w="1752" w:type="dxa"/>
            <w:tcBorders>
              <w:top w:val="single" w:sz="4" w:space="0" w:color="000000"/>
              <w:left w:val="single" w:sz="4" w:space="0" w:color="000000"/>
              <w:bottom w:val="single" w:sz="4" w:space="0" w:color="000000"/>
              <w:right w:val="single" w:sz="4" w:space="0" w:color="000000"/>
            </w:tcBorders>
            <w:vAlign w:val="center"/>
          </w:tcPr>
          <w:p w14:paraId="22C7A577" w14:textId="77777777" w:rsidR="003A7B50" w:rsidRPr="00C76D23" w:rsidRDefault="003D1E5B" w:rsidP="000617E6">
            <w:pPr>
              <w:spacing w:before="240" w:after="240" w:line="360" w:lineRule="auto"/>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NO</w:t>
            </w:r>
          </w:p>
        </w:tc>
      </w:tr>
      <w:tr w:rsidR="00C76D23" w:rsidRPr="00C76D23" w14:paraId="4894B4C3" w14:textId="77777777" w:rsidTr="000617E6">
        <w:tc>
          <w:tcPr>
            <w:tcW w:w="8835" w:type="dxa"/>
            <w:gridSpan w:val="3"/>
            <w:tcBorders>
              <w:top w:val="single" w:sz="4" w:space="0" w:color="000000"/>
              <w:left w:val="single" w:sz="4" w:space="0" w:color="000000"/>
              <w:bottom w:val="single" w:sz="4" w:space="0" w:color="000000"/>
              <w:right w:val="single" w:sz="4" w:space="0" w:color="000000"/>
            </w:tcBorders>
            <w:vAlign w:val="center"/>
          </w:tcPr>
          <w:p w14:paraId="4CEC9BD2" w14:textId="77777777" w:rsidR="003A7B50" w:rsidRPr="00C76D23" w:rsidRDefault="003A7B50" w:rsidP="000617E6">
            <w:pPr>
              <w:widowControl w:val="0"/>
              <w:shd w:val="clear" w:color="auto" w:fill="BFBFBF"/>
              <w:spacing w:before="120" w:after="120"/>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Análisis de la prueba de daño.</w:t>
            </w:r>
          </w:p>
          <w:p w14:paraId="2C22A806" w14:textId="77777777" w:rsidR="003A7B50" w:rsidRPr="00C76D23" w:rsidRDefault="003A7B50" w:rsidP="000617E6">
            <w:pPr>
              <w:shd w:val="clear" w:color="auto" w:fill="BFBFBF"/>
              <w:spacing w:before="120" w:after="120"/>
              <w:jc w:val="center"/>
              <w:rPr>
                <w:rFonts w:ascii="Palatino Linotype" w:eastAsia="Palatino Linotype" w:hAnsi="Palatino Linotype" w:cs="Palatino Linotype"/>
                <w:b/>
                <w:sz w:val="12"/>
                <w:szCs w:val="12"/>
              </w:rPr>
            </w:pPr>
            <w:r w:rsidRPr="00C76D23">
              <w:rPr>
                <w:rFonts w:ascii="Palatino Linotype" w:eastAsia="Palatino Linotype" w:hAnsi="Palatino Linotype" w:cs="Palatino Linotype"/>
                <w:sz w:val="20"/>
                <w:szCs w:val="20"/>
              </w:rPr>
              <w:t xml:space="preserve">De conformidad con el párrafo tercero del Lineamiento octavo, y el Lineamiento Trigésimo </w:t>
            </w:r>
            <w:proofErr w:type="gramStart"/>
            <w:r w:rsidRPr="00C76D23">
              <w:rPr>
                <w:rFonts w:ascii="Palatino Linotype" w:eastAsia="Palatino Linotype" w:hAnsi="Palatino Linotype" w:cs="Palatino Linotype"/>
                <w:sz w:val="20"/>
                <w:szCs w:val="20"/>
              </w:rPr>
              <w:t>tercero  de</w:t>
            </w:r>
            <w:proofErr w:type="gramEnd"/>
            <w:r w:rsidRPr="00C76D23">
              <w:rPr>
                <w:rFonts w:ascii="Palatino Linotype" w:eastAsia="Palatino Linotype" w:hAnsi="Palatino Linotype" w:cs="Palatino Linotype"/>
                <w:sz w:val="20"/>
                <w:szCs w:val="20"/>
              </w:rPr>
              <w:t xml:space="preserve"> los Lineamientos de Clasificación y Desclasificación de la Información.</w:t>
            </w:r>
          </w:p>
        </w:tc>
      </w:tr>
      <w:tr w:rsidR="00C76D23" w:rsidRPr="00C76D23" w14:paraId="7BA2B909" w14:textId="77777777" w:rsidTr="000617E6">
        <w:tc>
          <w:tcPr>
            <w:tcW w:w="1838" w:type="dxa"/>
            <w:tcBorders>
              <w:top w:val="single" w:sz="4" w:space="0" w:color="000000"/>
              <w:left w:val="single" w:sz="4" w:space="0" w:color="000000"/>
              <w:bottom w:val="single" w:sz="4" w:space="0" w:color="000000"/>
              <w:right w:val="single" w:sz="4" w:space="0" w:color="000000"/>
            </w:tcBorders>
            <w:vAlign w:val="center"/>
          </w:tcPr>
          <w:p w14:paraId="0BE77ABA" w14:textId="77777777" w:rsidR="003A7B50" w:rsidRPr="00C76D23" w:rsidRDefault="003A7B50" w:rsidP="000617E6">
            <w:pPr>
              <w:widowControl w:val="0"/>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 xml:space="preserve">I. </w:t>
            </w:r>
            <w:r w:rsidRPr="00C76D23">
              <w:rPr>
                <w:rFonts w:ascii="Palatino Linotype" w:eastAsia="Palatino Linotype" w:hAnsi="Palatino Linotype" w:cs="Palatino Linotype"/>
                <w:sz w:val="20"/>
                <w:szCs w:val="20"/>
              </w:rPr>
              <w:t>Fundamento de conformidad con el artículo 113 de la Ley General, y 140 de la Ley Local, vinculado con el Lineamiento específico los Lineamientos de Clasificación y Desclasificación de la Información.</w:t>
            </w:r>
            <w:r w:rsidRPr="00C76D23">
              <w:rPr>
                <w:rFonts w:ascii="Palatino Linotype" w:eastAsia="Palatino Linotype" w:hAnsi="Palatino Linotype" w:cs="Palatino Linotype"/>
                <w:b/>
                <w:sz w:val="20"/>
                <w:szCs w:val="20"/>
              </w:rPr>
              <w:t>;</w:t>
            </w:r>
          </w:p>
        </w:tc>
        <w:tc>
          <w:tcPr>
            <w:tcW w:w="5245" w:type="dxa"/>
            <w:tcBorders>
              <w:top w:val="single" w:sz="4" w:space="0" w:color="000000"/>
              <w:left w:val="single" w:sz="4" w:space="0" w:color="000000"/>
              <w:bottom w:val="single" w:sz="4" w:space="0" w:color="000000"/>
              <w:right w:val="single" w:sz="4" w:space="0" w:color="000000"/>
            </w:tcBorders>
            <w:vAlign w:val="center"/>
          </w:tcPr>
          <w:p w14:paraId="4A5BFBE6" w14:textId="77777777" w:rsidR="003A7B50" w:rsidRPr="00C76D23" w:rsidRDefault="003D1E5B" w:rsidP="00887103">
            <w:pPr>
              <w:spacing w:before="240" w:after="240" w:line="360" w:lineRule="auto"/>
              <w:jc w:val="both"/>
              <w:rPr>
                <w:rFonts w:ascii="Palatino Linotype" w:hAnsi="Palatino Linotype"/>
              </w:rPr>
            </w:pPr>
            <w:r w:rsidRPr="00C76D23">
              <w:rPr>
                <w:rFonts w:ascii="Palatino Linotype" w:hAnsi="Palatino Linotype"/>
              </w:rPr>
              <w:object w:dxaOrig="8970" w:dyaOrig="5835" w14:anchorId="28476FBA">
                <v:shape id="_x0000_i1029" type="#_x0000_t75" style="width:252pt;height:108pt" o:ole="">
                  <v:imagedata r:id="rId12" o:title="" croptop="22853f"/>
                </v:shape>
                <o:OLEObject Type="Embed" ProgID="PBrush" ShapeID="_x0000_i1029" DrawAspect="Content" ObjectID="_1747206104" r:id="rId18"/>
              </w:object>
            </w:r>
          </w:p>
        </w:tc>
        <w:tc>
          <w:tcPr>
            <w:tcW w:w="1752" w:type="dxa"/>
            <w:tcBorders>
              <w:top w:val="single" w:sz="4" w:space="0" w:color="000000"/>
              <w:left w:val="single" w:sz="4" w:space="0" w:color="000000"/>
              <w:bottom w:val="single" w:sz="4" w:space="0" w:color="000000"/>
              <w:right w:val="single" w:sz="4" w:space="0" w:color="000000"/>
            </w:tcBorders>
            <w:vAlign w:val="center"/>
          </w:tcPr>
          <w:p w14:paraId="45DB8796" w14:textId="77777777" w:rsidR="003A7B50" w:rsidRPr="00C76D23" w:rsidRDefault="003A7B50" w:rsidP="000617E6">
            <w:pPr>
              <w:spacing w:before="240" w:after="240"/>
              <w:jc w:val="center"/>
              <w:rPr>
                <w:rFonts w:ascii="Palatino Linotype" w:eastAsia="Palatino Linotype" w:hAnsi="Palatino Linotype" w:cs="Palatino Linotype"/>
                <w:b/>
                <w:sz w:val="14"/>
                <w:szCs w:val="14"/>
              </w:rPr>
            </w:pPr>
            <w:r w:rsidRPr="00C76D23">
              <w:rPr>
                <w:rFonts w:ascii="Palatino Linotype" w:eastAsia="Palatino Linotype" w:hAnsi="Palatino Linotype" w:cs="Palatino Linotype"/>
                <w:sz w:val="18"/>
                <w:szCs w:val="18"/>
              </w:rPr>
              <w:t xml:space="preserve"> </w:t>
            </w:r>
            <w:r w:rsidRPr="00C76D23">
              <w:rPr>
                <w:rFonts w:ascii="Palatino Linotype" w:eastAsia="Palatino Linotype" w:hAnsi="Palatino Linotype" w:cs="Palatino Linotype"/>
                <w:b/>
                <w:sz w:val="14"/>
                <w:szCs w:val="14"/>
              </w:rPr>
              <w:t>PARCIALMENTE</w:t>
            </w:r>
          </w:p>
          <w:p w14:paraId="11ED67F3" w14:textId="77777777" w:rsidR="003A7B50" w:rsidRPr="00C76D23" w:rsidRDefault="003A7B50" w:rsidP="000617E6">
            <w:pPr>
              <w:spacing w:before="240" w:after="240"/>
              <w:jc w:val="both"/>
              <w:rPr>
                <w:rFonts w:ascii="Palatino Linotype" w:eastAsia="Palatino Linotype" w:hAnsi="Palatino Linotype" w:cs="Palatino Linotype"/>
                <w:sz w:val="14"/>
                <w:szCs w:val="14"/>
              </w:rPr>
            </w:pPr>
            <w:r w:rsidRPr="00C76D23">
              <w:rPr>
                <w:rFonts w:ascii="Palatino Linotype" w:eastAsia="Palatino Linotype" w:hAnsi="Palatino Linotype" w:cs="Palatino Linotype"/>
                <w:sz w:val="14"/>
                <w:szCs w:val="14"/>
              </w:rPr>
              <w:t>Si bien se señaló como fundamen</w:t>
            </w:r>
            <w:r w:rsidR="00887103" w:rsidRPr="00C76D23">
              <w:rPr>
                <w:rFonts w:ascii="Palatino Linotype" w:eastAsia="Palatino Linotype" w:hAnsi="Palatino Linotype" w:cs="Palatino Linotype"/>
                <w:sz w:val="14"/>
                <w:szCs w:val="14"/>
              </w:rPr>
              <w:t>to los artículos 113, fracción I</w:t>
            </w:r>
            <w:r w:rsidRPr="00C76D23">
              <w:rPr>
                <w:rFonts w:ascii="Palatino Linotype" w:eastAsia="Palatino Linotype" w:hAnsi="Palatino Linotype" w:cs="Palatino Linotype"/>
                <w:sz w:val="14"/>
                <w:szCs w:val="14"/>
              </w:rPr>
              <w:t xml:space="preserve"> de l</w:t>
            </w:r>
            <w:r w:rsidR="00887103" w:rsidRPr="00C76D23">
              <w:rPr>
                <w:rFonts w:ascii="Palatino Linotype" w:eastAsia="Palatino Linotype" w:hAnsi="Palatino Linotype" w:cs="Palatino Linotype"/>
                <w:sz w:val="14"/>
                <w:szCs w:val="14"/>
              </w:rPr>
              <w:t>a Ley General y 140, fracción I</w:t>
            </w:r>
            <w:r w:rsidRPr="00C76D23">
              <w:rPr>
                <w:rFonts w:ascii="Palatino Linotype" w:eastAsia="Palatino Linotype" w:hAnsi="Palatino Linotype" w:cs="Palatino Linotype"/>
                <w:sz w:val="14"/>
                <w:szCs w:val="14"/>
              </w:rPr>
              <w:t xml:space="preserve">, de la Ley Local, </w:t>
            </w:r>
            <w:r w:rsidRPr="00C76D23">
              <w:rPr>
                <w:rFonts w:ascii="Palatino Linotype" w:eastAsia="Palatino Linotype" w:hAnsi="Palatino Linotype" w:cs="Palatino Linotype"/>
                <w:b/>
                <w:sz w:val="14"/>
                <w:szCs w:val="14"/>
              </w:rPr>
              <w:t xml:space="preserve">no se vinculó con el lineamiento específico, </w:t>
            </w:r>
            <w:r w:rsidRPr="00C76D23">
              <w:rPr>
                <w:rFonts w:ascii="Palatino Linotype" w:eastAsia="Palatino Linotype" w:hAnsi="Palatino Linotype" w:cs="Palatino Linotype"/>
                <w:sz w:val="14"/>
                <w:szCs w:val="14"/>
              </w:rPr>
              <w:t>de los Lineamientos de Clasificación y Desclasificación de la Información,</w:t>
            </w:r>
            <w:r w:rsidRPr="00C76D23">
              <w:rPr>
                <w:rFonts w:ascii="Palatino Linotype" w:eastAsia="Palatino Linotype" w:hAnsi="Palatino Linotype" w:cs="Palatino Linotype"/>
                <w:b/>
                <w:sz w:val="14"/>
                <w:szCs w:val="14"/>
              </w:rPr>
              <w:t xml:space="preserve"> </w:t>
            </w:r>
            <w:r w:rsidRPr="00C76D23">
              <w:rPr>
                <w:rFonts w:ascii="Palatino Linotype" w:eastAsia="Palatino Linotype" w:hAnsi="Palatino Linotype" w:cs="Palatino Linotype"/>
                <w:sz w:val="14"/>
                <w:szCs w:val="14"/>
              </w:rPr>
              <w:t xml:space="preserve">es decir, el Lineamiento </w:t>
            </w:r>
            <w:r w:rsidR="00887103" w:rsidRPr="00C76D23">
              <w:rPr>
                <w:rFonts w:ascii="Palatino Linotype" w:eastAsia="Palatino Linotype" w:hAnsi="Palatino Linotype" w:cs="Palatino Linotype"/>
                <w:sz w:val="14"/>
                <w:szCs w:val="14"/>
              </w:rPr>
              <w:t>Décimo Noveno</w:t>
            </w:r>
            <w:r w:rsidRPr="00C76D23">
              <w:rPr>
                <w:rFonts w:ascii="Palatino Linotype" w:eastAsia="Palatino Linotype" w:hAnsi="Palatino Linotype" w:cs="Palatino Linotype"/>
                <w:sz w:val="14"/>
                <w:szCs w:val="14"/>
              </w:rPr>
              <w:t>.</w:t>
            </w:r>
          </w:p>
          <w:p w14:paraId="5BB9A2AD" w14:textId="4A31C750" w:rsidR="003A7B50" w:rsidRPr="00C76D23" w:rsidRDefault="00B7165A" w:rsidP="000617E6">
            <w:pPr>
              <w:spacing w:before="240" w:after="240"/>
              <w:jc w:val="both"/>
              <w:rPr>
                <w:rFonts w:ascii="Palatino Linotype" w:eastAsia="Palatino Linotype" w:hAnsi="Palatino Linotype" w:cs="Palatino Linotype"/>
                <w:sz w:val="18"/>
                <w:szCs w:val="18"/>
              </w:rPr>
            </w:pPr>
            <w:r w:rsidRPr="00C76D23">
              <w:rPr>
                <w:rFonts w:ascii="Palatino Linotype" w:eastAsia="Palatino Linotype" w:hAnsi="Palatino Linotype" w:cs="Palatino Linotype"/>
                <w:sz w:val="14"/>
                <w:szCs w:val="14"/>
              </w:rPr>
              <w:t xml:space="preserve">Sin perder de vista que se clasifican las facturas relacionadas con el arrendamiento de las patrullas y las </w:t>
            </w:r>
            <w:r w:rsidR="000A0F67" w:rsidRPr="00C76D23">
              <w:rPr>
                <w:rFonts w:ascii="Palatino Linotype" w:eastAsia="Palatino Linotype" w:hAnsi="Palatino Linotype" w:cs="Palatino Linotype"/>
                <w:sz w:val="14"/>
                <w:szCs w:val="14"/>
              </w:rPr>
              <w:t>plataformas de posicionamiento táctico</w:t>
            </w:r>
            <w:r w:rsidRPr="00C76D23">
              <w:rPr>
                <w:rFonts w:ascii="Palatino Linotype" w:eastAsia="Palatino Linotype" w:hAnsi="Palatino Linotype" w:cs="Palatino Linotype"/>
                <w:sz w:val="14"/>
                <w:szCs w:val="14"/>
              </w:rPr>
              <w:t>.</w:t>
            </w:r>
          </w:p>
        </w:tc>
      </w:tr>
      <w:tr w:rsidR="00C76D23" w:rsidRPr="00C76D23" w14:paraId="45382333" w14:textId="77777777" w:rsidTr="00F3700F">
        <w:trPr>
          <w:trHeight w:val="2209"/>
        </w:trPr>
        <w:tc>
          <w:tcPr>
            <w:tcW w:w="1838" w:type="dxa"/>
            <w:tcBorders>
              <w:top w:val="single" w:sz="4" w:space="0" w:color="000000"/>
              <w:left w:val="single" w:sz="4" w:space="0" w:color="000000"/>
              <w:bottom w:val="single" w:sz="4" w:space="0" w:color="000000"/>
              <w:right w:val="single" w:sz="4" w:space="0" w:color="000000"/>
            </w:tcBorders>
            <w:vAlign w:val="center"/>
          </w:tcPr>
          <w:p w14:paraId="2CA18794" w14:textId="77777777" w:rsidR="003A7B50" w:rsidRPr="00C76D23" w:rsidRDefault="003A7B50" w:rsidP="000617E6">
            <w:pPr>
              <w:widowControl w:val="0"/>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 xml:space="preserve">II. </w:t>
            </w:r>
            <w:r w:rsidRPr="00C76D23">
              <w:rPr>
                <w:rFonts w:ascii="Palatino Linotype" w:eastAsia="Palatino Linotype" w:hAnsi="Palatino Linotype" w:cs="Palatino Linotype"/>
                <w:sz w:val="20"/>
                <w:szCs w:val="20"/>
              </w:rPr>
              <w:t>Motivación, señalando las circunstancias de modo, tiempo y lugar.</w:t>
            </w:r>
          </w:p>
        </w:tc>
        <w:tc>
          <w:tcPr>
            <w:tcW w:w="5245" w:type="dxa"/>
            <w:tcBorders>
              <w:top w:val="single" w:sz="4" w:space="0" w:color="000000"/>
              <w:left w:val="single" w:sz="4" w:space="0" w:color="000000"/>
              <w:bottom w:val="single" w:sz="4" w:space="0" w:color="000000"/>
              <w:right w:val="single" w:sz="4" w:space="0" w:color="000000"/>
            </w:tcBorders>
            <w:vAlign w:val="center"/>
          </w:tcPr>
          <w:p w14:paraId="4BDB159A" w14:textId="77777777" w:rsidR="003A7B50" w:rsidRPr="00C76D23" w:rsidRDefault="00887103" w:rsidP="000617E6">
            <w:pPr>
              <w:spacing w:before="240" w:after="240" w:line="360" w:lineRule="auto"/>
              <w:jc w:val="center"/>
              <w:rPr>
                <w:rFonts w:ascii="Palatino Linotype" w:hAnsi="Palatino Linotype"/>
              </w:rPr>
            </w:pPr>
            <w:r w:rsidRPr="00C76D23">
              <w:rPr>
                <w:rFonts w:ascii="Palatino Linotype" w:hAnsi="Palatino Linotype"/>
                <w:sz w:val="20"/>
              </w:rPr>
              <w:t>No se advierte</w:t>
            </w:r>
          </w:p>
        </w:tc>
        <w:tc>
          <w:tcPr>
            <w:tcW w:w="1752" w:type="dxa"/>
            <w:tcBorders>
              <w:top w:val="single" w:sz="4" w:space="0" w:color="000000"/>
              <w:left w:val="single" w:sz="4" w:space="0" w:color="000000"/>
              <w:bottom w:val="single" w:sz="4" w:space="0" w:color="000000"/>
              <w:right w:val="single" w:sz="4" w:space="0" w:color="000000"/>
            </w:tcBorders>
            <w:vAlign w:val="center"/>
          </w:tcPr>
          <w:p w14:paraId="2ED890CF" w14:textId="77777777" w:rsidR="003A7B50" w:rsidRPr="00C76D23" w:rsidRDefault="00887103" w:rsidP="00887103">
            <w:pPr>
              <w:spacing w:before="240" w:after="240"/>
              <w:jc w:val="center"/>
              <w:rPr>
                <w:rFonts w:ascii="Palatino Linotype" w:eastAsia="Palatino Linotype" w:hAnsi="Palatino Linotype" w:cs="Palatino Linotype"/>
                <w:sz w:val="20"/>
                <w:szCs w:val="20"/>
              </w:rPr>
            </w:pPr>
            <w:r w:rsidRPr="00C76D23">
              <w:rPr>
                <w:rFonts w:ascii="Palatino Linotype" w:eastAsia="Palatino Linotype" w:hAnsi="Palatino Linotype" w:cs="Palatino Linotype"/>
                <w:b/>
                <w:sz w:val="20"/>
                <w:szCs w:val="20"/>
              </w:rPr>
              <w:t>NO</w:t>
            </w:r>
          </w:p>
        </w:tc>
      </w:tr>
      <w:tr w:rsidR="00C76D23" w:rsidRPr="00C76D23" w14:paraId="08998E0C" w14:textId="77777777" w:rsidTr="000617E6">
        <w:tc>
          <w:tcPr>
            <w:tcW w:w="1838" w:type="dxa"/>
            <w:tcBorders>
              <w:top w:val="single" w:sz="4" w:space="0" w:color="000000"/>
              <w:left w:val="single" w:sz="4" w:space="0" w:color="000000"/>
              <w:bottom w:val="single" w:sz="4" w:space="0" w:color="000000"/>
              <w:right w:val="single" w:sz="4" w:space="0" w:color="000000"/>
            </w:tcBorders>
            <w:vAlign w:val="center"/>
          </w:tcPr>
          <w:p w14:paraId="15AB38BE" w14:textId="77777777" w:rsidR="003A7B50" w:rsidRPr="00C76D23" w:rsidRDefault="003A7B50" w:rsidP="000617E6">
            <w:pPr>
              <w:widowControl w:val="0"/>
              <w:jc w:val="center"/>
              <w:rPr>
                <w:rFonts w:ascii="Palatino Linotype" w:eastAsia="Palatino Linotype" w:hAnsi="Palatino Linotype" w:cs="Palatino Linotype"/>
                <w:sz w:val="20"/>
                <w:szCs w:val="20"/>
              </w:rPr>
            </w:pPr>
            <w:r w:rsidRPr="00C76D23">
              <w:rPr>
                <w:rFonts w:ascii="Palatino Linotype" w:eastAsia="Palatino Linotype" w:hAnsi="Palatino Linotype" w:cs="Palatino Linotype"/>
                <w:b/>
                <w:sz w:val="20"/>
                <w:szCs w:val="20"/>
              </w:rPr>
              <w:lastRenderedPageBreak/>
              <w:t>III.</w:t>
            </w:r>
            <w:r w:rsidRPr="00C76D23">
              <w:rPr>
                <w:rFonts w:ascii="Palatino Linotype" w:eastAsia="Palatino Linotype" w:hAnsi="Palatino Linotype" w:cs="Palatino Linotype"/>
                <w:sz w:val="20"/>
                <w:szCs w:val="20"/>
              </w:rPr>
              <w:t xml:space="preserve"> Razones objetivas por las que la apertura de la información generaría un riesgo de perjuicio real, demostrable e identificable al interés jurídico tutelado.</w:t>
            </w:r>
          </w:p>
        </w:tc>
        <w:tc>
          <w:tcPr>
            <w:tcW w:w="5245" w:type="dxa"/>
            <w:tcBorders>
              <w:top w:val="single" w:sz="4" w:space="0" w:color="000000"/>
              <w:left w:val="single" w:sz="4" w:space="0" w:color="000000"/>
              <w:bottom w:val="single" w:sz="4" w:space="0" w:color="000000"/>
              <w:right w:val="single" w:sz="4" w:space="0" w:color="000000"/>
            </w:tcBorders>
            <w:vAlign w:val="center"/>
          </w:tcPr>
          <w:p w14:paraId="64AC8300" w14:textId="77777777" w:rsidR="003A7B50" w:rsidRPr="00C76D23" w:rsidRDefault="00887103" w:rsidP="000617E6">
            <w:pPr>
              <w:spacing w:before="240" w:after="240" w:line="360" w:lineRule="auto"/>
              <w:jc w:val="both"/>
              <w:rPr>
                <w:rFonts w:ascii="Palatino Linotype" w:hAnsi="Palatino Linotype"/>
              </w:rPr>
            </w:pPr>
            <w:r w:rsidRPr="00C76D23">
              <w:rPr>
                <w:rFonts w:ascii="Palatino Linotype" w:hAnsi="Palatino Linotype"/>
              </w:rPr>
              <w:object w:dxaOrig="8955" w:dyaOrig="7320" w14:anchorId="5795EE10">
                <v:shape id="_x0000_i1030" type="#_x0000_t75" style="width:252pt;height:201.75pt" o:ole="">
                  <v:imagedata r:id="rId19" o:title=""/>
                </v:shape>
                <o:OLEObject Type="Embed" ProgID="PBrush" ShapeID="_x0000_i1030" DrawAspect="Content" ObjectID="_1747206105" r:id="rId20"/>
              </w:object>
            </w:r>
          </w:p>
        </w:tc>
        <w:tc>
          <w:tcPr>
            <w:tcW w:w="1752" w:type="dxa"/>
            <w:tcBorders>
              <w:top w:val="single" w:sz="4" w:space="0" w:color="000000"/>
              <w:left w:val="single" w:sz="4" w:space="0" w:color="000000"/>
              <w:bottom w:val="single" w:sz="4" w:space="0" w:color="000000"/>
              <w:right w:val="single" w:sz="4" w:space="0" w:color="000000"/>
            </w:tcBorders>
            <w:vAlign w:val="center"/>
          </w:tcPr>
          <w:p w14:paraId="492A76C2" w14:textId="77777777" w:rsidR="003A7B50" w:rsidRPr="00C76D23" w:rsidRDefault="00887103" w:rsidP="000617E6">
            <w:pPr>
              <w:spacing w:before="240" w:after="240"/>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NO</w:t>
            </w:r>
          </w:p>
          <w:p w14:paraId="7D1ACF8F" w14:textId="62ADCB1E" w:rsidR="003A7B50" w:rsidRPr="00C76D23" w:rsidRDefault="003A7B50" w:rsidP="00887103">
            <w:pPr>
              <w:spacing w:before="240" w:after="240"/>
              <w:jc w:val="both"/>
              <w:rPr>
                <w:rFonts w:ascii="Palatino Linotype" w:eastAsia="Palatino Linotype" w:hAnsi="Palatino Linotype" w:cs="Palatino Linotype"/>
                <w:b/>
                <w:sz w:val="12"/>
                <w:szCs w:val="12"/>
              </w:rPr>
            </w:pPr>
            <w:r w:rsidRPr="00C76D23">
              <w:rPr>
                <w:rFonts w:ascii="Palatino Linotype" w:eastAsia="Palatino Linotype" w:hAnsi="Palatino Linotype" w:cs="Palatino Linotype"/>
                <w:sz w:val="16"/>
                <w:szCs w:val="16"/>
              </w:rPr>
              <w:t xml:space="preserve">No se precisan las razones objetivas por las que la apertura de la información generaría un riesgo de perjuicio real, demostrable e identificable al interés jurídico tutelado respecto de </w:t>
            </w:r>
            <w:r w:rsidR="00887103" w:rsidRPr="00C76D23">
              <w:rPr>
                <w:rFonts w:ascii="Palatino Linotype" w:eastAsia="Palatino Linotype" w:hAnsi="Palatino Linotype" w:cs="Palatino Linotype"/>
                <w:sz w:val="16"/>
                <w:szCs w:val="16"/>
              </w:rPr>
              <w:t>Los contratos de arrendamiento de las patrullas</w:t>
            </w:r>
            <w:r w:rsidR="000A0F67" w:rsidRPr="00C76D23">
              <w:rPr>
                <w:rFonts w:ascii="Palatino Linotype" w:eastAsia="Palatino Linotype" w:hAnsi="Palatino Linotype" w:cs="Palatino Linotype"/>
                <w:sz w:val="16"/>
                <w:szCs w:val="16"/>
              </w:rPr>
              <w:t xml:space="preserve"> y las plataformas de posicionamiento táctico</w:t>
            </w:r>
            <w:r w:rsidRPr="00C76D23">
              <w:rPr>
                <w:rFonts w:ascii="Palatino Linotype" w:eastAsia="Palatino Linotype" w:hAnsi="Palatino Linotype" w:cs="Palatino Linotype"/>
                <w:sz w:val="16"/>
                <w:szCs w:val="16"/>
              </w:rPr>
              <w:t>.</w:t>
            </w:r>
          </w:p>
        </w:tc>
      </w:tr>
      <w:tr w:rsidR="00C76D23" w:rsidRPr="00C76D23" w14:paraId="779424F7" w14:textId="77777777" w:rsidTr="000617E6">
        <w:tc>
          <w:tcPr>
            <w:tcW w:w="1838" w:type="dxa"/>
            <w:tcBorders>
              <w:top w:val="single" w:sz="4" w:space="0" w:color="000000"/>
              <w:left w:val="single" w:sz="4" w:space="0" w:color="000000"/>
              <w:bottom w:val="single" w:sz="4" w:space="0" w:color="000000"/>
              <w:right w:val="single" w:sz="4" w:space="0" w:color="000000"/>
            </w:tcBorders>
            <w:vAlign w:val="center"/>
          </w:tcPr>
          <w:p w14:paraId="05EB27D2" w14:textId="77777777" w:rsidR="003A7B50" w:rsidRPr="00C76D23" w:rsidRDefault="003A7B50" w:rsidP="000617E6">
            <w:pPr>
              <w:widowControl w:val="0"/>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 xml:space="preserve">IV. </w:t>
            </w:r>
            <w:r w:rsidRPr="00C76D23">
              <w:rPr>
                <w:rFonts w:ascii="Palatino Linotype" w:eastAsia="Palatino Linotype" w:hAnsi="Palatino Linotype" w:cs="Palatino Linotype"/>
                <w:sz w:val="20"/>
                <w:szCs w:val="20"/>
              </w:rPr>
              <w:t>Ponderación entre la medida restrictiva y el derecho de acceso a la información.</w:t>
            </w:r>
          </w:p>
        </w:tc>
        <w:tc>
          <w:tcPr>
            <w:tcW w:w="5245" w:type="dxa"/>
            <w:tcBorders>
              <w:top w:val="single" w:sz="4" w:space="0" w:color="000000"/>
              <w:left w:val="single" w:sz="4" w:space="0" w:color="000000"/>
              <w:bottom w:val="single" w:sz="4" w:space="0" w:color="000000"/>
              <w:right w:val="single" w:sz="4" w:space="0" w:color="000000"/>
            </w:tcBorders>
            <w:vAlign w:val="center"/>
          </w:tcPr>
          <w:p w14:paraId="29636561" w14:textId="77777777" w:rsidR="003A7B50" w:rsidRPr="00C76D23" w:rsidRDefault="00887103" w:rsidP="000617E6">
            <w:pPr>
              <w:spacing w:before="240" w:after="240" w:line="360" w:lineRule="auto"/>
              <w:jc w:val="center"/>
              <w:rPr>
                <w:rFonts w:ascii="Palatino Linotype" w:eastAsia="Palatino Linotype" w:hAnsi="Palatino Linotype" w:cs="Palatino Linotype"/>
              </w:rPr>
            </w:pPr>
            <w:r w:rsidRPr="00C76D23">
              <w:rPr>
                <w:rFonts w:ascii="Palatino Linotype" w:hAnsi="Palatino Linotype"/>
              </w:rPr>
              <w:object w:dxaOrig="8970" w:dyaOrig="1725" w14:anchorId="2DDABE32">
                <v:shape id="_x0000_i1031" type="#_x0000_t75" style="width:252pt;height:50.25pt" o:ole="">
                  <v:imagedata r:id="rId21" o:title=""/>
                </v:shape>
                <o:OLEObject Type="Embed" ProgID="PBrush" ShapeID="_x0000_i1031" DrawAspect="Content" ObjectID="_1747206106" r:id="rId22"/>
              </w:object>
            </w:r>
          </w:p>
        </w:tc>
        <w:tc>
          <w:tcPr>
            <w:tcW w:w="1752" w:type="dxa"/>
            <w:tcBorders>
              <w:top w:val="single" w:sz="4" w:space="0" w:color="000000"/>
              <w:left w:val="single" w:sz="4" w:space="0" w:color="000000"/>
              <w:bottom w:val="single" w:sz="4" w:space="0" w:color="000000"/>
              <w:right w:val="single" w:sz="4" w:space="0" w:color="000000"/>
            </w:tcBorders>
            <w:vAlign w:val="center"/>
          </w:tcPr>
          <w:p w14:paraId="6534F5A8" w14:textId="77777777" w:rsidR="003A7B50" w:rsidRPr="00C76D23" w:rsidRDefault="003A7B50" w:rsidP="000617E6">
            <w:pPr>
              <w:spacing w:before="240" w:after="240" w:line="360" w:lineRule="auto"/>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NO</w:t>
            </w:r>
          </w:p>
          <w:p w14:paraId="3BC10972" w14:textId="77777777" w:rsidR="003A7B50" w:rsidRPr="00C76D23" w:rsidRDefault="003A7B50" w:rsidP="000617E6">
            <w:pPr>
              <w:spacing w:before="240" w:after="240"/>
              <w:jc w:val="both"/>
              <w:rPr>
                <w:rFonts w:ascii="Palatino Linotype" w:eastAsia="Palatino Linotype" w:hAnsi="Palatino Linotype" w:cs="Palatino Linotype"/>
                <w:sz w:val="16"/>
                <w:szCs w:val="16"/>
              </w:rPr>
            </w:pPr>
            <w:r w:rsidRPr="00C76D23">
              <w:rPr>
                <w:rFonts w:ascii="Palatino Linotype" w:eastAsia="Palatino Linotype" w:hAnsi="Palatino Linotype" w:cs="Palatino Linotype"/>
                <w:sz w:val="16"/>
                <w:szCs w:val="16"/>
              </w:rPr>
              <w:t>No se prueba de manera objetiva que la publicidad de la información solicitada generaría un riesgo de perjuicio que supera al interés público de que la información se difunda.</w:t>
            </w:r>
          </w:p>
        </w:tc>
      </w:tr>
      <w:tr w:rsidR="00C76D23" w:rsidRPr="00C76D23" w14:paraId="365A5345" w14:textId="77777777" w:rsidTr="000617E6">
        <w:tc>
          <w:tcPr>
            <w:tcW w:w="1838" w:type="dxa"/>
            <w:tcBorders>
              <w:top w:val="single" w:sz="4" w:space="0" w:color="000000"/>
              <w:left w:val="single" w:sz="4" w:space="0" w:color="000000"/>
              <w:bottom w:val="single" w:sz="4" w:space="0" w:color="000000"/>
              <w:right w:val="single" w:sz="4" w:space="0" w:color="000000"/>
            </w:tcBorders>
            <w:vAlign w:val="center"/>
          </w:tcPr>
          <w:p w14:paraId="095B0DAC" w14:textId="77777777" w:rsidR="003A7B50" w:rsidRPr="00C76D23" w:rsidRDefault="003A7B50" w:rsidP="000617E6">
            <w:pPr>
              <w:widowControl w:val="0"/>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t xml:space="preserve">V. </w:t>
            </w:r>
            <w:r w:rsidRPr="00C76D23">
              <w:rPr>
                <w:rFonts w:ascii="Palatino Linotype" w:eastAsia="Palatino Linotype" w:hAnsi="Palatino Linotype" w:cs="Palatino Linotype"/>
                <w:sz w:val="20"/>
                <w:szCs w:val="20"/>
              </w:rPr>
              <w:t xml:space="preserve">Elección y justificación de la opción de excepción al derecho de acceso a la información que menos lo restrinja, y que se adecue </w:t>
            </w:r>
            <w:r w:rsidRPr="00C76D23">
              <w:rPr>
                <w:rFonts w:ascii="Palatino Linotype" w:eastAsia="Palatino Linotype" w:hAnsi="Palatino Linotype" w:cs="Palatino Linotype"/>
                <w:sz w:val="18"/>
                <w:szCs w:val="18"/>
              </w:rPr>
              <w:t>proporcionalmente</w:t>
            </w:r>
            <w:r w:rsidRPr="00C76D23">
              <w:rPr>
                <w:rFonts w:ascii="Palatino Linotype" w:eastAsia="Palatino Linotype" w:hAnsi="Palatino Linotype" w:cs="Palatino Linotype"/>
                <w:sz w:val="20"/>
                <w:szCs w:val="20"/>
              </w:rPr>
              <w:t>, evitando el perjuicio al interés público.</w:t>
            </w:r>
            <w:r w:rsidRPr="00C76D23">
              <w:rPr>
                <w:rFonts w:ascii="Palatino Linotype" w:eastAsia="Palatino Linotype" w:hAnsi="Palatino Linotype" w:cs="Palatino Linotype"/>
                <w:b/>
                <w:sz w:val="20"/>
                <w:szCs w:val="20"/>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05282F5E" w14:textId="77777777" w:rsidR="003A7B50" w:rsidRPr="00C76D23" w:rsidRDefault="003A7B50" w:rsidP="000617E6">
            <w:pPr>
              <w:spacing w:before="240" w:after="240" w:line="360" w:lineRule="auto"/>
              <w:jc w:val="center"/>
              <w:rPr>
                <w:rFonts w:ascii="Palatino Linotype" w:eastAsia="Palatino Linotype" w:hAnsi="Palatino Linotype" w:cs="Palatino Linotype"/>
                <w:sz w:val="22"/>
                <w:szCs w:val="22"/>
              </w:rPr>
            </w:pPr>
            <w:r w:rsidRPr="00C76D23">
              <w:rPr>
                <w:rFonts w:ascii="Palatino Linotype" w:eastAsia="Palatino Linotype" w:hAnsi="Palatino Linotype" w:cs="Palatino Linotype"/>
                <w:sz w:val="20"/>
                <w:szCs w:val="20"/>
              </w:rPr>
              <w:t>No se advierte justificación que acredite que la medida es la menos restrictiva al interés público</w:t>
            </w:r>
          </w:p>
        </w:tc>
        <w:tc>
          <w:tcPr>
            <w:tcW w:w="1752" w:type="dxa"/>
            <w:tcBorders>
              <w:top w:val="single" w:sz="4" w:space="0" w:color="000000"/>
              <w:left w:val="single" w:sz="4" w:space="0" w:color="000000"/>
              <w:bottom w:val="single" w:sz="4" w:space="0" w:color="000000"/>
              <w:right w:val="single" w:sz="4" w:space="0" w:color="000000"/>
            </w:tcBorders>
            <w:vAlign w:val="center"/>
          </w:tcPr>
          <w:p w14:paraId="71ADDF3E" w14:textId="77777777" w:rsidR="003A7B50" w:rsidRPr="00C76D23" w:rsidRDefault="003A7B50" w:rsidP="000617E6">
            <w:pPr>
              <w:spacing w:before="240" w:after="240"/>
              <w:jc w:val="center"/>
              <w:rPr>
                <w:rFonts w:ascii="Palatino Linotype" w:eastAsia="Palatino Linotype" w:hAnsi="Palatino Linotype" w:cs="Palatino Linotype"/>
                <w:b/>
                <w:sz w:val="12"/>
                <w:szCs w:val="12"/>
              </w:rPr>
            </w:pPr>
            <w:r w:rsidRPr="00C76D23">
              <w:rPr>
                <w:rFonts w:ascii="Palatino Linotype" w:eastAsia="Palatino Linotype" w:hAnsi="Palatino Linotype" w:cs="Palatino Linotype"/>
                <w:b/>
                <w:sz w:val="20"/>
                <w:szCs w:val="20"/>
              </w:rPr>
              <w:t>NO</w:t>
            </w:r>
          </w:p>
        </w:tc>
      </w:tr>
      <w:tr w:rsidR="00C76D23" w:rsidRPr="00C76D23" w14:paraId="475E2B0F" w14:textId="77777777" w:rsidTr="000617E6">
        <w:tc>
          <w:tcPr>
            <w:tcW w:w="1838" w:type="dxa"/>
            <w:tcBorders>
              <w:top w:val="single" w:sz="4" w:space="0" w:color="000000"/>
              <w:left w:val="single" w:sz="4" w:space="0" w:color="000000"/>
              <w:bottom w:val="single" w:sz="4" w:space="0" w:color="000000"/>
              <w:right w:val="single" w:sz="4" w:space="0" w:color="000000"/>
            </w:tcBorders>
            <w:vAlign w:val="center"/>
          </w:tcPr>
          <w:p w14:paraId="423960BF" w14:textId="77777777" w:rsidR="003A7B50" w:rsidRPr="00C76D23" w:rsidRDefault="003A7B50" w:rsidP="000617E6">
            <w:pPr>
              <w:widowControl w:val="0"/>
              <w:jc w:val="center"/>
              <w:rPr>
                <w:rFonts w:ascii="Palatino Linotype" w:eastAsia="Palatino Linotype" w:hAnsi="Palatino Linotype" w:cs="Palatino Linotype"/>
                <w:b/>
                <w:sz w:val="20"/>
                <w:szCs w:val="20"/>
              </w:rPr>
            </w:pPr>
            <w:r w:rsidRPr="00C76D23">
              <w:rPr>
                <w:rFonts w:ascii="Palatino Linotype" w:eastAsia="Palatino Linotype" w:hAnsi="Palatino Linotype" w:cs="Palatino Linotype"/>
                <w:b/>
                <w:sz w:val="20"/>
                <w:szCs w:val="20"/>
              </w:rPr>
              <w:lastRenderedPageBreak/>
              <w:t xml:space="preserve">VI. </w:t>
            </w:r>
            <w:r w:rsidRPr="00C76D23">
              <w:rPr>
                <w:rFonts w:ascii="Palatino Linotype" w:eastAsia="Palatino Linotype" w:hAnsi="Palatino Linotype" w:cs="Palatino Linotype"/>
                <w:sz w:val="20"/>
                <w:szCs w:val="20"/>
              </w:rPr>
              <w:t>En los casos en que se determine la clasificación total de la información, especificar con la mayor claridad y precisión posible, los aspectos relevantes de la información clasificada que ayuden a cumplir con el objetivo de brindar certeza al solicitante</w:t>
            </w:r>
            <w:r w:rsidRPr="00C76D23">
              <w:rPr>
                <w:rFonts w:ascii="Palatino Linotype" w:eastAsia="Palatino Linotype" w:hAnsi="Palatino Linotype" w:cs="Palatino Linotype"/>
                <w:b/>
                <w:sz w:val="20"/>
                <w:szCs w:val="20"/>
              </w:rPr>
              <w:t>.</w:t>
            </w:r>
          </w:p>
        </w:tc>
        <w:tc>
          <w:tcPr>
            <w:tcW w:w="5245" w:type="dxa"/>
            <w:tcBorders>
              <w:top w:val="single" w:sz="4" w:space="0" w:color="000000"/>
              <w:left w:val="single" w:sz="4" w:space="0" w:color="000000"/>
              <w:bottom w:val="single" w:sz="4" w:space="0" w:color="000000"/>
              <w:right w:val="single" w:sz="4" w:space="0" w:color="000000"/>
            </w:tcBorders>
            <w:vAlign w:val="center"/>
          </w:tcPr>
          <w:p w14:paraId="2E4161B2" w14:textId="34C499F5" w:rsidR="003A7B50" w:rsidRPr="00C76D23" w:rsidRDefault="003A7B50" w:rsidP="00887103">
            <w:pPr>
              <w:spacing w:before="240" w:after="240" w:line="360" w:lineRule="auto"/>
              <w:jc w:val="center"/>
              <w:rPr>
                <w:rFonts w:ascii="Palatino Linotype" w:eastAsia="Palatino Linotype" w:hAnsi="Palatino Linotype" w:cs="Palatino Linotype"/>
                <w:b/>
              </w:rPr>
            </w:pPr>
            <w:r w:rsidRPr="00C76D23">
              <w:rPr>
                <w:rFonts w:ascii="Palatino Linotype" w:eastAsia="Palatino Linotype" w:hAnsi="Palatino Linotype" w:cs="Palatino Linotype"/>
                <w:sz w:val="20"/>
                <w:szCs w:val="20"/>
              </w:rPr>
              <w:t xml:space="preserve">No se advierten los aspectos relevantes de la información clasificada que ayuden a cumplir con el objetivo de brindar certeza al solicitante, al haberse clasificado </w:t>
            </w:r>
            <w:r w:rsidR="00887103" w:rsidRPr="00C76D23">
              <w:rPr>
                <w:rFonts w:ascii="Palatino Linotype" w:eastAsia="Palatino Linotype" w:hAnsi="Palatino Linotype" w:cs="Palatino Linotype"/>
                <w:sz w:val="20"/>
                <w:szCs w:val="20"/>
              </w:rPr>
              <w:t xml:space="preserve">las facturas relacionadas con el arrendamiento de las patrullas y las </w:t>
            </w:r>
            <w:r w:rsidR="000A0F67" w:rsidRPr="00C76D23">
              <w:rPr>
                <w:rFonts w:ascii="Palatino Linotype" w:eastAsia="Palatino Linotype" w:hAnsi="Palatino Linotype" w:cs="Palatino Linotype"/>
                <w:sz w:val="20"/>
                <w:szCs w:val="20"/>
              </w:rPr>
              <w:t>plataformas de posicionamiento táctico</w:t>
            </w:r>
            <w:r w:rsidRPr="00C76D23">
              <w:rPr>
                <w:rFonts w:ascii="Palatino Linotype" w:eastAsia="Palatino Linotype" w:hAnsi="Palatino Linotype" w:cs="Palatino Linotype"/>
                <w:b/>
                <w:sz w:val="22"/>
                <w:szCs w:val="22"/>
              </w:rPr>
              <w:t>.</w:t>
            </w:r>
          </w:p>
        </w:tc>
        <w:tc>
          <w:tcPr>
            <w:tcW w:w="1752" w:type="dxa"/>
            <w:tcBorders>
              <w:top w:val="single" w:sz="4" w:space="0" w:color="000000"/>
              <w:left w:val="single" w:sz="4" w:space="0" w:color="000000"/>
              <w:bottom w:val="single" w:sz="4" w:space="0" w:color="000000"/>
              <w:right w:val="single" w:sz="4" w:space="0" w:color="000000"/>
            </w:tcBorders>
            <w:vAlign w:val="center"/>
          </w:tcPr>
          <w:p w14:paraId="1D4DA921" w14:textId="77777777" w:rsidR="003A7B50" w:rsidRPr="00C76D23" w:rsidRDefault="003A7B50" w:rsidP="000617E6">
            <w:pPr>
              <w:spacing w:before="240" w:after="240" w:line="360" w:lineRule="auto"/>
              <w:jc w:val="center"/>
              <w:rPr>
                <w:rFonts w:ascii="Palatino Linotype" w:eastAsia="Palatino Linotype" w:hAnsi="Palatino Linotype" w:cs="Palatino Linotype"/>
                <w:b/>
                <w:sz w:val="12"/>
                <w:szCs w:val="12"/>
              </w:rPr>
            </w:pPr>
            <w:r w:rsidRPr="00C76D23">
              <w:rPr>
                <w:rFonts w:ascii="Palatino Linotype" w:eastAsia="Palatino Linotype" w:hAnsi="Palatino Linotype" w:cs="Palatino Linotype"/>
                <w:b/>
                <w:sz w:val="20"/>
                <w:szCs w:val="20"/>
              </w:rPr>
              <w:t>NO</w:t>
            </w:r>
          </w:p>
        </w:tc>
      </w:tr>
      <w:tr w:rsidR="00C76D23" w:rsidRPr="00C76D23" w14:paraId="5C3331C6" w14:textId="77777777" w:rsidTr="000617E6">
        <w:tc>
          <w:tcPr>
            <w:tcW w:w="1838" w:type="dxa"/>
            <w:tcBorders>
              <w:top w:val="single" w:sz="4" w:space="0" w:color="000000"/>
              <w:left w:val="single" w:sz="4" w:space="0" w:color="000000"/>
              <w:bottom w:val="single" w:sz="4" w:space="0" w:color="000000"/>
              <w:right w:val="single" w:sz="4" w:space="0" w:color="000000"/>
            </w:tcBorders>
            <w:vAlign w:val="center"/>
          </w:tcPr>
          <w:p w14:paraId="02A6B0A6" w14:textId="77777777" w:rsidR="003A7B50" w:rsidRPr="00C76D23" w:rsidRDefault="003A7B50" w:rsidP="000617E6">
            <w:pPr>
              <w:widowControl w:val="0"/>
              <w:jc w:val="center"/>
              <w:rPr>
                <w:rFonts w:ascii="Palatino Linotype" w:eastAsia="Palatino Linotype" w:hAnsi="Palatino Linotype" w:cs="Palatino Linotype"/>
                <w:sz w:val="20"/>
                <w:szCs w:val="20"/>
              </w:rPr>
            </w:pPr>
            <w:r w:rsidRPr="00C76D23">
              <w:rPr>
                <w:rFonts w:ascii="Palatino Linotype" w:eastAsia="Palatino Linotype" w:hAnsi="Palatino Linotype" w:cs="Palatino Linotype"/>
                <w:sz w:val="20"/>
                <w:szCs w:val="20"/>
              </w:rPr>
              <w:t>periodo por el que mantendrá su clasificación y fecha de expiración</w:t>
            </w:r>
          </w:p>
        </w:tc>
        <w:tc>
          <w:tcPr>
            <w:tcW w:w="5245" w:type="dxa"/>
            <w:tcBorders>
              <w:top w:val="single" w:sz="4" w:space="0" w:color="000000"/>
              <w:left w:val="single" w:sz="4" w:space="0" w:color="000000"/>
              <w:bottom w:val="single" w:sz="4" w:space="0" w:color="000000"/>
              <w:right w:val="single" w:sz="4" w:space="0" w:color="000000"/>
            </w:tcBorders>
            <w:vAlign w:val="center"/>
          </w:tcPr>
          <w:p w14:paraId="4FD38DBF" w14:textId="77777777" w:rsidR="003A7B50" w:rsidRPr="00C76D23" w:rsidRDefault="007C15F6" w:rsidP="000617E6">
            <w:pPr>
              <w:spacing w:before="240" w:after="240" w:line="360" w:lineRule="auto"/>
              <w:jc w:val="center"/>
              <w:rPr>
                <w:rFonts w:ascii="Palatino Linotype" w:hAnsi="Palatino Linotype"/>
              </w:rPr>
            </w:pPr>
            <w:r w:rsidRPr="00C76D23">
              <w:rPr>
                <w:rFonts w:ascii="Palatino Linotype" w:hAnsi="Palatino Linotype"/>
              </w:rPr>
              <w:object w:dxaOrig="8985" w:dyaOrig="4365" w14:anchorId="3BBF4A99">
                <v:shape id="_x0000_i1032" type="#_x0000_t75" style="width:252pt;height:43.5pt" o:ole="">
                  <v:imagedata r:id="rId16" o:title="" croptop="41631f"/>
                </v:shape>
                <o:OLEObject Type="Embed" ProgID="PBrush" ShapeID="_x0000_i1032" DrawAspect="Content" ObjectID="_1747206107" r:id="rId23"/>
              </w:object>
            </w:r>
          </w:p>
        </w:tc>
        <w:tc>
          <w:tcPr>
            <w:tcW w:w="1752" w:type="dxa"/>
            <w:tcBorders>
              <w:top w:val="single" w:sz="4" w:space="0" w:color="000000"/>
              <w:left w:val="single" w:sz="4" w:space="0" w:color="000000"/>
              <w:bottom w:val="single" w:sz="4" w:space="0" w:color="000000"/>
              <w:right w:val="single" w:sz="4" w:space="0" w:color="000000"/>
            </w:tcBorders>
            <w:vAlign w:val="center"/>
          </w:tcPr>
          <w:p w14:paraId="01F1B022" w14:textId="77777777" w:rsidR="003A7B50" w:rsidRPr="00C76D23" w:rsidRDefault="003A7B50" w:rsidP="000617E6">
            <w:pPr>
              <w:spacing w:before="240" w:after="240"/>
              <w:jc w:val="center"/>
              <w:rPr>
                <w:rFonts w:ascii="Palatino Linotype" w:eastAsia="Palatino Linotype" w:hAnsi="Palatino Linotype" w:cs="Palatino Linotype"/>
                <w:b/>
                <w:sz w:val="12"/>
                <w:szCs w:val="12"/>
              </w:rPr>
            </w:pPr>
            <w:r w:rsidRPr="00C76D23">
              <w:rPr>
                <w:rFonts w:ascii="Palatino Linotype" w:eastAsia="Palatino Linotype" w:hAnsi="Palatino Linotype" w:cs="Palatino Linotype"/>
                <w:b/>
                <w:sz w:val="12"/>
                <w:szCs w:val="12"/>
              </w:rPr>
              <w:t>PARCIALMENTE</w:t>
            </w:r>
          </w:p>
          <w:p w14:paraId="2FFEC75E" w14:textId="77777777" w:rsidR="003A7B50" w:rsidRPr="00C76D23" w:rsidRDefault="003A7B50" w:rsidP="000617E6">
            <w:pPr>
              <w:spacing w:before="240" w:after="240"/>
              <w:jc w:val="both"/>
              <w:rPr>
                <w:rFonts w:ascii="Palatino Linotype" w:eastAsia="Palatino Linotype" w:hAnsi="Palatino Linotype" w:cs="Palatino Linotype"/>
                <w:sz w:val="12"/>
                <w:szCs w:val="12"/>
              </w:rPr>
            </w:pPr>
            <w:r w:rsidRPr="00C76D23">
              <w:rPr>
                <w:rFonts w:ascii="Palatino Linotype" w:eastAsia="Palatino Linotype" w:hAnsi="Palatino Linotype" w:cs="Palatino Linotype"/>
                <w:sz w:val="16"/>
                <w:szCs w:val="16"/>
              </w:rPr>
              <w:t>No se señala la fecha de expiración.</w:t>
            </w:r>
          </w:p>
        </w:tc>
      </w:tr>
    </w:tbl>
    <w:p w14:paraId="3309547E" w14:textId="25C958BE" w:rsidR="00057142" w:rsidRPr="00C76D23" w:rsidRDefault="005A73AB" w:rsidP="005A73AB">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Derivado de lo anterior, los documentos remitidos a través de los cuales el </w:t>
      </w:r>
      <w:r w:rsidRPr="00C76D23">
        <w:rPr>
          <w:rFonts w:ascii="Palatino Linotype" w:eastAsia="Palatino Linotype" w:hAnsi="Palatino Linotype" w:cs="Palatino Linotype"/>
          <w:b/>
        </w:rPr>
        <w:t xml:space="preserve">Sujeto Obligado </w:t>
      </w:r>
      <w:r w:rsidRPr="00C76D23">
        <w:rPr>
          <w:rFonts w:ascii="Palatino Linotype" w:eastAsia="Palatino Linotype" w:hAnsi="Palatino Linotype" w:cs="Palatino Linotype"/>
        </w:rPr>
        <w:t xml:space="preserve">pretendió restringir el Derecho de acceso a la información de la persona solicitante </w:t>
      </w:r>
      <w:r w:rsidR="00600BAE" w:rsidRPr="00C76D23">
        <w:rPr>
          <w:rFonts w:ascii="Palatino Linotype" w:eastAsia="Palatino Linotype" w:hAnsi="Palatino Linotype" w:cs="Palatino Linotype"/>
        </w:rPr>
        <w:t>son</w:t>
      </w:r>
      <w:r w:rsidRPr="00C76D23">
        <w:rPr>
          <w:rFonts w:ascii="Palatino Linotype" w:eastAsia="Palatino Linotype" w:hAnsi="Palatino Linotype" w:cs="Palatino Linotype"/>
        </w:rPr>
        <w:t xml:space="preserve"> insuficiente</w:t>
      </w:r>
      <w:r w:rsidR="00F3700F" w:rsidRPr="00C76D23">
        <w:rPr>
          <w:rFonts w:ascii="Palatino Linotype" w:eastAsia="Palatino Linotype" w:hAnsi="Palatino Linotype" w:cs="Palatino Linotype"/>
        </w:rPr>
        <w:t>s</w:t>
      </w:r>
      <w:r w:rsidRPr="00C76D23">
        <w:rPr>
          <w:rFonts w:ascii="Palatino Linotype" w:eastAsia="Palatino Linotype" w:hAnsi="Palatino Linotype" w:cs="Palatino Linotype"/>
        </w:rPr>
        <w:t xml:space="preserve"> para tener por colmado el requerimiento de información,</w:t>
      </w:r>
      <w:r w:rsidR="00600BAE" w:rsidRPr="00C76D23">
        <w:rPr>
          <w:rFonts w:ascii="Palatino Linotype" w:eastAsia="Palatino Linotype" w:hAnsi="Palatino Linotype" w:cs="Palatino Linotype"/>
        </w:rPr>
        <w:t xml:space="preserve"> </w:t>
      </w:r>
      <w:r w:rsidRPr="00C76D23">
        <w:rPr>
          <w:rFonts w:ascii="Palatino Linotype" w:eastAsia="Palatino Linotype" w:hAnsi="Palatino Linotype" w:cs="Palatino Linotype"/>
        </w:rPr>
        <w:t>al no haberse acreditado, de manera fundada y motivada, las razones p</w:t>
      </w:r>
      <w:r w:rsidR="0077253E" w:rsidRPr="00C76D23">
        <w:rPr>
          <w:rFonts w:ascii="Palatino Linotype" w:eastAsia="Palatino Linotype" w:hAnsi="Palatino Linotype" w:cs="Palatino Linotype"/>
        </w:rPr>
        <w:t xml:space="preserve">or las cuales la difusión de los contratos de arrendamiento de las patrullas </w:t>
      </w:r>
      <w:r w:rsidR="00680440" w:rsidRPr="00C76D23">
        <w:rPr>
          <w:rFonts w:ascii="Palatino Linotype" w:eastAsia="Palatino Linotype" w:hAnsi="Palatino Linotype" w:cs="Palatino Linotype"/>
        </w:rPr>
        <w:t xml:space="preserve">y las </w:t>
      </w:r>
      <w:r w:rsidR="000A0F67" w:rsidRPr="00C76D23">
        <w:rPr>
          <w:rFonts w:ascii="Palatino Linotype" w:eastAsia="Palatino Linotype" w:hAnsi="Palatino Linotype" w:cs="Palatino Linotype"/>
        </w:rPr>
        <w:t>plataformas de posicionamiento táctico</w:t>
      </w:r>
      <w:r w:rsidR="0077253E" w:rsidRPr="00C76D23">
        <w:rPr>
          <w:rFonts w:ascii="Palatino Linotype" w:eastAsia="Palatino Linotype" w:hAnsi="Palatino Linotype" w:cs="Palatino Linotype"/>
        </w:rPr>
        <w:t>, aún en versión p</w:t>
      </w:r>
      <w:r w:rsidR="007B336E" w:rsidRPr="00C76D23">
        <w:rPr>
          <w:rFonts w:ascii="Palatino Linotype" w:eastAsia="Palatino Linotype" w:hAnsi="Palatino Linotype" w:cs="Palatino Linotype"/>
        </w:rPr>
        <w:t>ública, comprometería la seguridad p</w:t>
      </w:r>
      <w:r w:rsidR="00893F15" w:rsidRPr="00C76D23">
        <w:rPr>
          <w:rFonts w:ascii="Palatino Linotype" w:eastAsia="Palatino Linotype" w:hAnsi="Palatino Linotype" w:cs="Palatino Linotype"/>
        </w:rPr>
        <w:t>ública</w:t>
      </w:r>
      <w:r w:rsidR="00F3700F" w:rsidRPr="00C76D23">
        <w:rPr>
          <w:rFonts w:ascii="Palatino Linotype" w:eastAsia="Palatino Linotype" w:hAnsi="Palatino Linotype" w:cs="Palatino Linotype"/>
        </w:rPr>
        <w:t xml:space="preserve"> como el supuesto invocado por el </w:t>
      </w:r>
      <w:r w:rsidR="00F3700F" w:rsidRPr="00C76D23">
        <w:rPr>
          <w:rFonts w:ascii="Palatino Linotype" w:eastAsia="Palatino Linotype" w:hAnsi="Palatino Linotype" w:cs="Palatino Linotype"/>
          <w:b/>
        </w:rPr>
        <w:t>Sujeto Obligado</w:t>
      </w:r>
      <w:r w:rsidR="00893F15" w:rsidRPr="00C76D23">
        <w:rPr>
          <w:rFonts w:ascii="Palatino Linotype" w:eastAsia="Palatino Linotype" w:hAnsi="Palatino Linotype" w:cs="Palatino Linotype"/>
        </w:rPr>
        <w:t>.</w:t>
      </w:r>
    </w:p>
    <w:p w14:paraId="07FB3E44" w14:textId="316E8591" w:rsidR="00F35585" w:rsidRPr="00C76D23" w:rsidRDefault="00893F15" w:rsidP="005A73AB">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En este orden de ideas, se estima que para tener por colmado el derecho de acceso </w:t>
      </w:r>
      <w:proofErr w:type="gramStart"/>
      <w:r w:rsidRPr="00C76D23">
        <w:rPr>
          <w:rFonts w:ascii="Palatino Linotype" w:eastAsia="Palatino Linotype" w:hAnsi="Palatino Linotype" w:cs="Palatino Linotype"/>
        </w:rPr>
        <w:t>a  la</w:t>
      </w:r>
      <w:proofErr w:type="gramEnd"/>
      <w:r w:rsidRPr="00C76D23">
        <w:rPr>
          <w:rFonts w:ascii="Palatino Linotype" w:eastAsia="Palatino Linotype" w:hAnsi="Palatino Linotype" w:cs="Palatino Linotype"/>
        </w:rPr>
        <w:t xml:space="preserve"> información, el </w:t>
      </w:r>
      <w:r w:rsidRPr="00C76D23">
        <w:rPr>
          <w:rFonts w:ascii="Palatino Linotype" w:eastAsia="Palatino Linotype" w:hAnsi="Palatino Linotype" w:cs="Palatino Linotype"/>
          <w:b/>
        </w:rPr>
        <w:t xml:space="preserve">Sujeto Obligado </w:t>
      </w:r>
      <w:r w:rsidR="00534742" w:rsidRPr="00C76D23">
        <w:rPr>
          <w:rFonts w:ascii="Palatino Linotype" w:eastAsia="Palatino Linotype" w:hAnsi="Palatino Linotype" w:cs="Palatino Linotype"/>
        </w:rPr>
        <w:t xml:space="preserve">deberá </w:t>
      </w:r>
      <w:r w:rsidR="00F35585" w:rsidRPr="00C76D23">
        <w:rPr>
          <w:rFonts w:ascii="Palatino Linotype" w:eastAsia="Palatino Linotype" w:hAnsi="Palatino Linotype" w:cs="Palatino Linotype"/>
        </w:rPr>
        <w:t xml:space="preserve">hacer entrega de los contratos de arrendamiento de las patrullas y las </w:t>
      </w:r>
      <w:r w:rsidR="00D42BCE" w:rsidRPr="00C76D23">
        <w:rPr>
          <w:rFonts w:ascii="Palatino Linotype" w:eastAsia="Palatino Linotype" w:hAnsi="Palatino Linotype" w:cs="Palatino Linotype"/>
        </w:rPr>
        <w:t xml:space="preserve">plataformas de posicionamiento táctico </w:t>
      </w:r>
      <w:r w:rsidR="00F35585" w:rsidRPr="00C76D23">
        <w:rPr>
          <w:rFonts w:ascii="Palatino Linotype" w:eastAsia="Palatino Linotype" w:hAnsi="Palatino Linotype" w:cs="Palatino Linotype"/>
        </w:rPr>
        <w:t>reportados mediante la respuesta,</w:t>
      </w:r>
      <w:r w:rsidR="007657D6" w:rsidRPr="00C76D23">
        <w:rPr>
          <w:rFonts w:ascii="Palatino Linotype" w:eastAsia="Palatino Linotype" w:hAnsi="Palatino Linotype" w:cs="Palatino Linotype"/>
        </w:rPr>
        <w:t xml:space="preserve"> protegiendo, a través de la versi</w:t>
      </w:r>
      <w:r w:rsidR="00F35585" w:rsidRPr="00C76D23">
        <w:rPr>
          <w:rFonts w:ascii="Palatino Linotype" w:eastAsia="Palatino Linotype" w:hAnsi="Palatino Linotype" w:cs="Palatino Linotype"/>
        </w:rPr>
        <w:t>ón pública</w:t>
      </w:r>
      <w:r w:rsidR="007657D6" w:rsidRPr="00C76D23">
        <w:rPr>
          <w:rFonts w:ascii="Palatino Linotype" w:eastAsia="Palatino Linotype" w:hAnsi="Palatino Linotype" w:cs="Palatino Linotype"/>
        </w:rPr>
        <w:t xml:space="preserve">, las </w:t>
      </w:r>
      <w:r w:rsidR="007657D6" w:rsidRPr="00C76D23">
        <w:rPr>
          <w:rFonts w:ascii="Palatino Linotype" w:eastAsia="Palatino Linotype" w:hAnsi="Palatino Linotype" w:cs="Palatino Linotype"/>
        </w:rPr>
        <w:lastRenderedPageBreak/>
        <w:t xml:space="preserve">especificaciones técnicas que en su caso pudieran contener, así como la ubicación de las </w:t>
      </w:r>
      <w:r w:rsidR="000A0F67" w:rsidRPr="00C76D23">
        <w:rPr>
          <w:rFonts w:ascii="Palatino Linotype" w:eastAsia="Palatino Linotype" w:hAnsi="Palatino Linotype" w:cs="Palatino Linotype"/>
        </w:rPr>
        <w:t>plataformas de posicionamiento táctico</w:t>
      </w:r>
      <w:r w:rsidR="007657D6" w:rsidRPr="00C76D23">
        <w:rPr>
          <w:rFonts w:ascii="Palatino Linotype" w:eastAsia="Palatino Linotype" w:hAnsi="Palatino Linotype" w:cs="Palatino Linotype"/>
        </w:rPr>
        <w:t xml:space="preserve">, </w:t>
      </w:r>
      <w:r w:rsidR="00F35585" w:rsidRPr="00C76D23">
        <w:rPr>
          <w:rFonts w:ascii="Palatino Linotype" w:eastAsia="Palatino Linotype" w:hAnsi="Palatino Linotype" w:cs="Palatino Linotype"/>
        </w:rPr>
        <w:t>conforme al considerando siguiente.</w:t>
      </w:r>
    </w:p>
    <w:p w14:paraId="4C907E09" w14:textId="77777777" w:rsidR="00F35585" w:rsidRPr="00C76D23" w:rsidRDefault="007657D6" w:rsidP="00F3558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A</w:t>
      </w:r>
      <w:r w:rsidR="00F35585" w:rsidRPr="00C76D23">
        <w:rPr>
          <w:rFonts w:ascii="Palatino Linotype" w:eastAsia="Palatino Linotype" w:hAnsi="Palatino Linotype" w:cs="Palatino Linotype"/>
        </w:rPr>
        <w:t xml:space="preserve"> efecto de sustentar dicha determinación, no obsta mencionar que, de conformidad con la obligación de transparencia establecida en el artículo 92, fracción XXIX, los Sujetos Obligados se encuentran constreñidos a poner a disposición del público de manera permanente y actualizada de forma sencilla, precisa y entendible, en los respectivos medios electrónicos, de acuerdo con sus facultades, atribuciones, funciones u objeto social, según corresponda, entre otra información, </w:t>
      </w:r>
      <w:r w:rsidRPr="00C76D23">
        <w:rPr>
          <w:rFonts w:ascii="Palatino Linotype" w:eastAsia="Palatino Linotype" w:hAnsi="Palatino Linotype" w:cs="Palatino Linotype"/>
        </w:rPr>
        <w:t>aquella que se relacione</w:t>
      </w:r>
      <w:r w:rsidR="00F35585" w:rsidRPr="00C76D23">
        <w:rPr>
          <w:rFonts w:ascii="Palatino Linotype" w:eastAsia="Palatino Linotype" w:hAnsi="Palatino Linotype" w:cs="Palatino Linotype"/>
        </w:rPr>
        <w:t xml:space="preserve"> con los procesos y resultados sobre procedimientos de adjudicación directa, invitación restringida y licitación de cualquier naturaleza, i</w:t>
      </w:r>
      <w:r w:rsidR="00F35585" w:rsidRPr="00C76D23">
        <w:rPr>
          <w:rFonts w:ascii="Palatino Linotype" w:eastAsia="Palatino Linotype" w:hAnsi="Palatino Linotype" w:cs="Palatino Linotype"/>
          <w:b/>
        </w:rPr>
        <w:t>ncluyendo la versión pública de los contratos celebrados</w:t>
      </w:r>
      <w:r w:rsidR="00F35585" w:rsidRPr="00C76D23">
        <w:rPr>
          <w:rFonts w:ascii="Palatino Linotype" w:eastAsia="Palatino Linotype" w:hAnsi="Palatino Linotype" w:cs="Palatino Linotype"/>
        </w:rPr>
        <w:t xml:space="preserve">, como se lee en seguida: </w:t>
      </w:r>
    </w:p>
    <w:p w14:paraId="5E3FF61C" w14:textId="77777777" w:rsidR="003B7AD2" w:rsidRPr="00C76D23" w:rsidRDefault="003B7AD2" w:rsidP="003B7AD2">
      <w:pPr>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r w:rsidRPr="00C76D23">
        <w:rPr>
          <w:rFonts w:ascii="Palatino Linotype" w:eastAsia="Palatino Linotype" w:hAnsi="Palatino Linotype" w:cs="Palatino Linotype"/>
          <w:b/>
          <w:i/>
          <w:sz w:val="22"/>
          <w:szCs w:val="22"/>
        </w:rPr>
        <w:t>Artículo 92</w:t>
      </w:r>
      <w:r w:rsidRPr="00C76D23">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6D17E04" w14:textId="77777777" w:rsidR="003B7AD2" w:rsidRPr="00C76D23" w:rsidRDefault="003B7AD2" w:rsidP="003B7AD2">
      <w:pPr>
        <w:tabs>
          <w:tab w:val="left" w:pos="426"/>
        </w:tabs>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p>
    <w:p w14:paraId="3DDC443B" w14:textId="77777777" w:rsidR="003B7AD2" w:rsidRPr="00C76D23" w:rsidRDefault="003B7AD2" w:rsidP="003B7AD2">
      <w:pPr>
        <w:tabs>
          <w:tab w:val="left" w:pos="426"/>
        </w:tabs>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XXIX.</w:t>
      </w:r>
      <w:r w:rsidRPr="00C76D23">
        <w:rPr>
          <w:rFonts w:ascii="Palatino Linotype" w:eastAsia="Palatino Linotype" w:hAnsi="Palatino Linotype" w:cs="Palatino Linotype"/>
          <w:i/>
          <w:sz w:val="22"/>
          <w:szCs w:val="22"/>
        </w:rPr>
        <w:t xml:space="preserve"> La </w:t>
      </w:r>
      <w:r w:rsidRPr="00C76D23">
        <w:rPr>
          <w:rFonts w:ascii="Palatino Linotype" w:eastAsia="Palatino Linotype" w:hAnsi="Palatino Linotype" w:cs="Palatino Linotype"/>
          <w:b/>
          <w:i/>
          <w:sz w:val="22"/>
          <w:szCs w:val="22"/>
        </w:rPr>
        <w:t xml:space="preserve">información sobre los procesos y resultados </w:t>
      </w:r>
      <w:r w:rsidRPr="00C76D23">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C76D23">
        <w:rPr>
          <w:rFonts w:ascii="Palatino Linotype" w:eastAsia="Palatino Linotype" w:hAnsi="Palatino Linotype" w:cs="Palatino Linotype"/>
          <w:i/>
          <w:sz w:val="22"/>
          <w:szCs w:val="22"/>
          <w:u w:val="single"/>
        </w:rPr>
        <w:t xml:space="preserve">, </w:t>
      </w:r>
      <w:r w:rsidRPr="00C76D23">
        <w:rPr>
          <w:rFonts w:ascii="Palatino Linotype" w:eastAsia="Palatino Linotype" w:hAnsi="Palatino Linotype" w:cs="Palatino Linotype"/>
          <w:b/>
          <w:i/>
          <w:sz w:val="22"/>
          <w:szCs w:val="22"/>
        </w:rPr>
        <w:t>incluyendo la versión pública</w:t>
      </w:r>
      <w:r w:rsidRPr="00C76D23">
        <w:rPr>
          <w:rFonts w:ascii="Palatino Linotype" w:eastAsia="Palatino Linotype" w:hAnsi="Palatino Linotype" w:cs="Palatino Linotype"/>
          <w:i/>
          <w:sz w:val="22"/>
          <w:szCs w:val="22"/>
        </w:rPr>
        <w:t xml:space="preserve"> del expediente respectivo y </w:t>
      </w:r>
      <w:r w:rsidRPr="00C76D23">
        <w:rPr>
          <w:rFonts w:ascii="Palatino Linotype" w:eastAsia="Palatino Linotype" w:hAnsi="Palatino Linotype" w:cs="Palatino Linotype"/>
          <w:b/>
          <w:i/>
          <w:sz w:val="22"/>
          <w:szCs w:val="22"/>
        </w:rPr>
        <w:t>de los contratos celebrados</w:t>
      </w:r>
      <w:r w:rsidRPr="00C76D23">
        <w:rPr>
          <w:rFonts w:ascii="Palatino Linotype" w:eastAsia="Palatino Linotype" w:hAnsi="Palatino Linotype" w:cs="Palatino Linotype"/>
          <w:i/>
          <w:sz w:val="22"/>
          <w:szCs w:val="22"/>
        </w:rPr>
        <w:t>, que deberán contener, por los menos, lo siguiente:</w:t>
      </w:r>
    </w:p>
    <w:p w14:paraId="46327109" w14:textId="77777777" w:rsidR="003B7AD2" w:rsidRPr="00C76D23" w:rsidRDefault="003B7AD2" w:rsidP="003B7AD2">
      <w:pPr>
        <w:tabs>
          <w:tab w:val="left" w:pos="426"/>
        </w:tabs>
        <w:spacing w:before="120" w:after="120"/>
        <w:ind w:left="1418" w:right="902"/>
        <w:jc w:val="both"/>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b/>
          <w:i/>
          <w:sz w:val="22"/>
          <w:szCs w:val="22"/>
        </w:rPr>
        <w:t>a) De licitaciones públicas o procedimientos de invitación restringida:</w:t>
      </w:r>
    </w:p>
    <w:p w14:paraId="18274BCD" w14:textId="77777777" w:rsidR="003B7AD2" w:rsidRPr="00C76D23" w:rsidRDefault="003B7AD2" w:rsidP="003B7AD2">
      <w:pPr>
        <w:tabs>
          <w:tab w:val="left" w:pos="426"/>
        </w:tabs>
        <w:spacing w:before="120" w:after="120"/>
        <w:ind w:left="1701" w:right="902"/>
        <w:jc w:val="both"/>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b/>
          <w:i/>
          <w:sz w:val="22"/>
          <w:szCs w:val="22"/>
        </w:rPr>
        <w:t>...</w:t>
      </w:r>
    </w:p>
    <w:p w14:paraId="3693AFAB" w14:textId="77777777" w:rsidR="003B7AD2" w:rsidRPr="00C76D23" w:rsidRDefault="003B7AD2" w:rsidP="003B7AD2">
      <w:pPr>
        <w:tabs>
          <w:tab w:val="left" w:pos="426"/>
        </w:tabs>
        <w:spacing w:before="120" w:after="120"/>
        <w:ind w:left="170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7) El contrato y, en su caso, sus anexos</w:t>
      </w:r>
      <w:r w:rsidRPr="00C76D23">
        <w:rPr>
          <w:rFonts w:ascii="Palatino Linotype" w:eastAsia="Palatino Linotype" w:hAnsi="Palatino Linotype" w:cs="Palatino Linotype"/>
          <w:i/>
          <w:sz w:val="22"/>
          <w:szCs w:val="22"/>
        </w:rPr>
        <w:t xml:space="preserve">; </w:t>
      </w:r>
    </w:p>
    <w:p w14:paraId="5AC715CD" w14:textId="77777777" w:rsidR="00744C6B" w:rsidRPr="00C76D23" w:rsidRDefault="00744C6B" w:rsidP="003B7AD2">
      <w:pPr>
        <w:tabs>
          <w:tab w:val="left" w:pos="426"/>
        </w:tabs>
        <w:spacing w:before="120" w:after="120"/>
        <w:ind w:left="1418" w:right="902"/>
        <w:jc w:val="both"/>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b/>
          <w:i/>
          <w:sz w:val="22"/>
          <w:szCs w:val="22"/>
        </w:rPr>
        <w:t>...</w:t>
      </w:r>
    </w:p>
    <w:p w14:paraId="229C3BC8" w14:textId="77777777" w:rsidR="003B7AD2" w:rsidRPr="00C76D23" w:rsidRDefault="003B7AD2" w:rsidP="003B7AD2">
      <w:pPr>
        <w:tabs>
          <w:tab w:val="left" w:pos="426"/>
        </w:tabs>
        <w:spacing w:before="120" w:after="120"/>
        <w:ind w:left="1418" w:right="902"/>
        <w:jc w:val="both"/>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b/>
          <w:i/>
          <w:sz w:val="22"/>
          <w:szCs w:val="22"/>
        </w:rPr>
        <w:lastRenderedPageBreak/>
        <w:t xml:space="preserve">b) De las adjudicaciones directas: </w:t>
      </w:r>
    </w:p>
    <w:p w14:paraId="5EAE271E" w14:textId="77777777" w:rsidR="003B7AD2" w:rsidRPr="00C76D23" w:rsidRDefault="003B7AD2" w:rsidP="003B7AD2">
      <w:pPr>
        <w:tabs>
          <w:tab w:val="left" w:pos="426"/>
        </w:tabs>
        <w:spacing w:before="120" w:after="120"/>
        <w:ind w:left="1701" w:right="902"/>
        <w:jc w:val="both"/>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b/>
          <w:i/>
          <w:sz w:val="22"/>
          <w:szCs w:val="22"/>
        </w:rPr>
        <w:t>...</w:t>
      </w:r>
    </w:p>
    <w:p w14:paraId="5A1FA454" w14:textId="77777777" w:rsidR="003B7AD2" w:rsidRPr="00C76D23" w:rsidRDefault="003B7AD2" w:rsidP="007657D6">
      <w:pPr>
        <w:tabs>
          <w:tab w:val="left" w:pos="426"/>
        </w:tabs>
        <w:spacing w:before="120" w:after="120"/>
        <w:ind w:left="1701" w:right="902"/>
        <w:jc w:val="both"/>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b/>
          <w:i/>
          <w:sz w:val="22"/>
          <w:szCs w:val="22"/>
        </w:rPr>
        <w:t>7) El número, fecha, el monto del contrato y el plazo de entrega o de ejecución de los servicios u obra;</w:t>
      </w:r>
      <w:r w:rsidRPr="00C76D23">
        <w:rPr>
          <w:rFonts w:ascii="Palatino Linotype" w:eastAsia="Palatino Linotype" w:hAnsi="Palatino Linotype" w:cs="Palatino Linotype"/>
          <w:i/>
          <w:sz w:val="22"/>
          <w:szCs w:val="22"/>
        </w:rPr>
        <w:t>”</w:t>
      </w:r>
    </w:p>
    <w:p w14:paraId="0AF02314" w14:textId="77777777" w:rsidR="00247FD0" w:rsidRPr="00C76D23" w:rsidRDefault="00247FD0">
      <w:pPr>
        <w:spacing w:before="240" w:after="240" w:line="360" w:lineRule="auto"/>
        <w:ind w:right="51"/>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En tal sentido, la clasificación total de los contratos de arrendamiento como información reservada, no es procedente toda vez que dicha información versa sobre una obligación de transparencia que el </w:t>
      </w:r>
      <w:r w:rsidRPr="00C76D23">
        <w:rPr>
          <w:rFonts w:ascii="Palatino Linotype" w:eastAsia="Palatino Linotype" w:hAnsi="Palatino Linotype" w:cs="Palatino Linotype"/>
          <w:b/>
        </w:rPr>
        <w:t>Sujeto Obligado</w:t>
      </w:r>
      <w:r w:rsidRPr="00C76D23">
        <w:rPr>
          <w:rFonts w:ascii="Palatino Linotype" w:eastAsia="Palatino Linotype" w:hAnsi="Palatino Linotype" w:cs="Palatino Linotype"/>
        </w:rPr>
        <w:t xml:space="preserve"> debe cumplir de conformidad con la normativa aplicable.</w:t>
      </w:r>
    </w:p>
    <w:p w14:paraId="397E73B5" w14:textId="77777777" w:rsidR="00AD4DF3" w:rsidRPr="00C76D23" w:rsidRDefault="00CD0BE5">
      <w:pPr>
        <w:spacing w:before="240" w:after="240" w:line="360" w:lineRule="auto"/>
        <w:ind w:right="51"/>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De lo hasta aquí expuesto, se concluye que los motivos de inconformidad de la parte </w:t>
      </w:r>
      <w:r w:rsidRPr="00C76D23">
        <w:rPr>
          <w:rFonts w:ascii="Palatino Linotype" w:eastAsia="Palatino Linotype" w:hAnsi="Palatino Linotype" w:cs="Palatino Linotype"/>
          <w:b/>
        </w:rPr>
        <w:t xml:space="preserve">Recurrente </w:t>
      </w:r>
      <w:r w:rsidRPr="00C76D23">
        <w:rPr>
          <w:rFonts w:ascii="Palatino Linotype" w:eastAsia="Palatino Linotype" w:hAnsi="Palatino Linotype" w:cs="Palatino Linotype"/>
        </w:rPr>
        <w:t xml:space="preserve">devienen fundados, siendo procedente </w:t>
      </w:r>
      <w:r w:rsidRPr="00C76D23">
        <w:rPr>
          <w:rFonts w:ascii="Palatino Linotype" w:eastAsia="Palatino Linotype" w:hAnsi="Palatino Linotype" w:cs="Palatino Linotype"/>
          <w:i/>
        </w:rPr>
        <w:t>Modificar</w:t>
      </w:r>
      <w:r w:rsidRPr="00C76D23">
        <w:rPr>
          <w:rFonts w:ascii="Palatino Linotype" w:eastAsia="Palatino Linotype" w:hAnsi="Palatino Linotype" w:cs="Palatino Linotype"/>
        </w:rPr>
        <w:t xml:space="preserve"> la respuesta proporcionada por el </w:t>
      </w:r>
      <w:r w:rsidRPr="00C76D23">
        <w:rPr>
          <w:rFonts w:ascii="Palatino Linotype" w:eastAsia="Palatino Linotype" w:hAnsi="Palatino Linotype" w:cs="Palatino Linotype"/>
          <w:b/>
        </w:rPr>
        <w:t xml:space="preserve">Sujeto Obligado </w:t>
      </w:r>
      <w:r w:rsidRPr="00C76D23">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4329BE7F" w14:textId="242D0413"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b/>
        </w:rPr>
        <w:t>Quinto. Versión Pública.</w:t>
      </w:r>
      <w:r w:rsidRPr="00C76D23">
        <w:rPr>
          <w:rFonts w:ascii="Palatino Linotype" w:eastAsia="Palatino Linotype" w:hAnsi="Palatino Linotype" w:cs="Palatino Linotype"/>
          <w:sz w:val="28"/>
          <w:szCs w:val="28"/>
        </w:rPr>
        <w:t xml:space="preserve"> </w:t>
      </w:r>
      <w:r w:rsidRPr="00C76D23">
        <w:rPr>
          <w:rFonts w:ascii="Palatino Linotype" w:eastAsia="Palatino Linotype" w:hAnsi="Palatino Linotype" w:cs="Palatino Linotype"/>
        </w:rPr>
        <w:t>Finalmente, debe señalarse que de ser el caso en que los documentos que vayan a ser entregados por el</w:t>
      </w:r>
      <w:r w:rsidRPr="00C76D23">
        <w:rPr>
          <w:rFonts w:ascii="Palatino Linotype" w:eastAsia="Palatino Linotype" w:hAnsi="Palatino Linotype" w:cs="Palatino Linotype"/>
          <w:b/>
        </w:rPr>
        <w:t xml:space="preserve"> </w:t>
      </w:r>
      <w:r w:rsidRPr="00C76D23">
        <w:rPr>
          <w:rFonts w:ascii="Palatino Linotype" w:eastAsia="Palatino Linotype" w:hAnsi="Palatino Linotype" w:cs="Palatino Linotype"/>
        </w:rPr>
        <w:t xml:space="preserve">sujeto obligado, para dar cumplimiento a la presente resolución, contengan datos que deban ser clasificados, el </w:t>
      </w:r>
      <w:r w:rsidRPr="00C76D23">
        <w:rPr>
          <w:rFonts w:ascii="Palatino Linotype" w:eastAsia="Palatino Linotype" w:hAnsi="Palatino Linotype" w:cs="Palatino Linotype"/>
          <w:b/>
        </w:rPr>
        <w:t>Sujeto Obligado</w:t>
      </w:r>
      <w:r w:rsidRPr="00C76D23">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w:t>
      </w:r>
      <w:r w:rsidR="000617E6" w:rsidRPr="00C76D23">
        <w:rPr>
          <w:rFonts w:ascii="Palatino Linotype" w:eastAsia="Palatino Linotype" w:hAnsi="Palatino Linotype" w:cs="Palatino Linotype"/>
        </w:rPr>
        <w:t xml:space="preserve">os datos personales de terceros, </w:t>
      </w:r>
      <w:r w:rsidR="0001641C" w:rsidRPr="00C76D23">
        <w:rPr>
          <w:rFonts w:ascii="Palatino Linotype" w:eastAsia="Palatino Linotype" w:hAnsi="Palatino Linotype" w:cs="Palatino Linotype"/>
        </w:rPr>
        <w:t xml:space="preserve">así como </w:t>
      </w:r>
      <w:r w:rsidR="00D1233A" w:rsidRPr="00C76D23">
        <w:rPr>
          <w:rFonts w:ascii="Palatino Linotype" w:eastAsia="Palatino Linotype" w:hAnsi="Palatino Linotype" w:cs="Palatino Linotype"/>
        </w:rPr>
        <w:t>por razones de interés público.</w:t>
      </w:r>
    </w:p>
    <w:p w14:paraId="337DDC83" w14:textId="37BF9555"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w:t>
      </w:r>
      <w:r w:rsidR="000903FE" w:rsidRPr="00C76D23">
        <w:rPr>
          <w:rFonts w:ascii="Palatino Linotype" w:eastAsia="Palatino Linotype" w:hAnsi="Palatino Linotype" w:cs="Palatino Linotype"/>
        </w:rPr>
        <w:t>140</w:t>
      </w:r>
      <w:r w:rsidR="00275B33" w:rsidRPr="00C76D23">
        <w:rPr>
          <w:rFonts w:ascii="Palatino Linotype" w:eastAsia="Palatino Linotype" w:hAnsi="Palatino Linotype" w:cs="Palatino Linotype"/>
        </w:rPr>
        <w:t xml:space="preserve">, 141 </w:t>
      </w:r>
      <w:r w:rsidR="000903FE" w:rsidRPr="00C76D23">
        <w:rPr>
          <w:rFonts w:ascii="Palatino Linotype" w:eastAsia="Palatino Linotype" w:hAnsi="Palatino Linotype" w:cs="Palatino Linotype"/>
        </w:rPr>
        <w:t xml:space="preserve">y </w:t>
      </w:r>
      <w:r w:rsidRPr="00C76D23">
        <w:rPr>
          <w:rFonts w:ascii="Palatino Linotype" w:eastAsia="Palatino Linotype" w:hAnsi="Palatino Linotype" w:cs="Palatino Linotype"/>
        </w:rPr>
        <w:lastRenderedPageBreak/>
        <w:t>143</w:t>
      </w:r>
      <w:r w:rsidR="00291B33" w:rsidRPr="00C76D23">
        <w:rPr>
          <w:rFonts w:ascii="Palatino Linotype" w:eastAsia="Palatino Linotype" w:hAnsi="Palatino Linotype" w:cs="Palatino Linotype"/>
        </w:rPr>
        <w:t>, fracción I,</w:t>
      </w:r>
      <w:r w:rsidRPr="00C76D23">
        <w:rPr>
          <w:rFonts w:ascii="Palatino Linotype" w:eastAsia="Palatino Linotype" w:hAnsi="Palatino Linotype" w:cs="Palatino Linotype"/>
        </w:rPr>
        <w:t xml:space="preserve"> de la Ley de Transparencia y Acceso a la Información Pública del Estado de México y Municipios que establecen:</w:t>
      </w:r>
    </w:p>
    <w:p w14:paraId="7E816747" w14:textId="77777777" w:rsidR="00AD4DF3" w:rsidRPr="00C76D23" w:rsidRDefault="00CD0BE5">
      <w:pP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r w:rsidRPr="00C76D23">
        <w:rPr>
          <w:rFonts w:ascii="Palatino Linotype" w:eastAsia="Palatino Linotype" w:hAnsi="Palatino Linotype" w:cs="Palatino Linotype"/>
          <w:b/>
          <w:i/>
          <w:sz w:val="22"/>
          <w:szCs w:val="22"/>
        </w:rPr>
        <w:t>Artículo 3</w:t>
      </w:r>
      <w:r w:rsidRPr="00C76D23">
        <w:rPr>
          <w:rFonts w:ascii="Palatino Linotype" w:eastAsia="Palatino Linotype" w:hAnsi="Palatino Linotype" w:cs="Palatino Linotype"/>
          <w:i/>
          <w:sz w:val="22"/>
          <w:szCs w:val="22"/>
        </w:rPr>
        <w:t>. Para los efectos de la presente Ley se entenderá por:</w:t>
      </w:r>
    </w:p>
    <w:p w14:paraId="4563F8E4" w14:textId="77777777" w:rsidR="00AD4DF3" w:rsidRPr="00C76D23" w:rsidRDefault="00CD0BE5">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p>
    <w:p w14:paraId="27502476" w14:textId="77777777" w:rsidR="00AD4DF3" w:rsidRPr="00C76D23" w:rsidRDefault="00CD0BE5">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IX. Datos personales</w:t>
      </w:r>
      <w:r w:rsidRPr="00C76D23">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8939058" w14:textId="77777777" w:rsidR="00AD4DF3" w:rsidRPr="00C76D23" w:rsidRDefault="00CD0BE5">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XX. Información clasificada</w:t>
      </w:r>
      <w:r w:rsidRPr="00C76D23">
        <w:rPr>
          <w:rFonts w:ascii="Palatino Linotype" w:eastAsia="Palatino Linotype" w:hAnsi="Palatino Linotype" w:cs="Palatino Linotype"/>
          <w:i/>
          <w:sz w:val="22"/>
          <w:szCs w:val="22"/>
        </w:rPr>
        <w:t>: Aquella considerada por la presente Ley como reservada o confidencial;</w:t>
      </w:r>
    </w:p>
    <w:p w14:paraId="601552C3" w14:textId="77777777" w:rsidR="00AD4DF3" w:rsidRPr="00C76D23" w:rsidRDefault="00CD0BE5">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 xml:space="preserve">XXI. Información confidencial: </w:t>
      </w:r>
      <w:r w:rsidRPr="00C76D23">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D14F807" w14:textId="77777777" w:rsidR="00AD4DF3" w:rsidRPr="00C76D23" w:rsidRDefault="00CD0BE5">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XLV. Versión pública:</w:t>
      </w:r>
      <w:r w:rsidRPr="00C76D23">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87C01AE" w14:textId="77777777" w:rsidR="00AD4DF3" w:rsidRPr="00C76D23" w:rsidRDefault="00CD0BE5">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p>
    <w:p w14:paraId="68594195" w14:textId="77777777" w:rsidR="00AD4DF3" w:rsidRPr="00C76D23" w:rsidRDefault="00CD0BE5">
      <w:pP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Artículo 91.</w:t>
      </w:r>
      <w:r w:rsidRPr="00C76D23">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335D502" w14:textId="77777777" w:rsidR="00AD4DF3" w:rsidRPr="00C76D23" w:rsidRDefault="00CD0BE5">
      <w:pP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Artículo 132.</w:t>
      </w:r>
      <w:r w:rsidRPr="00C76D23">
        <w:rPr>
          <w:rFonts w:ascii="Palatino Linotype" w:eastAsia="Palatino Linotype" w:hAnsi="Palatino Linotype" w:cs="Palatino Linotype"/>
          <w:i/>
          <w:sz w:val="22"/>
          <w:szCs w:val="22"/>
        </w:rPr>
        <w:t xml:space="preserve"> La clasificación de la información se llevará a cabo en el momento en que:</w:t>
      </w:r>
    </w:p>
    <w:p w14:paraId="03398C71" w14:textId="77777777" w:rsidR="00AD4DF3" w:rsidRPr="00C76D23" w:rsidRDefault="00CD0BE5">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w:t>
      </w:r>
      <w:r w:rsidRPr="00C76D23">
        <w:rPr>
          <w:rFonts w:ascii="Palatino Linotype" w:eastAsia="Palatino Linotype" w:hAnsi="Palatino Linotype" w:cs="Palatino Linotype"/>
          <w:i/>
          <w:sz w:val="22"/>
          <w:szCs w:val="22"/>
        </w:rPr>
        <w:t>. Se reciba una solicitud de acceso a la información;</w:t>
      </w:r>
    </w:p>
    <w:p w14:paraId="51CD6EF1" w14:textId="77777777" w:rsidR="00AD4DF3" w:rsidRPr="00C76D23" w:rsidRDefault="00CD0BE5">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w:t>
      </w:r>
      <w:r w:rsidRPr="00C76D23">
        <w:rPr>
          <w:rFonts w:ascii="Palatino Linotype" w:eastAsia="Palatino Linotype" w:hAnsi="Palatino Linotype" w:cs="Palatino Linotype"/>
          <w:i/>
          <w:sz w:val="22"/>
          <w:szCs w:val="22"/>
        </w:rPr>
        <w:t xml:space="preserve"> Se determine mediante resolución de autoridad competente; o</w:t>
      </w:r>
    </w:p>
    <w:p w14:paraId="5125ED9E" w14:textId="77777777" w:rsidR="00AD4DF3" w:rsidRPr="00C76D23" w:rsidRDefault="00CD0BE5">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III.</w:t>
      </w:r>
      <w:r w:rsidRPr="00C76D23">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37199D9E" w14:textId="77777777" w:rsidR="00AD4DF3" w:rsidRPr="00C76D23" w:rsidRDefault="00CD0BE5">
      <w:pP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p>
    <w:p w14:paraId="54BDF677" w14:textId="77777777" w:rsidR="00433676" w:rsidRPr="00C76D23" w:rsidRDefault="00433676" w:rsidP="00433676">
      <w:pPr>
        <w:spacing w:before="120" w:after="120"/>
        <w:ind w:left="851"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Artículo 140</w:t>
      </w:r>
      <w:r w:rsidRPr="00C76D23">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16A51564" w14:textId="77777777" w:rsidR="00433676" w:rsidRPr="00C76D23" w:rsidRDefault="00433676" w:rsidP="0043367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w:t>
      </w:r>
      <w:r w:rsidRPr="00C76D23">
        <w:rPr>
          <w:rFonts w:ascii="Palatino Linotype" w:eastAsia="Palatino Linotype" w:hAnsi="Palatino Linotype" w:cs="Palatino Linotype"/>
          <w:i/>
          <w:sz w:val="22"/>
          <w:szCs w:val="22"/>
        </w:rPr>
        <w:t xml:space="preserve">. Comprometa la seguridad pública y cuente con un propósito genuino y un efecto demostrable; </w:t>
      </w:r>
    </w:p>
    <w:p w14:paraId="56324EDB" w14:textId="77777777" w:rsidR="00433676" w:rsidRPr="00C76D23" w:rsidRDefault="00433676" w:rsidP="0043367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lastRenderedPageBreak/>
        <w:t>II.</w:t>
      </w:r>
      <w:r w:rsidRPr="00C76D23">
        <w:rPr>
          <w:rFonts w:ascii="Palatino Linotype" w:eastAsia="Palatino Linotype" w:hAnsi="Palatino Linotype" w:cs="Palatino Linotype"/>
          <w:i/>
          <w:sz w:val="22"/>
          <w:szCs w:val="22"/>
        </w:rPr>
        <w:t xml:space="preserve"> Pueda menoscabar la conducción de las negociaciones y relaciones internacionales; </w:t>
      </w:r>
    </w:p>
    <w:p w14:paraId="630803DE" w14:textId="77777777" w:rsidR="00433676" w:rsidRPr="00C76D23" w:rsidRDefault="00433676" w:rsidP="0043367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III.</w:t>
      </w:r>
      <w:r w:rsidRPr="00C76D23">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5895375" w14:textId="77777777" w:rsidR="00433676" w:rsidRPr="00C76D23" w:rsidRDefault="00433676" w:rsidP="0043367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IV.</w:t>
      </w:r>
      <w:r w:rsidRPr="00C76D23">
        <w:rPr>
          <w:rFonts w:ascii="Palatino Linotype" w:eastAsia="Palatino Linotype" w:hAnsi="Palatino Linotype" w:cs="Palatino Linotype"/>
          <w:i/>
          <w:sz w:val="22"/>
          <w:szCs w:val="22"/>
        </w:rPr>
        <w:t xml:space="preserve"> Ponga en riesgo la vida, la seguridad o la salud de una persona física; </w:t>
      </w:r>
    </w:p>
    <w:p w14:paraId="40539A5A" w14:textId="77777777" w:rsidR="00433676" w:rsidRPr="00C76D23" w:rsidRDefault="00433676" w:rsidP="0043367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V</w:t>
      </w:r>
      <w:r w:rsidRPr="00C76D23">
        <w:rPr>
          <w:rFonts w:ascii="Palatino Linotype" w:eastAsia="Palatino Linotype" w:hAnsi="Palatino Linotype" w:cs="Palatino Linotype"/>
          <w:i/>
          <w:sz w:val="22"/>
          <w:szCs w:val="22"/>
        </w:rPr>
        <w:t xml:space="preserve">. Aquella cuya divulgación obstruya o pueda causar un serio perjuicio a: </w:t>
      </w:r>
    </w:p>
    <w:p w14:paraId="62554948" w14:textId="77777777" w:rsidR="00433676" w:rsidRPr="00C76D23" w:rsidRDefault="00433676" w:rsidP="00433676">
      <w:pPr>
        <w:spacing w:before="120" w:after="120"/>
        <w:ind w:left="1418"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7CE94025" w14:textId="77777777" w:rsidR="00433676" w:rsidRPr="00C76D23" w:rsidRDefault="00433676" w:rsidP="00433676">
      <w:pPr>
        <w:spacing w:before="120" w:after="120"/>
        <w:ind w:left="1418"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 xml:space="preserve">2. La recaudación de las contribuciones. </w:t>
      </w:r>
    </w:p>
    <w:p w14:paraId="1B4EC859" w14:textId="77777777" w:rsidR="00433676" w:rsidRPr="00C76D23" w:rsidRDefault="00433676" w:rsidP="0043367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VI</w:t>
      </w:r>
      <w:r w:rsidRPr="00C76D23">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3868D061" w14:textId="77777777" w:rsidR="00433676" w:rsidRPr="00C76D23" w:rsidRDefault="00433676" w:rsidP="0043367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VII.</w:t>
      </w:r>
      <w:r w:rsidRPr="00C76D23">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280EEF1C" w14:textId="77777777" w:rsidR="00433676" w:rsidRPr="00C76D23" w:rsidRDefault="00433676" w:rsidP="0043367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VIII.</w:t>
      </w:r>
      <w:r w:rsidRPr="00C76D23">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5FF7BECA" w14:textId="77777777" w:rsidR="00433676" w:rsidRPr="00C76D23" w:rsidRDefault="00433676" w:rsidP="0043367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IX</w:t>
      </w:r>
      <w:r w:rsidRPr="00C76D23">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3E5F3F5F" w14:textId="77777777" w:rsidR="00433676" w:rsidRPr="00C76D23" w:rsidRDefault="00433676" w:rsidP="0043367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X.</w:t>
      </w:r>
      <w:r w:rsidRPr="00C76D23">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670F003E" w14:textId="77777777" w:rsidR="00433676" w:rsidRPr="00C76D23" w:rsidRDefault="00433676" w:rsidP="0043367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w:t>
      </w:r>
      <w:r w:rsidRPr="00C76D23">
        <w:rPr>
          <w:rFonts w:ascii="Palatino Linotype" w:eastAsia="Palatino Linotype" w:hAnsi="Palatino Linotype" w:cs="Palatino Linotype"/>
          <w:i/>
          <w:sz w:val="22"/>
          <w:szCs w:val="22"/>
        </w:rPr>
        <w:lastRenderedPageBreak/>
        <w:t xml:space="preserve">realización, siempre que esté directamente relacionado con procesos o procedimientos administrativos o judiciales que no hayan quedado firmes; y </w:t>
      </w:r>
    </w:p>
    <w:p w14:paraId="45893778" w14:textId="3C21D47B" w:rsidR="00433676" w:rsidRPr="00C76D23" w:rsidRDefault="00433676" w:rsidP="00433676">
      <w:pPr>
        <w:spacing w:before="120" w:after="120"/>
        <w:ind w:left="1134" w:right="851"/>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XI.</w:t>
      </w:r>
      <w:r w:rsidRPr="00C76D23">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6CC07A5B" w14:textId="1F42F0CB" w:rsidR="000903FE" w:rsidRPr="00C76D23" w:rsidRDefault="00433676">
      <w:pPr>
        <w:spacing w:before="120" w:after="120"/>
        <w:ind w:left="851" w:right="902"/>
        <w:jc w:val="both"/>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b/>
          <w:i/>
          <w:sz w:val="22"/>
          <w:szCs w:val="22"/>
        </w:rPr>
        <w:t>...</w:t>
      </w:r>
    </w:p>
    <w:p w14:paraId="09363141" w14:textId="22A94270" w:rsidR="00275B33" w:rsidRPr="00C76D23" w:rsidRDefault="00275B33">
      <w:pPr>
        <w:spacing w:before="120" w:after="120"/>
        <w:ind w:left="851" w:right="902"/>
        <w:jc w:val="both"/>
        <w:rPr>
          <w:rFonts w:ascii="Palatino Linotype" w:hAnsi="Palatino Linotype"/>
          <w:i/>
          <w:iCs/>
          <w:sz w:val="22"/>
          <w:szCs w:val="22"/>
        </w:rPr>
      </w:pPr>
      <w:r w:rsidRPr="00C76D23">
        <w:rPr>
          <w:rFonts w:ascii="Palatino Linotype" w:hAnsi="Palatino Linotype"/>
          <w:b/>
          <w:bCs/>
          <w:i/>
          <w:iCs/>
          <w:sz w:val="22"/>
          <w:szCs w:val="22"/>
        </w:rPr>
        <w:t>Artículo 141</w:t>
      </w:r>
      <w:r w:rsidRPr="00C76D23">
        <w:rPr>
          <w:rFonts w:ascii="Palatino Linotype" w:hAnsi="Palatino Linotype"/>
          <w:i/>
          <w:iCs/>
          <w:sz w:val="22"/>
          <w:szCs w:val="22"/>
        </w:rPr>
        <w:t>. Las causales de reserva previstas en este Capítulo se deberán fundar y motivar, a través de la aplicación de la prueba de daño a la que se hace referencia en el presente Título.</w:t>
      </w:r>
    </w:p>
    <w:p w14:paraId="276B307A" w14:textId="5A466A30" w:rsidR="00275B33" w:rsidRPr="00C76D23" w:rsidRDefault="00275B33">
      <w:pPr>
        <w:spacing w:before="120" w:after="120"/>
        <w:ind w:left="851" w:right="902"/>
        <w:jc w:val="both"/>
        <w:rPr>
          <w:rFonts w:ascii="Palatino Linotype" w:eastAsia="Palatino Linotype" w:hAnsi="Palatino Linotype" w:cs="Palatino Linotype"/>
          <w:b/>
          <w:i/>
          <w:iCs/>
          <w:sz w:val="20"/>
          <w:szCs w:val="20"/>
        </w:rPr>
      </w:pPr>
      <w:r w:rsidRPr="00C76D23">
        <w:rPr>
          <w:rFonts w:ascii="Palatino Linotype" w:hAnsi="Palatino Linotype"/>
          <w:i/>
          <w:iCs/>
          <w:sz w:val="22"/>
          <w:szCs w:val="22"/>
        </w:rPr>
        <w:t>...</w:t>
      </w:r>
    </w:p>
    <w:p w14:paraId="2F22EB99" w14:textId="77777777" w:rsidR="00AD4DF3" w:rsidRPr="00C76D23" w:rsidRDefault="00CD0BE5">
      <w:pP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Artículo 143</w:t>
      </w:r>
      <w:r w:rsidRPr="00C76D2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51A2FD6" w14:textId="39680A82" w:rsidR="00AD4DF3" w:rsidRPr="00C76D23" w:rsidRDefault="00CD0BE5" w:rsidP="00291B33">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w:t>
      </w:r>
      <w:r w:rsidRPr="00C76D23">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r w:rsidR="00291B33" w:rsidRPr="00C76D23">
        <w:rPr>
          <w:rFonts w:ascii="Palatino Linotype" w:eastAsia="Palatino Linotype" w:hAnsi="Palatino Linotype" w:cs="Palatino Linotype"/>
          <w:i/>
          <w:sz w:val="22"/>
          <w:szCs w:val="22"/>
        </w:rPr>
        <w:t>;</w:t>
      </w:r>
      <w:r w:rsidRPr="00C76D23">
        <w:rPr>
          <w:rFonts w:ascii="Palatino Linotype" w:eastAsia="Palatino Linotype" w:hAnsi="Palatino Linotype" w:cs="Palatino Linotype"/>
          <w:i/>
          <w:sz w:val="22"/>
          <w:szCs w:val="22"/>
        </w:rPr>
        <w:t>”</w:t>
      </w:r>
    </w:p>
    <w:p w14:paraId="20A0A578" w14:textId="7D984471" w:rsidR="00270DF9" w:rsidRPr="00C76D23" w:rsidRDefault="00270DF9">
      <w:pPr>
        <w:spacing w:before="240" w:after="240" w:line="360" w:lineRule="auto"/>
        <w:jc w:val="both"/>
        <w:rPr>
          <w:rFonts w:ascii="Palatino Linotype" w:hAnsi="Palatino Linotype"/>
        </w:rPr>
      </w:pPr>
      <w:r w:rsidRPr="00C76D23">
        <w:rPr>
          <w:rFonts w:ascii="Palatino Linotype" w:hAnsi="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aquella que actualice las causales de reserva establecidas en la normatividad aplicable.</w:t>
      </w:r>
    </w:p>
    <w:p w14:paraId="2AC13C42" w14:textId="0576F4E4" w:rsidR="00270DF9" w:rsidRPr="00C76D23" w:rsidRDefault="00270DF9">
      <w:pPr>
        <w:spacing w:before="240" w:after="240" w:line="360" w:lineRule="auto"/>
        <w:jc w:val="both"/>
        <w:rPr>
          <w:rFonts w:ascii="Palatino Linotype" w:eastAsia="Palatino Linotype" w:hAnsi="Palatino Linotype" w:cs="Palatino Linotype"/>
        </w:rPr>
      </w:pPr>
      <w:r w:rsidRPr="00C76D23">
        <w:rPr>
          <w:rFonts w:ascii="Palatino Linotype" w:hAnsi="Palatino Linotype"/>
        </w:rPr>
        <w:t>En el presente caso, en el supuesto de que en el documento ordenado se observe información relativa a especificaciones técnicas, armamento, equipo, o cualquier otra que permita acceder al estado de fuerza o capacidad de reacción de las áreas dedicadas a la seguridad pública, dicha información deberá se suprimida o testada del documento, conforme al procedimiento de reserva de la información establecida en la Ley de la materia.</w:t>
      </w:r>
    </w:p>
    <w:p w14:paraId="6B7B5AC0" w14:textId="4BD0B445"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6556E8C"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Entorno a lo que aquí nos interesa, el Lineamiento Quincuagésimo segundo de los Lineamientos Generales en Materia de Clasificación y Desclasificación de la Información, así como para la Elaboración de Versiones Públicas, establece lo siguiente:</w:t>
      </w:r>
    </w:p>
    <w:p w14:paraId="467EDD95" w14:textId="77777777" w:rsidR="00AD4DF3" w:rsidRPr="00C76D23" w:rsidRDefault="00CD0BE5">
      <w:pPr>
        <w:spacing w:before="120" w:after="120"/>
        <w:ind w:left="851" w:right="90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“Quincuagésimo segundo</w:t>
      </w:r>
      <w:r w:rsidRPr="00C76D23">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C076630" w14:textId="77777777" w:rsidR="00AD4DF3" w:rsidRPr="00C76D23" w:rsidRDefault="00CD0BE5">
      <w:pPr>
        <w:spacing w:before="120" w:after="120"/>
        <w:ind w:left="851" w:right="90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 xml:space="preserve">En el caso </w:t>
      </w:r>
      <w:proofErr w:type="spellStart"/>
      <w:r w:rsidRPr="00C76D23">
        <w:rPr>
          <w:rFonts w:ascii="Palatino Linotype" w:eastAsia="Palatino Linotype" w:hAnsi="Palatino Linotype" w:cs="Palatino Linotype"/>
          <w:i/>
          <w:sz w:val="22"/>
          <w:szCs w:val="22"/>
        </w:rPr>
        <w:t>especifico</w:t>
      </w:r>
      <w:proofErr w:type="spellEnd"/>
      <w:r w:rsidRPr="00C76D23">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12E7F6BD" w14:textId="77777777" w:rsidR="00AD4DF3" w:rsidRPr="00C76D23" w:rsidRDefault="00CD0BE5">
      <w:pPr>
        <w:spacing w:before="120" w:after="120"/>
        <w:ind w:left="1134" w:right="90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w:t>
      </w:r>
      <w:r w:rsidRPr="00C76D23">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67F16615" w14:textId="77777777" w:rsidR="00AD4DF3" w:rsidRPr="00C76D23" w:rsidRDefault="00CD0BE5">
      <w:pPr>
        <w:spacing w:before="120" w:after="120"/>
        <w:ind w:left="1134" w:right="90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w:t>
      </w:r>
      <w:r w:rsidRPr="00C76D23">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32E62106" w14:textId="77777777" w:rsidR="00AD4DF3" w:rsidRPr="00C76D23" w:rsidRDefault="00CD0BE5">
      <w:pPr>
        <w:spacing w:before="120" w:after="120"/>
        <w:ind w:left="1134" w:right="90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III.</w:t>
      </w:r>
      <w:r w:rsidRPr="00C76D23">
        <w:rPr>
          <w:rFonts w:ascii="Palatino Linotype" w:eastAsia="Palatino Linotype" w:hAnsi="Palatino Linotype" w:cs="Palatino Linotype"/>
          <w:i/>
          <w:sz w:val="22"/>
          <w:szCs w:val="22"/>
        </w:rPr>
        <w:t xml:space="preserve"> Señalar las personas o instancias autorizadas a acceder a la información clasificada.</w:t>
      </w:r>
    </w:p>
    <w:p w14:paraId="418DC483" w14:textId="77777777" w:rsidR="00AD4DF3" w:rsidRPr="00C76D23" w:rsidRDefault="00CD0BE5">
      <w:pPr>
        <w:spacing w:before="120" w:after="120"/>
        <w:ind w:left="851" w:right="900"/>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p>
    <w:p w14:paraId="76B8AD8D" w14:textId="77777777" w:rsidR="00AD4DF3" w:rsidRPr="00C76D23" w:rsidRDefault="00CD0BE5">
      <w:pPr>
        <w:spacing w:before="240" w:after="240" w:line="360" w:lineRule="auto"/>
        <w:ind w:right="50"/>
        <w:jc w:val="both"/>
        <w:rPr>
          <w:rFonts w:ascii="Palatino Linotype" w:eastAsia="Palatino Linotype" w:hAnsi="Palatino Linotype" w:cs="Palatino Linotype"/>
          <w:sz w:val="22"/>
          <w:szCs w:val="22"/>
        </w:rPr>
      </w:pPr>
      <w:r w:rsidRPr="00C76D23">
        <w:rPr>
          <w:rFonts w:ascii="Palatino Linotype" w:eastAsia="Palatino Linotype" w:hAnsi="Palatino Linotype" w:cs="Palatino Linotype"/>
        </w:rPr>
        <w:t xml:space="preserve">Deberá observar el Lineamiento Quincuagésimo tercero de los Lineamientos Generales en Materia de Clasificación y Desclasificación de la Información </w:t>
      </w:r>
      <w:proofErr w:type="spellStart"/>
      <w:r w:rsidRPr="00C76D23">
        <w:rPr>
          <w:rFonts w:ascii="Palatino Linotype" w:eastAsia="Palatino Linotype" w:hAnsi="Palatino Linotype" w:cs="Palatino Linotype"/>
        </w:rPr>
        <w:t>supraindicados</w:t>
      </w:r>
      <w:proofErr w:type="spellEnd"/>
      <w:r w:rsidRPr="00C76D23">
        <w:rPr>
          <w:rFonts w:ascii="Palatino Linotype" w:eastAsia="Palatino Linotype" w:hAnsi="Palatino Linotype" w:cs="Palatino Linotype"/>
        </w:rPr>
        <w:t xml:space="preserve">, que establece los formatos para la clasificación de los documentos, conforme a lo siguiente: </w:t>
      </w:r>
    </w:p>
    <w:p w14:paraId="25E703DE" w14:textId="77777777" w:rsidR="00AD4DF3" w:rsidRPr="00C76D23" w:rsidRDefault="00CD0BE5">
      <w:pPr>
        <w:ind w:left="851" w:right="900"/>
        <w:jc w:val="center"/>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b/>
          <w:i/>
          <w:sz w:val="22"/>
          <w:szCs w:val="22"/>
        </w:rPr>
        <w:t>CAPÍTULO VIII</w:t>
      </w:r>
    </w:p>
    <w:p w14:paraId="2A8C290D" w14:textId="77777777" w:rsidR="00AD4DF3" w:rsidRPr="00C76D23" w:rsidRDefault="00CD0BE5">
      <w:pPr>
        <w:ind w:left="851" w:right="900"/>
        <w:jc w:val="center"/>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b/>
          <w:i/>
          <w:sz w:val="22"/>
          <w:szCs w:val="22"/>
        </w:rPr>
        <w:t xml:space="preserve">DE LOS ELEMENTOS PARA LA CLASIFICACIÓN </w:t>
      </w:r>
    </w:p>
    <w:p w14:paraId="5E0FA38C" w14:textId="77777777" w:rsidR="00AD4DF3" w:rsidRPr="00C76D23" w:rsidRDefault="00CD0BE5">
      <w:pPr>
        <w:ind w:left="851" w:right="900"/>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p>
    <w:p w14:paraId="19022B2C" w14:textId="77777777" w:rsidR="00AD4DF3" w:rsidRPr="00C76D23" w:rsidRDefault="00CD0BE5">
      <w:pP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 xml:space="preserve">Quincuagésimo tercero. </w:t>
      </w:r>
      <w:r w:rsidRPr="00C76D23">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C76D23">
        <w:rPr>
          <w:rFonts w:ascii="Palatino Linotype" w:eastAsia="Palatino Linotype" w:hAnsi="Palatino Linotype" w:cs="Palatino Linotype"/>
          <w:b/>
          <w:i/>
          <w:sz w:val="22"/>
          <w:szCs w:val="22"/>
        </w:rPr>
        <w:t xml:space="preserve">, </w:t>
      </w:r>
      <w:r w:rsidRPr="00C76D23">
        <w:rPr>
          <w:rFonts w:ascii="Palatino Linotype" w:eastAsia="Palatino Linotype" w:hAnsi="Palatino Linotype" w:cs="Palatino Linotype"/>
          <w:i/>
          <w:sz w:val="22"/>
          <w:szCs w:val="22"/>
        </w:rPr>
        <w:t xml:space="preserve">es el siguiente: </w:t>
      </w:r>
    </w:p>
    <w:p w14:paraId="033EED63" w14:textId="77777777" w:rsidR="00AD4DF3" w:rsidRPr="00C76D23" w:rsidRDefault="00CD0BE5">
      <w:pPr>
        <w:spacing w:before="120" w:after="120"/>
        <w:ind w:left="851" w:right="902"/>
        <w:jc w:val="both"/>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b/>
          <w:i/>
          <w:noProof/>
          <w:sz w:val="22"/>
          <w:szCs w:val="22"/>
        </w:rPr>
        <w:drawing>
          <wp:inline distT="0" distB="0" distL="0" distR="0" wp14:anchorId="349D9F88" wp14:editId="1DFDF6FB">
            <wp:extent cx="4295775" cy="295275"/>
            <wp:effectExtent l="0" t="0" r="0" b="0"/>
            <wp:docPr id="1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b="95731"/>
                    <a:stretch>
                      <a:fillRect/>
                    </a:stretch>
                  </pic:blipFill>
                  <pic:spPr>
                    <a:xfrm>
                      <a:off x="0" y="0"/>
                      <a:ext cx="4295775" cy="295275"/>
                    </a:xfrm>
                    <a:prstGeom prst="rect">
                      <a:avLst/>
                    </a:prstGeom>
                    <a:ln/>
                  </pic:spPr>
                </pic:pic>
              </a:graphicData>
            </a:graphic>
          </wp:inline>
        </w:drawing>
      </w:r>
    </w:p>
    <w:p w14:paraId="20259D7F" w14:textId="77777777" w:rsidR="00AD4DF3" w:rsidRPr="00C76D23" w:rsidRDefault="00CD0BE5">
      <w:pPr>
        <w:spacing w:before="120" w:after="120"/>
        <w:ind w:left="851" w:right="902"/>
        <w:jc w:val="both"/>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b/>
          <w:i/>
          <w:noProof/>
          <w:sz w:val="22"/>
          <w:szCs w:val="22"/>
        </w:rPr>
        <w:drawing>
          <wp:inline distT="0" distB="0" distL="0" distR="0" wp14:anchorId="32F8B51B" wp14:editId="5258FC7A">
            <wp:extent cx="4333240" cy="2400300"/>
            <wp:effectExtent l="0" t="0" r="0" b="0"/>
            <wp:docPr id="1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24"/>
                    <a:srcRect t="30908" b="34333"/>
                    <a:stretch/>
                  </pic:blipFill>
                  <pic:spPr bwMode="auto">
                    <a:xfrm>
                      <a:off x="0" y="0"/>
                      <a:ext cx="4333875" cy="2400652"/>
                    </a:xfrm>
                    <a:prstGeom prst="rect">
                      <a:avLst/>
                    </a:prstGeom>
                    <a:ln>
                      <a:noFill/>
                    </a:ln>
                    <a:extLst>
                      <a:ext uri="{53640926-AAD7-44D8-BBD7-CCE9431645EC}">
                        <a14:shadowObscured xmlns:a14="http://schemas.microsoft.com/office/drawing/2010/main"/>
                      </a:ext>
                    </a:extLst>
                  </pic:spPr>
                </pic:pic>
              </a:graphicData>
            </a:graphic>
          </wp:inline>
        </w:drawing>
      </w:r>
    </w:p>
    <w:p w14:paraId="05287913" w14:textId="7CB9796F" w:rsidR="00F3700F" w:rsidRPr="00C76D23" w:rsidRDefault="00F3700F">
      <w:pPr>
        <w:spacing w:before="120" w:after="120"/>
        <w:ind w:left="851" w:right="902"/>
        <w:jc w:val="both"/>
        <w:rPr>
          <w:rFonts w:ascii="Palatino Linotype" w:eastAsia="Palatino Linotype" w:hAnsi="Palatino Linotype" w:cs="Palatino Linotype"/>
          <w:b/>
          <w:i/>
          <w:sz w:val="22"/>
          <w:szCs w:val="22"/>
        </w:rPr>
      </w:pPr>
      <w:r w:rsidRPr="00C76D23">
        <w:rPr>
          <w:rFonts w:ascii="Palatino Linotype" w:eastAsia="Palatino Linotype" w:hAnsi="Palatino Linotype" w:cs="Palatino Linotype"/>
          <w:b/>
          <w:i/>
          <w:noProof/>
          <w:sz w:val="22"/>
          <w:szCs w:val="22"/>
        </w:rPr>
        <w:lastRenderedPageBreak/>
        <w:drawing>
          <wp:inline distT="0" distB="0" distL="0" distR="0" wp14:anchorId="7274859E" wp14:editId="116FA471">
            <wp:extent cx="4333239" cy="235267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24"/>
                    <a:srcRect t="65254" b="677"/>
                    <a:stretch/>
                  </pic:blipFill>
                  <pic:spPr bwMode="auto">
                    <a:xfrm>
                      <a:off x="0" y="0"/>
                      <a:ext cx="4333875" cy="2353020"/>
                    </a:xfrm>
                    <a:prstGeom prst="rect">
                      <a:avLst/>
                    </a:prstGeom>
                    <a:ln>
                      <a:noFill/>
                    </a:ln>
                    <a:extLst>
                      <a:ext uri="{53640926-AAD7-44D8-BBD7-CCE9431645EC}">
                        <a14:shadowObscured xmlns:a14="http://schemas.microsoft.com/office/drawing/2010/main"/>
                      </a:ext>
                    </a:extLst>
                  </pic:spPr>
                </pic:pic>
              </a:graphicData>
            </a:graphic>
          </wp:inline>
        </w:drawing>
      </w:r>
    </w:p>
    <w:p w14:paraId="55764ED1" w14:textId="77777777" w:rsidR="00AD4DF3" w:rsidRPr="00C76D23" w:rsidRDefault="00CD0BE5">
      <w:pP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Los documentos que integren un expediente reservado en su totalidad no deberán marcarse en lo individual.</w:t>
      </w:r>
    </w:p>
    <w:p w14:paraId="36BA7AB9" w14:textId="77777777" w:rsidR="00AD4DF3" w:rsidRPr="00C76D23" w:rsidRDefault="00CD0BE5">
      <w:pP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2B02DA08"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Asimismo, deberá observar los Lineamientos Quincuagésimo sexto, Quincuagésimo séptimo y Quincuagésimo octavo, establecen lo siguiente:</w:t>
      </w:r>
    </w:p>
    <w:p w14:paraId="2773420B" w14:textId="77777777" w:rsidR="00AD4DF3" w:rsidRPr="00C76D23" w:rsidRDefault="00CD0BE5">
      <w:pP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w:t>
      </w:r>
      <w:r w:rsidRPr="00C76D23">
        <w:rPr>
          <w:rFonts w:ascii="Palatino Linotype" w:eastAsia="Palatino Linotype" w:hAnsi="Palatino Linotype" w:cs="Palatino Linotype"/>
          <w:b/>
          <w:i/>
          <w:sz w:val="22"/>
          <w:szCs w:val="22"/>
        </w:rPr>
        <w:t>Quincuagésimo sexto</w:t>
      </w:r>
      <w:r w:rsidRPr="00C76D23">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0BB9715F" w14:textId="77777777" w:rsidR="00AD4DF3" w:rsidRPr="00C76D23" w:rsidRDefault="00CD0BE5">
      <w:pP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Quincuagésimo séptimo</w:t>
      </w:r>
      <w:r w:rsidRPr="00C76D23">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43F0707" w14:textId="77777777" w:rsidR="00AD4DF3" w:rsidRPr="00C76D23" w:rsidRDefault="00CD0BE5">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w:t>
      </w:r>
      <w:r w:rsidRPr="00C76D23">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0FD7640" w14:textId="77777777" w:rsidR="00AD4DF3" w:rsidRPr="00C76D23" w:rsidRDefault="00CD0BE5">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w:t>
      </w:r>
      <w:r w:rsidRPr="00C76D23">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6AE65DD" w14:textId="77777777" w:rsidR="00AD4DF3" w:rsidRPr="00C76D23" w:rsidRDefault="00CD0BE5">
      <w:pPr>
        <w:spacing w:before="120" w:after="120"/>
        <w:ind w:left="1134"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III</w:t>
      </w:r>
      <w:r w:rsidRPr="00C76D23">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w:t>
      </w:r>
      <w:r w:rsidRPr="00C76D23">
        <w:rPr>
          <w:rFonts w:ascii="Palatino Linotype" w:eastAsia="Palatino Linotype" w:hAnsi="Palatino Linotype" w:cs="Palatino Linotype"/>
          <w:i/>
          <w:sz w:val="22"/>
          <w:szCs w:val="22"/>
        </w:rPr>
        <w:lastRenderedPageBreak/>
        <w:t xml:space="preserve">actividades de los servidores públicos, de manera que se pueda valorar el desempeño de los mismos. </w:t>
      </w:r>
    </w:p>
    <w:p w14:paraId="1B86CFB7" w14:textId="77777777" w:rsidR="00AD4DF3" w:rsidRPr="00C76D23" w:rsidRDefault="00CD0BE5">
      <w:pP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1DDB5FD9" w14:textId="77777777" w:rsidR="00AD4DF3" w:rsidRPr="00C76D23" w:rsidRDefault="00CD0BE5">
      <w:pPr>
        <w:spacing w:before="120" w:after="120"/>
        <w:ind w:left="851" w:right="902"/>
        <w:jc w:val="both"/>
        <w:rPr>
          <w:rFonts w:ascii="Palatino Linotype" w:eastAsia="Palatino Linotype" w:hAnsi="Palatino Linotype" w:cs="Palatino Linotype"/>
          <w:i/>
          <w:sz w:val="22"/>
          <w:szCs w:val="22"/>
        </w:rPr>
      </w:pPr>
      <w:r w:rsidRPr="00C76D23">
        <w:rPr>
          <w:rFonts w:ascii="Palatino Linotype" w:eastAsia="Palatino Linotype" w:hAnsi="Palatino Linotype" w:cs="Palatino Linotype"/>
          <w:b/>
          <w:i/>
          <w:sz w:val="22"/>
          <w:szCs w:val="22"/>
        </w:rPr>
        <w:t>Quincuagésimo octavo</w:t>
      </w:r>
      <w:r w:rsidRPr="00C76D23">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3F8BC70"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76D23">
        <w:rPr>
          <w:rFonts w:ascii="Palatino Linotype" w:eastAsia="Palatino Linotype" w:hAnsi="Palatino Linotype" w:cs="Palatino Linotype"/>
          <w:b/>
        </w:rPr>
        <w:t>Sujeto Obligado</w:t>
      </w:r>
      <w:r w:rsidRPr="00C76D23">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861B56E"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03044717" w14:textId="77777777" w:rsidR="00F3700F" w:rsidRPr="00C76D23" w:rsidRDefault="00F3700F">
      <w:pPr>
        <w:spacing w:before="240" w:after="240" w:line="360" w:lineRule="auto"/>
        <w:jc w:val="both"/>
        <w:rPr>
          <w:rFonts w:ascii="Palatino Linotype" w:eastAsia="Palatino Linotype" w:hAnsi="Palatino Linotype" w:cs="Palatino Linotype"/>
        </w:rPr>
      </w:pPr>
    </w:p>
    <w:p w14:paraId="577A2543" w14:textId="77777777" w:rsidR="00AD4DF3" w:rsidRPr="00C76D23" w:rsidRDefault="00CD0BE5">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76D23">
        <w:rPr>
          <w:rFonts w:ascii="Palatino Linotype" w:eastAsia="Palatino Linotype" w:hAnsi="Palatino Linotype" w:cs="Palatino Linotype"/>
          <w:b/>
        </w:rPr>
        <w:lastRenderedPageBreak/>
        <w:t>III. R E S U E L V E</w:t>
      </w:r>
    </w:p>
    <w:p w14:paraId="03F44F30" w14:textId="77777777" w:rsidR="00AD4DF3" w:rsidRPr="00C76D23" w:rsidRDefault="00CD0BE5">
      <w:pPr>
        <w:spacing w:before="240" w:after="240" w:line="360" w:lineRule="auto"/>
        <w:jc w:val="both"/>
        <w:rPr>
          <w:rFonts w:ascii="Palatino Linotype" w:eastAsia="Palatino Linotype" w:hAnsi="Palatino Linotype" w:cs="Palatino Linotype"/>
          <w:b/>
        </w:rPr>
      </w:pPr>
      <w:bookmarkStart w:id="9" w:name="_heading=h.1fob9te" w:colFirst="0" w:colLast="0"/>
      <w:bookmarkEnd w:id="9"/>
      <w:r w:rsidRPr="00C76D23">
        <w:rPr>
          <w:rFonts w:ascii="Palatino Linotype" w:eastAsia="Palatino Linotype" w:hAnsi="Palatino Linotype" w:cs="Palatino Linotype"/>
          <w:b/>
        </w:rPr>
        <w:t xml:space="preserve">Primero. </w:t>
      </w:r>
      <w:r w:rsidRPr="00C76D23">
        <w:rPr>
          <w:rFonts w:ascii="Palatino Linotype" w:eastAsia="Palatino Linotype" w:hAnsi="Palatino Linotype" w:cs="Palatino Linotype"/>
        </w:rPr>
        <w:t>Resultan</w:t>
      </w:r>
      <w:r w:rsidRPr="00C76D23">
        <w:rPr>
          <w:rFonts w:ascii="Palatino Linotype" w:eastAsia="Palatino Linotype" w:hAnsi="Palatino Linotype" w:cs="Palatino Linotype"/>
          <w:b/>
        </w:rPr>
        <w:t xml:space="preserve"> fundados</w:t>
      </w:r>
      <w:r w:rsidRPr="00C76D23">
        <w:rPr>
          <w:rFonts w:ascii="Palatino Linotype" w:eastAsia="Palatino Linotype" w:hAnsi="Palatino Linotype" w:cs="Palatino Linotype"/>
        </w:rPr>
        <w:t xml:space="preserve"> los motivos de inconformidad hechos valer por la parte </w:t>
      </w:r>
      <w:r w:rsidRPr="00C76D23">
        <w:rPr>
          <w:rFonts w:ascii="Palatino Linotype" w:eastAsia="Palatino Linotype" w:hAnsi="Palatino Linotype" w:cs="Palatino Linotype"/>
          <w:b/>
        </w:rPr>
        <w:t xml:space="preserve">Recurrente </w:t>
      </w:r>
      <w:r w:rsidRPr="00C76D23">
        <w:rPr>
          <w:rFonts w:ascii="Palatino Linotype" w:eastAsia="Palatino Linotype" w:hAnsi="Palatino Linotype" w:cs="Palatino Linotype"/>
        </w:rPr>
        <w:t xml:space="preserve">en el recurso de revisión </w:t>
      </w:r>
      <w:r w:rsidR="009E0215" w:rsidRPr="00C76D23">
        <w:rPr>
          <w:rFonts w:ascii="Palatino Linotype" w:eastAsia="Palatino Linotype" w:hAnsi="Palatino Linotype" w:cs="Palatino Linotype"/>
          <w:b/>
        </w:rPr>
        <w:t>14404</w:t>
      </w:r>
      <w:r w:rsidRPr="00C76D23">
        <w:rPr>
          <w:rFonts w:ascii="Palatino Linotype" w:eastAsia="Palatino Linotype" w:hAnsi="Palatino Linotype" w:cs="Palatino Linotype"/>
          <w:b/>
        </w:rPr>
        <w:t xml:space="preserve">/INFOEM/IP/RR/2022, </w:t>
      </w:r>
      <w:r w:rsidRPr="00C76D23">
        <w:rPr>
          <w:rFonts w:ascii="Palatino Linotype" w:eastAsia="Palatino Linotype" w:hAnsi="Palatino Linotype" w:cs="Palatino Linotype"/>
        </w:rPr>
        <w:t xml:space="preserve">por lo que, en términos del Considerando </w:t>
      </w:r>
      <w:r w:rsidRPr="00C76D23">
        <w:rPr>
          <w:rFonts w:ascii="Palatino Linotype" w:eastAsia="Palatino Linotype" w:hAnsi="Palatino Linotype" w:cs="Palatino Linotype"/>
          <w:b/>
        </w:rPr>
        <w:t>Cuarto</w:t>
      </w:r>
      <w:r w:rsidRPr="00C76D23">
        <w:rPr>
          <w:rFonts w:ascii="Palatino Linotype" w:eastAsia="Palatino Linotype" w:hAnsi="Palatino Linotype" w:cs="Palatino Linotype"/>
        </w:rPr>
        <w:t xml:space="preserve"> de la presente resolución, se</w:t>
      </w:r>
      <w:r w:rsidRPr="00C76D23">
        <w:rPr>
          <w:rFonts w:ascii="Palatino Linotype" w:eastAsia="Palatino Linotype" w:hAnsi="Palatino Linotype" w:cs="Palatino Linotype"/>
          <w:b/>
        </w:rPr>
        <w:t xml:space="preserve"> Modifica </w:t>
      </w:r>
      <w:r w:rsidRPr="00C76D23">
        <w:rPr>
          <w:rFonts w:ascii="Palatino Linotype" w:eastAsia="Palatino Linotype" w:hAnsi="Palatino Linotype" w:cs="Palatino Linotype"/>
        </w:rPr>
        <w:t>la respuesta</w:t>
      </w:r>
      <w:r w:rsidRPr="00C76D23">
        <w:rPr>
          <w:rFonts w:ascii="Palatino Linotype" w:eastAsia="Palatino Linotype" w:hAnsi="Palatino Linotype" w:cs="Palatino Linotype"/>
          <w:b/>
        </w:rPr>
        <w:t xml:space="preserve"> </w:t>
      </w:r>
      <w:r w:rsidRPr="00C76D23">
        <w:rPr>
          <w:rFonts w:ascii="Palatino Linotype" w:eastAsia="Palatino Linotype" w:hAnsi="Palatino Linotype" w:cs="Palatino Linotype"/>
        </w:rPr>
        <w:t xml:space="preserve">del </w:t>
      </w:r>
      <w:r w:rsidRPr="00C76D23">
        <w:rPr>
          <w:rFonts w:ascii="Palatino Linotype" w:eastAsia="Palatino Linotype" w:hAnsi="Palatino Linotype" w:cs="Palatino Linotype"/>
          <w:b/>
        </w:rPr>
        <w:t>Sujeto Obligado.</w:t>
      </w:r>
    </w:p>
    <w:p w14:paraId="4E8EA1BA" w14:textId="77777777" w:rsidR="00AD4DF3" w:rsidRPr="00C76D23" w:rsidRDefault="00CD0BE5">
      <w:pPr>
        <w:spacing w:before="240" w:after="240" w:line="360" w:lineRule="auto"/>
        <w:jc w:val="both"/>
        <w:rPr>
          <w:rFonts w:ascii="Palatino Linotype" w:eastAsia="Palatino Linotype" w:hAnsi="Palatino Linotype" w:cs="Palatino Linotype"/>
        </w:rPr>
      </w:pPr>
      <w:bookmarkStart w:id="10" w:name="_heading=h.4d34og8" w:colFirst="0" w:colLast="0"/>
      <w:bookmarkEnd w:id="10"/>
      <w:r w:rsidRPr="00C76D23">
        <w:rPr>
          <w:rFonts w:ascii="Palatino Linotype" w:eastAsia="Palatino Linotype" w:hAnsi="Palatino Linotype" w:cs="Palatino Linotype"/>
          <w:b/>
        </w:rPr>
        <w:t xml:space="preserve">Segundo. </w:t>
      </w:r>
      <w:r w:rsidRPr="00C76D23">
        <w:rPr>
          <w:rFonts w:ascii="Palatino Linotype" w:eastAsia="Palatino Linotype" w:hAnsi="Palatino Linotype" w:cs="Palatino Linotype"/>
        </w:rPr>
        <w:t xml:space="preserve">Se </w:t>
      </w:r>
      <w:r w:rsidRPr="00C76D23">
        <w:rPr>
          <w:rFonts w:ascii="Palatino Linotype" w:eastAsia="Palatino Linotype" w:hAnsi="Palatino Linotype" w:cs="Palatino Linotype"/>
          <w:b/>
        </w:rPr>
        <w:t>Ordena</w:t>
      </w:r>
      <w:r w:rsidRPr="00C76D23">
        <w:rPr>
          <w:rFonts w:ascii="Palatino Linotype" w:eastAsia="Palatino Linotype" w:hAnsi="Palatino Linotype" w:cs="Palatino Linotype"/>
        </w:rPr>
        <w:t xml:space="preserve"> al </w:t>
      </w:r>
      <w:r w:rsidRPr="00C76D23">
        <w:rPr>
          <w:rFonts w:ascii="Palatino Linotype" w:eastAsia="Palatino Linotype" w:hAnsi="Palatino Linotype" w:cs="Palatino Linotype"/>
          <w:b/>
        </w:rPr>
        <w:t>Sujeto Obligado</w:t>
      </w:r>
      <w:r w:rsidRPr="00C76D23">
        <w:rPr>
          <w:rFonts w:ascii="Palatino Linotype" w:eastAsia="Palatino Linotype" w:hAnsi="Palatino Linotype" w:cs="Palatino Linotype"/>
        </w:rPr>
        <w:t xml:space="preserve">, en términos de los Considerandos </w:t>
      </w:r>
      <w:r w:rsidRPr="00C76D23">
        <w:rPr>
          <w:rFonts w:ascii="Palatino Linotype" w:eastAsia="Palatino Linotype" w:hAnsi="Palatino Linotype" w:cs="Palatino Linotype"/>
          <w:b/>
        </w:rPr>
        <w:t xml:space="preserve">Cuarto </w:t>
      </w:r>
      <w:r w:rsidRPr="00C76D23">
        <w:rPr>
          <w:rFonts w:ascii="Palatino Linotype" w:eastAsia="Palatino Linotype" w:hAnsi="Palatino Linotype" w:cs="Palatino Linotype"/>
        </w:rPr>
        <w:t xml:space="preserve">y </w:t>
      </w:r>
      <w:r w:rsidRPr="00C76D23">
        <w:rPr>
          <w:rFonts w:ascii="Palatino Linotype" w:eastAsia="Palatino Linotype" w:hAnsi="Palatino Linotype" w:cs="Palatino Linotype"/>
          <w:b/>
        </w:rPr>
        <w:t xml:space="preserve">Quinto </w:t>
      </w:r>
      <w:r w:rsidRPr="00C76D23">
        <w:rPr>
          <w:rFonts w:ascii="Palatino Linotype" w:eastAsia="Palatino Linotype" w:hAnsi="Palatino Linotype" w:cs="Palatino Linotype"/>
        </w:rPr>
        <w:t>de esta resolución, haga entrega, vía SAIMEX, en versión pública, de lo siguiente:</w:t>
      </w:r>
    </w:p>
    <w:p w14:paraId="50DF4CBD" w14:textId="6FF61869" w:rsidR="00AD4DF3" w:rsidRPr="00C76D23" w:rsidRDefault="00CD0BE5">
      <w:pPr>
        <w:spacing w:before="240" w:after="240" w:line="360" w:lineRule="auto"/>
        <w:ind w:left="284"/>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1. </w:t>
      </w:r>
      <w:r w:rsidR="009E0215" w:rsidRPr="00C76D23">
        <w:rPr>
          <w:rFonts w:ascii="Palatino Linotype" w:eastAsia="Palatino Linotype" w:hAnsi="Palatino Linotype" w:cs="Palatino Linotype"/>
        </w:rPr>
        <w:t>Contrato</w:t>
      </w:r>
      <w:r w:rsidR="006B6DA0" w:rsidRPr="00C76D23">
        <w:rPr>
          <w:rFonts w:ascii="Palatino Linotype" w:eastAsia="Palatino Linotype" w:hAnsi="Palatino Linotype" w:cs="Palatino Linotype"/>
        </w:rPr>
        <w:t xml:space="preserve"> o contratos </w:t>
      </w:r>
      <w:r w:rsidR="009E0215" w:rsidRPr="00C76D23">
        <w:rPr>
          <w:rFonts w:ascii="Palatino Linotype" w:eastAsia="Palatino Linotype" w:hAnsi="Palatino Linotype" w:cs="Palatino Linotype"/>
        </w:rPr>
        <w:t xml:space="preserve">de arrendamiento de las patrullas y </w:t>
      </w:r>
      <w:r w:rsidR="00F3700F" w:rsidRPr="00C76D23">
        <w:rPr>
          <w:rFonts w:ascii="Palatino Linotype" w:eastAsia="Palatino Linotype" w:hAnsi="Palatino Linotype" w:cs="Palatino Linotype"/>
        </w:rPr>
        <w:t>las plataformas de posicionamiento táctico</w:t>
      </w:r>
      <w:r w:rsidR="009E0215" w:rsidRPr="00C76D23">
        <w:rPr>
          <w:rFonts w:ascii="Palatino Linotype" w:eastAsia="Palatino Linotype" w:hAnsi="Palatino Linotype" w:cs="Palatino Linotype"/>
        </w:rPr>
        <w:t xml:space="preserve"> reportados en respuesta a la solicitud de información</w:t>
      </w:r>
      <w:r w:rsidRPr="00C76D23">
        <w:rPr>
          <w:rFonts w:ascii="Palatino Linotype" w:eastAsia="Palatino Linotype" w:hAnsi="Palatino Linotype" w:cs="Palatino Linotype"/>
        </w:rPr>
        <w:t>.</w:t>
      </w:r>
    </w:p>
    <w:p w14:paraId="218FC548" w14:textId="46D54494" w:rsidR="009E0215" w:rsidRPr="00C76D23" w:rsidRDefault="009E0215" w:rsidP="009E0215">
      <w:pPr>
        <w:ind w:left="284" w:right="49"/>
        <w:jc w:val="both"/>
        <w:rPr>
          <w:rFonts w:ascii="Palatino Linotype" w:eastAsia="Palatino Linotype" w:hAnsi="Palatino Linotype" w:cs="Palatino Linotype"/>
          <w:i/>
          <w:sz w:val="20"/>
          <w:szCs w:val="20"/>
        </w:rPr>
      </w:pPr>
      <w:r w:rsidRPr="00C76D23">
        <w:rPr>
          <w:rFonts w:ascii="Palatino Linotype" w:eastAsia="Palatino Linotype" w:hAnsi="Palatino Linotype" w:cs="Palatino Linotype"/>
          <w:i/>
          <w:sz w:val="20"/>
          <w:szCs w:val="20"/>
        </w:rPr>
        <w:t xml:space="preserve">Para el caso de las versiones públicas, se deberá entregar el Acuerdo del Comité de Transparencia mediante el cual se funde y motive </w:t>
      </w:r>
      <w:r w:rsidR="00270DF9" w:rsidRPr="00C76D23">
        <w:rPr>
          <w:rFonts w:ascii="Palatino Linotype" w:eastAsia="Palatino Linotype" w:hAnsi="Palatino Linotype" w:cs="Palatino Linotype"/>
          <w:i/>
          <w:sz w:val="20"/>
          <w:szCs w:val="20"/>
        </w:rPr>
        <w:t xml:space="preserve">las razones sobre los datos que se eliminen o supriman dentro del soporte documental respectivo, </w:t>
      </w:r>
      <w:r w:rsidRPr="00C76D23">
        <w:rPr>
          <w:rFonts w:ascii="Palatino Linotype" w:eastAsia="Palatino Linotype" w:hAnsi="Palatino Linotype" w:cs="Palatino Linotype"/>
          <w:i/>
          <w:sz w:val="20"/>
          <w:szCs w:val="20"/>
        </w:rPr>
        <w:t xml:space="preserve">en términos de los artículos 49, fracción VIII, </w:t>
      </w:r>
      <w:r w:rsidR="00433676" w:rsidRPr="00C76D23">
        <w:rPr>
          <w:rFonts w:ascii="Palatino Linotype" w:eastAsia="Palatino Linotype" w:hAnsi="Palatino Linotype" w:cs="Palatino Linotype"/>
          <w:i/>
          <w:sz w:val="20"/>
          <w:szCs w:val="20"/>
        </w:rPr>
        <w:t xml:space="preserve">140, </w:t>
      </w:r>
      <w:r w:rsidR="00270DF9" w:rsidRPr="00C76D23">
        <w:rPr>
          <w:rFonts w:ascii="Palatino Linotype" w:eastAsia="Palatino Linotype" w:hAnsi="Palatino Linotype" w:cs="Palatino Linotype"/>
          <w:i/>
          <w:sz w:val="20"/>
          <w:szCs w:val="20"/>
        </w:rPr>
        <w:t xml:space="preserve">141, </w:t>
      </w:r>
      <w:r w:rsidRPr="00C76D23">
        <w:rPr>
          <w:rFonts w:ascii="Palatino Linotype" w:eastAsia="Palatino Linotype" w:hAnsi="Palatino Linotype" w:cs="Palatino Linotype"/>
          <w:i/>
          <w:sz w:val="20"/>
          <w:szCs w:val="20"/>
        </w:rPr>
        <w:t>143, fracción I y 149 de la Ley de Transparencia y Acceso a la Información Pública del Estado de México y Municipios.</w:t>
      </w:r>
    </w:p>
    <w:p w14:paraId="23900DBC" w14:textId="77777777" w:rsidR="00AD4DF3" w:rsidRPr="00C76D23" w:rsidRDefault="00CD0BE5">
      <w:pPr>
        <w:spacing w:before="240" w:after="240" w:line="360" w:lineRule="auto"/>
        <w:jc w:val="both"/>
        <w:rPr>
          <w:rFonts w:ascii="Palatino Linotype" w:eastAsia="Palatino Linotype" w:hAnsi="Palatino Linotype" w:cs="Palatino Linotype"/>
          <w:b/>
        </w:rPr>
      </w:pPr>
      <w:r w:rsidRPr="00C76D23">
        <w:rPr>
          <w:rFonts w:ascii="Palatino Linotype" w:eastAsia="Palatino Linotype" w:hAnsi="Palatino Linotype" w:cs="Palatino Linotype"/>
          <w:b/>
        </w:rPr>
        <w:t xml:space="preserve">Tercero. Notifíquese, </w:t>
      </w:r>
      <w:r w:rsidRPr="00C76D23">
        <w:rPr>
          <w:rFonts w:ascii="Palatino Linotype" w:eastAsia="Palatino Linotype" w:hAnsi="Palatino Linotype" w:cs="Palatino Linotype"/>
        </w:rPr>
        <w:t xml:space="preserve">vía </w:t>
      </w:r>
      <w:r w:rsidRPr="00C76D23">
        <w:rPr>
          <w:rFonts w:ascii="Palatino Linotype" w:eastAsia="Palatino Linotype" w:hAnsi="Palatino Linotype" w:cs="Palatino Linotype"/>
          <w:b/>
        </w:rPr>
        <w:t>SAIMEX</w:t>
      </w:r>
      <w:r w:rsidRPr="00C76D23">
        <w:rPr>
          <w:rFonts w:ascii="Palatino Linotype" w:eastAsia="Palatino Linotype" w:hAnsi="Palatino Linotype" w:cs="Palatino Linotype"/>
        </w:rPr>
        <w:t xml:space="preserve">, al Titular de la Unidad de Transparencia del </w:t>
      </w:r>
      <w:r w:rsidRPr="00C76D23">
        <w:rPr>
          <w:rFonts w:ascii="Palatino Linotype" w:eastAsia="Palatino Linotype" w:hAnsi="Palatino Linotype" w:cs="Palatino Linotype"/>
          <w:b/>
        </w:rPr>
        <w:t>Sujeto Obligado,</w:t>
      </w:r>
      <w:r w:rsidRPr="00C76D23">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C76D23">
        <w:rPr>
          <w:rFonts w:ascii="Palatino Linotype" w:eastAsia="Palatino Linotype" w:hAnsi="Palatino Linotype" w:cs="Palatino Linotype"/>
        </w:rPr>
        <w:lastRenderedPageBreak/>
        <w:t>previsto en los artículos 198, 200, fracción III; 214, 215 y 216 de la Ley  de Transparencia y Acceso a la Información Pública del Estado de México y Municipios.</w:t>
      </w:r>
    </w:p>
    <w:p w14:paraId="686BB013"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C76D23">
        <w:rPr>
          <w:rFonts w:ascii="Palatino Linotype" w:eastAsia="Palatino Linotype" w:hAnsi="Palatino Linotype" w:cs="Palatino Linotype"/>
          <w:b/>
        </w:rPr>
        <w:t>Sujeto Obligado</w:t>
      </w:r>
      <w:r w:rsidRPr="00C76D23">
        <w:rPr>
          <w:rFonts w:ascii="Palatino Linotype" w:eastAsia="Palatino Linotype" w:hAnsi="Palatino Linotype" w:cs="Palatino Linotype"/>
        </w:rPr>
        <w:t xml:space="preserve"> de manera fundada y motivada, podrá solicitar una ampliación de plazo para el cumplimiento de la presente resolución.</w:t>
      </w:r>
    </w:p>
    <w:p w14:paraId="064EAD63" w14:textId="77777777" w:rsidR="00AD4DF3" w:rsidRPr="00C76D23" w:rsidRDefault="00CD0BE5">
      <w:pPr>
        <w:spacing w:before="240" w:after="240" w:line="360" w:lineRule="auto"/>
        <w:jc w:val="both"/>
        <w:rPr>
          <w:rFonts w:ascii="Palatino Linotype" w:eastAsia="Palatino Linotype" w:hAnsi="Palatino Linotype" w:cs="Palatino Linotype"/>
        </w:rPr>
      </w:pPr>
      <w:r w:rsidRPr="00C76D23">
        <w:rPr>
          <w:rFonts w:ascii="Palatino Linotype" w:eastAsia="Palatino Linotype" w:hAnsi="Palatino Linotype" w:cs="Palatino Linotype"/>
          <w:b/>
        </w:rPr>
        <w:t xml:space="preserve">Cuarto.  Notifíquese, </w:t>
      </w:r>
      <w:r w:rsidRPr="00C76D23">
        <w:rPr>
          <w:rFonts w:ascii="Palatino Linotype" w:eastAsia="Palatino Linotype" w:hAnsi="Palatino Linotype" w:cs="Palatino Linotype"/>
        </w:rPr>
        <w:t xml:space="preserve">vía </w:t>
      </w:r>
      <w:r w:rsidRPr="00C76D23">
        <w:rPr>
          <w:rFonts w:ascii="Palatino Linotype" w:eastAsia="Palatino Linotype" w:hAnsi="Palatino Linotype" w:cs="Palatino Linotype"/>
          <w:b/>
        </w:rPr>
        <w:t>SAIMEX</w:t>
      </w:r>
      <w:r w:rsidRPr="00C76D23">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35E5256" w14:textId="2664578F" w:rsidR="00AD4DF3" w:rsidRPr="00C76D23" w:rsidRDefault="00CD0BE5">
      <w:pPr>
        <w:spacing w:line="360" w:lineRule="auto"/>
        <w:jc w:val="both"/>
        <w:rPr>
          <w:rFonts w:ascii="Palatino Linotype" w:eastAsia="Palatino Linotype" w:hAnsi="Palatino Linotype" w:cs="Palatino Linotype"/>
        </w:rPr>
      </w:pPr>
      <w:bookmarkStart w:id="11" w:name="_heading=h.lnxbz9" w:colFirst="0" w:colLast="0"/>
      <w:bookmarkEnd w:id="11"/>
      <w:r w:rsidRPr="00C76D2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BE604C" w:rsidRPr="00C76D23">
        <w:rPr>
          <w:rFonts w:ascii="Palatino Linotype" w:eastAsia="Palatino Linotype" w:hAnsi="Palatino Linotype" w:cs="Palatino Linotype"/>
        </w:rPr>
        <w:t xml:space="preserve">NEZ, LUIS GUSTAVO PARRA NORIEGA; EMITIENDO VOTO PARTICULAR </w:t>
      </w:r>
      <w:r w:rsidRPr="00C76D23">
        <w:rPr>
          <w:rFonts w:ascii="Palatino Linotype" w:eastAsia="Palatino Linotype" w:hAnsi="Palatino Linotype" w:cs="Palatino Linotype"/>
        </w:rPr>
        <w:t xml:space="preserve">Y GUADALUPE RAMÍREZ PEÑA; EN LA DÉCIMO </w:t>
      </w:r>
      <w:r w:rsidR="00915ABC" w:rsidRPr="00C76D23">
        <w:rPr>
          <w:rFonts w:ascii="Palatino Linotype" w:eastAsia="Palatino Linotype" w:hAnsi="Palatino Linotype" w:cs="Palatino Linotype"/>
        </w:rPr>
        <w:t xml:space="preserve">OCTAVA </w:t>
      </w:r>
      <w:r w:rsidRPr="00C76D23">
        <w:rPr>
          <w:rFonts w:ascii="Palatino Linotype" w:eastAsia="Palatino Linotype" w:hAnsi="Palatino Linotype" w:cs="Palatino Linotype"/>
        </w:rPr>
        <w:t xml:space="preserve">SESIÓN ORDINARIA, CELEBRADA EL </w:t>
      </w:r>
      <w:r w:rsidR="00915ABC" w:rsidRPr="00C76D23">
        <w:rPr>
          <w:rFonts w:ascii="Palatino Linotype" w:eastAsia="Palatino Linotype" w:hAnsi="Palatino Linotype" w:cs="Palatino Linotype"/>
        </w:rPr>
        <w:t>DIECISIETE</w:t>
      </w:r>
      <w:r w:rsidRPr="00C76D23">
        <w:rPr>
          <w:rFonts w:ascii="Palatino Linotype" w:eastAsia="Palatino Linotype" w:hAnsi="Palatino Linotype" w:cs="Palatino Linotype"/>
        </w:rPr>
        <w:t xml:space="preserve"> DE MAYO DE DOS MIL VEINTITRÉS, ANTE EL SECRETARIO TÉCNICO DEL PLENO ALEXIS TAPIA RAMÍREZ.</w:t>
      </w:r>
    </w:p>
    <w:p w14:paraId="24895688" w14:textId="3559AD7D" w:rsidR="00AD4DF3" w:rsidRPr="00C76D23" w:rsidRDefault="00AD4DF3">
      <w:pPr>
        <w:rPr>
          <w:rFonts w:ascii="Palatino Linotype" w:eastAsia="Palatino Linotype" w:hAnsi="Palatino Linotype" w:cs="Palatino Linotype"/>
        </w:rPr>
      </w:pPr>
    </w:p>
    <w:p w14:paraId="43C9561B" w14:textId="2F042F3A" w:rsidR="00AD4DF3" w:rsidRPr="00C76D23" w:rsidRDefault="00AD4DF3">
      <w:pPr>
        <w:rPr>
          <w:rFonts w:ascii="Palatino Linotype" w:eastAsia="Palatino Linotype" w:hAnsi="Palatino Linotype" w:cs="Palatino Linotype"/>
        </w:rPr>
      </w:pPr>
    </w:p>
    <w:p w14:paraId="1DF91437" w14:textId="2E48A71A" w:rsidR="00AD4DF3" w:rsidRPr="00C76D23" w:rsidRDefault="00B22AFC">
      <w:pPr>
        <w:rPr>
          <w:rFonts w:ascii="Palatino Linotype" w:eastAsia="Palatino Linotype" w:hAnsi="Palatino Linotype" w:cs="Palatino Linotype"/>
        </w:rPr>
      </w:pPr>
      <w:r>
        <w:rPr>
          <w:rFonts w:ascii="Palatino Linotype" w:eastAsia="Palatino Linotype" w:hAnsi="Palatino Linotype" w:cs="Palatino Linotype"/>
          <w:noProof/>
        </w:rPr>
        <w:lastRenderedPageBreak/>
        <mc:AlternateContent>
          <mc:Choice Requires="wps">
            <w:drawing>
              <wp:anchor distT="0" distB="0" distL="114300" distR="114300" simplePos="0" relativeHeight="251659264" behindDoc="0" locked="0" layoutInCell="1" allowOverlap="1" wp14:anchorId="343F4AF7" wp14:editId="640DA511">
                <wp:simplePos x="0" y="0"/>
                <wp:positionH relativeFrom="column">
                  <wp:posOffset>206375</wp:posOffset>
                </wp:positionH>
                <wp:positionV relativeFrom="paragraph">
                  <wp:posOffset>14945</wp:posOffset>
                </wp:positionV>
                <wp:extent cx="5199320" cy="5199321"/>
                <wp:effectExtent l="0" t="0" r="20955" b="20955"/>
                <wp:wrapNone/>
                <wp:docPr id="3" name="Conector recto 3"/>
                <wp:cNvGraphicFramePr/>
                <a:graphic xmlns:a="http://schemas.openxmlformats.org/drawingml/2006/main">
                  <a:graphicData uri="http://schemas.microsoft.com/office/word/2010/wordprocessingShape">
                    <wps:wsp>
                      <wps:cNvCnPr/>
                      <wps:spPr>
                        <a:xfrm>
                          <a:off x="0" y="0"/>
                          <a:ext cx="5199320" cy="5199321"/>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A1A5500"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25pt,1.2pt" to="425.65pt,4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HntQEAAMUDAAAOAAAAZHJzL2Uyb0RvYy54bWysU9uO0zAQfUfiHyy/0yStWLFR033oCl4Q&#10;VFw+wOuMG0u+aWya9O8ZO2kWARIC8WJn7Dln5hxP9g+TNewCGLV3HW82NWfgpO+1O3f865e3r95w&#10;FpNwvTDeQcevEPnD4eWL/Rha2PrBmx6QEYmL7Rg6PqQU2qqKcgAr4sYHcHSpPFqRKMRz1aMYid2a&#10;alvXd9XosQ/oJcRIp4/zJT8UfqVApo9KRUjMdJx6S2XFsj7ltTrsRXtGEQYtlzbEP3RhhXZUdKV6&#10;FEmwb6h/obJaoo9epY30tvJKaQlFA6lp6p/UfB5EgKKFzIlhtSn+P1r54XJCpvuO7zhzwtITHemh&#10;ZPLIMG9slz0aQ2wp9ehOuEQxnDALnhTavJMUNhVfr6uvMCUm6fB1c3+/25L9ku7moMms1TM8YEzv&#10;wFuWPzputMvCRSsu72OaU28phMvtzA2Ur3Q1kJON+wSKxFDJpqDLGMHRILsIGgAhJbh0t5Qu2Rmm&#10;tDErsP4zcMnPUCgj9jfgFVEqe5dWsNXO4++qp+nmlprzbw7MurMFT76/lqcp1tCsFHOXuc7D+GNc&#10;4M9/3+E7AAAA//8DAFBLAwQUAAYACAAAACEAjc10Ct0AAAAIAQAADwAAAGRycy9kb3ducmV2Lnht&#10;bEyPzU7DMBCE70i8g7VI3KgTl6AqxKlQEYgbakGct7Ebp/VPiN0k8PQsJ7jNakYz31br2Vk26iF2&#10;wUvIFxkw7ZugOt9KeH97ulkBiwm9Qhu8lvClI6zry4sKSxUmv9XjLrWMSnwsUYJJqS85j43RDuMi&#10;9NqTdwiDw0Tn0HI14ETlznKRZXfcYedpwWCvN0Y3p93ZSeBb8/3IN3j8LKaXZ5w/xgO3r1JeX80P&#10;98CSntNfGH7xCR1qYtqHs1eRWQlLUVBSgrgFRvaqyJfA9iRELoDXFf//QP0DAAD//wMAUEsBAi0A&#10;FAAGAAgAAAAhALaDOJL+AAAA4QEAABMAAAAAAAAAAAAAAAAAAAAAAFtDb250ZW50X1R5cGVzXS54&#10;bWxQSwECLQAUAAYACAAAACEAOP0h/9YAAACUAQAACwAAAAAAAAAAAAAAAAAvAQAAX3JlbHMvLnJl&#10;bHNQSwECLQAUAAYACAAAACEARLrR57UBAADFAwAADgAAAAAAAAAAAAAAAAAuAgAAZHJzL2Uyb0Rv&#10;Yy54bWxQSwECLQAUAAYACAAAACEAjc10Ct0AAAAIAQAADwAAAAAAAAAAAAAAAAAPBAAAZHJzL2Rv&#10;d25yZXYueG1sUEsFBgAAAAAEAAQA8wAAABkFAAAAAA==&#10;" strokecolor="#f68c36 [3049]"/>
            </w:pict>
          </mc:Fallback>
        </mc:AlternateContent>
      </w:r>
    </w:p>
    <w:p w14:paraId="7789439D" w14:textId="77777777" w:rsidR="00AD4DF3" w:rsidRPr="00C76D23" w:rsidRDefault="00AD4DF3">
      <w:pPr>
        <w:rPr>
          <w:rFonts w:ascii="Palatino Linotype" w:eastAsia="Palatino Linotype" w:hAnsi="Palatino Linotype" w:cs="Palatino Linotype"/>
        </w:rPr>
      </w:pPr>
    </w:p>
    <w:p w14:paraId="67F3E2BB" w14:textId="77777777" w:rsidR="00AD4DF3" w:rsidRPr="00C76D23" w:rsidRDefault="00AD4DF3">
      <w:pPr>
        <w:rPr>
          <w:rFonts w:ascii="Palatino Linotype" w:eastAsia="Palatino Linotype" w:hAnsi="Palatino Linotype" w:cs="Palatino Linotype"/>
        </w:rPr>
      </w:pPr>
    </w:p>
    <w:p w14:paraId="124E1427" w14:textId="77777777" w:rsidR="00AD4DF3" w:rsidRPr="00C76D23" w:rsidRDefault="00AD4DF3">
      <w:pPr>
        <w:rPr>
          <w:rFonts w:ascii="Palatino Linotype" w:eastAsia="Palatino Linotype" w:hAnsi="Palatino Linotype" w:cs="Palatino Linotype"/>
        </w:rPr>
      </w:pPr>
    </w:p>
    <w:p w14:paraId="5867C514" w14:textId="77777777" w:rsidR="00AD4DF3" w:rsidRPr="00C76D23" w:rsidRDefault="00AD4DF3">
      <w:pPr>
        <w:rPr>
          <w:rFonts w:ascii="Palatino Linotype" w:eastAsia="Palatino Linotype" w:hAnsi="Palatino Linotype" w:cs="Palatino Linotype"/>
        </w:rPr>
      </w:pPr>
    </w:p>
    <w:p w14:paraId="200070DA" w14:textId="77777777" w:rsidR="00AD4DF3" w:rsidRPr="00C76D23" w:rsidRDefault="00AD4DF3">
      <w:pPr>
        <w:rPr>
          <w:rFonts w:ascii="Palatino Linotype" w:eastAsia="Palatino Linotype" w:hAnsi="Palatino Linotype" w:cs="Palatino Linotype"/>
        </w:rPr>
      </w:pPr>
    </w:p>
    <w:p w14:paraId="4BF613D7" w14:textId="77777777" w:rsidR="00AD4DF3" w:rsidRPr="00C76D23" w:rsidRDefault="00AD4DF3">
      <w:pPr>
        <w:rPr>
          <w:rFonts w:ascii="Palatino Linotype" w:eastAsia="Palatino Linotype" w:hAnsi="Palatino Linotype" w:cs="Palatino Linotype"/>
        </w:rPr>
      </w:pPr>
    </w:p>
    <w:p w14:paraId="3A64053C" w14:textId="77777777" w:rsidR="00AD4DF3" w:rsidRPr="00C76D23" w:rsidRDefault="00AD4DF3">
      <w:pPr>
        <w:rPr>
          <w:rFonts w:ascii="Palatino Linotype" w:eastAsia="Palatino Linotype" w:hAnsi="Palatino Linotype" w:cs="Palatino Linotype"/>
        </w:rPr>
      </w:pPr>
    </w:p>
    <w:p w14:paraId="2A299861" w14:textId="77777777" w:rsidR="00AD4DF3" w:rsidRPr="00C76D23" w:rsidRDefault="00AD4DF3">
      <w:pPr>
        <w:rPr>
          <w:rFonts w:ascii="Palatino Linotype" w:eastAsia="Palatino Linotype" w:hAnsi="Palatino Linotype" w:cs="Palatino Linotype"/>
        </w:rPr>
      </w:pPr>
    </w:p>
    <w:p w14:paraId="18C782F4" w14:textId="77777777" w:rsidR="00AD4DF3" w:rsidRPr="00C76D23" w:rsidRDefault="00AD4DF3">
      <w:pPr>
        <w:spacing w:line="360" w:lineRule="auto"/>
        <w:jc w:val="both"/>
        <w:rPr>
          <w:rFonts w:ascii="Palatino Linotype" w:eastAsia="Palatino Linotype" w:hAnsi="Palatino Linotype" w:cs="Palatino Linotype"/>
        </w:rPr>
      </w:pPr>
      <w:bookmarkStart w:id="12" w:name="_heading=h.3rdcrjn" w:colFirst="0" w:colLast="0"/>
      <w:bookmarkEnd w:id="12"/>
    </w:p>
    <w:p w14:paraId="38F78995" w14:textId="77777777" w:rsidR="00AD4DF3" w:rsidRPr="00C76D23" w:rsidRDefault="00AD4DF3">
      <w:pPr>
        <w:spacing w:line="360" w:lineRule="auto"/>
        <w:jc w:val="both"/>
        <w:rPr>
          <w:rFonts w:ascii="Palatino Linotype" w:eastAsia="Palatino Linotype" w:hAnsi="Palatino Linotype" w:cs="Palatino Linotype"/>
        </w:rPr>
      </w:pPr>
    </w:p>
    <w:p w14:paraId="0B65E2C9" w14:textId="77777777" w:rsidR="00AD4DF3" w:rsidRPr="00C76D23" w:rsidRDefault="00AD4DF3">
      <w:pPr>
        <w:spacing w:line="360" w:lineRule="auto"/>
        <w:jc w:val="both"/>
        <w:rPr>
          <w:rFonts w:ascii="Palatino Linotype" w:eastAsia="Palatino Linotype" w:hAnsi="Palatino Linotype" w:cs="Palatino Linotype"/>
        </w:rPr>
      </w:pPr>
    </w:p>
    <w:p w14:paraId="5EBA01B3" w14:textId="77777777" w:rsidR="00AD4DF3" w:rsidRPr="00C76D23" w:rsidRDefault="00AD4DF3">
      <w:pPr>
        <w:spacing w:line="360" w:lineRule="auto"/>
        <w:jc w:val="both"/>
        <w:rPr>
          <w:rFonts w:ascii="Palatino Linotype" w:eastAsia="Palatino Linotype" w:hAnsi="Palatino Linotype" w:cs="Palatino Linotype"/>
        </w:rPr>
      </w:pPr>
      <w:bookmarkStart w:id="13" w:name="_heading=h.1t3h5sf" w:colFirst="0" w:colLast="0"/>
      <w:bookmarkEnd w:id="13"/>
    </w:p>
    <w:p w14:paraId="20E01136" w14:textId="77777777" w:rsidR="00AD4DF3" w:rsidRPr="00C76D23" w:rsidRDefault="00AD4DF3">
      <w:pPr>
        <w:spacing w:line="360" w:lineRule="auto"/>
        <w:jc w:val="both"/>
        <w:rPr>
          <w:rFonts w:ascii="Palatino Linotype" w:eastAsia="Palatino Linotype" w:hAnsi="Palatino Linotype" w:cs="Palatino Linotype"/>
        </w:rPr>
      </w:pPr>
    </w:p>
    <w:p w14:paraId="4F010EA5" w14:textId="77777777" w:rsidR="00AD4DF3" w:rsidRPr="00C76D23" w:rsidRDefault="00AD4DF3">
      <w:pPr>
        <w:spacing w:line="360" w:lineRule="auto"/>
        <w:jc w:val="both"/>
        <w:rPr>
          <w:rFonts w:ascii="Palatino Linotype" w:eastAsia="Palatino Linotype" w:hAnsi="Palatino Linotype" w:cs="Palatino Linotype"/>
        </w:rPr>
      </w:pPr>
    </w:p>
    <w:p w14:paraId="769BBB76" w14:textId="77777777" w:rsidR="00AD4DF3" w:rsidRPr="00C76D23" w:rsidRDefault="00AD4DF3">
      <w:pPr>
        <w:spacing w:line="360" w:lineRule="auto"/>
        <w:jc w:val="both"/>
        <w:rPr>
          <w:rFonts w:ascii="Palatino Linotype" w:eastAsia="Palatino Linotype" w:hAnsi="Palatino Linotype" w:cs="Palatino Linotype"/>
        </w:rPr>
      </w:pPr>
    </w:p>
    <w:p w14:paraId="4F7390CE" w14:textId="77777777" w:rsidR="00AD4DF3" w:rsidRPr="00C76D23" w:rsidRDefault="00AD4DF3">
      <w:pPr>
        <w:spacing w:line="360" w:lineRule="auto"/>
        <w:jc w:val="both"/>
        <w:rPr>
          <w:rFonts w:ascii="Palatino Linotype" w:eastAsia="Palatino Linotype" w:hAnsi="Palatino Linotype" w:cs="Palatino Linotype"/>
        </w:rPr>
      </w:pPr>
    </w:p>
    <w:p w14:paraId="1F872141" w14:textId="77777777" w:rsidR="00AD4DF3" w:rsidRPr="00C76D23" w:rsidRDefault="00AD4DF3">
      <w:pPr>
        <w:spacing w:line="360" w:lineRule="auto"/>
        <w:jc w:val="both"/>
        <w:rPr>
          <w:rFonts w:ascii="Palatino Linotype" w:eastAsia="Palatino Linotype" w:hAnsi="Palatino Linotype" w:cs="Palatino Linotype"/>
        </w:rPr>
      </w:pPr>
    </w:p>
    <w:p w14:paraId="1E137C1A" w14:textId="77777777" w:rsidR="00AD4DF3" w:rsidRPr="00C76D23" w:rsidRDefault="00AD4DF3">
      <w:pPr>
        <w:spacing w:line="360" w:lineRule="auto"/>
        <w:jc w:val="both"/>
        <w:rPr>
          <w:rFonts w:ascii="Palatino Linotype" w:eastAsia="Palatino Linotype" w:hAnsi="Palatino Linotype" w:cs="Palatino Linotype"/>
        </w:rPr>
      </w:pPr>
    </w:p>
    <w:p w14:paraId="6C8CC1D7" w14:textId="77777777" w:rsidR="00AD4DF3" w:rsidRPr="00C76D23" w:rsidRDefault="00AD4DF3">
      <w:pPr>
        <w:spacing w:line="360" w:lineRule="auto"/>
        <w:jc w:val="both"/>
        <w:rPr>
          <w:rFonts w:ascii="Palatino Linotype" w:eastAsia="Palatino Linotype" w:hAnsi="Palatino Linotype" w:cs="Palatino Linotype"/>
        </w:rPr>
      </w:pPr>
    </w:p>
    <w:p w14:paraId="6EF5517C" w14:textId="77777777" w:rsidR="00AD4DF3" w:rsidRPr="00C76D23" w:rsidRDefault="00AD4DF3">
      <w:pPr>
        <w:spacing w:line="360" w:lineRule="auto"/>
        <w:jc w:val="both"/>
        <w:rPr>
          <w:rFonts w:ascii="Palatino Linotype" w:eastAsia="Palatino Linotype" w:hAnsi="Palatino Linotype" w:cs="Palatino Linotype"/>
        </w:rPr>
      </w:pPr>
    </w:p>
    <w:p w14:paraId="5443EFF7" w14:textId="77777777" w:rsidR="00AD4DF3" w:rsidRPr="00C76D23" w:rsidRDefault="00AD4DF3">
      <w:pPr>
        <w:spacing w:line="360" w:lineRule="auto"/>
        <w:jc w:val="both"/>
        <w:rPr>
          <w:rFonts w:ascii="Palatino Linotype" w:eastAsia="Palatino Linotype" w:hAnsi="Palatino Linotype" w:cs="Palatino Linotype"/>
        </w:rPr>
      </w:pPr>
    </w:p>
    <w:p w14:paraId="4D59C28D" w14:textId="77777777" w:rsidR="00AD4DF3" w:rsidRPr="00C76D23" w:rsidRDefault="00AD4DF3">
      <w:pPr>
        <w:spacing w:line="360" w:lineRule="auto"/>
        <w:jc w:val="both"/>
        <w:rPr>
          <w:rFonts w:ascii="Palatino Linotype" w:eastAsia="Palatino Linotype" w:hAnsi="Palatino Linotype" w:cs="Palatino Linotype"/>
        </w:rPr>
      </w:pPr>
    </w:p>
    <w:p w14:paraId="078983AD" w14:textId="77777777" w:rsidR="00AD4DF3" w:rsidRPr="00C76D23" w:rsidRDefault="00AD4DF3">
      <w:pPr>
        <w:spacing w:line="360" w:lineRule="auto"/>
        <w:jc w:val="both"/>
        <w:rPr>
          <w:rFonts w:ascii="Palatino Linotype" w:eastAsia="Palatino Linotype" w:hAnsi="Palatino Linotype" w:cs="Palatino Linotype"/>
        </w:rPr>
      </w:pPr>
    </w:p>
    <w:sectPr w:rsidR="00AD4DF3" w:rsidRPr="00C76D23">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88686" w14:textId="77777777" w:rsidR="00FC6980" w:rsidRDefault="00FC6980">
      <w:r>
        <w:separator/>
      </w:r>
    </w:p>
  </w:endnote>
  <w:endnote w:type="continuationSeparator" w:id="0">
    <w:p w14:paraId="739667D9" w14:textId="77777777" w:rsidR="00FC6980" w:rsidRDefault="00FC6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8E80E" w14:textId="61686325" w:rsidR="000617E6" w:rsidRDefault="000617E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134A7">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134A7">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51EB584C" w14:textId="77777777" w:rsidR="000617E6" w:rsidRDefault="000617E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6FEAA" w14:textId="57EDA5C0" w:rsidR="000617E6" w:rsidRDefault="000617E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134A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134A7">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3B04A7D5" w14:textId="77777777" w:rsidR="000617E6" w:rsidRDefault="000617E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F5A4D" w14:textId="77777777" w:rsidR="00FC6980" w:rsidRDefault="00FC6980">
      <w:r>
        <w:separator/>
      </w:r>
    </w:p>
  </w:footnote>
  <w:footnote w:type="continuationSeparator" w:id="0">
    <w:p w14:paraId="397A5CD4" w14:textId="77777777" w:rsidR="00FC6980" w:rsidRDefault="00FC6980">
      <w:r>
        <w:continuationSeparator/>
      </w:r>
    </w:p>
  </w:footnote>
  <w:footnote w:id="1">
    <w:p w14:paraId="54A8C05A" w14:textId="77777777" w:rsidR="000617E6" w:rsidRPr="006B6DA0" w:rsidRDefault="000617E6" w:rsidP="006B6DA0">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sidRPr="006B6DA0">
        <w:rPr>
          <w:rFonts w:ascii="Palatino Linotype" w:hAnsi="Palatino Linotype"/>
          <w:sz w:val="16"/>
          <w:szCs w:val="16"/>
          <w:vertAlign w:val="superscript"/>
        </w:rPr>
        <w:footnoteRef/>
      </w:r>
      <w:r w:rsidRPr="006B6DA0">
        <w:rPr>
          <w:rFonts w:ascii="Palatino Linotype" w:eastAsia="Palatino Linotype" w:hAnsi="Palatino Linotype" w:cs="Palatino Linotype"/>
          <w:color w:val="000000"/>
          <w:sz w:val="16"/>
          <w:szCs w:val="16"/>
        </w:rPr>
        <w:t xml:space="preserve"> “</w:t>
      </w:r>
      <w:r w:rsidRPr="006B6DA0">
        <w:rPr>
          <w:rFonts w:ascii="Palatino Linotype" w:eastAsia="Palatino Linotype" w:hAnsi="Palatino Linotype" w:cs="Palatino Linotype"/>
          <w:b/>
          <w:color w:val="000000"/>
          <w:sz w:val="16"/>
          <w:szCs w:val="16"/>
        </w:rPr>
        <w:t>Artículo 185.</w:t>
      </w:r>
      <w:r w:rsidRPr="006B6DA0">
        <w:rPr>
          <w:rFonts w:ascii="Palatino Linotype" w:eastAsia="Palatino Linotype" w:hAnsi="Palatino Linotype" w:cs="Palatino Linotype"/>
          <w:color w:val="000000"/>
          <w:sz w:val="16"/>
          <w:szCs w:val="16"/>
        </w:rPr>
        <w:t xml:space="preserve"> El Instituto resolverá el recurso de revisión conforme a lo siguiente: (…)</w:t>
      </w:r>
    </w:p>
    <w:p w14:paraId="68E82A2A" w14:textId="77777777" w:rsidR="000617E6" w:rsidRPr="006B6DA0" w:rsidRDefault="000617E6" w:rsidP="006B6DA0">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6B6DA0">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7F4D2510" w14:textId="516DE1EF" w:rsidR="00D42BCE" w:rsidRPr="00D42BCE" w:rsidRDefault="00D42BCE" w:rsidP="00D42BCE">
      <w:pPr>
        <w:pStyle w:val="Textonotapie"/>
        <w:jc w:val="both"/>
        <w:rPr>
          <w:rFonts w:ascii="Palatino Linotype" w:hAnsi="Palatino Linotype"/>
          <w:sz w:val="16"/>
          <w:szCs w:val="16"/>
        </w:rPr>
      </w:pPr>
      <w:r w:rsidRPr="00D42BCE">
        <w:rPr>
          <w:rStyle w:val="Refdenotaalpie"/>
          <w:rFonts w:ascii="Palatino Linotype" w:hAnsi="Palatino Linotype"/>
          <w:sz w:val="16"/>
          <w:szCs w:val="16"/>
        </w:rPr>
        <w:footnoteRef/>
      </w:r>
      <w:r w:rsidRPr="00D42BCE">
        <w:rPr>
          <w:rFonts w:ascii="Palatino Linotype" w:hAnsi="Palatino Linotype"/>
          <w:sz w:val="16"/>
          <w:szCs w:val="16"/>
        </w:rPr>
        <w:t xml:space="preserve"> </w:t>
      </w:r>
      <w:r w:rsidRPr="006B6DA0">
        <w:rPr>
          <w:rFonts w:ascii="Palatino Linotype" w:hAnsi="Palatino Linotype"/>
          <w:sz w:val="16"/>
          <w:szCs w:val="16"/>
        </w:rPr>
        <w:t xml:space="preserve">Cabe señalar que si bien la persona solicitante requirió información de </w:t>
      </w:r>
      <w:r>
        <w:rPr>
          <w:rFonts w:ascii="Palatino Linotype" w:hAnsi="Palatino Linotype"/>
          <w:sz w:val="16"/>
          <w:szCs w:val="16"/>
        </w:rPr>
        <w:t>“</w:t>
      </w:r>
      <w:r w:rsidRPr="00D42BCE">
        <w:rPr>
          <w:rFonts w:ascii="Palatino Linotype" w:hAnsi="Palatino Linotype"/>
          <w:i/>
          <w:sz w:val="16"/>
          <w:szCs w:val="16"/>
        </w:rPr>
        <w:t>torres móviles de video vigilancia</w:t>
      </w:r>
      <w:r>
        <w:rPr>
          <w:rFonts w:ascii="Palatino Linotype" w:hAnsi="Palatino Linotype"/>
          <w:sz w:val="16"/>
          <w:szCs w:val="16"/>
        </w:rPr>
        <w:t xml:space="preserve">”, de la respuesta emitida por la </w:t>
      </w:r>
      <w:r w:rsidRPr="006B6DA0">
        <w:rPr>
          <w:rFonts w:ascii="Palatino Linotype" w:hAnsi="Palatino Linotype"/>
          <w:sz w:val="16"/>
          <w:szCs w:val="16"/>
        </w:rPr>
        <w:t>Subdirección de Adquisiciones y Recursos Materiales</w:t>
      </w:r>
      <w:r>
        <w:rPr>
          <w:rFonts w:ascii="Palatino Linotype" w:hAnsi="Palatino Linotype"/>
          <w:sz w:val="16"/>
          <w:szCs w:val="16"/>
        </w:rPr>
        <w:t xml:space="preserve">, se advierte que se trata de </w:t>
      </w:r>
      <w:r w:rsidRPr="006B6DA0">
        <w:rPr>
          <w:rFonts w:ascii="Palatino Linotype" w:hAnsi="Palatino Linotype"/>
          <w:sz w:val="16"/>
          <w:szCs w:val="16"/>
        </w:rPr>
        <w:t>plataformas de posicionamiento táctico</w:t>
      </w:r>
      <w:r>
        <w:rPr>
          <w:rFonts w:ascii="Palatino Linotype" w:hAnsi="Palatino Linotype"/>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8AF2" w14:textId="77777777" w:rsidR="000617E6" w:rsidRDefault="000617E6">
    <w:pPr>
      <w:rPr>
        <w:rFonts w:ascii="Cambria" w:eastAsia="Cambria" w:hAnsi="Cambria" w:cs="Cambria"/>
        <w:color w:val="000000"/>
      </w:rPr>
    </w:pPr>
    <w:r>
      <w:rPr>
        <w:noProof/>
      </w:rPr>
      <w:drawing>
        <wp:anchor distT="0" distB="0" distL="0" distR="0" simplePos="0" relativeHeight="251658240" behindDoc="1" locked="0" layoutInCell="1" hidden="0" allowOverlap="1" wp14:anchorId="4D024A1D" wp14:editId="6BE21BB7">
          <wp:simplePos x="0" y="0"/>
          <wp:positionH relativeFrom="column">
            <wp:posOffset>-1080119</wp:posOffset>
          </wp:positionH>
          <wp:positionV relativeFrom="paragraph">
            <wp:posOffset>-488297</wp:posOffset>
          </wp:positionV>
          <wp:extent cx="7809865" cy="10165715"/>
          <wp:effectExtent l="0" t="0" r="0" b="0"/>
          <wp:wrapNone/>
          <wp:docPr id="1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2"/>
      <w:tblW w:w="5953" w:type="dxa"/>
      <w:tblInd w:w="3261" w:type="dxa"/>
      <w:tblLayout w:type="fixed"/>
      <w:tblLook w:val="0400" w:firstRow="0" w:lastRow="0" w:firstColumn="0" w:lastColumn="0" w:noHBand="0" w:noVBand="1"/>
    </w:tblPr>
    <w:tblGrid>
      <w:gridCol w:w="2489"/>
      <w:gridCol w:w="3464"/>
    </w:tblGrid>
    <w:tr w:rsidR="000617E6" w14:paraId="605DCFE6" w14:textId="77777777">
      <w:tc>
        <w:tcPr>
          <w:tcW w:w="2489" w:type="dxa"/>
          <w:shd w:val="clear" w:color="auto" w:fill="auto"/>
        </w:tcPr>
        <w:p w14:paraId="2BA85F73" w14:textId="77777777" w:rsidR="000617E6" w:rsidRDefault="000617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5628A3A" w14:textId="77777777" w:rsidR="000617E6" w:rsidRDefault="000617E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14404/INFOEM/IP/RR/2022</w:t>
          </w:r>
        </w:p>
      </w:tc>
    </w:tr>
    <w:tr w:rsidR="000617E6" w14:paraId="37E5C6A0" w14:textId="77777777">
      <w:trPr>
        <w:trHeight w:val="228"/>
      </w:trPr>
      <w:tc>
        <w:tcPr>
          <w:tcW w:w="2489" w:type="dxa"/>
          <w:shd w:val="clear" w:color="auto" w:fill="auto"/>
          <w:vAlign w:val="center"/>
        </w:tcPr>
        <w:p w14:paraId="09FD9C13" w14:textId="77777777" w:rsidR="000617E6" w:rsidRDefault="000617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1593F7F" w14:textId="77777777" w:rsidR="000617E6" w:rsidRDefault="000617E6">
          <w:pPr>
            <w:ind w:left="-45" w:right="176"/>
            <w:jc w:val="both"/>
            <w:rPr>
              <w:rFonts w:ascii="Palatino Linotype" w:eastAsia="Palatino Linotype" w:hAnsi="Palatino Linotype" w:cs="Palatino Linotype"/>
              <w:b/>
              <w:sz w:val="22"/>
              <w:szCs w:val="22"/>
            </w:rPr>
          </w:pPr>
          <w:r w:rsidRPr="00915ABC">
            <w:rPr>
              <w:rFonts w:ascii="Palatino Linotype" w:eastAsia="Palatino Linotype" w:hAnsi="Palatino Linotype" w:cs="Palatino Linotype"/>
              <w:b/>
              <w:sz w:val="22"/>
              <w:szCs w:val="22"/>
            </w:rPr>
            <w:t>Ayuntamiento de Coacalco de Berriozábal</w:t>
          </w:r>
        </w:p>
      </w:tc>
    </w:tr>
    <w:tr w:rsidR="000617E6" w14:paraId="4A2A48F2" w14:textId="77777777">
      <w:tc>
        <w:tcPr>
          <w:tcW w:w="2489" w:type="dxa"/>
          <w:shd w:val="clear" w:color="auto" w:fill="auto"/>
          <w:vAlign w:val="center"/>
        </w:tcPr>
        <w:p w14:paraId="0501B9A7" w14:textId="77777777" w:rsidR="000617E6" w:rsidRDefault="000617E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E3BE0C2" w14:textId="77777777" w:rsidR="000617E6" w:rsidRDefault="000617E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33D36EB" w14:textId="77777777" w:rsidR="000617E6" w:rsidRDefault="000617E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ECEF7" w14:textId="77777777" w:rsidR="000617E6" w:rsidRDefault="000617E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C4E3A42" wp14:editId="401DDCB4">
          <wp:simplePos x="0" y="0"/>
          <wp:positionH relativeFrom="column">
            <wp:posOffset>-1080125</wp:posOffset>
          </wp:positionH>
          <wp:positionV relativeFrom="paragraph">
            <wp:posOffset>-262868</wp:posOffset>
          </wp:positionV>
          <wp:extent cx="7809865" cy="10165715"/>
          <wp:effectExtent l="0" t="0" r="0" b="0"/>
          <wp:wrapNone/>
          <wp:docPr id="1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5670" w:type="dxa"/>
      <w:tblInd w:w="3261" w:type="dxa"/>
      <w:tblLayout w:type="fixed"/>
      <w:tblLook w:val="0400" w:firstRow="0" w:lastRow="0" w:firstColumn="0" w:lastColumn="0" w:noHBand="0" w:noVBand="1"/>
    </w:tblPr>
    <w:tblGrid>
      <w:gridCol w:w="2551"/>
      <w:gridCol w:w="3119"/>
    </w:tblGrid>
    <w:tr w:rsidR="000617E6" w14:paraId="10B4D91D" w14:textId="77777777">
      <w:tc>
        <w:tcPr>
          <w:tcW w:w="2551" w:type="dxa"/>
          <w:shd w:val="clear" w:color="auto" w:fill="auto"/>
          <w:vAlign w:val="center"/>
        </w:tcPr>
        <w:p w14:paraId="5E46C39A" w14:textId="77777777" w:rsidR="000617E6" w:rsidRDefault="000617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BCADE09" w14:textId="77777777" w:rsidR="000617E6" w:rsidRDefault="000617E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14404/INFOEM/IP/RR/2022</w:t>
          </w:r>
        </w:p>
      </w:tc>
    </w:tr>
    <w:tr w:rsidR="000617E6" w14:paraId="35675926" w14:textId="77777777">
      <w:trPr>
        <w:trHeight w:val="130"/>
      </w:trPr>
      <w:tc>
        <w:tcPr>
          <w:tcW w:w="2551" w:type="dxa"/>
          <w:shd w:val="clear" w:color="auto" w:fill="auto"/>
          <w:vAlign w:val="center"/>
        </w:tcPr>
        <w:p w14:paraId="04F9D8D9" w14:textId="77777777" w:rsidR="000617E6" w:rsidRDefault="000617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000AFDD" w14:textId="77777777" w:rsidR="000617E6" w:rsidRDefault="000617E6">
          <w:pPr>
            <w:jc w:val="both"/>
            <w:rPr>
              <w:rFonts w:ascii="Palatino Linotype" w:eastAsia="Palatino Linotype" w:hAnsi="Palatino Linotype" w:cs="Palatino Linotype"/>
              <w:b/>
              <w:sz w:val="22"/>
              <w:szCs w:val="22"/>
            </w:rPr>
          </w:pPr>
        </w:p>
      </w:tc>
    </w:tr>
    <w:tr w:rsidR="000617E6" w14:paraId="5B7FE42F" w14:textId="77777777">
      <w:trPr>
        <w:trHeight w:val="228"/>
      </w:trPr>
      <w:tc>
        <w:tcPr>
          <w:tcW w:w="2551" w:type="dxa"/>
          <w:shd w:val="clear" w:color="auto" w:fill="auto"/>
          <w:vAlign w:val="center"/>
        </w:tcPr>
        <w:p w14:paraId="58D3D28F" w14:textId="77777777" w:rsidR="000617E6" w:rsidRDefault="000617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14191B6" w14:textId="77777777" w:rsidR="000617E6" w:rsidRDefault="000617E6">
          <w:pPr>
            <w:ind w:left="-45" w:right="176"/>
            <w:jc w:val="both"/>
            <w:rPr>
              <w:rFonts w:ascii="Palatino Linotype" w:eastAsia="Palatino Linotype" w:hAnsi="Palatino Linotype" w:cs="Palatino Linotype"/>
              <w:b/>
              <w:sz w:val="22"/>
              <w:szCs w:val="22"/>
            </w:rPr>
          </w:pPr>
          <w:r w:rsidRPr="00915ABC">
            <w:rPr>
              <w:rFonts w:ascii="Palatino Linotype" w:eastAsia="Palatino Linotype" w:hAnsi="Palatino Linotype" w:cs="Palatino Linotype"/>
              <w:b/>
              <w:sz w:val="22"/>
              <w:szCs w:val="22"/>
            </w:rPr>
            <w:t>Ayuntamiento de Coacalco de Berriozábal</w:t>
          </w:r>
        </w:p>
      </w:tc>
    </w:tr>
    <w:tr w:rsidR="000617E6" w14:paraId="6023C33E" w14:textId="77777777">
      <w:tc>
        <w:tcPr>
          <w:tcW w:w="2551" w:type="dxa"/>
          <w:shd w:val="clear" w:color="auto" w:fill="auto"/>
          <w:vAlign w:val="center"/>
        </w:tcPr>
        <w:p w14:paraId="5461BC95" w14:textId="77777777" w:rsidR="000617E6" w:rsidRDefault="000617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48C9458" w14:textId="77777777" w:rsidR="000617E6" w:rsidRDefault="000617E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06021B" w14:textId="77777777" w:rsidR="000617E6" w:rsidRDefault="000617E6">
    <w:pPr>
      <w:pBdr>
        <w:top w:val="nil"/>
        <w:left w:val="nil"/>
        <w:bottom w:val="nil"/>
        <w:right w:val="nil"/>
        <w:between w:val="nil"/>
      </w:pBdr>
      <w:tabs>
        <w:tab w:val="center" w:pos="4252"/>
        <w:tab w:val="right" w:pos="8504"/>
      </w:tabs>
      <w:rPr>
        <w:rFonts w:ascii="Cambria" w:eastAsia="Cambria" w:hAnsi="Cambria" w:cs="Cambria"/>
        <w:color w:val="000000"/>
      </w:rPr>
    </w:pPr>
  </w:p>
  <w:p w14:paraId="1C8BA4D2" w14:textId="77777777" w:rsidR="000617E6" w:rsidRDefault="000617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C3B5B"/>
    <w:multiLevelType w:val="multilevel"/>
    <w:tmpl w:val="7E388DC2"/>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68A2A23"/>
    <w:multiLevelType w:val="multilevel"/>
    <w:tmpl w:val="77463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EB103FD"/>
    <w:multiLevelType w:val="multilevel"/>
    <w:tmpl w:val="7B40D094"/>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6D577486"/>
    <w:multiLevelType w:val="multilevel"/>
    <w:tmpl w:val="F9666C3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DF3"/>
    <w:rsid w:val="0001641C"/>
    <w:rsid w:val="00017322"/>
    <w:rsid w:val="000431E7"/>
    <w:rsid w:val="000465A1"/>
    <w:rsid w:val="00046E39"/>
    <w:rsid w:val="00055F26"/>
    <w:rsid w:val="00057142"/>
    <w:rsid w:val="000617E6"/>
    <w:rsid w:val="000903FE"/>
    <w:rsid w:val="000A0F67"/>
    <w:rsid w:val="000B289F"/>
    <w:rsid w:val="000C04C2"/>
    <w:rsid w:val="00136328"/>
    <w:rsid w:val="00140EEF"/>
    <w:rsid w:val="001C280E"/>
    <w:rsid w:val="001D668A"/>
    <w:rsid w:val="00247FD0"/>
    <w:rsid w:val="00251C1C"/>
    <w:rsid w:val="00255EDE"/>
    <w:rsid w:val="00270DF9"/>
    <w:rsid w:val="00275B33"/>
    <w:rsid w:val="00291B33"/>
    <w:rsid w:val="002B5E00"/>
    <w:rsid w:val="0030123A"/>
    <w:rsid w:val="00307136"/>
    <w:rsid w:val="00356345"/>
    <w:rsid w:val="003A7B50"/>
    <w:rsid w:val="003B7AD2"/>
    <w:rsid w:val="003D1E5B"/>
    <w:rsid w:val="00403599"/>
    <w:rsid w:val="00424DB9"/>
    <w:rsid w:val="00433676"/>
    <w:rsid w:val="0044223D"/>
    <w:rsid w:val="00474938"/>
    <w:rsid w:val="004C78C7"/>
    <w:rsid w:val="00530A82"/>
    <w:rsid w:val="00534742"/>
    <w:rsid w:val="00574C9A"/>
    <w:rsid w:val="00577393"/>
    <w:rsid w:val="005A73AB"/>
    <w:rsid w:val="005B6500"/>
    <w:rsid w:val="005C1F6A"/>
    <w:rsid w:val="005E325B"/>
    <w:rsid w:val="00600BAE"/>
    <w:rsid w:val="006134A7"/>
    <w:rsid w:val="00632718"/>
    <w:rsid w:val="00672BC2"/>
    <w:rsid w:val="00680440"/>
    <w:rsid w:val="006844E1"/>
    <w:rsid w:val="00685D49"/>
    <w:rsid w:val="006B6DA0"/>
    <w:rsid w:val="006C2108"/>
    <w:rsid w:val="006D42C6"/>
    <w:rsid w:val="006D5A0B"/>
    <w:rsid w:val="00733C99"/>
    <w:rsid w:val="00744C6B"/>
    <w:rsid w:val="007657D6"/>
    <w:rsid w:val="0077253E"/>
    <w:rsid w:val="0077672A"/>
    <w:rsid w:val="007B336E"/>
    <w:rsid w:val="007C15F6"/>
    <w:rsid w:val="007D43FD"/>
    <w:rsid w:val="00802C24"/>
    <w:rsid w:val="008078C3"/>
    <w:rsid w:val="008151A6"/>
    <w:rsid w:val="008166E1"/>
    <w:rsid w:val="00833DE1"/>
    <w:rsid w:val="008703F7"/>
    <w:rsid w:val="00887103"/>
    <w:rsid w:val="008916B5"/>
    <w:rsid w:val="00893F15"/>
    <w:rsid w:val="008C3F53"/>
    <w:rsid w:val="00915ABC"/>
    <w:rsid w:val="009205BC"/>
    <w:rsid w:val="00922B64"/>
    <w:rsid w:val="00922E96"/>
    <w:rsid w:val="009603B3"/>
    <w:rsid w:val="00976F5A"/>
    <w:rsid w:val="00981C42"/>
    <w:rsid w:val="0098613A"/>
    <w:rsid w:val="009E0215"/>
    <w:rsid w:val="009E1F9E"/>
    <w:rsid w:val="009E3962"/>
    <w:rsid w:val="00A15CBC"/>
    <w:rsid w:val="00A22449"/>
    <w:rsid w:val="00A537D7"/>
    <w:rsid w:val="00A5771E"/>
    <w:rsid w:val="00A6221B"/>
    <w:rsid w:val="00A709E0"/>
    <w:rsid w:val="00A73F4C"/>
    <w:rsid w:val="00A856D3"/>
    <w:rsid w:val="00AD4DF3"/>
    <w:rsid w:val="00AD77F6"/>
    <w:rsid w:val="00B13C76"/>
    <w:rsid w:val="00B22AFC"/>
    <w:rsid w:val="00B7132B"/>
    <w:rsid w:val="00B7165A"/>
    <w:rsid w:val="00BA4D2E"/>
    <w:rsid w:val="00BC5678"/>
    <w:rsid w:val="00BE604C"/>
    <w:rsid w:val="00C53859"/>
    <w:rsid w:val="00C57740"/>
    <w:rsid w:val="00C76D23"/>
    <w:rsid w:val="00C97825"/>
    <w:rsid w:val="00CA3FE7"/>
    <w:rsid w:val="00CD0BE5"/>
    <w:rsid w:val="00D1233A"/>
    <w:rsid w:val="00D214D8"/>
    <w:rsid w:val="00D42BCE"/>
    <w:rsid w:val="00D57301"/>
    <w:rsid w:val="00DC03C4"/>
    <w:rsid w:val="00DE39AE"/>
    <w:rsid w:val="00E82ECB"/>
    <w:rsid w:val="00EB7D29"/>
    <w:rsid w:val="00EF0B96"/>
    <w:rsid w:val="00F35585"/>
    <w:rsid w:val="00F3700F"/>
    <w:rsid w:val="00F705F6"/>
    <w:rsid w:val="00FB0FE6"/>
    <w:rsid w:val="00FC6980"/>
    <w:rsid w:val="00FD35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1355C967"/>
  <w15:docId w15:val="{56DC984D-D801-478C-AAB4-FD04CC56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
    <w:tblPr>
      <w:tblStyleRowBandSize w:val="1"/>
      <w:tblStyleColBandSize w:val="1"/>
      <w:tblCellMar>
        <w:left w:w="115" w:type="dxa"/>
        <w:right w:w="115" w:type="dxa"/>
      </w:tblCellMar>
    </w:tblPr>
  </w:style>
  <w:style w:type="table" w:customStyle="1" w:styleId="15">
    <w:name w:val="15"/>
    <w:basedOn w:val="TableNormal6"/>
    <w:tblPr>
      <w:tblStyleRowBandSize w:val="1"/>
      <w:tblStyleColBandSize w:val="1"/>
      <w:tblCellMar>
        <w:left w:w="115" w:type="dxa"/>
        <w:right w:w="115" w:type="dxa"/>
      </w:tblCellMar>
    </w:tblPr>
  </w:style>
  <w:style w:type="table" w:customStyle="1" w:styleId="14">
    <w:name w:val="14"/>
    <w:basedOn w:val="TableNormal7"/>
    <w:tblPr>
      <w:tblStyleRowBandSize w:val="1"/>
      <w:tblStyleColBandSize w:val="1"/>
      <w:tblCellMar>
        <w:left w:w="115" w:type="dxa"/>
        <w:right w:w="115" w:type="dxa"/>
      </w:tblCellMar>
    </w:tblPr>
  </w:style>
  <w:style w:type="table" w:customStyle="1" w:styleId="13">
    <w:name w:val="13"/>
    <w:basedOn w:val="TableNormal7"/>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5"/>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E47E56"/>
  </w:style>
  <w:style w:type="character" w:customStyle="1" w:styleId="SaludoCar">
    <w:name w:val="Saludo Car"/>
    <w:basedOn w:val="Fuentedeprrafopredeter"/>
    <w:link w:val="Saludo"/>
    <w:uiPriority w:val="99"/>
    <w:rsid w:val="00E47E56"/>
  </w:style>
  <w:style w:type="paragraph" w:styleId="Listaconvietas">
    <w:name w:val="List Bullet"/>
    <w:basedOn w:val="Normal"/>
    <w:uiPriority w:val="99"/>
    <w:unhideWhenUsed/>
    <w:rsid w:val="00E47E56"/>
    <w:pPr>
      <w:numPr>
        <w:numId w:val="3"/>
      </w:numPr>
      <w:contextualSpacing/>
    </w:pPr>
  </w:style>
  <w:style w:type="paragraph" w:styleId="Listaconvietas2">
    <w:name w:val="List Bullet 2"/>
    <w:basedOn w:val="Normal"/>
    <w:uiPriority w:val="99"/>
    <w:unhideWhenUsed/>
    <w:rsid w:val="00E47E56"/>
    <w:pPr>
      <w:tabs>
        <w:tab w:val="num" w:pos="720"/>
      </w:tabs>
      <w:ind w:left="720" w:hanging="720"/>
      <w:contextualSpacing/>
    </w:pPr>
  </w:style>
  <w:style w:type="paragraph" w:styleId="Descripcin">
    <w:name w:val="caption"/>
    <w:basedOn w:val="Normal"/>
    <w:next w:val="Normal"/>
    <w:uiPriority w:val="35"/>
    <w:unhideWhenUsed/>
    <w:qFormat/>
    <w:rsid w:val="00E47E56"/>
    <w:pPr>
      <w:spacing w:after="200"/>
    </w:pPr>
    <w:rPr>
      <w:i/>
      <w:iCs/>
      <w:color w:val="1F497D" w:themeColor="text2"/>
      <w:sz w:val="18"/>
      <w:szCs w:val="18"/>
    </w:r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oleObject" Target="embeddings/oleObject6.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oleObject" Target="embeddings/oleObject7.bin"/><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69joS9J0QrcjBqHfhPKNo81NCg==">AMUW2mVqW1gdVKjihYhcE4KgEUe57r40yNEhAwitVwb3N+jEjntf7l5Umq2aaSA1g0dSxa0pW4Ny9TdqmLMLRNQRnTHGwTjGCeuIU1qK6Nm0JSnGjoPXENUaPtbRJ56GAoMTfrvWB/W7SODOBvSthTk62E/6N1yHgeuhIZQdKW1fOyKYsXM1M6k4v5TrR/nK1wNX3BjAckUj7TI2VDAFlmqz09go/ttMNuG9WanUL3DSvxOReGlkyM7oo7RcputdyOe31haCU49YCS5yeaaXs0Uw9AcwZGj6sGrTvJCEr9zScAJpxDASgNRVrmzkJmV+EsTWdO4Gula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E5D4C9-3998-4013-B360-3E28AD13B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54</Pages>
  <Words>13256</Words>
  <Characters>72914</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2023-05-19T17:17:00Z</cp:lastPrinted>
  <dcterms:created xsi:type="dcterms:W3CDTF">2023-06-02T16:15:00Z</dcterms:created>
  <dcterms:modified xsi:type="dcterms:W3CDTF">2023-06-02T16:15:00Z</dcterms:modified>
</cp:coreProperties>
</file>