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6C6" w:rsidRPr="00B77D66" w:rsidRDefault="003C46C6" w:rsidP="003C46C6">
      <w:pPr>
        <w:spacing w:line="360" w:lineRule="auto"/>
        <w:jc w:val="both"/>
        <w:rPr>
          <w:rFonts w:ascii="Palatino Linotype" w:eastAsiaTheme="minorEastAsia" w:hAnsi="Palatino Linotype"/>
          <w:lang w:val="es-ES_tradnl" w:eastAsia="es-ES"/>
        </w:rPr>
      </w:pPr>
      <w:r w:rsidRPr="00B77D66">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w:t>
      </w:r>
      <w:r w:rsidR="00E46EEA" w:rsidRPr="00B77D66">
        <w:rPr>
          <w:rFonts w:ascii="Palatino Linotype" w:eastAsiaTheme="minorEastAsia" w:hAnsi="Palatino Linotype"/>
          <w:lang w:val="es-ES_tradnl" w:eastAsia="es-ES"/>
        </w:rPr>
        <w:t>de fecha veintiocho</w:t>
      </w:r>
      <w:r w:rsidRPr="00B77D66">
        <w:rPr>
          <w:rFonts w:ascii="Palatino Linotype" w:eastAsiaTheme="minorEastAsia" w:hAnsi="Palatino Linotype"/>
          <w:lang w:val="es-ES_tradnl" w:eastAsia="es-ES"/>
        </w:rPr>
        <w:t xml:space="preserve"> (</w:t>
      </w:r>
      <w:r w:rsidR="00E46EEA" w:rsidRPr="00B77D66">
        <w:rPr>
          <w:rFonts w:ascii="Palatino Linotype" w:eastAsiaTheme="minorEastAsia" w:hAnsi="Palatino Linotype"/>
          <w:lang w:val="es-ES_tradnl" w:eastAsia="es-ES"/>
        </w:rPr>
        <w:t>28</w:t>
      </w:r>
      <w:r w:rsidRPr="00B77D66">
        <w:rPr>
          <w:rFonts w:ascii="Palatino Linotype" w:eastAsiaTheme="minorEastAsia" w:hAnsi="Palatino Linotype"/>
          <w:lang w:val="es-ES_tradnl" w:eastAsia="es-ES"/>
        </w:rPr>
        <w:t>) de junio  de dos mil veintitrés.</w:t>
      </w:r>
    </w:p>
    <w:p w:rsidR="003C46C6" w:rsidRPr="00B77D66" w:rsidRDefault="003C46C6" w:rsidP="003C46C6">
      <w:pPr>
        <w:spacing w:line="360" w:lineRule="auto"/>
        <w:jc w:val="both"/>
        <w:rPr>
          <w:rFonts w:ascii="Palatino Linotype" w:eastAsiaTheme="minorEastAsia" w:hAnsi="Palatino Linotype"/>
          <w:lang w:val="es-ES_tradnl" w:eastAsia="es-ES"/>
        </w:rPr>
      </w:pPr>
    </w:p>
    <w:p w:rsidR="003C46C6" w:rsidRPr="00B77D66" w:rsidRDefault="003C46C6" w:rsidP="003C46C6">
      <w:pPr>
        <w:spacing w:line="360" w:lineRule="auto"/>
        <w:jc w:val="both"/>
        <w:rPr>
          <w:rFonts w:ascii="Palatino Linotype" w:hAnsi="Palatino Linotype"/>
        </w:rPr>
      </w:pPr>
      <w:r w:rsidRPr="00B77D66">
        <w:rPr>
          <w:rFonts w:ascii="Palatino Linotype" w:hAnsi="Palatino Linotype"/>
          <w:b/>
        </w:rPr>
        <w:t>VISTO</w:t>
      </w:r>
      <w:r w:rsidRPr="00B77D66">
        <w:rPr>
          <w:rFonts w:ascii="Palatino Linotype" w:hAnsi="Palatino Linotype"/>
        </w:rPr>
        <w:t xml:space="preserve"> el expediente electrónico formado con motivo del recurso de revisión </w:t>
      </w:r>
      <w:r w:rsidR="00733A1B" w:rsidRPr="00B77D66">
        <w:rPr>
          <w:rFonts w:ascii="Palatino Linotype" w:hAnsi="Palatino Linotype"/>
          <w:b/>
        </w:rPr>
        <w:t>03633/INFOEM/IP/RR/2022</w:t>
      </w:r>
      <w:r w:rsidRPr="00B77D66">
        <w:rPr>
          <w:rFonts w:ascii="Palatino Linotype" w:hAnsi="Palatino Linotype"/>
          <w:b/>
        </w:rPr>
        <w:t>,</w:t>
      </w:r>
      <w:r w:rsidRPr="00B77D66">
        <w:rPr>
          <w:rFonts w:ascii="Palatino Linotype" w:hAnsi="Palatino Linotype" w:cs="Arial"/>
          <w:b/>
          <w:bCs/>
        </w:rPr>
        <w:t xml:space="preserve"> </w:t>
      </w:r>
      <w:r w:rsidRPr="00B77D66">
        <w:rPr>
          <w:rFonts w:ascii="Palatino Linotype" w:eastAsiaTheme="minorEastAsia" w:hAnsi="Palatino Linotype"/>
          <w:lang w:val="es-ES_tradnl" w:eastAsia="es-ES"/>
        </w:rPr>
        <w:t xml:space="preserve">promovido por </w:t>
      </w:r>
      <w:r w:rsidR="00B77D66" w:rsidRPr="00B77D66">
        <w:rPr>
          <w:rFonts w:ascii="Palatino Linotype" w:eastAsiaTheme="minorEastAsia" w:hAnsi="Palatino Linotype"/>
          <w:b/>
          <w:bCs/>
          <w:lang w:eastAsia="es-ES"/>
        </w:rPr>
        <w:t>XXXX XXX XXXX</w:t>
      </w:r>
      <w:r w:rsidR="00733A1B" w:rsidRPr="00B77D66">
        <w:rPr>
          <w:rFonts w:ascii="Palatino Linotype" w:eastAsiaTheme="minorEastAsia" w:hAnsi="Palatino Linotype"/>
          <w:b/>
          <w:bCs/>
          <w:lang w:eastAsia="es-ES"/>
        </w:rPr>
        <w:t xml:space="preserve">, </w:t>
      </w:r>
      <w:r w:rsidRPr="00B77D66">
        <w:rPr>
          <w:rFonts w:ascii="Palatino Linotype" w:eastAsiaTheme="minorEastAsia" w:hAnsi="Palatino Linotype"/>
          <w:lang w:eastAsia="es-ES"/>
        </w:rPr>
        <w:t xml:space="preserve">quien </w:t>
      </w:r>
      <w:r w:rsidRPr="00B77D66">
        <w:rPr>
          <w:rFonts w:ascii="Palatino Linotype" w:hAnsi="Palatino Linotype"/>
        </w:rPr>
        <w:t xml:space="preserve">en lo sucesivo se identificará como </w:t>
      </w:r>
      <w:r w:rsidRPr="00B77D66">
        <w:rPr>
          <w:rFonts w:ascii="Palatino Linotype" w:hAnsi="Palatino Linotype"/>
          <w:b/>
        </w:rPr>
        <w:t xml:space="preserve">EL </w:t>
      </w:r>
      <w:r w:rsidRPr="00B77D66">
        <w:rPr>
          <w:rFonts w:ascii="Palatino Linotype" w:hAnsi="Palatino Linotype" w:cs="Arial"/>
          <w:b/>
        </w:rPr>
        <w:t>RECURRENTE</w:t>
      </w:r>
      <w:r w:rsidRPr="00B77D66">
        <w:rPr>
          <w:rFonts w:ascii="Palatino Linotype" w:hAnsi="Palatino Linotype" w:cs="Arial"/>
        </w:rPr>
        <w:t xml:space="preserve">, en contra de la respuesta del </w:t>
      </w:r>
      <w:r w:rsidR="00733A1B" w:rsidRPr="00B77D66">
        <w:rPr>
          <w:rFonts w:ascii="Palatino Linotype" w:hAnsi="Palatino Linotype" w:cs="Arial"/>
          <w:b/>
          <w:bCs/>
        </w:rPr>
        <w:t>Ayuntamiento de Cuautitlán Izcalli</w:t>
      </w:r>
      <w:r w:rsidRPr="00B77D66">
        <w:rPr>
          <w:rFonts w:ascii="Palatino Linotype" w:hAnsi="Palatino Linotype" w:cs="Arial"/>
          <w:b/>
          <w:bCs/>
        </w:rPr>
        <w:t xml:space="preserve">, </w:t>
      </w:r>
      <w:r w:rsidRPr="00B77D66">
        <w:rPr>
          <w:rFonts w:ascii="Palatino Linotype" w:hAnsi="Palatino Linotype"/>
        </w:rPr>
        <w:t xml:space="preserve">en </w:t>
      </w:r>
      <w:r w:rsidR="00E46EEA" w:rsidRPr="00B77D66">
        <w:rPr>
          <w:rFonts w:ascii="Palatino Linotype" w:hAnsi="Palatino Linotype"/>
        </w:rPr>
        <w:t>adelante</w:t>
      </w:r>
      <w:r w:rsidRPr="00B77D66">
        <w:rPr>
          <w:rFonts w:ascii="Palatino Linotype" w:hAnsi="Palatino Linotype"/>
        </w:rPr>
        <w:t xml:space="preserve"> el</w:t>
      </w:r>
      <w:r w:rsidRPr="00B77D66">
        <w:rPr>
          <w:rFonts w:ascii="Palatino Linotype" w:hAnsi="Palatino Linotype"/>
          <w:b/>
        </w:rPr>
        <w:t xml:space="preserve"> SUJETO OBLIGADO</w:t>
      </w:r>
      <w:r w:rsidRPr="00B77D66">
        <w:rPr>
          <w:rFonts w:ascii="Palatino Linotype" w:hAnsi="Palatino Linotype"/>
        </w:rPr>
        <w:t>, por lo que se procede a dictar la presente resolución, con base en los siguientes:</w:t>
      </w:r>
    </w:p>
    <w:p w:rsidR="003C46C6" w:rsidRPr="00B77D66" w:rsidRDefault="003C46C6" w:rsidP="003C46C6">
      <w:pPr>
        <w:spacing w:line="360" w:lineRule="auto"/>
        <w:jc w:val="both"/>
        <w:rPr>
          <w:rFonts w:ascii="Palatino Linotype" w:hAnsi="Palatino Linotype"/>
        </w:rPr>
      </w:pPr>
    </w:p>
    <w:p w:rsidR="003C46C6" w:rsidRPr="00B77D66" w:rsidRDefault="003C46C6" w:rsidP="003C46C6">
      <w:pPr>
        <w:keepNext/>
        <w:keepLines/>
        <w:spacing w:line="360" w:lineRule="auto"/>
        <w:jc w:val="center"/>
        <w:outlineLvl w:val="0"/>
        <w:rPr>
          <w:rFonts w:ascii="Palatino Linotype" w:eastAsiaTheme="majorEastAsia" w:hAnsi="Palatino Linotype" w:cstheme="majorBidi"/>
          <w:b/>
          <w:szCs w:val="32"/>
        </w:rPr>
      </w:pPr>
      <w:bookmarkStart w:id="0" w:name="_Toc83301633"/>
      <w:r w:rsidRPr="00B77D66">
        <w:rPr>
          <w:rFonts w:ascii="Palatino Linotype" w:eastAsiaTheme="majorEastAsia" w:hAnsi="Palatino Linotype" w:cstheme="majorBidi"/>
          <w:b/>
          <w:szCs w:val="32"/>
        </w:rPr>
        <w:t>ANTECEDENTES</w:t>
      </w:r>
      <w:bookmarkEnd w:id="0"/>
    </w:p>
    <w:p w:rsidR="003C46C6" w:rsidRPr="00B77D66" w:rsidRDefault="003C46C6" w:rsidP="003C46C6">
      <w:pPr>
        <w:spacing w:line="360" w:lineRule="auto"/>
        <w:rPr>
          <w:rFonts w:ascii="Palatino Linotype" w:eastAsiaTheme="minorEastAsia" w:hAnsi="Palatino Linotype"/>
        </w:rPr>
      </w:pPr>
    </w:p>
    <w:p w:rsidR="003C46C6" w:rsidRPr="00B77D66" w:rsidRDefault="003C46C6" w:rsidP="003C46C6">
      <w:pPr>
        <w:numPr>
          <w:ilvl w:val="0"/>
          <w:numId w:val="1"/>
        </w:numPr>
        <w:spacing w:line="360" w:lineRule="auto"/>
        <w:ind w:left="0" w:firstLine="0"/>
        <w:contextualSpacing/>
        <w:jc w:val="both"/>
        <w:rPr>
          <w:rFonts w:ascii="Palatino Linotype" w:hAnsi="Palatino Linotype" w:cs="Arial"/>
          <w:lang w:val="es-ES" w:eastAsia="es-ES"/>
        </w:rPr>
      </w:pPr>
      <w:r w:rsidRPr="00B77D66">
        <w:rPr>
          <w:rFonts w:ascii="Palatino Linotype" w:eastAsia="Calibri" w:hAnsi="Palatino Linotype" w:cs="Arial"/>
          <w:lang w:val="es-ES" w:eastAsia="es-ES"/>
        </w:rPr>
        <w:t xml:space="preserve">El </w:t>
      </w:r>
      <w:r w:rsidR="00733A1B" w:rsidRPr="00B77D66">
        <w:rPr>
          <w:rFonts w:ascii="Palatino Linotype" w:eastAsia="Calibri" w:hAnsi="Palatino Linotype" w:cs="Arial"/>
          <w:lang w:val="es-ES" w:eastAsia="es-ES"/>
        </w:rPr>
        <w:t>veintiuno (21) de enero de dos mil veintidós</w:t>
      </w:r>
      <w:r w:rsidRPr="00B77D66">
        <w:rPr>
          <w:rFonts w:ascii="Palatino Linotype" w:eastAsia="Calibri" w:hAnsi="Palatino Linotype" w:cs="Arial"/>
          <w:lang w:val="es-ES" w:eastAsia="es-ES"/>
        </w:rPr>
        <w:t>,</w:t>
      </w:r>
      <w:r w:rsidRPr="00B77D66">
        <w:rPr>
          <w:rFonts w:ascii="Palatino Linotype" w:eastAsia="Calibri" w:hAnsi="Palatino Linotype"/>
          <w:lang w:val="es-ES" w:eastAsia="es-ES"/>
        </w:rPr>
        <w:t xml:space="preserve"> </w:t>
      </w:r>
      <w:r w:rsidRPr="00B77D66">
        <w:rPr>
          <w:rFonts w:ascii="Palatino Linotype" w:eastAsia="Calibri" w:hAnsi="Palatino Linotype"/>
          <w:b/>
          <w:lang w:val="es-ES" w:eastAsia="es-ES"/>
        </w:rPr>
        <w:t>EL RECURRENTE</w:t>
      </w:r>
      <w:r w:rsidRPr="00B77D66">
        <w:rPr>
          <w:rFonts w:ascii="Palatino Linotype" w:eastAsiaTheme="minorEastAsia" w:hAnsi="Palatino Linotype"/>
          <w:b/>
          <w:lang w:val="es-ES_tradnl" w:eastAsia="es-ES"/>
        </w:rPr>
        <w:t>,</w:t>
      </w:r>
      <w:r w:rsidRPr="00B77D66">
        <w:rPr>
          <w:rFonts w:ascii="Palatino Linotype" w:eastAsia="Calibri" w:hAnsi="Palatino Linotype" w:cs="Arial"/>
          <w:lang w:val="es-ES" w:eastAsia="es-ES"/>
        </w:rPr>
        <w:t xml:space="preserve"> ante el </w:t>
      </w:r>
      <w:r w:rsidRPr="00B77D66">
        <w:rPr>
          <w:rFonts w:ascii="Palatino Linotype" w:eastAsia="Calibri" w:hAnsi="Palatino Linotype" w:cs="Arial"/>
          <w:b/>
          <w:lang w:val="es-ES" w:eastAsia="es-ES"/>
        </w:rPr>
        <w:t>SUJETO OBLIGADO</w:t>
      </w:r>
      <w:r w:rsidRPr="00B77D66">
        <w:rPr>
          <w:rFonts w:ascii="Palatino Linotype" w:eastAsia="Calibri" w:hAnsi="Palatino Linotype" w:cs="Arial"/>
          <w:lang w:val="es-ES_tradnl" w:eastAsia="es-ES"/>
        </w:rPr>
        <w:t xml:space="preserve"> vía </w:t>
      </w:r>
      <w:r w:rsidRPr="00B77D66">
        <w:rPr>
          <w:rFonts w:ascii="Palatino Linotype" w:eastAsia="Calibri" w:hAnsi="Palatino Linotype" w:cs="Arial"/>
          <w:lang w:val="es-ES" w:eastAsia="es-ES"/>
        </w:rPr>
        <w:t>Sistema de Acceso a la Información Mexiquense (</w:t>
      </w:r>
      <w:r w:rsidRPr="00B77D66">
        <w:rPr>
          <w:rFonts w:ascii="Palatino Linotype" w:eastAsia="Calibri" w:hAnsi="Palatino Linotype" w:cs="Arial"/>
          <w:b/>
          <w:lang w:val="es-ES" w:eastAsia="es-ES"/>
        </w:rPr>
        <w:t>SAIMEX)</w:t>
      </w:r>
      <w:r w:rsidRPr="00B77D66">
        <w:rPr>
          <w:rFonts w:ascii="Palatino Linotype" w:eastAsia="Calibri" w:hAnsi="Palatino Linotype" w:cs="Arial"/>
          <w:lang w:val="es-ES" w:eastAsia="es-ES"/>
        </w:rPr>
        <w:t xml:space="preserve">, presentó una solicitud de información registrada con el número </w:t>
      </w:r>
      <w:r w:rsidR="00733A1B" w:rsidRPr="00B77D66">
        <w:rPr>
          <w:rFonts w:ascii="Palatino Linotype" w:hAnsi="Palatino Linotype"/>
          <w:b/>
          <w:bCs/>
        </w:rPr>
        <w:t>00064/CUAUTIZC/IP/2022</w:t>
      </w:r>
      <w:r w:rsidRPr="00B77D66">
        <w:rPr>
          <w:rFonts w:ascii="Palatino Linotype" w:eastAsiaTheme="minorEastAsia" w:hAnsi="Palatino Linotype"/>
          <w:b/>
          <w:lang w:val="es-ES_tradnl" w:eastAsia="es-ES"/>
        </w:rPr>
        <w:t xml:space="preserve">, </w:t>
      </w:r>
      <w:r w:rsidR="00E46EEA" w:rsidRPr="00B77D66">
        <w:rPr>
          <w:rFonts w:ascii="Palatino Linotype" w:eastAsia="Calibri" w:hAnsi="Palatino Linotype" w:cs="Arial"/>
          <w:lang w:val="es-ES" w:eastAsia="es-ES"/>
        </w:rPr>
        <w:t>en la que</w:t>
      </w:r>
      <w:r w:rsidRPr="00B77D66">
        <w:rPr>
          <w:rFonts w:ascii="Palatino Linotype" w:eastAsia="Calibri" w:hAnsi="Palatino Linotype" w:cs="Arial"/>
          <w:lang w:val="es-ES" w:eastAsia="es-ES"/>
        </w:rPr>
        <w:t xml:space="preserve"> solicitó lo siguiente:</w:t>
      </w:r>
    </w:p>
    <w:p w:rsidR="003C46C6" w:rsidRPr="00B77D66" w:rsidRDefault="003C46C6" w:rsidP="003C46C6">
      <w:pPr>
        <w:spacing w:line="360" w:lineRule="auto"/>
        <w:contextualSpacing/>
        <w:jc w:val="both"/>
        <w:rPr>
          <w:rFonts w:ascii="Palatino Linotype" w:hAnsi="Palatino Linotype" w:cs="Arial"/>
          <w:lang w:val="es-ES" w:eastAsia="es-ES"/>
        </w:rPr>
      </w:pPr>
    </w:p>
    <w:p w:rsidR="007D62FA" w:rsidRPr="00B77D66" w:rsidRDefault="003C46C6" w:rsidP="00733A1B">
      <w:pPr>
        <w:pStyle w:val="Prrafodelista"/>
        <w:spacing w:line="360" w:lineRule="auto"/>
        <w:ind w:left="1069" w:right="567"/>
        <w:jc w:val="both"/>
        <w:rPr>
          <w:rFonts w:ascii="Palatino Linotype" w:hAnsi="Palatino Linotype"/>
          <w:i/>
          <w:color w:val="000000"/>
        </w:rPr>
      </w:pPr>
      <w:r w:rsidRPr="00B77D66">
        <w:rPr>
          <w:rFonts w:ascii="Palatino Linotype" w:hAnsi="Palatino Linotype"/>
          <w:i/>
          <w:color w:val="000000"/>
        </w:rPr>
        <w:t xml:space="preserve"> “</w:t>
      </w:r>
      <w:r w:rsidR="00733A1B" w:rsidRPr="00B77D66">
        <w:rPr>
          <w:rFonts w:ascii="Palatino Linotype" w:hAnsi="Palatino Linotype"/>
          <w:i/>
          <w:color w:val="000000"/>
        </w:rPr>
        <w:t>Hola, solicito la siguiente información: 1) El libro especial actualizado de bienes muebles e inmuebles del municipio de Cuautitlán Izcalli mencionado en los artículos 31 y 53 de la ley orgánica municipal del Estado de México. 2) Asimismo solicito el inventario general actualizado de los bienes muebles e inmuebles propiedad del municipio mencionando en los artículos 53, 91 y 112 de la misma. 3) Finalmente solicito la dirección de internet en dónde se encuentra el sistema de información inmobiliaria mencionado en el artículo 91 de la misma. 4) Dicha ley orgánica se encuentra en la página https://legislacion.edomex.gob.mx/node/2116. Muchas gracias.</w:t>
      </w:r>
      <w:r w:rsidRPr="00B77D66">
        <w:rPr>
          <w:rFonts w:ascii="Palatino Linotype" w:hAnsi="Palatino Linotype"/>
          <w:i/>
          <w:color w:val="000000"/>
        </w:rPr>
        <w:t>” (Sic)</w:t>
      </w:r>
    </w:p>
    <w:p w:rsidR="007D62FA" w:rsidRPr="00B77D66" w:rsidRDefault="007D62FA" w:rsidP="007D62FA">
      <w:pPr>
        <w:spacing w:line="360" w:lineRule="auto"/>
        <w:ind w:right="567"/>
        <w:jc w:val="both"/>
        <w:rPr>
          <w:rFonts w:ascii="Palatino Linotype" w:hAnsi="Palatino Linotype"/>
          <w:i/>
          <w:color w:val="000000"/>
        </w:rPr>
      </w:pPr>
    </w:p>
    <w:p w:rsidR="007D62FA" w:rsidRPr="00B77D66" w:rsidRDefault="007D62FA" w:rsidP="007D62FA">
      <w:pPr>
        <w:numPr>
          <w:ilvl w:val="0"/>
          <w:numId w:val="10"/>
        </w:numPr>
        <w:spacing w:before="100" w:beforeAutospacing="1" w:after="100" w:afterAutospacing="1" w:line="360" w:lineRule="auto"/>
        <w:jc w:val="both"/>
        <w:rPr>
          <w:rFonts w:ascii="Palatino Linotype" w:hAnsi="Palatino Linotype" w:cs="Arial"/>
          <w:sz w:val="22"/>
          <w:szCs w:val="22"/>
          <w:lang w:val="es-ES" w:eastAsia="es-ES"/>
        </w:rPr>
      </w:pPr>
      <w:r w:rsidRPr="00B77D66">
        <w:rPr>
          <w:rFonts w:ascii="Palatino Linotype" w:hAnsi="Palatino Linotype"/>
          <w:sz w:val="22"/>
          <w:szCs w:val="22"/>
        </w:rPr>
        <w:t xml:space="preserve">A la solicitud se adjuntó la Ley Orgánica Municipal a través del archivo </w:t>
      </w:r>
      <w:hyperlink r:id="rId7" w:tgtFrame="_blank" w:history="1">
        <w:r w:rsidRPr="00B77D66">
          <w:rPr>
            <w:rStyle w:val="Hipervnculo"/>
            <w:rFonts w:ascii="Palatino Linotype" w:eastAsiaTheme="majorEastAsia" w:hAnsi="Palatino Linotype" w:cs="Arial"/>
            <w:b/>
            <w:bCs/>
            <w:color w:val="auto"/>
            <w:sz w:val="22"/>
            <w:szCs w:val="22"/>
          </w:rPr>
          <w:t>ley_orgánica_municipal.pdf</w:t>
        </w:r>
      </w:hyperlink>
      <w:r w:rsidRPr="00B77D66">
        <w:rPr>
          <w:rFonts w:ascii="Palatino Linotype" w:hAnsi="Palatino Linotype" w:cs="Arial"/>
          <w:sz w:val="22"/>
          <w:szCs w:val="22"/>
        </w:rPr>
        <w:t>.</w:t>
      </w:r>
    </w:p>
    <w:p w:rsidR="003C46C6" w:rsidRPr="00B77D66" w:rsidRDefault="003C46C6" w:rsidP="007D62FA">
      <w:pPr>
        <w:spacing w:line="360" w:lineRule="auto"/>
        <w:ind w:right="567"/>
        <w:jc w:val="both"/>
        <w:rPr>
          <w:rFonts w:ascii="Palatino Linotype" w:hAnsi="Palatino Linotype"/>
          <w:i/>
          <w:color w:val="000000"/>
        </w:rPr>
      </w:pPr>
      <w:r w:rsidRPr="00B77D66">
        <w:rPr>
          <w:rFonts w:ascii="Palatino Linotype" w:hAnsi="Palatino Linotype"/>
          <w:i/>
          <w:color w:val="000000"/>
        </w:rPr>
        <w:t xml:space="preserve"> </w:t>
      </w:r>
    </w:p>
    <w:p w:rsidR="003C46C6" w:rsidRPr="00B77D66" w:rsidRDefault="003C46C6" w:rsidP="003C46C6">
      <w:pPr>
        <w:numPr>
          <w:ilvl w:val="0"/>
          <w:numId w:val="1"/>
        </w:numPr>
        <w:spacing w:line="360" w:lineRule="auto"/>
        <w:ind w:left="0" w:firstLine="0"/>
        <w:contextualSpacing/>
        <w:jc w:val="both"/>
        <w:rPr>
          <w:rFonts w:ascii="Palatino Linotype" w:eastAsia="Calibri" w:hAnsi="Palatino Linotype"/>
          <w:lang w:val="es-ES" w:eastAsia="es-ES"/>
        </w:rPr>
      </w:pPr>
      <w:r w:rsidRPr="00B77D66">
        <w:rPr>
          <w:rFonts w:ascii="Palatino Linotype" w:eastAsia="Calibri" w:hAnsi="Palatino Linotype"/>
          <w:lang w:val="es-ES" w:eastAsia="es-ES"/>
        </w:rPr>
        <w:t>Se eligió como modalidad de entrega a través de la plataforma digital Sistema de Acceso a la Información Mexiquense (SAIMEX).</w:t>
      </w:r>
    </w:p>
    <w:p w:rsidR="00733A1B" w:rsidRPr="00B77D66" w:rsidRDefault="00733A1B" w:rsidP="00733A1B">
      <w:pPr>
        <w:spacing w:line="360" w:lineRule="auto"/>
        <w:contextualSpacing/>
        <w:jc w:val="both"/>
        <w:rPr>
          <w:rFonts w:ascii="Palatino Linotype" w:eastAsia="Calibri" w:hAnsi="Palatino Linotype"/>
          <w:lang w:val="es-ES" w:eastAsia="es-ES"/>
        </w:rPr>
      </w:pPr>
    </w:p>
    <w:p w:rsidR="00733A1B" w:rsidRPr="00B77D66" w:rsidRDefault="00733A1B" w:rsidP="003C46C6">
      <w:pPr>
        <w:numPr>
          <w:ilvl w:val="0"/>
          <w:numId w:val="1"/>
        </w:numPr>
        <w:spacing w:line="360" w:lineRule="auto"/>
        <w:ind w:left="0" w:firstLine="0"/>
        <w:contextualSpacing/>
        <w:jc w:val="both"/>
        <w:rPr>
          <w:rFonts w:ascii="Palatino Linotype" w:eastAsia="Calibri" w:hAnsi="Palatino Linotype"/>
          <w:lang w:val="es-ES" w:eastAsia="es-ES"/>
        </w:rPr>
      </w:pPr>
      <w:r w:rsidRPr="00B77D66">
        <w:rPr>
          <w:rFonts w:ascii="Palatino Linotype" w:eastAsia="Calibri" w:hAnsi="Palatino Linotype"/>
          <w:lang w:val="es-ES" w:eastAsia="es-ES"/>
        </w:rPr>
        <w:t xml:space="preserve">El veintiuno (21) de enero de dos mil veintidós, se realizó un requerimiento al servidor público habilitado. </w:t>
      </w:r>
    </w:p>
    <w:p w:rsidR="00733A1B" w:rsidRPr="00B77D66" w:rsidRDefault="00733A1B" w:rsidP="00733A1B">
      <w:pPr>
        <w:spacing w:line="360" w:lineRule="auto"/>
        <w:contextualSpacing/>
        <w:jc w:val="both"/>
        <w:rPr>
          <w:rFonts w:ascii="Palatino Linotype" w:eastAsia="Calibri" w:hAnsi="Palatino Linotype"/>
          <w:lang w:val="es-ES" w:eastAsia="es-ES"/>
        </w:rPr>
      </w:pPr>
    </w:p>
    <w:p w:rsidR="00733A1B" w:rsidRPr="00B77D66" w:rsidRDefault="00733A1B" w:rsidP="003C46C6">
      <w:pPr>
        <w:numPr>
          <w:ilvl w:val="0"/>
          <w:numId w:val="1"/>
        </w:numPr>
        <w:spacing w:line="360" w:lineRule="auto"/>
        <w:ind w:left="0" w:firstLine="0"/>
        <w:contextualSpacing/>
        <w:jc w:val="both"/>
        <w:rPr>
          <w:rFonts w:ascii="Palatino Linotype" w:eastAsia="Calibri" w:hAnsi="Palatino Linotype"/>
          <w:lang w:val="es-ES" w:eastAsia="es-ES"/>
        </w:rPr>
      </w:pPr>
      <w:r w:rsidRPr="00B77D66">
        <w:rPr>
          <w:rFonts w:ascii="Palatino Linotype" w:eastAsia="Calibri" w:hAnsi="Palatino Linotype"/>
          <w:lang w:val="es-ES" w:eastAsia="es-ES"/>
        </w:rPr>
        <w:t>El diez (10) de febrero de dos mil veintidós, se notificó una prórroga para dar respuesta en el siguiente sentido:</w:t>
      </w:r>
    </w:p>
    <w:p w:rsidR="00733A1B" w:rsidRPr="00B77D66" w:rsidRDefault="00733A1B" w:rsidP="00733A1B">
      <w:pPr>
        <w:spacing w:line="360" w:lineRule="auto"/>
        <w:contextualSpacing/>
        <w:jc w:val="both"/>
        <w:rPr>
          <w:rFonts w:ascii="Palatino Linotype" w:eastAsia="Calibri" w:hAnsi="Palatino Linotype"/>
          <w:lang w:val="es-ES" w:eastAsia="es-ES"/>
        </w:rPr>
      </w:pPr>
    </w:p>
    <w:tbl>
      <w:tblPr>
        <w:tblW w:w="7135" w:type="dxa"/>
        <w:jc w:val="center"/>
        <w:tblCellSpacing w:w="0" w:type="dxa"/>
        <w:tblCellMar>
          <w:left w:w="0" w:type="dxa"/>
          <w:right w:w="0" w:type="dxa"/>
        </w:tblCellMar>
        <w:tblLook w:val="04A0" w:firstRow="1" w:lastRow="0" w:firstColumn="1" w:lastColumn="0" w:noHBand="0" w:noVBand="1"/>
      </w:tblPr>
      <w:tblGrid>
        <w:gridCol w:w="7135"/>
      </w:tblGrid>
      <w:tr w:rsidR="00733A1B" w:rsidRPr="00B77D66" w:rsidTr="00733A1B">
        <w:trPr>
          <w:trHeight w:val="320"/>
          <w:tblCellSpacing w:w="0" w:type="dxa"/>
          <w:jc w:val="center"/>
        </w:trPr>
        <w:tc>
          <w:tcPr>
            <w:tcW w:w="0" w:type="auto"/>
            <w:vAlign w:val="center"/>
            <w:hideMark/>
          </w:tcPr>
          <w:p w:rsidR="00733A1B" w:rsidRPr="00B77D66" w:rsidRDefault="00733A1B" w:rsidP="00733A1B">
            <w:pPr>
              <w:jc w:val="right"/>
              <w:rPr>
                <w:rFonts w:ascii="Palatino Linotype" w:hAnsi="Palatino Linotype"/>
                <w:i/>
                <w:sz w:val="22"/>
                <w:lang w:val="es-ES" w:eastAsia="es-ES"/>
              </w:rPr>
            </w:pPr>
            <w:r w:rsidRPr="00B77D66">
              <w:rPr>
                <w:rFonts w:ascii="Palatino Linotype" w:hAnsi="Palatino Linotype"/>
                <w:i/>
                <w:sz w:val="22"/>
                <w:szCs w:val="15"/>
                <w:lang w:val="es-ES" w:eastAsia="es-ES"/>
              </w:rPr>
              <w:t>Cuautitlán Izcalli, México a 10 de Febrero de 2022</w:t>
            </w:r>
          </w:p>
        </w:tc>
      </w:tr>
      <w:tr w:rsidR="00733A1B" w:rsidRPr="00B77D66" w:rsidTr="00733A1B">
        <w:trPr>
          <w:trHeight w:val="320"/>
          <w:tblCellSpacing w:w="0" w:type="dxa"/>
          <w:jc w:val="center"/>
        </w:trPr>
        <w:tc>
          <w:tcPr>
            <w:tcW w:w="0" w:type="auto"/>
            <w:vAlign w:val="center"/>
            <w:hideMark/>
          </w:tcPr>
          <w:p w:rsidR="00733A1B" w:rsidRPr="00B77D66" w:rsidRDefault="00733A1B" w:rsidP="00733A1B">
            <w:pPr>
              <w:jc w:val="right"/>
              <w:rPr>
                <w:rFonts w:ascii="Palatino Linotype" w:hAnsi="Palatino Linotype"/>
                <w:i/>
                <w:sz w:val="22"/>
                <w:lang w:val="es-ES" w:eastAsia="es-ES"/>
              </w:rPr>
            </w:pPr>
            <w:r w:rsidRPr="00B77D66">
              <w:rPr>
                <w:rFonts w:ascii="Palatino Linotype" w:hAnsi="Palatino Linotype"/>
                <w:i/>
                <w:sz w:val="22"/>
                <w:szCs w:val="15"/>
                <w:lang w:val="es-ES" w:eastAsia="es-ES"/>
              </w:rPr>
              <w:t>Nombre del solicitante: C. Solicitante</w:t>
            </w:r>
          </w:p>
        </w:tc>
      </w:tr>
      <w:tr w:rsidR="00733A1B" w:rsidRPr="00B77D66" w:rsidTr="00733A1B">
        <w:trPr>
          <w:trHeight w:val="320"/>
          <w:tblCellSpacing w:w="0" w:type="dxa"/>
          <w:jc w:val="center"/>
        </w:trPr>
        <w:tc>
          <w:tcPr>
            <w:tcW w:w="0" w:type="auto"/>
            <w:vAlign w:val="center"/>
            <w:hideMark/>
          </w:tcPr>
          <w:p w:rsidR="00733A1B" w:rsidRPr="00B77D66" w:rsidRDefault="00733A1B" w:rsidP="00733A1B">
            <w:pPr>
              <w:jc w:val="right"/>
              <w:rPr>
                <w:rFonts w:ascii="Palatino Linotype" w:hAnsi="Palatino Linotype"/>
                <w:i/>
                <w:sz w:val="22"/>
                <w:lang w:val="es-ES" w:eastAsia="es-ES"/>
              </w:rPr>
            </w:pPr>
            <w:r w:rsidRPr="00B77D66">
              <w:rPr>
                <w:rFonts w:ascii="Palatino Linotype" w:hAnsi="Palatino Linotype"/>
                <w:i/>
                <w:sz w:val="22"/>
                <w:szCs w:val="15"/>
                <w:lang w:val="es-ES" w:eastAsia="es-ES"/>
              </w:rPr>
              <w:t>Folio de la solicitud: 00064/CUAUTIZC/IP/2022</w:t>
            </w:r>
          </w:p>
        </w:tc>
      </w:tr>
      <w:tr w:rsidR="00733A1B" w:rsidRPr="00B77D66" w:rsidTr="00733A1B">
        <w:trPr>
          <w:trHeight w:val="481"/>
          <w:tblCellSpacing w:w="0" w:type="dxa"/>
          <w:jc w:val="center"/>
        </w:trPr>
        <w:tc>
          <w:tcPr>
            <w:tcW w:w="0" w:type="auto"/>
            <w:vAlign w:val="center"/>
            <w:hideMark/>
          </w:tcPr>
          <w:p w:rsidR="00733A1B" w:rsidRPr="00B77D66" w:rsidRDefault="00733A1B" w:rsidP="00733A1B">
            <w:pPr>
              <w:jc w:val="right"/>
              <w:rPr>
                <w:rFonts w:ascii="Palatino Linotype" w:hAnsi="Palatino Linotype"/>
                <w:i/>
                <w:sz w:val="22"/>
                <w:lang w:val="es-ES" w:eastAsia="es-ES"/>
              </w:rPr>
            </w:pPr>
          </w:p>
        </w:tc>
      </w:tr>
      <w:tr w:rsidR="00733A1B" w:rsidRPr="00B77D66" w:rsidTr="00733A1B">
        <w:trPr>
          <w:trHeight w:val="160"/>
          <w:tblCellSpacing w:w="0" w:type="dxa"/>
          <w:jc w:val="center"/>
        </w:trPr>
        <w:tc>
          <w:tcPr>
            <w:tcW w:w="0" w:type="auto"/>
            <w:vAlign w:val="center"/>
            <w:hideMark/>
          </w:tcPr>
          <w:p w:rsidR="00733A1B" w:rsidRPr="00B77D66" w:rsidRDefault="00733A1B" w:rsidP="00733A1B">
            <w:pPr>
              <w:rPr>
                <w:rFonts w:ascii="Palatino Linotype" w:hAnsi="Palatino Linotype"/>
                <w:i/>
                <w:sz w:val="22"/>
                <w:lang w:val="es-ES" w:eastAsia="es-ES"/>
              </w:rPr>
            </w:pPr>
            <w:r w:rsidRPr="00B77D66">
              <w:rPr>
                <w:rFonts w:ascii="Palatino Linotype" w:hAnsi="Palatino Linotype"/>
                <w:i/>
                <w:sz w:val="22"/>
                <w:szCs w:val="15"/>
                <w:lang w:val="es-ES" w:eastAsia="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tc>
      </w:tr>
      <w:tr w:rsidR="00733A1B" w:rsidRPr="00B77D66" w:rsidTr="00733A1B">
        <w:trPr>
          <w:trHeight w:val="401"/>
          <w:tblCellSpacing w:w="0" w:type="dxa"/>
          <w:jc w:val="center"/>
        </w:trPr>
        <w:tc>
          <w:tcPr>
            <w:tcW w:w="0" w:type="auto"/>
            <w:vAlign w:val="center"/>
            <w:hideMark/>
          </w:tcPr>
          <w:p w:rsidR="00733A1B" w:rsidRPr="00B77D66" w:rsidRDefault="00733A1B" w:rsidP="00733A1B">
            <w:pPr>
              <w:rPr>
                <w:rFonts w:ascii="Palatino Linotype" w:hAnsi="Palatino Linotype"/>
                <w:i/>
                <w:sz w:val="22"/>
                <w:lang w:val="es-ES" w:eastAsia="es-ES"/>
              </w:rPr>
            </w:pPr>
          </w:p>
        </w:tc>
      </w:tr>
      <w:tr w:rsidR="00733A1B" w:rsidRPr="00B77D66" w:rsidTr="00733A1B">
        <w:trPr>
          <w:trHeight w:val="160"/>
          <w:tblCellSpacing w:w="0" w:type="dxa"/>
          <w:jc w:val="center"/>
        </w:trPr>
        <w:tc>
          <w:tcPr>
            <w:tcW w:w="0" w:type="auto"/>
            <w:vAlign w:val="center"/>
            <w:hideMark/>
          </w:tcPr>
          <w:p w:rsidR="00733A1B" w:rsidRPr="00B77D66" w:rsidRDefault="00733A1B" w:rsidP="00733A1B">
            <w:pPr>
              <w:rPr>
                <w:rFonts w:ascii="Palatino Linotype" w:hAnsi="Palatino Linotype"/>
                <w:i/>
                <w:sz w:val="22"/>
                <w:lang w:val="es-ES" w:eastAsia="es-ES"/>
              </w:rPr>
            </w:pPr>
            <w:r w:rsidRPr="00B77D66">
              <w:rPr>
                <w:rFonts w:ascii="Palatino Linotype" w:hAnsi="Palatino Linotype"/>
                <w:i/>
                <w:sz w:val="22"/>
                <w:szCs w:val="15"/>
                <w:lang w:val="es-ES" w:eastAsia="es-ES"/>
              </w:rPr>
              <w:t xml:space="preserve">Con fundamento en los artículos 4, 23 fracción IV, 24 último párrafo, 53 fracción VI , 59, 160, 163 segundo párrafo y demás relativos de la Ley de Transparencia y Acceso a la Información Pública del Estado de México y Municipios, me permito hacer de su conocimiento, que una vez que fue turnada al área competente de dar trámite y contestación a su solicitud, se le hace de su conocimiento que el plazo de 15 días hábiles para atender su solicitud de información el Secretaría del Ayuntamiento, ha sido prorrogado por 7 días en </w:t>
            </w:r>
            <w:r w:rsidRPr="00B77D66">
              <w:rPr>
                <w:rFonts w:ascii="Palatino Linotype" w:hAnsi="Palatino Linotype"/>
                <w:i/>
                <w:sz w:val="22"/>
                <w:szCs w:val="15"/>
                <w:lang w:val="es-ES" w:eastAsia="es-ES"/>
              </w:rPr>
              <w:lastRenderedPageBreak/>
              <w:t>virtud de la siguiente razón; “Se solicita ampliación de término a razón de;*que actualmente se realizan trabajos de análisis y en su caso formulación de observaciones a la entrega recepción de esta área, así como el repunte de COVID 19, que ha afectado a personal de la Coordinación de Patrimonio . Lo anteriormente expuesto y con fundamento en el artículo163 párrafo segundo de la Ley de Transparencia y Acceso a la Información Pública del Estado de México y Municipios. ” SIC Por lo anteriormente expuesto y con fundamento en el artículo163 párrafo segundo de la Ley de Transparencia y Acceso a la Información Pública del Estado de México y Municipios, pido se sirva tenerse por notificado en tiempo y forma la ampliación el término de su solicitud de información número 00064 /CUAUTIZC/IP/2022</w:t>
            </w:r>
          </w:p>
        </w:tc>
      </w:tr>
      <w:tr w:rsidR="00733A1B" w:rsidRPr="00B77D66" w:rsidTr="00733A1B">
        <w:trPr>
          <w:trHeight w:val="401"/>
          <w:tblCellSpacing w:w="0" w:type="dxa"/>
          <w:jc w:val="center"/>
        </w:trPr>
        <w:tc>
          <w:tcPr>
            <w:tcW w:w="0" w:type="auto"/>
            <w:vAlign w:val="center"/>
            <w:hideMark/>
          </w:tcPr>
          <w:p w:rsidR="00733A1B" w:rsidRPr="00B77D66" w:rsidRDefault="00733A1B" w:rsidP="00733A1B">
            <w:pPr>
              <w:rPr>
                <w:rFonts w:ascii="Palatino Linotype" w:hAnsi="Palatino Linotype"/>
                <w:i/>
                <w:sz w:val="22"/>
                <w:lang w:val="es-ES" w:eastAsia="es-ES"/>
              </w:rPr>
            </w:pPr>
          </w:p>
        </w:tc>
      </w:tr>
      <w:tr w:rsidR="00733A1B" w:rsidRPr="00B77D66" w:rsidTr="00733A1B">
        <w:trPr>
          <w:trHeight w:val="160"/>
          <w:tblCellSpacing w:w="0" w:type="dxa"/>
          <w:jc w:val="center"/>
        </w:trPr>
        <w:tc>
          <w:tcPr>
            <w:tcW w:w="0" w:type="auto"/>
            <w:vAlign w:val="center"/>
            <w:hideMark/>
          </w:tcPr>
          <w:p w:rsidR="00733A1B" w:rsidRPr="00B77D66" w:rsidRDefault="00733A1B" w:rsidP="00733A1B">
            <w:pPr>
              <w:jc w:val="center"/>
              <w:rPr>
                <w:rFonts w:ascii="Palatino Linotype" w:hAnsi="Palatino Linotype"/>
                <w:i/>
                <w:sz w:val="22"/>
                <w:szCs w:val="20"/>
                <w:lang w:val="es-ES" w:eastAsia="es-ES"/>
              </w:rPr>
            </w:pPr>
          </w:p>
        </w:tc>
      </w:tr>
      <w:tr w:rsidR="00733A1B" w:rsidRPr="00B77D66" w:rsidTr="00733A1B">
        <w:trPr>
          <w:trHeight w:val="160"/>
          <w:tblCellSpacing w:w="0" w:type="dxa"/>
          <w:jc w:val="center"/>
        </w:trPr>
        <w:tc>
          <w:tcPr>
            <w:tcW w:w="0" w:type="auto"/>
            <w:vAlign w:val="center"/>
            <w:hideMark/>
          </w:tcPr>
          <w:p w:rsidR="00733A1B" w:rsidRPr="00B77D66" w:rsidRDefault="00733A1B" w:rsidP="00733A1B">
            <w:pPr>
              <w:rPr>
                <w:rFonts w:ascii="Palatino Linotype" w:hAnsi="Palatino Linotype"/>
                <w:i/>
                <w:sz w:val="22"/>
                <w:lang w:val="es-ES" w:eastAsia="es-ES"/>
              </w:rPr>
            </w:pPr>
            <w:r w:rsidRPr="00B77D66">
              <w:rPr>
                <w:rFonts w:ascii="Palatino Linotype" w:hAnsi="Palatino Linotype"/>
                <w:i/>
                <w:sz w:val="22"/>
                <w:szCs w:val="15"/>
                <w:lang w:val="es-ES" w:eastAsia="es-ES"/>
              </w:rPr>
              <w:t>MTRA. MARÍA ISABEL CISNEROS MÁRQUEZ</w:t>
            </w:r>
          </w:p>
        </w:tc>
      </w:tr>
      <w:tr w:rsidR="00733A1B" w:rsidRPr="00B77D66" w:rsidTr="00733A1B">
        <w:trPr>
          <w:trHeight w:val="160"/>
          <w:tblCellSpacing w:w="0" w:type="dxa"/>
          <w:jc w:val="center"/>
        </w:trPr>
        <w:tc>
          <w:tcPr>
            <w:tcW w:w="0" w:type="auto"/>
            <w:vAlign w:val="center"/>
            <w:hideMark/>
          </w:tcPr>
          <w:p w:rsidR="00733A1B" w:rsidRPr="00B77D66" w:rsidRDefault="00733A1B" w:rsidP="00733A1B">
            <w:pPr>
              <w:rPr>
                <w:rFonts w:ascii="Palatino Linotype" w:hAnsi="Palatino Linotype"/>
                <w:i/>
                <w:sz w:val="22"/>
                <w:lang w:val="es-ES" w:eastAsia="es-ES"/>
              </w:rPr>
            </w:pPr>
            <w:r w:rsidRPr="00B77D66">
              <w:rPr>
                <w:rFonts w:ascii="Palatino Linotype" w:hAnsi="Palatino Linotype"/>
                <w:b/>
                <w:bCs/>
                <w:i/>
                <w:sz w:val="22"/>
                <w:szCs w:val="15"/>
                <w:lang w:val="es-ES" w:eastAsia="es-ES"/>
              </w:rPr>
              <w:t>Responsable de la Unidad de Transparencia</w:t>
            </w:r>
          </w:p>
        </w:tc>
      </w:tr>
    </w:tbl>
    <w:p w:rsidR="00733A1B" w:rsidRPr="00B77D66" w:rsidRDefault="00733A1B" w:rsidP="00733A1B">
      <w:pPr>
        <w:spacing w:line="360" w:lineRule="auto"/>
        <w:contextualSpacing/>
        <w:jc w:val="both"/>
        <w:rPr>
          <w:rFonts w:ascii="Palatino Linotype" w:eastAsia="Calibri" w:hAnsi="Palatino Linotype"/>
          <w:lang w:val="es-ES" w:eastAsia="es-ES"/>
        </w:rPr>
      </w:pPr>
    </w:p>
    <w:p w:rsidR="00B41F53" w:rsidRPr="00B77D66" w:rsidRDefault="00733A1B" w:rsidP="00733A1B">
      <w:pPr>
        <w:spacing w:line="360" w:lineRule="auto"/>
        <w:contextualSpacing/>
        <w:jc w:val="both"/>
        <w:rPr>
          <w:rFonts w:ascii="Palatino Linotype" w:eastAsia="Calibri" w:hAnsi="Palatino Linotype"/>
          <w:lang w:val="es-ES" w:eastAsia="es-ES"/>
        </w:rPr>
      </w:pPr>
      <w:r w:rsidRPr="00B77D66">
        <w:rPr>
          <w:rFonts w:ascii="Palatino Linotype" w:eastAsia="Calibri" w:hAnsi="Palatino Linotype"/>
          <w:lang w:val="es-ES" w:eastAsia="es-ES"/>
        </w:rPr>
        <w:t xml:space="preserve">A la prórroga se adjuntó el archivo </w:t>
      </w:r>
      <w:hyperlink r:id="rId8" w:tgtFrame="_blank" w:history="1">
        <w:r w:rsidRPr="00B77D66">
          <w:rPr>
            <w:rStyle w:val="Hipervnculo"/>
            <w:rFonts w:ascii="Palatino Linotype" w:eastAsia="Calibri" w:hAnsi="Palatino Linotype"/>
            <w:b/>
            <w:bCs/>
            <w:color w:val="auto"/>
            <w:lang w:eastAsia="es-ES"/>
          </w:rPr>
          <w:t>64 ACUERDO PRÓRROGA SA 64 06.pdf</w:t>
        </w:r>
      </w:hyperlink>
      <w:r w:rsidRPr="00B77D66">
        <w:rPr>
          <w:rFonts w:ascii="Palatino Linotype" w:eastAsia="Calibri" w:hAnsi="Palatino Linotype"/>
          <w:lang w:val="es-ES" w:eastAsia="es-ES"/>
        </w:rPr>
        <w:t>,</w:t>
      </w:r>
      <w:r w:rsidR="00B41F53" w:rsidRPr="00B77D66">
        <w:rPr>
          <w:rFonts w:ascii="Palatino Linotype" w:eastAsia="Calibri" w:hAnsi="Palatino Linotype"/>
          <w:lang w:val="es-ES" w:eastAsia="es-ES"/>
        </w:rPr>
        <w:t xml:space="preserve"> con el acuerdo CTM/CUT/SE07/006/AA/2022, emitido por el comité de transparencia en donde se aprueba la prórroga para dar respuesta a la solicitud de información. </w:t>
      </w:r>
    </w:p>
    <w:p w:rsidR="003C46C6" w:rsidRPr="00B77D66" w:rsidRDefault="003C46C6" w:rsidP="003C46C6">
      <w:pPr>
        <w:spacing w:line="360" w:lineRule="auto"/>
        <w:contextualSpacing/>
        <w:jc w:val="both"/>
        <w:rPr>
          <w:rFonts w:ascii="Palatino Linotype" w:eastAsia="Calibri" w:hAnsi="Palatino Linotype"/>
          <w:lang w:val="es-ES" w:eastAsia="es-ES"/>
        </w:rPr>
      </w:pPr>
    </w:p>
    <w:p w:rsidR="003C46C6" w:rsidRPr="00B77D66" w:rsidRDefault="003C46C6" w:rsidP="003C46C6">
      <w:pPr>
        <w:numPr>
          <w:ilvl w:val="0"/>
          <w:numId w:val="1"/>
        </w:numPr>
        <w:spacing w:line="360" w:lineRule="auto"/>
        <w:ind w:left="0" w:firstLine="0"/>
        <w:contextualSpacing/>
        <w:jc w:val="both"/>
        <w:rPr>
          <w:rFonts w:ascii="Palatino Linotype" w:eastAsia="Calibri" w:hAnsi="Palatino Linotype"/>
          <w:lang w:val="es-ES" w:eastAsia="es-ES"/>
        </w:rPr>
      </w:pPr>
      <w:r w:rsidRPr="00B77D66">
        <w:rPr>
          <w:rFonts w:ascii="Palatino Linotype" w:eastAsiaTheme="minorEastAsia" w:hAnsi="Palatino Linotype"/>
          <w:lang w:val="es-ES_tradnl" w:eastAsia="es-ES"/>
        </w:rPr>
        <w:t xml:space="preserve">El </w:t>
      </w:r>
      <w:r w:rsidR="00B41F53" w:rsidRPr="00B77D66">
        <w:rPr>
          <w:rFonts w:ascii="Palatino Linotype" w:eastAsiaTheme="minorEastAsia" w:hAnsi="Palatino Linotype"/>
          <w:lang w:val="es-ES_tradnl" w:eastAsia="es-ES"/>
        </w:rPr>
        <w:t>veintitrés (23) de febrero</w:t>
      </w:r>
      <w:r w:rsidR="00E46EEA" w:rsidRPr="00B77D66">
        <w:rPr>
          <w:rFonts w:ascii="Palatino Linotype" w:eastAsiaTheme="minorEastAsia" w:hAnsi="Palatino Linotype"/>
          <w:lang w:val="es-ES_tradnl" w:eastAsia="es-ES"/>
        </w:rPr>
        <w:t xml:space="preserve"> de dos mil veintitrés</w:t>
      </w:r>
      <w:r w:rsidRPr="00B77D66">
        <w:rPr>
          <w:rFonts w:ascii="Palatino Linotype" w:eastAsiaTheme="minorEastAsia" w:hAnsi="Palatino Linotype"/>
          <w:lang w:val="es-ES_tradnl" w:eastAsia="es-ES"/>
        </w:rPr>
        <w:t xml:space="preserve"> </w:t>
      </w:r>
      <w:r w:rsidRPr="00B77D66">
        <w:rPr>
          <w:rFonts w:ascii="Palatino Linotype" w:eastAsia="Calibri" w:hAnsi="Palatino Linotype"/>
          <w:lang w:val="es-ES" w:eastAsia="es-ES"/>
        </w:rPr>
        <w:t xml:space="preserve">el </w:t>
      </w:r>
      <w:r w:rsidRPr="00B77D66">
        <w:rPr>
          <w:rFonts w:ascii="Palatino Linotype" w:eastAsia="Calibri" w:hAnsi="Palatino Linotype" w:cs="Arial"/>
          <w:b/>
          <w:lang w:val="es-AR" w:eastAsia="es-ES"/>
        </w:rPr>
        <w:t>SUJETO OBLIGADO</w:t>
      </w:r>
      <w:r w:rsidR="00E46EEA" w:rsidRPr="00B77D66">
        <w:rPr>
          <w:rFonts w:ascii="Palatino Linotype" w:eastAsia="Calibri" w:hAnsi="Palatino Linotype" w:cs="Arial"/>
          <w:b/>
          <w:lang w:val="es-AR" w:eastAsia="es-ES"/>
        </w:rPr>
        <w:t>,</w:t>
      </w:r>
      <w:r w:rsidRPr="00B77D66">
        <w:rPr>
          <w:rFonts w:ascii="Palatino Linotype" w:eastAsia="Calibri" w:hAnsi="Palatino Linotype" w:cs="Arial"/>
          <w:b/>
          <w:i/>
          <w:lang w:val="es-AR" w:eastAsia="es-ES"/>
        </w:rPr>
        <w:t xml:space="preserve"> </w:t>
      </w:r>
      <w:r w:rsidRPr="00B77D66">
        <w:rPr>
          <w:rFonts w:ascii="Palatino Linotype" w:hAnsi="Palatino Linotype" w:cs="Arial"/>
          <w:lang w:val="es-ES" w:eastAsia="es-ES"/>
        </w:rPr>
        <w:t>dio respuesta a la solicitud de información en los siguientes términos:</w:t>
      </w:r>
    </w:p>
    <w:tbl>
      <w:tblPr>
        <w:tblW w:w="9044" w:type="dxa"/>
        <w:jc w:val="center"/>
        <w:tblCellSpacing w:w="0" w:type="dxa"/>
        <w:tblCellMar>
          <w:left w:w="0" w:type="dxa"/>
          <w:right w:w="0" w:type="dxa"/>
        </w:tblCellMar>
        <w:tblLook w:val="04A0" w:firstRow="1" w:lastRow="0" w:firstColumn="1" w:lastColumn="0" w:noHBand="0" w:noVBand="1"/>
      </w:tblPr>
      <w:tblGrid>
        <w:gridCol w:w="9044"/>
      </w:tblGrid>
      <w:tr w:rsidR="00B41F53" w:rsidRPr="00B77D66" w:rsidTr="00B41F53">
        <w:trPr>
          <w:trHeight w:val="823"/>
          <w:tblCellSpacing w:w="0" w:type="dxa"/>
          <w:jc w:val="center"/>
        </w:trPr>
        <w:tc>
          <w:tcPr>
            <w:tcW w:w="0" w:type="auto"/>
            <w:vAlign w:val="center"/>
            <w:hideMark/>
          </w:tcPr>
          <w:p w:rsidR="00B41F53" w:rsidRPr="00B77D66" w:rsidRDefault="00B41F53" w:rsidP="00B41F53">
            <w:pPr>
              <w:spacing w:line="360" w:lineRule="auto"/>
              <w:ind w:left="567" w:right="541"/>
              <w:contextualSpacing/>
              <w:jc w:val="right"/>
              <w:rPr>
                <w:rFonts w:ascii="Palatino Linotype" w:eastAsia="Calibri" w:hAnsi="Palatino Linotype"/>
                <w:i/>
                <w:sz w:val="22"/>
                <w:lang w:val="es-ES" w:eastAsia="es-ES"/>
              </w:rPr>
            </w:pPr>
            <w:r w:rsidRPr="00B77D66">
              <w:rPr>
                <w:rFonts w:ascii="Palatino Linotype" w:eastAsia="Calibri" w:hAnsi="Palatino Linotype"/>
                <w:i/>
                <w:sz w:val="22"/>
                <w:lang w:val="es-ES" w:eastAsia="es-ES"/>
              </w:rPr>
              <w:br/>
              <w:t>Cuautitlán Izcalli, México a 23 de Febrero de 2022</w:t>
            </w:r>
          </w:p>
        </w:tc>
      </w:tr>
      <w:tr w:rsidR="00B41F53" w:rsidRPr="00B77D66" w:rsidTr="00B41F53">
        <w:trPr>
          <w:trHeight w:val="823"/>
          <w:tblCellSpacing w:w="0" w:type="dxa"/>
          <w:jc w:val="center"/>
        </w:trPr>
        <w:tc>
          <w:tcPr>
            <w:tcW w:w="0" w:type="auto"/>
            <w:vAlign w:val="center"/>
            <w:hideMark/>
          </w:tcPr>
          <w:p w:rsidR="00B41F53" w:rsidRPr="00B77D66" w:rsidRDefault="00B41F53" w:rsidP="00B41F53">
            <w:pPr>
              <w:spacing w:line="360" w:lineRule="auto"/>
              <w:ind w:left="567" w:right="541"/>
              <w:contextualSpacing/>
              <w:jc w:val="right"/>
              <w:rPr>
                <w:rFonts w:ascii="Palatino Linotype" w:eastAsia="Calibri" w:hAnsi="Palatino Linotype"/>
                <w:i/>
                <w:sz w:val="22"/>
                <w:lang w:val="es-ES" w:eastAsia="es-ES"/>
              </w:rPr>
            </w:pPr>
            <w:r w:rsidRPr="00B77D66">
              <w:rPr>
                <w:rFonts w:ascii="Palatino Linotype" w:eastAsia="Calibri" w:hAnsi="Palatino Linotype"/>
                <w:i/>
                <w:sz w:val="22"/>
                <w:lang w:val="es-ES" w:eastAsia="es-ES"/>
              </w:rPr>
              <w:t>Nombre del solicitante: C. Solicitante</w:t>
            </w:r>
          </w:p>
        </w:tc>
      </w:tr>
      <w:tr w:rsidR="00B41F53" w:rsidRPr="00B77D66" w:rsidTr="00B41F53">
        <w:trPr>
          <w:trHeight w:val="823"/>
          <w:tblCellSpacing w:w="0" w:type="dxa"/>
          <w:jc w:val="center"/>
        </w:trPr>
        <w:tc>
          <w:tcPr>
            <w:tcW w:w="0" w:type="auto"/>
            <w:vAlign w:val="center"/>
            <w:hideMark/>
          </w:tcPr>
          <w:p w:rsidR="00B41F53" w:rsidRPr="00B77D66" w:rsidRDefault="00B41F53" w:rsidP="00B41F53">
            <w:pPr>
              <w:spacing w:line="360" w:lineRule="auto"/>
              <w:ind w:left="567" w:right="541"/>
              <w:contextualSpacing/>
              <w:jc w:val="right"/>
              <w:rPr>
                <w:rFonts w:ascii="Palatino Linotype" w:eastAsia="Calibri" w:hAnsi="Palatino Linotype"/>
                <w:i/>
                <w:sz w:val="22"/>
                <w:lang w:val="es-ES" w:eastAsia="es-ES"/>
              </w:rPr>
            </w:pPr>
            <w:r w:rsidRPr="00B77D66">
              <w:rPr>
                <w:rFonts w:ascii="Palatino Linotype" w:eastAsia="Calibri" w:hAnsi="Palatino Linotype"/>
                <w:i/>
                <w:sz w:val="22"/>
                <w:lang w:val="es-ES" w:eastAsia="es-ES"/>
              </w:rPr>
              <w:t>Folio de la solicitud: 00064/CUAUTIZC/IP/2022</w:t>
            </w:r>
          </w:p>
        </w:tc>
      </w:tr>
      <w:tr w:rsidR="00B41F53" w:rsidRPr="00B77D66" w:rsidTr="00B41F53">
        <w:trPr>
          <w:trHeight w:val="411"/>
          <w:tblCellSpacing w:w="0" w:type="dxa"/>
          <w:jc w:val="center"/>
        </w:trPr>
        <w:tc>
          <w:tcPr>
            <w:tcW w:w="0" w:type="auto"/>
            <w:vAlign w:val="center"/>
            <w:hideMark/>
          </w:tcPr>
          <w:p w:rsidR="00B41F53" w:rsidRPr="00B77D66" w:rsidRDefault="00B41F53" w:rsidP="00B41F53">
            <w:pPr>
              <w:spacing w:line="360" w:lineRule="auto"/>
              <w:ind w:left="567" w:right="541"/>
              <w:contextualSpacing/>
              <w:jc w:val="both"/>
              <w:rPr>
                <w:rFonts w:ascii="Palatino Linotype" w:eastAsia="Calibri" w:hAnsi="Palatino Linotype"/>
                <w:i/>
                <w:sz w:val="22"/>
                <w:lang w:val="es-ES" w:eastAsia="es-ES"/>
              </w:rPr>
            </w:pPr>
          </w:p>
          <w:p w:rsidR="00B41F53" w:rsidRPr="00B77D66" w:rsidRDefault="00B41F53" w:rsidP="00B41F53">
            <w:pPr>
              <w:spacing w:line="360" w:lineRule="auto"/>
              <w:ind w:left="567" w:right="541"/>
              <w:contextualSpacing/>
              <w:jc w:val="both"/>
              <w:rPr>
                <w:rFonts w:ascii="Palatino Linotype" w:eastAsia="Calibri" w:hAnsi="Palatino Linotype"/>
                <w:i/>
                <w:sz w:val="22"/>
                <w:lang w:val="es-ES" w:eastAsia="es-ES"/>
              </w:rPr>
            </w:pPr>
            <w:r w:rsidRPr="00B77D66">
              <w:rPr>
                <w:rFonts w:ascii="Palatino Linotype" w:eastAsia="Calibri" w:hAnsi="Palatino Linotype"/>
                <w:i/>
                <w:sz w:val="22"/>
                <w:lang w:val="es-ES" w:eastAsia="es-ES"/>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41F53" w:rsidRPr="00B77D66" w:rsidTr="00B41F53">
        <w:trPr>
          <w:trHeight w:val="411"/>
          <w:tblCellSpacing w:w="0" w:type="dxa"/>
          <w:jc w:val="center"/>
        </w:trPr>
        <w:tc>
          <w:tcPr>
            <w:tcW w:w="0" w:type="auto"/>
            <w:vAlign w:val="center"/>
            <w:hideMark/>
          </w:tcPr>
          <w:p w:rsidR="00B41F53" w:rsidRPr="00B77D66" w:rsidRDefault="00B41F53" w:rsidP="00B41F53">
            <w:pPr>
              <w:spacing w:line="360" w:lineRule="auto"/>
              <w:ind w:left="567" w:right="541"/>
              <w:contextualSpacing/>
              <w:jc w:val="both"/>
              <w:rPr>
                <w:rFonts w:ascii="Palatino Linotype" w:eastAsia="Calibri" w:hAnsi="Palatino Linotype"/>
                <w:i/>
                <w:sz w:val="22"/>
                <w:lang w:val="es-ES" w:eastAsia="es-ES"/>
              </w:rPr>
            </w:pPr>
          </w:p>
          <w:p w:rsidR="00B41F53" w:rsidRPr="00B77D66" w:rsidRDefault="00B41F53" w:rsidP="00B41F53">
            <w:pPr>
              <w:spacing w:line="360" w:lineRule="auto"/>
              <w:ind w:left="567" w:right="541"/>
              <w:contextualSpacing/>
              <w:jc w:val="both"/>
              <w:rPr>
                <w:rFonts w:ascii="Palatino Linotype" w:eastAsia="Calibri" w:hAnsi="Palatino Linotype"/>
                <w:i/>
                <w:sz w:val="22"/>
                <w:lang w:val="es-ES" w:eastAsia="es-ES"/>
              </w:rPr>
            </w:pPr>
            <w:r w:rsidRPr="00B77D66">
              <w:rPr>
                <w:rFonts w:ascii="Palatino Linotype" w:eastAsia="Calibri" w:hAnsi="Palatino Linotype"/>
                <w:i/>
                <w:sz w:val="22"/>
                <w:lang w:val="es-ES" w:eastAsia="es-ES"/>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(1)Secretaría del Ayuntamiento. 1.- “En atención a la solicitud ingresada vía SAIMEX y turnada a la Secretaría del Ayuntamiento bajo el folio 00064/CUAUTIZC/IP/2022, la que a la letra señala; “Hola, solicito la siguiente información: 1) El libro especial actualizado de bienes muebles e inmuebles del municipio de Cuautitlán Izcalli mencionado en los artículos 31 y 53 de la ley orgánica municipal del Estado de México. 2) Asimismo solicito el inventario general actualizado de los bienes muebles e inmuebles propiedad del municipio mencionando en los artículos 53, 91 y 112 de la misma. 3) Finalmente solicito la dirección de internet en dónde se encuentra el sistema de información inmobiliaria mencionado en el artículo 91 de la misma. 4) Dicha ley orgánica se encuentra en la página https://legislacion.edomex.gob.mx/node/2116. Muchas gracias.” (sic). Hago de su conocimiento que mediante oficio No. SA-CP/0094/2022, signado por el C. Adrián Argenis Martín Moreno, Titular de la Coordinación de Patrimonio, informa lo siguiente: 1) Respecto al libro especial actualizado de los bienes muebles e inmuebles del municipio de Cuautitlán Izcalli mencionado en el artículo 31 y 53 de la Ley Orgánica Municipal del Estado de México: a) Agrego al presente en disco compacto, la versión pública del libro especial de bienes muebles, aclarando que no se </w:t>
            </w:r>
            <w:r w:rsidRPr="00B77D66">
              <w:rPr>
                <w:rFonts w:ascii="Palatino Linotype" w:eastAsia="Calibri" w:hAnsi="Palatino Linotype"/>
                <w:i/>
                <w:sz w:val="22"/>
                <w:lang w:val="es-ES" w:eastAsia="es-ES"/>
              </w:rPr>
              <w:lastRenderedPageBreak/>
              <w:t>incluye información sobre Armamento, Equipos de Radiocomunicación, Cámaras de Vigilancia, Vehículos Automotores (Patrullas), Chalecos Antibalas, semovientes (Equinos y caninos) que se encuentran bajo resguardo de la Comisaría General de Seguridad Pública y Tránsito Municipal de Cuautitlán Izcalli, Estado de México; toda vez que esa información fue reservada mediante Acuerdo No. 030/CUAUTIZC/CT/SA/2019, por el Comité de Transparencia, mismo que se anexa en formato pdf. b) En lo referente al Libro Especial actualizado de Bienes Inmuebles del Municipio de Cuautitlán Izcalli, la información se reservó mediante acuerdo No. CTM/CUT/SE10/0004/AR/2022, aprobado por el Comité de Transparencia en fecha de 18 de febrero de 2022. (se anexa en formato PDF). 2.- Respecto del inventario general actualizado de los bienes muebles e inmuebles propiedad del municipio mencionado en los artículos 53, 91 y112 de la misma: El inventario de bienes muebles puede ser consultado en Internet en la siguiente liga: https://www.ipomex.org.mx/ipo3/lgt/indice/CUAUTITLANIZCALLI/art_92_xxxviii_a.web El inventario de bienes inmuebles puede ser consultado en Internet en la siguiente liga: https://www.ipomex.org.mx/ipo3/lgt/indice/CUAUTITLANIZCALLI/art_92_xxxviii_d.web 3.- Con referencia a la dirección de internet en dónde se encuentra el sistema de información inmobiliaria mencionando en el artículo 91 de la misma. Con fundamento en lo establecido por el artículo 12 párrafo segundo de la Ley de Transparencia y Acceso a la Información Pública del Estado de México y Municipios hago de su conocimiento que esta información no obra en los archivos de la Coordinación de Patrimonio.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tc>
      </w:tr>
      <w:tr w:rsidR="00B41F53" w:rsidRPr="00B77D66" w:rsidTr="00B41F53">
        <w:trPr>
          <w:trHeight w:val="411"/>
          <w:tblCellSpacing w:w="0" w:type="dxa"/>
          <w:jc w:val="center"/>
        </w:trPr>
        <w:tc>
          <w:tcPr>
            <w:tcW w:w="0" w:type="auto"/>
            <w:vAlign w:val="center"/>
            <w:hideMark/>
          </w:tcPr>
          <w:p w:rsidR="00B41F53" w:rsidRPr="00B77D66" w:rsidRDefault="00B41F53" w:rsidP="00B41F53">
            <w:pPr>
              <w:spacing w:line="360" w:lineRule="auto"/>
              <w:ind w:left="567" w:right="541"/>
              <w:contextualSpacing/>
              <w:jc w:val="both"/>
              <w:rPr>
                <w:rFonts w:ascii="Palatino Linotype" w:eastAsia="Calibri" w:hAnsi="Palatino Linotype"/>
                <w:i/>
                <w:sz w:val="22"/>
                <w:lang w:val="es-ES" w:eastAsia="es-ES"/>
              </w:rPr>
            </w:pPr>
          </w:p>
        </w:tc>
      </w:tr>
      <w:tr w:rsidR="00B41F53" w:rsidRPr="00B77D66" w:rsidTr="00B41F53">
        <w:trPr>
          <w:trHeight w:val="411"/>
          <w:tblCellSpacing w:w="0" w:type="dxa"/>
          <w:jc w:val="center"/>
        </w:trPr>
        <w:tc>
          <w:tcPr>
            <w:tcW w:w="0" w:type="auto"/>
            <w:vAlign w:val="center"/>
            <w:hideMark/>
          </w:tcPr>
          <w:p w:rsidR="00B41F53" w:rsidRPr="00B77D66" w:rsidRDefault="00B41F53" w:rsidP="00B41F53">
            <w:pPr>
              <w:spacing w:line="360" w:lineRule="auto"/>
              <w:ind w:left="567" w:right="541"/>
              <w:contextualSpacing/>
              <w:jc w:val="both"/>
              <w:rPr>
                <w:rFonts w:ascii="Palatino Linotype" w:eastAsia="Calibri" w:hAnsi="Palatino Linotype"/>
                <w:i/>
                <w:sz w:val="22"/>
                <w:lang w:val="es-ES" w:eastAsia="es-ES"/>
              </w:rPr>
            </w:pPr>
          </w:p>
        </w:tc>
      </w:tr>
      <w:tr w:rsidR="00B41F53" w:rsidRPr="00B77D66" w:rsidTr="00B41F53">
        <w:trPr>
          <w:trHeight w:val="411"/>
          <w:tblCellSpacing w:w="0" w:type="dxa"/>
          <w:jc w:val="center"/>
        </w:trPr>
        <w:tc>
          <w:tcPr>
            <w:tcW w:w="0" w:type="auto"/>
            <w:vAlign w:val="center"/>
            <w:hideMark/>
          </w:tcPr>
          <w:p w:rsidR="00B41F53" w:rsidRPr="00B77D66" w:rsidRDefault="00B41F53" w:rsidP="00B41F53">
            <w:pPr>
              <w:spacing w:line="360" w:lineRule="auto"/>
              <w:ind w:left="567" w:right="541"/>
              <w:contextualSpacing/>
              <w:jc w:val="both"/>
              <w:rPr>
                <w:rFonts w:ascii="Palatino Linotype" w:eastAsia="Calibri" w:hAnsi="Palatino Linotype"/>
                <w:i/>
                <w:sz w:val="22"/>
                <w:lang w:val="es-ES" w:eastAsia="es-ES"/>
              </w:rPr>
            </w:pPr>
            <w:r w:rsidRPr="00B77D66">
              <w:rPr>
                <w:rFonts w:ascii="Palatino Linotype" w:eastAsia="Calibri" w:hAnsi="Palatino Linotype"/>
                <w:i/>
                <w:sz w:val="22"/>
                <w:lang w:val="es-ES" w:eastAsia="es-ES"/>
              </w:rPr>
              <w:lastRenderedPageBreak/>
              <w:t>ATENTAMENTE</w:t>
            </w:r>
          </w:p>
        </w:tc>
      </w:tr>
      <w:tr w:rsidR="00B41F53" w:rsidRPr="00B77D66" w:rsidTr="00B41F53">
        <w:trPr>
          <w:trHeight w:val="411"/>
          <w:tblCellSpacing w:w="0" w:type="dxa"/>
          <w:jc w:val="center"/>
        </w:trPr>
        <w:tc>
          <w:tcPr>
            <w:tcW w:w="0" w:type="auto"/>
            <w:vAlign w:val="center"/>
            <w:hideMark/>
          </w:tcPr>
          <w:p w:rsidR="00B41F53" w:rsidRPr="00B77D66" w:rsidRDefault="00B41F53" w:rsidP="00B41F53">
            <w:pPr>
              <w:spacing w:line="360" w:lineRule="auto"/>
              <w:ind w:left="567" w:right="541"/>
              <w:contextualSpacing/>
              <w:jc w:val="both"/>
              <w:rPr>
                <w:rFonts w:ascii="Palatino Linotype" w:eastAsia="Calibri" w:hAnsi="Palatino Linotype"/>
                <w:i/>
                <w:sz w:val="22"/>
                <w:lang w:val="es-ES" w:eastAsia="es-ES"/>
              </w:rPr>
            </w:pPr>
            <w:r w:rsidRPr="00B77D66">
              <w:rPr>
                <w:rFonts w:ascii="Palatino Linotype" w:eastAsia="Calibri" w:hAnsi="Palatino Linotype"/>
                <w:i/>
                <w:sz w:val="22"/>
                <w:lang w:val="es-ES" w:eastAsia="es-ES"/>
              </w:rPr>
              <w:t>MTRA. MARÍA ISABEL CISNEROS MÁRQUEZ</w:t>
            </w:r>
          </w:p>
        </w:tc>
      </w:tr>
    </w:tbl>
    <w:p w:rsidR="00E46EEA" w:rsidRPr="00B77D66" w:rsidRDefault="00E46EEA" w:rsidP="003C46C6">
      <w:pPr>
        <w:spacing w:line="360" w:lineRule="auto"/>
        <w:ind w:right="567"/>
        <w:jc w:val="both"/>
        <w:rPr>
          <w:rFonts w:ascii="Palatino Linotype" w:hAnsi="Palatino Linotype"/>
        </w:rPr>
      </w:pPr>
    </w:p>
    <w:p w:rsidR="003C46C6" w:rsidRPr="00B77D66" w:rsidRDefault="003C46C6" w:rsidP="003C46C6">
      <w:pPr>
        <w:spacing w:line="360" w:lineRule="auto"/>
        <w:ind w:right="567"/>
        <w:jc w:val="both"/>
        <w:rPr>
          <w:rFonts w:ascii="Palatino Linotype" w:hAnsi="Palatino Linotype"/>
        </w:rPr>
      </w:pPr>
      <w:r w:rsidRPr="00B77D66">
        <w:rPr>
          <w:rFonts w:ascii="Palatino Linotype" w:hAnsi="Palatino Linotype"/>
        </w:rPr>
        <w:t>A la respuesta se adjuntaron los archivos que se describen enseguida:</w:t>
      </w:r>
    </w:p>
    <w:p w:rsidR="003C46C6" w:rsidRPr="00B77D66" w:rsidRDefault="00DB567E" w:rsidP="00764032">
      <w:pPr>
        <w:pStyle w:val="Prrafodelista"/>
        <w:numPr>
          <w:ilvl w:val="0"/>
          <w:numId w:val="8"/>
        </w:numPr>
        <w:spacing w:line="360" w:lineRule="auto"/>
        <w:ind w:right="567"/>
        <w:jc w:val="both"/>
        <w:rPr>
          <w:rFonts w:ascii="Palatino Linotype" w:hAnsi="Palatino Linotype"/>
          <w:szCs w:val="22"/>
        </w:rPr>
      </w:pPr>
      <w:hyperlink r:id="rId9" w:tgtFrame="_blank" w:history="1">
        <w:r w:rsidR="00B41F53" w:rsidRPr="00B77D66">
          <w:rPr>
            <w:rStyle w:val="Hipervnculo"/>
            <w:rFonts w:ascii="Palatino Linotype" w:hAnsi="Palatino Linotype"/>
            <w:b/>
            <w:bCs/>
            <w:szCs w:val="22"/>
          </w:rPr>
          <w:t>ACUERDO RESERVA 30-2019.pdf</w:t>
        </w:r>
      </w:hyperlink>
      <w:r w:rsidR="00B41F53" w:rsidRPr="00B77D66">
        <w:rPr>
          <w:rFonts w:ascii="Palatino Linotype" w:hAnsi="Palatino Linotype"/>
          <w:szCs w:val="22"/>
        </w:rPr>
        <w:t>:</w:t>
      </w:r>
      <w:r w:rsidR="00764032" w:rsidRPr="00B77D66">
        <w:rPr>
          <w:rFonts w:ascii="Palatino Linotype" w:hAnsi="Palatino Linotype"/>
          <w:szCs w:val="22"/>
        </w:rPr>
        <w:t xml:space="preserve"> Acuerdo 030/CUAUTIZC/CT/SA/2019 mediante el cual se clasifica como reservado la clasificación de los bienes muebles relacionados con el inventario general correspondiente al armamento, equipos de radiocomunicación, cámaras de vigilancia, vehículos automotores (patrullas), chalecos antibalas, semovientes (equinos y caninos), que se encuentran bajo resguardo de la comisaría general de seguridad pública y tránsito municipal de Cuautitlán Izcalli. </w:t>
      </w:r>
    </w:p>
    <w:p w:rsidR="00764032" w:rsidRPr="00B77D66" w:rsidRDefault="00764032" w:rsidP="00764032">
      <w:pPr>
        <w:pStyle w:val="Prrafodelista"/>
        <w:spacing w:line="360" w:lineRule="auto"/>
        <w:ind w:right="567"/>
        <w:jc w:val="both"/>
        <w:rPr>
          <w:rFonts w:ascii="Palatino Linotype" w:hAnsi="Palatino Linotype"/>
          <w:szCs w:val="22"/>
        </w:rPr>
      </w:pPr>
    </w:p>
    <w:p w:rsidR="00B41F53" w:rsidRPr="00B77D66" w:rsidRDefault="00DB567E" w:rsidP="00764032">
      <w:pPr>
        <w:pStyle w:val="Prrafodelista"/>
        <w:numPr>
          <w:ilvl w:val="0"/>
          <w:numId w:val="8"/>
        </w:numPr>
        <w:spacing w:line="360" w:lineRule="auto"/>
        <w:ind w:right="567"/>
        <w:jc w:val="both"/>
        <w:rPr>
          <w:rFonts w:ascii="Palatino Linotype" w:hAnsi="Palatino Linotype"/>
          <w:szCs w:val="22"/>
        </w:rPr>
      </w:pPr>
      <w:hyperlink r:id="rId10" w:tgtFrame="_blank" w:history="1">
        <w:r w:rsidR="00B41F53" w:rsidRPr="00B77D66">
          <w:rPr>
            <w:rStyle w:val="Hipervnculo"/>
            <w:rFonts w:ascii="Palatino Linotype" w:hAnsi="Palatino Linotype"/>
            <w:b/>
            <w:bCs/>
            <w:szCs w:val="22"/>
          </w:rPr>
          <w:t>ACUERDO RESERVA secretaria libro 04.pdf</w:t>
        </w:r>
      </w:hyperlink>
      <w:r w:rsidR="00B41F53" w:rsidRPr="00B77D66">
        <w:rPr>
          <w:rFonts w:ascii="Palatino Linotype" w:hAnsi="Palatino Linotype"/>
          <w:szCs w:val="22"/>
        </w:rPr>
        <w:t>:</w:t>
      </w:r>
      <w:r w:rsidR="00764032" w:rsidRPr="00B77D66">
        <w:rPr>
          <w:rFonts w:ascii="Palatino Linotype" w:hAnsi="Palatino Linotype"/>
          <w:szCs w:val="22"/>
        </w:rPr>
        <w:t xml:space="preserve"> acuerdo CTM/CUT/SE10/004/AR/2022 que clasifica como reservada de forma parcial la información referente al Libro Especial Actualizado de Bienes Inmuebles del Municipio de Cuautitlán Izcalli. </w:t>
      </w:r>
    </w:p>
    <w:p w:rsidR="00764032" w:rsidRPr="00B77D66" w:rsidRDefault="00764032" w:rsidP="00764032">
      <w:pPr>
        <w:spacing w:line="360" w:lineRule="auto"/>
        <w:ind w:right="567"/>
        <w:jc w:val="both"/>
        <w:rPr>
          <w:rFonts w:ascii="Palatino Linotype" w:hAnsi="Palatino Linotype"/>
          <w:szCs w:val="22"/>
        </w:rPr>
      </w:pPr>
    </w:p>
    <w:p w:rsidR="00B41F53" w:rsidRPr="00B77D66" w:rsidRDefault="00DB567E" w:rsidP="00764032">
      <w:pPr>
        <w:pStyle w:val="Prrafodelista"/>
        <w:numPr>
          <w:ilvl w:val="0"/>
          <w:numId w:val="8"/>
        </w:numPr>
        <w:spacing w:line="360" w:lineRule="auto"/>
        <w:ind w:right="567"/>
        <w:jc w:val="both"/>
        <w:rPr>
          <w:rFonts w:ascii="Palatino Linotype" w:hAnsi="Palatino Linotype"/>
          <w:szCs w:val="22"/>
        </w:rPr>
      </w:pPr>
      <w:hyperlink r:id="rId11" w:tgtFrame="_blank" w:history="1">
        <w:r w:rsidR="00B41F53" w:rsidRPr="00B77D66">
          <w:rPr>
            <w:rStyle w:val="Hipervnculo"/>
            <w:rFonts w:ascii="Palatino Linotype" w:hAnsi="Palatino Linotype"/>
            <w:b/>
            <w:bCs/>
            <w:szCs w:val="22"/>
          </w:rPr>
          <w:t>Sol 64.pdf</w:t>
        </w:r>
      </w:hyperlink>
      <w:r w:rsidR="00B41F53" w:rsidRPr="00B77D66">
        <w:rPr>
          <w:rFonts w:ascii="Palatino Linotype" w:hAnsi="Palatino Linotype"/>
          <w:szCs w:val="22"/>
        </w:rPr>
        <w:t>:</w:t>
      </w:r>
      <w:r w:rsidR="00764032" w:rsidRPr="00B77D66">
        <w:rPr>
          <w:rFonts w:ascii="Palatino Linotype" w:hAnsi="Palatino Linotype"/>
          <w:szCs w:val="22"/>
        </w:rPr>
        <w:t xml:space="preserve"> oficio SA/1443/2022 suscrito por el Secretario del Ayuntamiento en el que refiere emitir respuesta. </w:t>
      </w:r>
    </w:p>
    <w:p w:rsidR="00764032" w:rsidRPr="00B77D66" w:rsidRDefault="00764032" w:rsidP="00764032">
      <w:pPr>
        <w:spacing w:line="360" w:lineRule="auto"/>
        <w:ind w:right="567"/>
        <w:jc w:val="both"/>
        <w:rPr>
          <w:rFonts w:ascii="Palatino Linotype" w:hAnsi="Palatino Linotype"/>
          <w:szCs w:val="22"/>
        </w:rPr>
      </w:pPr>
    </w:p>
    <w:p w:rsidR="00B41F53" w:rsidRPr="00B77D66" w:rsidRDefault="00DB567E" w:rsidP="00764032">
      <w:pPr>
        <w:pStyle w:val="Prrafodelista"/>
        <w:numPr>
          <w:ilvl w:val="0"/>
          <w:numId w:val="8"/>
        </w:numPr>
        <w:spacing w:line="360" w:lineRule="auto"/>
        <w:ind w:right="567"/>
        <w:jc w:val="both"/>
        <w:rPr>
          <w:rFonts w:ascii="Palatino Linotype" w:hAnsi="Palatino Linotype"/>
          <w:szCs w:val="22"/>
        </w:rPr>
      </w:pPr>
      <w:hyperlink r:id="rId12" w:tgtFrame="_blank" w:history="1">
        <w:r w:rsidR="00B41F53" w:rsidRPr="00B77D66">
          <w:rPr>
            <w:rStyle w:val="Hipervnculo"/>
            <w:rFonts w:ascii="Palatino Linotype" w:hAnsi="Palatino Linotype"/>
            <w:b/>
            <w:bCs/>
            <w:szCs w:val="22"/>
          </w:rPr>
          <w:t>LIBRO ESPECIAL DE BIENES MUEBLES VERSION PUBLICA.zip</w:t>
        </w:r>
      </w:hyperlink>
      <w:r w:rsidR="00B41F53" w:rsidRPr="00B77D66">
        <w:rPr>
          <w:rFonts w:ascii="Palatino Linotype" w:hAnsi="Palatino Linotype"/>
          <w:szCs w:val="22"/>
        </w:rPr>
        <w:t xml:space="preserve">: </w:t>
      </w:r>
      <w:r w:rsidR="00C71710" w:rsidRPr="00B77D66">
        <w:rPr>
          <w:rFonts w:ascii="Palatino Linotype" w:hAnsi="Palatino Linotype"/>
          <w:szCs w:val="22"/>
        </w:rPr>
        <w:t xml:space="preserve">libro especial de bienes muebles en versión pública. </w:t>
      </w:r>
    </w:p>
    <w:p w:rsidR="00764032" w:rsidRPr="00B77D66" w:rsidRDefault="00764032" w:rsidP="00764032">
      <w:pPr>
        <w:pStyle w:val="Prrafodelista"/>
        <w:rPr>
          <w:rFonts w:ascii="Palatino Linotype" w:hAnsi="Palatino Linotype"/>
          <w:szCs w:val="22"/>
        </w:rPr>
      </w:pPr>
    </w:p>
    <w:p w:rsidR="00764032" w:rsidRPr="00B77D66" w:rsidRDefault="00764032" w:rsidP="00764032">
      <w:pPr>
        <w:spacing w:line="360" w:lineRule="auto"/>
        <w:ind w:right="567"/>
        <w:jc w:val="both"/>
        <w:rPr>
          <w:rFonts w:ascii="Palatino Linotype" w:hAnsi="Palatino Linotype"/>
          <w:szCs w:val="22"/>
        </w:rPr>
      </w:pPr>
    </w:p>
    <w:p w:rsidR="003C46C6" w:rsidRPr="00B77D66" w:rsidRDefault="003C46C6" w:rsidP="003C46C6">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B77D66">
        <w:rPr>
          <w:rFonts w:ascii="Palatino Linotype" w:eastAsia="Calibri" w:hAnsi="Palatino Linotype" w:cs="Arial"/>
          <w:lang w:val="es-AR" w:eastAsia="es-ES"/>
        </w:rPr>
        <w:t xml:space="preserve">El </w:t>
      </w:r>
      <w:r w:rsidR="00C71710" w:rsidRPr="00B77D66">
        <w:rPr>
          <w:rFonts w:ascii="Palatino Linotype" w:eastAsia="Calibri" w:hAnsi="Palatino Linotype" w:cs="Arial"/>
          <w:lang w:val="es-AR" w:eastAsia="es-ES"/>
        </w:rPr>
        <w:t>nueve (09) de marzo</w:t>
      </w:r>
      <w:r w:rsidRPr="00B77D66">
        <w:rPr>
          <w:rFonts w:ascii="Palatino Linotype" w:eastAsia="Calibri" w:hAnsi="Palatino Linotype" w:cs="Arial"/>
          <w:lang w:val="es-AR" w:eastAsia="es-ES"/>
        </w:rPr>
        <w:t xml:space="preserve"> de dos mil veintitrés</w:t>
      </w:r>
      <w:r w:rsidRPr="00B77D66">
        <w:rPr>
          <w:rFonts w:ascii="Palatino Linotype" w:hAnsi="Palatino Linotype" w:cs="Arial"/>
          <w:lang w:val="es-ES" w:eastAsia="es-ES"/>
        </w:rPr>
        <w:t xml:space="preserve">, </w:t>
      </w:r>
      <w:r w:rsidRPr="00B77D66">
        <w:rPr>
          <w:rFonts w:ascii="Palatino Linotype" w:eastAsiaTheme="minorEastAsia" w:hAnsi="Palatino Linotype"/>
          <w:b/>
          <w:lang w:val="es-ES_tradnl" w:eastAsia="es-ES"/>
        </w:rPr>
        <w:t>EL RECURRENTE</w:t>
      </w:r>
      <w:r w:rsidRPr="00B77D66">
        <w:rPr>
          <w:rFonts w:ascii="Palatino Linotype" w:hAnsi="Palatino Linotype" w:cs="Arial"/>
          <w:lang w:val="es-ES" w:eastAsia="es-ES"/>
        </w:rPr>
        <w:t xml:space="preserve"> interpuso el recurso de revisión, en contra de la respuesta, señalando como:</w:t>
      </w:r>
      <w:bookmarkStart w:id="1" w:name="_Toc462307683"/>
      <w:bookmarkStart w:id="2" w:name="_Toc472427085"/>
      <w:bookmarkStart w:id="3" w:name="_Toc472500652"/>
    </w:p>
    <w:p w:rsidR="003C46C6" w:rsidRPr="00B77D66" w:rsidRDefault="003C46C6" w:rsidP="003C46C6">
      <w:pPr>
        <w:spacing w:line="360" w:lineRule="auto"/>
        <w:ind w:left="567" w:right="567"/>
        <w:contextualSpacing/>
        <w:rPr>
          <w:rFonts w:ascii="Palatino Linotype" w:eastAsiaTheme="minorEastAsia" w:hAnsi="Palatino Linotype" w:cs="Arial"/>
          <w:i/>
          <w:lang w:val="es-ES_tradnl" w:eastAsia="es-ES"/>
        </w:rPr>
      </w:pPr>
    </w:p>
    <w:p w:rsidR="003C46C6" w:rsidRPr="00B77D66" w:rsidRDefault="003C46C6" w:rsidP="003C46C6">
      <w:pPr>
        <w:spacing w:line="360" w:lineRule="auto"/>
        <w:ind w:left="567" w:right="567"/>
        <w:contextualSpacing/>
        <w:jc w:val="both"/>
        <w:rPr>
          <w:rFonts w:ascii="Palatino Linotype" w:eastAsia="Calibri" w:hAnsi="Palatino Linotype" w:cs="Arial"/>
          <w:i/>
          <w:lang w:val="es-ES" w:eastAsia="es-ES"/>
        </w:rPr>
      </w:pPr>
      <w:r w:rsidRPr="00B77D66">
        <w:rPr>
          <w:rFonts w:ascii="Palatino Linotype" w:eastAsiaTheme="minorEastAsia" w:hAnsi="Palatino Linotype"/>
          <w:b/>
          <w:lang w:val="es-ES_tradnl" w:eastAsia="es-ES"/>
        </w:rPr>
        <w:lastRenderedPageBreak/>
        <w:t>Acto impugnado</w:t>
      </w:r>
      <w:r w:rsidRPr="00B77D66">
        <w:rPr>
          <w:rFonts w:ascii="Palatino Linotype" w:eastAsiaTheme="minorEastAsia" w:hAnsi="Palatino Linotype"/>
          <w:b/>
          <w:i/>
          <w:lang w:val="es-ES_tradnl" w:eastAsia="es-ES"/>
        </w:rPr>
        <w:t>:</w:t>
      </w:r>
      <w:r w:rsidRPr="00B77D66">
        <w:rPr>
          <w:rFonts w:ascii="Palatino Linotype" w:hAnsi="Palatino Linotype"/>
          <w:i/>
          <w:color w:val="000000"/>
        </w:rPr>
        <w:t xml:space="preserve"> “</w:t>
      </w:r>
      <w:r w:rsidR="00C71710" w:rsidRPr="00B77D66">
        <w:rPr>
          <w:rFonts w:ascii="Palatino Linotype" w:hAnsi="Palatino Linotype"/>
          <w:i/>
          <w:color w:val="000000"/>
        </w:rPr>
        <w:t>En su acuerdo CTM/CUT/SE10/ 004/AR/2022 el Ayuntamiento de Cuautitlán Izcalli, Estado de México reservó por 3 años la información que solicité con el siguiente argumento “ESTE MUNICIPIO NO TIENE LOS RECURSOS MATERIALES Y HUMANOS PARA VIGILAR DE MANERA CONTINUA ESTAS SUPERICIES” el cual es violatorio de mi derecho de acceso a la información y no tiene ningún sustento en la legislación aplicable para garantizarlo.</w:t>
      </w:r>
      <w:r w:rsidRPr="00B77D66">
        <w:rPr>
          <w:rFonts w:ascii="Palatino Linotype" w:hAnsi="Palatino Linotype"/>
          <w:i/>
          <w:color w:val="000000"/>
        </w:rPr>
        <w:t>” (Sic)</w:t>
      </w:r>
    </w:p>
    <w:p w:rsidR="003C46C6" w:rsidRPr="00B77D66" w:rsidRDefault="003C46C6" w:rsidP="003C46C6">
      <w:pPr>
        <w:spacing w:line="360" w:lineRule="auto"/>
        <w:ind w:left="567" w:right="567"/>
        <w:contextualSpacing/>
        <w:jc w:val="both"/>
        <w:rPr>
          <w:rFonts w:ascii="Palatino Linotype" w:eastAsia="Calibri" w:hAnsi="Palatino Linotype" w:cs="Arial"/>
          <w:lang w:val="es-ES" w:eastAsia="es-ES"/>
        </w:rPr>
      </w:pPr>
    </w:p>
    <w:p w:rsidR="003C46C6" w:rsidRPr="00B77D66" w:rsidRDefault="003C46C6" w:rsidP="003C46C6">
      <w:pPr>
        <w:spacing w:line="360" w:lineRule="auto"/>
        <w:ind w:left="567" w:right="567"/>
        <w:contextualSpacing/>
        <w:jc w:val="both"/>
        <w:rPr>
          <w:rFonts w:ascii="Palatino Linotype" w:hAnsi="Palatino Linotype"/>
          <w:i/>
          <w:color w:val="000000"/>
        </w:rPr>
      </w:pPr>
      <w:r w:rsidRPr="00B77D66">
        <w:rPr>
          <w:rFonts w:ascii="Palatino Linotype" w:eastAsiaTheme="minorEastAsia" w:hAnsi="Palatino Linotype"/>
          <w:b/>
          <w:lang w:val="es-ES_tradnl" w:eastAsia="es-ES"/>
        </w:rPr>
        <w:t>Razones o Motivos de inconformidad:</w:t>
      </w:r>
      <w:r w:rsidRPr="00B77D66">
        <w:rPr>
          <w:rFonts w:ascii="Palatino Linotype" w:eastAsiaTheme="majorEastAsia" w:hAnsi="Palatino Linotype" w:cstheme="majorBidi"/>
          <w:b/>
          <w:color w:val="2E74B5" w:themeColor="accent1" w:themeShade="BF"/>
          <w:sz w:val="26"/>
          <w:szCs w:val="26"/>
          <w:lang w:val="es-ES" w:eastAsia="es-ES"/>
        </w:rPr>
        <w:t xml:space="preserve"> </w:t>
      </w:r>
      <w:r w:rsidRPr="00B77D66">
        <w:rPr>
          <w:rFonts w:ascii="Palatino Linotype" w:eastAsiaTheme="majorEastAsia" w:hAnsi="Palatino Linotype" w:cstheme="majorBidi"/>
          <w:i/>
          <w:lang w:val="es-ES" w:eastAsia="es-ES"/>
        </w:rPr>
        <w:t>“</w:t>
      </w:r>
      <w:r w:rsidR="00C71710" w:rsidRPr="00B77D66">
        <w:rPr>
          <w:rFonts w:ascii="Palatino Linotype" w:hAnsi="Palatino Linotype"/>
          <w:i/>
          <w:color w:val="000000"/>
        </w:rPr>
        <w:t>En su acuerdo CTM/CUT/SE10/ 004/AR/2022 el Ayuntamiento de Cuautitlán Izcalli, Estado de México reservó por 3 años la información que solicité con el siguiente argumento “ESTE MUNICIPIO NO TIENE LOS RECURSOS MATERIALES Y HUMANOS PARA VIGILAR DE MANERA CONTINUA ESTAS SUPERICIES” el cual es violatorio de mi derecho de acceso a la información y no tiene ningún sustento en la legislación aplicable para garantizarlo.</w:t>
      </w:r>
      <w:r w:rsidRPr="00B77D66">
        <w:rPr>
          <w:rFonts w:ascii="Palatino Linotype" w:hAnsi="Palatino Linotype"/>
          <w:i/>
          <w:color w:val="000000"/>
        </w:rPr>
        <w:t>” (Sic).</w:t>
      </w:r>
    </w:p>
    <w:bookmarkEnd w:id="1"/>
    <w:bookmarkEnd w:id="2"/>
    <w:bookmarkEnd w:id="3"/>
    <w:p w:rsidR="003C46C6" w:rsidRPr="00B77D66" w:rsidRDefault="003C46C6" w:rsidP="003C46C6">
      <w:pPr>
        <w:spacing w:line="360" w:lineRule="auto"/>
        <w:jc w:val="both"/>
        <w:rPr>
          <w:rFonts w:ascii="Palatino Linotype" w:hAnsi="Palatino Linotype"/>
          <w:i/>
          <w:sz w:val="22"/>
          <w:szCs w:val="22"/>
        </w:rPr>
      </w:pPr>
      <w:r w:rsidRPr="00B77D66">
        <w:rPr>
          <w:rFonts w:ascii="Palatino Linotype" w:eastAsia="Calibri" w:hAnsi="Palatino Linotype" w:cs="Arial"/>
          <w:lang w:val="es-AR" w:eastAsia="es-ES"/>
        </w:rPr>
        <w:tab/>
      </w:r>
    </w:p>
    <w:p w:rsidR="003C46C6" w:rsidRPr="00B77D66" w:rsidRDefault="003C46C6" w:rsidP="003C46C6">
      <w:pPr>
        <w:numPr>
          <w:ilvl w:val="0"/>
          <w:numId w:val="1"/>
        </w:numPr>
        <w:spacing w:line="360" w:lineRule="auto"/>
        <w:ind w:left="0" w:firstLine="0"/>
        <w:contextualSpacing/>
        <w:jc w:val="both"/>
        <w:rPr>
          <w:rFonts w:ascii="Palatino Linotype" w:eastAsia="Calibri" w:hAnsi="Palatino Linotype" w:cs="Arial"/>
          <w:lang w:val="es-AR" w:eastAsia="es-ES"/>
        </w:rPr>
      </w:pPr>
      <w:r w:rsidRPr="00B77D66">
        <w:rPr>
          <w:rFonts w:ascii="Palatino Linotype" w:hAnsi="Palatino Linotype" w:cs="Arial"/>
          <w:lang w:val="es-ES" w:eastAsia="es-ES"/>
        </w:rPr>
        <w:t xml:space="preserve">Se registró el recurso de revisión bajo el número de expediente </w:t>
      </w:r>
      <w:r w:rsidRPr="00B77D66">
        <w:rPr>
          <w:rFonts w:ascii="Palatino Linotype" w:eastAsiaTheme="minorEastAsia" w:hAnsi="Palatino Linotype" w:cs="Arial"/>
          <w:bCs/>
          <w:lang w:val="es-ES_tradnl" w:eastAsia="es-ES"/>
        </w:rPr>
        <w:t xml:space="preserve">al rubro indicado, asimismo con fundamento en lo dispuesto por el </w:t>
      </w:r>
      <w:r w:rsidRPr="00B77D66">
        <w:rPr>
          <w:rFonts w:ascii="Palatino Linotype" w:eastAsia="Calibri" w:hAnsi="Palatino Linotype" w:cs="Arial"/>
          <w:lang w:val="es-ES" w:eastAsia="es-ES"/>
        </w:rPr>
        <w:t xml:space="preserve">artículo 185 fracción I de la </w:t>
      </w:r>
      <w:r w:rsidRPr="00B77D66">
        <w:rPr>
          <w:rFonts w:ascii="Palatino Linotype" w:eastAsia="Calibri" w:hAnsi="Palatino Linotype" w:cs="Arial"/>
          <w:b/>
          <w:lang w:val="es-ES" w:eastAsia="es-ES"/>
        </w:rPr>
        <w:t xml:space="preserve">Ley de Transparencia y Acceso a la Información Pública del Estado de México y Municipios </w:t>
      </w:r>
      <w:r w:rsidRPr="00B77D66">
        <w:rPr>
          <w:rFonts w:ascii="Palatino Linotype" w:hAnsi="Palatino Linotype" w:cs="Arial"/>
          <w:lang w:val="es-ES" w:eastAsia="es-ES"/>
        </w:rPr>
        <w:t xml:space="preserve">se turnó a la </w:t>
      </w:r>
      <w:r w:rsidRPr="00B77D66">
        <w:rPr>
          <w:rFonts w:ascii="Palatino Linotype" w:hAnsi="Palatino Linotype" w:cs="Arial"/>
          <w:b/>
          <w:lang w:val="es-ES" w:eastAsia="es-ES"/>
        </w:rPr>
        <w:t xml:space="preserve">Comisionada María del Rosario Mejía Ayala, </w:t>
      </w:r>
      <w:r w:rsidRPr="00B77D66">
        <w:rPr>
          <w:rFonts w:ascii="Palatino Linotype" w:hAnsi="Palatino Linotype" w:cs="Arial"/>
          <w:lang w:val="es-ES" w:eastAsia="es-ES"/>
        </w:rPr>
        <w:t xml:space="preserve">con el objeto de </w:t>
      </w:r>
      <w:r w:rsidRPr="00B77D66">
        <w:rPr>
          <w:rFonts w:ascii="Palatino Linotype" w:hAnsi="Palatino Linotype" w:cs="Arial"/>
          <w:lang w:eastAsia="es-ES"/>
        </w:rPr>
        <w:t xml:space="preserve">su análisis. </w:t>
      </w:r>
    </w:p>
    <w:p w:rsidR="003C46C6" w:rsidRPr="00B77D66" w:rsidRDefault="003C46C6" w:rsidP="003C46C6">
      <w:pPr>
        <w:spacing w:line="360" w:lineRule="auto"/>
        <w:contextualSpacing/>
        <w:jc w:val="both"/>
        <w:rPr>
          <w:rFonts w:ascii="Palatino Linotype" w:eastAsia="Calibri" w:hAnsi="Palatino Linotype" w:cs="Arial"/>
          <w:lang w:val="es-AR" w:eastAsia="es-ES"/>
        </w:rPr>
      </w:pPr>
    </w:p>
    <w:p w:rsidR="003C46C6" w:rsidRPr="00B77D66" w:rsidRDefault="00E46EEA" w:rsidP="003C46C6">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B77D66">
        <w:rPr>
          <w:rFonts w:ascii="Palatino Linotype" w:eastAsia="Calibri" w:hAnsi="Palatino Linotype" w:cs="Arial"/>
          <w:lang w:val="es-ES" w:eastAsia="es-ES"/>
        </w:rPr>
        <w:t>La</w:t>
      </w:r>
      <w:r w:rsidR="003C46C6" w:rsidRPr="00B77D66">
        <w:rPr>
          <w:rFonts w:ascii="Palatino Linotype" w:eastAsia="Calibri" w:hAnsi="Palatino Linotype" w:cs="Arial"/>
          <w:lang w:val="es-ES" w:eastAsia="es-ES"/>
        </w:rPr>
        <w:t xml:space="preserve"> </w:t>
      </w:r>
      <w:r w:rsidRPr="00B77D66">
        <w:rPr>
          <w:rFonts w:ascii="Palatino Linotype" w:eastAsia="Calibri" w:hAnsi="Palatino Linotype" w:cs="Arial"/>
          <w:lang w:val="es-ES" w:eastAsia="es-ES"/>
        </w:rPr>
        <w:t>c</w:t>
      </w:r>
      <w:r w:rsidR="003C46C6" w:rsidRPr="00B77D66">
        <w:rPr>
          <w:rFonts w:ascii="Palatino Linotype" w:eastAsia="Calibri" w:hAnsi="Palatino Linotype" w:cs="Arial"/>
          <w:lang w:val="es-ES" w:eastAsia="es-ES"/>
        </w:rPr>
        <w:t xml:space="preserve">omisionado </w:t>
      </w:r>
      <w:r w:rsidRPr="00B77D66">
        <w:rPr>
          <w:rFonts w:ascii="Palatino Linotype" w:eastAsia="Calibri" w:hAnsi="Palatino Linotype" w:cs="Arial"/>
          <w:lang w:val="es-ES" w:eastAsia="es-ES"/>
        </w:rPr>
        <w:t>p</w:t>
      </w:r>
      <w:r w:rsidR="003C46C6" w:rsidRPr="00B77D66">
        <w:rPr>
          <w:rFonts w:ascii="Palatino Linotype" w:eastAsia="Calibri" w:hAnsi="Palatino Linotype" w:cs="Arial"/>
          <w:lang w:val="es-ES" w:eastAsia="es-ES"/>
        </w:rPr>
        <w:t xml:space="preserve">onente con fundamento en lo dispuesto por el artículo 185 fracción II de la ley de la materia, a través del acuerdo de admisión de fecha </w:t>
      </w:r>
      <w:r w:rsidR="00C71710" w:rsidRPr="00B77D66">
        <w:rPr>
          <w:rFonts w:ascii="Palatino Linotype" w:eastAsia="Calibri" w:hAnsi="Palatino Linotype" w:cs="Arial"/>
          <w:lang w:val="es-ES" w:eastAsia="es-ES"/>
        </w:rPr>
        <w:t>catorce (14) de marzo</w:t>
      </w:r>
      <w:r w:rsidR="003C46C6" w:rsidRPr="00B77D66">
        <w:rPr>
          <w:rFonts w:ascii="Palatino Linotype" w:eastAsia="Calibri" w:hAnsi="Palatino Linotype" w:cs="Arial"/>
          <w:lang w:val="es-ES" w:eastAsia="es-ES"/>
        </w:rPr>
        <w:t xml:space="preserve"> de dos mil veintitrés, puso a disposición de las partes el expediente </w:t>
      </w:r>
      <w:r w:rsidR="003C46C6" w:rsidRPr="00B77D66">
        <w:rPr>
          <w:rFonts w:ascii="Palatino Linotype" w:eastAsia="Calibri" w:hAnsi="Palatino Linotype" w:cs="Arial"/>
          <w:lang w:val="es-ES" w:eastAsia="es-ES"/>
        </w:rPr>
        <w:lastRenderedPageBreak/>
        <w:t xml:space="preserve">electrónico </w:t>
      </w:r>
      <w:r w:rsidR="003C46C6" w:rsidRPr="00B77D66">
        <w:rPr>
          <w:rFonts w:ascii="Palatino Linotype" w:eastAsia="Calibri" w:hAnsi="Palatino Linotype" w:cs="Arial"/>
          <w:lang w:val="es-ES_tradnl" w:eastAsia="es-ES"/>
        </w:rPr>
        <w:t xml:space="preserve">vía </w:t>
      </w:r>
      <w:r w:rsidR="003C46C6" w:rsidRPr="00B77D66">
        <w:rPr>
          <w:rFonts w:ascii="Palatino Linotype" w:eastAsia="Calibri" w:hAnsi="Palatino Linotype" w:cs="Arial"/>
          <w:b/>
          <w:lang w:val="es-ES" w:eastAsia="es-ES"/>
        </w:rPr>
        <w:t xml:space="preserve">SAIMEX </w:t>
      </w:r>
      <w:r w:rsidR="003C46C6" w:rsidRPr="00B77D66">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3C46C6" w:rsidRPr="00B77D66">
        <w:rPr>
          <w:rFonts w:ascii="Palatino Linotype" w:eastAsia="Calibri" w:hAnsi="Palatino Linotype" w:cs="Arial"/>
          <w:b/>
          <w:lang w:val="es-ES" w:eastAsia="es-ES"/>
        </w:rPr>
        <w:t>SUJETO OBLIGADO</w:t>
      </w:r>
      <w:r w:rsidRPr="00B77D66">
        <w:rPr>
          <w:rFonts w:ascii="Palatino Linotype" w:eastAsia="Calibri" w:hAnsi="Palatino Linotype" w:cs="Arial"/>
          <w:b/>
          <w:lang w:val="es-ES" w:eastAsia="es-ES"/>
        </w:rPr>
        <w:t>,</w:t>
      </w:r>
      <w:r w:rsidR="003C46C6" w:rsidRPr="00B77D66">
        <w:rPr>
          <w:rFonts w:ascii="Palatino Linotype" w:eastAsia="Calibri" w:hAnsi="Palatino Linotype" w:cs="Arial"/>
          <w:lang w:val="es-ES" w:eastAsia="es-ES"/>
        </w:rPr>
        <w:t xml:space="preserve"> presentara el informe justificado procedente. </w:t>
      </w:r>
    </w:p>
    <w:p w:rsidR="003C46C6" w:rsidRPr="00B77D66" w:rsidRDefault="003C46C6" w:rsidP="003C46C6">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3C46C6" w:rsidRPr="00B77D66" w:rsidRDefault="003C46C6" w:rsidP="003C46C6">
      <w:pPr>
        <w:numPr>
          <w:ilvl w:val="0"/>
          <w:numId w:val="1"/>
        </w:numPr>
        <w:spacing w:line="360" w:lineRule="auto"/>
        <w:ind w:left="0" w:firstLine="0"/>
        <w:contextualSpacing/>
        <w:jc w:val="both"/>
        <w:rPr>
          <w:rFonts w:ascii="Arial" w:hAnsi="Arial" w:cs="Arial"/>
          <w:lang w:eastAsia="es-ES"/>
        </w:rPr>
      </w:pPr>
      <w:r w:rsidRPr="00B77D66">
        <w:rPr>
          <w:rFonts w:ascii="Palatino Linotype" w:eastAsia="Calibri" w:hAnsi="Palatino Linotype" w:cs="Arial"/>
          <w:lang w:val="es-ES" w:eastAsia="es-ES"/>
        </w:rPr>
        <w:t>De las constancias en el expediente electrónico SAIMEX, se advierte que el particular no realizó manifestaciones, no ofreció pruebas o alegatos a su derecho convinieran; por</w:t>
      </w:r>
      <w:r w:rsidR="00C71710" w:rsidRPr="00B77D66">
        <w:rPr>
          <w:rFonts w:ascii="Palatino Linotype" w:eastAsia="Calibri" w:hAnsi="Palatino Linotype" w:cs="Arial"/>
          <w:lang w:val="es-ES" w:eastAsia="es-ES"/>
        </w:rPr>
        <w:t xml:space="preserve"> su parte, el Sujeto Obligado remitió informe justificado a través del archivo </w:t>
      </w:r>
      <w:hyperlink r:id="rId13" w:history="1">
        <w:r w:rsidR="00C71710" w:rsidRPr="00B77D66">
          <w:rPr>
            <w:rStyle w:val="Hipervnculo"/>
            <w:rFonts w:ascii="Palatino Linotype" w:eastAsia="Calibri" w:hAnsi="Palatino Linotype" w:cs="Arial"/>
            <w:b/>
            <w:bCs/>
            <w:color w:val="auto"/>
            <w:u w:val="none"/>
            <w:lang w:eastAsia="es-ES"/>
          </w:rPr>
          <w:t>64-3633 INFORME JUSTIFICADO.pdf</w:t>
        </w:r>
      </w:hyperlink>
      <w:r w:rsidR="00C71710" w:rsidRPr="00B77D66">
        <w:rPr>
          <w:rFonts w:ascii="Palatino Linotype" w:eastAsia="Calibri" w:hAnsi="Palatino Linotype" w:cs="Arial"/>
          <w:lang w:val="es-ES" w:eastAsia="es-ES"/>
        </w:rPr>
        <w:t xml:space="preserve">, en el que costa el oficio </w:t>
      </w:r>
      <w:r w:rsidR="00BE569B" w:rsidRPr="00B77D66">
        <w:rPr>
          <w:rFonts w:ascii="Palatino Linotype" w:eastAsia="Calibri" w:hAnsi="Palatino Linotype" w:cs="Arial"/>
          <w:lang w:val="es-ES" w:eastAsia="es-ES"/>
        </w:rPr>
        <w:t xml:space="preserve">PM/CUT/0523/2022, de requerimiento de informe justificado al Secretario del ayuntamiento; asimismo se adjuntó el oficio SA/1875/2022, suscrito por el Secretario del Ayuntamiento con asunto de informe justificado en el que confirma su respuesta. </w:t>
      </w:r>
    </w:p>
    <w:p w:rsidR="003C46C6" w:rsidRPr="00B77D66" w:rsidRDefault="003C46C6" w:rsidP="003C46C6">
      <w:pPr>
        <w:spacing w:line="360" w:lineRule="auto"/>
        <w:contextualSpacing/>
        <w:jc w:val="both"/>
        <w:rPr>
          <w:rFonts w:ascii="Arial" w:hAnsi="Arial" w:cs="Arial"/>
          <w:lang w:eastAsia="es-ES"/>
        </w:rPr>
      </w:pPr>
    </w:p>
    <w:p w:rsidR="00C71710" w:rsidRPr="00B77D66" w:rsidRDefault="007D62FA" w:rsidP="003C46C6">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B77D66">
        <w:rPr>
          <w:rFonts w:ascii="Palatino Linotype" w:eastAsiaTheme="minorEastAsia" w:hAnsi="Palatino Linotype"/>
          <w:lang w:val="es-ES_tradnl" w:eastAsia="es-ES"/>
        </w:rPr>
        <w:t xml:space="preserve">El treinta y uno (31) de mayo de dos mil veintidós, se notificó el acuerdo mediante el cual se aprobó la ampliación de plazo para emitir resolución. </w:t>
      </w:r>
    </w:p>
    <w:p w:rsidR="007D62FA" w:rsidRPr="00B77D66" w:rsidRDefault="007D62FA" w:rsidP="007D62FA">
      <w:pPr>
        <w:spacing w:line="360" w:lineRule="auto"/>
        <w:contextualSpacing/>
        <w:jc w:val="both"/>
        <w:rPr>
          <w:rFonts w:ascii="Palatino Linotype" w:eastAsiaTheme="minorEastAsia" w:hAnsi="Palatino Linotype"/>
          <w:b/>
          <w:u w:val="single"/>
          <w:lang w:val="es-ES_tradnl" w:eastAsia="es-ES"/>
        </w:rPr>
      </w:pPr>
    </w:p>
    <w:p w:rsidR="003C46C6" w:rsidRPr="00B77D66" w:rsidRDefault="003C46C6" w:rsidP="003C46C6">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B77D66">
        <w:rPr>
          <w:rFonts w:ascii="Palatino Linotype" w:eastAsiaTheme="minorEastAsia" w:hAnsi="Palatino Linotype"/>
          <w:lang w:val="es-ES_tradnl" w:eastAsia="es-ES"/>
        </w:rPr>
        <w:t>El Comisionado Ponente decretó el cierre de instrucción a través de acuerdo que</w:t>
      </w:r>
      <w:r w:rsidR="007D62FA" w:rsidRPr="00B77D66">
        <w:rPr>
          <w:rFonts w:ascii="Palatino Linotype" w:eastAsiaTheme="minorEastAsia" w:hAnsi="Palatino Linotype"/>
          <w:lang w:val="es-ES_tradnl" w:eastAsia="es-ES"/>
        </w:rPr>
        <w:t xml:space="preserve"> fue notificado en fecha dos (02) de agosto de dos mil veintidós</w:t>
      </w:r>
      <w:r w:rsidRPr="00B77D66">
        <w:rPr>
          <w:rFonts w:ascii="Palatino Linotype" w:eastAsiaTheme="minorEastAsia" w:hAnsi="Palatino Linotype"/>
          <w:lang w:val="es-ES_tradnl" w:eastAsia="es-ES"/>
        </w:rPr>
        <w:t xml:space="preserve">. </w:t>
      </w:r>
    </w:p>
    <w:p w:rsidR="003C46C6" w:rsidRPr="00B77D66" w:rsidRDefault="003C46C6" w:rsidP="003C46C6">
      <w:pPr>
        <w:pStyle w:val="Prrafodelista"/>
        <w:spacing w:line="360" w:lineRule="auto"/>
        <w:ind w:left="0" w:right="113"/>
        <w:jc w:val="both"/>
        <w:rPr>
          <w:rFonts w:ascii="Palatino Linotype" w:hAnsi="Palatino Linotype"/>
          <w:sz w:val="24"/>
        </w:rPr>
      </w:pPr>
    </w:p>
    <w:p w:rsidR="003C46C6" w:rsidRPr="00B77D66" w:rsidRDefault="003C46C6" w:rsidP="003C46C6">
      <w:pPr>
        <w:keepNext/>
        <w:keepLines/>
        <w:spacing w:line="360" w:lineRule="auto"/>
        <w:jc w:val="center"/>
        <w:outlineLvl w:val="0"/>
        <w:rPr>
          <w:rFonts w:ascii="Palatino Linotype" w:eastAsiaTheme="majorEastAsia" w:hAnsi="Palatino Linotype" w:cstheme="majorBidi"/>
        </w:rPr>
      </w:pPr>
      <w:bookmarkStart w:id="4" w:name="_Toc83301634"/>
      <w:r w:rsidRPr="00B77D66">
        <w:rPr>
          <w:rFonts w:ascii="Palatino Linotype" w:eastAsiaTheme="majorEastAsia" w:hAnsi="Palatino Linotype" w:cstheme="majorBidi"/>
          <w:b/>
        </w:rPr>
        <w:t>CONSIDERANDO</w:t>
      </w:r>
      <w:bookmarkEnd w:id="4"/>
      <w:r w:rsidRPr="00B77D66">
        <w:rPr>
          <w:rFonts w:ascii="Palatino Linotype" w:eastAsiaTheme="majorEastAsia" w:hAnsi="Palatino Linotype" w:cstheme="majorBidi"/>
          <w:b/>
        </w:rPr>
        <w:t xml:space="preserve"> </w:t>
      </w:r>
    </w:p>
    <w:p w:rsidR="003C46C6" w:rsidRPr="00B77D66" w:rsidRDefault="003C46C6" w:rsidP="003C46C6">
      <w:pPr>
        <w:spacing w:line="360" w:lineRule="auto"/>
        <w:rPr>
          <w:rFonts w:ascii="Palatino Linotype" w:eastAsiaTheme="minorEastAsia" w:hAnsi="Palatino Linotype"/>
        </w:rPr>
      </w:pPr>
    </w:p>
    <w:p w:rsidR="003C46C6" w:rsidRPr="00B77D66" w:rsidRDefault="003C46C6" w:rsidP="003C46C6">
      <w:pPr>
        <w:keepNext/>
        <w:keepLines/>
        <w:spacing w:line="360" w:lineRule="auto"/>
        <w:outlineLvl w:val="1"/>
        <w:rPr>
          <w:rFonts w:ascii="Palatino Linotype" w:eastAsiaTheme="majorEastAsia" w:hAnsi="Palatino Linotype" w:cstheme="majorBidi"/>
          <w:b/>
          <w:szCs w:val="26"/>
        </w:rPr>
      </w:pPr>
      <w:bookmarkStart w:id="5" w:name="_Toc83301635"/>
      <w:r w:rsidRPr="00B77D66">
        <w:rPr>
          <w:rFonts w:ascii="Palatino Linotype" w:eastAsiaTheme="majorEastAsia" w:hAnsi="Palatino Linotype" w:cstheme="majorBidi"/>
          <w:b/>
          <w:szCs w:val="26"/>
        </w:rPr>
        <w:t>PRIMERO. De la competencia</w:t>
      </w:r>
      <w:bookmarkEnd w:id="5"/>
    </w:p>
    <w:p w:rsidR="003C46C6" w:rsidRPr="00B77D66" w:rsidRDefault="003C46C6" w:rsidP="003C46C6">
      <w:pPr>
        <w:keepNext/>
        <w:keepLines/>
        <w:spacing w:line="360" w:lineRule="auto"/>
        <w:outlineLvl w:val="1"/>
        <w:rPr>
          <w:rFonts w:ascii="Palatino Linotype" w:eastAsiaTheme="majorEastAsia" w:hAnsi="Palatino Linotype" w:cstheme="majorBidi"/>
          <w:b/>
          <w:bCs/>
          <w:spacing w:val="60"/>
          <w:szCs w:val="26"/>
        </w:rPr>
      </w:pPr>
    </w:p>
    <w:p w:rsidR="003C46C6" w:rsidRPr="00B77D66" w:rsidRDefault="003C46C6" w:rsidP="003C46C6">
      <w:pPr>
        <w:pStyle w:val="Prrafodelista"/>
        <w:numPr>
          <w:ilvl w:val="0"/>
          <w:numId w:val="1"/>
        </w:numPr>
        <w:spacing w:line="360" w:lineRule="auto"/>
        <w:ind w:left="0" w:firstLine="0"/>
        <w:jc w:val="both"/>
        <w:rPr>
          <w:rFonts w:ascii="Palatino Linotype" w:hAnsi="Palatino Linotype"/>
          <w:sz w:val="24"/>
        </w:rPr>
      </w:pPr>
      <w:r w:rsidRPr="00B77D66">
        <w:rPr>
          <w:rFonts w:ascii="Palatino Linotype" w:hAnsi="Palatino Linotype"/>
          <w:sz w:val="24"/>
        </w:rPr>
        <w:t xml:space="preserve">Este Instituto de Transparencia, Acceso a la Información Pública y Protección de Datos Personales del Estado de México, es competente para conocer y resolver el </w:t>
      </w:r>
      <w:r w:rsidRPr="00B77D66">
        <w:rPr>
          <w:rFonts w:ascii="Palatino Linotype" w:hAnsi="Palatino Linotype"/>
          <w:sz w:val="24"/>
        </w:rPr>
        <w:lastRenderedPageBreak/>
        <w:t>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3C46C6" w:rsidRPr="00B77D66" w:rsidRDefault="003C46C6" w:rsidP="003C46C6">
      <w:pPr>
        <w:spacing w:line="360" w:lineRule="auto"/>
        <w:contextualSpacing/>
        <w:jc w:val="both"/>
        <w:rPr>
          <w:rFonts w:ascii="Palatino Linotype" w:eastAsiaTheme="minorEastAsia" w:hAnsi="Palatino Linotype"/>
          <w:lang w:val="es-ES_tradnl" w:eastAsia="es-ES"/>
        </w:rPr>
      </w:pPr>
    </w:p>
    <w:p w:rsidR="003C46C6" w:rsidRPr="00B77D66" w:rsidRDefault="003C46C6" w:rsidP="003C46C6">
      <w:pPr>
        <w:keepNext/>
        <w:keepLines/>
        <w:spacing w:line="360" w:lineRule="auto"/>
        <w:outlineLvl w:val="1"/>
        <w:rPr>
          <w:rFonts w:ascii="Palatino Linotype" w:eastAsiaTheme="majorEastAsia" w:hAnsi="Palatino Linotype" w:cstheme="majorBidi"/>
          <w:b/>
          <w:szCs w:val="26"/>
        </w:rPr>
      </w:pPr>
      <w:bookmarkStart w:id="6" w:name="_Toc83301636"/>
      <w:r w:rsidRPr="00B77D66">
        <w:rPr>
          <w:rFonts w:ascii="Palatino Linotype" w:eastAsiaTheme="majorEastAsia" w:hAnsi="Palatino Linotype" w:cstheme="majorBidi"/>
          <w:b/>
          <w:szCs w:val="26"/>
        </w:rPr>
        <w:t>SEGUNDO. De la oportunidad y procedencia.</w:t>
      </w:r>
      <w:bookmarkEnd w:id="6"/>
    </w:p>
    <w:p w:rsidR="003C46C6" w:rsidRPr="00B77D66" w:rsidRDefault="003C46C6" w:rsidP="003C46C6">
      <w:pPr>
        <w:spacing w:line="360" w:lineRule="auto"/>
        <w:rPr>
          <w:rFonts w:ascii="Palatino Linotype" w:eastAsiaTheme="minorEastAsia" w:hAnsi="Palatino Linotype"/>
        </w:rPr>
      </w:pPr>
    </w:p>
    <w:p w:rsidR="003C46C6" w:rsidRPr="00B77D66" w:rsidRDefault="003C46C6" w:rsidP="003C46C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B77D66">
        <w:rPr>
          <w:rFonts w:ascii="Palatino Linotype" w:eastAsia="Calibri" w:hAnsi="Palatino Linotype" w:cs="Arial"/>
          <w:lang w:val="es-ES_tradnl" w:eastAsia="es-ES"/>
        </w:rPr>
        <w:t xml:space="preserve">El medio de impugnación fue presentado a través del </w:t>
      </w:r>
      <w:r w:rsidRPr="00B77D66">
        <w:rPr>
          <w:rFonts w:ascii="Palatino Linotype" w:eastAsia="Calibri" w:hAnsi="Palatino Linotype" w:cs="Arial"/>
          <w:b/>
          <w:lang w:val="es-ES_tradnl" w:eastAsia="es-ES"/>
        </w:rPr>
        <w:t>SAIMEX,</w:t>
      </w:r>
      <w:r w:rsidRPr="00B77D66">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B77D66">
        <w:rPr>
          <w:rFonts w:ascii="Palatino Linotype" w:eastAsia="Calibri" w:hAnsi="Palatino Linotype" w:cs="Arial"/>
          <w:b/>
          <w:lang w:val="es-ES_tradnl" w:eastAsia="es-ES"/>
        </w:rPr>
        <w:t>SUJETO OBLIGADO</w:t>
      </w:r>
      <w:r w:rsidR="00E46EEA" w:rsidRPr="00B77D66">
        <w:rPr>
          <w:rFonts w:ascii="Palatino Linotype" w:eastAsia="Calibri" w:hAnsi="Palatino Linotype" w:cs="Arial"/>
          <w:b/>
          <w:lang w:val="es-ES_tradnl" w:eastAsia="es-ES"/>
        </w:rPr>
        <w:t>,</w:t>
      </w:r>
      <w:r w:rsidRPr="00B77D66">
        <w:rPr>
          <w:rFonts w:ascii="Palatino Linotype" w:eastAsia="Calibri" w:hAnsi="Palatino Linotype" w:cs="Arial"/>
          <w:lang w:val="es-ES_tradnl" w:eastAsia="es-ES"/>
        </w:rPr>
        <w:t xml:space="preserve"> entregó respuesta a la solicitud el día </w:t>
      </w:r>
      <w:r w:rsidR="007D62FA" w:rsidRPr="00B77D66">
        <w:rPr>
          <w:rFonts w:ascii="Palatino Linotype" w:eastAsia="Calibri" w:hAnsi="Palatino Linotype" w:cs="Arial"/>
          <w:lang w:val="es-ES_tradnl" w:eastAsia="es-ES"/>
        </w:rPr>
        <w:t>veintitrés (23) de febrero de dos mil veintidós</w:t>
      </w:r>
      <w:r w:rsidRPr="00B77D66">
        <w:rPr>
          <w:rFonts w:ascii="Palatino Linotype" w:eastAsia="Calibri" w:hAnsi="Palatino Linotype" w:cs="Arial"/>
          <w:lang w:val="es-ES_tradnl" w:eastAsia="es-ES"/>
        </w:rPr>
        <w:t xml:space="preserve">, </w:t>
      </w:r>
      <w:r w:rsidRPr="00B77D66">
        <w:rPr>
          <w:rFonts w:ascii="Palatino Linotype" w:eastAsiaTheme="minorEastAsia" w:hAnsi="Palatino Linotype" w:cs="Arial"/>
          <w:lang w:val="es-ES_tradnl" w:eastAsia="es-ES"/>
        </w:rPr>
        <w:t xml:space="preserve">de tal forma que el plazo para interponer el recurso de revisión transcurrió del </w:t>
      </w:r>
      <w:r w:rsidR="007D62FA" w:rsidRPr="00B77D66">
        <w:rPr>
          <w:rFonts w:ascii="Palatino Linotype" w:eastAsiaTheme="minorEastAsia" w:hAnsi="Palatino Linotype" w:cs="Arial"/>
          <w:lang w:val="es-ES_tradnl" w:eastAsia="es-ES"/>
        </w:rPr>
        <w:t>veinticuatro (24) de febrero al veintisiete (27) de marzo de dos mil veintidós</w:t>
      </w:r>
      <w:r w:rsidRPr="00B77D66">
        <w:rPr>
          <w:rFonts w:ascii="Palatino Linotype" w:eastAsiaTheme="minorEastAsia" w:hAnsi="Palatino Linotype" w:cs="Arial"/>
          <w:lang w:val="es-ES_tradnl" w:eastAsia="es-ES"/>
        </w:rPr>
        <w:t xml:space="preserve">; en consecuencia, presentó su inconformidad el </w:t>
      </w:r>
      <w:r w:rsidR="007D62FA" w:rsidRPr="00B77D66">
        <w:rPr>
          <w:rFonts w:ascii="Palatino Linotype" w:eastAsiaTheme="minorEastAsia" w:hAnsi="Palatino Linotype" w:cs="Arial"/>
          <w:lang w:val="es-ES_tradnl" w:eastAsia="es-ES"/>
        </w:rPr>
        <w:t>nueve (09) de marzo de dos mil veintidós</w:t>
      </w:r>
      <w:r w:rsidRPr="00B77D66">
        <w:rPr>
          <w:rFonts w:ascii="Palatino Linotype" w:eastAsiaTheme="minorEastAsia" w:hAnsi="Palatino Linotype" w:cs="Arial"/>
          <w:lang w:val="es-ES_tradnl" w:eastAsia="es-ES"/>
        </w:rPr>
        <w:t xml:space="preserve">, por lo que se encuentra dentro de los márgenes temporales previstos en el artículo 178 de la </w:t>
      </w:r>
      <w:r w:rsidRPr="00B77D66">
        <w:rPr>
          <w:rFonts w:ascii="Palatino Linotype" w:eastAsiaTheme="minorEastAsia" w:hAnsi="Palatino Linotype" w:cs="Arial"/>
          <w:b/>
          <w:lang w:val="es-ES_tradnl" w:eastAsia="es-ES"/>
        </w:rPr>
        <w:t xml:space="preserve">Ley de Transparencia y Acceso a la Información Pública del Estado de México y Municipios </w:t>
      </w:r>
      <w:r w:rsidRPr="00B77D66">
        <w:rPr>
          <w:rFonts w:ascii="Palatino Linotype" w:eastAsiaTheme="minorEastAsia" w:hAnsi="Palatino Linotype" w:cs="Arial"/>
          <w:lang w:val="es-ES_tradnl" w:eastAsia="es-ES"/>
        </w:rPr>
        <w:t>vigente.</w:t>
      </w:r>
    </w:p>
    <w:p w:rsidR="003C46C6" w:rsidRPr="00B77D66" w:rsidRDefault="003C46C6" w:rsidP="007D62FA">
      <w:pPr>
        <w:rPr>
          <w:rFonts w:ascii="Palatino Linotype" w:hAnsi="Palatino Linotype" w:cs="Arial"/>
          <w:i/>
          <w:szCs w:val="20"/>
        </w:rPr>
      </w:pPr>
    </w:p>
    <w:p w:rsidR="003C46C6" w:rsidRPr="00B77D66" w:rsidRDefault="003C46C6" w:rsidP="003C46C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B77D66">
        <w:rPr>
          <w:rFonts w:ascii="Palatino Linotype" w:eastAsia="Calibri" w:hAnsi="Palatino Linotype" w:cs="Arial"/>
          <w:lang w:val="es-ES_tradnl" w:eastAsia="es-ES"/>
        </w:rPr>
        <w:t xml:space="preserve">Por otro lado, el escrito contiene las formalidades previstas por el artículo 180 último párrafo de la Ley de la materia actual, por lo que es procedente que este </w:t>
      </w:r>
      <w:r w:rsidRPr="00B77D66">
        <w:rPr>
          <w:rFonts w:ascii="Palatino Linotype" w:eastAsia="Calibri" w:hAnsi="Palatino Linotype" w:cs="Arial"/>
          <w:lang w:val="es-ES_tradnl" w:eastAsia="es-ES"/>
        </w:rPr>
        <w:lastRenderedPageBreak/>
        <w:t>Instituto de Transparencia, Acceso a la Información Pública y Protección de Datos Personales del Estado de México y Municipios, conozca y resuelva el presente recurso.</w:t>
      </w:r>
      <w:bookmarkStart w:id="7" w:name="_Toc65713731"/>
      <w:bookmarkStart w:id="8" w:name="_Toc94119614"/>
      <w:bookmarkStart w:id="9" w:name="_Toc452722829"/>
      <w:bookmarkStart w:id="10" w:name="_Toc454373811"/>
      <w:bookmarkStart w:id="11" w:name="_Toc476675991"/>
    </w:p>
    <w:p w:rsidR="007D62FA" w:rsidRPr="00B77D66" w:rsidRDefault="007D62FA" w:rsidP="007D62FA">
      <w:pPr>
        <w:spacing w:line="360" w:lineRule="auto"/>
        <w:ind w:right="49"/>
        <w:contextualSpacing/>
        <w:jc w:val="both"/>
        <w:rPr>
          <w:rFonts w:ascii="Palatino Linotype" w:eastAsiaTheme="minorEastAsia" w:hAnsi="Palatino Linotype"/>
          <w:lang w:val="es-ES_tradnl" w:eastAsia="es-ES"/>
        </w:rPr>
      </w:pPr>
    </w:p>
    <w:p w:rsidR="003C46C6" w:rsidRPr="00B77D66" w:rsidRDefault="003C46C6" w:rsidP="003C46C6">
      <w:pPr>
        <w:spacing w:line="360" w:lineRule="auto"/>
        <w:ind w:right="49"/>
        <w:contextualSpacing/>
        <w:jc w:val="both"/>
        <w:rPr>
          <w:rFonts w:ascii="Palatino Linotype" w:eastAsia="MS Gothic" w:hAnsi="Palatino Linotype" w:cstheme="majorBidi"/>
          <w:b/>
          <w:lang w:eastAsia="es-ES"/>
        </w:rPr>
      </w:pPr>
      <w:r w:rsidRPr="00B77D66">
        <w:rPr>
          <w:rFonts w:ascii="Palatino Linotype" w:eastAsia="MS Gothic" w:hAnsi="Palatino Linotype" w:cstheme="majorBidi"/>
          <w:b/>
          <w:lang w:val="es-ES_tradnl" w:eastAsia="es-ES"/>
        </w:rPr>
        <w:t>TERCERO. Planteamiento de la Litis</w:t>
      </w:r>
      <w:r w:rsidRPr="00B77D66">
        <w:rPr>
          <w:rFonts w:ascii="Palatino Linotype" w:eastAsia="MS Gothic" w:hAnsi="Palatino Linotype" w:cstheme="majorBidi"/>
          <w:b/>
          <w:lang w:eastAsia="es-ES"/>
        </w:rPr>
        <w:t>.</w:t>
      </w:r>
      <w:bookmarkEnd w:id="7"/>
      <w:bookmarkEnd w:id="8"/>
    </w:p>
    <w:p w:rsidR="003C46C6" w:rsidRPr="00B77D66" w:rsidRDefault="003C46C6" w:rsidP="003C46C6">
      <w:pPr>
        <w:spacing w:line="360" w:lineRule="auto"/>
        <w:ind w:right="49"/>
        <w:contextualSpacing/>
        <w:jc w:val="both"/>
        <w:rPr>
          <w:rFonts w:ascii="Palatino Linotype" w:eastAsia="MS Gothic" w:hAnsi="Palatino Linotype" w:cstheme="majorBidi"/>
          <w:b/>
          <w:lang w:eastAsia="es-ES"/>
        </w:rPr>
      </w:pPr>
    </w:p>
    <w:p w:rsidR="007D62FA" w:rsidRPr="00B77D66" w:rsidRDefault="003C46C6" w:rsidP="003C46C6">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B77D66">
        <w:rPr>
          <w:rFonts w:ascii="Palatino Linotype" w:eastAsia="MS Gothic" w:hAnsi="Palatino Linotype" w:cstheme="majorBidi"/>
          <w:lang w:eastAsia="es-ES"/>
        </w:rPr>
        <w:t>El particular solicitó</w:t>
      </w:r>
      <w:r w:rsidR="007D62FA" w:rsidRPr="00B77D66">
        <w:rPr>
          <w:rFonts w:ascii="Palatino Linotype" w:hAnsi="Palatino Linotype"/>
          <w:color w:val="000000"/>
        </w:rPr>
        <w:t>:</w:t>
      </w:r>
    </w:p>
    <w:p w:rsidR="007D62FA" w:rsidRPr="00B77D66" w:rsidRDefault="007D62FA" w:rsidP="007D62FA">
      <w:pPr>
        <w:spacing w:line="360" w:lineRule="auto"/>
        <w:ind w:right="49"/>
        <w:contextualSpacing/>
        <w:jc w:val="both"/>
        <w:rPr>
          <w:rFonts w:ascii="Palatino Linotype" w:eastAsia="MS Gothic" w:hAnsi="Palatino Linotype" w:cstheme="majorBidi"/>
          <w:lang w:val="es-ES_tradnl" w:eastAsia="es-ES"/>
        </w:rPr>
      </w:pPr>
    </w:p>
    <w:p w:rsidR="0096664F" w:rsidRPr="00B77D66" w:rsidRDefault="007D62FA" w:rsidP="0096664F">
      <w:pPr>
        <w:pStyle w:val="Prrafodelista"/>
        <w:numPr>
          <w:ilvl w:val="0"/>
          <w:numId w:val="11"/>
        </w:numPr>
        <w:spacing w:line="360" w:lineRule="auto"/>
        <w:ind w:right="49"/>
        <w:jc w:val="both"/>
        <w:rPr>
          <w:rFonts w:ascii="Palatino Linotype" w:hAnsi="Palatino Linotype"/>
          <w:color w:val="000000"/>
          <w:sz w:val="24"/>
        </w:rPr>
      </w:pPr>
      <w:r w:rsidRPr="00B77D66">
        <w:rPr>
          <w:rFonts w:ascii="Palatino Linotype" w:hAnsi="Palatino Linotype"/>
          <w:color w:val="000000"/>
          <w:sz w:val="24"/>
        </w:rPr>
        <w:t xml:space="preserve">El libro especial actualizado de bienes muebles e inmuebles del </w:t>
      </w:r>
      <w:r w:rsidR="0096664F" w:rsidRPr="00B77D66">
        <w:rPr>
          <w:rFonts w:ascii="Palatino Linotype" w:hAnsi="Palatino Linotype"/>
          <w:color w:val="000000"/>
          <w:sz w:val="24"/>
        </w:rPr>
        <w:t>municipio de Cuautitlán Izcalli;</w:t>
      </w:r>
    </w:p>
    <w:p w:rsidR="007D62FA" w:rsidRPr="00B77D66" w:rsidRDefault="0096664F" w:rsidP="0096664F">
      <w:pPr>
        <w:pStyle w:val="Prrafodelista"/>
        <w:numPr>
          <w:ilvl w:val="0"/>
          <w:numId w:val="11"/>
        </w:numPr>
        <w:spacing w:line="360" w:lineRule="auto"/>
        <w:ind w:right="49"/>
        <w:jc w:val="both"/>
        <w:rPr>
          <w:rFonts w:ascii="Palatino Linotype" w:hAnsi="Palatino Linotype"/>
          <w:color w:val="000000"/>
          <w:sz w:val="24"/>
        </w:rPr>
      </w:pPr>
      <w:r w:rsidRPr="00B77D66">
        <w:rPr>
          <w:rFonts w:ascii="Palatino Linotype" w:hAnsi="Palatino Linotype"/>
          <w:color w:val="000000"/>
          <w:sz w:val="24"/>
        </w:rPr>
        <w:t>I</w:t>
      </w:r>
      <w:r w:rsidR="007D62FA" w:rsidRPr="00B77D66">
        <w:rPr>
          <w:rFonts w:ascii="Palatino Linotype" w:hAnsi="Palatino Linotype"/>
          <w:color w:val="000000"/>
          <w:sz w:val="24"/>
        </w:rPr>
        <w:t>nventario general actualizado de los bienes muebles e inmuebles pr</w:t>
      </w:r>
      <w:r w:rsidRPr="00B77D66">
        <w:rPr>
          <w:rFonts w:ascii="Palatino Linotype" w:hAnsi="Palatino Linotype"/>
          <w:color w:val="000000"/>
          <w:sz w:val="24"/>
        </w:rPr>
        <w:t>opiedad del municipio;</w:t>
      </w:r>
    </w:p>
    <w:p w:rsidR="003C46C6" w:rsidRPr="00B77D66" w:rsidRDefault="0096664F" w:rsidP="007D62FA">
      <w:pPr>
        <w:pStyle w:val="Prrafodelista"/>
        <w:numPr>
          <w:ilvl w:val="0"/>
          <w:numId w:val="11"/>
        </w:numPr>
        <w:spacing w:line="360" w:lineRule="auto"/>
        <w:ind w:right="49"/>
        <w:jc w:val="both"/>
        <w:rPr>
          <w:rFonts w:ascii="Palatino Linotype" w:hAnsi="Palatino Linotype"/>
          <w:color w:val="000000"/>
          <w:sz w:val="24"/>
        </w:rPr>
      </w:pPr>
      <w:r w:rsidRPr="00B77D66">
        <w:rPr>
          <w:rFonts w:ascii="Palatino Linotype" w:hAnsi="Palatino Linotype"/>
          <w:color w:val="000000"/>
          <w:sz w:val="24"/>
        </w:rPr>
        <w:t>L</w:t>
      </w:r>
      <w:r w:rsidR="007D62FA" w:rsidRPr="00B77D66">
        <w:rPr>
          <w:rFonts w:ascii="Palatino Linotype" w:hAnsi="Palatino Linotype"/>
          <w:color w:val="000000"/>
          <w:sz w:val="24"/>
        </w:rPr>
        <w:t>a dirección de internet en dónde se encuentra el sist</w:t>
      </w:r>
      <w:r w:rsidRPr="00B77D66">
        <w:rPr>
          <w:rFonts w:ascii="Palatino Linotype" w:hAnsi="Palatino Linotype"/>
          <w:color w:val="000000"/>
          <w:sz w:val="24"/>
        </w:rPr>
        <w:t>ema de información inmobiliaria.</w:t>
      </w:r>
    </w:p>
    <w:p w:rsidR="003C46C6" w:rsidRPr="00B77D66" w:rsidRDefault="003C46C6" w:rsidP="003C46C6">
      <w:pPr>
        <w:spacing w:line="360" w:lineRule="auto"/>
        <w:ind w:right="49"/>
        <w:contextualSpacing/>
        <w:jc w:val="both"/>
        <w:rPr>
          <w:rFonts w:ascii="Palatino Linotype" w:eastAsia="MS Gothic" w:hAnsi="Palatino Linotype" w:cstheme="majorBidi"/>
          <w:i/>
          <w:lang w:val="es-ES_tradnl" w:eastAsia="es-ES"/>
        </w:rPr>
      </w:pPr>
    </w:p>
    <w:p w:rsidR="009B6615" w:rsidRPr="00B77D66" w:rsidRDefault="00E46EEA" w:rsidP="00A90AC7">
      <w:pPr>
        <w:pStyle w:val="Prrafodelista"/>
        <w:numPr>
          <w:ilvl w:val="0"/>
          <w:numId w:val="1"/>
        </w:numPr>
        <w:spacing w:line="360" w:lineRule="auto"/>
        <w:ind w:left="0" w:right="113" w:firstLine="0"/>
        <w:jc w:val="both"/>
        <w:rPr>
          <w:rFonts w:ascii="Palatino Linotype" w:hAnsi="Palatino Linotype"/>
          <w:sz w:val="24"/>
          <w:szCs w:val="22"/>
        </w:rPr>
      </w:pPr>
      <w:r w:rsidRPr="00B77D66">
        <w:rPr>
          <w:rFonts w:ascii="Palatino Linotype" w:eastAsia="MS Gothic" w:hAnsi="Palatino Linotype" w:cstheme="majorBidi"/>
          <w:iCs/>
          <w:sz w:val="24"/>
          <w:lang w:eastAsia="es-ES"/>
        </w:rPr>
        <w:t>En respuesta</w:t>
      </w:r>
      <w:r w:rsidR="003C46C6" w:rsidRPr="00B77D66">
        <w:rPr>
          <w:rFonts w:ascii="Palatino Linotype" w:eastAsia="MS Gothic" w:hAnsi="Palatino Linotype" w:cstheme="majorBidi"/>
          <w:iCs/>
          <w:sz w:val="24"/>
          <w:lang w:eastAsia="es-ES"/>
        </w:rPr>
        <w:t xml:space="preserve"> el SUJETO OBLIGADO</w:t>
      </w:r>
      <w:r w:rsidRPr="00B77D66">
        <w:rPr>
          <w:rFonts w:ascii="Palatino Linotype" w:eastAsia="MS Gothic" w:hAnsi="Palatino Linotype" w:cstheme="majorBidi"/>
          <w:iCs/>
          <w:sz w:val="24"/>
          <w:lang w:eastAsia="es-ES"/>
        </w:rPr>
        <w:t>,</w:t>
      </w:r>
      <w:r w:rsidR="003C46C6" w:rsidRPr="00B77D66">
        <w:rPr>
          <w:rFonts w:ascii="Palatino Linotype" w:eastAsia="MS Gothic" w:hAnsi="Palatino Linotype" w:cstheme="majorBidi"/>
          <w:iCs/>
          <w:sz w:val="24"/>
          <w:lang w:eastAsia="es-ES"/>
        </w:rPr>
        <w:t xml:space="preserve">  </w:t>
      </w:r>
      <w:r w:rsidR="009B6615" w:rsidRPr="00B77D66">
        <w:rPr>
          <w:rFonts w:ascii="Palatino Linotype" w:eastAsia="MS Gothic" w:hAnsi="Palatino Linotype" w:cstheme="majorBidi"/>
          <w:iCs/>
          <w:sz w:val="24"/>
          <w:lang w:eastAsia="es-ES"/>
        </w:rPr>
        <w:t xml:space="preserve">adjuntó el </w:t>
      </w:r>
      <w:r w:rsidR="009B6615" w:rsidRPr="00B77D66">
        <w:rPr>
          <w:rFonts w:ascii="Palatino Linotype" w:hAnsi="Palatino Linotype"/>
          <w:sz w:val="24"/>
          <w:szCs w:val="22"/>
        </w:rPr>
        <w:t xml:space="preserve">libro especial de bienes muebles en versión pública; </w:t>
      </w:r>
      <w:r w:rsidR="0096664F" w:rsidRPr="00B77D66">
        <w:rPr>
          <w:rFonts w:ascii="Palatino Linotype" w:eastAsia="MS Gothic" w:hAnsi="Palatino Linotype" w:cstheme="majorBidi"/>
          <w:iCs/>
          <w:sz w:val="24"/>
          <w:lang w:eastAsia="es-ES"/>
        </w:rPr>
        <w:t xml:space="preserve">reservó </w:t>
      </w:r>
      <w:r w:rsidR="00AE4DB9" w:rsidRPr="00B77D66">
        <w:rPr>
          <w:rFonts w:ascii="Palatino Linotype" w:hAnsi="Palatino Linotype"/>
          <w:sz w:val="24"/>
          <w:szCs w:val="22"/>
        </w:rPr>
        <w:t>los bienes muebles relacionados con el inventario general correspondiente al armamento, equipos de radiocomunicación, cámaras de vigilancia, vehículos automotores (patrullas), chalecos antibalas, semovientes (equinos y caninos), que se encuentran bajo resguardo de la comisaría general de seguridad pública y tránsito m</w:t>
      </w:r>
      <w:r w:rsidR="009B6615" w:rsidRPr="00B77D66">
        <w:rPr>
          <w:rFonts w:ascii="Palatino Linotype" w:hAnsi="Palatino Linotype"/>
          <w:sz w:val="24"/>
          <w:szCs w:val="22"/>
        </w:rPr>
        <w:t xml:space="preserve">unicipal de Cuautitlán Izcalli; asimismo, reservó de forma parcial, a través del acuerdo  CTM/CUT/SE10/004/AR/2022, el </w:t>
      </w:r>
      <w:r w:rsidR="00AE4DB9" w:rsidRPr="00B77D66">
        <w:rPr>
          <w:rFonts w:ascii="Palatino Linotype" w:hAnsi="Palatino Linotype"/>
          <w:sz w:val="24"/>
          <w:szCs w:val="22"/>
        </w:rPr>
        <w:t xml:space="preserve">Libro Especial Actualizado de Bienes Inmuebles del Municipio de Cuautitlán Izcalli. </w:t>
      </w:r>
      <w:r w:rsidR="009B6615" w:rsidRPr="00B77D66">
        <w:rPr>
          <w:rFonts w:ascii="Palatino Linotype" w:hAnsi="Palatino Linotype"/>
          <w:sz w:val="24"/>
          <w:szCs w:val="22"/>
        </w:rPr>
        <w:t>Derivado de la respuesta del Sujeto Obligado, el particul</w:t>
      </w:r>
      <w:r w:rsidR="00243D58" w:rsidRPr="00B77D66">
        <w:rPr>
          <w:rFonts w:ascii="Palatino Linotype" w:hAnsi="Palatino Linotype"/>
          <w:sz w:val="24"/>
          <w:szCs w:val="22"/>
        </w:rPr>
        <w:t>ar se inconformó por la reserva</w:t>
      </w:r>
      <w:r w:rsidR="009B6615" w:rsidRPr="00B77D66">
        <w:rPr>
          <w:rFonts w:ascii="Palatino Linotype" w:hAnsi="Palatino Linotype"/>
          <w:sz w:val="24"/>
          <w:szCs w:val="22"/>
        </w:rPr>
        <w:t xml:space="preserve"> referida en el acuerdo CTM/CUT/SE10/004/AR/2022</w:t>
      </w:r>
      <w:r w:rsidR="009C661E" w:rsidRPr="00B77D66">
        <w:rPr>
          <w:rFonts w:ascii="Palatino Linotype" w:hAnsi="Palatino Linotype"/>
          <w:sz w:val="24"/>
          <w:szCs w:val="22"/>
        </w:rPr>
        <w:t>.</w:t>
      </w:r>
    </w:p>
    <w:p w:rsidR="009B6615" w:rsidRPr="00B77D66" w:rsidRDefault="009B6615" w:rsidP="00A90AC7">
      <w:pPr>
        <w:pStyle w:val="Prrafodelista"/>
        <w:spacing w:line="360" w:lineRule="auto"/>
        <w:ind w:left="0" w:right="113"/>
        <w:jc w:val="both"/>
        <w:rPr>
          <w:rFonts w:ascii="Palatino Linotype" w:hAnsi="Palatino Linotype"/>
          <w:sz w:val="24"/>
          <w:szCs w:val="22"/>
        </w:rPr>
      </w:pPr>
    </w:p>
    <w:p w:rsidR="003C46C6" w:rsidRPr="00B77D66" w:rsidRDefault="003C46C6" w:rsidP="00A90AC7">
      <w:pPr>
        <w:pStyle w:val="Prrafodelista"/>
        <w:numPr>
          <w:ilvl w:val="0"/>
          <w:numId w:val="1"/>
        </w:numPr>
        <w:spacing w:line="360" w:lineRule="auto"/>
        <w:ind w:left="0" w:right="113" w:firstLine="0"/>
        <w:jc w:val="both"/>
        <w:rPr>
          <w:rFonts w:ascii="Palatino Linotype" w:hAnsi="Palatino Linotype"/>
          <w:sz w:val="24"/>
          <w:szCs w:val="22"/>
        </w:rPr>
      </w:pPr>
      <w:r w:rsidRPr="00B77D66">
        <w:rPr>
          <w:rFonts w:ascii="Palatino Linotype" w:eastAsia="MS Gothic" w:hAnsi="Palatino Linotype" w:cstheme="majorBidi"/>
          <w:sz w:val="24"/>
          <w:lang w:eastAsia="es-ES"/>
        </w:rPr>
        <w:lastRenderedPageBreak/>
        <w:t xml:space="preserve">En consecuencia, la Litis a resolver en este recurso, se circunscribe a determinar si la respuesta colma con lo solicitado o si se actualiza las causales de procedencia previstas en </w:t>
      </w:r>
      <w:r w:rsidR="009C661E" w:rsidRPr="00B77D66">
        <w:rPr>
          <w:rFonts w:ascii="Palatino Linotype" w:eastAsia="MS Gothic" w:hAnsi="Palatino Linotype" w:cstheme="majorBidi"/>
          <w:sz w:val="24"/>
          <w:lang w:eastAsia="es-ES"/>
        </w:rPr>
        <w:t>el artículo 179, fracción I  y II</w:t>
      </w:r>
      <w:r w:rsidRPr="00B77D66">
        <w:rPr>
          <w:rFonts w:ascii="Palatino Linotype" w:eastAsia="MS Gothic" w:hAnsi="Palatino Linotype" w:cstheme="majorBidi"/>
          <w:sz w:val="24"/>
          <w:lang w:eastAsia="es-ES"/>
        </w:rPr>
        <w:t xml:space="preserve"> de la Ley de Transparencia y Acceso a la Información Pública del Estado de México y Municipios; que establece la negativa de la información y </w:t>
      </w:r>
      <w:r w:rsidR="009C661E" w:rsidRPr="00B77D66">
        <w:rPr>
          <w:rFonts w:ascii="Palatino Linotype" w:eastAsia="MS Gothic" w:hAnsi="Palatino Linotype" w:cstheme="majorBidi"/>
          <w:sz w:val="24"/>
          <w:lang w:eastAsia="es-ES"/>
        </w:rPr>
        <w:t xml:space="preserve">la clasificación de la información. </w:t>
      </w:r>
    </w:p>
    <w:p w:rsidR="003C46C6" w:rsidRPr="00B77D66" w:rsidRDefault="003C46C6" w:rsidP="003C46C6">
      <w:pPr>
        <w:spacing w:line="360" w:lineRule="auto"/>
        <w:ind w:right="49"/>
        <w:contextualSpacing/>
        <w:jc w:val="both"/>
        <w:rPr>
          <w:rFonts w:ascii="Palatino Linotype" w:eastAsia="MS Gothic" w:hAnsi="Palatino Linotype"/>
        </w:rPr>
      </w:pPr>
    </w:p>
    <w:p w:rsidR="003C46C6" w:rsidRPr="00B77D66" w:rsidRDefault="003C46C6" w:rsidP="003C46C6">
      <w:pPr>
        <w:keepNext/>
        <w:keepLines/>
        <w:spacing w:line="360" w:lineRule="auto"/>
        <w:ind w:right="48"/>
        <w:outlineLvl w:val="0"/>
        <w:rPr>
          <w:rFonts w:ascii="Palatino Linotype" w:eastAsia="MS Gothic" w:hAnsi="Palatino Linotype" w:cstheme="majorBidi"/>
          <w:b/>
          <w:lang w:val="es-ES_tradnl" w:eastAsia="es-ES"/>
        </w:rPr>
      </w:pPr>
      <w:bookmarkStart w:id="12" w:name="_Toc70417466"/>
      <w:bookmarkStart w:id="13" w:name="_Toc80812775"/>
      <w:bookmarkStart w:id="14" w:name="_Toc83301638"/>
      <w:r w:rsidRPr="00B77D66">
        <w:rPr>
          <w:rFonts w:ascii="Palatino Linotype" w:eastAsia="MS Gothic" w:hAnsi="Palatino Linotype" w:cstheme="majorBidi"/>
          <w:b/>
          <w:lang w:val="es-ES_tradnl" w:eastAsia="es-ES"/>
        </w:rPr>
        <w:t>CUARTO. Del estudio y resolución del recurso de revisión.</w:t>
      </w:r>
      <w:bookmarkEnd w:id="12"/>
      <w:bookmarkEnd w:id="13"/>
      <w:bookmarkEnd w:id="14"/>
    </w:p>
    <w:p w:rsidR="003C46C6" w:rsidRPr="00B77D66" w:rsidRDefault="003C46C6" w:rsidP="003C46C6">
      <w:pPr>
        <w:keepNext/>
        <w:keepLines/>
        <w:spacing w:line="360" w:lineRule="auto"/>
        <w:ind w:right="48"/>
        <w:outlineLvl w:val="0"/>
        <w:rPr>
          <w:rFonts w:ascii="Palatino Linotype" w:eastAsia="MS Gothic" w:hAnsi="Palatino Linotype" w:cstheme="majorBidi"/>
          <w:b/>
          <w:lang w:val="es-ES_tradnl" w:eastAsia="es-ES"/>
        </w:rPr>
      </w:pPr>
    </w:p>
    <w:p w:rsidR="003C46C6" w:rsidRPr="00B77D66" w:rsidRDefault="003C46C6" w:rsidP="003C46C6">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5" w:name="_Toc498528948"/>
      <w:bookmarkStart w:id="16" w:name="_Toc71234379"/>
      <w:bookmarkStart w:id="17" w:name="_Toc71239557"/>
      <w:bookmarkStart w:id="18" w:name="_Toc80812776"/>
      <w:bookmarkStart w:id="19" w:name="_Toc83301639"/>
      <w:r w:rsidRPr="00B77D66">
        <w:rPr>
          <w:rFonts w:ascii="Palatino Linotype" w:eastAsia="MS Gothic" w:hAnsi="Palatino Linotype"/>
          <w:b/>
          <w:sz w:val="24"/>
          <w:lang w:val="es-ES_tradnl" w:eastAsia="es-ES"/>
        </w:rPr>
        <w:t>De</w:t>
      </w:r>
      <w:bookmarkEnd w:id="15"/>
      <w:r w:rsidRPr="00B77D66">
        <w:rPr>
          <w:rFonts w:ascii="Palatino Linotype" w:eastAsia="MS Gothic" w:hAnsi="Palatino Linotype"/>
          <w:b/>
          <w:sz w:val="24"/>
          <w:lang w:val="es-ES_tradnl" w:eastAsia="es-ES"/>
        </w:rPr>
        <w:t>l derecho de acceso a la información.</w:t>
      </w:r>
      <w:bookmarkEnd w:id="16"/>
      <w:bookmarkEnd w:id="17"/>
      <w:bookmarkEnd w:id="18"/>
      <w:bookmarkEnd w:id="19"/>
    </w:p>
    <w:p w:rsidR="003C46C6" w:rsidRPr="00B77D66" w:rsidRDefault="003C46C6" w:rsidP="003C46C6">
      <w:pPr>
        <w:spacing w:line="360" w:lineRule="auto"/>
        <w:ind w:right="49"/>
        <w:contextualSpacing/>
        <w:jc w:val="both"/>
        <w:rPr>
          <w:rFonts w:ascii="Palatino Linotype" w:eastAsiaTheme="minorEastAsia" w:hAnsi="Palatino Linotype"/>
          <w:lang w:val="es-ES_tradnl" w:eastAsia="es-ES"/>
        </w:rPr>
      </w:pPr>
    </w:p>
    <w:p w:rsidR="003C46C6" w:rsidRPr="00B77D66" w:rsidRDefault="003C46C6" w:rsidP="003C46C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B77D66">
        <w:rPr>
          <w:rFonts w:ascii="Palatino Linotype" w:eastAsiaTheme="minorEastAsia" w:hAnsi="Palatino Linotype"/>
          <w:lang w:val="es-ES_tradnl" w:eastAsia="es-ES"/>
        </w:rPr>
        <w:t>E</w:t>
      </w:r>
      <w:r w:rsidRPr="00B77D66">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B77D66">
        <w:rPr>
          <w:rFonts w:ascii="Palatino Linotype" w:hAnsi="Palatino Linotype" w:cs="Arial"/>
          <w:color w:val="000000"/>
          <w:lang w:val="es-ES_tradnl" w:eastAsia="es-ES"/>
        </w:rPr>
        <w:t xml:space="preserve">. </w:t>
      </w:r>
    </w:p>
    <w:p w:rsidR="003C46C6" w:rsidRPr="00B77D66" w:rsidRDefault="003C46C6" w:rsidP="003C46C6">
      <w:pPr>
        <w:spacing w:line="360" w:lineRule="auto"/>
        <w:ind w:right="49"/>
        <w:contextualSpacing/>
        <w:jc w:val="both"/>
        <w:rPr>
          <w:rFonts w:ascii="Palatino Linotype" w:eastAsiaTheme="minorEastAsia" w:hAnsi="Palatino Linotype"/>
          <w:lang w:val="es-ES_tradnl" w:eastAsia="es-ES"/>
        </w:rPr>
      </w:pPr>
    </w:p>
    <w:p w:rsidR="003C46C6" w:rsidRPr="00B77D66" w:rsidRDefault="003C46C6" w:rsidP="003C46C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B77D66">
        <w:rPr>
          <w:rFonts w:ascii="Palatino Linotype" w:hAnsi="Palatino Linotype"/>
          <w:lang w:val="es-ES_tradnl" w:eastAsia="es-ES"/>
        </w:rPr>
        <w:t xml:space="preserve">Definiendo el Derecho de Acceso a la Información Pública como: </w:t>
      </w:r>
      <w:r w:rsidRPr="00B77D66">
        <w:rPr>
          <w:rFonts w:ascii="Palatino Linotype" w:eastAsiaTheme="minorEastAsia" w:hAnsi="Palatino Linotype"/>
          <w:i/>
          <w:color w:val="000000"/>
          <w:lang w:val="es-ES_tradnl" w:eastAsia="es-ES"/>
        </w:rPr>
        <w:t>La igualdad de oportunidades para recibir, buscar e impartir información</w:t>
      </w:r>
      <w:r w:rsidRPr="00B77D66">
        <w:rPr>
          <w:rFonts w:ascii="Palatino Linotype" w:eastAsiaTheme="minorEastAsia" w:hAnsi="Palatino Linotype"/>
          <w:i/>
          <w:vertAlign w:val="superscript"/>
          <w:lang w:val="es-ES_tradnl" w:eastAsia="es-ES"/>
        </w:rPr>
        <w:footnoteReference w:id="1"/>
      </w:r>
      <w:r w:rsidRPr="00B77D66">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77D66">
        <w:rPr>
          <w:rFonts w:ascii="Palatino Linotype" w:eastAsiaTheme="minorEastAsia" w:hAnsi="Palatino Linotype"/>
          <w:i/>
          <w:vertAlign w:val="superscript"/>
          <w:lang w:val="es-ES_tradnl" w:eastAsia="es-ES"/>
        </w:rPr>
        <w:footnoteReference w:id="2"/>
      </w:r>
      <w:r w:rsidRPr="00B77D66">
        <w:rPr>
          <w:rFonts w:ascii="Palatino Linotype" w:eastAsiaTheme="minorEastAsia" w:hAnsi="Palatino Linotype"/>
          <w:color w:val="000000"/>
          <w:lang w:val="es-ES_tradnl" w:eastAsia="es-ES"/>
        </w:rPr>
        <w:t>que se constituye como una herramienta fundamental para ejercer</w:t>
      </w:r>
      <w:r w:rsidRPr="00B77D66">
        <w:rPr>
          <w:rFonts w:ascii="Palatino Linotype" w:eastAsiaTheme="minorEastAsia" w:hAnsi="Palatino Linotype"/>
          <w:i/>
          <w:color w:val="000000"/>
          <w:lang w:val="es-ES_tradnl" w:eastAsia="es-ES"/>
        </w:rPr>
        <w:t xml:space="preserve"> el control democrático de las gestiones estatales, de forma tal que </w:t>
      </w:r>
      <w:r w:rsidRPr="00B77D66">
        <w:rPr>
          <w:rFonts w:ascii="Palatino Linotype" w:eastAsiaTheme="minorEastAsia" w:hAnsi="Palatino Linotype"/>
          <w:i/>
          <w:color w:val="000000"/>
          <w:lang w:val="es-ES_tradnl" w:eastAsia="es-ES"/>
        </w:rPr>
        <w:lastRenderedPageBreak/>
        <w:t>puedan cuestionar, indagar y considerar si se está dando un adecuado cumplimiento a las funciones públicas,</w:t>
      </w:r>
      <w:r w:rsidRPr="00B77D66">
        <w:rPr>
          <w:rFonts w:ascii="Palatino Linotype" w:eastAsiaTheme="minorEastAsia" w:hAnsi="Palatino Linotype"/>
          <w:i/>
          <w:vertAlign w:val="superscript"/>
          <w:lang w:val="es-ES_tradnl" w:eastAsia="es-ES"/>
        </w:rPr>
        <w:footnoteReference w:id="3"/>
      </w:r>
      <w:r w:rsidRPr="00B77D66">
        <w:rPr>
          <w:rFonts w:ascii="Palatino Linotype" w:eastAsiaTheme="minorEastAsia" w:hAnsi="Palatino Linotype"/>
          <w:color w:val="000000"/>
          <w:lang w:val="es-ES_tradnl" w:eastAsia="es-ES"/>
        </w:rPr>
        <w:t>fomentando</w:t>
      </w:r>
      <w:r w:rsidRPr="00B77D66">
        <w:rPr>
          <w:rFonts w:ascii="Palatino Linotype" w:eastAsiaTheme="minorEastAsia" w:hAnsi="Palatino Linotype"/>
          <w:i/>
          <w:color w:val="000000"/>
          <w:lang w:val="es-ES_tradnl" w:eastAsia="es-ES"/>
        </w:rPr>
        <w:t xml:space="preserve"> la transparencia de las actividades estatales y </w:t>
      </w:r>
      <w:r w:rsidRPr="00B77D66">
        <w:rPr>
          <w:rFonts w:ascii="Palatino Linotype" w:eastAsiaTheme="minorEastAsia" w:hAnsi="Palatino Linotype"/>
          <w:color w:val="000000"/>
          <w:lang w:val="es-ES_tradnl" w:eastAsia="es-ES"/>
        </w:rPr>
        <w:t>promoviendo</w:t>
      </w:r>
      <w:r w:rsidRPr="00B77D66">
        <w:rPr>
          <w:rFonts w:ascii="Palatino Linotype" w:eastAsiaTheme="minorEastAsia" w:hAnsi="Palatino Linotype"/>
          <w:i/>
          <w:color w:val="000000"/>
          <w:lang w:val="es-ES_tradnl" w:eastAsia="es-ES"/>
        </w:rPr>
        <w:t xml:space="preserve"> la responsabilidad de los funcionarios sobre su gestión pública,</w:t>
      </w:r>
      <w:r w:rsidRPr="00B77D66">
        <w:rPr>
          <w:rFonts w:ascii="Palatino Linotype" w:eastAsiaTheme="minorEastAsia" w:hAnsi="Palatino Linotype"/>
          <w:i/>
          <w:vertAlign w:val="superscript"/>
          <w:lang w:val="es-ES_tradnl" w:eastAsia="es-ES"/>
        </w:rPr>
        <w:footnoteReference w:id="4"/>
      </w:r>
      <w:r w:rsidRPr="00B77D66">
        <w:rPr>
          <w:rFonts w:ascii="Palatino Linotype" w:eastAsiaTheme="minorEastAsia" w:hAnsi="Palatino Linotype"/>
          <w:color w:val="000000"/>
          <w:lang w:val="es-ES_tradnl" w:eastAsia="es-ES"/>
        </w:rPr>
        <w:t>que permite</w:t>
      </w:r>
      <w:r w:rsidRPr="00B77D66">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3C46C6" w:rsidRPr="00B77D66" w:rsidRDefault="003C46C6" w:rsidP="003C46C6">
      <w:pPr>
        <w:spacing w:line="360" w:lineRule="auto"/>
        <w:ind w:right="49"/>
        <w:contextualSpacing/>
        <w:jc w:val="both"/>
        <w:rPr>
          <w:rFonts w:ascii="Palatino Linotype" w:eastAsiaTheme="minorEastAsia" w:hAnsi="Palatino Linotype"/>
          <w:lang w:val="es-ES_tradnl" w:eastAsia="es-ES"/>
        </w:rPr>
      </w:pPr>
    </w:p>
    <w:p w:rsidR="003C46C6" w:rsidRPr="00B77D66" w:rsidRDefault="003C46C6" w:rsidP="003C46C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B77D66">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3C46C6" w:rsidRPr="00B77D66" w:rsidRDefault="003C46C6" w:rsidP="003C46C6">
      <w:pPr>
        <w:spacing w:line="360" w:lineRule="auto"/>
        <w:ind w:right="49"/>
        <w:contextualSpacing/>
        <w:jc w:val="both"/>
        <w:rPr>
          <w:rFonts w:ascii="Palatino Linotype" w:hAnsi="Palatino Linotype"/>
          <w:lang w:val="es-ES_tradnl" w:eastAsia="es-ES"/>
        </w:rPr>
      </w:pPr>
    </w:p>
    <w:p w:rsidR="003C46C6" w:rsidRPr="00B77D66" w:rsidRDefault="003C46C6" w:rsidP="003C46C6">
      <w:pPr>
        <w:spacing w:line="360" w:lineRule="auto"/>
        <w:ind w:left="567" w:right="567"/>
        <w:contextualSpacing/>
        <w:jc w:val="both"/>
        <w:rPr>
          <w:rFonts w:ascii="Palatino Linotype" w:hAnsi="Palatino Linotype"/>
          <w:i/>
          <w:sz w:val="22"/>
          <w:lang w:val="es-ES_tradnl" w:eastAsia="es-ES"/>
        </w:rPr>
      </w:pPr>
      <w:r w:rsidRPr="00B77D66">
        <w:rPr>
          <w:rFonts w:ascii="Palatino Linotype" w:hAnsi="Palatino Linotype"/>
          <w:i/>
          <w:sz w:val="22"/>
          <w:lang w:val="es-ES_tradnl" w:eastAsia="es-ES"/>
        </w:rPr>
        <w:t>“</w:t>
      </w:r>
      <w:r w:rsidRPr="00B77D66">
        <w:rPr>
          <w:rFonts w:ascii="Palatino Linotype" w:hAnsi="Palatino Linotype"/>
          <w:b/>
          <w:i/>
          <w:sz w:val="22"/>
          <w:lang w:val="es-ES_tradnl" w:eastAsia="es-ES"/>
        </w:rPr>
        <w:t>Artículo 1.-</w:t>
      </w:r>
      <w:r w:rsidRPr="00B77D66">
        <w:rPr>
          <w:rFonts w:ascii="Palatino Linotype" w:hAnsi="Palatino Linotype"/>
          <w:i/>
          <w:sz w:val="22"/>
          <w:lang w:val="es-ES_tradnl" w:eastAsia="es-ES"/>
        </w:rPr>
        <w:t xml:space="preserve"> </w:t>
      </w:r>
    </w:p>
    <w:p w:rsidR="003C46C6" w:rsidRPr="00B77D66" w:rsidRDefault="003C46C6" w:rsidP="003C46C6">
      <w:pPr>
        <w:spacing w:line="360" w:lineRule="auto"/>
        <w:ind w:left="567" w:right="567"/>
        <w:contextualSpacing/>
        <w:jc w:val="both"/>
        <w:rPr>
          <w:rFonts w:ascii="Palatino Linotype" w:hAnsi="Palatino Linotype"/>
          <w:i/>
          <w:sz w:val="22"/>
          <w:lang w:val="es-ES_tradnl" w:eastAsia="es-ES"/>
        </w:rPr>
      </w:pPr>
      <w:r w:rsidRPr="00B77D66">
        <w:rPr>
          <w:rFonts w:ascii="Palatino Linotype" w:hAnsi="Palatino Linotype"/>
          <w:i/>
          <w:sz w:val="22"/>
          <w:lang w:val="es-ES_tradnl" w:eastAsia="es-ES"/>
        </w:rPr>
        <w:t>(…)</w:t>
      </w:r>
    </w:p>
    <w:p w:rsidR="003C46C6" w:rsidRPr="00B77D66" w:rsidRDefault="003C46C6" w:rsidP="003C46C6">
      <w:pPr>
        <w:spacing w:line="360" w:lineRule="auto"/>
        <w:ind w:left="567" w:right="567"/>
        <w:contextualSpacing/>
        <w:jc w:val="both"/>
        <w:rPr>
          <w:rFonts w:ascii="Palatino Linotype" w:hAnsi="Palatino Linotype"/>
          <w:i/>
          <w:sz w:val="22"/>
        </w:rPr>
      </w:pPr>
      <w:r w:rsidRPr="00B77D66">
        <w:rPr>
          <w:rFonts w:ascii="Palatino Linotype" w:hAnsi="Palatino Linotype"/>
          <w:i/>
          <w:sz w:val="22"/>
          <w:lang w:val="es-ES_tradnl" w:eastAsia="es-ES"/>
        </w:rPr>
        <w:t>Todas las</w:t>
      </w:r>
      <w:r w:rsidRPr="00B77D66">
        <w:rPr>
          <w:rFonts w:ascii="Palatino Linotype" w:hAnsi="Palatino Linotype"/>
          <w:sz w:val="22"/>
          <w:lang w:val="es-ES_tradnl" w:eastAsia="es-ES"/>
        </w:rPr>
        <w:t xml:space="preserve"> </w:t>
      </w:r>
      <w:r w:rsidRPr="00B77D66">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C46C6" w:rsidRPr="00B77D66" w:rsidRDefault="003C46C6" w:rsidP="003C46C6">
      <w:pPr>
        <w:spacing w:line="360" w:lineRule="auto"/>
        <w:ind w:left="567" w:right="567"/>
        <w:contextualSpacing/>
        <w:jc w:val="both"/>
        <w:rPr>
          <w:rFonts w:ascii="Palatino Linotype" w:hAnsi="Palatino Linotype"/>
          <w:sz w:val="22"/>
          <w:lang w:val="es-ES_tradnl" w:eastAsia="es-ES"/>
        </w:rPr>
      </w:pPr>
      <w:r w:rsidRPr="00B77D66">
        <w:rPr>
          <w:rFonts w:ascii="Palatino Linotype" w:hAnsi="Palatino Linotype"/>
          <w:i/>
          <w:sz w:val="22"/>
        </w:rPr>
        <w:t>(…)</w:t>
      </w:r>
      <w:r w:rsidRPr="00B77D66">
        <w:rPr>
          <w:rFonts w:ascii="Palatino Linotype" w:hAnsi="Palatino Linotype"/>
          <w:sz w:val="22"/>
          <w:lang w:val="es-ES_tradnl" w:eastAsia="es-ES"/>
        </w:rPr>
        <w:t>”.</w:t>
      </w:r>
    </w:p>
    <w:p w:rsidR="003C46C6" w:rsidRPr="00B77D66" w:rsidRDefault="003C46C6" w:rsidP="003C46C6">
      <w:pPr>
        <w:spacing w:line="360" w:lineRule="auto"/>
        <w:ind w:left="567" w:right="567"/>
        <w:contextualSpacing/>
        <w:jc w:val="both"/>
        <w:rPr>
          <w:rFonts w:ascii="Palatino Linotype" w:hAnsi="Palatino Linotype"/>
          <w:b/>
          <w:sz w:val="22"/>
          <w:lang w:val="es-ES_tradnl" w:eastAsia="es-ES"/>
        </w:rPr>
      </w:pPr>
      <w:r w:rsidRPr="00B77D66">
        <w:rPr>
          <w:rFonts w:ascii="Palatino Linotype" w:hAnsi="Palatino Linotype"/>
          <w:b/>
          <w:i/>
          <w:sz w:val="22"/>
        </w:rPr>
        <w:t>(Énfasis Añadido)</w:t>
      </w:r>
    </w:p>
    <w:p w:rsidR="003C46C6" w:rsidRPr="00B77D66" w:rsidRDefault="003C46C6" w:rsidP="003C46C6">
      <w:pPr>
        <w:spacing w:line="360" w:lineRule="auto"/>
        <w:ind w:right="49"/>
        <w:contextualSpacing/>
        <w:jc w:val="both"/>
        <w:rPr>
          <w:rFonts w:ascii="Palatino Linotype" w:eastAsiaTheme="minorEastAsia" w:hAnsi="Palatino Linotype"/>
          <w:lang w:val="es-ES_tradnl" w:eastAsia="es-ES"/>
        </w:rPr>
      </w:pPr>
    </w:p>
    <w:p w:rsidR="003C46C6" w:rsidRPr="00B77D66" w:rsidRDefault="003C46C6" w:rsidP="003C46C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B77D66">
        <w:rPr>
          <w:rFonts w:ascii="Palatino Linotype" w:hAnsi="Palatino Linotype"/>
          <w:lang w:val="es-ES_tradnl" w:eastAsia="es-ES"/>
        </w:rPr>
        <w:t xml:space="preserve">Por lo anterior, se deduce que el Derecho de Acceso a la Información Pública es un Derecho Humano de Fuente Internacional y Constitucionalmente reconocido. </w:t>
      </w:r>
      <w:r w:rsidRPr="00B77D66">
        <w:rPr>
          <w:rFonts w:ascii="Palatino Linotype" w:hAnsi="Palatino Linotype"/>
          <w:lang w:val="es-ES_tradnl" w:eastAsia="es-ES"/>
        </w:rPr>
        <w:lastRenderedPageBreak/>
        <w:t>Además del derecho, también se reconocen garantías para su protección, lo que vincula con el mandato del párrafo tercero de mismo artículo.</w:t>
      </w:r>
    </w:p>
    <w:p w:rsidR="003C46C6" w:rsidRPr="00B77D66" w:rsidRDefault="003C46C6" w:rsidP="003C46C6">
      <w:pPr>
        <w:spacing w:line="360" w:lineRule="auto"/>
        <w:ind w:right="49"/>
        <w:contextualSpacing/>
        <w:jc w:val="both"/>
        <w:rPr>
          <w:rFonts w:ascii="Palatino Linotype" w:eastAsiaTheme="minorEastAsia" w:hAnsi="Palatino Linotype"/>
          <w:lang w:val="es-ES_tradnl" w:eastAsia="es-ES"/>
        </w:rPr>
      </w:pPr>
    </w:p>
    <w:p w:rsidR="003C46C6" w:rsidRPr="00B77D66" w:rsidRDefault="003C46C6" w:rsidP="003C46C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B77D66">
        <w:rPr>
          <w:rFonts w:ascii="Palatino Linotype" w:eastAsiaTheme="minorEastAsia" w:hAnsi="Palatino Linotype"/>
          <w:lang w:val="es-ES_tradnl" w:eastAsia="es-ES"/>
        </w:rPr>
        <w:t xml:space="preserve">Así, conforme a la Constitución Política de las Estado Unidos Mexicanos </w:t>
      </w:r>
      <w:r w:rsidRPr="00B77D66">
        <w:rPr>
          <w:rFonts w:ascii="Palatino Linotype" w:eastAsia="Calibri" w:hAnsi="Palatino Linotype"/>
          <w:lang w:val="es-ES_tradnl" w:eastAsia="es-ES"/>
        </w:rPr>
        <w:t>y la Constitución Política del Estado Libre y Soberano de México respectivamente</w:t>
      </w:r>
      <w:r w:rsidRPr="00B77D66">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3C46C6" w:rsidRPr="00B77D66" w:rsidRDefault="003C46C6" w:rsidP="003C46C6">
      <w:pPr>
        <w:spacing w:line="360" w:lineRule="auto"/>
        <w:ind w:right="49"/>
        <w:contextualSpacing/>
        <w:jc w:val="both"/>
        <w:rPr>
          <w:rFonts w:ascii="Palatino Linotype" w:eastAsiaTheme="minorEastAsia" w:hAnsi="Palatino Linotype"/>
          <w:lang w:val="es-ES_tradnl" w:eastAsia="es-ES"/>
        </w:rPr>
      </w:pPr>
    </w:p>
    <w:p w:rsidR="003C46C6" w:rsidRPr="00B77D66" w:rsidRDefault="003C46C6" w:rsidP="003C46C6">
      <w:pPr>
        <w:spacing w:line="360" w:lineRule="auto"/>
        <w:ind w:left="567" w:right="567"/>
        <w:jc w:val="center"/>
        <w:rPr>
          <w:rFonts w:ascii="Palatino Linotype" w:eastAsiaTheme="minorEastAsia" w:hAnsi="Palatino Linotype" w:cs="Arial"/>
          <w:b/>
          <w:bCs/>
          <w:i/>
          <w:sz w:val="22"/>
          <w:lang w:val="es-ES_tradnl" w:eastAsia="es-ES"/>
        </w:rPr>
      </w:pPr>
      <w:r w:rsidRPr="00B77D66">
        <w:rPr>
          <w:rFonts w:ascii="Palatino Linotype" w:eastAsiaTheme="minorEastAsia" w:hAnsi="Palatino Linotype" w:cs="Arial"/>
          <w:b/>
          <w:bCs/>
          <w:i/>
          <w:sz w:val="22"/>
          <w:lang w:val="es-ES_tradnl" w:eastAsia="es-ES"/>
        </w:rPr>
        <w:t>Constitución Política de los Estados Unidos Mexicanos</w:t>
      </w:r>
    </w:p>
    <w:p w:rsidR="003C46C6" w:rsidRPr="00B77D66" w:rsidRDefault="003C46C6" w:rsidP="003C46C6">
      <w:pPr>
        <w:spacing w:line="360" w:lineRule="auto"/>
        <w:ind w:left="567" w:right="567"/>
        <w:jc w:val="both"/>
        <w:rPr>
          <w:rFonts w:ascii="Palatino Linotype" w:eastAsiaTheme="minorEastAsia" w:hAnsi="Palatino Linotype" w:cs="Arial"/>
          <w:b/>
          <w:bCs/>
          <w:i/>
          <w:sz w:val="22"/>
          <w:lang w:val="es-ES_tradnl" w:eastAsia="es-ES"/>
        </w:rPr>
      </w:pPr>
      <w:r w:rsidRPr="00B77D66">
        <w:rPr>
          <w:rFonts w:ascii="Palatino Linotype" w:eastAsiaTheme="minorEastAsia" w:hAnsi="Palatino Linotype" w:cs="Arial"/>
          <w:b/>
          <w:bCs/>
          <w:i/>
          <w:sz w:val="22"/>
          <w:lang w:val="es-ES_tradnl" w:eastAsia="es-ES"/>
        </w:rPr>
        <w:t>“Artículo 6.</w:t>
      </w:r>
      <w:r w:rsidRPr="00B77D66">
        <w:rPr>
          <w:rFonts w:ascii="Palatino Linotype" w:eastAsiaTheme="minorEastAsia" w:hAnsi="Palatino Linotype" w:cs="Arial"/>
          <w:bCs/>
          <w:i/>
          <w:sz w:val="22"/>
          <w:lang w:val="es-ES_tradnl" w:eastAsia="es-ES"/>
        </w:rPr>
        <w:t xml:space="preserve"> …</w:t>
      </w:r>
    </w:p>
    <w:p w:rsidR="003C46C6" w:rsidRPr="00B77D66" w:rsidRDefault="003C46C6" w:rsidP="003C46C6">
      <w:pPr>
        <w:spacing w:line="360" w:lineRule="auto"/>
        <w:ind w:left="567" w:right="567"/>
        <w:jc w:val="both"/>
        <w:rPr>
          <w:rFonts w:ascii="Palatino Linotype" w:eastAsiaTheme="minorEastAsia" w:hAnsi="Palatino Linotype" w:cs="Arial"/>
          <w:bCs/>
          <w:i/>
          <w:sz w:val="22"/>
          <w:lang w:val="es-ES_tradnl" w:eastAsia="es-ES"/>
        </w:rPr>
      </w:pPr>
      <w:r w:rsidRPr="00B77D66">
        <w:rPr>
          <w:rFonts w:ascii="Palatino Linotype" w:eastAsiaTheme="minorEastAsia" w:hAnsi="Palatino Linotype" w:cs="Arial"/>
          <w:bCs/>
          <w:i/>
          <w:sz w:val="22"/>
          <w:lang w:val="es-ES_tradnl" w:eastAsia="es-ES"/>
        </w:rPr>
        <w:t>…</w:t>
      </w:r>
    </w:p>
    <w:p w:rsidR="003C46C6" w:rsidRPr="00B77D66" w:rsidRDefault="003C46C6" w:rsidP="003C46C6">
      <w:pPr>
        <w:spacing w:line="360" w:lineRule="auto"/>
        <w:ind w:left="567" w:right="567"/>
        <w:jc w:val="both"/>
        <w:rPr>
          <w:rFonts w:ascii="Palatino Linotype" w:eastAsiaTheme="minorEastAsia" w:hAnsi="Palatino Linotype" w:cs="Arial"/>
          <w:bCs/>
          <w:i/>
          <w:sz w:val="22"/>
          <w:lang w:val="es-ES_tradnl" w:eastAsia="es-ES"/>
        </w:rPr>
      </w:pPr>
      <w:r w:rsidRPr="00B77D66">
        <w:rPr>
          <w:rFonts w:ascii="Palatino Linotype" w:eastAsiaTheme="minorEastAsia" w:hAnsi="Palatino Linotype" w:cs="Arial"/>
          <w:bCs/>
          <w:i/>
          <w:sz w:val="22"/>
          <w:lang w:val="es-ES_tradnl" w:eastAsia="es-ES"/>
        </w:rPr>
        <w:t>Para efectos de lo dispuesto en el presente artículo se observará lo siguiente:</w:t>
      </w:r>
    </w:p>
    <w:p w:rsidR="003C46C6" w:rsidRPr="00B77D66" w:rsidRDefault="003C46C6" w:rsidP="003C46C6">
      <w:pPr>
        <w:spacing w:line="360" w:lineRule="auto"/>
        <w:ind w:left="567" w:right="567"/>
        <w:jc w:val="both"/>
        <w:rPr>
          <w:rFonts w:ascii="Palatino Linotype" w:eastAsiaTheme="minorEastAsia" w:hAnsi="Palatino Linotype" w:cs="Arial"/>
          <w:b/>
          <w:bCs/>
          <w:i/>
          <w:sz w:val="22"/>
          <w:lang w:val="es-ES_tradnl" w:eastAsia="es-ES"/>
        </w:rPr>
      </w:pPr>
      <w:r w:rsidRPr="00B77D66">
        <w:rPr>
          <w:rFonts w:ascii="Palatino Linotype" w:eastAsiaTheme="minorEastAsia" w:hAnsi="Palatino Linotype" w:cs="Arial"/>
          <w:b/>
          <w:bCs/>
          <w:i/>
          <w:sz w:val="22"/>
          <w:lang w:val="es-ES_tradnl" w:eastAsia="es-ES"/>
        </w:rPr>
        <w:t>A</w:t>
      </w:r>
      <w:r w:rsidRPr="00B77D66">
        <w:rPr>
          <w:rFonts w:ascii="Palatino Linotype" w:eastAsiaTheme="minorEastAsia" w:hAnsi="Palatino Linotype" w:cs="Arial"/>
          <w:bCs/>
          <w:i/>
          <w:sz w:val="22"/>
          <w:lang w:val="es-ES_tradnl" w:eastAsia="es-ES"/>
        </w:rPr>
        <w:t xml:space="preserve">. </w:t>
      </w:r>
      <w:r w:rsidRPr="00B77D66">
        <w:rPr>
          <w:rFonts w:ascii="Palatino Linotype" w:eastAsiaTheme="minorEastAsia" w:hAnsi="Palatino Linotype" w:cs="Arial"/>
          <w:b/>
          <w:bCs/>
          <w:i/>
          <w:sz w:val="22"/>
          <w:lang w:val="es-ES_tradnl" w:eastAsia="es-ES"/>
        </w:rPr>
        <w:t>Para el ejercicio del derecho de acceso a la información</w:t>
      </w:r>
      <w:r w:rsidRPr="00B77D66">
        <w:rPr>
          <w:rFonts w:ascii="Palatino Linotype" w:eastAsiaTheme="minorEastAsia" w:hAnsi="Palatino Linotype" w:cs="Arial"/>
          <w:bCs/>
          <w:i/>
          <w:sz w:val="22"/>
          <w:lang w:val="es-ES_tradnl" w:eastAsia="es-ES"/>
        </w:rPr>
        <w:t xml:space="preserve">, la Federación y </w:t>
      </w:r>
      <w:r w:rsidRPr="00B77D66">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3C46C6" w:rsidRPr="00B77D66" w:rsidRDefault="003C46C6" w:rsidP="003C46C6">
      <w:pPr>
        <w:spacing w:line="360" w:lineRule="auto"/>
        <w:ind w:left="567" w:right="567"/>
        <w:jc w:val="both"/>
        <w:rPr>
          <w:rFonts w:ascii="Palatino Linotype" w:eastAsiaTheme="minorEastAsia" w:hAnsi="Palatino Linotype" w:cs="Arial"/>
          <w:bCs/>
          <w:i/>
          <w:sz w:val="22"/>
          <w:lang w:val="es-ES_tradnl" w:eastAsia="es-ES"/>
        </w:rPr>
      </w:pPr>
      <w:r w:rsidRPr="00B77D66">
        <w:rPr>
          <w:rFonts w:ascii="Palatino Linotype" w:eastAsiaTheme="minorEastAsia" w:hAnsi="Palatino Linotype" w:cs="Arial"/>
          <w:b/>
          <w:bCs/>
          <w:i/>
          <w:sz w:val="22"/>
          <w:lang w:val="es-ES_tradnl" w:eastAsia="es-ES"/>
        </w:rPr>
        <w:t xml:space="preserve">I. </w:t>
      </w:r>
      <w:r w:rsidRPr="00B77D66">
        <w:rPr>
          <w:rFonts w:ascii="Palatino Linotype" w:eastAsiaTheme="minorEastAsia" w:hAnsi="Palatino Linotype" w:cs="Arial"/>
          <w:b/>
          <w:bCs/>
          <w:i/>
          <w:sz w:val="22"/>
          <w:lang w:val="es-ES_tradnl" w:eastAsia="es-ES"/>
        </w:rPr>
        <w:tab/>
        <w:t>Toda la información en posesión de cualquier</w:t>
      </w:r>
      <w:r w:rsidRPr="00B77D66">
        <w:rPr>
          <w:rFonts w:ascii="Palatino Linotype" w:eastAsiaTheme="minorEastAsia" w:hAnsi="Palatino Linotype" w:cs="Arial"/>
          <w:bCs/>
          <w:i/>
          <w:sz w:val="22"/>
          <w:lang w:val="es-ES_tradnl" w:eastAsia="es-ES"/>
        </w:rPr>
        <w:t xml:space="preserve"> </w:t>
      </w:r>
      <w:r w:rsidRPr="00B77D66">
        <w:rPr>
          <w:rFonts w:ascii="Palatino Linotype" w:eastAsiaTheme="minorEastAsia" w:hAnsi="Palatino Linotype" w:cs="Arial"/>
          <w:b/>
          <w:bCs/>
          <w:i/>
          <w:sz w:val="22"/>
          <w:lang w:val="es-ES_tradnl" w:eastAsia="es-ES"/>
        </w:rPr>
        <w:t>autoridad</w:t>
      </w:r>
      <w:r w:rsidRPr="00B77D66">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77D66">
        <w:rPr>
          <w:rFonts w:ascii="Palatino Linotype" w:eastAsiaTheme="minorEastAsia" w:hAnsi="Palatino Linotype" w:cs="Arial"/>
          <w:b/>
          <w:bCs/>
          <w:i/>
          <w:sz w:val="22"/>
          <w:lang w:val="es-ES_tradnl" w:eastAsia="es-ES"/>
        </w:rPr>
        <w:t>municipal</w:t>
      </w:r>
      <w:r w:rsidRPr="00B77D66">
        <w:rPr>
          <w:rFonts w:ascii="Palatino Linotype" w:eastAsiaTheme="minorEastAsia" w:hAnsi="Palatino Linotype" w:cs="Arial"/>
          <w:bCs/>
          <w:i/>
          <w:sz w:val="22"/>
          <w:lang w:val="es-ES_tradnl" w:eastAsia="es-ES"/>
        </w:rPr>
        <w:t xml:space="preserve">, </w:t>
      </w:r>
      <w:r w:rsidRPr="00B77D66">
        <w:rPr>
          <w:rFonts w:ascii="Palatino Linotype" w:eastAsiaTheme="minorEastAsia" w:hAnsi="Palatino Linotype" w:cs="Arial"/>
          <w:b/>
          <w:bCs/>
          <w:i/>
          <w:sz w:val="22"/>
          <w:lang w:val="es-ES_tradnl" w:eastAsia="es-ES"/>
        </w:rPr>
        <w:t>es pública</w:t>
      </w:r>
      <w:r w:rsidRPr="00B77D66">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B77D66">
        <w:rPr>
          <w:rFonts w:ascii="Palatino Linotype" w:eastAsiaTheme="minorEastAsia" w:hAnsi="Palatino Linotype" w:cs="Arial"/>
          <w:b/>
          <w:bCs/>
          <w:i/>
          <w:sz w:val="22"/>
          <w:lang w:val="es-ES_tradnl" w:eastAsia="es-ES"/>
        </w:rPr>
        <w:t xml:space="preserve">En la interpretación de este derecho deberá prevalecer el principio de máxima publicidad. Los sujetos obligados deberán documentar todo acto que derive del </w:t>
      </w:r>
      <w:r w:rsidRPr="00B77D66">
        <w:rPr>
          <w:rFonts w:ascii="Palatino Linotype" w:eastAsiaTheme="minorEastAsia" w:hAnsi="Palatino Linotype" w:cs="Arial"/>
          <w:b/>
          <w:bCs/>
          <w:i/>
          <w:sz w:val="22"/>
          <w:lang w:val="es-ES_tradnl" w:eastAsia="es-ES"/>
        </w:rPr>
        <w:lastRenderedPageBreak/>
        <w:t>ejercicio de sus facultades, competencias o funciones</w:t>
      </w:r>
      <w:r w:rsidRPr="00B77D66">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3C46C6" w:rsidRPr="00B77D66" w:rsidRDefault="003C46C6" w:rsidP="003C46C6">
      <w:pPr>
        <w:pStyle w:val="Prrafodelista"/>
        <w:tabs>
          <w:tab w:val="left" w:pos="567"/>
        </w:tabs>
        <w:spacing w:line="360" w:lineRule="auto"/>
        <w:ind w:left="567" w:right="567"/>
        <w:jc w:val="both"/>
        <w:rPr>
          <w:rFonts w:ascii="Palatino Linotype" w:hAnsi="Palatino Linotype" w:cs="Arial"/>
          <w:b/>
          <w:bCs/>
          <w:i/>
        </w:rPr>
      </w:pPr>
      <w:r w:rsidRPr="00B77D66">
        <w:rPr>
          <w:rFonts w:ascii="Palatino Linotype" w:hAnsi="Palatino Linotype" w:cs="Arial"/>
          <w:b/>
          <w:bCs/>
          <w:i/>
        </w:rPr>
        <w:t>(Énfasis añadido)</w:t>
      </w:r>
    </w:p>
    <w:p w:rsidR="003C46C6" w:rsidRPr="00B77D66" w:rsidRDefault="003C46C6" w:rsidP="003C46C6">
      <w:pPr>
        <w:pStyle w:val="Prrafodelista"/>
        <w:tabs>
          <w:tab w:val="left" w:pos="567"/>
        </w:tabs>
        <w:spacing w:line="360" w:lineRule="auto"/>
        <w:ind w:left="567" w:right="567"/>
        <w:jc w:val="both"/>
        <w:rPr>
          <w:rFonts w:ascii="Palatino Linotype" w:hAnsi="Palatino Linotype" w:cs="Arial"/>
          <w:b/>
          <w:bCs/>
          <w:i/>
        </w:rPr>
      </w:pPr>
    </w:p>
    <w:p w:rsidR="003C46C6" w:rsidRPr="00B77D66" w:rsidRDefault="003C46C6" w:rsidP="003C46C6">
      <w:pPr>
        <w:spacing w:line="360" w:lineRule="auto"/>
        <w:ind w:left="567" w:right="567"/>
        <w:jc w:val="center"/>
        <w:rPr>
          <w:rFonts w:ascii="Palatino Linotype" w:eastAsiaTheme="minorEastAsia" w:hAnsi="Palatino Linotype" w:cs="Arial"/>
          <w:b/>
          <w:bCs/>
          <w:i/>
          <w:sz w:val="22"/>
          <w:lang w:val="es-ES_tradnl" w:eastAsia="es-ES"/>
        </w:rPr>
      </w:pPr>
      <w:r w:rsidRPr="00B77D66">
        <w:rPr>
          <w:rFonts w:ascii="Palatino Linotype" w:eastAsiaTheme="minorEastAsia" w:hAnsi="Palatino Linotype" w:cs="Arial"/>
          <w:b/>
          <w:bCs/>
          <w:i/>
          <w:sz w:val="22"/>
          <w:lang w:val="es-ES_tradnl" w:eastAsia="es-ES"/>
        </w:rPr>
        <w:t>Constitución Política del Estado Libre y Soberano de México</w:t>
      </w:r>
    </w:p>
    <w:p w:rsidR="003C46C6" w:rsidRPr="00B77D66" w:rsidRDefault="003C46C6" w:rsidP="003C46C6">
      <w:pPr>
        <w:spacing w:line="360" w:lineRule="auto"/>
        <w:ind w:left="567" w:right="567"/>
        <w:jc w:val="both"/>
        <w:rPr>
          <w:rFonts w:ascii="Palatino Linotype" w:eastAsiaTheme="minorEastAsia" w:hAnsi="Palatino Linotype" w:cs="Arial"/>
          <w:bCs/>
          <w:i/>
          <w:sz w:val="22"/>
          <w:lang w:val="es-ES_tradnl" w:eastAsia="es-ES"/>
        </w:rPr>
      </w:pPr>
      <w:r w:rsidRPr="00B77D66">
        <w:rPr>
          <w:rFonts w:ascii="Palatino Linotype" w:eastAsiaTheme="minorEastAsia" w:hAnsi="Palatino Linotype" w:cs="Arial"/>
          <w:b/>
          <w:bCs/>
          <w:i/>
          <w:sz w:val="22"/>
          <w:lang w:val="es-ES_tradnl" w:eastAsia="es-ES"/>
        </w:rPr>
        <w:t>“Artículo 5</w:t>
      </w:r>
      <w:r w:rsidRPr="00B77D66">
        <w:rPr>
          <w:rFonts w:ascii="Palatino Linotype" w:eastAsiaTheme="minorEastAsia" w:hAnsi="Palatino Linotype" w:cs="Arial"/>
          <w:bCs/>
          <w:i/>
          <w:sz w:val="22"/>
          <w:lang w:val="es-ES_tradnl" w:eastAsia="es-ES"/>
        </w:rPr>
        <w:t>.- …</w:t>
      </w:r>
    </w:p>
    <w:p w:rsidR="003C46C6" w:rsidRPr="00B77D66" w:rsidRDefault="003C46C6" w:rsidP="003C46C6">
      <w:pPr>
        <w:spacing w:line="360" w:lineRule="auto"/>
        <w:ind w:left="567" w:right="567"/>
        <w:jc w:val="both"/>
        <w:rPr>
          <w:rFonts w:ascii="Palatino Linotype" w:eastAsiaTheme="minorEastAsia" w:hAnsi="Palatino Linotype" w:cs="Arial"/>
          <w:bCs/>
          <w:i/>
          <w:sz w:val="22"/>
          <w:lang w:val="es-ES_tradnl" w:eastAsia="es-ES"/>
        </w:rPr>
      </w:pPr>
      <w:r w:rsidRPr="00B77D66">
        <w:rPr>
          <w:rFonts w:ascii="Palatino Linotype" w:eastAsiaTheme="minorEastAsia" w:hAnsi="Palatino Linotype" w:cs="Arial"/>
          <w:bCs/>
          <w:i/>
          <w:sz w:val="22"/>
          <w:lang w:val="es-ES_tradnl" w:eastAsia="es-ES"/>
        </w:rPr>
        <w:t>…</w:t>
      </w:r>
    </w:p>
    <w:p w:rsidR="003C46C6" w:rsidRPr="00B77D66" w:rsidRDefault="003C46C6" w:rsidP="003C46C6">
      <w:pPr>
        <w:spacing w:line="360" w:lineRule="auto"/>
        <w:ind w:left="567" w:right="567"/>
        <w:jc w:val="both"/>
        <w:rPr>
          <w:rFonts w:ascii="Palatino Linotype" w:eastAsiaTheme="minorEastAsia" w:hAnsi="Palatino Linotype" w:cs="Arial"/>
          <w:bCs/>
          <w:i/>
          <w:sz w:val="22"/>
          <w:lang w:val="es-ES_tradnl" w:eastAsia="es-ES"/>
        </w:rPr>
      </w:pPr>
      <w:r w:rsidRPr="00B77D66">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B77D66">
        <w:rPr>
          <w:rFonts w:ascii="Palatino Linotype" w:eastAsiaTheme="minorEastAsia" w:hAnsi="Palatino Linotype" w:cs="Arial"/>
          <w:bCs/>
          <w:i/>
          <w:sz w:val="22"/>
          <w:lang w:val="es-ES_tradnl" w:eastAsia="es-ES"/>
        </w:rPr>
        <w:t>.</w:t>
      </w:r>
    </w:p>
    <w:p w:rsidR="003C46C6" w:rsidRPr="00B77D66" w:rsidRDefault="003C46C6" w:rsidP="003C46C6">
      <w:pPr>
        <w:spacing w:line="360" w:lineRule="auto"/>
        <w:ind w:left="567" w:right="567"/>
        <w:jc w:val="both"/>
        <w:rPr>
          <w:rFonts w:ascii="Palatino Linotype" w:eastAsiaTheme="minorEastAsia" w:hAnsi="Palatino Linotype" w:cs="Arial"/>
          <w:bCs/>
          <w:i/>
          <w:sz w:val="22"/>
          <w:lang w:val="es-ES_tradnl" w:eastAsia="es-ES"/>
        </w:rPr>
      </w:pPr>
      <w:r w:rsidRPr="00B77D66">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C46C6" w:rsidRPr="00B77D66" w:rsidRDefault="003C46C6" w:rsidP="003C46C6">
      <w:pPr>
        <w:spacing w:line="360" w:lineRule="auto"/>
        <w:ind w:left="567" w:right="567"/>
        <w:jc w:val="both"/>
        <w:rPr>
          <w:rFonts w:ascii="Palatino Linotype" w:eastAsiaTheme="minorEastAsia" w:hAnsi="Palatino Linotype" w:cs="Arial"/>
          <w:bCs/>
          <w:i/>
          <w:sz w:val="22"/>
          <w:lang w:val="es-ES_tradnl" w:eastAsia="es-ES"/>
        </w:rPr>
      </w:pPr>
      <w:r w:rsidRPr="00B77D66">
        <w:rPr>
          <w:rFonts w:ascii="Palatino Linotype" w:eastAsiaTheme="minorEastAsia" w:hAnsi="Palatino Linotype" w:cs="Arial"/>
          <w:b/>
          <w:bCs/>
          <w:i/>
          <w:sz w:val="22"/>
          <w:lang w:val="es-ES_tradnl" w:eastAsia="es-ES"/>
        </w:rPr>
        <w:t>Este derecho se regirá por los principios y bases siguientes</w:t>
      </w:r>
      <w:r w:rsidRPr="00B77D66">
        <w:rPr>
          <w:rFonts w:ascii="Palatino Linotype" w:eastAsiaTheme="minorEastAsia" w:hAnsi="Palatino Linotype" w:cs="Arial"/>
          <w:bCs/>
          <w:i/>
          <w:sz w:val="22"/>
          <w:lang w:val="es-ES_tradnl" w:eastAsia="es-ES"/>
        </w:rPr>
        <w:t>:</w:t>
      </w:r>
    </w:p>
    <w:p w:rsidR="003C46C6" w:rsidRPr="00B77D66" w:rsidRDefault="003C46C6" w:rsidP="003C46C6">
      <w:pPr>
        <w:spacing w:line="360" w:lineRule="auto"/>
        <w:ind w:left="567" w:right="567"/>
        <w:jc w:val="both"/>
        <w:rPr>
          <w:rFonts w:ascii="Palatino Linotype" w:eastAsiaTheme="minorEastAsia" w:hAnsi="Palatino Linotype" w:cs="Arial"/>
          <w:bCs/>
          <w:i/>
          <w:sz w:val="22"/>
          <w:lang w:val="es-ES_tradnl" w:eastAsia="es-ES"/>
        </w:rPr>
      </w:pPr>
      <w:r w:rsidRPr="00B77D66">
        <w:rPr>
          <w:rFonts w:ascii="Palatino Linotype" w:eastAsiaTheme="minorEastAsia" w:hAnsi="Palatino Linotype" w:cs="Arial"/>
          <w:b/>
          <w:bCs/>
          <w:i/>
          <w:sz w:val="22"/>
          <w:lang w:val="es-ES_tradnl" w:eastAsia="es-ES"/>
        </w:rPr>
        <w:t>I. Toda la información en posesión de cualquier autoridad, entidad, órgano y organismos de los</w:t>
      </w:r>
      <w:r w:rsidRPr="00B77D66">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B77D66">
        <w:rPr>
          <w:rFonts w:ascii="Palatino Linotype" w:eastAsiaTheme="minorEastAsia" w:hAnsi="Palatino Linotype" w:cs="Arial"/>
          <w:b/>
          <w:bCs/>
          <w:i/>
          <w:sz w:val="22"/>
          <w:lang w:val="es-ES_tradnl" w:eastAsia="es-ES"/>
        </w:rPr>
        <w:t>municipales</w:t>
      </w:r>
      <w:r w:rsidRPr="00B77D66">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77D66">
        <w:rPr>
          <w:rFonts w:ascii="Palatino Linotype" w:eastAsiaTheme="minorEastAsia" w:hAnsi="Palatino Linotype" w:cs="Arial"/>
          <w:b/>
          <w:bCs/>
          <w:i/>
          <w:sz w:val="22"/>
          <w:lang w:val="es-ES_tradnl" w:eastAsia="es-ES"/>
        </w:rPr>
        <w:t>es pública</w:t>
      </w:r>
      <w:r w:rsidRPr="00B77D66">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B77D66">
        <w:rPr>
          <w:rFonts w:ascii="Palatino Linotype" w:eastAsiaTheme="minorEastAsia" w:hAnsi="Palatino Linotype" w:cs="Arial"/>
          <w:b/>
          <w:bCs/>
          <w:i/>
          <w:sz w:val="22"/>
          <w:lang w:val="es-ES_tradnl" w:eastAsia="es-ES"/>
        </w:rPr>
        <w:t>En la interpretación de este derecho deberá prevalecer el principio de máxima publicidad</w:t>
      </w:r>
      <w:r w:rsidRPr="00B77D66">
        <w:rPr>
          <w:rFonts w:ascii="Palatino Linotype" w:eastAsiaTheme="minorEastAsia" w:hAnsi="Palatino Linotype" w:cs="Arial"/>
          <w:bCs/>
          <w:i/>
          <w:sz w:val="22"/>
          <w:lang w:val="es-ES_tradnl" w:eastAsia="es-ES"/>
        </w:rPr>
        <w:t xml:space="preserve">. </w:t>
      </w:r>
      <w:r w:rsidRPr="00B77D66">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B77D66">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3C46C6" w:rsidRPr="00B77D66" w:rsidRDefault="003C46C6" w:rsidP="003C46C6">
      <w:pPr>
        <w:pStyle w:val="Prrafodelista"/>
        <w:tabs>
          <w:tab w:val="left" w:pos="567"/>
        </w:tabs>
        <w:spacing w:line="360" w:lineRule="auto"/>
        <w:ind w:left="567" w:right="567"/>
        <w:jc w:val="both"/>
        <w:rPr>
          <w:rFonts w:ascii="Palatino Linotype" w:hAnsi="Palatino Linotype" w:cs="Arial"/>
          <w:b/>
          <w:bCs/>
          <w:i/>
        </w:rPr>
      </w:pPr>
      <w:r w:rsidRPr="00B77D66">
        <w:rPr>
          <w:rFonts w:ascii="Palatino Linotype" w:hAnsi="Palatino Linotype" w:cs="Arial"/>
          <w:b/>
          <w:bCs/>
          <w:i/>
        </w:rPr>
        <w:lastRenderedPageBreak/>
        <w:t>(Énfasis añadido)</w:t>
      </w:r>
    </w:p>
    <w:p w:rsidR="003C46C6" w:rsidRPr="00B77D66" w:rsidRDefault="003C46C6" w:rsidP="003C46C6">
      <w:pPr>
        <w:spacing w:line="360" w:lineRule="auto"/>
        <w:ind w:right="49"/>
        <w:contextualSpacing/>
        <w:jc w:val="both"/>
        <w:rPr>
          <w:rFonts w:ascii="Palatino Linotype" w:eastAsiaTheme="minorEastAsia" w:hAnsi="Palatino Linotype"/>
          <w:lang w:val="es-ES_tradnl" w:eastAsia="es-ES"/>
        </w:rPr>
      </w:pPr>
    </w:p>
    <w:p w:rsidR="003C46C6" w:rsidRPr="00B77D66" w:rsidRDefault="003C46C6" w:rsidP="003C46C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B77D66">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B77D66">
        <w:rPr>
          <w:rFonts w:ascii="Palatino Linotype" w:eastAsiaTheme="minorEastAsia" w:hAnsi="Palatino Linotype" w:cs="Arial"/>
          <w:i/>
          <w:lang w:val="es-ES_tradnl" w:eastAsia="es-ES"/>
        </w:rPr>
        <w:t>por los principios de simplicidad, rapidez gratuidad del procedimiento, auxilio y orientación a los particulares</w:t>
      </w:r>
      <w:r w:rsidRPr="00B77D66">
        <w:rPr>
          <w:rFonts w:ascii="Palatino Linotype" w:eastAsiaTheme="minorEastAsia" w:hAnsi="Palatino Linotype" w:cs="Arial"/>
          <w:lang w:val="es-ES_tradnl" w:eastAsia="es-ES"/>
        </w:rPr>
        <w:t>, contemplando el derecho de las personas con discapacidad y hablantes de lengua indígena.</w:t>
      </w:r>
    </w:p>
    <w:p w:rsidR="003C46C6" w:rsidRPr="00B77D66" w:rsidRDefault="003C46C6" w:rsidP="003C46C6">
      <w:pPr>
        <w:spacing w:line="360" w:lineRule="auto"/>
        <w:ind w:right="49"/>
        <w:contextualSpacing/>
        <w:jc w:val="both"/>
        <w:rPr>
          <w:rFonts w:ascii="Palatino Linotype" w:eastAsiaTheme="minorEastAsia" w:hAnsi="Palatino Linotype"/>
          <w:lang w:val="es-ES_tradnl" w:eastAsia="es-ES"/>
        </w:rPr>
      </w:pPr>
    </w:p>
    <w:p w:rsidR="003C46C6" w:rsidRPr="00B77D66" w:rsidRDefault="003C46C6" w:rsidP="003C46C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B77D66">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B77D66">
        <w:rPr>
          <w:rFonts w:ascii="Palatino Linotype" w:eastAsiaTheme="minorEastAsia" w:hAnsi="Palatino Linotype" w:cs="Arial"/>
          <w:i/>
          <w:lang w:val="es-ES_tradnl" w:eastAsia="es-ES"/>
        </w:rPr>
        <w:t>solicitudes de acceso a la información</w:t>
      </w:r>
      <w:r w:rsidRPr="00B77D66">
        <w:rPr>
          <w:rFonts w:ascii="Palatino Linotype" w:eastAsiaTheme="minorEastAsia" w:hAnsi="Palatino Linotype" w:cs="Arial"/>
          <w:lang w:val="es-ES_tradnl" w:eastAsia="es-ES"/>
        </w:rPr>
        <w:t>.</w:t>
      </w:r>
    </w:p>
    <w:p w:rsidR="003C46C6" w:rsidRPr="00B77D66" w:rsidRDefault="003C46C6" w:rsidP="003C46C6">
      <w:pPr>
        <w:spacing w:line="360" w:lineRule="auto"/>
        <w:ind w:right="49"/>
        <w:contextualSpacing/>
        <w:jc w:val="both"/>
        <w:rPr>
          <w:rFonts w:ascii="Palatino Linotype" w:eastAsiaTheme="minorEastAsia" w:hAnsi="Palatino Linotype"/>
          <w:lang w:val="es-ES_tradnl" w:eastAsia="es-ES"/>
        </w:rPr>
      </w:pPr>
    </w:p>
    <w:p w:rsidR="003C46C6" w:rsidRPr="00B77D66" w:rsidRDefault="003C46C6" w:rsidP="003C46C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B77D66">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3C46C6" w:rsidRPr="00B77D66" w:rsidRDefault="003C46C6" w:rsidP="003C46C6">
      <w:pPr>
        <w:spacing w:line="360" w:lineRule="auto"/>
        <w:ind w:right="49"/>
        <w:contextualSpacing/>
        <w:jc w:val="both"/>
        <w:rPr>
          <w:rFonts w:ascii="Palatino Linotype" w:eastAsiaTheme="minorEastAsia" w:hAnsi="Palatino Linotype" w:cs="Arial"/>
          <w:lang w:val="es-ES_tradnl" w:eastAsia="es-ES"/>
        </w:rPr>
      </w:pPr>
    </w:p>
    <w:p w:rsidR="003C46C6" w:rsidRPr="00B77D66" w:rsidRDefault="003C46C6" w:rsidP="003C46C6">
      <w:pPr>
        <w:pStyle w:val="Ttulo1"/>
        <w:spacing w:before="0" w:line="360" w:lineRule="auto"/>
        <w:rPr>
          <w:rFonts w:ascii="Palatino Linotype" w:hAnsi="Palatino Linotype"/>
          <w:b/>
          <w:color w:val="auto"/>
          <w:sz w:val="24"/>
          <w:szCs w:val="24"/>
        </w:rPr>
      </w:pPr>
      <w:bookmarkStart w:id="20" w:name="_Toc80812777"/>
      <w:bookmarkStart w:id="21" w:name="_Toc83301641"/>
      <w:r w:rsidRPr="00B77D66">
        <w:rPr>
          <w:rFonts w:ascii="Palatino Linotype" w:hAnsi="Palatino Linotype"/>
          <w:b/>
          <w:color w:val="auto"/>
          <w:sz w:val="24"/>
          <w:szCs w:val="24"/>
        </w:rPr>
        <w:t>II. De la información solicitada y la respuesta del Sujeto Obligado.</w:t>
      </w:r>
      <w:bookmarkEnd w:id="20"/>
      <w:bookmarkEnd w:id="21"/>
    </w:p>
    <w:p w:rsidR="003C46C6" w:rsidRPr="00B77D66" w:rsidRDefault="003C46C6" w:rsidP="003C46C6">
      <w:pPr>
        <w:spacing w:line="360" w:lineRule="auto"/>
        <w:ind w:right="49"/>
        <w:contextualSpacing/>
        <w:jc w:val="both"/>
        <w:rPr>
          <w:rFonts w:ascii="Palatino Linotype" w:eastAsiaTheme="minorEastAsia" w:hAnsi="Palatino Linotype"/>
          <w:lang w:val="es-ES_tradnl" w:eastAsia="es-ES"/>
        </w:rPr>
      </w:pPr>
    </w:p>
    <w:p w:rsidR="003C46C6" w:rsidRPr="00B77D66" w:rsidRDefault="003C46C6" w:rsidP="003C46C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B77D66">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B77D66">
        <w:rPr>
          <w:rFonts w:ascii="Palatino Linotype" w:eastAsia="Calibri" w:hAnsi="Palatino Linotype" w:cs="Arial"/>
          <w:lang w:val="es-ES"/>
        </w:rPr>
        <w:t>Ley de Transparencia y Acceso a la Información Pública del Estado de México y Municipios</w:t>
      </w:r>
      <w:r w:rsidRPr="00B77D66">
        <w:rPr>
          <w:rFonts w:ascii="Palatino Linotype" w:hAnsi="Palatino Linotype" w:cs="Arial"/>
          <w:lang w:val="es-ES"/>
        </w:rPr>
        <w:t>.</w:t>
      </w:r>
    </w:p>
    <w:p w:rsidR="00243D58" w:rsidRPr="00B77D66" w:rsidRDefault="003C46C6" w:rsidP="0092740E">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B77D66">
        <w:rPr>
          <w:rFonts w:ascii="Palatino Linotype" w:hAnsi="Palatino Linotype" w:cs="Arial"/>
          <w:lang w:val="es-ES"/>
        </w:rPr>
        <w:lastRenderedPageBreak/>
        <w:t xml:space="preserve">En este caso, </w:t>
      </w:r>
      <w:r w:rsidR="005A28C5" w:rsidRPr="00B77D66">
        <w:rPr>
          <w:rFonts w:ascii="Palatino Linotype" w:eastAsia="MS Gothic" w:hAnsi="Palatino Linotype" w:cstheme="majorBidi"/>
          <w:lang w:eastAsia="es-ES"/>
        </w:rPr>
        <w:t>el particular solicitó:</w:t>
      </w:r>
    </w:p>
    <w:p w:rsidR="005A28C5" w:rsidRPr="00B77D66" w:rsidRDefault="005A28C5" w:rsidP="005A28C5">
      <w:pPr>
        <w:spacing w:line="360" w:lineRule="auto"/>
        <w:ind w:right="49"/>
        <w:contextualSpacing/>
        <w:jc w:val="both"/>
        <w:rPr>
          <w:rFonts w:ascii="Palatino Linotype" w:eastAsia="MS Gothic" w:hAnsi="Palatino Linotype" w:cstheme="majorBidi"/>
          <w:lang w:val="es-ES_tradnl" w:eastAsia="es-ES"/>
        </w:rPr>
      </w:pPr>
    </w:p>
    <w:p w:rsidR="005A28C5" w:rsidRPr="00B77D66" w:rsidRDefault="005A28C5" w:rsidP="005A28C5">
      <w:pPr>
        <w:pStyle w:val="Prrafodelista"/>
        <w:numPr>
          <w:ilvl w:val="0"/>
          <w:numId w:val="11"/>
        </w:numPr>
        <w:spacing w:line="360" w:lineRule="auto"/>
        <w:ind w:right="49"/>
        <w:jc w:val="both"/>
        <w:rPr>
          <w:rFonts w:ascii="Palatino Linotype" w:hAnsi="Palatino Linotype"/>
          <w:color w:val="000000"/>
          <w:sz w:val="24"/>
        </w:rPr>
      </w:pPr>
      <w:r w:rsidRPr="00B77D66">
        <w:rPr>
          <w:rFonts w:ascii="Palatino Linotype" w:hAnsi="Palatino Linotype"/>
          <w:color w:val="000000"/>
          <w:sz w:val="24"/>
        </w:rPr>
        <w:t>El libro especial actualizado de bienes muebles e inmuebles del municipio de Cuautitlán Izcalli;</w:t>
      </w:r>
    </w:p>
    <w:p w:rsidR="005A28C5" w:rsidRPr="00B77D66" w:rsidRDefault="005A28C5" w:rsidP="005A28C5">
      <w:pPr>
        <w:pStyle w:val="Prrafodelista"/>
        <w:numPr>
          <w:ilvl w:val="0"/>
          <w:numId w:val="11"/>
        </w:numPr>
        <w:spacing w:line="360" w:lineRule="auto"/>
        <w:ind w:right="49"/>
        <w:jc w:val="both"/>
        <w:rPr>
          <w:rFonts w:ascii="Palatino Linotype" w:hAnsi="Palatino Linotype"/>
          <w:color w:val="000000"/>
          <w:sz w:val="24"/>
        </w:rPr>
      </w:pPr>
      <w:r w:rsidRPr="00B77D66">
        <w:rPr>
          <w:rFonts w:ascii="Palatino Linotype" w:hAnsi="Palatino Linotype"/>
          <w:color w:val="000000"/>
          <w:sz w:val="24"/>
        </w:rPr>
        <w:t>Inventario general actualizado de los bienes muebles e inmuebles propiedad del municipio;</w:t>
      </w:r>
    </w:p>
    <w:p w:rsidR="005A28C5" w:rsidRPr="00B77D66" w:rsidRDefault="005A28C5" w:rsidP="005A28C5">
      <w:pPr>
        <w:pStyle w:val="Prrafodelista"/>
        <w:numPr>
          <w:ilvl w:val="0"/>
          <w:numId w:val="11"/>
        </w:numPr>
        <w:spacing w:line="360" w:lineRule="auto"/>
        <w:ind w:right="49"/>
        <w:jc w:val="both"/>
        <w:rPr>
          <w:rFonts w:ascii="Palatino Linotype" w:hAnsi="Palatino Linotype"/>
          <w:color w:val="000000"/>
          <w:sz w:val="24"/>
        </w:rPr>
      </w:pPr>
      <w:r w:rsidRPr="00B77D66">
        <w:rPr>
          <w:rFonts w:ascii="Palatino Linotype" w:hAnsi="Palatino Linotype"/>
          <w:color w:val="000000"/>
          <w:sz w:val="24"/>
        </w:rPr>
        <w:t>La dirección de internet en dónde se encuentra el sistema de información inmobiliaria.</w:t>
      </w:r>
    </w:p>
    <w:p w:rsidR="005A28C5" w:rsidRPr="00B77D66" w:rsidRDefault="005A28C5" w:rsidP="005A28C5">
      <w:pPr>
        <w:spacing w:line="360" w:lineRule="auto"/>
        <w:ind w:right="49"/>
        <w:contextualSpacing/>
        <w:jc w:val="both"/>
        <w:rPr>
          <w:rFonts w:ascii="Palatino Linotype" w:eastAsia="MS Gothic" w:hAnsi="Palatino Linotype" w:cstheme="majorBidi"/>
          <w:i/>
          <w:lang w:val="es-ES_tradnl" w:eastAsia="es-ES"/>
        </w:rPr>
      </w:pPr>
    </w:p>
    <w:p w:rsidR="005A28C5" w:rsidRPr="00B77D66" w:rsidRDefault="005A28C5" w:rsidP="00AF261D">
      <w:pPr>
        <w:pStyle w:val="Prrafodelista"/>
        <w:numPr>
          <w:ilvl w:val="0"/>
          <w:numId w:val="1"/>
        </w:numPr>
        <w:spacing w:line="360" w:lineRule="auto"/>
        <w:ind w:left="0" w:right="113" w:firstLine="0"/>
        <w:jc w:val="both"/>
        <w:rPr>
          <w:rFonts w:ascii="Palatino Linotype" w:hAnsi="Palatino Linotype"/>
          <w:sz w:val="24"/>
          <w:szCs w:val="22"/>
        </w:rPr>
      </w:pPr>
      <w:r w:rsidRPr="00B77D66">
        <w:rPr>
          <w:rFonts w:ascii="Palatino Linotype" w:eastAsia="MS Gothic" w:hAnsi="Palatino Linotype" w:cstheme="majorBidi"/>
          <w:iCs/>
          <w:sz w:val="24"/>
          <w:lang w:eastAsia="es-ES"/>
        </w:rPr>
        <w:t xml:space="preserve">En respuesta, el SUJETO OBLIGADO  adjuntó el </w:t>
      </w:r>
      <w:r w:rsidRPr="00B77D66">
        <w:rPr>
          <w:rFonts w:ascii="Palatino Linotype" w:hAnsi="Palatino Linotype"/>
          <w:sz w:val="24"/>
          <w:szCs w:val="22"/>
        </w:rPr>
        <w:t xml:space="preserve">libro especial de bienes muebles en versión pública; </w:t>
      </w:r>
      <w:r w:rsidRPr="00B77D66">
        <w:rPr>
          <w:rFonts w:ascii="Palatino Linotype" w:eastAsia="MS Gothic" w:hAnsi="Palatino Linotype" w:cstheme="majorBidi"/>
          <w:iCs/>
          <w:sz w:val="24"/>
          <w:lang w:eastAsia="es-ES"/>
        </w:rPr>
        <w:t xml:space="preserve">reservó </w:t>
      </w:r>
      <w:r w:rsidRPr="00B77D66">
        <w:rPr>
          <w:rFonts w:ascii="Palatino Linotype" w:hAnsi="Palatino Linotype"/>
          <w:sz w:val="24"/>
          <w:szCs w:val="22"/>
        </w:rPr>
        <w:t xml:space="preserve">los bienes muebles relacionados con el inventario general correspondiente al armamento, equipos de radiocomunicación, cámaras de vigilancia, vehículos automotores (patrullas), chalecos antibalas, semovientes (equinos y caninos), que se encuentran bajo resguardo de la comisaría general de seguridad pública y tránsito municipal de Cuautitlán Izcalli; asimismo, reservó de forma parcial, a través del acuerdo  CTM/CUT/SE10/004/AR/2022, el Libro Especial Actualizado de Bienes Inmuebles del Municipio de Cuautitlán Izcalli. Derivado de la respuesta del Sujeto Obligado, el particular se inconformó por la reserva referida en el </w:t>
      </w:r>
      <w:r w:rsidR="00B0600A" w:rsidRPr="00B77D66">
        <w:rPr>
          <w:rFonts w:ascii="Palatino Linotype" w:hAnsi="Palatino Linotype"/>
          <w:sz w:val="24"/>
          <w:szCs w:val="22"/>
        </w:rPr>
        <w:t>acuerdo CTM/CUT/SE10/004/AR/2022, es decir, por la reserva del libro especial actualizado de bienes inmuebles.</w:t>
      </w:r>
    </w:p>
    <w:p w:rsidR="00B0600A" w:rsidRPr="00B77D66" w:rsidRDefault="00B0600A" w:rsidP="00B0600A">
      <w:pPr>
        <w:pStyle w:val="Prrafodelista"/>
        <w:spacing w:line="360" w:lineRule="auto"/>
        <w:ind w:left="0" w:right="113"/>
        <w:jc w:val="both"/>
        <w:rPr>
          <w:rFonts w:ascii="Palatino Linotype" w:hAnsi="Palatino Linotype"/>
          <w:sz w:val="24"/>
          <w:szCs w:val="22"/>
        </w:rPr>
      </w:pPr>
    </w:p>
    <w:p w:rsidR="00B061B3" w:rsidRPr="00B77D66" w:rsidRDefault="00B061B3" w:rsidP="00B061B3">
      <w:pPr>
        <w:pStyle w:val="Prrafodelista"/>
        <w:numPr>
          <w:ilvl w:val="0"/>
          <w:numId w:val="1"/>
        </w:numPr>
        <w:spacing w:line="360" w:lineRule="auto"/>
        <w:ind w:left="0" w:right="49" w:firstLine="0"/>
        <w:jc w:val="both"/>
        <w:rPr>
          <w:rFonts w:ascii="Palatino Linotype" w:hAnsi="Palatino Linotype" w:cs="Arial"/>
          <w:color w:val="000000"/>
          <w:sz w:val="24"/>
        </w:rPr>
      </w:pPr>
      <w:r w:rsidRPr="00B77D66">
        <w:rPr>
          <w:rFonts w:ascii="Palatino Linotype" w:eastAsia="MS Mincho" w:hAnsi="Palatino Linotype" w:cs="Arial"/>
          <w:sz w:val="24"/>
          <w:lang w:eastAsia="es-ES"/>
        </w:rPr>
        <w:t xml:space="preserve">Ahora bien, </w:t>
      </w:r>
      <w:r w:rsidR="00B0600A" w:rsidRPr="00B77D66">
        <w:rPr>
          <w:rFonts w:ascii="Palatino Linotype" w:eastAsia="MS Mincho" w:hAnsi="Palatino Linotype" w:cs="Arial"/>
          <w:sz w:val="24"/>
          <w:lang w:eastAsia="es-ES"/>
        </w:rPr>
        <w:t xml:space="preserve">como ya referimos en el párrafo anterior, </w:t>
      </w:r>
      <w:r w:rsidRPr="00B77D66">
        <w:rPr>
          <w:rFonts w:ascii="Palatino Linotype" w:eastAsia="MS Mincho" w:hAnsi="Palatino Linotype" w:cs="Arial"/>
          <w:sz w:val="24"/>
          <w:lang w:eastAsia="es-ES"/>
        </w:rPr>
        <w:t xml:space="preserve">la inconformidad del RECURRENTE radica en que </w:t>
      </w:r>
      <w:r w:rsidR="00B0600A" w:rsidRPr="00B77D66">
        <w:rPr>
          <w:rFonts w:ascii="Palatino Linotype" w:eastAsia="MS Mincho" w:hAnsi="Palatino Linotype" w:cs="Arial"/>
          <w:sz w:val="24"/>
          <w:lang w:eastAsia="es-ES"/>
        </w:rPr>
        <w:t>se reservó la información referente al libro especial actualizado de bienes inmuebles</w:t>
      </w:r>
      <w:r w:rsidRPr="00B77D66">
        <w:rPr>
          <w:rFonts w:ascii="Palatino Linotype" w:eastAsia="MS Mincho" w:hAnsi="Palatino Linotype" w:cs="Arial"/>
          <w:sz w:val="24"/>
          <w:lang w:eastAsia="es-ES"/>
        </w:rPr>
        <w:t xml:space="preserve">, es decir, que el particular no se inconformó por </w:t>
      </w:r>
      <w:r w:rsidR="00AB6C4C" w:rsidRPr="00B77D66">
        <w:rPr>
          <w:rFonts w:ascii="Palatino Linotype" w:eastAsia="MS Mincho" w:hAnsi="Palatino Linotype" w:cs="Arial"/>
          <w:sz w:val="24"/>
          <w:lang w:eastAsia="es-ES"/>
        </w:rPr>
        <w:t xml:space="preserve">el resto de </w:t>
      </w:r>
      <w:r w:rsidRPr="00B77D66">
        <w:rPr>
          <w:rFonts w:ascii="Palatino Linotype" w:eastAsia="MS Mincho" w:hAnsi="Palatino Linotype" w:cs="Arial"/>
          <w:sz w:val="24"/>
          <w:lang w:eastAsia="es-ES"/>
        </w:rPr>
        <w:t xml:space="preserve">las documentales emitidas en respuesta; en este caso, la parte de la respuesta </w:t>
      </w:r>
      <w:r w:rsidRPr="00B77D66">
        <w:rPr>
          <w:rFonts w:ascii="Palatino Linotype" w:eastAsia="MS Mincho" w:hAnsi="Palatino Linotype" w:cs="Arial"/>
          <w:sz w:val="24"/>
          <w:lang w:eastAsia="es-ES"/>
        </w:rPr>
        <w:lastRenderedPageBreak/>
        <w:t xml:space="preserve">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rsidR="00B061B3" w:rsidRPr="00B77D66" w:rsidRDefault="00B061B3" w:rsidP="00B061B3">
      <w:pPr>
        <w:pStyle w:val="Prrafodelista"/>
        <w:spacing w:line="360" w:lineRule="auto"/>
        <w:ind w:left="0" w:right="49"/>
        <w:jc w:val="both"/>
        <w:rPr>
          <w:rFonts w:ascii="Palatino Linotype" w:hAnsi="Palatino Linotype" w:cs="Arial"/>
          <w:color w:val="000000"/>
          <w:sz w:val="24"/>
        </w:rPr>
      </w:pPr>
    </w:p>
    <w:p w:rsidR="00B061B3" w:rsidRPr="00B77D66" w:rsidRDefault="00B061B3" w:rsidP="00B061B3">
      <w:pPr>
        <w:pStyle w:val="Prrafodelista"/>
        <w:numPr>
          <w:ilvl w:val="0"/>
          <w:numId w:val="1"/>
        </w:numPr>
        <w:spacing w:line="360" w:lineRule="auto"/>
        <w:ind w:left="0" w:right="49" w:firstLine="0"/>
        <w:jc w:val="both"/>
        <w:rPr>
          <w:rFonts w:ascii="Palatino Linotype" w:hAnsi="Palatino Linotype" w:cs="Arial"/>
          <w:color w:val="000000"/>
          <w:sz w:val="24"/>
        </w:rPr>
      </w:pPr>
      <w:r w:rsidRPr="00B77D66">
        <w:rPr>
          <w:rFonts w:ascii="Palatino Linotype" w:eastAsia="MS Mincho" w:hAnsi="Palatino Linotype" w:cs="Arial"/>
          <w:sz w:val="24"/>
          <w:lang w:eastAsia="es-ES"/>
        </w:rPr>
        <w:t>Sirve de sustento, la tesis jurisprudencial número VI.3o.C. J/60, publicada en el Semanario Judicial de la Federación y su Gaceta bajo el número de registro 176,608 que a la letra dice:</w:t>
      </w:r>
    </w:p>
    <w:p w:rsidR="00B061B3" w:rsidRPr="00B77D66" w:rsidRDefault="00B061B3" w:rsidP="00B061B3">
      <w:pPr>
        <w:pStyle w:val="Prrafodelista"/>
        <w:spacing w:before="240" w:after="240" w:line="360" w:lineRule="auto"/>
        <w:ind w:left="0" w:right="48"/>
        <w:jc w:val="both"/>
        <w:rPr>
          <w:rFonts w:ascii="Palatino Linotype" w:eastAsia="MS Mincho" w:hAnsi="Palatino Linotype" w:cs="Arial"/>
          <w:sz w:val="24"/>
          <w:lang w:eastAsia="es-ES"/>
        </w:rPr>
      </w:pPr>
    </w:p>
    <w:p w:rsidR="00B061B3" w:rsidRPr="00B77D66" w:rsidRDefault="00B061B3" w:rsidP="00B061B3">
      <w:pPr>
        <w:pStyle w:val="Prrafodelista"/>
        <w:spacing w:before="240" w:after="240" w:line="360" w:lineRule="auto"/>
        <w:ind w:left="851" w:right="822"/>
        <w:jc w:val="both"/>
        <w:rPr>
          <w:rFonts w:ascii="Palatino Linotype" w:eastAsia="MS Mincho" w:hAnsi="Palatino Linotype" w:cs="Arial"/>
          <w:i/>
          <w:lang w:eastAsia="es-ES"/>
        </w:rPr>
      </w:pPr>
      <w:r w:rsidRPr="00B77D66">
        <w:rPr>
          <w:rFonts w:ascii="Palatino Linotype" w:eastAsia="MS Mincho" w:hAnsi="Palatino Linotype" w:cs="Arial"/>
          <w:i/>
          <w:lang w:eastAsia="es-ES"/>
        </w:rPr>
        <w:t>“ACTOS CONSENTIDOS. SON LOS QUE NO SE IMPUGNAN MEDIANTE EL RECURSO IDÓNEO.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061B3" w:rsidRPr="00B77D66" w:rsidRDefault="00B061B3" w:rsidP="00B061B3">
      <w:pPr>
        <w:pStyle w:val="Prrafodelista"/>
        <w:spacing w:before="240" w:after="240" w:line="360" w:lineRule="auto"/>
        <w:ind w:left="851" w:right="822"/>
        <w:jc w:val="both"/>
        <w:rPr>
          <w:rFonts w:ascii="Palatino Linotype" w:eastAsia="MS Mincho" w:hAnsi="Palatino Linotype" w:cs="Arial"/>
          <w:i/>
          <w:lang w:eastAsia="es-ES"/>
        </w:rPr>
      </w:pPr>
    </w:p>
    <w:p w:rsidR="00B061B3" w:rsidRPr="00B77D66" w:rsidRDefault="00B061B3" w:rsidP="00B061B3">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B77D66">
        <w:rPr>
          <w:rFonts w:ascii="Palatino Linotype" w:eastAsia="MS Mincho" w:hAnsi="Palatino Linotype" w:cs="Arial"/>
          <w:sz w:val="24"/>
          <w:lang w:eastAsia="es-ES"/>
        </w:rPr>
        <w:t xml:space="preserve">Lo anterior es así, debido a que cuando el particular impugnó la respuesta del SUJETO OBLIGADO, y no expresó razón o motivo de inconformidad en contra de lo que se le hizo entrega, por tanto, estos deben declararse atendidos, pues se entiende que EL RECURRENTE está conforme con la respuesta proporcionada por EL SUJETO OBLIGADO, al no contravenir la misma. </w:t>
      </w:r>
    </w:p>
    <w:p w:rsidR="00B061B3" w:rsidRPr="00B77D66" w:rsidRDefault="00B061B3" w:rsidP="00B061B3">
      <w:pPr>
        <w:pStyle w:val="Prrafodelista"/>
        <w:spacing w:before="240" w:after="240" w:line="360" w:lineRule="auto"/>
        <w:ind w:left="0" w:right="48"/>
        <w:jc w:val="both"/>
        <w:rPr>
          <w:rFonts w:ascii="Palatino Linotype" w:eastAsia="MS Mincho" w:hAnsi="Palatino Linotype" w:cs="Arial"/>
          <w:sz w:val="24"/>
          <w:lang w:eastAsia="es-ES"/>
        </w:rPr>
      </w:pPr>
    </w:p>
    <w:p w:rsidR="00B061B3" w:rsidRPr="00B77D66" w:rsidRDefault="00B061B3" w:rsidP="00B061B3">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B77D66">
        <w:rPr>
          <w:rFonts w:ascii="Palatino Linotype" w:eastAsia="MS Mincho" w:hAnsi="Palatino Linotype" w:cs="Arial"/>
          <w:sz w:val="24"/>
          <w:lang w:eastAsia="es-ES"/>
        </w:rPr>
        <w:lastRenderedPageBreak/>
        <w:t>Atento a ello, es importante traer a contexto la Tesis Jurisprudencial Número 3ª./J.7/91, Publicada en el Semanario Judicial de la Federación y su Gaceta bajo el número de registro 174,177, que establece lo siguiente:</w:t>
      </w:r>
    </w:p>
    <w:p w:rsidR="00B061B3" w:rsidRPr="00B77D66" w:rsidRDefault="00B061B3" w:rsidP="00B061B3">
      <w:pPr>
        <w:pStyle w:val="Prrafodelista"/>
        <w:spacing w:before="240" w:after="240" w:line="360" w:lineRule="auto"/>
        <w:ind w:left="0" w:right="48"/>
        <w:jc w:val="both"/>
        <w:rPr>
          <w:rFonts w:ascii="Palatino Linotype" w:eastAsia="MS Mincho" w:hAnsi="Palatino Linotype" w:cs="Arial"/>
          <w:sz w:val="24"/>
          <w:lang w:eastAsia="es-ES"/>
        </w:rPr>
      </w:pPr>
    </w:p>
    <w:p w:rsidR="00B061B3" w:rsidRPr="00B77D66" w:rsidRDefault="00B061B3" w:rsidP="00B061B3">
      <w:pPr>
        <w:pStyle w:val="Prrafodelista"/>
        <w:spacing w:before="240" w:after="240" w:line="360" w:lineRule="auto"/>
        <w:ind w:left="851" w:right="822"/>
        <w:jc w:val="both"/>
        <w:rPr>
          <w:rFonts w:ascii="Palatino Linotype" w:eastAsia="MS Mincho" w:hAnsi="Palatino Linotype" w:cs="Arial"/>
          <w:i/>
          <w:lang w:eastAsia="es-ES"/>
        </w:rPr>
      </w:pPr>
      <w:r w:rsidRPr="00B77D66">
        <w:rPr>
          <w:rFonts w:ascii="Palatino Linotype" w:eastAsia="MS Mincho" w:hAnsi="Palatino Linotype" w:cs="Arial"/>
          <w:i/>
          <w:lang w:eastAsia="es-ES"/>
        </w:rPr>
        <w:t>“REVISIÓN EN AMPARO. LOS RESOLUTIVOS NO COMBATIDOS DEBEN DECLARARSE FIRMES.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061B3" w:rsidRPr="00B77D66" w:rsidRDefault="00B061B3" w:rsidP="00B061B3">
      <w:pPr>
        <w:numPr>
          <w:ilvl w:val="0"/>
          <w:numId w:val="1"/>
        </w:numPr>
        <w:spacing w:line="360" w:lineRule="auto"/>
        <w:ind w:left="0" w:right="49" w:firstLine="0"/>
        <w:contextualSpacing/>
        <w:jc w:val="both"/>
        <w:rPr>
          <w:rFonts w:ascii="Palatino Linotype" w:eastAsiaTheme="minorEastAsia" w:hAnsi="Palatino Linotype" w:cstheme="minorBidi"/>
          <w:lang w:val="es-ES_tradnl" w:eastAsia="es-ES"/>
        </w:rPr>
      </w:pPr>
      <w:r w:rsidRPr="00B77D66">
        <w:rPr>
          <w:rFonts w:ascii="Palatino Linotype" w:hAnsi="Palatino Linotype" w:cs="Tahoma"/>
          <w:bCs/>
          <w:lang w:eastAsia="es-ES"/>
        </w:rPr>
        <w:t xml:space="preserve">Conforme al Criterio establecido, es improcedente entrar al análisis de las partes de la respuesta del Sujeto Obligado que no fueron impugnadas por el Recurrente; por lo que, en el presente caso, se tiene por consentida parte de la información proporcionada por el Ente Recurrido, en respuesta. </w:t>
      </w:r>
    </w:p>
    <w:p w:rsidR="00B061B3" w:rsidRPr="00B77D66" w:rsidRDefault="00B061B3" w:rsidP="00B061B3">
      <w:pPr>
        <w:spacing w:line="360" w:lineRule="auto"/>
        <w:ind w:right="49"/>
        <w:contextualSpacing/>
        <w:jc w:val="both"/>
        <w:rPr>
          <w:rFonts w:ascii="Palatino Linotype" w:eastAsiaTheme="minorEastAsia" w:hAnsi="Palatino Linotype"/>
          <w:lang w:val="es-ES_tradnl" w:eastAsia="es-ES"/>
        </w:rPr>
      </w:pPr>
    </w:p>
    <w:p w:rsidR="00B061B3" w:rsidRPr="00B77D66" w:rsidRDefault="00B061B3" w:rsidP="00B061B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B77D66">
        <w:rPr>
          <w:rFonts w:ascii="Palatino Linotype" w:hAnsi="Palatino Linotype" w:cs="Tahoma"/>
          <w:bCs/>
          <w:iCs/>
          <w:lang w:eastAsia="es-ES"/>
        </w:rPr>
        <w:t xml:space="preserve">En este contexto, se hará pronunciamiento, únicamente por la </w:t>
      </w:r>
      <w:r w:rsidR="00AB6C4C" w:rsidRPr="00B77D66">
        <w:rPr>
          <w:rFonts w:ascii="Palatino Linotype" w:hAnsi="Palatino Linotype" w:cs="Tahoma"/>
          <w:bCs/>
          <w:iCs/>
          <w:lang w:eastAsia="es-ES"/>
        </w:rPr>
        <w:t xml:space="preserve">reserva que se realizó respecto al libro especial actualizado de bienes inmuebles del Municipio de Cuautitlán Izcalli. </w:t>
      </w:r>
    </w:p>
    <w:p w:rsidR="00B061B3" w:rsidRPr="00B77D66" w:rsidRDefault="00B061B3" w:rsidP="0092740E">
      <w:pPr>
        <w:pStyle w:val="Prrafodelista"/>
        <w:spacing w:line="360" w:lineRule="auto"/>
        <w:ind w:left="0" w:right="49"/>
        <w:jc w:val="both"/>
        <w:rPr>
          <w:rFonts w:ascii="Palatino Linotype" w:hAnsi="Palatino Linotype" w:cs="Arial"/>
          <w:color w:val="000000"/>
          <w:sz w:val="24"/>
        </w:rPr>
      </w:pPr>
    </w:p>
    <w:p w:rsidR="00AE6DE6" w:rsidRPr="00B77D66" w:rsidRDefault="00AE6DE6" w:rsidP="00AE6DE6">
      <w:pPr>
        <w:pStyle w:val="Prrafodelista"/>
        <w:numPr>
          <w:ilvl w:val="0"/>
          <w:numId w:val="20"/>
        </w:numPr>
        <w:spacing w:line="360" w:lineRule="auto"/>
        <w:ind w:right="49"/>
        <w:jc w:val="both"/>
        <w:rPr>
          <w:rFonts w:ascii="Palatino Linotype" w:hAnsi="Palatino Linotype" w:cs="Arial"/>
          <w:b/>
          <w:color w:val="000000"/>
          <w:sz w:val="24"/>
        </w:rPr>
      </w:pPr>
      <w:r w:rsidRPr="00B77D66">
        <w:rPr>
          <w:rFonts w:ascii="Palatino Linotype" w:hAnsi="Palatino Linotype" w:cs="Arial"/>
          <w:b/>
          <w:color w:val="000000"/>
          <w:sz w:val="24"/>
        </w:rPr>
        <w:t>De la reserva de la información</w:t>
      </w:r>
    </w:p>
    <w:p w:rsidR="00AE6DE6" w:rsidRPr="00B77D66" w:rsidRDefault="00AE6DE6" w:rsidP="00AE6DE6">
      <w:pPr>
        <w:pStyle w:val="Prrafodelista"/>
        <w:spacing w:line="360" w:lineRule="auto"/>
        <w:ind w:right="49"/>
        <w:jc w:val="both"/>
        <w:rPr>
          <w:rFonts w:ascii="Palatino Linotype" w:hAnsi="Palatino Linotype" w:cs="Arial"/>
          <w:color w:val="000000"/>
          <w:sz w:val="24"/>
        </w:rPr>
      </w:pPr>
    </w:p>
    <w:p w:rsidR="0092740E" w:rsidRPr="00B77D66" w:rsidRDefault="0092740E" w:rsidP="0092740E">
      <w:pPr>
        <w:pStyle w:val="Prrafodelista"/>
        <w:numPr>
          <w:ilvl w:val="0"/>
          <w:numId w:val="1"/>
        </w:numPr>
        <w:spacing w:line="360" w:lineRule="auto"/>
        <w:ind w:left="0" w:right="49" w:firstLine="0"/>
        <w:jc w:val="both"/>
        <w:rPr>
          <w:rFonts w:ascii="Palatino Linotype" w:hAnsi="Palatino Linotype" w:cs="Arial"/>
          <w:color w:val="000000"/>
          <w:sz w:val="24"/>
        </w:rPr>
      </w:pPr>
      <w:r w:rsidRPr="00B77D66">
        <w:rPr>
          <w:rFonts w:ascii="Palatino Linotype" w:hAnsi="Palatino Linotype" w:cs="Arial"/>
          <w:color w:val="000000"/>
          <w:sz w:val="24"/>
        </w:rPr>
        <w:lastRenderedPageBreak/>
        <w:t xml:space="preserve">Puntualizado lo anterior, es necesario traer a contexto lo establecido en los </w:t>
      </w:r>
      <w:r w:rsidRPr="00B77D66">
        <w:rPr>
          <w:rFonts w:ascii="Palatino Linotype" w:eastAsia="MS Mincho" w:hAnsi="Palatino Linotype" w:cs="Arial"/>
          <w:color w:val="000000"/>
          <w:sz w:val="24"/>
          <w:lang w:val="es-ES_tradnl" w:eastAsia="es-ES"/>
        </w:rPr>
        <w:t>artículos 140 y 113 de la Ley Estatal y de la Ley General, respectivamente, señalan los supuestos para que una información pueda considerarse como reservada, que son los siguientes:</w:t>
      </w:r>
    </w:p>
    <w:p w:rsidR="0092740E" w:rsidRPr="00B77D66" w:rsidRDefault="0092740E" w:rsidP="0092740E">
      <w:pPr>
        <w:pStyle w:val="Prrafodelista"/>
        <w:spacing w:line="360" w:lineRule="auto"/>
        <w:ind w:left="0" w:right="49"/>
        <w:jc w:val="both"/>
        <w:rPr>
          <w:rFonts w:ascii="Palatino Linotype" w:hAnsi="Palatino Linotype" w:cs="Arial"/>
          <w:color w:val="000000"/>
          <w:sz w:val="24"/>
        </w:rPr>
      </w:pPr>
    </w:p>
    <w:tbl>
      <w:tblPr>
        <w:tblStyle w:val="Tablanormal11"/>
        <w:tblW w:w="0" w:type="auto"/>
        <w:jc w:val="center"/>
        <w:tblLook w:val="04A0" w:firstRow="1" w:lastRow="0" w:firstColumn="1" w:lastColumn="0" w:noHBand="0" w:noVBand="1"/>
      </w:tblPr>
      <w:tblGrid>
        <w:gridCol w:w="3726"/>
        <w:gridCol w:w="4779"/>
      </w:tblGrid>
      <w:tr w:rsidR="0092740E" w:rsidRPr="00B77D66" w:rsidTr="009274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autoSpaceDE w:val="0"/>
              <w:autoSpaceDN w:val="0"/>
              <w:adjustRightInd w:val="0"/>
              <w:spacing w:line="360" w:lineRule="auto"/>
              <w:jc w:val="both"/>
              <w:rPr>
                <w:rFonts w:ascii="Palatino Linotype" w:eastAsia="Cambria" w:hAnsi="Palatino Linotype"/>
                <w:color w:val="000000"/>
                <w:sz w:val="20"/>
                <w:szCs w:val="20"/>
                <w:lang w:eastAsia="en-US"/>
              </w:rPr>
            </w:pPr>
            <w:r w:rsidRPr="00B77D66">
              <w:rPr>
                <w:rFonts w:ascii="Palatino Linotype" w:eastAsia="Cambria" w:hAnsi="Palatino Linotype" w:cs="Gill Sans,Bold"/>
                <w:color w:val="000000"/>
                <w:sz w:val="20"/>
                <w:szCs w:val="20"/>
                <w:lang w:eastAsia="en-US"/>
              </w:rPr>
              <w:t>LEY ESTATAL</w:t>
            </w:r>
          </w:p>
        </w:tc>
        <w:tc>
          <w:tcPr>
            <w:tcW w:w="4779"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olor w:val="000000"/>
                <w:sz w:val="20"/>
                <w:szCs w:val="20"/>
                <w:lang w:eastAsia="en-US"/>
              </w:rPr>
            </w:pPr>
            <w:r w:rsidRPr="00B77D66">
              <w:rPr>
                <w:rFonts w:ascii="Palatino Linotype" w:eastAsia="Cambria" w:hAnsi="Palatino Linotype"/>
                <w:color w:val="000000"/>
                <w:sz w:val="20"/>
                <w:szCs w:val="20"/>
                <w:lang w:eastAsia="en-US"/>
              </w:rPr>
              <w:t>LEY GENERAL</w:t>
            </w:r>
          </w:p>
        </w:tc>
      </w:tr>
      <w:tr w:rsidR="0092740E" w:rsidRPr="00B77D66" w:rsidTr="009274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left w:val="single" w:sz="4" w:space="0" w:color="BFBFBF"/>
              <w:bottom w:val="single" w:sz="4" w:space="0" w:color="BFBFBF"/>
              <w:right w:val="single" w:sz="4" w:space="0" w:color="BFBFBF"/>
            </w:tcBorders>
          </w:tcPr>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r w:rsidRPr="00B77D66">
              <w:rPr>
                <w:rFonts w:ascii="Palatino Linotype" w:eastAsia="Cambria" w:hAnsi="Palatino Linotype" w:cs="Arial"/>
                <w:color w:val="000000"/>
                <w:sz w:val="20"/>
                <w:szCs w:val="20"/>
                <w:lang w:eastAsia="en-US"/>
              </w:rPr>
              <w:t>I. Comprometa la seguridad pública y cuente con un propósito genuino y un efecto demostrable;</w:t>
            </w:r>
          </w:p>
          <w:p w:rsidR="0092740E" w:rsidRPr="00B77D66" w:rsidRDefault="0092740E" w:rsidP="0092740E">
            <w:pPr>
              <w:spacing w:line="360" w:lineRule="auto"/>
              <w:jc w:val="both"/>
              <w:rPr>
                <w:rFonts w:ascii="Palatino Linotype" w:eastAsia="Cambria" w:hAnsi="Palatino Linotype"/>
                <w:color w:val="000000"/>
                <w:sz w:val="20"/>
                <w:szCs w:val="20"/>
                <w:lang w:eastAsia="en-US"/>
              </w:rPr>
            </w:pPr>
          </w:p>
        </w:tc>
        <w:tc>
          <w:tcPr>
            <w:tcW w:w="4779"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olor w:val="000000"/>
                <w:sz w:val="20"/>
                <w:szCs w:val="20"/>
                <w:lang w:val="es-ES" w:eastAsia="en-US"/>
              </w:rPr>
            </w:pPr>
            <w:r w:rsidRPr="00B77D66">
              <w:rPr>
                <w:rFonts w:ascii="Palatino Linotype" w:eastAsia="Cambria" w:hAnsi="Palatino Linotype"/>
                <w:color w:val="000000"/>
                <w:sz w:val="20"/>
                <w:szCs w:val="20"/>
                <w:lang w:val="es-ES" w:eastAsia="en-US"/>
              </w:rPr>
              <w:t>I.</w:t>
            </w:r>
            <w:r w:rsidRPr="00B77D66">
              <w:rPr>
                <w:rFonts w:ascii="Palatino Linotype" w:eastAsia="Cambria" w:hAnsi="Palatino Linotype"/>
                <w:color w:val="000000"/>
                <w:sz w:val="20"/>
                <w:szCs w:val="20"/>
                <w:lang w:val="es-ES" w:eastAsia="en-US"/>
              </w:rPr>
              <w:tab/>
              <w:t>Comprometa la seguridad nacional, la seguridad pública o la defensa nacional y cuente con un propósito genuino y un efecto demostrable;</w:t>
            </w:r>
          </w:p>
        </w:tc>
      </w:tr>
      <w:tr w:rsidR="0092740E" w:rsidRPr="00B77D66" w:rsidTr="0092740E">
        <w:trPr>
          <w:jc w:val="center"/>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r w:rsidRPr="00B77D66">
              <w:rPr>
                <w:rFonts w:ascii="Palatino Linotype" w:eastAsia="Cambria" w:hAnsi="Palatino Linotype" w:cs="Arial"/>
                <w:color w:val="000000"/>
                <w:sz w:val="20"/>
                <w:szCs w:val="20"/>
                <w:lang w:eastAsia="en-US"/>
              </w:rPr>
              <w:t>II. Pueda menoscabar la conducción de las negociaciones y relaciones internacionales;</w:t>
            </w:r>
          </w:p>
        </w:tc>
        <w:tc>
          <w:tcPr>
            <w:tcW w:w="4779"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olor w:val="000000"/>
                <w:sz w:val="20"/>
                <w:szCs w:val="20"/>
                <w:lang w:val="es-ES" w:eastAsia="en-US"/>
              </w:rPr>
            </w:pPr>
            <w:r w:rsidRPr="00B77D66">
              <w:rPr>
                <w:rFonts w:ascii="Palatino Linotype" w:eastAsia="Cambria" w:hAnsi="Palatino Linotype"/>
                <w:color w:val="000000"/>
                <w:sz w:val="20"/>
                <w:szCs w:val="20"/>
                <w:lang w:val="es-ES" w:eastAsia="en-US"/>
              </w:rPr>
              <w:t>II.</w:t>
            </w:r>
            <w:r w:rsidRPr="00B77D66">
              <w:rPr>
                <w:rFonts w:ascii="Palatino Linotype" w:eastAsia="Cambria" w:hAnsi="Palatino Linotype"/>
                <w:color w:val="000000"/>
                <w:sz w:val="20"/>
                <w:szCs w:val="20"/>
                <w:lang w:val="es-ES" w:eastAsia="en-US"/>
              </w:rPr>
              <w:tab/>
              <w:t>Pueda menoscabar la conducción de las negociaciones y relaciones internacionales;</w:t>
            </w:r>
          </w:p>
        </w:tc>
      </w:tr>
      <w:tr w:rsidR="0092740E" w:rsidRPr="00B77D66" w:rsidTr="009274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r w:rsidRPr="00B77D66">
              <w:rPr>
                <w:rFonts w:ascii="Palatino Linotype" w:eastAsia="Cambria" w:hAnsi="Palatino Linotype" w:cs="Arial"/>
                <w:color w:val="000000"/>
                <w:sz w:val="20"/>
                <w:szCs w:val="20"/>
                <w:lang w:eastAsia="en-U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4779"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olor w:val="000000"/>
                <w:sz w:val="20"/>
                <w:szCs w:val="20"/>
                <w:lang w:val="es-ES" w:eastAsia="en-US"/>
              </w:rPr>
            </w:pPr>
            <w:r w:rsidRPr="00B77D66">
              <w:rPr>
                <w:rFonts w:ascii="Palatino Linotype" w:eastAsia="Cambria" w:hAnsi="Palatino Linotype"/>
                <w:color w:val="000000"/>
                <w:sz w:val="20"/>
                <w:szCs w:val="20"/>
                <w:lang w:val="es-ES" w:eastAsia="en-US"/>
              </w:rPr>
              <w:t>III.</w:t>
            </w:r>
            <w:r w:rsidRPr="00B77D66">
              <w:rPr>
                <w:rFonts w:ascii="Palatino Linotype" w:eastAsia="Cambria" w:hAnsi="Palatino Linotype"/>
                <w:color w:val="000000"/>
                <w:sz w:val="20"/>
                <w:szCs w:val="20"/>
                <w:lang w:val="es-ES" w:eastAsia="en-U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92740E" w:rsidRPr="00B77D66" w:rsidTr="0092740E">
        <w:trPr>
          <w:jc w:val="center"/>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left w:val="single" w:sz="4" w:space="0" w:color="BFBFBF"/>
              <w:bottom w:val="single" w:sz="4" w:space="0" w:color="BFBFBF"/>
              <w:right w:val="single" w:sz="4" w:space="0" w:color="BFBFBF"/>
            </w:tcBorders>
          </w:tcPr>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p>
        </w:tc>
        <w:tc>
          <w:tcPr>
            <w:tcW w:w="4779"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olor w:val="000000"/>
                <w:sz w:val="20"/>
                <w:szCs w:val="20"/>
                <w:lang w:val="es-ES" w:eastAsia="en-US"/>
              </w:rPr>
            </w:pPr>
            <w:r w:rsidRPr="00B77D66">
              <w:rPr>
                <w:rFonts w:ascii="Palatino Linotype" w:eastAsia="Cambria" w:hAnsi="Palatino Linotype"/>
                <w:color w:val="000000"/>
                <w:sz w:val="20"/>
                <w:szCs w:val="20"/>
                <w:lang w:val="es-ES" w:eastAsia="en-US"/>
              </w:rPr>
              <w:t>IV.</w:t>
            </w:r>
            <w:r w:rsidRPr="00B77D66">
              <w:rPr>
                <w:rFonts w:ascii="Palatino Linotype" w:eastAsia="Cambria" w:hAnsi="Palatino Linotype"/>
                <w:color w:val="000000"/>
                <w:sz w:val="20"/>
                <w:szCs w:val="20"/>
                <w:lang w:val="es-ES" w:eastAsia="en-US"/>
              </w:rPr>
              <w:tab/>
              <w:t xml:space="preserve">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w:t>
            </w:r>
            <w:r w:rsidRPr="00B77D66">
              <w:rPr>
                <w:rFonts w:ascii="Palatino Linotype" w:eastAsia="Cambria" w:hAnsi="Palatino Linotype"/>
                <w:color w:val="000000"/>
                <w:sz w:val="20"/>
                <w:szCs w:val="20"/>
                <w:lang w:val="es-ES" w:eastAsia="en-US"/>
              </w:rPr>
              <w:lastRenderedPageBreak/>
              <w:t>seguridad en la provisión de moneda nacional al país, o pueda incrementar el costo de operaciones financieras que realicen los sujetos obligados del sector público federal;</w:t>
            </w:r>
          </w:p>
        </w:tc>
      </w:tr>
      <w:tr w:rsidR="0092740E" w:rsidRPr="00B77D66" w:rsidTr="009274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r w:rsidRPr="00B77D66">
              <w:rPr>
                <w:rFonts w:ascii="Palatino Linotype" w:eastAsia="Cambria" w:hAnsi="Palatino Linotype" w:cs="Arial"/>
                <w:color w:val="000000"/>
                <w:sz w:val="20"/>
                <w:szCs w:val="20"/>
                <w:lang w:eastAsia="en-US"/>
              </w:rPr>
              <w:lastRenderedPageBreak/>
              <w:t>IV. Ponga en riesgo la vida, la seguridad o la salud de una persona física;</w:t>
            </w:r>
          </w:p>
        </w:tc>
        <w:tc>
          <w:tcPr>
            <w:tcW w:w="4779"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olor w:val="000000"/>
                <w:sz w:val="20"/>
                <w:szCs w:val="20"/>
                <w:lang w:val="es-ES" w:eastAsia="en-US"/>
              </w:rPr>
            </w:pPr>
            <w:r w:rsidRPr="00B77D66">
              <w:rPr>
                <w:rFonts w:ascii="Palatino Linotype" w:eastAsia="Cambria" w:hAnsi="Palatino Linotype"/>
                <w:color w:val="000000"/>
                <w:sz w:val="20"/>
                <w:szCs w:val="20"/>
                <w:lang w:val="es-ES" w:eastAsia="en-US"/>
              </w:rPr>
              <w:t>V.</w:t>
            </w:r>
            <w:r w:rsidRPr="00B77D66">
              <w:rPr>
                <w:rFonts w:ascii="Palatino Linotype" w:eastAsia="Cambria" w:hAnsi="Palatino Linotype"/>
                <w:color w:val="000000"/>
                <w:sz w:val="20"/>
                <w:szCs w:val="20"/>
                <w:lang w:val="es-ES" w:eastAsia="en-US"/>
              </w:rPr>
              <w:tab/>
              <w:t>Pueda poner en riesgo la vida, seguridad o salud de una persona física;</w:t>
            </w:r>
          </w:p>
        </w:tc>
      </w:tr>
      <w:tr w:rsidR="0092740E" w:rsidRPr="00B77D66" w:rsidTr="0092740E">
        <w:trPr>
          <w:jc w:val="center"/>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left w:val="single" w:sz="4" w:space="0" w:color="BFBFBF"/>
              <w:bottom w:val="single" w:sz="4" w:space="0" w:color="BFBFBF"/>
              <w:right w:val="single" w:sz="4" w:space="0" w:color="BFBFBF"/>
            </w:tcBorders>
          </w:tcPr>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r w:rsidRPr="00B77D66">
              <w:rPr>
                <w:rFonts w:ascii="Palatino Linotype" w:eastAsia="Cambria" w:hAnsi="Palatino Linotype" w:cs="Arial"/>
                <w:color w:val="000000"/>
                <w:sz w:val="20"/>
                <w:szCs w:val="20"/>
                <w:lang w:eastAsia="en-US"/>
              </w:rPr>
              <w:t>V. Aquella cuya divulgación obstruya o pueda causar un serio perjuicio a:</w:t>
            </w:r>
          </w:p>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p>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r w:rsidRPr="00B77D66">
              <w:rPr>
                <w:rFonts w:ascii="Palatino Linotype" w:eastAsia="Cambria" w:hAnsi="Palatino Linotype" w:cs="Arial"/>
                <w:color w:val="000000"/>
                <w:sz w:val="20"/>
                <w:szCs w:val="20"/>
                <w:lang w:eastAsia="en-US"/>
              </w:rPr>
              <w:t>1. Las actividades de fiscalización, verificación, inspección, comprobación y auditoría sobre el cumplimiento de las Leyes; o</w:t>
            </w:r>
          </w:p>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p>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r w:rsidRPr="00B77D66">
              <w:rPr>
                <w:rFonts w:ascii="Palatino Linotype" w:eastAsia="Cambria" w:hAnsi="Palatino Linotype" w:cs="Arial"/>
                <w:color w:val="000000"/>
                <w:sz w:val="20"/>
                <w:szCs w:val="20"/>
                <w:lang w:eastAsia="en-US"/>
              </w:rPr>
              <w:t>2. La recaudación de las contribuciones.</w:t>
            </w:r>
          </w:p>
        </w:tc>
        <w:tc>
          <w:tcPr>
            <w:tcW w:w="4779" w:type="dxa"/>
            <w:tcBorders>
              <w:top w:val="single" w:sz="4" w:space="0" w:color="BFBFBF"/>
              <w:left w:val="single" w:sz="4" w:space="0" w:color="BFBFBF"/>
              <w:bottom w:val="single" w:sz="4" w:space="0" w:color="BFBFBF"/>
              <w:right w:val="single" w:sz="4" w:space="0" w:color="BFBFBF"/>
            </w:tcBorders>
          </w:tcPr>
          <w:p w:rsidR="0092740E" w:rsidRPr="00B77D66" w:rsidRDefault="0092740E" w:rsidP="0092740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olor w:val="000000"/>
                <w:sz w:val="20"/>
                <w:szCs w:val="20"/>
                <w:lang w:val="es-ES" w:eastAsia="en-US"/>
              </w:rPr>
            </w:pPr>
            <w:r w:rsidRPr="00B77D66">
              <w:rPr>
                <w:rFonts w:ascii="Palatino Linotype" w:eastAsia="Cambria" w:hAnsi="Palatino Linotype"/>
                <w:color w:val="000000"/>
                <w:sz w:val="20"/>
                <w:szCs w:val="20"/>
                <w:lang w:val="es-ES" w:eastAsia="en-US"/>
              </w:rPr>
              <w:t>VI.</w:t>
            </w:r>
            <w:r w:rsidRPr="00B77D66">
              <w:rPr>
                <w:rFonts w:ascii="Palatino Linotype" w:eastAsia="Cambria" w:hAnsi="Palatino Linotype"/>
                <w:color w:val="000000"/>
                <w:sz w:val="20"/>
                <w:szCs w:val="20"/>
                <w:lang w:val="es-ES" w:eastAsia="en-US"/>
              </w:rPr>
              <w:tab/>
              <w:t>Obstruya las actividades de verificación, inspección y auditoría relativas al cumplimiento de las leyes o afecte la recaudación de contribuciones;</w:t>
            </w:r>
          </w:p>
          <w:p w:rsidR="0092740E" w:rsidRPr="00B77D66" w:rsidRDefault="0092740E" w:rsidP="0092740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olor w:val="000000"/>
                <w:sz w:val="20"/>
                <w:szCs w:val="20"/>
                <w:lang w:val="es-ES" w:eastAsia="en-US"/>
              </w:rPr>
            </w:pPr>
          </w:p>
          <w:p w:rsidR="0092740E" w:rsidRPr="00B77D66" w:rsidRDefault="0092740E" w:rsidP="0092740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olor w:val="000000"/>
                <w:sz w:val="20"/>
                <w:szCs w:val="20"/>
                <w:lang w:eastAsia="en-US"/>
              </w:rPr>
            </w:pPr>
          </w:p>
        </w:tc>
      </w:tr>
      <w:tr w:rsidR="0092740E" w:rsidRPr="00B77D66" w:rsidTr="009274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r w:rsidRPr="00B77D66">
              <w:rPr>
                <w:rFonts w:ascii="Palatino Linotype" w:eastAsia="Cambria" w:hAnsi="Palatino Linotype" w:cs="Arial"/>
                <w:color w:val="000000"/>
                <w:sz w:val="20"/>
                <w:szCs w:val="20"/>
                <w:lang w:eastAsia="en-US"/>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w:t>
            </w:r>
            <w:r w:rsidRPr="00B77D66">
              <w:rPr>
                <w:rFonts w:ascii="Palatino Linotype" w:eastAsia="Cambria" w:hAnsi="Palatino Linotype" w:cs="Arial"/>
                <w:color w:val="000000"/>
                <w:sz w:val="20"/>
                <w:szCs w:val="20"/>
                <w:lang w:eastAsia="en-US"/>
              </w:rPr>
              <w:lastRenderedPageBreak/>
              <w:t>administración de justicia o la seguridad de un denunciante, querellante o testigo, así como sus familias, en los términos de las disposiciones jurídicas aplicables;</w:t>
            </w:r>
          </w:p>
        </w:tc>
        <w:tc>
          <w:tcPr>
            <w:tcW w:w="4779" w:type="dxa"/>
            <w:tcBorders>
              <w:top w:val="single" w:sz="4" w:space="0" w:color="BFBFBF"/>
              <w:left w:val="single" w:sz="4" w:space="0" w:color="BFBFBF"/>
              <w:bottom w:val="single" w:sz="4" w:space="0" w:color="BFBFBF"/>
              <w:right w:val="single" w:sz="4" w:space="0" w:color="BFBFBF"/>
            </w:tcBorders>
          </w:tcPr>
          <w:p w:rsidR="0092740E" w:rsidRPr="00B77D66" w:rsidRDefault="0092740E" w:rsidP="0092740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olor w:val="000000"/>
                <w:sz w:val="20"/>
                <w:szCs w:val="20"/>
                <w:lang w:val="es-ES" w:eastAsia="en-US"/>
              </w:rPr>
            </w:pPr>
            <w:r w:rsidRPr="00B77D66">
              <w:rPr>
                <w:rFonts w:ascii="Palatino Linotype" w:eastAsia="Cambria" w:hAnsi="Palatino Linotype"/>
                <w:color w:val="000000"/>
                <w:sz w:val="20"/>
                <w:szCs w:val="20"/>
                <w:lang w:val="es-ES" w:eastAsia="en-US"/>
              </w:rPr>
              <w:lastRenderedPageBreak/>
              <w:t>VII.</w:t>
            </w:r>
            <w:r w:rsidRPr="00B77D66">
              <w:rPr>
                <w:rFonts w:ascii="Palatino Linotype" w:eastAsia="Cambria" w:hAnsi="Palatino Linotype"/>
                <w:color w:val="000000"/>
                <w:sz w:val="20"/>
                <w:szCs w:val="20"/>
                <w:lang w:val="es-ES" w:eastAsia="en-US"/>
              </w:rPr>
              <w:tab/>
              <w:t>Obstruya la prevención o persecución de los delitos;</w:t>
            </w:r>
          </w:p>
          <w:p w:rsidR="0092740E" w:rsidRPr="00B77D66" w:rsidRDefault="0092740E" w:rsidP="0092740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olor w:val="000000"/>
                <w:sz w:val="20"/>
                <w:szCs w:val="20"/>
                <w:lang w:val="es-ES" w:eastAsia="en-US"/>
              </w:rPr>
            </w:pPr>
          </w:p>
          <w:p w:rsidR="0092740E" w:rsidRPr="00B77D66" w:rsidRDefault="0092740E" w:rsidP="0092740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olor w:val="000000"/>
                <w:sz w:val="20"/>
                <w:szCs w:val="20"/>
                <w:lang w:eastAsia="en-US"/>
              </w:rPr>
            </w:pPr>
          </w:p>
        </w:tc>
      </w:tr>
      <w:tr w:rsidR="0092740E" w:rsidRPr="00B77D66" w:rsidTr="0092740E">
        <w:trPr>
          <w:jc w:val="center"/>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r w:rsidRPr="00B77D66">
              <w:rPr>
                <w:rFonts w:ascii="Palatino Linotype" w:eastAsia="Cambria" w:hAnsi="Palatino Linotype" w:cs="Arial"/>
                <w:color w:val="000000"/>
                <w:sz w:val="20"/>
                <w:szCs w:val="20"/>
                <w:lang w:eastAsia="en-US"/>
              </w:rPr>
              <w:lastRenderedPageBreak/>
              <w:t>VII. La que contengan las opiniones, recomendaciones o puntos de vista que formen parte del proceso deliberativo de los servidores públicos, hasta en tanto sea adoptada la decisión definitiva, la cual deberá estar documentada;</w:t>
            </w:r>
          </w:p>
        </w:tc>
        <w:tc>
          <w:tcPr>
            <w:tcW w:w="4779"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olor w:val="000000"/>
                <w:sz w:val="20"/>
                <w:szCs w:val="20"/>
                <w:lang w:val="es-ES" w:eastAsia="en-US"/>
              </w:rPr>
            </w:pPr>
            <w:r w:rsidRPr="00B77D66">
              <w:rPr>
                <w:rFonts w:ascii="Palatino Linotype" w:eastAsia="Cambria" w:hAnsi="Palatino Linotype"/>
                <w:color w:val="000000"/>
                <w:sz w:val="20"/>
                <w:szCs w:val="20"/>
                <w:lang w:val="es-ES" w:eastAsia="en-US"/>
              </w:rPr>
              <w:t>VIII.</w:t>
            </w:r>
            <w:r w:rsidRPr="00B77D66">
              <w:rPr>
                <w:rFonts w:ascii="Palatino Linotype" w:eastAsia="Cambria" w:hAnsi="Palatino Linotype"/>
                <w:color w:val="000000"/>
                <w:sz w:val="20"/>
                <w:szCs w:val="20"/>
                <w:lang w:val="es-ES" w:eastAsia="en-US"/>
              </w:rPr>
              <w:tab/>
              <w:t>La que contenga las opiniones, recomendaciones o puntos de vista que formen parte del proceso deliberativo de los servidores públicos, hasta en tanto no sea adoptada la decisión definitiva, la cual deberá estar documentada;</w:t>
            </w:r>
          </w:p>
        </w:tc>
      </w:tr>
      <w:tr w:rsidR="0092740E" w:rsidRPr="00B77D66" w:rsidTr="009274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left w:val="single" w:sz="4" w:space="0" w:color="BFBFBF"/>
              <w:bottom w:val="single" w:sz="4" w:space="0" w:color="BFBFBF"/>
              <w:right w:val="single" w:sz="4" w:space="0" w:color="BFBFBF"/>
            </w:tcBorders>
          </w:tcPr>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p>
        </w:tc>
        <w:tc>
          <w:tcPr>
            <w:tcW w:w="4779"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olor w:val="000000"/>
                <w:sz w:val="20"/>
                <w:szCs w:val="20"/>
                <w:lang w:val="es-ES" w:eastAsia="en-US"/>
              </w:rPr>
            </w:pPr>
            <w:r w:rsidRPr="00B77D66">
              <w:rPr>
                <w:rFonts w:ascii="Palatino Linotype" w:eastAsia="Cambria" w:hAnsi="Palatino Linotype"/>
                <w:color w:val="000000"/>
                <w:sz w:val="20"/>
                <w:szCs w:val="20"/>
                <w:lang w:val="es-ES" w:eastAsia="en-US"/>
              </w:rPr>
              <w:t>IX.</w:t>
            </w:r>
            <w:r w:rsidRPr="00B77D66">
              <w:rPr>
                <w:rFonts w:ascii="Palatino Linotype" w:eastAsia="Cambria" w:hAnsi="Palatino Linotype"/>
                <w:color w:val="000000"/>
                <w:sz w:val="20"/>
                <w:szCs w:val="20"/>
                <w:lang w:val="es-ES" w:eastAsia="en-US"/>
              </w:rPr>
              <w:tab/>
              <w:t>Obstruya los procedimientos para fincar responsabilidad a los Servidores Públicos, en tanto no se haya dictado la resolución administrativa;</w:t>
            </w:r>
          </w:p>
        </w:tc>
      </w:tr>
      <w:tr w:rsidR="0092740E" w:rsidRPr="00B77D66" w:rsidTr="0092740E">
        <w:trPr>
          <w:jc w:val="center"/>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left w:val="single" w:sz="4" w:space="0" w:color="BFBFBF"/>
              <w:bottom w:val="single" w:sz="4" w:space="0" w:color="BFBFBF"/>
              <w:right w:val="single" w:sz="4" w:space="0" w:color="BFBFBF"/>
            </w:tcBorders>
          </w:tcPr>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p>
        </w:tc>
        <w:tc>
          <w:tcPr>
            <w:tcW w:w="4779"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olor w:val="000000"/>
                <w:sz w:val="20"/>
                <w:szCs w:val="20"/>
                <w:lang w:val="es-ES" w:eastAsia="en-US"/>
              </w:rPr>
            </w:pPr>
            <w:r w:rsidRPr="00B77D66">
              <w:rPr>
                <w:rFonts w:ascii="Palatino Linotype" w:eastAsia="Cambria" w:hAnsi="Palatino Linotype"/>
                <w:color w:val="000000"/>
                <w:sz w:val="20"/>
                <w:szCs w:val="20"/>
                <w:lang w:val="es-ES" w:eastAsia="en-US"/>
              </w:rPr>
              <w:t>X.</w:t>
            </w:r>
            <w:r w:rsidRPr="00B77D66">
              <w:rPr>
                <w:rFonts w:ascii="Palatino Linotype" w:eastAsia="Cambria" w:hAnsi="Palatino Linotype"/>
                <w:color w:val="000000"/>
                <w:sz w:val="20"/>
                <w:szCs w:val="20"/>
                <w:lang w:val="es-ES" w:eastAsia="en-US"/>
              </w:rPr>
              <w:tab/>
              <w:t>Afecte los derechos del debido proceso;</w:t>
            </w:r>
          </w:p>
        </w:tc>
      </w:tr>
      <w:tr w:rsidR="0092740E" w:rsidRPr="00B77D66" w:rsidTr="009274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r w:rsidRPr="00B77D66">
              <w:rPr>
                <w:rFonts w:ascii="Palatino Linotype" w:eastAsia="Cambria" w:hAnsi="Palatino Linotype" w:cs="Arial"/>
                <w:color w:val="000000"/>
                <w:sz w:val="20"/>
                <w:szCs w:val="20"/>
                <w:lang w:eastAsia="en-US"/>
              </w:rPr>
              <w:t>VIII. Vulnere la conducción de los expedientes judiciales o de los procedimientos administrativos seguidos en forma de juicio, en tanto no hayan quedado firmes;</w:t>
            </w:r>
          </w:p>
        </w:tc>
        <w:tc>
          <w:tcPr>
            <w:tcW w:w="4779"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olor w:val="000000"/>
                <w:sz w:val="20"/>
                <w:szCs w:val="20"/>
                <w:lang w:val="es-ES" w:eastAsia="en-US"/>
              </w:rPr>
            </w:pPr>
            <w:r w:rsidRPr="00B77D66">
              <w:rPr>
                <w:rFonts w:ascii="Palatino Linotype" w:eastAsia="Cambria" w:hAnsi="Palatino Linotype"/>
                <w:color w:val="000000"/>
                <w:sz w:val="20"/>
                <w:szCs w:val="20"/>
                <w:lang w:val="es-ES" w:eastAsia="en-US"/>
              </w:rPr>
              <w:t>XI.</w:t>
            </w:r>
            <w:r w:rsidRPr="00B77D66">
              <w:rPr>
                <w:rFonts w:ascii="Palatino Linotype" w:eastAsia="Cambria" w:hAnsi="Palatino Linotype"/>
                <w:color w:val="000000"/>
                <w:sz w:val="20"/>
                <w:szCs w:val="20"/>
                <w:lang w:val="es-ES" w:eastAsia="en-US"/>
              </w:rPr>
              <w:tab/>
              <w:t>Vulnere la conducción de los Expedientes judiciales o de los procedimientos administrativos seguidos en forma de juicio, en tanto no hayan causado estado;</w:t>
            </w:r>
          </w:p>
        </w:tc>
      </w:tr>
      <w:tr w:rsidR="0092740E" w:rsidRPr="00B77D66" w:rsidTr="0092740E">
        <w:trPr>
          <w:jc w:val="center"/>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r w:rsidRPr="00B77D66">
              <w:rPr>
                <w:rFonts w:ascii="Palatino Linotype" w:eastAsia="Cambria" w:hAnsi="Palatino Linotype" w:cs="Arial"/>
                <w:color w:val="000000"/>
                <w:sz w:val="20"/>
                <w:szCs w:val="20"/>
                <w:lang w:eastAsia="en-US"/>
              </w:rPr>
              <w:t>IX. Se encuentre contenida dentro de las investigaciones de hechos que la Ley señale como delitos y se tramiten ante el Ministerio Público;</w:t>
            </w:r>
          </w:p>
        </w:tc>
        <w:tc>
          <w:tcPr>
            <w:tcW w:w="4779"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olor w:val="000000"/>
                <w:sz w:val="20"/>
                <w:szCs w:val="20"/>
                <w:lang w:val="es-ES" w:eastAsia="en-US"/>
              </w:rPr>
            </w:pPr>
            <w:r w:rsidRPr="00B77D66">
              <w:rPr>
                <w:rFonts w:ascii="Palatino Linotype" w:eastAsia="Cambria" w:hAnsi="Palatino Linotype"/>
                <w:color w:val="000000"/>
                <w:sz w:val="20"/>
                <w:szCs w:val="20"/>
                <w:lang w:val="es-ES" w:eastAsia="en-US"/>
              </w:rPr>
              <w:t>XII.</w:t>
            </w:r>
            <w:r w:rsidRPr="00B77D66">
              <w:rPr>
                <w:rFonts w:ascii="Palatino Linotype" w:eastAsia="Cambria" w:hAnsi="Palatino Linotype"/>
                <w:color w:val="000000"/>
                <w:sz w:val="20"/>
                <w:szCs w:val="20"/>
                <w:lang w:val="es-ES" w:eastAsia="en-US"/>
              </w:rPr>
              <w:tab/>
              <w:t>Se encuentre contenida dentro de las investigaciones de hechos que la ley señale como delitos y se tramiten ante el Ministerio Público, y</w:t>
            </w:r>
          </w:p>
        </w:tc>
      </w:tr>
      <w:tr w:rsidR="0092740E" w:rsidRPr="00B77D66" w:rsidTr="009274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r w:rsidRPr="00B77D66">
              <w:rPr>
                <w:rFonts w:ascii="Palatino Linotype" w:eastAsia="Cambria" w:hAnsi="Palatino Linotype" w:cs="Arial"/>
                <w:color w:val="000000"/>
                <w:sz w:val="20"/>
                <w:szCs w:val="20"/>
                <w:lang w:eastAsia="en-US"/>
              </w:rPr>
              <w:t xml:space="preserve">X. El daño que pueda producirse con la publicación de la información sea mayor que el interés público de conocer la información de referencia, </w:t>
            </w:r>
            <w:r w:rsidRPr="00B77D66">
              <w:rPr>
                <w:rFonts w:ascii="Palatino Linotype" w:eastAsia="Cambria" w:hAnsi="Palatino Linotype" w:cs="Arial"/>
                <w:color w:val="000000"/>
                <w:sz w:val="20"/>
                <w:szCs w:val="20"/>
                <w:lang w:eastAsia="en-US"/>
              </w:rPr>
              <w:lastRenderedPageBreak/>
              <w:t>siempre que esté directamente relacionado con procesos o procedimientos administrativos o judiciales que no hayan quedado firmes;</w:t>
            </w:r>
          </w:p>
          <w:p w:rsidR="0092740E" w:rsidRPr="00B77D66" w:rsidRDefault="0092740E" w:rsidP="0092740E">
            <w:pPr>
              <w:autoSpaceDE w:val="0"/>
              <w:autoSpaceDN w:val="0"/>
              <w:adjustRightInd w:val="0"/>
              <w:spacing w:line="360" w:lineRule="auto"/>
              <w:jc w:val="both"/>
              <w:rPr>
                <w:rFonts w:ascii="Palatino Linotype" w:eastAsia="Cambria" w:hAnsi="Palatino Linotype" w:cs="Arial"/>
                <w:color w:val="000000"/>
                <w:sz w:val="20"/>
                <w:szCs w:val="20"/>
                <w:lang w:eastAsia="en-US"/>
              </w:rPr>
            </w:pPr>
            <w:r w:rsidRPr="00B77D66">
              <w:rPr>
                <w:rFonts w:ascii="Palatino Linotype" w:eastAsia="Cambria" w:hAnsi="Palatino Linotype" w:cs="Arial"/>
                <w:color w:val="000000"/>
                <w:sz w:val="20"/>
                <w:szCs w:val="20"/>
                <w:lang w:eastAsia="en-U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779" w:type="dxa"/>
            <w:tcBorders>
              <w:top w:val="single" w:sz="4" w:space="0" w:color="BFBFBF"/>
              <w:left w:val="single" w:sz="4" w:space="0" w:color="BFBFBF"/>
              <w:bottom w:val="single" w:sz="4" w:space="0" w:color="BFBFBF"/>
              <w:right w:val="single" w:sz="4" w:space="0" w:color="BFBFBF"/>
            </w:tcBorders>
          </w:tcPr>
          <w:p w:rsidR="0092740E" w:rsidRPr="00B77D66" w:rsidRDefault="0092740E" w:rsidP="0092740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olor w:val="000000"/>
                <w:sz w:val="20"/>
                <w:szCs w:val="20"/>
                <w:lang w:eastAsia="en-US"/>
              </w:rPr>
            </w:pPr>
          </w:p>
        </w:tc>
      </w:tr>
      <w:tr w:rsidR="0092740E" w:rsidRPr="00B77D66" w:rsidTr="0092740E">
        <w:trPr>
          <w:jc w:val="center"/>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spacing w:line="360" w:lineRule="auto"/>
              <w:jc w:val="both"/>
              <w:rPr>
                <w:rFonts w:ascii="Palatino Linotype" w:eastAsia="Cambria" w:hAnsi="Palatino Linotype"/>
                <w:color w:val="000000"/>
                <w:sz w:val="20"/>
                <w:szCs w:val="20"/>
                <w:lang w:eastAsia="en-US"/>
              </w:rPr>
            </w:pPr>
            <w:r w:rsidRPr="00B77D66">
              <w:rPr>
                <w:rFonts w:ascii="Palatino Linotype" w:eastAsia="Cambria" w:hAnsi="Palatino Linotype" w:cs="Arial"/>
                <w:color w:val="000000"/>
                <w:sz w:val="20"/>
                <w:szCs w:val="20"/>
                <w:lang w:eastAsia="en-US"/>
              </w:rPr>
              <w:lastRenderedPageBreak/>
              <w:t>XI. Las que por disposición expresa de una ley tengan tal carácter, siempre que sean acordes con las bases, principios y disposiciones establecidos en esta Ley y no la contravengan; así como las previstas en tratados internacionales.</w:t>
            </w:r>
          </w:p>
        </w:tc>
        <w:tc>
          <w:tcPr>
            <w:tcW w:w="4779" w:type="dxa"/>
            <w:tcBorders>
              <w:top w:val="single" w:sz="4" w:space="0" w:color="BFBFBF"/>
              <w:left w:val="single" w:sz="4" w:space="0" w:color="BFBFBF"/>
              <w:bottom w:val="single" w:sz="4" w:space="0" w:color="BFBFBF"/>
              <w:right w:val="single" w:sz="4" w:space="0" w:color="BFBFBF"/>
            </w:tcBorders>
            <w:hideMark/>
          </w:tcPr>
          <w:p w:rsidR="0092740E" w:rsidRPr="00B77D66" w:rsidRDefault="0092740E" w:rsidP="0092740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olor w:val="000000"/>
                <w:sz w:val="20"/>
                <w:szCs w:val="20"/>
                <w:lang w:val="es-ES" w:eastAsia="en-US"/>
              </w:rPr>
            </w:pPr>
            <w:r w:rsidRPr="00B77D66">
              <w:rPr>
                <w:rFonts w:ascii="Palatino Linotype" w:eastAsia="Cambria" w:hAnsi="Palatino Linotype"/>
                <w:color w:val="000000"/>
                <w:sz w:val="20"/>
                <w:szCs w:val="20"/>
                <w:lang w:val="es-ES" w:eastAsia="en-US"/>
              </w:rPr>
              <w:t>XIII.</w:t>
            </w:r>
            <w:r w:rsidRPr="00B77D66">
              <w:rPr>
                <w:rFonts w:ascii="Palatino Linotype" w:eastAsia="Cambria" w:hAnsi="Palatino Linotype"/>
                <w:color w:val="000000"/>
                <w:sz w:val="20"/>
                <w:szCs w:val="20"/>
                <w:lang w:val="es-ES" w:eastAsia="en-US"/>
              </w:rPr>
              <w:tab/>
              <w:t>Las que por disposición expresa de una ley tengan tal carácter, siempre que sean acordes con las bases, principios y disposiciones establecidos en esta Ley y no la contravengan; así como las previstas en tratados internacionales.</w:t>
            </w:r>
          </w:p>
        </w:tc>
      </w:tr>
    </w:tbl>
    <w:p w:rsidR="0092740E" w:rsidRPr="00B77D66" w:rsidRDefault="0092740E" w:rsidP="0092740E">
      <w:pPr>
        <w:spacing w:line="360" w:lineRule="auto"/>
        <w:ind w:right="49"/>
        <w:jc w:val="both"/>
        <w:rPr>
          <w:rFonts w:ascii="Palatino Linotype" w:hAnsi="Palatino Linotype" w:cs="Arial"/>
          <w:color w:val="000000"/>
        </w:rPr>
      </w:pPr>
    </w:p>
    <w:p w:rsidR="0092740E" w:rsidRPr="00B77D66" w:rsidRDefault="0092740E" w:rsidP="0092740E">
      <w:pPr>
        <w:spacing w:line="360" w:lineRule="auto"/>
        <w:ind w:right="49"/>
        <w:jc w:val="both"/>
        <w:rPr>
          <w:rFonts w:ascii="Palatino Linotype" w:hAnsi="Palatino Linotype" w:cs="Arial"/>
          <w:color w:val="000000"/>
        </w:rPr>
      </w:pPr>
    </w:p>
    <w:p w:rsidR="0092740E" w:rsidRPr="00B77D66" w:rsidRDefault="0092740E" w:rsidP="0092740E">
      <w:pPr>
        <w:pStyle w:val="Prrafodelista"/>
        <w:numPr>
          <w:ilvl w:val="0"/>
          <w:numId w:val="1"/>
        </w:numPr>
        <w:spacing w:line="360" w:lineRule="auto"/>
        <w:ind w:left="0" w:right="49" w:firstLine="0"/>
        <w:jc w:val="both"/>
        <w:rPr>
          <w:rFonts w:ascii="Palatino Linotype" w:hAnsi="Palatino Linotype" w:cs="Arial"/>
          <w:color w:val="000000"/>
          <w:sz w:val="24"/>
        </w:rPr>
      </w:pPr>
      <w:r w:rsidRPr="00B77D66">
        <w:rPr>
          <w:rFonts w:ascii="Palatino Linotype" w:eastAsia="MS Mincho" w:hAnsi="Palatino Linotype" w:cs="Arial"/>
          <w:color w:val="000000"/>
          <w:sz w:val="24"/>
          <w:lang w:val="es-ES_tradnl" w:eastAsia="es-ES"/>
        </w:rPr>
        <w:t>Mientras que los artículos 143 y 116 de la Ley Estatal y de la Ley General, respectivamente, señalan los supuestos para que la información pueda ser clasificada como confidencial:</w:t>
      </w:r>
    </w:p>
    <w:p w:rsidR="0092740E" w:rsidRPr="00B77D66" w:rsidRDefault="0092740E" w:rsidP="0092740E">
      <w:pPr>
        <w:spacing w:line="360" w:lineRule="auto"/>
        <w:jc w:val="both"/>
        <w:rPr>
          <w:rFonts w:ascii="Palatino Linotype" w:eastAsia="MS Mincho" w:hAnsi="Palatino Linotype" w:cs="Arial"/>
          <w:color w:val="000000"/>
          <w:lang w:val="es-ES_tradnl" w:eastAsia="es-ES"/>
        </w:rPr>
      </w:pPr>
    </w:p>
    <w:p w:rsidR="0092740E" w:rsidRPr="00B77D66" w:rsidRDefault="0092740E" w:rsidP="0092740E">
      <w:pPr>
        <w:widowControl w:val="0"/>
        <w:autoSpaceDE w:val="0"/>
        <w:autoSpaceDN w:val="0"/>
        <w:adjustRightInd w:val="0"/>
        <w:spacing w:after="240" w:line="360" w:lineRule="auto"/>
        <w:ind w:left="567" w:right="616"/>
        <w:jc w:val="both"/>
        <w:rPr>
          <w:rFonts w:ascii="Palatino Linotype" w:eastAsia="MS Mincho" w:hAnsi="Palatino Linotype" w:cs="Times"/>
          <w:i/>
          <w:color w:val="000000"/>
          <w:lang w:val="es-ES_tradnl" w:eastAsia="es-ES"/>
        </w:rPr>
      </w:pPr>
      <w:r w:rsidRPr="00B77D66">
        <w:rPr>
          <w:rFonts w:ascii="Palatino Linotype" w:eastAsia="MS Mincho" w:hAnsi="Palatino Linotype" w:cs="Bookman Old Style"/>
          <w:bCs/>
          <w:i/>
          <w:color w:val="000000"/>
          <w:lang w:val="es-ES_tradnl" w:eastAsia="es-ES"/>
        </w:rPr>
        <w:t xml:space="preserve">I. </w:t>
      </w:r>
      <w:r w:rsidRPr="00B77D66">
        <w:rPr>
          <w:rFonts w:ascii="Palatino Linotype" w:eastAsia="MS Mincho" w:hAnsi="Palatino Linotype" w:cs="Bookman Old Style"/>
          <w:i/>
          <w:color w:val="000000"/>
          <w:lang w:val="es-ES_tradnl" w:eastAsia="es-ES"/>
        </w:rPr>
        <w:t xml:space="preserve">Se refiera a la información privada y los datos personales concernientes a una </w:t>
      </w:r>
      <w:r w:rsidRPr="00B77D66">
        <w:rPr>
          <w:rFonts w:ascii="Palatino Linotype" w:eastAsia="MS Mincho" w:hAnsi="Palatino Linotype" w:cs="Bookman Old Style"/>
          <w:i/>
          <w:color w:val="000000"/>
          <w:lang w:val="es-ES_tradnl" w:eastAsia="es-ES"/>
        </w:rPr>
        <w:lastRenderedPageBreak/>
        <w:t xml:space="preserve">persona física o jurídico colectiva identificada o identificable; </w:t>
      </w:r>
    </w:p>
    <w:p w:rsidR="0092740E" w:rsidRPr="00B77D66" w:rsidRDefault="0092740E" w:rsidP="0092740E">
      <w:pPr>
        <w:widowControl w:val="0"/>
        <w:autoSpaceDE w:val="0"/>
        <w:autoSpaceDN w:val="0"/>
        <w:adjustRightInd w:val="0"/>
        <w:spacing w:after="240" w:line="360" w:lineRule="auto"/>
        <w:ind w:left="567" w:right="616"/>
        <w:jc w:val="both"/>
        <w:rPr>
          <w:rFonts w:ascii="Palatino Linotype" w:eastAsia="MS Mincho" w:hAnsi="Palatino Linotype" w:cs="Times"/>
          <w:i/>
          <w:color w:val="000000"/>
          <w:lang w:val="es-ES_tradnl" w:eastAsia="es-ES"/>
        </w:rPr>
      </w:pPr>
      <w:r w:rsidRPr="00B77D66">
        <w:rPr>
          <w:rFonts w:ascii="Palatino Linotype" w:eastAsia="MS Mincho" w:hAnsi="Palatino Linotype" w:cs="Bookman Old Style"/>
          <w:bCs/>
          <w:i/>
          <w:color w:val="000000"/>
          <w:lang w:val="es-ES_tradnl" w:eastAsia="es-ES"/>
        </w:rPr>
        <w:t xml:space="preserve">II. </w:t>
      </w:r>
      <w:r w:rsidRPr="00B77D66">
        <w:rPr>
          <w:rFonts w:ascii="Palatino Linotype" w:eastAsia="MS Mincho" w:hAnsi="Palatino Linotype" w:cs="Bookman Old Style"/>
          <w:i/>
          <w:color w:val="000000"/>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2740E" w:rsidRPr="00B77D66" w:rsidRDefault="0092740E" w:rsidP="0092740E">
      <w:pPr>
        <w:widowControl w:val="0"/>
        <w:autoSpaceDE w:val="0"/>
        <w:autoSpaceDN w:val="0"/>
        <w:adjustRightInd w:val="0"/>
        <w:spacing w:after="240" w:line="360" w:lineRule="auto"/>
        <w:ind w:left="567" w:right="616"/>
        <w:jc w:val="both"/>
        <w:rPr>
          <w:rFonts w:ascii="Palatino Linotype" w:eastAsia="MS Mincho" w:hAnsi="Palatino Linotype" w:cs="Times"/>
          <w:i/>
          <w:color w:val="000000"/>
          <w:lang w:val="es-ES_tradnl" w:eastAsia="es-ES"/>
        </w:rPr>
      </w:pPr>
      <w:r w:rsidRPr="00B77D66">
        <w:rPr>
          <w:rFonts w:ascii="Palatino Linotype" w:eastAsia="MS Mincho" w:hAnsi="Palatino Linotype" w:cs="Bookman Old Style"/>
          <w:bCs/>
          <w:i/>
          <w:color w:val="000000"/>
          <w:lang w:val="es-ES_tradnl" w:eastAsia="es-ES"/>
        </w:rPr>
        <w:t xml:space="preserve">III. </w:t>
      </w:r>
      <w:r w:rsidRPr="00B77D66">
        <w:rPr>
          <w:rFonts w:ascii="Palatino Linotype" w:eastAsia="MS Mincho" w:hAnsi="Palatino Linotype" w:cs="Bookman Old Style"/>
          <w:i/>
          <w:color w:val="000000"/>
          <w:lang w:val="es-ES_tradnl" w:eastAsia="es-ES"/>
        </w:rPr>
        <w:t xml:space="preserve">La que presenten los particulares a los sujetos obligados, de conformidad con lo dispuesto por las leyes o los tratados internacionales. </w:t>
      </w:r>
    </w:p>
    <w:p w:rsidR="0092740E" w:rsidRPr="00B77D66" w:rsidRDefault="0092740E" w:rsidP="0092740E">
      <w:pPr>
        <w:widowControl w:val="0"/>
        <w:autoSpaceDE w:val="0"/>
        <w:autoSpaceDN w:val="0"/>
        <w:adjustRightInd w:val="0"/>
        <w:spacing w:after="240" w:line="360" w:lineRule="auto"/>
        <w:ind w:left="567" w:right="616"/>
        <w:jc w:val="both"/>
        <w:rPr>
          <w:rFonts w:ascii="Palatino Linotype" w:eastAsia="MS Mincho" w:hAnsi="Palatino Linotype" w:cs="Times"/>
          <w:i/>
          <w:color w:val="000000"/>
          <w:lang w:val="es-ES_tradnl" w:eastAsia="es-ES"/>
        </w:rPr>
      </w:pPr>
      <w:r w:rsidRPr="00B77D66">
        <w:rPr>
          <w:rFonts w:ascii="Palatino Linotype" w:eastAsia="MS Mincho" w:hAnsi="Palatino Linotype" w:cs="Bookman Old Style"/>
          <w:i/>
          <w:color w:val="000000"/>
          <w:lang w:val="es-ES_tradnl" w:eastAsia="es-ES"/>
        </w:rPr>
        <w:t xml:space="preserve">La información confidencial no estará sujeta a temporalidad alguna y sólo podrán tener acceso a ella los titulares de la misma, sus representantes y los servidores públicos facultados para ello. </w:t>
      </w:r>
    </w:p>
    <w:p w:rsidR="0092740E" w:rsidRPr="00B77D66" w:rsidRDefault="0092740E" w:rsidP="0092740E">
      <w:pPr>
        <w:widowControl w:val="0"/>
        <w:autoSpaceDE w:val="0"/>
        <w:autoSpaceDN w:val="0"/>
        <w:adjustRightInd w:val="0"/>
        <w:spacing w:after="240" w:line="360" w:lineRule="auto"/>
        <w:ind w:left="567" w:right="616"/>
        <w:jc w:val="both"/>
        <w:rPr>
          <w:rFonts w:ascii="Palatino Linotype" w:eastAsia="MS Mincho" w:hAnsi="Palatino Linotype" w:cs="Times"/>
          <w:i/>
          <w:color w:val="000000"/>
          <w:lang w:val="es-ES_tradnl" w:eastAsia="es-ES"/>
        </w:rPr>
      </w:pPr>
      <w:r w:rsidRPr="00B77D66">
        <w:rPr>
          <w:rFonts w:ascii="Palatino Linotype" w:eastAsia="MS Mincho" w:hAnsi="Palatino Linotype" w:cs="Bookman Old Style"/>
          <w:i/>
          <w:color w:val="000000"/>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92740E" w:rsidRPr="00B77D66" w:rsidRDefault="0092740E" w:rsidP="0092740E">
      <w:pPr>
        <w:numPr>
          <w:ilvl w:val="0"/>
          <w:numId w:val="1"/>
        </w:numPr>
        <w:spacing w:line="360" w:lineRule="auto"/>
        <w:ind w:left="0" w:firstLine="0"/>
        <w:contextualSpacing/>
        <w:jc w:val="both"/>
        <w:rPr>
          <w:rFonts w:ascii="Palatino Linotype" w:eastAsia="MS Mincho" w:hAnsi="Palatino Linotype" w:cs="Arial"/>
          <w:color w:val="000000"/>
          <w:lang w:val="es-ES_tradnl" w:eastAsia="es-ES"/>
        </w:rPr>
      </w:pPr>
      <w:r w:rsidRPr="00B77D66">
        <w:rPr>
          <w:rFonts w:ascii="Palatino Linotype" w:eastAsia="MS Mincho" w:hAnsi="Palatino Linotype" w:cs="Arial"/>
          <w:color w:val="000000"/>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92740E" w:rsidRPr="00B77D66" w:rsidRDefault="0092740E" w:rsidP="0092740E">
      <w:pPr>
        <w:spacing w:line="360" w:lineRule="auto"/>
        <w:jc w:val="both"/>
        <w:rPr>
          <w:rFonts w:ascii="Palatino Linotype" w:eastAsia="MS Mincho" w:hAnsi="Palatino Linotype" w:cs="Arial"/>
          <w:color w:val="000000"/>
          <w:lang w:val="es-ES_tradnl" w:eastAsia="es-ES"/>
        </w:rPr>
      </w:pPr>
    </w:p>
    <w:p w:rsidR="0092740E" w:rsidRPr="00B77D66" w:rsidRDefault="0092740E" w:rsidP="0092740E">
      <w:pPr>
        <w:numPr>
          <w:ilvl w:val="0"/>
          <w:numId w:val="1"/>
        </w:numPr>
        <w:spacing w:line="360" w:lineRule="auto"/>
        <w:ind w:left="0" w:firstLine="0"/>
        <w:contextualSpacing/>
        <w:jc w:val="both"/>
        <w:rPr>
          <w:rFonts w:ascii="Palatino Linotype" w:eastAsia="MS Mincho" w:hAnsi="Palatino Linotype" w:cs="Arial"/>
          <w:color w:val="000000"/>
          <w:lang w:val="es-ES_tradnl" w:eastAsia="es-ES"/>
        </w:rPr>
      </w:pPr>
      <w:r w:rsidRPr="00B77D66">
        <w:rPr>
          <w:rFonts w:ascii="Palatino Linotype" w:eastAsia="MS Mincho" w:hAnsi="Palatino Linotype" w:cs="Arial"/>
          <w:color w:val="000000"/>
          <w:lang w:val="es-ES_tradnl" w:eastAsia="es-ES"/>
        </w:rPr>
        <w:t>Como consecuencia de lo anterior, el sujeto obligado debe identificar claramente el tipo de información y hacer un juicio de subsunción o encaje</w:t>
      </w:r>
      <w:r w:rsidRPr="00B77D66">
        <w:rPr>
          <w:rFonts w:ascii="Palatino Linotype" w:eastAsia="MS Mincho" w:hAnsi="Palatino Linotype" w:cs="Arial"/>
          <w:color w:val="000000"/>
          <w:vertAlign w:val="superscript"/>
          <w:lang w:val="es-ES_tradnl" w:eastAsia="es-ES"/>
        </w:rPr>
        <w:footnoteReference w:id="5"/>
      </w:r>
      <w:r w:rsidRPr="00B77D66">
        <w:rPr>
          <w:rFonts w:ascii="Palatino Linotype" w:eastAsia="MS Mincho" w:hAnsi="Palatino Linotype" w:cs="Arial"/>
          <w:color w:val="000000"/>
          <w:lang w:val="es-ES_tradnl" w:eastAsia="es-ES"/>
        </w:rPr>
        <w:t xml:space="preserve"> para </w:t>
      </w:r>
      <w:r w:rsidRPr="00B77D66">
        <w:rPr>
          <w:rFonts w:ascii="Palatino Linotype" w:eastAsia="MS Mincho" w:hAnsi="Palatino Linotype" w:cs="Arial"/>
          <w:color w:val="000000"/>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rsidR="0092740E" w:rsidRPr="00B77D66" w:rsidRDefault="0092740E" w:rsidP="0092740E">
      <w:pPr>
        <w:spacing w:line="360" w:lineRule="auto"/>
        <w:contextualSpacing/>
        <w:jc w:val="both"/>
        <w:rPr>
          <w:rFonts w:ascii="Palatino Linotype" w:eastAsia="MS Mincho" w:hAnsi="Palatino Linotype" w:cs="Arial"/>
          <w:color w:val="000000"/>
          <w:lang w:val="es-ES_tradnl" w:eastAsia="es-ES"/>
        </w:rPr>
      </w:pPr>
    </w:p>
    <w:p w:rsidR="00C55280" w:rsidRPr="00B77D66" w:rsidRDefault="0092740E" w:rsidP="00C55280">
      <w:pPr>
        <w:numPr>
          <w:ilvl w:val="0"/>
          <w:numId w:val="1"/>
        </w:numPr>
        <w:spacing w:line="360" w:lineRule="auto"/>
        <w:ind w:left="0" w:firstLine="0"/>
        <w:contextualSpacing/>
        <w:jc w:val="both"/>
        <w:rPr>
          <w:rFonts w:ascii="Palatino Linotype" w:eastAsia="MS Mincho" w:hAnsi="Palatino Linotype" w:cs="Arial"/>
          <w:color w:val="000000"/>
          <w:lang w:val="es-ES_tradnl" w:eastAsia="es-ES"/>
        </w:rPr>
      </w:pPr>
      <w:r w:rsidRPr="00B77D66">
        <w:rPr>
          <w:rFonts w:ascii="Palatino Linotype" w:eastAsia="MS Mincho" w:hAnsi="Palatino Linotype" w:cs="Arial"/>
          <w:color w:val="000000"/>
          <w:lang w:val="es-ES_tradnl" w:eastAsia="es-ES"/>
        </w:rPr>
        <w:t>Una vez hecho lo anterior, se remite la información al Titular de la Unidad de Transparencia, con el acuerdo de clasificación correspondiente, para que sea sometido al conocimiento del Comité de Transparencia.</w:t>
      </w:r>
    </w:p>
    <w:p w:rsidR="00C55280" w:rsidRPr="00B77D66" w:rsidRDefault="00C55280" w:rsidP="00C55280">
      <w:pPr>
        <w:spacing w:line="360" w:lineRule="auto"/>
        <w:contextualSpacing/>
        <w:jc w:val="both"/>
        <w:rPr>
          <w:rFonts w:ascii="Palatino Linotype" w:eastAsia="MS Mincho" w:hAnsi="Palatino Linotype" w:cs="Arial"/>
          <w:color w:val="000000"/>
          <w:lang w:val="es-ES_tradnl" w:eastAsia="es-ES"/>
        </w:rPr>
      </w:pPr>
    </w:p>
    <w:p w:rsidR="0092740E" w:rsidRPr="00B77D66" w:rsidRDefault="0092740E" w:rsidP="0092740E">
      <w:pPr>
        <w:numPr>
          <w:ilvl w:val="0"/>
          <w:numId w:val="1"/>
        </w:numPr>
        <w:spacing w:before="100" w:beforeAutospacing="1" w:after="100" w:afterAutospacing="1" w:line="360" w:lineRule="auto"/>
        <w:ind w:left="0" w:firstLine="0"/>
        <w:jc w:val="both"/>
        <w:rPr>
          <w:rFonts w:ascii="Palatino Linotype" w:hAnsi="Palatino Linotype"/>
          <w:color w:val="000000"/>
          <w:lang w:val="es-ES" w:eastAsia="es-ES"/>
        </w:rPr>
      </w:pPr>
      <w:r w:rsidRPr="00B77D66">
        <w:rPr>
          <w:rFonts w:ascii="Palatino Linotype" w:hAnsi="Palatino Linotype"/>
          <w:color w:val="000000"/>
          <w:lang w:val="es-ES" w:eastAsia="es-ES"/>
        </w:rPr>
        <w:t>En todos aquellos casos en los que se pretende adoptar una clasificación de la información como reservada, hay que considerar lo señalado por los artículos 5, 140 y 142 de la Ley Estatal y 5, 113 y 115 de la Ley General.</w:t>
      </w:r>
    </w:p>
    <w:p w:rsidR="0092740E" w:rsidRPr="00B77D66" w:rsidRDefault="0092740E" w:rsidP="003D6E56">
      <w:pPr>
        <w:keepNext/>
        <w:keepLines/>
        <w:spacing w:before="240" w:line="360" w:lineRule="auto"/>
        <w:outlineLvl w:val="0"/>
        <w:rPr>
          <w:rFonts w:ascii="Palatino Linotype" w:eastAsia="MS Gothic" w:hAnsi="Palatino Linotype"/>
          <w:color w:val="000000"/>
          <w:lang w:eastAsia="en-US"/>
        </w:rPr>
      </w:pPr>
      <w:bookmarkStart w:id="22" w:name="_Toc16179361"/>
      <w:bookmarkStart w:id="23" w:name="_Toc511333937"/>
      <w:bookmarkStart w:id="24" w:name="_Toc485631703"/>
      <w:r w:rsidRPr="00B77D66">
        <w:rPr>
          <w:rFonts w:ascii="Palatino Linotype" w:eastAsia="MS Gothic" w:hAnsi="Palatino Linotype"/>
          <w:b/>
          <w:color w:val="000000"/>
        </w:rPr>
        <w:t>IV</w:t>
      </w:r>
      <w:r w:rsidRPr="00B77D66">
        <w:rPr>
          <w:rFonts w:ascii="Palatino Linotype" w:eastAsia="MS Gothic" w:hAnsi="Palatino Linotype"/>
          <w:b/>
          <w:i/>
          <w:color w:val="000000"/>
        </w:rPr>
        <w:t>. La intervención del Comité de Transparencia</w:t>
      </w:r>
      <w:r w:rsidRPr="00B77D66">
        <w:rPr>
          <w:rFonts w:ascii="Palatino Linotype" w:eastAsia="MS Gothic" w:hAnsi="Palatino Linotype"/>
          <w:b/>
          <w:color w:val="000000"/>
        </w:rPr>
        <w:t>.</w:t>
      </w:r>
      <w:bookmarkEnd w:id="22"/>
      <w:bookmarkEnd w:id="23"/>
      <w:bookmarkEnd w:id="24"/>
    </w:p>
    <w:p w:rsidR="0092740E" w:rsidRPr="00B77D66" w:rsidRDefault="0092740E" w:rsidP="003D6E56">
      <w:pPr>
        <w:spacing w:line="360" w:lineRule="auto"/>
        <w:contextualSpacing/>
        <w:jc w:val="both"/>
        <w:rPr>
          <w:rFonts w:ascii="Palatino Linotype" w:eastAsia="MS Mincho" w:hAnsi="Palatino Linotype" w:cs="Arial"/>
          <w:b/>
          <w:color w:val="000000"/>
          <w:lang w:val="es-ES_tradnl" w:eastAsia="es-ES"/>
        </w:rPr>
      </w:pPr>
    </w:p>
    <w:p w:rsidR="0092740E" w:rsidRPr="00B77D66" w:rsidRDefault="0092740E" w:rsidP="003D6E56">
      <w:pPr>
        <w:keepNext/>
        <w:keepLines/>
        <w:numPr>
          <w:ilvl w:val="0"/>
          <w:numId w:val="15"/>
        </w:numPr>
        <w:spacing w:line="360" w:lineRule="auto"/>
        <w:ind w:left="0" w:firstLine="0"/>
        <w:outlineLvl w:val="1"/>
        <w:rPr>
          <w:rFonts w:ascii="Palatino Linotype" w:eastAsia="MS Gothic" w:hAnsi="Palatino Linotype"/>
          <w:color w:val="000000"/>
          <w:lang w:eastAsia="en-US"/>
        </w:rPr>
      </w:pPr>
      <w:bookmarkStart w:id="25" w:name="_Toc16179362"/>
      <w:bookmarkStart w:id="26" w:name="_Toc511333938"/>
      <w:bookmarkStart w:id="27" w:name="_Toc485631704"/>
      <w:r w:rsidRPr="00B77D66">
        <w:rPr>
          <w:rFonts w:ascii="Palatino Linotype" w:eastAsia="MS Gothic" w:hAnsi="Palatino Linotype"/>
          <w:b/>
          <w:color w:val="000000"/>
        </w:rPr>
        <w:t>Formalidades para emitir el acuerdo de clasificación.</w:t>
      </w:r>
      <w:bookmarkEnd w:id="25"/>
      <w:bookmarkEnd w:id="26"/>
      <w:bookmarkEnd w:id="27"/>
    </w:p>
    <w:p w:rsidR="0092740E" w:rsidRPr="00B77D66" w:rsidRDefault="0092740E" w:rsidP="003D6E56">
      <w:pPr>
        <w:spacing w:line="360" w:lineRule="auto"/>
        <w:contextualSpacing/>
        <w:jc w:val="both"/>
        <w:rPr>
          <w:rFonts w:ascii="Palatino Linotype" w:eastAsia="MS Mincho" w:hAnsi="Palatino Linotype" w:cs="Arial"/>
          <w:color w:val="000000"/>
          <w:lang w:val="es-ES_tradnl" w:eastAsia="es-ES"/>
        </w:rPr>
      </w:pPr>
    </w:p>
    <w:p w:rsidR="0092740E" w:rsidRPr="00B77D66" w:rsidRDefault="0092740E" w:rsidP="003D6E56">
      <w:pPr>
        <w:numPr>
          <w:ilvl w:val="0"/>
          <w:numId w:val="1"/>
        </w:numPr>
        <w:spacing w:line="360" w:lineRule="auto"/>
        <w:ind w:left="0" w:firstLine="0"/>
        <w:contextualSpacing/>
        <w:jc w:val="both"/>
        <w:rPr>
          <w:rFonts w:ascii="Palatino Linotype" w:hAnsi="Palatino Linotype"/>
          <w:color w:val="000000"/>
          <w:lang w:val="es-ES_tradnl" w:eastAsia="es-ES_tradnl"/>
        </w:rPr>
      </w:pPr>
      <w:r w:rsidRPr="00B77D66">
        <w:rPr>
          <w:rFonts w:ascii="Palatino Linotype" w:eastAsia="MS Mincho" w:hAnsi="Palatino Linotype" w:cs="Arial"/>
          <w:color w:val="000000"/>
          <w:lang w:val="es-ES_tradnl" w:eastAsia="es-ES"/>
        </w:rPr>
        <w:t xml:space="preserve">El Comité de Transparencia, según lo dispuesto en los artículos 128 y 103 de la Ley Estatal y de la Ley General, respectivamente, y </w:t>
      </w:r>
      <w:r w:rsidRPr="00B77D66">
        <w:rPr>
          <w:rFonts w:ascii="Palatino Linotype" w:eastAsia="MS Mincho" w:hAnsi="Palatino Linotype"/>
          <w:color w:val="000000"/>
          <w:lang w:val="es-ES_tradnl" w:eastAsia="es-ES"/>
        </w:rPr>
        <w:t xml:space="preserve">la fracción III del numeral Segundo </w:t>
      </w:r>
      <w:r w:rsidRPr="00B77D66">
        <w:rPr>
          <w:rFonts w:ascii="Palatino Linotype" w:eastAsia="MS Mincho" w:hAnsi="Palatino Linotype"/>
          <w:color w:val="000000"/>
          <w:lang w:val="es-ES_tradnl" w:eastAsia="es-ES"/>
        </w:rPr>
        <w:lastRenderedPageBreak/>
        <w:t xml:space="preserve">de los </w:t>
      </w:r>
      <w:r w:rsidRPr="00B77D66">
        <w:rPr>
          <w:rFonts w:ascii="Palatino Linotype" w:eastAsia="MS Mincho" w:hAnsi="Palatino Linotype" w:cs="Arial"/>
          <w:b/>
          <w:color w:val="000000"/>
          <w:lang w:val="es-ES_tradnl" w:eastAsia="es-ES"/>
        </w:rPr>
        <w:t>Lineamientos generales en materia de clasificación y desclasificación de la información, así como para la elaboración de versiones públicas</w:t>
      </w:r>
      <w:r w:rsidRPr="00B77D66">
        <w:rPr>
          <w:rFonts w:ascii="Palatino Linotype" w:eastAsia="MS Mincho" w:hAnsi="Palatino Linotype" w:cs="Arial"/>
          <w:color w:val="000000"/>
          <w:lang w:val="es-ES_tradnl" w:eastAsia="es-ES"/>
        </w:rPr>
        <w:t>, en adelante los Lineamientos Generales,</w:t>
      </w:r>
      <w:r w:rsidRPr="00B77D66">
        <w:rPr>
          <w:rFonts w:ascii="Palatino Linotype" w:eastAsia="MS Mincho" w:hAnsi="Palatino Linotype"/>
          <w:color w:val="000000"/>
          <w:lang w:val="es-ES_tradnl" w:eastAsia="es-ES"/>
        </w:rPr>
        <w:t xml:space="preserve"> </w:t>
      </w:r>
      <w:r w:rsidRPr="00B77D66">
        <w:rPr>
          <w:rFonts w:ascii="Palatino Linotype" w:eastAsia="MS Mincho" w:hAnsi="Palatino Linotype" w:cs="Arial"/>
          <w:color w:val="000000"/>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92740E" w:rsidRPr="00B77D66" w:rsidRDefault="0092740E" w:rsidP="003D6E56">
      <w:pPr>
        <w:spacing w:line="360" w:lineRule="auto"/>
        <w:jc w:val="both"/>
        <w:rPr>
          <w:rFonts w:ascii="Palatino Linotype" w:hAnsi="Palatino Linotype"/>
          <w:color w:val="000000"/>
          <w:lang w:val="es-ES_tradnl" w:eastAsia="es-ES_tradnl"/>
        </w:rPr>
      </w:pPr>
    </w:p>
    <w:p w:rsidR="0092740E" w:rsidRPr="00B77D66" w:rsidRDefault="0092740E" w:rsidP="003D6E56">
      <w:pPr>
        <w:numPr>
          <w:ilvl w:val="0"/>
          <w:numId w:val="1"/>
        </w:numPr>
        <w:spacing w:line="360" w:lineRule="auto"/>
        <w:ind w:left="0" w:firstLine="0"/>
        <w:contextualSpacing/>
        <w:jc w:val="both"/>
        <w:rPr>
          <w:rFonts w:ascii="Palatino Linotype" w:hAnsi="Palatino Linotype"/>
          <w:color w:val="000000"/>
          <w:lang w:val="es-ES_tradnl" w:eastAsia="es-ES_tradnl"/>
        </w:rPr>
      </w:pPr>
      <w:r w:rsidRPr="00B77D66">
        <w:rPr>
          <w:rFonts w:ascii="Palatino Linotype" w:eastAsia="MS Mincho" w:hAnsi="Palatino Linotype" w:cs="Arial"/>
          <w:color w:val="000000"/>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92740E" w:rsidRPr="00B77D66" w:rsidRDefault="0092740E" w:rsidP="003D6E56">
      <w:pPr>
        <w:spacing w:line="360" w:lineRule="auto"/>
        <w:jc w:val="both"/>
        <w:rPr>
          <w:rFonts w:ascii="Palatino Linotype" w:hAnsi="Palatino Linotype"/>
          <w:color w:val="000000"/>
          <w:lang w:val="es-ES_tradnl" w:eastAsia="es-ES_tradnl"/>
        </w:rPr>
      </w:pPr>
    </w:p>
    <w:p w:rsidR="0092740E" w:rsidRPr="00B77D66" w:rsidRDefault="0092740E" w:rsidP="003D6E56">
      <w:pPr>
        <w:numPr>
          <w:ilvl w:val="0"/>
          <w:numId w:val="1"/>
        </w:numPr>
        <w:spacing w:line="360" w:lineRule="auto"/>
        <w:ind w:left="0" w:firstLine="0"/>
        <w:contextualSpacing/>
        <w:jc w:val="both"/>
        <w:rPr>
          <w:rFonts w:ascii="Palatino Linotype" w:hAnsi="Palatino Linotype"/>
          <w:color w:val="000000"/>
          <w:lang w:val="es-ES_tradnl" w:eastAsia="es-ES_tradnl"/>
        </w:rPr>
      </w:pPr>
      <w:r w:rsidRPr="00B77D66">
        <w:rPr>
          <w:rFonts w:ascii="Palatino Linotype" w:eastAsia="MS Mincho" w:hAnsi="Palatino Linotype"/>
          <w:color w:val="000000"/>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w:t>
      </w:r>
      <w:r w:rsidRPr="00B77D66">
        <w:rPr>
          <w:rFonts w:ascii="Palatino Linotype" w:eastAsia="MS Mincho" w:hAnsi="Palatino Linotype"/>
          <w:color w:val="000000"/>
          <w:lang w:val="es-ES_tradnl" w:eastAsia="es-ES"/>
        </w:rPr>
        <w:lastRenderedPageBreak/>
        <w:t xml:space="preserve">las sesiones, se insiste, a partir de las decisiones adoptadas previamente por los titulares de áreas y que son sujetas a control, en primera instancia, por el Comité de Transparencia. </w:t>
      </w:r>
    </w:p>
    <w:p w:rsidR="0092740E" w:rsidRPr="00B77D66" w:rsidRDefault="0092740E" w:rsidP="003D6E56">
      <w:pPr>
        <w:spacing w:line="360" w:lineRule="auto"/>
        <w:jc w:val="both"/>
        <w:rPr>
          <w:rFonts w:ascii="Palatino Linotype" w:eastAsia="MS Mincho" w:hAnsi="Palatino Linotype"/>
          <w:color w:val="000000"/>
          <w:lang w:val="es-ES_tradnl" w:eastAsia="es-ES"/>
        </w:rPr>
      </w:pPr>
    </w:p>
    <w:p w:rsidR="0092740E" w:rsidRPr="00B77D66" w:rsidRDefault="0092740E" w:rsidP="003D6E56">
      <w:pPr>
        <w:keepNext/>
        <w:keepLines/>
        <w:numPr>
          <w:ilvl w:val="0"/>
          <w:numId w:val="15"/>
        </w:numPr>
        <w:spacing w:line="360" w:lineRule="auto"/>
        <w:ind w:left="0" w:firstLine="0"/>
        <w:outlineLvl w:val="1"/>
        <w:rPr>
          <w:rFonts w:ascii="Palatino Linotype" w:eastAsia="MS Gothic" w:hAnsi="Palatino Linotype"/>
          <w:color w:val="000000"/>
          <w:lang w:eastAsia="en-US"/>
        </w:rPr>
      </w:pPr>
      <w:bookmarkStart w:id="28" w:name="_Toc16179363"/>
      <w:bookmarkStart w:id="29" w:name="_Toc511333939"/>
      <w:bookmarkStart w:id="30" w:name="_Toc485631705"/>
      <w:r w:rsidRPr="00B77D66">
        <w:rPr>
          <w:rFonts w:ascii="Palatino Linotype" w:eastAsia="MS Gothic" w:hAnsi="Palatino Linotype"/>
          <w:b/>
          <w:color w:val="000000"/>
        </w:rPr>
        <w:t>Requisitos de fondo del acuerdo de clasificación.</w:t>
      </w:r>
      <w:bookmarkEnd w:id="28"/>
      <w:bookmarkEnd w:id="29"/>
      <w:bookmarkEnd w:id="30"/>
    </w:p>
    <w:p w:rsidR="0092740E" w:rsidRPr="00B77D66" w:rsidRDefault="0092740E" w:rsidP="003D6E56">
      <w:pPr>
        <w:spacing w:line="360" w:lineRule="auto"/>
        <w:contextualSpacing/>
        <w:jc w:val="both"/>
        <w:rPr>
          <w:rFonts w:ascii="Palatino Linotype" w:eastAsia="MS Mincho" w:hAnsi="Palatino Linotype" w:cs="Arial"/>
          <w:color w:val="000000"/>
          <w:lang w:val="es-ES_tradnl" w:eastAsia="es-ES"/>
        </w:rPr>
      </w:pPr>
    </w:p>
    <w:p w:rsidR="0092740E" w:rsidRPr="00B77D66" w:rsidRDefault="0092740E" w:rsidP="003D6E56">
      <w:pPr>
        <w:numPr>
          <w:ilvl w:val="0"/>
          <w:numId w:val="1"/>
        </w:numPr>
        <w:spacing w:line="360" w:lineRule="auto"/>
        <w:ind w:left="0" w:firstLine="0"/>
        <w:contextualSpacing/>
        <w:jc w:val="both"/>
        <w:rPr>
          <w:rFonts w:ascii="Palatino Linotype" w:eastAsia="MS Mincho" w:hAnsi="Palatino Linotype" w:cs="Arial"/>
          <w:color w:val="000000"/>
          <w:lang w:val="es-ES_tradnl" w:eastAsia="es-ES"/>
        </w:rPr>
      </w:pPr>
      <w:r w:rsidRPr="00B77D66">
        <w:rPr>
          <w:rFonts w:ascii="Palatino Linotype" w:eastAsia="MS Mincho" w:hAnsi="Palatino Linotype" w:cs="Arial"/>
          <w:color w:val="000000"/>
          <w:lang w:val="es-ES_tradnl" w:eastAsia="es-ES"/>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92740E" w:rsidRPr="00B77D66" w:rsidRDefault="0092740E" w:rsidP="003D6E56">
      <w:pPr>
        <w:spacing w:line="360" w:lineRule="auto"/>
        <w:contextualSpacing/>
        <w:jc w:val="both"/>
        <w:rPr>
          <w:rFonts w:ascii="Palatino Linotype" w:eastAsia="MS Mincho" w:hAnsi="Palatino Linotype" w:cs="Arial"/>
          <w:color w:val="000000"/>
          <w:lang w:val="es-ES_tradnl" w:eastAsia="es-ES"/>
        </w:rPr>
      </w:pPr>
    </w:p>
    <w:p w:rsidR="0092740E" w:rsidRPr="00B77D66" w:rsidRDefault="0092740E" w:rsidP="003D6E56">
      <w:pPr>
        <w:numPr>
          <w:ilvl w:val="0"/>
          <w:numId w:val="1"/>
        </w:numPr>
        <w:spacing w:line="360" w:lineRule="auto"/>
        <w:ind w:left="0" w:firstLine="0"/>
        <w:contextualSpacing/>
        <w:jc w:val="both"/>
        <w:rPr>
          <w:rFonts w:ascii="Palatino Linotype" w:eastAsia="MS Mincho" w:hAnsi="Palatino Linotype" w:cs="Arial"/>
          <w:color w:val="000000"/>
          <w:lang w:val="es-ES_tradnl" w:eastAsia="es-ES"/>
        </w:rPr>
      </w:pPr>
      <w:r w:rsidRPr="00B77D66">
        <w:rPr>
          <w:rFonts w:ascii="Palatino Linotype" w:eastAsia="MS Mincho" w:hAnsi="Palatino Linotype"/>
          <w:color w:val="000000"/>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2740E" w:rsidRPr="00B77D66" w:rsidRDefault="0092740E" w:rsidP="003D6E56">
      <w:pPr>
        <w:spacing w:line="360" w:lineRule="auto"/>
        <w:jc w:val="both"/>
        <w:rPr>
          <w:rFonts w:ascii="Palatino Linotype" w:eastAsia="MS Mincho" w:hAnsi="Palatino Linotype" w:cs="Arial"/>
          <w:color w:val="000000"/>
          <w:lang w:val="es-ES_tradnl" w:eastAsia="es-ES"/>
        </w:rPr>
      </w:pPr>
    </w:p>
    <w:p w:rsidR="0092740E" w:rsidRPr="00B77D66" w:rsidRDefault="0092740E" w:rsidP="003D6E56">
      <w:pPr>
        <w:numPr>
          <w:ilvl w:val="0"/>
          <w:numId w:val="1"/>
        </w:numPr>
        <w:spacing w:line="360" w:lineRule="auto"/>
        <w:ind w:left="0" w:firstLine="0"/>
        <w:contextualSpacing/>
        <w:jc w:val="both"/>
        <w:rPr>
          <w:rFonts w:ascii="Palatino Linotype" w:eastAsia="MS Mincho" w:hAnsi="Palatino Linotype" w:cs="Arial"/>
          <w:color w:val="000000"/>
          <w:lang w:val="es-ES_tradnl" w:eastAsia="es-ES"/>
        </w:rPr>
      </w:pPr>
      <w:r w:rsidRPr="00B77D66">
        <w:rPr>
          <w:rFonts w:ascii="Palatino Linotype" w:hAnsi="Palatino Linotype" w:cs="Arial"/>
          <w:color w:val="000000"/>
          <w:lang w:val="es-ES_tradnl"/>
        </w:rPr>
        <w:t xml:space="preserve">Han sido vastos los estudios doctrinarios relativos a estos derechos fundamentales y al principio de legalidad en ellos contenidos; como ejemplo, el </w:t>
      </w:r>
      <w:r w:rsidRPr="00B77D66">
        <w:rPr>
          <w:rFonts w:ascii="Palatino Linotype" w:hAnsi="Palatino Linotype" w:cs="Arial"/>
          <w:color w:val="000000"/>
          <w:lang w:val="es-ES_tradnl"/>
        </w:rPr>
        <w:lastRenderedPageBreak/>
        <w:t>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77D66">
        <w:rPr>
          <w:rFonts w:ascii="Palatino Linotype" w:hAnsi="Palatino Linotype" w:cs="Arial"/>
          <w:color w:val="000000"/>
          <w:vertAlign w:val="superscript"/>
          <w:lang w:val="es-ES_tradnl"/>
        </w:rPr>
        <w:footnoteReference w:id="6"/>
      </w:r>
    </w:p>
    <w:p w:rsidR="0092740E" w:rsidRPr="00B77D66" w:rsidRDefault="0092740E" w:rsidP="003D6E56">
      <w:pPr>
        <w:pStyle w:val="Prrafodelista"/>
        <w:spacing w:line="360" w:lineRule="auto"/>
        <w:ind w:left="0"/>
        <w:rPr>
          <w:rFonts w:ascii="Palatino Linotype" w:eastAsia="MS Mincho" w:hAnsi="Palatino Linotype" w:cs="Arial"/>
          <w:color w:val="000000"/>
          <w:sz w:val="24"/>
          <w:lang w:val="es-ES_tradnl" w:eastAsia="es-ES"/>
        </w:rPr>
      </w:pPr>
    </w:p>
    <w:p w:rsidR="0092740E" w:rsidRPr="00B77D66" w:rsidRDefault="0092740E" w:rsidP="003D6E56">
      <w:pPr>
        <w:numPr>
          <w:ilvl w:val="0"/>
          <w:numId w:val="1"/>
        </w:numPr>
        <w:spacing w:line="360" w:lineRule="auto"/>
        <w:ind w:left="0" w:firstLine="0"/>
        <w:contextualSpacing/>
        <w:jc w:val="both"/>
        <w:rPr>
          <w:rFonts w:ascii="Palatino Linotype" w:eastAsia="MS Mincho" w:hAnsi="Palatino Linotype" w:cs="Arial"/>
          <w:color w:val="000000"/>
          <w:lang w:val="es-ES_tradnl" w:eastAsia="es-ES"/>
        </w:rPr>
      </w:pPr>
      <w:r w:rsidRPr="00B77D66">
        <w:rPr>
          <w:rFonts w:ascii="Palatino Linotype" w:hAnsi="Palatino Linotype" w:cs="Arial"/>
          <w:color w:val="000000"/>
          <w:lang w:val="es-ES_tradnl"/>
        </w:rPr>
        <w:t>Por su parte, el intérprete judicial del país ha establecido una jurisprudencia respecto a qué debe entenderse por fundamentación y motivación, en los siguientes términos:</w:t>
      </w:r>
    </w:p>
    <w:p w:rsidR="0092740E" w:rsidRPr="00B77D66" w:rsidRDefault="0092740E" w:rsidP="0092740E">
      <w:pPr>
        <w:spacing w:line="360" w:lineRule="auto"/>
        <w:ind w:right="618"/>
        <w:contextualSpacing/>
        <w:jc w:val="both"/>
        <w:rPr>
          <w:rFonts w:ascii="Palatino Linotype" w:eastAsia="MS Mincho" w:hAnsi="Palatino Linotype" w:cs="Arial"/>
          <w:color w:val="000000"/>
          <w:lang w:val="es-ES_tradnl" w:eastAsia="es-ES"/>
        </w:rPr>
      </w:pPr>
    </w:p>
    <w:p w:rsidR="0092740E" w:rsidRPr="00B77D66" w:rsidRDefault="0092740E" w:rsidP="003D6E56">
      <w:pPr>
        <w:spacing w:line="276" w:lineRule="auto"/>
        <w:ind w:left="567" w:right="618"/>
        <w:contextualSpacing/>
        <w:jc w:val="both"/>
        <w:rPr>
          <w:rFonts w:ascii="Palatino Linotype" w:eastAsia="MS Mincho" w:hAnsi="Palatino Linotype" w:cs="Arial"/>
          <w:i/>
          <w:color w:val="000000"/>
          <w:sz w:val="22"/>
          <w:lang w:val="es-ES_tradnl" w:eastAsia="es-ES"/>
        </w:rPr>
      </w:pPr>
      <w:r w:rsidRPr="00B77D66">
        <w:rPr>
          <w:rFonts w:ascii="Palatino Linotype" w:eastAsia="MS Mincho" w:hAnsi="Palatino Linotype" w:cs="Arial"/>
          <w:b/>
          <w:i/>
          <w:color w:val="000000"/>
          <w:sz w:val="22"/>
          <w:lang w:val="es-ES_tradnl" w:eastAsia="es-ES"/>
        </w:rPr>
        <w:t>FUNDAMENTACIÓN Y MOTIVACIÓN.</w:t>
      </w:r>
      <w:r w:rsidRPr="00B77D66">
        <w:rPr>
          <w:rFonts w:ascii="Palatino Linotype" w:eastAsia="MS Mincho" w:hAnsi="Palatino Linotype" w:cs="Arial"/>
          <w:i/>
          <w:color w:val="000000"/>
          <w:sz w:val="22"/>
          <w:lang w:val="es-ES_tradnl" w:eastAsia="es-ES"/>
        </w:rPr>
        <w:t xml:space="preserve"> La </w:t>
      </w:r>
      <w:r w:rsidRPr="00B77D66">
        <w:rPr>
          <w:rFonts w:ascii="Palatino Linotype" w:eastAsia="MS Mincho" w:hAnsi="Palatino Linotype" w:cs="Arial"/>
          <w:i/>
          <w:color w:val="000000"/>
          <w:sz w:val="22"/>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77D66">
        <w:rPr>
          <w:rFonts w:ascii="Palatino Linotype" w:eastAsia="MS Mincho" w:hAnsi="Palatino Linotype" w:cs="Arial"/>
          <w:i/>
          <w:color w:val="000000"/>
          <w:sz w:val="22"/>
          <w:lang w:val="es-ES_tradnl" w:eastAsia="es-ES"/>
        </w:rPr>
        <w:t>.</w:t>
      </w:r>
    </w:p>
    <w:p w:rsidR="0092740E" w:rsidRPr="00B77D66" w:rsidRDefault="0092740E" w:rsidP="003D6E56">
      <w:pPr>
        <w:spacing w:line="276" w:lineRule="auto"/>
        <w:ind w:left="567" w:right="618"/>
        <w:contextualSpacing/>
        <w:jc w:val="both"/>
        <w:rPr>
          <w:rFonts w:ascii="Palatino Linotype" w:eastAsia="MS Mincho" w:hAnsi="Palatino Linotype" w:cs="Arial"/>
          <w:i/>
          <w:color w:val="000000"/>
          <w:sz w:val="22"/>
          <w:lang w:val="es-ES_tradnl" w:eastAsia="es-ES"/>
        </w:rPr>
      </w:pPr>
      <w:r w:rsidRPr="00B77D66">
        <w:rPr>
          <w:rFonts w:ascii="Palatino Linotype" w:eastAsia="MS Mincho" w:hAnsi="Palatino Linotype" w:cs="Arial"/>
          <w:i/>
          <w:color w:val="000000"/>
          <w:sz w:val="22"/>
          <w:lang w:val="es-ES_tradnl" w:eastAsia="es-ES"/>
        </w:rPr>
        <w:t>SEGUNDO TRIBUNAL COLEGIADO DEL SEXTO CIRCUITO.</w:t>
      </w:r>
    </w:p>
    <w:p w:rsidR="0092740E" w:rsidRPr="00B77D66" w:rsidRDefault="0092740E" w:rsidP="003D6E56">
      <w:pPr>
        <w:spacing w:line="276" w:lineRule="auto"/>
        <w:ind w:left="567" w:right="618"/>
        <w:contextualSpacing/>
        <w:jc w:val="both"/>
        <w:rPr>
          <w:rFonts w:ascii="Palatino Linotype" w:eastAsia="MS Mincho" w:hAnsi="Palatino Linotype" w:cs="Arial"/>
          <w:i/>
          <w:color w:val="000000"/>
          <w:sz w:val="22"/>
          <w:lang w:val="es-ES_tradnl" w:eastAsia="es-ES"/>
        </w:rPr>
      </w:pPr>
      <w:r w:rsidRPr="00B77D66">
        <w:rPr>
          <w:rFonts w:ascii="Palatino Linotype" w:eastAsia="MS Mincho" w:hAnsi="Palatino Linotype" w:cs="Arial"/>
          <w:i/>
          <w:color w:val="000000"/>
          <w:sz w:val="22"/>
          <w:lang w:val="es-ES_tradnl" w:eastAsia="es-ES"/>
        </w:rPr>
        <w:t>Amparo directo 194/88. Bufete Industrial Construcciones, S.A. de C.V. 28 de junio de 1988. Unanimidad de votos. Ponente: Gustavo Calvillo Rangel. Secretario: Jorge Alberto González Álvarez.</w:t>
      </w:r>
    </w:p>
    <w:p w:rsidR="0092740E" w:rsidRPr="00B77D66" w:rsidRDefault="0092740E" w:rsidP="003D6E56">
      <w:pPr>
        <w:spacing w:line="276" w:lineRule="auto"/>
        <w:ind w:left="567" w:right="618"/>
        <w:contextualSpacing/>
        <w:jc w:val="both"/>
        <w:rPr>
          <w:rFonts w:ascii="Palatino Linotype" w:eastAsia="MS Mincho" w:hAnsi="Palatino Linotype" w:cs="Arial"/>
          <w:i/>
          <w:color w:val="000000"/>
          <w:sz w:val="22"/>
          <w:lang w:val="es-ES_tradnl" w:eastAsia="es-ES"/>
        </w:rPr>
      </w:pPr>
      <w:r w:rsidRPr="00B77D66">
        <w:rPr>
          <w:rFonts w:ascii="Palatino Linotype" w:eastAsia="MS Mincho" w:hAnsi="Palatino Linotype" w:cs="Arial"/>
          <w:i/>
          <w:color w:val="000000"/>
          <w:sz w:val="22"/>
          <w:lang w:val="es-ES_tradnl" w:eastAsia="es-ES"/>
        </w:rPr>
        <w:t>Revisión fiscal 103/88. Instituto Mexicano del Seguro Social. 18 de octubre de 1988. Unanimidad de votos. Ponente: Arnoldo Nájera Virgen. Secretario: Alejandro Esponda Rincón.</w:t>
      </w:r>
    </w:p>
    <w:p w:rsidR="0092740E" w:rsidRPr="00B77D66" w:rsidRDefault="0092740E" w:rsidP="003D6E56">
      <w:pPr>
        <w:spacing w:line="276" w:lineRule="auto"/>
        <w:ind w:left="567" w:right="618"/>
        <w:contextualSpacing/>
        <w:jc w:val="both"/>
        <w:rPr>
          <w:rFonts w:ascii="Palatino Linotype" w:eastAsia="MS Mincho" w:hAnsi="Palatino Linotype" w:cs="Arial"/>
          <w:i/>
          <w:color w:val="000000"/>
          <w:sz w:val="22"/>
          <w:lang w:val="es-ES_tradnl" w:eastAsia="es-ES"/>
        </w:rPr>
      </w:pPr>
      <w:r w:rsidRPr="00B77D66">
        <w:rPr>
          <w:rFonts w:ascii="Palatino Linotype" w:eastAsia="MS Mincho" w:hAnsi="Palatino Linotype" w:cs="Arial"/>
          <w:i/>
          <w:color w:val="000000"/>
          <w:sz w:val="22"/>
          <w:lang w:val="es-ES_tradnl" w:eastAsia="es-ES"/>
        </w:rPr>
        <w:lastRenderedPageBreak/>
        <w:t>Amparo en revisión 333/88. Adilia Romero. 26 de octubre de 1988. Unanimidad de votos. Ponente: Arnoldo Nájera Virgen. Secretario: Enrique Crispín Campos Ramírez.</w:t>
      </w:r>
    </w:p>
    <w:p w:rsidR="0092740E" w:rsidRPr="00B77D66" w:rsidRDefault="0092740E" w:rsidP="003D6E56">
      <w:pPr>
        <w:spacing w:line="276" w:lineRule="auto"/>
        <w:ind w:left="567" w:right="618"/>
        <w:contextualSpacing/>
        <w:jc w:val="both"/>
        <w:rPr>
          <w:rFonts w:ascii="Palatino Linotype" w:eastAsia="MS Mincho" w:hAnsi="Palatino Linotype" w:cs="Arial"/>
          <w:i/>
          <w:color w:val="000000"/>
          <w:sz w:val="22"/>
          <w:lang w:val="es-ES_tradnl" w:eastAsia="es-ES"/>
        </w:rPr>
      </w:pPr>
      <w:r w:rsidRPr="00B77D66">
        <w:rPr>
          <w:rFonts w:ascii="Palatino Linotype" w:eastAsia="MS Mincho" w:hAnsi="Palatino Linotype" w:cs="Arial"/>
          <w:i/>
          <w:color w:val="000000"/>
          <w:sz w:val="22"/>
          <w:lang w:val="es-ES_tradnl" w:eastAsia="es-ES"/>
        </w:rPr>
        <w:t>Amparo en revisión 597/95. Emilio Maurer Bretón. 15 de noviembre de 1995. Unanimidad de votos. Ponente: Clementina Ramírez Moguel Goyzueta. Secretario: Gonzalo Carrera Molina.</w:t>
      </w:r>
    </w:p>
    <w:p w:rsidR="0092740E" w:rsidRPr="00B77D66" w:rsidRDefault="0092740E" w:rsidP="003D6E56">
      <w:pPr>
        <w:spacing w:line="276" w:lineRule="auto"/>
        <w:ind w:left="567" w:right="618"/>
        <w:contextualSpacing/>
        <w:jc w:val="both"/>
        <w:rPr>
          <w:rFonts w:ascii="Palatino Linotype" w:eastAsia="MS Mincho" w:hAnsi="Palatino Linotype" w:cs="Arial"/>
          <w:i/>
          <w:color w:val="000000"/>
          <w:sz w:val="22"/>
          <w:lang w:val="es-ES_tradnl" w:eastAsia="es-ES"/>
        </w:rPr>
      </w:pPr>
      <w:r w:rsidRPr="00B77D66">
        <w:rPr>
          <w:rFonts w:ascii="Palatino Linotype" w:eastAsia="MS Mincho" w:hAnsi="Palatino Linotype" w:cs="Arial"/>
          <w:i/>
          <w:color w:val="000000"/>
          <w:sz w:val="22"/>
          <w:lang w:val="es-ES_tradnl" w:eastAsia="es-ES"/>
        </w:rPr>
        <w:t>Amparo directo 7/96. Pedro Vicente López Miro. 21 de febrero de 1996. Unanimidad de votos. Ponente: María Eugenia Estela Martínez Cardiel. Secretario: Enrique Baigts Muñoz.</w:t>
      </w:r>
      <w:r w:rsidRPr="00B77D66">
        <w:rPr>
          <w:rFonts w:ascii="Palatino Linotype" w:eastAsia="MS Mincho" w:hAnsi="Palatino Linotype" w:cs="Arial"/>
          <w:i/>
          <w:color w:val="000000"/>
          <w:sz w:val="22"/>
          <w:vertAlign w:val="superscript"/>
          <w:lang w:val="es-ES_tradnl" w:eastAsia="es-ES"/>
        </w:rPr>
        <w:footnoteReference w:id="7"/>
      </w:r>
    </w:p>
    <w:p w:rsidR="0092740E" w:rsidRPr="00B77D66" w:rsidRDefault="0092740E" w:rsidP="0092740E">
      <w:pPr>
        <w:spacing w:line="360" w:lineRule="auto"/>
        <w:ind w:right="618"/>
        <w:contextualSpacing/>
        <w:jc w:val="both"/>
        <w:rPr>
          <w:rFonts w:ascii="Palatino Linotype" w:eastAsia="MS Mincho" w:hAnsi="Palatino Linotype" w:cs="Arial"/>
          <w:color w:val="000000"/>
          <w:lang w:val="es-ES_tradnl" w:eastAsia="es-ES"/>
        </w:rPr>
      </w:pPr>
    </w:p>
    <w:p w:rsidR="0092740E" w:rsidRPr="00B77D66" w:rsidRDefault="0092740E" w:rsidP="003D6E56">
      <w:pPr>
        <w:numPr>
          <w:ilvl w:val="0"/>
          <w:numId w:val="1"/>
        </w:numPr>
        <w:shd w:val="clear" w:color="auto" w:fill="FFFFFF"/>
        <w:spacing w:line="360" w:lineRule="auto"/>
        <w:ind w:left="0" w:firstLine="0"/>
        <w:contextualSpacing/>
        <w:jc w:val="both"/>
        <w:rPr>
          <w:rFonts w:ascii="Palatino Linotype" w:hAnsi="Palatino Linotype" w:cs="Arial"/>
          <w:color w:val="000000"/>
          <w:lang w:val="es-ES_tradnl"/>
        </w:rPr>
      </w:pPr>
      <w:r w:rsidRPr="00B77D66">
        <w:rPr>
          <w:rFonts w:ascii="Palatino Linotype" w:hAnsi="Palatino Linotype" w:cs="Arial"/>
          <w:color w:val="000000"/>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2740E" w:rsidRPr="00B77D66" w:rsidRDefault="0092740E" w:rsidP="003D6E56">
      <w:pPr>
        <w:shd w:val="clear" w:color="auto" w:fill="FFFFFF"/>
        <w:spacing w:line="360" w:lineRule="auto"/>
        <w:contextualSpacing/>
        <w:jc w:val="both"/>
        <w:rPr>
          <w:rFonts w:ascii="Palatino Linotype" w:hAnsi="Palatino Linotype" w:cs="Arial"/>
          <w:color w:val="000000"/>
          <w:lang w:val="es-ES_tradnl"/>
        </w:rPr>
      </w:pPr>
    </w:p>
    <w:p w:rsidR="0092740E" w:rsidRPr="00B77D66" w:rsidRDefault="0092740E" w:rsidP="003D6E56">
      <w:pPr>
        <w:numPr>
          <w:ilvl w:val="0"/>
          <w:numId w:val="1"/>
        </w:numPr>
        <w:shd w:val="clear" w:color="auto" w:fill="FFFFFF"/>
        <w:spacing w:line="360" w:lineRule="auto"/>
        <w:ind w:left="0" w:firstLine="0"/>
        <w:contextualSpacing/>
        <w:jc w:val="both"/>
        <w:rPr>
          <w:rFonts w:ascii="Palatino Linotype" w:hAnsi="Palatino Linotype" w:cs="Arial"/>
          <w:color w:val="000000"/>
          <w:lang w:val="es-ES_tradnl"/>
        </w:rPr>
      </w:pPr>
      <w:r w:rsidRPr="00B77D66">
        <w:rPr>
          <w:rFonts w:ascii="Palatino Linotype" w:hAnsi="Palatino Linotype" w:cs="Arial"/>
          <w:color w:val="000000"/>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92740E" w:rsidRPr="00B77D66" w:rsidRDefault="0092740E" w:rsidP="003D6E56">
      <w:pPr>
        <w:shd w:val="clear" w:color="auto" w:fill="FFFFFF"/>
        <w:spacing w:line="360" w:lineRule="auto"/>
        <w:contextualSpacing/>
        <w:jc w:val="both"/>
        <w:rPr>
          <w:rFonts w:ascii="Palatino Linotype" w:hAnsi="Palatino Linotype" w:cs="Arial"/>
          <w:color w:val="000000"/>
          <w:lang w:val="es-ES_tradnl"/>
        </w:rPr>
      </w:pPr>
    </w:p>
    <w:p w:rsidR="0092740E" w:rsidRPr="00B77D66" w:rsidRDefault="0092740E" w:rsidP="003D6E56">
      <w:pPr>
        <w:numPr>
          <w:ilvl w:val="0"/>
          <w:numId w:val="1"/>
        </w:numPr>
        <w:shd w:val="clear" w:color="auto" w:fill="FFFFFF"/>
        <w:spacing w:line="360" w:lineRule="auto"/>
        <w:ind w:left="0" w:firstLine="0"/>
        <w:contextualSpacing/>
        <w:jc w:val="both"/>
        <w:rPr>
          <w:rFonts w:ascii="Palatino Linotype" w:hAnsi="Palatino Linotype" w:cs="Arial"/>
          <w:color w:val="000000"/>
          <w:lang w:val="es-ES_tradnl"/>
        </w:rPr>
      </w:pPr>
      <w:r w:rsidRPr="00B77D66">
        <w:rPr>
          <w:rFonts w:ascii="Palatino Linotype" w:hAnsi="Palatino Linotype" w:cs="Arial"/>
          <w:color w:val="000000"/>
          <w:lang w:val="es-ES_tradnl"/>
        </w:rPr>
        <w:t>En ese mismo sentido, el lineamiento trigésimo tercero fracción V de los Lineamientos Generales, precisa que para motivar la clasificación se deben acreditar las circunstancias de tiempo, modo y lugar.</w:t>
      </w:r>
    </w:p>
    <w:p w:rsidR="0092740E" w:rsidRPr="00B77D66" w:rsidRDefault="0092740E" w:rsidP="003D6E56">
      <w:pPr>
        <w:spacing w:line="360" w:lineRule="auto"/>
        <w:contextualSpacing/>
        <w:jc w:val="both"/>
        <w:rPr>
          <w:rFonts w:ascii="Palatino Linotype" w:eastAsia="MS Mincho" w:hAnsi="Palatino Linotype" w:cs="Arial"/>
          <w:color w:val="000000"/>
          <w:lang w:val="es-ES_tradnl" w:eastAsia="es-ES"/>
        </w:rPr>
      </w:pPr>
    </w:p>
    <w:p w:rsidR="0092740E" w:rsidRPr="00B77D66" w:rsidRDefault="0092740E" w:rsidP="003D6E56">
      <w:pPr>
        <w:pStyle w:val="Prrafodelista"/>
        <w:keepNext/>
        <w:keepLines/>
        <w:numPr>
          <w:ilvl w:val="0"/>
          <w:numId w:val="16"/>
        </w:numPr>
        <w:spacing w:line="360" w:lineRule="auto"/>
        <w:ind w:left="0" w:firstLine="0"/>
        <w:jc w:val="both"/>
        <w:outlineLvl w:val="0"/>
        <w:rPr>
          <w:rFonts w:ascii="Palatino Linotype" w:eastAsia="MS Gothic" w:hAnsi="Palatino Linotype"/>
          <w:color w:val="000000"/>
          <w:sz w:val="24"/>
          <w:lang w:eastAsia="en-US"/>
        </w:rPr>
      </w:pPr>
      <w:bookmarkStart w:id="31" w:name="_Toc485631706"/>
      <w:bookmarkStart w:id="32" w:name="_Toc16179364"/>
      <w:bookmarkStart w:id="33" w:name="_Toc511333940"/>
      <w:r w:rsidRPr="00B77D66">
        <w:rPr>
          <w:rFonts w:ascii="Palatino Linotype" w:eastAsia="MS Gothic" w:hAnsi="Palatino Linotype"/>
          <w:b/>
          <w:color w:val="000000"/>
          <w:sz w:val="24"/>
        </w:rPr>
        <w:lastRenderedPageBreak/>
        <w:t>Condiciones especiales de la clasificación de la información como reservada</w:t>
      </w:r>
      <w:bookmarkEnd w:id="31"/>
      <w:r w:rsidRPr="00B77D66">
        <w:rPr>
          <w:rFonts w:ascii="Palatino Linotype" w:eastAsia="MS Gothic" w:hAnsi="Palatino Linotype"/>
          <w:b/>
          <w:color w:val="000000"/>
          <w:sz w:val="24"/>
        </w:rPr>
        <w:t>.</w:t>
      </w:r>
      <w:bookmarkEnd w:id="32"/>
      <w:bookmarkEnd w:id="33"/>
    </w:p>
    <w:p w:rsidR="0092740E" w:rsidRPr="00B77D66" w:rsidRDefault="0092740E" w:rsidP="003D6E56">
      <w:pPr>
        <w:spacing w:line="360" w:lineRule="auto"/>
        <w:contextualSpacing/>
        <w:jc w:val="both"/>
        <w:rPr>
          <w:rFonts w:ascii="Palatino Linotype" w:eastAsia="MS Mincho" w:hAnsi="Palatino Linotype" w:cs="Arial"/>
          <w:b/>
          <w:i/>
          <w:color w:val="000000"/>
          <w:lang w:val="es-ES_tradnl" w:eastAsia="es-ES"/>
        </w:rPr>
      </w:pPr>
    </w:p>
    <w:p w:rsidR="0092740E" w:rsidRPr="00B77D66" w:rsidRDefault="0092740E" w:rsidP="003D6E56">
      <w:pPr>
        <w:keepNext/>
        <w:keepLines/>
        <w:numPr>
          <w:ilvl w:val="0"/>
          <w:numId w:val="17"/>
        </w:numPr>
        <w:spacing w:line="360" w:lineRule="auto"/>
        <w:ind w:left="0" w:firstLine="0"/>
        <w:outlineLvl w:val="2"/>
        <w:rPr>
          <w:rFonts w:ascii="Palatino Linotype" w:eastAsia="MS Gothic" w:hAnsi="Palatino Linotype"/>
          <w:b/>
          <w:color w:val="000000"/>
          <w:lang w:val="es-ES_tradnl" w:eastAsia="es-ES"/>
        </w:rPr>
      </w:pPr>
      <w:bookmarkStart w:id="34" w:name="_Toc16179365"/>
      <w:bookmarkStart w:id="35" w:name="_Toc511333941"/>
      <w:bookmarkStart w:id="36" w:name="_Toc485631707"/>
      <w:r w:rsidRPr="00B77D66">
        <w:rPr>
          <w:rFonts w:ascii="Palatino Linotype" w:eastAsia="MS Gothic" w:hAnsi="Palatino Linotype"/>
          <w:b/>
          <w:color w:val="000000"/>
          <w:lang w:val="es-ES_tradnl" w:eastAsia="es-ES"/>
        </w:rPr>
        <w:t>La fundamentación específica.</w:t>
      </w:r>
      <w:bookmarkEnd w:id="34"/>
      <w:bookmarkEnd w:id="35"/>
      <w:bookmarkEnd w:id="36"/>
    </w:p>
    <w:p w:rsidR="0092740E" w:rsidRPr="00B77D66" w:rsidRDefault="0092740E" w:rsidP="003D6E56">
      <w:pPr>
        <w:spacing w:line="360" w:lineRule="auto"/>
        <w:contextualSpacing/>
        <w:jc w:val="both"/>
        <w:rPr>
          <w:rFonts w:ascii="Palatino Linotype" w:eastAsia="MS Mincho" w:hAnsi="Palatino Linotype" w:cs="Arial"/>
          <w:b/>
          <w:color w:val="000000"/>
          <w:lang w:val="es-ES_tradnl" w:eastAsia="es-ES"/>
        </w:rPr>
      </w:pPr>
    </w:p>
    <w:p w:rsidR="0092740E" w:rsidRPr="00B77D66" w:rsidRDefault="0092740E" w:rsidP="003D6E56">
      <w:pPr>
        <w:pStyle w:val="Prrafodelista"/>
        <w:numPr>
          <w:ilvl w:val="0"/>
          <w:numId w:val="1"/>
        </w:numPr>
        <w:spacing w:line="360" w:lineRule="auto"/>
        <w:ind w:left="0" w:firstLine="0"/>
        <w:jc w:val="both"/>
        <w:rPr>
          <w:rFonts w:ascii="Palatino Linotype" w:eastAsia="MS Mincho" w:hAnsi="Palatino Linotype" w:cs="Arial"/>
          <w:color w:val="000000"/>
          <w:sz w:val="24"/>
          <w:lang w:val="es-ES_tradnl" w:eastAsia="es-ES"/>
        </w:rPr>
      </w:pPr>
      <w:r w:rsidRPr="00B77D66">
        <w:rPr>
          <w:rFonts w:ascii="Palatino Linotype" w:eastAsia="MS Mincho" w:hAnsi="Palatino Linotype" w:cs="Arial"/>
          <w:color w:val="000000"/>
          <w:sz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92740E" w:rsidRPr="00B77D66" w:rsidRDefault="0092740E" w:rsidP="003D6E56">
      <w:pPr>
        <w:spacing w:line="360" w:lineRule="auto"/>
        <w:contextualSpacing/>
        <w:jc w:val="both"/>
        <w:rPr>
          <w:rFonts w:ascii="Palatino Linotype" w:eastAsia="MS Mincho" w:hAnsi="Palatino Linotype" w:cs="Arial"/>
          <w:b/>
          <w:color w:val="000000"/>
          <w:lang w:val="es-ES_tradnl" w:eastAsia="es-ES"/>
        </w:rPr>
      </w:pPr>
    </w:p>
    <w:p w:rsidR="0092740E" w:rsidRPr="00B77D66" w:rsidRDefault="0092740E" w:rsidP="003D6E56">
      <w:pPr>
        <w:keepNext/>
        <w:keepLines/>
        <w:numPr>
          <w:ilvl w:val="0"/>
          <w:numId w:val="17"/>
        </w:numPr>
        <w:spacing w:before="40" w:line="360" w:lineRule="auto"/>
        <w:ind w:left="0" w:firstLine="0"/>
        <w:outlineLvl w:val="2"/>
        <w:rPr>
          <w:rFonts w:ascii="Palatino Linotype" w:eastAsia="MS Gothic" w:hAnsi="Palatino Linotype"/>
          <w:b/>
          <w:color w:val="000000"/>
          <w:lang w:val="es-ES_tradnl" w:eastAsia="es-ES"/>
        </w:rPr>
      </w:pPr>
      <w:bookmarkStart w:id="37" w:name="_Toc16179366"/>
      <w:bookmarkStart w:id="38" w:name="_Toc511333942"/>
      <w:bookmarkStart w:id="39" w:name="_Toc485631708"/>
      <w:r w:rsidRPr="00B77D66">
        <w:rPr>
          <w:rFonts w:ascii="Palatino Linotype" w:eastAsia="MS Gothic" w:hAnsi="Palatino Linotype"/>
          <w:b/>
          <w:color w:val="000000"/>
          <w:lang w:val="es-ES_tradnl" w:eastAsia="es-ES"/>
        </w:rPr>
        <w:t>La prueba de daño.</w:t>
      </w:r>
      <w:bookmarkEnd w:id="37"/>
      <w:bookmarkEnd w:id="38"/>
      <w:bookmarkEnd w:id="39"/>
    </w:p>
    <w:p w:rsidR="0092740E" w:rsidRPr="00B77D66" w:rsidRDefault="0092740E" w:rsidP="003D6E56">
      <w:pPr>
        <w:spacing w:line="360" w:lineRule="auto"/>
        <w:contextualSpacing/>
        <w:jc w:val="both"/>
        <w:rPr>
          <w:rFonts w:ascii="Palatino Linotype" w:eastAsia="MS Mincho" w:hAnsi="Palatino Linotype"/>
          <w:color w:val="000000"/>
          <w:lang w:val="es-ES_tradnl" w:eastAsia="es-ES"/>
        </w:rPr>
      </w:pPr>
    </w:p>
    <w:p w:rsidR="0092740E" w:rsidRPr="00B77D66" w:rsidRDefault="0092740E" w:rsidP="003D6E56">
      <w:pPr>
        <w:numPr>
          <w:ilvl w:val="0"/>
          <w:numId w:val="1"/>
        </w:numPr>
        <w:spacing w:line="360" w:lineRule="auto"/>
        <w:ind w:left="0" w:firstLine="0"/>
        <w:contextualSpacing/>
        <w:jc w:val="both"/>
        <w:rPr>
          <w:rFonts w:ascii="Palatino Linotype" w:eastAsia="MS Mincho" w:hAnsi="Palatino Linotype"/>
          <w:color w:val="000000"/>
          <w:lang w:val="es-ES_tradnl" w:eastAsia="es-ES"/>
        </w:rPr>
      </w:pPr>
      <w:r w:rsidRPr="00B77D66">
        <w:rPr>
          <w:rFonts w:ascii="Palatino Linotype" w:eastAsia="MS Mincho" w:hAnsi="Palatino Linotype"/>
          <w:color w:val="000000"/>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w:t>
      </w:r>
      <w:r w:rsidRPr="00B77D66">
        <w:rPr>
          <w:rFonts w:ascii="Palatino Linotype" w:eastAsia="MS Mincho" w:hAnsi="Palatino Linotype"/>
          <w:color w:val="000000"/>
          <w:lang w:val="es-ES_tradnl" w:eastAsia="es-ES"/>
        </w:rPr>
        <w:lastRenderedPageBreak/>
        <w:t xml:space="preserve">caso, esto es, </w:t>
      </w:r>
      <w:r w:rsidRPr="00B77D66">
        <w:rPr>
          <w:rFonts w:ascii="Palatino Linotype" w:eastAsia="MS Mincho" w:hAnsi="Palatino Linotype"/>
          <w:b/>
          <w:color w:val="000000"/>
          <w:lang w:val="es-ES_tradnl" w:eastAsia="es-ES"/>
        </w:rPr>
        <w:t xml:space="preserve">no se puede hacer una prueba de daño de un expediente completo, sino de cada uno de los documentos que lo integran, </w:t>
      </w:r>
      <w:r w:rsidRPr="00B77D66">
        <w:rPr>
          <w:rFonts w:ascii="Palatino Linotype" w:eastAsia="MS Mincho" w:hAnsi="Palatino Linotype"/>
          <w:color w:val="000000"/>
          <w:lang w:val="es-ES_tradnl" w:eastAsia="es-ES"/>
        </w:rPr>
        <w:t xml:space="preserve">situación que no ocurrió </w:t>
      </w:r>
      <w:r w:rsidR="00E46EEA" w:rsidRPr="00B77D66">
        <w:rPr>
          <w:rFonts w:ascii="Palatino Linotype" w:eastAsia="MS Mincho" w:hAnsi="Palatino Linotype"/>
          <w:color w:val="000000"/>
          <w:lang w:val="es-ES_tradnl" w:eastAsia="es-ES"/>
        </w:rPr>
        <w:t>porque</w:t>
      </w:r>
      <w:r w:rsidRPr="00B77D66">
        <w:rPr>
          <w:rFonts w:ascii="Palatino Linotype" w:eastAsia="MS Mincho" w:hAnsi="Palatino Linotype"/>
          <w:color w:val="000000"/>
          <w:lang w:val="es-ES_tradnl" w:eastAsia="es-ES"/>
        </w:rPr>
        <w:t xml:space="preserve"> no se dijo con qué documentos se cuenta. </w:t>
      </w:r>
    </w:p>
    <w:p w:rsidR="0092740E" w:rsidRPr="00B77D66" w:rsidRDefault="0092740E" w:rsidP="003D6E56">
      <w:pPr>
        <w:spacing w:line="360" w:lineRule="auto"/>
        <w:contextualSpacing/>
        <w:jc w:val="both"/>
        <w:rPr>
          <w:rFonts w:ascii="Palatino Linotype" w:eastAsia="MS Mincho" w:hAnsi="Palatino Linotype"/>
          <w:color w:val="000000"/>
          <w:lang w:val="es-ES_tradnl" w:eastAsia="es-ES"/>
        </w:rPr>
      </w:pPr>
    </w:p>
    <w:p w:rsidR="0092740E" w:rsidRPr="00B77D66" w:rsidRDefault="0092740E" w:rsidP="003D6E56">
      <w:pPr>
        <w:numPr>
          <w:ilvl w:val="0"/>
          <w:numId w:val="1"/>
        </w:numPr>
        <w:spacing w:line="360" w:lineRule="auto"/>
        <w:ind w:left="0" w:firstLine="0"/>
        <w:contextualSpacing/>
        <w:jc w:val="both"/>
        <w:rPr>
          <w:rFonts w:ascii="Palatino Linotype" w:eastAsia="MS Mincho" w:hAnsi="Palatino Linotype"/>
          <w:color w:val="000000"/>
          <w:lang w:val="es-ES_tradnl" w:eastAsia="es-ES"/>
        </w:rPr>
      </w:pPr>
      <w:r w:rsidRPr="00B77D66">
        <w:rPr>
          <w:rFonts w:ascii="Palatino Linotype" w:eastAsia="MS Mincho" w:hAnsi="Palatino Linotype"/>
          <w:color w:val="000000"/>
          <w:lang w:val="es-ES_tradnl" w:eastAsia="es-ES"/>
        </w:rPr>
        <w:t>Para aplicar la prueba de daño, se deberán de precisar la razones objetivas por las que la apertura genera una afectación, acreditando que:</w:t>
      </w:r>
    </w:p>
    <w:p w:rsidR="0092740E" w:rsidRPr="00B77D66" w:rsidRDefault="0092740E" w:rsidP="0092740E">
      <w:pPr>
        <w:pStyle w:val="Prrafodelista"/>
        <w:spacing w:line="360" w:lineRule="auto"/>
        <w:rPr>
          <w:rFonts w:ascii="Palatino Linotype" w:eastAsia="MS Mincho" w:hAnsi="Palatino Linotype"/>
          <w:color w:val="000000"/>
          <w:sz w:val="24"/>
          <w:lang w:val="es-ES_tradnl" w:eastAsia="es-ES"/>
        </w:rPr>
      </w:pPr>
    </w:p>
    <w:p w:rsidR="0092740E" w:rsidRPr="00B77D66" w:rsidRDefault="0092740E" w:rsidP="003D6E56">
      <w:pPr>
        <w:widowControl w:val="0"/>
        <w:autoSpaceDE w:val="0"/>
        <w:autoSpaceDN w:val="0"/>
        <w:adjustRightInd w:val="0"/>
        <w:spacing w:after="240" w:line="276" w:lineRule="auto"/>
        <w:ind w:left="567" w:right="616"/>
        <w:jc w:val="both"/>
        <w:rPr>
          <w:rFonts w:ascii="Palatino Linotype" w:eastAsia="MS Mincho" w:hAnsi="Palatino Linotype" w:cs="Times"/>
          <w:i/>
          <w:color w:val="000000"/>
          <w:sz w:val="22"/>
          <w:lang w:val="es-ES_tradnl" w:eastAsia="es-ES"/>
        </w:rPr>
      </w:pPr>
      <w:r w:rsidRPr="00B77D66">
        <w:rPr>
          <w:rFonts w:ascii="Palatino Linotype" w:eastAsia="MS Mincho" w:hAnsi="Palatino Linotype" w:cs="Bookman Old Style"/>
          <w:bCs/>
          <w:i/>
          <w:color w:val="000000"/>
          <w:sz w:val="22"/>
          <w:lang w:val="es-ES_tradnl" w:eastAsia="es-ES"/>
        </w:rPr>
        <w:t xml:space="preserve">I. </w:t>
      </w:r>
      <w:r w:rsidRPr="00B77D66">
        <w:rPr>
          <w:rFonts w:ascii="Palatino Linotype" w:eastAsia="MS Mincho" w:hAnsi="Palatino Linotype" w:cs="Bookman Old Style"/>
          <w:i/>
          <w:color w:val="000000"/>
          <w:sz w:val="22"/>
          <w:lang w:val="es-ES_tradnl" w:eastAsia="es-ES"/>
        </w:rPr>
        <w:t xml:space="preserve">La divulgación de la información representa un riesgo real, demostrable e identificable del perjuicio significativo al interés público o a la seguridad pública; </w:t>
      </w:r>
    </w:p>
    <w:p w:rsidR="0092740E" w:rsidRPr="00B77D66" w:rsidRDefault="0092740E" w:rsidP="003D6E56">
      <w:pPr>
        <w:widowControl w:val="0"/>
        <w:autoSpaceDE w:val="0"/>
        <w:autoSpaceDN w:val="0"/>
        <w:adjustRightInd w:val="0"/>
        <w:spacing w:after="240" w:line="276" w:lineRule="auto"/>
        <w:ind w:left="567" w:right="616"/>
        <w:jc w:val="both"/>
        <w:rPr>
          <w:rFonts w:ascii="Palatino Linotype" w:eastAsia="MS Mincho" w:hAnsi="Palatino Linotype" w:cs="Times"/>
          <w:i/>
          <w:color w:val="000000"/>
          <w:sz w:val="22"/>
          <w:lang w:val="es-ES_tradnl" w:eastAsia="es-ES"/>
        </w:rPr>
      </w:pPr>
      <w:r w:rsidRPr="00B77D66">
        <w:rPr>
          <w:rFonts w:ascii="Palatino Linotype" w:eastAsia="MS Mincho" w:hAnsi="Palatino Linotype" w:cs="Bookman Old Style"/>
          <w:bCs/>
          <w:i/>
          <w:color w:val="000000"/>
          <w:sz w:val="22"/>
          <w:lang w:val="es-ES_tradnl" w:eastAsia="es-ES"/>
        </w:rPr>
        <w:t xml:space="preserve">II. </w:t>
      </w:r>
      <w:r w:rsidRPr="00B77D66">
        <w:rPr>
          <w:rFonts w:ascii="Palatino Linotype" w:eastAsia="MS Mincho" w:hAnsi="Palatino Linotype" w:cs="Bookman Old Style"/>
          <w:i/>
          <w:color w:val="000000"/>
          <w:sz w:val="22"/>
          <w:lang w:val="es-ES_tradnl" w:eastAsia="es-ES"/>
        </w:rPr>
        <w:t xml:space="preserve">El riesgo de perjuicio que supondría la divulgación supera el interés público general de que se difunda; y </w:t>
      </w:r>
    </w:p>
    <w:p w:rsidR="0092740E" w:rsidRPr="00B77D66" w:rsidRDefault="0092740E" w:rsidP="003D6E56">
      <w:pPr>
        <w:widowControl w:val="0"/>
        <w:autoSpaceDE w:val="0"/>
        <w:autoSpaceDN w:val="0"/>
        <w:adjustRightInd w:val="0"/>
        <w:spacing w:after="240" w:line="276" w:lineRule="auto"/>
        <w:ind w:left="567" w:right="616"/>
        <w:jc w:val="both"/>
        <w:rPr>
          <w:rFonts w:ascii="Palatino Linotype" w:eastAsia="MS Mincho" w:hAnsi="Palatino Linotype" w:cs="Times"/>
          <w:i/>
          <w:color w:val="000000"/>
          <w:sz w:val="22"/>
          <w:lang w:val="es-ES_tradnl" w:eastAsia="es-ES"/>
        </w:rPr>
      </w:pPr>
      <w:r w:rsidRPr="00B77D66">
        <w:rPr>
          <w:rFonts w:ascii="Palatino Linotype" w:eastAsia="MS Mincho" w:hAnsi="Palatino Linotype" w:cs="Bookman Old Style"/>
          <w:bCs/>
          <w:i/>
          <w:color w:val="000000"/>
          <w:sz w:val="22"/>
          <w:lang w:val="es-ES_tradnl" w:eastAsia="es-ES"/>
        </w:rPr>
        <w:t xml:space="preserve">III. </w:t>
      </w:r>
      <w:r w:rsidRPr="00B77D66">
        <w:rPr>
          <w:rFonts w:ascii="Palatino Linotype" w:eastAsia="MS Mincho" w:hAnsi="Palatino Linotype" w:cs="Bookman Old Style"/>
          <w:i/>
          <w:color w:val="000000"/>
          <w:sz w:val="22"/>
          <w:lang w:val="es-ES_tradnl" w:eastAsia="es-ES"/>
        </w:rPr>
        <w:t xml:space="preserve">La limitación se adecua al principio de proporcionalidad y representa el medio menos restrictivo disponible para evitar el perjuicio. </w:t>
      </w:r>
    </w:p>
    <w:p w:rsidR="0092740E" w:rsidRPr="00B77D66" w:rsidRDefault="0092740E" w:rsidP="0092740E">
      <w:pPr>
        <w:spacing w:line="360" w:lineRule="auto"/>
        <w:jc w:val="both"/>
        <w:rPr>
          <w:rFonts w:ascii="Palatino Linotype" w:eastAsia="MS Mincho" w:hAnsi="Palatino Linotype"/>
          <w:color w:val="000000"/>
          <w:lang w:val="es-ES_tradnl" w:eastAsia="es-ES"/>
        </w:rPr>
      </w:pPr>
    </w:p>
    <w:p w:rsidR="0092740E" w:rsidRPr="00B77D66" w:rsidRDefault="0092740E" w:rsidP="003D6E56">
      <w:pPr>
        <w:numPr>
          <w:ilvl w:val="0"/>
          <w:numId w:val="1"/>
        </w:numPr>
        <w:shd w:val="clear" w:color="auto" w:fill="FFFFFF"/>
        <w:suppressAutoHyphens/>
        <w:spacing w:line="360" w:lineRule="auto"/>
        <w:ind w:left="0" w:firstLine="0"/>
        <w:jc w:val="both"/>
        <w:textAlignment w:val="baseline"/>
        <w:rPr>
          <w:rFonts w:ascii="Palatino Linotype" w:hAnsi="Palatino Linotype"/>
          <w:color w:val="000000"/>
        </w:rPr>
      </w:pPr>
      <w:r w:rsidRPr="00B77D66">
        <w:rPr>
          <w:rFonts w:ascii="Palatino Linotype" w:hAnsi="Palatino Linotype"/>
          <w:color w:val="000000"/>
        </w:rPr>
        <w:t>Sobre el primer supuesto consideremos que según el diccionario del español jurídico, por riesgo podemos entender “la contingencia o proximidad de un daño”,</w:t>
      </w:r>
      <w:r w:rsidRPr="00B77D66">
        <w:rPr>
          <w:rFonts w:ascii="Palatino Linotype" w:hAnsi="Palatino Linotype"/>
          <w:color w:val="000000"/>
          <w:vertAlign w:val="superscript"/>
        </w:rPr>
        <w:footnoteReference w:id="8"/>
      </w:r>
      <w:r w:rsidRPr="00B77D66">
        <w:rPr>
          <w:rFonts w:ascii="Palatino Linotype" w:hAnsi="Palatino Linotype"/>
          <w:color w:val="000000"/>
        </w:rPr>
        <w:t xml:space="preserve"> mientras que el daño es considerado como un “perjuicio o lesión”</w:t>
      </w:r>
      <w:r w:rsidRPr="00B77D66">
        <w:rPr>
          <w:rFonts w:ascii="Palatino Linotype" w:hAnsi="Palatino Linotype"/>
          <w:color w:val="000000"/>
          <w:vertAlign w:val="superscript"/>
        </w:rPr>
        <w:footnoteReference w:id="9"/>
      </w:r>
      <w:r w:rsidRPr="00B77D66">
        <w:rPr>
          <w:rFonts w:ascii="Palatino Linotype" w:hAnsi="Palatino Linotype"/>
          <w:color w:val="000000"/>
        </w:rPr>
        <w:t>, mientras que según el Diccionario de la Lengua Española, lo real es</w:t>
      </w:r>
      <w:r w:rsidRPr="00B77D66">
        <w:rPr>
          <w:rFonts w:ascii="Palatino Linotype" w:eastAsia="Arial Unicode MS" w:hAnsi="Palatino Linotype" w:cs="Arial Unicode MS"/>
          <w:color w:val="000000"/>
          <w:spacing w:val="4"/>
          <w:shd w:val="clear" w:color="auto" w:fill="FFFFFF"/>
        </w:rPr>
        <w:t xml:space="preserve"> lo “</w:t>
      </w:r>
      <w:r w:rsidRPr="00B77D66">
        <w:rPr>
          <w:rFonts w:ascii="Palatino Linotype" w:hAnsi="Palatino Linotype"/>
          <w:color w:val="000000"/>
        </w:rPr>
        <w:t>(que</w:t>
      </w:r>
      <w:r w:rsidRPr="00B77D66">
        <w:rPr>
          <w:rFonts w:ascii="Palatino Linotype" w:eastAsia="Arial Unicode MS" w:hAnsi="Palatino Linotype" w:cs="Arial Unicode MS"/>
          <w:color w:val="000000"/>
          <w:spacing w:val="4"/>
          <w:shd w:val="clear" w:color="auto" w:fill="FFFFFF"/>
        </w:rPr>
        <w:t xml:space="preserve"> </w:t>
      </w:r>
      <w:r w:rsidRPr="00B77D66">
        <w:rPr>
          <w:rFonts w:ascii="Palatino Linotype" w:hAnsi="Palatino Linotype"/>
          <w:color w:val="000000"/>
        </w:rPr>
        <w:t>tiene</w:t>
      </w:r>
      <w:r w:rsidRPr="00B77D66">
        <w:rPr>
          <w:rFonts w:ascii="Palatino Linotype" w:eastAsia="Arial Unicode MS" w:hAnsi="Palatino Linotype" w:cs="Arial Unicode MS"/>
          <w:color w:val="000000"/>
          <w:spacing w:val="4"/>
          <w:shd w:val="clear" w:color="auto" w:fill="FFFFFF"/>
        </w:rPr>
        <w:t xml:space="preserve"> </w:t>
      </w:r>
      <w:r w:rsidRPr="00B77D66">
        <w:rPr>
          <w:rFonts w:ascii="Palatino Linotype" w:hAnsi="Palatino Linotype"/>
          <w:color w:val="000000"/>
        </w:rPr>
        <w:t>existencia</w:t>
      </w:r>
      <w:r w:rsidRPr="00B77D66">
        <w:rPr>
          <w:rFonts w:ascii="Palatino Linotype" w:eastAsia="Arial Unicode MS" w:hAnsi="Palatino Linotype" w:cs="Arial Unicode MS"/>
          <w:color w:val="000000"/>
          <w:spacing w:val="4"/>
          <w:shd w:val="clear" w:color="auto" w:fill="FFFFFF"/>
        </w:rPr>
        <w:t xml:space="preserve"> </w:t>
      </w:r>
      <w:r w:rsidRPr="00B77D66">
        <w:rPr>
          <w:rFonts w:ascii="Palatino Linotype" w:hAnsi="Palatino Linotype"/>
          <w:color w:val="000000"/>
        </w:rPr>
        <w:t>objetiva”,</w:t>
      </w:r>
      <w:r w:rsidRPr="00B77D66">
        <w:rPr>
          <w:rFonts w:ascii="Palatino Linotype" w:hAnsi="Palatino Linotype"/>
          <w:color w:val="000000"/>
          <w:vertAlign w:val="superscript"/>
        </w:rPr>
        <w:footnoteReference w:id="10"/>
      </w:r>
      <w:r w:rsidRPr="00B77D66">
        <w:rPr>
          <w:rFonts w:ascii="Palatino Linotype" w:hAnsi="Palatino Linotype"/>
          <w:color w:val="000000"/>
        </w:rPr>
        <w:t xml:space="preserve"> </w:t>
      </w:r>
      <w:r w:rsidRPr="00B77D66">
        <w:rPr>
          <w:rFonts w:ascii="Palatino Linotype" w:eastAsia="Arial Unicode MS" w:hAnsi="Palatino Linotype" w:cs="Arial Unicode MS"/>
          <w:color w:val="000000"/>
          <w:spacing w:val="4"/>
          <w:shd w:val="clear" w:color="auto" w:fill="FFFFFF"/>
        </w:rPr>
        <w:t>mientras que lo demostrables es, según la misma fuente, aquello que se puede demostrar,</w:t>
      </w:r>
      <w:r w:rsidRPr="00B77D66">
        <w:rPr>
          <w:rFonts w:ascii="Palatino Linotype" w:eastAsia="Arial Unicode MS" w:hAnsi="Palatino Linotype" w:cs="Arial Unicode MS"/>
          <w:color w:val="000000"/>
          <w:spacing w:val="4"/>
          <w:shd w:val="clear" w:color="auto" w:fill="FFFFFF"/>
          <w:vertAlign w:val="superscript"/>
        </w:rPr>
        <w:footnoteReference w:id="11"/>
      </w:r>
      <w:r w:rsidRPr="00B77D66">
        <w:rPr>
          <w:rFonts w:ascii="Palatino Linotype" w:eastAsia="Arial Unicode MS" w:hAnsi="Palatino Linotype" w:cs="Arial Unicode MS"/>
          <w:color w:val="000000"/>
          <w:spacing w:val="4"/>
          <w:shd w:val="clear" w:color="auto" w:fill="FFFFFF"/>
        </w:rPr>
        <w:t xml:space="preserve"> es decir, </w:t>
      </w:r>
      <w:r w:rsidRPr="00B77D66">
        <w:rPr>
          <w:rFonts w:ascii="Palatino Linotype" w:hAnsi="Palatino Linotype"/>
          <w:color w:val="000000"/>
        </w:rPr>
        <w:t xml:space="preserve">“(manifestar, declarar. Probar, sirviéndose de cualquier género de demostración, </w:t>
      </w:r>
      <w:hyperlink r:id="rId14" w:anchor="6nAyKjE" w:history="1">
        <w:r w:rsidRPr="00B77D66">
          <w:rPr>
            <w:rStyle w:val="Hipervnculo"/>
            <w:rFonts w:ascii="Palatino Linotype" w:hAnsi="Palatino Linotype"/>
            <w:color w:val="000000"/>
          </w:rPr>
          <w:t>enseñar</w:t>
        </w:r>
      </w:hyperlink>
      <w:r w:rsidRPr="00B77D66">
        <w:rPr>
          <w:rFonts w:ascii="Palatino Linotype" w:hAnsi="Palatino Linotype"/>
          <w:color w:val="000000"/>
        </w:rPr>
        <w:t xml:space="preserve"> mostrar o exponer algo)”.</w:t>
      </w:r>
      <w:r w:rsidRPr="00B77D66">
        <w:rPr>
          <w:rFonts w:ascii="Palatino Linotype" w:hAnsi="Palatino Linotype"/>
          <w:color w:val="000000"/>
          <w:vertAlign w:val="superscript"/>
        </w:rPr>
        <w:footnoteReference w:id="12"/>
      </w:r>
      <w:r w:rsidRPr="00B77D66">
        <w:rPr>
          <w:rFonts w:ascii="Palatino Linotype" w:hAnsi="Palatino Linotype"/>
          <w:color w:val="000000"/>
        </w:rPr>
        <w:t xml:space="preserve"> Mientras que lo identificable es </w:t>
      </w:r>
      <w:r w:rsidRPr="00B77D66">
        <w:rPr>
          <w:rFonts w:ascii="Palatino Linotype" w:hAnsi="Palatino Linotype"/>
          <w:color w:val="000000"/>
        </w:rPr>
        <w:lastRenderedPageBreak/>
        <w:t>lo que puede ser identificado,</w:t>
      </w:r>
      <w:r w:rsidRPr="00B77D66">
        <w:rPr>
          <w:rFonts w:ascii="Palatino Linotype" w:hAnsi="Palatino Linotype"/>
          <w:color w:val="000000"/>
          <w:vertAlign w:val="superscript"/>
        </w:rPr>
        <w:footnoteReference w:id="13"/>
      </w:r>
      <w:r w:rsidRPr="00B77D66">
        <w:rPr>
          <w:rFonts w:ascii="Palatino Linotype" w:hAnsi="Palatino Linotype"/>
          <w:color w:val="000000"/>
        </w:rPr>
        <w:t xml:space="preserve"> esto es, “(dar los datos necesarios para ser reconocido”.</w:t>
      </w:r>
      <w:r w:rsidRPr="00B77D66">
        <w:rPr>
          <w:rFonts w:ascii="Palatino Linotype" w:hAnsi="Palatino Linotype"/>
          <w:color w:val="000000"/>
          <w:vertAlign w:val="superscript"/>
        </w:rPr>
        <w:footnoteReference w:id="14"/>
      </w:r>
    </w:p>
    <w:p w:rsidR="0092740E" w:rsidRPr="00B77D66" w:rsidRDefault="0092740E" w:rsidP="003D6E56">
      <w:pPr>
        <w:shd w:val="clear" w:color="auto" w:fill="FFFFFF"/>
        <w:suppressAutoHyphens/>
        <w:spacing w:line="360" w:lineRule="auto"/>
        <w:jc w:val="both"/>
        <w:textAlignment w:val="baseline"/>
        <w:rPr>
          <w:rFonts w:ascii="Palatino Linotype" w:hAnsi="Palatino Linotype"/>
          <w:color w:val="000000"/>
        </w:rPr>
      </w:pPr>
    </w:p>
    <w:p w:rsidR="0092740E" w:rsidRPr="00B77D66" w:rsidRDefault="0092740E" w:rsidP="003D6E56">
      <w:pPr>
        <w:numPr>
          <w:ilvl w:val="0"/>
          <w:numId w:val="1"/>
        </w:numPr>
        <w:shd w:val="clear" w:color="auto" w:fill="FFFFFF"/>
        <w:suppressAutoHyphens/>
        <w:spacing w:line="360" w:lineRule="auto"/>
        <w:ind w:left="0" w:firstLine="0"/>
        <w:jc w:val="both"/>
        <w:textAlignment w:val="baseline"/>
        <w:rPr>
          <w:rFonts w:ascii="Palatino Linotype" w:hAnsi="Palatino Linotype"/>
          <w:color w:val="000000"/>
        </w:rPr>
      </w:pPr>
      <w:r w:rsidRPr="00B77D66">
        <w:rPr>
          <w:rFonts w:ascii="Palatino Linotype" w:hAnsi="Palatino Linotype"/>
          <w:color w:val="000000"/>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92740E" w:rsidRPr="00B77D66" w:rsidRDefault="0092740E" w:rsidP="003D6E56">
      <w:pPr>
        <w:shd w:val="clear" w:color="auto" w:fill="FFFFFF"/>
        <w:suppressAutoHyphens/>
        <w:spacing w:line="360" w:lineRule="auto"/>
        <w:jc w:val="both"/>
        <w:textAlignment w:val="baseline"/>
        <w:rPr>
          <w:rFonts w:ascii="Palatino Linotype" w:hAnsi="Palatino Linotype"/>
          <w:color w:val="000000"/>
        </w:rPr>
      </w:pPr>
    </w:p>
    <w:p w:rsidR="0092740E" w:rsidRPr="00B77D66" w:rsidRDefault="0092740E" w:rsidP="003D6E56">
      <w:pPr>
        <w:numPr>
          <w:ilvl w:val="0"/>
          <w:numId w:val="1"/>
        </w:numPr>
        <w:shd w:val="clear" w:color="auto" w:fill="FFFFFF"/>
        <w:suppressAutoHyphens/>
        <w:spacing w:line="360" w:lineRule="auto"/>
        <w:ind w:left="0" w:firstLine="0"/>
        <w:jc w:val="both"/>
        <w:textAlignment w:val="baseline"/>
        <w:rPr>
          <w:rFonts w:ascii="Palatino Linotype" w:hAnsi="Palatino Linotype"/>
          <w:color w:val="000000"/>
        </w:rPr>
      </w:pPr>
      <w:r w:rsidRPr="00B77D66">
        <w:rPr>
          <w:rFonts w:ascii="Palatino Linotype" w:hAnsi="Palatino Linotype"/>
          <w:color w:val="000000"/>
        </w:rPr>
        <w:t>Identificado ese riesgo, se debe demostrar que el mismo supera el interés público general porque se difunda dicha información.</w:t>
      </w:r>
    </w:p>
    <w:p w:rsidR="0092740E" w:rsidRPr="00B77D66" w:rsidRDefault="0092740E" w:rsidP="003D6E56">
      <w:pPr>
        <w:shd w:val="clear" w:color="auto" w:fill="FFFFFF"/>
        <w:suppressAutoHyphens/>
        <w:spacing w:line="360" w:lineRule="auto"/>
        <w:jc w:val="both"/>
        <w:textAlignment w:val="baseline"/>
        <w:rPr>
          <w:rFonts w:ascii="Palatino Linotype" w:hAnsi="Palatino Linotype"/>
          <w:color w:val="000000"/>
        </w:rPr>
      </w:pPr>
    </w:p>
    <w:p w:rsidR="0092740E" w:rsidRPr="00B77D66" w:rsidRDefault="0092740E" w:rsidP="003D6E56">
      <w:pPr>
        <w:numPr>
          <w:ilvl w:val="0"/>
          <w:numId w:val="1"/>
        </w:numPr>
        <w:shd w:val="clear" w:color="auto" w:fill="FFFFFF"/>
        <w:suppressAutoHyphens/>
        <w:spacing w:line="360" w:lineRule="auto"/>
        <w:ind w:left="0" w:firstLine="0"/>
        <w:jc w:val="both"/>
        <w:textAlignment w:val="baseline"/>
        <w:rPr>
          <w:rFonts w:ascii="Palatino Linotype" w:hAnsi="Palatino Linotype"/>
          <w:color w:val="000000"/>
        </w:rPr>
      </w:pPr>
      <w:r w:rsidRPr="00B77D66">
        <w:rPr>
          <w:rFonts w:ascii="Palatino Linotype" w:hAnsi="Palatino Linotype"/>
          <w:color w:val="000000"/>
        </w:rPr>
        <w:t>Y, por último, que la limitación es acorde con el principio de proporcionalidad, para ello, se sugiere emplear los tres juicios propuestos por la Corte Constitucional Colombiana</w:t>
      </w:r>
      <w:r w:rsidRPr="00B77D66">
        <w:rPr>
          <w:rFonts w:ascii="Palatino Linotype" w:hAnsi="Palatino Linotype"/>
          <w:color w:val="000000"/>
          <w:vertAlign w:val="superscript"/>
        </w:rPr>
        <w:footnoteReference w:id="15"/>
      </w:r>
      <w:r w:rsidRPr="00B77D66">
        <w:rPr>
          <w:rFonts w:ascii="Palatino Linotype" w:hAnsi="Palatino Linotype"/>
          <w:color w:val="000000"/>
        </w:rPr>
        <w:t xml:space="preserve">, siguiendo el principio de ponderación propuesto por el Tribunal </w:t>
      </w:r>
      <w:r w:rsidRPr="00B77D66">
        <w:rPr>
          <w:rFonts w:ascii="Palatino Linotype" w:hAnsi="Palatino Linotype"/>
          <w:color w:val="000000"/>
        </w:rPr>
        <w:lastRenderedPageBreak/>
        <w:t>Constitucional Alemán,</w:t>
      </w:r>
      <w:r w:rsidRPr="00B77D66">
        <w:rPr>
          <w:rFonts w:ascii="Palatino Linotype" w:hAnsi="Palatino Linotype"/>
          <w:color w:val="000000"/>
          <w:vertAlign w:val="superscript"/>
        </w:rPr>
        <w:footnoteReference w:id="16"/>
      </w:r>
      <w:r w:rsidRPr="00B77D66">
        <w:rPr>
          <w:rFonts w:ascii="Palatino Linotype" w:hAnsi="Palatino Linotype"/>
          <w:color w:val="000000"/>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92740E" w:rsidRPr="00B77D66" w:rsidRDefault="0092740E" w:rsidP="003D6E56">
      <w:pPr>
        <w:pStyle w:val="Prrafodelista"/>
        <w:keepNext/>
        <w:keepLines/>
        <w:numPr>
          <w:ilvl w:val="0"/>
          <w:numId w:val="17"/>
        </w:numPr>
        <w:spacing w:before="240" w:line="360" w:lineRule="auto"/>
        <w:ind w:left="0" w:firstLine="0"/>
        <w:outlineLvl w:val="0"/>
        <w:rPr>
          <w:rFonts w:ascii="Palatino Linotype" w:eastAsia="MS Gothic" w:hAnsi="Palatino Linotype"/>
          <w:color w:val="000000"/>
          <w:sz w:val="24"/>
          <w:lang w:eastAsia="en-US"/>
        </w:rPr>
      </w:pPr>
      <w:bookmarkStart w:id="40" w:name="_Toc16179367"/>
      <w:bookmarkStart w:id="41" w:name="_Toc511333943"/>
      <w:bookmarkStart w:id="42" w:name="_Toc485631709"/>
      <w:r w:rsidRPr="00B77D66">
        <w:rPr>
          <w:rFonts w:ascii="Palatino Linotype" w:eastAsia="MS Gothic" w:hAnsi="Palatino Linotype"/>
          <w:b/>
          <w:color w:val="000000"/>
          <w:sz w:val="24"/>
        </w:rPr>
        <w:t>La clasificación de la información reservada debe ser de manera temporal.</w:t>
      </w:r>
      <w:bookmarkEnd w:id="40"/>
      <w:bookmarkEnd w:id="41"/>
      <w:bookmarkEnd w:id="42"/>
    </w:p>
    <w:p w:rsidR="0092740E" w:rsidRPr="00B77D66" w:rsidRDefault="0092740E" w:rsidP="003D6E56">
      <w:pPr>
        <w:spacing w:line="360" w:lineRule="auto"/>
        <w:contextualSpacing/>
        <w:rPr>
          <w:rFonts w:ascii="Palatino Linotype" w:eastAsia="MS Mincho" w:hAnsi="Palatino Linotype"/>
          <w:color w:val="000000"/>
          <w:lang w:val="es-ES_tradnl" w:eastAsia="es-ES"/>
        </w:rPr>
      </w:pPr>
    </w:p>
    <w:p w:rsidR="0092740E" w:rsidRPr="00B77D66" w:rsidRDefault="0092740E" w:rsidP="003D6E56">
      <w:pPr>
        <w:numPr>
          <w:ilvl w:val="0"/>
          <w:numId w:val="1"/>
        </w:numPr>
        <w:spacing w:line="360" w:lineRule="auto"/>
        <w:ind w:left="0" w:firstLine="0"/>
        <w:contextualSpacing/>
        <w:jc w:val="both"/>
        <w:rPr>
          <w:rFonts w:ascii="Palatino Linotype" w:eastAsia="MS Mincho" w:hAnsi="Palatino Linotype"/>
          <w:color w:val="000000"/>
          <w:lang w:val="es-ES_tradnl" w:eastAsia="es-ES"/>
        </w:rPr>
      </w:pPr>
      <w:r w:rsidRPr="00B77D66">
        <w:rPr>
          <w:rFonts w:ascii="Palatino Linotype" w:eastAsia="MS Mincho" w:hAnsi="Palatino Linotype"/>
          <w:color w:val="000000"/>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92740E" w:rsidRPr="00B77D66" w:rsidRDefault="0092740E" w:rsidP="003D6E56">
      <w:pPr>
        <w:spacing w:line="360" w:lineRule="auto"/>
        <w:jc w:val="both"/>
        <w:rPr>
          <w:rFonts w:ascii="Palatino Linotype" w:eastAsia="MS Mincho" w:hAnsi="Palatino Linotype"/>
          <w:color w:val="000000"/>
          <w:lang w:val="es-ES_tradnl" w:eastAsia="es-ES"/>
        </w:rPr>
      </w:pPr>
    </w:p>
    <w:p w:rsidR="0092740E" w:rsidRPr="00B77D66" w:rsidRDefault="0092740E" w:rsidP="003D6E56">
      <w:pPr>
        <w:numPr>
          <w:ilvl w:val="0"/>
          <w:numId w:val="1"/>
        </w:numPr>
        <w:spacing w:line="360" w:lineRule="auto"/>
        <w:ind w:left="0" w:firstLine="0"/>
        <w:contextualSpacing/>
        <w:jc w:val="both"/>
        <w:rPr>
          <w:rFonts w:ascii="Palatino Linotype" w:eastAsia="MS Mincho" w:hAnsi="Palatino Linotype"/>
          <w:color w:val="000000"/>
          <w:lang w:val="es-ES_tradnl" w:eastAsia="es-ES"/>
        </w:rPr>
      </w:pPr>
      <w:r w:rsidRPr="00B77D66">
        <w:rPr>
          <w:rFonts w:ascii="Palatino Linotype" w:eastAsia="MS Mincho" w:hAnsi="Palatino Linotype"/>
          <w:color w:val="000000"/>
          <w:lang w:val="es-ES_tradnl" w:eastAsia="es-ES"/>
        </w:rPr>
        <w:t>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w:t>
      </w:r>
    </w:p>
    <w:p w:rsidR="0092740E" w:rsidRPr="00B77D66" w:rsidRDefault="0092740E" w:rsidP="003D6E56">
      <w:pPr>
        <w:spacing w:line="360" w:lineRule="auto"/>
        <w:jc w:val="both"/>
        <w:rPr>
          <w:rFonts w:ascii="Palatino Linotype" w:eastAsia="MS Mincho" w:hAnsi="Palatino Linotype"/>
          <w:color w:val="000000"/>
          <w:lang w:val="es-ES_tradnl" w:eastAsia="es-ES"/>
        </w:rPr>
      </w:pPr>
    </w:p>
    <w:p w:rsidR="0092740E" w:rsidRPr="00B77D66" w:rsidRDefault="0092740E" w:rsidP="003D6E56">
      <w:pPr>
        <w:numPr>
          <w:ilvl w:val="0"/>
          <w:numId w:val="1"/>
        </w:numPr>
        <w:spacing w:line="360" w:lineRule="auto"/>
        <w:ind w:left="0" w:firstLine="0"/>
        <w:contextualSpacing/>
        <w:jc w:val="both"/>
        <w:rPr>
          <w:rFonts w:ascii="Palatino Linotype" w:eastAsia="MS Mincho" w:hAnsi="Palatino Linotype"/>
          <w:color w:val="000000"/>
          <w:lang w:val="es-ES_tradnl" w:eastAsia="es-ES"/>
        </w:rPr>
      </w:pPr>
      <w:r w:rsidRPr="00B77D66">
        <w:rPr>
          <w:rFonts w:ascii="Palatino Linotype" w:eastAsia="MS Mincho" w:hAnsi="Palatino Linotype"/>
          <w:color w:val="000000"/>
          <w:lang w:val="es-ES_tradnl" w:eastAsia="es-ES"/>
        </w:rPr>
        <w:lastRenderedPageBreak/>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92740E" w:rsidRPr="00B77D66" w:rsidRDefault="0092740E" w:rsidP="003D6E56">
      <w:pPr>
        <w:spacing w:line="360" w:lineRule="auto"/>
        <w:jc w:val="both"/>
        <w:rPr>
          <w:rFonts w:ascii="Palatino Linotype" w:eastAsia="MS Mincho" w:hAnsi="Palatino Linotype"/>
          <w:color w:val="000000"/>
          <w:lang w:val="es-ES_tradnl" w:eastAsia="es-ES"/>
        </w:rPr>
      </w:pPr>
    </w:p>
    <w:p w:rsidR="0092740E" w:rsidRPr="00B77D66" w:rsidRDefault="0092740E" w:rsidP="003D6E56">
      <w:pPr>
        <w:numPr>
          <w:ilvl w:val="0"/>
          <w:numId w:val="1"/>
        </w:numPr>
        <w:spacing w:line="360" w:lineRule="auto"/>
        <w:ind w:left="0" w:firstLine="0"/>
        <w:contextualSpacing/>
        <w:jc w:val="both"/>
        <w:rPr>
          <w:rFonts w:ascii="Palatino Linotype" w:eastAsia="MS Mincho" w:hAnsi="Palatino Linotype"/>
          <w:color w:val="000000"/>
          <w:lang w:val="es-ES_tradnl" w:eastAsia="es-ES"/>
        </w:rPr>
      </w:pPr>
      <w:r w:rsidRPr="00B77D66">
        <w:rPr>
          <w:rFonts w:ascii="Palatino Linotype" w:eastAsia="MS Mincho" w:hAnsi="Palatino Linotype"/>
          <w:color w:val="000000"/>
          <w:lang w:val="es-ES_tradnl" w:eastAsia="es-ES"/>
        </w:rPr>
        <w:t>De</w:t>
      </w:r>
      <w:r w:rsidRPr="00B77D66">
        <w:rPr>
          <w:rFonts w:ascii="Palatino Linotype" w:eastAsia="MS Mincho" w:hAnsi="Palatino Linotype"/>
          <w:b/>
          <w:color w:val="000000"/>
          <w:lang w:val="es-ES_tradnl" w:eastAsia="es-ES"/>
        </w:rPr>
        <w:t xml:space="preserve"> </w:t>
      </w:r>
      <w:r w:rsidRPr="00B77D66">
        <w:rPr>
          <w:rFonts w:ascii="Palatino Linotype" w:eastAsia="MS Mincho" w:hAnsi="Palatino Linotype"/>
          <w:color w:val="000000"/>
          <w:lang w:val="es-ES_tradnl" w:eastAsia="es-ES"/>
        </w:rPr>
        <w:t>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92740E" w:rsidRPr="00B77D66" w:rsidRDefault="0092740E" w:rsidP="003D6E56">
      <w:pPr>
        <w:spacing w:line="360" w:lineRule="auto"/>
        <w:jc w:val="both"/>
        <w:rPr>
          <w:rFonts w:ascii="Palatino Linotype" w:eastAsia="MS Mincho" w:hAnsi="Palatino Linotype"/>
          <w:color w:val="000000"/>
          <w:lang w:val="es-ES_tradnl" w:eastAsia="es-ES"/>
        </w:rPr>
      </w:pPr>
    </w:p>
    <w:p w:rsidR="00C55280" w:rsidRPr="00B77D66" w:rsidRDefault="0092740E" w:rsidP="00C55280">
      <w:pPr>
        <w:numPr>
          <w:ilvl w:val="0"/>
          <w:numId w:val="1"/>
        </w:numPr>
        <w:spacing w:line="360" w:lineRule="auto"/>
        <w:ind w:left="0" w:firstLine="0"/>
        <w:contextualSpacing/>
        <w:jc w:val="both"/>
        <w:rPr>
          <w:rFonts w:ascii="Palatino Linotype" w:eastAsia="MS Mincho" w:hAnsi="Palatino Linotype"/>
          <w:color w:val="000000"/>
          <w:lang w:val="es-ES_tradnl" w:eastAsia="es-ES"/>
        </w:rPr>
      </w:pPr>
      <w:r w:rsidRPr="00B77D66">
        <w:rPr>
          <w:rFonts w:ascii="Palatino Linotype" w:eastAsia="MS Mincho" w:hAnsi="Palatino Linotype"/>
          <w:color w:val="000000"/>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CA3245" w:rsidRPr="00B77D66" w:rsidRDefault="00CA3245" w:rsidP="00C55280">
      <w:pPr>
        <w:numPr>
          <w:ilvl w:val="0"/>
          <w:numId w:val="1"/>
        </w:numPr>
        <w:spacing w:line="360" w:lineRule="auto"/>
        <w:ind w:left="0" w:firstLine="0"/>
        <w:contextualSpacing/>
        <w:jc w:val="both"/>
        <w:rPr>
          <w:rFonts w:ascii="Palatino Linotype" w:eastAsia="MS Mincho" w:hAnsi="Palatino Linotype"/>
          <w:color w:val="000000"/>
          <w:lang w:val="es-ES_tradnl" w:eastAsia="es-ES"/>
        </w:rPr>
      </w:pPr>
      <w:r w:rsidRPr="00B77D66">
        <w:rPr>
          <w:rFonts w:ascii="Palatino Linotype" w:eastAsia="MS Mincho" w:hAnsi="Palatino Linotype"/>
          <w:color w:val="000000"/>
          <w:lang w:val="es-ES_tradnl" w:eastAsia="es-ES"/>
        </w:rPr>
        <w:t xml:space="preserve">Ahora bien, en el presente caso, el Sujeto Obligado pretendió realizar una clasificación de la información a través del acuerdo CTM/CUT/SE10/004/AR/2022, en el que señaló lo siguiente: </w:t>
      </w:r>
    </w:p>
    <w:p w:rsidR="00CA3245" w:rsidRPr="00B77D66" w:rsidRDefault="00CA3245" w:rsidP="00CA3245">
      <w:pPr>
        <w:spacing w:line="360" w:lineRule="auto"/>
        <w:contextualSpacing/>
        <w:jc w:val="both"/>
        <w:rPr>
          <w:rFonts w:ascii="Palatino Linotype" w:eastAsia="MS Mincho" w:hAnsi="Palatino Linotype"/>
          <w:color w:val="000000"/>
          <w:lang w:val="es-ES_tradnl" w:eastAsia="es-ES"/>
        </w:rPr>
      </w:pPr>
    </w:p>
    <w:p w:rsidR="00CA3245" w:rsidRPr="00B77D66" w:rsidRDefault="000C58AB" w:rsidP="000C58AB">
      <w:pPr>
        <w:spacing w:line="360" w:lineRule="auto"/>
        <w:contextualSpacing/>
        <w:jc w:val="center"/>
        <w:rPr>
          <w:rFonts w:ascii="Palatino Linotype" w:eastAsia="MS Mincho" w:hAnsi="Palatino Linotype"/>
          <w:color w:val="000000"/>
          <w:lang w:val="es-ES_tradnl" w:eastAsia="es-ES"/>
        </w:rPr>
      </w:pPr>
      <w:r w:rsidRPr="00B77D66">
        <w:rPr>
          <w:noProof/>
        </w:rPr>
        <w:lastRenderedPageBreak/>
        <w:drawing>
          <wp:inline distT="0" distB="0" distL="0" distR="0" wp14:anchorId="785A56D0" wp14:editId="593940F7">
            <wp:extent cx="4759222" cy="48958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678" t="21525" r="33658" b="15079"/>
                    <a:stretch/>
                  </pic:blipFill>
                  <pic:spPr bwMode="auto">
                    <a:xfrm>
                      <a:off x="0" y="0"/>
                      <a:ext cx="4766109" cy="4902934"/>
                    </a:xfrm>
                    <a:prstGeom prst="rect">
                      <a:avLst/>
                    </a:prstGeom>
                    <a:ln>
                      <a:noFill/>
                    </a:ln>
                    <a:extLst>
                      <a:ext uri="{53640926-AAD7-44D8-BBD7-CCE9431645EC}">
                        <a14:shadowObscured xmlns:a14="http://schemas.microsoft.com/office/drawing/2010/main"/>
                      </a:ext>
                    </a:extLst>
                  </pic:spPr>
                </pic:pic>
              </a:graphicData>
            </a:graphic>
          </wp:inline>
        </w:drawing>
      </w:r>
    </w:p>
    <w:p w:rsidR="00C55280" w:rsidRPr="00B77D66" w:rsidRDefault="00C55280" w:rsidP="00AE6DE6">
      <w:pPr>
        <w:spacing w:line="360" w:lineRule="auto"/>
        <w:contextualSpacing/>
        <w:jc w:val="both"/>
        <w:rPr>
          <w:rFonts w:ascii="Palatino Linotype" w:eastAsia="MS Mincho" w:hAnsi="Palatino Linotype"/>
          <w:color w:val="000000"/>
          <w:lang w:val="es-ES_tradnl" w:eastAsia="es-ES"/>
        </w:rPr>
      </w:pPr>
    </w:p>
    <w:p w:rsidR="000C58AB" w:rsidRPr="00B77D66" w:rsidRDefault="000C58AB" w:rsidP="000C58AB">
      <w:pPr>
        <w:spacing w:line="360" w:lineRule="auto"/>
        <w:contextualSpacing/>
        <w:jc w:val="center"/>
        <w:rPr>
          <w:rFonts w:ascii="Palatino Linotype" w:eastAsia="MS Mincho" w:hAnsi="Palatino Linotype"/>
          <w:color w:val="000000"/>
          <w:lang w:val="es-ES_tradnl" w:eastAsia="es-ES"/>
        </w:rPr>
      </w:pPr>
      <w:r w:rsidRPr="00B77D66">
        <w:rPr>
          <w:noProof/>
        </w:rPr>
        <w:lastRenderedPageBreak/>
        <w:drawing>
          <wp:inline distT="0" distB="0" distL="0" distR="0" wp14:anchorId="705673DB" wp14:editId="75864099">
            <wp:extent cx="5209540" cy="7010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825" t="15333" r="37638" b="6232"/>
                    <a:stretch/>
                  </pic:blipFill>
                  <pic:spPr bwMode="auto">
                    <a:xfrm>
                      <a:off x="0" y="0"/>
                      <a:ext cx="5229900" cy="7037798"/>
                    </a:xfrm>
                    <a:prstGeom prst="rect">
                      <a:avLst/>
                    </a:prstGeom>
                    <a:ln>
                      <a:noFill/>
                    </a:ln>
                    <a:extLst>
                      <a:ext uri="{53640926-AAD7-44D8-BBD7-CCE9431645EC}">
                        <a14:shadowObscured xmlns:a14="http://schemas.microsoft.com/office/drawing/2010/main"/>
                      </a:ext>
                    </a:extLst>
                  </pic:spPr>
                </pic:pic>
              </a:graphicData>
            </a:graphic>
          </wp:inline>
        </w:drawing>
      </w:r>
    </w:p>
    <w:p w:rsidR="000C58AB" w:rsidRPr="00B77D66" w:rsidRDefault="000C58AB" w:rsidP="000C58AB">
      <w:pPr>
        <w:spacing w:line="360" w:lineRule="auto"/>
        <w:contextualSpacing/>
        <w:jc w:val="center"/>
        <w:rPr>
          <w:rFonts w:ascii="Palatino Linotype" w:eastAsia="MS Mincho" w:hAnsi="Palatino Linotype"/>
          <w:color w:val="000000"/>
          <w:lang w:val="es-ES_tradnl" w:eastAsia="es-ES"/>
        </w:rPr>
      </w:pPr>
    </w:p>
    <w:p w:rsidR="000C58AB" w:rsidRPr="00B77D66" w:rsidRDefault="000C58AB" w:rsidP="000C58AB">
      <w:pPr>
        <w:spacing w:line="360" w:lineRule="auto"/>
        <w:contextualSpacing/>
        <w:jc w:val="center"/>
        <w:rPr>
          <w:rFonts w:ascii="Palatino Linotype" w:eastAsia="MS Mincho" w:hAnsi="Palatino Linotype"/>
          <w:color w:val="000000"/>
          <w:lang w:val="es-ES_tradnl" w:eastAsia="es-ES"/>
        </w:rPr>
      </w:pPr>
      <w:r w:rsidRPr="00B77D66">
        <w:rPr>
          <w:noProof/>
        </w:rPr>
        <w:lastRenderedPageBreak/>
        <w:drawing>
          <wp:inline distT="0" distB="0" distL="0" distR="0" wp14:anchorId="709CF3EF" wp14:editId="333E7B7C">
            <wp:extent cx="4003944" cy="6867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825" t="15333" r="37970" b="4757"/>
                    <a:stretch/>
                  </pic:blipFill>
                  <pic:spPr bwMode="auto">
                    <a:xfrm>
                      <a:off x="0" y="0"/>
                      <a:ext cx="4016401" cy="6888891"/>
                    </a:xfrm>
                    <a:prstGeom prst="rect">
                      <a:avLst/>
                    </a:prstGeom>
                    <a:ln>
                      <a:noFill/>
                    </a:ln>
                    <a:extLst>
                      <a:ext uri="{53640926-AAD7-44D8-BBD7-CCE9431645EC}">
                        <a14:shadowObscured xmlns:a14="http://schemas.microsoft.com/office/drawing/2010/main"/>
                      </a:ext>
                    </a:extLst>
                  </pic:spPr>
                </pic:pic>
              </a:graphicData>
            </a:graphic>
          </wp:inline>
        </w:drawing>
      </w:r>
    </w:p>
    <w:p w:rsidR="000C58AB" w:rsidRPr="00B77D66" w:rsidRDefault="000C58AB" w:rsidP="000C58AB">
      <w:pPr>
        <w:spacing w:line="360" w:lineRule="auto"/>
        <w:contextualSpacing/>
        <w:jc w:val="center"/>
        <w:rPr>
          <w:rFonts w:ascii="Palatino Linotype" w:eastAsia="MS Mincho" w:hAnsi="Palatino Linotype"/>
          <w:color w:val="000000"/>
          <w:lang w:val="es-ES_tradnl" w:eastAsia="es-ES"/>
        </w:rPr>
      </w:pPr>
    </w:p>
    <w:p w:rsidR="000C58AB" w:rsidRPr="00B77D66" w:rsidRDefault="000C58AB" w:rsidP="000C58AB">
      <w:pPr>
        <w:spacing w:line="360" w:lineRule="auto"/>
        <w:contextualSpacing/>
        <w:jc w:val="center"/>
        <w:rPr>
          <w:rFonts w:ascii="Palatino Linotype" w:eastAsia="MS Mincho" w:hAnsi="Palatino Linotype"/>
          <w:color w:val="000000"/>
          <w:lang w:val="es-ES_tradnl" w:eastAsia="es-ES"/>
        </w:rPr>
      </w:pPr>
      <w:r w:rsidRPr="00B77D66">
        <w:rPr>
          <w:noProof/>
        </w:rPr>
        <w:lastRenderedPageBreak/>
        <w:drawing>
          <wp:inline distT="0" distB="0" distL="0" distR="0" wp14:anchorId="4578899F" wp14:editId="6BC4D3FF">
            <wp:extent cx="4163367" cy="688657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991" t="18282" r="37638" b="4168"/>
                    <a:stretch/>
                  </pic:blipFill>
                  <pic:spPr bwMode="auto">
                    <a:xfrm>
                      <a:off x="0" y="0"/>
                      <a:ext cx="4173192" cy="6902826"/>
                    </a:xfrm>
                    <a:prstGeom prst="rect">
                      <a:avLst/>
                    </a:prstGeom>
                    <a:ln>
                      <a:noFill/>
                    </a:ln>
                    <a:extLst>
                      <a:ext uri="{53640926-AAD7-44D8-BBD7-CCE9431645EC}">
                        <a14:shadowObscured xmlns:a14="http://schemas.microsoft.com/office/drawing/2010/main"/>
                      </a:ext>
                    </a:extLst>
                  </pic:spPr>
                </pic:pic>
              </a:graphicData>
            </a:graphic>
          </wp:inline>
        </w:drawing>
      </w:r>
    </w:p>
    <w:p w:rsidR="000C58AB" w:rsidRPr="00B77D66" w:rsidRDefault="000C58AB" w:rsidP="000C58AB">
      <w:pPr>
        <w:spacing w:line="360" w:lineRule="auto"/>
        <w:contextualSpacing/>
        <w:jc w:val="center"/>
        <w:rPr>
          <w:rFonts w:ascii="Palatino Linotype" w:eastAsia="MS Mincho" w:hAnsi="Palatino Linotype"/>
          <w:color w:val="000000"/>
          <w:lang w:val="es-ES_tradnl" w:eastAsia="es-ES"/>
        </w:rPr>
      </w:pPr>
    </w:p>
    <w:p w:rsidR="000C58AB" w:rsidRPr="00B77D66" w:rsidRDefault="000C58AB" w:rsidP="000C58AB">
      <w:pPr>
        <w:spacing w:line="360" w:lineRule="auto"/>
        <w:contextualSpacing/>
        <w:jc w:val="center"/>
        <w:rPr>
          <w:rFonts w:ascii="Palatino Linotype" w:eastAsia="MS Mincho" w:hAnsi="Palatino Linotype"/>
          <w:color w:val="000000"/>
          <w:lang w:val="es-ES_tradnl" w:eastAsia="es-ES"/>
        </w:rPr>
      </w:pPr>
      <w:r w:rsidRPr="00B77D66">
        <w:rPr>
          <w:noProof/>
        </w:rPr>
        <w:lastRenderedPageBreak/>
        <w:drawing>
          <wp:inline distT="0" distB="0" distL="0" distR="0" wp14:anchorId="165AA62F" wp14:editId="4C758053">
            <wp:extent cx="4384923" cy="6972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659" t="20346" r="37638" b="4168"/>
                    <a:stretch/>
                  </pic:blipFill>
                  <pic:spPr bwMode="auto">
                    <a:xfrm>
                      <a:off x="0" y="0"/>
                      <a:ext cx="4393159" cy="6985396"/>
                    </a:xfrm>
                    <a:prstGeom prst="rect">
                      <a:avLst/>
                    </a:prstGeom>
                    <a:ln>
                      <a:noFill/>
                    </a:ln>
                    <a:extLst>
                      <a:ext uri="{53640926-AAD7-44D8-BBD7-CCE9431645EC}">
                        <a14:shadowObscured xmlns:a14="http://schemas.microsoft.com/office/drawing/2010/main"/>
                      </a:ext>
                    </a:extLst>
                  </pic:spPr>
                </pic:pic>
              </a:graphicData>
            </a:graphic>
          </wp:inline>
        </w:drawing>
      </w:r>
    </w:p>
    <w:p w:rsidR="000C58AB" w:rsidRPr="00B77D66" w:rsidRDefault="000C58AB" w:rsidP="000C58AB">
      <w:pPr>
        <w:spacing w:line="360" w:lineRule="auto"/>
        <w:contextualSpacing/>
        <w:jc w:val="center"/>
        <w:rPr>
          <w:rFonts w:ascii="Palatino Linotype" w:eastAsia="MS Mincho" w:hAnsi="Palatino Linotype"/>
          <w:color w:val="000000"/>
          <w:lang w:val="es-ES_tradnl" w:eastAsia="es-ES"/>
        </w:rPr>
      </w:pPr>
    </w:p>
    <w:p w:rsidR="00C55280" w:rsidRPr="00B77D66" w:rsidRDefault="00AC60AC" w:rsidP="00C55280">
      <w:pPr>
        <w:numPr>
          <w:ilvl w:val="0"/>
          <w:numId w:val="1"/>
        </w:numPr>
        <w:spacing w:line="360" w:lineRule="auto"/>
        <w:ind w:left="0" w:firstLine="0"/>
        <w:contextualSpacing/>
        <w:jc w:val="both"/>
        <w:rPr>
          <w:rFonts w:ascii="Palatino Linotype" w:eastAsia="MS Mincho" w:hAnsi="Palatino Linotype"/>
          <w:color w:val="000000"/>
          <w:lang w:val="es-ES_tradnl" w:eastAsia="es-ES"/>
        </w:rPr>
      </w:pPr>
      <w:r w:rsidRPr="00B77D66">
        <w:rPr>
          <w:rFonts w:ascii="Palatino Linotype" w:eastAsia="Calibri" w:hAnsi="Palatino Linotype" w:cs="Tahoma"/>
          <w:bCs/>
          <w:lang w:eastAsia="en-US"/>
        </w:rPr>
        <w:lastRenderedPageBreak/>
        <w:t>Puntualizado</w:t>
      </w:r>
      <w:r w:rsidR="00AE6DE6" w:rsidRPr="00B77D66">
        <w:rPr>
          <w:rFonts w:ascii="Palatino Linotype" w:eastAsia="Calibri" w:hAnsi="Palatino Linotype" w:cs="Tahoma"/>
          <w:bCs/>
          <w:lang w:eastAsia="en-US"/>
        </w:rPr>
        <w:t xml:space="preserve"> lo anterior</w:t>
      </w:r>
      <w:r w:rsidRPr="00B77D66">
        <w:rPr>
          <w:rFonts w:ascii="Palatino Linotype" w:eastAsia="Calibri" w:hAnsi="Palatino Linotype" w:cs="Tahoma"/>
          <w:bCs/>
          <w:lang w:eastAsia="en-US"/>
        </w:rPr>
        <w:t>,</w:t>
      </w:r>
      <w:r w:rsidR="00AE6DE6" w:rsidRPr="00B77D66">
        <w:rPr>
          <w:rFonts w:ascii="Palatino Linotype" w:eastAsia="Calibri" w:hAnsi="Palatino Linotype" w:cs="Tahoma"/>
          <w:bCs/>
          <w:lang w:eastAsia="en-US"/>
        </w:rPr>
        <w:t xml:space="preserve"> podemos advertir que el Sujeto Obligado no realizó</w:t>
      </w:r>
      <w:r w:rsidR="00C55280" w:rsidRPr="00B77D66">
        <w:rPr>
          <w:rFonts w:ascii="Palatino Linotype" w:eastAsia="MS Mincho" w:hAnsi="Palatino Linotype"/>
          <w:lang w:val="es-ES_tradnl"/>
        </w:rPr>
        <w:t xml:space="preserve"> una adecuada fundamentación y motivación para negar el acceso a la información solicitada , lo cual, deja en estado de incertidumb</w:t>
      </w:r>
      <w:r w:rsidR="00AE6DE6" w:rsidRPr="00B77D66">
        <w:rPr>
          <w:rFonts w:ascii="Palatino Linotype" w:eastAsia="MS Mincho" w:hAnsi="Palatino Linotype"/>
          <w:lang w:val="es-ES_tradnl"/>
        </w:rPr>
        <w:t xml:space="preserve">re al solicitante; asimismo, podemos advertir que no cuenta con los  </w:t>
      </w:r>
      <w:r w:rsidR="00C55280" w:rsidRPr="00B77D66">
        <w:rPr>
          <w:rFonts w:ascii="Palatino Linotype" w:eastAsia="MS Mincho" w:hAnsi="Palatino Linotype"/>
          <w:lang w:val="es-ES_tradnl"/>
        </w:rPr>
        <w:t>siguientes elementos esenciales:</w:t>
      </w:r>
    </w:p>
    <w:p w:rsidR="00C55280" w:rsidRPr="00B77D66" w:rsidRDefault="00C55280" w:rsidP="00C55280">
      <w:pPr>
        <w:pStyle w:val="Prrafodelista"/>
        <w:spacing w:before="240" w:after="240" w:line="360" w:lineRule="auto"/>
        <w:ind w:left="0" w:right="49"/>
        <w:jc w:val="both"/>
        <w:rPr>
          <w:rFonts w:ascii="Palatino Linotype" w:eastAsia="MS Mincho" w:hAnsi="Palatino Linotype"/>
          <w:lang w:val="es-ES_tradnl"/>
        </w:rPr>
      </w:pPr>
    </w:p>
    <w:p w:rsidR="00C55280" w:rsidRPr="00B77D66" w:rsidRDefault="00C55280" w:rsidP="00C55280">
      <w:pPr>
        <w:pStyle w:val="Prrafodelista"/>
        <w:numPr>
          <w:ilvl w:val="0"/>
          <w:numId w:val="19"/>
        </w:numPr>
        <w:spacing w:before="240" w:after="240" w:line="360" w:lineRule="auto"/>
        <w:ind w:left="567" w:right="697" w:firstLine="0"/>
        <w:jc w:val="both"/>
        <w:rPr>
          <w:rFonts w:ascii="Palatino Linotype" w:eastAsia="MS Mincho" w:hAnsi="Palatino Linotype"/>
          <w:sz w:val="24"/>
          <w:lang w:val="es-ES_tradnl"/>
        </w:rPr>
      </w:pPr>
      <w:r w:rsidRPr="00B77D66">
        <w:rPr>
          <w:rFonts w:ascii="Palatino Linotype" w:eastAsia="MS Mincho" w:hAnsi="Palatino Linotype"/>
          <w:sz w:val="24"/>
          <w:lang w:val="es-ES_tradnl"/>
        </w:rPr>
        <w:t xml:space="preserve">El Sujeto Obligado inobservó lo establecido por la Ley de la Materia, así como </w:t>
      </w:r>
      <w:r w:rsidRPr="00B77D66">
        <w:rPr>
          <w:rFonts w:ascii="Palatino Linotype" w:eastAsia="MS Mincho" w:hAnsi="Palatino Linotype"/>
          <w:b/>
          <w:sz w:val="24"/>
          <w:lang w:val="es-ES_tradnl"/>
        </w:rPr>
        <w:t>los Lineamientos Generales en Materia de Clasificación y Desclasificación de la Información</w:t>
      </w:r>
      <w:r w:rsidRPr="00B77D66">
        <w:rPr>
          <w:rFonts w:ascii="Palatino Linotype" w:eastAsia="MS Mincho" w:hAnsi="Palatino Linotype"/>
          <w:sz w:val="24"/>
          <w:lang w:val="es-ES_tradnl"/>
        </w:rPr>
        <w:t xml:space="preserve"> en relación a la Clasificación de la Información por lo que no logró establecer una ponderación entre los intereses en conflicto, al no demostrar que la publicidad de la información solicitada generaría un riesgo de perjuicio al procedimiento </w:t>
      </w:r>
      <w:r w:rsidR="00AE6DE6" w:rsidRPr="00B77D66">
        <w:rPr>
          <w:rFonts w:ascii="Palatino Linotype" w:eastAsia="MS Mincho" w:hAnsi="Palatino Linotype"/>
          <w:sz w:val="24"/>
          <w:lang w:val="es-ES_tradnl"/>
        </w:rPr>
        <w:t>administrativo</w:t>
      </w:r>
      <w:r w:rsidRPr="00B77D66">
        <w:rPr>
          <w:rFonts w:ascii="Palatino Linotype" w:eastAsia="MS Mincho" w:hAnsi="Palatino Linotype"/>
          <w:sz w:val="24"/>
          <w:lang w:val="es-ES_tradnl"/>
        </w:rPr>
        <w:t xml:space="preserve"> que se refiere.  </w:t>
      </w:r>
    </w:p>
    <w:p w:rsidR="00C55280" w:rsidRPr="00B77D66" w:rsidRDefault="00C55280" w:rsidP="00C55280">
      <w:pPr>
        <w:pStyle w:val="Prrafodelista"/>
        <w:spacing w:before="240" w:after="240" w:line="360" w:lineRule="auto"/>
        <w:ind w:left="567" w:right="697"/>
        <w:jc w:val="both"/>
        <w:rPr>
          <w:rFonts w:ascii="Palatino Linotype" w:eastAsia="MS Mincho" w:hAnsi="Palatino Linotype"/>
          <w:lang w:val="es-ES_tradnl"/>
        </w:rPr>
      </w:pPr>
    </w:p>
    <w:p w:rsidR="00C55280" w:rsidRPr="00B77D66" w:rsidRDefault="00C55280" w:rsidP="00C55280">
      <w:pPr>
        <w:pStyle w:val="Prrafodelista"/>
        <w:numPr>
          <w:ilvl w:val="0"/>
          <w:numId w:val="19"/>
        </w:numPr>
        <w:spacing w:before="240" w:after="240" w:line="360" w:lineRule="auto"/>
        <w:ind w:left="567" w:right="697" w:firstLine="0"/>
        <w:jc w:val="both"/>
        <w:rPr>
          <w:rFonts w:ascii="Palatino Linotype" w:eastAsia="MS Mincho" w:hAnsi="Palatino Linotype"/>
          <w:sz w:val="24"/>
          <w:lang w:val="es-ES_tradnl"/>
        </w:rPr>
      </w:pPr>
      <w:r w:rsidRPr="00B77D66">
        <w:rPr>
          <w:rFonts w:ascii="Palatino Linotype" w:eastAsia="MS Mincho" w:hAnsi="Palatino Linotype"/>
          <w:sz w:val="24"/>
        </w:rPr>
        <w:t xml:space="preserve">No se acredita un vínculo entre la difusión de la información y la afectación al proceso de auditoría referido. </w:t>
      </w:r>
    </w:p>
    <w:p w:rsidR="00C55280" w:rsidRPr="00B77D66" w:rsidRDefault="00C55280" w:rsidP="00C55280">
      <w:pPr>
        <w:pStyle w:val="Prrafodelista"/>
        <w:ind w:left="567" w:right="697"/>
        <w:rPr>
          <w:rFonts w:ascii="Palatino Linotype" w:eastAsia="MS Mincho" w:hAnsi="Palatino Linotype"/>
          <w:sz w:val="24"/>
          <w:lang w:val="es-ES_tradnl"/>
        </w:rPr>
      </w:pPr>
    </w:p>
    <w:p w:rsidR="00C55280" w:rsidRPr="00B77D66" w:rsidRDefault="00C55280" w:rsidP="00C55280">
      <w:pPr>
        <w:pStyle w:val="Prrafodelista"/>
        <w:numPr>
          <w:ilvl w:val="0"/>
          <w:numId w:val="19"/>
        </w:numPr>
        <w:spacing w:before="240" w:after="240" w:line="360" w:lineRule="auto"/>
        <w:ind w:left="567" w:right="697" w:firstLine="0"/>
        <w:jc w:val="both"/>
        <w:rPr>
          <w:rFonts w:ascii="Palatino Linotype" w:eastAsia="MS Mincho" w:hAnsi="Palatino Linotype"/>
          <w:sz w:val="24"/>
          <w:lang w:val="es-ES_tradnl"/>
        </w:rPr>
      </w:pPr>
      <w:r w:rsidRPr="00B77D66">
        <w:rPr>
          <w:rFonts w:ascii="Palatino Linotype" w:eastAsia="MS Mincho" w:hAnsi="Palatino Linotype"/>
          <w:sz w:val="24"/>
          <w:lang w:val="es-ES_tradnl"/>
        </w:rPr>
        <w:t xml:space="preserve">No se precisan las razones objetivas por las que la apertura de la información generaría una afectación, a través de los elementos de un </w:t>
      </w:r>
      <w:r w:rsidRPr="00B77D66">
        <w:rPr>
          <w:rFonts w:ascii="Palatino Linotype" w:eastAsia="MS Mincho" w:hAnsi="Palatino Linotype"/>
          <w:b/>
          <w:sz w:val="24"/>
          <w:lang w:val="es-ES_tradnl"/>
        </w:rPr>
        <w:t>riesgo real, demostrable e identificable para el proceso de auditoria referido.</w:t>
      </w:r>
      <w:r w:rsidRPr="00B77D66">
        <w:rPr>
          <w:rFonts w:ascii="Palatino Linotype" w:eastAsia="MS Mincho" w:hAnsi="Palatino Linotype"/>
          <w:sz w:val="24"/>
          <w:lang w:val="es-ES_tradnl"/>
        </w:rPr>
        <w:t xml:space="preserve"> </w:t>
      </w:r>
    </w:p>
    <w:p w:rsidR="00C55280" w:rsidRPr="00B77D66" w:rsidRDefault="00C55280" w:rsidP="00C55280">
      <w:pPr>
        <w:pStyle w:val="Prrafodelista"/>
        <w:numPr>
          <w:ilvl w:val="0"/>
          <w:numId w:val="19"/>
        </w:numPr>
        <w:spacing w:before="240" w:after="240" w:line="360" w:lineRule="auto"/>
        <w:ind w:left="567" w:right="697" w:firstLine="0"/>
        <w:jc w:val="both"/>
        <w:rPr>
          <w:rFonts w:ascii="Palatino Linotype" w:eastAsia="MS Mincho" w:hAnsi="Palatino Linotype"/>
          <w:sz w:val="24"/>
          <w:lang w:val="es-ES_tradnl"/>
        </w:rPr>
      </w:pPr>
      <w:r w:rsidRPr="00B77D66">
        <w:rPr>
          <w:rFonts w:ascii="Palatino Linotype" w:eastAsia="MS Mincho" w:hAnsi="Palatino Linotype"/>
          <w:sz w:val="24"/>
          <w:lang w:val="es-ES_tradnl"/>
        </w:rPr>
        <w:t xml:space="preserve"> No se acreditan las circunstancias de </w:t>
      </w:r>
      <w:r w:rsidRPr="00B77D66">
        <w:rPr>
          <w:rFonts w:ascii="Palatino Linotype" w:eastAsia="MS Mincho" w:hAnsi="Palatino Linotype"/>
          <w:b/>
          <w:sz w:val="24"/>
          <w:lang w:val="es-ES_tradnl"/>
        </w:rPr>
        <w:t>modo, tiempo y lugar del daño</w:t>
      </w:r>
      <w:r w:rsidRPr="00B77D66">
        <w:rPr>
          <w:rFonts w:ascii="Palatino Linotype" w:eastAsia="MS Mincho" w:hAnsi="Palatino Linotype"/>
          <w:sz w:val="24"/>
          <w:lang w:val="es-ES_tradnl"/>
        </w:rPr>
        <w:t>.</w:t>
      </w:r>
    </w:p>
    <w:p w:rsidR="00C55280" w:rsidRPr="00B77D66" w:rsidRDefault="00C55280" w:rsidP="00C55280">
      <w:pPr>
        <w:pStyle w:val="Prrafodelista"/>
        <w:ind w:left="567" w:right="697"/>
        <w:rPr>
          <w:rFonts w:ascii="Palatino Linotype" w:eastAsia="MS Mincho" w:hAnsi="Palatino Linotype"/>
          <w:sz w:val="24"/>
          <w:lang w:val="es-ES_tradnl"/>
        </w:rPr>
      </w:pPr>
    </w:p>
    <w:p w:rsidR="00C55280" w:rsidRPr="00B77D66" w:rsidRDefault="00C55280" w:rsidP="00C55280">
      <w:pPr>
        <w:pStyle w:val="Prrafodelista"/>
        <w:numPr>
          <w:ilvl w:val="0"/>
          <w:numId w:val="19"/>
        </w:numPr>
        <w:spacing w:before="240" w:after="240" w:line="360" w:lineRule="auto"/>
        <w:ind w:left="567" w:right="697" w:firstLine="0"/>
        <w:jc w:val="both"/>
        <w:rPr>
          <w:rFonts w:ascii="Palatino Linotype" w:eastAsia="MS Mincho" w:hAnsi="Palatino Linotype"/>
          <w:sz w:val="24"/>
          <w:lang w:val="es-ES_tradnl"/>
        </w:rPr>
      </w:pPr>
      <w:r w:rsidRPr="00B77D66">
        <w:rPr>
          <w:rFonts w:ascii="Palatino Linotype" w:eastAsia="MS Mincho" w:hAnsi="Palatino Linotype"/>
          <w:sz w:val="24"/>
          <w:lang w:val="es-ES_tradnl"/>
        </w:rPr>
        <w:t xml:space="preserve">No se refiere alguna </w:t>
      </w:r>
      <w:r w:rsidRPr="00B77D66">
        <w:rPr>
          <w:rFonts w:ascii="Palatino Linotype" w:eastAsia="MS Mincho" w:hAnsi="Palatino Linotype"/>
          <w:b/>
          <w:sz w:val="24"/>
          <w:lang w:val="es-ES_tradnl"/>
        </w:rPr>
        <w:t>opción de excepción al acceso a la información que menos lo restrinja</w:t>
      </w:r>
      <w:r w:rsidRPr="00B77D66">
        <w:rPr>
          <w:rFonts w:ascii="Palatino Linotype" w:eastAsia="MS Mincho" w:hAnsi="Palatino Linotype"/>
          <w:sz w:val="24"/>
          <w:lang w:val="es-ES_tradnl"/>
        </w:rPr>
        <w:t xml:space="preserve">, la cual será adecuada y proporcional para la </w:t>
      </w:r>
      <w:r w:rsidRPr="00B77D66">
        <w:rPr>
          <w:rFonts w:ascii="Palatino Linotype" w:eastAsia="MS Mincho" w:hAnsi="Palatino Linotype"/>
          <w:sz w:val="24"/>
          <w:lang w:val="es-ES_tradnl"/>
        </w:rPr>
        <w:lastRenderedPageBreak/>
        <w:t xml:space="preserve">protección del interés público, y deberá interferir lo menos posible en el ejercicio efectivo del derecho de acceso a la información; y </w:t>
      </w:r>
    </w:p>
    <w:p w:rsidR="00AE6DE6" w:rsidRPr="00B77D66" w:rsidRDefault="00AE6DE6" w:rsidP="00C55280">
      <w:pPr>
        <w:ind w:left="567" w:right="697"/>
        <w:rPr>
          <w:rFonts w:ascii="Palatino Linotype" w:eastAsia="MS Mincho" w:hAnsi="Palatino Linotype"/>
          <w:lang w:val="es-ES_tradnl"/>
        </w:rPr>
      </w:pPr>
    </w:p>
    <w:p w:rsidR="00B061B3" w:rsidRPr="00B77D66" w:rsidRDefault="00AE6DE6" w:rsidP="00AE6DE6">
      <w:pPr>
        <w:pStyle w:val="Prrafodelista"/>
        <w:spacing w:line="360" w:lineRule="auto"/>
        <w:ind w:left="0" w:right="49"/>
        <w:jc w:val="both"/>
        <w:rPr>
          <w:rFonts w:ascii="Palatino Linotype" w:hAnsi="Palatino Linotype" w:cs="Arial"/>
          <w:b/>
          <w:color w:val="000000"/>
          <w:sz w:val="24"/>
        </w:rPr>
      </w:pPr>
      <w:r w:rsidRPr="00B77D66">
        <w:rPr>
          <w:rFonts w:ascii="Palatino Linotype" w:hAnsi="Palatino Linotype" w:cs="Arial"/>
          <w:b/>
          <w:color w:val="000000"/>
          <w:sz w:val="24"/>
        </w:rPr>
        <w:t>De la naturaleza de la información solicitada</w:t>
      </w:r>
    </w:p>
    <w:p w:rsidR="00AE6DE6" w:rsidRPr="00B77D66" w:rsidRDefault="00AE6DE6" w:rsidP="00AE6DE6">
      <w:pPr>
        <w:pStyle w:val="Prrafodelista"/>
        <w:spacing w:line="360" w:lineRule="auto"/>
        <w:ind w:left="0" w:right="49"/>
        <w:jc w:val="both"/>
        <w:rPr>
          <w:rFonts w:ascii="Palatino Linotype" w:hAnsi="Palatino Linotype" w:cs="Arial"/>
          <w:b/>
          <w:color w:val="000000"/>
          <w:sz w:val="24"/>
        </w:rPr>
      </w:pPr>
    </w:p>
    <w:p w:rsidR="00B061B3" w:rsidRPr="00B77D66" w:rsidRDefault="00AD5851" w:rsidP="003C46C6">
      <w:pPr>
        <w:pStyle w:val="Prrafodelista"/>
        <w:numPr>
          <w:ilvl w:val="0"/>
          <w:numId w:val="1"/>
        </w:numPr>
        <w:spacing w:line="360" w:lineRule="auto"/>
        <w:ind w:left="0" w:right="49" w:firstLine="0"/>
        <w:jc w:val="both"/>
        <w:rPr>
          <w:rFonts w:ascii="Palatino Linotype" w:hAnsi="Palatino Linotype" w:cs="Arial"/>
          <w:color w:val="000000"/>
          <w:sz w:val="24"/>
        </w:rPr>
      </w:pPr>
      <w:r w:rsidRPr="00B77D66">
        <w:rPr>
          <w:rFonts w:ascii="Palatino Linotype" w:hAnsi="Palatino Linotype" w:cs="Arial"/>
          <w:color w:val="000000"/>
          <w:sz w:val="24"/>
        </w:rPr>
        <w:t xml:space="preserve">El artículo 31 y 53 de la Ley Orgánica Municipal del Estado de México, refieren los siguiente: </w:t>
      </w:r>
    </w:p>
    <w:p w:rsidR="00AD5851" w:rsidRPr="00B77D66" w:rsidRDefault="00AD5851" w:rsidP="00AD5851">
      <w:pPr>
        <w:pStyle w:val="Prrafodelista"/>
        <w:spacing w:line="360" w:lineRule="auto"/>
        <w:ind w:left="0" w:right="49"/>
        <w:jc w:val="both"/>
        <w:rPr>
          <w:rFonts w:ascii="Palatino Linotype" w:hAnsi="Palatino Linotype" w:cs="Arial"/>
          <w:color w:val="000000"/>
          <w:sz w:val="24"/>
        </w:rPr>
      </w:pPr>
    </w:p>
    <w:p w:rsidR="00AD5851" w:rsidRPr="00B77D66" w:rsidRDefault="00AD5851" w:rsidP="00AD5851">
      <w:pPr>
        <w:pStyle w:val="Prrafodelista"/>
        <w:spacing w:line="360" w:lineRule="auto"/>
        <w:ind w:left="851" w:right="822"/>
        <w:jc w:val="both"/>
        <w:rPr>
          <w:rFonts w:ascii="Palatino Linotype" w:hAnsi="Palatino Linotype" w:cs="Arial"/>
          <w:i/>
          <w:color w:val="000000"/>
        </w:rPr>
      </w:pPr>
      <w:r w:rsidRPr="00B77D66">
        <w:rPr>
          <w:rFonts w:ascii="Palatino Linotype" w:hAnsi="Palatino Linotype" w:cs="Arial"/>
          <w:i/>
          <w:color w:val="000000"/>
        </w:rPr>
        <w:t>“Artículo 31.- Son atribuciones de los ayuntamientos:</w:t>
      </w:r>
    </w:p>
    <w:p w:rsidR="00AD5851" w:rsidRPr="00B77D66" w:rsidRDefault="00AD5851" w:rsidP="00AD5851">
      <w:pPr>
        <w:pStyle w:val="Prrafodelista"/>
        <w:spacing w:line="360" w:lineRule="auto"/>
        <w:ind w:left="851" w:right="822"/>
        <w:jc w:val="both"/>
        <w:rPr>
          <w:rFonts w:ascii="Palatino Linotype" w:hAnsi="Palatino Linotype" w:cs="Arial"/>
          <w:i/>
          <w:color w:val="000000"/>
        </w:rPr>
      </w:pPr>
      <w:r w:rsidRPr="00B77D66">
        <w:rPr>
          <w:rFonts w:ascii="Palatino Linotype" w:hAnsi="Palatino Linotype" w:cs="Arial"/>
          <w:i/>
          <w:color w:val="000000"/>
        </w:rPr>
        <w:t>…</w:t>
      </w:r>
    </w:p>
    <w:p w:rsidR="00AD5851" w:rsidRPr="00B77D66" w:rsidRDefault="00AD5851" w:rsidP="00AD5851">
      <w:pPr>
        <w:pStyle w:val="Prrafodelista"/>
        <w:spacing w:line="360" w:lineRule="auto"/>
        <w:ind w:left="851" w:right="822"/>
        <w:jc w:val="both"/>
        <w:rPr>
          <w:rFonts w:ascii="Palatino Linotype" w:hAnsi="Palatino Linotype" w:cs="Arial"/>
          <w:i/>
          <w:color w:val="000000"/>
        </w:rPr>
      </w:pPr>
      <w:r w:rsidRPr="00B77D66">
        <w:rPr>
          <w:rFonts w:ascii="Palatino Linotype" w:hAnsi="Palatino Linotype" w:cs="Arial"/>
          <w:i/>
          <w:color w:val="000000"/>
        </w:rPr>
        <w:t>XV. Aprobar en sesión de cabildo los movimientos registrados en el libro especial de bienes muebles e inmuebles;</w:t>
      </w:r>
    </w:p>
    <w:p w:rsidR="00AD5851" w:rsidRPr="00B77D66" w:rsidRDefault="00AD5851" w:rsidP="00AD5851">
      <w:pPr>
        <w:pStyle w:val="Prrafodelista"/>
        <w:spacing w:line="360" w:lineRule="auto"/>
        <w:ind w:left="851" w:right="822"/>
        <w:jc w:val="both"/>
        <w:rPr>
          <w:rFonts w:ascii="Palatino Linotype" w:hAnsi="Palatino Linotype" w:cs="Arial"/>
          <w:i/>
          <w:color w:val="000000"/>
        </w:rPr>
      </w:pPr>
      <w:r w:rsidRPr="00B77D66">
        <w:rPr>
          <w:rFonts w:ascii="Palatino Linotype" w:hAnsi="Palatino Linotype" w:cs="Arial"/>
          <w:i/>
          <w:color w:val="000000"/>
        </w:rPr>
        <w:t>…”</w:t>
      </w:r>
    </w:p>
    <w:p w:rsidR="00AD5851" w:rsidRPr="00B77D66" w:rsidRDefault="00AD5851" w:rsidP="00AD5851">
      <w:pPr>
        <w:pStyle w:val="Prrafodelista"/>
        <w:spacing w:line="360" w:lineRule="auto"/>
        <w:ind w:left="851" w:right="822"/>
        <w:jc w:val="both"/>
        <w:rPr>
          <w:rFonts w:ascii="Palatino Linotype" w:hAnsi="Palatino Linotype" w:cs="Arial"/>
          <w:i/>
          <w:color w:val="000000"/>
        </w:rPr>
      </w:pPr>
      <w:r w:rsidRPr="00B77D66">
        <w:rPr>
          <w:rFonts w:ascii="Palatino Linotype" w:hAnsi="Palatino Linotype" w:cs="Arial"/>
          <w:i/>
          <w:color w:val="000000"/>
        </w:rPr>
        <w:t>“Artículo 53.- Los síndicos tendrán las siguientes atribuciones:</w:t>
      </w:r>
    </w:p>
    <w:p w:rsidR="00AD5851" w:rsidRPr="00B77D66" w:rsidRDefault="00AD5851" w:rsidP="00AD5851">
      <w:pPr>
        <w:pStyle w:val="Prrafodelista"/>
        <w:spacing w:line="360" w:lineRule="auto"/>
        <w:ind w:left="851" w:right="822"/>
        <w:jc w:val="both"/>
        <w:rPr>
          <w:rFonts w:ascii="Palatino Linotype" w:hAnsi="Palatino Linotype" w:cs="Arial"/>
          <w:i/>
          <w:color w:val="000000"/>
        </w:rPr>
      </w:pPr>
      <w:r w:rsidRPr="00B77D66">
        <w:rPr>
          <w:rFonts w:ascii="Palatino Linotype" w:hAnsi="Palatino Linotype" w:cs="Arial"/>
          <w:i/>
          <w:color w:val="000000"/>
        </w:rPr>
        <w:t>…</w:t>
      </w:r>
    </w:p>
    <w:p w:rsidR="00AD5851" w:rsidRPr="00B77D66" w:rsidRDefault="00AD5851" w:rsidP="00AD5851">
      <w:pPr>
        <w:pStyle w:val="Prrafodelista"/>
        <w:spacing w:line="360" w:lineRule="auto"/>
        <w:ind w:left="851" w:right="822"/>
        <w:jc w:val="both"/>
        <w:rPr>
          <w:rFonts w:ascii="Palatino Linotype" w:hAnsi="Palatino Linotype" w:cs="Arial"/>
          <w:i/>
          <w:color w:val="000000"/>
        </w:rPr>
      </w:pPr>
      <w:r w:rsidRPr="00B77D66">
        <w:rPr>
          <w:rFonts w:ascii="Palatino Linotype" w:hAnsi="Palatino Linotype" w:cs="Arial"/>
          <w:i/>
          <w:color w:val="000000"/>
        </w:rPr>
        <w:t>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rsidR="00AD5851" w:rsidRPr="00B77D66" w:rsidRDefault="00AD5851" w:rsidP="00AD5851">
      <w:pPr>
        <w:pStyle w:val="Prrafodelista"/>
        <w:spacing w:line="360" w:lineRule="auto"/>
        <w:ind w:left="851" w:right="822"/>
        <w:jc w:val="both"/>
        <w:rPr>
          <w:rFonts w:ascii="Palatino Linotype" w:hAnsi="Palatino Linotype" w:cs="Arial"/>
          <w:i/>
          <w:color w:val="000000"/>
        </w:rPr>
      </w:pPr>
      <w:r w:rsidRPr="00B77D66">
        <w:rPr>
          <w:rFonts w:ascii="Palatino Linotype" w:hAnsi="Palatino Linotype" w:cs="Arial"/>
          <w:i/>
          <w:color w:val="000000"/>
        </w:rPr>
        <w:t>…”</w:t>
      </w:r>
    </w:p>
    <w:p w:rsidR="00AD5851" w:rsidRPr="00B77D66" w:rsidRDefault="00AD5851" w:rsidP="00AD5851">
      <w:pPr>
        <w:spacing w:line="360" w:lineRule="auto"/>
        <w:ind w:right="49"/>
        <w:jc w:val="both"/>
        <w:rPr>
          <w:rFonts w:ascii="Palatino Linotype" w:hAnsi="Palatino Linotype" w:cs="Arial"/>
          <w:color w:val="000000"/>
        </w:rPr>
      </w:pPr>
    </w:p>
    <w:p w:rsidR="00B061B3" w:rsidRPr="00B77D66" w:rsidRDefault="00BF0318" w:rsidP="003C46C6">
      <w:pPr>
        <w:pStyle w:val="Prrafodelista"/>
        <w:numPr>
          <w:ilvl w:val="0"/>
          <w:numId w:val="1"/>
        </w:numPr>
        <w:spacing w:line="360" w:lineRule="auto"/>
        <w:ind w:left="0" w:right="49" w:firstLine="0"/>
        <w:jc w:val="both"/>
        <w:rPr>
          <w:rFonts w:ascii="Palatino Linotype" w:hAnsi="Palatino Linotype" w:cs="Arial"/>
          <w:color w:val="000000"/>
          <w:sz w:val="24"/>
        </w:rPr>
      </w:pPr>
      <w:r w:rsidRPr="00B77D66">
        <w:rPr>
          <w:rFonts w:ascii="Palatino Linotype" w:hAnsi="Palatino Linotype" w:cs="Arial"/>
          <w:color w:val="000000"/>
          <w:sz w:val="24"/>
        </w:rPr>
        <w:t xml:space="preserve">Como se advierte en los preceptos legales, los ayuntamientos deben aprobar en sesión de cabildo los movimientos registrados en el libro especial de bienes muebles e inmuebles; asimismo, es atribución de los síndicos intervenir en la formulación del inventario general de bienes muebles e inmuebles, propiedad del municipio, haciendo </w:t>
      </w:r>
      <w:r w:rsidRPr="00B77D66">
        <w:rPr>
          <w:rFonts w:ascii="Palatino Linotype" w:hAnsi="Palatino Linotype" w:cs="Arial"/>
          <w:color w:val="000000"/>
          <w:sz w:val="24"/>
        </w:rPr>
        <w:lastRenderedPageBreak/>
        <w:t xml:space="preserve">que se inscriban en el libro especial. </w:t>
      </w:r>
      <w:r w:rsidR="00ED02F5" w:rsidRPr="00B77D66">
        <w:rPr>
          <w:rFonts w:ascii="Palatino Linotype" w:hAnsi="Palatino Linotype" w:cs="Arial"/>
          <w:color w:val="000000"/>
          <w:sz w:val="24"/>
        </w:rPr>
        <w:t xml:space="preserve">Asimismo, los </w:t>
      </w:r>
      <w:r w:rsidR="00ED02F5" w:rsidRPr="00B77D66">
        <w:rPr>
          <w:rFonts w:ascii="Palatino Linotype" w:hAnsi="Palatino Linotype"/>
          <w:sz w:val="24"/>
        </w:rPr>
        <w:t xml:space="preserve">Lineamientos para el Registro y Control del Inventario y Desincorporación de Bienes Muebles e Inmuebles de la Administración Pública Municipal, Dependencias Administrativas, Organismos Descentralizados y Fideicomisos Públicos, refieren lo siguiente: </w:t>
      </w:r>
    </w:p>
    <w:p w:rsidR="00ED02F5" w:rsidRPr="00B77D66" w:rsidRDefault="00ED02F5" w:rsidP="00ED02F5">
      <w:pPr>
        <w:pStyle w:val="Prrafodelista"/>
        <w:spacing w:line="360" w:lineRule="auto"/>
        <w:ind w:left="0" w:right="49"/>
        <w:jc w:val="both"/>
        <w:rPr>
          <w:rFonts w:ascii="Palatino Linotype" w:hAnsi="Palatino Linotype" w:cs="Arial"/>
          <w:color w:val="000000"/>
          <w:sz w:val="24"/>
        </w:rPr>
      </w:pPr>
    </w:p>
    <w:p w:rsidR="00ED02F5" w:rsidRPr="00B77D66" w:rsidRDefault="00ED02F5" w:rsidP="00ED02F5">
      <w:pPr>
        <w:pStyle w:val="Prrafodelista"/>
        <w:spacing w:line="360" w:lineRule="auto"/>
        <w:ind w:left="851" w:right="822"/>
        <w:jc w:val="center"/>
        <w:rPr>
          <w:rFonts w:ascii="Palatino Linotype" w:hAnsi="Palatino Linotype"/>
          <w:b/>
          <w:i/>
        </w:rPr>
      </w:pPr>
      <w:r w:rsidRPr="00B77D66">
        <w:rPr>
          <w:rFonts w:ascii="Palatino Linotype" w:hAnsi="Palatino Linotype"/>
          <w:b/>
          <w:i/>
        </w:rPr>
        <w:t>CAPÍTULO X</w:t>
      </w:r>
    </w:p>
    <w:p w:rsidR="00ED02F5" w:rsidRPr="00B77D66" w:rsidRDefault="00ED02F5" w:rsidP="00ED02F5">
      <w:pPr>
        <w:pStyle w:val="Prrafodelista"/>
        <w:spacing w:line="360" w:lineRule="auto"/>
        <w:ind w:left="851" w:right="822"/>
        <w:jc w:val="center"/>
        <w:rPr>
          <w:rFonts w:ascii="Palatino Linotype" w:hAnsi="Palatino Linotype"/>
          <w:b/>
          <w:i/>
        </w:rPr>
      </w:pPr>
      <w:r w:rsidRPr="00B77D66">
        <w:rPr>
          <w:rFonts w:ascii="Palatino Linotype" w:hAnsi="Palatino Linotype"/>
          <w:b/>
          <w:i/>
        </w:rPr>
        <w:t>DEL LIBRO ESPECIAL</w:t>
      </w:r>
    </w:p>
    <w:p w:rsidR="00ED02F5" w:rsidRPr="00B77D66" w:rsidRDefault="00ED02F5" w:rsidP="00ED02F5">
      <w:pPr>
        <w:pStyle w:val="Prrafodelista"/>
        <w:spacing w:line="360" w:lineRule="auto"/>
        <w:ind w:left="851" w:right="822"/>
        <w:jc w:val="both"/>
        <w:rPr>
          <w:rFonts w:ascii="Palatino Linotype" w:hAnsi="Palatino Linotype"/>
          <w:i/>
        </w:rPr>
      </w:pPr>
      <w:r w:rsidRPr="00B77D66">
        <w:rPr>
          <w:rFonts w:ascii="Palatino Linotype" w:hAnsi="Palatino Linotype"/>
          <w:b/>
          <w:i/>
        </w:rPr>
        <w:t>DÉCIMO OCTAVO</w:t>
      </w:r>
      <w:r w:rsidRPr="00B77D66">
        <w:rPr>
          <w:rFonts w:ascii="Palatino Linotype" w:hAnsi="Palatino Linotype"/>
          <w:i/>
        </w:rPr>
        <w:t xml:space="preserve">: El libro especial, es el documento que contiene el registro histórico de los movimientos de bienes muebles e inmuebles propiedad de las entidades fiscalizables, con la expresión de sus valores, características de identificación, uso y destino de los mismos. </w:t>
      </w:r>
    </w:p>
    <w:p w:rsidR="00ED02F5" w:rsidRPr="00B77D66" w:rsidRDefault="00ED02F5" w:rsidP="00ED02F5">
      <w:pPr>
        <w:pStyle w:val="Prrafodelista"/>
        <w:spacing w:line="360" w:lineRule="auto"/>
        <w:ind w:left="851" w:right="822"/>
        <w:jc w:val="both"/>
        <w:rPr>
          <w:rFonts w:ascii="Palatino Linotype" w:hAnsi="Palatino Linotype"/>
          <w:i/>
        </w:rPr>
      </w:pPr>
    </w:p>
    <w:p w:rsidR="00ED02F5" w:rsidRPr="00B77D66" w:rsidRDefault="00ED02F5" w:rsidP="00ED02F5">
      <w:pPr>
        <w:pStyle w:val="Prrafodelista"/>
        <w:spacing w:line="360" w:lineRule="auto"/>
        <w:ind w:left="851" w:right="822"/>
        <w:jc w:val="both"/>
        <w:rPr>
          <w:rFonts w:ascii="Palatino Linotype" w:hAnsi="Palatino Linotype"/>
          <w:i/>
        </w:rPr>
      </w:pPr>
      <w:r w:rsidRPr="00B77D66">
        <w:rPr>
          <w:rFonts w:ascii="Palatino Linotype" w:hAnsi="Palatino Linotype"/>
          <w:i/>
        </w:rPr>
        <w:t xml:space="preserve">Los datos de identificación de los bienes muebles son: número de inventario, nombre del bien, marca, modelo, número de serie, estado de uso, destino, utilidad, número de factura, fecha de adquisición, costo y observaciones. </w:t>
      </w:r>
    </w:p>
    <w:p w:rsidR="00ED02F5" w:rsidRPr="00B77D66" w:rsidRDefault="00ED02F5" w:rsidP="00ED02F5">
      <w:pPr>
        <w:pStyle w:val="Prrafodelista"/>
        <w:spacing w:line="360" w:lineRule="auto"/>
        <w:ind w:left="851" w:right="822"/>
        <w:jc w:val="both"/>
        <w:rPr>
          <w:rFonts w:ascii="Palatino Linotype" w:hAnsi="Palatino Linotype"/>
          <w:i/>
        </w:rPr>
      </w:pPr>
    </w:p>
    <w:p w:rsidR="00ED02F5" w:rsidRPr="00B77D66" w:rsidRDefault="00ED02F5" w:rsidP="00ED02F5">
      <w:pPr>
        <w:pStyle w:val="Prrafodelista"/>
        <w:spacing w:line="360" w:lineRule="auto"/>
        <w:ind w:left="851" w:right="822"/>
        <w:jc w:val="both"/>
        <w:rPr>
          <w:rFonts w:ascii="Palatino Linotype" w:hAnsi="Palatino Linotype"/>
          <w:i/>
        </w:rPr>
      </w:pPr>
      <w:r w:rsidRPr="00B77D66">
        <w:rPr>
          <w:rFonts w:ascii="Palatino Linotype" w:hAnsi="Palatino Linotype"/>
          <w:i/>
        </w:rPr>
        <w:t xml:space="preserve">Los datos de identificación de los bienes inmuebles son: nombre del bien, calle y número, localidad, colindancias, tipo de inmueble, destino, superficie, medio de adquisición, valor, situación legal, régimen de propiedad y observaciones. </w:t>
      </w:r>
    </w:p>
    <w:p w:rsidR="00ED02F5" w:rsidRPr="00B77D66" w:rsidRDefault="00ED02F5" w:rsidP="00ED02F5">
      <w:pPr>
        <w:pStyle w:val="Prrafodelista"/>
        <w:spacing w:line="360" w:lineRule="auto"/>
        <w:ind w:left="851" w:right="822"/>
        <w:jc w:val="both"/>
        <w:rPr>
          <w:rFonts w:ascii="Palatino Linotype" w:hAnsi="Palatino Linotype"/>
          <w:i/>
        </w:rPr>
      </w:pPr>
    </w:p>
    <w:p w:rsidR="00ED02F5" w:rsidRPr="00B77D66" w:rsidRDefault="00ED02F5" w:rsidP="00ED02F5">
      <w:pPr>
        <w:pStyle w:val="Prrafodelista"/>
        <w:spacing w:line="360" w:lineRule="auto"/>
        <w:ind w:left="851" w:right="822"/>
        <w:jc w:val="both"/>
        <w:rPr>
          <w:rFonts w:ascii="Palatino Linotype" w:hAnsi="Palatino Linotype"/>
          <w:i/>
        </w:rPr>
      </w:pPr>
      <w:r w:rsidRPr="00B77D66">
        <w:rPr>
          <w:rFonts w:ascii="Palatino Linotype" w:hAnsi="Palatino Linotype"/>
          <w:b/>
          <w:i/>
        </w:rPr>
        <w:t>DÉCIMO NOVENO</w:t>
      </w:r>
      <w:r w:rsidRPr="00B77D66">
        <w:rPr>
          <w:rFonts w:ascii="Palatino Linotype" w:hAnsi="Palatino Linotype"/>
          <w:i/>
        </w:rPr>
        <w:t>: El órgano máximo de gobierno aprobará los movimientos en el libro especial y el síndico o en su caso el director general o su equivalente hará que se inscriban en el mismo.</w:t>
      </w:r>
    </w:p>
    <w:p w:rsidR="00ED02F5" w:rsidRPr="00B77D66" w:rsidRDefault="00ED02F5" w:rsidP="00ED02F5">
      <w:pPr>
        <w:pStyle w:val="Prrafodelista"/>
        <w:spacing w:line="360" w:lineRule="auto"/>
        <w:ind w:left="0" w:right="49"/>
        <w:jc w:val="both"/>
        <w:rPr>
          <w:rFonts w:ascii="Palatino Linotype" w:hAnsi="Palatino Linotype" w:cs="Arial"/>
          <w:color w:val="000000"/>
          <w:sz w:val="24"/>
        </w:rPr>
      </w:pPr>
    </w:p>
    <w:p w:rsidR="00737EB8" w:rsidRPr="00B77D66" w:rsidRDefault="00922243" w:rsidP="00737EB8">
      <w:pPr>
        <w:pStyle w:val="Prrafodelista"/>
        <w:numPr>
          <w:ilvl w:val="0"/>
          <w:numId w:val="1"/>
        </w:numPr>
        <w:spacing w:line="360" w:lineRule="auto"/>
        <w:ind w:left="0" w:right="49" w:firstLine="0"/>
        <w:jc w:val="both"/>
        <w:rPr>
          <w:rFonts w:ascii="Palatino Linotype" w:hAnsi="Palatino Linotype" w:cs="Arial"/>
          <w:color w:val="000000"/>
          <w:sz w:val="24"/>
        </w:rPr>
      </w:pPr>
      <w:r w:rsidRPr="00B77D66">
        <w:rPr>
          <w:rFonts w:ascii="Palatino Linotype" w:hAnsi="Palatino Linotype" w:cs="Arial"/>
          <w:color w:val="000000"/>
          <w:sz w:val="24"/>
        </w:rPr>
        <w:lastRenderedPageBreak/>
        <w:t>Los preceptos legales señalados, refieren que el libro especial contiene el registro histórico de los movimientos de bienes muebles e inmueb</w:t>
      </w:r>
      <w:r w:rsidR="00EC30C7" w:rsidRPr="00B77D66">
        <w:rPr>
          <w:rFonts w:ascii="Palatino Linotype" w:hAnsi="Palatino Linotype" w:cs="Arial"/>
          <w:color w:val="000000"/>
          <w:sz w:val="24"/>
        </w:rPr>
        <w:t xml:space="preserve">les del Sujeto Obligado, información que por su naturaleza es pública. </w:t>
      </w:r>
    </w:p>
    <w:p w:rsidR="00737EB8" w:rsidRPr="00B77D66" w:rsidRDefault="00737EB8" w:rsidP="00737EB8">
      <w:pPr>
        <w:pStyle w:val="Prrafodelista"/>
        <w:spacing w:line="360" w:lineRule="auto"/>
        <w:ind w:left="0" w:right="49"/>
        <w:jc w:val="both"/>
        <w:rPr>
          <w:rFonts w:ascii="Palatino Linotype" w:hAnsi="Palatino Linotype" w:cs="Arial"/>
          <w:color w:val="000000"/>
          <w:sz w:val="24"/>
        </w:rPr>
      </w:pPr>
    </w:p>
    <w:p w:rsidR="00EC30C7" w:rsidRPr="00B77D66" w:rsidRDefault="00EC30C7" w:rsidP="00737EB8">
      <w:pPr>
        <w:pStyle w:val="Prrafodelista"/>
        <w:numPr>
          <w:ilvl w:val="0"/>
          <w:numId w:val="1"/>
        </w:numPr>
        <w:spacing w:line="360" w:lineRule="auto"/>
        <w:ind w:left="0" w:right="49" w:firstLine="0"/>
        <w:jc w:val="both"/>
        <w:rPr>
          <w:rFonts w:ascii="Palatino Linotype" w:hAnsi="Palatino Linotype" w:cs="Arial"/>
          <w:color w:val="000000"/>
          <w:sz w:val="28"/>
        </w:rPr>
      </w:pPr>
      <w:r w:rsidRPr="00B77D66">
        <w:rPr>
          <w:rFonts w:ascii="Palatino Linotype" w:eastAsia="MS Mincho" w:hAnsi="Palatino Linotype"/>
          <w:sz w:val="24"/>
          <w:lang w:val="es-ES_tradnl"/>
        </w:rPr>
        <w:t>Bajo esas consideraciones, es que este Órgano Garante no estima procedente la negativa a la información solicitada, además de que no advierte de que forma el poner a disposición del particular la información consi</w:t>
      </w:r>
      <w:r w:rsidR="00737EB8" w:rsidRPr="00B77D66">
        <w:rPr>
          <w:rFonts w:ascii="Palatino Linotype" w:eastAsia="MS Mincho" w:hAnsi="Palatino Linotype"/>
          <w:sz w:val="24"/>
          <w:lang w:val="es-ES_tradnl"/>
        </w:rPr>
        <w:t xml:space="preserve">stente en, libro especial de bienes inmuebles, </w:t>
      </w:r>
      <w:r w:rsidRPr="00B77D66">
        <w:rPr>
          <w:rFonts w:ascii="Palatino Linotype" w:eastAsia="MS Mincho" w:hAnsi="Palatino Linotype"/>
          <w:sz w:val="24"/>
          <w:lang w:val="es-ES_tradnl"/>
        </w:rPr>
        <w:t xml:space="preserve">pudieran encuadrar en el supuesto  </w:t>
      </w:r>
      <w:r w:rsidR="00737EB8" w:rsidRPr="00B77D66">
        <w:rPr>
          <w:rFonts w:ascii="Palatino Linotype" w:eastAsia="MS Mincho" w:hAnsi="Palatino Linotype"/>
          <w:sz w:val="24"/>
          <w:lang w:val="es-ES_tradnl"/>
        </w:rPr>
        <w:t>en un supuesto de reserva</w:t>
      </w:r>
      <w:r w:rsidRPr="00B77D66">
        <w:rPr>
          <w:rFonts w:ascii="Palatino Linotype" w:eastAsia="MS Mincho" w:hAnsi="Palatino Linotype"/>
          <w:sz w:val="24"/>
          <w:lang w:val="es-ES_tradnl"/>
        </w:rPr>
        <w:t xml:space="preserve">,  al considerase que no se está requiriendo acceso a documentales que den cuenta del  </w:t>
      </w:r>
      <w:r w:rsidR="00737EB8" w:rsidRPr="00B77D66">
        <w:rPr>
          <w:rFonts w:ascii="Palatino Linotype" w:eastAsia="MS Mincho" w:hAnsi="Palatino Linotype"/>
          <w:sz w:val="24"/>
          <w:lang w:val="es-ES_tradnl"/>
        </w:rPr>
        <w:t>procedimiento</w:t>
      </w:r>
      <w:r w:rsidRPr="00B77D66">
        <w:rPr>
          <w:rFonts w:ascii="Palatino Linotype" w:eastAsia="MS Mincho" w:hAnsi="Palatino Linotype"/>
          <w:sz w:val="24"/>
          <w:lang w:val="es-ES_tradnl"/>
        </w:rPr>
        <w:t xml:space="preserve"> que pudieran comprometer el desarrollo </w:t>
      </w:r>
      <w:r w:rsidR="00737EB8" w:rsidRPr="00B77D66">
        <w:rPr>
          <w:rFonts w:ascii="Palatino Linotype" w:eastAsia="MS Mincho" w:hAnsi="Palatino Linotype"/>
          <w:sz w:val="24"/>
          <w:lang w:val="es-ES_tradnl"/>
        </w:rPr>
        <w:t>del  mismo</w:t>
      </w:r>
      <w:r w:rsidRPr="00B77D66">
        <w:rPr>
          <w:rFonts w:ascii="Palatino Linotype" w:eastAsia="MS Mincho" w:hAnsi="Palatino Linotype"/>
          <w:sz w:val="24"/>
          <w:lang w:val="es-ES_tradnl"/>
        </w:rPr>
        <w:t>.</w:t>
      </w:r>
    </w:p>
    <w:p w:rsidR="00EC30C7" w:rsidRPr="00B77D66" w:rsidRDefault="00EC30C7" w:rsidP="00EC30C7">
      <w:pPr>
        <w:pStyle w:val="Prrafodelista"/>
        <w:spacing w:before="240" w:after="240" w:line="360" w:lineRule="auto"/>
        <w:ind w:left="0" w:right="49"/>
        <w:jc w:val="both"/>
        <w:rPr>
          <w:rFonts w:ascii="Palatino Linotype" w:eastAsia="MS Mincho" w:hAnsi="Palatino Linotype"/>
          <w:lang w:val="es-ES_tradnl"/>
        </w:rPr>
      </w:pPr>
    </w:p>
    <w:p w:rsidR="00EC30C7" w:rsidRPr="00B77D66" w:rsidRDefault="00EC30C7" w:rsidP="00737EB8">
      <w:pPr>
        <w:pStyle w:val="Prrafodelista"/>
        <w:numPr>
          <w:ilvl w:val="0"/>
          <w:numId w:val="1"/>
        </w:numPr>
        <w:spacing w:before="240" w:after="240" w:line="360" w:lineRule="auto"/>
        <w:ind w:left="0" w:right="49" w:firstLine="0"/>
        <w:jc w:val="both"/>
        <w:rPr>
          <w:rFonts w:ascii="Palatino Linotype" w:eastAsia="MS Mincho" w:hAnsi="Palatino Linotype"/>
          <w:lang w:val="es-ES_tradnl"/>
        </w:rPr>
      </w:pPr>
      <w:r w:rsidRPr="00B77D66">
        <w:rPr>
          <w:rFonts w:ascii="Palatino Linotype" w:eastAsia="MS Mincho" w:hAnsi="Palatino Linotype"/>
          <w:lang w:val="es-ES_tradnl"/>
        </w:rPr>
        <w:t xml:space="preserve"> </w:t>
      </w:r>
      <w:r w:rsidRPr="00B77D66">
        <w:rPr>
          <w:rFonts w:ascii="Palatino Linotype" w:eastAsia="MS Mincho" w:hAnsi="Palatino Linotype"/>
          <w:sz w:val="24"/>
          <w:lang w:val="es-ES_tradnl"/>
        </w:rPr>
        <w:t xml:space="preserve">Así, y por otro lado, es necesario enfatizar </w:t>
      </w:r>
      <w:r w:rsidRPr="00B77D66">
        <w:rPr>
          <w:rFonts w:ascii="Palatino Linotype" w:eastAsia="Calibri" w:hAnsi="Palatino Linotype"/>
          <w:sz w:val="24"/>
          <w:lang w:eastAsia="en-US"/>
        </w:rPr>
        <w:t xml:space="preserve">que si bien los ordenamientos normativos en materia de transparencia, consagran que el derecho de acceso a la información no es absoluto, estableciendo hipótesis que permiten la delimitación de la publicidad de la información, a través de la clasificación de la información; también lo es que de la información solicitada, son documentales </w:t>
      </w:r>
      <w:r w:rsidRPr="00B77D66">
        <w:rPr>
          <w:rFonts w:ascii="Palatino Linotype" w:hAnsi="Palatino Linotype"/>
          <w:sz w:val="24"/>
          <w:lang w:eastAsia="es-ES_tradnl"/>
        </w:rPr>
        <w:t xml:space="preserve">que ya fueron elaboradas en su temporalidad específica, considerándoles como </w:t>
      </w:r>
      <w:r w:rsidRPr="00B77D66">
        <w:rPr>
          <w:rFonts w:ascii="Palatino Linotype" w:hAnsi="Palatino Linotype"/>
          <w:b/>
          <w:sz w:val="24"/>
          <w:lang w:eastAsia="es-ES_tradnl"/>
        </w:rPr>
        <w:t>documentos definitivos</w:t>
      </w:r>
      <w:r w:rsidR="00737EB8" w:rsidRPr="00B77D66">
        <w:rPr>
          <w:rFonts w:ascii="Palatino Linotype" w:hAnsi="Palatino Linotype"/>
          <w:sz w:val="24"/>
          <w:lang w:eastAsia="es-ES_tradnl"/>
        </w:rPr>
        <w:t xml:space="preserve">, si bien, puede sufrir modificaciones, también lo es que esto se debe a su naturaleza, pues su principal objetivo es que en él se inscriban los bienes muebles e inmuebles del Sujeto Obligado. </w:t>
      </w:r>
    </w:p>
    <w:p w:rsidR="00EC30C7" w:rsidRPr="00B77D66" w:rsidRDefault="00EC30C7" w:rsidP="00EC30C7">
      <w:pPr>
        <w:pStyle w:val="Prrafodelista"/>
        <w:spacing w:before="240" w:after="240" w:line="360" w:lineRule="auto"/>
        <w:ind w:left="0" w:right="49"/>
        <w:jc w:val="both"/>
        <w:rPr>
          <w:rFonts w:ascii="Palatino Linotype" w:eastAsia="MS Mincho" w:hAnsi="Palatino Linotype"/>
          <w:lang w:val="es-ES_tradnl"/>
        </w:rPr>
      </w:pPr>
    </w:p>
    <w:p w:rsidR="00EC30C7" w:rsidRPr="00B77D66" w:rsidRDefault="00EC30C7" w:rsidP="006C2DCF">
      <w:pPr>
        <w:pStyle w:val="Prrafodelista"/>
        <w:numPr>
          <w:ilvl w:val="0"/>
          <w:numId w:val="1"/>
        </w:numPr>
        <w:spacing w:after="160" w:line="360" w:lineRule="auto"/>
        <w:ind w:left="0" w:right="49" w:firstLine="0"/>
        <w:jc w:val="both"/>
        <w:rPr>
          <w:rFonts w:ascii="Palatino Linotype" w:eastAsia="MS Mincho" w:hAnsi="Palatino Linotype"/>
          <w:sz w:val="24"/>
          <w:lang w:eastAsia="en-US"/>
        </w:rPr>
      </w:pPr>
      <w:r w:rsidRPr="00B77D66">
        <w:rPr>
          <w:rFonts w:ascii="Palatino Linotype" w:eastAsia="Calibri" w:hAnsi="Palatino Linotype"/>
          <w:sz w:val="24"/>
          <w:lang w:eastAsia="en-US"/>
        </w:rPr>
        <w:t>En esa virtud, por lo que concluye que es procedent</w:t>
      </w:r>
      <w:r w:rsidR="006C2DCF" w:rsidRPr="00B77D66">
        <w:rPr>
          <w:rFonts w:ascii="Palatino Linotype" w:eastAsia="Calibri" w:hAnsi="Palatino Linotype"/>
          <w:sz w:val="24"/>
          <w:lang w:eastAsia="en-US"/>
        </w:rPr>
        <w:t>e proporcionar la información</w:t>
      </w:r>
      <w:r w:rsidRPr="00B77D66">
        <w:rPr>
          <w:rFonts w:ascii="Palatino Linotype" w:eastAsia="Calibri" w:hAnsi="Palatino Linotype"/>
          <w:sz w:val="24"/>
          <w:lang w:eastAsia="en-US"/>
        </w:rPr>
        <w:t xml:space="preserve">, pues su entrega no modifica el </w:t>
      </w:r>
      <w:r w:rsidR="006C2DCF" w:rsidRPr="00B77D66">
        <w:rPr>
          <w:rFonts w:ascii="Palatino Linotype" w:eastAsia="Calibri" w:hAnsi="Palatino Linotype"/>
          <w:sz w:val="24"/>
          <w:lang w:eastAsia="en-US"/>
        </w:rPr>
        <w:t>procedimiento administrativo referido</w:t>
      </w:r>
      <w:r w:rsidRPr="00B77D66">
        <w:rPr>
          <w:rFonts w:ascii="Palatino Linotype" w:eastAsia="Calibri" w:hAnsi="Palatino Linotype"/>
          <w:sz w:val="24"/>
          <w:lang w:eastAsia="en-US"/>
        </w:rPr>
        <w:t>, argumentos reforzados con el Criterio 09/2004 emitido por la Suprema Corte de Justicia de la Nación el cual establece lo siguiente:</w:t>
      </w:r>
    </w:p>
    <w:p w:rsidR="00EC30C7" w:rsidRPr="00B77D66" w:rsidRDefault="00EC30C7" w:rsidP="00EC30C7">
      <w:pPr>
        <w:spacing w:after="160" w:line="360" w:lineRule="auto"/>
        <w:ind w:right="49"/>
        <w:contextualSpacing/>
        <w:jc w:val="both"/>
        <w:rPr>
          <w:rFonts w:ascii="Palatino Linotype" w:eastAsia="MS Mincho" w:hAnsi="Palatino Linotype"/>
          <w:sz w:val="22"/>
          <w:szCs w:val="22"/>
          <w:lang w:eastAsia="en-US"/>
        </w:rPr>
      </w:pPr>
    </w:p>
    <w:p w:rsidR="00EC30C7" w:rsidRPr="00B77D66" w:rsidRDefault="00EC30C7" w:rsidP="00EC30C7">
      <w:pPr>
        <w:spacing w:after="160" w:line="360" w:lineRule="auto"/>
        <w:ind w:left="644" w:right="615"/>
        <w:contextualSpacing/>
        <w:jc w:val="both"/>
        <w:rPr>
          <w:rFonts w:ascii="Palatino Linotype" w:eastAsia="Calibri" w:hAnsi="Palatino Linotype"/>
          <w:i/>
          <w:iCs/>
          <w:lang w:val="es-ES_tradnl" w:eastAsia="es-ES"/>
        </w:rPr>
      </w:pPr>
      <w:r w:rsidRPr="00B77D66">
        <w:rPr>
          <w:rFonts w:ascii="Palatino Linotype" w:eastAsia="MS Mincho" w:hAnsi="Palatino Linotype"/>
          <w:b/>
          <w:i/>
          <w:iCs/>
          <w:lang w:val="es-ES_tradnl"/>
        </w:rPr>
        <w:t>INFORMACIÓN SUJETA A REVISIÓN. SI YA CONSTA EN UN DOCUMENTO DEFINITIVO, DEBE PERMITIRSE EL ACCESO A ÉSTE</w:t>
      </w:r>
      <w:r w:rsidRPr="00B77D66">
        <w:rPr>
          <w:rFonts w:ascii="Palatino Linotype" w:eastAsia="MS Mincho" w:hAnsi="Palatino Linotype"/>
          <w:i/>
          <w:iCs/>
          <w:lang w:val="es-ES_tradnl"/>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rsidR="00EC30C7" w:rsidRPr="00B77D66" w:rsidRDefault="00EC30C7" w:rsidP="00EC30C7">
      <w:pPr>
        <w:spacing w:after="160" w:line="360" w:lineRule="auto"/>
        <w:ind w:left="644" w:right="615"/>
        <w:contextualSpacing/>
        <w:jc w:val="both"/>
        <w:rPr>
          <w:rFonts w:ascii="Palatino Linotype" w:eastAsia="MS Mincho" w:hAnsi="Palatino Linotype"/>
          <w:i/>
          <w:iCs/>
          <w:lang w:val="es-ES_tradnl"/>
        </w:rPr>
      </w:pPr>
    </w:p>
    <w:p w:rsidR="00EC30C7" w:rsidRPr="00B77D66" w:rsidRDefault="00EC30C7" w:rsidP="00EC30C7">
      <w:pPr>
        <w:spacing w:after="160" w:line="360" w:lineRule="auto"/>
        <w:ind w:left="644" w:right="615"/>
        <w:contextualSpacing/>
        <w:jc w:val="both"/>
        <w:rPr>
          <w:rFonts w:ascii="Palatino Linotype" w:eastAsia="MS Mincho" w:hAnsi="Palatino Linotype"/>
          <w:i/>
          <w:iCs/>
          <w:lang w:val="es-ES_tradnl"/>
        </w:rPr>
      </w:pPr>
      <w:r w:rsidRPr="00B77D66">
        <w:rPr>
          <w:rFonts w:ascii="Palatino Linotype" w:eastAsia="MS Mincho" w:hAnsi="Palatino Linotype"/>
          <w:i/>
          <w:iCs/>
          <w:lang w:val="es-ES_tradnl"/>
        </w:rPr>
        <w:t>Clasificación de la información 10/2004-J, 19 de mayo de 2004.</w:t>
      </w:r>
    </w:p>
    <w:p w:rsidR="00EC30C7" w:rsidRPr="00B77D66" w:rsidRDefault="00EC30C7" w:rsidP="00EC30C7">
      <w:pPr>
        <w:spacing w:after="160" w:line="360" w:lineRule="auto"/>
        <w:ind w:left="644" w:right="615"/>
        <w:contextualSpacing/>
        <w:jc w:val="both"/>
        <w:rPr>
          <w:rFonts w:ascii="Palatino Linotype" w:eastAsia="MS Mincho" w:hAnsi="Palatino Linotype"/>
          <w:i/>
          <w:iCs/>
          <w:lang w:val="es-ES_tradnl"/>
        </w:rPr>
      </w:pPr>
      <w:r w:rsidRPr="00B77D66">
        <w:rPr>
          <w:rFonts w:ascii="Palatino Linotype" w:eastAsia="MS Mincho" w:hAnsi="Palatino Linotype"/>
          <w:i/>
          <w:iCs/>
          <w:lang w:val="es-ES_tradnl"/>
        </w:rPr>
        <w:t>Unanimidad de votos</w:t>
      </w:r>
    </w:p>
    <w:p w:rsidR="00EC30C7" w:rsidRPr="00B77D66" w:rsidRDefault="00EC30C7" w:rsidP="00EC30C7">
      <w:pPr>
        <w:spacing w:after="160" w:line="360" w:lineRule="auto"/>
        <w:ind w:left="644" w:right="615"/>
        <w:contextualSpacing/>
        <w:jc w:val="both"/>
        <w:rPr>
          <w:rFonts w:ascii="Palatino Linotype" w:eastAsia="MS Mincho" w:hAnsi="Palatino Linotype"/>
          <w:i/>
          <w:iCs/>
          <w:lang w:val="es-ES_tradnl"/>
        </w:rPr>
      </w:pPr>
    </w:p>
    <w:p w:rsidR="00EC30C7" w:rsidRPr="00B77D66" w:rsidRDefault="00EC30C7" w:rsidP="00EC30C7">
      <w:pPr>
        <w:spacing w:after="160" w:line="360" w:lineRule="auto"/>
        <w:ind w:left="644" w:right="615"/>
        <w:contextualSpacing/>
        <w:jc w:val="both"/>
        <w:rPr>
          <w:rFonts w:ascii="Palatino Linotype" w:eastAsia="MS Mincho" w:hAnsi="Palatino Linotype"/>
          <w:lang w:val="es-ES_tradnl"/>
        </w:rPr>
      </w:pPr>
      <w:r w:rsidRPr="00B77D66">
        <w:rPr>
          <w:rFonts w:ascii="Palatino Linotype" w:eastAsia="MS Mincho" w:hAnsi="Palatino Linotype"/>
          <w:i/>
          <w:iCs/>
          <w:lang w:val="es-ES_tradnl"/>
        </w:rPr>
        <w:t xml:space="preserve">(Énfasis añadido) </w:t>
      </w:r>
    </w:p>
    <w:p w:rsidR="00EC30C7" w:rsidRPr="00B77D66" w:rsidRDefault="00EC30C7" w:rsidP="00EC30C7">
      <w:pPr>
        <w:spacing w:after="160" w:line="360" w:lineRule="auto"/>
        <w:ind w:right="49"/>
        <w:contextualSpacing/>
        <w:jc w:val="both"/>
        <w:rPr>
          <w:rFonts w:ascii="Palatino Linotype" w:eastAsia="MS Mincho" w:hAnsi="Palatino Linotype"/>
          <w:sz w:val="22"/>
          <w:szCs w:val="22"/>
          <w:lang w:eastAsia="en-US"/>
        </w:rPr>
      </w:pPr>
    </w:p>
    <w:p w:rsidR="00EC30C7" w:rsidRPr="00B77D66" w:rsidRDefault="00EC30C7" w:rsidP="00EC30C7">
      <w:pPr>
        <w:numPr>
          <w:ilvl w:val="0"/>
          <w:numId w:val="1"/>
        </w:numPr>
        <w:spacing w:after="160" w:line="360" w:lineRule="auto"/>
        <w:ind w:left="0" w:right="49" w:firstLine="0"/>
        <w:contextualSpacing/>
        <w:jc w:val="both"/>
        <w:rPr>
          <w:rFonts w:ascii="Palatino Linotype" w:eastAsia="MS Mincho" w:hAnsi="Palatino Linotype"/>
          <w:lang w:eastAsia="en-US"/>
        </w:rPr>
      </w:pPr>
      <w:r w:rsidRPr="00B77D66">
        <w:rPr>
          <w:rFonts w:ascii="Palatino Linotype" w:eastAsia="Calibri" w:hAnsi="Palatino Linotype" w:cs="Tahoma"/>
          <w:iCs/>
          <w:lang w:eastAsia="en-US"/>
        </w:rPr>
        <w:t>Aunado a</w:t>
      </w:r>
      <w:r w:rsidR="00E46EEA" w:rsidRPr="00B77D66">
        <w:rPr>
          <w:rFonts w:ascii="Palatino Linotype" w:eastAsia="Calibri" w:hAnsi="Palatino Linotype" w:cs="Tahoma"/>
          <w:iCs/>
          <w:lang w:eastAsia="en-US"/>
        </w:rPr>
        <w:t xml:space="preserve"> que, como ya quedó establecido</w:t>
      </w:r>
      <w:r w:rsidRPr="00B77D66">
        <w:rPr>
          <w:rFonts w:ascii="Palatino Linotype" w:eastAsia="Calibri" w:hAnsi="Palatino Linotype" w:cs="Tahoma"/>
          <w:iCs/>
          <w:lang w:eastAsia="en-US"/>
        </w:rPr>
        <w:t xml:space="preserve"> el </w:t>
      </w:r>
      <w:r w:rsidRPr="00B77D66">
        <w:rPr>
          <w:rFonts w:ascii="Palatino Linotype" w:eastAsia="Calibri" w:hAnsi="Palatino Linotype" w:cs="Tahoma"/>
          <w:b/>
          <w:iCs/>
          <w:lang w:eastAsia="en-US"/>
        </w:rPr>
        <w:t>SUJETO OBLIGADO</w:t>
      </w:r>
      <w:r w:rsidR="00E46EEA" w:rsidRPr="00B77D66">
        <w:rPr>
          <w:rFonts w:ascii="Palatino Linotype" w:eastAsia="Calibri" w:hAnsi="Palatino Linotype" w:cs="Tahoma"/>
          <w:b/>
          <w:iCs/>
          <w:lang w:eastAsia="en-US"/>
        </w:rPr>
        <w:t>,</w:t>
      </w:r>
      <w:r w:rsidRPr="00B77D66">
        <w:rPr>
          <w:rFonts w:ascii="Palatino Linotype" w:eastAsia="Calibri" w:hAnsi="Palatino Linotype" w:cs="Tahoma"/>
          <w:iCs/>
          <w:lang w:eastAsia="en-US"/>
        </w:rPr>
        <w:t xml:space="preserve"> no acreditó el daño respecto de los documentos que contienen actuaciones de servidores públicas definitivas, en virtud de que la divulgación no representa un riesgo real, identificable y demostrable, de perjuicio significativo al interés público, ya que se trata de documentos cuyo contenido no puede ser modificado y su conocimiento público no afecta </w:t>
      </w:r>
      <w:r w:rsidR="006C2DCF" w:rsidRPr="00B77D66">
        <w:rPr>
          <w:rFonts w:ascii="Palatino Linotype" w:eastAsia="Calibri" w:hAnsi="Palatino Linotype" w:cs="Tahoma"/>
          <w:iCs/>
          <w:lang w:eastAsia="en-US"/>
        </w:rPr>
        <w:t>el procedimiento referido</w:t>
      </w:r>
      <w:r w:rsidRPr="00B77D66">
        <w:rPr>
          <w:rFonts w:ascii="Palatino Linotype" w:eastAsia="Calibri" w:hAnsi="Palatino Linotype" w:cs="Tahoma"/>
          <w:iCs/>
          <w:lang w:eastAsia="en-US"/>
        </w:rPr>
        <w:t>.</w:t>
      </w:r>
    </w:p>
    <w:p w:rsidR="00EC30C7" w:rsidRPr="00B77D66" w:rsidRDefault="00EC30C7" w:rsidP="006C2DCF">
      <w:pPr>
        <w:numPr>
          <w:ilvl w:val="0"/>
          <w:numId w:val="1"/>
        </w:numPr>
        <w:spacing w:after="160" w:line="360" w:lineRule="auto"/>
        <w:ind w:left="0" w:right="49" w:firstLine="0"/>
        <w:contextualSpacing/>
        <w:jc w:val="both"/>
        <w:rPr>
          <w:rFonts w:ascii="Palatino Linotype" w:eastAsia="MS Mincho" w:hAnsi="Palatino Linotype"/>
          <w:lang w:eastAsia="en-US"/>
        </w:rPr>
      </w:pPr>
      <w:r w:rsidRPr="00B77D66">
        <w:rPr>
          <w:rFonts w:ascii="Palatino Linotype" w:eastAsia="Calibri" w:hAnsi="Palatino Linotype" w:cs="Tahoma"/>
          <w:iCs/>
          <w:lang w:eastAsia="en-US"/>
        </w:rPr>
        <w:lastRenderedPageBreak/>
        <w:t xml:space="preserve">En consecuencia, no se acredita el riesgo de perjuicio respecto </w:t>
      </w:r>
      <w:r w:rsidR="006C2DCF" w:rsidRPr="00B77D66">
        <w:rPr>
          <w:rFonts w:ascii="Palatino Linotype" w:eastAsia="Calibri" w:hAnsi="Palatino Linotype" w:cs="Tahoma"/>
          <w:iCs/>
          <w:lang w:eastAsia="en-US"/>
        </w:rPr>
        <w:t>de la publicación del libro especial de bienes inmuebles</w:t>
      </w:r>
      <w:r w:rsidRPr="00B77D66">
        <w:rPr>
          <w:rFonts w:ascii="Palatino Linotype" w:eastAsia="Calibri" w:hAnsi="Palatino Linotype" w:cs="Tahoma"/>
          <w:iCs/>
          <w:lang w:eastAsia="en-US"/>
        </w:rPr>
        <w:t>, pues como se refirió se trata de documentos que bien, pudieron haber sido elaborados previamente y su creación se llevó a cabo de manera independiente.</w:t>
      </w:r>
    </w:p>
    <w:p w:rsidR="00EC30C7" w:rsidRPr="00B77D66" w:rsidRDefault="00EC30C7" w:rsidP="00EC30C7">
      <w:pPr>
        <w:spacing w:after="160" w:line="360" w:lineRule="auto"/>
        <w:ind w:right="49"/>
        <w:contextualSpacing/>
        <w:jc w:val="both"/>
        <w:rPr>
          <w:rFonts w:ascii="Palatino Linotype" w:eastAsia="MS Mincho" w:hAnsi="Palatino Linotype"/>
          <w:lang w:eastAsia="en-US"/>
        </w:rPr>
      </w:pPr>
    </w:p>
    <w:p w:rsidR="00EC30C7" w:rsidRPr="00B77D66" w:rsidRDefault="00EC30C7" w:rsidP="006C2DCF">
      <w:pPr>
        <w:numPr>
          <w:ilvl w:val="0"/>
          <w:numId w:val="1"/>
        </w:numPr>
        <w:spacing w:after="160" w:line="360" w:lineRule="auto"/>
        <w:ind w:left="0" w:right="49" w:firstLine="0"/>
        <w:contextualSpacing/>
        <w:jc w:val="both"/>
        <w:rPr>
          <w:rFonts w:ascii="Palatino Linotype" w:eastAsia="MS Mincho" w:hAnsi="Palatino Linotype"/>
          <w:lang w:eastAsia="en-US"/>
        </w:rPr>
      </w:pPr>
      <w:r w:rsidRPr="00B77D66">
        <w:rPr>
          <w:rFonts w:ascii="Palatino Linotype" w:eastAsia="Calibri" w:hAnsi="Palatino Linotype"/>
          <w:lang w:eastAsia="en-US"/>
        </w:rPr>
        <w:t>Es por ello, que esta Ponencia, considera que los documentos definitivos, son aquellos que se han realizado previamente y que, por ello, no pueden modificarse sin incurrir en responsabilidades administrativas, por lo que efectivamente no existe un riesgo real e identificable y por ello que resulta procedente la entrega de los documentos definitivos, como lo es la información solicitada por el particular en sus solicitudes de información, en tanto que los documentos no definitivos, por corresponder a un procedimiento en desahogo, podría generarse un riesgo real e identificable a los actos de fiscalización.</w:t>
      </w:r>
    </w:p>
    <w:p w:rsidR="00EC30C7" w:rsidRPr="00B77D66" w:rsidRDefault="00EC30C7" w:rsidP="006C2DCF">
      <w:pPr>
        <w:spacing w:after="160" w:line="254" w:lineRule="auto"/>
        <w:contextualSpacing/>
        <w:rPr>
          <w:rFonts w:ascii="Palatino Linotype" w:eastAsia="MS Mincho" w:hAnsi="Palatino Linotype"/>
          <w:lang w:val="es-ES_tradnl" w:eastAsia="es-ES"/>
        </w:rPr>
      </w:pPr>
    </w:p>
    <w:p w:rsidR="00B061B3" w:rsidRPr="00B77D66" w:rsidRDefault="00EC30C7" w:rsidP="006C2DCF">
      <w:pPr>
        <w:numPr>
          <w:ilvl w:val="0"/>
          <w:numId w:val="1"/>
        </w:numPr>
        <w:spacing w:after="160" w:line="360" w:lineRule="auto"/>
        <w:ind w:left="0" w:firstLine="0"/>
        <w:contextualSpacing/>
        <w:jc w:val="both"/>
        <w:rPr>
          <w:rFonts w:ascii="Palatino Linotype" w:eastAsia="Calibri" w:hAnsi="Palatino Linotype"/>
          <w:iCs/>
          <w:color w:val="000000"/>
          <w:szCs w:val="22"/>
          <w:lang w:eastAsia="en-US"/>
        </w:rPr>
      </w:pPr>
      <w:r w:rsidRPr="00B77D66">
        <w:rPr>
          <w:rFonts w:ascii="Palatino Linotype" w:eastAsia="Calibri" w:hAnsi="Palatino Linotype"/>
          <w:iCs/>
          <w:color w:val="000000"/>
          <w:szCs w:val="22"/>
          <w:lang w:eastAsia="en-US"/>
        </w:rPr>
        <w:t xml:space="preserve">Por lo que, al prever que la información solicitada corresponde a la documentales de naturaleza pública e interés social, que obran en los archivos del </w:t>
      </w:r>
      <w:r w:rsidRPr="00B77D66">
        <w:rPr>
          <w:rFonts w:ascii="Palatino Linotype" w:eastAsia="Calibri" w:hAnsi="Palatino Linotype"/>
          <w:b/>
          <w:iCs/>
          <w:color w:val="000000"/>
          <w:szCs w:val="22"/>
          <w:lang w:eastAsia="en-US"/>
        </w:rPr>
        <w:t>SUJETO OBLIGADO</w:t>
      </w:r>
      <w:r w:rsidRPr="00B77D66">
        <w:rPr>
          <w:rFonts w:ascii="Palatino Linotype" w:eastAsia="Calibri" w:hAnsi="Palatino Linotype"/>
          <w:iCs/>
          <w:color w:val="000000"/>
          <w:szCs w:val="22"/>
          <w:lang w:eastAsia="en-US"/>
        </w:rPr>
        <w:t xml:space="preserve">, y en cumplimiento al principio de máxima publicidad, éste debe permitir su acceso, por lo que este Órgano Garante determina </w:t>
      </w:r>
      <w:r w:rsidR="006C2DCF" w:rsidRPr="00B77D66">
        <w:rPr>
          <w:rFonts w:ascii="Palatino Linotype" w:eastAsia="Calibri" w:hAnsi="Palatino Linotype"/>
          <w:b/>
          <w:iCs/>
          <w:color w:val="000000"/>
          <w:szCs w:val="22"/>
          <w:lang w:eastAsia="en-US"/>
        </w:rPr>
        <w:t>MODIFICAR</w:t>
      </w:r>
      <w:r w:rsidRPr="00B77D66">
        <w:rPr>
          <w:rFonts w:ascii="Palatino Linotype" w:eastAsia="Calibri" w:hAnsi="Palatino Linotype"/>
          <w:b/>
          <w:iCs/>
          <w:color w:val="000000"/>
          <w:szCs w:val="22"/>
          <w:lang w:eastAsia="en-US"/>
        </w:rPr>
        <w:t xml:space="preserve"> </w:t>
      </w:r>
      <w:r w:rsidR="006C2DCF" w:rsidRPr="00B77D66">
        <w:rPr>
          <w:rFonts w:ascii="Palatino Linotype" w:eastAsia="Calibri" w:hAnsi="Palatino Linotype"/>
          <w:iCs/>
          <w:color w:val="000000"/>
          <w:szCs w:val="22"/>
          <w:lang w:eastAsia="en-US"/>
        </w:rPr>
        <w:t xml:space="preserve">la respuesta </w:t>
      </w:r>
      <w:r w:rsidRPr="00B77D66">
        <w:rPr>
          <w:rFonts w:ascii="Palatino Linotype" w:eastAsia="Calibri" w:hAnsi="Palatino Linotype"/>
          <w:b/>
          <w:iCs/>
          <w:color w:val="000000"/>
          <w:szCs w:val="22"/>
          <w:lang w:eastAsia="en-US"/>
        </w:rPr>
        <w:t>y ORDENA</w:t>
      </w:r>
      <w:r w:rsidR="006C2DCF" w:rsidRPr="00B77D66">
        <w:rPr>
          <w:rFonts w:ascii="Palatino Linotype" w:eastAsia="Calibri" w:hAnsi="Palatino Linotype"/>
          <w:iCs/>
          <w:color w:val="000000"/>
          <w:szCs w:val="22"/>
          <w:lang w:eastAsia="en-US"/>
        </w:rPr>
        <w:t xml:space="preserve"> la entrega del Libro Especial de Bienes Inmuebles actualizado a la fecha de la solicitud.</w:t>
      </w:r>
    </w:p>
    <w:p w:rsidR="003C46C6" w:rsidRPr="00B77D66" w:rsidRDefault="003C46C6" w:rsidP="003C46C6">
      <w:pPr>
        <w:spacing w:line="360" w:lineRule="auto"/>
        <w:ind w:right="49"/>
        <w:contextualSpacing/>
        <w:jc w:val="both"/>
        <w:rPr>
          <w:rFonts w:ascii="Palatino Linotype" w:eastAsia="MS Gothic" w:hAnsi="Palatino Linotype" w:cstheme="majorBidi"/>
          <w:lang w:val="es-ES_tradnl" w:eastAsia="es-ES"/>
        </w:rPr>
      </w:pPr>
    </w:p>
    <w:p w:rsidR="003C46C6" w:rsidRPr="00B77D66" w:rsidRDefault="003C46C6" w:rsidP="006C2DCF">
      <w:pPr>
        <w:spacing w:line="360" w:lineRule="auto"/>
        <w:ind w:right="49"/>
        <w:contextualSpacing/>
        <w:jc w:val="both"/>
        <w:rPr>
          <w:rFonts w:ascii="Palatino Linotype" w:eastAsia="MS Gothic" w:hAnsi="Palatino Linotype" w:cstheme="majorBidi"/>
          <w:lang w:val="es-ES_tradnl" w:eastAsia="es-ES"/>
        </w:rPr>
      </w:pPr>
      <w:bookmarkStart w:id="43" w:name="_Toc89350464"/>
      <w:bookmarkStart w:id="44" w:name="_Toc94119619"/>
      <w:r w:rsidRPr="00B77D66">
        <w:rPr>
          <w:rFonts w:ascii="Palatino Linotype" w:hAnsi="Palatino Linotype"/>
          <w:b/>
          <w:bCs/>
          <w:color w:val="000000" w:themeColor="text1"/>
        </w:rPr>
        <w:t>QUINTO. De la versión pública.</w:t>
      </w:r>
      <w:bookmarkEnd w:id="43"/>
      <w:bookmarkEnd w:id="44"/>
    </w:p>
    <w:p w:rsidR="003C46C6" w:rsidRPr="00B77D66" w:rsidRDefault="003C46C6" w:rsidP="003C46C6">
      <w:pPr>
        <w:pStyle w:val="Prrafodelista"/>
        <w:tabs>
          <w:tab w:val="left" w:pos="426"/>
        </w:tabs>
        <w:spacing w:line="360" w:lineRule="auto"/>
        <w:ind w:left="0" w:right="51"/>
        <w:jc w:val="both"/>
        <w:rPr>
          <w:rFonts w:ascii="Palatino Linotype" w:hAnsi="Palatino Linotype"/>
          <w:color w:val="000000" w:themeColor="text1"/>
        </w:rPr>
      </w:pPr>
    </w:p>
    <w:p w:rsidR="003C46C6" w:rsidRPr="00B77D66" w:rsidRDefault="003C46C6" w:rsidP="003C46C6">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B77D66">
        <w:rPr>
          <w:rFonts w:ascii="Palatino Linotype" w:hAnsi="Palatino Linotype"/>
          <w:color w:val="000000" w:themeColor="text1"/>
          <w:sz w:val="24"/>
        </w:rPr>
        <w:t>Debe destacarse que, debido a la naturaleza de la información solicitada</w:t>
      </w:r>
      <w:r w:rsidRPr="00B77D66">
        <w:rPr>
          <w:rFonts w:ascii="Palatino Linotype" w:hAnsi="Palatino Linotype"/>
          <w:b/>
          <w:color w:val="000000" w:themeColor="text1"/>
          <w:sz w:val="24"/>
        </w:rPr>
        <w:t xml:space="preserve"> </w:t>
      </w:r>
      <w:r w:rsidRPr="00B77D66">
        <w:rPr>
          <w:rFonts w:ascii="Palatino Linotype" w:hAnsi="Palatino Linotype"/>
          <w:color w:val="000000" w:themeColor="text1"/>
          <w:sz w:val="24"/>
        </w:rPr>
        <w:t xml:space="preserve">eventualmente pudieran obrar datos personales susceptibles de protegerse, y toda vez </w:t>
      </w:r>
      <w:r w:rsidRPr="00B77D66">
        <w:rPr>
          <w:rFonts w:ascii="Palatino Linotype" w:hAnsi="Palatino Linotype"/>
          <w:color w:val="000000" w:themeColor="text1"/>
          <w:sz w:val="24"/>
        </w:rPr>
        <w:lastRenderedPageBreak/>
        <w:t>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3C46C6" w:rsidRPr="00B77D66" w:rsidRDefault="003C46C6" w:rsidP="003C46C6">
      <w:pPr>
        <w:pStyle w:val="Prrafodelista"/>
        <w:tabs>
          <w:tab w:val="left" w:pos="426"/>
        </w:tabs>
        <w:spacing w:line="360" w:lineRule="auto"/>
        <w:ind w:left="0" w:right="51"/>
        <w:jc w:val="both"/>
        <w:rPr>
          <w:rFonts w:ascii="Palatino Linotype" w:hAnsi="Palatino Linotype"/>
          <w:color w:val="000000" w:themeColor="text1"/>
          <w:sz w:val="24"/>
        </w:rPr>
      </w:pPr>
    </w:p>
    <w:p w:rsidR="003C46C6" w:rsidRPr="00B77D66" w:rsidRDefault="003C46C6" w:rsidP="003C46C6">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sz w:val="24"/>
        </w:rPr>
      </w:pPr>
      <w:r w:rsidRPr="00B77D66">
        <w:rPr>
          <w:rFonts w:ascii="Palatino Linotype" w:hAnsi="Palatino Linotype"/>
          <w:color w:val="000000" w:themeColor="text1"/>
          <w:sz w:val="24"/>
        </w:rPr>
        <w:t xml:space="preserve">La </w:t>
      </w:r>
      <w:r w:rsidRPr="00B77D66">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p>
    <w:p w:rsidR="003C46C6" w:rsidRPr="00B77D66" w:rsidRDefault="003C46C6" w:rsidP="003C46C6">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C46C6" w:rsidRPr="00B77D66" w:rsidTr="00AE4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C46C6" w:rsidRPr="00B77D66" w:rsidRDefault="003C46C6" w:rsidP="00AE4DB9">
            <w:pPr>
              <w:spacing w:line="360" w:lineRule="auto"/>
              <w:rPr>
                <w:rFonts w:ascii="Palatino Linotype" w:hAnsi="Palatino Linotype"/>
                <w:sz w:val="20"/>
                <w:szCs w:val="20"/>
              </w:rPr>
            </w:pPr>
            <w:r w:rsidRPr="00B77D66">
              <w:rPr>
                <w:rFonts w:ascii="Palatino Linotype" w:hAnsi="Palatino Linotype" w:cstheme="majorBidi"/>
                <w:b w:val="0"/>
                <w:sz w:val="20"/>
                <w:szCs w:val="20"/>
              </w:rPr>
              <w:t>a) Requisitos previos.</w:t>
            </w:r>
          </w:p>
        </w:tc>
        <w:tc>
          <w:tcPr>
            <w:tcW w:w="6990" w:type="dxa"/>
          </w:tcPr>
          <w:p w:rsidR="003C46C6" w:rsidRPr="00B77D66" w:rsidRDefault="003C46C6" w:rsidP="00AE4DB9">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77D66">
              <w:rPr>
                <w:rFonts w:ascii="Palatino Linotype" w:hAnsi="Palatino Linotype" w:cs="Arial"/>
                <w:color w:val="000000"/>
                <w:sz w:val="20"/>
                <w:szCs w:val="20"/>
              </w:rPr>
              <w:t xml:space="preserve">Los artículos 100 y 122 de la Ley Estatal y de la Ley General, respectivamente, señalan que si los </w:t>
            </w:r>
            <w:r w:rsidRPr="00B77D66">
              <w:rPr>
                <w:rFonts w:ascii="Palatino Linotype" w:hAnsi="Palatino Linotype" w:cs="Arial"/>
                <w:b w:val="0"/>
                <w:color w:val="000000"/>
                <w:sz w:val="20"/>
                <w:szCs w:val="20"/>
              </w:rPr>
              <w:t>Sujetos Obligados</w:t>
            </w:r>
            <w:r w:rsidRPr="00B77D66">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rsidR="003C46C6" w:rsidRPr="00B77D66" w:rsidRDefault="003C46C6" w:rsidP="00AE4DB9">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77D66">
              <w:rPr>
                <w:rFonts w:ascii="Palatino Linotype" w:hAnsi="Palatino Linotype" w:cs="Arial"/>
                <w:color w:val="000000"/>
                <w:sz w:val="20"/>
                <w:szCs w:val="20"/>
              </w:rPr>
              <w:t>Al hacerlo tienen que precisar de qué información se trata, señalando el supuesto de clasificación (confidencialidad o reserva).</w:t>
            </w:r>
          </w:p>
          <w:p w:rsidR="003C46C6" w:rsidRPr="00B77D66" w:rsidRDefault="003C46C6" w:rsidP="00AE4DB9">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77D66">
              <w:rPr>
                <w:rFonts w:ascii="Palatino Linotype" w:hAnsi="Palatino Linotype" w:cs="Arial"/>
                <w:color w:val="000000"/>
                <w:sz w:val="20"/>
                <w:szCs w:val="20"/>
              </w:rPr>
              <w:t>Además, se debe señalar el procedimiento, de los tres que establecen los artículos 132 y 106 de la Ley Estatal y General, respectivamente.</w:t>
            </w:r>
          </w:p>
          <w:p w:rsidR="003C46C6" w:rsidRPr="00B77D66" w:rsidRDefault="003C46C6" w:rsidP="00AE4DB9">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B77D66">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B77D66">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B77D66">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3C46C6" w:rsidRPr="00B77D66" w:rsidTr="00AE4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C46C6" w:rsidRPr="00B77D66" w:rsidRDefault="003C46C6" w:rsidP="00AE4DB9">
            <w:pPr>
              <w:spacing w:line="360" w:lineRule="auto"/>
              <w:rPr>
                <w:rFonts w:ascii="Palatino Linotype" w:hAnsi="Palatino Linotype"/>
                <w:sz w:val="20"/>
                <w:szCs w:val="20"/>
              </w:rPr>
            </w:pPr>
            <w:r w:rsidRPr="00B77D66">
              <w:rPr>
                <w:rFonts w:ascii="Palatino Linotype" w:hAnsi="Palatino Linotype" w:cstheme="majorBidi"/>
                <w:b w:val="0"/>
                <w:sz w:val="20"/>
                <w:szCs w:val="20"/>
              </w:rPr>
              <w:t>b) Supuestos de clasificación.</w:t>
            </w:r>
          </w:p>
        </w:tc>
        <w:tc>
          <w:tcPr>
            <w:tcW w:w="6990" w:type="dxa"/>
          </w:tcPr>
          <w:p w:rsidR="003C46C6" w:rsidRPr="00B77D66" w:rsidRDefault="003C46C6" w:rsidP="00AE4DB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77D66">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rsidR="003C46C6" w:rsidRPr="00B77D66" w:rsidRDefault="003C46C6" w:rsidP="00AE4DB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77D66">
              <w:rPr>
                <w:rFonts w:ascii="Palatino Linotype" w:hAnsi="Palatino Linotype" w:cs="Arial"/>
                <w:color w:val="000000"/>
                <w:sz w:val="20"/>
                <w:szCs w:val="2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3C46C6" w:rsidRPr="00B77D66" w:rsidRDefault="003C46C6" w:rsidP="00AE4DB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B77D66">
              <w:rPr>
                <w:rFonts w:ascii="Palatino Linotype" w:hAnsi="Palatino Linotype" w:cs="Arial"/>
                <w:color w:val="000000"/>
                <w:sz w:val="20"/>
                <w:szCs w:val="20"/>
              </w:rPr>
              <w:t xml:space="preserve">El </w:t>
            </w:r>
            <w:r w:rsidRPr="00B77D66">
              <w:rPr>
                <w:rFonts w:ascii="Palatino Linotype" w:hAnsi="Palatino Linotype" w:cs="Arial"/>
                <w:b/>
                <w:color w:val="000000"/>
                <w:sz w:val="20"/>
                <w:szCs w:val="20"/>
              </w:rPr>
              <w:t>SUJETO OBLIGADO</w:t>
            </w:r>
            <w:r w:rsidRPr="00B77D66">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C46C6" w:rsidRPr="00B77D66" w:rsidTr="00AE4DB9">
        <w:tc>
          <w:tcPr>
            <w:cnfStyle w:val="001000000000" w:firstRow="0" w:lastRow="0" w:firstColumn="1" w:lastColumn="0" w:oddVBand="0" w:evenVBand="0" w:oddHBand="0" w:evenHBand="0" w:firstRowFirstColumn="0" w:firstRowLastColumn="0" w:lastRowFirstColumn="0" w:lastRowLastColumn="0"/>
            <w:tcW w:w="1838" w:type="dxa"/>
          </w:tcPr>
          <w:p w:rsidR="003C46C6" w:rsidRPr="00B77D66" w:rsidRDefault="003C46C6" w:rsidP="00AE4DB9">
            <w:pPr>
              <w:spacing w:line="360" w:lineRule="auto"/>
              <w:rPr>
                <w:rFonts w:ascii="Palatino Linotype" w:hAnsi="Palatino Linotype"/>
                <w:sz w:val="20"/>
                <w:szCs w:val="20"/>
              </w:rPr>
            </w:pPr>
            <w:r w:rsidRPr="00B77D66">
              <w:rPr>
                <w:rFonts w:ascii="Palatino Linotype" w:hAnsi="Palatino Linotype" w:cstheme="majorBidi"/>
                <w:b w:val="0"/>
                <w:sz w:val="20"/>
                <w:szCs w:val="20"/>
              </w:rPr>
              <w:lastRenderedPageBreak/>
              <w:t>c) Formalidades para emitir el acuerdo de clasificación.</w:t>
            </w:r>
          </w:p>
        </w:tc>
        <w:tc>
          <w:tcPr>
            <w:tcW w:w="6990" w:type="dxa"/>
          </w:tcPr>
          <w:p w:rsidR="003C46C6" w:rsidRPr="00B77D66" w:rsidRDefault="003C46C6" w:rsidP="00AE4DB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77D66">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rsidR="003C46C6" w:rsidRPr="00B77D66" w:rsidRDefault="003C46C6" w:rsidP="00AE4DB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77D66">
              <w:rPr>
                <w:rFonts w:ascii="Palatino Linotype" w:hAnsi="Palatino Linotype" w:cs="Arial"/>
                <w:color w:val="000000"/>
                <w:sz w:val="20"/>
                <w:szCs w:val="20"/>
              </w:rPr>
              <w:t xml:space="preserve">Es necesario que </w:t>
            </w:r>
            <w:r w:rsidRPr="00B77D66">
              <w:rPr>
                <w:rFonts w:ascii="Palatino Linotype" w:hAnsi="Palatino Linotype" w:cs="Arial"/>
                <w:b/>
                <w:color w:val="000000"/>
                <w:sz w:val="20"/>
                <w:szCs w:val="20"/>
                <w:u w:val="single"/>
              </w:rPr>
              <w:t>el acto reúna con los requisitos elementales</w:t>
            </w:r>
            <w:r w:rsidRPr="00B77D66">
              <w:rPr>
                <w:rFonts w:ascii="Palatino Linotype" w:hAnsi="Palatino Linotype" w:cs="Arial"/>
                <w:color w:val="000000"/>
                <w:sz w:val="20"/>
                <w:szCs w:val="20"/>
              </w:rPr>
              <w:t>, entre ellos, que la autoridad que va a emitir el acto de autoridad sea la legalmente facultada para ello.</w:t>
            </w:r>
          </w:p>
          <w:p w:rsidR="003C46C6" w:rsidRPr="00B77D66" w:rsidRDefault="003C46C6" w:rsidP="00AE4DB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B77D66">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C46C6" w:rsidRPr="00B77D66" w:rsidTr="00AE4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C46C6" w:rsidRPr="00B77D66" w:rsidRDefault="003C46C6" w:rsidP="00AE4DB9">
            <w:pPr>
              <w:spacing w:line="360" w:lineRule="auto"/>
              <w:rPr>
                <w:rFonts w:ascii="Palatino Linotype" w:hAnsi="Palatino Linotype"/>
                <w:b w:val="0"/>
                <w:sz w:val="20"/>
                <w:szCs w:val="20"/>
              </w:rPr>
            </w:pPr>
          </w:p>
          <w:p w:rsidR="003C46C6" w:rsidRPr="00B77D66" w:rsidRDefault="003C46C6" w:rsidP="00AE4DB9">
            <w:pPr>
              <w:spacing w:line="360" w:lineRule="auto"/>
              <w:jc w:val="both"/>
              <w:rPr>
                <w:rFonts w:ascii="Palatino Linotype" w:hAnsi="Palatino Linotype"/>
                <w:b w:val="0"/>
                <w:sz w:val="20"/>
                <w:szCs w:val="20"/>
              </w:rPr>
            </w:pPr>
            <w:r w:rsidRPr="00B77D66">
              <w:rPr>
                <w:rFonts w:ascii="Palatino Linotype" w:hAnsi="Palatino Linotype" w:cs="Arial"/>
                <w:b w:val="0"/>
                <w:color w:val="000000"/>
                <w:sz w:val="20"/>
                <w:szCs w:val="20"/>
              </w:rPr>
              <w:t xml:space="preserve">d) Requisitos de fondo del acuerdo de clasificación. </w:t>
            </w:r>
          </w:p>
        </w:tc>
        <w:tc>
          <w:tcPr>
            <w:tcW w:w="6990" w:type="dxa"/>
          </w:tcPr>
          <w:p w:rsidR="003C46C6" w:rsidRPr="00B77D66" w:rsidRDefault="003C46C6" w:rsidP="00AE4DB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77D66">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w:t>
            </w:r>
            <w:r w:rsidRPr="00B77D66">
              <w:rPr>
                <w:rFonts w:ascii="Palatino Linotype" w:hAnsi="Palatino Linotype" w:cs="Arial"/>
                <w:color w:val="000000"/>
                <w:sz w:val="20"/>
                <w:szCs w:val="20"/>
              </w:rPr>
              <w:lastRenderedPageBreak/>
              <w:t xml:space="preserve">señala que la carga de la prueba, para justificar las restricciones, corresponde a los </w:t>
            </w:r>
            <w:r w:rsidRPr="00B77D66">
              <w:rPr>
                <w:rFonts w:ascii="Palatino Linotype" w:hAnsi="Palatino Linotype" w:cs="Arial"/>
                <w:b/>
                <w:color w:val="000000"/>
                <w:sz w:val="20"/>
                <w:szCs w:val="20"/>
              </w:rPr>
              <w:t>Sujetos Obligados</w:t>
            </w:r>
            <w:r w:rsidRPr="00B77D66">
              <w:rPr>
                <w:rFonts w:ascii="Palatino Linotype" w:hAnsi="Palatino Linotype" w:cs="Arial"/>
                <w:color w:val="000000"/>
                <w:sz w:val="20"/>
                <w:szCs w:val="20"/>
              </w:rPr>
              <w:t xml:space="preserve">, por lo que deberán fundar y motivar debidamente la clasificación. </w:t>
            </w:r>
          </w:p>
          <w:p w:rsidR="003C46C6" w:rsidRPr="00B77D66" w:rsidRDefault="003C46C6" w:rsidP="00AE4DB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77D66">
              <w:rPr>
                <w:rFonts w:ascii="Palatino Linotype" w:hAnsi="Palatino Linotype" w:cs="Arial"/>
                <w:color w:val="000000"/>
                <w:sz w:val="20"/>
                <w:szCs w:val="20"/>
              </w:rPr>
              <w:t xml:space="preserve">De lo anterior, se desprende que para una correcta </w:t>
            </w:r>
            <w:r w:rsidRPr="00B77D66">
              <w:rPr>
                <w:rFonts w:ascii="Palatino Linotype" w:hAnsi="Palatino Linotype" w:cs="Arial"/>
                <w:b/>
                <w:color w:val="000000"/>
                <w:sz w:val="20"/>
                <w:szCs w:val="20"/>
              </w:rPr>
              <w:t>clasificación total o parcial</w:t>
            </w:r>
            <w:r w:rsidRPr="00B77D66">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C46C6" w:rsidRPr="00B77D66" w:rsidRDefault="003C46C6" w:rsidP="00AE4DB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77D66">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3C46C6" w:rsidRPr="00B77D66" w:rsidRDefault="003C46C6" w:rsidP="00AE4DB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77D66">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rsidR="003C46C6" w:rsidRPr="00B77D66" w:rsidRDefault="003C46C6" w:rsidP="00AE4DB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77D66">
              <w:rPr>
                <w:rFonts w:ascii="Palatino Linotype" w:hAnsi="Palatino Linotype" w:cs="Arial"/>
                <w:color w:val="000000"/>
                <w:sz w:val="20"/>
                <w:szCs w:val="20"/>
              </w:rPr>
              <w:t xml:space="preserve">Ahora bien, </w:t>
            </w:r>
            <w:r w:rsidRPr="00B77D66">
              <w:rPr>
                <w:rFonts w:ascii="Palatino Linotype" w:hAnsi="Palatino Linotype" w:cs="Arial"/>
                <w:b/>
                <w:color w:val="000000"/>
                <w:sz w:val="20"/>
                <w:szCs w:val="20"/>
                <w:u w:val="single"/>
              </w:rPr>
              <w:t>para cada caso además de fundar y motivar</w:t>
            </w:r>
            <w:r w:rsidRPr="00B77D66">
              <w:rPr>
                <w:rFonts w:ascii="Palatino Linotype" w:hAnsi="Palatino Linotype" w:cs="Arial"/>
                <w:color w:val="000000"/>
                <w:sz w:val="20"/>
                <w:szCs w:val="20"/>
              </w:rPr>
              <w:t xml:space="preserve">, se debe identificar con claridad que datos contenidos en las documentales que son susceptibles de suprimirse, por ejemplo; </w:t>
            </w:r>
            <w:r w:rsidRPr="00B77D66">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C46C6" w:rsidRPr="00B77D66" w:rsidTr="00AE4DB9">
        <w:tc>
          <w:tcPr>
            <w:cnfStyle w:val="001000000000" w:firstRow="0" w:lastRow="0" w:firstColumn="1" w:lastColumn="0" w:oddVBand="0" w:evenVBand="0" w:oddHBand="0" w:evenHBand="0" w:firstRowFirstColumn="0" w:firstRowLastColumn="0" w:lastRowFirstColumn="0" w:lastRowLastColumn="0"/>
            <w:tcW w:w="1838" w:type="dxa"/>
          </w:tcPr>
          <w:p w:rsidR="003C46C6" w:rsidRPr="00B77D66" w:rsidRDefault="003C46C6" w:rsidP="00AE4DB9">
            <w:pPr>
              <w:spacing w:line="360" w:lineRule="auto"/>
              <w:ind w:right="49"/>
              <w:jc w:val="both"/>
              <w:rPr>
                <w:rFonts w:ascii="Palatino Linotype" w:hAnsi="Palatino Linotype" w:cs="Arial"/>
                <w:color w:val="000000"/>
                <w:sz w:val="20"/>
                <w:szCs w:val="20"/>
              </w:rPr>
            </w:pPr>
            <w:r w:rsidRPr="00B77D66">
              <w:rPr>
                <w:rFonts w:ascii="Palatino Linotype" w:eastAsia="MS Gothic" w:hAnsi="Palatino Linotype"/>
                <w:b w:val="0"/>
                <w:sz w:val="20"/>
                <w:szCs w:val="20"/>
              </w:rPr>
              <w:lastRenderedPageBreak/>
              <w:t xml:space="preserve">e) Condiciones especiales de la clasificación de la información </w:t>
            </w:r>
            <w:r w:rsidRPr="00B77D66">
              <w:rPr>
                <w:rFonts w:ascii="Palatino Linotype" w:eastAsia="MS Gothic" w:hAnsi="Palatino Linotype"/>
                <w:b w:val="0"/>
                <w:sz w:val="20"/>
                <w:szCs w:val="20"/>
              </w:rPr>
              <w:lastRenderedPageBreak/>
              <w:t xml:space="preserve">como confidencial. </w:t>
            </w:r>
          </w:p>
          <w:p w:rsidR="003C46C6" w:rsidRPr="00B77D66" w:rsidRDefault="003C46C6" w:rsidP="00AE4DB9">
            <w:pPr>
              <w:spacing w:line="360" w:lineRule="auto"/>
              <w:rPr>
                <w:rFonts w:ascii="Palatino Linotype" w:hAnsi="Palatino Linotype"/>
                <w:sz w:val="20"/>
                <w:szCs w:val="20"/>
              </w:rPr>
            </w:pPr>
          </w:p>
        </w:tc>
        <w:tc>
          <w:tcPr>
            <w:tcW w:w="6990" w:type="dxa"/>
          </w:tcPr>
          <w:p w:rsidR="003C46C6" w:rsidRPr="00B77D66" w:rsidRDefault="003C46C6" w:rsidP="00AE4DB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77D66">
              <w:rPr>
                <w:rFonts w:ascii="Palatino Linotype" w:hAnsi="Palatino Linotype" w:cs="Arial"/>
                <w:color w:val="000000"/>
                <w:sz w:val="20"/>
                <w:szCs w:val="20"/>
              </w:rPr>
              <w:lastRenderedPageBreak/>
              <w:t xml:space="preserve">Los artículos 148 y 120 de la Ley Estatal y de la Ley General, respectivamente, establecen que aun tratándose de datos personales, se podrán proporcionar, incluso sin solicitar el consentimiento de su titular. </w:t>
            </w:r>
          </w:p>
          <w:p w:rsidR="003C46C6" w:rsidRPr="00B77D66" w:rsidRDefault="003C46C6" w:rsidP="00AE4DB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77D66">
              <w:rPr>
                <w:rFonts w:ascii="Palatino Linotype" w:hAnsi="Palatino Linotype" w:cs="Arial"/>
                <w:color w:val="000000"/>
                <w:sz w:val="20"/>
                <w:szCs w:val="2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3C46C6" w:rsidRPr="00B77D66" w:rsidRDefault="003C46C6" w:rsidP="00AE4DB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B77D66">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3C46C6" w:rsidRPr="00B77D66" w:rsidRDefault="003C46C6" w:rsidP="003C46C6">
      <w:pPr>
        <w:spacing w:line="360" w:lineRule="auto"/>
        <w:ind w:right="49"/>
        <w:contextualSpacing/>
        <w:jc w:val="both"/>
        <w:rPr>
          <w:rFonts w:ascii="Palatino Linotype" w:hAnsi="Palatino Linotype"/>
          <w:color w:val="000000" w:themeColor="text1"/>
          <w:sz w:val="22"/>
        </w:rPr>
      </w:pPr>
    </w:p>
    <w:p w:rsidR="003C46C6" w:rsidRPr="00B77D66" w:rsidRDefault="003C46C6" w:rsidP="003C46C6">
      <w:pPr>
        <w:spacing w:line="360" w:lineRule="auto"/>
        <w:rPr>
          <w:rFonts w:ascii="Palatino Linotype" w:eastAsia="Calibri" w:hAnsi="Palatino Linotype"/>
        </w:rPr>
      </w:pPr>
    </w:p>
    <w:p w:rsidR="003C46C6" w:rsidRPr="00B77D66" w:rsidRDefault="003C46C6" w:rsidP="003C46C6">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B77D66">
        <w:rPr>
          <w:rFonts w:ascii="Palatino Linotype" w:eastAsia="Calibri" w:hAnsi="Palatino Linotype"/>
        </w:rPr>
        <w:t xml:space="preserve">Por lo anteriormente expuesto y fundado, este </w:t>
      </w:r>
      <w:r w:rsidRPr="00B77D66">
        <w:rPr>
          <w:rFonts w:ascii="Palatino Linotype" w:eastAsia="Calibri" w:hAnsi="Palatino Linotype"/>
          <w:b/>
          <w:bCs/>
        </w:rPr>
        <w:t>ÓRGANO GARANTE</w:t>
      </w:r>
      <w:r w:rsidRPr="00B77D66">
        <w:rPr>
          <w:rFonts w:ascii="Palatino Linotype" w:eastAsia="Calibri" w:hAnsi="Palatino Linotype"/>
        </w:rPr>
        <w:t xml:space="preserve"> emite los siguientes:</w:t>
      </w:r>
    </w:p>
    <w:p w:rsidR="003C46C6" w:rsidRPr="00B77D66" w:rsidRDefault="003C46C6" w:rsidP="003C46C6">
      <w:pPr>
        <w:spacing w:line="360" w:lineRule="auto"/>
        <w:contextualSpacing/>
        <w:jc w:val="both"/>
        <w:rPr>
          <w:rFonts w:ascii="Palatino Linotype" w:eastAsia="Calibri" w:hAnsi="Palatino Linotype"/>
        </w:rPr>
      </w:pPr>
    </w:p>
    <w:p w:rsidR="003C46C6" w:rsidRPr="00B77D66" w:rsidRDefault="003C46C6" w:rsidP="003C46C6">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45" w:name="_Toc528153792"/>
      <w:bookmarkStart w:id="46" w:name="_Toc71158406"/>
      <w:bookmarkStart w:id="47" w:name="_Toc83301643"/>
      <w:r w:rsidRPr="00B77D66">
        <w:rPr>
          <w:rFonts w:ascii="Palatino Linotype" w:eastAsiaTheme="majorEastAsia" w:hAnsi="Palatino Linotype" w:cstheme="majorBidi"/>
          <w:b/>
          <w:color w:val="000000" w:themeColor="text1"/>
          <w:lang w:eastAsia="en-US"/>
        </w:rPr>
        <w:t>R E S O L U T I V O S</w:t>
      </w:r>
      <w:bookmarkEnd w:id="45"/>
      <w:bookmarkEnd w:id="46"/>
      <w:bookmarkEnd w:id="47"/>
    </w:p>
    <w:p w:rsidR="003C46C6" w:rsidRPr="00B77D66" w:rsidRDefault="003C46C6" w:rsidP="003C46C6">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9"/>
    <w:bookmarkEnd w:id="10"/>
    <w:bookmarkEnd w:id="11"/>
    <w:p w:rsidR="003C46C6" w:rsidRPr="00B77D66" w:rsidRDefault="003C46C6" w:rsidP="003C46C6">
      <w:pPr>
        <w:spacing w:line="360" w:lineRule="auto"/>
        <w:ind w:right="48"/>
        <w:jc w:val="both"/>
        <w:rPr>
          <w:rFonts w:ascii="Palatino Linotype" w:hAnsi="Palatino Linotype" w:cs="Arial"/>
          <w:bCs/>
        </w:rPr>
      </w:pPr>
      <w:r w:rsidRPr="00B77D66">
        <w:rPr>
          <w:rFonts w:ascii="Palatino Linotype" w:hAnsi="Palatino Linotype" w:cs="Arial"/>
          <w:b/>
        </w:rPr>
        <w:t xml:space="preserve">PRIMERO. </w:t>
      </w:r>
      <w:r w:rsidRPr="00B77D66">
        <w:rPr>
          <w:rFonts w:ascii="Palatino Linotype" w:hAnsi="Palatino Linotype" w:cs="Arial"/>
        </w:rPr>
        <w:t>Resultan fundadas las</w:t>
      </w:r>
      <w:r w:rsidRPr="00B77D66">
        <w:rPr>
          <w:rFonts w:ascii="Palatino Linotype" w:hAnsi="Palatino Linotype" w:cs="Arial"/>
          <w:b/>
        </w:rPr>
        <w:t xml:space="preserve"> </w:t>
      </w:r>
      <w:r w:rsidRPr="00B77D66">
        <w:rPr>
          <w:rFonts w:ascii="Palatino Linotype" w:hAnsi="Palatino Linotype" w:cs="Arial"/>
          <w:lang w:val="es-ES"/>
        </w:rPr>
        <w:t xml:space="preserve">razones o motivos de inconformidad hechos valer </w:t>
      </w:r>
      <w:r w:rsidRPr="00B77D66">
        <w:rPr>
          <w:rFonts w:ascii="Palatino Linotype" w:eastAsia="Calibri" w:hAnsi="Palatino Linotype" w:cs="Arial"/>
          <w:lang w:val="es-ES"/>
        </w:rPr>
        <w:t xml:space="preserve">en el recurso de revisión </w:t>
      </w:r>
      <w:r w:rsidR="006C2DCF" w:rsidRPr="00B77D66">
        <w:rPr>
          <w:rFonts w:ascii="Palatino Linotype" w:hAnsi="Palatino Linotype" w:cs="Arial"/>
          <w:b/>
          <w:bCs/>
        </w:rPr>
        <w:t>03633</w:t>
      </w:r>
      <w:r w:rsidRPr="00B77D66">
        <w:rPr>
          <w:rFonts w:ascii="Palatino Linotype" w:hAnsi="Palatino Linotype" w:cs="Arial"/>
          <w:b/>
          <w:bCs/>
        </w:rPr>
        <w:t xml:space="preserve">/INFOEM/IP/RR/2022, </w:t>
      </w:r>
      <w:r w:rsidRPr="00B77D66">
        <w:rPr>
          <w:rFonts w:ascii="Palatino Linotype" w:hAnsi="Palatino Linotype" w:cs="Arial"/>
          <w:bCs/>
        </w:rPr>
        <w:t xml:space="preserve">en términos de los </w:t>
      </w:r>
      <w:r w:rsidR="00E46EEA" w:rsidRPr="00B77D66">
        <w:rPr>
          <w:rFonts w:ascii="Palatino Linotype" w:hAnsi="Palatino Linotype" w:cs="Arial"/>
          <w:b/>
          <w:bCs/>
        </w:rPr>
        <w:t>c</w:t>
      </w:r>
      <w:r w:rsidRPr="00B77D66">
        <w:rPr>
          <w:rFonts w:ascii="Palatino Linotype" w:hAnsi="Palatino Linotype" w:cs="Arial"/>
          <w:b/>
          <w:bCs/>
        </w:rPr>
        <w:t>onsiderandos</w:t>
      </w:r>
      <w:r w:rsidRPr="00B77D66">
        <w:rPr>
          <w:rFonts w:ascii="Palatino Linotype" w:hAnsi="Palatino Linotype" w:cs="Arial"/>
          <w:bCs/>
        </w:rPr>
        <w:t xml:space="preserve"> </w:t>
      </w:r>
      <w:r w:rsidRPr="00B77D66">
        <w:rPr>
          <w:rFonts w:ascii="Palatino Linotype" w:hAnsi="Palatino Linotype" w:cs="Arial"/>
          <w:b/>
          <w:bCs/>
        </w:rPr>
        <w:t xml:space="preserve">CUARTO y QUINTO </w:t>
      </w:r>
      <w:r w:rsidRPr="00B77D66">
        <w:rPr>
          <w:rFonts w:ascii="Palatino Linotype" w:hAnsi="Palatino Linotype" w:cs="Arial"/>
          <w:bCs/>
        </w:rPr>
        <w:t>de la presente resolución.</w:t>
      </w:r>
    </w:p>
    <w:p w:rsidR="003C46C6" w:rsidRPr="00B77D66" w:rsidRDefault="003C46C6" w:rsidP="003C46C6">
      <w:pPr>
        <w:spacing w:line="360" w:lineRule="auto"/>
        <w:ind w:right="48"/>
        <w:jc w:val="both"/>
        <w:rPr>
          <w:rFonts w:ascii="Palatino Linotype" w:hAnsi="Palatino Linotype" w:cs="Arial"/>
          <w:bCs/>
        </w:rPr>
      </w:pPr>
    </w:p>
    <w:p w:rsidR="003C46C6" w:rsidRPr="00B77D66" w:rsidRDefault="003C46C6" w:rsidP="003C46C6">
      <w:pPr>
        <w:spacing w:line="360" w:lineRule="auto"/>
        <w:ind w:right="48"/>
        <w:jc w:val="both"/>
        <w:rPr>
          <w:rFonts w:ascii="Palatino Linotype" w:hAnsi="Palatino Linotype" w:cs="Arial"/>
          <w:bCs/>
        </w:rPr>
      </w:pPr>
      <w:bookmarkStart w:id="48" w:name="_Toc477891768"/>
      <w:bookmarkStart w:id="49" w:name="_Toc477891858"/>
      <w:bookmarkStart w:id="50" w:name="_Toc481576259"/>
      <w:bookmarkStart w:id="51" w:name="_Toc492590391"/>
      <w:bookmarkStart w:id="52" w:name="_Toc462653937"/>
      <w:bookmarkStart w:id="53" w:name="_Toc453696502"/>
      <w:bookmarkStart w:id="54" w:name="_Toc454301155"/>
      <w:r w:rsidRPr="00B77D66">
        <w:rPr>
          <w:rFonts w:ascii="Palatino Linotype" w:hAnsi="Palatino Linotype"/>
          <w:b/>
        </w:rPr>
        <w:t>SEGUNDO.</w:t>
      </w:r>
      <w:r w:rsidRPr="00B77D66">
        <w:rPr>
          <w:rStyle w:val="Ttulo2Car"/>
          <w:rFonts w:ascii="Palatino Linotype" w:hAnsi="Palatino Linotype"/>
          <w:sz w:val="28"/>
        </w:rPr>
        <w:t xml:space="preserve"> </w:t>
      </w:r>
      <w:bookmarkEnd w:id="48"/>
      <w:bookmarkEnd w:id="49"/>
      <w:bookmarkEnd w:id="50"/>
      <w:bookmarkEnd w:id="51"/>
      <w:bookmarkEnd w:id="52"/>
      <w:bookmarkEnd w:id="53"/>
      <w:bookmarkEnd w:id="54"/>
      <w:r w:rsidRPr="00B77D66">
        <w:rPr>
          <w:rFonts w:ascii="Palatino Linotype" w:eastAsia="Calibri" w:hAnsi="Palatino Linotype" w:cs="Arial"/>
          <w:lang w:val="es-ES"/>
        </w:rPr>
        <w:t>Se</w:t>
      </w:r>
      <w:r w:rsidRPr="00B77D66">
        <w:rPr>
          <w:rFonts w:ascii="Palatino Linotype" w:eastAsia="Calibri" w:hAnsi="Palatino Linotype" w:cs="Arial"/>
          <w:b/>
          <w:lang w:val="es-ES"/>
        </w:rPr>
        <w:t xml:space="preserve"> MODIFICA </w:t>
      </w:r>
      <w:r w:rsidRPr="00B77D66">
        <w:rPr>
          <w:rFonts w:ascii="Palatino Linotype" w:eastAsia="Calibri" w:hAnsi="Palatino Linotype" w:cs="Arial"/>
          <w:lang w:val="es-ES"/>
        </w:rPr>
        <w:t xml:space="preserve">la respuesta emitida por el </w:t>
      </w:r>
      <w:r w:rsidRPr="00B77D66">
        <w:rPr>
          <w:rFonts w:ascii="Palatino Linotype" w:hAnsi="Palatino Linotype" w:cs="Arial"/>
          <w:b/>
          <w:bCs/>
        </w:rPr>
        <w:t xml:space="preserve">Ayuntamiento de </w:t>
      </w:r>
      <w:r w:rsidR="006C2DCF" w:rsidRPr="00B77D66">
        <w:rPr>
          <w:rFonts w:ascii="Palatino Linotype" w:hAnsi="Palatino Linotype" w:cs="Arial"/>
          <w:b/>
          <w:bCs/>
        </w:rPr>
        <w:t>Cuautitlán Izcalli</w:t>
      </w:r>
      <w:r w:rsidRPr="00B77D66">
        <w:rPr>
          <w:rFonts w:ascii="Palatino Linotype" w:hAnsi="Palatino Linotype" w:cs="Arial"/>
          <w:b/>
          <w:lang w:val="es-ES"/>
        </w:rPr>
        <w:t xml:space="preserve"> </w:t>
      </w:r>
      <w:r w:rsidRPr="00B77D66">
        <w:rPr>
          <w:rFonts w:ascii="Palatino Linotype" w:eastAsia="Calibri" w:hAnsi="Palatino Linotype" w:cs="Arial"/>
          <w:lang w:val="es-ES"/>
        </w:rPr>
        <w:t>y se</w:t>
      </w:r>
      <w:r w:rsidRPr="00B77D66">
        <w:rPr>
          <w:rFonts w:ascii="Palatino Linotype" w:eastAsia="Calibri" w:hAnsi="Palatino Linotype" w:cs="Arial"/>
          <w:b/>
          <w:lang w:val="es-ES"/>
        </w:rPr>
        <w:t xml:space="preserve"> ORDENA </w:t>
      </w:r>
      <w:r w:rsidRPr="00B77D66">
        <w:rPr>
          <w:rFonts w:ascii="Palatino Linotype" w:hAnsi="Palatino Linotype" w:cs="Arial"/>
          <w:lang w:val="es-ES"/>
        </w:rPr>
        <w:t xml:space="preserve">entregar vía Sistema de Accesos a la Información Mexiquense (SAIMEX), </w:t>
      </w:r>
      <w:r w:rsidRPr="00B77D66">
        <w:rPr>
          <w:rFonts w:ascii="Palatino Linotype" w:hAnsi="Palatino Linotype" w:cs="Arial"/>
          <w:b/>
          <w:lang w:val="es-ES"/>
        </w:rPr>
        <w:t>de ser procedente en versión pública</w:t>
      </w:r>
      <w:r w:rsidRPr="00B77D66">
        <w:rPr>
          <w:rFonts w:ascii="Palatino Linotype" w:hAnsi="Palatino Linotype" w:cs="Arial"/>
          <w:lang w:val="es-ES"/>
        </w:rPr>
        <w:t>, la siguiente información:</w:t>
      </w:r>
    </w:p>
    <w:p w:rsidR="003C46C6" w:rsidRPr="00B77D66" w:rsidRDefault="003C46C6" w:rsidP="003C46C6">
      <w:pPr>
        <w:spacing w:line="360" w:lineRule="auto"/>
        <w:ind w:right="48"/>
        <w:jc w:val="both"/>
        <w:rPr>
          <w:rFonts w:ascii="Palatino Linotype" w:hAnsi="Palatino Linotype" w:cs="Arial"/>
          <w:b/>
          <w:bCs/>
        </w:rPr>
      </w:pPr>
    </w:p>
    <w:p w:rsidR="003C46C6" w:rsidRPr="00B77D66" w:rsidRDefault="0007349A" w:rsidP="003C46C6">
      <w:pPr>
        <w:pStyle w:val="Prrafodelista"/>
        <w:numPr>
          <w:ilvl w:val="0"/>
          <w:numId w:val="3"/>
        </w:numPr>
        <w:spacing w:line="360" w:lineRule="auto"/>
        <w:ind w:left="851" w:right="48" w:firstLine="0"/>
        <w:rPr>
          <w:rFonts w:ascii="Palatino Linotype" w:eastAsia="Palatino Linotype" w:hAnsi="Palatino Linotype" w:cs="Palatino Linotype"/>
          <w:b/>
          <w:lang w:val="es-ES_tradnl"/>
        </w:rPr>
      </w:pPr>
      <w:bookmarkStart w:id="55" w:name="_Toc460947013"/>
      <w:r w:rsidRPr="00B77D66">
        <w:rPr>
          <w:rFonts w:ascii="Palatino Linotype" w:eastAsia="MS Gothic" w:hAnsi="Palatino Linotype" w:cstheme="majorBidi"/>
          <w:b/>
          <w:lang w:val="es-ES_tradnl" w:eastAsia="es-ES"/>
        </w:rPr>
        <w:t xml:space="preserve">Libro Especial de Bienes Inmuebles actualizado a la fecha de la solicitud. </w:t>
      </w:r>
    </w:p>
    <w:p w:rsidR="003C46C6" w:rsidRPr="00B77D66" w:rsidRDefault="003C46C6" w:rsidP="003C46C6">
      <w:pPr>
        <w:spacing w:line="360" w:lineRule="auto"/>
        <w:ind w:right="48"/>
        <w:jc w:val="both"/>
        <w:rPr>
          <w:rFonts w:ascii="Palatino Linotype" w:eastAsia="Palatino Linotype" w:hAnsi="Palatino Linotype" w:cs="Palatino Linotype"/>
          <w:b/>
        </w:rPr>
      </w:pPr>
    </w:p>
    <w:p w:rsidR="003C46C6" w:rsidRPr="00B77D66" w:rsidRDefault="003C46C6" w:rsidP="003C46C6">
      <w:pPr>
        <w:spacing w:line="360" w:lineRule="auto"/>
        <w:jc w:val="both"/>
        <w:rPr>
          <w:rFonts w:ascii="Palatino Linotype" w:hAnsi="Palatino Linotype"/>
        </w:rPr>
      </w:pPr>
      <w:r w:rsidRPr="00B77D66">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B77D66">
        <w:rPr>
          <w:rFonts w:ascii="Palatino Linotype" w:hAnsi="Palatino Linotype"/>
        </w:rPr>
        <w:t xml:space="preserve"> </w:t>
      </w:r>
    </w:p>
    <w:p w:rsidR="003C46C6" w:rsidRPr="00B77D66" w:rsidRDefault="003C46C6" w:rsidP="003C46C6">
      <w:pPr>
        <w:spacing w:line="360" w:lineRule="auto"/>
        <w:ind w:right="48"/>
        <w:jc w:val="both"/>
        <w:rPr>
          <w:rFonts w:ascii="Palatino Linotype" w:eastAsia="Palatino Linotype" w:hAnsi="Palatino Linotype" w:cs="Palatino Linotype"/>
          <w:b/>
        </w:rPr>
      </w:pPr>
    </w:p>
    <w:p w:rsidR="003C46C6" w:rsidRPr="00B77D66" w:rsidRDefault="003C46C6" w:rsidP="003C46C6">
      <w:pPr>
        <w:tabs>
          <w:tab w:val="left" w:pos="8080"/>
        </w:tabs>
        <w:spacing w:line="360" w:lineRule="auto"/>
        <w:ind w:right="48"/>
        <w:contextualSpacing/>
        <w:jc w:val="both"/>
        <w:rPr>
          <w:rFonts w:ascii="Palatino Linotype" w:hAnsi="Palatino Linotype"/>
          <w:color w:val="222222"/>
          <w:shd w:val="clear" w:color="auto" w:fill="FFFFFF"/>
        </w:rPr>
      </w:pPr>
      <w:r w:rsidRPr="00B77D66">
        <w:rPr>
          <w:rFonts w:ascii="Palatino Linotype" w:eastAsia="Palatino Linotype" w:hAnsi="Palatino Linotype" w:cs="Palatino Linotype"/>
          <w:b/>
        </w:rPr>
        <w:t xml:space="preserve">TERCERO. Notifíquese </w:t>
      </w:r>
      <w:r w:rsidRPr="00B77D66">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B77D66">
        <w:rPr>
          <w:rFonts w:ascii="Palatino Linotype" w:eastAsia="Palatino Linotype" w:hAnsi="Palatino Linotype" w:cs="Palatino Linotype"/>
          <w:b/>
        </w:rPr>
        <w:t>ordenado dentro del plazo de diez días hábiles</w:t>
      </w:r>
      <w:r w:rsidRPr="00B77D66">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3C46C6" w:rsidRPr="00B77D66" w:rsidRDefault="003C46C6" w:rsidP="003C46C6">
      <w:pPr>
        <w:tabs>
          <w:tab w:val="left" w:pos="8080"/>
        </w:tabs>
        <w:spacing w:line="360" w:lineRule="auto"/>
        <w:ind w:right="48"/>
        <w:contextualSpacing/>
        <w:jc w:val="both"/>
        <w:rPr>
          <w:rFonts w:ascii="Palatino Linotype" w:hAnsi="Palatino Linotype"/>
          <w:color w:val="222222"/>
          <w:shd w:val="clear" w:color="auto" w:fill="FFFFFF"/>
        </w:rPr>
      </w:pPr>
    </w:p>
    <w:p w:rsidR="003C46C6" w:rsidRPr="00B77D66" w:rsidRDefault="003C46C6" w:rsidP="003C46C6">
      <w:pPr>
        <w:shd w:val="clear" w:color="auto" w:fill="FFFFFF"/>
        <w:spacing w:line="360" w:lineRule="auto"/>
        <w:ind w:right="48"/>
        <w:jc w:val="both"/>
        <w:rPr>
          <w:rFonts w:ascii="Palatino Linotype" w:hAnsi="Palatino Linotype"/>
        </w:rPr>
      </w:pPr>
      <w:r w:rsidRPr="00B77D66">
        <w:rPr>
          <w:rFonts w:ascii="Palatino Linotype" w:hAnsi="Palatino Linotype" w:cs="Arial"/>
          <w:b/>
        </w:rPr>
        <w:t xml:space="preserve">CUARTO. </w:t>
      </w:r>
      <w:r w:rsidRPr="00B77D66">
        <w:rPr>
          <w:rFonts w:ascii="Palatino Linotype" w:hAnsi="Palatino Linotype"/>
          <w:b/>
          <w:bCs/>
          <w:lang w:val="es-ES"/>
        </w:rPr>
        <w:t>Notifíquese al RECURRENTE</w:t>
      </w:r>
      <w:r w:rsidRPr="00B77D66">
        <w:rPr>
          <w:rFonts w:ascii="Palatino Linotype" w:hAnsi="Palatino Linotype"/>
        </w:rPr>
        <w:t xml:space="preserve"> la presente resolución.</w:t>
      </w:r>
    </w:p>
    <w:p w:rsidR="003C46C6" w:rsidRPr="00B77D66" w:rsidRDefault="003C46C6" w:rsidP="003C46C6">
      <w:pPr>
        <w:shd w:val="clear" w:color="auto" w:fill="FFFFFF"/>
        <w:spacing w:line="360" w:lineRule="auto"/>
        <w:ind w:right="48"/>
        <w:jc w:val="both"/>
        <w:rPr>
          <w:rFonts w:ascii="Palatino Linotype" w:hAnsi="Palatino Linotype"/>
          <w:b/>
          <w:color w:val="FF0000"/>
        </w:rPr>
      </w:pPr>
    </w:p>
    <w:bookmarkEnd w:id="55"/>
    <w:p w:rsidR="003C46C6" w:rsidRPr="00B77D66" w:rsidRDefault="003C46C6" w:rsidP="003C46C6">
      <w:pPr>
        <w:spacing w:line="360" w:lineRule="auto"/>
        <w:ind w:right="48"/>
        <w:jc w:val="both"/>
        <w:rPr>
          <w:rFonts w:ascii="Palatino Linotype" w:eastAsia="MS Mincho" w:hAnsi="Palatino Linotype"/>
          <w:lang w:val="es-ES"/>
        </w:rPr>
      </w:pPr>
      <w:r w:rsidRPr="00B77D66">
        <w:rPr>
          <w:rFonts w:ascii="Palatino Linotype" w:eastAsia="MS Mincho" w:hAnsi="Palatino Linotype"/>
          <w:b/>
        </w:rPr>
        <w:t>QUINTO.</w:t>
      </w:r>
      <w:r w:rsidRPr="00B77D66">
        <w:rPr>
          <w:rFonts w:ascii="Palatino Linotype" w:eastAsia="MS Mincho" w:hAnsi="Palatino Linotype"/>
        </w:rPr>
        <w:t xml:space="preserve"> </w:t>
      </w:r>
      <w:r w:rsidRPr="00B77D66">
        <w:rPr>
          <w:rFonts w:ascii="Palatino Linotype" w:eastAsia="MS Mincho" w:hAnsi="Palatino Linotype"/>
          <w:lang w:val="es-ES"/>
        </w:rPr>
        <w:t xml:space="preserve">Se hace del conocimiento del </w:t>
      </w:r>
      <w:r w:rsidRPr="00B77D66">
        <w:rPr>
          <w:rFonts w:ascii="Palatino Linotype" w:hAnsi="Palatino Linotype"/>
          <w:b/>
        </w:rPr>
        <w:t>RECURRENTE</w:t>
      </w:r>
      <w:r w:rsidRPr="00B77D66">
        <w:rPr>
          <w:rFonts w:ascii="Palatino Linotype" w:hAnsi="Palatino Linotype"/>
        </w:rPr>
        <w:t xml:space="preserve"> </w:t>
      </w:r>
      <w:r w:rsidRPr="00B77D66">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B77D66">
        <w:rPr>
          <w:rFonts w:ascii="Palatino Linotype" w:eastAsia="MS Mincho" w:hAnsi="Palatino Linotype"/>
          <w:bCs/>
          <w:lang w:val="es-ES"/>
        </w:rPr>
        <w:t>vía juicio de amparo</w:t>
      </w:r>
      <w:r w:rsidRPr="00B77D66">
        <w:rPr>
          <w:rFonts w:ascii="Palatino Linotype" w:eastAsia="MS Mincho" w:hAnsi="Palatino Linotype"/>
          <w:lang w:val="es-ES"/>
        </w:rPr>
        <w:t> en los términos de las leyes aplicables.</w:t>
      </w:r>
    </w:p>
    <w:p w:rsidR="003C46C6" w:rsidRPr="00B77D66" w:rsidRDefault="003C46C6" w:rsidP="003C46C6">
      <w:pPr>
        <w:spacing w:line="360" w:lineRule="auto"/>
        <w:ind w:right="48"/>
        <w:jc w:val="both"/>
        <w:rPr>
          <w:rFonts w:ascii="Palatino Linotype" w:hAnsi="Palatino Linotype"/>
          <w:color w:val="000000"/>
          <w:shd w:val="clear" w:color="auto" w:fill="FFFFFF"/>
        </w:rPr>
      </w:pPr>
    </w:p>
    <w:p w:rsidR="003C46C6" w:rsidRPr="00B77D66" w:rsidRDefault="003C46C6" w:rsidP="003C46C6">
      <w:pPr>
        <w:spacing w:line="360" w:lineRule="auto"/>
        <w:ind w:right="48"/>
        <w:jc w:val="both"/>
        <w:rPr>
          <w:rFonts w:ascii="Palatino Linotype" w:eastAsia="Calibri" w:hAnsi="Palatino Linotype" w:cs="Arial"/>
          <w:bCs/>
        </w:rPr>
      </w:pPr>
      <w:r w:rsidRPr="00B77D66">
        <w:rPr>
          <w:rFonts w:ascii="Palatino Linotype" w:hAnsi="Palatino Linotype"/>
          <w:b/>
          <w:color w:val="000000"/>
          <w:shd w:val="clear" w:color="auto" w:fill="FFFFFF"/>
        </w:rPr>
        <w:t xml:space="preserve">SEXTO. </w:t>
      </w:r>
      <w:r w:rsidRPr="00B77D66">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3C46C6" w:rsidRPr="00B77D66" w:rsidRDefault="003C46C6" w:rsidP="003C46C6">
      <w:pPr>
        <w:spacing w:line="360" w:lineRule="auto"/>
        <w:ind w:right="48"/>
        <w:jc w:val="both"/>
        <w:rPr>
          <w:rFonts w:ascii="Palatino Linotype" w:hAnsi="Palatino Linotype"/>
        </w:rPr>
      </w:pPr>
    </w:p>
    <w:p w:rsidR="00E46EEA" w:rsidRPr="00E46EEA" w:rsidRDefault="00E46EEA" w:rsidP="00E46EEA">
      <w:pPr>
        <w:spacing w:before="240" w:after="240" w:line="360" w:lineRule="auto"/>
        <w:ind w:firstLine="1"/>
        <w:jc w:val="both"/>
        <w:rPr>
          <w:rFonts w:ascii="Palatino Linotype" w:hAnsi="Palatino Linotype"/>
          <w:smallCaps/>
        </w:rPr>
      </w:pPr>
      <w:bookmarkStart w:id="56" w:name="_Hlk129792997"/>
      <w:r w:rsidRPr="00B77D66">
        <w:rPr>
          <w:rStyle w:val="Referenciasutil"/>
          <w:rFonts w:ascii="Palatino Linotype" w:eastAsiaTheme="majorEastAsia"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w:t>
      </w:r>
      <w:r w:rsidR="00986DAE">
        <w:rPr>
          <w:rStyle w:val="Referenciasutil"/>
          <w:rFonts w:ascii="Palatino Linotype" w:eastAsiaTheme="majorEastAsia" w:hAnsi="Palatino Linotype"/>
          <w:color w:val="auto"/>
        </w:rPr>
        <w:t>EÑA; EN LA VI</w:t>
      </w:r>
      <w:bookmarkStart w:id="57" w:name="_GoBack"/>
      <w:bookmarkEnd w:id="57"/>
      <w:r w:rsidRPr="00B77D66">
        <w:rPr>
          <w:rStyle w:val="Referenciasutil"/>
          <w:rFonts w:ascii="Palatino Linotype" w:eastAsiaTheme="majorEastAsia" w:hAnsi="Palatino Linotype"/>
          <w:color w:val="auto"/>
        </w:rPr>
        <w:t>GÉSIMA CUARTA SESIÓN ORDINARIA CELEBRADA EL VEINTIOCHO (28) DE JUNIO DE DOS MIL VEINTITRÉS, ANTE EL SECRETARIO TÉCNICO DEL PLENO ALEXIS TAPIA RAMÍREZ.</w:t>
      </w:r>
      <w:r w:rsidRPr="00E46EEA">
        <w:rPr>
          <w:rStyle w:val="Referenciasutil"/>
          <w:rFonts w:ascii="Palatino Linotype" w:eastAsiaTheme="majorEastAsia" w:hAnsi="Palatino Linotype"/>
          <w:color w:val="auto"/>
        </w:rPr>
        <w:t xml:space="preserve"> </w:t>
      </w:r>
      <w:bookmarkEnd w:id="56"/>
    </w:p>
    <w:p w:rsidR="003C46C6" w:rsidRPr="00991BA9" w:rsidRDefault="003C46C6" w:rsidP="003C46C6">
      <w:pPr>
        <w:spacing w:line="360" w:lineRule="auto"/>
        <w:ind w:right="48"/>
        <w:rPr>
          <w:rFonts w:ascii="Palatino Linotype" w:hAnsi="Palatino Linotype"/>
        </w:rPr>
      </w:pPr>
    </w:p>
    <w:p w:rsidR="003C46C6" w:rsidRPr="00991BA9" w:rsidRDefault="003C46C6" w:rsidP="003C46C6">
      <w:pPr>
        <w:spacing w:line="360" w:lineRule="auto"/>
        <w:ind w:right="49"/>
        <w:jc w:val="both"/>
        <w:rPr>
          <w:rFonts w:ascii="Palatino Linotype" w:eastAsiaTheme="minorEastAsia" w:hAnsi="Palatino Linotype" w:cs="Arial"/>
          <w:lang w:val="es-ES_tradnl" w:eastAsia="es-ES"/>
        </w:rPr>
      </w:pPr>
    </w:p>
    <w:p w:rsidR="003C46C6" w:rsidRPr="00991BA9" w:rsidRDefault="003C46C6" w:rsidP="003C46C6">
      <w:pPr>
        <w:spacing w:line="360" w:lineRule="auto"/>
        <w:ind w:right="49"/>
        <w:jc w:val="both"/>
        <w:rPr>
          <w:rFonts w:ascii="Palatino Linotype" w:eastAsiaTheme="minorEastAsia" w:hAnsi="Palatino Linotype" w:cs="Arial"/>
          <w:lang w:val="es-ES_tradnl" w:eastAsia="es-ES"/>
        </w:rPr>
      </w:pPr>
    </w:p>
    <w:p w:rsidR="003C46C6" w:rsidRPr="00991BA9" w:rsidRDefault="003C46C6" w:rsidP="003C46C6">
      <w:pPr>
        <w:spacing w:line="360" w:lineRule="auto"/>
        <w:ind w:right="49"/>
        <w:jc w:val="both"/>
        <w:rPr>
          <w:rFonts w:ascii="Palatino Linotype" w:eastAsiaTheme="minorEastAsia" w:hAnsi="Palatino Linotype" w:cs="Arial"/>
          <w:lang w:val="es-ES_tradnl" w:eastAsia="es-ES"/>
        </w:rPr>
      </w:pPr>
    </w:p>
    <w:p w:rsidR="003C46C6" w:rsidRPr="00991BA9" w:rsidRDefault="003C46C6" w:rsidP="003C46C6">
      <w:pPr>
        <w:spacing w:line="360" w:lineRule="auto"/>
        <w:ind w:right="49"/>
        <w:jc w:val="both"/>
        <w:rPr>
          <w:rFonts w:ascii="Palatino Linotype" w:eastAsiaTheme="minorEastAsia" w:hAnsi="Palatino Linotype" w:cs="Arial"/>
          <w:lang w:val="es-ES_tradnl" w:eastAsia="es-ES"/>
        </w:rPr>
      </w:pPr>
    </w:p>
    <w:p w:rsidR="003C46C6" w:rsidRPr="00991BA9" w:rsidRDefault="003C46C6" w:rsidP="003C46C6">
      <w:pPr>
        <w:spacing w:line="360" w:lineRule="auto"/>
        <w:ind w:right="49"/>
        <w:jc w:val="both"/>
        <w:rPr>
          <w:rFonts w:ascii="Palatino Linotype" w:eastAsiaTheme="minorEastAsia" w:hAnsi="Palatino Linotype" w:cs="Arial"/>
          <w:lang w:val="es-ES_tradnl" w:eastAsia="es-ES"/>
        </w:rPr>
      </w:pPr>
    </w:p>
    <w:p w:rsidR="003C46C6" w:rsidRPr="00991BA9" w:rsidRDefault="003C46C6" w:rsidP="003C46C6">
      <w:pPr>
        <w:spacing w:line="360" w:lineRule="auto"/>
        <w:ind w:right="49"/>
        <w:jc w:val="both"/>
        <w:rPr>
          <w:rFonts w:ascii="Palatino Linotype" w:eastAsiaTheme="minorEastAsia" w:hAnsi="Palatino Linotype" w:cs="Arial"/>
          <w:lang w:val="es-ES_tradnl" w:eastAsia="es-ES"/>
        </w:rPr>
      </w:pPr>
    </w:p>
    <w:p w:rsidR="003C46C6" w:rsidRPr="00991BA9" w:rsidRDefault="003C46C6" w:rsidP="003C46C6">
      <w:pPr>
        <w:spacing w:line="360" w:lineRule="auto"/>
        <w:ind w:right="49"/>
        <w:jc w:val="both"/>
        <w:rPr>
          <w:rFonts w:ascii="Palatino Linotype" w:eastAsiaTheme="minorEastAsia" w:hAnsi="Palatino Linotype" w:cs="Arial"/>
          <w:lang w:val="es-ES_tradnl" w:eastAsia="es-ES"/>
        </w:rPr>
      </w:pPr>
    </w:p>
    <w:p w:rsidR="003C46C6" w:rsidRPr="00991BA9" w:rsidRDefault="003C46C6" w:rsidP="003C46C6">
      <w:pPr>
        <w:spacing w:line="360" w:lineRule="auto"/>
        <w:ind w:right="49"/>
        <w:jc w:val="both"/>
        <w:rPr>
          <w:rFonts w:ascii="Palatino Linotype" w:eastAsiaTheme="minorEastAsia" w:hAnsi="Palatino Linotype" w:cs="Arial"/>
          <w:lang w:val="es-ES_tradnl" w:eastAsia="es-ES"/>
        </w:rPr>
      </w:pPr>
    </w:p>
    <w:p w:rsidR="003C46C6" w:rsidRPr="00991BA9" w:rsidRDefault="003C46C6" w:rsidP="003C46C6">
      <w:pPr>
        <w:spacing w:line="360" w:lineRule="auto"/>
        <w:ind w:right="49"/>
        <w:jc w:val="both"/>
        <w:rPr>
          <w:rFonts w:ascii="Palatino Linotype" w:eastAsiaTheme="minorEastAsia" w:hAnsi="Palatino Linotype" w:cs="Arial"/>
          <w:lang w:val="es-ES_tradnl" w:eastAsia="es-ES"/>
        </w:rPr>
      </w:pPr>
    </w:p>
    <w:p w:rsidR="003C46C6" w:rsidRPr="00991BA9" w:rsidRDefault="003C46C6" w:rsidP="003C46C6">
      <w:pPr>
        <w:spacing w:line="360" w:lineRule="auto"/>
        <w:ind w:right="49"/>
        <w:jc w:val="both"/>
        <w:rPr>
          <w:rFonts w:ascii="Palatino Linotype" w:eastAsiaTheme="minorEastAsia" w:hAnsi="Palatino Linotype" w:cs="Arial"/>
          <w:lang w:val="es-ES_tradnl" w:eastAsia="es-ES"/>
        </w:rPr>
      </w:pPr>
    </w:p>
    <w:p w:rsidR="003C46C6" w:rsidRPr="00991BA9" w:rsidRDefault="003C46C6" w:rsidP="003C46C6">
      <w:pPr>
        <w:spacing w:line="360" w:lineRule="auto"/>
        <w:rPr>
          <w:rFonts w:ascii="Palatino Linotype" w:hAnsi="Palatino Linotype"/>
        </w:rPr>
      </w:pPr>
    </w:p>
    <w:p w:rsidR="003C46C6" w:rsidRDefault="003C46C6" w:rsidP="003C46C6"/>
    <w:p w:rsidR="003C46C6" w:rsidRDefault="003C46C6" w:rsidP="003C46C6"/>
    <w:p w:rsidR="00AE4DB9" w:rsidRDefault="00AE4DB9"/>
    <w:sectPr w:rsidR="00AE4DB9" w:rsidSect="00AE4DB9">
      <w:headerReference w:type="even" r:id="rId20"/>
      <w:headerReference w:type="default" r:id="rId21"/>
      <w:footerReference w:type="default" r:id="rId22"/>
      <w:headerReference w:type="first" r:id="rId23"/>
      <w:footerReference w:type="first" r:id="rId2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67E" w:rsidRDefault="00DB567E" w:rsidP="003C46C6">
      <w:r>
        <w:separator/>
      </w:r>
    </w:p>
  </w:endnote>
  <w:endnote w:type="continuationSeparator" w:id="0">
    <w:p w:rsidR="00DB567E" w:rsidRDefault="00DB567E" w:rsidP="003C4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0E" w:rsidRDefault="0092740E">
    <w:pPr>
      <w:pStyle w:val="Piedepgina"/>
      <w:jc w:val="right"/>
    </w:pPr>
    <w:r>
      <w:rPr>
        <w:lang w:val="es-ES"/>
      </w:rPr>
      <w:t xml:space="preserve">Página </w:t>
    </w:r>
    <w:r>
      <w:rPr>
        <w:b/>
        <w:bCs/>
      </w:rPr>
      <w:fldChar w:fldCharType="begin"/>
    </w:r>
    <w:r>
      <w:rPr>
        <w:b/>
        <w:bCs/>
      </w:rPr>
      <w:instrText>PAGE</w:instrText>
    </w:r>
    <w:r>
      <w:rPr>
        <w:b/>
        <w:bCs/>
      </w:rPr>
      <w:fldChar w:fldCharType="separate"/>
    </w:r>
    <w:r w:rsidR="00986DAE">
      <w:rPr>
        <w:b/>
        <w:bCs/>
        <w:noProof/>
      </w:rPr>
      <w:t>51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86DAE">
      <w:rPr>
        <w:b/>
        <w:bCs/>
        <w:noProof/>
      </w:rPr>
      <w:t>51</w:t>
    </w:r>
    <w:r>
      <w:rPr>
        <w:b/>
        <w:bCs/>
      </w:rPr>
      <w:fldChar w:fldCharType="end"/>
    </w:r>
  </w:p>
  <w:p w:rsidR="0092740E" w:rsidRDefault="009274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0E" w:rsidRDefault="0092740E">
    <w:pPr>
      <w:pStyle w:val="Piedepgina"/>
      <w:jc w:val="right"/>
    </w:pPr>
    <w:r>
      <w:rPr>
        <w:lang w:val="es-ES"/>
      </w:rPr>
      <w:t xml:space="preserve">Página </w:t>
    </w:r>
    <w:r>
      <w:rPr>
        <w:b/>
        <w:bCs/>
      </w:rPr>
      <w:fldChar w:fldCharType="begin"/>
    </w:r>
    <w:r>
      <w:rPr>
        <w:b/>
        <w:bCs/>
      </w:rPr>
      <w:instrText>PAGE</w:instrText>
    </w:r>
    <w:r>
      <w:rPr>
        <w:b/>
        <w:bCs/>
      </w:rPr>
      <w:fldChar w:fldCharType="separate"/>
    </w:r>
    <w:r w:rsidR="00986DAE">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86DAE">
      <w:rPr>
        <w:b/>
        <w:bCs/>
        <w:noProof/>
      </w:rPr>
      <w:t>51</w:t>
    </w:r>
    <w:r>
      <w:rPr>
        <w:b/>
        <w:bCs/>
      </w:rPr>
      <w:fldChar w:fldCharType="end"/>
    </w:r>
  </w:p>
  <w:p w:rsidR="0092740E" w:rsidRDefault="009274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67E" w:rsidRDefault="00DB567E" w:rsidP="003C46C6">
      <w:r>
        <w:separator/>
      </w:r>
    </w:p>
  </w:footnote>
  <w:footnote w:type="continuationSeparator" w:id="0">
    <w:p w:rsidR="00DB567E" w:rsidRDefault="00DB567E" w:rsidP="003C46C6">
      <w:r>
        <w:continuationSeparator/>
      </w:r>
    </w:p>
  </w:footnote>
  <w:footnote w:id="1">
    <w:p w:rsidR="0092740E" w:rsidRDefault="0092740E" w:rsidP="003C46C6">
      <w:pPr>
        <w:pStyle w:val="Textonotapie"/>
      </w:pPr>
      <w:r>
        <w:rPr>
          <w:rStyle w:val="Refdenotaalpie"/>
        </w:rPr>
        <w:footnoteRef/>
      </w:r>
      <w:r>
        <w:t xml:space="preserve"> Convención Americana sobre Derechos Humanos. Artículo 13.</w:t>
      </w:r>
    </w:p>
  </w:footnote>
  <w:footnote w:id="2">
    <w:p w:rsidR="0092740E" w:rsidRDefault="0092740E" w:rsidP="003C46C6">
      <w:pPr>
        <w:pStyle w:val="Textonotapie"/>
      </w:pPr>
      <w:r>
        <w:rPr>
          <w:rStyle w:val="Refdenotaalpie"/>
        </w:rPr>
        <w:footnoteRef/>
      </w:r>
      <w:r>
        <w:t xml:space="preserve"> Constitución Política de los Estados Unidos Mexicanos. Artículo sexto, sección A, fracción I.</w:t>
      </w:r>
    </w:p>
  </w:footnote>
  <w:footnote w:id="3">
    <w:p w:rsidR="0092740E" w:rsidRDefault="0092740E" w:rsidP="003C46C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92740E" w:rsidRDefault="0092740E" w:rsidP="003C46C6">
      <w:pPr>
        <w:pStyle w:val="Textonotapie"/>
      </w:pPr>
      <w:r>
        <w:rPr>
          <w:rStyle w:val="Refdenotaalpie"/>
        </w:rPr>
        <w:footnoteRef/>
      </w:r>
      <w:r>
        <w:t xml:space="preserve"> Ibídem. Parr. 87.</w:t>
      </w:r>
    </w:p>
  </w:footnote>
  <w:footnote w:id="5">
    <w:p w:rsidR="0092740E" w:rsidRDefault="0092740E" w:rsidP="0092740E">
      <w:pPr>
        <w:pStyle w:val="Textonotapie"/>
        <w:jc w:val="both"/>
      </w:pPr>
      <w:r>
        <w:rPr>
          <w:rStyle w:val="Refdenotaalpie"/>
        </w:rPr>
        <w:footnoteRef/>
      </w:r>
      <w: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92740E" w:rsidRDefault="0092740E" w:rsidP="0092740E">
      <w:pPr>
        <w:pStyle w:val="Textonotapie"/>
        <w:jc w:val="both"/>
      </w:pPr>
      <w: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92740E" w:rsidRDefault="0092740E" w:rsidP="0092740E">
      <w:pPr>
        <w:pStyle w:val="Textonotapie"/>
        <w:jc w:val="both"/>
      </w:pPr>
      <w: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6">
    <w:p w:rsidR="0092740E" w:rsidRDefault="0092740E" w:rsidP="0092740E">
      <w:pPr>
        <w:pStyle w:val="Textonotapie"/>
        <w:rPr>
          <w:color w:val="000000"/>
          <w:lang w:val="es-MX"/>
        </w:rPr>
      </w:pPr>
      <w:r>
        <w:rPr>
          <w:rStyle w:val="Refdenotaalpie"/>
        </w:rPr>
        <w:footnoteRef/>
      </w:r>
      <w:r>
        <w:t xml:space="preserve"> </w:t>
      </w:r>
      <w:r>
        <w:rPr>
          <w:bCs/>
          <w:color w:val="000000"/>
          <w:bdr w:val="none" w:sz="0" w:space="0" w:color="auto" w:frame="1"/>
          <w:shd w:val="clear" w:color="auto" w:fill="FFFFFF"/>
        </w:rPr>
        <w:t>OVALLE FAVELA, José,</w:t>
      </w:r>
      <w:r>
        <w:rPr>
          <w:rStyle w:val="apple-converted-space"/>
          <w:bCs/>
          <w:color w:val="000000"/>
          <w:bdr w:val="none" w:sz="0" w:space="0" w:color="auto" w:frame="1"/>
          <w:shd w:val="clear" w:color="auto" w:fill="FFFFFF"/>
        </w:rPr>
        <w:t xml:space="preserve"> “</w:t>
      </w:r>
      <w:r>
        <w:rPr>
          <w:bCs/>
          <w:i/>
          <w:iCs/>
          <w:color w:val="000000"/>
          <w:bdr w:val="none" w:sz="0" w:space="0" w:color="auto" w:frame="1"/>
          <w:shd w:val="clear" w:color="auto" w:fill="FFFFFF"/>
        </w:rPr>
        <w:t>Garantías constitucionales del proceso”</w:t>
      </w:r>
      <w:r>
        <w:rPr>
          <w:bCs/>
          <w:color w:val="000000"/>
          <w:bdr w:val="none" w:sz="0" w:space="0" w:color="auto" w:frame="1"/>
          <w:shd w:val="clear" w:color="auto" w:fill="FFFFFF"/>
        </w:rPr>
        <w:t>, 2a. ed., México, Oxford University Press, 2002, 474 pp.</w:t>
      </w:r>
    </w:p>
  </w:footnote>
  <w:footnote w:id="7">
    <w:p w:rsidR="0092740E" w:rsidRDefault="0092740E" w:rsidP="0092740E">
      <w:pPr>
        <w:pStyle w:val="Textonotapie"/>
        <w:jc w:val="both"/>
      </w:pPr>
      <w:r>
        <w:rPr>
          <w:rStyle w:val="Refdenotaalpie"/>
        </w:rPr>
        <w:footnoteRef/>
      </w:r>
      <w:r>
        <w:t xml:space="preserve"> Tribunales Colegiados de Circuito. Novena Epoca. Semanario Judicial de la Federación y su Gaceta. Tomo III, marzo de 1996. Pág 769. Consultado en http://sjf.scjn.gob.mx/sjfsist/Documentos/Tesis/203/203143.pdf  el viernes 16 de junio de 2017.</w:t>
      </w:r>
    </w:p>
    <w:p w:rsidR="0092740E" w:rsidRDefault="0092740E" w:rsidP="0092740E">
      <w:pPr>
        <w:pStyle w:val="Textonotapie"/>
        <w:rPr>
          <w:lang w:val="es-MX"/>
        </w:rPr>
      </w:pPr>
    </w:p>
  </w:footnote>
  <w:footnote w:id="8">
    <w:p w:rsidR="0092740E" w:rsidRDefault="0092740E" w:rsidP="0092740E">
      <w:pPr>
        <w:pStyle w:val="Textonotapie"/>
        <w:jc w:val="both"/>
      </w:pPr>
      <w:r>
        <w:rPr>
          <w:rStyle w:val="Refdenotaalpie"/>
        </w:rPr>
        <w:footnoteRef/>
      </w:r>
      <w:r>
        <w:t xml:space="preserve"> </w:t>
      </w:r>
      <w:hyperlink r:id="rId1" w:anchor="/entry-id/E216930" w:history="1">
        <w:r>
          <w:rPr>
            <w:rStyle w:val="Hipervnculo"/>
          </w:rPr>
          <w:t>http://dej.rae.es/#/entry-id/E216930</w:t>
        </w:r>
      </w:hyperlink>
      <w:r>
        <w:t xml:space="preserve"> </w:t>
      </w:r>
    </w:p>
  </w:footnote>
  <w:footnote w:id="9">
    <w:p w:rsidR="0092740E" w:rsidRDefault="0092740E" w:rsidP="0092740E">
      <w:pPr>
        <w:pStyle w:val="Textonotapie"/>
        <w:jc w:val="both"/>
      </w:pPr>
      <w:r>
        <w:rPr>
          <w:rStyle w:val="Refdenotaalpie"/>
        </w:rPr>
        <w:footnoteRef/>
      </w:r>
      <w:r>
        <w:t xml:space="preserve"> </w:t>
      </w:r>
      <w:hyperlink r:id="rId2" w:anchor="/entry-id/E87450" w:history="1">
        <w:r>
          <w:rPr>
            <w:rStyle w:val="Hipervnculo"/>
          </w:rPr>
          <w:t>http://dej.rae.es/#/entry-id/E87450</w:t>
        </w:r>
      </w:hyperlink>
      <w:r>
        <w:t xml:space="preserve"> </w:t>
      </w:r>
    </w:p>
  </w:footnote>
  <w:footnote w:id="10">
    <w:p w:rsidR="0092740E" w:rsidRDefault="0092740E" w:rsidP="0092740E">
      <w:pPr>
        <w:pStyle w:val="Textonotapie"/>
        <w:jc w:val="both"/>
      </w:pPr>
      <w:r>
        <w:rPr>
          <w:rStyle w:val="Refdenotaalpie"/>
        </w:rPr>
        <w:footnoteRef/>
      </w:r>
      <w:r>
        <w:t xml:space="preserve"> </w:t>
      </w:r>
      <w:hyperlink r:id="rId3" w:history="1">
        <w:r>
          <w:rPr>
            <w:rStyle w:val="Hipervnculo"/>
          </w:rPr>
          <w:t>http://dle.rae.es/?id=VGqyuLj|VGtxgAo|VGuc9Wg</w:t>
        </w:r>
      </w:hyperlink>
      <w:r>
        <w:t xml:space="preserve"> </w:t>
      </w:r>
    </w:p>
  </w:footnote>
  <w:footnote w:id="11">
    <w:p w:rsidR="0092740E" w:rsidRDefault="0092740E" w:rsidP="0092740E">
      <w:pPr>
        <w:pStyle w:val="Textonotapie"/>
        <w:jc w:val="both"/>
      </w:pPr>
      <w:r>
        <w:rPr>
          <w:rStyle w:val="Refdenotaalpie"/>
        </w:rPr>
        <w:footnoteRef/>
      </w:r>
      <w:r>
        <w:t xml:space="preserve"> </w:t>
      </w:r>
      <w:hyperlink r:id="rId4" w:history="1">
        <w:r>
          <w:rPr>
            <w:rStyle w:val="Hipervnculo"/>
          </w:rPr>
          <w:t>http://dle.rae.es/?id=CAjNzMR</w:t>
        </w:r>
      </w:hyperlink>
      <w:r>
        <w:t xml:space="preserve"> </w:t>
      </w:r>
    </w:p>
  </w:footnote>
  <w:footnote w:id="12">
    <w:p w:rsidR="0092740E" w:rsidRDefault="0092740E" w:rsidP="0092740E">
      <w:pPr>
        <w:pStyle w:val="Textonotapie"/>
        <w:jc w:val="both"/>
      </w:pPr>
      <w:r>
        <w:rPr>
          <w:rStyle w:val="Refdenotaalpie"/>
        </w:rPr>
        <w:footnoteRef/>
      </w:r>
      <w:r>
        <w:t xml:space="preserve"> </w:t>
      </w:r>
      <w:hyperlink r:id="rId5" w:history="1">
        <w:r>
          <w:rPr>
            <w:rStyle w:val="Hipervnculo"/>
          </w:rPr>
          <w:t>http://dle.rae.es/?id=CAqWkEB</w:t>
        </w:r>
      </w:hyperlink>
      <w:r>
        <w:t xml:space="preserve"> </w:t>
      </w:r>
    </w:p>
  </w:footnote>
  <w:footnote w:id="13">
    <w:p w:rsidR="0092740E" w:rsidRDefault="0092740E" w:rsidP="0092740E">
      <w:pPr>
        <w:pStyle w:val="Textonotapie"/>
        <w:jc w:val="both"/>
      </w:pPr>
      <w:r>
        <w:rPr>
          <w:rStyle w:val="Refdenotaalpie"/>
        </w:rPr>
        <w:footnoteRef/>
      </w:r>
      <w:r>
        <w:t xml:space="preserve"> </w:t>
      </w:r>
      <w:hyperlink r:id="rId6" w:history="1">
        <w:r>
          <w:rPr>
            <w:rStyle w:val="Hipervnculo"/>
          </w:rPr>
          <w:t>http://dle.rae.es/?id=KtnHLLd</w:t>
        </w:r>
      </w:hyperlink>
      <w:r>
        <w:t xml:space="preserve"> </w:t>
      </w:r>
    </w:p>
  </w:footnote>
  <w:footnote w:id="14">
    <w:p w:rsidR="0092740E" w:rsidRDefault="0092740E" w:rsidP="0092740E">
      <w:pPr>
        <w:pStyle w:val="Textonotapie"/>
        <w:jc w:val="both"/>
      </w:pPr>
      <w:r>
        <w:rPr>
          <w:rStyle w:val="Refdenotaalpie"/>
        </w:rPr>
        <w:footnoteRef/>
      </w:r>
      <w:r>
        <w:t xml:space="preserve"> </w:t>
      </w:r>
      <w:hyperlink r:id="rId7" w:history="1">
        <w:r>
          <w:rPr>
            <w:rStyle w:val="Hipervnculo"/>
          </w:rPr>
          <w:t>http://dle.rae.es/?id=KtpfgjV</w:t>
        </w:r>
      </w:hyperlink>
      <w:r>
        <w:t xml:space="preserve"> </w:t>
      </w:r>
    </w:p>
  </w:footnote>
  <w:footnote w:id="15">
    <w:p w:rsidR="0092740E" w:rsidRDefault="0092740E" w:rsidP="0092740E">
      <w:pPr>
        <w:jc w:val="both"/>
        <w:rPr>
          <w:rFonts w:ascii="Calibri" w:hAnsi="Calibri"/>
          <w:color w:val="000000"/>
          <w:sz w:val="20"/>
          <w:szCs w:val="20"/>
          <w:lang w:eastAsia="es-ES_tradnl"/>
        </w:rPr>
      </w:pPr>
      <w:r>
        <w:rPr>
          <w:rStyle w:val="Refdenotaalpie"/>
        </w:rPr>
        <w:footnoteRef/>
      </w:r>
      <w:r>
        <w:t xml:space="preserve"> </w:t>
      </w:r>
      <w:r>
        <w:rPr>
          <w:lang w:val="es-ES"/>
        </w:rPr>
        <w:t>“</w:t>
      </w:r>
      <w:r>
        <w:rPr>
          <w:rFonts w:ascii="Calibri" w:hAnsi="Calibri"/>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6">
    <w:p w:rsidR="0092740E" w:rsidRDefault="0092740E" w:rsidP="0092740E">
      <w:pPr>
        <w:pStyle w:val="Textonotapie"/>
        <w:rPr>
          <w:rFonts w:ascii="Calibri" w:hAnsi="Calibri"/>
        </w:rPr>
      </w:pPr>
      <w:r>
        <w:rPr>
          <w:rStyle w:val="Refdenotaalpie"/>
          <w:rFonts w:ascii="Calibri" w:hAnsi="Calibri"/>
        </w:rPr>
        <w:footnoteRef/>
      </w:r>
      <w:r>
        <w:rPr>
          <w:rFonts w:ascii="Calibri" w:hAnsi="Calibri"/>
        </w:rP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0E" w:rsidRDefault="00DB567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92740E" w:rsidRPr="005C106F" w:rsidTr="00AE4DB9">
      <w:trPr>
        <w:trHeight w:val="1435"/>
      </w:trPr>
      <w:tc>
        <w:tcPr>
          <w:tcW w:w="2268" w:type="dxa"/>
          <w:shd w:val="clear" w:color="auto" w:fill="auto"/>
        </w:tcPr>
        <w:p w:rsidR="0092740E" w:rsidRPr="005C106F" w:rsidRDefault="0092740E" w:rsidP="00AE4DB9">
          <w:pPr>
            <w:tabs>
              <w:tab w:val="right" w:pos="4273"/>
            </w:tabs>
            <w:rPr>
              <w:rFonts w:ascii="Garamond" w:eastAsia="Calibri" w:hAnsi="Garamond"/>
              <w:sz w:val="16"/>
              <w:szCs w:val="16"/>
              <w:lang w:eastAsia="en-US"/>
            </w:rPr>
          </w:pPr>
        </w:p>
      </w:tc>
      <w:tc>
        <w:tcPr>
          <w:tcW w:w="6946" w:type="dxa"/>
          <w:shd w:val="clear" w:color="auto" w:fill="auto"/>
        </w:tcPr>
        <w:p w:rsidR="0092740E" w:rsidRDefault="0092740E" w:rsidP="00AE4DB9"/>
        <w:tbl>
          <w:tblPr>
            <w:tblW w:w="6662" w:type="dxa"/>
            <w:tblInd w:w="40" w:type="dxa"/>
            <w:tblLayout w:type="fixed"/>
            <w:tblLook w:val="0420" w:firstRow="1" w:lastRow="0" w:firstColumn="0" w:lastColumn="0" w:noHBand="0" w:noVBand="1"/>
          </w:tblPr>
          <w:tblGrid>
            <w:gridCol w:w="2551"/>
            <w:gridCol w:w="4111"/>
          </w:tblGrid>
          <w:tr w:rsidR="0092740E" w:rsidTr="00AE4DB9">
            <w:trPr>
              <w:trHeight w:val="150"/>
            </w:trPr>
            <w:tc>
              <w:tcPr>
                <w:tcW w:w="2551" w:type="dxa"/>
                <w:shd w:val="clear" w:color="auto" w:fill="auto"/>
              </w:tcPr>
              <w:p w:rsidR="0092740E" w:rsidRPr="00020E73" w:rsidRDefault="0092740E" w:rsidP="00AE4DB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92740E" w:rsidRPr="00020E73" w:rsidRDefault="0092740E" w:rsidP="00AE4DB9">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03633/INFOEM/IP/RR/2022</w:t>
                </w:r>
              </w:p>
            </w:tc>
          </w:tr>
          <w:tr w:rsidR="0092740E" w:rsidTr="00AE4DB9">
            <w:trPr>
              <w:trHeight w:val="295"/>
            </w:trPr>
            <w:tc>
              <w:tcPr>
                <w:tcW w:w="2551" w:type="dxa"/>
                <w:shd w:val="clear" w:color="auto" w:fill="auto"/>
              </w:tcPr>
              <w:p w:rsidR="0092740E" w:rsidRPr="00020E73" w:rsidRDefault="0092740E" w:rsidP="00AE4DB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92740E" w:rsidRPr="0044775E" w:rsidRDefault="0092740E" w:rsidP="00AE4DB9">
                <w:pPr>
                  <w:tabs>
                    <w:tab w:val="left" w:pos="2834"/>
                    <w:tab w:val="right" w:pos="8838"/>
                  </w:tabs>
                  <w:ind w:left="-108" w:right="-102"/>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Ayuntamiento de Cuautitlán Izcalli</w:t>
                </w:r>
              </w:p>
            </w:tc>
          </w:tr>
          <w:tr w:rsidR="0092740E" w:rsidTr="00AE4DB9">
            <w:trPr>
              <w:trHeight w:val="295"/>
            </w:trPr>
            <w:tc>
              <w:tcPr>
                <w:tcW w:w="2551" w:type="dxa"/>
                <w:shd w:val="clear" w:color="auto" w:fill="auto"/>
              </w:tcPr>
              <w:p w:rsidR="0092740E" w:rsidRPr="00020E73" w:rsidRDefault="0092740E" w:rsidP="00AE4DB9">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92740E" w:rsidRPr="00020E73" w:rsidRDefault="0092740E" w:rsidP="00AE4DB9">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92740E" w:rsidRPr="00020E73" w:rsidRDefault="0092740E" w:rsidP="00AE4DB9">
                <w:pPr>
                  <w:tabs>
                    <w:tab w:val="right" w:pos="8838"/>
                  </w:tabs>
                  <w:ind w:left="-108" w:right="171"/>
                  <w:jc w:val="both"/>
                  <w:rPr>
                    <w:rFonts w:ascii="Palatino Linotype" w:eastAsia="Calibri" w:hAnsi="Palatino Linotype" w:cs="Tahoma"/>
                    <w:b/>
                    <w:sz w:val="22"/>
                    <w:szCs w:val="22"/>
                    <w:lang w:val="es-ES" w:eastAsia="en-US"/>
                  </w:rPr>
                </w:pPr>
              </w:p>
            </w:tc>
          </w:tr>
        </w:tbl>
        <w:p w:rsidR="0092740E" w:rsidRPr="005C106F" w:rsidRDefault="0092740E" w:rsidP="00AE4DB9">
          <w:pPr>
            <w:tabs>
              <w:tab w:val="right" w:pos="8838"/>
            </w:tabs>
            <w:ind w:left="-28"/>
            <w:jc w:val="both"/>
            <w:rPr>
              <w:rFonts w:ascii="Arial" w:eastAsia="Calibri" w:hAnsi="Arial" w:cs="Arial"/>
              <w:b/>
              <w:sz w:val="22"/>
              <w:szCs w:val="22"/>
              <w:lang w:eastAsia="en-US"/>
            </w:rPr>
          </w:pPr>
        </w:p>
      </w:tc>
    </w:tr>
  </w:tbl>
  <w:p w:rsidR="0092740E" w:rsidRPr="00443C6B" w:rsidRDefault="00DB567E" w:rsidP="00AE4DB9">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92740E" w:rsidRPr="00330DA7" w:rsidTr="00AE4DB9">
      <w:trPr>
        <w:trHeight w:val="1435"/>
      </w:trPr>
      <w:tc>
        <w:tcPr>
          <w:tcW w:w="2268" w:type="dxa"/>
          <w:shd w:val="clear" w:color="auto" w:fill="auto"/>
        </w:tcPr>
        <w:p w:rsidR="0092740E" w:rsidRPr="00330DA7" w:rsidRDefault="0092740E" w:rsidP="00AE4DB9">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92740E" w:rsidRPr="00330DA7" w:rsidTr="00AE4DB9">
            <w:trPr>
              <w:trHeight w:val="144"/>
            </w:trPr>
            <w:tc>
              <w:tcPr>
                <w:tcW w:w="2444" w:type="dxa"/>
                <w:shd w:val="clear" w:color="auto" w:fill="auto"/>
              </w:tcPr>
              <w:p w:rsidR="0092740E" w:rsidRPr="00020E73" w:rsidRDefault="0092740E" w:rsidP="00AE4DB9">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92740E" w:rsidRPr="00020E73" w:rsidRDefault="0092740E" w:rsidP="00AE4DB9">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03633/INFOEM/IP/RR/2022</w:t>
                </w:r>
                <w:r>
                  <w:rPr>
                    <w:rFonts w:ascii="Palatino Linotype" w:eastAsia="Calibri" w:hAnsi="Palatino Linotype" w:cs="Tahoma"/>
                    <w:b/>
                    <w:bCs/>
                    <w:sz w:val="22"/>
                    <w:szCs w:val="22"/>
                    <w:lang w:eastAsia="en-US"/>
                  </w:rPr>
                  <w:t xml:space="preserve"> </w:t>
                </w:r>
              </w:p>
            </w:tc>
          </w:tr>
          <w:tr w:rsidR="0092740E" w:rsidRPr="00330DA7" w:rsidTr="00AE4DB9">
            <w:trPr>
              <w:trHeight w:val="144"/>
            </w:trPr>
            <w:tc>
              <w:tcPr>
                <w:tcW w:w="2444" w:type="dxa"/>
                <w:shd w:val="clear" w:color="auto" w:fill="auto"/>
              </w:tcPr>
              <w:p w:rsidR="0092740E" w:rsidRPr="00020E73" w:rsidRDefault="0092740E" w:rsidP="00AE4DB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92740E" w:rsidRPr="003C46C6" w:rsidRDefault="00B77D66" w:rsidP="00AE4DB9">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XX XXX XXXX</w:t>
                </w:r>
              </w:p>
            </w:tc>
          </w:tr>
          <w:tr w:rsidR="0092740E" w:rsidRPr="00330DA7" w:rsidTr="00AE4DB9">
            <w:trPr>
              <w:trHeight w:val="283"/>
            </w:trPr>
            <w:tc>
              <w:tcPr>
                <w:tcW w:w="2444" w:type="dxa"/>
                <w:shd w:val="clear" w:color="auto" w:fill="auto"/>
              </w:tcPr>
              <w:p w:rsidR="0092740E" w:rsidRPr="00020E73" w:rsidRDefault="0092740E" w:rsidP="00AE4DB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92740E" w:rsidRPr="0044775E" w:rsidRDefault="0092740E" w:rsidP="00AE4DB9">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Ayuntamiento de Cuautitlán Izcalli</w:t>
                </w:r>
              </w:p>
            </w:tc>
          </w:tr>
          <w:tr w:rsidR="0092740E" w:rsidRPr="00330DA7" w:rsidTr="00AE4DB9">
            <w:trPr>
              <w:trHeight w:val="283"/>
            </w:trPr>
            <w:tc>
              <w:tcPr>
                <w:tcW w:w="2444" w:type="dxa"/>
                <w:shd w:val="clear" w:color="auto" w:fill="auto"/>
              </w:tcPr>
              <w:p w:rsidR="0092740E" w:rsidRPr="00020E73" w:rsidRDefault="0092740E" w:rsidP="00AE4DB9">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92740E" w:rsidRPr="00020E73" w:rsidRDefault="0092740E" w:rsidP="00AE4DB9">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92740E" w:rsidRPr="00020E73" w:rsidRDefault="0092740E" w:rsidP="00AE4DB9">
                <w:pPr>
                  <w:tabs>
                    <w:tab w:val="right" w:pos="8838"/>
                  </w:tabs>
                  <w:ind w:left="-74" w:right="-105"/>
                  <w:jc w:val="both"/>
                  <w:rPr>
                    <w:rFonts w:ascii="Palatino Linotype" w:eastAsia="Calibri" w:hAnsi="Palatino Linotype" w:cs="Tahoma"/>
                    <w:b/>
                    <w:sz w:val="22"/>
                    <w:szCs w:val="22"/>
                    <w:lang w:val="es-ES" w:eastAsia="en-US"/>
                  </w:rPr>
                </w:pPr>
              </w:p>
            </w:tc>
          </w:tr>
        </w:tbl>
        <w:p w:rsidR="0092740E" w:rsidRPr="00330DA7" w:rsidRDefault="0092740E" w:rsidP="00AE4DB9">
          <w:pPr>
            <w:tabs>
              <w:tab w:val="right" w:pos="8838"/>
            </w:tabs>
            <w:ind w:left="-28"/>
            <w:jc w:val="both"/>
            <w:rPr>
              <w:rFonts w:ascii="Arial" w:eastAsia="Calibri" w:hAnsi="Arial" w:cs="Arial"/>
              <w:b/>
              <w:sz w:val="22"/>
              <w:szCs w:val="22"/>
              <w:lang w:eastAsia="en-US"/>
            </w:rPr>
          </w:pPr>
        </w:p>
      </w:tc>
    </w:tr>
  </w:tbl>
  <w:p w:rsidR="0092740E" w:rsidRPr="00827FA0" w:rsidRDefault="00DB567E" w:rsidP="00AE4DB9">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8223C"/>
    <w:multiLevelType w:val="multilevel"/>
    <w:tmpl w:val="0160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9A027E"/>
    <w:multiLevelType w:val="hybridMultilevel"/>
    <w:tmpl w:val="9EA0DF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161270"/>
    <w:multiLevelType w:val="hybridMultilevel"/>
    <w:tmpl w:val="86144B8E"/>
    <w:lvl w:ilvl="0" w:tplc="9AE83E36">
      <w:start w:val="1"/>
      <w:numFmt w:val="decimal"/>
      <w:lvlText w:val="%1."/>
      <w:lvlJc w:val="left"/>
      <w:pPr>
        <w:ind w:left="720" w:hanging="360"/>
      </w:pPr>
      <w:rPr>
        <w:rFonts w:eastAsia="Calibri"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BF7591C"/>
    <w:multiLevelType w:val="hybridMultilevel"/>
    <w:tmpl w:val="AB44F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F4DE9002"/>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DC31CD3"/>
    <w:multiLevelType w:val="hybridMultilevel"/>
    <w:tmpl w:val="ECB2068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429222C2"/>
    <w:multiLevelType w:val="hybridMultilevel"/>
    <w:tmpl w:val="5FD264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59C2E00"/>
    <w:multiLevelType w:val="hybridMultilevel"/>
    <w:tmpl w:val="ADB2038E"/>
    <w:lvl w:ilvl="0" w:tplc="E96A461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23E6B73"/>
    <w:multiLevelType w:val="multilevel"/>
    <w:tmpl w:val="B3BE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8B4B5D"/>
    <w:multiLevelType w:val="hybridMultilevel"/>
    <w:tmpl w:val="6F767574"/>
    <w:lvl w:ilvl="0" w:tplc="662075A4">
      <w:start w:val="5"/>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602B190D"/>
    <w:multiLevelType w:val="hybridMultilevel"/>
    <w:tmpl w:val="62CCC48E"/>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643B6F77"/>
    <w:multiLevelType w:val="hybridMultilevel"/>
    <w:tmpl w:val="F4109E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90826BC"/>
    <w:multiLevelType w:val="hybridMultilevel"/>
    <w:tmpl w:val="32BCA5E8"/>
    <w:lvl w:ilvl="0" w:tplc="080A0015">
      <w:start w:val="1"/>
      <w:numFmt w:val="upperLetter"/>
      <w:lvlText w:val="%1."/>
      <w:lvlJc w:val="left"/>
      <w:pPr>
        <w:ind w:left="3763"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743204EE"/>
    <w:multiLevelType w:val="hybridMultilevel"/>
    <w:tmpl w:val="546C3B36"/>
    <w:lvl w:ilvl="0" w:tplc="4A029FF2">
      <w:start w:val="1"/>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77FB22C5"/>
    <w:multiLevelType w:val="hybridMultilevel"/>
    <w:tmpl w:val="1A2C71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9"/>
  </w:num>
  <w:num w:numId="4">
    <w:abstractNumId w:val="3"/>
  </w:num>
  <w:num w:numId="5">
    <w:abstractNumId w:val="6"/>
  </w:num>
  <w:num w:numId="6">
    <w:abstractNumId w:val="12"/>
  </w:num>
  <w:num w:numId="7">
    <w:abstractNumId w:val="2"/>
  </w:num>
  <w:num w:numId="8">
    <w:abstractNumId w:val="1"/>
  </w:num>
  <w:num w:numId="9">
    <w:abstractNumId w:val="0"/>
  </w:num>
  <w:num w:numId="10">
    <w:abstractNumId w:val="10"/>
  </w:num>
  <w:num w:numId="11">
    <w:abstractNumId w:val="13"/>
  </w:num>
  <w:num w:numId="12">
    <w:abstractNumId w:val="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6C6"/>
    <w:rsid w:val="00007A3C"/>
    <w:rsid w:val="0007349A"/>
    <w:rsid w:val="000C58AB"/>
    <w:rsid w:val="001C6205"/>
    <w:rsid w:val="00214EBE"/>
    <w:rsid w:val="00243D58"/>
    <w:rsid w:val="002E72C9"/>
    <w:rsid w:val="003C46C6"/>
    <w:rsid w:val="003D6E56"/>
    <w:rsid w:val="00546F90"/>
    <w:rsid w:val="005A28C5"/>
    <w:rsid w:val="006C2DCF"/>
    <w:rsid w:val="00733A1B"/>
    <w:rsid w:val="00737EB8"/>
    <w:rsid w:val="00764032"/>
    <w:rsid w:val="0076643E"/>
    <w:rsid w:val="007D62FA"/>
    <w:rsid w:val="007E5240"/>
    <w:rsid w:val="00800052"/>
    <w:rsid w:val="00922243"/>
    <w:rsid w:val="0092740E"/>
    <w:rsid w:val="0096664F"/>
    <w:rsid w:val="00986DAE"/>
    <w:rsid w:val="009B6615"/>
    <w:rsid w:val="009C661E"/>
    <w:rsid w:val="00A90AC7"/>
    <w:rsid w:val="00AB6C4C"/>
    <w:rsid w:val="00AC60AC"/>
    <w:rsid w:val="00AD5851"/>
    <w:rsid w:val="00AE4DB9"/>
    <w:rsid w:val="00AE6DE6"/>
    <w:rsid w:val="00AF261D"/>
    <w:rsid w:val="00B0600A"/>
    <w:rsid w:val="00B061B3"/>
    <w:rsid w:val="00B41F53"/>
    <w:rsid w:val="00B77D66"/>
    <w:rsid w:val="00B8047E"/>
    <w:rsid w:val="00BE569B"/>
    <w:rsid w:val="00BF0318"/>
    <w:rsid w:val="00C21251"/>
    <w:rsid w:val="00C55280"/>
    <w:rsid w:val="00C71710"/>
    <w:rsid w:val="00CA3245"/>
    <w:rsid w:val="00DB567E"/>
    <w:rsid w:val="00E46EEA"/>
    <w:rsid w:val="00EB3F8E"/>
    <w:rsid w:val="00EC30C7"/>
    <w:rsid w:val="00ED02F5"/>
    <w:rsid w:val="00F42205"/>
    <w:rsid w:val="00F4564C"/>
    <w:rsid w:val="00F54038"/>
    <w:rsid w:val="00FC06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B8E7DD6-9A78-4EF5-AA8C-F17FF590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6C6"/>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3C46C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C46C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46C6"/>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3C46C6"/>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3C46C6"/>
    <w:pPr>
      <w:tabs>
        <w:tab w:val="center" w:pos="4419"/>
        <w:tab w:val="right" w:pos="8838"/>
      </w:tabs>
    </w:pPr>
  </w:style>
  <w:style w:type="character" w:customStyle="1" w:styleId="EncabezadoCar">
    <w:name w:val="Encabezado Car"/>
    <w:basedOn w:val="Fuentedeprrafopredeter"/>
    <w:link w:val="Encabezado"/>
    <w:uiPriority w:val="99"/>
    <w:rsid w:val="003C46C6"/>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3C46C6"/>
    <w:pPr>
      <w:tabs>
        <w:tab w:val="center" w:pos="4419"/>
        <w:tab w:val="right" w:pos="8838"/>
      </w:tabs>
    </w:pPr>
  </w:style>
  <w:style w:type="character" w:customStyle="1" w:styleId="PiedepginaCar">
    <w:name w:val="Pie de página Car"/>
    <w:basedOn w:val="Fuentedeprrafopredeter"/>
    <w:link w:val="Piedepgina"/>
    <w:uiPriority w:val="99"/>
    <w:rsid w:val="003C46C6"/>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C46C6"/>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3C46C6"/>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3C46C6"/>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C46C6"/>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locked/>
    <w:rsid w:val="003C46C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C46C6"/>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3C46C6"/>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3C46C6"/>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3C46C6"/>
    <w:pPr>
      <w:autoSpaceDE w:val="0"/>
      <w:autoSpaceDN w:val="0"/>
      <w:adjustRightInd w:val="0"/>
      <w:spacing w:after="0" w:line="240" w:lineRule="auto"/>
    </w:pPr>
    <w:rPr>
      <w:rFonts w:ascii="Arial" w:hAnsi="Arial" w:cs="Arial"/>
      <w:color w:val="000000"/>
      <w:sz w:val="24"/>
      <w:szCs w:val="24"/>
      <w:lang w:val="es-MX"/>
    </w:rPr>
  </w:style>
  <w:style w:type="paragraph" w:styleId="Sinespaciado">
    <w:name w:val="No Spacing"/>
    <w:aliases w:val="Francesa"/>
    <w:link w:val="SinespaciadoCar"/>
    <w:uiPriority w:val="1"/>
    <w:qFormat/>
    <w:rsid w:val="003C46C6"/>
    <w:pPr>
      <w:spacing w:after="0" w:line="240" w:lineRule="auto"/>
    </w:pPr>
    <w:rPr>
      <w:rFonts w:ascii="Times New Roman" w:eastAsia="Times New Roman" w:hAnsi="Times New Roman" w:cs="Times New Roman"/>
      <w:sz w:val="24"/>
      <w:szCs w:val="24"/>
      <w:lang w:val="es-MX" w:eastAsia="es-ES"/>
    </w:rPr>
  </w:style>
  <w:style w:type="character" w:styleId="Textoennegrita">
    <w:name w:val="Strong"/>
    <w:basedOn w:val="Fuentedeprrafopredeter"/>
    <w:uiPriority w:val="22"/>
    <w:qFormat/>
    <w:rsid w:val="003C46C6"/>
    <w:rPr>
      <w:b/>
      <w:bCs/>
    </w:rPr>
  </w:style>
  <w:style w:type="character" w:customStyle="1" w:styleId="SinespaciadoCar">
    <w:name w:val="Sin espaciado Car"/>
    <w:aliases w:val="Francesa Car"/>
    <w:link w:val="Sinespaciado"/>
    <w:uiPriority w:val="1"/>
    <w:locked/>
    <w:rsid w:val="003C46C6"/>
    <w:rPr>
      <w:rFonts w:ascii="Times New Roman" w:eastAsia="Times New Roman" w:hAnsi="Times New Roman" w:cs="Times New Roman"/>
      <w:sz w:val="24"/>
      <w:szCs w:val="24"/>
      <w:lang w:val="es-MX" w:eastAsia="es-ES"/>
    </w:rPr>
  </w:style>
  <w:style w:type="table" w:customStyle="1" w:styleId="Tablanormal11">
    <w:name w:val="Tabla normal 11"/>
    <w:basedOn w:val="Tablanormal"/>
    <w:uiPriority w:val="41"/>
    <w:rsid w:val="0092740E"/>
    <w:pPr>
      <w:spacing w:after="0" w:line="240" w:lineRule="auto"/>
    </w:pPr>
    <w:rPr>
      <w:rFonts w:ascii="Calibri" w:eastAsia="Calibri" w:hAnsi="Calibri" w:cs="Times New Roman"/>
      <w:lang w:val="es-MX"/>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pple-converted-space">
    <w:name w:val="apple-converted-space"/>
    <w:basedOn w:val="Fuentedeprrafopredeter"/>
    <w:rsid w:val="0092740E"/>
  </w:style>
  <w:style w:type="character" w:styleId="Referenciasutil">
    <w:name w:val="Subtle Reference"/>
    <w:basedOn w:val="Fuentedeprrafopredeter"/>
    <w:uiPriority w:val="31"/>
    <w:qFormat/>
    <w:rsid w:val="00E46EE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870165">
      <w:bodyDiv w:val="1"/>
      <w:marLeft w:val="0"/>
      <w:marRight w:val="0"/>
      <w:marTop w:val="0"/>
      <w:marBottom w:val="0"/>
      <w:divBdr>
        <w:top w:val="none" w:sz="0" w:space="0" w:color="auto"/>
        <w:left w:val="none" w:sz="0" w:space="0" w:color="auto"/>
        <w:bottom w:val="none" w:sz="0" w:space="0" w:color="auto"/>
        <w:right w:val="none" w:sz="0" w:space="0" w:color="auto"/>
      </w:divBdr>
    </w:div>
    <w:div w:id="587740296">
      <w:bodyDiv w:val="1"/>
      <w:marLeft w:val="0"/>
      <w:marRight w:val="0"/>
      <w:marTop w:val="0"/>
      <w:marBottom w:val="0"/>
      <w:divBdr>
        <w:top w:val="none" w:sz="0" w:space="0" w:color="auto"/>
        <w:left w:val="none" w:sz="0" w:space="0" w:color="auto"/>
        <w:bottom w:val="none" w:sz="0" w:space="0" w:color="auto"/>
        <w:right w:val="none" w:sz="0" w:space="0" w:color="auto"/>
      </w:divBdr>
    </w:div>
    <w:div w:id="605237387">
      <w:bodyDiv w:val="1"/>
      <w:marLeft w:val="0"/>
      <w:marRight w:val="0"/>
      <w:marTop w:val="0"/>
      <w:marBottom w:val="0"/>
      <w:divBdr>
        <w:top w:val="none" w:sz="0" w:space="0" w:color="auto"/>
        <w:left w:val="none" w:sz="0" w:space="0" w:color="auto"/>
        <w:bottom w:val="none" w:sz="0" w:space="0" w:color="auto"/>
        <w:right w:val="none" w:sz="0" w:space="0" w:color="auto"/>
      </w:divBdr>
    </w:div>
    <w:div w:id="1042361824">
      <w:bodyDiv w:val="1"/>
      <w:marLeft w:val="0"/>
      <w:marRight w:val="0"/>
      <w:marTop w:val="0"/>
      <w:marBottom w:val="0"/>
      <w:divBdr>
        <w:top w:val="none" w:sz="0" w:space="0" w:color="auto"/>
        <w:left w:val="none" w:sz="0" w:space="0" w:color="auto"/>
        <w:bottom w:val="none" w:sz="0" w:space="0" w:color="auto"/>
        <w:right w:val="none" w:sz="0" w:space="0" w:color="auto"/>
      </w:divBdr>
    </w:div>
    <w:div w:id="1110734665">
      <w:bodyDiv w:val="1"/>
      <w:marLeft w:val="0"/>
      <w:marRight w:val="0"/>
      <w:marTop w:val="0"/>
      <w:marBottom w:val="0"/>
      <w:divBdr>
        <w:top w:val="none" w:sz="0" w:space="0" w:color="auto"/>
        <w:left w:val="none" w:sz="0" w:space="0" w:color="auto"/>
        <w:bottom w:val="none" w:sz="0" w:space="0" w:color="auto"/>
        <w:right w:val="none" w:sz="0" w:space="0" w:color="auto"/>
      </w:divBdr>
    </w:div>
    <w:div w:id="1366637552">
      <w:bodyDiv w:val="1"/>
      <w:marLeft w:val="0"/>
      <w:marRight w:val="0"/>
      <w:marTop w:val="0"/>
      <w:marBottom w:val="0"/>
      <w:divBdr>
        <w:top w:val="none" w:sz="0" w:space="0" w:color="auto"/>
        <w:left w:val="none" w:sz="0" w:space="0" w:color="auto"/>
        <w:bottom w:val="none" w:sz="0" w:space="0" w:color="auto"/>
        <w:right w:val="none" w:sz="0" w:space="0" w:color="auto"/>
      </w:divBdr>
    </w:div>
    <w:div w:id="1508599593">
      <w:bodyDiv w:val="1"/>
      <w:marLeft w:val="0"/>
      <w:marRight w:val="0"/>
      <w:marTop w:val="0"/>
      <w:marBottom w:val="0"/>
      <w:divBdr>
        <w:top w:val="none" w:sz="0" w:space="0" w:color="auto"/>
        <w:left w:val="none" w:sz="0" w:space="0" w:color="auto"/>
        <w:bottom w:val="none" w:sz="0" w:space="0" w:color="auto"/>
        <w:right w:val="none" w:sz="0" w:space="0" w:color="auto"/>
      </w:divBdr>
    </w:div>
    <w:div w:id="1820491693">
      <w:bodyDiv w:val="1"/>
      <w:marLeft w:val="0"/>
      <w:marRight w:val="0"/>
      <w:marTop w:val="0"/>
      <w:marBottom w:val="0"/>
      <w:divBdr>
        <w:top w:val="none" w:sz="0" w:space="0" w:color="auto"/>
        <w:left w:val="none" w:sz="0" w:space="0" w:color="auto"/>
        <w:bottom w:val="none" w:sz="0" w:space="0" w:color="auto"/>
        <w:right w:val="none" w:sz="0" w:space="0" w:color="auto"/>
      </w:divBdr>
    </w:div>
    <w:div w:id="1830630925">
      <w:bodyDiv w:val="1"/>
      <w:marLeft w:val="0"/>
      <w:marRight w:val="0"/>
      <w:marTop w:val="0"/>
      <w:marBottom w:val="0"/>
      <w:divBdr>
        <w:top w:val="none" w:sz="0" w:space="0" w:color="auto"/>
        <w:left w:val="none" w:sz="0" w:space="0" w:color="auto"/>
        <w:bottom w:val="none" w:sz="0" w:space="0" w:color="auto"/>
        <w:right w:val="none" w:sz="0" w:space="0" w:color="auto"/>
      </w:divBdr>
    </w:div>
    <w:div w:id="1844469034">
      <w:bodyDiv w:val="1"/>
      <w:marLeft w:val="0"/>
      <w:marRight w:val="0"/>
      <w:marTop w:val="0"/>
      <w:marBottom w:val="0"/>
      <w:divBdr>
        <w:top w:val="none" w:sz="0" w:space="0" w:color="auto"/>
        <w:left w:val="none" w:sz="0" w:space="0" w:color="auto"/>
        <w:bottom w:val="none" w:sz="0" w:space="0" w:color="auto"/>
        <w:right w:val="none" w:sz="0" w:space="0" w:color="auto"/>
      </w:divBdr>
    </w:div>
    <w:div w:id="187793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29280.page" TargetMode="External"/><Relationship Id="rId13" Type="http://schemas.openxmlformats.org/officeDocument/2006/relationships/hyperlink" Target="https://saimex.org.mx/saimex/solicitud/downloadAttach/1376674.page"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saimex.org.mx/saimex/solicitud/downloadAttach/1309240.page" TargetMode="External"/><Relationship Id="rId12" Type="http://schemas.openxmlformats.org/officeDocument/2006/relationships/hyperlink" Target="https://saimex.org.mx/saimex/solicitud/downloadAttach/1343858.page"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343785.page"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eader" Target="header3.xml"/><Relationship Id="rId10" Type="http://schemas.openxmlformats.org/officeDocument/2006/relationships/hyperlink" Target="https://saimex.org.mx/saimex/solicitud/downloadAttach/1343784.page"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saimex.org.mx/saimex/solicitud/downloadAttach/1343783.page" TargetMode="External"/><Relationship Id="rId14" Type="http://schemas.openxmlformats.org/officeDocument/2006/relationships/hyperlink" Target="http://dle.rae.es/?id=FdI00Or"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1275</TotalTime>
  <Pages>1</Pages>
  <Words>10256</Words>
  <Characters>56408</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dcterms:created xsi:type="dcterms:W3CDTF">2023-06-08T16:53:00Z</dcterms:created>
  <dcterms:modified xsi:type="dcterms:W3CDTF">2023-07-04T02:34:00Z</dcterms:modified>
</cp:coreProperties>
</file>