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A879" w14:textId="21069B31" w:rsidR="006168E4" w:rsidRDefault="006168E4" w:rsidP="006F5F55">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B6C8F">
        <w:rPr>
          <w:rFonts w:ascii="Palatino Linotype" w:eastAsia="Times New Roman" w:hAnsi="Palatino Linotype" w:cs="Arial"/>
          <w:color w:val="000000"/>
          <w:sz w:val="24"/>
          <w:szCs w:val="24"/>
          <w:lang w:eastAsia="es-MX"/>
        </w:rPr>
        <w:t>veintitrés</w:t>
      </w:r>
      <w:r w:rsidR="007A4A04">
        <w:rPr>
          <w:rFonts w:ascii="Palatino Linotype" w:eastAsia="Times New Roman" w:hAnsi="Palatino Linotype" w:cs="Arial"/>
          <w:color w:val="000000"/>
          <w:sz w:val="24"/>
          <w:szCs w:val="24"/>
          <w:lang w:eastAsia="es-MX"/>
        </w:rPr>
        <w:t xml:space="preserve"> de noviembre de dos mil veintitrés. </w:t>
      </w:r>
      <w:r w:rsidR="00BE673B">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74A5BC5C" w14:textId="03C0C019" w:rsidR="00FB6C8F" w:rsidRPr="00FB6C8F" w:rsidRDefault="006168E4" w:rsidP="006F5F55">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736C2C">
        <w:rPr>
          <w:rFonts w:ascii="Palatino Linotype" w:hAnsi="Palatino Linotype" w:cs="Arial"/>
          <w:b/>
          <w:bCs/>
          <w:sz w:val="24"/>
          <w:lang w:eastAsia="es-MX"/>
        </w:rPr>
        <w:t>0</w:t>
      </w:r>
      <w:r w:rsidR="00FB6C8F">
        <w:rPr>
          <w:rFonts w:ascii="Palatino Linotype" w:hAnsi="Palatino Linotype" w:cs="Arial"/>
          <w:b/>
          <w:bCs/>
          <w:sz w:val="24"/>
          <w:lang w:eastAsia="es-MX"/>
        </w:rPr>
        <w:t>7235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E673B">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7A4A04">
        <w:rPr>
          <w:rFonts w:ascii="Palatino Linotype" w:hAnsi="Palatino Linotype" w:cs="Arial"/>
          <w:sz w:val="24"/>
          <w:szCs w:val="24"/>
        </w:rPr>
        <w:t xml:space="preserve">un particular, en lo sucesivo </w:t>
      </w:r>
      <w:r w:rsidR="007A4A04">
        <w:rPr>
          <w:rFonts w:ascii="Palatino Linotype" w:hAnsi="Palatino Linotype" w:cs="Arial"/>
          <w:b/>
          <w:bCs/>
          <w:sz w:val="24"/>
          <w:szCs w:val="24"/>
        </w:rPr>
        <w:t xml:space="preserve">El Recurrente, </w:t>
      </w:r>
      <w:r w:rsidR="007A4A04">
        <w:rPr>
          <w:rFonts w:ascii="Palatino Linotype" w:hAnsi="Palatino Linotype" w:cs="Arial"/>
          <w:sz w:val="24"/>
          <w:szCs w:val="24"/>
        </w:rPr>
        <w:t>en contra de la respuesta de</w:t>
      </w:r>
      <w:r w:rsidR="00FB6C8F">
        <w:rPr>
          <w:rFonts w:ascii="Palatino Linotype" w:hAnsi="Palatino Linotype" w:cs="Arial"/>
          <w:sz w:val="24"/>
          <w:szCs w:val="24"/>
        </w:rPr>
        <w:t xml:space="preserve">l </w:t>
      </w:r>
      <w:r w:rsidR="00FB6C8F">
        <w:rPr>
          <w:rFonts w:ascii="Palatino Linotype" w:hAnsi="Palatino Linotype" w:cs="Arial"/>
          <w:b/>
          <w:bCs/>
          <w:sz w:val="24"/>
          <w:szCs w:val="24"/>
        </w:rPr>
        <w:t xml:space="preserve">Ayuntamiento de Ecatepec de Morelos, </w:t>
      </w:r>
      <w:r w:rsidR="00FB6C8F">
        <w:rPr>
          <w:rFonts w:ascii="Palatino Linotype" w:hAnsi="Palatino Linotype" w:cs="Arial"/>
          <w:sz w:val="24"/>
          <w:szCs w:val="24"/>
        </w:rPr>
        <w:t xml:space="preserve">en lo subsecuente </w:t>
      </w:r>
      <w:r w:rsidR="00FB6C8F">
        <w:rPr>
          <w:rFonts w:ascii="Palatino Linotype" w:hAnsi="Palatino Linotype" w:cs="Arial"/>
          <w:b/>
          <w:bCs/>
          <w:sz w:val="24"/>
          <w:szCs w:val="24"/>
        </w:rPr>
        <w:t xml:space="preserve">El Sujeto Obligado, </w:t>
      </w:r>
      <w:r w:rsidR="00FB6C8F">
        <w:rPr>
          <w:rFonts w:ascii="Palatino Linotype" w:hAnsi="Palatino Linotype" w:cs="Arial"/>
          <w:sz w:val="24"/>
          <w:szCs w:val="24"/>
        </w:rPr>
        <w:t xml:space="preserve">se procede a dictar la presente resolución. </w:t>
      </w:r>
    </w:p>
    <w:p w14:paraId="20B42EB4" w14:textId="77777777" w:rsidR="00FB6C8F" w:rsidRDefault="00FB6C8F"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E21CC05" w14:textId="1D8D7D19" w:rsidR="00FB6C8F"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FB6C8F">
        <w:rPr>
          <w:rFonts w:ascii="Palatino Linotype" w:hAnsi="Palatino Linotype" w:cs="Arial"/>
          <w:b/>
          <w:bCs/>
          <w:sz w:val="24"/>
        </w:rPr>
        <w:t xml:space="preserve">nueve de octubre de dos mil veintitrés, El Recurrente, </w:t>
      </w:r>
      <w:r w:rsidR="00FB6C8F">
        <w:rPr>
          <w:rFonts w:ascii="Palatino Linotype" w:hAnsi="Palatino Linotype" w:cs="Arial"/>
          <w:sz w:val="24"/>
        </w:rPr>
        <w:t>presentó a través del Sistema de Acceso a la Información Mexiquense (</w:t>
      </w:r>
      <w:r w:rsidR="00FB6C8F">
        <w:rPr>
          <w:rFonts w:ascii="Palatino Linotype" w:hAnsi="Palatino Linotype" w:cs="Arial"/>
          <w:b/>
          <w:sz w:val="24"/>
        </w:rPr>
        <w:t>SAIMEX)</w:t>
      </w:r>
      <w:r w:rsidR="00FB6C8F">
        <w:rPr>
          <w:rFonts w:ascii="Palatino Linotype" w:hAnsi="Palatino Linotype" w:cs="Arial"/>
          <w:sz w:val="24"/>
        </w:rPr>
        <w:t xml:space="preserve"> ante </w:t>
      </w:r>
      <w:r w:rsidR="00FB6C8F">
        <w:rPr>
          <w:rFonts w:ascii="Palatino Linotype" w:hAnsi="Palatino Linotype" w:cs="Arial"/>
          <w:b/>
          <w:sz w:val="24"/>
        </w:rPr>
        <w:t>El Sujeto Obligado</w:t>
      </w:r>
      <w:r w:rsidR="00FB6C8F">
        <w:rPr>
          <w:rFonts w:ascii="Palatino Linotype" w:hAnsi="Palatino Linotype" w:cs="Arial"/>
          <w:sz w:val="24"/>
        </w:rPr>
        <w:t xml:space="preserve">, solicitud de acceso a la información pública, registrada bajo el número de expediente </w:t>
      </w:r>
      <w:r w:rsidR="00FB6C8F">
        <w:rPr>
          <w:rFonts w:ascii="Palatino Linotype" w:hAnsi="Palatino Linotype" w:cs="Arial"/>
          <w:b/>
          <w:bCs/>
          <w:sz w:val="24"/>
        </w:rPr>
        <w:t xml:space="preserve">00855/ECATEPEC/IP/2023, </w:t>
      </w:r>
      <w:r w:rsidR="00FB6C8F">
        <w:rPr>
          <w:rFonts w:ascii="Palatino Linotype" w:hAnsi="Palatino Linotype" w:cs="Arial"/>
          <w:sz w:val="24"/>
        </w:rPr>
        <w:t xml:space="preserve">mediante la cual solicitó información en el tenor siguiente: </w:t>
      </w:r>
    </w:p>
    <w:p w14:paraId="51951E83" w14:textId="08FA8224" w:rsidR="00FB6C8F" w:rsidRPr="00FB6C8F" w:rsidRDefault="00FB6C8F" w:rsidP="00FB6C8F">
      <w:pPr>
        <w:pStyle w:val="Citas"/>
        <w:rPr>
          <w:b/>
          <w:bCs/>
          <w:sz w:val="24"/>
        </w:rPr>
      </w:pPr>
      <w:r>
        <w:t xml:space="preserve">“SOLICITO ME PROPORCIONE UNA COPIA DE LAS PRUEBAS DE DAÑO QUE TENGA EN SUS ARCHIVOS, DE CADA UNA DE LAS QUE CONTENGA LA LEY DE TRANSPARENCIA DEL ESTADO DE MEXICO”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2F637D3E" w14:textId="77777777" w:rsidR="00FB6C8F" w:rsidRDefault="00FB6C8F" w:rsidP="00FB6C8F">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sidRPr="0094651B">
        <w:rPr>
          <w:rFonts w:ascii="Palatino Linotype" w:hAnsi="Palatino Linotype" w:cs="Arial"/>
          <w:b/>
          <w:sz w:val="28"/>
        </w:rPr>
        <w:t xml:space="preserve">De la </w:t>
      </w:r>
      <w:r>
        <w:rPr>
          <w:rFonts w:ascii="Palatino Linotype" w:hAnsi="Palatino Linotype" w:cs="Arial"/>
          <w:b/>
          <w:sz w:val="28"/>
        </w:rPr>
        <w:t xml:space="preserve">solicitud de aclaración por parte del Sujeto Obligado. </w:t>
      </w:r>
    </w:p>
    <w:p w14:paraId="4E78B933" w14:textId="04429C00" w:rsidR="00FB6C8F" w:rsidRDefault="00FB6C8F" w:rsidP="00FB6C8F">
      <w:pPr>
        <w:spacing w:line="360" w:lineRule="auto"/>
        <w:ind w:right="334"/>
        <w:jc w:val="both"/>
        <w:rPr>
          <w:rFonts w:ascii="Palatino Linotype" w:hAnsi="Palatino Linotype" w:cs="Arial"/>
          <w:sz w:val="24"/>
          <w:szCs w:val="24"/>
        </w:rPr>
      </w:pPr>
      <w:r w:rsidRPr="00C4131A">
        <w:rPr>
          <w:rFonts w:ascii="Palatino Linotype" w:hAnsi="Palatino Linotype" w:cs="Arial"/>
          <w:sz w:val="24"/>
          <w:szCs w:val="24"/>
        </w:rPr>
        <w:t xml:space="preserve">En fecha </w:t>
      </w:r>
      <w:r>
        <w:rPr>
          <w:rFonts w:ascii="Palatino Linotype" w:hAnsi="Palatino Linotype" w:cs="Arial"/>
          <w:sz w:val="24"/>
          <w:szCs w:val="24"/>
        </w:rPr>
        <w:t xml:space="preserve">diez de octubre de dos mil veintitrés,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solicitó aclaración a la solicitud de información </w:t>
      </w:r>
      <w:r>
        <w:rPr>
          <w:rFonts w:ascii="Palatino Linotype" w:hAnsi="Palatino Linotype" w:cs="Arial"/>
          <w:b/>
          <w:bCs/>
          <w:sz w:val="24"/>
          <w:szCs w:val="24"/>
        </w:rPr>
        <w:t xml:space="preserve">00855/ECATEPEC/IP/2023, </w:t>
      </w:r>
      <w:r>
        <w:rPr>
          <w:rFonts w:ascii="Palatino Linotype" w:hAnsi="Palatino Linotype" w:cs="Arial"/>
          <w:sz w:val="24"/>
          <w:szCs w:val="24"/>
        </w:rPr>
        <w:t>resultando de nuestro interés lo siguiente:</w:t>
      </w:r>
    </w:p>
    <w:p w14:paraId="3C02CEC4" w14:textId="6F991624" w:rsidR="00FB6C8F" w:rsidRDefault="00FB6C8F" w:rsidP="00FB6C8F">
      <w:pPr>
        <w:pStyle w:val="infoem0"/>
      </w:pPr>
      <w:r>
        <w:t xml:space="preserve">“Con fundamento en el </w:t>
      </w:r>
      <w:proofErr w:type="spellStart"/>
      <w:r>
        <w:t>articulo</w:t>
      </w:r>
      <w:proofErr w:type="spellEnd"/>
      <w:r>
        <w:t xml:space="preserve"> 159 de la Ley de Transparencia y Acceso a la Información Pública del Estado de México y Municipios, se le requiere para que dentro del plazo de diez días hábiles realice lo siguiente:</w:t>
      </w:r>
    </w:p>
    <w:p w14:paraId="6A64BC96" w14:textId="6EAEFC9F" w:rsidR="00FB6C8F" w:rsidRDefault="00FB6C8F" w:rsidP="00FB6C8F">
      <w:pPr>
        <w:pStyle w:val="infoem0"/>
      </w:pPr>
      <w:r>
        <w:t>Sea este el medio para enviar a usted un cordial saludo y al mismo tiempo solicitarle aclare y/o complemente su solicitud, del cual se refiere</w:t>
      </w:r>
    </w:p>
    <w:p w14:paraId="154813B2" w14:textId="37EBFDB2" w:rsidR="00FB6C8F" w:rsidRPr="00FB6C8F" w:rsidRDefault="00FB6C8F" w:rsidP="00FB6C8F">
      <w:pPr>
        <w:pStyle w:val="infoem0"/>
        <w:rPr>
          <w:b/>
          <w:bCs/>
          <w:sz w:val="24"/>
        </w:rPr>
      </w:pPr>
      <w: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Pr>
          <w:b/>
          <w:bCs/>
        </w:rPr>
        <w:t>(Sic)</w:t>
      </w:r>
    </w:p>
    <w:p w14:paraId="3F180069" w14:textId="77777777" w:rsidR="00FB6C8F" w:rsidRDefault="00FB6C8F" w:rsidP="00FB6C8F">
      <w:pPr>
        <w:spacing w:line="360" w:lineRule="auto"/>
        <w:ind w:right="334"/>
        <w:jc w:val="both"/>
        <w:rPr>
          <w:rFonts w:ascii="Palatino Linotype" w:hAnsi="Palatino Linotype" w:cs="Arial"/>
          <w:sz w:val="24"/>
          <w:szCs w:val="24"/>
        </w:rPr>
      </w:pPr>
    </w:p>
    <w:p w14:paraId="766F4B40" w14:textId="3A741F90" w:rsidR="00FB6C8F" w:rsidRDefault="00FB6C8F" w:rsidP="00FB6C8F">
      <w:pPr>
        <w:spacing w:line="360" w:lineRule="auto"/>
        <w:ind w:right="334"/>
        <w:jc w:val="both"/>
        <w:rPr>
          <w:rFonts w:ascii="Palatino Linotype" w:hAnsi="Palatino Linotype" w:cs="Arial"/>
          <w:sz w:val="24"/>
          <w:szCs w:val="24"/>
        </w:rPr>
      </w:pPr>
      <w:r>
        <w:rPr>
          <w:rFonts w:ascii="Palatino Linotype" w:hAnsi="Palatino Linotype" w:cs="Arial"/>
          <w:sz w:val="24"/>
          <w:szCs w:val="24"/>
        </w:rPr>
        <w:t xml:space="preserve">Por su parte, el particular desahogó la aclaración en fecha </w:t>
      </w:r>
      <w:r>
        <w:rPr>
          <w:rFonts w:ascii="Palatino Linotype" w:hAnsi="Palatino Linotype" w:cs="Arial"/>
          <w:b/>
          <w:bCs/>
          <w:sz w:val="24"/>
          <w:szCs w:val="24"/>
        </w:rPr>
        <w:t xml:space="preserve">doce de octubre de dos mil veintitrés, </w:t>
      </w:r>
      <w:r>
        <w:rPr>
          <w:rFonts w:ascii="Palatino Linotype" w:hAnsi="Palatino Linotype" w:cs="Arial"/>
          <w:sz w:val="24"/>
          <w:szCs w:val="24"/>
        </w:rPr>
        <w:t xml:space="preserve">en los siguientes términos: </w:t>
      </w:r>
    </w:p>
    <w:p w14:paraId="539EDAD9" w14:textId="077CBF17" w:rsidR="00FB6C8F" w:rsidRPr="00FB6C8F" w:rsidRDefault="00FB6C8F" w:rsidP="00FB6C8F">
      <w:pPr>
        <w:pStyle w:val="Citas"/>
        <w:rPr>
          <w:b/>
          <w:bCs/>
          <w:sz w:val="24"/>
          <w:szCs w:val="24"/>
        </w:rPr>
      </w:pPr>
      <w:r>
        <w:lastRenderedPageBreak/>
        <w:t xml:space="preserve">“en un periodo de 2018 a 2023 favor de enviarnos una copia de las pruebas de daño que haya realizado” </w:t>
      </w:r>
      <w:r>
        <w:rPr>
          <w:b/>
          <w:bCs/>
        </w:rPr>
        <w:t>(Sic)</w:t>
      </w:r>
    </w:p>
    <w:p w14:paraId="0CBAA701" w14:textId="77777777" w:rsidR="00FB6C8F" w:rsidRDefault="00FB6C8F" w:rsidP="00844569">
      <w:pPr>
        <w:spacing w:before="240" w:line="360" w:lineRule="auto"/>
        <w:jc w:val="both"/>
        <w:rPr>
          <w:rFonts w:ascii="Palatino Linotype" w:hAnsi="Palatino Linotype" w:cs="Arial"/>
          <w:b/>
          <w:sz w:val="28"/>
        </w:rPr>
      </w:pPr>
    </w:p>
    <w:p w14:paraId="1B7C3267" w14:textId="238A685B" w:rsidR="006168E4" w:rsidRDefault="00FB6C8F"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0BDBB495" w14:textId="706A0488" w:rsidR="00FB6C8F"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65043F">
        <w:rPr>
          <w:rFonts w:ascii="Palatino Linotype" w:hAnsi="Palatino Linotype" w:cs="Arial"/>
          <w:sz w:val="24"/>
          <w:szCs w:val="24"/>
        </w:rPr>
        <w:t xml:space="preserve">diecinueve de octubre de dos mil veintitrés, </w:t>
      </w:r>
      <w:r w:rsidR="0065043F">
        <w:rPr>
          <w:rFonts w:ascii="Palatino Linotype" w:hAnsi="Palatino Linotype" w:cs="Arial"/>
          <w:b/>
          <w:bCs/>
          <w:sz w:val="24"/>
          <w:szCs w:val="24"/>
        </w:rPr>
        <w:t xml:space="preserve">El Sujeto Obligado </w:t>
      </w:r>
      <w:r w:rsidR="0065043F">
        <w:rPr>
          <w:rFonts w:ascii="Palatino Linotype" w:hAnsi="Palatino Linotype" w:cs="Arial"/>
          <w:sz w:val="24"/>
          <w:szCs w:val="24"/>
        </w:rPr>
        <w:t xml:space="preserve">dio respuesta a la solicitud de información </w:t>
      </w:r>
      <w:r w:rsidR="0065043F">
        <w:rPr>
          <w:rFonts w:ascii="Palatino Linotype" w:hAnsi="Palatino Linotype" w:cs="Arial"/>
          <w:b/>
          <w:bCs/>
          <w:sz w:val="24"/>
          <w:szCs w:val="24"/>
        </w:rPr>
        <w:t xml:space="preserve">00855/ECATEPEC/IP/2023, </w:t>
      </w:r>
      <w:r w:rsidR="0065043F">
        <w:rPr>
          <w:rFonts w:ascii="Palatino Linotype" w:hAnsi="Palatino Linotype" w:cs="Arial"/>
          <w:sz w:val="24"/>
          <w:szCs w:val="24"/>
        </w:rPr>
        <w:t xml:space="preserve">resulta de nuestro interés lo siguiente: </w:t>
      </w:r>
    </w:p>
    <w:p w14:paraId="6D51C535" w14:textId="0BC99634" w:rsidR="0065043F" w:rsidRDefault="0065043F" w:rsidP="0065043F">
      <w:pPr>
        <w:pStyle w:val="Citas"/>
      </w:pPr>
      <w:r>
        <w:t>“Con fundamento en el artículo 163 de la Ley de Transparencia y Acceso a la Información Pública del Estado de México y Municipios, le contestamos que:</w:t>
      </w:r>
    </w:p>
    <w:p w14:paraId="33E26D31" w14:textId="3913FE2D" w:rsidR="0065043F" w:rsidRPr="0065043F" w:rsidRDefault="0065043F" w:rsidP="0065043F">
      <w:pPr>
        <w:pStyle w:val="Citas"/>
        <w:rPr>
          <w:b/>
          <w:bCs/>
          <w:sz w:val="24"/>
          <w:szCs w:val="24"/>
        </w:rPr>
      </w:pPr>
      <w:r>
        <w:t xml:space="preserve">Después de haber realizado una búsqueda minuciosa, exhaustiva y razonable dentro de los archivos físicos y electrónicos de esta Unidad de Transparencia se informa que no se ha reservado información, por </w:t>
      </w:r>
      <w:proofErr w:type="gramStart"/>
      <w:r>
        <w:t>tanto</w:t>
      </w:r>
      <w:proofErr w:type="gramEnd"/>
      <w:r>
        <w:t xml:space="preserve"> no se ha realizado pruebas de daño durante el periodo 2018 al 2023” </w:t>
      </w:r>
      <w:r>
        <w:rPr>
          <w:b/>
          <w:bCs/>
        </w:rPr>
        <w:t>(Sic)</w:t>
      </w:r>
    </w:p>
    <w:p w14:paraId="4992324C" w14:textId="7A3D0CCE" w:rsidR="00817A08" w:rsidRPr="00817A08" w:rsidRDefault="00A37DAA" w:rsidP="00FD4D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65043F">
        <w:rPr>
          <w:rFonts w:ascii="Palatino Linotype" w:hAnsi="Palatino Linotype" w:cs="Arial"/>
          <w:sz w:val="24"/>
          <w:szCs w:val="24"/>
        </w:rPr>
        <w:t xml:space="preserve">el documento electrónico </w:t>
      </w:r>
      <w:r w:rsidR="0065043F">
        <w:rPr>
          <w:rFonts w:ascii="Palatino Linotype" w:hAnsi="Palatino Linotype" w:cs="Arial"/>
          <w:b/>
          <w:bCs/>
          <w:sz w:val="24"/>
          <w:szCs w:val="24"/>
        </w:rPr>
        <w:t xml:space="preserve">“855-2023.pdf”, </w:t>
      </w:r>
      <w:r w:rsidR="0065043F">
        <w:rPr>
          <w:rFonts w:ascii="Palatino Linotype" w:hAnsi="Palatino Linotype" w:cs="Arial"/>
          <w:sz w:val="24"/>
          <w:szCs w:val="24"/>
        </w:rPr>
        <w:t xml:space="preserve">cuyo contenido se tiene por reproducido </w:t>
      </w:r>
      <w:r w:rsidR="005202C4">
        <w:rPr>
          <w:rFonts w:ascii="Palatino Linotype" w:hAnsi="Palatino Linotype" w:cs="Arial"/>
          <w:sz w:val="24"/>
          <w:szCs w:val="24"/>
        </w:rPr>
        <w:t xml:space="preserve">como si a la letra se insertase </w:t>
      </w:r>
      <w:r w:rsidR="00817A08">
        <w:rPr>
          <w:rFonts w:ascii="Palatino Linotype" w:hAnsi="Palatino Linotype" w:cs="Arial"/>
          <w:sz w:val="24"/>
          <w:szCs w:val="24"/>
        </w:rPr>
        <w:t xml:space="preserve">en virtud de que será materia de análisis en el considerando respectivo. </w:t>
      </w:r>
    </w:p>
    <w:p w14:paraId="796D7B1A" w14:textId="77777777" w:rsidR="00AA207C" w:rsidRPr="003869DF" w:rsidRDefault="00AA207C" w:rsidP="003869DF">
      <w:pPr>
        <w:pStyle w:val="Citas"/>
        <w:ind w:left="0" w:right="0"/>
        <w:rPr>
          <w:i w:val="0"/>
          <w:sz w:val="24"/>
          <w:szCs w:val="24"/>
          <w:lang w:eastAsia="es-MX"/>
        </w:rPr>
      </w:pPr>
    </w:p>
    <w:p w14:paraId="37F573AF" w14:textId="1F9474E3" w:rsidR="006168E4" w:rsidRDefault="0065043F" w:rsidP="00844569">
      <w:pPr>
        <w:spacing w:before="240" w:line="360" w:lineRule="auto"/>
        <w:jc w:val="both"/>
        <w:rPr>
          <w:rFonts w:ascii="Palatino Linotype" w:hAnsi="Palatino Linotype" w:cs="Arial"/>
          <w:b/>
          <w:sz w:val="28"/>
        </w:rPr>
      </w:pPr>
      <w:r>
        <w:rPr>
          <w:rFonts w:ascii="Palatino Linotype" w:hAnsi="Palatino Linotype" w:cs="Arial"/>
          <w:b/>
          <w:sz w:val="28"/>
        </w:rPr>
        <w:t>CUARTO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5D890712" w14:textId="7AACB33C" w:rsidR="0065043F" w:rsidRPr="0065043F"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lastRenderedPageBreak/>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interpuso el recurso de revisión, en fecha</w:t>
      </w:r>
      <w:r w:rsidR="0065043F">
        <w:rPr>
          <w:rFonts w:ascii="Palatino Linotype" w:hAnsi="Palatino Linotype" w:cs="Arial"/>
          <w:bCs/>
          <w:sz w:val="24"/>
          <w:szCs w:val="24"/>
        </w:rPr>
        <w:t xml:space="preserve"> </w:t>
      </w:r>
      <w:r w:rsidR="0065043F">
        <w:rPr>
          <w:rFonts w:ascii="Palatino Linotype" w:hAnsi="Palatino Linotype" w:cs="Arial"/>
          <w:b/>
          <w:sz w:val="24"/>
          <w:szCs w:val="24"/>
        </w:rPr>
        <w:t xml:space="preserve">diecinueve de octubre de dos mil veintitrés, </w:t>
      </w:r>
      <w:r w:rsidR="0065043F">
        <w:rPr>
          <w:rFonts w:ascii="Palatino Linotype" w:hAnsi="Palatino Linotype" w:cs="Arial"/>
          <w:bCs/>
          <w:sz w:val="24"/>
          <w:szCs w:val="24"/>
        </w:rPr>
        <w:t xml:space="preserve">el cual fue registrado en el sistema electrónico </w:t>
      </w:r>
      <w:r w:rsidR="0065043F">
        <w:rPr>
          <w:rFonts w:ascii="Palatino Linotype" w:hAnsi="Palatino Linotype" w:cs="Arial"/>
          <w:b/>
          <w:sz w:val="24"/>
          <w:szCs w:val="24"/>
        </w:rPr>
        <w:t xml:space="preserve">07235/INFOEM/IP/RR/2023, </w:t>
      </w:r>
      <w:r w:rsidR="0065043F">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0CA7A53" w14:textId="4C2815A1" w:rsidR="003406C5" w:rsidRPr="003406C5" w:rsidRDefault="003406C5" w:rsidP="003406C5">
      <w:pPr>
        <w:pStyle w:val="Citas"/>
        <w:rPr>
          <w:b/>
          <w:bCs/>
          <w:sz w:val="24"/>
        </w:rPr>
      </w:pPr>
      <w:r w:rsidRPr="00D83FD2">
        <w:t>“</w:t>
      </w:r>
      <w:r w:rsidR="00D83FD2" w:rsidRPr="00D83FD2">
        <w:t>la inexistencia de los documentos que solicito</w:t>
      </w:r>
      <w:r w:rsidRPr="00D83FD2">
        <w:t>”</w:t>
      </w:r>
      <w:r>
        <w:t xml:space="preserve"> </w:t>
      </w:r>
      <w:r>
        <w:rPr>
          <w:b/>
          <w:bCs/>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F651FB8" w14:textId="2EBE69F1" w:rsidR="005202C4" w:rsidRPr="003406C5" w:rsidRDefault="003406C5" w:rsidP="003406C5">
      <w:pPr>
        <w:pStyle w:val="Citas"/>
        <w:rPr>
          <w:b/>
          <w:bCs/>
        </w:rPr>
      </w:pPr>
      <w:r w:rsidRPr="00D83FD2">
        <w:t>“</w:t>
      </w:r>
      <w:r w:rsidR="00D83FD2" w:rsidRPr="00D83FD2">
        <w:t xml:space="preserve">en la respuesta menciona que no han realizado pruebas de </w:t>
      </w:r>
      <w:proofErr w:type="gramStart"/>
      <w:r w:rsidR="00D83FD2" w:rsidRPr="00D83FD2">
        <w:t>daño</w:t>
      </w:r>
      <w:proofErr w:type="gramEnd"/>
      <w:r w:rsidR="00D83FD2" w:rsidRPr="00D83FD2">
        <w:t xml:space="preserve"> pero no anexan el acuerdo de inexistencia</w:t>
      </w:r>
      <w:r w:rsidRPr="00D83FD2">
        <w:t>”</w:t>
      </w:r>
      <w:r>
        <w:t xml:space="preserve"> </w:t>
      </w:r>
      <w:r>
        <w:rPr>
          <w:b/>
          <w:bCs/>
        </w:rPr>
        <w:t>(Sic)</w:t>
      </w:r>
    </w:p>
    <w:p w14:paraId="5B263052" w14:textId="77777777" w:rsidR="003406C5" w:rsidRPr="00AA207C" w:rsidRDefault="003406C5" w:rsidP="00AA207C">
      <w:pPr>
        <w:pStyle w:val="Citas"/>
        <w:rPr>
          <w:b/>
        </w:rPr>
      </w:pPr>
    </w:p>
    <w:p w14:paraId="7E88DE81" w14:textId="0A52F4A4" w:rsidR="006168E4" w:rsidRDefault="00D83FD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4FF6612F"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D83FD2">
        <w:rPr>
          <w:rFonts w:ascii="Palatino Linotype" w:hAnsi="Palatino Linotype" w:cs="Arial"/>
          <w:b/>
          <w:bCs/>
          <w:sz w:val="24"/>
          <w:szCs w:val="24"/>
        </w:rPr>
        <w:t xml:space="preserve">veinticinco de octubre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72283DB2" w:rsidR="006168E4" w:rsidRPr="00B07D6D" w:rsidRDefault="00D83FD2"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3613D392" w14:textId="0A940955" w:rsidR="00D83FD2" w:rsidRPr="00992B5E" w:rsidRDefault="007A4A04" w:rsidP="007A4A04">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w:t>
      </w:r>
      <w:r w:rsidR="00FD40C6">
        <w:rPr>
          <w:rFonts w:ascii="Palatino Linotype" w:hAnsi="Palatino Linotype" w:cs="Arial"/>
          <w:sz w:val="24"/>
          <w:szCs w:val="24"/>
        </w:rPr>
        <w:t xml:space="preserve">fecha </w:t>
      </w:r>
      <w:r w:rsidR="00FD40C6" w:rsidRPr="00FD40C6">
        <w:rPr>
          <w:rFonts w:ascii="Palatino Linotype" w:hAnsi="Palatino Linotype" w:cs="Arial"/>
          <w:b/>
          <w:bCs/>
          <w:sz w:val="24"/>
          <w:szCs w:val="24"/>
        </w:rPr>
        <w:t>veintiséis</w:t>
      </w:r>
      <w:r w:rsidR="00D83FD2">
        <w:rPr>
          <w:rFonts w:ascii="Palatino Linotype" w:hAnsi="Palatino Linotype" w:cs="Arial"/>
          <w:b/>
          <w:bCs/>
          <w:sz w:val="24"/>
          <w:szCs w:val="24"/>
        </w:rPr>
        <w:t xml:space="preserve"> de octubre de dos mil veintitrés, </w:t>
      </w:r>
      <w:r w:rsidR="00D83FD2">
        <w:rPr>
          <w:rFonts w:ascii="Palatino Linotype" w:hAnsi="Palatino Linotype" w:cs="Arial"/>
          <w:sz w:val="24"/>
          <w:szCs w:val="24"/>
        </w:rPr>
        <w:t xml:space="preserve">mismo que fue puesto a la vista el </w:t>
      </w:r>
      <w:r w:rsidR="00992B5E">
        <w:rPr>
          <w:rFonts w:ascii="Palatino Linotype" w:hAnsi="Palatino Linotype" w:cs="Arial"/>
          <w:b/>
          <w:bCs/>
          <w:sz w:val="24"/>
          <w:szCs w:val="24"/>
        </w:rPr>
        <w:t xml:space="preserve">treinta de octubre del presente. </w:t>
      </w:r>
    </w:p>
    <w:p w14:paraId="28ECD5C0" w14:textId="58269DFD" w:rsidR="007A4A04" w:rsidRPr="00EF5310" w:rsidRDefault="007A4A04" w:rsidP="007A4A04">
      <w:pPr>
        <w:spacing w:before="240" w:line="360" w:lineRule="auto"/>
        <w:jc w:val="both"/>
        <w:rPr>
          <w:rFonts w:ascii="Palatino Linotype" w:hAnsi="Palatino Linotype" w:cs="Arial"/>
          <w:sz w:val="24"/>
          <w:szCs w:val="24"/>
        </w:rPr>
      </w:pPr>
      <w:r>
        <w:rPr>
          <w:rFonts w:ascii="Palatino Linotype" w:hAnsi="Palatino Linotype" w:cs="Arial"/>
          <w:sz w:val="24"/>
          <w:szCs w:val="24"/>
        </w:rPr>
        <w:t>Por lo cual se decretó instrucció</w:t>
      </w:r>
      <w:r w:rsidR="00992B5E">
        <w:rPr>
          <w:rFonts w:ascii="Palatino Linotype" w:hAnsi="Palatino Linotype" w:cs="Arial"/>
          <w:sz w:val="24"/>
          <w:szCs w:val="24"/>
        </w:rPr>
        <w:t>n</w:t>
      </w:r>
      <w:r>
        <w:rPr>
          <w:rFonts w:ascii="Palatino Linotype" w:hAnsi="Palatino Linotype" w:cs="Arial"/>
          <w:sz w:val="24"/>
          <w:szCs w:val="24"/>
        </w:rPr>
        <w:t xml:space="preserve"> con fecha </w:t>
      </w:r>
      <w:r w:rsidR="00992B5E">
        <w:rPr>
          <w:rFonts w:ascii="Palatino Linotype" w:hAnsi="Palatino Linotype" w:cs="Arial"/>
          <w:b/>
          <w:bCs/>
          <w:sz w:val="24"/>
          <w:szCs w:val="24"/>
        </w:rPr>
        <w:t>nueve</w:t>
      </w:r>
      <w:r w:rsidR="00A812C8" w:rsidRPr="000057CA">
        <w:rPr>
          <w:rFonts w:ascii="Palatino Linotype" w:hAnsi="Palatino Linotype" w:cs="Arial"/>
          <w:b/>
          <w:bCs/>
          <w:sz w:val="24"/>
          <w:szCs w:val="24"/>
        </w:rPr>
        <w:t xml:space="preserve"> de noviembre</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215A94" w14:textId="2C9CC2F9" w:rsidR="005202C4" w:rsidRDefault="005202C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FD02F2F" w14:textId="77777777" w:rsidR="00A812C8" w:rsidRDefault="00A812C8" w:rsidP="00A812C8">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Pr>
          <w:rFonts w:ascii="Palatino Linotype" w:eastAsia="Calibri" w:hAnsi="Palatino Linotype" w:cs="Arial"/>
          <w:bCs/>
          <w:color w:val="000000" w:themeColor="text1"/>
          <w:sz w:val="24"/>
          <w:szCs w:val="24"/>
        </w:rPr>
        <w:lastRenderedPageBreak/>
        <w:t>Transparencia, Acceso a la Información Pública y Protección de Datos Personales del Estado de México y Municipios.</w:t>
      </w:r>
    </w:p>
    <w:p w14:paraId="4A0E9978" w14:textId="77777777" w:rsidR="000E5F05" w:rsidRDefault="000E5F05"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A80709C" w14:textId="77777777" w:rsidR="00C1588F" w:rsidRPr="00161CEB" w:rsidRDefault="00C1588F" w:rsidP="00C1588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74E06409" w14:textId="799B6D51" w:rsidR="002F3FC4" w:rsidRDefault="002F3FC4" w:rsidP="002F3FC4">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w:t>
      </w:r>
      <w:r>
        <w:rPr>
          <w:rFonts w:ascii="Palatino Linotype" w:hAnsi="Palatino Linotype"/>
          <w:sz w:val="24"/>
          <w:szCs w:val="24"/>
        </w:rPr>
        <w:lastRenderedPageBreak/>
        <w:t xml:space="preserve">es requisito indispensable contener el nombre cuando se hace la impugnación de manera electrónica, ello porque no se advierte nombre en específico sino </w:t>
      </w:r>
      <w:r>
        <w:rPr>
          <w:rFonts w:ascii="Palatino Linotype" w:hAnsi="Palatino Linotype" w:cs="Arial"/>
          <w:b/>
          <w:sz w:val="24"/>
          <w:szCs w:val="24"/>
        </w:rPr>
        <w:t xml:space="preserve">juan juanes </w:t>
      </w:r>
      <w:proofErr w:type="spellStart"/>
      <w:r>
        <w:rPr>
          <w:rFonts w:ascii="Palatino Linotype" w:hAnsi="Palatino Linotype" w:cs="Arial"/>
          <w:b/>
          <w:sz w:val="24"/>
          <w:szCs w:val="24"/>
        </w:rPr>
        <w:t>juanes</w:t>
      </w:r>
      <w:proofErr w:type="spellEnd"/>
      <w:r>
        <w:rPr>
          <w:rFonts w:ascii="Palatino Linotype" w:hAnsi="Palatino Linotype" w:cs="Arial"/>
          <w:sz w:val="24"/>
        </w:rPr>
        <w:t>, del cual no se colige que corresponda al nombre de una persona.</w:t>
      </w:r>
    </w:p>
    <w:p w14:paraId="5F6AA6A7" w14:textId="77777777" w:rsidR="002F3FC4" w:rsidRDefault="002F3FC4" w:rsidP="002F3FC4">
      <w:pPr>
        <w:spacing w:after="0" w:line="360" w:lineRule="auto"/>
        <w:jc w:val="both"/>
        <w:rPr>
          <w:rFonts w:ascii="Palatino Linotype" w:hAnsi="Palatino Linotype"/>
          <w:sz w:val="24"/>
          <w:szCs w:val="24"/>
        </w:rPr>
      </w:pPr>
    </w:p>
    <w:p w14:paraId="19883866" w14:textId="77777777" w:rsidR="002F3FC4" w:rsidRDefault="002F3FC4" w:rsidP="002F3FC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19E871D4" w14:textId="77777777" w:rsidR="002F3FC4" w:rsidRDefault="002F3FC4" w:rsidP="002F3FC4">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0563A484" w14:textId="77777777" w:rsidR="002F3FC4" w:rsidRDefault="002F3FC4" w:rsidP="002F3FC4">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5AAB0EE7" w14:textId="77777777" w:rsidR="002F3FC4" w:rsidRDefault="002F3FC4" w:rsidP="002F3FC4">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6F67A189" w14:textId="77777777" w:rsidR="002F3FC4" w:rsidRDefault="002F3FC4" w:rsidP="002F3FC4">
      <w:pPr>
        <w:spacing w:before="240" w:line="360" w:lineRule="auto"/>
        <w:ind w:left="851" w:right="851"/>
        <w:rPr>
          <w:rFonts w:ascii="Palatino Linotype" w:hAnsi="Palatino Linotype"/>
          <w:i/>
        </w:rPr>
      </w:pPr>
      <w:r>
        <w:rPr>
          <w:rFonts w:ascii="Palatino Linotype" w:hAnsi="Palatino Linotype"/>
          <w:b/>
          <w:i/>
        </w:rPr>
        <w:t>(…)” [Sic]</w:t>
      </w:r>
    </w:p>
    <w:p w14:paraId="75ACFB01" w14:textId="77777777" w:rsidR="002F3FC4" w:rsidRDefault="002F3FC4" w:rsidP="002F3FC4">
      <w:pPr>
        <w:pStyle w:val="Prrafodelista"/>
        <w:widowControl w:val="0"/>
        <w:autoSpaceDE w:val="0"/>
        <w:autoSpaceDN w:val="0"/>
        <w:adjustRightInd w:val="0"/>
        <w:ind w:left="0"/>
        <w:jc w:val="both"/>
        <w:rPr>
          <w:rFonts w:ascii="Palatino Linotype" w:hAnsi="Palatino Linotype"/>
          <w:highlight w:val="yellow"/>
        </w:rPr>
      </w:pPr>
    </w:p>
    <w:p w14:paraId="0826477C" w14:textId="6976C5F7" w:rsidR="002F3FC4" w:rsidRDefault="002F3FC4" w:rsidP="002F3FC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juan juanes </w:t>
      </w:r>
      <w:proofErr w:type="spellStart"/>
      <w:r>
        <w:rPr>
          <w:rFonts w:ascii="Palatino Linotype" w:hAnsi="Palatino Linotype" w:cs="Arial"/>
          <w:b/>
        </w:rPr>
        <w:t>juanes</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w:t>
      </w:r>
      <w:r>
        <w:rPr>
          <w:rFonts w:ascii="Palatino Linotype" w:hAnsi="Palatino Linotype"/>
        </w:rPr>
        <w:lastRenderedPageBreak/>
        <w:t>requisitos establecidos en el citado artículo 180 de la Ley de Transparencia.</w:t>
      </w:r>
    </w:p>
    <w:p w14:paraId="3F9105BC" w14:textId="77777777" w:rsidR="002F3FC4" w:rsidRDefault="002F3FC4" w:rsidP="002F3FC4">
      <w:pPr>
        <w:pStyle w:val="Prrafodelista"/>
        <w:widowControl w:val="0"/>
        <w:autoSpaceDE w:val="0"/>
        <w:autoSpaceDN w:val="0"/>
        <w:adjustRightInd w:val="0"/>
        <w:spacing w:line="360" w:lineRule="auto"/>
        <w:ind w:left="0"/>
        <w:jc w:val="both"/>
        <w:rPr>
          <w:rFonts w:ascii="Palatino Linotype" w:hAnsi="Palatino Linotype"/>
        </w:rPr>
      </w:pPr>
    </w:p>
    <w:p w14:paraId="3995E526" w14:textId="77777777" w:rsidR="002F3FC4" w:rsidRDefault="002F3FC4" w:rsidP="002F3FC4">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684B334" w14:textId="77777777" w:rsidR="002F3FC4" w:rsidRDefault="002F3FC4" w:rsidP="002F3FC4">
      <w:pPr>
        <w:pStyle w:val="Prrafodelista"/>
        <w:widowControl w:val="0"/>
        <w:autoSpaceDE w:val="0"/>
        <w:autoSpaceDN w:val="0"/>
        <w:adjustRightInd w:val="0"/>
        <w:ind w:left="0"/>
        <w:jc w:val="both"/>
        <w:rPr>
          <w:rFonts w:ascii="Palatino Linotype" w:hAnsi="Palatino Linotype"/>
          <w:highlight w:val="yellow"/>
        </w:rPr>
      </w:pPr>
    </w:p>
    <w:p w14:paraId="6BDBA7E8" w14:textId="77777777" w:rsidR="002F3FC4" w:rsidRDefault="002F3FC4" w:rsidP="002F3FC4">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05F3813" w14:textId="77777777" w:rsidR="00992B5E" w:rsidRPr="002F3FC4" w:rsidRDefault="00992B5E" w:rsidP="007B0046">
      <w:pPr>
        <w:tabs>
          <w:tab w:val="left" w:pos="709"/>
        </w:tabs>
        <w:spacing w:before="240" w:line="360" w:lineRule="auto"/>
        <w:ind w:right="51"/>
        <w:jc w:val="both"/>
        <w:rPr>
          <w:rFonts w:ascii="Palatino Linotype" w:hAnsi="Palatino Linotype"/>
          <w:b/>
          <w:sz w:val="28"/>
          <w:szCs w:val="28"/>
          <w:lang w:val="es-ES"/>
        </w:rPr>
      </w:pPr>
    </w:p>
    <w:p w14:paraId="4057BC66" w14:textId="5C87CA0D"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w:t>
      </w:r>
      <w:r w:rsidRPr="00505517">
        <w:rPr>
          <w:rFonts w:ascii="Palatino Linotype" w:hAnsi="Palatino Linotype" w:cs="Arial"/>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5C85FFC9" w14:textId="77777777" w:rsidR="002F3FC4" w:rsidRDefault="002F3FC4" w:rsidP="007B0046">
      <w:pPr>
        <w:spacing w:after="0" w:line="360" w:lineRule="auto"/>
        <w:jc w:val="both"/>
        <w:rPr>
          <w:rFonts w:ascii="Palatino Linotype" w:eastAsia="Times New Roman" w:hAnsi="Palatino Linotype" w:cs="Times New Roman"/>
          <w:sz w:val="24"/>
          <w:szCs w:val="24"/>
          <w:lang w:eastAsia="es-ES"/>
        </w:rPr>
      </w:pPr>
    </w:p>
    <w:p w14:paraId="559DC5F7" w14:textId="0C9573BE"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7EA41DC2" w14:textId="25E311B6" w:rsidR="00061CD8"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466B0E">
        <w:rPr>
          <w:rFonts w:ascii="Palatino Linotype" w:hAnsi="Palatino Linotype" w:cs="Arial"/>
          <w:b/>
          <w:bCs/>
          <w:sz w:val="24"/>
          <w:szCs w:val="24"/>
        </w:rPr>
        <w:t>00855/ECATEPEC/IP/2023</w:t>
      </w:r>
      <w:r w:rsidR="00061CD8">
        <w:rPr>
          <w:rFonts w:ascii="Palatino Linotype" w:hAnsi="Palatino Linotype" w:cs="Arial"/>
          <w:b/>
          <w:bCs/>
          <w:sz w:val="24"/>
          <w:szCs w:val="24"/>
        </w:rPr>
        <w:t xml:space="preserve"> </w:t>
      </w:r>
      <w:r w:rsidR="00061CD8">
        <w:rPr>
          <w:rFonts w:ascii="Palatino Linotype" w:hAnsi="Palatino Linotype" w:cs="Arial"/>
          <w:sz w:val="24"/>
          <w:szCs w:val="24"/>
        </w:rPr>
        <w:t>se desprenden las siguientes consideraciones:</w:t>
      </w:r>
    </w:p>
    <w:p w14:paraId="5AD5F544" w14:textId="77777777" w:rsidR="00061CD8" w:rsidRPr="00690743" w:rsidRDefault="00061CD8" w:rsidP="00061CD8">
      <w:pPr>
        <w:pStyle w:val="Prrafodelista"/>
        <w:numPr>
          <w:ilvl w:val="0"/>
          <w:numId w:val="6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7BEFAA4E" w14:textId="2CED2334" w:rsidR="00466B0E" w:rsidRPr="00466B0E" w:rsidRDefault="00061CD8" w:rsidP="00061CD8">
      <w:pPr>
        <w:pStyle w:val="Prrafodelista"/>
        <w:numPr>
          <w:ilvl w:val="0"/>
          <w:numId w:val="6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Que </w:t>
      </w:r>
      <w:r w:rsidR="00466B0E">
        <w:rPr>
          <w:rFonts w:ascii="Palatino Linotype" w:hAnsi="Palatino Linotype" w:cs="Arial"/>
        </w:rPr>
        <w:t xml:space="preserve">mediante la solicitud de información </w:t>
      </w:r>
      <w:r>
        <w:rPr>
          <w:rFonts w:ascii="Palatino Linotype" w:hAnsi="Palatino Linotype" w:cs="Arial"/>
        </w:rPr>
        <w:t>fue</w:t>
      </w:r>
      <w:r w:rsidR="00466B0E">
        <w:rPr>
          <w:rFonts w:ascii="Palatino Linotype" w:hAnsi="Palatino Linotype" w:cs="Arial"/>
        </w:rPr>
        <w:t xml:space="preserve"> formulado </w:t>
      </w:r>
      <w:r w:rsidR="00466B0E">
        <w:rPr>
          <w:rFonts w:ascii="Palatino Linotype" w:hAnsi="Palatino Linotype" w:cs="Arial"/>
          <w:b/>
          <w:bCs/>
        </w:rPr>
        <w:t xml:space="preserve">1 -un- </w:t>
      </w:r>
      <w:r w:rsidR="00466B0E">
        <w:rPr>
          <w:rFonts w:ascii="Palatino Linotype" w:hAnsi="Palatino Linotype" w:cs="Arial"/>
        </w:rPr>
        <w:t xml:space="preserve">requerimiento respecto del cual no fue señalado elemento temporal, sin embargo, mediante desahogo a la solicitud de aclaración, el particular señaló </w:t>
      </w:r>
      <w:r w:rsidR="00466B0E">
        <w:rPr>
          <w:rFonts w:ascii="Palatino Linotype" w:hAnsi="Palatino Linotype" w:cs="Arial"/>
          <w:i/>
          <w:iCs/>
        </w:rPr>
        <w:t>“de 2018 a 2023”.</w:t>
      </w:r>
    </w:p>
    <w:p w14:paraId="3762525C" w14:textId="77777777" w:rsidR="00466B0E" w:rsidRPr="00867BB4" w:rsidRDefault="00466B0E" w:rsidP="00466B0E">
      <w:pPr>
        <w:pStyle w:val="Prrafodelista"/>
        <w:numPr>
          <w:ilvl w:val="0"/>
          <w:numId w:val="65"/>
        </w:numPr>
        <w:spacing w:before="240" w:line="360" w:lineRule="auto"/>
        <w:jc w:val="both"/>
        <w:rPr>
          <w:rFonts w:ascii="Palatino Linotype" w:hAnsi="Palatino Linotype"/>
        </w:rPr>
      </w:pPr>
      <w:r w:rsidRPr="00867BB4">
        <w:rPr>
          <w:rFonts w:ascii="Palatino Linotype" w:hAnsi="Palatino Linotype"/>
        </w:rPr>
        <w:t xml:space="preserve">Que el derecho de acceso a la información estriba respecto de aquellos soportes documentales generados, poseídos o administrados por </w:t>
      </w:r>
      <w:r w:rsidRPr="00867BB4">
        <w:rPr>
          <w:rFonts w:ascii="Palatino Linotype" w:hAnsi="Palatino Linotype"/>
          <w:b/>
          <w:bCs/>
        </w:rPr>
        <w:t xml:space="preserve">El Sujeto Obligado </w:t>
      </w:r>
      <w:r w:rsidRPr="00867BB4">
        <w:rPr>
          <w:rFonts w:ascii="Palatino Linotype" w:hAnsi="Palatino Linotype"/>
        </w:rPr>
        <w:t>que se encuentren disponibles al momento de ejercer dicha prerrogativa, es decir, excluye los siguientes actos:</w:t>
      </w:r>
    </w:p>
    <w:p w14:paraId="51FE54FC" w14:textId="77777777" w:rsidR="00466B0E" w:rsidRDefault="00466B0E" w:rsidP="00466B0E">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inminentes: </w:t>
      </w:r>
      <w:r>
        <w:rPr>
          <w:rFonts w:ascii="Palatino Linotype" w:hAnsi="Palatino Linotype"/>
        </w:rPr>
        <w:t xml:space="preserve">Son aquellos cuyo mandamiento ya se ha dictado y su ejecución puede realizarse de un momento a otro. </w:t>
      </w:r>
    </w:p>
    <w:p w14:paraId="250F1EEA" w14:textId="77777777" w:rsidR="00466B0E" w:rsidRDefault="00466B0E" w:rsidP="00466B0E">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probables: </w:t>
      </w:r>
      <w:r>
        <w:rPr>
          <w:rFonts w:ascii="Palatino Linotype" w:hAnsi="Palatino Linotype"/>
        </w:rPr>
        <w:t xml:space="preserve">Son aquellos que pueden o no suceder, es decir, son de remota realización. </w:t>
      </w:r>
    </w:p>
    <w:p w14:paraId="3A9288F5" w14:textId="77777777" w:rsidR="00466B0E" w:rsidRDefault="00466B0E" w:rsidP="00466B0E">
      <w:pPr>
        <w:pStyle w:val="Prrafodelista"/>
        <w:autoSpaceDE w:val="0"/>
        <w:autoSpaceDN w:val="0"/>
        <w:adjustRightInd w:val="0"/>
        <w:spacing w:line="360" w:lineRule="auto"/>
        <w:ind w:left="785"/>
        <w:jc w:val="both"/>
        <w:rPr>
          <w:rFonts w:ascii="Palatino Linotype" w:hAnsi="Palatino Linotype" w:cs="Arial"/>
        </w:rPr>
      </w:pPr>
    </w:p>
    <w:p w14:paraId="75BAA11D" w14:textId="6A8CE74E" w:rsidR="00466B0E" w:rsidRDefault="00466B0E" w:rsidP="00466B0E">
      <w:pPr>
        <w:pStyle w:val="Prrafodelista"/>
        <w:autoSpaceDE w:val="0"/>
        <w:autoSpaceDN w:val="0"/>
        <w:adjustRightInd w:val="0"/>
        <w:spacing w:line="360" w:lineRule="auto"/>
        <w:ind w:left="785"/>
        <w:jc w:val="both"/>
        <w:rPr>
          <w:rFonts w:ascii="Palatino Linotype" w:hAnsi="Palatino Linotype" w:cs="Arial"/>
        </w:rPr>
      </w:pPr>
      <w:r>
        <w:rPr>
          <w:rFonts w:ascii="Palatino Linotype" w:hAnsi="Palatino Linotype" w:cs="Arial"/>
        </w:rPr>
        <w:t xml:space="preserve">En este sentido, al tomar en consideración que el derecho de acceso a la información fue ejercido el nueve de octubre de dos mil veintitrés, el elemento temporal debe de ser fijado del uno de enero de dos mil dieciocho al nueve de octubre de dos mil veintitrés. </w:t>
      </w:r>
    </w:p>
    <w:p w14:paraId="7B2DEC00" w14:textId="77777777" w:rsidR="00466B0E" w:rsidRDefault="00466B0E" w:rsidP="00466B0E">
      <w:pPr>
        <w:pStyle w:val="Prrafodelista"/>
        <w:autoSpaceDE w:val="0"/>
        <w:autoSpaceDN w:val="0"/>
        <w:adjustRightInd w:val="0"/>
        <w:spacing w:line="360" w:lineRule="auto"/>
        <w:ind w:left="785"/>
        <w:jc w:val="both"/>
        <w:rPr>
          <w:rFonts w:ascii="Palatino Linotype" w:hAnsi="Palatino Linotype" w:cs="Arial"/>
        </w:rPr>
      </w:pPr>
    </w:p>
    <w:p w14:paraId="122ED97A" w14:textId="77777777" w:rsidR="00466B0E" w:rsidRPr="008160EA" w:rsidRDefault="00466B0E" w:rsidP="00466B0E">
      <w:pPr>
        <w:pStyle w:val="Prrafodelista"/>
        <w:numPr>
          <w:ilvl w:val="0"/>
          <w:numId w:val="76"/>
        </w:numPr>
        <w:spacing w:before="240" w:line="360" w:lineRule="auto"/>
        <w:jc w:val="both"/>
        <w:rPr>
          <w:rFonts w:ascii="Palatino Linotype" w:hAnsi="Palatino Linotype"/>
        </w:rPr>
      </w:pPr>
      <w:r>
        <w:rPr>
          <w:rFonts w:ascii="Palatino Linotype" w:hAnsi="Palatino Linotype" w:cs="Arial"/>
        </w:rPr>
        <w:t xml:space="preserve">Que cuando los particulares </w:t>
      </w:r>
      <w:r w:rsidRPr="008160EA">
        <w:rPr>
          <w:rFonts w:ascii="Palatino Linotype" w:hAnsi="Palatino Linotype"/>
        </w:rPr>
        <w:t xml:space="preserve">no identifican de forma precisa el documento requerido bastará con que se remita cualquiera que refleje la información requerida. Al respecto cobra relevancia el criterio emitido por el Órgano </w:t>
      </w:r>
      <w:r w:rsidRPr="008160EA">
        <w:rPr>
          <w:rFonts w:ascii="Palatino Linotype" w:hAnsi="Palatino Linotype"/>
        </w:rPr>
        <w:lastRenderedPageBreak/>
        <w:t xml:space="preserve">Garante Nacional con número </w:t>
      </w:r>
      <w:r w:rsidRPr="008160EA">
        <w:rPr>
          <w:rFonts w:ascii="Palatino Linotype" w:hAnsi="Palatino Linotype"/>
          <w:b/>
          <w:bCs/>
        </w:rPr>
        <w:t xml:space="preserve">16/17 </w:t>
      </w:r>
      <w:r w:rsidRPr="008160EA">
        <w:rPr>
          <w:rFonts w:ascii="Palatino Linotype" w:hAnsi="Palatino Linotype"/>
        </w:rPr>
        <w:t>cuyo rubro y texto disponen a la literalidad lo siguiente:</w:t>
      </w:r>
    </w:p>
    <w:p w14:paraId="2A59E807" w14:textId="77777777" w:rsidR="00466B0E" w:rsidRPr="00AB5B4A" w:rsidRDefault="00466B0E" w:rsidP="00466B0E">
      <w:pPr>
        <w:pStyle w:val="Citas"/>
        <w:jc w:val="center"/>
        <w:rPr>
          <w:b/>
          <w:bCs/>
          <w:sz w:val="24"/>
          <w:szCs w:val="24"/>
        </w:rPr>
      </w:pPr>
      <w:r w:rsidRPr="00AB5B4A">
        <w:rPr>
          <w:b/>
          <w:bCs/>
          <w:sz w:val="24"/>
          <w:szCs w:val="24"/>
        </w:rPr>
        <w:t>“EXPRESIÓN DOCUMENTAL.</w:t>
      </w:r>
    </w:p>
    <w:p w14:paraId="56270BB0" w14:textId="77777777" w:rsidR="00466B0E" w:rsidRPr="00AB5B4A" w:rsidRDefault="00466B0E" w:rsidP="00466B0E">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32F85327" w14:textId="77777777" w:rsidR="00466B0E" w:rsidRPr="00AB5B4A" w:rsidRDefault="00466B0E" w:rsidP="00466B0E">
      <w:pPr>
        <w:pStyle w:val="Citas"/>
        <w:rPr>
          <w:b/>
        </w:rPr>
      </w:pPr>
      <w:r w:rsidRPr="00AB5B4A">
        <w:rPr>
          <w:b/>
        </w:rPr>
        <w:t>Precedentes:</w:t>
      </w:r>
    </w:p>
    <w:p w14:paraId="7B9ACE70" w14:textId="77777777" w:rsidR="00466B0E" w:rsidRPr="00AB5B4A" w:rsidRDefault="00466B0E" w:rsidP="00466B0E">
      <w:pPr>
        <w:pStyle w:val="Citas"/>
        <w:numPr>
          <w:ilvl w:val="0"/>
          <w:numId w:val="7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CEEA5A1" w14:textId="77777777" w:rsidR="00466B0E" w:rsidRPr="00AB5B4A" w:rsidRDefault="00466B0E" w:rsidP="00466B0E">
      <w:pPr>
        <w:pStyle w:val="Citas"/>
        <w:numPr>
          <w:ilvl w:val="0"/>
          <w:numId w:val="7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6A5516EF" w14:textId="77777777" w:rsidR="00466B0E" w:rsidRPr="00AB5B4A" w:rsidRDefault="00466B0E" w:rsidP="00466B0E">
      <w:pPr>
        <w:pStyle w:val="Citas"/>
        <w:numPr>
          <w:ilvl w:val="0"/>
          <w:numId w:val="7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582056BF" w14:textId="77777777" w:rsidR="00466B0E" w:rsidRDefault="00466B0E" w:rsidP="00466B0E">
      <w:pPr>
        <w:autoSpaceDE w:val="0"/>
        <w:autoSpaceDN w:val="0"/>
        <w:adjustRightInd w:val="0"/>
        <w:spacing w:line="360" w:lineRule="auto"/>
        <w:jc w:val="both"/>
        <w:rPr>
          <w:rFonts w:ascii="Palatino Linotype" w:hAnsi="Palatino Linotype" w:cs="Arial"/>
        </w:rPr>
      </w:pPr>
    </w:p>
    <w:p w14:paraId="0856926C" w14:textId="77777777" w:rsidR="00061CD8" w:rsidRPr="0051062B" w:rsidRDefault="00061CD8" w:rsidP="00061CD8">
      <w:pPr>
        <w:spacing w:before="240" w:line="360" w:lineRule="auto"/>
        <w:jc w:val="both"/>
        <w:rPr>
          <w:rFonts w:ascii="Palatino Linotype" w:hAnsi="Palatino Linotype"/>
          <w:sz w:val="24"/>
          <w:szCs w:val="24"/>
        </w:rPr>
      </w:pPr>
      <w:r w:rsidRPr="00A44FBE">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C3BF7B9" w14:textId="77777777" w:rsidR="00061CD8" w:rsidRPr="0051062B" w:rsidRDefault="00061CD8" w:rsidP="00061CD8">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239B60C8" w14:textId="77777777" w:rsidR="00061CD8" w:rsidRPr="0051062B" w:rsidRDefault="00061CD8" w:rsidP="00061CD8">
      <w:pPr>
        <w:pStyle w:val="Citas"/>
        <w:rPr>
          <w:b/>
        </w:rPr>
      </w:pPr>
      <w:r w:rsidRPr="0051062B">
        <w:rPr>
          <w:b/>
        </w:rPr>
        <w:t xml:space="preserve">Artículo 181. … </w:t>
      </w:r>
    </w:p>
    <w:p w14:paraId="1ADC93C7" w14:textId="77777777" w:rsidR="00061CD8" w:rsidRDefault="00061CD8" w:rsidP="00061CD8">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25696FC" w14:textId="77777777" w:rsidR="00A812C8" w:rsidRDefault="00A812C8" w:rsidP="000E5F05">
      <w:pPr>
        <w:autoSpaceDE w:val="0"/>
        <w:autoSpaceDN w:val="0"/>
        <w:adjustRightInd w:val="0"/>
        <w:spacing w:line="360" w:lineRule="auto"/>
        <w:jc w:val="both"/>
        <w:rPr>
          <w:rFonts w:ascii="Palatino Linotype" w:hAnsi="Palatino Linotype" w:cs="Arial"/>
          <w:sz w:val="24"/>
          <w:szCs w:val="24"/>
        </w:rPr>
      </w:pPr>
    </w:p>
    <w:p w14:paraId="538D9120" w14:textId="77777777" w:rsidR="00061CD8" w:rsidRDefault="00061CD8" w:rsidP="00061CD8">
      <w:pPr>
        <w:spacing w:before="240" w:line="360" w:lineRule="auto"/>
        <w:jc w:val="both"/>
        <w:rPr>
          <w:rFonts w:ascii="Palatino Linotype" w:hAnsi="Palatino Linotype"/>
          <w:sz w:val="24"/>
          <w:szCs w:val="24"/>
        </w:rPr>
      </w:pPr>
      <w:bookmarkStart w:id="0" w:name="_Hlk150170173"/>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1BBE86BB" w14:textId="3143776D" w:rsidR="00061CD8" w:rsidRDefault="00466B0E" w:rsidP="00061CD8">
      <w:pPr>
        <w:pStyle w:val="Prrafodelista"/>
        <w:numPr>
          <w:ilvl w:val="0"/>
          <w:numId w:val="67"/>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pruebas de daño, del periodo comprendido del uno de enero de dos mil dieciocho al nueve de octubre de dos mil veintitrés. </w:t>
      </w:r>
    </w:p>
    <w:bookmarkEnd w:id="0"/>
    <w:p w14:paraId="5794D60A" w14:textId="77777777" w:rsidR="00C266D8" w:rsidRDefault="00C266D8" w:rsidP="00595568">
      <w:pPr>
        <w:spacing w:after="0" w:line="360" w:lineRule="auto"/>
        <w:jc w:val="both"/>
        <w:rPr>
          <w:rFonts w:ascii="Palatino Linotype" w:hAnsi="Palatino Linotype" w:cs="Arial"/>
          <w:sz w:val="24"/>
          <w:szCs w:val="24"/>
        </w:rPr>
      </w:pPr>
    </w:p>
    <w:p w14:paraId="0BE4A623" w14:textId="77777777" w:rsidR="00466B0E" w:rsidRDefault="00466B0E" w:rsidP="00595568">
      <w:pPr>
        <w:spacing w:after="0" w:line="360" w:lineRule="auto"/>
        <w:jc w:val="both"/>
        <w:rPr>
          <w:rFonts w:ascii="Palatino Linotype" w:hAnsi="Palatino Linotype" w:cs="Arial"/>
          <w:sz w:val="24"/>
          <w:szCs w:val="24"/>
        </w:rPr>
      </w:pPr>
    </w:p>
    <w:p w14:paraId="49A935AC" w14:textId="66355C6C" w:rsidR="005E6E57" w:rsidRDefault="005E6E57" w:rsidP="00595568">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 mayor abundamiento, en alusión al requerimiento referido, sirven de sustento las siguientes imágenes ilustrativas, correspondientes al organigrama del </w:t>
      </w:r>
      <w:r>
        <w:rPr>
          <w:rFonts w:ascii="Palatino Linotype" w:hAnsi="Palatino Linotype" w:cs="Arial"/>
          <w:b/>
          <w:bCs/>
          <w:sz w:val="24"/>
          <w:szCs w:val="24"/>
        </w:rPr>
        <w:t xml:space="preserve">Sujeto Obligado: </w:t>
      </w:r>
    </w:p>
    <w:p w14:paraId="313F90C5" w14:textId="5086AD63" w:rsidR="0097184A" w:rsidRDefault="0097184A" w:rsidP="00595568">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w:lastRenderedPageBreak/>
        <w:drawing>
          <wp:anchor distT="0" distB="0" distL="114300" distR="114300" simplePos="0" relativeHeight="251792374" behindDoc="0" locked="0" layoutInCell="1" allowOverlap="1" wp14:anchorId="1DE35739" wp14:editId="59B697CA">
            <wp:simplePos x="0" y="0"/>
            <wp:positionH relativeFrom="page">
              <wp:align>center</wp:align>
            </wp:positionH>
            <wp:positionV relativeFrom="paragraph">
              <wp:posOffset>3978275</wp:posOffset>
            </wp:positionV>
            <wp:extent cx="5092700" cy="444500"/>
            <wp:effectExtent l="19050" t="19050" r="12700" b="12700"/>
            <wp:wrapThrough wrapText="bothSides">
              <wp:wrapPolygon edited="0">
                <wp:start x="-81" y="-926"/>
                <wp:lineTo x="-81" y="21291"/>
                <wp:lineTo x="21573" y="21291"/>
                <wp:lineTo x="21573" y="-926"/>
                <wp:lineTo x="-81" y="-926"/>
              </wp:wrapPolygon>
            </wp:wrapThrough>
            <wp:docPr id="1216410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700" cy="444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bCs/>
          <w:noProof/>
          <w:sz w:val="24"/>
          <w:szCs w:val="24"/>
        </w:rPr>
        <w:drawing>
          <wp:anchor distT="0" distB="0" distL="114300" distR="114300" simplePos="0" relativeHeight="251790326" behindDoc="0" locked="0" layoutInCell="1" allowOverlap="1" wp14:anchorId="38178D6E" wp14:editId="5A9410AF">
            <wp:simplePos x="0" y="0"/>
            <wp:positionH relativeFrom="page">
              <wp:align>center</wp:align>
            </wp:positionH>
            <wp:positionV relativeFrom="paragraph">
              <wp:posOffset>19050</wp:posOffset>
            </wp:positionV>
            <wp:extent cx="5753100" cy="3524250"/>
            <wp:effectExtent l="19050" t="19050" r="19050" b="19050"/>
            <wp:wrapThrough wrapText="bothSides">
              <wp:wrapPolygon edited="0">
                <wp:start x="-72" y="-117"/>
                <wp:lineTo x="-72" y="21600"/>
                <wp:lineTo x="21600" y="21600"/>
                <wp:lineTo x="21600" y="-117"/>
                <wp:lineTo x="-72" y="-117"/>
              </wp:wrapPolygon>
            </wp:wrapThrough>
            <wp:docPr id="120873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12E5A6" w14:textId="1A3FC961" w:rsidR="0097184A" w:rsidRDefault="0097184A" w:rsidP="00595568">
      <w:pPr>
        <w:spacing w:after="0" w:line="360" w:lineRule="auto"/>
        <w:jc w:val="both"/>
        <w:rPr>
          <w:rFonts w:ascii="Palatino Linotype" w:hAnsi="Palatino Linotype" w:cs="Arial"/>
          <w:b/>
          <w:bCs/>
          <w:sz w:val="24"/>
          <w:szCs w:val="24"/>
        </w:rPr>
      </w:pPr>
    </w:p>
    <w:p w14:paraId="758644E8" w14:textId="79B93081" w:rsidR="0097184A" w:rsidRDefault="0097184A" w:rsidP="00595568">
      <w:pPr>
        <w:spacing w:after="0" w:line="360" w:lineRule="auto"/>
        <w:jc w:val="both"/>
        <w:rPr>
          <w:rFonts w:ascii="Palatino Linotype" w:hAnsi="Palatino Linotype" w:cs="Arial"/>
          <w:b/>
          <w:bCs/>
          <w:sz w:val="24"/>
          <w:szCs w:val="24"/>
        </w:rPr>
      </w:pPr>
    </w:p>
    <w:p w14:paraId="31206D9C" w14:textId="77777777" w:rsidR="0097184A" w:rsidRDefault="0097184A" w:rsidP="00595568">
      <w:pPr>
        <w:spacing w:after="0" w:line="360" w:lineRule="auto"/>
        <w:jc w:val="both"/>
        <w:rPr>
          <w:rFonts w:ascii="Palatino Linotype" w:hAnsi="Palatino Linotype" w:cs="Arial"/>
          <w:b/>
          <w:bCs/>
          <w:sz w:val="24"/>
          <w:szCs w:val="24"/>
        </w:rPr>
      </w:pPr>
    </w:p>
    <w:p w14:paraId="2E277683" w14:textId="77777777" w:rsidR="0097184A" w:rsidRPr="005E6E57" w:rsidRDefault="0097184A" w:rsidP="00595568">
      <w:pPr>
        <w:spacing w:after="0" w:line="360" w:lineRule="auto"/>
        <w:jc w:val="both"/>
        <w:rPr>
          <w:rFonts w:ascii="Palatino Linotype" w:hAnsi="Palatino Linotype" w:cs="Arial"/>
          <w:b/>
          <w:bCs/>
          <w:sz w:val="24"/>
          <w:szCs w:val="24"/>
        </w:rPr>
      </w:pPr>
    </w:p>
    <w:p w14:paraId="007252AE" w14:textId="77777777" w:rsidR="0097184A" w:rsidRDefault="008474E1" w:rsidP="00E8308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w:t>
      </w:r>
      <w:r w:rsidR="009C5799">
        <w:rPr>
          <w:rFonts w:ascii="Palatino Linotype" w:hAnsi="Palatino Linotype" w:cs="Arial"/>
          <w:sz w:val="24"/>
          <w:szCs w:val="24"/>
        </w:rPr>
        <w:t xml:space="preserve">e lo expuesto con anterioridad, se desprende que </w:t>
      </w:r>
      <w:r w:rsidR="009C5799">
        <w:rPr>
          <w:rFonts w:ascii="Palatino Linotype" w:hAnsi="Palatino Linotype" w:cs="Arial"/>
          <w:b/>
          <w:bCs/>
          <w:sz w:val="24"/>
          <w:szCs w:val="24"/>
        </w:rPr>
        <w:t xml:space="preserve">El Sujeto Obligado </w:t>
      </w:r>
      <w:r w:rsidR="009C5799">
        <w:rPr>
          <w:rFonts w:ascii="Palatino Linotype" w:hAnsi="Palatino Linotype" w:cs="Arial"/>
          <w:sz w:val="24"/>
          <w:szCs w:val="24"/>
        </w:rPr>
        <w:t xml:space="preserve">se auxilia de diversas Coordinaciones, Direcciones y Departamentos para cumplir con sus fines y objetivos, resultando de nuestro interés </w:t>
      </w:r>
      <w:r w:rsidR="0097184A">
        <w:rPr>
          <w:rFonts w:ascii="Palatino Linotype" w:hAnsi="Palatino Linotype" w:cs="Arial"/>
          <w:sz w:val="24"/>
          <w:szCs w:val="24"/>
        </w:rPr>
        <w:t xml:space="preserve">la Unidad de Transparencia dependiente de la Secretaría Técnica de Gabinete. </w:t>
      </w:r>
    </w:p>
    <w:p w14:paraId="3F8C982E" w14:textId="7DD7EF6A" w:rsidR="00BB18B7" w:rsidRPr="0037314A" w:rsidRDefault="006816EF" w:rsidP="00BB18B7">
      <w:pPr>
        <w:spacing w:line="360" w:lineRule="auto"/>
        <w:jc w:val="both"/>
        <w:rPr>
          <w:rFonts w:ascii="Palatino Linotype" w:hAnsi="Palatino Linotype" w:cs="Arial"/>
        </w:rPr>
      </w:pPr>
      <w:r>
        <w:rPr>
          <w:rFonts w:ascii="Palatino Linotype" w:hAnsi="Palatino Linotype" w:cs="Arial"/>
          <w:sz w:val="24"/>
          <w:szCs w:val="24"/>
        </w:rPr>
        <w:t xml:space="preserve"> </w:t>
      </w:r>
      <w:r w:rsidR="00BB18B7" w:rsidRPr="0037314A">
        <w:rPr>
          <w:rFonts w:ascii="Palatino Linotype" w:hAnsi="Palatino Linotype" w:cs="Arial"/>
          <w:sz w:val="24"/>
          <w:szCs w:val="24"/>
        </w:rPr>
        <w:t>En virtud de lo anterior, para delimitar las fronteras competenciales de la unidad administrativa en cita, resulta oportuno traer a colación los artículos</w:t>
      </w:r>
      <w:r w:rsidR="00BB18B7">
        <w:rPr>
          <w:rFonts w:ascii="Palatino Linotype" w:hAnsi="Palatino Linotype" w:cs="Arial"/>
          <w:sz w:val="24"/>
          <w:szCs w:val="24"/>
        </w:rPr>
        <w:t xml:space="preserve"> 3 fracción </w:t>
      </w:r>
      <w:proofErr w:type="gramStart"/>
      <w:r w:rsidR="00BB18B7">
        <w:rPr>
          <w:rFonts w:ascii="Palatino Linotype" w:hAnsi="Palatino Linotype" w:cs="Arial"/>
          <w:sz w:val="24"/>
          <w:szCs w:val="24"/>
        </w:rPr>
        <w:t xml:space="preserve">XXXIII, </w:t>
      </w:r>
      <w:r w:rsidR="00BB18B7" w:rsidRPr="0037314A">
        <w:rPr>
          <w:rFonts w:ascii="Palatino Linotype" w:hAnsi="Palatino Linotype" w:cs="Arial"/>
          <w:sz w:val="24"/>
          <w:szCs w:val="24"/>
        </w:rPr>
        <w:t xml:space="preserve"> </w:t>
      </w:r>
      <w:r w:rsidR="00BB18B7" w:rsidRPr="0037314A">
        <w:rPr>
          <w:rFonts w:ascii="Palatino Linotype" w:hAnsi="Palatino Linotype" w:cs="Arial"/>
          <w:sz w:val="24"/>
          <w:szCs w:val="24"/>
        </w:rPr>
        <w:lastRenderedPageBreak/>
        <w:t>47</w:t>
      </w:r>
      <w:proofErr w:type="gramEnd"/>
      <w:r w:rsidR="00BB18B7">
        <w:rPr>
          <w:rFonts w:ascii="Palatino Linotype" w:hAnsi="Palatino Linotype" w:cs="Arial"/>
          <w:sz w:val="24"/>
          <w:szCs w:val="24"/>
        </w:rPr>
        <w:t xml:space="preserve">, 49 fracción II y 132 de la </w:t>
      </w:r>
      <w:r w:rsidR="00BB18B7" w:rsidRPr="0037314A">
        <w:rPr>
          <w:rFonts w:ascii="Palatino Linotype" w:hAnsi="Palatino Linotype" w:cs="Arial"/>
          <w:sz w:val="24"/>
          <w:szCs w:val="24"/>
        </w:rPr>
        <w:t>Ley de Transparencia y Acceso a la Información Pública del Estado de México y Municipios, porciones normativas que disponen a la literalidad lo siguiente</w:t>
      </w:r>
      <w:r w:rsidR="00BB18B7" w:rsidRPr="0037314A">
        <w:rPr>
          <w:rFonts w:ascii="Palatino Linotype" w:hAnsi="Palatino Linotype" w:cs="Arial"/>
        </w:rPr>
        <w:t>:</w:t>
      </w:r>
    </w:p>
    <w:p w14:paraId="7D0C25BF" w14:textId="56EE2388" w:rsidR="00BB18B7" w:rsidRDefault="00BB18B7" w:rsidP="00BB18B7">
      <w:pPr>
        <w:pStyle w:val="Citas"/>
      </w:pPr>
      <w:r w:rsidRPr="0037314A">
        <w:rPr>
          <w:b/>
          <w:bCs/>
        </w:rPr>
        <w:t>“</w:t>
      </w:r>
      <w:r>
        <w:t>Artículo 3. Para los efectos de la presente Ley se entenderá por:</w:t>
      </w:r>
    </w:p>
    <w:p w14:paraId="785D58BA" w14:textId="1C2C34D7" w:rsidR="00BB18B7" w:rsidRDefault="00BB18B7" w:rsidP="00BB18B7">
      <w:pPr>
        <w:pStyle w:val="Citas"/>
        <w:rPr>
          <w:b/>
          <w:bCs/>
        </w:rPr>
      </w:pPr>
      <w:r>
        <w:rPr>
          <w:b/>
          <w:bCs/>
        </w:rPr>
        <w:t>(…)</w:t>
      </w:r>
    </w:p>
    <w:p w14:paraId="35F5F032" w14:textId="0E674A7F" w:rsidR="00BB18B7" w:rsidRDefault="00BB18B7" w:rsidP="00BB18B7">
      <w:pPr>
        <w:pStyle w:val="Citas"/>
        <w:rPr>
          <w:b/>
          <w:bCs/>
        </w:rPr>
      </w:pPr>
      <w:r>
        <w:t>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65889BB1" w14:textId="5371A466" w:rsidR="00BB18B7" w:rsidRDefault="00BB18B7" w:rsidP="00BB18B7">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012C4569" w14:textId="77777777" w:rsidR="00BB18B7" w:rsidRPr="0037314A" w:rsidRDefault="00BB18B7" w:rsidP="00BB18B7">
      <w:pPr>
        <w:pStyle w:val="CitasINFOEM"/>
      </w:pPr>
      <w:r w:rsidRPr="0037314A">
        <w:t xml:space="preserve">Artículo 47. El Comité de Transparencia será la autoridad máxima al interior del sujeto obligado en materia del derecho de acceso a la información. </w:t>
      </w:r>
    </w:p>
    <w:p w14:paraId="1A6F73F6" w14:textId="77777777" w:rsidR="00BB18B7" w:rsidRPr="0037314A" w:rsidRDefault="00BB18B7" w:rsidP="00BB18B7">
      <w:pPr>
        <w:pStyle w:val="CitasINFOEM"/>
      </w:pPr>
      <w:r w:rsidRPr="0037314A">
        <w:t xml:space="preserve">El Comité de Transparencia adoptará sus resoluciones por mayoría de votos. En caso de empate, la o el </w:t>
      </w:r>
      <w:proofErr w:type="gramStart"/>
      <w:r w:rsidRPr="0037314A">
        <w:t>Presidente</w:t>
      </w:r>
      <w:proofErr w:type="gramEnd"/>
      <w:r w:rsidRPr="0037314A">
        <w:t xml:space="preserve"> tendrá voto de calidad. A sus sesiones podrán asistir como invitados aquellos que sus integrantes consideren necesarios, quienes tendrán </w:t>
      </w:r>
      <w:proofErr w:type="gramStart"/>
      <w:r w:rsidRPr="0037314A">
        <w:t>voz</w:t>
      </w:r>
      <w:proofErr w:type="gramEnd"/>
      <w:r w:rsidRPr="0037314A">
        <w:t xml:space="preserve"> pero no voto. </w:t>
      </w:r>
    </w:p>
    <w:p w14:paraId="40C05B4B" w14:textId="77777777" w:rsidR="00BB18B7" w:rsidRPr="008A30E0" w:rsidRDefault="00BB18B7" w:rsidP="00BB18B7">
      <w:pPr>
        <w:pStyle w:val="CitasINFOEM"/>
        <w:rPr>
          <w:b/>
          <w:u w:val="single"/>
        </w:rPr>
      </w:pPr>
      <w:r w:rsidRPr="008A30E0">
        <w:rPr>
          <w:b/>
          <w:u w:val="single"/>
        </w:rPr>
        <w:t xml:space="preserve">El Comité se reunirá en sesión ordinaria o extraordinaria las veces que estime necesario. El tipo de sesión se precisará en la convocatoria emitida. </w:t>
      </w:r>
    </w:p>
    <w:p w14:paraId="2E7B10B2" w14:textId="77777777" w:rsidR="00BB18B7" w:rsidRPr="0037314A" w:rsidRDefault="00BB18B7" w:rsidP="00BB18B7">
      <w:pPr>
        <w:pStyle w:val="CitasINFOEM"/>
      </w:pPr>
      <w:r w:rsidRPr="0037314A">
        <w:t xml:space="preserve">Los integrantes del Comité de Transparencia tendrán acceso a la información para determinar su clasificación, conforme a la normatividad aplicable previamente </w:t>
      </w:r>
      <w:r w:rsidRPr="0037314A">
        <w:lastRenderedPageBreak/>
        <w:t xml:space="preserve">establecida por los sujetos obligados para el resguardo o salvaguarda de la información. </w:t>
      </w:r>
    </w:p>
    <w:p w14:paraId="423C408D" w14:textId="77777777" w:rsidR="00BB18B7" w:rsidRPr="0037314A" w:rsidRDefault="00BB18B7" w:rsidP="00BB18B7">
      <w:pPr>
        <w:pStyle w:val="CitasINFOEM"/>
      </w:pPr>
      <w:r w:rsidRPr="0037314A">
        <w:t xml:space="preserve">En las sesiones y trabajos del Comité, podrán participar como invitados permanentes, los representantes de las áreas que decida el Comité, y contará con derecho de voz, pero no voto. </w:t>
      </w:r>
    </w:p>
    <w:p w14:paraId="1C852A6E" w14:textId="77777777" w:rsidR="00BB18B7" w:rsidRPr="0037314A" w:rsidRDefault="00BB18B7" w:rsidP="00BB18B7">
      <w:pPr>
        <w:pStyle w:val="CitasINFOEM"/>
        <w:rPr>
          <w:rFonts w:cs="Arial"/>
          <w:b/>
          <w:sz w:val="24"/>
        </w:rPr>
      </w:pPr>
      <w:r w:rsidRPr="0037314A">
        <w:t>Los titulares de las unidades administrativas que propongan la reserva, confidencialidad o declaren la inexistencia de información, acudirán a las sesiones de dicho Comité donde se discuta la propuesta correspondiente</w:t>
      </w:r>
    </w:p>
    <w:p w14:paraId="756DA8CF" w14:textId="542026BA" w:rsidR="00BB18B7" w:rsidRDefault="00BB18B7" w:rsidP="00BB18B7">
      <w:pPr>
        <w:pStyle w:val="CitasINFOEM"/>
      </w:pPr>
      <w:r>
        <w:t>Artículo 49. Los Comités de Transparencia tendrán las siguientes atribuciones:</w:t>
      </w:r>
    </w:p>
    <w:p w14:paraId="6FBD1988" w14:textId="508ADD3F" w:rsidR="00BB18B7" w:rsidRDefault="00BB18B7" w:rsidP="00BB18B7">
      <w:pPr>
        <w:pStyle w:val="CitasINFOEM"/>
      </w:pPr>
      <w:r>
        <w:t>(…)</w:t>
      </w:r>
    </w:p>
    <w:p w14:paraId="6995D3E6" w14:textId="0925E9F4" w:rsidR="00BB18B7" w:rsidRDefault="00BB18B7" w:rsidP="00BB18B7">
      <w:pPr>
        <w:pStyle w:val="CitasINFOEM"/>
      </w:pPr>
      <w:r>
        <w:t xml:space="preserve">II. Confirmar, modificar o revocar las determinaciones </w:t>
      </w:r>
      <w:proofErr w:type="gramStart"/>
      <w:r>
        <w:t>que</w:t>
      </w:r>
      <w:proofErr w:type="gramEnd"/>
      <w:r>
        <w:t xml:space="preserve"> en materia de ampliación del plazo de respuesta, clasificación de la información y declaración de inexistencia o de incompetencia realicen los titulares de las áreas de los sujetos obligados;</w:t>
      </w:r>
    </w:p>
    <w:p w14:paraId="0C5B7CCB" w14:textId="77777777" w:rsidR="00BB18B7" w:rsidRDefault="00BB18B7" w:rsidP="00BB18B7">
      <w:pPr>
        <w:pStyle w:val="CitasINFOEM"/>
      </w:pPr>
      <w:r>
        <w:t>Artículo 132. La clasificación de la información se llevará a cabo en el momento en que:</w:t>
      </w:r>
    </w:p>
    <w:p w14:paraId="234C94C9" w14:textId="77777777" w:rsidR="00BB18B7" w:rsidRDefault="00BB18B7" w:rsidP="00BB18B7">
      <w:pPr>
        <w:pStyle w:val="CitasINFOEM"/>
      </w:pPr>
      <w:r>
        <w:t xml:space="preserve"> I. Se reciba una solicitud de acceso a la información;</w:t>
      </w:r>
    </w:p>
    <w:p w14:paraId="3DBB51C1" w14:textId="77777777" w:rsidR="00BB18B7" w:rsidRDefault="00BB18B7" w:rsidP="00BB18B7">
      <w:pPr>
        <w:pStyle w:val="CitasINFOEM"/>
      </w:pPr>
      <w:r>
        <w:t xml:space="preserve"> II. Se determine mediante resolución de autoridad competente; o </w:t>
      </w:r>
    </w:p>
    <w:p w14:paraId="5D61D8FC" w14:textId="77777777" w:rsidR="00BB18B7" w:rsidRDefault="00BB18B7" w:rsidP="00BB18B7">
      <w:pPr>
        <w:pStyle w:val="CitasINFOEM"/>
      </w:pPr>
      <w:r>
        <w:t xml:space="preserve">III. Se generen versiones públicas para dar cumplimiento a las obligaciones de transparencia previstas en esta Ley. </w:t>
      </w:r>
    </w:p>
    <w:p w14:paraId="0CEE55E7" w14:textId="0DCE292C" w:rsidR="00BB18B7" w:rsidRPr="0037314A" w:rsidRDefault="00BB18B7" w:rsidP="00BB18B7">
      <w:pPr>
        <w:pStyle w:val="CitasINFOEM"/>
        <w:rPr>
          <w:b/>
          <w:bCs/>
        </w:rPr>
      </w:pPr>
      <w:r>
        <w:lastRenderedPageBreak/>
        <w:t xml:space="preserve">Tratándose de información reservada, los titulares de las áreas deberán revisar la clasificación al momento de la recepción de una solicitud, para verificar si subsisten las causas que le dieron </w:t>
      </w:r>
      <w:proofErr w:type="gramStart"/>
      <w:r>
        <w:t>origen.</w:t>
      </w:r>
      <w:r w:rsidRPr="0037314A">
        <w:t>(</w:t>
      </w:r>
      <w:proofErr w:type="gramEnd"/>
      <w:r w:rsidRPr="0037314A">
        <w:t xml:space="preserve">…)” </w:t>
      </w:r>
      <w:r w:rsidRPr="0037314A">
        <w:rPr>
          <w:b/>
          <w:bCs/>
        </w:rPr>
        <w:t>(Sic)</w:t>
      </w:r>
    </w:p>
    <w:p w14:paraId="2E6232D8" w14:textId="77777777" w:rsidR="00BB18B7" w:rsidRDefault="00BB18B7" w:rsidP="00BB18B7">
      <w:pPr>
        <w:spacing w:line="360" w:lineRule="auto"/>
        <w:jc w:val="both"/>
        <w:rPr>
          <w:rFonts w:ascii="Palatino Linotype" w:hAnsi="Palatino Linotype" w:cs="Arial"/>
          <w:b/>
          <w:bCs/>
          <w:sz w:val="24"/>
          <w:szCs w:val="24"/>
        </w:rPr>
      </w:pPr>
    </w:p>
    <w:p w14:paraId="3EB0BDF4" w14:textId="4CDD18A7" w:rsidR="00BB18B7" w:rsidRDefault="00BB18B7" w:rsidP="00BB18B7">
      <w:pPr>
        <w:spacing w:line="360" w:lineRule="auto"/>
        <w:jc w:val="both"/>
        <w:rPr>
          <w:rFonts w:ascii="Palatino Linotype" w:hAnsi="Palatino Linotype" w:cs="Arial"/>
          <w:sz w:val="24"/>
          <w:szCs w:val="24"/>
        </w:rPr>
      </w:pPr>
      <w:r>
        <w:rPr>
          <w:rFonts w:ascii="Palatino Linotype" w:hAnsi="Palatino Linotype" w:cs="Arial"/>
          <w:sz w:val="24"/>
          <w:szCs w:val="24"/>
        </w:rPr>
        <w:t xml:space="preserve">En función de lo planteado, </w:t>
      </w:r>
      <w:r w:rsidR="009B057C">
        <w:rPr>
          <w:rFonts w:ascii="Palatino Linotype" w:hAnsi="Palatino Linotype" w:cs="Arial"/>
          <w:sz w:val="24"/>
          <w:szCs w:val="24"/>
        </w:rPr>
        <w:t xml:space="preserve">con referencia a la clasificación de la información </w:t>
      </w:r>
      <w:r>
        <w:rPr>
          <w:rFonts w:ascii="Palatino Linotype" w:hAnsi="Palatino Linotype" w:cs="Arial"/>
          <w:sz w:val="24"/>
          <w:szCs w:val="24"/>
        </w:rPr>
        <w:t>se arriba las siguientes consideraciones:</w:t>
      </w:r>
    </w:p>
    <w:p w14:paraId="531C0B07" w14:textId="6181BBDC" w:rsidR="009B057C" w:rsidRPr="009B057C" w:rsidRDefault="009B057C" w:rsidP="004D2CBA">
      <w:pPr>
        <w:pStyle w:val="Prrafodelista"/>
        <w:numPr>
          <w:ilvl w:val="0"/>
          <w:numId w:val="77"/>
        </w:numPr>
        <w:spacing w:before="240" w:line="360" w:lineRule="auto"/>
        <w:jc w:val="both"/>
        <w:rPr>
          <w:rFonts w:ascii="Palatino Linotype" w:hAnsi="Palatino Linotype"/>
        </w:rPr>
      </w:pPr>
      <w:r w:rsidRPr="009B057C">
        <w:rPr>
          <w:rFonts w:ascii="Palatino Linotype" w:hAnsi="Palatino Linotype" w:cs="Arial"/>
        </w:rPr>
        <w:t>Se</w:t>
      </w:r>
      <w:r w:rsidR="00BB18B7" w:rsidRPr="009B057C">
        <w:rPr>
          <w:rFonts w:ascii="Palatino Linotype" w:hAnsi="Palatino Linotype" w:cs="Arial"/>
        </w:rPr>
        <w:t xml:space="preserve"> </w:t>
      </w:r>
      <w:r w:rsidRPr="009B057C">
        <w:rPr>
          <w:rFonts w:ascii="Palatino Linotype" w:hAnsi="Palatino Linotype" w:cs="Arial"/>
        </w:rPr>
        <w:t xml:space="preserve">concibe como el acto administrativo </w:t>
      </w:r>
      <w:r w:rsidRPr="009B057C">
        <w:rPr>
          <w:rFonts w:ascii="Palatino Linotype" w:hAnsi="Palatino Linotype"/>
          <w:iCs/>
        </w:rPr>
        <w:t xml:space="preserve">mediante el cual los </w:t>
      </w:r>
      <w:r w:rsidRPr="009B057C">
        <w:rPr>
          <w:rFonts w:ascii="Palatino Linotype" w:hAnsi="Palatino Linotype"/>
          <w:b/>
          <w:iCs/>
        </w:rPr>
        <w:t xml:space="preserve">Sujetos Obligados </w:t>
      </w:r>
      <w:r w:rsidRPr="009B057C">
        <w:rPr>
          <w:rFonts w:ascii="Palatino Linotype" w:hAnsi="Palatino Linotype"/>
          <w:iCs/>
        </w:rPr>
        <w:t xml:space="preserve">determinan que la información </w:t>
      </w:r>
      <w:r w:rsidRPr="009B057C">
        <w:rPr>
          <w:rFonts w:ascii="Palatino Linotype" w:hAnsi="Palatino Linotype"/>
        </w:rPr>
        <w:t xml:space="preserve">requerida actualiza alguno de los supuestos de confidencialidad </w:t>
      </w:r>
      <w:r w:rsidRPr="009B057C">
        <w:rPr>
          <w:rFonts w:ascii="Palatino Linotype" w:hAnsi="Palatino Linotype"/>
          <w:b/>
        </w:rPr>
        <w:t xml:space="preserve">o </w:t>
      </w:r>
      <w:r w:rsidRPr="009B057C">
        <w:rPr>
          <w:rFonts w:ascii="Palatino Linotype" w:hAnsi="Palatino Linotype"/>
          <w:b/>
          <w:u w:val="single"/>
        </w:rPr>
        <w:t>reserva,</w:t>
      </w:r>
      <w:r w:rsidRPr="009B057C">
        <w:rPr>
          <w:rFonts w:ascii="Palatino Linotype" w:hAnsi="Palatino Linotype"/>
          <w:b/>
        </w:rPr>
        <w:t xml:space="preserve"> </w:t>
      </w:r>
      <w:r w:rsidRPr="009B057C">
        <w:rPr>
          <w:rFonts w:ascii="Palatino Linotype" w:hAnsi="Palatino Linotype"/>
        </w:rPr>
        <w:t xml:space="preserve">de acuerdo con las bases y los principios inmersos en la normatividad aplicable. </w:t>
      </w:r>
    </w:p>
    <w:p w14:paraId="7CDBDC51" w14:textId="42E51CC3" w:rsidR="009B057C" w:rsidRPr="009B057C" w:rsidRDefault="009B057C" w:rsidP="00BB18B7">
      <w:pPr>
        <w:pStyle w:val="Prrafodelista"/>
        <w:numPr>
          <w:ilvl w:val="0"/>
          <w:numId w:val="77"/>
        </w:numPr>
        <w:spacing w:line="360" w:lineRule="auto"/>
        <w:jc w:val="both"/>
        <w:rPr>
          <w:rFonts w:ascii="Palatino Linotype" w:hAnsi="Palatino Linotype" w:cs="Arial"/>
        </w:rPr>
      </w:pPr>
      <w:r w:rsidRPr="009B057C">
        <w:rPr>
          <w:rFonts w:ascii="Palatino Linotype" w:hAnsi="Palatino Linotype" w:cs="Arial"/>
        </w:rPr>
        <w:t xml:space="preserve">Redunda en una atribución reservada al Comité de Transparencia, como un órgano colegiado compuesto por el titular de la unidad de transparencia, titular del órgano interno de control, así como por el representante del área de archivos y/o equivalente. </w:t>
      </w:r>
      <w:r w:rsidR="00FD40C6">
        <w:rPr>
          <w:rFonts w:ascii="Palatino Linotype" w:hAnsi="Palatino Linotype" w:cs="Arial"/>
        </w:rPr>
        <w:t xml:space="preserve">A propuesta de los servidores públicos habilitados. </w:t>
      </w:r>
    </w:p>
    <w:p w14:paraId="316663C9" w14:textId="4349F160" w:rsidR="009B057C" w:rsidRPr="009B057C" w:rsidRDefault="009B057C" w:rsidP="00BB18B7">
      <w:pPr>
        <w:pStyle w:val="Prrafodelista"/>
        <w:numPr>
          <w:ilvl w:val="0"/>
          <w:numId w:val="77"/>
        </w:numPr>
        <w:spacing w:line="360" w:lineRule="auto"/>
        <w:jc w:val="both"/>
        <w:rPr>
          <w:rFonts w:ascii="Palatino Linotype" w:hAnsi="Palatino Linotype" w:cs="Arial"/>
        </w:rPr>
      </w:pPr>
      <w:r w:rsidRPr="009B057C">
        <w:rPr>
          <w:rFonts w:ascii="Palatino Linotype" w:hAnsi="Palatino Linotype" w:cs="Arial"/>
        </w:rPr>
        <w:t xml:space="preserve">Se llevará a cabo en tres momentos: se reciba una solicitud de acceso a la información; se determine mediante resolución de autoridad competente; se generen versiones públicas para dar cumplimiento a las obligaciones previstas por mandato de ley. </w:t>
      </w:r>
    </w:p>
    <w:p w14:paraId="09B1A0A2" w14:textId="77777777" w:rsidR="00BB18B7" w:rsidRPr="009B057C" w:rsidRDefault="00BB18B7" w:rsidP="00BB18B7">
      <w:pPr>
        <w:spacing w:line="360" w:lineRule="auto"/>
        <w:jc w:val="both"/>
        <w:rPr>
          <w:rFonts w:ascii="Palatino Linotype" w:hAnsi="Palatino Linotype" w:cs="Arial"/>
          <w:b/>
          <w:bCs/>
          <w:sz w:val="24"/>
          <w:szCs w:val="24"/>
          <w:lang w:val="es-ES"/>
        </w:rPr>
      </w:pPr>
    </w:p>
    <w:p w14:paraId="39FE1804" w14:textId="77777777" w:rsidR="009B057C" w:rsidRPr="00680FA4" w:rsidRDefault="009B057C" w:rsidP="009B057C">
      <w:pPr>
        <w:autoSpaceDE w:val="0"/>
        <w:autoSpaceDN w:val="0"/>
        <w:adjustRightInd w:val="0"/>
        <w:spacing w:line="360" w:lineRule="auto"/>
        <w:jc w:val="both"/>
        <w:rPr>
          <w:rFonts w:ascii="Palatino Linotype" w:hAnsi="Palatino Linotype"/>
          <w:b/>
          <w:sz w:val="24"/>
          <w:szCs w:val="24"/>
        </w:rPr>
      </w:pPr>
      <w:r>
        <w:rPr>
          <w:rFonts w:ascii="Palatino Linotype" w:hAnsi="Palatino Linotype" w:cs="Arial"/>
          <w:sz w:val="24"/>
          <w:szCs w:val="24"/>
        </w:rPr>
        <w:t xml:space="preserve">En función de lo planteado, para </w:t>
      </w:r>
      <w:r w:rsidRPr="00680FA4">
        <w:rPr>
          <w:rFonts w:ascii="Palatino Linotype" w:hAnsi="Palatino Linotype"/>
          <w:sz w:val="24"/>
          <w:szCs w:val="24"/>
        </w:rPr>
        <w:t xml:space="preserve">realizar la reserva de la información, no basta con invocar alguna de las causales previstas en la Ley de transparencia local. En sentido contrario, dicha valoración debe realizarse a través de lo que se conoce como </w:t>
      </w:r>
      <w:r w:rsidRPr="00680FA4">
        <w:rPr>
          <w:rFonts w:ascii="Palatino Linotype" w:hAnsi="Palatino Linotype"/>
          <w:b/>
          <w:i/>
          <w:sz w:val="24"/>
          <w:szCs w:val="24"/>
        </w:rPr>
        <w:t xml:space="preserve">“prueba </w:t>
      </w:r>
      <w:r w:rsidRPr="00680FA4">
        <w:rPr>
          <w:rFonts w:ascii="Palatino Linotype" w:hAnsi="Palatino Linotype"/>
          <w:b/>
          <w:i/>
          <w:sz w:val="24"/>
          <w:szCs w:val="24"/>
        </w:rPr>
        <w:lastRenderedPageBreak/>
        <w:t xml:space="preserve">de daño”, </w:t>
      </w:r>
      <w:r w:rsidRPr="00680FA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680FA4">
        <w:rPr>
          <w:sz w:val="24"/>
          <w:szCs w:val="24"/>
          <w:vertAlign w:val="superscript"/>
        </w:rPr>
        <w:footnoteReference w:id="1"/>
      </w:r>
      <w:r w:rsidRPr="00680FA4">
        <w:rPr>
          <w:rFonts w:ascii="Palatino Linotype" w:hAnsi="Palatino Linotype"/>
          <w:sz w:val="24"/>
          <w:szCs w:val="24"/>
        </w:rPr>
        <w:t>. Asimismo, ésta no debe basarse en meras especulaciones o suposiciones, sino en elementos objetivos que deban evaluar que existe un riego actual e inminente</w:t>
      </w:r>
      <w:r w:rsidRPr="00680FA4">
        <w:rPr>
          <w:sz w:val="24"/>
          <w:szCs w:val="24"/>
          <w:vertAlign w:val="superscript"/>
        </w:rPr>
        <w:footnoteReference w:id="2"/>
      </w:r>
      <w:r w:rsidRPr="00680FA4">
        <w:rPr>
          <w:rFonts w:ascii="Palatino Linotype" w:hAnsi="Palatino Linotype"/>
          <w:sz w:val="24"/>
          <w:szCs w:val="24"/>
        </w:rPr>
        <w:t>.</w:t>
      </w:r>
    </w:p>
    <w:p w14:paraId="63EC1509" w14:textId="77777777" w:rsidR="009B057C" w:rsidRPr="00680FA4" w:rsidRDefault="009B057C" w:rsidP="009B057C">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680FA4">
        <w:rPr>
          <w:rFonts w:ascii="Palatino Linotype" w:hAnsi="Palatino Linotype"/>
          <w:b/>
          <w:color w:val="000000" w:themeColor="text1"/>
          <w:sz w:val="24"/>
          <w:szCs w:val="24"/>
          <w:u w:val="single"/>
        </w:rPr>
        <w:t>sino de cada uno de los documentos que lo integran</w:t>
      </w:r>
      <w:r w:rsidRPr="00680FA4">
        <w:rPr>
          <w:rFonts w:ascii="Palatino Linotype" w:hAnsi="Palatino Linotype"/>
          <w:color w:val="000000" w:themeColor="text1"/>
          <w:sz w:val="24"/>
          <w:szCs w:val="24"/>
        </w:rPr>
        <w:t>.</w:t>
      </w:r>
    </w:p>
    <w:p w14:paraId="72EFF453" w14:textId="77777777" w:rsidR="009B057C" w:rsidRPr="00680FA4" w:rsidRDefault="009B057C" w:rsidP="009B057C">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7A7D103B" w14:textId="77777777" w:rsidR="009B057C" w:rsidRPr="00680FA4" w:rsidRDefault="009B057C" w:rsidP="009B057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 </w:t>
      </w:r>
      <w:r w:rsidRPr="00680FA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2AE49FD8" w14:textId="77777777" w:rsidR="009B057C" w:rsidRPr="00680FA4" w:rsidRDefault="009B057C" w:rsidP="009B057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II. </w:t>
      </w:r>
      <w:r w:rsidRPr="00680FA4">
        <w:rPr>
          <w:rFonts w:ascii="Palatino Linotype" w:hAnsi="Palatino Linotype" w:cs="Bookman Old Style"/>
          <w:color w:val="000000" w:themeColor="text1"/>
          <w:sz w:val="24"/>
          <w:szCs w:val="24"/>
          <w:lang w:val="es-ES_tradnl"/>
        </w:rPr>
        <w:t xml:space="preserve">El riesgo de perjuicio que supondría la divulgación supera el interés </w:t>
      </w:r>
      <w:r w:rsidRPr="00680FA4">
        <w:rPr>
          <w:rFonts w:ascii="Palatino Linotype" w:hAnsi="Palatino Linotype" w:cs="Bookman Old Style"/>
          <w:color w:val="000000" w:themeColor="text1"/>
          <w:sz w:val="24"/>
          <w:szCs w:val="24"/>
          <w:lang w:val="es-ES_tradnl"/>
        </w:rPr>
        <w:lastRenderedPageBreak/>
        <w:t xml:space="preserve">público general de que se difunda; y </w:t>
      </w:r>
    </w:p>
    <w:p w14:paraId="1FD4F76A" w14:textId="77777777" w:rsidR="009B057C" w:rsidRPr="00680FA4" w:rsidRDefault="009B057C" w:rsidP="009B057C">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680FA4">
        <w:rPr>
          <w:rFonts w:ascii="Palatino Linotype" w:hAnsi="Palatino Linotype" w:cs="Bookman Old Style"/>
          <w:bCs/>
          <w:color w:val="000000" w:themeColor="text1"/>
          <w:sz w:val="24"/>
          <w:szCs w:val="24"/>
          <w:lang w:val="es-ES_tradnl"/>
        </w:rPr>
        <w:t xml:space="preserve">III. </w:t>
      </w:r>
      <w:r w:rsidRPr="00680FA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48245E19" w14:textId="77777777" w:rsidR="009B057C" w:rsidRPr="00680FA4" w:rsidRDefault="009B057C" w:rsidP="009B057C">
      <w:pPr>
        <w:spacing w:line="360" w:lineRule="auto"/>
        <w:jc w:val="both"/>
        <w:rPr>
          <w:rFonts w:ascii="Palatino Linotype" w:hAnsi="Palatino Linotype"/>
          <w:color w:val="000000" w:themeColor="text1"/>
          <w:sz w:val="24"/>
          <w:szCs w:val="24"/>
        </w:rPr>
      </w:pPr>
    </w:p>
    <w:p w14:paraId="363AAE96" w14:textId="77777777" w:rsidR="009B057C" w:rsidRPr="00680FA4" w:rsidRDefault="009B057C" w:rsidP="009B057C">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448919A" w14:textId="77777777" w:rsidR="009B057C" w:rsidRPr="00680FA4" w:rsidRDefault="009B057C" w:rsidP="009B057C">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6F068401" w14:textId="77777777" w:rsidR="009B057C" w:rsidRPr="00680FA4" w:rsidRDefault="009B057C" w:rsidP="009B057C">
      <w:pPr>
        <w:spacing w:line="360" w:lineRule="auto"/>
        <w:jc w:val="both"/>
        <w:rPr>
          <w:rFonts w:ascii="Palatino Linotype" w:hAnsi="Palatino Linotype"/>
          <w:color w:val="000000" w:themeColor="text1"/>
          <w:sz w:val="24"/>
          <w:szCs w:val="24"/>
        </w:rPr>
      </w:pPr>
      <w:r w:rsidRPr="00680FA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680FA4">
        <w:rPr>
          <w:rStyle w:val="Refdenotaalpie"/>
          <w:rFonts w:ascii="Palatino Linotype" w:hAnsi="Palatino Linotype"/>
          <w:color w:val="000000" w:themeColor="text1"/>
        </w:rPr>
        <w:footnoteReference w:id="3"/>
      </w:r>
      <w:r w:rsidRPr="00680FA4">
        <w:rPr>
          <w:rFonts w:ascii="Palatino Linotype" w:hAnsi="Palatino Linotype"/>
          <w:color w:val="000000" w:themeColor="text1"/>
          <w:sz w:val="24"/>
          <w:szCs w:val="24"/>
        </w:rPr>
        <w:t xml:space="preserve">, siguiendo el principio de ponderación propuesto por el Tribunal </w:t>
      </w:r>
      <w:r w:rsidRPr="00680FA4">
        <w:rPr>
          <w:rFonts w:ascii="Palatino Linotype" w:hAnsi="Palatino Linotype"/>
          <w:color w:val="000000" w:themeColor="text1"/>
          <w:sz w:val="24"/>
          <w:szCs w:val="24"/>
        </w:rPr>
        <w:lastRenderedPageBreak/>
        <w:t>Constitucional Alemán,</w:t>
      </w:r>
      <w:r w:rsidRPr="00680FA4">
        <w:rPr>
          <w:rStyle w:val="Refdenotaalpie"/>
          <w:rFonts w:ascii="Palatino Linotype" w:hAnsi="Palatino Linotype"/>
          <w:color w:val="000000" w:themeColor="text1"/>
        </w:rPr>
        <w:footnoteReference w:id="4"/>
      </w:r>
      <w:r w:rsidRPr="00680FA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8030A01" w14:textId="2CBAA92F" w:rsidR="009B057C" w:rsidRPr="00680FA4" w:rsidRDefault="009B057C" w:rsidP="009B057C">
      <w:pPr>
        <w:spacing w:line="360" w:lineRule="auto"/>
        <w:jc w:val="both"/>
        <w:rPr>
          <w:rFonts w:ascii="Palatino Linotype" w:hAnsi="Palatino Linotype"/>
          <w:sz w:val="24"/>
          <w:szCs w:val="24"/>
          <w:lang w:val="es-ES"/>
        </w:rPr>
      </w:pPr>
      <w:r w:rsidRPr="00680FA4">
        <w:rPr>
          <w:rFonts w:ascii="Palatino Linotype" w:hAnsi="Palatino Linotype"/>
          <w:color w:val="000000" w:themeColor="text1"/>
          <w:sz w:val="24"/>
          <w:szCs w:val="24"/>
        </w:rPr>
        <w:t xml:space="preserve">Es así, </w:t>
      </w:r>
      <w:r w:rsidR="00FD40C6" w:rsidRPr="00680FA4">
        <w:rPr>
          <w:rFonts w:ascii="Palatino Linotype" w:hAnsi="Palatino Linotype"/>
          <w:color w:val="000000" w:themeColor="text1"/>
          <w:sz w:val="24"/>
          <w:szCs w:val="24"/>
        </w:rPr>
        <w:t>que,</w:t>
      </w:r>
      <w:r w:rsidRPr="00680FA4">
        <w:rPr>
          <w:rFonts w:ascii="Palatino Linotype" w:hAnsi="Palatino Linotype"/>
          <w:color w:val="000000" w:themeColor="text1"/>
          <w:sz w:val="24"/>
          <w:szCs w:val="24"/>
        </w:rPr>
        <w:t xml:space="preserve"> al configurarse tales requisitos, se otorga certidumbre jurídica y se protege la esfera más íntima del derecho humano constitucional y convencionalmente reconocido. </w:t>
      </w:r>
    </w:p>
    <w:p w14:paraId="57A3BB14" w14:textId="77777777" w:rsidR="009B057C" w:rsidRPr="00680FA4" w:rsidRDefault="009B057C" w:rsidP="009B057C">
      <w:pPr>
        <w:spacing w:before="240" w:line="360" w:lineRule="auto"/>
        <w:jc w:val="both"/>
        <w:rPr>
          <w:rFonts w:ascii="Palatino Linotype" w:hAnsi="Palatino Linotype"/>
          <w:sz w:val="24"/>
          <w:szCs w:val="24"/>
        </w:rPr>
      </w:pPr>
      <w:r w:rsidRPr="00680FA4">
        <w:rPr>
          <w:rFonts w:ascii="Palatino Linotype" w:hAnsi="Palatino Linotype"/>
          <w:sz w:val="24"/>
          <w:szCs w:val="24"/>
        </w:rPr>
        <w:t>En virtud de lo anterior, se desprende que los Acuerdos de Reserva deberán de cumplir los siguientes parámetros de forma y fondo:</w:t>
      </w:r>
    </w:p>
    <w:p w14:paraId="3F4CCBA0" w14:textId="77777777" w:rsidR="009B057C" w:rsidRPr="00680FA4" w:rsidRDefault="009B057C" w:rsidP="009B057C">
      <w:pPr>
        <w:pStyle w:val="Prrafodelista"/>
        <w:numPr>
          <w:ilvl w:val="0"/>
          <w:numId w:val="78"/>
        </w:numPr>
        <w:spacing w:before="240" w:line="360" w:lineRule="auto"/>
        <w:jc w:val="both"/>
        <w:rPr>
          <w:rFonts w:ascii="Palatino Linotype" w:hAnsi="Palatino Linotype"/>
        </w:rPr>
      </w:pPr>
      <w:r w:rsidRPr="00680FA4">
        <w:rPr>
          <w:rFonts w:ascii="Palatino Linotype" w:hAnsi="Palatino Linotype"/>
        </w:rPr>
        <w:t>Número de folio de la solicitud</w:t>
      </w:r>
    </w:p>
    <w:p w14:paraId="002C9F68" w14:textId="77777777" w:rsidR="009B057C" w:rsidRPr="00680FA4" w:rsidRDefault="009B057C" w:rsidP="009B057C">
      <w:pPr>
        <w:pStyle w:val="Prrafodelista"/>
        <w:numPr>
          <w:ilvl w:val="0"/>
          <w:numId w:val="78"/>
        </w:numPr>
        <w:spacing w:before="240" w:line="360" w:lineRule="auto"/>
        <w:jc w:val="both"/>
        <w:rPr>
          <w:rFonts w:ascii="Palatino Linotype" w:hAnsi="Palatino Linotype"/>
        </w:rPr>
      </w:pPr>
      <w:r w:rsidRPr="00680FA4">
        <w:rPr>
          <w:rFonts w:ascii="Palatino Linotype" w:hAnsi="Palatino Linotype"/>
        </w:rPr>
        <w:t>Referencia a la información solicitada</w:t>
      </w:r>
    </w:p>
    <w:p w14:paraId="4AEC09EF"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t>Causal aplicable del artículo 113 de la Ley General, vinculándola con el Lineamiento específico del presente ordenamiento y, cuando corresponda, el supuesto normativo que expresamente le otorga el carácter de información reservada</w:t>
      </w:r>
    </w:p>
    <w:p w14:paraId="5C45F5A8"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lastRenderedPageBreak/>
        <w:t>Fundamento y motivación legal</w:t>
      </w:r>
    </w:p>
    <w:p w14:paraId="02EE2279"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t>Conexión entre los fundamentos y motivos que dieron origen a la reserva de la información</w:t>
      </w:r>
    </w:p>
    <w:p w14:paraId="04AD39C7" w14:textId="77777777" w:rsidR="009B057C" w:rsidRPr="00680FA4" w:rsidRDefault="009B057C" w:rsidP="009B057C">
      <w:pPr>
        <w:spacing w:before="240" w:line="360" w:lineRule="auto"/>
        <w:jc w:val="both"/>
        <w:rPr>
          <w:rFonts w:ascii="Palatino Linotype" w:hAnsi="Palatino Linotype"/>
          <w:b/>
          <w:sz w:val="24"/>
          <w:szCs w:val="24"/>
        </w:rPr>
      </w:pPr>
      <w:r w:rsidRPr="00680FA4">
        <w:rPr>
          <w:rFonts w:ascii="Palatino Linotype" w:hAnsi="Palatino Linotype"/>
          <w:b/>
          <w:sz w:val="24"/>
          <w:szCs w:val="24"/>
        </w:rPr>
        <w:t xml:space="preserve">Prueba de daño </w:t>
      </w:r>
    </w:p>
    <w:p w14:paraId="048E3528"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t>Riesgo real, demostrable e identificable (modo, tiempo y lugar)</w:t>
      </w:r>
    </w:p>
    <w:p w14:paraId="5E99E9EE"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t>Temporalidad de la reserva de la información</w:t>
      </w:r>
    </w:p>
    <w:p w14:paraId="51B03910" w14:textId="77777777" w:rsidR="009B057C" w:rsidRPr="00680FA4" w:rsidRDefault="009B057C" w:rsidP="009B057C">
      <w:pPr>
        <w:pStyle w:val="Prrafodelista"/>
        <w:numPr>
          <w:ilvl w:val="0"/>
          <w:numId w:val="78"/>
        </w:numPr>
        <w:spacing w:before="240" w:line="360" w:lineRule="auto"/>
        <w:jc w:val="both"/>
        <w:rPr>
          <w:rFonts w:ascii="Palatino Linotype" w:hAnsi="Palatino Linotype"/>
          <w:bCs/>
        </w:rPr>
      </w:pPr>
      <w:r w:rsidRPr="00680FA4">
        <w:rPr>
          <w:rFonts w:ascii="Palatino Linotype" w:hAnsi="Palatino Linotype"/>
          <w:bCs/>
        </w:rPr>
        <w:t xml:space="preserve">Autoridades competentes </w:t>
      </w:r>
    </w:p>
    <w:p w14:paraId="665C6CCB" w14:textId="77777777" w:rsidR="00FD40C6" w:rsidRDefault="00FD40C6" w:rsidP="009B057C">
      <w:pPr>
        <w:spacing w:before="240" w:line="360" w:lineRule="auto"/>
        <w:jc w:val="both"/>
        <w:rPr>
          <w:rFonts w:ascii="Palatino Linotype" w:hAnsi="Palatino Linotype"/>
          <w:sz w:val="24"/>
          <w:szCs w:val="24"/>
        </w:rPr>
      </w:pPr>
    </w:p>
    <w:p w14:paraId="7089F972" w14:textId="191A92FB" w:rsidR="009B057C" w:rsidRPr="00680FA4" w:rsidRDefault="00FD40C6" w:rsidP="009B057C">
      <w:pPr>
        <w:spacing w:before="240" w:line="360" w:lineRule="auto"/>
        <w:jc w:val="both"/>
        <w:rPr>
          <w:rFonts w:ascii="Palatino Linotype" w:hAnsi="Palatino Linotype"/>
          <w:sz w:val="24"/>
          <w:szCs w:val="24"/>
        </w:rPr>
      </w:pPr>
      <w:r w:rsidRPr="00680FA4">
        <w:rPr>
          <w:rFonts w:ascii="Palatino Linotype" w:hAnsi="Palatino Linotype"/>
          <w:sz w:val="24"/>
          <w:szCs w:val="24"/>
        </w:rPr>
        <w:t>Debido a</w:t>
      </w:r>
      <w:r w:rsidR="009B057C" w:rsidRPr="00680FA4">
        <w:rPr>
          <w:rFonts w:ascii="Palatino Linotype" w:hAnsi="Palatino Linotype"/>
          <w:sz w:val="24"/>
          <w:szCs w:val="24"/>
        </w:rPr>
        <w:t xml:space="preserv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7833740F" w14:textId="77777777" w:rsidR="009B057C" w:rsidRPr="00680FA4" w:rsidRDefault="009B057C" w:rsidP="009B057C">
      <w:pPr>
        <w:pStyle w:val="Citas"/>
        <w:jc w:val="center"/>
        <w:rPr>
          <w:b/>
        </w:rPr>
      </w:pPr>
      <w:r w:rsidRPr="00680FA4">
        <w:rPr>
          <w:b/>
        </w:rPr>
        <w:t xml:space="preserve">Ley de Transparencia y Acceso a la Información Pública del Estado de México y Municipios </w:t>
      </w:r>
    </w:p>
    <w:p w14:paraId="68F86825" w14:textId="77777777" w:rsidR="009B057C" w:rsidRPr="00680FA4" w:rsidRDefault="009B057C" w:rsidP="009B057C">
      <w:pPr>
        <w:pStyle w:val="Citas"/>
      </w:pPr>
      <w:r w:rsidRPr="00680FA4">
        <w:t xml:space="preserve">“Artículo 140. El acceso a la información pública será restringido excepcionalmente, cuando por razones de interés público, ésta sea clasificada como reservada, conforme a los criterios siguientes: </w:t>
      </w:r>
    </w:p>
    <w:p w14:paraId="1CC047A8" w14:textId="77777777" w:rsidR="009B057C" w:rsidRPr="00FD40C6" w:rsidRDefault="009B057C" w:rsidP="009B057C">
      <w:pPr>
        <w:pStyle w:val="Citas"/>
        <w:rPr>
          <w:bCs/>
        </w:rPr>
      </w:pPr>
      <w:r w:rsidRPr="00FD40C6">
        <w:rPr>
          <w:bCs/>
        </w:rPr>
        <w:lastRenderedPageBreak/>
        <w:t xml:space="preserve">I. Comprometa la seguridad pública y cuente con un propósito genuino y un efecto demostrable; </w:t>
      </w:r>
    </w:p>
    <w:p w14:paraId="1789C74F" w14:textId="77777777" w:rsidR="009B057C" w:rsidRPr="00CF5726" w:rsidRDefault="009B057C" w:rsidP="009B057C">
      <w:pPr>
        <w:pStyle w:val="Citas"/>
      </w:pPr>
      <w:r w:rsidRPr="00CF5726">
        <w:t xml:space="preserve">II. Pueda menoscabar la conducción de las negociaciones y relaciones internacionales; </w:t>
      </w:r>
    </w:p>
    <w:p w14:paraId="1BAFDBEC" w14:textId="77777777" w:rsidR="009B057C" w:rsidRPr="00CF5726" w:rsidRDefault="009B057C" w:rsidP="009B057C">
      <w:pPr>
        <w:pStyle w:val="Citas"/>
      </w:pPr>
      <w:r w:rsidRPr="00CF5726">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494A561" w14:textId="77777777" w:rsidR="009B057C" w:rsidRPr="00FD40C6" w:rsidRDefault="009B057C" w:rsidP="009B057C">
      <w:pPr>
        <w:pStyle w:val="Citas"/>
        <w:rPr>
          <w:bCs/>
        </w:rPr>
      </w:pPr>
      <w:r w:rsidRPr="00FD40C6">
        <w:rPr>
          <w:bCs/>
        </w:rPr>
        <w:t xml:space="preserve">IV. Ponga en riesgo la vida, la seguridad o la salud de una persona física; </w:t>
      </w:r>
    </w:p>
    <w:p w14:paraId="1599605E" w14:textId="77777777" w:rsidR="009B057C" w:rsidRPr="00FD40C6" w:rsidRDefault="009B057C" w:rsidP="009B057C">
      <w:pPr>
        <w:pStyle w:val="Citas"/>
        <w:rPr>
          <w:bCs/>
        </w:rPr>
      </w:pPr>
      <w:r w:rsidRPr="00FD40C6">
        <w:rPr>
          <w:bCs/>
        </w:rPr>
        <w:t xml:space="preserve">V. Aquella cuya divulgación obstruya o pueda causar un serio perjuicio a: </w:t>
      </w:r>
    </w:p>
    <w:p w14:paraId="3812BFBB" w14:textId="77777777" w:rsidR="009B057C" w:rsidRPr="00CF5726" w:rsidRDefault="009B057C" w:rsidP="009B057C">
      <w:pPr>
        <w:pStyle w:val="Citas"/>
      </w:pPr>
      <w:r w:rsidRPr="00CF5726">
        <w:t xml:space="preserve">1. Las actividades de fiscalización, verificación, inspección, comprobación y auditoría sobre el cumplimiento de las Leyes; o </w:t>
      </w:r>
    </w:p>
    <w:p w14:paraId="42522AA5" w14:textId="77777777" w:rsidR="009B057C" w:rsidRPr="00FD40C6" w:rsidRDefault="009B057C" w:rsidP="009B057C">
      <w:pPr>
        <w:pStyle w:val="Citas"/>
      </w:pPr>
      <w:r w:rsidRPr="00FD40C6">
        <w:t xml:space="preserve">2. La recaudación de las contribuciones. </w:t>
      </w:r>
    </w:p>
    <w:p w14:paraId="653AE13E" w14:textId="77777777" w:rsidR="009B057C" w:rsidRPr="00680FA4" w:rsidRDefault="009B057C" w:rsidP="009B057C">
      <w:pPr>
        <w:pStyle w:val="Citas"/>
      </w:pPr>
      <w:r w:rsidRPr="00680FA4">
        <w:rPr>
          <w:bCs/>
        </w:rPr>
        <w:t>VI. Pueda causar daño u obstruya la prevención o persecución de los delitos,</w:t>
      </w:r>
      <w:r w:rsidRPr="00680FA4">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EDFF78B" w14:textId="77777777" w:rsidR="009B057C" w:rsidRPr="00680FA4" w:rsidRDefault="009B057C" w:rsidP="009B057C">
      <w:pPr>
        <w:pStyle w:val="Citas"/>
      </w:pPr>
      <w:r w:rsidRPr="00680FA4">
        <w:lastRenderedPageBreak/>
        <w:t xml:space="preserve">VII. La que contengan las opiniones, recomendaciones o puntos de vista que formen parte del proceso deliberativo de los servidores públicos, hasta en tanto sea adoptada la decisión definitiva, la cual deberá estar documentada; </w:t>
      </w:r>
    </w:p>
    <w:p w14:paraId="1128582E" w14:textId="77777777" w:rsidR="009B057C" w:rsidRPr="00680FA4" w:rsidRDefault="009B057C" w:rsidP="009B057C">
      <w:pPr>
        <w:pStyle w:val="Citas"/>
      </w:pPr>
      <w:r w:rsidRPr="00680FA4">
        <w:t xml:space="preserve">VIII. Vulnere la conducción de los expedientes judiciales o de los procedimientos administrativos seguidos en forma de juicio, en tanto no hayan quedado firmes; </w:t>
      </w:r>
    </w:p>
    <w:p w14:paraId="53CB9787" w14:textId="77777777" w:rsidR="009B057C" w:rsidRPr="00680FA4" w:rsidRDefault="009B057C" w:rsidP="009B057C">
      <w:pPr>
        <w:pStyle w:val="Citas"/>
      </w:pPr>
      <w:r w:rsidRPr="00680FA4">
        <w:t xml:space="preserve">IX. Se encuentre contenida dentro de las investigaciones de hechos que la Ley señale como delitos y se tramiten ante el Ministerio Público; </w:t>
      </w:r>
    </w:p>
    <w:p w14:paraId="4481066F" w14:textId="77777777" w:rsidR="009B057C" w:rsidRPr="00680FA4" w:rsidRDefault="009B057C" w:rsidP="009B057C">
      <w:pPr>
        <w:pStyle w:val="Citas"/>
      </w:pPr>
      <w:r w:rsidRPr="00680FA4">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24E0BBD9" w14:textId="77777777" w:rsidR="009B057C" w:rsidRPr="00680FA4" w:rsidRDefault="009B057C" w:rsidP="009B057C">
      <w:pPr>
        <w:pStyle w:val="Citas"/>
      </w:pPr>
      <w:r w:rsidRPr="00680FA4">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C934068" w14:textId="77777777" w:rsidR="009B057C" w:rsidRPr="00680FA4" w:rsidRDefault="009B057C" w:rsidP="009B057C">
      <w:pPr>
        <w:pStyle w:val="Citas"/>
        <w:rPr>
          <w:bCs/>
          <w:sz w:val="24"/>
          <w:szCs w:val="24"/>
        </w:rPr>
      </w:pPr>
      <w:r w:rsidRPr="00680FA4">
        <w:rPr>
          <w:bCs/>
        </w:rPr>
        <w:t xml:space="preserve">XI. Las que por disposición expresa de una ley tengan tal carácter, siempre que sean acordes con las bases, principios y disposiciones establecidos en esta Ley y no la contravengan; así como las previstas en tratados internacionales.” </w:t>
      </w:r>
      <w:r w:rsidRPr="00FE2E9B">
        <w:rPr>
          <w:b/>
        </w:rPr>
        <w:t>(Sic)</w:t>
      </w:r>
    </w:p>
    <w:p w14:paraId="612A4D65" w14:textId="181AC80D" w:rsidR="009B057C" w:rsidRDefault="009B057C" w:rsidP="00BB18B7">
      <w:pPr>
        <w:spacing w:line="360" w:lineRule="auto"/>
        <w:jc w:val="both"/>
        <w:rPr>
          <w:rFonts w:ascii="Palatino Linotype" w:hAnsi="Palatino Linotype" w:cs="Arial"/>
          <w:sz w:val="24"/>
          <w:szCs w:val="24"/>
        </w:rPr>
      </w:pPr>
    </w:p>
    <w:p w14:paraId="1FB53EA7" w14:textId="768F8DF8" w:rsidR="009B057C" w:rsidRDefault="009B057C" w:rsidP="00BB18B7">
      <w:pPr>
        <w:spacing w:line="360" w:lineRule="auto"/>
        <w:jc w:val="both"/>
        <w:rPr>
          <w:rFonts w:ascii="Palatino Linotype" w:hAnsi="Palatino Linotype"/>
          <w:bCs/>
          <w:sz w:val="24"/>
          <w:szCs w:val="24"/>
        </w:rPr>
      </w:pPr>
      <w:r>
        <w:rPr>
          <w:rFonts w:ascii="Palatino Linotype" w:hAnsi="Palatino Linotype" w:cs="Arial"/>
          <w:sz w:val="24"/>
          <w:szCs w:val="24"/>
        </w:rPr>
        <w:t xml:space="preserve">Por otra parte, es </w:t>
      </w:r>
      <w:r w:rsidRPr="00322E78">
        <w:rPr>
          <w:rFonts w:ascii="Palatino Linotype" w:hAnsi="Palatino Linotype" w:cs="Arial"/>
          <w:sz w:val="24"/>
          <w:szCs w:val="24"/>
        </w:rPr>
        <w:t xml:space="preserve">óbice mencionar que la información requerida estriba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 xml:space="preserve">fracciones </w:t>
      </w:r>
      <w:r w:rsidR="002F3FC4">
        <w:rPr>
          <w:rFonts w:ascii="Palatino Linotype" w:hAnsi="Palatino Linotype"/>
          <w:bCs/>
          <w:sz w:val="24"/>
          <w:szCs w:val="24"/>
        </w:rPr>
        <w:t xml:space="preserve">XIX y XLIII de la Ley de Transparencia y Acceso a la </w:t>
      </w:r>
      <w:r w:rsidR="002F3FC4">
        <w:rPr>
          <w:rFonts w:ascii="Palatino Linotype" w:hAnsi="Palatino Linotype"/>
          <w:bCs/>
          <w:sz w:val="24"/>
          <w:szCs w:val="24"/>
        </w:rPr>
        <w:lastRenderedPageBreak/>
        <w:t xml:space="preserve">Información Pública del Estado de México y Municipios, porciones normativas que disponen a la literalidad lo siguiente: </w:t>
      </w:r>
    </w:p>
    <w:p w14:paraId="7DCD2FFF" w14:textId="77777777" w:rsidR="002F3FC4" w:rsidRDefault="002F3FC4" w:rsidP="002F3FC4">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43B7480A" w14:textId="77777777" w:rsidR="002F3FC4" w:rsidRPr="00E66BD3" w:rsidRDefault="002F3FC4" w:rsidP="002F3FC4">
      <w:pPr>
        <w:spacing w:before="240" w:line="360" w:lineRule="auto"/>
        <w:ind w:left="851" w:right="851"/>
        <w:jc w:val="both"/>
        <w:rPr>
          <w:rFonts w:ascii="Palatino Linotype" w:hAnsi="Palatino Linotype"/>
          <w:i/>
        </w:rPr>
      </w:pPr>
      <w:r>
        <w:rPr>
          <w:rFonts w:ascii="Palatino Linotype" w:hAnsi="Palatino Linotype"/>
          <w:i/>
        </w:rPr>
        <w:t>(…)</w:t>
      </w:r>
    </w:p>
    <w:p w14:paraId="695391F4" w14:textId="77777777" w:rsidR="002F3FC4" w:rsidRDefault="002F3FC4" w:rsidP="002F3FC4">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4613342D" w14:textId="77777777" w:rsidR="002F3FC4" w:rsidRDefault="002F3FC4" w:rsidP="002F3FC4">
      <w:pPr>
        <w:spacing w:before="240" w:line="360" w:lineRule="auto"/>
        <w:ind w:left="851" w:right="851"/>
        <w:jc w:val="both"/>
        <w:rPr>
          <w:rFonts w:ascii="Palatino Linotype" w:hAnsi="Palatino Linotype"/>
          <w:bCs/>
          <w:i/>
        </w:rPr>
      </w:pPr>
      <w:r>
        <w:rPr>
          <w:rFonts w:ascii="Palatino Linotype" w:hAnsi="Palatino Linotype"/>
          <w:bCs/>
          <w:i/>
        </w:rPr>
        <w:t>(…)</w:t>
      </w:r>
    </w:p>
    <w:p w14:paraId="69C589D2" w14:textId="77777777" w:rsidR="002F3FC4" w:rsidRDefault="002F3FC4" w:rsidP="002F3FC4">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BB80D2" w14:textId="782F26F1" w:rsidR="009B057C" w:rsidRDefault="002F3FC4" w:rsidP="002F3FC4">
      <w:pPr>
        <w:spacing w:before="240" w:line="360" w:lineRule="auto"/>
        <w:ind w:left="851" w:right="851"/>
        <w:jc w:val="both"/>
        <w:rPr>
          <w:rFonts w:ascii="Palatino Linotype" w:hAnsi="Palatino Linotype" w:cs="Arial"/>
          <w:b/>
          <w:bCs/>
          <w:sz w:val="24"/>
          <w:szCs w:val="24"/>
        </w:rPr>
      </w:pPr>
      <w:r>
        <w:rPr>
          <w:rFonts w:ascii="Palatino Linotype" w:hAnsi="Palatino Linotype"/>
          <w:i/>
        </w:rPr>
        <w:t>(…)</w:t>
      </w:r>
    </w:p>
    <w:p w14:paraId="33AC869E" w14:textId="46DB4B40" w:rsidR="002F3FC4" w:rsidRDefault="002F3FC4" w:rsidP="002F3FC4">
      <w:pPr>
        <w:pStyle w:val="Citas"/>
      </w:pPr>
      <w:r>
        <w:t>XIX. Índices semestrales en formatos abiertos de los expedientes clasificados como reservados que cada sujeto obligado posee y maneja;</w:t>
      </w:r>
    </w:p>
    <w:p w14:paraId="3EA00AB9" w14:textId="3FA1CA24" w:rsidR="002F3FC4" w:rsidRDefault="002F3FC4" w:rsidP="002F3FC4">
      <w:pPr>
        <w:pStyle w:val="Citas"/>
      </w:pPr>
      <w:r>
        <w:t>(…)</w:t>
      </w:r>
    </w:p>
    <w:p w14:paraId="168AFF8D" w14:textId="03FD9E3F" w:rsidR="00BB18B7" w:rsidRDefault="002F3FC4" w:rsidP="002F3FC4">
      <w:pPr>
        <w:pStyle w:val="Citas"/>
      </w:pPr>
      <w:r>
        <w:t>XLIII. Las actas y resoluciones del Comité de Transparencia de los sujetos obligados;</w:t>
      </w:r>
    </w:p>
    <w:p w14:paraId="5F02E958" w14:textId="55014354" w:rsidR="002F3FC4" w:rsidRPr="002F3FC4" w:rsidRDefault="002F3FC4" w:rsidP="002F3FC4">
      <w:pPr>
        <w:pStyle w:val="Citas"/>
        <w:rPr>
          <w:b/>
          <w:bCs/>
        </w:rPr>
      </w:pPr>
      <w:r>
        <w:lastRenderedPageBreak/>
        <w:t xml:space="preserve">(…)” </w:t>
      </w:r>
      <w:r>
        <w:rPr>
          <w:b/>
          <w:bCs/>
        </w:rPr>
        <w:t>(Sic)</w:t>
      </w:r>
    </w:p>
    <w:p w14:paraId="662A68A6" w14:textId="77777777" w:rsidR="002F3FC4" w:rsidRDefault="002F3FC4" w:rsidP="00BB18B7">
      <w:pPr>
        <w:spacing w:line="360" w:lineRule="auto"/>
        <w:jc w:val="both"/>
        <w:rPr>
          <w:rFonts w:ascii="Palatino Linotype" w:hAnsi="Palatino Linotype" w:cs="Arial"/>
          <w:b/>
          <w:bCs/>
          <w:sz w:val="24"/>
          <w:szCs w:val="24"/>
        </w:rPr>
      </w:pPr>
    </w:p>
    <w:p w14:paraId="003D3966" w14:textId="027661D6" w:rsidR="002F3FC4" w:rsidRPr="002F3FC4" w:rsidRDefault="002F3FC4" w:rsidP="002F3FC4">
      <w:pPr>
        <w:autoSpaceDE w:val="0"/>
        <w:autoSpaceDN w:val="0"/>
        <w:adjustRightInd w:val="0"/>
        <w:spacing w:before="240" w:line="360" w:lineRule="auto"/>
        <w:jc w:val="both"/>
        <w:rPr>
          <w:rFonts w:ascii="Palatino Linotype" w:eastAsia="Arial Unicode MS" w:hAnsi="Palatino Linotype" w:cs="Arial"/>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fracciones </w:t>
      </w:r>
      <w:r>
        <w:rPr>
          <w:rFonts w:ascii="Palatino Linotype" w:hAnsi="Palatino Linotype"/>
          <w:bCs/>
          <w:sz w:val="24"/>
          <w:szCs w:val="24"/>
        </w:rPr>
        <w:t>XIX y XLIII</w:t>
      </w:r>
      <w:r w:rsidRPr="002F3FC4">
        <w:rPr>
          <w:rFonts w:ascii="Palatino Linotype" w:hAnsi="Palatino Linotype"/>
          <w:bCs/>
          <w:sz w:val="24"/>
          <w:szCs w:val="24"/>
        </w:rPr>
        <w:t xml:space="preserve"> </w:t>
      </w:r>
      <w:r>
        <w:rPr>
          <w:rFonts w:ascii="Palatino Linotype" w:hAnsi="Palatino Linotype"/>
          <w:bCs/>
          <w:sz w:val="24"/>
          <w:szCs w:val="24"/>
        </w:rPr>
        <w:t xml:space="preserve">de la Ley de Transparencia y Acceso a la Información Pública del Estado de México y Municipios </w:t>
      </w:r>
      <w:r w:rsidRPr="00D9557E">
        <w:rPr>
          <w:rFonts w:ascii="Palatino Linotype" w:eastAsia="Arial Unicode MS" w:hAnsi="Palatino Linotype"/>
          <w:sz w:val="24"/>
          <w:szCs w:val="24"/>
        </w:rPr>
        <w:t>señala que</w:t>
      </w:r>
      <w:r>
        <w:rPr>
          <w:rFonts w:ascii="Palatino Linotype" w:eastAsia="Arial Unicode MS" w:hAnsi="Palatino Linotype"/>
          <w:sz w:val="24"/>
          <w:szCs w:val="24"/>
        </w:rPr>
        <w:t xml:space="preserve"> la información requerida forma parte de las actas del comité de transparencia e incluso del índice de expedientes clasificados como reservados, ambos concebidos como obligaciones de transparencia común de los </w:t>
      </w:r>
      <w:r>
        <w:rPr>
          <w:rFonts w:ascii="Palatino Linotype" w:eastAsia="Arial Unicode MS" w:hAnsi="Palatino Linotype"/>
          <w:b/>
          <w:bCs/>
          <w:sz w:val="24"/>
          <w:szCs w:val="24"/>
        </w:rPr>
        <w:t xml:space="preserve">Sujetos Obligados, </w:t>
      </w:r>
      <w:r>
        <w:rPr>
          <w:rFonts w:ascii="Palatino Linotype" w:eastAsia="Arial Unicode MS" w:hAnsi="Palatino Linotype"/>
          <w:sz w:val="24"/>
          <w:szCs w:val="24"/>
        </w:rPr>
        <w:t xml:space="preserve">luego entonces, la información requerida se encuentra inmersa dentro del espectro del interés general y el alcance público. </w:t>
      </w:r>
    </w:p>
    <w:p w14:paraId="7A82003C" w14:textId="21C45A24" w:rsidR="00A6185A" w:rsidRDefault="00402831" w:rsidP="00A6185A">
      <w:pPr>
        <w:spacing w:line="360" w:lineRule="auto"/>
        <w:jc w:val="both"/>
        <w:rPr>
          <w:rFonts w:ascii="Palatino Linotype" w:hAnsi="Palatino Linotype" w:cs="Arial"/>
          <w:sz w:val="24"/>
          <w:szCs w:val="24"/>
        </w:rPr>
      </w:pPr>
      <w:r>
        <w:rPr>
          <w:rFonts w:ascii="Palatino Linotype" w:hAnsi="Palatino Linotype"/>
          <w:sz w:val="24"/>
          <w:szCs w:val="24"/>
          <w:lang w:val="es-ES"/>
        </w:rPr>
        <w:t>Hasta aquí lo expuesto</w:t>
      </w:r>
      <w:r w:rsidR="00CD783C">
        <w:rPr>
          <w:rFonts w:ascii="Palatino Linotype" w:hAnsi="Palatino Linotype"/>
          <w:sz w:val="24"/>
          <w:szCs w:val="24"/>
        </w:rPr>
        <w:t xml:space="preserve">, se desprende que la esfera competencial del </w:t>
      </w:r>
      <w:r w:rsidR="00CD783C">
        <w:rPr>
          <w:rFonts w:ascii="Palatino Linotype" w:hAnsi="Palatino Linotype"/>
          <w:b/>
          <w:bCs/>
          <w:sz w:val="24"/>
          <w:szCs w:val="24"/>
        </w:rPr>
        <w:t xml:space="preserve">Sujeto Obligado </w:t>
      </w:r>
      <w:r w:rsidR="00CD783C">
        <w:rPr>
          <w:rFonts w:ascii="Palatino Linotype" w:hAnsi="Palatino Linotype"/>
          <w:sz w:val="24"/>
          <w:szCs w:val="24"/>
        </w:rPr>
        <w:t xml:space="preserve">le constriñe a generar, poseer y administrar la información requerida. </w:t>
      </w:r>
      <w:r w:rsidR="00A6185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lastRenderedPageBreak/>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062088E" w14:textId="2E35DE12" w:rsidR="00A6185A" w:rsidRDefault="00A6185A" w:rsidP="009C5799">
      <w:pPr>
        <w:autoSpaceDE w:val="0"/>
        <w:autoSpaceDN w:val="0"/>
        <w:adjustRightInd w:val="0"/>
        <w:spacing w:before="240" w:line="360" w:lineRule="auto"/>
        <w:jc w:val="both"/>
        <w:rPr>
          <w:rFonts w:ascii="Palatino Linotype" w:hAnsi="Palatino Linotype"/>
          <w:sz w:val="24"/>
          <w:szCs w:val="24"/>
        </w:rPr>
      </w:pPr>
    </w:p>
    <w:p w14:paraId="701B0D21" w14:textId="27C88A9F" w:rsidR="002F3FC4"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2F3FC4">
        <w:rPr>
          <w:rFonts w:ascii="Palatino Linotype" w:hAnsi="Palatino Linotype" w:cs="Arial"/>
          <w:b/>
          <w:bCs/>
          <w:color w:val="000000"/>
          <w:sz w:val="24"/>
          <w:lang w:val="es-ES_tradnl"/>
        </w:rPr>
        <w:t xml:space="preserve">diecinueve de octubre de dos mil veintitrés, </w:t>
      </w:r>
      <w:r w:rsidR="002F3FC4">
        <w:rPr>
          <w:rFonts w:ascii="Palatino Linotype" w:hAnsi="Palatino Linotype" w:cs="Arial"/>
          <w:color w:val="000000"/>
          <w:sz w:val="24"/>
          <w:lang w:val="es-ES_tradnl"/>
        </w:rPr>
        <w:t xml:space="preserve">rindió su respuesta a la solicitud de información formulada por el particular, adjuntando para tal efecto lo siguiente: </w:t>
      </w:r>
    </w:p>
    <w:p w14:paraId="2758F131" w14:textId="45AEC4C4" w:rsidR="002F3FC4" w:rsidRPr="004F66EC" w:rsidRDefault="002F3FC4" w:rsidP="002F3FC4">
      <w:pPr>
        <w:pStyle w:val="Prrafodelista"/>
        <w:numPr>
          <w:ilvl w:val="0"/>
          <w:numId w:val="79"/>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“855-2023.pdf”: </w:t>
      </w:r>
      <w:r w:rsidR="004F66EC">
        <w:rPr>
          <w:rFonts w:ascii="Palatino Linotype" w:hAnsi="Palatino Linotype" w:cs="Arial"/>
          <w:color w:val="000000"/>
          <w:lang w:val="es-ES_tradnl"/>
        </w:rPr>
        <w:t>Compila lo siguiente:</w:t>
      </w:r>
    </w:p>
    <w:p w14:paraId="39989035" w14:textId="60F4CC4F" w:rsidR="004F66EC" w:rsidRPr="004F66EC" w:rsidRDefault="004F66EC" w:rsidP="004F66EC">
      <w:pPr>
        <w:pStyle w:val="Prrafodelista"/>
        <w:numPr>
          <w:ilvl w:val="0"/>
          <w:numId w:val="8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Oficio sin número signado por la titular de la unidad de transparencia y dirigido al solicitante, de fecha diecinueve de octubre de dos mil veintitrés, resulta de nuestro interés el siguiente extracto:</w:t>
      </w:r>
    </w:p>
    <w:p w14:paraId="0CCA405A" w14:textId="3A1CC626" w:rsidR="004F66EC" w:rsidRPr="004F66EC" w:rsidRDefault="004F66EC" w:rsidP="004F66EC">
      <w:pPr>
        <w:pStyle w:val="Prrafodelista"/>
        <w:spacing w:after="240" w:line="360" w:lineRule="auto"/>
        <w:ind w:left="1080"/>
        <w:jc w:val="both"/>
        <w:rPr>
          <w:rFonts w:ascii="Palatino Linotype" w:hAnsi="Palatino Linotype" w:cs="Arial"/>
          <w:b/>
          <w:bCs/>
          <w:i/>
          <w:iCs/>
          <w:color w:val="000000"/>
          <w:lang w:val="es-ES_tradnl"/>
        </w:rPr>
      </w:pPr>
      <w:r>
        <w:rPr>
          <w:rFonts w:ascii="Palatino Linotype" w:hAnsi="Palatino Linotype" w:cs="Arial"/>
          <w:i/>
          <w:iCs/>
          <w:color w:val="000000"/>
          <w:lang w:val="es-ES_tradnl"/>
        </w:rPr>
        <w:t xml:space="preserve">“Después de haber realizado una búsqueda minuciosa, exhaustiva y razonable dentro de los archivos físicos y electrónicos de esta Unidad de Transparencia se informa que no se ha reservado información, por </w:t>
      </w:r>
      <w:r w:rsidR="00825CB5">
        <w:rPr>
          <w:rFonts w:ascii="Palatino Linotype" w:hAnsi="Palatino Linotype" w:cs="Arial"/>
          <w:i/>
          <w:iCs/>
          <w:color w:val="000000"/>
          <w:lang w:val="es-ES_tradnl"/>
        </w:rPr>
        <w:t>tanto,</w:t>
      </w:r>
      <w:r>
        <w:rPr>
          <w:rFonts w:ascii="Palatino Linotype" w:hAnsi="Palatino Linotype" w:cs="Arial"/>
          <w:i/>
          <w:iCs/>
          <w:color w:val="000000"/>
          <w:lang w:val="es-ES_tradnl"/>
        </w:rPr>
        <w:t xml:space="preserve"> no se han realizado pruebas de daño durante el periodo 2018 al 2023” </w:t>
      </w:r>
      <w:r>
        <w:rPr>
          <w:rFonts w:ascii="Palatino Linotype" w:hAnsi="Palatino Linotype" w:cs="Arial"/>
          <w:b/>
          <w:bCs/>
          <w:i/>
          <w:iCs/>
          <w:color w:val="000000"/>
          <w:lang w:val="es-ES_tradnl"/>
        </w:rPr>
        <w:t>(Sic)</w:t>
      </w:r>
    </w:p>
    <w:p w14:paraId="2D6B2BE6" w14:textId="215A6F91" w:rsidR="004F66EC" w:rsidRPr="002F3FC4" w:rsidRDefault="004F66EC" w:rsidP="004F66EC">
      <w:pPr>
        <w:pStyle w:val="Prrafodelista"/>
        <w:numPr>
          <w:ilvl w:val="0"/>
          <w:numId w:val="80"/>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lastRenderedPageBreak/>
        <w:t xml:space="preserve">Acuse de desahogo de aclaración a la solicitud de información </w:t>
      </w:r>
      <w:r>
        <w:rPr>
          <w:rFonts w:ascii="Palatino Linotype" w:hAnsi="Palatino Linotype" w:cs="Arial"/>
          <w:b/>
          <w:bCs/>
          <w:color w:val="000000"/>
          <w:lang w:val="es-ES_tradnl"/>
        </w:rPr>
        <w:t xml:space="preserve">00855/ECATEPEC/IP/2023 </w:t>
      </w:r>
      <w:r>
        <w:rPr>
          <w:rFonts w:ascii="Palatino Linotype" w:hAnsi="Palatino Linotype" w:cs="Arial"/>
          <w:color w:val="000000"/>
          <w:lang w:val="es-ES_tradnl"/>
        </w:rPr>
        <w:t xml:space="preserve">refleja datos generales, número de folio, datos a completar o corregir, número de aclaración, otros. </w:t>
      </w:r>
    </w:p>
    <w:p w14:paraId="4B073814" w14:textId="77777777" w:rsidR="00825CB5" w:rsidRDefault="00825CB5" w:rsidP="00A6185A">
      <w:pPr>
        <w:spacing w:after="240" w:line="360" w:lineRule="auto"/>
        <w:jc w:val="both"/>
        <w:rPr>
          <w:rFonts w:ascii="Palatino Linotype" w:hAnsi="Palatino Linotype" w:cs="Arial"/>
          <w:color w:val="000000"/>
          <w:sz w:val="24"/>
          <w:lang w:val="es-ES_tradnl"/>
        </w:rPr>
      </w:pPr>
    </w:p>
    <w:p w14:paraId="4BCF8045" w14:textId="7CEA7E96" w:rsidR="004F66EC" w:rsidRDefault="00B86B05"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En función de lo plantado, la información remitida mediante respuesta primigenia</w:t>
      </w:r>
      <w:r w:rsidR="004F66EC">
        <w:rPr>
          <w:rFonts w:ascii="Palatino Linotype" w:hAnsi="Palatino Linotype" w:cs="Arial"/>
          <w:color w:val="000000"/>
          <w:sz w:val="24"/>
          <w:lang w:val="es-ES_tradnl"/>
        </w:rPr>
        <w:t xml:space="preserve"> no genera certeza jurídica al particular, al tomar en cuenta las siguientes premisas argumentativas:</w:t>
      </w:r>
    </w:p>
    <w:p w14:paraId="27BD29E2" w14:textId="7FAA526A" w:rsidR="00B86B05" w:rsidRPr="004F66EC" w:rsidRDefault="007F0A4D" w:rsidP="004F66EC">
      <w:pPr>
        <w:pStyle w:val="Prrafodelista"/>
        <w:numPr>
          <w:ilvl w:val="0"/>
          <w:numId w:val="8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De</w:t>
      </w:r>
      <w:r w:rsidR="004F66EC">
        <w:rPr>
          <w:rFonts w:ascii="Palatino Linotype" w:hAnsi="Palatino Linotype" w:cs="Arial"/>
          <w:color w:val="000000"/>
          <w:lang w:val="es-ES_tradnl"/>
        </w:rPr>
        <w:t xml:space="preserve"> una inspección al portal </w:t>
      </w:r>
      <w:r w:rsidR="004F66EC" w:rsidRPr="004F66EC">
        <w:rPr>
          <w:rFonts w:ascii="Palatino Linotype" w:hAnsi="Palatino Linotype" w:cs="Arial"/>
          <w:b/>
          <w:bCs/>
          <w:color w:val="000000"/>
          <w:lang w:val="es-ES_tradnl"/>
        </w:rPr>
        <w:t>IPOMEX</w:t>
      </w:r>
      <w:r w:rsidR="004F66EC">
        <w:rPr>
          <w:rFonts w:ascii="Palatino Linotype" w:hAnsi="Palatino Linotype" w:cs="Arial"/>
          <w:color w:val="000000"/>
          <w:lang w:val="es-ES_tradnl"/>
        </w:rPr>
        <w:t xml:space="preserve"> del </w:t>
      </w:r>
      <w:r w:rsidR="004F66EC" w:rsidRPr="004F66EC">
        <w:rPr>
          <w:rFonts w:ascii="Palatino Linotype" w:hAnsi="Palatino Linotype" w:cs="Arial"/>
          <w:b/>
          <w:bCs/>
          <w:color w:val="000000"/>
          <w:lang w:val="es-ES_tradnl"/>
        </w:rPr>
        <w:t xml:space="preserve">Sujeto Obligado, </w:t>
      </w:r>
      <w:r w:rsidR="004F66EC">
        <w:rPr>
          <w:rFonts w:ascii="Palatino Linotype" w:hAnsi="Palatino Linotype" w:cs="Arial"/>
          <w:color w:val="000000"/>
          <w:lang w:val="es-ES_tradnl"/>
        </w:rPr>
        <w:t xml:space="preserve">específicamente a la fracción XIX “índice de expedientes clasificados como reservados” se desprende que </w:t>
      </w:r>
      <w:r w:rsidR="004F66EC">
        <w:rPr>
          <w:rFonts w:ascii="Palatino Linotype" w:hAnsi="Palatino Linotype" w:cs="Arial"/>
          <w:b/>
          <w:bCs/>
          <w:color w:val="000000"/>
          <w:lang w:val="es-ES_tradnl"/>
        </w:rPr>
        <w:t xml:space="preserve">El Sujeto Obligado </w:t>
      </w:r>
      <w:r w:rsidR="004F66EC">
        <w:rPr>
          <w:rFonts w:ascii="Palatino Linotype" w:hAnsi="Palatino Linotype" w:cs="Arial"/>
          <w:color w:val="000000"/>
          <w:lang w:val="es-ES_tradnl"/>
        </w:rPr>
        <w:t>si ha clasificado información como reservada</w:t>
      </w:r>
      <w:r w:rsidR="007E5D51">
        <w:rPr>
          <w:rFonts w:ascii="Palatino Linotype" w:hAnsi="Palatino Linotype" w:cs="Arial"/>
          <w:color w:val="000000"/>
          <w:lang w:val="es-ES_tradnl"/>
        </w:rPr>
        <w:t xml:space="preserve">, sin embargo, dicho acto administrativo fue emitido en inobservancia a la normatividad aplicable. </w:t>
      </w:r>
    </w:p>
    <w:p w14:paraId="6B5CD785" w14:textId="088DDD4F" w:rsidR="004F66EC" w:rsidRPr="007E5D51" w:rsidRDefault="007F0A4D" w:rsidP="004F66EC">
      <w:pPr>
        <w:pStyle w:val="Prrafodelista"/>
        <w:numPr>
          <w:ilvl w:val="0"/>
          <w:numId w:val="8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Para</w:t>
      </w:r>
      <w:r w:rsidR="004F66EC">
        <w:rPr>
          <w:rFonts w:ascii="Palatino Linotype" w:hAnsi="Palatino Linotype" w:cs="Arial"/>
          <w:color w:val="000000"/>
          <w:lang w:val="es-ES_tradnl"/>
        </w:rPr>
        <w:t xml:space="preserve"> fundamentar y motivar la restricción al derecho de acceso a la </w:t>
      </w:r>
      <w:r w:rsidR="007E5D51">
        <w:rPr>
          <w:rFonts w:ascii="Palatino Linotype" w:hAnsi="Palatino Linotype" w:cs="Arial"/>
          <w:color w:val="000000"/>
          <w:lang w:val="es-ES_tradnl"/>
        </w:rPr>
        <w:t>información por la vía de reserva, invariablemente se requiere de la pauta metodológica relativa la prueba de daño.</w:t>
      </w:r>
    </w:p>
    <w:p w14:paraId="093B7E3A" w14:textId="48F7EC7A" w:rsidR="007E5D51" w:rsidRPr="003D4107" w:rsidRDefault="007F0A4D" w:rsidP="004F66EC">
      <w:pPr>
        <w:pStyle w:val="Prrafodelista"/>
        <w:numPr>
          <w:ilvl w:val="0"/>
          <w:numId w:val="81"/>
        </w:numPr>
        <w:spacing w:after="240" w:line="360" w:lineRule="auto"/>
        <w:jc w:val="both"/>
        <w:rPr>
          <w:rFonts w:ascii="Palatino Linotype" w:hAnsi="Palatino Linotype" w:cs="Arial"/>
          <w:b/>
          <w:bCs/>
          <w:color w:val="000000"/>
          <w:lang w:val="es-ES_tradnl"/>
        </w:rPr>
      </w:pPr>
      <w:r>
        <w:rPr>
          <w:rFonts w:ascii="Palatino Linotype" w:hAnsi="Palatino Linotype" w:cs="Arial"/>
          <w:color w:val="000000"/>
          <w:lang w:val="es-ES_tradnl"/>
        </w:rPr>
        <w:t xml:space="preserve">Que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se limitó a señalar que no ha generado pruebas de daño durante el periodo de tiempo señalado por el particular al desahogar la solicitud de aclaración, sin embargo, fue omiso en remitir acuerdo de inexistencia. </w:t>
      </w:r>
    </w:p>
    <w:p w14:paraId="2A43BF09" w14:textId="034A0F00" w:rsidR="00EF5689" w:rsidRPr="00EF5689" w:rsidRDefault="00EF5689" w:rsidP="00EF5689">
      <w:pPr>
        <w:pStyle w:val="Prrafodelista"/>
        <w:numPr>
          <w:ilvl w:val="0"/>
          <w:numId w:val="84"/>
        </w:numPr>
        <w:spacing w:before="100" w:beforeAutospacing="1" w:after="100" w:afterAutospacing="1" w:line="360" w:lineRule="auto"/>
        <w:jc w:val="both"/>
        <w:rPr>
          <w:rFonts w:ascii="Palatino Linotype" w:hAnsi="Palatino Linotype"/>
          <w:iCs/>
        </w:rPr>
      </w:pPr>
      <w:r w:rsidRPr="00EF5689">
        <w:rPr>
          <w:rFonts w:ascii="Palatino Linotype" w:hAnsi="Palatino Linotype" w:cs="Arial"/>
          <w:color w:val="000000"/>
          <w:lang w:val="es-ES_tradnl"/>
        </w:rPr>
        <w:lastRenderedPageBreak/>
        <w:t xml:space="preserve">Se destaca que </w:t>
      </w:r>
      <w:r w:rsidRPr="00EF5689">
        <w:rPr>
          <w:rFonts w:ascii="Palatino Linotype" w:hAnsi="Palatino Linotype"/>
        </w:rPr>
        <w:t>este</w:t>
      </w:r>
      <w:r w:rsidRPr="00EF5689">
        <w:rPr>
          <w:rFonts w:ascii="Palatino Linotype" w:hAnsi="Palatino Linotype"/>
          <w:iCs/>
        </w:rPr>
        <w:t xml:space="preserve"> Instituto no está facultado para manifestarse sobre la veracidad</w:t>
      </w:r>
      <w:r w:rsidR="00825CB5">
        <w:rPr>
          <w:rFonts w:ascii="Palatino Linotype" w:hAnsi="Palatino Linotype"/>
          <w:iCs/>
        </w:rPr>
        <w:t xml:space="preserve"> de pronunciamiento de hechos negativos</w:t>
      </w:r>
      <w:r w:rsidRPr="00EF5689">
        <w:rPr>
          <w:rFonts w:ascii="Palatino Linotype" w:hAnsi="Palatino Linotype"/>
          <w:iCs/>
        </w:rPr>
        <w:t xml:space="preserve">, pues este Órgano Garante, conforme al artículo 36 de la Ley de la Materia, no se encuentra facultado para pronunciarse acerca de la autenticidad de dicho pronunciamiento.  </w:t>
      </w:r>
    </w:p>
    <w:p w14:paraId="040490E8" w14:textId="77777777" w:rsidR="00EF5689" w:rsidRPr="00EF5689" w:rsidRDefault="00EF5689" w:rsidP="00EF5689">
      <w:pPr>
        <w:pStyle w:val="Prrafodelista"/>
        <w:spacing w:before="100" w:beforeAutospacing="1" w:after="100" w:afterAutospacing="1" w:line="360" w:lineRule="auto"/>
        <w:ind w:left="720"/>
        <w:jc w:val="both"/>
        <w:rPr>
          <w:rFonts w:ascii="Palatino Linotype" w:hAnsi="Palatino Linotype" w:cs="Arial"/>
          <w:iCs/>
        </w:rPr>
      </w:pPr>
      <w:r w:rsidRPr="00EF5689">
        <w:rPr>
          <w:rFonts w:ascii="Palatino Linotype" w:hAnsi="Palatino Linotype" w:cs="Arial"/>
          <w:iCs/>
        </w:rPr>
        <w:t xml:space="preserve">Sirve de sustento a lo anterior, el criterio </w:t>
      </w:r>
      <w:r w:rsidRPr="00EF5689">
        <w:rPr>
          <w:rFonts w:ascii="Palatino Linotype" w:hAnsi="Palatino Linotype" w:cs="Arial"/>
          <w:b/>
          <w:bCs/>
          <w:iCs/>
        </w:rPr>
        <w:t>31/10</w:t>
      </w:r>
      <w:r w:rsidRPr="00EF5689">
        <w:rPr>
          <w:rFonts w:ascii="Palatino Linotype" w:hAnsi="Palatino Linotype" w:cs="Arial"/>
          <w:iCs/>
        </w:rPr>
        <w:t xml:space="preserve"> emitido por el entonces Instituto Federal de Acceso a la Información y Protección de Datos, ahora Instituto Nacional de Transparencia, Acceso a la Información y Protección de Datos Personales (INAI), el cual refiere: </w:t>
      </w:r>
    </w:p>
    <w:p w14:paraId="3E37BAD5" w14:textId="77777777" w:rsidR="00EF5689" w:rsidRPr="003A41AE" w:rsidRDefault="00EF5689" w:rsidP="00EF5689">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7B075574" w14:textId="77777777" w:rsidR="00EF5689" w:rsidRDefault="00EF5689" w:rsidP="00EF5689">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63664404" w14:textId="77777777" w:rsidR="00EF5689" w:rsidRDefault="00EF5689" w:rsidP="00EF5689">
      <w:pPr>
        <w:pStyle w:val="Citas"/>
      </w:pPr>
      <w:r w:rsidRPr="00D02076">
        <w:lastRenderedPageBreak/>
        <w:t xml:space="preserve">Expedientes: </w:t>
      </w:r>
    </w:p>
    <w:p w14:paraId="654C377A" w14:textId="77777777" w:rsidR="00EF5689" w:rsidRDefault="00EF5689" w:rsidP="00EF5689">
      <w:pPr>
        <w:pStyle w:val="Citas"/>
        <w:numPr>
          <w:ilvl w:val="0"/>
          <w:numId w:val="83"/>
        </w:numPr>
      </w:pPr>
      <w:r w:rsidRPr="00D02076">
        <w:t xml:space="preserve">2440/07 Comisión Federal de Electricidad - Alonso Lujambio Irazábal </w:t>
      </w:r>
    </w:p>
    <w:p w14:paraId="37F91DFC" w14:textId="77777777" w:rsidR="00EF5689" w:rsidRDefault="00EF5689" w:rsidP="00EF5689">
      <w:pPr>
        <w:pStyle w:val="Citas"/>
        <w:numPr>
          <w:ilvl w:val="0"/>
          <w:numId w:val="83"/>
        </w:numPr>
      </w:pPr>
      <w:r w:rsidRPr="00D02076">
        <w:t xml:space="preserve">0113/09 Instituto de Seguridad y Servicios Sociales de los Trabajadores del Estado – Alonso Lujambio Irazábal </w:t>
      </w:r>
    </w:p>
    <w:p w14:paraId="6B001E24" w14:textId="77777777" w:rsidR="00EF5689" w:rsidRDefault="00EF5689" w:rsidP="00EF5689">
      <w:pPr>
        <w:pStyle w:val="Citas"/>
        <w:numPr>
          <w:ilvl w:val="0"/>
          <w:numId w:val="83"/>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7E9143DC" w14:textId="77777777" w:rsidR="00EF5689" w:rsidRDefault="00EF5689" w:rsidP="00EF5689">
      <w:pPr>
        <w:pStyle w:val="Citas"/>
        <w:numPr>
          <w:ilvl w:val="0"/>
          <w:numId w:val="83"/>
        </w:numPr>
      </w:pPr>
      <w:r w:rsidRPr="00D02076">
        <w:t xml:space="preserve">2395/09 Secretaría de Economía - María </w:t>
      </w:r>
      <w:proofErr w:type="spellStart"/>
      <w:r w:rsidRPr="00D02076">
        <w:t>Marván</w:t>
      </w:r>
      <w:proofErr w:type="spellEnd"/>
      <w:r w:rsidRPr="00D02076">
        <w:t xml:space="preserve"> Laborde </w:t>
      </w:r>
    </w:p>
    <w:p w14:paraId="25E547A2" w14:textId="77777777" w:rsidR="00EF5689" w:rsidRPr="00D02076" w:rsidRDefault="00EF5689" w:rsidP="00EF5689">
      <w:pPr>
        <w:pStyle w:val="Citas"/>
        <w:numPr>
          <w:ilvl w:val="0"/>
          <w:numId w:val="83"/>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67F9DD4D" w14:textId="77777777" w:rsidR="00EF5689" w:rsidRDefault="00EF5689" w:rsidP="00EF5689">
      <w:pPr>
        <w:spacing w:after="0" w:line="360" w:lineRule="auto"/>
        <w:jc w:val="both"/>
        <w:rPr>
          <w:rFonts w:ascii="Palatino Linotype" w:hAnsi="Palatino Linotype" w:cs="Arial"/>
          <w:noProof/>
          <w:color w:val="000000"/>
          <w:sz w:val="24"/>
          <w:szCs w:val="24"/>
          <w:lang w:eastAsia="es-MX"/>
        </w:rPr>
      </w:pPr>
    </w:p>
    <w:p w14:paraId="77ABCFCD" w14:textId="77777777" w:rsidR="00EF5689" w:rsidRPr="00EF5689" w:rsidRDefault="00EF5689" w:rsidP="00EF5689">
      <w:pPr>
        <w:pStyle w:val="Prrafodelista"/>
        <w:spacing w:line="360" w:lineRule="auto"/>
        <w:ind w:left="709"/>
        <w:jc w:val="both"/>
        <w:rPr>
          <w:rFonts w:ascii="Palatino Linotype" w:hAnsi="Palatino Linotype" w:cs="Arial"/>
          <w:b/>
          <w:bCs/>
          <w:noProof/>
          <w:color w:val="000000"/>
          <w:lang w:eastAsia="es-MX"/>
        </w:rPr>
      </w:pPr>
      <w:r w:rsidRPr="00EF5689">
        <w:rPr>
          <w:rFonts w:ascii="Palatino Linotype" w:hAnsi="Palatino Linotype" w:cs="Arial"/>
          <w:noProof/>
          <w:color w:val="000000"/>
          <w:lang w:eastAsia="es-MX"/>
        </w:rPr>
        <w:t xml:space="preserve">Con base en lo anteriormente expuesto, se arriba a la premisa de que este Instituto no se encuentra facultado para dudar de la veracidad respecto de la información proporcionada por los </w:t>
      </w:r>
      <w:r w:rsidRPr="00EF5689">
        <w:rPr>
          <w:rFonts w:ascii="Palatino Linotype" w:hAnsi="Palatino Linotype" w:cs="Arial"/>
          <w:b/>
          <w:bCs/>
          <w:noProof/>
          <w:color w:val="000000"/>
          <w:lang w:eastAsia="es-MX"/>
        </w:rPr>
        <w:t>Sujetos Obligados.</w:t>
      </w:r>
    </w:p>
    <w:p w14:paraId="09CC3BE6" w14:textId="77777777" w:rsidR="0074122D" w:rsidRDefault="0074122D" w:rsidP="0074122D">
      <w:pPr>
        <w:pStyle w:val="Citas"/>
        <w:numPr>
          <w:ilvl w:val="0"/>
          <w:numId w:val="81"/>
        </w:numPr>
        <w:ind w:right="-18"/>
        <w:rPr>
          <w:i w:val="0"/>
          <w:iCs/>
          <w:sz w:val="24"/>
          <w:szCs w:val="24"/>
        </w:rPr>
      </w:pPr>
      <w:r>
        <w:rPr>
          <w:i w:val="0"/>
          <w:iCs/>
          <w:sz w:val="24"/>
          <w:szCs w:val="24"/>
        </w:rPr>
        <w:t>Por otra parte</w:t>
      </w:r>
      <w:r w:rsidRPr="00C92D10">
        <w:rPr>
          <w:i w:val="0"/>
          <w:iCs/>
          <w:sz w:val="24"/>
          <w:szCs w:val="24"/>
        </w:rPr>
        <w:t>, resulta óbice señalar que el derecho de acceso a la información excluye la obligación de generar, documentos, procesar información o incluso generar soportes documentales encauzados a atender la pretensión de los particulares</w:t>
      </w:r>
      <w:r>
        <w:rPr>
          <w:i w:val="0"/>
          <w:iCs/>
          <w:sz w:val="24"/>
          <w:szCs w:val="24"/>
        </w:rPr>
        <w:t xml:space="preserve">, es decir no tiene obligación de documentos para colmar la pretensión del particular. </w:t>
      </w:r>
    </w:p>
    <w:p w14:paraId="7B22A258" w14:textId="77777777" w:rsidR="0074122D" w:rsidRPr="0074122D" w:rsidRDefault="0074122D" w:rsidP="0074122D">
      <w:pPr>
        <w:pStyle w:val="Prrafodelista"/>
        <w:spacing w:line="360" w:lineRule="auto"/>
        <w:ind w:left="780"/>
        <w:jc w:val="both"/>
        <w:rPr>
          <w:lang w:val="es-ES_tradnl"/>
        </w:rPr>
      </w:pPr>
      <w:r w:rsidRPr="0074122D">
        <w:rPr>
          <w:rFonts w:ascii="Palatino Linotype" w:hAnsi="Palatino Linotype"/>
          <w:iCs/>
        </w:rPr>
        <w:t xml:space="preserve">Robustece lo anterior, el criterio </w:t>
      </w:r>
      <w:r w:rsidRPr="0074122D">
        <w:rPr>
          <w:rFonts w:ascii="Palatino Linotype" w:hAnsi="Palatino Linotype" w:cs="Arial"/>
          <w:color w:val="000000"/>
          <w:lang w:val="es-ES_tradnl"/>
        </w:rPr>
        <w:t xml:space="preserve">03-17, emitido por </w:t>
      </w:r>
      <w:r w:rsidRPr="0074122D">
        <w:rPr>
          <w:rFonts w:ascii="Palatino Linotype" w:eastAsia="Arial Unicode MS" w:hAnsi="Palatino Linotype" w:cs="Arial"/>
          <w:color w:val="000000"/>
          <w:lang w:val="es-ES_tradnl"/>
        </w:rPr>
        <w:t xml:space="preserve">el Instituto Nacional de Transparencia, Acceso a la Información y Protección de Datos Personales cuyo rubro y texto dispone a la literalidad los siguiente: </w:t>
      </w:r>
    </w:p>
    <w:p w14:paraId="7ABB0838" w14:textId="77777777" w:rsidR="0074122D" w:rsidRDefault="0074122D" w:rsidP="0074122D">
      <w:pPr>
        <w:pStyle w:val="Citas"/>
        <w:ind w:left="780"/>
        <w:rPr>
          <w:b/>
          <w:spacing w:val="18"/>
        </w:rPr>
      </w:pPr>
      <w:r>
        <w:rPr>
          <w:b/>
        </w:rPr>
        <w:lastRenderedPageBreak/>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74374F17" w14:textId="77777777" w:rsidR="0074122D" w:rsidRPr="00465B9A" w:rsidRDefault="0074122D" w:rsidP="0074122D">
      <w:pPr>
        <w:pStyle w:val="Citas"/>
        <w:ind w:left="780"/>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08E22436" w14:textId="77777777" w:rsidR="0074122D" w:rsidRDefault="0074122D" w:rsidP="0074122D">
      <w:pPr>
        <w:pStyle w:val="Citas"/>
        <w:ind w:left="780"/>
        <w:rPr>
          <w:b/>
        </w:rPr>
      </w:pPr>
      <w:r>
        <w:rPr>
          <w:b/>
        </w:rPr>
        <w:t>Resoluciones</w:t>
      </w:r>
      <w:r w:rsidRPr="00015541">
        <w:rPr>
          <w:b/>
        </w:rPr>
        <w:t>:</w:t>
      </w:r>
    </w:p>
    <w:p w14:paraId="6693F306" w14:textId="77777777" w:rsidR="0074122D" w:rsidRDefault="0074122D" w:rsidP="0074122D">
      <w:pPr>
        <w:pStyle w:val="Citas"/>
        <w:ind w:left="780"/>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54DF0AFD" w14:textId="77777777" w:rsidR="0074122D" w:rsidRPr="008C50C4" w:rsidRDefault="0074122D" w:rsidP="0074122D">
      <w:pPr>
        <w:pStyle w:val="Citas"/>
        <w:ind w:left="780"/>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0BB575A3" w14:textId="77777777" w:rsidR="0074122D" w:rsidRPr="003A136D" w:rsidRDefault="0074122D" w:rsidP="0074122D">
      <w:pPr>
        <w:pStyle w:val="Citas"/>
        <w:ind w:left="780"/>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3FF18D1D" w14:textId="4640A230" w:rsidR="0081447E" w:rsidRDefault="0081447E" w:rsidP="00A6185A">
      <w:pPr>
        <w:spacing w:after="240" w:line="360" w:lineRule="auto"/>
        <w:jc w:val="both"/>
        <w:rPr>
          <w:rFonts w:ascii="Palatino Linotype" w:hAnsi="Palatino Linotype" w:cs="Arial"/>
          <w:color w:val="000000"/>
          <w:sz w:val="24"/>
          <w:lang w:val="es-ES_tradnl"/>
        </w:rPr>
      </w:pPr>
    </w:p>
    <w:p w14:paraId="61EECD85" w14:textId="77777777" w:rsidR="002F2D0B" w:rsidRPr="0037314A" w:rsidRDefault="002F2D0B" w:rsidP="002F2D0B">
      <w:pPr>
        <w:tabs>
          <w:tab w:val="left" w:pos="709"/>
        </w:tabs>
        <w:spacing w:line="360" w:lineRule="auto"/>
        <w:jc w:val="both"/>
        <w:rPr>
          <w:rFonts w:ascii="Palatino Linotype" w:hAnsi="Palatino Linotype"/>
          <w:sz w:val="24"/>
          <w:szCs w:val="24"/>
        </w:rPr>
      </w:pPr>
      <w:r>
        <w:rPr>
          <w:rFonts w:ascii="Palatino Linotype" w:hAnsi="Palatino Linotype" w:cs="Arial"/>
          <w:color w:val="000000"/>
          <w:sz w:val="24"/>
          <w:lang w:val="es-ES_tradnl"/>
        </w:rPr>
        <w:lastRenderedPageBreak/>
        <w:t xml:space="preserve">Ahora bien, con relación a la declaratoria de inexistencia deberá de realizarse conforme </w:t>
      </w:r>
      <w:r w:rsidRPr="0037314A">
        <w:rPr>
          <w:rFonts w:ascii="Palatino Linotype" w:hAnsi="Palatino Linotype"/>
          <w:sz w:val="24"/>
          <w:szCs w:val="24"/>
        </w:rPr>
        <w:t>a lo establecido en lo dispuesto por los artículos 19, 49 fracciones II y XIII, 169 y 170 de la Ley de Transparencia y Acceso a la Información Pública del Estado de México y Municipios, cuyo contenido es el siguiente:</w:t>
      </w:r>
    </w:p>
    <w:p w14:paraId="214F4E92"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37314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A85F60D"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003D47B7"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37314A">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49F4D5AD"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Artículo 49.</w:t>
      </w:r>
      <w:r w:rsidRPr="0037314A">
        <w:rPr>
          <w:rFonts w:ascii="Palatino Linotype" w:hAnsi="Palatino Linotype"/>
          <w:i/>
          <w:iCs/>
          <w:szCs w:val="24"/>
        </w:rPr>
        <w:t xml:space="preserve"> Los </w:t>
      </w:r>
      <w:r w:rsidRPr="0037314A">
        <w:rPr>
          <w:rFonts w:ascii="Palatino Linotype" w:hAnsi="Palatino Linotype"/>
          <w:i/>
          <w:iCs/>
          <w:szCs w:val="24"/>
          <w:u w:val="single"/>
        </w:rPr>
        <w:t xml:space="preserve">Comités de Transparencia </w:t>
      </w:r>
      <w:r w:rsidRPr="0037314A">
        <w:rPr>
          <w:rFonts w:ascii="Palatino Linotype" w:hAnsi="Palatino Linotype"/>
          <w:i/>
          <w:iCs/>
          <w:szCs w:val="24"/>
        </w:rPr>
        <w:t>tendrán las siguientes atribuciones:</w:t>
      </w:r>
    </w:p>
    <w:p w14:paraId="50B62F68"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 xml:space="preserve">II. Confirmar, modificar o revocar las determinaciones </w:t>
      </w:r>
      <w:proofErr w:type="gramStart"/>
      <w:r w:rsidRPr="0037314A">
        <w:rPr>
          <w:rFonts w:ascii="Palatino Linotype" w:hAnsi="Palatino Linotype"/>
          <w:i/>
          <w:szCs w:val="24"/>
        </w:rPr>
        <w:t>que</w:t>
      </w:r>
      <w:proofErr w:type="gramEnd"/>
      <w:r w:rsidRPr="0037314A">
        <w:rPr>
          <w:rFonts w:ascii="Palatino Linotype" w:hAnsi="Palatino Linotype"/>
          <w:i/>
          <w:szCs w:val="24"/>
        </w:rPr>
        <w:t xml:space="preserve"> en materia de ampliación del plazo de respuesta, clasificación de la información</w:t>
      </w:r>
      <w:r w:rsidRPr="0037314A">
        <w:rPr>
          <w:rFonts w:ascii="Palatino Linotype" w:hAnsi="Palatino Linotype"/>
          <w:i/>
          <w:szCs w:val="24"/>
          <w:u w:val="single"/>
        </w:rPr>
        <w:t xml:space="preserve"> y declaración de inexistencia </w:t>
      </w:r>
      <w:r w:rsidRPr="0037314A">
        <w:rPr>
          <w:rFonts w:ascii="Palatino Linotype" w:hAnsi="Palatino Linotype"/>
          <w:i/>
          <w:szCs w:val="24"/>
        </w:rPr>
        <w:t>o de incompetencia realicen los titulares de las áreas de los sujetos obligados;</w:t>
      </w:r>
    </w:p>
    <w:p w14:paraId="78457DAC"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 xml:space="preserve">XIII. </w:t>
      </w:r>
      <w:r w:rsidRPr="0037314A">
        <w:rPr>
          <w:rFonts w:ascii="Palatino Linotype" w:hAnsi="Palatino Linotype"/>
          <w:i/>
          <w:szCs w:val="24"/>
          <w:u w:val="single"/>
        </w:rPr>
        <w:t>Dictaminar las declaratorias de inexistencia de la información que les remitan las unidades administrativas y resolver en consecuencia</w:t>
      </w:r>
      <w:r w:rsidRPr="0037314A">
        <w:rPr>
          <w:rFonts w:ascii="Palatino Linotype" w:hAnsi="Palatino Linotype"/>
          <w:i/>
          <w:szCs w:val="24"/>
        </w:rPr>
        <w:t>;</w:t>
      </w:r>
    </w:p>
    <w:p w14:paraId="1CF327F9" w14:textId="77777777" w:rsidR="002F2D0B" w:rsidRPr="0037314A" w:rsidRDefault="002F2D0B" w:rsidP="002F2D0B">
      <w:pPr>
        <w:tabs>
          <w:tab w:val="left" w:pos="709"/>
        </w:tabs>
        <w:spacing w:before="240" w:line="360" w:lineRule="auto"/>
        <w:ind w:left="851" w:right="851"/>
        <w:jc w:val="both"/>
        <w:rPr>
          <w:rFonts w:ascii="Palatino Linotype" w:hAnsi="Palatino Linotype"/>
          <w:b/>
          <w:i/>
          <w:szCs w:val="24"/>
          <w:u w:val="single"/>
        </w:rPr>
      </w:pPr>
      <w:r w:rsidRPr="0037314A">
        <w:rPr>
          <w:rFonts w:ascii="Palatino Linotype" w:hAnsi="Palatino Linotype"/>
          <w:b/>
          <w:i/>
          <w:u w:val="single"/>
        </w:rPr>
        <w:t>Artículo 169. Cuando la información no se encuentre en los archivos del sujeto obligado, el Comité de Transparencia:</w:t>
      </w:r>
    </w:p>
    <w:p w14:paraId="375131EE" w14:textId="77777777" w:rsidR="002F2D0B" w:rsidRPr="0037314A" w:rsidRDefault="002F2D0B" w:rsidP="002F2D0B">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 </w:t>
      </w:r>
      <w:r w:rsidRPr="0037314A">
        <w:rPr>
          <w:rFonts w:ascii="Palatino Linotype" w:hAnsi="Palatino Linotype"/>
          <w:i/>
          <w:szCs w:val="24"/>
          <w:u w:val="single"/>
        </w:rPr>
        <w:t>Analizará el caso y tomará las medidas necesarias para localizar la información;</w:t>
      </w:r>
    </w:p>
    <w:p w14:paraId="40F55353" w14:textId="77777777" w:rsidR="002F2D0B" w:rsidRPr="0037314A" w:rsidRDefault="002F2D0B" w:rsidP="002F2D0B">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lastRenderedPageBreak/>
        <w:t xml:space="preserve">II. </w:t>
      </w:r>
      <w:r w:rsidRPr="0037314A">
        <w:rPr>
          <w:rFonts w:ascii="Palatino Linotype" w:hAnsi="Palatino Linotype"/>
          <w:i/>
          <w:szCs w:val="24"/>
          <w:u w:val="single"/>
        </w:rPr>
        <w:t>Expedirá una resolución que confirme la inexistencia del documento;</w:t>
      </w:r>
    </w:p>
    <w:p w14:paraId="1E8A6528" w14:textId="77777777" w:rsidR="002F2D0B" w:rsidRPr="0037314A" w:rsidRDefault="002F2D0B" w:rsidP="002F2D0B">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III. </w:t>
      </w:r>
      <w:r w:rsidRPr="0037314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E576661"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b/>
          <w:bCs/>
          <w:i/>
          <w:szCs w:val="24"/>
        </w:rPr>
        <w:t xml:space="preserve">IV. </w:t>
      </w:r>
      <w:r w:rsidRPr="0037314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39FF6F94"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17686087" w14:textId="77777777" w:rsidR="002F2D0B" w:rsidRPr="0037314A" w:rsidRDefault="002F2D0B" w:rsidP="002F2D0B">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Este plazo podrá ampliarse hasta por otros siete días hábiles, siempre que existan razones para ello, debiendo notificarse por escrito al solicitante.</w:t>
      </w:r>
    </w:p>
    <w:p w14:paraId="1A4BD3C4" w14:textId="77777777" w:rsidR="002F2D0B" w:rsidRPr="0037314A" w:rsidRDefault="002F2D0B" w:rsidP="002F2D0B">
      <w:pPr>
        <w:tabs>
          <w:tab w:val="left" w:pos="709"/>
        </w:tabs>
        <w:spacing w:before="240" w:line="360" w:lineRule="auto"/>
        <w:ind w:left="851" w:right="851"/>
        <w:jc w:val="both"/>
        <w:rPr>
          <w:rFonts w:ascii="Palatino Linotype" w:hAnsi="Palatino Linotype"/>
          <w:b/>
          <w:i/>
          <w:iCs/>
          <w:szCs w:val="24"/>
        </w:rPr>
      </w:pPr>
      <w:r w:rsidRPr="0037314A">
        <w:rPr>
          <w:rFonts w:ascii="Palatino Linotype" w:hAnsi="Palatino Linotype"/>
          <w:b/>
          <w:i/>
          <w:szCs w:val="24"/>
        </w:rPr>
        <w:t>Artículo 170</w:t>
      </w:r>
      <w:r w:rsidRPr="0037314A">
        <w:rPr>
          <w:rFonts w:ascii="Palatino Linotype" w:hAnsi="Palatino Linotype"/>
          <w:b/>
          <w:bCs/>
          <w:i/>
          <w:iCs/>
          <w:szCs w:val="24"/>
        </w:rPr>
        <w:t>.</w:t>
      </w:r>
      <w:r w:rsidRPr="0037314A">
        <w:rPr>
          <w:rFonts w:ascii="Palatino Linotype" w:hAnsi="Palatino Linotype"/>
          <w:i/>
          <w:iCs/>
          <w:szCs w:val="24"/>
        </w:rPr>
        <w:t xml:space="preserve"> </w:t>
      </w:r>
      <w:r w:rsidRPr="0037314A">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6A07CCEF" w14:textId="77777777" w:rsidR="002F2D0B" w:rsidRPr="0037314A" w:rsidRDefault="002F2D0B" w:rsidP="002F2D0B">
      <w:pPr>
        <w:tabs>
          <w:tab w:val="left" w:pos="709"/>
        </w:tabs>
        <w:spacing w:after="0" w:line="240" w:lineRule="auto"/>
        <w:ind w:left="567" w:right="567"/>
        <w:jc w:val="both"/>
        <w:rPr>
          <w:rFonts w:ascii="Palatino Linotype" w:hAnsi="Palatino Linotype"/>
          <w:i/>
          <w:szCs w:val="24"/>
        </w:rPr>
      </w:pPr>
    </w:p>
    <w:p w14:paraId="484DD8A5" w14:textId="77777777" w:rsidR="002F2D0B" w:rsidRPr="0037314A" w:rsidRDefault="002F2D0B" w:rsidP="002F2D0B">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lastRenderedPageBreak/>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6D7D1A64" w14:textId="77777777" w:rsidR="002F2D0B" w:rsidRPr="0037314A" w:rsidRDefault="002F2D0B" w:rsidP="002F2D0B">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736A501B" w14:textId="77777777" w:rsidR="002F2D0B" w:rsidRPr="0037314A" w:rsidRDefault="002F2D0B" w:rsidP="002F2D0B">
      <w:pPr>
        <w:pStyle w:val="Citas"/>
        <w:rPr>
          <w:b/>
        </w:rPr>
      </w:pPr>
      <w:r w:rsidRPr="0037314A">
        <w:rPr>
          <w:b/>
        </w:rPr>
        <w:t xml:space="preserve">“PROPÓSITO DE LA DECLARACIÓN FORMAL DE INEXISTENCIA. </w:t>
      </w:r>
    </w:p>
    <w:p w14:paraId="50901DA9" w14:textId="77777777" w:rsidR="002F2D0B" w:rsidRPr="0037314A" w:rsidRDefault="002F2D0B" w:rsidP="002F2D0B">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es garantizar al solicitante que se realizaron las gestiones necesarias para la ubicación de la información de su interés; por lo cual, el acta en el que se haga constar esa declaración formal de inexistencia</w:t>
      </w:r>
      <w:r w:rsidRPr="0037314A">
        <w:t xml:space="preserve">, debe contener los elementos suficientes para generar en los solicitantes la certeza del carácter exhaustivo de la búsqueda de lo solicitado.” </w:t>
      </w:r>
      <w:r w:rsidRPr="0037314A">
        <w:rPr>
          <w:b/>
        </w:rPr>
        <w:t xml:space="preserve">[Sic] </w:t>
      </w:r>
    </w:p>
    <w:p w14:paraId="43CEADFE" w14:textId="77777777" w:rsidR="002F2D0B" w:rsidRPr="0037314A" w:rsidRDefault="002F2D0B" w:rsidP="002F2D0B">
      <w:pPr>
        <w:spacing w:after="0" w:line="360" w:lineRule="auto"/>
        <w:contextualSpacing/>
        <w:jc w:val="both"/>
        <w:rPr>
          <w:rFonts w:ascii="Palatino Linotype" w:eastAsia="Palatino Linotype" w:hAnsi="Palatino Linotype" w:cs="Palatino Linotype"/>
          <w:sz w:val="24"/>
          <w:szCs w:val="24"/>
        </w:rPr>
      </w:pPr>
    </w:p>
    <w:p w14:paraId="6AF5BBB1" w14:textId="5413BEE2" w:rsidR="002F2D0B" w:rsidRPr="002F2D0B" w:rsidRDefault="002F2D0B" w:rsidP="002F2D0B">
      <w:pPr>
        <w:spacing w:after="0" w:line="360" w:lineRule="auto"/>
        <w:contextualSpacing/>
        <w:jc w:val="both"/>
        <w:rPr>
          <w:rFonts w:ascii="Palatino Linotype" w:eastAsia="Times New Roman" w:hAnsi="Palatino Linotype" w:cs="Times New Roman"/>
          <w:sz w:val="24"/>
          <w:szCs w:val="24"/>
          <w:lang w:eastAsia="es-ES"/>
        </w:rPr>
      </w:pPr>
      <w:r w:rsidRPr="0037314A">
        <w:rPr>
          <w:rFonts w:ascii="Palatino Linotype" w:eastAsia="Palatino Linotype" w:hAnsi="Palatino Linotype" w:cs="Palatino Linotype"/>
          <w:sz w:val="24"/>
          <w:szCs w:val="24"/>
        </w:rPr>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r>
        <w:rPr>
          <w:rFonts w:ascii="Palatino Linotype" w:eastAsia="Palatino Linotype" w:hAnsi="Palatino Linotype" w:cs="Palatino Linotype"/>
          <w:sz w:val="24"/>
          <w:szCs w:val="24"/>
        </w:rPr>
        <w:t xml:space="preserve">Debido a lo expuesto, la respuesta primigenia del </w:t>
      </w:r>
      <w:r>
        <w:rPr>
          <w:rFonts w:ascii="Palatino Linotype" w:eastAsia="Palatino Linotype" w:hAnsi="Palatino Linotype" w:cs="Palatino Linotype"/>
          <w:b/>
          <w:bCs/>
          <w:sz w:val="24"/>
          <w:szCs w:val="24"/>
        </w:rPr>
        <w:t xml:space="preserve">Sujeto Obligado </w:t>
      </w:r>
      <w:r>
        <w:rPr>
          <w:rFonts w:ascii="Palatino Linotype" w:eastAsia="Palatino Linotype" w:hAnsi="Palatino Linotype" w:cs="Palatino Linotype"/>
          <w:sz w:val="24"/>
          <w:szCs w:val="24"/>
        </w:rPr>
        <w:lastRenderedPageBreak/>
        <w:t xml:space="preserve">únicamente es susceptible de colmar el derecho de acceso a la información parcialmente. </w:t>
      </w:r>
    </w:p>
    <w:p w14:paraId="7E4C85CD" w14:textId="73757BDB" w:rsidR="007F0A4D" w:rsidRDefault="00CF5787"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 xml:space="preserve">interpuso recurso de revisión en fecha </w:t>
      </w:r>
      <w:r w:rsidR="007F0A4D">
        <w:rPr>
          <w:rFonts w:ascii="Palatino Linotype" w:hAnsi="Palatino Linotype" w:cs="Arial"/>
          <w:color w:val="000000"/>
          <w:sz w:val="24"/>
          <w:lang w:val="es-ES_tradnl"/>
        </w:rPr>
        <w:t>diecinueve de octubre, admitiéndose el veinticinco de octubre, ambos de dos mil veintitrés. Señalando como acto impugnado y como razones o motivos de inconformidad:</w:t>
      </w:r>
    </w:p>
    <w:p w14:paraId="7FFB798B" w14:textId="77777777" w:rsidR="007F0A4D" w:rsidRDefault="007F0A4D" w:rsidP="007F0A4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D72C474" w14:textId="77777777" w:rsidR="007F0A4D" w:rsidRPr="003406C5" w:rsidRDefault="007F0A4D" w:rsidP="007F0A4D">
      <w:pPr>
        <w:pStyle w:val="Citas"/>
        <w:rPr>
          <w:b/>
          <w:bCs/>
          <w:sz w:val="24"/>
        </w:rPr>
      </w:pPr>
      <w:r w:rsidRPr="00D83FD2">
        <w:t>“la inexistencia de los documentos que solicito”</w:t>
      </w:r>
      <w:r>
        <w:t xml:space="preserve"> </w:t>
      </w:r>
      <w:r>
        <w:rPr>
          <w:b/>
          <w:bCs/>
        </w:rPr>
        <w:t>(Sic)</w:t>
      </w:r>
    </w:p>
    <w:p w14:paraId="66E77E5D" w14:textId="77777777" w:rsidR="007F0A4D" w:rsidRDefault="007F0A4D" w:rsidP="007F0A4D">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9E7A919" w14:textId="77777777" w:rsidR="007F0A4D" w:rsidRPr="003406C5" w:rsidRDefault="007F0A4D" w:rsidP="007F0A4D">
      <w:pPr>
        <w:pStyle w:val="Citas"/>
        <w:rPr>
          <w:b/>
          <w:bCs/>
        </w:rPr>
      </w:pPr>
      <w:r w:rsidRPr="00D83FD2">
        <w:t xml:space="preserve">“en la respuesta menciona que no han realizado pruebas de </w:t>
      </w:r>
      <w:proofErr w:type="gramStart"/>
      <w:r w:rsidRPr="00D83FD2">
        <w:t>daño</w:t>
      </w:r>
      <w:proofErr w:type="gramEnd"/>
      <w:r w:rsidRPr="00D83FD2">
        <w:t xml:space="preserve"> pero no anexan el acuerdo de inexistencia”</w:t>
      </w:r>
      <w:r>
        <w:t xml:space="preserve"> </w:t>
      </w:r>
      <w:r>
        <w:rPr>
          <w:b/>
          <w:bCs/>
        </w:rPr>
        <w:t>(Sic)</w:t>
      </w:r>
    </w:p>
    <w:p w14:paraId="32086200" w14:textId="77777777" w:rsidR="001D0192" w:rsidRDefault="001D0192" w:rsidP="00A6185A">
      <w:pPr>
        <w:spacing w:after="240" w:line="360" w:lineRule="auto"/>
        <w:jc w:val="both"/>
        <w:rPr>
          <w:rFonts w:ascii="Palatino Linotype" w:hAnsi="Palatino Linotype" w:cs="Arial"/>
          <w:color w:val="000000"/>
          <w:sz w:val="24"/>
        </w:rPr>
      </w:pPr>
    </w:p>
    <w:p w14:paraId="20715C5C" w14:textId="213E3C37" w:rsidR="006620AC" w:rsidRDefault="006620AC" w:rsidP="006620AC">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sidR="007550F3">
        <w:rPr>
          <w:rFonts w:cs="Arial"/>
          <w:i w:val="0"/>
          <w:noProof/>
          <w:color w:val="000000"/>
          <w:sz w:val="24"/>
          <w:lang w:eastAsia="es-MX"/>
        </w:rPr>
        <w:t>fracciones I y V</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37F1072B" w14:textId="77777777" w:rsidR="006620AC" w:rsidRDefault="006620AC" w:rsidP="006620AC">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34ACDCFB" w14:textId="77777777" w:rsidR="006620AC" w:rsidRDefault="006620AC" w:rsidP="006620AC">
      <w:pPr>
        <w:pStyle w:val="Citas"/>
      </w:pPr>
      <w:r>
        <w:lastRenderedPageBreak/>
        <w:t>I. La negativa a la información solicitada;</w:t>
      </w:r>
    </w:p>
    <w:p w14:paraId="4F4ADD8B" w14:textId="0C701A03" w:rsidR="006620AC" w:rsidRDefault="006620AC" w:rsidP="006620AC">
      <w:pPr>
        <w:pStyle w:val="Citas"/>
        <w:rPr>
          <w:noProof/>
          <w:color w:val="000000"/>
          <w:sz w:val="24"/>
          <w:lang w:eastAsia="es-MX"/>
        </w:rPr>
      </w:pPr>
      <w:r>
        <w:rPr>
          <w:noProof/>
          <w:color w:val="000000"/>
          <w:sz w:val="24"/>
          <w:lang w:eastAsia="es-MX"/>
        </w:rPr>
        <w:t>(…)</w:t>
      </w:r>
    </w:p>
    <w:p w14:paraId="5FFC0867" w14:textId="5CF37353" w:rsidR="007550F3" w:rsidRDefault="007550F3" w:rsidP="006620AC">
      <w:pPr>
        <w:pStyle w:val="Citas"/>
      </w:pPr>
      <w:r>
        <w:t>V. La entrega de información incompleta;</w:t>
      </w:r>
    </w:p>
    <w:p w14:paraId="0ACDD628" w14:textId="60333658" w:rsidR="007550F3" w:rsidRPr="007550F3" w:rsidRDefault="007550F3" w:rsidP="006620AC">
      <w:pPr>
        <w:pStyle w:val="Citas"/>
        <w:rPr>
          <w:b/>
          <w:bCs/>
          <w:noProof/>
          <w:color w:val="000000"/>
          <w:sz w:val="24"/>
          <w:lang w:eastAsia="es-MX"/>
        </w:rPr>
      </w:pPr>
      <w:r>
        <w:t xml:space="preserve">(…)” </w:t>
      </w:r>
      <w:r>
        <w:rPr>
          <w:b/>
          <w:bCs/>
        </w:rPr>
        <w:t>(Sic)</w:t>
      </w:r>
    </w:p>
    <w:p w14:paraId="74F65DEB" w14:textId="77777777" w:rsidR="001D0192" w:rsidRPr="006620AC" w:rsidRDefault="001D0192" w:rsidP="006620AC">
      <w:pPr>
        <w:pStyle w:val="Citas"/>
        <w:ind w:left="0"/>
        <w:rPr>
          <w:i w:val="0"/>
          <w:iCs/>
          <w:sz w:val="24"/>
          <w:szCs w:val="24"/>
        </w:rPr>
      </w:pPr>
    </w:p>
    <w:p w14:paraId="1F921454" w14:textId="668EC6CC" w:rsidR="007F0A4D" w:rsidRDefault="007835B9" w:rsidP="00271EED">
      <w:pPr>
        <w:pStyle w:val="Default"/>
        <w:spacing w:before="240" w:after="160" w:line="360" w:lineRule="auto"/>
        <w:jc w:val="both"/>
        <w:rPr>
          <w:rFonts w:ascii="Palatino Linotype" w:hAnsi="Palatino Linotype"/>
          <w:iCs/>
        </w:rPr>
      </w:pPr>
      <w:r w:rsidRPr="00614EB8">
        <w:rPr>
          <w:rFonts w:ascii="Palatino Linotype" w:hAnsi="Palatino Linotype"/>
          <w:iCs/>
        </w:rPr>
        <w:t xml:space="preserve">Por otra parte, como fue mencionado en el antecedente </w:t>
      </w:r>
      <w:r>
        <w:rPr>
          <w:rFonts w:ascii="Palatino Linotype" w:hAnsi="Palatino Linotype"/>
          <w:iCs/>
        </w:rPr>
        <w:t>quinto</w:t>
      </w:r>
      <w:r w:rsidRPr="00614EB8">
        <w:rPr>
          <w:rFonts w:ascii="Palatino Linotype" w:hAnsi="Palatino Linotype"/>
          <w:iCs/>
        </w:rPr>
        <w:t xml:space="preserve">, </w:t>
      </w:r>
      <w:r w:rsidRPr="00614EB8">
        <w:rPr>
          <w:rFonts w:ascii="Palatino Linotype" w:hAnsi="Palatino Linotype"/>
          <w:b/>
          <w:bCs/>
          <w:iCs/>
        </w:rPr>
        <w:t>El Sujeto Obligado</w:t>
      </w:r>
      <w:r w:rsidR="00E75CF5">
        <w:rPr>
          <w:rFonts w:ascii="Palatino Linotype" w:hAnsi="Palatino Linotype"/>
          <w:b/>
          <w:bCs/>
          <w:iCs/>
        </w:rPr>
        <w:t xml:space="preserve"> </w:t>
      </w:r>
      <w:r w:rsidR="00E75CF5">
        <w:rPr>
          <w:rFonts w:ascii="Palatino Linotype" w:hAnsi="Palatino Linotype"/>
          <w:iCs/>
        </w:rPr>
        <w:t>rindió su informe justificado</w:t>
      </w:r>
      <w:r w:rsidR="00C94D5F">
        <w:rPr>
          <w:rFonts w:ascii="Palatino Linotype" w:hAnsi="Palatino Linotype"/>
          <w:iCs/>
        </w:rPr>
        <w:t xml:space="preserve"> en fecha</w:t>
      </w:r>
      <w:r w:rsidR="007F0A4D">
        <w:rPr>
          <w:rFonts w:ascii="Palatino Linotype" w:hAnsi="Palatino Linotype"/>
          <w:iCs/>
        </w:rPr>
        <w:t xml:space="preserve"> veintiséis de octubre, mismo que fue puesto a la vista el treinta de octubre, cuyo contenido se describe a continuación:</w:t>
      </w:r>
    </w:p>
    <w:p w14:paraId="42C7F9C8" w14:textId="7F02A552" w:rsidR="007F0A4D" w:rsidRPr="009D68A0" w:rsidRDefault="007F0A4D" w:rsidP="007F0A4D">
      <w:pPr>
        <w:pStyle w:val="Default"/>
        <w:numPr>
          <w:ilvl w:val="0"/>
          <w:numId w:val="82"/>
        </w:numPr>
        <w:spacing w:before="240" w:after="160" w:line="360" w:lineRule="auto"/>
        <w:jc w:val="both"/>
        <w:rPr>
          <w:rFonts w:ascii="Palatino Linotype" w:hAnsi="Palatino Linotype"/>
          <w:b/>
          <w:bCs/>
          <w:iCs/>
        </w:rPr>
      </w:pPr>
      <w:r w:rsidRPr="009D68A0">
        <w:rPr>
          <w:rFonts w:ascii="Palatino Linotype" w:hAnsi="Palatino Linotype"/>
          <w:b/>
          <w:bCs/>
          <w:iCs/>
        </w:rPr>
        <w:t xml:space="preserve">“R-R-07235-23 ACTA.pdf”: </w:t>
      </w:r>
      <w:r w:rsidR="009D68A0" w:rsidRPr="009D68A0">
        <w:rPr>
          <w:rFonts w:ascii="Palatino Linotype" w:hAnsi="Palatino Linotype"/>
          <w:iCs/>
        </w:rPr>
        <w:t>Compila</w:t>
      </w:r>
      <w:r w:rsidR="009D68A0">
        <w:rPr>
          <w:rFonts w:ascii="Palatino Linotype" w:hAnsi="Palatino Linotype"/>
          <w:iCs/>
        </w:rPr>
        <w:t xml:space="preserve"> lo siguiente:</w:t>
      </w:r>
    </w:p>
    <w:p w14:paraId="7CE06B39" w14:textId="0BB0DA32" w:rsidR="009D68A0" w:rsidRPr="009D68A0" w:rsidRDefault="009D68A0" w:rsidP="009D68A0">
      <w:pPr>
        <w:pStyle w:val="Default"/>
        <w:numPr>
          <w:ilvl w:val="0"/>
          <w:numId w:val="80"/>
        </w:numPr>
        <w:spacing w:before="240" w:after="160" w:line="360" w:lineRule="auto"/>
        <w:jc w:val="both"/>
        <w:rPr>
          <w:rFonts w:ascii="Palatino Linotype" w:hAnsi="Palatino Linotype"/>
          <w:b/>
          <w:bCs/>
          <w:iCs/>
        </w:rPr>
      </w:pPr>
      <w:r>
        <w:rPr>
          <w:rFonts w:ascii="Palatino Linotype" w:hAnsi="Palatino Linotype"/>
          <w:iCs/>
        </w:rPr>
        <w:t xml:space="preserve">Oficio sin número signado por la titular de la unidad de transparencia y dirigido al solicitante, de fecha veintiséis de octubre de dos mil veintitrés, refiere adjuntar acta del comité de transparencia </w:t>
      </w:r>
      <w:r>
        <w:rPr>
          <w:rFonts w:ascii="Palatino Linotype" w:hAnsi="Palatino Linotype"/>
          <w:b/>
          <w:bCs/>
          <w:iCs/>
        </w:rPr>
        <w:t>ACT/CT/ECA/EXT/076/2023</w:t>
      </w:r>
      <w:r>
        <w:rPr>
          <w:rFonts w:ascii="Palatino Linotype" w:hAnsi="Palatino Linotype"/>
          <w:iCs/>
        </w:rPr>
        <w:t xml:space="preserve">, de fecha veintiséis de octubre de dos mil veintitrés. </w:t>
      </w:r>
    </w:p>
    <w:p w14:paraId="5623D586" w14:textId="5485AAC0" w:rsidR="009D68A0" w:rsidRPr="009D68A0" w:rsidRDefault="002F2D0B" w:rsidP="009D68A0">
      <w:pPr>
        <w:pStyle w:val="Default"/>
        <w:numPr>
          <w:ilvl w:val="0"/>
          <w:numId w:val="80"/>
        </w:numPr>
        <w:spacing w:before="240" w:after="160" w:line="360" w:lineRule="auto"/>
        <w:jc w:val="both"/>
        <w:rPr>
          <w:rFonts w:ascii="Palatino Linotype" w:hAnsi="Palatino Linotype"/>
          <w:b/>
          <w:bCs/>
          <w:iCs/>
        </w:rPr>
      </w:pPr>
      <w:r>
        <w:rPr>
          <w:rFonts w:ascii="Palatino Linotype" w:hAnsi="Palatino Linotype"/>
          <w:iCs/>
        </w:rPr>
        <w:t xml:space="preserve">Acta del Comité de Transparencia con número </w:t>
      </w:r>
      <w:r>
        <w:rPr>
          <w:rFonts w:ascii="Palatino Linotype" w:hAnsi="Palatino Linotype"/>
          <w:b/>
          <w:bCs/>
          <w:iCs/>
        </w:rPr>
        <w:t xml:space="preserve">ACT/CT/ECA/EXT/076/2023 </w:t>
      </w:r>
      <w:r>
        <w:rPr>
          <w:rFonts w:ascii="Palatino Linotype" w:hAnsi="Palatino Linotype"/>
          <w:iCs/>
        </w:rPr>
        <w:t xml:space="preserve">relativa al acuerdo mediante el cual se realiza la declaratoria de inexistencia respecto de la información solicitada en la solicitud de información </w:t>
      </w:r>
      <w:r>
        <w:rPr>
          <w:rFonts w:ascii="Palatino Linotype" w:hAnsi="Palatino Linotype"/>
          <w:b/>
          <w:bCs/>
          <w:iCs/>
        </w:rPr>
        <w:t xml:space="preserve">00855/ECATEPEC/IP/2023. </w:t>
      </w:r>
    </w:p>
    <w:p w14:paraId="4E2A89FF" w14:textId="77777777" w:rsidR="007F0A4D" w:rsidRDefault="007F0A4D" w:rsidP="007F0A4D">
      <w:pPr>
        <w:pStyle w:val="Default"/>
        <w:spacing w:before="240" w:after="160" w:line="360" w:lineRule="auto"/>
        <w:jc w:val="both"/>
        <w:rPr>
          <w:rFonts w:ascii="Palatino Linotype" w:hAnsi="Palatino Linotype"/>
          <w:b/>
          <w:bCs/>
          <w:iCs/>
        </w:rPr>
      </w:pPr>
    </w:p>
    <w:p w14:paraId="070EBE04" w14:textId="70DC19F3" w:rsidR="002F2D0B" w:rsidRDefault="002F2D0B" w:rsidP="007F0A4D">
      <w:pPr>
        <w:pStyle w:val="Default"/>
        <w:spacing w:before="240" w:after="160" w:line="360" w:lineRule="auto"/>
        <w:jc w:val="both"/>
        <w:rPr>
          <w:rFonts w:ascii="Palatino Linotype" w:hAnsi="Palatino Linotype"/>
          <w:b/>
          <w:bCs/>
          <w:iCs/>
        </w:rPr>
      </w:pPr>
      <w:r>
        <w:rPr>
          <w:rFonts w:ascii="Palatino Linotype" w:hAnsi="Palatino Linotype"/>
          <w:iCs/>
        </w:rPr>
        <w:lastRenderedPageBreak/>
        <w:t xml:space="preserve">En esta perspectiva, a continuación, se aborda el acuerdo de declaratoria de inexistencia remitido por </w:t>
      </w:r>
      <w:r>
        <w:rPr>
          <w:rFonts w:ascii="Palatino Linotype" w:hAnsi="Palatino Linotype"/>
          <w:b/>
          <w:bCs/>
          <w:iCs/>
        </w:rPr>
        <w:t>El Sujeto Obligado:</w:t>
      </w:r>
    </w:p>
    <w:p w14:paraId="42F19A3B" w14:textId="77777777" w:rsidR="00825CB5" w:rsidRDefault="00825CB5" w:rsidP="007F0A4D">
      <w:pPr>
        <w:pStyle w:val="Default"/>
        <w:spacing w:before="240" w:after="160" w:line="360" w:lineRule="auto"/>
        <w:jc w:val="both"/>
        <w:rPr>
          <w:rFonts w:ascii="Palatino Linotype" w:hAnsi="Palatino Linotype"/>
          <w:b/>
          <w:bCs/>
          <w:i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425"/>
        <w:gridCol w:w="1842"/>
      </w:tblGrid>
      <w:tr w:rsidR="002F2D0B" w:rsidRPr="00AB5C44" w14:paraId="7394C896" w14:textId="77777777" w:rsidTr="00BF4F8E">
        <w:trPr>
          <w:tblHeader/>
        </w:trPr>
        <w:tc>
          <w:tcPr>
            <w:tcW w:w="1800" w:type="dxa"/>
            <w:shd w:val="clear" w:color="auto" w:fill="BFBFBF" w:themeFill="background1" w:themeFillShade="BF"/>
            <w:vAlign w:val="center"/>
          </w:tcPr>
          <w:p w14:paraId="29BCE08E" w14:textId="77777777" w:rsidR="002F2D0B" w:rsidRPr="00AB5C44"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 xml:space="preserve">Requisitos </w:t>
            </w:r>
          </w:p>
        </w:tc>
        <w:tc>
          <w:tcPr>
            <w:tcW w:w="5425" w:type="dxa"/>
            <w:shd w:val="clear" w:color="auto" w:fill="BFBFBF" w:themeFill="background1" w:themeFillShade="BF"/>
            <w:vAlign w:val="center"/>
          </w:tcPr>
          <w:p w14:paraId="4DFF6F84" w14:textId="77777777" w:rsidR="002F2D0B" w:rsidRPr="00AB5C44"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Acuerdo</w:t>
            </w:r>
          </w:p>
        </w:tc>
        <w:tc>
          <w:tcPr>
            <w:tcW w:w="1842" w:type="dxa"/>
            <w:shd w:val="clear" w:color="auto" w:fill="BFBFBF" w:themeFill="background1" w:themeFillShade="BF"/>
            <w:vAlign w:val="center"/>
          </w:tcPr>
          <w:p w14:paraId="5B66032D" w14:textId="77777777" w:rsidR="002F2D0B" w:rsidRPr="00AB5C44" w:rsidRDefault="002F2D0B" w:rsidP="00BF4F8E">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¿Colma?</w:t>
            </w:r>
          </w:p>
        </w:tc>
      </w:tr>
      <w:tr w:rsidR="002F2D0B" w:rsidRPr="00AB5C44" w14:paraId="027740DF" w14:textId="77777777" w:rsidTr="003D4107">
        <w:trPr>
          <w:trHeight w:val="1680"/>
        </w:trPr>
        <w:tc>
          <w:tcPr>
            <w:tcW w:w="1800" w:type="dxa"/>
            <w:shd w:val="clear" w:color="auto" w:fill="auto"/>
            <w:tcMar>
              <w:top w:w="100" w:type="dxa"/>
              <w:left w:w="100" w:type="dxa"/>
              <w:bottom w:w="100" w:type="dxa"/>
              <w:right w:w="100" w:type="dxa"/>
            </w:tcMar>
            <w:vAlign w:val="center"/>
          </w:tcPr>
          <w:p w14:paraId="2DE00A45" w14:textId="7F4911E8" w:rsidR="002F2D0B" w:rsidRPr="00AB5C44" w:rsidRDefault="002F2D0B" w:rsidP="003D4107">
            <w:pPr>
              <w:widowControl w:val="0"/>
              <w:spacing w:line="276" w:lineRule="auto"/>
              <w:jc w:val="center"/>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Lugar y fecha de la resolución</w:t>
            </w:r>
          </w:p>
        </w:tc>
        <w:tc>
          <w:tcPr>
            <w:tcW w:w="5425" w:type="dxa"/>
          </w:tcPr>
          <w:p w14:paraId="06F6C293" w14:textId="752E86CB" w:rsidR="002F2D0B" w:rsidRPr="00AB5C44" w:rsidRDefault="002F2D0B"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2F2D0B">
              <w:rPr>
                <w:rFonts w:ascii="Palatino Linotype" w:eastAsia="Palatino Linotype" w:hAnsi="Palatino Linotype" w:cs="Palatino Linotype"/>
                <w:i/>
                <w:noProof/>
                <w:color w:val="000000" w:themeColor="text1"/>
                <w:sz w:val="20"/>
                <w:szCs w:val="20"/>
              </w:rPr>
              <w:drawing>
                <wp:inline distT="0" distB="0" distL="0" distR="0" wp14:anchorId="14F60319" wp14:editId="1B0BB679">
                  <wp:extent cx="3307715" cy="1212850"/>
                  <wp:effectExtent l="0" t="0" r="6985" b="6350"/>
                  <wp:docPr id="148039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91391" name=""/>
                          <pic:cNvPicPr/>
                        </pic:nvPicPr>
                        <pic:blipFill>
                          <a:blip r:embed="rId10"/>
                          <a:stretch>
                            <a:fillRect/>
                          </a:stretch>
                        </pic:blipFill>
                        <pic:spPr>
                          <a:xfrm>
                            <a:off x="0" y="0"/>
                            <a:ext cx="3307715" cy="1212850"/>
                          </a:xfrm>
                          <a:prstGeom prst="rect">
                            <a:avLst/>
                          </a:prstGeom>
                        </pic:spPr>
                      </pic:pic>
                    </a:graphicData>
                  </a:graphic>
                </wp:inline>
              </w:drawing>
            </w:r>
          </w:p>
        </w:tc>
        <w:tc>
          <w:tcPr>
            <w:tcW w:w="1842" w:type="dxa"/>
            <w:vAlign w:val="center"/>
          </w:tcPr>
          <w:p w14:paraId="43933C25" w14:textId="0A31531E"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Sí</w:t>
            </w:r>
          </w:p>
        </w:tc>
      </w:tr>
      <w:tr w:rsidR="002F2D0B" w:rsidRPr="00AB5C44" w14:paraId="0B98F788" w14:textId="77777777" w:rsidTr="003D4107">
        <w:trPr>
          <w:trHeight w:val="1005"/>
        </w:trPr>
        <w:tc>
          <w:tcPr>
            <w:tcW w:w="1800" w:type="dxa"/>
            <w:shd w:val="clear" w:color="auto" w:fill="auto"/>
            <w:tcMar>
              <w:top w:w="100" w:type="dxa"/>
              <w:left w:w="100" w:type="dxa"/>
              <w:bottom w:w="100" w:type="dxa"/>
              <w:right w:w="100" w:type="dxa"/>
            </w:tcMar>
            <w:vAlign w:val="center"/>
          </w:tcPr>
          <w:p w14:paraId="34004DEE" w14:textId="3140F41B" w:rsidR="002F2D0B" w:rsidRPr="00AB5C44" w:rsidRDefault="002F2D0B" w:rsidP="003D4107">
            <w:pPr>
              <w:widowControl w:val="0"/>
              <w:spacing w:line="276" w:lineRule="auto"/>
              <w:jc w:val="center"/>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Nombre del Solicitante</w:t>
            </w:r>
          </w:p>
        </w:tc>
        <w:tc>
          <w:tcPr>
            <w:tcW w:w="5425" w:type="dxa"/>
          </w:tcPr>
          <w:p w14:paraId="0ABA6FAB" w14:textId="77777777" w:rsidR="002F2D0B" w:rsidRPr="00AB5C44" w:rsidRDefault="002F2D0B" w:rsidP="00BF4F8E">
            <w:pPr>
              <w:widowControl w:val="0"/>
              <w:spacing w:line="276" w:lineRule="auto"/>
              <w:jc w:val="both"/>
              <w:rPr>
                <w:rFonts w:ascii="Palatino Linotype" w:eastAsia="Palatino Linotype" w:hAnsi="Palatino Linotype" w:cs="Palatino Linotype"/>
                <w:color w:val="000000" w:themeColor="text1"/>
                <w:sz w:val="20"/>
                <w:szCs w:val="20"/>
              </w:rPr>
            </w:pPr>
            <w:r w:rsidRPr="00AB5C44">
              <w:rPr>
                <w:rFonts w:ascii="Palatino Linotype" w:eastAsia="Palatino Linotype" w:hAnsi="Palatino Linotype" w:cs="Palatino Linotype"/>
                <w:color w:val="000000" w:themeColor="text1"/>
                <w:sz w:val="20"/>
                <w:szCs w:val="20"/>
              </w:rPr>
              <w:t xml:space="preserve">No se aprecia tal información del acuerdo </w:t>
            </w:r>
          </w:p>
        </w:tc>
        <w:tc>
          <w:tcPr>
            <w:tcW w:w="1842" w:type="dxa"/>
            <w:vAlign w:val="center"/>
          </w:tcPr>
          <w:p w14:paraId="2D5AB330" w14:textId="77777777"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No</w:t>
            </w:r>
          </w:p>
        </w:tc>
      </w:tr>
      <w:tr w:rsidR="002F2D0B" w:rsidRPr="00AB5C44" w14:paraId="0024B74A" w14:textId="77777777" w:rsidTr="003D4107">
        <w:trPr>
          <w:trHeight w:val="1275"/>
        </w:trPr>
        <w:tc>
          <w:tcPr>
            <w:tcW w:w="1800" w:type="dxa"/>
            <w:shd w:val="clear" w:color="auto" w:fill="auto"/>
            <w:tcMar>
              <w:top w:w="100" w:type="dxa"/>
              <w:left w:w="100" w:type="dxa"/>
              <w:bottom w:w="100" w:type="dxa"/>
              <w:right w:w="100" w:type="dxa"/>
            </w:tcMar>
            <w:vAlign w:val="center"/>
          </w:tcPr>
          <w:p w14:paraId="065CCDA3" w14:textId="23E18F58" w:rsidR="002F2D0B" w:rsidRPr="00AB5C44" w:rsidRDefault="002F2D0B" w:rsidP="003D4107">
            <w:pPr>
              <w:widowControl w:val="0"/>
              <w:spacing w:line="276" w:lineRule="auto"/>
              <w:jc w:val="center"/>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Información solicitada</w:t>
            </w:r>
          </w:p>
        </w:tc>
        <w:tc>
          <w:tcPr>
            <w:tcW w:w="5425" w:type="dxa"/>
          </w:tcPr>
          <w:p w14:paraId="3149A6A8" w14:textId="11906642" w:rsidR="002F2D0B" w:rsidRPr="00AB5C44" w:rsidRDefault="003D4107"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3D4107">
              <w:rPr>
                <w:rFonts w:ascii="Palatino Linotype" w:eastAsia="Palatino Linotype" w:hAnsi="Palatino Linotype" w:cs="Palatino Linotype"/>
                <w:i/>
                <w:noProof/>
                <w:color w:val="000000" w:themeColor="text1"/>
                <w:sz w:val="20"/>
                <w:szCs w:val="20"/>
              </w:rPr>
              <w:drawing>
                <wp:inline distT="0" distB="0" distL="0" distR="0" wp14:anchorId="6BAFAC32" wp14:editId="5A25553F">
                  <wp:extent cx="3307715" cy="1339850"/>
                  <wp:effectExtent l="0" t="0" r="6985" b="0"/>
                  <wp:docPr id="84710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9071" name=""/>
                          <pic:cNvPicPr/>
                        </pic:nvPicPr>
                        <pic:blipFill>
                          <a:blip r:embed="rId11"/>
                          <a:stretch>
                            <a:fillRect/>
                          </a:stretch>
                        </pic:blipFill>
                        <pic:spPr>
                          <a:xfrm>
                            <a:off x="0" y="0"/>
                            <a:ext cx="3307715" cy="1339850"/>
                          </a:xfrm>
                          <a:prstGeom prst="rect">
                            <a:avLst/>
                          </a:prstGeom>
                        </pic:spPr>
                      </pic:pic>
                    </a:graphicData>
                  </a:graphic>
                </wp:inline>
              </w:drawing>
            </w:r>
          </w:p>
        </w:tc>
        <w:tc>
          <w:tcPr>
            <w:tcW w:w="1842" w:type="dxa"/>
            <w:vAlign w:val="center"/>
          </w:tcPr>
          <w:p w14:paraId="718B3699" w14:textId="214E491E"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Si</w:t>
            </w:r>
          </w:p>
          <w:p w14:paraId="04BA74EF" w14:textId="77777777"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p>
        </w:tc>
      </w:tr>
      <w:tr w:rsidR="002F2D0B" w:rsidRPr="00AB5C44" w14:paraId="20EE0096" w14:textId="77777777" w:rsidTr="003D4107">
        <w:trPr>
          <w:trHeight w:val="1650"/>
        </w:trPr>
        <w:tc>
          <w:tcPr>
            <w:tcW w:w="1800" w:type="dxa"/>
            <w:shd w:val="clear" w:color="auto" w:fill="auto"/>
            <w:tcMar>
              <w:top w:w="100" w:type="dxa"/>
              <w:left w:w="100" w:type="dxa"/>
              <w:bottom w:w="100" w:type="dxa"/>
              <w:right w:w="100" w:type="dxa"/>
            </w:tcMar>
            <w:vAlign w:val="center"/>
          </w:tcPr>
          <w:p w14:paraId="1B9849C8" w14:textId="1F44ED26" w:rsidR="002F2D0B" w:rsidRPr="00AB5C44" w:rsidRDefault="002F2D0B" w:rsidP="003D4107">
            <w:pPr>
              <w:widowControl w:val="0"/>
              <w:spacing w:line="276" w:lineRule="auto"/>
              <w:jc w:val="both"/>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Fundamento o motivo por el cual se determina que la información no obra en los archivos.</w:t>
            </w:r>
          </w:p>
        </w:tc>
        <w:tc>
          <w:tcPr>
            <w:tcW w:w="5425" w:type="dxa"/>
          </w:tcPr>
          <w:p w14:paraId="6176640B" w14:textId="17C58A61" w:rsidR="002F2D0B" w:rsidRPr="00AB5C44" w:rsidRDefault="003D4107" w:rsidP="003D4107">
            <w:pPr>
              <w:widowControl w:val="0"/>
              <w:spacing w:line="276" w:lineRule="auto"/>
              <w:jc w:val="both"/>
              <w:rPr>
                <w:rFonts w:ascii="Palatino Linotype" w:eastAsia="Palatino Linotype" w:hAnsi="Palatino Linotype" w:cs="Palatino Linotype"/>
                <w:color w:val="000000" w:themeColor="text1"/>
                <w:sz w:val="20"/>
                <w:szCs w:val="20"/>
              </w:rPr>
            </w:pPr>
            <w:r w:rsidRPr="003D4107">
              <w:rPr>
                <w:rFonts w:ascii="Palatino Linotype" w:eastAsia="Palatino Linotype" w:hAnsi="Palatino Linotype" w:cs="Palatino Linotype"/>
                <w:i/>
                <w:noProof/>
                <w:color w:val="000000" w:themeColor="text1"/>
                <w:sz w:val="20"/>
                <w:szCs w:val="20"/>
              </w:rPr>
              <w:drawing>
                <wp:inline distT="0" distB="0" distL="0" distR="0" wp14:anchorId="105A6430" wp14:editId="76C23AB5">
                  <wp:extent cx="3307715" cy="1339850"/>
                  <wp:effectExtent l="0" t="0" r="6985" b="0"/>
                  <wp:docPr id="1332894327" name="Picture 13328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9071" name=""/>
                          <pic:cNvPicPr/>
                        </pic:nvPicPr>
                        <pic:blipFill>
                          <a:blip r:embed="rId11"/>
                          <a:stretch>
                            <a:fillRect/>
                          </a:stretch>
                        </pic:blipFill>
                        <pic:spPr>
                          <a:xfrm>
                            <a:off x="0" y="0"/>
                            <a:ext cx="3307715" cy="1339850"/>
                          </a:xfrm>
                          <a:prstGeom prst="rect">
                            <a:avLst/>
                          </a:prstGeom>
                        </pic:spPr>
                      </pic:pic>
                    </a:graphicData>
                  </a:graphic>
                </wp:inline>
              </w:drawing>
            </w:r>
          </w:p>
        </w:tc>
        <w:tc>
          <w:tcPr>
            <w:tcW w:w="1842" w:type="dxa"/>
            <w:vAlign w:val="center"/>
          </w:tcPr>
          <w:p w14:paraId="15E8D988" w14:textId="77777777"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Parcialmente</w:t>
            </w:r>
          </w:p>
        </w:tc>
      </w:tr>
      <w:tr w:rsidR="002F2D0B" w:rsidRPr="00AB5C44" w14:paraId="71491702" w14:textId="77777777" w:rsidTr="003D4107">
        <w:trPr>
          <w:trHeight w:val="1110"/>
        </w:trPr>
        <w:tc>
          <w:tcPr>
            <w:tcW w:w="1800" w:type="dxa"/>
            <w:shd w:val="clear" w:color="auto" w:fill="auto"/>
            <w:tcMar>
              <w:top w:w="100" w:type="dxa"/>
              <w:left w:w="100" w:type="dxa"/>
              <w:bottom w:w="100" w:type="dxa"/>
              <w:right w:w="100" w:type="dxa"/>
            </w:tcMar>
            <w:vAlign w:val="center"/>
          </w:tcPr>
          <w:p w14:paraId="39576944" w14:textId="77777777" w:rsidR="003D4107" w:rsidRDefault="003D4107" w:rsidP="003D4107">
            <w:pPr>
              <w:widowControl w:val="0"/>
              <w:spacing w:line="276" w:lineRule="auto"/>
              <w:jc w:val="center"/>
              <w:rPr>
                <w:rFonts w:ascii="Palatino Linotype" w:eastAsia="Palatino Linotype" w:hAnsi="Palatino Linotype" w:cs="Palatino Linotype"/>
                <w:color w:val="000000" w:themeColor="text1"/>
              </w:rPr>
            </w:pPr>
          </w:p>
          <w:p w14:paraId="2EE5393F" w14:textId="73986B40" w:rsidR="003D4107" w:rsidRDefault="002F2D0B" w:rsidP="003D4107">
            <w:pPr>
              <w:widowControl w:val="0"/>
              <w:spacing w:line="276" w:lineRule="auto"/>
              <w:jc w:val="center"/>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Número de acuerdo emitido</w:t>
            </w:r>
          </w:p>
          <w:p w14:paraId="65994D96" w14:textId="324A9DE7" w:rsidR="002F2D0B" w:rsidRPr="00AB5C44" w:rsidRDefault="002F2D0B" w:rsidP="003D4107">
            <w:pPr>
              <w:widowControl w:val="0"/>
              <w:spacing w:line="276" w:lineRule="auto"/>
              <w:jc w:val="center"/>
              <w:rPr>
                <w:rFonts w:ascii="Palatino Linotype" w:eastAsia="Palatino Linotype" w:hAnsi="Palatino Linotype" w:cs="Palatino Linotype"/>
                <w:color w:val="000000" w:themeColor="text1"/>
              </w:rPr>
            </w:pPr>
          </w:p>
        </w:tc>
        <w:tc>
          <w:tcPr>
            <w:tcW w:w="5425" w:type="dxa"/>
            <w:vAlign w:val="center"/>
          </w:tcPr>
          <w:p w14:paraId="45425E31" w14:textId="5A9ABC61" w:rsidR="002F2D0B" w:rsidRPr="003D4107" w:rsidRDefault="003D4107" w:rsidP="003D4107">
            <w:pPr>
              <w:widowControl w:val="0"/>
              <w:spacing w:line="276" w:lineRule="auto"/>
              <w:jc w:val="center"/>
              <w:rPr>
                <w:rFonts w:ascii="Palatino Linotype" w:eastAsia="Palatino Linotype" w:hAnsi="Palatino Linotype" w:cs="Palatino Linotype"/>
                <w:iCs/>
                <w:color w:val="000000" w:themeColor="text1"/>
                <w:sz w:val="20"/>
                <w:szCs w:val="20"/>
              </w:rPr>
            </w:pPr>
            <w:r>
              <w:rPr>
                <w:rFonts w:ascii="Palatino Linotype" w:eastAsia="Palatino Linotype" w:hAnsi="Palatino Linotype" w:cs="Palatino Linotype"/>
                <w:iCs/>
                <w:color w:val="000000" w:themeColor="text1"/>
                <w:sz w:val="20"/>
                <w:szCs w:val="20"/>
              </w:rPr>
              <w:t>No se aprecia tal información en el acuerdo</w:t>
            </w:r>
          </w:p>
        </w:tc>
        <w:tc>
          <w:tcPr>
            <w:tcW w:w="1842" w:type="dxa"/>
            <w:vAlign w:val="center"/>
          </w:tcPr>
          <w:p w14:paraId="1E244A74" w14:textId="77777777"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No</w:t>
            </w:r>
          </w:p>
        </w:tc>
      </w:tr>
      <w:tr w:rsidR="002F2D0B" w:rsidRPr="00AB5C44" w14:paraId="52CDF230" w14:textId="77777777" w:rsidTr="003D4107">
        <w:tc>
          <w:tcPr>
            <w:tcW w:w="1800" w:type="dxa"/>
            <w:shd w:val="clear" w:color="auto" w:fill="auto"/>
            <w:tcMar>
              <w:top w:w="100" w:type="dxa"/>
              <w:left w:w="100" w:type="dxa"/>
              <w:bottom w:w="100" w:type="dxa"/>
              <w:right w:w="100" w:type="dxa"/>
            </w:tcMar>
          </w:tcPr>
          <w:p w14:paraId="1C04A3E3" w14:textId="77777777" w:rsidR="002F2D0B" w:rsidRPr="00AB5C44" w:rsidRDefault="002F2D0B" w:rsidP="003D4107">
            <w:pPr>
              <w:widowControl w:val="0"/>
              <w:spacing w:line="276" w:lineRule="auto"/>
              <w:jc w:val="both"/>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 xml:space="preserve">Hacer del conocimiento del solicitante que puede interponer el Recurso de Revisión respectivo en un término de 15 días </w:t>
            </w:r>
          </w:p>
        </w:tc>
        <w:tc>
          <w:tcPr>
            <w:tcW w:w="5425" w:type="dxa"/>
            <w:vAlign w:val="center"/>
          </w:tcPr>
          <w:p w14:paraId="790FEE30" w14:textId="38E1C374" w:rsidR="002F2D0B" w:rsidRPr="003D4107" w:rsidRDefault="003D4107" w:rsidP="003D4107">
            <w:pPr>
              <w:widowControl w:val="0"/>
              <w:spacing w:line="276" w:lineRule="auto"/>
              <w:jc w:val="center"/>
              <w:rPr>
                <w:rFonts w:ascii="Palatino Linotype" w:eastAsia="Palatino Linotype" w:hAnsi="Palatino Linotype" w:cs="Palatino Linotype"/>
                <w:bCs/>
                <w:iCs/>
                <w:color w:val="000000" w:themeColor="text1"/>
                <w:sz w:val="20"/>
                <w:szCs w:val="20"/>
              </w:rPr>
            </w:pPr>
            <w:r w:rsidRPr="003D4107">
              <w:rPr>
                <w:rFonts w:ascii="Palatino Linotype" w:eastAsia="Palatino Linotype" w:hAnsi="Palatino Linotype" w:cs="Palatino Linotype"/>
                <w:bCs/>
                <w:iCs/>
                <w:color w:val="000000" w:themeColor="text1"/>
                <w:sz w:val="20"/>
                <w:szCs w:val="20"/>
              </w:rPr>
              <w:t>No se aprecia tal información en el acuerdo</w:t>
            </w:r>
          </w:p>
        </w:tc>
        <w:tc>
          <w:tcPr>
            <w:tcW w:w="1842" w:type="dxa"/>
            <w:vAlign w:val="center"/>
          </w:tcPr>
          <w:p w14:paraId="7331A683" w14:textId="03E092A0"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No</w:t>
            </w:r>
          </w:p>
        </w:tc>
      </w:tr>
      <w:tr w:rsidR="002F2D0B" w:rsidRPr="00AB5C44" w14:paraId="5436FC70" w14:textId="77777777" w:rsidTr="003D4107">
        <w:trPr>
          <w:trHeight w:val="33"/>
        </w:trPr>
        <w:tc>
          <w:tcPr>
            <w:tcW w:w="1800" w:type="dxa"/>
            <w:shd w:val="clear" w:color="auto" w:fill="auto"/>
            <w:tcMar>
              <w:top w:w="100" w:type="dxa"/>
              <w:left w:w="100" w:type="dxa"/>
              <w:bottom w:w="100" w:type="dxa"/>
              <w:right w:w="100" w:type="dxa"/>
            </w:tcMar>
            <w:vAlign w:val="center"/>
          </w:tcPr>
          <w:p w14:paraId="41D10C5B" w14:textId="696E28A6" w:rsidR="002F2D0B" w:rsidRPr="00AB5C44" w:rsidRDefault="002F2D0B" w:rsidP="003D4107">
            <w:pPr>
              <w:widowControl w:val="0"/>
              <w:spacing w:line="276" w:lineRule="auto"/>
              <w:jc w:val="both"/>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Nombres y firmas de los integrantes del Comité</w:t>
            </w:r>
          </w:p>
        </w:tc>
        <w:tc>
          <w:tcPr>
            <w:tcW w:w="5425" w:type="dxa"/>
          </w:tcPr>
          <w:p w14:paraId="0BD3CEA3" w14:textId="74045341" w:rsidR="002F2D0B" w:rsidRPr="00AB5C44" w:rsidRDefault="003D4107" w:rsidP="00BF4F8E">
            <w:pPr>
              <w:widowControl w:val="0"/>
              <w:spacing w:line="276" w:lineRule="auto"/>
              <w:jc w:val="both"/>
              <w:rPr>
                <w:rFonts w:ascii="Palatino Linotype" w:eastAsia="Palatino Linotype" w:hAnsi="Palatino Linotype" w:cs="Palatino Linotype"/>
                <w:i/>
                <w:color w:val="000000" w:themeColor="text1"/>
                <w:sz w:val="20"/>
                <w:szCs w:val="20"/>
              </w:rPr>
            </w:pPr>
            <w:r w:rsidRPr="003D4107">
              <w:rPr>
                <w:rFonts w:ascii="Palatino Linotype" w:eastAsia="Palatino Linotype" w:hAnsi="Palatino Linotype" w:cs="Palatino Linotype"/>
                <w:i/>
                <w:noProof/>
                <w:color w:val="000000" w:themeColor="text1"/>
                <w:sz w:val="20"/>
                <w:szCs w:val="20"/>
              </w:rPr>
              <w:drawing>
                <wp:inline distT="0" distB="0" distL="0" distR="0" wp14:anchorId="64FAE7D0" wp14:editId="41B10D64">
                  <wp:extent cx="3307715" cy="1530350"/>
                  <wp:effectExtent l="0" t="0" r="6985" b="0"/>
                  <wp:docPr id="74437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79098" name=""/>
                          <pic:cNvPicPr/>
                        </pic:nvPicPr>
                        <pic:blipFill>
                          <a:blip r:embed="rId12"/>
                          <a:stretch>
                            <a:fillRect/>
                          </a:stretch>
                        </pic:blipFill>
                        <pic:spPr>
                          <a:xfrm>
                            <a:off x="0" y="0"/>
                            <a:ext cx="3307715" cy="1530350"/>
                          </a:xfrm>
                          <a:prstGeom prst="rect">
                            <a:avLst/>
                          </a:prstGeom>
                        </pic:spPr>
                      </pic:pic>
                    </a:graphicData>
                  </a:graphic>
                </wp:inline>
              </w:drawing>
            </w:r>
          </w:p>
        </w:tc>
        <w:tc>
          <w:tcPr>
            <w:tcW w:w="1842" w:type="dxa"/>
            <w:vAlign w:val="center"/>
          </w:tcPr>
          <w:p w14:paraId="57AAF2F1" w14:textId="2AD1FA8F"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t>Sí</w:t>
            </w:r>
          </w:p>
        </w:tc>
      </w:tr>
      <w:tr w:rsidR="002F2D0B" w:rsidRPr="00AB5C44" w14:paraId="71FD1A20" w14:textId="77777777" w:rsidTr="003D4107">
        <w:trPr>
          <w:trHeight w:val="33"/>
        </w:trPr>
        <w:tc>
          <w:tcPr>
            <w:tcW w:w="1800" w:type="dxa"/>
            <w:shd w:val="clear" w:color="auto" w:fill="auto"/>
            <w:tcMar>
              <w:top w:w="100" w:type="dxa"/>
              <w:left w:w="100" w:type="dxa"/>
              <w:bottom w:w="100" w:type="dxa"/>
              <w:right w:w="100" w:type="dxa"/>
            </w:tcMar>
            <w:vAlign w:val="center"/>
          </w:tcPr>
          <w:p w14:paraId="5C7F3C50" w14:textId="421A4511" w:rsidR="002F2D0B" w:rsidRPr="00AB5C44" w:rsidRDefault="002F2D0B" w:rsidP="003D4107">
            <w:pPr>
              <w:widowControl w:val="0"/>
              <w:spacing w:line="276" w:lineRule="auto"/>
              <w:jc w:val="both"/>
              <w:rPr>
                <w:rFonts w:ascii="Palatino Linotype" w:eastAsia="Palatino Linotype" w:hAnsi="Palatino Linotype" w:cs="Palatino Linotype"/>
                <w:color w:val="000000" w:themeColor="text1"/>
              </w:rPr>
            </w:pPr>
            <w:r w:rsidRPr="00AB5C44">
              <w:rPr>
                <w:rFonts w:ascii="Palatino Linotype" w:eastAsia="Palatino Linotype" w:hAnsi="Palatino Linotype" w:cs="Palatino Linotype"/>
                <w:color w:val="000000" w:themeColor="text1"/>
              </w:rPr>
              <w:t>Notificación al Órgano Interno de Control</w:t>
            </w:r>
          </w:p>
        </w:tc>
        <w:tc>
          <w:tcPr>
            <w:tcW w:w="5425" w:type="dxa"/>
          </w:tcPr>
          <w:p w14:paraId="1839AAEC" w14:textId="77777777" w:rsidR="002F2D0B" w:rsidRPr="00AB5C44" w:rsidRDefault="002F2D0B" w:rsidP="00BF4F8E">
            <w:pPr>
              <w:widowControl w:val="0"/>
              <w:spacing w:line="276" w:lineRule="auto"/>
              <w:jc w:val="both"/>
              <w:rPr>
                <w:rFonts w:ascii="Palatino Linotype" w:eastAsia="Palatino Linotype" w:hAnsi="Palatino Linotype" w:cs="Palatino Linotype"/>
                <w:color w:val="000000" w:themeColor="text1"/>
                <w:sz w:val="20"/>
                <w:szCs w:val="20"/>
              </w:rPr>
            </w:pPr>
            <w:r w:rsidRPr="00AB5C44">
              <w:rPr>
                <w:rFonts w:ascii="Palatino Linotype" w:eastAsia="Palatino Linotype" w:hAnsi="Palatino Linotype" w:cs="Palatino Linotype"/>
                <w:color w:val="000000" w:themeColor="text1"/>
                <w:sz w:val="20"/>
                <w:szCs w:val="20"/>
              </w:rPr>
              <w:t xml:space="preserve">En términos del artículo 169, fracción IV de la Ley de Transparencia y Acceso a la Información Pública, se deberá </w:t>
            </w:r>
            <w:proofErr w:type="gramStart"/>
            <w:r w:rsidRPr="00AB5C44">
              <w:rPr>
                <w:rFonts w:ascii="Palatino Linotype" w:eastAsia="Palatino Linotype" w:hAnsi="Palatino Linotype" w:cs="Palatino Linotype"/>
                <w:color w:val="000000" w:themeColor="text1"/>
                <w:sz w:val="20"/>
                <w:szCs w:val="20"/>
              </w:rPr>
              <w:t>dar  una</w:t>
            </w:r>
            <w:proofErr w:type="gramEnd"/>
            <w:r w:rsidRPr="00AB5C44">
              <w:rPr>
                <w:rFonts w:ascii="Palatino Linotype" w:eastAsia="Palatino Linotype" w:hAnsi="Palatino Linotype" w:cs="Palatino Linotype"/>
                <w:color w:val="000000" w:themeColor="text1"/>
                <w:sz w:val="20"/>
                <w:szCs w:val="20"/>
              </w:rPr>
              <w:t xml:space="preserve"> notificación al órgano de control interno:</w:t>
            </w:r>
          </w:p>
          <w:p w14:paraId="775EDBC0" w14:textId="657CA63B" w:rsidR="002F2D0B" w:rsidRPr="00AB5C44" w:rsidRDefault="003D4107" w:rsidP="00BF4F8E">
            <w:pPr>
              <w:widowControl w:val="0"/>
              <w:spacing w:line="276" w:lineRule="auto"/>
              <w:jc w:val="both"/>
              <w:rPr>
                <w:rFonts w:ascii="Palatino Linotype" w:eastAsia="Palatino Linotype" w:hAnsi="Palatino Linotype" w:cs="Palatino Linotype"/>
                <w:i/>
                <w:color w:val="000000" w:themeColor="text1"/>
                <w:sz w:val="20"/>
                <w:szCs w:val="20"/>
              </w:rPr>
            </w:pPr>
            <w:r>
              <w:rPr>
                <w:rFonts w:ascii="Palatino Linotype" w:eastAsia="Palatino Linotype" w:hAnsi="Palatino Linotype" w:cs="Palatino Linotype"/>
                <w:i/>
                <w:color w:val="000000" w:themeColor="text1"/>
                <w:sz w:val="20"/>
                <w:szCs w:val="20"/>
              </w:rPr>
              <w:t>“</w:t>
            </w:r>
            <w:r w:rsidR="002F2D0B" w:rsidRPr="00AB5C44">
              <w:rPr>
                <w:rFonts w:ascii="Palatino Linotype" w:eastAsia="Palatino Linotype" w:hAnsi="Palatino Linotype" w:cs="Palatino Linotype"/>
                <w:i/>
                <w:color w:val="000000" w:themeColor="text1"/>
                <w:sz w:val="20"/>
                <w:szCs w:val="20"/>
              </w:rPr>
              <w:t>Artículo 169. Cuando la información no se encuentre en los archivos del sujeto obligado, el Comité de Transparencia:</w:t>
            </w:r>
          </w:p>
          <w:p w14:paraId="4FDC67CF" w14:textId="3F99C7E9" w:rsidR="002F2D0B" w:rsidRPr="003D4107" w:rsidRDefault="002F2D0B" w:rsidP="00BF4F8E">
            <w:pPr>
              <w:widowControl w:val="0"/>
              <w:spacing w:line="276" w:lineRule="auto"/>
              <w:jc w:val="both"/>
              <w:rPr>
                <w:rFonts w:ascii="Palatino Linotype" w:eastAsia="Palatino Linotype" w:hAnsi="Palatino Linotype" w:cs="Palatino Linotype"/>
                <w:b/>
                <w:bCs/>
                <w:i/>
                <w:color w:val="000000" w:themeColor="text1"/>
                <w:sz w:val="20"/>
                <w:szCs w:val="20"/>
              </w:rPr>
            </w:pPr>
            <w:r w:rsidRPr="00AB5C44">
              <w:rPr>
                <w:rFonts w:ascii="Palatino Linotype" w:eastAsia="Palatino Linotype" w:hAnsi="Palatino Linotype" w:cs="Palatino Linotype"/>
                <w:i/>
                <w:color w:val="000000" w:themeColor="text1"/>
                <w:sz w:val="20"/>
                <w:szCs w:val="20"/>
              </w:rPr>
              <w:lastRenderedPageBreak/>
              <w:t>IV. Notificará al órgano interno de control o equivalente del sujeto obligado quien, en su caso, deberá iniciar el procedimiento de responsabilidad administrativa que corresponda.</w:t>
            </w:r>
            <w:r w:rsidR="003D4107">
              <w:rPr>
                <w:rFonts w:ascii="Palatino Linotype" w:eastAsia="Palatino Linotype" w:hAnsi="Palatino Linotype" w:cs="Palatino Linotype"/>
                <w:i/>
                <w:color w:val="000000" w:themeColor="text1"/>
                <w:sz w:val="20"/>
                <w:szCs w:val="20"/>
              </w:rPr>
              <w:t xml:space="preserve">” </w:t>
            </w:r>
            <w:r w:rsidR="003D4107">
              <w:rPr>
                <w:rFonts w:ascii="Palatino Linotype" w:eastAsia="Palatino Linotype" w:hAnsi="Palatino Linotype" w:cs="Palatino Linotype"/>
                <w:b/>
                <w:bCs/>
                <w:i/>
                <w:color w:val="000000" w:themeColor="text1"/>
                <w:sz w:val="20"/>
                <w:szCs w:val="20"/>
              </w:rPr>
              <w:t>(Sic)</w:t>
            </w:r>
          </w:p>
          <w:p w14:paraId="41195FD9" w14:textId="4F72B9A7" w:rsidR="002F2D0B" w:rsidRPr="00AB5C44" w:rsidRDefault="002F2D0B" w:rsidP="00BF4F8E">
            <w:pPr>
              <w:widowControl w:val="0"/>
              <w:spacing w:line="276" w:lineRule="auto"/>
              <w:jc w:val="both"/>
              <w:rPr>
                <w:rFonts w:ascii="Palatino Linotype" w:eastAsia="Palatino Linotype" w:hAnsi="Palatino Linotype" w:cs="Palatino Linotype"/>
                <w:b/>
                <w:color w:val="000000" w:themeColor="text1"/>
                <w:sz w:val="20"/>
                <w:szCs w:val="20"/>
              </w:rPr>
            </w:pPr>
            <w:r w:rsidRPr="00AB5C44">
              <w:rPr>
                <w:rFonts w:ascii="Palatino Linotype" w:eastAsia="Palatino Linotype" w:hAnsi="Palatino Linotype" w:cs="Palatino Linotype"/>
                <w:color w:val="000000" w:themeColor="text1"/>
                <w:sz w:val="20"/>
                <w:szCs w:val="20"/>
              </w:rPr>
              <w:t xml:space="preserve">Situación que no se observa en el Acuerdo remitido por </w:t>
            </w:r>
            <w:r w:rsidR="003D4107">
              <w:rPr>
                <w:rFonts w:ascii="Palatino Linotype" w:eastAsia="Palatino Linotype" w:hAnsi="Palatino Linotype" w:cs="Palatino Linotype"/>
                <w:b/>
                <w:color w:val="000000" w:themeColor="text1"/>
                <w:sz w:val="20"/>
                <w:szCs w:val="20"/>
              </w:rPr>
              <w:t>El Sujeto Obligado</w:t>
            </w:r>
          </w:p>
        </w:tc>
        <w:tc>
          <w:tcPr>
            <w:tcW w:w="1842" w:type="dxa"/>
            <w:vAlign w:val="center"/>
          </w:tcPr>
          <w:p w14:paraId="057EF156" w14:textId="77777777" w:rsidR="002F2D0B" w:rsidRPr="00AB5C44" w:rsidRDefault="002F2D0B" w:rsidP="003D4107">
            <w:pPr>
              <w:widowControl w:val="0"/>
              <w:spacing w:line="276" w:lineRule="auto"/>
              <w:jc w:val="center"/>
              <w:rPr>
                <w:rFonts w:ascii="Palatino Linotype" w:eastAsia="Palatino Linotype" w:hAnsi="Palatino Linotype" w:cs="Palatino Linotype"/>
                <w:b/>
                <w:color w:val="000000" w:themeColor="text1"/>
              </w:rPr>
            </w:pPr>
            <w:r w:rsidRPr="00AB5C44">
              <w:rPr>
                <w:rFonts w:ascii="Palatino Linotype" w:eastAsia="Palatino Linotype" w:hAnsi="Palatino Linotype" w:cs="Palatino Linotype"/>
                <w:b/>
                <w:color w:val="000000" w:themeColor="text1"/>
              </w:rPr>
              <w:lastRenderedPageBreak/>
              <w:t>No</w:t>
            </w:r>
          </w:p>
        </w:tc>
      </w:tr>
    </w:tbl>
    <w:p w14:paraId="7D1B97B0" w14:textId="77777777" w:rsidR="00825CB5" w:rsidRDefault="00825CB5" w:rsidP="007F0A4D">
      <w:pPr>
        <w:pStyle w:val="Default"/>
        <w:spacing w:before="240" w:after="160" w:line="360" w:lineRule="auto"/>
        <w:jc w:val="both"/>
        <w:rPr>
          <w:rFonts w:ascii="Palatino Linotype" w:hAnsi="Palatino Linotype"/>
          <w:iCs/>
        </w:rPr>
      </w:pPr>
    </w:p>
    <w:p w14:paraId="23026C45" w14:textId="49B69915" w:rsidR="002F2D0B" w:rsidRDefault="003D4107" w:rsidP="007F0A4D">
      <w:pPr>
        <w:pStyle w:val="Default"/>
        <w:spacing w:before="240" w:after="160" w:line="360" w:lineRule="auto"/>
        <w:jc w:val="both"/>
        <w:rPr>
          <w:rFonts w:ascii="Palatino Linotype" w:hAnsi="Palatino Linotype"/>
          <w:iCs/>
        </w:rPr>
      </w:pPr>
      <w:r>
        <w:rPr>
          <w:rFonts w:ascii="Palatino Linotype" w:hAnsi="Palatino Linotype"/>
          <w:iCs/>
        </w:rPr>
        <w:t xml:space="preserve">De ahí que deba arribarse a la consideración </w:t>
      </w:r>
      <w:r w:rsidR="00A35F12">
        <w:rPr>
          <w:rFonts w:ascii="Palatino Linotype" w:hAnsi="Palatino Linotype"/>
          <w:iCs/>
        </w:rPr>
        <w:t xml:space="preserve">de que el acuerdo remitido mediante informe justificado no cumple con la pauta metodológica requerida en términos de la normatividad aplicable, es decir, la violación al derecho de acceso a la información no fue subsanada mediante el informe justificado. </w:t>
      </w:r>
    </w:p>
    <w:p w14:paraId="78A81432" w14:textId="67C1AFE7" w:rsidR="00F0756F" w:rsidRDefault="00F0756F" w:rsidP="00F0756F">
      <w:pPr>
        <w:pStyle w:val="Default"/>
        <w:spacing w:before="240" w:after="160" w:line="360" w:lineRule="auto"/>
        <w:jc w:val="both"/>
        <w:rPr>
          <w:rFonts w:ascii="Palatino Linotype" w:hAnsi="Palatino Linotype"/>
        </w:rPr>
      </w:pPr>
      <w:r>
        <w:rPr>
          <w:rFonts w:ascii="Palatino Linotype" w:hAnsi="Palatino Linotype"/>
          <w:iCs/>
        </w:rPr>
        <w:t xml:space="preserve">Resultando procedente ordenar la entrega del </w:t>
      </w:r>
      <w:r w:rsidRPr="00F0756F">
        <w:rPr>
          <w:rFonts w:ascii="Palatino Linotype" w:hAnsi="Palatino Linotype"/>
        </w:rPr>
        <w:t xml:space="preserve">Acuerdo de inexistencia </w:t>
      </w:r>
      <w:r w:rsidRPr="00F0756F">
        <w:rPr>
          <w:rFonts w:ascii="Palatino Linotype" w:eastAsia="Palatino Linotype" w:hAnsi="Palatino Linotype" w:cs="Palatino Linotype"/>
        </w:rPr>
        <w:t>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w:t>
      </w:r>
      <w:r>
        <w:rPr>
          <w:rFonts w:ascii="Palatino Linotype" w:eastAsia="Palatino Linotype" w:hAnsi="Palatino Linotype" w:cs="Palatino Linotype"/>
        </w:rPr>
        <w:t xml:space="preserve"> el o los documentos donde consten las pruebas de daño, del periodo comprendido del  </w:t>
      </w:r>
      <w:r>
        <w:rPr>
          <w:rFonts w:ascii="Palatino Linotype" w:hAnsi="Palatino Linotype"/>
        </w:rPr>
        <w:t xml:space="preserve">uno de enero de dos mil dieciocho al nueve de octubre de dos mil veintitrés. </w:t>
      </w:r>
    </w:p>
    <w:p w14:paraId="448F90FE" w14:textId="6D9BC66B" w:rsidR="00A351D7" w:rsidRPr="00A351D7" w:rsidRDefault="00BF0D34" w:rsidP="00BF0D3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w:t>
      </w:r>
      <w:r w:rsidRPr="00D5257A">
        <w:rPr>
          <w:rFonts w:ascii="Palatino Linotype" w:hAnsi="Palatino Linotype"/>
          <w:sz w:val="24"/>
          <w:szCs w:val="24"/>
        </w:rPr>
        <w:lastRenderedPageBreak/>
        <w:t xml:space="preserve">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F0756F">
        <w:rPr>
          <w:rFonts w:ascii="Palatino Linotype" w:hAnsi="Palatino Linotype"/>
          <w:b/>
          <w:bCs/>
          <w:sz w:val="24"/>
          <w:szCs w:val="24"/>
        </w:rPr>
        <w:t>00855/ECATEPEC/IP/2023</w:t>
      </w:r>
      <w:r w:rsidR="00A351D7">
        <w:rPr>
          <w:rFonts w:ascii="Palatino Linotype" w:hAnsi="Palatino Linotype"/>
          <w:b/>
          <w:bCs/>
          <w:sz w:val="24"/>
          <w:szCs w:val="24"/>
        </w:rPr>
        <w:t xml:space="preserve">, </w:t>
      </w:r>
      <w:r w:rsidR="00A351D7">
        <w:rPr>
          <w:rFonts w:ascii="Palatino Linotype" w:hAnsi="Palatino Linotype"/>
          <w:sz w:val="24"/>
          <w:szCs w:val="24"/>
        </w:rPr>
        <w:t xml:space="preserve">que ha sido materia del presente fallo. </w:t>
      </w:r>
    </w:p>
    <w:p w14:paraId="6A03C5FB" w14:textId="26972BB5" w:rsidR="00BF0D34" w:rsidRDefault="00BF0D34" w:rsidP="00BF0D3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F55B960" w14:textId="77777777" w:rsidR="00283BF1" w:rsidRDefault="00283BF1" w:rsidP="00BF0D34">
      <w:pPr>
        <w:spacing w:before="240" w:line="360" w:lineRule="auto"/>
        <w:jc w:val="center"/>
        <w:rPr>
          <w:rFonts w:ascii="Palatino Linotype" w:eastAsia="Times New Roman" w:hAnsi="Palatino Linotype"/>
          <w:b/>
          <w:bCs/>
          <w:spacing w:val="60"/>
          <w:sz w:val="24"/>
          <w:szCs w:val="24"/>
          <w:lang w:val="es-ES_tradnl"/>
        </w:rPr>
      </w:pPr>
    </w:p>
    <w:p w14:paraId="7CE083EA" w14:textId="63683212" w:rsidR="00BF0D34" w:rsidRPr="00D05C83"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C319FF8" w14:textId="775A156A" w:rsidR="00BF0D34" w:rsidRDefault="00BF0D34" w:rsidP="00BF0D3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F0756F">
        <w:rPr>
          <w:rFonts w:ascii="Palatino Linotype" w:hAnsi="Palatino Linotype"/>
          <w:b/>
          <w:bCs/>
          <w:sz w:val="24"/>
          <w:szCs w:val="24"/>
        </w:rPr>
        <w:t>00855/ECATEPEC/IP/2023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6D2BF97" w14:textId="77777777" w:rsidR="00BF0D34" w:rsidRDefault="00BF0D34" w:rsidP="00BF0D34">
      <w:pPr>
        <w:spacing w:before="240" w:line="360" w:lineRule="auto"/>
        <w:jc w:val="both"/>
        <w:rPr>
          <w:rFonts w:ascii="Palatino Linotype" w:hAnsi="Palatino Linotype" w:cs="Arial"/>
          <w:sz w:val="24"/>
        </w:rPr>
      </w:pPr>
    </w:p>
    <w:p w14:paraId="32BF09DB" w14:textId="55F48E46" w:rsidR="00A351D7" w:rsidRPr="006633BF" w:rsidRDefault="00A351D7" w:rsidP="00A351D7">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haga entrega </w:t>
      </w:r>
      <w:r w:rsidR="00DD6A37">
        <w:rPr>
          <w:rFonts w:ascii="Palatino Linotype" w:hAnsi="Palatino Linotype" w:cs="Arial"/>
          <w:sz w:val="24"/>
          <w:szCs w:val="24"/>
        </w:rPr>
        <w:t>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7BB39ACB" w14:textId="7ECF98FF" w:rsidR="00F0756F" w:rsidRPr="00F0756F" w:rsidRDefault="00F0756F" w:rsidP="00F0756F">
      <w:pPr>
        <w:pStyle w:val="Default"/>
        <w:numPr>
          <w:ilvl w:val="0"/>
          <w:numId w:val="28"/>
        </w:numPr>
        <w:spacing w:before="240" w:after="160" w:line="360" w:lineRule="auto"/>
        <w:jc w:val="both"/>
        <w:rPr>
          <w:rFonts w:ascii="Palatino Linotype" w:hAnsi="Palatino Linotype"/>
          <w:i/>
          <w:iCs/>
        </w:rPr>
      </w:pPr>
      <w:r w:rsidRPr="00F0756F">
        <w:rPr>
          <w:rFonts w:ascii="Palatino Linotype" w:hAnsi="Palatino Linotype"/>
          <w:i/>
          <w:iCs/>
        </w:rPr>
        <w:t xml:space="preserve">Acuerdo de inexistencia </w:t>
      </w:r>
      <w:r w:rsidRPr="00F0756F">
        <w:rPr>
          <w:rFonts w:ascii="Palatino Linotype" w:eastAsia="Palatino Linotype" w:hAnsi="Palatino Linotype" w:cs="Palatino Linotype"/>
          <w:i/>
          <w:iCs/>
        </w:rPr>
        <w:t>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el o los documentos donde consten las pruebas de daño, del periodo comprendido del uno</w:t>
      </w:r>
      <w:r w:rsidRPr="00F0756F">
        <w:rPr>
          <w:rFonts w:ascii="Palatino Linotype" w:hAnsi="Palatino Linotype"/>
          <w:i/>
          <w:iCs/>
        </w:rPr>
        <w:t xml:space="preserve"> de enero de dos mil dieciocho al nueve de octubre de dos mil veintitrés. </w:t>
      </w:r>
    </w:p>
    <w:p w14:paraId="1D7A664F" w14:textId="77777777" w:rsidR="00F0756F" w:rsidRPr="00BD001D" w:rsidRDefault="00F0756F" w:rsidP="00F0756F">
      <w:pPr>
        <w:pStyle w:val="Prrafodelista"/>
        <w:spacing w:line="360" w:lineRule="auto"/>
        <w:ind w:left="778"/>
        <w:jc w:val="both"/>
        <w:rPr>
          <w:rFonts w:ascii="Palatino Linotype" w:hAnsi="Palatino Linotype" w:cs="Arial"/>
          <w:i/>
          <w:iCs/>
          <w:noProof/>
          <w:color w:val="000000"/>
          <w:lang w:eastAsia="es-MX"/>
        </w:rPr>
      </w:pPr>
    </w:p>
    <w:p w14:paraId="76D8E4A8" w14:textId="77777777" w:rsidR="00F0756F" w:rsidRPr="006F36F4" w:rsidRDefault="00F0756F" w:rsidP="00F0756F">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lastRenderedPageBreak/>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C8F850" w14:textId="77777777" w:rsidR="00F0756F" w:rsidRDefault="00F0756F" w:rsidP="00F0756F">
      <w:pPr>
        <w:autoSpaceDE w:val="0"/>
        <w:autoSpaceDN w:val="0"/>
        <w:adjustRightInd w:val="0"/>
        <w:spacing w:before="240" w:line="360" w:lineRule="auto"/>
        <w:jc w:val="both"/>
        <w:rPr>
          <w:rFonts w:ascii="Palatino Linotype" w:hAnsi="Palatino Linotype" w:cs="Arial"/>
          <w:sz w:val="24"/>
          <w:szCs w:val="24"/>
        </w:rPr>
      </w:pPr>
    </w:p>
    <w:p w14:paraId="2DEB1BDC" w14:textId="77777777" w:rsidR="00F0756F" w:rsidRDefault="00F0756F" w:rsidP="00F0756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F989812" w14:textId="77777777" w:rsidR="00F0756F" w:rsidRPr="005751B7" w:rsidRDefault="00F0756F" w:rsidP="00F0756F">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C0EB984" w14:textId="77777777" w:rsidR="00F0756F" w:rsidRPr="00F77047" w:rsidRDefault="00F0756F" w:rsidP="00F0756F">
      <w:pPr>
        <w:spacing w:after="0" w:line="360" w:lineRule="auto"/>
        <w:jc w:val="both"/>
        <w:rPr>
          <w:rFonts w:ascii="Palatino Linotype" w:eastAsia="Times New Roman" w:hAnsi="Palatino Linotype" w:cs="Arial"/>
          <w:b/>
          <w:sz w:val="18"/>
          <w:szCs w:val="24"/>
          <w:lang w:eastAsia="es-ES"/>
        </w:rPr>
      </w:pPr>
    </w:p>
    <w:p w14:paraId="2BEFC1AA" w14:textId="209E1418" w:rsidR="00F0756F" w:rsidRDefault="00F0756F" w:rsidP="00F0756F">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w:t>
      </w:r>
      <w:r w:rsidRPr="00593F5D">
        <w:rPr>
          <w:rFonts w:ascii="Palatino Linotype" w:hAnsi="Palatino Linotype" w:cs="Arial"/>
          <w:b/>
          <w:sz w:val="24"/>
          <w:szCs w:val="24"/>
        </w:rPr>
        <w:t>Notifíquese</w:t>
      </w:r>
      <w:r w:rsidRPr="00593F5D">
        <w:rPr>
          <w:rFonts w:ascii="Palatino Linotype" w:hAnsi="Palatino Linotype" w:cs="Arial"/>
          <w:sz w:val="24"/>
          <w:szCs w:val="24"/>
        </w:rPr>
        <w:t xml:space="preserve"> a través del Sistema de Acceso a la Información Mexiquense </w:t>
      </w:r>
      <w:r w:rsidRPr="003D5267">
        <w:rPr>
          <w:rFonts w:ascii="Palatino Linotype" w:hAnsi="Palatino Linotype" w:cs="Arial"/>
          <w:b/>
          <w:sz w:val="24"/>
          <w:szCs w:val="24"/>
        </w:rPr>
        <w:t>(SAIMEX),</w:t>
      </w:r>
      <w:r w:rsidRPr="00593F5D">
        <w:rPr>
          <w:rFonts w:ascii="Palatino Linotype" w:hAnsi="Palatino Linotype" w:cs="Arial"/>
          <w:sz w:val="24"/>
          <w:szCs w:val="24"/>
        </w:rPr>
        <w:t xml:space="preserve"> </w:t>
      </w:r>
      <w:r>
        <w:rPr>
          <w:rFonts w:ascii="Palatino Linotype" w:hAnsi="Palatino Linotype" w:cs="Arial"/>
          <w:sz w:val="24"/>
          <w:szCs w:val="24"/>
        </w:rPr>
        <w:t>al</w:t>
      </w:r>
      <w:r w:rsidRPr="00676653">
        <w:rPr>
          <w:rFonts w:ascii="Palatino Linotype" w:hAnsi="Palatino Linotype" w:cs="Arial"/>
          <w:b/>
          <w:bCs/>
          <w:sz w:val="24"/>
          <w:szCs w:val="24"/>
        </w:rPr>
        <w:t xml:space="preserve"> RECURRENTE</w:t>
      </w:r>
      <w:r w:rsidRPr="00593F5D">
        <w:rPr>
          <w:rFonts w:ascii="Palatino Linotype" w:hAnsi="Palatino Linotype" w:cs="Arial"/>
          <w:sz w:val="24"/>
          <w:szCs w:val="24"/>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w:t>
      </w:r>
      <w:r w:rsidRPr="00593F5D">
        <w:rPr>
          <w:rFonts w:ascii="Palatino Linotype" w:hAnsi="Palatino Linotype" w:cs="Arial"/>
          <w:sz w:val="24"/>
          <w:szCs w:val="24"/>
        </w:rPr>
        <w:lastRenderedPageBreak/>
        <w:t>Transparencia, Acceso a la Información y Protección de Datos Personales, o bien, vía Juicio de Amparo en los términos de las leyes aplicables.</w:t>
      </w:r>
    </w:p>
    <w:p w14:paraId="6AD3F262" w14:textId="77777777" w:rsidR="00BD001D" w:rsidRPr="00F0756F" w:rsidRDefault="00BD001D" w:rsidP="00F0756F">
      <w:pPr>
        <w:spacing w:before="240" w:line="360" w:lineRule="auto"/>
        <w:jc w:val="both"/>
        <w:rPr>
          <w:rFonts w:ascii="Palatino Linotype" w:hAnsi="Palatino Linotype" w:cs="Arial"/>
          <w:i/>
        </w:rPr>
      </w:pPr>
    </w:p>
    <w:p w14:paraId="594A0CDA" w14:textId="762653DF" w:rsidR="00C56CD2" w:rsidRPr="003721AF" w:rsidRDefault="00C56CD2" w:rsidP="00C56CD2">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3721AF">
        <w:rPr>
          <w:rFonts w:ascii="Palatino Linotype" w:hAnsi="Palatino Linotype" w:cs="Arial"/>
          <w:sz w:val="23"/>
          <w:szCs w:val="23"/>
          <w:lang w:val="es-MX"/>
        </w:rPr>
        <w:t>ASÍ LO ACORDÓ, POR UNANIMIDAD DE VOTOS, EL PLENO DEL</w:t>
      </w:r>
      <w:r w:rsidRPr="003721AF">
        <w:rPr>
          <w:rFonts w:ascii="Palatino Linotype" w:eastAsia="Arial Unicode MS" w:hAnsi="Palatino Linotype" w:cs="Arial"/>
          <w:sz w:val="23"/>
          <w:szCs w:val="23"/>
          <w:lang w:val="es-MX"/>
        </w:rPr>
        <w:t xml:space="preserve"> INSTITUTO DE TRANSPARENCIA, ACCESO A LA INFORMACIÓN PÚBLICA Y PROTECCIÓN DE DATOS PERSONALES DEL ESTADO DE MÉXICO Y MUNICIPIOS</w:t>
      </w:r>
      <w:r w:rsidRPr="003721AF">
        <w:rPr>
          <w:rFonts w:ascii="Palatino Linotype" w:hAnsi="Palatino Linotype" w:cs="Arial"/>
          <w:sz w:val="23"/>
          <w:szCs w:val="23"/>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lang w:val="es-MX"/>
        </w:rPr>
        <w:t xml:space="preserve">CUADRAGÉSIMA </w:t>
      </w:r>
      <w:r w:rsidR="00F0756F">
        <w:rPr>
          <w:rFonts w:ascii="Palatino Linotype" w:hAnsi="Palatino Linotype" w:cs="Arial"/>
          <w:sz w:val="23"/>
          <w:szCs w:val="23"/>
          <w:lang w:val="es-MX"/>
        </w:rPr>
        <w:t>SEGUNDA</w:t>
      </w:r>
      <w:r>
        <w:rPr>
          <w:rFonts w:ascii="Palatino Linotype" w:hAnsi="Palatino Linotype" w:cs="Arial"/>
          <w:sz w:val="23"/>
          <w:szCs w:val="23"/>
          <w:lang w:val="es-MX"/>
        </w:rPr>
        <w:t xml:space="preserve"> SESIÓN ORDINARIA CELEBRADA EL </w:t>
      </w:r>
      <w:r w:rsidR="00F0756F">
        <w:rPr>
          <w:rFonts w:ascii="Palatino Linotype" w:hAnsi="Palatino Linotype" w:cs="Arial"/>
          <w:sz w:val="23"/>
          <w:szCs w:val="23"/>
          <w:lang w:val="es-MX"/>
        </w:rPr>
        <w:t xml:space="preserve">VEINTITRÉS </w:t>
      </w:r>
      <w:r>
        <w:rPr>
          <w:rFonts w:ascii="Palatino Linotype" w:hAnsi="Palatino Linotype" w:cs="Arial"/>
          <w:sz w:val="23"/>
          <w:szCs w:val="23"/>
          <w:lang w:val="es-MX"/>
        </w:rPr>
        <w:t xml:space="preserve">DE NOVIEMBRE </w:t>
      </w:r>
      <w:r w:rsidRPr="003721AF">
        <w:rPr>
          <w:rFonts w:ascii="Palatino Linotype" w:hAnsi="Palatino Linotype" w:cs="Arial"/>
          <w:sz w:val="23"/>
          <w:szCs w:val="23"/>
          <w:lang w:val="es-MX"/>
        </w:rPr>
        <w:t xml:space="preserve">DE DOS MIL VEINTITRÉS, ANTE EL SECRETARIO TÉCNICO DEL PLENO, ALEXIS TAPIA RAMÍREZ. </w:t>
      </w:r>
    </w:p>
    <w:p w14:paraId="08DBFC63" w14:textId="3B1B3D8C"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3721AF">
        <w:rPr>
          <w:rFonts w:ascii="Palatino Linotype" w:hAnsi="Palatino Linotype"/>
          <w:bCs/>
          <w:sz w:val="18"/>
          <w:szCs w:val="18"/>
          <w:lang w:val="es-MX"/>
        </w:rPr>
        <w:t>CCR/JCMA</w:t>
      </w:r>
    </w:p>
    <w:p w14:paraId="43CE29B7" w14:textId="376C7AEA" w:rsidR="00C56CD2" w:rsidRDefault="00C73B63"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rPr>
        <mc:AlternateContent>
          <mc:Choice Requires="wps">
            <w:drawing>
              <wp:anchor distT="0" distB="0" distL="114300" distR="114300" simplePos="0" relativeHeight="251794422" behindDoc="0" locked="0" layoutInCell="1" allowOverlap="1" wp14:anchorId="6CAF5539" wp14:editId="57B421DF">
                <wp:simplePos x="0" y="0"/>
                <wp:positionH relativeFrom="margin">
                  <wp:posOffset>-635</wp:posOffset>
                </wp:positionH>
                <wp:positionV relativeFrom="paragraph">
                  <wp:posOffset>53975</wp:posOffset>
                </wp:positionV>
                <wp:extent cx="5880100" cy="3098800"/>
                <wp:effectExtent l="0" t="0" r="25400" b="25400"/>
                <wp:wrapNone/>
                <wp:docPr id="1785966983" name="Straight Connector 5"/>
                <wp:cNvGraphicFramePr/>
                <a:graphic xmlns:a="http://schemas.openxmlformats.org/drawingml/2006/main">
                  <a:graphicData uri="http://schemas.microsoft.com/office/word/2010/wordprocessingShape">
                    <wps:wsp>
                      <wps:cNvCnPr/>
                      <wps:spPr>
                        <a:xfrm>
                          <a:off x="0" y="0"/>
                          <a:ext cx="5880100" cy="309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4FEFB" id="Straight Connector 5" o:spid="_x0000_s1026" style="position:absolute;z-index:2517944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4.25pt" to="462.9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" strokecolor="#5b9bd5 [3204]" strokeweight=".5pt">
                <v:stroke joinstyle="miter"/>
                <w10:wrap anchorx="margin"/>
              </v:line>
            </w:pict>
          </mc:Fallback>
        </mc:AlternateContent>
      </w:r>
    </w:p>
    <w:p w14:paraId="7D94BFB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AFFFE2D"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B27618E"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6DDDC3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6C3822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33E8CE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EEF5C4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BA2174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AC44BE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68822553"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EEE5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7292889"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3F03DF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527B175"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AC49FA"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69396D0"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5DF8402"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A025D97" w14:textId="77777777" w:rsidR="00C56CD2"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12A9CF2" w14:textId="77777777" w:rsidR="00C56CD2" w:rsidRPr="003721AF" w:rsidRDefault="00C56CD2" w:rsidP="00C56CD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A714A8"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8CAA" w14:textId="77777777" w:rsidR="005F6252" w:rsidRDefault="005F6252" w:rsidP="006168E4">
      <w:pPr>
        <w:spacing w:after="0" w:line="240" w:lineRule="auto"/>
      </w:pPr>
      <w:r>
        <w:separator/>
      </w:r>
    </w:p>
  </w:endnote>
  <w:endnote w:type="continuationSeparator" w:id="0">
    <w:p w14:paraId="635D35CD" w14:textId="77777777" w:rsidR="005F6252" w:rsidRDefault="005F625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B380" w14:textId="77777777" w:rsidR="005F6252" w:rsidRDefault="005F6252" w:rsidP="006168E4">
      <w:pPr>
        <w:spacing w:after="0" w:line="240" w:lineRule="auto"/>
      </w:pPr>
      <w:r>
        <w:separator/>
      </w:r>
    </w:p>
  </w:footnote>
  <w:footnote w:type="continuationSeparator" w:id="0">
    <w:p w14:paraId="560F6816" w14:textId="77777777" w:rsidR="005F6252" w:rsidRDefault="005F6252" w:rsidP="006168E4">
      <w:pPr>
        <w:spacing w:after="0" w:line="240" w:lineRule="auto"/>
      </w:pPr>
      <w:r>
        <w:continuationSeparator/>
      </w:r>
    </w:p>
  </w:footnote>
  <w:footnote w:id="1">
    <w:p w14:paraId="56794E46" w14:textId="77777777" w:rsidR="009B057C" w:rsidRDefault="009B057C" w:rsidP="009B057C">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06BCAC13" w14:textId="77777777" w:rsidR="009B057C" w:rsidRDefault="009B057C" w:rsidP="009B057C">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0F2203D0" w14:textId="77777777" w:rsidR="009B057C" w:rsidRPr="00D75A73" w:rsidRDefault="009B057C" w:rsidP="009B057C">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w:t>
      </w:r>
      <w:r w:rsidRPr="00D75A73">
        <w:rPr>
          <w:rFonts w:ascii="Palatino Linotype" w:eastAsia="Times New Roman" w:hAnsi="Palatino Linotype" w:cs="Arial"/>
          <w:color w:val="000000" w:themeColor="text1"/>
          <w:sz w:val="16"/>
          <w:szCs w:val="16"/>
          <w:lang w:val="es-ES_tradnl" w:eastAsia="es-ES_tradnl"/>
        </w:rPr>
        <w:t>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w:t>
      </w:r>
      <w:r w:rsidRPr="00D75A73">
        <w:rPr>
          <w:rFonts w:ascii="Palatino Linotype" w:eastAsia="Times New Roman" w:hAnsi="Palatino Linotype" w:cs="Arial"/>
          <w:color w:val="000000" w:themeColor="text1"/>
          <w:sz w:val="16"/>
          <w:szCs w:val="16"/>
          <w:lang w:val="es-ES_tradnl" w:eastAsia="es-ES_tradnl"/>
        </w:rPr>
        <w:t>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26F8EACD" w14:textId="77777777" w:rsidR="009B057C" w:rsidRPr="00D75A73" w:rsidRDefault="009B057C" w:rsidP="009B057C">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r w:rsidRPr="00D75A73">
        <w:rPr>
          <w:rFonts w:ascii="Palatino Linotype" w:hAnsi="Palatino Linotype"/>
          <w:color w:val="000000" w:themeColor="text1"/>
          <w:sz w:val="16"/>
          <w:szCs w:val="16"/>
          <w:lang w:val="es-ES"/>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C800766" w14:textId="6A1F56D7" w:rsidR="00D338F0" w:rsidRPr="00B4142F" w:rsidRDefault="00736C2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B6C8F">
            <w:rPr>
              <w:rFonts w:ascii="Palatino Linotype" w:hAnsi="Palatino Linotype" w:cs="Arial"/>
              <w:bCs/>
              <w:sz w:val="24"/>
              <w:lang w:eastAsia="es-MX"/>
            </w:rPr>
            <w:t>7235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5AABB577" w:rsidR="00D338F0" w:rsidRPr="00F06FED" w:rsidRDefault="00FB6C8F" w:rsidP="00F4623D">
          <w:pPr>
            <w:spacing w:after="120" w:line="256" w:lineRule="auto"/>
            <w:ind w:left="639" w:right="214"/>
            <w:jc w:val="both"/>
            <w:rPr>
              <w:rFonts w:ascii="Palatino Linotype" w:hAnsi="Palatino Linotype" w:cs="Arial"/>
            </w:rPr>
          </w:pPr>
          <w:r>
            <w:rPr>
              <w:rFonts w:ascii="Palatino Linotype" w:hAnsi="Palatino Linotype" w:cs="Arial"/>
            </w:rPr>
            <w:t>Ayuntamiento de Ecatepec de Morelos</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2571C00" w14:textId="5E7690A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B6C8F">
            <w:rPr>
              <w:rFonts w:ascii="Palatino Linotype" w:hAnsi="Palatino Linotype" w:cs="Arial"/>
              <w:bCs/>
              <w:sz w:val="24"/>
              <w:lang w:eastAsia="es-MX"/>
            </w:rPr>
            <w:t>7235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77B97D1" w:rsidR="00D338F0" w:rsidRPr="00F06FED" w:rsidRDefault="00B16F93"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4EC50C26" w:rsidR="00D338F0" w:rsidRDefault="00FB6C8F"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Ecatepec de Morelos</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6164C"/>
    <w:multiLevelType w:val="hybridMultilevel"/>
    <w:tmpl w:val="2A88E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92E05"/>
    <w:multiLevelType w:val="hybridMultilevel"/>
    <w:tmpl w:val="7FFE9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253543"/>
    <w:multiLevelType w:val="hybridMultilevel"/>
    <w:tmpl w:val="ED3C9A8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A0619C"/>
    <w:multiLevelType w:val="hybridMultilevel"/>
    <w:tmpl w:val="0ACC7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81094"/>
    <w:multiLevelType w:val="hybridMultilevel"/>
    <w:tmpl w:val="716A9448"/>
    <w:lvl w:ilvl="0" w:tplc="FFFFFFFF">
      <w:start w:val="1"/>
      <w:numFmt w:val="decimal"/>
      <w:lvlText w:val="%1."/>
      <w:lvlJc w:val="left"/>
      <w:pPr>
        <w:ind w:left="1211" w:hanging="360"/>
      </w:pPr>
      <w:rPr>
        <w:rFonts w:ascii="Palatino Linotype" w:hAnsi="Palatino Linotype" w:hint="default"/>
        <w:sz w:val="22"/>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30077A"/>
    <w:multiLevelType w:val="hybridMultilevel"/>
    <w:tmpl w:val="09E4B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421C78"/>
    <w:multiLevelType w:val="hybridMultilevel"/>
    <w:tmpl w:val="C92A0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203558A7"/>
    <w:multiLevelType w:val="hybridMultilevel"/>
    <w:tmpl w:val="8684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3D0385"/>
    <w:multiLevelType w:val="hybridMultilevel"/>
    <w:tmpl w:val="8550F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F41DD2"/>
    <w:multiLevelType w:val="hybridMultilevel"/>
    <w:tmpl w:val="648E1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68774E"/>
    <w:multiLevelType w:val="hybridMultilevel"/>
    <w:tmpl w:val="C9347634"/>
    <w:lvl w:ilvl="0" w:tplc="10865674">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9010EA"/>
    <w:multiLevelType w:val="hybridMultilevel"/>
    <w:tmpl w:val="23D86208"/>
    <w:lvl w:ilvl="0" w:tplc="B37AEEC0">
      <w:start w:val="1"/>
      <w:numFmt w:val="bullet"/>
      <w:lvlText w:val="-"/>
      <w:lvlJc w:val="left"/>
      <w:pPr>
        <w:ind w:left="2160" w:hanging="360"/>
      </w:pPr>
      <w:rPr>
        <w:rFonts w:ascii="Palatino Linotype" w:eastAsiaTheme="minorHAnsi" w:hAnsi="Palatino Linotype"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33E067C2"/>
    <w:multiLevelType w:val="hybridMultilevel"/>
    <w:tmpl w:val="80909A3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37AC7422"/>
    <w:multiLevelType w:val="hybridMultilevel"/>
    <w:tmpl w:val="C7F8F9BC"/>
    <w:lvl w:ilvl="0" w:tplc="1DB89014">
      <w:numFmt w:val="bullet"/>
      <w:lvlText w:val="-"/>
      <w:lvlJc w:val="left"/>
      <w:pPr>
        <w:ind w:left="1080" w:hanging="360"/>
      </w:pPr>
      <w:rPr>
        <w:rFonts w:ascii="Palatino Linotype" w:eastAsia="Times New Roman" w:hAnsi="Palatino Linotype" w:cs="Arial" w:hint="default"/>
        <w:i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F507E0"/>
    <w:multiLevelType w:val="hybridMultilevel"/>
    <w:tmpl w:val="C9F8D896"/>
    <w:lvl w:ilvl="0" w:tplc="3F502E5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3CE00C40"/>
    <w:multiLevelType w:val="hybridMultilevel"/>
    <w:tmpl w:val="F1E21B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7B0A8C"/>
    <w:multiLevelType w:val="hybridMultilevel"/>
    <w:tmpl w:val="3852FC5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EF07B7"/>
    <w:multiLevelType w:val="hybridMultilevel"/>
    <w:tmpl w:val="8A405E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B353E1"/>
    <w:multiLevelType w:val="hybridMultilevel"/>
    <w:tmpl w:val="650C0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4A7840"/>
    <w:multiLevelType w:val="hybridMultilevel"/>
    <w:tmpl w:val="E3FE3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3D6AC0"/>
    <w:multiLevelType w:val="hybridMultilevel"/>
    <w:tmpl w:val="40764D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0" w15:restartNumberingAfterBreak="0">
    <w:nsid w:val="45064C7B"/>
    <w:multiLevelType w:val="hybridMultilevel"/>
    <w:tmpl w:val="8676E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9A32795"/>
    <w:multiLevelType w:val="hybridMultilevel"/>
    <w:tmpl w:val="4E2EB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BED1039"/>
    <w:multiLevelType w:val="hybridMultilevel"/>
    <w:tmpl w:val="B25E5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C092D3F"/>
    <w:multiLevelType w:val="hybridMultilevel"/>
    <w:tmpl w:val="F1E21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E717DDE"/>
    <w:multiLevelType w:val="hybridMultilevel"/>
    <w:tmpl w:val="1B4213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01910D1"/>
    <w:multiLevelType w:val="hybridMultilevel"/>
    <w:tmpl w:val="12B03E84"/>
    <w:lvl w:ilvl="0" w:tplc="664CED44">
      <w:numFmt w:val="bullet"/>
      <w:lvlText w:val="-"/>
      <w:lvlJc w:val="left"/>
      <w:pPr>
        <w:ind w:left="1800" w:hanging="360"/>
      </w:pPr>
      <w:rPr>
        <w:rFonts w:ascii="Palatino Linotype" w:eastAsia="Times New Roman" w:hAnsi="Palatino Linotype" w:cs="Arial" w:hint="default"/>
        <w:b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03121FD"/>
    <w:multiLevelType w:val="hybridMultilevel"/>
    <w:tmpl w:val="3202C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A6632A2"/>
    <w:multiLevelType w:val="hybridMultilevel"/>
    <w:tmpl w:val="60529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A8C71B3"/>
    <w:multiLevelType w:val="hybridMultilevel"/>
    <w:tmpl w:val="82600D5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4"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C090D25"/>
    <w:multiLevelType w:val="hybridMultilevel"/>
    <w:tmpl w:val="716A9448"/>
    <w:lvl w:ilvl="0" w:tplc="4D88ECE4">
      <w:start w:val="1"/>
      <w:numFmt w:val="decimal"/>
      <w:lvlText w:val="%1."/>
      <w:lvlJc w:val="left"/>
      <w:pPr>
        <w:ind w:left="1211" w:hanging="360"/>
      </w:pPr>
      <w:rPr>
        <w:rFonts w:ascii="Palatino Linotype" w:hAnsi="Palatino Linotype" w:hint="default"/>
        <w:sz w:val="22"/>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5F8C47E4"/>
    <w:multiLevelType w:val="hybridMultilevel"/>
    <w:tmpl w:val="853E1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077758F"/>
    <w:multiLevelType w:val="hybridMultilevel"/>
    <w:tmpl w:val="859E6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0D33EEA"/>
    <w:multiLevelType w:val="hybridMultilevel"/>
    <w:tmpl w:val="1A8485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B5542"/>
    <w:multiLevelType w:val="hybridMultilevel"/>
    <w:tmpl w:val="FAF070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3C67B8E"/>
    <w:multiLevelType w:val="hybridMultilevel"/>
    <w:tmpl w:val="4524F758"/>
    <w:lvl w:ilvl="0" w:tplc="F6DE61E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65" w15:restartNumberingAfterBreak="0">
    <w:nsid w:val="651E00DB"/>
    <w:multiLevelType w:val="hybridMultilevel"/>
    <w:tmpl w:val="00E4A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6092CF4"/>
    <w:multiLevelType w:val="hybridMultilevel"/>
    <w:tmpl w:val="2FAAFC3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A410C6F"/>
    <w:multiLevelType w:val="hybridMultilevel"/>
    <w:tmpl w:val="A28A334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A24E1F"/>
    <w:multiLevelType w:val="hybridMultilevel"/>
    <w:tmpl w:val="7FB6EE92"/>
    <w:lvl w:ilvl="0" w:tplc="E8C6A61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0D5A99"/>
    <w:multiLevelType w:val="hybridMultilevel"/>
    <w:tmpl w:val="EEEA4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14E0B9F"/>
    <w:multiLevelType w:val="hybridMultilevel"/>
    <w:tmpl w:val="BA5CD4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52616E0"/>
    <w:multiLevelType w:val="hybridMultilevel"/>
    <w:tmpl w:val="8A08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89962AC"/>
    <w:multiLevelType w:val="hybridMultilevel"/>
    <w:tmpl w:val="110A1BB8"/>
    <w:lvl w:ilvl="0" w:tplc="ECEEF606">
      <w:start w:val="1"/>
      <w:numFmt w:val="upperRoman"/>
      <w:lvlText w:val="%1."/>
      <w:lvlJc w:val="righ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2" w15:restartNumberingAfterBreak="0">
    <w:nsid w:val="7F78034D"/>
    <w:multiLevelType w:val="hybridMultilevel"/>
    <w:tmpl w:val="8C94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012024667">
    <w:abstractNumId w:val="43"/>
  </w:num>
  <w:num w:numId="2" w16cid:durableId="1223373768">
    <w:abstractNumId w:val="0"/>
  </w:num>
  <w:num w:numId="3" w16cid:durableId="654142186">
    <w:abstractNumId w:val="10"/>
  </w:num>
  <w:num w:numId="4" w16cid:durableId="1819414550">
    <w:abstractNumId w:val="83"/>
  </w:num>
  <w:num w:numId="5" w16cid:durableId="1933396996">
    <w:abstractNumId w:val="4"/>
  </w:num>
  <w:num w:numId="6" w16cid:durableId="1890679372">
    <w:abstractNumId w:val="41"/>
  </w:num>
  <w:num w:numId="7" w16cid:durableId="1472938559">
    <w:abstractNumId w:val="54"/>
  </w:num>
  <w:num w:numId="8" w16cid:durableId="277376571">
    <w:abstractNumId w:val="63"/>
  </w:num>
  <w:num w:numId="9" w16cid:durableId="1508716471">
    <w:abstractNumId w:val="16"/>
  </w:num>
  <w:num w:numId="10" w16cid:durableId="488597143">
    <w:abstractNumId w:val="67"/>
  </w:num>
  <w:num w:numId="11" w16cid:durableId="1957834322">
    <w:abstractNumId w:val="5"/>
  </w:num>
  <w:num w:numId="12" w16cid:durableId="624897481">
    <w:abstractNumId w:val="81"/>
  </w:num>
  <w:num w:numId="13" w16cid:durableId="943922099">
    <w:abstractNumId w:val="56"/>
  </w:num>
  <w:num w:numId="14" w16cid:durableId="693961693">
    <w:abstractNumId w:val="36"/>
  </w:num>
  <w:num w:numId="15" w16cid:durableId="941187810">
    <w:abstractNumId w:val="6"/>
  </w:num>
  <w:num w:numId="16" w16cid:durableId="1983383230">
    <w:abstractNumId w:val="68"/>
  </w:num>
  <w:num w:numId="17" w16cid:durableId="25568823">
    <w:abstractNumId w:val="31"/>
  </w:num>
  <w:num w:numId="18" w16cid:durableId="1462458523">
    <w:abstractNumId w:val="50"/>
  </w:num>
  <w:num w:numId="19" w16cid:durableId="2005467871">
    <w:abstractNumId w:val="60"/>
  </w:num>
  <w:num w:numId="20" w16cid:durableId="1650359547">
    <w:abstractNumId w:val="22"/>
  </w:num>
  <w:num w:numId="21" w16cid:durableId="177551686">
    <w:abstractNumId w:val="71"/>
  </w:num>
  <w:num w:numId="22" w16cid:durableId="874119355">
    <w:abstractNumId w:val="23"/>
  </w:num>
  <w:num w:numId="23" w16cid:durableId="1221213410">
    <w:abstractNumId w:val="15"/>
  </w:num>
  <w:num w:numId="24" w16cid:durableId="1047948610">
    <w:abstractNumId w:val="20"/>
  </w:num>
  <w:num w:numId="25" w16cid:durableId="1941720090">
    <w:abstractNumId w:val="49"/>
  </w:num>
  <w:num w:numId="26" w16cid:durableId="2112356902">
    <w:abstractNumId w:val="25"/>
  </w:num>
  <w:num w:numId="27" w16cid:durableId="634067942">
    <w:abstractNumId w:val="80"/>
  </w:num>
  <w:num w:numId="28" w16cid:durableId="971515983">
    <w:abstractNumId w:val="64"/>
  </w:num>
  <w:num w:numId="29" w16cid:durableId="518130087">
    <w:abstractNumId w:val="82"/>
  </w:num>
  <w:num w:numId="30" w16cid:durableId="2136092418">
    <w:abstractNumId w:val="55"/>
  </w:num>
  <w:num w:numId="31" w16cid:durableId="169486195">
    <w:abstractNumId w:val="8"/>
  </w:num>
  <w:num w:numId="32" w16cid:durableId="273945520">
    <w:abstractNumId w:val="59"/>
  </w:num>
  <w:num w:numId="33" w16cid:durableId="1316422153">
    <w:abstractNumId w:val="37"/>
  </w:num>
  <w:num w:numId="34" w16cid:durableId="1663655612">
    <w:abstractNumId w:val="78"/>
  </w:num>
  <w:num w:numId="35" w16cid:durableId="2135249572">
    <w:abstractNumId w:val="19"/>
  </w:num>
  <w:num w:numId="36" w16cid:durableId="1887570011">
    <w:abstractNumId w:val="27"/>
  </w:num>
  <w:num w:numId="37" w16cid:durableId="951591589">
    <w:abstractNumId w:val="9"/>
  </w:num>
  <w:num w:numId="38" w16cid:durableId="2085951770">
    <w:abstractNumId w:val="30"/>
  </w:num>
  <w:num w:numId="39" w16cid:durableId="316151438">
    <w:abstractNumId w:val="44"/>
  </w:num>
  <w:num w:numId="40" w16cid:durableId="1259487952">
    <w:abstractNumId w:val="26"/>
  </w:num>
  <w:num w:numId="41" w16cid:durableId="467284864">
    <w:abstractNumId w:val="61"/>
  </w:num>
  <w:num w:numId="42" w16cid:durableId="183249898">
    <w:abstractNumId w:val="74"/>
  </w:num>
  <w:num w:numId="43" w16cid:durableId="1295478416">
    <w:abstractNumId w:val="42"/>
  </w:num>
  <w:num w:numId="44" w16cid:durableId="313486259">
    <w:abstractNumId w:val="77"/>
  </w:num>
  <w:num w:numId="45" w16cid:durableId="984818555">
    <w:abstractNumId w:val="65"/>
  </w:num>
  <w:num w:numId="46" w16cid:durableId="217665975">
    <w:abstractNumId w:val="12"/>
  </w:num>
  <w:num w:numId="47" w16cid:durableId="1136022545">
    <w:abstractNumId w:val="40"/>
  </w:num>
  <w:num w:numId="48" w16cid:durableId="1870072560">
    <w:abstractNumId w:val="46"/>
  </w:num>
  <w:num w:numId="49" w16cid:durableId="1489401962">
    <w:abstractNumId w:val="57"/>
  </w:num>
  <w:num w:numId="50" w16cid:durableId="122819305">
    <w:abstractNumId w:val="47"/>
  </w:num>
  <w:num w:numId="51" w16cid:durableId="261571530">
    <w:abstractNumId w:val="52"/>
  </w:num>
  <w:num w:numId="52" w16cid:durableId="1292128335">
    <w:abstractNumId w:val="28"/>
  </w:num>
  <w:num w:numId="53" w16cid:durableId="613825593">
    <w:abstractNumId w:val="21"/>
  </w:num>
  <w:num w:numId="54" w16cid:durableId="1648124272">
    <w:abstractNumId w:val="38"/>
  </w:num>
  <w:num w:numId="55" w16cid:durableId="319817824">
    <w:abstractNumId w:val="2"/>
  </w:num>
  <w:num w:numId="56" w16cid:durableId="1021400098">
    <w:abstractNumId w:val="53"/>
  </w:num>
  <w:num w:numId="57" w16cid:durableId="2027051573">
    <w:abstractNumId w:val="73"/>
  </w:num>
  <w:num w:numId="58" w16cid:durableId="1263799946">
    <w:abstractNumId w:val="13"/>
  </w:num>
  <w:num w:numId="59" w16cid:durableId="350182399">
    <w:abstractNumId w:val="17"/>
  </w:num>
  <w:num w:numId="60" w16cid:durableId="521556249">
    <w:abstractNumId w:val="58"/>
  </w:num>
  <w:num w:numId="61" w16cid:durableId="2061131413">
    <w:abstractNumId w:val="48"/>
  </w:num>
  <w:num w:numId="62" w16cid:durableId="1234312183">
    <w:abstractNumId w:val="66"/>
  </w:num>
  <w:num w:numId="63" w16cid:durableId="1156454998">
    <w:abstractNumId w:val="34"/>
  </w:num>
  <w:num w:numId="64" w16cid:durableId="313489395">
    <w:abstractNumId w:val="14"/>
  </w:num>
  <w:num w:numId="65" w16cid:durableId="435365016">
    <w:abstractNumId w:val="3"/>
  </w:num>
  <w:num w:numId="66" w16cid:durableId="12996145">
    <w:abstractNumId w:val="70"/>
  </w:num>
  <w:num w:numId="67" w16cid:durableId="1206912828">
    <w:abstractNumId w:val="45"/>
  </w:num>
  <w:num w:numId="68" w16cid:durableId="127675634">
    <w:abstractNumId w:val="62"/>
  </w:num>
  <w:num w:numId="69" w16cid:durableId="601953905">
    <w:abstractNumId w:val="29"/>
  </w:num>
  <w:num w:numId="70" w16cid:durableId="1614551191">
    <w:abstractNumId w:val="11"/>
  </w:num>
  <w:num w:numId="71" w16cid:durableId="1376656074">
    <w:abstractNumId w:val="72"/>
  </w:num>
  <w:num w:numId="72" w16cid:durableId="1813671409">
    <w:abstractNumId w:val="7"/>
  </w:num>
  <w:num w:numId="73" w16cid:durableId="372118551">
    <w:abstractNumId w:val="33"/>
  </w:num>
  <w:num w:numId="74" w16cid:durableId="1269775793">
    <w:abstractNumId w:val="51"/>
  </w:num>
  <w:num w:numId="75" w16cid:durableId="287442552">
    <w:abstractNumId w:val="18"/>
  </w:num>
  <w:num w:numId="76" w16cid:durableId="2036733833">
    <w:abstractNumId w:val="76"/>
  </w:num>
  <w:num w:numId="77" w16cid:durableId="1759213129">
    <w:abstractNumId w:val="24"/>
  </w:num>
  <w:num w:numId="78" w16cid:durableId="1186291397">
    <w:abstractNumId w:val="79"/>
  </w:num>
  <w:num w:numId="79" w16cid:durableId="184683875">
    <w:abstractNumId w:val="35"/>
  </w:num>
  <w:num w:numId="80" w16cid:durableId="1345940380">
    <w:abstractNumId w:val="32"/>
  </w:num>
  <w:num w:numId="81" w16cid:durableId="1631327724">
    <w:abstractNumId w:val="39"/>
  </w:num>
  <w:num w:numId="82" w16cid:durableId="1968119488">
    <w:abstractNumId w:val="75"/>
  </w:num>
  <w:num w:numId="83" w16cid:durableId="406072757">
    <w:abstractNumId w:val="69"/>
  </w:num>
  <w:num w:numId="84" w16cid:durableId="203989153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57CA"/>
    <w:rsid w:val="00006FB9"/>
    <w:rsid w:val="000114DC"/>
    <w:rsid w:val="00012201"/>
    <w:rsid w:val="00012220"/>
    <w:rsid w:val="00014FD1"/>
    <w:rsid w:val="00015D83"/>
    <w:rsid w:val="000213BA"/>
    <w:rsid w:val="00022EAF"/>
    <w:rsid w:val="00023875"/>
    <w:rsid w:val="00024913"/>
    <w:rsid w:val="000271CC"/>
    <w:rsid w:val="000306A7"/>
    <w:rsid w:val="00031605"/>
    <w:rsid w:val="00032CE7"/>
    <w:rsid w:val="0003685F"/>
    <w:rsid w:val="0004190A"/>
    <w:rsid w:val="00041F04"/>
    <w:rsid w:val="000426E3"/>
    <w:rsid w:val="00045379"/>
    <w:rsid w:val="00045B3C"/>
    <w:rsid w:val="0004682D"/>
    <w:rsid w:val="00047EAF"/>
    <w:rsid w:val="00055224"/>
    <w:rsid w:val="00061821"/>
    <w:rsid w:val="00061CD8"/>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372C"/>
    <w:rsid w:val="00105C41"/>
    <w:rsid w:val="00111DCD"/>
    <w:rsid w:val="00113D3E"/>
    <w:rsid w:val="00114CF9"/>
    <w:rsid w:val="00115A39"/>
    <w:rsid w:val="00115F16"/>
    <w:rsid w:val="001164A1"/>
    <w:rsid w:val="001179DB"/>
    <w:rsid w:val="00121ED7"/>
    <w:rsid w:val="00122EC2"/>
    <w:rsid w:val="00124855"/>
    <w:rsid w:val="001254F5"/>
    <w:rsid w:val="001269A0"/>
    <w:rsid w:val="00136FAD"/>
    <w:rsid w:val="0014029B"/>
    <w:rsid w:val="00143ABC"/>
    <w:rsid w:val="00146C08"/>
    <w:rsid w:val="00146F0A"/>
    <w:rsid w:val="00152C2B"/>
    <w:rsid w:val="0015319B"/>
    <w:rsid w:val="00156EC9"/>
    <w:rsid w:val="001611CC"/>
    <w:rsid w:val="001612E6"/>
    <w:rsid w:val="00161D54"/>
    <w:rsid w:val="00162A4D"/>
    <w:rsid w:val="001649A0"/>
    <w:rsid w:val="001678DF"/>
    <w:rsid w:val="00172924"/>
    <w:rsid w:val="00172C77"/>
    <w:rsid w:val="00172CEE"/>
    <w:rsid w:val="00173E45"/>
    <w:rsid w:val="00175897"/>
    <w:rsid w:val="00176157"/>
    <w:rsid w:val="00180B9F"/>
    <w:rsid w:val="00181CC5"/>
    <w:rsid w:val="00182911"/>
    <w:rsid w:val="0018726A"/>
    <w:rsid w:val="00193784"/>
    <w:rsid w:val="0019396C"/>
    <w:rsid w:val="00194B4C"/>
    <w:rsid w:val="001957D7"/>
    <w:rsid w:val="001A02EC"/>
    <w:rsid w:val="001A1D9B"/>
    <w:rsid w:val="001A1FF5"/>
    <w:rsid w:val="001A318E"/>
    <w:rsid w:val="001A577E"/>
    <w:rsid w:val="001A7C9B"/>
    <w:rsid w:val="001B05B9"/>
    <w:rsid w:val="001B48E2"/>
    <w:rsid w:val="001B7451"/>
    <w:rsid w:val="001B7B88"/>
    <w:rsid w:val="001C01B7"/>
    <w:rsid w:val="001C1363"/>
    <w:rsid w:val="001C2D1E"/>
    <w:rsid w:val="001C3E7E"/>
    <w:rsid w:val="001C5B3C"/>
    <w:rsid w:val="001C7319"/>
    <w:rsid w:val="001C7D87"/>
    <w:rsid w:val="001D0192"/>
    <w:rsid w:val="001D3DE9"/>
    <w:rsid w:val="001D3E87"/>
    <w:rsid w:val="001D4438"/>
    <w:rsid w:val="001D4669"/>
    <w:rsid w:val="001D67B5"/>
    <w:rsid w:val="001D7575"/>
    <w:rsid w:val="001E456C"/>
    <w:rsid w:val="001F3F3C"/>
    <w:rsid w:val="001F4025"/>
    <w:rsid w:val="00211C66"/>
    <w:rsid w:val="0021296D"/>
    <w:rsid w:val="00212CB5"/>
    <w:rsid w:val="0021501E"/>
    <w:rsid w:val="00215A83"/>
    <w:rsid w:val="00216ABF"/>
    <w:rsid w:val="00217852"/>
    <w:rsid w:val="00220339"/>
    <w:rsid w:val="002205C0"/>
    <w:rsid w:val="00226760"/>
    <w:rsid w:val="002303A7"/>
    <w:rsid w:val="00231D77"/>
    <w:rsid w:val="002324F1"/>
    <w:rsid w:val="0023373D"/>
    <w:rsid w:val="0023423C"/>
    <w:rsid w:val="00236C82"/>
    <w:rsid w:val="0024638F"/>
    <w:rsid w:val="00246807"/>
    <w:rsid w:val="00247537"/>
    <w:rsid w:val="00247D10"/>
    <w:rsid w:val="00250470"/>
    <w:rsid w:val="00252985"/>
    <w:rsid w:val="002577FE"/>
    <w:rsid w:val="00266DEC"/>
    <w:rsid w:val="00266E00"/>
    <w:rsid w:val="002674C9"/>
    <w:rsid w:val="00271EED"/>
    <w:rsid w:val="002725E3"/>
    <w:rsid w:val="00273D0E"/>
    <w:rsid w:val="00283BF1"/>
    <w:rsid w:val="0028788A"/>
    <w:rsid w:val="002915F2"/>
    <w:rsid w:val="00292885"/>
    <w:rsid w:val="002942AD"/>
    <w:rsid w:val="00296A44"/>
    <w:rsid w:val="00297140"/>
    <w:rsid w:val="00297368"/>
    <w:rsid w:val="00297870"/>
    <w:rsid w:val="002A0104"/>
    <w:rsid w:val="002A2034"/>
    <w:rsid w:val="002A24F4"/>
    <w:rsid w:val="002A38BF"/>
    <w:rsid w:val="002A597E"/>
    <w:rsid w:val="002B1410"/>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2D0B"/>
    <w:rsid w:val="002F37BE"/>
    <w:rsid w:val="002F3FC4"/>
    <w:rsid w:val="002F5A7C"/>
    <w:rsid w:val="002F5BA9"/>
    <w:rsid w:val="002F700B"/>
    <w:rsid w:val="00300D0B"/>
    <w:rsid w:val="00301522"/>
    <w:rsid w:val="0030471E"/>
    <w:rsid w:val="00306096"/>
    <w:rsid w:val="00306848"/>
    <w:rsid w:val="00311566"/>
    <w:rsid w:val="0031645D"/>
    <w:rsid w:val="0032024D"/>
    <w:rsid w:val="00320A67"/>
    <w:rsid w:val="0032220E"/>
    <w:rsid w:val="00324C2A"/>
    <w:rsid w:val="003266DA"/>
    <w:rsid w:val="00326AAA"/>
    <w:rsid w:val="003272FB"/>
    <w:rsid w:val="00330F3C"/>
    <w:rsid w:val="0033299C"/>
    <w:rsid w:val="00334158"/>
    <w:rsid w:val="003349F3"/>
    <w:rsid w:val="003406C5"/>
    <w:rsid w:val="003410F2"/>
    <w:rsid w:val="00344BDE"/>
    <w:rsid w:val="0035016E"/>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14"/>
    <w:rsid w:val="003812E0"/>
    <w:rsid w:val="003869DF"/>
    <w:rsid w:val="00394A1E"/>
    <w:rsid w:val="003969CB"/>
    <w:rsid w:val="00397C0C"/>
    <w:rsid w:val="003A378D"/>
    <w:rsid w:val="003A61F9"/>
    <w:rsid w:val="003B171C"/>
    <w:rsid w:val="003B1E88"/>
    <w:rsid w:val="003B4030"/>
    <w:rsid w:val="003B45EA"/>
    <w:rsid w:val="003B5FD0"/>
    <w:rsid w:val="003B750C"/>
    <w:rsid w:val="003C4F65"/>
    <w:rsid w:val="003C5DEB"/>
    <w:rsid w:val="003D08E9"/>
    <w:rsid w:val="003D2D99"/>
    <w:rsid w:val="003D4107"/>
    <w:rsid w:val="003D78A3"/>
    <w:rsid w:val="003E05A5"/>
    <w:rsid w:val="003E128A"/>
    <w:rsid w:val="003E16E1"/>
    <w:rsid w:val="003E5144"/>
    <w:rsid w:val="003F3A54"/>
    <w:rsid w:val="004012CF"/>
    <w:rsid w:val="00402831"/>
    <w:rsid w:val="00402A46"/>
    <w:rsid w:val="00402FF3"/>
    <w:rsid w:val="00403A1E"/>
    <w:rsid w:val="004069EB"/>
    <w:rsid w:val="004071A7"/>
    <w:rsid w:val="00410789"/>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66B0E"/>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C39DC"/>
    <w:rsid w:val="004D08EB"/>
    <w:rsid w:val="004D0C64"/>
    <w:rsid w:val="004D2B23"/>
    <w:rsid w:val="004D2C8F"/>
    <w:rsid w:val="004D2D18"/>
    <w:rsid w:val="004D5AD4"/>
    <w:rsid w:val="004E0136"/>
    <w:rsid w:val="004E1318"/>
    <w:rsid w:val="004E2371"/>
    <w:rsid w:val="004E5994"/>
    <w:rsid w:val="004E6BE9"/>
    <w:rsid w:val="004F17FE"/>
    <w:rsid w:val="004F66EC"/>
    <w:rsid w:val="00503655"/>
    <w:rsid w:val="005037B3"/>
    <w:rsid w:val="005039A0"/>
    <w:rsid w:val="00504FB2"/>
    <w:rsid w:val="00506846"/>
    <w:rsid w:val="00506A6D"/>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0E2E"/>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05F"/>
    <w:rsid w:val="0058671A"/>
    <w:rsid w:val="00593E91"/>
    <w:rsid w:val="00595568"/>
    <w:rsid w:val="005A0B49"/>
    <w:rsid w:val="005A1BC9"/>
    <w:rsid w:val="005A5930"/>
    <w:rsid w:val="005A6D57"/>
    <w:rsid w:val="005A7F1F"/>
    <w:rsid w:val="005B36D5"/>
    <w:rsid w:val="005B5B70"/>
    <w:rsid w:val="005B5F05"/>
    <w:rsid w:val="005B60F0"/>
    <w:rsid w:val="005C04BB"/>
    <w:rsid w:val="005C123F"/>
    <w:rsid w:val="005C6605"/>
    <w:rsid w:val="005C6982"/>
    <w:rsid w:val="005C741B"/>
    <w:rsid w:val="005D15A3"/>
    <w:rsid w:val="005D1602"/>
    <w:rsid w:val="005D2B59"/>
    <w:rsid w:val="005D362F"/>
    <w:rsid w:val="005D370F"/>
    <w:rsid w:val="005E2749"/>
    <w:rsid w:val="005E46D0"/>
    <w:rsid w:val="005E48E4"/>
    <w:rsid w:val="005E4D7C"/>
    <w:rsid w:val="005E5834"/>
    <w:rsid w:val="005E65F2"/>
    <w:rsid w:val="005E6E57"/>
    <w:rsid w:val="005F048E"/>
    <w:rsid w:val="005F4734"/>
    <w:rsid w:val="005F57F0"/>
    <w:rsid w:val="005F6252"/>
    <w:rsid w:val="005F7598"/>
    <w:rsid w:val="00607168"/>
    <w:rsid w:val="0061042F"/>
    <w:rsid w:val="00610C37"/>
    <w:rsid w:val="006114BA"/>
    <w:rsid w:val="006168E4"/>
    <w:rsid w:val="00624EB5"/>
    <w:rsid w:val="00626A70"/>
    <w:rsid w:val="006323CA"/>
    <w:rsid w:val="006329AB"/>
    <w:rsid w:val="00633DE8"/>
    <w:rsid w:val="006360F3"/>
    <w:rsid w:val="00636327"/>
    <w:rsid w:val="006369B4"/>
    <w:rsid w:val="00637512"/>
    <w:rsid w:val="00640EE4"/>
    <w:rsid w:val="00641150"/>
    <w:rsid w:val="0064185C"/>
    <w:rsid w:val="006466F5"/>
    <w:rsid w:val="0064761A"/>
    <w:rsid w:val="0065043F"/>
    <w:rsid w:val="00650C5E"/>
    <w:rsid w:val="0065263E"/>
    <w:rsid w:val="00652A6B"/>
    <w:rsid w:val="00654718"/>
    <w:rsid w:val="00657DAD"/>
    <w:rsid w:val="00660C59"/>
    <w:rsid w:val="00661753"/>
    <w:rsid w:val="00662035"/>
    <w:rsid w:val="006620AC"/>
    <w:rsid w:val="006652F8"/>
    <w:rsid w:val="00667DD9"/>
    <w:rsid w:val="00677379"/>
    <w:rsid w:val="006816EF"/>
    <w:rsid w:val="006848B7"/>
    <w:rsid w:val="00686FD5"/>
    <w:rsid w:val="00697278"/>
    <w:rsid w:val="006A02AC"/>
    <w:rsid w:val="006A04CA"/>
    <w:rsid w:val="006A2BEC"/>
    <w:rsid w:val="006A4785"/>
    <w:rsid w:val="006B10D7"/>
    <w:rsid w:val="006B1953"/>
    <w:rsid w:val="006B1BF1"/>
    <w:rsid w:val="006B26E3"/>
    <w:rsid w:val="006B34A6"/>
    <w:rsid w:val="006B4B63"/>
    <w:rsid w:val="006B5DDC"/>
    <w:rsid w:val="006B68FC"/>
    <w:rsid w:val="006B7294"/>
    <w:rsid w:val="006B7444"/>
    <w:rsid w:val="006C698B"/>
    <w:rsid w:val="006D1F6B"/>
    <w:rsid w:val="006D23FC"/>
    <w:rsid w:val="006D7FD9"/>
    <w:rsid w:val="006E21BB"/>
    <w:rsid w:val="006E7563"/>
    <w:rsid w:val="006F082F"/>
    <w:rsid w:val="006F3C14"/>
    <w:rsid w:val="006F5F55"/>
    <w:rsid w:val="00701033"/>
    <w:rsid w:val="00701B61"/>
    <w:rsid w:val="00702C82"/>
    <w:rsid w:val="00703614"/>
    <w:rsid w:val="00711911"/>
    <w:rsid w:val="007164CD"/>
    <w:rsid w:val="007172F5"/>
    <w:rsid w:val="00717E41"/>
    <w:rsid w:val="0072689F"/>
    <w:rsid w:val="007316B6"/>
    <w:rsid w:val="00732104"/>
    <w:rsid w:val="00734B46"/>
    <w:rsid w:val="00736C2C"/>
    <w:rsid w:val="00736D41"/>
    <w:rsid w:val="0074122D"/>
    <w:rsid w:val="00741327"/>
    <w:rsid w:val="00742EAF"/>
    <w:rsid w:val="00744EEF"/>
    <w:rsid w:val="007456B7"/>
    <w:rsid w:val="00754CAE"/>
    <w:rsid w:val="007550F3"/>
    <w:rsid w:val="007568AD"/>
    <w:rsid w:val="00763C1A"/>
    <w:rsid w:val="00770CD1"/>
    <w:rsid w:val="00770FCE"/>
    <w:rsid w:val="00771AC2"/>
    <w:rsid w:val="00772E31"/>
    <w:rsid w:val="007748C4"/>
    <w:rsid w:val="00774A9C"/>
    <w:rsid w:val="007770C2"/>
    <w:rsid w:val="00777164"/>
    <w:rsid w:val="00780B57"/>
    <w:rsid w:val="00781530"/>
    <w:rsid w:val="007830E9"/>
    <w:rsid w:val="007835B9"/>
    <w:rsid w:val="00783A07"/>
    <w:rsid w:val="007851D5"/>
    <w:rsid w:val="00787D06"/>
    <w:rsid w:val="007929FA"/>
    <w:rsid w:val="0079486A"/>
    <w:rsid w:val="00794F80"/>
    <w:rsid w:val="0079735D"/>
    <w:rsid w:val="007A1C9E"/>
    <w:rsid w:val="007A3206"/>
    <w:rsid w:val="007A4692"/>
    <w:rsid w:val="007A4A04"/>
    <w:rsid w:val="007A62CC"/>
    <w:rsid w:val="007B0046"/>
    <w:rsid w:val="007B2303"/>
    <w:rsid w:val="007B2C77"/>
    <w:rsid w:val="007B3414"/>
    <w:rsid w:val="007B403C"/>
    <w:rsid w:val="007B68F7"/>
    <w:rsid w:val="007C1116"/>
    <w:rsid w:val="007C4168"/>
    <w:rsid w:val="007C45D8"/>
    <w:rsid w:val="007D1A27"/>
    <w:rsid w:val="007D1B24"/>
    <w:rsid w:val="007D1F15"/>
    <w:rsid w:val="007D25B1"/>
    <w:rsid w:val="007D2878"/>
    <w:rsid w:val="007D3203"/>
    <w:rsid w:val="007D4303"/>
    <w:rsid w:val="007D43D3"/>
    <w:rsid w:val="007E5D51"/>
    <w:rsid w:val="007E6161"/>
    <w:rsid w:val="007E7BAB"/>
    <w:rsid w:val="007E7DCE"/>
    <w:rsid w:val="007F0A4D"/>
    <w:rsid w:val="007F1441"/>
    <w:rsid w:val="007F20AC"/>
    <w:rsid w:val="007F53A0"/>
    <w:rsid w:val="007F7A92"/>
    <w:rsid w:val="0080158F"/>
    <w:rsid w:val="008024BA"/>
    <w:rsid w:val="00802C56"/>
    <w:rsid w:val="00807A3D"/>
    <w:rsid w:val="00811205"/>
    <w:rsid w:val="00811D55"/>
    <w:rsid w:val="00812C48"/>
    <w:rsid w:val="0081447E"/>
    <w:rsid w:val="008146F9"/>
    <w:rsid w:val="00817A08"/>
    <w:rsid w:val="00822215"/>
    <w:rsid w:val="00824DCD"/>
    <w:rsid w:val="00825CB5"/>
    <w:rsid w:val="00832CE7"/>
    <w:rsid w:val="00833011"/>
    <w:rsid w:val="00836B8D"/>
    <w:rsid w:val="008427E4"/>
    <w:rsid w:val="00843314"/>
    <w:rsid w:val="00844569"/>
    <w:rsid w:val="008466EC"/>
    <w:rsid w:val="008474E1"/>
    <w:rsid w:val="00847D23"/>
    <w:rsid w:val="0085196B"/>
    <w:rsid w:val="00853BED"/>
    <w:rsid w:val="00855266"/>
    <w:rsid w:val="00863327"/>
    <w:rsid w:val="00866F25"/>
    <w:rsid w:val="00870F44"/>
    <w:rsid w:val="00871DC1"/>
    <w:rsid w:val="008724F6"/>
    <w:rsid w:val="00884054"/>
    <w:rsid w:val="00887CDA"/>
    <w:rsid w:val="00891C7A"/>
    <w:rsid w:val="008936E7"/>
    <w:rsid w:val="00895089"/>
    <w:rsid w:val="008951ED"/>
    <w:rsid w:val="008960D1"/>
    <w:rsid w:val="008A0A23"/>
    <w:rsid w:val="008A68CA"/>
    <w:rsid w:val="008A75BE"/>
    <w:rsid w:val="008B02FB"/>
    <w:rsid w:val="008B0679"/>
    <w:rsid w:val="008B1E28"/>
    <w:rsid w:val="008B3A59"/>
    <w:rsid w:val="008B42B1"/>
    <w:rsid w:val="008B5224"/>
    <w:rsid w:val="008B7382"/>
    <w:rsid w:val="008C0375"/>
    <w:rsid w:val="008C32A8"/>
    <w:rsid w:val="008C55A3"/>
    <w:rsid w:val="008C5A03"/>
    <w:rsid w:val="008C5E94"/>
    <w:rsid w:val="008D038F"/>
    <w:rsid w:val="008D1D2A"/>
    <w:rsid w:val="008D3703"/>
    <w:rsid w:val="008D4154"/>
    <w:rsid w:val="008D4EB7"/>
    <w:rsid w:val="008D6297"/>
    <w:rsid w:val="008D6D04"/>
    <w:rsid w:val="008E3791"/>
    <w:rsid w:val="008E6375"/>
    <w:rsid w:val="008F0117"/>
    <w:rsid w:val="008F4C65"/>
    <w:rsid w:val="00905422"/>
    <w:rsid w:val="00913133"/>
    <w:rsid w:val="00913221"/>
    <w:rsid w:val="00920128"/>
    <w:rsid w:val="00921DB9"/>
    <w:rsid w:val="0092403D"/>
    <w:rsid w:val="009268BB"/>
    <w:rsid w:val="00926D4D"/>
    <w:rsid w:val="00927858"/>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184A"/>
    <w:rsid w:val="00972BDF"/>
    <w:rsid w:val="0098182D"/>
    <w:rsid w:val="00990C92"/>
    <w:rsid w:val="00991F20"/>
    <w:rsid w:val="009923E0"/>
    <w:rsid w:val="00992B5E"/>
    <w:rsid w:val="009950AD"/>
    <w:rsid w:val="00996BFF"/>
    <w:rsid w:val="00997E87"/>
    <w:rsid w:val="009A0AF8"/>
    <w:rsid w:val="009A1139"/>
    <w:rsid w:val="009A3D4D"/>
    <w:rsid w:val="009A49FE"/>
    <w:rsid w:val="009A686F"/>
    <w:rsid w:val="009A77EC"/>
    <w:rsid w:val="009A7DBA"/>
    <w:rsid w:val="009B057C"/>
    <w:rsid w:val="009B33A8"/>
    <w:rsid w:val="009B3487"/>
    <w:rsid w:val="009B5FB5"/>
    <w:rsid w:val="009B7C61"/>
    <w:rsid w:val="009C2422"/>
    <w:rsid w:val="009C2AE5"/>
    <w:rsid w:val="009C3793"/>
    <w:rsid w:val="009C5799"/>
    <w:rsid w:val="009C5DB9"/>
    <w:rsid w:val="009C7074"/>
    <w:rsid w:val="009D25FE"/>
    <w:rsid w:val="009D68A0"/>
    <w:rsid w:val="009E0867"/>
    <w:rsid w:val="009E0A25"/>
    <w:rsid w:val="009E1411"/>
    <w:rsid w:val="009E45A0"/>
    <w:rsid w:val="009E49A3"/>
    <w:rsid w:val="009E52F2"/>
    <w:rsid w:val="009F0515"/>
    <w:rsid w:val="009F1A4C"/>
    <w:rsid w:val="009F3C1F"/>
    <w:rsid w:val="009F51E1"/>
    <w:rsid w:val="009F614E"/>
    <w:rsid w:val="009F6571"/>
    <w:rsid w:val="009F762B"/>
    <w:rsid w:val="00A00E96"/>
    <w:rsid w:val="00A02047"/>
    <w:rsid w:val="00A036BE"/>
    <w:rsid w:val="00A12205"/>
    <w:rsid w:val="00A155B9"/>
    <w:rsid w:val="00A214B4"/>
    <w:rsid w:val="00A32D63"/>
    <w:rsid w:val="00A345F6"/>
    <w:rsid w:val="00A348B5"/>
    <w:rsid w:val="00A34DDD"/>
    <w:rsid w:val="00A351D7"/>
    <w:rsid w:val="00A35F12"/>
    <w:rsid w:val="00A37DAA"/>
    <w:rsid w:val="00A41327"/>
    <w:rsid w:val="00A4436A"/>
    <w:rsid w:val="00A453DC"/>
    <w:rsid w:val="00A45721"/>
    <w:rsid w:val="00A457D1"/>
    <w:rsid w:val="00A47E87"/>
    <w:rsid w:val="00A47F39"/>
    <w:rsid w:val="00A516E8"/>
    <w:rsid w:val="00A520C9"/>
    <w:rsid w:val="00A525D9"/>
    <w:rsid w:val="00A52BA3"/>
    <w:rsid w:val="00A565E7"/>
    <w:rsid w:val="00A6185A"/>
    <w:rsid w:val="00A625E2"/>
    <w:rsid w:val="00A67B13"/>
    <w:rsid w:val="00A71080"/>
    <w:rsid w:val="00A72465"/>
    <w:rsid w:val="00A72DCB"/>
    <w:rsid w:val="00A75001"/>
    <w:rsid w:val="00A80C92"/>
    <w:rsid w:val="00A812C8"/>
    <w:rsid w:val="00A82461"/>
    <w:rsid w:val="00A83323"/>
    <w:rsid w:val="00A85006"/>
    <w:rsid w:val="00A851D8"/>
    <w:rsid w:val="00A86352"/>
    <w:rsid w:val="00A90295"/>
    <w:rsid w:val="00A91E94"/>
    <w:rsid w:val="00A9227B"/>
    <w:rsid w:val="00A93540"/>
    <w:rsid w:val="00A953BA"/>
    <w:rsid w:val="00AA1A2C"/>
    <w:rsid w:val="00AA207C"/>
    <w:rsid w:val="00AA5D62"/>
    <w:rsid w:val="00AB3710"/>
    <w:rsid w:val="00AB37EB"/>
    <w:rsid w:val="00AB4B0F"/>
    <w:rsid w:val="00AB6C3B"/>
    <w:rsid w:val="00AB7525"/>
    <w:rsid w:val="00AC1971"/>
    <w:rsid w:val="00AC5D43"/>
    <w:rsid w:val="00AD15A7"/>
    <w:rsid w:val="00AD6BEE"/>
    <w:rsid w:val="00AE008F"/>
    <w:rsid w:val="00AE1EF2"/>
    <w:rsid w:val="00AE33FE"/>
    <w:rsid w:val="00AF1248"/>
    <w:rsid w:val="00AF55AC"/>
    <w:rsid w:val="00B07D6D"/>
    <w:rsid w:val="00B1003A"/>
    <w:rsid w:val="00B103E0"/>
    <w:rsid w:val="00B11E08"/>
    <w:rsid w:val="00B12E48"/>
    <w:rsid w:val="00B13C33"/>
    <w:rsid w:val="00B16F93"/>
    <w:rsid w:val="00B26C37"/>
    <w:rsid w:val="00B32CD3"/>
    <w:rsid w:val="00B35834"/>
    <w:rsid w:val="00B35A93"/>
    <w:rsid w:val="00B3635B"/>
    <w:rsid w:val="00B3672D"/>
    <w:rsid w:val="00B36D2B"/>
    <w:rsid w:val="00B47192"/>
    <w:rsid w:val="00B4745C"/>
    <w:rsid w:val="00B477AC"/>
    <w:rsid w:val="00B6107A"/>
    <w:rsid w:val="00B61D75"/>
    <w:rsid w:val="00B62F0D"/>
    <w:rsid w:val="00B66CCB"/>
    <w:rsid w:val="00B66DB3"/>
    <w:rsid w:val="00B7258D"/>
    <w:rsid w:val="00B72B0F"/>
    <w:rsid w:val="00B72D1B"/>
    <w:rsid w:val="00B741B2"/>
    <w:rsid w:val="00B75A86"/>
    <w:rsid w:val="00B7668E"/>
    <w:rsid w:val="00B80028"/>
    <w:rsid w:val="00B833EA"/>
    <w:rsid w:val="00B85271"/>
    <w:rsid w:val="00B85EF3"/>
    <w:rsid w:val="00B86B05"/>
    <w:rsid w:val="00B9223B"/>
    <w:rsid w:val="00B960DA"/>
    <w:rsid w:val="00B97604"/>
    <w:rsid w:val="00BA11EC"/>
    <w:rsid w:val="00BA4D1F"/>
    <w:rsid w:val="00BA7AD1"/>
    <w:rsid w:val="00BB04EC"/>
    <w:rsid w:val="00BB18B7"/>
    <w:rsid w:val="00BB2250"/>
    <w:rsid w:val="00BB4A68"/>
    <w:rsid w:val="00BB58EE"/>
    <w:rsid w:val="00BB739A"/>
    <w:rsid w:val="00BC0FDD"/>
    <w:rsid w:val="00BC14E6"/>
    <w:rsid w:val="00BC22E0"/>
    <w:rsid w:val="00BD001D"/>
    <w:rsid w:val="00BD30FE"/>
    <w:rsid w:val="00BD65B1"/>
    <w:rsid w:val="00BE0E4A"/>
    <w:rsid w:val="00BE0F79"/>
    <w:rsid w:val="00BE21EF"/>
    <w:rsid w:val="00BE28ED"/>
    <w:rsid w:val="00BE3E18"/>
    <w:rsid w:val="00BE673B"/>
    <w:rsid w:val="00BE688D"/>
    <w:rsid w:val="00BE7C9B"/>
    <w:rsid w:val="00BF01A7"/>
    <w:rsid w:val="00BF0A4C"/>
    <w:rsid w:val="00BF0D34"/>
    <w:rsid w:val="00BF1ECA"/>
    <w:rsid w:val="00BF3A47"/>
    <w:rsid w:val="00BF3F7C"/>
    <w:rsid w:val="00C00463"/>
    <w:rsid w:val="00C0147E"/>
    <w:rsid w:val="00C03F20"/>
    <w:rsid w:val="00C04FE4"/>
    <w:rsid w:val="00C05AAC"/>
    <w:rsid w:val="00C1588F"/>
    <w:rsid w:val="00C219E6"/>
    <w:rsid w:val="00C25084"/>
    <w:rsid w:val="00C266D8"/>
    <w:rsid w:val="00C30A4F"/>
    <w:rsid w:val="00C31401"/>
    <w:rsid w:val="00C378D4"/>
    <w:rsid w:val="00C41665"/>
    <w:rsid w:val="00C41758"/>
    <w:rsid w:val="00C429E1"/>
    <w:rsid w:val="00C462F8"/>
    <w:rsid w:val="00C56CD2"/>
    <w:rsid w:val="00C70B66"/>
    <w:rsid w:val="00C71CD1"/>
    <w:rsid w:val="00C73143"/>
    <w:rsid w:val="00C73B63"/>
    <w:rsid w:val="00C77685"/>
    <w:rsid w:val="00C77815"/>
    <w:rsid w:val="00C80100"/>
    <w:rsid w:val="00C8239D"/>
    <w:rsid w:val="00C84901"/>
    <w:rsid w:val="00C8491D"/>
    <w:rsid w:val="00C85378"/>
    <w:rsid w:val="00C928F1"/>
    <w:rsid w:val="00C9297C"/>
    <w:rsid w:val="00C94D5F"/>
    <w:rsid w:val="00C9700F"/>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766"/>
    <w:rsid w:val="00CE2ADF"/>
    <w:rsid w:val="00CE3713"/>
    <w:rsid w:val="00CF0807"/>
    <w:rsid w:val="00CF1463"/>
    <w:rsid w:val="00CF1976"/>
    <w:rsid w:val="00CF1D7D"/>
    <w:rsid w:val="00CF45D3"/>
    <w:rsid w:val="00CF5787"/>
    <w:rsid w:val="00CF6B6C"/>
    <w:rsid w:val="00D01197"/>
    <w:rsid w:val="00D042BB"/>
    <w:rsid w:val="00D058B0"/>
    <w:rsid w:val="00D05C8E"/>
    <w:rsid w:val="00D06CA0"/>
    <w:rsid w:val="00D11F7D"/>
    <w:rsid w:val="00D11FC3"/>
    <w:rsid w:val="00D1275E"/>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4693D"/>
    <w:rsid w:val="00D52AC7"/>
    <w:rsid w:val="00D53772"/>
    <w:rsid w:val="00D54CA9"/>
    <w:rsid w:val="00D556EC"/>
    <w:rsid w:val="00D56D67"/>
    <w:rsid w:val="00D6340F"/>
    <w:rsid w:val="00D72D16"/>
    <w:rsid w:val="00D74213"/>
    <w:rsid w:val="00D7792E"/>
    <w:rsid w:val="00D8049E"/>
    <w:rsid w:val="00D804D4"/>
    <w:rsid w:val="00D81032"/>
    <w:rsid w:val="00D81914"/>
    <w:rsid w:val="00D8195B"/>
    <w:rsid w:val="00D83FD2"/>
    <w:rsid w:val="00D8561C"/>
    <w:rsid w:val="00D8619F"/>
    <w:rsid w:val="00D86764"/>
    <w:rsid w:val="00D90DA7"/>
    <w:rsid w:val="00D924C9"/>
    <w:rsid w:val="00D92F0C"/>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D4351"/>
    <w:rsid w:val="00DD6A37"/>
    <w:rsid w:val="00DE153B"/>
    <w:rsid w:val="00DE3B70"/>
    <w:rsid w:val="00DF003C"/>
    <w:rsid w:val="00DF4501"/>
    <w:rsid w:val="00DF719A"/>
    <w:rsid w:val="00DF723C"/>
    <w:rsid w:val="00DF783E"/>
    <w:rsid w:val="00DF78AE"/>
    <w:rsid w:val="00E01ADB"/>
    <w:rsid w:val="00E029A8"/>
    <w:rsid w:val="00E117EC"/>
    <w:rsid w:val="00E11E2E"/>
    <w:rsid w:val="00E15602"/>
    <w:rsid w:val="00E173AC"/>
    <w:rsid w:val="00E24CF4"/>
    <w:rsid w:val="00E26A43"/>
    <w:rsid w:val="00E27279"/>
    <w:rsid w:val="00E31699"/>
    <w:rsid w:val="00E316D8"/>
    <w:rsid w:val="00E32707"/>
    <w:rsid w:val="00E32BF3"/>
    <w:rsid w:val="00E348A5"/>
    <w:rsid w:val="00E371EC"/>
    <w:rsid w:val="00E422D7"/>
    <w:rsid w:val="00E469E1"/>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689"/>
    <w:rsid w:val="00EF5956"/>
    <w:rsid w:val="00F02923"/>
    <w:rsid w:val="00F02B2C"/>
    <w:rsid w:val="00F0351B"/>
    <w:rsid w:val="00F04E34"/>
    <w:rsid w:val="00F06472"/>
    <w:rsid w:val="00F06F04"/>
    <w:rsid w:val="00F0721E"/>
    <w:rsid w:val="00F0754E"/>
    <w:rsid w:val="00F0756F"/>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647F3"/>
    <w:rsid w:val="00F7260C"/>
    <w:rsid w:val="00F727B0"/>
    <w:rsid w:val="00F72B5D"/>
    <w:rsid w:val="00F750BE"/>
    <w:rsid w:val="00F84FFF"/>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B6C8F"/>
    <w:rsid w:val="00FC02ED"/>
    <w:rsid w:val="00FC4E89"/>
    <w:rsid w:val="00FC4F9B"/>
    <w:rsid w:val="00FC59F0"/>
    <w:rsid w:val="00FC5E56"/>
    <w:rsid w:val="00FD2899"/>
    <w:rsid w:val="00FD40C6"/>
    <w:rsid w:val="00FD4599"/>
    <w:rsid w:val="00FD4784"/>
    <w:rsid w:val="00FD4D25"/>
    <w:rsid w:val="00FD65FE"/>
    <w:rsid w:val="00FD68C0"/>
    <w:rsid w:val="00FD6B1B"/>
    <w:rsid w:val="00FE08B8"/>
    <w:rsid w:val="00FE0C67"/>
    <w:rsid w:val="00FE3D5E"/>
    <w:rsid w:val="00FE4640"/>
    <w:rsid w:val="00FF1EFA"/>
    <w:rsid w:val="00FF7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styleId="Mencinsinresolver">
    <w:name w:val="Unresolved Mention"/>
    <w:basedOn w:val="Fuentedeprrafopredeter"/>
    <w:uiPriority w:val="99"/>
    <w:semiHidden/>
    <w:unhideWhenUsed/>
    <w:rsid w:val="00D1275E"/>
    <w:rPr>
      <w:color w:val="605E5C"/>
      <w:shd w:val="clear" w:color="auto" w:fill="E1DFDD"/>
    </w:rPr>
  </w:style>
  <w:style w:type="paragraph" w:customStyle="1" w:styleId="CitasINFOEM">
    <w:name w:val="Citas INFOEM"/>
    <w:basedOn w:val="Normal"/>
    <w:qFormat/>
    <w:rsid w:val="00BB18B7"/>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12406106">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0EFB-CB9C-4AE3-AC89-5B049DF9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43</Pages>
  <Words>7906</Words>
  <Characters>43488</Characters>
  <Application>Microsoft Office Word</Application>
  <DocSecurity>0</DocSecurity>
  <Lines>362</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20</cp:revision>
  <cp:lastPrinted>2020-01-30T23:10:00Z</cp:lastPrinted>
  <dcterms:created xsi:type="dcterms:W3CDTF">2023-11-06T16:13:00Z</dcterms:created>
  <dcterms:modified xsi:type="dcterms:W3CDTF">2023-12-08T17:40:00Z</dcterms:modified>
</cp:coreProperties>
</file>