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3479FE" w14:textId="77777777" w:rsidR="00C94342" w:rsidRDefault="005B40C0">
      <w:pPr>
        <w:spacing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103657">
        <w:rPr>
          <w:rFonts w:ascii="Palatino Linotype" w:eastAsia="Palatino Linotype" w:hAnsi="Palatino Linotype" w:cs="Palatino Linotype"/>
        </w:rPr>
        <w:t>pec, Estado</w:t>
      </w:r>
      <w:r w:rsidR="0083578D">
        <w:rPr>
          <w:rFonts w:ascii="Palatino Linotype" w:eastAsia="Palatino Linotype" w:hAnsi="Palatino Linotype" w:cs="Palatino Linotype"/>
        </w:rPr>
        <w:t xml:space="preserve"> de México, treinta</w:t>
      </w:r>
      <w:r>
        <w:rPr>
          <w:rFonts w:ascii="Palatino Linotype" w:eastAsia="Palatino Linotype" w:hAnsi="Palatino Linotype" w:cs="Palatino Linotype"/>
        </w:rPr>
        <w:t xml:space="preserve"> de agosto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rPr>
        <w:t xml:space="preserve">de dos mil veintitrés. </w:t>
      </w:r>
    </w:p>
    <w:p w14:paraId="3D38AA23" w14:textId="77777777" w:rsidR="00C94342" w:rsidRDefault="00C94342">
      <w:pPr>
        <w:spacing w:line="360" w:lineRule="auto"/>
        <w:jc w:val="both"/>
        <w:rPr>
          <w:rFonts w:ascii="Palatino Linotype" w:eastAsia="Palatino Linotype" w:hAnsi="Palatino Linotype" w:cs="Palatino Linotype"/>
          <w:b/>
        </w:rPr>
      </w:pPr>
    </w:p>
    <w:p w14:paraId="41E3E8A4" w14:textId="77777777" w:rsidR="00C94342" w:rsidRPr="00470383" w:rsidRDefault="005B40C0">
      <w:pPr>
        <w:spacing w:line="360" w:lineRule="auto"/>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rPr>
        <w:t xml:space="preserve">VISTO </w:t>
      </w:r>
      <w:r>
        <w:rPr>
          <w:rFonts w:ascii="Palatino Linotype" w:eastAsia="Palatino Linotype" w:hAnsi="Palatino Linotype" w:cs="Palatino Linotype"/>
        </w:rPr>
        <w:t xml:space="preserve">el expediente relativo al recurso de revisión </w:t>
      </w:r>
      <w:r w:rsidR="00C15ABC">
        <w:rPr>
          <w:rFonts w:ascii="Palatino Linotype" w:eastAsia="Palatino Linotype" w:hAnsi="Palatino Linotype" w:cs="Palatino Linotype"/>
          <w:b/>
        </w:rPr>
        <w:t>17564/INFOEM/ICR-139</w:t>
      </w:r>
      <w:r>
        <w:rPr>
          <w:rFonts w:ascii="Palatino Linotype" w:eastAsia="Palatino Linotype" w:hAnsi="Palatino Linotype" w:cs="Palatino Linotype"/>
          <w:b/>
        </w:rPr>
        <w:t>/IP/RR/2022</w:t>
      </w:r>
      <w:r>
        <w:rPr>
          <w:rFonts w:ascii="Palatino Linotype" w:eastAsia="Palatino Linotype" w:hAnsi="Palatino Linotype" w:cs="Palatino Linotype"/>
        </w:rPr>
        <w:t xml:space="preserve">, interpuesto por una persona que no señaló nombre o seudónimo, a quien en lo sucesivo le denominaremos como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contra de la falta de respuesta a la solicitud de información con número de folio</w:t>
      </w:r>
      <w:r w:rsidR="00C15ABC">
        <w:rPr>
          <w:rFonts w:ascii="Palatino Linotype" w:eastAsia="Palatino Linotype" w:hAnsi="Palatino Linotype" w:cs="Palatino Linotype"/>
          <w:b/>
        </w:rPr>
        <w:t xml:space="preserve"> 0129</w:t>
      </w:r>
      <w:r w:rsidR="00A8222C">
        <w:rPr>
          <w:rFonts w:ascii="Palatino Linotype" w:eastAsia="Palatino Linotype" w:hAnsi="Palatino Linotype" w:cs="Palatino Linotype"/>
          <w:b/>
        </w:rPr>
        <w:t>5</w:t>
      </w:r>
      <w:r>
        <w:rPr>
          <w:rFonts w:ascii="Palatino Linotype" w:eastAsia="Palatino Linotype" w:hAnsi="Palatino Linotype" w:cs="Palatino Linotype"/>
          <w:b/>
        </w:rPr>
        <w:t>/ZINACANT/IP/2022,</w:t>
      </w:r>
      <w:r>
        <w:rPr>
          <w:rFonts w:ascii="Palatino Linotype" w:eastAsia="Palatino Linotype" w:hAnsi="Palatino Linotype" w:cs="Palatino Linotype"/>
        </w:rPr>
        <w:t xml:space="preserve"> por parte del </w:t>
      </w:r>
      <w:r>
        <w:rPr>
          <w:rFonts w:ascii="Palatino Linotype" w:eastAsia="Palatino Linotype" w:hAnsi="Palatino Linotype" w:cs="Palatino Linotype"/>
          <w:b/>
        </w:rPr>
        <w:t xml:space="preserve">Ayuntamiento de Zinacantepec </w:t>
      </w:r>
      <w:r>
        <w:rPr>
          <w:rFonts w:ascii="Palatino Linotype" w:eastAsia="Palatino Linotype" w:hAnsi="Palatino Linotype" w:cs="Palatino Linotype"/>
        </w:rPr>
        <w:t xml:space="preserve">que en lo sucesivo será identificado como </w:t>
      </w:r>
      <w:r>
        <w:rPr>
          <w:rFonts w:ascii="Palatino Linotype" w:eastAsia="Palatino Linotype" w:hAnsi="Palatino Linotype" w:cs="Palatino Linotype"/>
          <w:b/>
        </w:rPr>
        <w:t>EL SUJETO OBLIGADO</w:t>
      </w:r>
      <w:r w:rsidRPr="00470383">
        <w:rPr>
          <w:rFonts w:ascii="Palatino Linotype" w:eastAsia="Palatino Linotype" w:hAnsi="Palatino Linotype" w:cs="Palatino Linotype"/>
          <w:b/>
        </w:rPr>
        <w:t>;</w:t>
      </w:r>
      <w:r w:rsidRPr="00470383">
        <w:rPr>
          <w:rFonts w:ascii="Palatino Linotype" w:eastAsia="Palatino Linotype" w:hAnsi="Palatino Linotype" w:cs="Palatino Linotype"/>
        </w:rPr>
        <w:t xml:space="preserve"> en cumplimiento a la determinación del diverso con número </w:t>
      </w:r>
      <w:r w:rsidR="00C15ABC">
        <w:rPr>
          <w:rFonts w:ascii="Palatino Linotype" w:eastAsia="Palatino Linotype" w:hAnsi="Palatino Linotype" w:cs="Palatino Linotype"/>
          <w:b/>
        </w:rPr>
        <w:t>1756</w:t>
      </w:r>
      <w:r w:rsidR="00A8222C">
        <w:rPr>
          <w:rFonts w:ascii="Palatino Linotype" w:eastAsia="Palatino Linotype" w:hAnsi="Palatino Linotype" w:cs="Palatino Linotype"/>
          <w:b/>
        </w:rPr>
        <w:t>4</w:t>
      </w:r>
      <w:r w:rsidRPr="00470383">
        <w:rPr>
          <w:rFonts w:ascii="Palatino Linotype" w:eastAsia="Palatino Linotype" w:hAnsi="Palatino Linotype" w:cs="Palatino Linotype"/>
          <w:b/>
        </w:rPr>
        <w:t xml:space="preserve">/INFOEM/IP/RR/2022 </w:t>
      </w:r>
      <w:r w:rsidRPr="00470383">
        <w:rPr>
          <w:rFonts w:ascii="Palatino Linotype" w:eastAsia="Palatino Linotype" w:hAnsi="Palatino Linotype" w:cs="Palatino Linotype"/>
        </w:rPr>
        <w:t>se procede a dictar la presente resolución, con base en los siguientes</w:t>
      </w:r>
    </w:p>
    <w:p w14:paraId="5F60B2F1" w14:textId="77777777" w:rsidR="00C94342" w:rsidRDefault="00C94342">
      <w:pPr>
        <w:spacing w:line="360" w:lineRule="auto"/>
        <w:jc w:val="both"/>
        <w:rPr>
          <w:rFonts w:ascii="Palatino Linotype" w:eastAsia="Palatino Linotype" w:hAnsi="Palatino Linotype" w:cs="Palatino Linotype"/>
        </w:rPr>
      </w:pPr>
    </w:p>
    <w:p w14:paraId="1BBDBFD0" w14:textId="77777777" w:rsidR="00C94342" w:rsidRDefault="005B40C0">
      <w:pPr>
        <w:pBdr>
          <w:top w:val="nil"/>
          <w:left w:val="nil"/>
          <w:bottom w:val="nil"/>
          <w:right w:val="nil"/>
          <w:between w:val="nil"/>
        </w:pBd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5974567E" w14:textId="77777777" w:rsidR="00C94342" w:rsidRDefault="00C94342">
      <w:pPr>
        <w:pBdr>
          <w:top w:val="nil"/>
          <w:left w:val="nil"/>
          <w:bottom w:val="nil"/>
          <w:right w:val="nil"/>
          <w:between w:val="nil"/>
        </w:pBdr>
        <w:spacing w:line="360" w:lineRule="auto"/>
        <w:jc w:val="center"/>
        <w:rPr>
          <w:rFonts w:ascii="Palatino Linotype" w:eastAsia="Palatino Linotype" w:hAnsi="Palatino Linotype" w:cs="Palatino Linotype"/>
          <w:b/>
        </w:rPr>
      </w:pPr>
    </w:p>
    <w:p w14:paraId="5F2707FF"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1. Solicitud de acceso a la información. </w:t>
      </w:r>
      <w:r>
        <w:rPr>
          <w:rFonts w:ascii="Palatino Linotype" w:eastAsia="Palatino Linotype" w:hAnsi="Palatino Linotype" w:cs="Palatino Linotype"/>
          <w:color w:val="000000"/>
        </w:rPr>
        <w:t xml:space="preserve">El </w:t>
      </w:r>
      <w:r w:rsidR="00A8222C">
        <w:rPr>
          <w:rFonts w:ascii="Palatino Linotype" w:eastAsia="Palatino Linotype" w:hAnsi="Palatino Linotype" w:cs="Palatino Linotype"/>
          <w:b/>
          <w:color w:val="000000"/>
        </w:rPr>
        <w:t xml:space="preserve">dieciocho </w:t>
      </w:r>
      <w:r w:rsidR="00171C25">
        <w:rPr>
          <w:rFonts w:ascii="Palatino Linotype" w:eastAsia="Palatino Linotype" w:hAnsi="Palatino Linotype" w:cs="Palatino Linotype"/>
          <w:b/>
          <w:color w:val="000000"/>
        </w:rPr>
        <w:t>de noviem</w:t>
      </w:r>
      <w:r w:rsidR="00FD31E3">
        <w:rPr>
          <w:rFonts w:ascii="Palatino Linotype" w:eastAsia="Palatino Linotype" w:hAnsi="Palatino Linotype" w:cs="Palatino Linotype"/>
          <w:b/>
          <w:color w:val="000000"/>
        </w:rPr>
        <w:t xml:space="preserve">bre </w:t>
      </w:r>
      <w:r>
        <w:rPr>
          <w:rFonts w:ascii="Palatino Linotype" w:eastAsia="Palatino Linotype" w:hAnsi="Palatino Linotype" w:cs="Palatino Linotype"/>
          <w:b/>
          <w:color w:val="000000"/>
        </w:rPr>
        <w:t>de dos mil veintidós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formuló la solicitud </w:t>
      </w:r>
      <w:r w:rsidR="00C15ABC">
        <w:rPr>
          <w:rFonts w:ascii="Palatino Linotype" w:eastAsia="Palatino Linotype" w:hAnsi="Palatino Linotype" w:cs="Palatino Linotype"/>
          <w:b/>
          <w:color w:val="000000"/>
        </w:rPr>
        <w:t>0129</w:t>
      </w:r>
      <w:r w:rsidR="007448F8">
        <w:rPr>
          <w:rFonts w:ascii="Palatino Linotype" w:eastAsia="Palatino Linotype" w:hAnsi="Palatino Linotype" w:cs="Palatino Linotype"/>
          <w:b/>
          <w:color w:val="000000"/>
        </w:rPr>
        <w:t>5</w:t>
      </w:r>
      <w:r>
        <w:rPr>
          <w:rFonts w:ascii="Palatino Linotype" w:eastAsia="Palatino Linotype" w:hAnsi="Palatino Linotype" w:cs="Palatino Linotype"/>
          <w:b/>
          <w:color w:val="000000"/>
        </w:rPr>
        <w:t xml:space="preserve">/ZINACANT/IP/2022 </w:t>
      </w:r>
      <w:r>
        <w:rPr>
          <w:rFonts w:ascii="Palatino Linotype" w:eastAsia="Palatino Linotype" w:hAnsi="Palatino Linotype" w:cs="Palatino Linotype"/>
          <w:color w:val="000000"/>
        </w:rPr>
        <w:t xml:space="preserve">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del Sistema de Acceso a la Información Mexiquense, en adelante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requiriendo lo siguiente:</w:t>
      </w:r>
    </w:p>
    <w:p w14:paraId="776AB4E0" w14:textId="77777777" w:rsidR="00C94342" w:rsidRPr="00C15ABC" w:rsidRDefault="00C94342" w:rsidP="00A8222C">
      <w:pPr>
        <w:pStyle w:val="Cita"/>
        <w:spacing w:before="0" w:after="0"/>
        <w:jc w:val="both"/>
        <w:rPr>
          <w:rFonts w:ascii="Palatino Linotype" w:eastAsia="Palatino Linotype" w:hAnsi="Palatino Linotype"/>
          <w:sz w:val="22"/>
          <w:szCs w:val="22"/>
        </w:rPr>
      </w:pPr>
    </w:p>
    <w:p w14:paraId="53A9DD26" w14:textId="77777777" w:rsidR="00C94342" w:rsidRPr="00C15ABC" w:rsidRDefault="00171C25" w:rsidP="00A8222C">
      <w:pPr>
        <w:pStyle w:val="Cita"/>
        <w:spacing w:before="0" w:after="0"/>
        <w:jc w:val="both"/>
        <w:rPr>
          <w:rFonts w:ascii="Palatino Linotype" w:hAnsi="Palatino Linotype"/>
          <w:sz w:val="22"/>
          <w:szCs w:val="22"/>
        </w:rPr>
      </w:pPr>
      <w:r w:rsidRPr="00C15ABC">
        <w:rPr>
          <w:rFonts w:ascii="Palatino Linotype" w:eastAsia="Palatino Linotype" w:hAnsi="Palatino Linotype"/>
          <w:sz w:val="22"/>
          <w:szCs w:val="22"/>
        </w:rPr>
        <w:t>“</w:t>
      </w:r>
      <w:r w:rsidR="00C15ABC" w:rsidRPr="00C15ABC">
        <w:rPr>
          <w:rFonts w:ascii="Palatino Linotype" w:hAnsi="Palatino Linotype"/>
          <w:color w:val="000000"/>
          <w:sz w:val="22"/>
          <w:szCs w:val="22"/>
        </w:rPr>
        <w:t>SOLICITO LA RELACIÓN DE LOS SELLOS OFICIALES DE TODAS LAS ÁREAS DEL AYUNTAMIENTO, DIF Y OPDAPAS</w:t>
      </w:r>
      <w:r w:rsidRPr="00C15ABC">
        <w:rPr>
          <w:rFonts w:ascii="Palatino Linotype" w:eastAsia="Palatino Linotype" w:hAnsi="Palatino Linotype"/>
          <w:sz w:val="22"/>
          <w:szCs w:val="22"/>
        </w:rPr>
        <w:t>” (Sic)</w:t>
      </w:r>
    </w:p>
    <w:p w14:paraId="3695EAAC" w14:textId="77777777" w:rsidR="008E7F49" w:rsidRPr="00C15ABC" w:rsidRDefault="008E7F49" w:rsidP="00A8222C">
      <w:pPr>
        <w:pStyle w:val="Cita"/>
        <w:spacing w:before="0" w:after="0"/>
        <w:jc w:val="both"/>
        <w:rPr>
          <w:rFonts w:ascii="Palatino Linotype" w:eastAsia="Palatino Linotype" w:hAnsi="Palatino Linotype"/>
          <w:sz w:val="22"/>
          <w:szCs w:val="22"/>
        </w:rPr>
      </w:pPr>
    </w:p>
    <w:p w14:paraId="3058A998" w14:textId="77777777" w:rsidR="009A6796" w:rsidRDefault="005B40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a través del SAIMEX.</w:t>
      </w:r>
    </w:p>
    <w:p w14:paraId="546EEF47" w14:textId="77777777" w:rsidR="00B22589" w:rsidRDefault="00B22589" w:rsidP="00B22589">
      <w:pPr>
        <w:spacing w:line="360" w:lineRule="auto"/>
        <w:jc w:val="both"/>
        <w:rPr>
          <w:rFonts w:ascii="Palatino Linotype" w:eastAsia="Palatino Linotype" w:hAnsi="Palatino Linotype" w:cs="Palatino Linotype"/>
        </w:rPr>
      </w:pPr>
    </w:p>
    <w:p w14:paraId="3EDE6670" w14:textId="77777777" w:rsidR="00B22589" w:rsidRPr="00B22589" w:rsidRDefault="00B22589" w:rsidP="00B22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Solicitud de Aclaración, </w:t>
      </w:r>
      <w:r>
        <w:rPr>
          <w:rFonts w:ascii="Palatino Linotype" w:eastAsia="Palatino Linotype" w:hAnsi="Palatino Linotype" w:cs="Palatino Linotype"/>
        </w:rPr>
        <w:t xml:space="preserve">Con fecha </w:t>
      </w:r>
      <w:r w:rsidR="00A8222C">
        <w:rPr>
          <w:rFonts w:ascii="Palatino Linotype" w:eastAsia="Palatino Linotype" w:hAnsi="Palatino Linotype" w:cs="Palatino Linotype"/>
          <w:b/>
        </w:rPr>
        <w:t>veintiocho</w:t>
      </w:r>
      <w:r w:rsidR="00171C25">
        <w:rPr>
          <w:rFonts w:ascii="Palatino Linotype" w:eastAsia="Palatino Linotype" w:hAnsi="Palatino Linotype" w:cs="Palatino Linotype"/>
          <w:b/>
        </w:rPr>
        <w:t xml:space="preserve"> de noviembre</w:t>
      </w:r>
      <w:r w:rsidR="00171C25" w:rsidRPr="00B22589">
        <w:rPr>
          <w:rFonts w:ascii="Palatino Linotype" w:eastAsia="Palatino Linotype" w:hAnsi="Palatino Linotype" w:cs="Palatino Linotype"/>
          <w:b/>
        </w:rPr>
        <w:t xml:space="preserve"> </w:t>
      </w:r>
      <w:r w:rsidRPr="00B22589">
        <w:rPr>
          <w:rFonts w:ascii="Palatino Linotype" w:eastAsia="Palatino Linotype" w:hAnsi="Palatino Linotype" w:cs="Palatino Linotype"/>
          <w:b/>
        </w:rPr>
        <w:t>del dos mil veintidós</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sidRPr="00B22589">
        <w:rPr>
          <w:rFonts w:ascii="Palatino Linotype" w:eastAsia="Palatino Linotype" w:hAnsi="Palatino Linotype" w:cs="Palatino Linotype"/>
          <w:b/>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requirió a la persona solicitante para que aclarara su solicitud, la cual versa como sigue:</w:t>
      </w:r>
    </w:p>
    <w:p w14:paraId="750CA2E3" w14:textId="77777777" w:rsidR="00B22589" w:rsidRDefault="00B22589" w:rsidP="00B22589">
      <w:pPr>
        <w:ind w:left="851" w:right="900"/>
        <w:jc w:val="both"/>
        <w:rPr>
          <w:rFonts w:ascii="Palatino Linotype" w:eastAsia="Palatino Linotype" w:hAnsi="Palatino Linotype" w:cs="Palatino Linotype"/>
          <w:i/>
          <w:sz w:val="22"/>
          <w:szCs w:val="22"/>
        </w:rPr>
      </w:pPr>
    </w:p>
    <w:p w14:paraId="00D1D442" w14:textId="77777777" w:rsidR="00B22589" w:rsidRDefault="00B22589" w:rsidP="00B22589">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“Con fundamento en el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0CC889C6" w14:textId="77777777" w:rsidR="00B22589" w:rsidRDefault="00B22589" w:rsidP="00B22589">
      <w:pPr>
        <w:ind w:left="851" w:right="900"/>
        <w:jc w:val="both"/>
        <w:rPr>
          <w:rFonts w:ascii="Palatino Linotype" w:eastAsia="Palatino Linotype" w:hAnsi="Palatino Linotype" w:cs="Palatino Linotype"/>
          <w:i/>
          <w:sz w:val="22"/>
          <w:szCs w:val="22"/>
        </w:rPr>
      </w:pPr>
      <w:r w:rsidRPr="00F00A16">
        <w:rPr>
          <w:rFonts w:ascii="Palatino Linotype" w:eastAsia="Palatino Linotype" w:hAnsi="Palatino Linotype" w:cs="Palatino Linotype"/>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045A2157" w14:textId="77777777" w:rsidR="00B22589" w:rsidRDefault="00B22589" w:rsidP="00B22589">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0BDAC43" w14:textId="77777777" w:rsidR="00B22589" w:rsidRDefault="00B22589" w:rsidP="00B22589">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7863129" w14:textId="77777777" w:rsidR="00B22589" w:rsidRDefault="00B22589" w:rsidP="00B22589">
      <w:pPr>
        <w:ind w:left="851" w:right="900"/>
        <w:jc w:val="both"/>
        <w:rPr>
          <w:rFonts w:ascii="Palatino Linotype" w:eastAsia="Palatino Linotype" w:hAnsi="Palatino Linotype" w:cs="Palatino Linotype"/>
          <w:i/>
          <w:sz w:val="22"/>
          <w:szCs w:val="22"/>
        </w:rPr>
      </w:pPr>
      <w:r w:rsidRPr="00F00A16">
        <w:rPr>
          <w:rFonts w:ascii="Palatino Linotype" w:eastAsia="Palatino Linotype" w:hAnsi="Palatino Linotype" w:cs="Palatino Linotype"/>
          <w:i/>
          <w:sz w:val="22"/>
          <w:szCs w:val="22"/>
        </w:rPr>
        <w:t>ING. JESUS EMMANUEL ENCASTIN RENDON</w:t>
      </w:r>
      <w:r>
        <w:rPr>
          <w:rFonts w:ascii="Palatino Linotype" w:eastAsia="Palatino Linotype" w:hAnsi="Palatino Linotype" w:cs="Palatino Linotype"/>
          <w:i/>
          <w:sz w:val="22"/>
          <w:szCs w:val="22"/>
        </w:rPr>
        <w:t>” (Sic)</w:t>
      </w:r>
    </w:p>
    <w:p w14:paraId="5218D789" w14:textId="77777777" w:rsidR="00B22589" w:rsidRDefault="00B22589" w:rsidP="00B22589">
      <w:pPr>
        <w:ind w:left="851" w:right="900"/>
        <w:jc w:val="both"/>
        <w:rPr>
          <w:rFonts w:ascii="Palatino Linotype" w:eastAsia="Palatino Linotype" w:hAnsi="Palatino Linotype" w:cs="Palatino Linotype"/>
          <w:i/>
          <w:sz w:val="22"/>
          <w:szCs w:val="22"/>
        </w:rPr>
      </w:pPr>
    </w:p>
    <w:p w14:paraId="1E1178A4" w14:textId="77777777" w:rsidR="00B22589" w:rsidRDefault="00B22589" w:rsidP="00B22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3. Aclaración de Solicitud.</w:t>
      </w:r>
      <w:r w:rsidR="00171C25">
        <w:rPr>
          <w:rFonts w:ascii="Palatino Linotype" w:eastAsia="Palatino Linotype" w:hAnsi="Palatino Linotype" w:cs="Palatino Linotype"/>
        </w:rPr>
        <w:t xml:space="preserve"> Ese mismo día</w:t>
      </w:r>
      <w:r w:rsidRPr="00B22589">
        <w:rPr>
          <w:rFonts w:ascii="Palatino Linotype" w:eastAsia="Palatino Linotype" w:hAnsi="Palatino Linotype" w:cs="Palatino Linotype"/>
          <w:b/>
        </w:rPr>
        <w:t>,</w:t>
      </w:r>
      <w:r>
        <w:rPr>
          <w:rFonts w:ascii="Palatino Linotype" w:eastAsia="Palatino Linotype" w:hAnsi="Palatino Linotype" w:cs="Palatino Linotype"/>
        </w:rPr>
        <w:t xml:space="preserve"> la persona solicitante aclaró la solicitud de acceso a la información pública a través del </w:t>
      </w:r>
      <w:r w:rsidRPr="00D31FEA">
        <w:rPr>
          <w:rFonts w:ascii="Palatino Linotype" w:eastAsia="Palatino Linotype" w:hAnsi="Palatino Linotype" w:cs="Palatino Linotype"/>
        </w:rPr>
        <w:t>SAIMEX,</w:t>
      </w:r>
      <w:r>
        <w:rPr>
          <w:rFonts w:ascii="Palatino Linotype" w:eastAsia="Palatino Linotype" w:hAnsi="Palatino Linotype" w:cs="Palatino Linotype"/>
        </w:rPr>
        <w:t xml:space="preserve"> la cual versa como sigue:</w:t>
      </w:r>
    </w:p>
    <w:p w14:paraId="1F4DE533" w14:textId="77777777" w:rsidR="00B22589" w:rsidRDefault="00B22589" w:rsidP="00B22589">
      <w:pPr>
        <w:ind w:left="851" w:right="900"/>
        <w:jc w:val="both"/>
        <w:rPr>
          <w:rFonts w:ascii="Palatino Linotype" w:eastAsia="Palatino Linotype" w:hAnsi="Palatino Linotype" w:cs="Palatino Linotype"/>
          <w:i/>
          <w:sz w:val="22"/>
          <w:szCs w:val="22"/>
        </w:rPr>
      </w:pPr>
    </w:p>
    <w:p w14:paraId="0A5EA328" w14:textId="77777777" w:rsidR="00B22589" w:rsidRDefault="00B22589" w:rsidP="00B22589">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F00A16">
        <w:rPr>
          <w:rFonts w:ascii="Palatino Linotype" w:eastAsia="Palatino Linotype" w:hAnsi="Palatino Linotype" w:cs="Palatino Linotype"/>
          <w:i/>
          <w:sz w:val="22"/>
          <w:szCs w:val="22"/>
        </w:rPr>
        <w:t>LA SOLICITUD ES MUY ESPECÍFICA</w:t>
      </w:r>
      <w:r>
        <w:rPr>
          <w:rFonts w:ascii="Palatino Linotype" w:eastAsia="Palatino Linotype" w:hAnsi="Palatino Linotype" w:cs="Palatino Linotype"/>
          <w:i/>
          <w:sz w:val="22"/>
          <w:szCs w:val="22"/>
        </w:rPr>
        <w:t>” (Sic)</w:t>
      </w:r>
    </w:p>
    <w:p w14:paraId="6BA5EFE6" w14:textId="77777777" w:rsidR="00B22589" w:rsidRDefault="00B22589" w:rsidP="00B22589">
      <w:pPr>
        <w:ind w:left="851" w:right="900"/>
        <w:jc w:val="both"/>
        <w:rPr>
          <w:rFonts w:ascii="Palatino Linotype" w:eastAsia="Palatino Linotype" w:hAnsi="Palatino Linotype" w:cs="Palatino Linotype"/>
          <w:i/>
          <w:sz w:val="22"/>
          <w:szCs w:val="22"/>
        </w:rPr>
      </w:pPr>
    </w:p>
    <w:p w14:paraId="57F13780" w14:textId="77777777" w:rsidR="00C94342" w:rsidRDefault="00B22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4</w:t>
      </w:r>
      <w:r w:rsidR="005B40C0" w:rsidRPr="003E3BCD">
        <w:rPr>
          <w:rFonts w:ascii="Palatino Linotype" w:eastAsia="Palatino Linotype" w:hAnsi="Palatino Linotype" w:cs="Palatino Linotype"/>
          <w:b/>
        </w:rPr>
        <w:t>. Interposición</w:t>
      </w:r>
      <w:r w:rsidR="005B40C0">
        <w:rPr>
          <w:rFonts w:ascii="Palatino Linotype" w:eastAsia="Palatino Linotype" w:hAnsi="Palatino Linotype" w:cs="Palatino Linotype"/>
          <w:b/>
        </w:rPr>
        <w:t xml:space="preserve"> del recurso de revisión</w:t>
      </w:r>
      <w:r w:rsidR="005B40C0">
        <w:rPr>
          <w:rFonts w:ascii="Palatino Linotype" w:eastAsia="Palatino Linotype" w:hAnsi="Palatino Linotype" w:cs="Palatino Linotype"/>
        </w:rPr>
        <w:t xml:space="preserve">. Inconforme la persona solicitante con la falta de respuesta del </w:t>
      </w:r>
      <w:r w:rsidR="005B40C0">
        <w:rPr>
          <w:rFonts w:ascii="Palatino Linotype" w:eastAsia="Palatino Linotype" w:hAnsi="Palatino Linotype" w:cs="Palatino Linotype"/>
          <w:b/>
        </w:rPr>
        <w:t>SUJETO OBLIGADO</w:t>
      </w:r>
      <w:r w:rsidR="005B40C0">
        <w:rPr>
          <w:rFonts w:ascii="Palatino Linotype" w:eastAsia="Palatino Linotype" w:hAnsi="Palatino Linotype" w:cs="Palatino Linotype"/>
        </w:rPr>
        <w:t xml:space="preserve">, con fecha </w:t>
      </w:r>
      <w:r w:rsidR="00A8222C">
        <w:rPr>
          <w:rFonts w:ascii="Palatino Linotype" w:eastAsia="Palatino Linotype" w:hAnsi="Palatino Linotype" w:cs="Palatino Linotype"/>
          <w:b/>
        </w:rPr>
        <w:t>veintiuno</w:t>
      </w:r>
      <w:r w:rsidR="00171C25">
        <w:rPr>
          <w:rFonts w:ascii="Palatino Linotype" w:eastAsia="Palatino Linotype" w:hAnsi="Palatino Linotype" w:cs="Palatino Linotype"/>
          <w:b/>
        </w:rPr>
        <w:t xml:space="preserve"> de dic</w:t>
      </w:r>
      <w:r>
        <w:rPr>
          <w:rFonts w:ascii="Palatino Linotype" w:eastAsia="Palatino Linotype" w:hAnsi="Palatino Linotype" w:cs="Palatino Linotype"/>
          <w:b/>
        </w:rPr>
        <w:t>iem</w:t>
      </w:r>
      <w:r w:rsidR="005B40C0">
        <w:rPr>
          <w:rFonts w:ascii="Palatino Linotype" w:eastAsia="Palatino Linotype" w:hAnsi="Palatino Linotype" w:cs="Palatino Linotype"/>
          <w:b/>
        </w:rPr>
        <w:t>bre de dos mil veintidós</w:t>
      </w:r>
      <w:r w:rsidR="005B40C0">
        <w:rPr>
          <w:rFonts w:ascii="Palatino Linotype" w:eastAsia="Palatino Linotype" w:hAnsi="Palatino Linotype" w:cs="Palatino Linotype"/>
        </w:rPr>
        <w:t xml:space="preserve"> interpuso recurso de revisión a través de SAIMEX, expresando lo siguiente:</w:t>
      </w:r>
    </w:p>
    <w:p w14:paraId="5BEB0789" w14:textId="77777777" w:rsidR="00C94342" w:rsidRDefault="00C94342">
      <w:pPr>
        <w:spacing w:line="360" w:lineRule="auto"/>
        <w:jc w:val="both"/>
        <w:rPr>
          <w:rFonts w:ascii="Palatino Linotype" w:eastAsia="Palatino Linotype" w:hAnsi="Palatino Linotype" w:cs="Palatino Linotype"/>
        </w:rPr>
      </w:pPr>
    </w:p>
    <w:p w14:paraId="628CEB09" w14:textId="77777777" w:rsidR="00C94342" w:rsidRPr="00B22589" w:rsidRDefault="005B40C0" w:rsidP="00B22589">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Acto impugnado: </w:t>
      </w:r>
    </w:p>
    <w:p w14:paraId="5321910F" w14:textId="77777777" w:rsidR="00B22589" w:rsidRDefault="00B22589">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9C6CFA7" w14:textId="77777777" w:rsidR="00C94342" w:rsidRPr="00FD31E3"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D31E3">
        <w:rPr>
          <w:rFonts w:ascii="Palatino Linotype" w:eastAsia="Palatino Linotype" w:hAnsi="Palatino Linotype" w:cs="Palatino Linotype"/>
          <w:i/>
          <w:color w:val="404040"/>
          <w:sz w:val="22"/>
          <w:szCs w:val="22"/>
        </w:rPr>
        <w:t>“</w:t>
      </w:r>
      <w:r w:rsidR="00FD31E3" w:rsidRPr="00FD31E3">
        <w:rPr>
          <w:rFonts w:ascii="Palatino Linotype" w:hAnsi="Palatino Linotype"/>
          <w:i/>
          <w:color w:val="000000"/>
          <w:sz w:val="22"/>
          <w:szCs w:val="22"/>
        </w:rPr>
        <w:t>NO ENTREGA INFORMACIÓN</w:t>
      </w:r>
      <w:r w:rsidR="00B22589">
        <w:rPr>
          <w:rFonts w:ascii="Palatino Linotype" w:eastAsia="Palatino Linotype" w:hAnsi="Palatino Linotype" w:cs="Palatino Linotype"/>
          <w:i/>
          <w:color w:val="404040"/>
          <w:sz w:val="22"/>
          <w:szCs w:val="22"/>
        </w:rPr>
        <w:t>” (S</w:t>
      </w:r>
      <w:r w:rsidRPr="00FD31E3">
        <w:rPr>
          <w:rFonts w:ascii="Palatino Linotype" w:eastAsia="Palatino Linotype" w:hAnsi="Palatino Linotype" w:cs="Palatino Linotype"/>
          <w:i/>
          <w:color w:val="404040"/>
          <w:sz w:val="22"/>
          <w:szCs w:val="22"/>
        </w:rPr>
        <w:t>ic)</w:t>
      </w:r>
    </w:p>
    <w:p w14:paraId="6B192663" w14:textId="77777777" w:rsidR="00C94342" w:rsidRPr="00FD31E3"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3EE2934F" w14:textId="77777777" w:rsidR="00C94342" w:rsidRDefault="005B40C0">
      <w:pPr>
        <w:spacing w:line="360" w:lineRule="auto"/>
        <w:jc w:val="both"/>
        <w:rPr>
          <w:rFonts w:ascii="Palatino Linotype" w:eastAsia="Palatino Linotype" w:hAnsi="Palatino Linotype" w:cs="Palatino Linotype"/>
        </w:rPr>
      </w:pPr>
      <w:bookmarkStart w:id="2" w:name="_heading=h.tyjcwt" w:colFirst="0" w:colLast="0"/>
      <w:bookmarkEnd w:id="2"/>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14:paraId="153A148B" w14:textId="77777777" w:rsidR="00C94342" w:rsidRPr="00FD31E3"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032DFFA" w14:textId="77777777" w:rsidR="00C94342" w:rsidRPr="00FD31E3"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D31E3">
        <w:rPr>
          <w:rFonts w:ascii="Palatino Linotype" w:eastAsia="Palatino Linotype" w:hAnsi="Palatino Linotype" w:cs="Palatino Linotype"/>
          <w:i/>
          <w:color w:val="404040"/>
          <w:sz w:val="22"/>
          <w:szCs w:val="22"/>
        </w:rPr>
        <w:t xml:space="preserve"> “</w:t>
      </w:r>
      <w:r w:rsidR="009A6796">
        <w:rPr>
          <w:rFonts w:ascii="Palatino Linotype" w:hAnsi="Palatino Linotype"/>
          <w:i/>
          <w:color w:val="000000"/>
          <w:sz w:val="22"/>
          <w:szCs w:val="22"/>
        </w:rPr>
        <w:t>NO ENTREGA INFORMACIÓN</w:t>
      </w:r>
      <w:r w:rsidR="00B22589">
        <w:rPr>
          <w:rFonts w:ascii="Palatino Linotype" w:eastAsia="Palatino Linotype" w:hAnsi="Palatino Linotype" w:cs="Palatino Linotype"/>
          <w:i/>
          <w:color w:val="404040"/>
          <w:sz w:val="22"/>
          <w:szCs w:val="22"/>
        </w:rPr>
        <w:t>" (S</w:t>
      </w:r>
      <w:r w:rsidRPr="00FD31E3">
        <w:rPr>
          <w:rFonts w:ascii="Palatino Linotype" w:eastAsia="Palatino Linotype" w:hAnsi="Palatino Linotype" w:cs="Palatino Linotype"/>
          <w:i/>
          <w:color w:val="404040"/>
          <w:sz w:val="22"/>
          <w:szCs w:val="22"/>
        </w:rPr>
        <w:t>ic)</w:t>
      </w:r>
    </w:p>
    <w:p w14:paraId="6AC75E99" w14:textId="77777777" w:rsidR="00C94342" w:rsidRPr="00FD31E3"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D84F942" w14:textId="77777777" w:rsidR="00C94342" w:rsidRDefault="00B22589">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5</w:t>
      </w:r>
      <w:r w:rsidR="005B40C0">
        <w:rPr>
          <w:rFonts w:ascii="Palatino Linotype" w:eastAsia="Palatino Linotype" w:hAnsi="Palatino Linotype" w:cs="Palatino Linotype"/>
          <w:b/>
        </w:rPr>
        <w:t xml:space="preserve">. Turno. </w:t>
      </w:r>
      <w:r w:rsidR="005B40C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005B40C0">
        <w:rPr>
          <w:rFonts w:ascii="Palatino Linotype" w:eastAsia="Palatino Linotype" w:hAnsi="Palatino Linotype" w:cs="Palatino Linotype"/>
          <w:b/>
        </w:rPr>
        <w:t xml:space="preserve">Comisionada Guadalupe Ramírez Peña, </w:t>
      </w:r>
      <w:r w:rsidR="005B40C0">
        <w:rPr>
          <w:rFonts w:ascii="Palatino Linotype" w:eastAsia="Palatino Linotype" w:hAnsi="Palatino Linotype" w:cs="Palatino Linotype"/>
        </w:rPr>
        <w:t>a efecto de que analizara sobre su admisión o su desechamiento.</w:t>
      </w:r>
    </w:p>
    <w:p w14:paraId="715B458C" w14:textId="77777777" w:rsidR="00C94342" w:rsidRDefault="00C94342">
      <w:pPr>
        <w:spacing w:line="360" w:lineRule="auto"/>
        <w:ind w:right="51"/>
        <w:jc w:val="both"/>
        <w:rPr>
          <w:rFonts w:ascii="Palatino Linotype" w:eastAsia="Palatino Linotype" w:hAnsi="Palatino Linotype" w:cs="Palatino Linotype"/>
        </w:rPr>
      </w:pPr>
    </w:p>
    <w:p w14:paraId="5587ED57" w14:textId="77777777" w:rsidR="00C94342" w:rsidRDefault="00B22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5B40C0">
        <w:rPr>
          <w:rFonts w:ascii="Palatino Linotype" w:eastAsia="Palatino Linotype" w:hAnsi="Palatino Linotype" w:cs="Palatino Linotype"/>
          <w:b/>
        </w:rPr>
        <w:t>. Admisión del Recurso de revisión.</w:t>
      </w:r>
      <w:r w:rsidR="005B40C0">
        <w:rPr>
          <w:rFonts w:ascii="Palatino Linotype" w:eastAsia="Palatino Linotype" w:hAnsi="Palatino Linotype" w:cs="Palatino Linotype"/>
        </w:rPr>
        <w:t xml:space="preserve"> Con fecha</w:t>
      </w:r>
      <w:r w:rsidR="009A6796">
        <w:rPr>
          <w:rFonts w:ascii="Palatino Linotype" w:eastAsia="Palatino Linotype" w:hAnsi="Palatino Linotype" w:cs="Palatino Linotype"/>
          <w:b/>
        </w:rPr>
        <w:t xml:space="preserve"> </w:t>
      </w:r>
      <w:r w:rsidR="00A8222C">
        <w:rPr>
          <w:rFonts w:ascii="Palatino Linotype" w:eastAsia="Palatino Linotype" w:hAnsi="Palatino Linotype" w:cs="Palatino Linotype"/>
          <w:b/>
        </w:rPr>
        <w:t>once de enero de dos mil veintitré</w:t>
      </w:r>
      <w:r w:rsidR="005B40C0">
        <w:rPr>
          <w:rFonts w:ascii="Palatino Linotype" w:eastAsia="Palatino Linotype" w:hAnsi="Palatino Linotype" w:cs="Palatino Linotype"/>
          <w:b/>
        </w:rPr>
        <w:t xml:space="preserve">s, </w:t>
      </w:r>
      <w:r w:rsidR="005B40C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005B40C0">
        <w:rPr>
          <w:rFonts w:ascii="Palatino Linotype" w:eastAsia="Palatino Linotype" w:hAnsi="Palatino Linotype" w:cs="Palatino Linotype"/>
          <w:b/>
        </w:rPr>
        <w:t xml:space="preserve">EL SUJETO OBLIGADO </w:t>
      </w:r>
      <w:r w:rsidR="005B40C0">
        <w:rPr>
          <w:rFonts w:ascii="Palatino Linotype" w:eastAsia="Palatino Linotype" w:hAnsi="Palatino Linotype" w:cs="Palatino Linotype"/>
        </w:rPr>
        <w:t>presentara su informe justificado.</w:t>
      </w:r>
    </w:p>
    <w:p w14:paraId="5AA90895" w14:textId="77777777" w:rsidR="00C94342" w:rsidRDefault="00C94342" w:rsidP="00A8222C">
      <w:pPr>
        <w:spacing w:line="360" w:lineRule="auto"/>
        <w:jc w:val="both"/>
        <w:rPr>
          <w:rFonts w:ascii="Palatino Linotype" w:eastAsia="Palatino Linotype" w:hAnsi="Palatino Linotype" w:cs="Palatino Linotype"/>
        </w:rPr>
      </w:pPr>
    </w:p>
    <w:p w14:paraId="21BB1E23" w14:textId="77777777" w:rsidR="00C15ABC" w:rsidRDefault="00B22589" w:rsidP="00C15ABC">
      <w:pPr>
        <w:spacing w:line="360" w:lineRule="auto"/>
        <w:ind w:right="49"/>
        <w:jc w:val="both"/>
        <w:rPr>
          <w:rFonts w:ascii="Palatino Linotype" w:eastAsia="Palatino Linotype" w:hAnsi="Palatino Linotype" w:cs="Palatino Linotype"/>
          <w:lang w:eastAsia="es-MX"/>
        </w:rPr>
      </w:pPr>
      <w:bookmarkStart w:id="3" w:name="_heading=h.2s8eyo1" w:colFirst="0" w:colLast="0"/>
      <w:bookmarkEnd w:id="3"/>
      <w:r>
        <w:rPr>
          <w:rFonts w:ascii="Palatino Linotype" w:eastAsia="Palatino Linotype" w:hAnsi="Palatino Linotype" w:cs="Palatino Linotype"/>
          <w:b/>
        </w:rPr>
        <w:t>7</w:t>
      </w:r>
      <w:r w:rsidR="005B40C0">
        <w:rPr>
          <w:rFonts w:ascii="Palatino Linotype" w:eastAsia="Palatino Linotype" w:hAnsi="Palatino Linotype" w:cs="Palatino Linotype"/>
          <w:b/>
        </w:rPr>
        <w:t>. Manifestaciones</w:t>
      </w:r>
      <w:r w:rsidR="005B40C0">
        <w:rPr>
          <w:rFonts w:ascii="Palatino Linotype" w:eastAsia="Palatino Linotype" w:hAnsi="Palatino Linotype" w:cs="Palatino Linotype"/>
        </w:rPr>
        <w:t xml:space="preserve">. </w:t>
      </w:r>
      <w:r w:rsidR="00A8222C" w:rsidRPr="00A8222C">
        <w:rPr>
          <w:rFonts w:ascii="Palatino Linotype" w:eastAsia="Palatino Linotype" w:hAnsi="Palatino Linotype" w:cs="Palatino Linotype"/>
          <w:lang w:eastAsia="es-MX"/>
        </w:rPr>
        <w:t>De las constancias que integran el expediente electrónico en que se actúa se advierte</w:t>
      </w:r>
      <w:r w:rsidR="00C15ABC">
        <w:rPr>
          <w:rFonts w:ascii="Palatino Linotype" w:eastAsia="Palatino Linotype" w:hAnsi="Palatino Linotype" w:cs="Palatino Linotype"/>
          <w:lang w:eastAsia="es-MX"/>
        </w:rPr>
        <w:t xml:space="preserve"> que tanto LA PARTE RECURRENTE como</w:t>
      </w:r>
      <w:r w:rsidR="00A8222C" w:rsidRPr="00A8222C">
        <w:rPr>
          <w:rFonts w:ascii="Palatino Linotype" w:eastAsia="Palatino Linotype" w:hAnsi="Palatino Linotype" w:cs="Palatino Linotype"/>
          <w:lang w:eastAsia="es-MX"/>
        </w:rPr>
        <w:t xml:space="preserve"> </w:t>
      </w:r>
      <w:r w:rsidR="00A8222C" w:rsidRPr="00A8222C">
        <w:rPr>
          <w:rFonts w:ascii="Palatino Linotype" w:eastAsia="Palatino Linotype" w:hAnsi="Palatino Linotype" w:cs="Palatino Linotype"/>
          <w:b/>
          <w:lang w:eastAsia="es-MX"/>
        </w:rPr>
        <w:t>EL SUJETO OBLIGADO</w:t>
      </w:r>
      <w:r w:rsidR="00C15ABC">
        <w:rPr>
          <w:rFonts w:ascii="Palatino Linotype" w:eastAsia="Palatino Linotype" w:hAnsi="Palatino Linotype" w:cs="Palatino Linotype"/>
          <w:b/>
          <w:lang w:eastAsia="es-MX"/>
        </w:rPr>
        <w:t xml:space="preserve"> </w:t>
      </w:r>
      <w:r w:rsidR="00C15ABC">
        <w:rPr>
          <w:rFonts w:ascii="Palatino Linotype" w:eastAsia="Palatino Linotype" w:hAnsi="Palatino Linotype" w:cs="Palatino Linotype"/>
          <w:lang w:eastAsia="es-MX"/>
        </w:rPr>
        <w:t xml:space="preserve">dejaron de remitir sus manifestaciones e Informe Justificado, respectivamente, tal cual se hace constar: </w:t>
      </w:r>
    </w:p>
    <w:p w14:paraId="227FEEAC" w14:textId="77777777" w:rsidR="00C15ABC" w:rsidRPr="00C15ABC" w:rsidRDefault="00C15ABC" w:rsidP="00C15ABC">
      <w:pPr>
        <w:spacing w:line="360" w:lineRule="auto"/>
        <w:ind w:right="49"/>
        <w:jc w:val="both"/>
        <w:rPr>
          <w:rFonts w:ascii="Palatino Linotype" w:eastAsia="Palatino Linotype" w:hAnsi="Palatino Linotype" w:cs="Palatino Linotype"/>
          <w:lang w:eastAsia="es-MX"/>
        </w:rPr>
      </w:pPr>
    </w:p>
    <w:p w14:paraId="20F3FAAD" w14:textId="77777777" w:rsidR="00676FC5" w:rsidRDefault="00C15ABC" w:rsidP="00C15ABC">
      <w:pPr>
        <w:spacing w:line="360" w:lineRule="auto"/>
        <w:ind w:right="49"/>
        <w:jc w:val="center"/>
        <w:rPr>
          <w:rFonts w:ascii="Palatino Linotype" w:eastAsia="Palatino Linotype" w:hAnsi="Palatino Linotype" w:cs="Palatino Linotype"/>
          <w:lang w:eastAsia="es-MX"/>
        </w:rPr>
      </w:pPr>
      <w:r>
        <w:rPr>
          <w:noProof/>
          <w:lang w:eastAsia="es-MX"/>
        </w:rPr>
        <w:drawing>
          <wp:inline distT="0" distB="0" distL="0" distR="0" wp14:anchorId="1B9B782F" wp14:editId="365E7665">
            <wp:extent cx="4686300" cy="1143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61" t="46117" r="10570" b="17475"/>
                    <a:stretch/>
                  </pic:blipFill>
                  <pic:spPr bwMode="auto">
                    <a:xfrm>
                      <a:off x="0" y="0"/>
                      <a:ext cx="4686300" cy="1143000"/>
                    </a:xfrm>
                    <a:prstGeom prst="rect">
                      <a:avLst/>
                    </a:prstGeom>
                    <a:ln>
                      <a:noFill/>
                    </a:ln>
                    <a:extLst>
                      <a:ext uri="{53640926-AAD7-44D8-BBD7-CCE9431645EC}">
                        <a14:shadowObscured xmlns:a14="http://schemas.microsoft.com/office/drawing/2010/main"/>
                      </a:ext>
                    </a:extLst>
                  </pic:spPr>
                </pic:pic>
              </a:graphicData>
            </a:graphic>
          </wp:inline>
        </w:drawing>
      </w:r>
    </w:p>
    <w:p w14:paraId="4AE48F8C" w14:textId="77777777" w:rsidR="00C15ABC" w:rsidRDefault="00C15ABC" w:rsidP="00C15ABC">
      <w:pPr>
        <w:spacing w:line="360" w:lineRule="auto"/>
        <w:ind w:right="49"/>
        <w:jc w:val="center"/>
        <w:rPr>
          <w:rFonts w:ascii="Palatino Linotype" w:eastAsia="Palatino Linotype" w:hAnsi="Palatino Linotype" w:cs="Palatino Linotype"/>
          <w:lang w:eastAsia="es-MX"/>
        </w:rPr>
      </w:pPr>
    </w:p>
    <w:p w14:paraId="3D63B963" w14:textId="77777777" w:rsidR="00C94342" w:rsidRDefault="00B22589">
      <w:pPr>
        <w:spacing w:line="360" w:lineRule="auto"/>
        <w:jc w:val="both"/>
        <w:rPr>
          <w:rFonts w:ascii="Palatino Linotype" w:eastAsia="Palatino Linotype" w:hAnsi="Palatino Linotype" w:cs="Palatino Linotype"/>
        </w:rPr>
      </w:pPr>
      <w:bookmarkStart w:id="4" w:name="_heading=h.3rdcrjn" w:colFirst="0" w:colLast="0"/>
      <w:bookmarkEnd w:id="4"/>
      <w:r>
        <w:rPr>
          <w:rFonts w:ascii="Palatino Linotype" w:eastAsia="Palatino Linotype" w:hAnsi="Palatino Linotype" w:cs="Palatino Linotype"/>
          <w:b/>
        </w:rPr>
        <w:t>8</w:t>
      </w:r>
      <w:r w:rsidR="005B40C0">
        <w:rPr>
          <w:rFonts w:ascii="Palatino Linotype" w:eastAsia="Palatino Linotype" w:hAnsi="Palatino Linotype" w:cs="Palatino Linotype"/>
          <w:b/>
        </w:rPr>
        <w:t xml:space="preserve">. Cierre de instrucción. </w:t>
      </w:r>
      <w:r w:rsidR="005B40C0">
        <w:rPr>
          <w:rFonts w:ascii="Palatino Linotype" w:eastAsia="Palatino Linotype" w:hAnsi="Palatino Linotype" w:cs="Palatino Linotype"/>
        </w:rPr>
        <w:t>Una vez transcurrido el periodo otorgado a las partes para realizar sus manifestaciones y no habiendo documentos que integrar al expediente, con fecha</w:t>
      </w:r>
      <w:r w:rsidR="00140692">
        <w:rPr>
          <w:rFonts w:ascii="Palatino Linotype" w:eastAsia="Palatino Linotype" w:hAnsi="Palatino Linotype" w:cs="Palatino Linotype"/>
          <w:b/>
        </w:rPr>
        <w:t xml:space="preserve"> </w:t>
      </w:r>
      <w:r w:rsidR="00C15ABC">
        <w:rPr>
          <w:rFonts w:ascii="Palatino Linotype" w:eastAsia="Palatino Linotype" w:hAnsi="Palatino Linotype" w:cs="Palatino Linotype"/>
          <w:b/>
        </w:rPr>
        <w:t xml:space="preserve">veinticuatro de enero </w:t>
      </w:r>
      <w:r w:rsidR="00171C25">
        <w:rPr>
          <w:rFonts w:ascii="Palatino Linotype" w:eastAsia="Palatino Linotype" w:hAnsi="Palatino Linotype" w:cs="Palatino Linotype"/>
          <w:b/>
        </w:rPr>
        <w:t>de dos mil veintitrés</w:t>
      </w:r>
      <w:r w:rsidR="005B40C0">
        <w:rPr>
          <w:rFonts w:ascii="Palatino Linotype" w:eastAsia="Palatino Linotype" w:hAnsi="Palatino Linotype" w:cs="Palatino Linotype"/>
        </w:rPr>
        <w:t xml:space="preserve">, la </w:t>
      </w:r>
      <w:r w:rsidR="005B40C0">
        <w:rPr>
          <w:rFonts w:ascii="Palatino Linotype" w:eastAsia="Palatino Linotype" w:hAnsi="Palatino Linotype" w:cs="Palatino Linotype"/>
          <w:b/>
        </w:rPr>
        <w:t>Comisionada Ponente</w:t>
      </w:r>
      <w:r w:rsidR="005B40C0">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35CBE867" w14:textId="77777777" w:rsidR="00C94342" w:rsidRDefault="00C94342">
      <w:pPr>
        <w:spacing w:line="360" w:lineRule="auto"/>
        <w:jc w:val="both"/>
        <w:rPr>
          <w:rFonts w:ascii="Palatino Linotype" w:eastAsia="Palatino Linotype" w:hAnsi="Palatino Linotype" w:cs="Palatino Linotype"/>
        </w:rPr>
      </w:pPr>
    </w:p>
    <w:p w14:paraId="6A9F7E4C" w14:textId="77777777" w:rsidR="00D4688F" w:rsidRDefault="00B22589" w:rsidP="00C15ABC">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9</w:t>
      </w:r>
      <w:r w:rsidR="005B40C0">
        <w:rPr>
          <w:rFonts w:ascii="Palatino Linotype" w:eastAsia="Palatino Linotype" w:hAnsi="Palatino Linotype" w:cs="Palatino Linotype"/>
          <w:b/>
        </w:rPr>
        <w:t>. Resolución del recurso de revisión.</w:t>
      </w:r>
      <w:r w:rsidR="005B40C0">
        <w:rPr>
          <w:rFonts w:ascii="Palatino Linotype" w:eastAsia="Palatino Linotype" w:hAnsi="Palatino Linotype" w:cs="Palatino Linotype"/>
        </w:rPr>
        <w:t xml:space="preserve"> Con fecha</w:t>
      </w:r>
      <w:r w:rsidR="00140692">
        <w:rPr>
          <w:rFonts w:ascii="Palatino Linotype" w:eastAsia="Palatino Linotype" w:hAnsi="Palatino Linotype" w:cs="Palatino Linotype"/>
          <w:b/>
        </w:rPr>
        <w:t xml:space="preserve"> </w:t>
      </w:r>
      <w:r w:rsidR="00C15ABC">
        <w:rPr>
          <w:rFonts w:ascii="Palatino Linotype" w:eastAsia="Palatino Linotype" w:hAnsi="Palatino Linotype" w:cs="Palatino Linotype"/>
          <w:b/>
        </w:rPr>
        <w:t xml:space="preserve">primero </w:t>
      </w:r>
      <w:r w:rsidR="00A8222C">
        <w:rPr>
          <w:rFonts w:ascii="Palatino Linotype" w:eastAsia="Palatino Linotype" w:hAnsi="Palatino Linotype" w:cs="Palatino Linotype"/>
          <w:b/>
        </w:rPr>
        <w:t xml:space="preserve">de febrero </w:t>
      </w:r>
      <w:r w:rsidR="00171C25">
        <w:rPr>
          <w:rFonts w:ascii="Palatino Linotype" w:eastAsia="Palatino Linotype" w:hAnsi="Palatino Linotype" w:cs="Palatino Linotype"/>
          <w:b/>
        </w:rPr>
        <w:t>de dos mil veintitrés</w:t>
      </w:r>
      <w:r w:rsidR="005B40C0">
        <w:rPr>
          <w:rFonts w:ascii="Palatino Linotype" w:eastAsia="Palatino Linotype" w:hAnsi="Palatino Linotype" w:cs="Palatino Linotype"/>
          <w:b/>
        </w:rPr>
        <w:t xml:space="preserve">, </w:t>
      </w:r>
      <w:r w:rsidR="005B40C0">
        <w:rPr>
          <w:rFonts w:ascii="Palatino Linotype" w:eastAsia="Palatino Linotype" w:hAnsi="Palatino Linotype" w:cs="Palatino Linotype"/>
        </w:rPr>
        <w:t xml:space="preserve">el Pleno del Infoem en la </w:t>
      </w:r>
      <w:r w:rsidR="00C15ABC">
        <w:rPr>
          <w:rFonts w:ascii="Palatino Linotype" w:eastAsia="Palatino Linotype" w:hAnsi="Palatino Linotype" w:cs="Palatino Linotype"/>
          <w:b/>
        </w:rPr>
        <w:t>Cuarta</w:t>
      </w:r>
      <w:r w:rsidR="00171C25">
        <w:rPr>
          <w:rFonts w:ascii="Palatino Linotype" w:eastAsia="Palatino Linotype" w:hAnsi="Palatino Linotype" w:cs="Palatino Linotype"/>
          <w:b/>
        </w:rPr>
        <w:t xml:space="preserve"> Sesión </w:t>
      </w:r>
      <w:r w:rsidR="005B40C0">
        <w:rPr>
          <w:rFonts w:ascii="Palatino Linotype" w:eastAsia="Palatino Linotype" w:hAnsi="Palatino Linotype" w:cs="Palatino Linotype"/>
          <w:b/>
        </w:rPr>
        <w:t xml:space="preserve">Ordinaria, </w:t>
      </w:r>
      <w:r w:rsidR="005B40C0">
        <w:rPr>
          <w:rFonts w:ascii="Palatino Linotype" w:eastAsia="Palatino Linotype" w:hAnsi="Palatino Linotype" w:cs="Palatino Linotype"/>
        </w:rPr>
        <w:t xml:space="preserve">aprobó por unanimidad de votos la resolución del recurso de revisión </w:t>
      </w:r>
      <w:r w:rsidR="00C15ABC">
        <w:rPr>
          <w:rFonts w:ascii="Palatino Linotype" w:eastAsia="Palatino Linotype" w:hAnsi="Palatino Linotype" w:cs="Palatino Linotype"/>
          <w:b/>
        </w:rPr>
        <w:t>1756</w:t>
      </w:r>
      <w:r w:rsidR="00A8222C">
        <w:rPr>
          <w:rFonts w:ascii="Palatino Linotype" w:eastAsia="Palatino Linotype" w:hAnsi="Palatino Linotype" w:cs="Palatino Linotype"/>
          <w:b/>
        </w:rPr>
        <w:t>4</w:t>
      </w:r>
      <w:r w:rsidR="005B40C0">
        <w:rPr>
          <w:rFonts w:ascii="Palatino Linotype" w:eastAsia="Palatino Linotype" w:hAnsi="Palatino Linotype" w:cs="Palatino Linotype"/>
          <w:b/>
        </w:rPr>
        <w:t>/INFOEM/RR/2022,</w:t>
      </w:r>
      <w:r w:rsidR="005B40C0">
        <w:rPr>
          <w:rFonts w:ascii="Palatino Linotype" w:eastAsia="Palatino Linotype" w:hAnsi="Palatino Linotype" w:cs="Palatino Linotype"/>
        </w:rPr>
        <w:t xml:space="preserve"> en la cual se ordenó lo siguiente: </w:t>
      </w:r>
    </w:p>
    <w:p w14:paraId="03BD235F" w14:textId="77777777" w:rsidR="00C15ABC" w:rsidRPr="00FD5B11" w:rsidRDefault="00C15ABC" w:rsidP="00FD5B11">
      <w:pPr>
        <w:pStyle w:val="Cita"/>
        <w:spacing w:before="0" w:after="0"/>
        <w:jc w:val="both"/>
        <w:rPr>
          <w:rFonts w:ascii="Palatino Linotype" w:eastAsia="Palatino Linotype" w:hAnsi="Palatino Linotype"/>
          <w:sz w:val="22"/>
          <w:szCs w:val="22"/>
        </w:rPr>
      </w:pPr>
    </w:p>
    <w:p w14:paraId="0A02AD5C" w14:textId="77777777" w:rsidR="00C15ABC" w:rsidRPr="00FD5B11" w:rsidRDefault="00FD5B11" w:rsidP="00FD5B11">
      <w:pPr>
        <w:pStyle w:val="Cita"/>
        <w:spacing w:before="0" w:after="0"/>
        <w:jc w:val="both"/>
        <w:rPr>
          <w:rFonts w:ascii="Palatino Linotype" w:hAnsi="Palatino Linotype"/>
          <w:sz w:val="22"/>
          <w:szCs w:val="22"/>
        </w:rPr>
      </w:pPr>
      <w:r w:rsidRPr="00FD5B11">
        <w:rPr>
          <w:rFonts w:ascii="Palatino Linotype" w:hAnsi="Palatino Linotype"/>
          <w:sz w:val="22"/>
          <w:szCs w:val="22"/>
        </w:rPr>
        <w:t>“</w:t>
      </w:r>
      <w:r w:rsidR="00C15ABC" w:rsidRPr="00FD5B11">
        <w:rPr>
          <w:rFonts w:ascii="Palatino Linotype" w:hAnsi="Palatino Linotype"/>
          <w:sz w:val="22"/>
          <w:szCs w:val="22"/>
        </w:rPr>
        <w:t xml:space="preserve">III. R E S U E L V E </w:t>
      </w:r>
    </w:p>
    <w:p w14:paraId="23C15E97" w14:textId="77777777" w:rsidR="00C15ABC" w:rsidRPr="00FD5B11" w:rsidRDefault="00C15ABC" w:rsidP="00FD5B11">
      <w:pPr>
        <w:pStyle w:val="Cita"/>
        <w:spacing w:before="0" w:after="0"/>
        <w:jc w:val="both"/>
        <w:rPr>
          <w:rFonts w:ascii="Palatino Linotype" w:hAnsi="Palatino Linotype"/>
          <w:sz w:val="22"/>
          <w:szCs w:val="22"/>
        </w:rPr>
      </w:pPr>
      <w:r w:rsidRPr="00FD5B11">
        <w:rPr>
          <w:rFonts w:ascii="Palatino Linotype" w:hAnsi="Palatino Linotype"/>
          <w:sz w:val="22"/>
          <w:szCs w:val="22"/>
        </w:rPr>
        <w:t xml:space="preserve">Primero. Resultan fundados los motivos de inconformidad de la parte Recurrente, en términos del Considerando Cuarto de la presente resolución. </w:t>
      </w:r>
    </w:p>
    <w:p w14:paraId="4C569B39" w14:textId="77777777" w:rsidR="00FD5B11" w:rsidRPr="00FD5B11" w:rsidRDefault="00C15ABC" w:rsidP="00FD5B11">
      <w:pPr>
        <w:pStyle w:val="Cita"/>
        <w:spacing w:before="0" w:after="0"/>
        <w:jc w:val="both"/>
        <w:rPr>
          <w:rFonts w:ascii="Palatino Linotype" w:hAnsi="Palatino Linotype"/>
          <w:sz w:val="22"/>
          <w:szCs w:val="22"/>
        </w:rPr>
      </w:pPr>
      <w:r w:rsidRPr="00FD5B11">
        <w:rPr>
          <w:rFonts w:ascii="Palatino Linotype" w:hAnsi="Palatino Linotype"/>
          <w:sz w:val="22"/>
          <w:szCs w:val="22"/>
        </w:rPr>
        <w:t xml:space="preserve">Segundo. Se Ordena al Sujeto Obligado dé trámite, vía Sistema de Acceso a la Información Mexiquense (SAIMEX) a la solicitud de acceso a la información pública 01295/ZINACANT/IP/2022 que dio origen al recurso de revisión 17564/INFOEM/IP/RR/2022, en términos del Considerando Cuarto de esta resolución y emita respuesta, debiendo observar las excepciones contenidas en la Ley de Transparencia y Acceso a la Información Pública del Estado de México y Municipios. </w:t>
      </w:r>
    </w:p>
    <w:p w14:paraId="318DC7C7" w14:textId="77777777" w:rsidR="00FD5B11" w:rsidRPr="00FD5B11" w:rsidRDefault="00C15ABC" w:rsidP="00FD5B11">
      <w:pPr>
        <w:pStyle w:val="Cita"/>
        <w:spacing w:before="0" w:after="0"/>
        <w:jc w:val="both"/>
        <w:rPr>
          <w:rFonts w:ascii="Palatino Linotype" w:hAnsi="Palatino Linotype"/>
          <w:sz w:val="22"/>
          <w:szCs w:val="22"/>
        </w:rPr>
      </w:pPr>
      <w:r w:rsidRPr="00FD5B11">
        <w:rPr>
          <w:rFonts w:ascii="Palatino Linotype" w:hAnsi="Palatino Linotype"/>
          <w:sz w:val="22"/>
          <w:szCs w:val="22"/>
        </w:rPr>
        <w:lastRenderedPageBreak/>
        <w:t xml:space="preserve">Tercero. Notifíquese, vía SAIMEX, al Titular de la Unidad de Transparencia del Sujeto Obligado,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w:t>
      </w:r>
    </w:p>
    <w:p w14:paraId="2735F09D" w14:textId="77777777" w:rsidR="00FD5B11" w:rsidRPr="00FD5B11" w:rsidRDefault="00C15ABC" w:rsidP="00FD5B11">
      <w:pPr>
        <w:pStyle w:val="Cita"/>
        <w:spacing w:before="0" w:after="0"/>
        <w:jc w:val="both"/>
        <w:rPr>
          <w:rFonts w:ascii="Palatino Linotype" w:hAnsi="Palatino Linotype"/>
          <w:sz w:val="22"/>
          <w:szCs w:val="22"/>
        </w:rPr>
      </w:pPr>
      <w:r w:rsidRPr="00FD5B11">
        <w:rPr>
          <w:rFonts w:ascii="Palatino Linotype" w:hAnsi="Palatino Linotype"/>
          <w:sz w:val="22"/>
          <w:szCs w:val="22"/>
        </w:rPr>
        <w:t xml:space="preserve">Cuarto. Notifíquese, vía SAIMEX,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 </w:t>
      </w:r>
    </w:p>
    <w:p w14:paraId="5B5C9046" w14:textId="77777777" w:rsidR="00FD5B11" w:rsidRPr="00FD5B11" w:rsidRDefault="00C15ABC" w:rsidP="00FD5B11">
      <w:pPr>
        <w:pStyle w:val="Cita"/>
        <w:spacing w:before="0" w:after="0"/>
        <w:jc w:val="both"/>
        <w:rPr>
          <w:rFonts w:ascii="Palatino Linotype" w:hAnsi="Palatino Linotype"/>
          <w:sz w:val="22"/>
          <w:szCs w:val="22"/>
        </w:rPr>
      </w:pPr>
      <w:r w:rsidRPr="00FD5B11">
        <w:rPr>
          <w:rFonts w:ascii="Palatino Linotype" w:hAnsi="Palatino Linotype"/>
          <w:sz w:val="22"/>
          <w:szCs w:val="22"/>
        </w:rPr>
        <w:t>Quinto. Notifíquese, a la parte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w:t>
      </w:r>
      <w:r w:rsidR="00FD5B11" w:rsidRPr="00FD5B11">
        <w:rPr>
          <w:rFonts w:ascii="Palatino Linotype" w:hAnsi="Palatino Linotype"/>
          <w:sz w:val="22"/>
          <w:szCs w:val="22"/>
        </w:rPr>
        <w:t xml:space="preserve"> Estado de México y Municipios.</w:t>
      </w:r>
    </w:p>
    <w:p w14:paraId="0917B416" w14:textId="77777777" w:rsidR="00FD5B11" w:rsidRPr="00FD5B11" w:rsidRDefault="00C15ABC" w:rsidP="00FD5B11">
      <w:pPr>
        <w:pStyle w:val="Cita"/>
        <w:spacing w:before="0" w:after="0"/>
        <w:jc w:val="both"/>
        <w:rPr>
          <w:rFonts w:ascii="Palatino Linotype" w:hAnsi="Palatino Linotype"/>
          <w:sz w:val="22"/>
          <w:szCs w:val="22"/>
        </w:rPr>
      </w:pPr>
      <w:r w:rsidRPr="00FD5B11">
        <w:rPr>
          <w:rFonts w:ascii="Palatino Linotype" w:hAnsi="Palatino Linotype"/>
          <w:sz w:val="22"/>
          <w:szCs w:val="22"/>
        </w:rPr>
        <w:t xml:space="preserve">Sexto. Gírese oficio al Contralor Interno y Órgano de Control y Vigilancia de este Instituto para hacer de su conocimiento la presente resolución, a fin de que en ejercicio de sus atribuciones y de conformidad con el artículo 190, de la Ley de Transparencia y Acceso a la Información Pública del Estado de México y Municipios, determine lo conducente, en términos de lo señalado en el considerando Cuarto de la presente resolución. </w:t>
      </w:r>
    </w:p>
    <w:p w14:paraId="6D645D9F" w14:textId="77777777" w:rsidR="00C15ABC" w:rsidRPr="00FD5B11" w:rsidRDefault="00C15ABC" w:rsidP="00FD5B11">
      <w:pPr>
        <w:pStyle w:val="Cita"/>
        <w:spacing w:before="0" w:after="0"/>
        <w:jc w:val="both"/>
        <w:rPr>
          <w:rFonts w:ascii="Palatino Linotype" w:eastAsia="Palatino Linotype" w:hAnsi="Palatino Linotype"/>
          <w:sz w:val="22"/>
          <w:szCs w:val="22"/>
        </w:rPr>
      </w:pPr>
      <w:r w:rsidRPr="00FD5B11">
        <w:rPr>
          <w:rFonts w:ascii="Palatino Linotype" w:hAnsi="Palatino Linotype"/>
          <w:sz w:val="22"/>
          <w:szCs w:val="22"/>
        </w:rPr>
        <w:t>Séptimo. Con fundamento en el artículo 198 de la Ley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r w:rsidR="00FD5B11" w:rsidRPr="00FD5B11">
        <w:rPr>
          <w:rFonts w:ascii="Palatino Linotype" w:hAnsi="Palatino Linotype"/>
          <w:sz w:val="22"/>
          <w:szCs w:val="22"/>
        </w:rPr>
        <w:t>”(Sic)</w:t>
      </w:r>
    </w:p>
    <w:p w14:paraId="3E688E5A" w14:textId="77777777" w:rsidR="00D4688F" w:rsidRPr="00FD5B11" w:rsidRDefault="00D4688F" w:rsidP="00FD5B11">
      <w:pPr>
        <w:pStyle w:val="Cita"/>
        <w:spacing w:before="0" w:after="0"/>
        <w:ind w:left="0"/>
        <w:jc w:val="both"/>
        <w:rPr>
          <w:rFonts w:ascii="Palatino Linotype" w:eastAsia="Palatino Linotype" w:hAnsi="Palatino Linotype"/>
          <w:b/>
          <w:sz w:val="22"/>
          <w:szCs w:val="22"/>
        </w:rPr>
      </w:pPr>
    </w:p>
    <w:p w14:paraId="4C29FA9F" w14:textId="77777777" w:rsidR="00C94342" w:rsidRDefault="00B22589">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10</w:t>
      </w:r>
      <w:r w:rsidR="005B40C0">
        <w:rPr>
          <w:rFonts w:ascii="Palatino Linotype" w:eastAsia="Palatino Linotype" w:hAnsi="Palatino Linotype" w:cs="Palatino Linotype"/>
          <w:b/>
        </w:rPr>
        <w:t>. Notificación de la resoluci</w:t>
      </w:r>
      <w:r w:rsidR="00140692">
        <w:rPr>
          <w:rFonts w:ascii="Palatino Linotype" w:eastAsia="Palatino Linotype" w:hAnsi="Palatino Linotype" w:cs="Palatino Linotype"/>
          <w:b/>
        </w:rPr>
        <w:t>ón del recu</w:t>
      </w:r>
      <w:r w:rsidR="00FD5B11">
        <w:rPr>
          <w:rFonts w:ascii="Palatino Linotype" w:eastAsia="Palatino Linotype" w:hAnsi="Palatino Linotype" w:cs="Palatino Linotype"/>
          <w:b/>
        </w:rPr>
        <w:t>rso de revisión 1756</w:t>
      </w:r>
      <w:r w:rsidR="00D4688F">
        <w:rPr>
          <w:rFonts w:ascii="Palatino Linotype" w:eastAsia="Palatino Linotype" w:hAnsi="Palatino Linotype" w:cs="Palatino Linotype"/>
          <w:b/>
        </w:rPr>
        <w:t>4</w:t>
      </w:r>
      <w:r w:rsidR="005B40C0">
        <w:rPr>
          <w:rFonts w:ascii="Palatino Linotype" w:eastAsia="Palatino Linotype" w:hAnsi="Palatino Linotype" w:cs="Palatino Linotype"/>
          <w:b/>
        </w:rPr>
        <w:t xml:space="preserve">/INFOEM/IP/RR/2022. </w:t>
      </w:r>
      <w:r w:rsidR="005B40C0">
        <w:rPr>
          <w:rFonts w:ascii="Palatino Linotype" w:eastAsia="Palatino Linotype" w:hAnsi="Palatino Linotype" w:cs="Palatino Linotype"/>
        </w:rPr>
        <w:t>El</w:t>
      </w:r>
      <w:r w:rsidR="00140692">
        <w:rPr>
          <w:rFonts w:ascii="Palatino Linotype" w:eastAsia="Palatino Linotype" w:hAnsi="Palatino Linotype" w:cs="Palatino Linotype"/>
          <w:b/>
        </w:rPr>
        <w:t xml:space="preserve"> </w:t>
      </w:r>
      <w:r w:rsidR="00D4688F">
        <w:rPr>
          <w:rFonts w:ascii="Palatino Linotype" w:eastAsia="Palatino Linotype" w:hAnsi="Palatino Linotype" w:cs="Palatino Linotype"/>
          <w:b/>
        </w:rPr>
        <w:t xml:space="preserve">siete de febrero </w:t>
      </w:r>
      <w:r w:rsidR="00171C25">
        <w:rPr>
          <w:rFonts w:ascii="Palatino Linotype" w:eastAsia="Palatino Linotype" w:hAnsi="Palatino Linotype" w:cs="Palatino Linotype"/>
          <w:b/>
        </w:rPr>
        <w:t>de dos mil veintitrés</w:t>
      </w:r>
      <w:r w:rsidR="005B40C0">
        <w:rPr>
          <w:rFonts w:ascii="Palatino Linotype" w:eastAsia="Palatino Linotype" w:hAnsi="Palatino Linotype" w:cs="Palatino Linotype"/>
          <w:b/>
        </w:rPr>
        <w:t xml:space="preserve">, </w:t>
      </w:r>
      <w:r w:rsidR="005B40C0">
        <w:rPr>
          <w:rFonts w:ascii="Palatino Linotype" w:eastAsia="Palatino Linotype" w:hAnsi="Palatino Linotype" w:cs="Palatino Linotype"/>
        </w:rPr>
        <w:t>se notificó a las partes la resolución del medio de impugnación previamente referido, por medio del SAIMEX.</w:t>
      </w:r>
    </w:p>
    <w:p w14:paraId="01807D22" w14:textId="77777777" w:rsidR="00C94342" w:rsidRDefault="00C94342">
      <w:pPr>
        <w:spacing w:line="360" w:lineRule="auto"/>
        <w:jc w:val="both"/>
        <w:rPr>
          <w:rFonts w:ascii="Palatino Linotype" w:eastAsia="Palatino Linotype" w:hAnsi="Palatino Linotype" w:cs="Palatino Linotype"/>
        </w:rPr>
      </w:pPr>
    </w:p>
    <w:p w14:paraId="394D2CE3" w14:textId="77777777" w:rsidR="009F4CC3" w:rsidRDefault="001F20DD">
      <w:pPr>
        <w:spacing w:line="360" w:lineRule="auto"/>
        <w:contextualSpacing/>
        <w:jc w:val="both"/>
        <w:rPr>
          <w:rFonts w:ascii="Palatino Linotype" w:eastAsia="Palatino Linotype" w:hAnsi="Palatino Linotype" w:cs="Palatino Linotype"/>
        </w:rPr>
      </w:pPr>
      <w:r>
        <w:rPr>
          <w:rFonts w:ascii="Palatino Linotype" w:eastAsia="Palatino Linotype" w:hAnsi="Palatino Linotype" w:cs="Palatino Linotype"/>
          <w:b/>
        </w:rPr>
        <w:t>11</w:t>
      </w:r>
      <w:r w:rsidR="005B40C0">
        <w:rPr>
          <w:rFonts w:ascii="Palatino Linotype" w:eastAsia="Palatino Linotype" w:hAnsi="Palatino Linotype" w:cs="Palatino Linotype"/>
          <w:b/>
        </w:rPr>
        <w:t xml:space="preserve">. </w:t>
      </w:r>
      <w:r w:rsidR="00745B48">
        <w:rPr>
          <w:rFonts w:ascii="Palatino Linotype" w:eastAsia="Palatino Linotype" w:hAnsi="Palatino Linotype" w:cs="Palatino Linotype"/>
          <w:b/>
        </w:rPr>
        <w:t xml:space="preserve">Cumplimiento </w:t>
      </w:r>
      <w:r w:rsidR="005B40C0">
        <w:rPr>
          <w:rFonts w:ascii="Palatino Linotype" w:eastAsia="Palatino Linotype" w:hAnsi="Palatino Linotype" w:cs="Palatino Linotype"/>
          <w:b/>
        </w:rPr>
        <w:t xml:space="preserve"> del recurso de revisión</w:t>
      </w:r>
      <w:r w:rsidR="00FD5B11">
        <w:rPr>
          <w:rFonts w:ascii="Palatino Linotype" w:eastAsia="Palatino Linotype" w:hAnsi="Palatino Linotype" w:cs="Palatino Linotype"/>
          <w:b/>
        </w:rPr>
        <w:t xml:space="preserve"> 1756</w:t>
      </w:r>
      <w:r w:rsidR="00D4688F">
        <w:rPr>
          <w:rFonts w:ascii="Palatino Linotype" w:eastAsia="Palatino Linotype" w:hAnsi="Palatino Linotype" w:cs="Palatino Linotype"/>
          <w:b/>
        </w:rPr>
        <w:t>4</w:t>
      </w:r>
      <w:r w:rsidR="00745B48">
        <w:rPr>
          <w:rFonts w:ascii="Palatino Linotype" w:eastAsia="Palatino Linotype" w:hAnsi="Palatino Linotype" w:cs="Palatino Linotype"/>
          <w:b/>
        </w:rPr>
        <w:t>/INFOEM/IP/RR/2022</w:t>
      </w:r>
      <w:r w:rsidR="005B40C0">
        <w:rPr>
          <w:rFonts w:ascii="Palatino Linotype" w:eastAsia="Palatino Linotype" w:hAnsi="Palatino Linotype" w:cs="Palatino Linotype"/>
          <w:b/>
        </w:rPr>
        <w:t>.</w:t>
      </w:r>
      <w:r w:rsidR="005B40C0">
        <w:rPr>
          <w:rFonts w:ascii="Palatino Linotype" w:eastAsia="Palatino Linotype" w:hAnsi="Palatino Linotype" w:cs="Palatino Linotype"/>
        </w:rPr>
        <w:t xml:space="preserve"> El</w:t>
      </w:r>
      <w:r w:rsidR="00171C25">
        <w:rPr>
          <w:rFonts w:ascii="Palatino Linotype" w:eastAsia="Palatino Linotype" w:hAnsi="Palatino Linotype" w:cs="Palatino Linotype"/>
          <w:b/>
        </w:rPr>
        <w:t xml:space="preserve"> </w:t>
      </w:r>
      <w:r w:rsidR="00FD5B11">
        <w:rPr>
          <w:rFonts w:ascii="Palatino Linotype" w:eastAsia="Palatino Linotype" w:hAnsi="Palatino Linotype" w:cs="Palatino Linotype"/>
          <w:b/>
        </w:rPr>
        <w:t>veintidós de febrero</w:t>
      </w:r>
      <w:r w:rsidR="00D4688F">
        <w:rPr>
          <w:rFonts w:ascii="Palatino Linotype" w:eastAsia="Palatino Linotype" w:hAnsi="Palatino Linotype" w:cs="Palatino Linotype"/>
          <w:b/>
        </w:rPr>
        <w:t xml:space="preserve"> de </w:t>
      </w:r>
      <w:r w:rsidR="00171C25">
        <w:rPr>
          <w:rFonts w:ascii="Palatino Linotype" w:eastAsia="Palatino Linotype" w:hAnsi="Palatino Linotype" w:cs="Palatino Linotype"/>
          <w:b/>
        </w:rPr>
        <w:t>dos mil veintitrés</w:t>
      </w:r>
      <w:r w:rsidR="00095207">
        <w:rPr>
          <w:rFonts w:ascii="Palatino Linotype" w:eastAsia="Palatino Linotype" w:hAnsi="Palatino Linotype" w:cs="Palatino Linotype"/>
          <w:b/>
        </w:rPr>
        <w:t xml:space="preserve">, </w:t>
      </w:r>
      <w:r w:rsidR="00095207">
        <w:rPr>
          <w:rFonts w:ascii="Palatino Linotype" w:eastAsia="Palatino Linotype" w:hAnsi="Palatino Linotype" w:cs="Palatino Linotype"/>
        </w:rPr>
        <w:t>de</w:t>
      </w:r>
      <w:r w:rsidR="00745B48" w:rsidRPr="00BD3131">
        <w:rPr>
          <w:rFonts w:ascii="Palatino Linotype" w:eastAsia="Calibri" w:hAnsi="Palatino Linotype" w:cs="Tahoma"/>
          <w:color w:val="000000"/>
        </w:rPr>
        <w:t xml:space="preserve"> conformidad con el artículo 186, </w:t>
      </w:r>
      <w:r w:rsidR="00745B48" w:rsidRPr="00BD3131">
        <w:rPr>
          <w:rFonts w:ascii="Palatino Linotype" w:eastAsia="Calibri" w:hAnsi="Palatino Linotype" w:cs="Tahoma"/>
          <w:color w:val="000000"/>
        </w:rPr>
        <w:lastRenderedPageBreak/>
        <w:t xml:space="preserve">último párrafo de la Ley de Transparencia y Acceso a la Información Pública del Estado de México y </w:t>
      </w:r>
      <w:r w:rsidR="00745B48" w:rsidRPr="009F4CC3">
        <w:rPr>
          <w:rFonts w:ascii="Palatino Linotype" w:eastAsia="Calibri" w:hAnsi="Palatino Linotype" w:cs="Tahoma"/>
          <w:color w:val="000000"/>
        </w:rPr>
        <w:t>Municipios</w:t>
      </w:r>
      <w:r w:rsidR="009F4CC3" w:rsidRPr="009F4CC3">
        <w:rPr>
          <w:rFonts w:ascii="Palatino Linotype" w:eastAsia="Calibri" w:hAnsi="Palatino Linotype" w:cs="Tahoma"/>
          <w:color w:val="000000"/>
        </w:rPr>
        <w:t>,</w:t>
      </w:r>
      <w:r w:rsidR="009F4CC3" w:rsidRPr="009F4CC3">
        <w:rPr>
          <w:rFonts w:ascii="Palatino Linotype" w:eastAsia="Calibri" w:hAnsi="Palatino Linotype" w:cs="Tahoma"/>
          <w:b/>
          <w:color w:val="000000"/>
        </w:rPr>
        <w:t xml:space="preserve"> EL SUJETO OBLIGADO</w:t>
      </w:r>
      <w:r w:rsidR="009F4CC3" w:rsidRPr="00BD3131">
        <w:rPr>
          <w:rFonts w:ascii="Palatino Linotype" w:eastAsia="Calibri" w:hAnsi="Palatino Linotype" w:cs="Tahoma"/>
          <w:color w:val="000000"/>
        </w:rPr>
        <w:t xml:space="preserve"> </w:t>
      </w:r>
      <w:r w:rsidR="009F4CC3">
        <w:rPr>
          <w:rFonts w:ascii="Palatino Linotype" w:eastAsia="Calibri" w:hAnsi="Palatino Linotype" w:cs="Tahoma"/>
          <w:color w:val="000000"/>
        </w:rPr>
        <w:t>debió dar cumplimiento a la resolución del recurso de r</w:t>
      </w:r>
      <w:r w:rsidR="00745B48" w:rsidRPr="00BD3131">
        <w:rPr>
          <w:rFonts w:ascii="Palatino Linotype" w:eastAsia="Calibri" w:hAnsi="Palatino Linotype" w:cs="Tahoma"/>
          <w:color w:val="000000"/>
        </w:rPr>
        <w:t xml:space="preserve">evisión </w:t>
      </w:r>
      <w:r w:rsidR="00FD5B11">
        <w:rPr>
          <w:rFonts w:ascii="Palatino Linotype" w:eastAsia="Calibri" w:hAnsi="Palatino Linotype" w:cs="Tahoma"/>
          <w:b/>
          <w:color w:val="000000"/>
        </w:rPr>
        <w:t>1756</w:t>
      </w:r>
      <w:r w:rsidR="00D4688F">
        <w:rPr>
          <w:rFonts w:ascii="Palatino Linotype" w:eastAsia="Calibri" w:hAnsi="Palatino Linotype" w:cs="Tahoma"/>
          <w:b/>
          <w:color w:val="000000"/>
        </w:rPr>
        <w:t>4</w:t>
      </w:r>
      <w:r w:rsidR="00745B48" w:rsidRPr="009F4CC3">
        <w:rPr>
          <w:rFonts w:ascii="Palatino Linotype" w:eastAsia="Calibri" w:hAnsi="Palatino Linotype" w:cs="Tahoma"/>
          <w:b/>
          <w:color w:val="000000"/>
        </w:rPr>
        <w:t>/INFOEM/IP/RR/2022;</w:t>
      </w:r>
      <w:r w:rsidR="00745B48" w:rsidRPr="00BD3131">
        <w:rPr>
          <w:rFonts w:ascii="Palatino Linotype" w:eastAsia="Calibri" w:hAnsi="Palatino Linotype" w:cs="Tahoma"/>
          <w:color w:val="000000"/>
        </w:rPr>
        <w:t xml:space="preserve"> sin embargo, de las constancias que obran en el expediente electrónico del </w:t>
      </w:r>
      <w:r w:rsidR="00745B48" w:rsidRPr="00BD3131">
        <w:rPr>
          <w:rFonts w:ascii="Palatino Linotype" w:eastAsia="Calibri" w:hAnsi="Palatino Linotype" w:cs="Tahoma"/>
          <w:color w:val="000000"/>
          <w:lang w:val="es-ES"/>
        </w:rPr>
        <w:t>Sistema de Acc</w:t>
      </w:r>
      <w:r w:rsidR="009F4CC3">
        <w:rPr>
          <w:rFonts w:ascii="Palatino Linotype" w:eastAsia="Calibri" w:hAnsi="Palatino Linotype" w:cs="Tahoma"/>
          <w:color w:val="000000"/>
          <w:lang w:val="es-ES"/>
        </w:rPr>
        <w:t xml:space="preserve">eso a la Información Mexiquense, </w:t>
      </w:r>
      <w:r w:rsidR="00745B48" w:rsidRPr="00BD3131">
        <w:rPr>
          <w:rFonts w:ascii="Palatino Linotype" w:eastAsia="Calibri" w:hAnsi="Palatino Linotype" w:cs="Tahoma"/>
          <w:color w:val="000000"/>
          <w:lang w:val="es-ES"/>
        </w:rPr>
        <w:t xml:space="preserve">se advierte que </w:t>
      </w:r>
      <w:r w:rsidR="00745B48" w:rsidRPr="00BD3131">
        <w:rPr>
          <w:rFonts w:ascii="Palatino Linotype" w:eastAsia="Calibri" w:hAnsi="Palatino Linotype" w:cs="Tahoma"/>
          <w:bCs/>
          <w:color w:val="000000"/>
        </w:rPr>
        <w:t>omitió dicha acción</w:t>
      </w:r>
      <w:r w:rsidR="00BD3131" w:rsidRPr="00BD3131">
        <w:rPr>
          <w:rFonts w:ascii="Palatino Linotype" w:eastAsia="Calibri" w:hAnsi="Palatino Linotype" w:cs="Tahoma"/>
          <w:bCs/>
          <w:color w:val="000000"/>
        </w:rPr>
        <w:t xml:space="preserve">, por lo que </w:t>
      </w:r>
      <w:r w:rsidR="005B40C0" w:rsidRPr="00BD3131">
        <w:rPr>
          <w:rFonts w:ascii="Palatino Linotype" w:eastAsia="Palatino Linotype" w:hAnsi="Palatino Linotype" w:cs="Palatino Linotype"/>
        </w:rPr>
        <w:t xml:space="preserve">la Dirección de Cumplimientos de la Secretaría Técnica del Pleno del Infoem notificó el acuerdo de incumplimiento a la resolución dictada por esta Autoridad Mexiquense. </w:t>
      </w:r>
    </w:p>
    <w:p w14:paraId="60BFC865" w14:textId="77777777" w:rsidR="00FD5B11" w:rsidRDefault="00FD5B11">
      <w:pPr>
        <w:spacing w:line="360" w:lineRule="auto"/>
        <w:contextualSpacing/>
        <w:jc w:val="both"/>
        <w:rPr>
          <w:rFonts w:ascii="Palatino Linotype" w:eastAsia="Palatino Linotype" w:hAnsi="Palatino Linotype" w:cs="Palatino Linotype"/>
        </w:rPr>
      </w:pPr>
    </w:p>
    <w:p w14:paraId="3877BE62" w14:textId="77777777" w:rsidR="00FD5B11" w:rsidRDefault="00FD5B11">
      <w:pPr>
        <w:spacing w:line="360" w:lineRule="auto"/>
        <w:contextualSpacing/>
        <w:jc w:val="both"/>
        <w:rPr>
          <w:rFonts w:ascii="Palatino Linotype" w:eastAsia="Palatino Linotype" w:hAnsi="Palatino Linotype" w:cs="Palatino Linotype"/>
        </w:rPr>
      </w:pPr>
      <w:r w:rsidRPr="00FD5B11">
        <w:rPr>
          <w:rFonts w:ascii="Palatino Linotype" w:eastAsia="Palatino Linotype" w:hAnsi="Palatino Linotype" w:cs="Palatino Linotype"/>
          <w:b/>
        </w:rPr>
        <w:t>12. Turno a la Contraloría Interna para imposición de Medida de Apremio.</w:t>
      </w:r>
      <w:r>
        <w:rPr>
          <w:rFonts w:ascii="Palatino Linotype" w:eastAsia="Palatino Linotype" w:hAnsi="Palatino Linotype" w:cs="Palatino Linotype"/>
        </w:rPr>
        <w:t xml:space="preserve"> El mismo día, mediante el oficio </w:t>
      </w:r>
      <w:r w:rsidRPr="00FD5B11">
        <w:rPr>
          <w:rFonts w:ascii="Palatino Linotype" w:eastAsia="Palatino Linotype" w:hAnsi="Palatino Linotype" w:cs="Palatino Linotype"/>
          <w:i/>
        </w:rPr>
        <w:t>INFOEM/STP/DC/1023/2023,</w:t>
      </w:r>
      <w:r>
        <w:rPr>
          <w:rFonts w:ascii="Palatino Linotype" w:eastAsia="Palatino Linotype" w:hAnsi="Palatino Linotype" w:cs="Palatino Linotype"/>
        </w:rPr>
        <w:t xml:space="preserve"> la Dirección de Cumplimientos hizo de conocimiento a la Contraloría Interna y Órgano Interno de Control y Vigilancia del Infoem, el incumplimiento al fallo emitido por el Pleno de este Instituto para la imposición de la medida de apremio correspondiente. </w:t>
      </w:r>
    </w:p>
    <w:p w14:paraId="64CF7A75" w14:textId="77777777" w:rsidR="009F4CC3" w:rsidRPr="009F4CC3" w:rsidRDefault="009F4CC3">
      <w:pPr>
        <w:spacing w:line="360" w:lineRule="auto"/>
        <w:contextualSpacing/>
        <w:jc w:val="both"/>
        <w:rPr>
          <w:rFonts w:ascii="Palatino Linotype" w:eastAsia="Palatino Linotype" w:hAnsi="Palatino Linotype" w:cs="Palatino Linotype"/>
        </w:rPr>
      </w:pPr>
    </w:p>
    <w:p w14:paraId="0699D7F0" w14:textId="77777777" w:rsidR="00C94342" w:rsidRPr="009F4CC3" w:rsidRDefault="00FD5B11">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13</w:t>
      </w:r>
      <w:r w:rsidR="005B40C0" w:rsidRPr="009F4CC3">
        <w:rPr>
          <w:rFonts w:ascii="Palatino Linotype" w:eastAsia="Palatino Linotype" w:hAnsi="Palatino Linotype" w:cs="Palatino Linotype"/>
          <w:b/>
        </w:rPr>
        <w:t>. Interposición del segundo recurso de revisión</w:t>
      </w:r>
      <w:r w:rsidR="00BD3131" w:rsidRPr="009F4CC3">
        <w:rPr>
          <w:rFonts w:ascii="Palatino Linotype" w:eastAsia="Palatino Linotype" w:hAnsi="Palatino Linotype" w:cs="Palatino Linotype"/>
          <w:b/>
        </w:rPr>
        <w:t xml:space="preserve"> </w:t>
      </w:r>
      <w:r>
        <w:rPr>
          <w:rFonts w:ascii="Palatino Linotype" w:eastAsia="Palatino Linotype" w:hAnsi="Palatino Linotype" w:cs="Palatino Linotype"/>
          <w:b/>
        </w:rPr>
        <w:t>17564/INFOEM/ICR-139</w:t>
      </w:r>
      <w:r w:rsidR="009F4CC3" w:rsidRPr="009F4CC3">
        <w:rPr>
          <w:rFonts w:ascii="Palatino Linotype" w:eastAsia="Palatino Linotype" w:hAnsi="Palatino Linotype" w:cs="Palatino Linotype"/>
          <w:b/>
        </w:rPr>
        <w:t xml:space="preserve">/IP/RR/2022. </w:t>
      </w:r>
      <w:r w:rsidR="005B40C0">
        <w:rPr>
          <w:rFonts w:ascii="Palatino Linotype" w:eastAsia="Palatino Linotype" w:hAnsi="Palatino Linotype" w:cs="Palatino Linotype"/>
        </w:rPr>
        <w:t xml:space="preserve">Con fecha </w:t>
      </w:r>
      <w:r>
        <w:rPr>
          <w:rFonts w:ascii="Palatino Linotype" w:eastAsia="Palatino Linotype" w:hAnsi="Palatino Linotype" w:cs="Palatino Linotype"/>
          <w:b/>
        </w:rPr>
        <w:t>veintisiete de febrero</w:t>
      </w:r>
      <w:r w:rsidR="00D4688F">
        <w:rPr>
          <w:rFonts w:ascii="Palatino Linotype" w:eastAsia="Palatino Linotype" w:hAnsi="Palatino Linotype" w:cs="Palatino Linotype"/>
          <w:b/>
        </w:rPr>
        <w:t xml:space="preserve"> </w:t>
      </w:r>
      <w:r w:rsidR="005B40C0">
        <w:rPr>
          <w:rFonts w:ascii="Palatino Linotype" w:eastAsia="Palatino Linotype" w:hAnsi="Palatino Linotype" w:cs="Palatino Linotype"/>
          <w:b/>
        </w:rPr>
        <w:t>de dos mil veintitrés, LA PARTE RECURRENTE</w:t>
      </w:r>
      <w:r w:rsidR="005B40C0">
        <w:rPr>
          <w:rFonts w:ascii="Palatino Linotype" w:eastAsia="Palatino Linotype" w:hAnsi="Palatino Linotype" w:cs="Palatino Linotype"/>
        </w:rPr>
        <w:t xml:space="preserve"> se manifestó de la siguiente manera: </w:t>
      </w:r>
    </w:p>
    <w:p w14:paraId="56FDC836" w14:textId="77777777" w:rsidR="00C94342" w:rsidRDefault="00C94342">
      <w:pPr>
        <w:spacing w:line="360" w:lineRule="auto"/>
        <w:jc w:val="both"/>
        <w:rPr>
          <w:rFonts w:ascii="Palatino Linotype" w:eastAsia="Palatino Linotype" w:hAnsi="Palatino Linotype" w:cs="Palatino Linotype"/>
        </w:rPr>
      </w:pPr>
    </w:p>
    <w:p w14:paraId="60F69808" w14:textId="77777777" w:rsidR="00C94342" w:rsidRDefault="005B40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6F3351A1" w14:textId="77777777" w:rsidR="00C94342" w:rsidRPr="00D4688F"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1ECF8ED1" w14:textId="77777777" w:rsidR="00C94342" w:rsidRPr="00D4688F"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D4688F">
        <w:rPr>
          <w:rFonts w:ascii="Palatino Linotype" w:eastAsia="Palatino Linotype" w:hAnsi="Palatino Linotype" w:cs="Palatino Linotype"/>
          <w:i/>
          <w:color w:val="000000"/>
          <w:sz w:val="22"/>
          <w:szCs w:val="22"/>
        </w:rPr>
        <w:t>“</w:t>
      </w:r>
      <w:r w:rsidR="00D4688F" w:rsidRPr="00D4688F">
        <w:rPr>
          <w:rFonts w:ascii="Palatino Linotype" w:hAnsi="Palatino Linotype"/>
          <w:i/>
          <w:color w:val="000000"/>
          <w:sz w:val="22"/>
          <w:szCs w:val="22"/>
        </w:rPr>
        <w:t>No entrega información</w:t>
      </w:r>
      <w:r w:rsidRPr="00D4688F">
        <w:rPr>
          <w:rFonts w:ascii="Palatino Linotype" w:eastAsia="Palatino Linotype" w:hAnsi="Palatino Linotype" w:cs="Palatino Linotype"/>
          <w:i/>
          <w:color w:val="000000"/>
          <w:sz w:val="22"/>
          <w:szCs w:val="22"/>
        </w:rPr>
        <w:t>” (Sic)</w:t>
      </w:r>
    </w:p>
    <w:p w14:paraId="1BA6AF2F" w14:textId="77777777" w:rsidR="00C94342" w:rsidRPr="00D4688F"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649B6DF2" w14:textId="77777777" w:rsidR="00C94342" w:rsidRDefault="005B40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Motivos o razones de inconformidad: </w:t>
      </w:r>
    </w:p>
    <w:p w14:paraId="39D5CEE1" w14:textId="77777777" w:rsidR="00C94342" w:rsidRPr="00171C25" w:rsidRDefault="00C94342" w:rsidP="00171C25">
      <w:pPr>
        <w:pStyle w:val="Cita"/>
        <w:spacing w:before="0" w:after="0"/>
        <w:jc w:val="both"/>
        <w:rPr>
          <w:rFonts w:ascii="Palatino Linotype" w:eastAsia="Palatino Linotype" w:hAnsi="Palatino Linotype"/>
          <w:sz w:val="22"/>
          <w:szCs w:val="22"/>
        </w:rPr>
      </w:pPr>
    </w:p>
    <w:p w14:paraId="5A6E7224" w14:textId="77777777" w:rsidR="00C94342" w:rsidRPr="00D4688F" w:rsidRDefault="005B40C0" w:rsidP="00171C25">
      <w:pPr>
        <w:pStyle w:val="Cita"/>
        <w:spacing w:before="0" w:after="0"/>
        <w:jc w:val="both"/>
        <w:rPr>
          <w:rFonts w:ascii="Palatino Linotype" w:eastAsia="Palatino Linotype" w:hAnsi="Palatino Linotype"/>
          <w:color w:val="000000"/>
          <w:sz w:val="22"/>
          <w:szCs w:val="22"/>
        </w:rPr>
      </w:pPr>
      <w:r w:rsidRPr="00D4688F">
        <w:rPr>
          <w:rFonts w:ascii="Palatino Linotype" w:eastAsia="Palatino Linotype" w:hAnsi="Palatino Linotype"/>
          <w:color w:val="000000"/>
          <w:sz w:val="22"/>
          <w:szCs w:val="22"/>
        </w:rPr>
        <w:t>“</w:t>
      </w:r>
      <w:r w:rsidR="00D4688F" w:rsidRPr="00D4688F">
        <w:rPr>
          <w:rFonts w:ascii="Palatino Linotype" w:hAnsi="Palatino Linotype"/>
          <w:color w:val="000000"/>
          <w:sz w:val="22"/>
          <w:szCs w:val="22"/>
        </w:rPr>
        <w:t>No entrega información</w:t>
      </w:r>
      <w:r w:rsidRPr="00D4688F">
        <w:rPr>
          <w:rFonts w:ascii="Palatino Linotype" w:eastAsia="Palatino Linotype" w:hAnsi="Palatino Linotype"/>
          <w:color w:val="000000"/>
          <w:sz w:val="22"/>
          <w:szCs w:val="22"/>
        </w:rPr>
        <w:t xml:space="preserve">” (Sic) </w:t>
      </w:r>
    </w:p>
    <w:p w14:paraId="5A1DB834" w14:textId="77777777" w:rsidR="00C94342" w:rsidRPr="00D4688F" w:rsidRDefault="00C94342" w:rsidP="00171C25">
      <w:pPr>
        <w:pStyle w:val="Cita"/>
        <w:spacing w:before="0" w:after="0"/>
        <w:jc w:val="both"/>
        <w:rPr>
          <w:rFonts w:ascii="Palatino Linotype" w:eastAsia="Palatino Linotype" w:hAnsi="Palatino Linotype"/>
          <w:color w:val="000000"/>
          <w:sz w:val="22"/>
          <w:szCs w:val="22"/>
        </w:rPr>
      </w:pPr>
    </w:p>
    <w:p w14:paraId="413076A9" w14:textId="77777777" w:rsidR="00C94342" w:rsidRDefault="00FD5B1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14</w:t>
      </w:r>
      <w:r w:rsidR="005B40C0">
        <w:rPr>
          <w:rFonts w:ascii="Palatino Linotype" w:eastAsia="Palatino Linotype" w:hAnsi="Palatino Linotype" w:cs="Palatino Linotype"/>
          <w:b/>
        </w:rPr>
        <w:t xml:space="preserve">. Turno. </w:t>
      </w:r>
      <w:r w:rsidR="005B40C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w:t>
      </w:r>
      <w:r>
        <w:rPr>
          <w:rFonts w:ascii="Palatino Linotype" w:eastAsia="Palatino Linotype" w:hAnsi="Palatino Linotype" w:cs="Palatino Linotype"/>
          <w:b/>
        </w:rPr>
        <w:t>17564/INFOEM/ICR-139</w:t>
      </w:r>
      <w:r w:rsidR="009F4CC3" w:rsidRPr="009F4CC3">
        <w:rPr>
          <w:rFonts w:ascii="Palatino Linotype" w:eastAsia="Palatino Linotype" w:hAnsi="Palatino Linotype" w:cs="Palatino Linotype"/>
          <w:b/>
        </w:rPr>
        <w:t>/IP/RR/2022</w:t>
      </w:r>
      <w:r w:rsidR="009F4CC3">
        <w:rPr>
          <w:rFonts w:ascii="Palatino Linotype" w:eastAsia="Palatino Linotype" w:hAnsi="Palatino Linotype" w:cs="Palatino Linotype"/>
          <w:b/>
          <w:sz w:val="22"/>
          <w:szCs w:val="22"/>
        </w:rPr>
        <w:t xml:space="preserve"> </w:t>
      </w:r>
      <w:r w:rsidR="005B40C0">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005B40C0">
        <w:rPr>
          <w:rFonts w:ascii="Palatino Linotype" w:eastAsia="Palatino Linotype" w:hAnsi="Palatino Linotype" w:cs="Palatino Linotype"/>
          <w:b/>
        </w:rPr>
        <w:t xml:space="preserve">Comisionada Guadalupe Ramírez Peña, </w:t>
      </w:r>
      <w:r w:rsidR="005B40C0">
        <w:rPr>
          <w:rFonts w:ascii="Palatino Linotype" w:eastAsia="Palatino Linotype" w:hAnsi="Palatino Linotype" w:cs="Palatino Linotype"/>
        </w:rPr>
        <w:t>a efecto de que analizara sobre su admisión o su desechamiento.</w:t>
      </w:r>
    </w:p>
    <w:p w14:paraId="7B450E14" w14:textId="77777777" w:rsidR="00C94342" w:rsidRDefault="00C94342">
      <w:pPr>
        <w:spacing w:line="360" w:lineRule="auto"/>
        <w:ind w:right="51"/>
        <w:jc w:val="both"/>
        <w:rPr>
          <w:rFonts w:ascii="Palatino Linotype" w:eastAsia="Palatino Linotype" w:hAnsi="Palatino Linotype" w:cs="Palatino Linotype"/>
        </w:rPr>
      </w:pPr>
    </w:p>
    <w:p w14:paraId="233A098E" w14:textId="77777777" w:rsidR="00C94342" w:rsidRDefault="00FD5B1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15</w:t>
      </w:r>
      <w:r w:rsidR="005B40C0">
        <w:rPr>
          <w:rFonts w:ascii="Palatino Linotype" w:eastAsia="Palatino Linotype" w:hAnsi="Palatino Linotype" w:cs="Palatino Linotype"/>
          <w:b/>
        </w:rPr>
        <w:t>.</w:t>
      </w:r>
      <w:r w:rsidR="009F4CC3">
        <w:rPr>
          <w:rFonts w:ascii="Palatino Linotype" w:eastAsia="Palatino Linotype" w:hAnsi="Palatino Linotype" w:cs="Palatino Linotype"/>
          <w:b/>
        </w:rPr>
        <w:t xml:space="preserve"> Admisión del r</w:t>
      </w:r>
      <w:r w:rsidR="005B40C0">
        <w:rPr>
          <w:rFonts w:ascii="Palatino Linotype" w:eastAsia="Palatino Linotype" w:hAnsi="Palatino Linotype" w:cs="Palatino Linotype"/>
          <w:b/>
        </w:rPr>
        <w:t>ecurso de revisión.</w:t>
      </w:r>
      <w:r w:rsidR="005B40C0">
        <w:rPr>
          <w:rFonts w:ascii="Palatino Linotype" w:eastAsia="Palatino Linotype" w:hAnsi="Palatino Linotype" w:cs="Palatino Linotype"/>
        </w:rPr>
        <w:t xml:space="preserve"> Con fecha</w:t>
      </w:r>
      <w:r w:rsidR="00171C25">
        <w:rPr>
          <w:rFonts w:ascii="Palatino Linotype" w:eastAsia="Palatino Linotype" w:hAnsi="Palatino Linotype" w:cs="Palatino Linotype"/>
          <w:b/>
        </w:rPr>
        <w:t xml:space="preserve"> </w:t>
      </w:r>
      <w:r>
        <w:rPr>
          <w:rFonts w:ascii="Palatino Linotype" w:eastAsia="Palatino Linotype" w:hAnsi="Palatino Linotype" w:cs="Palatino Linotype"/>
          <w:b/>
        </w:rPr>
        <w:t xml:space="preserve">tres de marzo </w:t>
      </w:r>
      <w:r w:rsidR="00095207">
        <w:rPr>
          <w:rFonts w:ascii="Palatino Linotype" w:eastAsia="Palatino Linotype" w:hAnsi="Palatino Linotype" w:cs="Palatino Linotype"/>
          <w:b/>
        </w:rPr>
        <w:t xml:space="preserve">de </w:t>
      </w:r>
      <w:r w:rsidR="00D4688F">
        <w:rPr>
          <w:rFonts w:ascii="Palatino Linotype" w:eastAsia="Palatino Linotype" w:hAnsi="Palatino Linotype" w:cs="Palatino Linotype"/>
          <w:b/>
        </w:rPr>
        <w:t>dos mil veintitrés</w:t>
      </w:r>
      <w:r w:rsidR="005B40C0">
        <w:rPr>
          <w:rFonts w:ascii="Palatino Linotype" w:eastAsia="Palatino Linotype" w:hAnsi="Palatino Linotype" w:cs="Palatino Linotype"/>
          <w:b/>
        </w:rPr>
        <w:t xml:space="preserve">, </w:t>
      </w:r>
      <w:r w:rsidR="005B40C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005B40C0">
        <w:rPr>
          <w:rFonts w:ascii="Palatino Linotype" w:eastAsia="Palatino Linotype" w:hAnsi="Palatino Linotype" w:cs="Palatino Linotype"/>
          <w:b/>
        </w:rPr>
        <w:t xml:space="preserve">EL SUJETO OBLIGADO </w:t>
      </w:r>
      <w:r w:rsidR="005B40C0">
        <w:rPr>
          <w:rFonts w:ascii="Palatino Linotype" w:eastAsia="Palatino Linotype" w:hAnsi="Palatino Linotype" w:cs="Palatino Linotype"/>
        </w:rPr>
        <w:t>presentara su Informe Justificado.</w:t>
      </w:r>
    </w:p>
    <w:p w14:paraId="048D62D5" w14:textId="77777777" w:rsidR="00D4688F" w:rsidRDefault="00D4688F" w:rsidP="00980141">
      <w:pPr>
        <w:spacing w:line="360" w:lineRule="auto"/>
        <w:jc w:val="both"/>
        <w:rPr>
          <w:noProof/>
          <w:lang w:eastAsia="es-MX"/>
        </w:rPr>
      </w:pPr>
    </w:p>
    <w:p w14:paraId="3F153B7A"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16. Manifestaciones</w:t>
      </w:r>
      <w:r>
        <w:rPr>
          <w:rFonts w:ascii="Palatino Linotype" w:eastAsia="Palatino Linotype" w:hAnsi="Palatino Linotype" w:cs="Palatino Linotype"/>
        </w:rPr>
        <w:t xml:space="preserve">. De las constancias que obran en el expediente electrónico del SAIMEX se desprende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remitió en la Etapa de Instrucción el oficio </w:t>
      </w:r>
      <w:r>
        <w:rPr>
          <w:rFonts w:ascii="Palatino Linotype" w:eastAsia="Palatino Linotype" w:hAnsi="Palatino Linotype" w:cs="Palatino Linotype"/>
          <w:i/>
        </w:rPr>
        <w:t>ZIN/UT/00587</w:t>
      </w:r>
      <w:r w:rsidRPr="00A6564F">
        <w:rPr>
          <w:rFonts w:ascii="Palatino Linotype" w:eastAsia="Palatino Linotype" w:hAnsi="Palatino Linotype" w:cs="Palatino Linotype"/>
          <w:i/>
        </w:rPr>
        <w:t>/2023</w:t>
      </w:r>
      <w:r>
        <w:rPr>
          <w:rFonts w:ascii="Palatino Linotype" w:eastAsia="Palatino Linotype" w:hAnsi="Palatino Linotype" w:cs="Palatino Linotype"/>
        </w:rPr>
        <w:t xml:space="preserve"> de fecha veintiocho de marzo de dos mil veintitrés, por medio del cual el Comité de Transparencia realizó el acuerdo siguiente: </w:t>
      </w:r>
    </w:p>
    <w:p w14:paraId="2C9796B5" w14:textId="77777777" w:rsidR="00713096" w:rsidRPr="001F20DD" w:rsidRDefault="00713096" w:rsidP="00713096">
      <w:pPr>
        <w:spacing w:line="360" w:lineRule="auto"/>
        <w:jc w:val="both"/>
        <w:rPr>
          <w:rFonts w:ascii="Palatino Linotype" w:eastAsia="Palatino Linotype" w:hAnsi="Palatino Linotype" w:cs="Palatino Linotype"/>
        </w:rPr>
      </w:pPr>
    </w:p>
    <w:p w14:paraId="4E7D59FF" w14:textId="77777777" w:rsidR="00713096" w:rsidRDefault="00713096" w:rsidP="00713096">
      <w:pPr>
        <w:spacing w:line="360" w:lineRule="auto"/>
        <w:jc w:val="center"/>
        <w:rPr>
          <w:rFonts w:ascii="Palatino Linotype" w:eastAsia="Palatino Linotype" w:hAnsi="Palatino Linotype" w:cs="Palatino Linotype"/>
        </w:rPr>
      </w:pPr>
    </w:p>
    <w:p w14:paraId="39F266FA" w14:textId="77777777" w:rsidR="00713096" w:rsidRDefault="00713096" w:rsidP="00713096">
      <w:pPr>
        <w:spacing w:line="360" w:lineRule="auto"/>
        <w:jc w:val="center"/>
        <w:rPr>
          <w:rFonts w:ascii="Palatino Linotype" w:eastAsia="Palatino Linotype" w:hAnsi="Palatino Linotype" w:cs="Palatino Linotype"/>
        </w:rPr>
      </w:pPr>
    </w:p>
    <w:p w14:paraId="23654868"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Dicho acuerdo de referencia no fue puesto a la vista de </w:t>
      </w:r>
      <w:r w:rsidRPr="00A6564F">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por existir fuera del plazo legal previsto para ello. </w:t>
      </w:r>
    </w:p>
    <w:p w14:paraId="7F979179" w14:textId="77777777" w:rsidR="00713096" w:rsidRDefault="00713096" w:rsidP="00713096">
      <w:pPr>
        <w:spacing w:line="360" w:lineRule="auto"/>
        <w:jc w:val="both"/>
        <w:rPr>
          <w:noProof/>
          <w:lang w:eastAsia="es-MX"/>
        </w:rPr>
      </w:pPr>
    </w:p>
    <w:p w14:paraId="74B4CB09" w14:textId="77777777" w:rsidR="00713096" w:rsidRDefault="00713096" w:rsidP="00713096">
      <w:pPr>
        <w:spacing w:line="360" w:lineRule="auto"/>
        <w:jc w:val="center"/>
        <w:rPr>
          <w:rFonts w:ascii="Palatino Linotype" w:eastAsia="Palatino Linotype" w:hAnsi="Palatino Linotype" w:cs="Palatino Linotype"/>
        </w:rPr>
      </w:pPr>
      <w:r>
        <w:rPr>
          <w:noProof/>
          <w:lang w:eastAsia="es-MX"/>
        </w:rPr>
        <w:drawing>
          <wp:inline distT="0" distB="0" distL="0" distR="0" wp14:anchorId="60F0D9EE" wp14:editId="12E5661E">
            <wp:extent cx="4076700" cy="23717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995" t="17597" r="12959" b="6857"/>
                    <a:stretch/>
                  </pic:blipFill>
                  <pic:spPr bwMode="auto">
                    <a:xfrm>
                      <a:off x="0" y="0"/>
                      <a:ext cx="4076700" cy="2371725"/>
                    </a:xfrm>
                    <a:prstGeom prst="rect">
                      <a:avLst/>
                    </a:prstGeom>
                    <a:ln>
                      <a:noFill/>
                    </a:ln>
                    <a:extLst>
                      <a:ext uri="{53640926-AAD7-44D8-BBD7-CCE9431645EC}">
                        <a14:shadowObscured xmlns:a14="http://schemas.microsoft.com/office/drawing/2010/main"/>
                      </a:ext>
                    </a:extLst>
                  </pic:spPr>
                </pic:pic>
              </a:graphicData>
            </a:graphic>
          </wp:inline>
        </w:drawing>
      </w:r>
    </w:p>
    <w:p w14:paraId="56DE10AE" w14:textId="77777777" w:rsidR="00713096" w:rsidRDefault="00713096" w:rsidP="00713096">
      <w:pPr>
        <w:spacing w:line="360" w:lineRule="auto"/>
        <w:jc w:val="both"/>
        <w:rPr>
          <w:rFonts w:ascii="Palatino Linotype" w:eastAsia="Palatino Linotype" w:hAnsi="Palatino Linotype" w:cs="Palatino Linotype"/>
        </w:rPr>
      </w:pPr>
    </w:p>
    <w:p w14:paraId="2032B928" w14:textId="77777777" w:rsidR="00713096" w:rsidRPr="001F20DD"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tales circunstancias, </w:t>
      </w:r>
      <w:r w:rsidRPr="00A6564F">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fue omisa en realizar las consideraciones qu</w:t>
      </w:r>
      <w:r w:rsidR="006379F6">
        <w:rPr>
          <w:rFonts w:ascii="Palatino Linotype" w:eastAsia="Palatino Linotype" w:hAnsi="Palatino Linotype" w:cs="Palatino Linotype"/>
        </w:rPr>
        <w:t>e a su derecho correspondieran.</w:t>
      </w:r>
    </w:p>
    <w:p w14:paraId="54F5F41E" w14:textId="77777777" w:rsidR="00713096" w:rsidRDefault="00713096" w:rsidP="00713096">
      <w:pPr>
        <w:spacing w:line="360" w:lineRule="auto"/>
        <w:jc w:val="center"/>
        <w:rPr>
          <w:rFonts w:ascii="Palatino Linotype" w:eastAsia="Palatino Linotype" w:hAnsi="Palatino Linotype" w:cs="Palatino Linotype"/>
        </w:rPr>
      </w:pPr>
    </w:p>
    <w:p w14:paraId="7AA312C3" w14:textId="77777777" w:rsidR="00713096" w:rsidRDefault="00713096" w:rsidP="00713096">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17</w:t>
      </w:r>
      <w:r w:rsidRPr="009F4CC3">
        <w:rPr>
          <w:rFonts w:ascii="Palatino Linotype" w:eastAsia="Palatino Linotype" w:hAnsi="Palatino Linotype" w:cs="Palatino Linotype"/>
          <w:b/>
        </w:rPr>
        <w:t xml:space="preserve">. </w:t>
      </w:r>
      <w:r w:rsidRPr="009F4CC3">
        <w:rPr>
          <w:rFonts w:ascii="Palatino Linotype" w:eastAsia="Palatino Linotype" w:hAnsi="Palatino Linotype" w:cs="Palatino Linotype"/>
          <w:b/>
          <w:color w:val="000000"/>
        </w:rPr>
        <w:t xml:space="preserve">Ampliación del plazo para resolver el recurso </w:t>
      </w:r>
      <w:r>
        <w:rPr>
          <w:rFonts w:ascii="Palatino Linotype" w:eastAsia="Palatino Linotype" w:hAnsi="Palatino Linotype" w:cs="Palatino Linotype"/>
          <w:b/>
        </w:rPr>
        <w:t>17564/INFOEM/ICR-139</w:t>
      </w:r>
      <w:r w:rsidRPr="009F4CC3">
        <w:rPr>
          <w:rFonts w:ascii="Palatino Linotype" w:eastAsia="Palatino Linotype" w:hAnsi="Palatino Linotype" w:cs="Palatino Linotype"/>
          <w:b/>
        </w:rPr>
        <w:t>/IP/RR/2022</w:t>
      </w:r>
      <w:r w:rsidRPr="009F4CC3">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Con fecha </w:t>
      </w:r>
      <w:r>
        <w:rPr>
          <w:rFonts w:ascii="Palatino Linotype" w:eastAsia="Palatino Linotype" w:hAnsi="Palatino Linotype" w:cs="Palatino Linotype"/>
          <w:b/>
          <w:color w:val="000000"/>
        </w:rPr>
        <w:t>dieciséis de agosto de dos mil veintitrés</w:t>
      </w:r>
      <w:r>
        <w:rPr>
          <w:rFonts w:ascii="Palatino Linotype" w:eastAsia="Palatino Linotype" w:hAnsi="Palatino Linotype" w:cs="Palatino Linotype"/>
          <w:color w:val="000000"/>
        </w:rPr>
        <w:t>, con fundamento en el artículo 181, párrafo tercero de la Ley de Transparencia y Acceso a la Información Pública del Estado de México y Municipios, se acordó la ampliación del plazo para su resolución.</w:t>
      </w:r>
    </w:p>
    <w:p w14:paraId="5D13CA4F" w14:textId="77777777" w:rsidR="00713096" w:rsidRDefault="00713096" w:rsidP="00713096">
      <w:pPr>
        <w:widowControl w:val="0"/>
        <w:spacing w:line="360" w:lineRule="auto"/>
        <w:jc w:val="both"/>
        <w:rPr>
          <w:rFonts w:ascii="Palatino Linotype" w:eastAsia="Palatino Linotype" w:hAnsi="Palatino Linotype" w:cs="Palatino Linotype"/>
        </w:rPr>
      </w:pPr>
    </w:p>
    <w:p w14:paraId="5B45221F"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w:t>
      </w:r>
      <w:r>
        <w:rPr>
          <w:rFonts w:ascii="Palatino Linotype" w:eastAsia="Palatino Linotype" w:hAnsi="Palatino Linotype" w:cs="Palatino Linotype"/>
        </w:rPr>
        <w:lastRenderedPageBreak/>
        <w:t>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063AEEE9" w14:textId="77777777" w:rsidR="00713096" w:rsidRDefault="00713096" w:rsidP="00713096">
      <w:pPr>
        <w:spacing w:line="360" w:lineRule="auto"/>
        <w:jc w:val="both"/>
        <w:rPr>
          <w:rFonts w:ascii="Palatino Linotype" w:eastAsia="Palatino Linotype" w:hAnsi="Palatino Linotype" w:cs="Palatino Linotype"/>
        </w:rPr>
      </w:pPr>
    </w:p>
    <w:p w14:paraId="1DEC067C"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2C1927A" w14:textId="77777777" w:rsidR="00713096" w:rsidRDefault="00713096" w:rsidP="00713096">
      <w:pPr>
        <w:spacing w:line="360" w:lineRule="auto"/>
        <w:jc w:val="both"/>
        <w:rPr>
          <w:rFonts w:ascii="Palatino Linotype" w:eastAsia="Palatino Linotype" w:hAnsi="Palatino Linotype" w:cs="Palatino Linotype"/>
        </w:rPr>
      </w:pPr>
    </w:p>
    <w:p w14:paraId="571CF41D"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CDD34F" w14:textId="77777777" w:rsidR="00713096" w:rsidRDefault="00713096" w:rsidP="00713096">
      <w:pPr>
        <w:spacing w:line="360" w:lineRule="auto"/>
        <w:jc w:val="both"/>
        <w:rPr>
          <w:rFonts w:ascii="Palatino Linotype" w:eastAsia="Palatino Linotype" w:hAnsi="Palatino Linotype" w:cs="Palatino Linotype"/>
        </w:rPr>
      </w:pPr>
    </w:p>
    <w:p w14:paraId="4F302EDA"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6824108" w14:textId="77777777" w:rsidR="00713096" w:rsidRDefault="00713096" w:rsidP="00713096">
      <w:pPr>
        <w:spacing w:line="360" w:lineRule="auto"/>
        <w:jc w:val="both"/>
        <w:rPr>
          <w:rFonts w:ascii="Palatino Linotype" w:eastAsia="Palatino Linotype" w:hAnsi="Palatino Linotype" w:cs="Palatino Linotype"/>
        </w:rPr>
      </w:pPr>
    </w:p>
    <w:p w14:paraId="4E058F98" w14:textId="77777777" w:rsidR="00713096" w:rsidRDefault="00713096" w:rsidP="00713096">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662A331" w14:textId="77777777" w:rsidR="00713096" w:rsidRDefault="00713096" w:rsidP="00713096">
      <w:pPr>
        <w:spacing w:line="360" w:lineRule="auto"/>
        <w:jc w:val="both"/>
        <w:rPr>
          <w:rFonts w:ascii="Palatino Linotype" w:eastAsia="Palatino Linotype" w:hAnsi="Palatino Linotype" w:cs="Palatino Linotype"/>
        </w:rPr>
      </w:pPr>
    </w:p>
    <w:p w14:paraId="511B7AFF" w14:textId="77777777" w:rsidR="00713096" w:rsidRDefault="00713096" w:rsidP="00713096">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64A6D91" w14:textId="77777777" w:rsidR="00713096" w:rsidRDefault="00713096" w:rsidP="00713096">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105A20DB" w14:textId="77777777" w:rsidR="00713096" w:rsidRDefault="00713096" w:rsidP="00713096">
      <w:pPr>
        <w:spacing w:line="360" w:lineRule="auto"/>
        <w:ind w:left="927"/>
        <w:jc w:val="both"/>
        <w:rPr>
          <w:rFonts w:ascii="Palatino Linotype" w:eastAsia="Palatino Linotype" w:hAnsi="Palatino Linotype" w:cs="Palatino Linotype"/>
        </w:rPr>
      </w:pPr>
    </w:p>
    <w:p w14:paraId="6CAB287B" w14:textId="77777777" w:rsidR="00713096" w:rsidRDefault="00713096" w:rsidP="00713096">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7D3CD5FD" w14:textId="77777777" w:rsidR="00713096" w:rsidRDefault="00713096" w:rsidP="00713096">
      <w:pPr>
        <w:numPr>
          <w:ilvl w:val="0"/>
          <w:numId w:val="1"/>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21EA4CEA" w14:textId="77777777" w:rsidR="00713096" w:rsidRDefault="00713096" w:rsidP="00713096">
      <w:pPr>
        <w:spacing w:line="360" w:lineRule="auto"/>
        <w:jc w:val="both"/>
        <w:rPr>
          <w:rFonts w:ascii="Palatino Linotype" w:eastAsia="Palatino Linotype" w:hAnsi="Palatino Linotype" w:cs="Palatino Linotype"/>
        </w:rPr>
      </w:pPr>
    </w:p>
    <w:p w14:paraId="3495662E"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7DBCE3" w14:textId="77777777" w:rsidR="00713096" w:rsidRDefault="00713096" w:rsidP="00713096">
      <w:pPr>
        <w:spacing w:line="360" w:lineRule="auto"/>
        <w:jc w:val="both"/>
        <w:rPr>
          <w:rFonts w:ascii="Palatino Linotype" w:eastAsia="Palatino Linotype" w:hAnsi="Palatino Linotype" w:cs="Palatino Linotype"/>
        </w:rPr>
      </w:pPr>
    </w:p>
    <w:p w14:paraId="0CC449ED" w14:textId="77777777" w:rsidR="00713096" w:rsidRDefault="00713096" w:rsidP="00713096">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w:t>
      </w:r>
      <w:r>
        <w:rPr>
          <w:rFonts w:ascii="Palatino Linotype" w:eastAsia="Palatino Linotype" w:hAnsi="Palatino Linotype" w:cs="Palatino Linotype"/>
          <w:i/>
        </w:rPr>
        <w:lastRenderedPageBreak/>
        <w:t>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154CD6E" w14:textId="77777777" w:rsidR="00713096" w:rsidRDefault="00713096" w:rsidP="00713096">
      <w:pPr>
        <w:spacing w:line="360" w:lineRule="auto"/>
        <w:jc w:val="both"/>
        <w:rPr>
          <w:rFonts w:ascii="Palatino Linotype" w:eastAsia="Palatino Linotype" w:hAnsi="Palatino Linotype" w:cs="Palatino Linotype"/>
        </w:rPr>
      </w:pPr>
    </w:p>
    <w:p w14:paraId="0D59E7FB"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D2534B1" w14:textId="77777777" w:rsidR="00713096" w:rsidRDefault="00713096" w:rsidP="00713096">
      <w:pPr>
        <w:spacing w:line="360" w:lineRule="auto"/>
        <w:jc w:val="both"/>
        <w:rPr>
          <w:rFonts w:ascii="Palatino Linotype" w:eastAsia="Palatino Linotype" w:hAnsi="Palatino Linotype" w:cs="Palatino Linotype"/>
        </w:rPr>
      </w:pPr>
    </w:p>
    <w:p w14:paraId="27634018"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59EB1BC" w14:textId="77777777" w:rsidR="00713096" w:rsidRDefault="00713096" w:rsidP="0071309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54154B0B" w14:textId="77777777" w:rsidR="00713096" w:rsidRDefault="00713096" w:rsidP="0071309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 “PLAZO RAZONABLE PARA RESOLVER. DIMENSIÓN Y EFECTOS DE ESTE CONCEPTO CUANDO SE ADUCE EXCESIVA CARGA DE TRABAJO.” consultable en el Seminario Judicial de la Federación y su gaceta, con el registro digital 2002351.</w:t>
      </w:r>
    </w:p>
    <w:p w14:paraId="4FECC55A" w14:textId="77777777" w:rsidR="00713096" w:rsidRDefault="00713096" w:rsidP="00713096">
      <w:pPr>
        <w:pBdr>
          <w:top w:val="nil"/>
          <w:left w:val="nil"/>
          <w:bottom w:val="nil"/>
          <w:right w:val="nil"/>
          <w:between w:val="nil"/>
        </w:pBdr>
        <w:ind w:left="864" w:right="864"/>
        <w:jc w:val="both"/>
        <w:rPr>
          <w:rFonts w:ascii="Palatino Linotype" w:eastAsia="Palatino Linotype" w:hAnsi="Palatino Linotype" w:cs="Palatino Linotype"/>
          <w:b/>
          <w:i/>
          <w:color w:val="404040"/>
          <w:sz w:val="22"/>
          <w:szCs w:val="22"/>
        </w:rPr>
      </w:pPr>
    </w:p>
    <w:p w14:paraId="495BFE2A" w14:textId="77777777" w:rsidR="00713096" w:rsidRDefault="00713096" w:rsidP="0071309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“PLAZO RAZONABLE PARA RESOLVER. CONCEPTO Y ELEMENTOS QUE LO INTEGRAN A LA LUZ DEL DERECHO INTERNACIONAL DE </w:t>
      </w:r>
      <w:r>
        <w:rPr>
          <w:rFonts w:ascii="Palatino Linotype" w:eastAsia="Palatino Linotype" w:hAnsi="Palatino Linotype" w:cs="Palatino Linotype"/>
          <w:i/>
          <w:color w:val="404040"/>
          <w:sz w:val="22"/>
          <w:szCs w:val="22"/>
        </w:rPr>
        <w:lastRenderedPageBreak/>
        <w:t>LOS DERECHOS HUMANOS.”, visible en el Seminario Judicial de la Federación y su gaceta, con el registro digital 2002350.</w:t>
      </w:r>
    </w:p>
    <w:p w14:paraId="69325D62" w14:textId="77777777" w:rsidR="00713096" w:rsidRDefault="00713096" w:rsidP="00713096">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C35676C" w14:textId="77777777" w:rsidR="00713096" w:rsidRDefault="00713096" w:rsidP="0071309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37CD6683" w14:textId="77777777" w:rsidR="00713096" w:rsidRPr="00713096" w:rsidRDefault="00713096" w:rsidP="00713096">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p>
    <w:p w14:paraId="5DE285FB" w14:textId="77777777" w:rsidR="00980141" w:rsidRDefault="00713096" w:rsidP="00980141">
      <w:pPr>
        <w:widowControl w:val="0"/>
        <w:spacing w:line="360" w:lineRule="auto"/>
        <w:jc w:val="both"/>
        <w:rPr>
          <w:rFonts w:ascii="Palatino Linotype" w:eastAsia="Palatino Linotype" w:hAnsi="Palatino Linotype" w:cs="Palatino Linotype"/>
          <w:b/>
          <w:color w:val="FF0000"/>
        </w:rPr>
      </w:pPr>
      <w:r>
        <w:rPr>
          <w:rFonts w:ascii="Palatino Linotype" w:eastAsia="Palatino Linotype" w:hAnsi="Palatino Linotype" w:cs="Palatino Linotype"/>
          <w:b/>
        </w:rPr>
        <w:t>18</w:t>
      </w:r>
      <w:r w:rsidR="00980141">
        <w:rPr>
          <w:rFonts w:ascii="Palatino Linotype" w:eastAsia="Palatino Linotype" w:hAnsi="Palatino Linotype" w:cs="Palatino Linotype"/>
          <w:b/>
        </w:rPr>
        <w:t>. Cierre de instrucción.</w:t>
      </w:r>
      <w:r>
        <w:rPr>
          <w:rFonts w:ascii="Palatino Linotype" w:eastAsia="Palatino Linotype" w:hAnsi="Palatino Linotype" w:cs="Palatino Linotype"/>
        </w:rPr>
        <w:t xml:space="preserve"> Con</w:t>
      </w:r>
      <w:r w:rsidR="00FB74B9">
        <w:rPr>
          <w:rFonts w:ascii="Palatino Linotype" w:eastAsia="Palatino Linotype" w:hAnsi="Palatino Linotype" w:cs="Palatino Linotype"/>
        </w:rPr>
        <w:t xml:space="preserve"> fecha </w:t>
      </w:r>
      <w:r w:rsidR="00FB74B9">
        <w:rPr>
          <w:rFonts w:ascii="Palatino Linotype" w:eastAsia="Palatino Linotype" w:hAnsi="Palatino Linotype" w:cs="Palatino Linotype"/>
          <w:b/>
          <w:color w:val="000000"/>
        </w:rPr>
        <w:t>dieciséis de agosto de dos mil veintitrés</w:t>
      </w:r>
      <w:r w:rsidR="00FB74B9">
        <w:rPr>
          <w:rFonts w:ascii="Palatino Linotype" w:eastAsia="Palatino Linotype" w:hAnsi="Palatino Linotype" w:cs="Palatino Linotype"/>
        </w:rPr>
        <w:t xml:space="preserve">, </w:t>
      </w:r>
      <w:r w:rsidR="00980141">
        <w:rPr>
          <w:rFonts w:ascii="Palatino Linotype" w:eastAsia="Palatino Linotype" w:hAnsi="Palatino Linotype" w:cs="Palatino Linotype"/>
        </w:rPr>
        <w:t xml:space="preserve">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el mismo día, a través del Sistema de Acceso a la Información Mexiquense.  </w:t>
      </w:r>
    </w:p>
    <w:p w14:paraId="563AD895" w14:textId="77777777" w:rsidR="00980141" w:rsidRDefault="00980141" w:rsidP="00980141">
      <w:pPr>
        <w:spacing w:line="360" w:lineRule="auto"/>
        <w:rPr>
          <w:rFonts w:ascii="Palatino Linotype" w:eastAsia="Palatino Linotype" w:hAnsi="Palatino Linotype" w:cs="Palatino Linotype"/>
        </w:rPr>
      </w:pPr>
    </w:p>
    <w:p w14:paraId="2A93A346"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y</w:t>
      </w:r>
    </w:p>
    <w:p w14:paraId="7CEB716B"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6F6B1087" w14:textId="77777777" w:rsidR="00C94342" w:rsidRDefault="005B40C0">
      <w:pPr>
        <w:pBdr>
          <w:top w:val="nil"/>
          <w:left w:val="nil"/>
          <w:bottom w:val="nil"/>
          <w:right w:val="nil"/>
          <w:between w:val="nil"/>
        </w:pBd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14:paraId="7965F237" w14:textId="77777777" w:rsidR="00C94342" w:rsidRDefault="00C94342">
      <w:pPr>
        <w:pBdr>
          <w:top w:val="nil"/>
          <w:left w:val="nil"/>
          <w:bottom w:val="nil"/>
          <w:right w:val="nil"/>
          <w:between w:val="nil"/>
        </w:pBdr>
        <w:spacing w:line="360" w:lineRule="auto"/>
        <w:jc w:val="center"/>
        <w:rPr>
          <w:rFonts w:ascii="Palatino Linotype" w:eastAsia="Palatino Linotype" w:hAnsi="Palatino Linotype" w:cs="Palatino Linotype"/>
          <w:b/>
        </w:rPr>
      </w:pPr>
    </w:p>
    <w:p w14:paraId="570A2CD4" w14:textId="77777777" w:rsidR="00C94342" w:rsidRDefault="005B40C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conforme a lo dispuesto en los artículos 6, apartado A de la Constitución Política de los Estados Unidos Mexicanos; 5 </w:t>
      </w:r>
      <w:r w:rsidR="009F4CC3" w:rsidRPr="009F4CC3">
        <w:rPr>
          <w:rFonts w:ascii="Palatino Linotype" w:eastAsia="Palatino Linotype" w:hAnsi="Palatino Linotype" w:cs="Palatino Linotype"/>
        </w:rPr>
        <w:lastRenderedPageBreak/>
        <w:t>párrafos trigésimo segundo, trigésimo tercero y trigésimo cuarto</w:t>
      </w:r>
      <w:r w:rsidRPr="009F4CC3">
        <w:rPr>
          <w:rFonts w:ascii="Palatino Linotype" w:eastAsia="Palatino Linotype" w:hAnsi="Palatino Linotype" w:cs="Palatino Linotype"/>
        </w:rPr>
        <w:t xml:space="preserve"> </w:t>
      </w:r>
      <w:r>
        <w:rPr>
          <w:rFonts w:ascii="Palatino Linotype" w:eastAsia="Palatino Linotype" w:hAnsi="Palatino Linotype" w:cs="Palatino Linotype"/>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C669CCE" w14:textId="77777777" w:rsidR="00C94342" w:rsidRDefault="00C94342">
      <w:pPr>
        <w:spacing w:line="360" w:lineRule="auto"/>
        <w:jc w:val="both"/>
        <w:rPr>
          <w:rFonts w:ascii="Palatino Linotype" w:eastAsia="Palatino Linotype" w:hAnsi="Palatino Linotype" w:cs="Palatino Linotype"/>
        </w:rPr>
      </w:pPr>
    </w:p>
    <w:p w14:paraId="479A51DE" w14:textId="77777777" w:rsidR="00C94342" w:rsidRDefault="005B40C0">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DE LOS ALCANCES DEL RECURSO DE REVISIÓN. </w:t>
      </w:r>
      <w:r>
        <w:rPr>
          <w:rFonts w:ascii="Palatino Linotype" w:eastAsia="Palatino Linotype" w:hAnsi="Palatino Linotype" w:cs="Palatino Linotype"/>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64392FC" w14:textId="77777777" w:rsidR="00C94342" w:rsidRDefault="00C94342">
      <w:pPr>
        <w:spacing w:line="360" w:lineRule="auto"/>
        <w:jc w:val="both"/>
        <w:rPr>
          <w:rFonts w:ascii="Palatino Linotype" w:eastAsia="Palatino Linotype" w:hAnsi="Palatino Linotype" w:cs="Palatino Linotype"/>
          <w:b/>
        </w:rPr>
      </w:pPr>
    </w:p>
    <w:p w14:paraId="696A7F26"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ANÁLISIS DE LAS CAUSALES DE IMPROCEDENCIA Y SOBRESEIMIENTO DEL RECURSO DE REVISIÓN.</w:t>
      </w:r>
      <w:r>
        <w:rPr>
          <w:rFonts w:ascii="Palatino Linotype" w:eastAsia="Palatino Linotype" w:hAnsi="Palatino Linotype" w:cs="Palatino Linotype"/>
        </w:rPr>
        <w:t xml:space="preserve"> Por ser de previo y especial pronunciamiento, este Instituto analiza si se actualiza alguna causal de sobreseimiento. </w:t>
      </w:r>
    </w:p>
    <w:p w14:paraId="359CB816"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584EF151"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artículo 192 de la Ley Transparencia y Acceso a la Información Pública del Estado de México y Municipios, señala las causales por las cuales se puede sobreseer en </w:t>
      </w:r>
      <w:r>
        <w:rPr>
          <w:rFonts w:ascii="Palatino Linotype" w:eastAsia="Palatino Linotype" w:hAnsi="Palatino Linotype" w:cs="Palatino Linotype"/>
        </w:rPr>
        <w:lastRenderedPageBreak/>
        <w:t>todo o en parte el recurso de revisión; así, del análisis realizado por este Instituto, se advierte que</w:t>
      </w:r>
      <w:r>
        <w:rPr>
          <w:rFonts w:ascii="Palatino Linotype" w:eastAsia="Palatino Linotype" w:hAnsi="Palatino Linotype" w:cs="Palatino Linotype"/>
          <w:b/>
        </w:rPr>
        <w:t xml:space="preserve"> no se configuran las causales establecidas en las fracciones I, II, III y V, </w:t>
      </w:r>
      <w:r>
        <w:rPr>
          <w:rFonts w:ascii="Palatino Linotype" w:eastAsia="Palatino Linotype" w:hAnsi="Palatino Linotype" w:cs="Palatino Linotype"/>
        </w:rPr>
        <w:t xml:space="preserve">toda vez que no hay constancias en el expediente en que se actúa, de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se haya desistido, fallecido,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hubiese modificado o revocado el acto impugnado o bien, haya quedado sin materia.</w:t>
      </w:r>
    </w:p>
    <w:p w14:paraId="678C9BA5"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183C0660"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por lo que hace a la hipótesis prevista en </w:t>
      </w:r>
      <w:r w:rsidRPr="00650271">
        <w:rPr>
          <w:rFonts w:ascii="Palatino Linotype" w:eastAsia="Palatino Linotype" w:hAnsi="Palatino Linotype" w:cs="Palatino Linotype"/>
        </w:rPr>
        <w:t>la</w:t>
      </w:r>
      <w:r>
        <w:rPr>
          <w:rFonts w:ascii="Palatino Linotype" w:eastAsia="Palatino Linotype" w:hAnsi="Palatino Linotype" w:cs="Palatino Linotype"/>
          <w:b/>
        </w:rPr>
        <w:t xml:space="preserve"> fracción IV,</w:t>
      </w:r>
      <w:r>
        <w:rPr>
          <w:rFonts w:ascii="Palatino Linotype" w:eastAsia="Palatino Linotype" w:hAnsi="Palatino Linotype" w:cs="Palatino Linotype"/>
        </w:rPr>
        <w:t xml:space="preserve"> a saber, que, una vez admitido el recurso de revisión, aparezca alguna causal de improcedencia en términos de la presente ley, resulta necesario traer a colación el artículo 191, fracción III, de dicho ordenamiento jurídico, que establece que el recurso de revisión será desechado por improcedente, cuando dicho medio no actualice alguno de los supuestos previstos en el diverso 179 de la presente Ley. En ese orden de ideas, dicho artículo prevé lo siguiente:</w:t>
      </w:r>
    </w:p>
    <w:p w14:paraId="51CD46E6" w14:textId="77777777" w:rsidR="00C94342"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4B25BDF8"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Artículo 179. </w:t>
      </w:r>
      <w:r>
        <w:rPr>
          <w:rFonts w:ascii="Palatino Linotype" w:eastAsia="Palatino Linotype" w:hAnsi="Palatino Linotype" w:cs="Palatino Linotype"/>
          <w:i/>
          <w:color w:val="404040"/>
          <w:sz w:val="22"/>
          <w:szCs w:val="22"/>
        </w:rPr>
        <w:t xml:space="preserve">El recurso de revisión es un medio de protección que la Ley otorga a los particulares, para hacer valer su derecho de acceso a la información pública, y procederá en contra de las siguientes causas: </w:t>
      </w:r>
    </w:p>
    <w:p w14:paraId="01F5B9D3"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I. La negativa a la información solicitada; </w:t>
      </w:r>
    </w:p>
    <w:p w14:paraId="4AE68840"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II. La clasificación de la información; </w:t>
      </w:r>
    </w:p>
    <w:p w14:paraId="0905ECBA"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III. La declaración de inexistencia de la información; </w:t>
      </w:r>
    </w:p>
    <w:p w14:paraId="43574E26"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IV. La declaración de incompetencia por el sujeto obligado; </w:t>
      </w:r>
    </w:p>
    <w:p w14:paraId="075DD296"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V. La entrega de información incompleta; </w:t>
      </w:r>
    </w:p>
    <w:p w14:paraId="3564829C"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VI. La entrega de información que no corresponda con lo solicitado; </w:t>
      </w:r>
    </w:p>
    <w:p w14:paraId="6BF36466"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VII. La falta de respuesta a una solicitud de acceso a la información; </w:t>
      </w:r>
    </w:p>
    <w:p w14:paraId="735F9310"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VIII. La notificación, entrega o puesta a disposición de información en una modalidad o formato distinto al solicitado; </w:t>
      </w:r>
    </w:p>
    <w:p w14:paraId="3499D050"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IX. La entrega o puesta a disposición de información en un formato incomprensible y/o no accesible para el solicitante; </w:t>
      </w:r>
    </w:p>
    <w:p w14:paraId="0BD95E83"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X. Los costos o tiempos de entrega de la información; </w:t>
      </w:r>
    </w:p>
    <w:p w14:paraId="2D0B8C13"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XI. La falta de trámite a una solicitud; </w:t>
      </w:r>
    </w:p>
    <w:p w14:paraId="2F098F7E"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lastRenderedPageBreak/>
        <w:t xml:space="preserve">XII. La negativa a permitir la consulta directa de la información; </w:t>
      </w:r>
    </w:p>
    <w:p w14:paraId="1CD29F68"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 xml:space="preserve">XIII. La falta, deficiencia o insuficiencia de la fundamentación y/o motivación en la respuesta; y </w:t>
      </w:r>
    </w:p>
    <w:p w14:paraId="573A08F6"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XIV. La orientación a un trámite específico.</w:t>
      </w:r>
    </w:p>
    <w:p w14:paraId="68769756"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2898B382" w14:textId="77777777" w:rsidR="00C94342"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052B3FF9"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el artículo 176 de la Ley de Transparencia y Acceso a la Información Pública del Estado de México y Municipios, establece que el Recurso de Revisión, es la garantía secundaria mediante la cual se pretende reparar cualquier afectación al derecho de acceso a la información pública.</w:t>
      </w:r>
    </w:p>
    <w:p w14:paraId="6741DA58"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64624639"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Además, conforme al Diccionario de Transparencia y Acceso a la Información Pública y la página oficial de este Instituto (</w:t>
      </w:r>
      <w:hyperlink r:id="rId11" w:anchor="queEsRRdeIP">
        <w:r>
          <w:rPr>
            <w:rFonts w:ascii="Palatino Linotype" w:eastAsia="Palatino Linotype" w:hAnsi="Palatino Linotype" w:cs="Palatino Linotype"/>
            <w:color w:val="0000FF"/>
            <w:u w:val="single"/>
          </w:rPr>
          <w:t>https://www.infoem.org.mx/es/content/informacion-publica#queEsRRdeIP</w:t>
        </w:r>
      </w:hyperlink>
      <w:r>
        <w:rPr>
          <w:rFonts w:ascii="Palatino Linotype" w:eastAsia="Palatino Linotype" w:hAnsi="Palatino Linotype" w:cs="Palatino Linotype"/>
        </w:rPr>
        <w:t xml:space="preserve">), el recurso de revisión constituye un medio reconocido en la Ley de Transparencia y Acceso a la Información Pública del Estado de México y Municipios, a través del cual los Solicitantes pueden manifestar su inconformidad ante la respuesta otorgada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 una solicitud de información pública.</w:t>
      </w:r>
    </w:p>
    <w:p w14:paraId="292CD3E5"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37C9D434"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se logra vislumbrar que el recurso de revisión es una garantía secundaría al Derecho de Acceso a la Información Pública, por lo que, es procedente cuando las personas se inconformen con la falta de respuesta o trámite, o bien, de alguna circunstancia de la contestación realizada por los Sujetos Obligados </w:t>
      </w:r>
      <w:r>
        <w:rPr>
          <w:rFonts w:ascii="Palatino Linotype" w:eastAsia="Palatino Linotype" w:hAnsi="Palatino Linotype" w:cs="Palatino Linotype"/>
          <w:b/>
          <w:u w:val="single"/>
        </w:rPr>
        <w:t>a una solicitud de información específica.</w:t>
      </w:r>
    </w:p>
    <w:p w14:paraId="54DEAAD4"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7D4C5BFB"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en lo anterior, y a efecto de verificar si el presente recurso de revisión actualiza alguna causal de procedencia del artículo 179 de la ley de la materia citado </w:t>
      </w:r>
      <w:r>
        <w:rPr>
          <w:rFonts w:ascii="Palatino Linotype" w:eastAsia="Palatino Linotype" w:hAnsi="Palatino Linotype" w:cs="Palatino Linotype"/>
        </w:rPr>
        <w:lastRenderedPageBreak/>
        <w:t xml:space="preserve">en párrafos que anteceden, es necesario precisar que en el expediente con número de folio </w:t>
      </w:r>
      <w:r w:rsidR="00713096">
        <w:rPr>
          <w:rFonts w:ascii="Palatino Linotype" w:eastAsia="Palatino Linotype" w:hAnsi="Palatino Linotype" w:cs="Palatino Linotype"/>
          <w:b/>
        </w:rPr>
        <w:t>1756</w:t>
      </w:r>
      <w:r w:rsidR="00D4688F">
        <w:rPr>
          <w:rFonts w:ascii="Palatino Linotype" w:eastAsia="Palatino Linotype" w:hAnsi="Palatino Linotype" w:cs="Palatino Linotype"/>
          <w:b/>
        </w:rPr>
        <w:t>4</w:t>
      </w:r>
      <w:r>
        <w:rPr>
          <w:rFonts w:ascii="Palatino Linotype" w:eastAsia="Palatino Linotype" w:hAnsi="Palatino Linotype" w:cs="Palatino Linotype"/>
          <w:b/>
        </w:rPr>
        <w:t xml:space="preserve">/INFOEM/IP/RR/2022, </w:t>
      </w:r>
      <w:r>
        <w:rPr>
          <w:rFonts w:ascii="Palatino Linotype" w:eastAsia="Palatino Linotype" w:hAnsi="Palatino Linotype" w:cs="Palatino Linotype"/>
        </w:rPr>
        <w:t xml:space="preserve">se dictó resolución, en la cual se determinó como causal de procedencia, la fracción VII, del artículo 179 de la Ley de Transparencia y Acceso a la Información Pública del Estado de México y Municipios, es decir, de la falta de respuesta; además, se concluyó </w:t>
      </w:r>
      <w:r>
        <w:rPr>
          <w:rFonts w:ascii="Palatino Linotype" w:eastAsia="Palatino Linotype" w:hAnsi="Palatino Linotype" w:cs="Palatino Linotype"/>
          <w:b/>
        </w:rPr>
        <w:t xml:space="preserve">ORDENAR </w:t>
      </w:r>
      <w:r>
        <w:rPr>
          <w:rFonts w:ascii="Palatino Linotype" w:eastAsia="Palatino Linotype" w:hAnsi="Palatino Linotype" w:cs="Palatino Linotype"/>
        </w:rPr>
        <w:t xml:space="preserve">al Ayuntamiento de Zinacantepec, a través del Sistema de Acceso a la Información Mexiquense, dar trámite y respuesta a la solicitud de información </w:t>
      </w:r>
      <w:r w:rsidR="00713096">
        <w:rPr>
          <w:rFonts w:ascii="Palatino Linotype" w:eastAsia="Palatino Linotype" w:hAnsi="Palatino Linotype" w:cs="Palatino Linotype"/>
          <w:b/>
        </w:rPr>
        <w:t>0129</w:t>
      </w:r>
      <w:r w:rsidR="00D4688F">
        <w:rPr>
          <w:rFonts w:ascii="Palatino Linotype" w:eastAsia="Palatino Linotype" w:hAnsi="Palatino Linotype" w:cs="Palatino Linotype"/>
          <w:b/>
        </w:rPr>
        <w:t>5</w:t>
      </w:r>
      <w:r>
        <w:rPr>
          <w:rFonts w:ascii="Palatino Linotype" w:eastAsia="Palatino Linotype" w:hAnsi="Palatino Linotype" w:cs="Palatino Linotype"/>
          <w:b/>
        </w:rPr>
        <w:t>/ZINACANT/IP/2022</w:t>
      </w:r>
      <w:r>
        <w:rPr>
          <w:rFonts w:ascii="Palatino Linotype" w:eastAsia="Palatino Linotype" w:hAnsi="Palatino Linotype" w:cs="Palatino Linotype"/>
        </w:rPr>
        <w:t>.</w:t>
      </w:r>
    </w:p>
    <w:p w14:paraId="7571ABA2"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24D26502"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Asimismo, se le hizo del conocimiento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que tenía derecho a interponer nuevamente recurso de revisión ante este Instituto, </w:t>
      </w:r>
      <w:r>
        <w:rPr>
          <w:rFonts w:ascii="Palatino Linotype" w:eastAsia="Palatino Linotype" w:hAnsi="Palatino Linotype" w:cs="Palatino Linotype"/>
          <w:b/>
        </w:rPr>
        <w:t>por la respuesta que diera EL SUJETO OBLIGADO,</w:t>
      </w:r>
      <w:r>
        <w:rPr>
          <w:rFonts w:ascii="Palatino Linotype" w:eastAsia="Palatino Linotype" w:hAnsi="Palatino Linotype" w:cs="Palatino Linotype"/>
        </w:rPr>
        <w:t xml:space="preserve"> en cumplimiento a la resolución. Sobre el tema, el último párrafo del artículo 179 de la Ley de Transparencia y Acceso a la Información Pública del Estado de México y Municipios, precisa lo siguiente:</w:t>
      </w:r>
    </w:p>
    <w:p w14:paraId="3679BAA5" w14:textId="77777777" w:rsidR="00C94342"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76FA1944"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b/>
          <w:i/>
          <w:color w:val="404040"/>
          <w:sz w:val="22"/>
          <w:szCs w:val="22"/>
        </w:rPr>
        <w:t xml:space="preserve">Artículo 179. </w:t>
      </w:r>
      <w:r>
        <w:rPr>
          <w:rFonts w:ascii="Palatino Linotype" w:eastAsia="Palatino Linotype" w:hAnsi="Palatino Linotype" w:cs="Palatino Linotype"/>
          <w:i/>
          <w:color w:val="404040"/>
          <w:sz w:val="22"/>
          <w:szCs w:val="22"/>
        </w:rPr>
        <w:t xml:space="preserve">El recurso de revisión es un medio de protección que la Ley otorga a los particulares, para hacer valer su derecho de acceso a la información pública, y procederá en contra de las siguientes causas: </w:t>
      </w:r>
    </w:p>
    <w:p w14:paraId="73A830EC"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Pr>
          <w:rFonts w:ascii="Palatino Linotype" w:eastAsia="Palatino Linotype" w:hAnsi="Palatino Linotype" w:cs="Palatino Linotype"/>
          <w:i/>
          <w:color w:val="404040"/>
          <w:sz w:val="22"/>
          <w:szCs w:val="22"/>
        </w:rPr>
        <w:t>(…)</w:t>
      </w:r>
    </w:p>
    <w:p w14:paraId="1669CB3E" w14:textId="77777777" w:rsidR="00C94342" w:rsidRDefault="005B40C0">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FE079A">
        <w:rPr>
          <w:rFonts w:ascii="Palatino Linotype" w:eastAsia="Palatino Linotype" w:hAnsi="Palatino Linotype" w:cs="Palatino Linotype"/>
          <w:b/>
          <w:i/>
          <w:color w:val="404040"/>
          <w:sz w:val="22"/>
          <w:szCs w:val="22"/>
          <w:u w:val="single"/>
        </w:rPr>
        <w:t>La respuesta que den los sujetos obligados derivada de la resoluci</w:t>
      </w:r>
      <w:r>
        <w:rPr>
          <w:rFonts w:ascii="Palatino Linotype" w:eastAsia="Palatino Linotype" w:hAnsi="Palatino Linotype" w:cs="Palatino Linotype"/>
          <w:i/>
          <w:color w:val="404040"/>
          <w:sz w:val="22"/>
          <w:szCs w:val="22"/>
        </w:rPr>
        <w:t xml:space="preserve">ón a un recurso de revisión que proceda por las causales señaladas en las fracciones IV, VII, IX, X, XI y XII </w:t>
      </w:r>
      <w:r w:rsidRPr="00FE079A">
        <w:rPr>
          <w:rFonts w:ascii="Palatino Linotype" w:eastAsia="Palatino Linotype" w:hAnsi="Palatino Linotype" w:cs="Palatino Linotype"/>
          <w:b/>
          <w:i/>
          <w:color w:val="404040"/>
          <w:sz w:val="22"/>
          <w:szCs w:val="22"/>
          <w:u w:val="single"/>
        </w:rPr>
        <w:t>es susceptible de ser impugnada de nueva cuenta</w:t>
      </w:r>
      <w:r>
        <w:rPr>
          <w:rFonts w:ascii="Palatino Linotype" w:eastAsia="Palatino Linotype" w:hAnsi="Palatino Linotype" w:cs="Palatino Linotype"/>
          <w:i/>
          <w:color w:val="404040"/>
          <w:sz w:val="22"/>
          <w:szCs w:val="22"/>
        </w:rPr>
        <w:t>, mediante recurso de revisión, ante el Instituto.</w:t>
      </w:r>
    </w:p>
    <w:p w14:paraId="73A6C696" w14:textId="77777777" w:rsidR="00C94342" w:rsidRDefault="00C94342">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p>
    <w:p w14:paraId="601D6A1E"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Conforme a lo anterior, se logra vislumbrar que se puede interponer un nuevo recurso de revisión, </w:t>
      </w:r>
      <w:r>
        <w:rPr>
          <w:rFonts w:ascii="Palatino Linotype" w:eastAsia="Palatino Linotype" w:hAnsi="Palatino Linotype" w:cs="Palatino Linotype"/>
          <w:b/>
        </w:rPr>
        <w:t>únicamente ante las respuestas que den los Sujetos Obligados en cumplimiento a las resoluciones de este Instituto,</w:t>
      </w:r>
      <w:r>
        <w:rPr>
          <w:rFonts w:ascii="Palatino Linotype" w:eastAsia="Palatino Linotype" w:hAnsi="Palatino Linotype" w:cs="Palatino Linotype"/>
        </w:rPr>
        <w:t xml:space="preserve"> que hayan derivado de un </w:t>
      </w:r>
      <w:r>
        <w:rPr>
          <w:rFonts w:ascii="Palatino Linotype" w:eastAsia="Palatino Linotype" w:hAnsi="Palatino Linotype" w:cs="Palatino Linotype"/>
        </w:rPr>
        <w:lastRenderedPageBreak/>
        <w:t>medio de impugnación en donde la causal de procedencia fuera alguna de las fracciones referidas en el último párrafo, del artículo multicitado.</w:t>
      </w:r>
    </w:p>
    <w:p w14:paraId="637CE407"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4944C64C"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de las constancias que obran en el expediente, se logra vislumbrar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fue omiso dar cumplimiento a la resolución del recurso de revisión </w:t>
      </w:r>
      <w:r w:rsidR="00713096">
        <w:rPr>
          <w:rFonts w:ascii="Palatino Linotype" w:eastAsia="Palatino Linotype" w:hAnsi="Palatino Linotype" w:cs="Palatino Linotype"/>
          <w:b/>
        </w:rPr>
        <w:t>1756</w:t>
      </w:r>
      <w:r w:rsidR="00D4688F">
        <w:rPr>
          <w:rFonts w:ascii="Palatino Linotype" w:eastAsia="Palatino Linotype" w:hAnsi="Palatino Linotype" w:cs="Palatino Linotype"/>
          <w:b/>
        </w:rPr>
        <w:t>4</w:t>
      </w:r>
      <w:r>
        <w:rPr>
          <w:rFonts w:ascii="Palatino Linotype" w:eastAsia="Palatino Linotype" w:hAnsi="Palatino Linotype" w:cs="Palatino Linotype"/>
          <w:b/>
        </w:rPr>
        <w:t>/INFOEM/IP/RR/2022,</w:t>
      </w:r>
      <w:r>
        <w:rPr>
          <w:rFonts w:ascii="Palatino Linotype" w:eastAsia="Palatino Linotype" w:hAnsi="Palatino Linotype" w:cs="Palatino Linotype"/>
        </w:rPr>
        <w:t xml:space="preserve"> es decir, no había emitido respuesta a la fecha de interposición del segundo medio de impugnación. </w:t>
      </w:r>
    </w:p>
    <w:p w14:paraId="6E781EB5"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113F0270"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tal virtud, se advierte que, al momento de presentar el segundo recurso de revisión, no se configuraba ninguna causal de procedencia, toda vez que como se señaló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 había emitido alguna respuesta ante la cual se pudiera inconformar </w:t>
      </w:r>
      <w:r>
        <w:rPr>
          <w:rFonts w:ascii="Palatino Linotype" w:eastAsia="Palatino Linotype" w:hAnsi="Palatino Linotype" w:cs="Palatino Linotype"/>
          <w:b/>
        </w:rPr>
        <w:t xml:space="preserve">LA PARTE RECURRENTE. </w:t>
      </w:r>
    </w:p>
    <w:p w14:paraId="394D3FC1"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6393AA60"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otras palabras,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medio de impugnación </w:t>
      </w:r>
      <w:r>
        <w:rPr>
          <w:rFonts w:ascii="Palatino Linotype" w:eastAsia="Palatino Linotype" w:hAnsi="Palatino Linotype" w:cs="Palatino Linotype"/>
          <w:b/>
        </w:rPr>
        <w:t xml:space="preserve">en un momento procesal no oportuno, </w:t>
      </w:r>
      <w:r>
        <w:rPr>
          <w:rFonts w:ascii="Palatino Linotype" w:eastAsia="Palatino Linotype" w:hAnsi="Palatino Linotype" w:cs="Palatino Linotype"/>
        </w:rPr>
        <w:t xml:space="preserve">pues no se actualizaba el último párrafo, del artículo 179 de la Ley de Transparencia y Acceso a la Información Pública del Estado de México y Municipios, al no haber contestación en cumplimiento a la resolución del recurso de revisión primigenio, esto es, del </w:t>
      </w:r>
      <w:r w:rsidR="00713096">
        <w:rPr>
          <w:rFonts w:ascii="Palatino Linotype" w:eastAsia="Palatino Linotype" w:hAnsi="Palatino Linotype" w:cs="Palatino Linotype"/>
          <w:b/>
        </w:rPr>
        <w:t>1756</w:t>
      </w:r>
      <w:r w:rsidR="00D4688F">
        <w:rPr>
          <w:rFonts w:ascii="Palatino Linotype" w:eastAsia="Palatino Linotype" w:hAnsi="Palatino Linotype" w:cs="Palatino Linotype"/>
          <w:b/>
        </w:rPr>
        <w:t>4</w:t>
      </w:r>
      <w:r>
        <w:rPr>
          <w:rFonts w:ascii="Palatino Linotype" w:eastAsia="Palatino Linotype" w:hAnsi="Palatino Linotype" w:cs="Palatino Linotype"/>
          <w:b/>
        </w:rPr>
        <w:t>/INFOEM/IP/RR/2022.</w:t>
      </w:r>
    </w:p>
    <w:p w14:paraId="32FC07DB"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b/>
        </w:rPr>
      </w:pPr>
    </w:p>
    <w:p w14:paraId="09C63461"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Lo anterior, resulta de una nueva reflexión realizada por el Pleno de este Instituto, del artículo mencionado en el párrafo anterior, así como, de garantizar el derecho de acceso a la información, pues al dar trámite al segundo recurso de revisión, se interrumpe el procedimiento llevado a cabo por la Secretaría Técnica del Pleno, para garantizar el cumplimiento de las resoluciones emitidas.</w:t>
      </w:r>
    </w:p>
    <w:p w14:paraId="13D41C39" w14:textId="77777777" w:rsidR="00C94342" w:rsidRDefault="00C94342">
      <w:pPr>
        <w:pBdr>
          <w:top w:val="nil"/>
          <w:left w:val="nil"/>
          <w:bottom w:val="nil"/>
          <w:right w:val="nil"/>
          <w:between w:val="nil"/>
        </w:pBdr>
        <w:spacing w:line="360" w:lineRule="auto"/>
        <w:jc w:val="both"/>
        <w:rPr>
          <w:rFonts w:ascii="Palatino Linotype" w:eastAsia="Palatino Linotype" w:hAnsi="Palatino Linotype" w:cs="Palatino Linotype"/>
        </w:rPr>
      </w:pPr>
    </w:p>
    <w:p w14:paraId="4B4B65E9" w14:textId="77777777" w:rsidR="00C94342" w:rsidRDefault="005B40C0">
      <w:pPr>
        <w:pBdr>
          <w:top w:val="nil"/>
          <w:left w:val="nil"/>
          <w:bottom w:val="nil"/>
          <w:right w:val="nil"/>
          <w:between w:val="nil"/>
        </w:pBd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expuesto, se logra vislumbrar que, la inconformidad referida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actualizan ninguna causal de procedencia, pues como se refirió, ella interpuso el segundo recurso de revisión, en un momento procesal inoportuno; por lo que, se concluye que su agravio, no actualiza ninguna de las causales estipuladas en el artículo 179 de la Ley de Transparencia y Acceso a la Información Pública del Estado de México y Municipios y, por lo tanto, se materializa la causal de desechamiento establecida en el artículo 191, fracción III, de la ley de la materia; sin embargo, toda vez que fue necesario admitir el medio de impugnación, para verificar dicha circunstancia, lo procedente es </w:t>
      </w:r>
      <w:r>
        <w:rPr>
          <w:rFonts w:ascii="Palatino Linotype" w:eastAsia="Palatino Linotype" w:hAnsi="Palatino Linotype" w:cs="Palatino Linotype"/>
          <w:b/>
        </w:rPr>
        <w:t>SOBRESEER</w:t>
      </w:r>
      <w:r>
        <w:rPr>
          <w:rFonts w:ascii="Palatino Linotype" w:eastAsia="Palatino Linotype" w:hAnsi="Palatino Linotype" w:cs="Palatino Linotype"/>
        </w:rPr>
        <w:t xml:space="preserve"> el mismo. </w:t>
      </w:r>
    </w:p>
    <w:p w14:paraId="2691861F" w14:textId="77777777" w:rsidR="00D665F7" w:rsidRDefault="00D665F7">
      <w:pPr>
        <w:pBdr>
          <w:top w:val="nil"/>
          <w:left w:val="nil"/>
          <w:bottom w:val="nil"/>
          <w:right w:val="nil"/>
          <w:between w:val="nil"/>
        </w:pBdr>
        <w:spacing w:line="360" w:lineRule="auto"/>
        <w:jc w:val="both"/>
        <w:rPr>
          <w:rFonts w:ascii="Palatino Linotype" w:eastAsia="Palatino Linotype" w:hAnsi="Palatino Linotype" w:cs="Palatino Linotype"/>
        </w:rPr>
      </w:pPr>
    </w:p>
    <w:p w14:paraId="37D30B02" w14:textId="77777777" w:rsidR="00643FF8" w:rsidRPr="00650271" w:rsidRDefault="00643FF8" w:rsidP="00643FF8">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650271">
        <w:rPr>
          <w:rFonts w:ascii="Palatino Linotype" w:eastAsia="Palatino Linotype" w:hAnsi="Palatino Linotype" w:cs="Palatino Linotype"/>
        </w:rPr>
        <w:t xml:space="preserve">Por lo tanto, en virtud de  los argumentos expuestos con anterioridad así como del análisis realizado a las constancias que obran en el expediente electrónico, toda vez que no se actualizó algún supuesto de procedencia, se determina </w:t>
      </w:r>
      <w:r w:rsidRPr="00650271">
        <w:rPr>
          <w:rFonts w:ascii="Palatino Linotype" w:eastAsia="Palatino Linotype" w:hAnsi="Palatino Linotype" w:cs="Palatino Linotype"/>
          <w:b/>
        </w:rPr>
        <w:t>SOBRESEER</w:t>
      </w:r>
      <w:r w:rsidRPr="00650271">
        <w:rPr>
          <w:rFonts w:ascii="Palatino Linotype" w:eastAsia="Palatino Linotype" w:hAnsi="Palatino Linotype" w:cs="Palatino Linotype"/>
          <w:i/>
        </w:rPr>
        <w:t xml:space="preserve"> </w:t>
      </w:r>
      <w:r w:rsidRPr="00650271">
        <w:rPr>
          <w:rFonts w:ascii="Palatino Linotype" w:eastAsia="Palatino Linotype" w:hAnsi="Palatino Linotype" w:cs="Palatino Linotype"/>
        </w:rPr>
        <w:t>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III del artículo 191 del ordenamiento legal en cita, los que se transcriben a continuación, para un mejor entendimiento:</w:t>
      </w:r>
    </w:p>
    <w:p w14:paraId="365A2AF6" w14:textId="77777777" w:rsidR="00643FF8" w:rsidRPr="00650271" w:rsidRDefault="00643FF8" w:rsidP="00643FF8">
      <w:pPr>
        <w:pStyle w:val="Cita"/>
        <w:spacing w:before="0" w:after="0"/>
        <w:jc w:val="both"/>
        <w:rPr>
          <w:rFonts w:ascii="Palatino Linotype" w:eastAsia="Palatino Linotype" w:hAnsi="Palatino Linotype"/>
          <w:sz w:val="22"/>
          <w:szCs w:val="22"/>
        </w:rPr>
      </w:pPr>
    </w:p>
    <w:p w14:paraId="3C2EF409" w14:textId="77777777" w:rsidR="00643FF8" w:rsidRPr="00650271" w:rsidRDefault="00643FF8" w:rsidP="00643FF8">
      <w:pPr>
        <w:pStyle w:val="Cita"/>
        <w:spacing w:before="0" w:after="0"/>
        <w:jc w:val="both"/>
        <w:rPr>
          <w:rFonts w:ascii="Palatino Linotype" w:eastAsia="Palatino Linotype" w:hAnsi="Palatino Linotype"/>
          <w:sz w:val="22"/>
          <w:szCs w:val="22"/>
        </w:rPr>
      </w:pPr>
      <w:r w:rsidRPr="00650271">
        <w:rPr>
          <w:rFonts w:ascii="Palatino Linotype" w:eastAsia="Palatino Linotype" w:hAnsi="Palatino Linotype"/>
          <w:b/>
          <w:sz w:val="22"/>
          <w:szCs w:val="22"/>
        </w:rPr>
        <w:t>Artículo 191</w:t>
      </w:r>
      <w:r w:rsidRPr="00650271">
        <w:rPr>
          <w:rFonts w:ascii="Palatino Linotype" w:eastAsia="Palatino Linotype" w:hAnsi="Palatino Linotype"/>
          <w:sz w:val="22"/>
          <w:szCs w:val="22"/>
        </w:rPr>
        <w:t xml:space="preserve">. </w:t>
      </w:r>
      <w:r w:rsidRPr="00650271">
        <w:rPr>
          <w:rFonts w:ascii="Palatino Linotype" w:eastAsia="Palatino Linotype" w:hAnsi="Palatino Linotype"/>
          <w:b/>
          <w:sz w:val="22"/>
          <w:szCs w:val="22"/>
        </w:rPr>
        <w:t>El recurso</w:t>
      </w:r>
      <w:r w:rsidRPr="00650271">
        <w:rPr>
          <w:rFonts w:ascii="Palatino Linotype" w:eastAsia="Palatino Linotype" w:hAnsi="Palatino Linotype"/>
          <w:sz w:val="22"/>
          <w:szCs w:val="22"/>
        </w:rPr>
        <w:t xml:space="preserve"> </w:t>
      </w:r>
      <w:r w:rsidRPr="00650271">
        <w:rPr>
          <w:rFonts w:ascii="Palatino Linotype" w:eastAsia="Palatino Linotype" w:hAnsi="Palatino Linotype"/>
          <w:b/>
          <w:sz w:val="22"/>
          <w:szCs w:val="22"/>
        </w:rPr>
        <w:t xml:space="preserve">será </w:t>
      </w:r>
      <w:r w:rsidRPr="00650271">
        <w:rPr>
          <w:rFonts w:ascii="Palatino Linotype" w:eastAsia="Palatino Linotype" w:hAnsi="Palatino Linotype"/>
          <w:sz w:val="22"/>
          <w:szCs w:val="22"/>
        </w:rPr>
        <w:t xml:space="preserve">desechado por </w:t>
      </w:r>
      <w:r w:rsidRPr="00650271">
        <w:rPr>
          <w:rFonts w:ascii="Palatino Linotype" w:eastAsia="Palatino Linotype" w:hAnsi="Palatino Linotype"/>
          <w:b/>
          <w:sz w:val="22"/>
          <w:szCs w:val="22"/>
        </w:rPr>
        <w:t>improcedente cuando</w:t>
      </w:r>
      <w:r w:rsidRPr="00650271">
        <w:rPr>
          <w:rFonts w:ascii="Palatino Linotype" w:eastAsia="Palatino Linotype" w:hAnsi="Palatino Linotype"/>
          <w:sz w:val="22"/>
          <w:szCs w:val="22"/>
        </w:rPr>
        <w:t>:</w:t>
      </w:r>
    </w:p>
    <w:p w14:paraId="7054E0D9" w14:textId="77777777" w:rsidR="00643FF8" w:rsidRPr="00650271" w:rsidRDefault="00643FF8" w:rsidP="00643FF8">
      <w:pPr>
        <w:pStyle w:val="Cita"/>
        <w:spacing w:before="0" w:after="0"/>
        <w:jc w:val="both"/>
        <w:rPr>
          <w:rFonts w:ascii="Palatino Linotype" w:eastAsia="Palatino Linotype" w:hAnsi="Palatino Linotype"/>
          <w:sz w:val="22"/>
          <w:szCs w:val="22"/>
        </w:rPr>
      </w:pPr>
      <w:r w:rsidRPr="00650271">
        <w:rPr>
          <w:rFonts w:ascii="Palatino Linotype" w:eastAsia="Palatino Linotype" w:hAnsi="Palatino Linotype"/>
          <w:sz w:val="22"/>
          <w:szCs w:val="22"/>
        </w:rPr>
        <w:t>(…)</w:t>
      </w:r>
    </w:p>
    <w:p w14:paraId="0342CE09" w14:textId="77777777" w:rsidR="00643FF8" w:rsidRPr="00650271" w:rsidRDefault="00643FF8" w:rsidP="00643FF8">
      <w:pPr>
        <w:pStyle w:val="Cita"/>
        <w:spacing w:before="0" w:after="0"/>
        <w:jc w:val="both"/>
        <w:rPr>
          <w:rFonts w:ascii="Palatino Linotype" w:eastAsia="Palatino Linotype" w:hAnsi="Palatino Linotype"/>
          <w:b/>
          <w:sz w:val="22"/>
          <w:szCs w:val="22"/>
        </w:rPr>
      </w:pPr>
      <w:r w:rsidRPr="00650271">
        <w:rPr>
          <w:rFonts w:ascii="Palatino Linotype" w:eastAsia="Palatino Linotype" w:hAnsi="Palatino Linotype"/>
          <w:b/>
          <w:sz w:val="22"/>
          <w:szCs w:val="22"/>
        </w:rPr>
        <w:t xml:space="preserve">III. </w:t>
      </w:r>
      <w:r w:rsidRPr="00650271">
        <w:rPr>
          <w:rFonts w:ascii="Palatino Linotype" w:eastAsia="Palatino Linotype" w:hAnsi="Palatino Linotype"/>
          <w:sz w:val="22"/>
          <w:szCs w:val="22"/>
        </w:rPr>
        <w:t>No actualice alguno de los supuestos previstos en la presente Ley</w:t>
      </w:r>
      <w:r w:rsidRPr="00650271">
        <w:rPr>
          <w:rFonts w:ascii="Palatino Linotype" w:eastAsia="Palatino Linotype" w:hAnsi="Palatino Linotype"/>
          <w:b/>
          <w:sz w:val="22"/>
          <w:szCs w:val="22"/>
        </w:rPr>
        <w:t>;</w:t>
      </w:r>
    </w:p>
    <w:p w14:paraId="34E6E3A5" w14:textId="77777777" w:rsidR="00643FF8" w:rsidRPr="00650271" w:rsidRDefault="00643FF8" w:rsidP="00643FF8">
      <w:pPr>
        <w:pStyle w:val="Cita"/>
        <w:spacing w:before="0" w:after="0"/>
        <w:jc w:val="both"/>
        <w:rPr>
          <w:rFonts w:ascii="Palatino Linotype" w:eastAsia="Palatino Linotype" w:hAnsi="Palatino Linotype"/>
          <w:b/>
          <w:sz w:val="22"/>
          <w:szCs w:val="22"/>
        </w:rPr>
      </w:pPr>
      <w:r w:rsidRPr="00650271">
        <w:rPr>
          <w:rFonts w:ascii="Palatino Linotype" w:eastAsia="Palatino Linotype" w:hAnsi="Palatino Linotype"/>
          <w:b/>
          <w:sz w:val="22"/>
          <w:szCs w:val="22"/>
        </w:rPr>
        <w:t>(…)</w:t>
      </w:r>
    </w:p>
    <w:p w14:paraId="18B80983" w14:textId="77777777" w:rsidR="00643FF8" w:rsidRPr="00650271" w:rsidRDefault="00643FF8" w:rsidP="00643FF8">
      <w:pPr>
        <w:pStyle w:val="Cita"/>
        <w:spacing w:before="0" w:after="0"/>
        <w:jc w:val="both"/>
        <w:rPr>
          <w:rFonts w:ascii="Palatino Linotype" w:eastAsia="Palatino Linotype" w:hAnsi="Palatino Linotype"/>
          <w:b/>
          <w:sz w:val="22"/>
          <w:szCs w:val="22"/>
        </w:rPr>
      </w:pPr>
    </w:p>
    <w:p w14:paraId="6751A587" w14:textId="77777777" w:rsidR="00643FF8" w:rsidRPr="00650271" w:rsidRDefault="00643FF8" w:rsidP="00643FF8">
      <w:pPr>
        <w:pStyle w:val="Cita"/>
        <w:spacing w:before="0" w:after="0"/>
        <w:jc w:val="both"/>
        <w:rPr>
          <w:rFonts w:ascii="Palatino Linotype" w:eastAsia="Palatino Linotype" w:hAnsi="Palatino Linotype"/>
          <w:sz w:val="22"/>
          <w:szCs w:val="22"/>
        </w:rPr>
      </w:pPr>
      <w:r w:rsidRPr="00650271">
        <w:rPr>
          <w:rFonts w:ascii="Palatino Linotype" w:eastAsia="Palatino Linotype" w:hAnsi="Palatino Linotype"/>
          <w:b/>
          <w:sz w:val="22"/>
          <w:szCs w:val="22"/>
        </w:rPr>
        <w:lastRenderedPageBreak/>
        <w:t>Artículo 192.</w:t>
      </w:r>
      <w:r w:rsidRPr="00650271">
        <w:rPr>
          <w:rFonts w:ascii="Palatino Linotype" w:eastAsia="Palatino Linotype" w:hAnsi="Palatino Linotype"/>
          <w:sz w:val="22"/>
          <w:szCs w:val="22"/>
        </w:rPr>
        <w:t xml:space="preserve"> El recurso será sobreseído, en todo o en parte, cuando una vez admitido, se actualicen alguno de los siguientes supuestos:</w:t>
      </w:r>
    </w:p>
    <w:p w14:paraId="42481C10" w14:textId="77777777" w:rsidR="00643FF8" w:rsidRPr="00650271" w:rsidRDefault="00643FF8" w:rsidP="00643FF8">
      <w:pPr>
        <w:pStyle w:val="Cita"/>
        <w:spacing w:before="0" w:after="0"/>
        <w:jc w:val="both"/>
        <w:rPr>
          <w:rFonts w:ascii="Palatino Linotype" w:eastAsia="Palatino Linotype" w:hAnsi="Palatino Linotype"/>
          <w:sz w:val="22"/>
          <w:szCs w:val="22"/>
        </w:rPr>
      </w:pPr>
      <w:r w:rsidRPr="00650271">
        <w:rPr>
          <w:rFonts w:ascii="Palatino Linotype" w:eastAsia="Palatino Linotype" w:hAnsi="Palatino Linotype"/>
          <w:sz w:val="22"/>
          <w:szCs w:val="22"/>
        </w:rPr>
        <w:t>(…)</w:t>
      </w:r>
    </w:p>
    <w:p w14:paraId="63695A7E" w14:textId="77777777" w:rsidR="00643FF8" w:rsidRPr="00650271" w:rsidRDefault="00643FF8" w:rsidP="00643FF8">
      <w:pPr>
        <w:pStyle w:val="Cita"/>
        <w:spacing w:before="0" w:after="0"/>
        <w:jc w:val="both"/>
        <w:rPr>
          <w:rFonts w:ascii="Palatino Linotype" w:eastAsia="Palatino Linotype" w:hAnsi="Palatino Linotype"/>
          <w:sz w:val="22"/>
          <w:szCs w:val="22"/>
        </w:rPr>
      </w:pPr>
      <w:r w:rsidRPr="00650271">
        <w:rPr>
          <w:rFonts w:ascii="Palatino Linotype" w:eastAsia="Palatino Linotype" w:hAnsi="Palatino Linotype"/>
          <w:b/>
          <w:sz w:val="22"/>
          <w:szCs w:val="22"/>
        </w:rPr>
        <w:t>IV</w:t>
      </w:r>
      <w:r w:rsidRPr="00650271">
        <w:rPr>
          <w:rFonts w:ascii="Palatino Linotype" w:eastAsia="Palatino Linotype" w:hAnsi="Palatino Linotype"/>
          <w:sz w:val="22"/>
          <w:szCs w:val="22"/>
        </w:rPr>
        <w:t xml:space="preserve">. Admitido el recurso de revisión, </w:t>
      </w:r>
      <w:r w:rsidRPr="00650271">
        <w:rPr>
          <w:rFonts w:ascii="Palatino Linotype" w:eastAsia="Palatino Linotype" w:hAnsi="Palatino Linotype"/>
          <w:b/>
          <w:sz w:val="22"/>
          <w:szCs w:val="22"/>
        </w:rPr>
        <w:t>aparezca alguna causal de improcedencia</w:t>
      </w:r>
      <w:r w:rsidRPr="00650271">
        <w:rPr>
          <w:rFonts w:ascii="Palatino Linotype" w:eastAsia="Palatino Linotype" w:hAnsi="Palatino Linotype"/>
          <w:sz w:val="22"/>
          <w:szCs w:val="22"/>
        </w:rPr>
        <w:t xml:space="preserve"> en los términos de la presente Ley.</w:t>
      </w:r>
    </w:p>
    <w:p w14:paraId="5BC174F4" w14:textId="77777777" w:rsidR="00643FF8" w:rsidRPr="00650271" w:rsidRDefault="00643FF8" w:rsidP="00643FF8">
      <w:pPr>
        <w:pStyle w:val="Cita"/>
        <w:spacing w:before="0" w:after="0"/>
        <w:jc w:val="both"/>
        <w:rPr>
          <w:rFonts w:ascii="Palatino Linotype" w:eastAsia="Palatino Linotype" w:hAnsi="Palatino Linotype"/>
          <w:sz w:val="22"/>
          <w:szCs w:val="22"/>
        </w:rPr>
      </w:pPr>
      <w:r w:rsidRPr="00650271">
        <w:rPr>
          <w:rFonts w:ascii="Palatino Linotype" w:eastAsia="Palatino Linotype" w:hAnsi="Palatino Linotype"/>
          <w:b/>
          <w:sz w:val="22"/>
          <w:szCs w:val="22"/>
        </w:rPr>
        <w:t>(</w:t>
      </w:r>
      <w:r w:rsidRPr="00650271">
        <w:rPr>
          <w:rFonts w:ascii="Palatino Linotype" w:eastAsia="Palatino Linotype" w:hAnsi="Palatino Linotype"/>
          <w:sz w:val="22"/>
          <w:szCs w:val="22"/>
        </w:rPr>
        <w:t>…)</w:t>
      </w:r>
    </w:p>
    <w:p w14:paraId="27B0A509" w14:textId="77777777" w:rsidR="00643FF8" w:rsidRPr="00650271" w:rsidRDefault="00643FF8" w:rsidP="00643FF8">
      <w:pPr>
        <w:pStyle w:val="Cita"/>
        <w:spacing w:before="0" w:after="0"/>
        <w:jc w:val="both"/>
        <w:rPr>
          <w:rFonts w:ascii="Palatino Linotype" w:eastAsia="Palatino Linotype" w:hAnsi="Palatino Linotype"/>
          <w:sz w:val="22"/>
          <w:szCs w:val="22"/>
        </w:rPr>
      </w:pPr>
    </w:p>
    <w:p w14:paraId="3EB80F6E" w14:textId="77777777" w:rsidR="00643FF8" w:rsidRPr="00650271" w:rsidRDefault="00643FF8" w:rsidP="00643FF8">
      <w:pPr>
        <w:spacing w:line="360" w:lineRule="auto"/>
        <w:jc w:val="both"/>
        <w:rPr>
          <w:rFonts w:ascii="Palatino Linotype" w:eastAsia="Palatino Linotype" w:hAnsi="Palatino Linotype" w:cs="Palatino Linotype"/>
        </w:rPr>
      </w:pPr>
      <w:r w:rsidRPr="00650271">
        <w:rPr>
          <w:rFonts w:ascii="Palatino Linotype" w:eastAsia="Palatino Linotype" w:hAnsi="Palatino Linotype" w:cs="Palatino Linotype"/>
        </w:rPr>
        <w:t>Siendo el sobreseimiento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14:paraId="3634BB8A" w14:textId="77777777" w:rsidR="00643FF8" w:rsidRPr="00650271" w:rsidRDefault="00643FF8" w:rsidP="00643FF8">
      <w:pPr>
        <w:pStyle w:val="Cita"/>
        <w:spacing w:before="0" w:after="0"/>
        <w:jc w:val="both"/>
        <w:rPr>
          <w:rFonts w:ascii="Palatino Linotype" w:eastAsia="Palatino Linotype" w:hAnsi="Palatino Linotype"/>
          <w:sz w:val="22"/>
          <w:szCs w:val="22"/>
        </w:rPr>
      </w:pPr>
    </w:p>
    <w:p w14:paraId="200B690A" w14:textId="77777777" w:rsidR="00643FF8" w:rsidRPr="00650271" w:rsidRDefault="00643FF8" w:rsidP="00643FF8">
      <w:pPr>
        <w:pStyle w:val="Cita"/>
        <w:spacing w:before="0" w:after="0"/>
        <w:jc w:val="both"/>
        <w:rPr>
          <w:rFonts w:ascii="Palatino Linotype" w:eastAsia="Palatino Linotype" w:hAnsi="Palatino Linotype"/>
          <w:sz w:val="22"/>
          <w:szCs w:val="22"/>
        </w:rPr>
      </w:pPr>
      <w:r w:rsidRPr="00650271">
        <w:rPr>
          <w:rFonts w:ascii="Palatino Linotype" w:eastAsia="Palatino Linotype" w:hAnsi="Palatino Linotype"/>
          <w:b/>
          <w:sz w:val="22"/>
          <w:szCs w:val="22"/>
        </w:rPr>
        <w:t>SOBRESEIMIENTO, NO PERMITE ENTRAR AL ESTUDIO DE LAS CUESTIONES DE FONDO</w:t>
      </w:r>
      <w:r w:rsidRPr="00650271">
        <w:rPr>
          <w:rFonts w:ascii="Palatino Linotype" w:eastAsia="Palatino Linotype" w:hAnsi="Palatino Linotype"/>
          <w:sz w:val="22"/>
          <w:szCs w:val="22"/>
        </w:rPr>
        <w:t xml:space="preserve">. No causa agravio la sentencia que no se ocupa de los razonamientos tendientes a demostrar la inconstitucionalidad de los actos reclamados de las autoridades responsables, que constituyen el problema de fondo, si se decreta el sobreseimiento del juicio.” </w:t>
      </w:r>
    </w:p>
    <w:p w14:paraId="70C9582E" w14:textId="77777777" w:rsidR="00643FF8" w:rsidRPr="00650271" w:rsidRDefault="00643FF8" w:rsidP="00643FF8">
      <w:pPr>
        <w:pStyle w:val="Cita"/>
        <w:spacing w:before="0" w:after="0"/>
        <w:jc w:val="both"/>
        <w:rPr>
          <w:rFonts w:ascii="Palatino Linotype" w:eastAsia="Palatino Linotype" w:hAnsi="Palatino Linotype"/>
          <w:b/>
          <w:sz w:val="22"/>
          <w:szCs w:val="22"/>
        </w:rPr>
      </w:pPr>
    </w:p>
    <w:p w14:paraId="7748DBB6" w14:textId="77777777" w:rsidR="00643FF8" w:rsidRPr="00650271" w:rsidRDefault="00643FF8" w:rsidP="00643FF8">
      <w:pPr>
        <w:spacing w:line="360" w:lineRule="auto"/>
        <w:jc w:val="both"/>
        <w:rPr>
          <w:rFonts w:ascii="Palatino Linotype" w:eastAsia="Palatino Linotype" w:hAnsi="Palatino Linotype" w:cs="Palatino Linotype"/>
        </w:rPr>
      </w:pPr>
      <w:r w:rsidRPr="00650271">
        <w:rPr>
          <w:rFonts w:ascii="Palatino Linotype" w:eastAsia="Palatino Linotype" w:hAnsi="Palatino Linotype" w:cs="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4121D0D3" w14:textId="77777777" w:rsidR="00643FF8" w:rsidRPr="00650271" w:rsidRDefault="00643FF8" w:rsidP="00643FF8">
      <w:pPr>
        <w:pStyle w:val="Cita"/>
        <w:spacing w:before="0" w:after="0"/>
        <w:jc w:val="both"/>
        <w:rPr>
          <w:rFonts w:ascii="Palatino Linotype" w:eastAsia="Palatino Linotype" w:hAnsi="Palatino Linotype"/>
          <w:sz w:val="22"/>
          <w:szCs w:val="22"/>
        </w:rPr>
      </w:pPr>
    </w:p>
    <w:p w14:paraId="4955044C" w14:textId="77777777" w:rsidR="00643FF8" w:rsidRPr="00643FF8" w:rsidRDefault="00643FF8" w:rsidP="00643FF8">
      <w:pPr>
        <w:pStyle w:val="Cita"/>
        <w:spacing w:before="0" w:after="0"/>
        <w:jc w:val="both"/>
        <w:rPr>
          <w:rFonts w:ascii="Palatino Linotype" w:eastAsia="Palatino Linotype" w:hAnsi="Palatino Linotype"/>
          <w:sz w:val="22"/>
          <w:szCs w:val="22"/>
        </w:rPr>
      </w:pPr>
      <w:r w:rsidRPr="00650271">
        <w:rPr>
          <w:rFonts w:ascii="Palatino Linotype" w:eastAsia="Palatino Linotype" w:hAnsi="Palatino Linotype"/>
          <w:b/>
          <w:sz w:val="22"/>
          <w:szCs w:val="22"/>
        </w:rPr>
        <w:t xml:space="preserve">DESECHAMIENTO O SOBRESEIMIENTO EN EL JUICIO DE AMPARO. NO IMPLICA DENEGACIÓN DE JUSTICIA NI GENERA INSEGURIDAD JURÍDICA. </w:t>
      </w:r>
      <w:r w:rsidRPr="00650271">
        <w:rPr>
          <w:rFonts w:ascii="Palatino Linotype" w:eastAsia="Palatino Linotype" w:hAnsi="Palatino Linotype"/>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w:t>
      </w:r>
      <w:r w:rsidRPr="00650271">
        <w:rPr>
          <w:rFonts w:ascii="Palatino Linotype" w:eastAsia="Palatino Linotype" w:hAnsi="Palatino Linotype"/>
          <w:sz w:val="22"/>
          <w:szCs w:val="22"/>
        </w:rPr>
        <w:lastRenderedPageBreak/>
        <w:t>(demanda),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sidRPr="00643FF8">
        <w:rPr>
          <w:rFonts w:ascii="Palatino Linotype" w:eastAsia="Palatino Linotype" w:hAnsi="Palatino Linotype"/>
          <w:sz w:val="22"/>
          <w:szCs w:val="22"/>
        </w:rPr>
        <w:t xml:space="preserve"> </w:t>
      </w:r>
    </w:p>
    <w:p w14:paraId="5D92A2B0" w14:textId="77777777" w:rsidR="00643FF8" w:rsidRDefault="00643FF8">
      <w:pPr>
        <w:spacing w:line="360" w:lineRule="auto"/>
        <w:ind w:right="49"/>
        <w:jc w:val="both"/>
        <w:rPr>
          <w:rFonts w:ascii="Palatino Linotype" w:eastAsia="Palatino Linotype" w:hAnsi="Palatino Linotype"/>
          <w:i/>
          <w:iCs/>
          <w:color w:val="404040" w:themeColor="text1" w:themeTint="BF"/>
          <w:sz w:val="22"/>
          <w:szCs w:val="22"/>
        </w:rPr>
      </w:pPr>
    </w:p>
    <w:p w14:paraId="5D7813ED" w14:textId="77777777" w:rsidR="00C94342" w:rsidRDefault="005B40C0">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w:t>
      </w:r>
      <w:r w:rsidR="00E5400E">
        <w:rPr>
          <w:rFonts w:ascii="Palatino Linotype" w:eastAsia="Palatino Linotype" w:hAnsi="Palatino Linotype" w:cs="Palatino Linotype"/>
        </w:rPr>
        <w:t xml:space="preserve"> párrafos </w:t>
      </w:r>
      <w:r w:rsidR="00E5400E" w:rsidRPr="009F4CC3">
        <w:rPr>
          <w:rFonts w:ascii="Palatino Linotype" w:eastAsia="Palatino Linotype" w:hAnsi="Palatino Linotype" w:cs="Palatino Linotype"/>
        </w:rPr>
        <w:t>trigésimo segundo, trigésimo tercero y trigésimo cuarto</w:t>
      </w:r>
      <w:r>
        <w:rPr>
          <w:rFonts w:ascii="Palatino Linotype" w:eastAsia="Palatino Linotype" w:hAnsi="Palatino Linotype" w:cs="Palatino Linotype"/>
        </w:rPr>
        <w:t xml:space="preserve">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2A14AB4" w14:textId="77777777" w:rsidR="00C94342" w:rsidRDefault="00C94342">
      <w:pPr>
        <w:tabs>
          <w:tab w:val="left" w:pos="709"/>
        </w:tabs>
        <w:spacing w:line="360" w:lineRule="auto"/>
        <w:jc w:val="both"/>
        <w:rPr>
          <w:rFonts w:ascii="Palatino Linotype" w:eastAsia="Palatino Linotype" w:hAnsi="Palatino Linotype" w:cs="Palatino Linotype"/>
        </w:rPr>
      </w:pPr>
    </w:p>
    <w:p w14:paraId="60BBD2E6" w14:textId="77777777" w:rsidR="00C94342" w:rsidRDefault="005B40C0">
      <w:pPr>
        <w:numPr>
          <w:ilvl w:val="0"/>
          <w:numId w:val="2"/>
        </w:numPr>
        <w:spacing w:line="360" w:lineRule="auto"/>
        <w:ind w:left="567"/>
        <w:jc w:val="center"/>
        <w:rPr>
          <w:rFonts w:ascii="Palatino Linotype" w:eastAsia="Palatino Linotype" w:hAnsi="Palatino Linotype" w:cs="Palatino Linotype"/>
          <w:b/>
        </w:rPr>
      </w:pPr>
      <w:r>
        <w:rPr>
          <w:rFonts w:ascii="Palatino Linotype" w:eastAsia="Palatino Linotype" w:hAnsi="Palatino Linotype" w:cs="Palatino Linotype"/>
          <w:b/>
        </w:rPr>
        <w:t xml:space="preserve">R E S U E L V E: </w:t>
      </w:r>
    </w:p>
    <w:p w14:paraId="2096B6E5" w14:textId="77777777" w:rsidR="00C94342" w:rsidRDefault="00C94342">
      <w:pPr>
        <w:spacing w:line="360" w:lineRule="auto"/>
        <w:jc w:val="both"/>
        <w:rPr>
          <w:rFonts w:ascii="Palatino Linotype" w:eastAsia="Palatino Linotype" w:hAnsi="Palatino Linotype" w:cs="Palatino Linotype"/>
          <w:b/>
        </w:rPr>
      </w:pPr>
    </w:p>
    <w:p w14:paraId="50F333E6" w14:textId="77777777" w:rsidR="00C94342" w:rsidRPr="001866A5" w:rsidRDefault="005B40C0">
      <w:pPr>
        <w:tabs>
          <w:tab w:val="right" w:pos="8838"/>
        </w:tabs>
        <w:spacing w:line="360" w:lineRule="auto"/>
        <w:ind w:left="-57" w:right="-34"/>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SOBRESEE </w:t>
      </w:r>
      <w:r w:rsidRPr="001866A5">
        <w:rPr>
          <w:rFonts w:ascii="Palatino Linotype" w:eastAsia="Palatino Linotype" w:hAnsi="Palatino Linotype" w:cs="Palatino Linotype"/>
        </w:rPr>
        <w:t>el recurso de revisión número</w:t>
      </w:r>
      <w:r w:rsidR="00713096">
        <w:rPr>
          <w:rFonts w:ascii="Palatino Linotype" w:eastAsia="Palatino Linotype" w:hAnsi="Palatino Linotype" w:cs="Palatino Linotype"/>
          <w:b/>
        </w:rPr>
        <w:t xml:space="preserve"> 17564/INFOEM/ICR-139</w:t>
      </w:r>
      <w:r w:rsidRPr="001866A5">
        <w:rPr>
          <w:rFonts w:ascii="Palatino Linotype" w:eastAsia="Palatino Linotype" w:hAnsi="Palatino Linotype" w:cs="Palatino Linotype"/>
          <w:b/>
        </w:rPr>
        <w:t>/IP/RR/2022</w:t>
      </w:r>
      <w:r w:rsidRPr="001866A5">
        <w:rPr>
          <w:rFonts w:ascii="Palatino Linotype" w:eastAsia="Palatino Linotype" w:hAnsi="Palatino Linotype" w:cs="Palatino Linotype"/>
        </w:rPr>
        <w:t xml:space="preserve">, en términos de la fracción IV del artículo 192 de la Ley de Transparencia y Acceso a la Información Pública del Estado de México y Municipios, por actualizarse la causal de improcedencia establecida en la fracción III del artículo 191 de dicho ordenamiento jurídico, en términos del </w:t>
      </w:r>
      <w:r w:rsidRPr="001866A5">
        <w:rPr>
          <w:rFonts w:ascii="Palatino Linotype" w:eastAsia="Palatino Linotype" w:hAnsi="Palatino Linotype" w:cs="Palatino Linotype"/>
          <w:b/>
        </w:rPr>
        <w:t>CONSIDERANDO TERCERO</w:t>
      </w:r>
      <w:r w:rsidRPr="001866A5">
        <w:rPr>
          <w:rFonts w:ascii="Palatino Linotype" w:eastAsia="Palatino Linotype" w:hAnsi="Palatino Linotype" w:cs="Palatino Linotype"/>
        </w:rPr>
        <w:t xml:space="preserve"> de la presente resolución.</w:t>
      </w:r>
    </w:p>
    <w:p w14:paraId="1D1AEE0D" w14:textId="77777777" w:rsidR="00C94342" w:rsidRDefault="00C94342">
      <w:pPr>
        <w:tabs>
          <w:tab w:val="right" w:pos="8838"/>
        </w:tabs>
        <w:spacing w:line="360" w:lineRule="auto"/>
        <w:ind w:left="-57" w:right="-34"/>
        <w:jc w:val="both"/>
        <w:rPr>
          <w:rFonts w:ascii="Palatino Linotype" w:eastAsia="Palatino Linotype" w:hAnsi="Palatino Linotype" w:cs="Palatino Linotype"/>
          <w:b/>
          <w:color w:val="000000"/>
          <w:highlight w:val="white"/>
        </w:rPr>
      </w:pPr>
    </w:p>
    <w:p w14:paraId="2D2B26FD" w14:textId="77777777" w:rsidR="00C94342" w:rsidRDefault="005B40C0">
      <w:pPr>
        <w:tabs>
          <w:tab w:val="right" w:pos="8838"/>
        </w:tabs>
        <w:spacing w:line="360" w:lineRule="auto"/>
        <w:ind w:left="-57" w:right="-34"/>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highlight w:val="white"/>
        </w:rPr>
        <w:lastRenderedPageBreak/>
        <w:t xml:space="preserve">SEGUNDO. </w:t>
      </w:r>
      <w:r>
        <w:rPr>
          <w:rFonts w:ascii="Palatino Linotype" w:eastAsia="Palatino Linotype" w:hAnsi="Palatino Linotype" w:cs="Palatino Linotype"/>
          <w:b/>
          <w:color w:val="000000"/>
        </w:rPr>
        <w:t xml:space="preserve">NOTIFÍQUESE </w:t>
      </w:r>
      <w:r>
        <w:rPr>
          <w:rFonts w:ascii="Palatino Linotype" w:eastAsia="Palatino Linotype" w:hAnsi="Palatino Linotype" w:cs="Palatino Linotype"/>
          <w:color w:val="000000"/>
        </w:rPr>
        <w:t xml:space="preserve">vía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a la Persona </w:t>
      </w:r>
      <w:r>
        <w:rPr>
          <w:rFonts w:ascii="Palatino Linotype" w:eastAsia="Palatino Linotype" w:hAnsi="Palatino Linotype" w:cs="Palatino Linotype"/>
        </w:rPr>
        <w:t>Titular</w:t>
      </w:r>
      <w:r>
        <w:rPr>
          <w:rFonts w:ascii="Palatino Linotype" w:eastAsia="Palatino Linotype" w:hAnsi="Palatino Linotype" w:cs="Palatino Linotype"/>
          <w:color w:val="000000"/>
        </w:rPr>
        <w:t xml:space="preserve">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la presente resolución, para su conocimiento.</w:t>
      </w:r>
    </w:p>
    <w:p w14:paraId="6B838F93" w14:textId="77777777" w:rsidR="00C94342" w:rsidRDefault="00C94342">
      <w:pPr>
        <w:tabs>
          <w:tab w:val="right" w:pos="8838"/>
        </w:tabs>
        <w:spacing w:line="360" w:lineRule="auto"/>
        <w:ind w:left="-57" w:right="-34"/>
        <w:jc w:val="both"/>
        <w:rPr>
          <w:rFonts w:ascii="Palatino Linotype" w:eastAsia="Palatino Linotype" w:hAnsi="Palatino Linotype" w:cs="Palatino Linotype"/>
          <w:b/>
          <w:color w:val="000000"/>
        </w:rPr>
      </w:pPr>
    </w:p>
    <w:p w14:paraId="3127E82C" w14:textId="77777777" w:rsidR="00C94342" w:rsidRDefault="005B40C0">
      <w:pPr>
        <w:tabs>
          <w:tab w:val="right" w:pos="8838"/>
        </w:tabs>
        <w:spacing w:line="360" w:lineRule="auto"/>
        <w:ind w:left="-57" w:right="-34"/>
        <w:jc w:val="both"/>
        <w:rPr>
          <w:rFonts w:ascii="Palatino Linotype" w:eastAsia="Palatino Linotype" w:hAnsi="Palatino Linotype" w:cs="Palatino Linotype"/>
          <w:color w:val="000000"/>
          <w:sz w:val="22"/>
          <w:szCs w:val="22"/>
        </w:rPr>
      </w:pPr>
      <w:bookmarkStart w:id="5" w:name="_heading=h.17dp8vu" w:colFirst="0" w:colLast="0"/>
      <w:bookmarkEnd w:id="5"/>
      <w:r>
        <w:rPr>
          <w:rFonts w:ascii="Palatino Linotype" w:eastAsia="Palatino Linotype" w:hAnsi="Palatino Linotype" w:cs="Palatino Linotype"/>
          <w:b/>
          <w:color w:val="000000"/>
        </w:rPr>
        <w:t xml:space="preserve">TERCERO. NOTIFÍQUESE </w:t>
      </w:r>
      <w:r>
        <w:rPr>
          <w:rFonts w:ascii="Palatino Linotype" w:eastAsia="Palatino Linotype" w:hAnsi="Palatino Linotype" w:cs="Palatino Linotype"/>
          <w:color w:val="000000"/>
          <w:highlight w:val="white"/>
        </w:rPr>
        <w:t>vía SAIMEX</w:t>
      </w:r>
      <w:r>
        <w:rPr>
          <w:rFonts w:ascii="Palatino Linotype" w:eastAsia="Palatino Linotype" w:hAnsi="Palatino Linotype" w:cs="Palatino Linotype"/>
          <w:color w:val="000000"/>
        </w:rPr>
        <w:t xml:space="preserve"> a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podrá </w:t>
      </w:r>
      <w:r>
        <w:rPr>
          <w:rFonts w:ascii="Palatino Linotype" w:eastAsia="Palatino Linotype" w:hAnsi="Palatino Linotype" w:cs="Palatino Linotype"/>
        </w:rPr>
        <w:t>impugnar vía</w:t>
      </w:r>
      <w:r>
        <w:rPr>
          <w:rFonts w:ascii="Palatino Linotype" w:eastAsia="Palatino Linotype" w:hAnsi="Palatino Linotype" w:cs="Palatino Linotype"/>
          <w:color w:val="000000"/>
        </w:rPr>
        <w:t xml:space="preserve"> Juicio de Amparo en los términos de las leyes aplicables.</w:t>
      </w:r>
    </w:p>
    <w:p w14:paraId="6302BDDE" w14:textId="77777777" w:rsidR="00C94342" w:rsidRDefault="00C94342">
      <w:pPr>
        <w:tabs>
          <w:tab w:val="right" w:pos="8838"/>
        </w:tabs>
        <w:spacing w:line="360" w:lineRule="auto"/>
        <w:ind w:left="-57" w:right="-34"/>
        <w:jc w:val="both"/>
        <w:rPr>
          <w:rFonts w:ascii="Palatino Linotype" w:eastAsia="Palatino Linotype" w:hAnsi="Palatino Linotype" w:cs="Palatino Linotype"/>
        </w:rPr>
      </w:pPr>
    </w:p>
    <w:p w14:paraId="7B3ADE56" w14:textId="77777777" w:rsidR="00C94342" w:rsidRDefault="005B40C0">
      <w:pPr>
        <w:tabs>
          <w:tab w:val="right" w:pos="8838"/>
        </w:tabs>
        <w:spacing w:line="360" w:lineRule="auto"/>
        <w:ind w:left="-57" w:right="-34"/>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E144D">
        <w:rPr>
          <w:rFonts w:ascii="Palatino Linotype" w:eastAsia="Palatino Linotype" w:hAnsi="Palatino Linotype" w:cs="Palatino Linotype"/>
        </w:rPr>
        <w:t xml:space="preserve">TRIGÉSIMA </w:t>
      </w:r>
      <w:r w:rsidR="0083578D">
        <w:rPr>
          <w:rFonts w:ascii="Palatino Linotype" w:eastAsia="Palatino Linotype" w:hAnsi="Palatino Linotype" w:cs="Palatino Linotype"/>
        </w:rPr>
        <w:t xml:space="preserve">PRIMERA </w:t>
      </w:r>
      <w:r>
        <w:rPr>
          <w:rFonts w:ascii="Palatino Linotype" w:eastAsia="Palatino Linotype" w:hAnsi="Palatino Linotype" w:cs="Palatino Linotype"/>
        </w:rPr>
        <w:t xml:space="preserve">SESIÓN ORDINARIA CELEBRADA EL </w:t>
      </w:r>
      <w:r w:rsidR="0083578D">
        <w:rPr>
          <w:rFonts w:ascii="Palatino Linotype" w:eastAsia="Palatino Linotype" w:hAnsi="Palatino Linotype" w:cs="Palatino Linotype"/>
        </w:rPr>
        <w:t xml:space="preserve">TREINTA </w:t>
      </w:r>
      <w:r>
        <w:rPr>
          <w:rFonts w:ascii="Palatino Linotype" w:eastAsia="Palatino Linotype" w:hAnsi="Palatino Linotype" w:cs="Palatino Linotype"/>
        </w:rPr>
        <w:t>DE AGOSTO DE DOS MIL VEINTITRÉS, ANTE EL SECRETARIO TÉCNICO DEL PLENO ALEXIS TAPIA RAMÍREZ.</w:t>
      </w:r>
    </w:p>
    <w:p w14:paraId="1C7090A4" w14:textId="77777777" w:rsidR="00C94342" w:rsidRDefault="00C94342">
      <w:pPr>
        <w:tabs>
          <w:tab w:val="right" w:pos="8838"/>
        </w:tabs>
        <w:spacing w:line="360" w:lineRule="auto"/>
        <w:ind w:left="-57" w:right="-34"/>
        <w:jc w:val="both"/>
        <w:rPr>
          <w:rFonts w:ascii="Palatino Linotype" w:eastAsia="Palatino Linotype" w:hAnsi="Palatino Linotype" w:cs="Palatino Linotype"/>
        </w:rPr>
      </w:pPr>
    </w:p>
    <w:p w14:paraId="25699FBF" w14:textId="77777777" w:rsidR="00C94342" w:rsidRDefault="00C94342">
      <w:pPr>
        <w:tabs>
          <w:tab w:val="right" w:pos="8838"/>
        </w:tabs>
        <w:spacing w:line="360" w:lineRule="auto"/>
        <w:ind w:left="-57" w:right="-34"/>
        <w:jc w:val="both"/>
        <w:rPr>
          <w:rFonts w:ascii="Palatino Linotype" w:eastAsia="Palatino Linotype" w:hAnsi="Palatino Linotype" w:cs="Palatino Linotype"/>
        </w:rPr>
        <w:sectPr w:rsidR="00C94342">
          <w:headerReference w:type="default" r:id="rId12"/>
          <w:footerReference w:type="default" r:id="rId13"/>
          <w:headerReference w:type="first" r:id="rId14"/>
          <w:footerReference w:type="first" r:id="rId15"/>
          <w:pgSz w:w="12240" w:h="15840"/>
          <w:pgMar w:top="1985" w:right="1750" w:bottom="1701" w:left="1701" w:header="709" w:footer="709" w:gutter="0"/>
          <w:pgNumType w:start="1"/>
          <w:cols w:space="720"/>
          <w:titlePg/>
        </w:sectPr>
      </w:pPr>
    </w:p>
    <w:p w14:paraId="602236C1" w14:textId="77777777" w:rsidR="00C94342" w:rsidRDefault="00C94342">
      <w:bookmarkStart w:id="6" w:name="_heading=h.2et92p0" w:colFirst="0" w:colLast="0"/>
      <w:bookmarkEnd w:id="6"/>
    </w:p>
    <w:sectPr w:rsidR="00C94342">
      <w:headerReference w:type="first" r:id="rId16"/>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8DE4A" w14:textId="77777777" w:rsidR="00E76F23" w:rsidRDefault="00E76F23">
      <w:r>
        <w:separator/>
      </w:r>
    </w:p>
  </w:endnote>
  <w:endnote w:type="continuationSeparator" w:id="0">
    <w:p w14:paraId="4C47C593" w14:textId="77777777" w:rsidR="00E76F23" w:rsidRDefault="00E76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8627E" w14:textId="77777777" w:rsidR="00C94342" w:rsidRDefault="005B40C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B74B9">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B74B9">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37A75F5B" w14:textId="77777777" w:rsidR="00C94342" w:rsidRDefault="00C94342">
    <w:pPr>
      <w:pBdr>
        <w:top w:val="nil"/>
        <w:left w:val="nil"/>
        <w:bottom w:val="nil"/>
        <w:right w:val="nil"/>
        <w:between w:val="nil"/>
      </w:pBdr>
      <w:tabs>
        <w:tab w:val="center" w:pos="4252"/>
        <w:tab w:val="right" w:pos="8504"/>
      </w:tabs>
      <w:rPr>
        <w:color w:val="000000"/>
      </w:rPr>
    </w:pPr>
  </w:p>
  <w:p w14:paraId="2B01E8E5" w14:textId="77777777" w:rsidR="00C94342" w:rsidRDefault="00C9434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C4220" w14:textId="77777777" w:rsidR="00C94342" w:rsidRDefault="005B40C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FB74B9">
      <w:rPr>
        <w:rFonts w:ascii="Arial" w:eastAsia="Arial" w:hAnsi="Arial" w:cs="Arial"/>
        <w:b/>
        <w:noProof/>
        <w:color w:val="000000"/>
        <w:sz w:val="20"/>
        <w:szCs w:val="20"/>
      </w:rPr>
      <w:t>22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FB74B9">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28918BAF" w14:textId="77777777" w:rsidR="00C94342" w:rsidRDefault="00C9434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B3A89" w14:textId="77777777" w:rsidR="00E76F23" w:rsidRDefault="00E76F23">
      <w:r>
        <w:separator/>
      </w:r>
    </w:p>
  </w:footnote>
  <w:footnote w:type="continuationSeparator" w:id="0">
    <w:p w14:paraId="4CDCB4C7" w14:textId="77777777" w:rsidR="00E76F23" w:rsidRDefault="00E76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13C91" w14:textId="77777777" w:rsidR="00C94342" w:rsidRDefault="005B40C0">
    <w:pPr>
      <w:widowControl w:val="0"/>
      <w:pBdr>
        <w:top w:val="nil"/>
        <w:left w:val="nil"/>
        <w:bottom w:val="nil"/>
        <w:right w:val="nil"/>
        <w:between w:val="nil"/>
      </w:pBdr>
      <w:spacing w:line="276" w:lineRule="auto"/>
      <w:rPr>
        <w:rFonts w:ascii="Calibri" w:eastAsia="Calibri" w:hAnsi="Calibri" w:cs="Calibri"/>
      </w:rPr>
    </w:pPr>
    <w:r>
      <w:rPr>
        <w:noProof/>
        <w:lang w:eastAsia="es-MX"/>
      </w:rPr>
      <w:drawing>
        <wp:anchor distT="0" distB="0" distL="0" distR="0" simplePos="0" relativeHeight="251658240" behindDoc="1" locked="0" layoutInCell="1" hidden="0" allowOverlap="1" wp14:anchorId="3655894C" wp14:editId="0A80F723">
          <wp:simplePos x="0" y="0"/>
          <wp:positionH relativeFrom="column">
            <wp:posOffset>-1102995</wp:posOffset>
          </wp:positionH>
          <wp:positionV relativeFrom="paragraph">
            <wp:posOffset>-457835</wp:posOffset>
          </wp:positionV>
          <wp:extent cx="7635163" cy="9944100"/>
          <wp:effectExtent l="0" t="0" r="0" b="0"/>
          <wp:wrapNone/>
          <wp:docPr id="6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9"/>
      <w:tblW w:w="6237" w:type="dxa"/>
      <w:tblInd w:w="2563" w:type="dxa"/>
      <w:tblLayout w:type="fixed"/>
      <w:tblLook w:val="0400" w:firstRow="0" w:lastRow="0" w:firstColumn="0" w:lastColumn="0" w:noHBand="0" w:noVBand="1"/>
    </w:tblPr>
    <w:tblGrid>
      <w:gridCol w:w="2552"/>
      <w:gridCol w:w="3685"/>
    </w:tblGrid>
    <w:tr w:rsidR="00C94342" w14:paraId="13E3443E" w14:textId="77777777" w:rsidTr="009F4CC3">
      <w:tc>
        <w:tcPr>
          <w:tcW w:w="2552" w:type="dxa"/>
          <w:vAlign w:val="center"/>
        </w:tcPr>
        <w:p w14:paraId="107D768C" w14:textId="77777777" w:rsidR="00C94342" w:rsidRDefault="005B40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383993AE" w14:textId="77777777" w:rsidR="00C94342" w:rsidRDefault="00FD5B11" w:rsidP="00171C25">
          <w:pPr>
            <w:ind w:right="-25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17564/INFOEM/ICR-139</w:t>
          </w:r>
          <w:r w:rsidR="005B40C0">
            <w:rPr>
              <w:rFonts w:ascii="Palatino Linotype" w:eastAsia="Palatino Linotype" w:hAnsi="Palatino Linotype" w:cs="Palatino Linotype"/>
              <w:b/>
              <w:sz w:val="22"/>
              <w:szCs w:val="22"/>
            </w:rPr>
            <w:t>/IP/RR/2022</w:t>
          </w:r>
        </w:p>
      </w:tc>
    </w:tr>
    <w:tr w:rsidR="00C94342" w14:paraId="7E18ED11" w14:textId="77777777" w:rsidTr="009F4CC3">
      <w:trPr>
        <w:trHeight w:val="228"/>
      </w:trPr>
      <w:tc>
        <w:tcPr>
          <w:tcW w:w="2552" w:type="dxa"/>
          <w:vAlign w:val="center"/>
        </w:tcPr>
        <w:p w14:paraId="10BDC3AF" w14:textId="77777777" w:rsidR="00C94342" w:rsidRDefault="005B40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5B08DD26" w14:textId="77777777" w:rsidR="00C94342" w:rsidRDefault="005B40C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Zinacantepec</w:t>
          </w:r>
        </w:p>
      </w:tc>
    </w:tr>
    <w:tr w:rsidR="00C94342" w14:paraId="65F76CEC" w14:textId="77777777" w:rsidTr="009F4CC3">
      <w:tc>
        <w:tcPr>
          <w:tcW w:w="2552" w:type="dxa"/>
          <w:vAlign w:val="center"/>
        </w:tcPr>
        <w:p w14:paraId="1D4BA575" w14:textId="77777777" w:rsidR="00C94342" w:rsidRDefault="005B40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14:paraId="7A172BC7" w14:textId="77777777" w:rsidR="00C94342" w:rsidRDefault="005B40C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1A8ED8" w14:textId="77777777" w:rsidR="00C94342" w:rsidRDefault="005B40C0">
    <w:pPr>
      <w:rPr>
        <w:rFonts w:ascii="Calibri" w:eastAsia="Calibri" w:hAnsi="Calibri" w:cs="Calibri"/>
      </w:rPr>
    </w:pPr>
    <w:r>
      <w:rPr>
        <w:rFonts w:ascii="Calibri" w:eastAsia="Calibri" w:hAnsi="Calibri" w:cs="Calibr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C4A07" w14:textId="77777777" w:rsidR="00C94342" w:rsidRDefault="005C45E4">
    <w:pPr>
      <w:pBdr>
        <w:top w:val="nil"/>
        <w:left w:val="nil"/>
        <w:bottom w:val="nil"/>
        <w:right w:val="nil"/>
        <w:between w:val="nil"/>
      </w:pBdr>
      <w:tabs>
        <w:tab w:val="center" w:pos="4252"/>
        <w:tab w:val="right" w:pos="8504"/>
      </w:tabs>
      <w:jc w:val="both"/>
      <w:rPr>
        <w:rFonts w:ascii="Calibri" w:eastAsia="Calibri" w:hAnsi="Calibri" w:cs="Calibri"/>
      </w:rPr>
    </w:pPr>
    <w:r>
      <w:rPr>
        <w:noProof/>
        <w:lang w:eastAsia="es-MX"/>
      </w:rPr>
      <w:drawing>
        <wp:anchor distT="0" distB="0" distL="0" distR="0" simplePos="0" relativeHeight="251659264" behindDoc="1" locked="0" layoutInCell="1" hidden="0" allowOverlap="1" wp14:anchorId="1095BAFB" wp14:editId="5B32EAAD">
          <wp:simplePos x="0" y="0"/>
          <wp:positionH relativeFrom="column">
            <wp:posOffset>-1076325</wp:posOffset>
          </wp:positionH>
          <wp:positionV relativeFrom="paragraph">
            <wp:posOffset>-474980</wp:posOffset>
          </wp:positionV>
          <wp:extent cx="7635240" cy="9942830"/>
          <wp:effectExtent l="0" t="0" r="0" b="0"/>
          <wp:wrapNone/>
          <wp:docPr id="6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240" cy="9942830"/>
                  </a:xfrm>
                  <a:prstGeom prst="rect">
                    <a:avLst/>
                  </a:prstGeom>
                  <a:ln/>
                </pic:spPr>
              </pic:pic>
            </a:graphicData>
          </a:graphic>
          <wp14:sizeRelH relativeFrom="margin">
            <wp14:pctWidth>0</wp14:pctWidth>
          </wp14:sizeRelH>
          <wp14:sizeRelV relativeFrom="margin">
            <wp14:pctHeight>0</wp14:pctHeight>
          </wp14:sizeRelV>
        </wp:anchor>
      </w:drawing>
    </w:r>
    <w:r w:rsidR="005B40C0">
      <w:rPr>
        <w:rFonts w:ascii="Calibri" w:eastAsia="Calibri" w:hAnsi="Calibri" w:cs="Calibri"/>
      </w:rPr>
      <w:t xml:space="preserve">                                  </w:t>
    </w:r>
  </w:p>
  <w:tbl>
    <w:tblPr>
      <w:tblStyle w:val="a8"/>
      <w:tblW w:w="6455" w:type="dxa"/>
      <w:tblInd w:w="2612" w:type="dxa"/>
      <w:tblLayout w:type="fixed"/>
      <w:tblLook w:val="0400" w:firstRow="0" w:lastRow="0" w:firstColumn="0" w:lastColumn="0" w:noHBand="0" w:noVBand="1"/>
    </w:tblPr>
    <w:tblGrid>
      <w:gridCol w:w="2551"/>
      <w:gridCol w:w="3904"/>
    </w:tblGrid>
    <w:tr w:rsidR="00C94342" w14:paraId="2B470108" w14:textId="77777777">
      <w:tc>
        <w:tcPr>
          <w:tcW w:w="2551" w:type="dxa"/>
          <w:vAlign w:val="center"/>
        </w:tcPr>
        <w:p w14:paraId="7B30BCD8" w14:textId="77777777" w:rsidR="00C94342" w:rsidRDefault="005B40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04" w:type="dxa"/>
          <w:vAlign w:val="center"/>
        </w:tcPr>
        <w:p w14:paraId="17C99432" w14:textId="77777777" w:rsidR="00C94342" w:rsidRDefault="00DF129B">
          <w:pPr>
            <w:ind w:right="-12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17564/INFOEM/ICR-139</w:t>
          </w:r>
          <w:r w:rsidR="005B40C0">
            <w:rPr>
              <w:rFonts w:ascii="Palatino Linotype" w:eastAsia="Palatino Linotype" w:hAnsi="Palatino Linotype" w:cs="Palatino Linotype"/>
              <w:b/>
              <w:sz w:val="22"/>
              <w:szCs w:val="22"/>
            </w:rPr>
            <w:t>/IP/RR/2022</w:t>
          </w:r>
        </w:p>
      </w:tc>
    </w:tr>
    <w:tr w:rsidR="00C94342" w14:paraId="39F3C6A0" w14:textId="77777777">
      <w:tc>
        <w:tcPr>
          <w:tcW w:w="2551" w:type="dxa"/>
          <w:vAlign w:val="center"/>
        </w:tcPr>
        <w:p w14:paraId="5DFF5297" w14:textId="77777777" w:rsidR="00C94342" w:rsidRDefault="005B40C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04" w:type="dxa"/>
          <w:vAlign w:val="center"/>
        </w:tcPr>
        <w:p w14:paraId="27105E06" w14:textId="77777777" w:rsidR="00C94342" w:rsidRDefault="00C94342">
          <w:pPr>
            <w:ind w:left="-45"/>
            <w:jc w:val="both"/>
            <w:rPr>
              <w:rFonts w:ascii="Palatino Linotype" w:eastAsia="Palatino Linotype" w:hAnsi="Palatino Linotype" w:cs="Palatino Linotype"/>
              <w:b/>
              <w:sz w:val="22"/>
              <w:szCs w:val="22"/>
            </w:rPr>
          </w:pPr>
        </w:p>
      </w:tc>
    </w:tr>
    <w:tr w:rsidR="00C94342" w14:paraId="6FDC5CBC" w14:textId="77777777">
      <w:trPr>
        <w:trHeight w:val="228"/>
      </w:trPr>
      <w:tc>
        <w:tcPr>
          <w:tcW w:w="2551" w:type="dxa"/>
          <w:vAlign w:val="center"/>
        </w:tcPr>
        <w:p w14:paraId="5817B5AD" w14:textId="77777777" w:rsidR="00C94342" w:rsidRDefault="005B40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04" w:type="dxa"/>
          <w:vAlign w:val="center"/>
        </w:tcPr>
        <w:p w14:paraId="20A1879D" w14:textId="77777777" w:rsidR="00C94342" w:rsidRDefault="005B40C0">
          <w:pPr>
            <w:ind w:right="458"/>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Ayuntamiento de Zinacantepec</w:t>
          </w:r>
        </w:p>
      </w:tc>
    </w:tr>
    <w:tr w:rsidR="00C94342" w14:paraId="092B0E18" w14:textId="77777777">
      <w:tc>
        <w:tcPr>
          <w:tcW w:w="2551" w:type="dxa"/>
          <w:vAlign w:val="center"/>
        </w:tcPr>
        <w:p w14:paraId="73DE9C2B" w14:textId="77777777" w:rsidR="00C94342" w:rsidRDefault="005B40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04" w:type="dxa"/>
          <w:vAlign w:val="center"/>
        </w:tcPr>
        <w:p w14:paraId="3E1A11D6" w14:textId="77777777" w:rsidR="00C94342" w:rsidRDefault="005B40C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3C86FE8" w14:textId="77777777" w:rsidR="00C94342" w:rsidRDefault="00C94342">
    <w:pPr>
      <w:pBdr>
        <w:top w:val="nil"/>
        <w:left w:val="nil"/>
        <w:bottom w:val="nil"/>
        <w:right w:val="nil"/>
        <w:between w:val="nil"/>
      </w:pBdr>
      <w:tabs>
        <w:tab w:val="center" w:pos="4252"/>
        <w:tab w:val="right" w:pos="8504"/>
      </w:tabs>
      <w:rPr>
        <w:rFonts w:ascii="Calibri" w:eastAsia="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692C" w14:textId="77777777" w:rsidR="00C94342" w:rsidRDefault="005B40C0">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01FC9B79" w14:textId="77777777" w:rsidR="00C94342" w:rsidRDefault="00C94342">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5D66"/>
    <w:multiLevelType w:val="multilevel"/>
    <w:tmpl w:val="AC8E39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502C9D"/>
    <w:multiLevelType w:val="multilevel"/>
    <w:tmpl w:val="A01CE3BA"/>
    <w:lvl w:ilvl="0">
      <w:start w:val="1"/>
      <w:numFmt w:val="decimal"/>
      <w:lvlText w:val="%1."/>
      <w:lvlJc w:val="left"/>
      <w:pPr>
        <w:ind w:left="720" w:hanging="360"/>
      </w:pPr>
      <w:rPr>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0457A6B"/>
    <w:multiLevelType w:val="multilevel"/>
    <w:tmpl w:val="57966FA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1D830DC"/>
    <w:multiLevelType w:val="multilevel"/>
    <w:tmpl w:val="3F703892"/>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78581682"/>
    <w:multiLevelType w:val="multilevel"/>
    <w:tmpl w:val="82741EB0"/>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2"/>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MX" w:vendorID="64" w:dllVersion="4096" w:nlCheck="1" w:checkStyle="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342"/>
    <w:rsid w:val="00056706"/>
    <w:rsid w:val="00065688"/>
    <w:rsid w:val="00080476"/>
    <w:rsid w:val="00095207"/>
    <w:rsid w:val="00103657"/>
    <w:rsid w:val="00140692"/>
    <w:rsid w:val="00171C25"/>
    <w:rsid w:val="00180D91"/>
    <w:rsid w:val="001866A5"/>
    <w:rsid w:val="001A65C3"/>
    <w:rsid w:val="001F20DD"/>
    <w:rsid w:val="002347E8"/>
    <w:rsid w:val="002E144D"/>
    <w:rsid w:val="003201A7"/>
    <w:rsid w:val="003300E0"/>
    <w:rsid w:val="003A78D8"/>
    <w:rsid w:val="003B2261"/>
    <w:rsid w:val="003E3BCD"/>
    <w:rsid w:val="003F7C19"/>
    <w:rsid w:val="00470383"/>
    <w:rsid w:val="00480D8E"/>
    <w:rsid w:val="004C2F0E"/>
    <w:rsid w:val="004D3E37"/>
    <w:rsid w:val="005B40C0"/>
    <w:rsid w:val="005C45E4"/>
    <w:rsid w:val="00601DC0"/>
    <w:rsid w:val="006379F6"/>
    <w:rsid w:val="00643FF8"/>
    <w:rsid w:val="00650271"/>
    <w:rsid w:val="00657D16"/>
    <w:rsid w:val="00676FC5"/>
    <w:rsid w:val="00695DBB"/>
    <w:rsid w:val="00713096"/>
    <w:rsid w:val="007448F8"/>
    <w:rsid w:val="00745B48"/>
    <w:rsid w:val="007E6407"/>
    <w:rsid w:val="0083578D"/>
    <w:rsid w:val="0087278E"/>
    <w:rsid w:val="00877109"/>
    <w:rsid w:val="008E7F49"/>
    <w:rsid w:val="00906A45"/>
    <w:rsid w:val="00980141"/>
    <w:rsid w:val="009A6796"/>
    <w:rsid w:val="009F4CC3"/>
    <w:rsid w:val="00A2198F"/>
    <w:rsid w:val="00A623F4"/>
    <w:rsid w:val="00A6564F"/>
    <w:rsid w:val="00A8222C"/>
    <w:rsid w:val="00B22589"/>
    <w:rsid w:val="00B73BAF"/>
    <w:rsid w:val="00B9467F"/>
    <w:rsid w:val="00BD3131"/>
    <w:rsid w:val="00C15ABC"/>
    <w:rsid w:val="00C94342"/>
    <w:rsid w:val="00CC644B"/>
    <w:rsid w:val="00CD025D"/>
    <w:rsid w:val="00CF6BD6"/>
    <w:rsid w:val="00D30D13"/>
    <w:rsid w:val="00D4688F"/>
    <w:rsid w:val="00D665F7"/>
    <w:rsid w:val="00DF129B"/>
    <w:rsid w:val="00E5400E"/>
    <w:rsid w:val="00E76F23"/>
    <w:rsid w:val="00E83B68"/>
    <w:rsid w:val="00E9447F"/>
    <w:rsid w:val="00F645D1"/>
    <w:rsid w:val="00F905D4"/>
    <w:rsid w:val="00FB74B9"/>
    <w:rsid w:val="00FD31E3"/>
    <w:rsid w:val="00FD5B11"/>
    <w:rsid w:val="00FE07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2A48ADF"/>
  <w15:docId w15:val="{EDD218C5-4AAB-429C-B38A-C4DE230F0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paragraph" w:customStyle="1" w:styleId="Default">
    <w:name w:val="Default"/>
    <w:rsid w:val="00913B61"/>
    <w:pPr>
      <w:autoSpaceDE w:val="0"/>
      <w:autoSpaceDN w:val="0"/>
      <w:adjustRightInd w:val="0"/>
    </w:pPr>
    <w:rPr>
      <w:rFonts w:ascii="Palatino Linotype" w:eastAsiaTheme="minorHAnsi" w:hAnsi="Palatino Linotype" w:cs="Palatino Linotype"/>
      <w:color w:val="000000"/>
      <w:lang w:eastAsia="en-US"/>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D3011C"/>
    <w:pPr>
      <w:numPr>
        <w:numId w:val="3"/>
      </w:numPr>
      <w:contextualSpacing/>
    </w:pPr>
    <w:rPr>
      <w:lang w:eastAsia="es-MX"/>
    </w:rPr>
  </w:style>
  <w:style w:type="paragraph" w:styleId="Listaconvietas">
    <w:name w:val="List Bullet"/>
    <w:basedOn w:val="Normal"/>
    <w:uiPriority w:val="99"/>
    <w:unhideWhenUsed/>
    <w:rsid w:val="00D3011C"/>
    <w:pPr>
      <w:tabs>
        <w:tab w:val="num" w:pos="720"/>
      </w:tabs>
      <w:ind w:left="720" w:hanging="720"/>
      <w:contextualSpacing/>
    </w:pPr>
    <w:rPr>
      <w:lang w:eastAsia="es-MX"/>
    </w:rPr>
  </w:style>
  <w:style w:type="paragraph" w:styleId="Listaconvietas3">
    <w:name w:val="List Bullet 3"/>
    <w:basedOn w:val="Normal"/>
    <w:uiPriority w:val="99"/>
    <w:unhideWhenUsed/>
    <w:rsid w:val="00D3011C"/>
    <w:pPr>
      <w:tabs>
        <w:tab w:val="num" w:pos="720"/>
      </w:tabs>
      <w:ind w:left="720" w:hanging="720"/>
      <w:contextualSpacing/>
    </w:pPr>
    <w:rPr>
      <w:lang w:val="es-ES" w:eastAsia="es-MX"/>
    </w:rPr>
  </w:style>
  <w:style w:type="table" w:customStyle="1" w:styleId="Tabladelista1clara-nfasis111">
    <w:name w:val="Tabla de lista 1 clara - Énfasis 111"/>
    <w:basedOn w:val="Tablanormal"/>
    <w:uiPriority w:val="46"/>
    <w:rsid w:val="00C051D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Cita">
    <w:name w:val="Quote"/>
    <w:basedOn w:val="Normal"/>
    <w:next w:val="Normal"/>
    <w:link w:val="CitaCar"/>
    <w:uiPriority w:val="29"/>
    <w:qFormat/>
    <w:rsid w:val="00EF686E"/>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EF686E"/>
    <w:rPr>
      <w:i/>
      <w:iCs/>
      <w:color w:val="404040" w:themeColor="text1" w:themeTint="BF"/>
      <w:lang w:eastAsia="es-ES"/>
    </w:r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paragraph" w:styleId="Citadestacada">
    <w:name w:val="Intense Quote"/>
    <w:basedOn w:val="Normal"/>
    <w:next w:val="Normal"/>
    <w:link w:val="CitadestacadaCar"/>
    <w:uiPriority w:val="30"/>
    <w:qFormat/>
    <w:rsid w:val="00171C2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171C25"/>
    <w:rPr>
      <w:i/>
      <w:iCs/>
      <w:color w:val="5B9BD5" w:themeColor="accent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35365">
      <w:bodyDiv w:val="1"/>
      <w:marLeft w:val="0"/>
      <w:marRight w:val="0"/>
      <w:marTop w:val="0"/>
      <w:marBottom w:val="0"/>
      <w:divBdr>
        <w:top w:val="none" w:sz="0" w:space="0" w:color="auto"/>
        <w:left w:val="none" w:sz="0" w:space="0" w:color="auto"/>
        <w:bottom w:val="none" w:sz="0" w:space="0" w:color="auto"/>
        <w:right w:val="none" w:sz="0" w:space="0" w:color="auto"/>
      </w:divBdr>
    </w:div>
    <w:div w:id="1549534037">
      <w:bodyDiv w:val="1"/>
      <w:marLeft w:val="0"/>
      <w:marRight w:val="0"/>
      <w:marTop w:val="0"/>
      <w:marBottom w:val="0"/>
      <w:divBdr>
        <w:top w:val="none" w:sz="0" w:space="0" w:color="auto"/>
        <w:left w:val="none" w:sz="0" w:space="0" w:color="auto"/>
        <w:bottom w:val="none" w:sz="0" w:space="0" w:color="auto"/>
        <w:right w:val="none" w:sz="0" w:space="0" w:color="auto"/>
      </w:divBdr>
    </w:div>
    <w:div w:id="1684941784">
      <w:bodyDiv w:val="1"/>
      <w:marLeft w:val="0"/>
      <w:marRight w:val="0"/>
      <w:marTop w:val="0"/>
      <w:marBottom w:val="0"/>
      <w:divBdr>
        <w:top w:val="none" w:sz="0" w:space="0" w:color="auto"/>
        <w:left w:val="none" w:sz="0" w:space="0" w:color="auto"/>
        <w:bottom w:val="none" w:sz="0" w:space="0" w:color="auto"/>
        <w:right w:val="none" w:sz="0" w:space="0" w:color="auto"/>
      </w:divBdr>
    </w:div>
    <w:div w:id="1854108018">
      <w:bodyDiv w:val="1"/>
      <w:marLeft w:val="0"/>
      <w:marRight w:val="0"/>
      <w:marTop w:val="0"/>
      <w:marBottom w:val="0"/>
      <w:divBdr>
        <w:top w:val="none" w:sz="0" w:space="0" w:color="auto"/>
        <w:left w:val="none" w:sz="0" w:space="0" w:color="auto"/>
        <w:bottom w:val="none" w:sz="0" w:space="0" w:color="auto"/>
        <w:right w:val="none" w:sz="0" w:space="0" w:color="auto"/>
      </w:divBdr>
    </w:div>
    <w:div w:id="1884517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nfoem.org.mx/es/content/informacion-publica"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yR9XzPK8FBkisWH0aSzjIrby9Q==">CgMxLjAyCGguZ2pkZ3hzMgloLjMwajB6bGwyCGgudHlqY3d0MgloLjJzOGV5bzEyCWguM3JkY3JqbjIJaC4zZHk2dmttMgloLjN6bnlzaDcyCWguMTdkcDh2dTIJaC4yZXQ5MnAwOAByITFDMlRoTUVyQ3R0aHY4Z0pOM3ZtMWg2NFpBVXdlQm82dg==</go:docsCustomData>
</go:gDocsCustomXmlDataStorage>
</file>

<file path=customXml/itemProps1.xml><?xml version="1.0" encoding="utf-8"?>
<ds:datastoreItem xmlns:ds="http://schemas.openxmlformats.org/officeDocument/2006/customXml" ds:itemID="{DC1E5B0B-3E63-44DC-85EA-CECED439FB0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4822</Words>
  <Characters>26524</Characters>
  <Application>Microsoft Office Word</Application>
  <DocSecurity>4</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dcterms:created xsi:type="dcterms:W3CDTF">2023-09-07T19:44:00Z</dcterms:created>
  <dcterms:modified xsi:type="dcterms:W3CDTF">2023-09-07T19:44:00Z</dcterms:modified>
</cp:coreProperties>
</file>