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3E9D5" w14:textId="59BB92ED" w:rsidR="009B5029" w:rsidRDefault="009B5029" w:rsidP="009B5029">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CA7073">
        <w:rPr>
          <w:rFonts w:ascii="Palatino Linotype" w:eastAsia="Times New Roman" w:hAnsi="Palatino Linotype" w:cs="Arial"/>
          <w:color w:val="000000"/>
          <w:sz w:val="24"/>
          <w:szCs w:val="24"/>
          <w:lang w:eastAsia="es-MX"/>
        </w:rPr>
        <w:t>diecisiete</w:t>
      </w:r>
      <w:r w:rsidR="00317C14">
        <w:rPr>
          <w:rFonts w:ascii="Palatino Linotype" w:eastAsia="Times New Roman" w:hAnsi="Palatino Linotype" w:cs="Arial"/>
          <w:color w:val="000000"/>
          <w:sz w:val="24"/>
          <w:szCs w:val="24"/>
          <w:lang w:eastAsia="es-MX"/>
        </w:rPr>
        <w:t xml:space="preserve"> de mayo de dos mil veintitrés. </w:t>
      </w:r>
      <w:r>
        <w:rPr>
          <w:rFonts w:ascii="Palatino Linotype" w:eastAsia="Times New Roman" w:hAnsi="Palatino Linotype" w:cs="Arial"/>
          <w:color w:val="000000"/>
          <w:sz w:val="24"/>
          <w:szCs w:val="24"/>
          <w:lang w:eastAsia="es-MX"/>
        </w:rPr>
        <w:t xml:space="preserve">               </w:t>
      </w:r>
    </w:p>
    <w:p w14:paraId="4B8272D4" w14:textId="5D5194E5" w:rsidR="00317C14" w:rsidRPr="00317C14" w:rsidRDefault="009B5029" w:rsidP="009B5029">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bookmarkStart w:id="0" w:name="_GoBack"/>
      <w:r w:rsidR="00317C14">
        <w:rPr>
          <w:rFonts w:ascii="Palatino Linotype" w:hAnsi="Palatino Linotype" w:cs="Arial"/>
          <w:b/>
          <w:bCs/>
          <w:sz w:val="24"/>
        </w:rPr>
        <w:t>01735</w:t>
      </w:r>
      <w:r>
        <w:rPr>
          <w:rFonts w:ascii="Palatino Linotype" w:hAnsi="Palatino Linotype" w:cs="Arial"/>
          <w:b/>
          <w:sz w:val="24"/>
        </w:rPr>
        <w:t>/INFOEM/IP/RR/2023</w:t>
      </w:r>
      <w:bookmarkEnd w:id="0"/>
      <w:r>
        <w:rPr>
          <w:rFonts w:ascii="Palatino Linotype" w:hAnsi="Palatino Linotype" w:cs="Arial"/>
          <w:b/>
          <w:sz w:val="24"/>
        </w:rPr>
        <w:t xml:space="preserve">, </w:t>
      </w:r>
      <w:r>
        <w:rPr>
          <w:rFonts w:ascii="Palatino Linotype" w:hAnsi="Palatino Linotype" w:cs="Arial"/>
          <w:sz w:val="24"/>
        </w:rPr>
        <w:t xml:space="preserve">interpuesto por un particular, en lo sucesivo </w:t>
      </w:r>
      <w:r>
        <w:rPr>
          <w:rFonts w:ascii="Palatino Linotype" w:hAnsi="Palatino Linotype" w:cs="Arial"/>
          <w:b/>
          <w:bCs/>
          <w:sz w:val="24"/>
        </w:rPr>
        <w:t xml:space="preserve">El Recurrente, </w:t>
      </w:r>
      <w:r>
        <w:rPr>
          <w:rFonts w:ascii="Palatino Linotype" w:hAnsi="Palatino Linotype" w:cs="Arial"/>
          <w:sz w:val="24"/>
        </w:rPr>
        <w:t xml:space="preserve">en contra de la respuesta del </w:t>
      </w:r>
      <w:r w:rsidR="00317C14">
        <w:rPr>
          <w:rFonts w:ascii="Palatino Linotype" w:hAnsi="Palatino Linotype" w:cs="Arial"/>
          <w:b/>
          <w:bCs/>
          <w:sz w:val="24"/>
        </w:rPr>
        <w:t xml:space="preserve">Ayuntamiento de Atenco, </w:t>
      </w:r>
      <w:r w:rsidR="00317C14">
        <w:rPr>
          <w:rFonts w:ascii="Palatino Linotype" w:hAnsi="Palatino Linotype" w:cs="Arial"/>
          <w:sz w:val="24"/>
        </w:rPr>
        <w:t xml:space="preserve">en lo sucesivo </w:t>
      </w:r>
      <w:r w:rsidR="00317C14">
        <w:rPr>
          <w:rFonts w:ascii="Palatino Linotype" w:hAnsi="Palatino Linotype" w:cs="Arial"/>
          <w:b/>
          <w:bCs/>
          <w:sz w:val="24"/>
        </w:rPr>
        <w:t xml:space="preserve">El Sujeto Obligado, </w:t>
      </w:r>
      <w:r w:rsidR="00317C14">
        <w:rPr>
          <w:rFonts w:ascii="Palatino Linotype" w:hAnsi="Palatino Linotype" w:cs="Arial"/>
          <w:sz w:val="24"/>
        </w:rPr>
        <w:t xml:space="preserve">se procede a dictar la presente resolución. </w:t>
      </w:r>
    </w:p>
    <w:p w14:paraId="3DA4D8C3" w14:textId="77777777" w:rsidR="00317C14" w:rsidRDefault="00317C14" w:rsidP="009B5029">
      <w:pPr>
        <w:tabs>
          <w:tab w:val="left" w:pos="1701"/>
        </w:tabs>
        <w:spacing w:before="240" w:line="360" w:lineRule="auto"/>
        <w:jc w:val="both"/>
        <w:rPr>
          <w:rFonts w:ascii="Palatino Linotype" w:hAnsi="Palatino Linotype" w:cs="Arial"/>
          <w:sz w:val="24"/>
        </w:rPr>
      </w:pPr>
    </w:p>
    <w:p w14:paraId="4BC4461B" w14:textId="4BE6C5A3" w:rsidR="009B5029" w:rsidRPr="00B9640A" w:rsidRDefault="009B5029" w:rsidP="009B5029">
      <w:pPr>
        <w:pStyle w:val="infoemcitas"/>
        <w:jc w:val="center"/>
        <w:rPr>
          <w:b/>
          <w:bCs/>
          <w:i w:val="0"/>
          <w:iCs/>
          <w:sz w:val="28"/>
          <w:szCs w:val="28"/>
        </w:rPr>
      </w:pPr>
      <w:r w:rsidRPr="00B9640A">
        <w:rPr>
          <w:b/>
          <w:bCs/>
          <w:i w:val="0"/>
          <w:iCs/>
          <w:sz w:val="28"/>
          <w:szCs w:val="28"/>
        </w:rPr>
        <w:t>A N T E C E D E N T E S   D E L   A S U N T O</w:t>
      </w:r>
    </w:p>
    <w:p w14:paraId="43C252D3" w14:textId="77777777" w:rsidR="009B5029" w:rsidRPr="00523CF0" w:rsidRDefault="009B5029" w:rsidP="009B5029">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66C15921" w14:textId="7F090D06" w:rsidR="00317C14" w:rsidRPr="00317C14" w:rsidRDefault="009B5029" w:rsidP="009B5029">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317C14">
        <w:rPr>
          <w:rFonts w:ascii="Palatino Linotype" w:hAnsi="Palatino Linotype" w:cs="Arial"/>
          <w:b/>
          <w:bCs/>
          <w:sz w:val="24"/>
        </w:rPr>
        <w:t xml:space="preserve">veintitrés de febrero de dos mil veintitrés, El Recurrente, </w:t>
      </w:r>
      <w:r w:rsidR="00317C14">
        <w:rPr>
          <w:rFonts w:ascii="Palatino Linotype" w:hAnsi="Palatino Linotype" w:cs="Arial"/>
          <w:sz w:val="24"/>
        </w:rPr>
        <w:t>presentó a través del Sistema de Acceso a la Información Mexiquense (</w:t>
      </w:r>
      <w:r w:rsidR="00317C14">
        <w:rPr>
          <w:rFonts w:ascii="Palatino Linotype" w:hAnsi="Palatino Linotype" w:cs="Arial"/>
          <w:b/>
          <w:sz w:val="24"/>
        </w:rPr>
        <w:t>SAIMEX)</w:t>
      </w:r>
      <w:r w:rsidR="00317C14">
        <w:rPr>
          <w:rFonts w:ascii="Palatino Linotype" w:hAnsi="Palatino Linotype" w:cs="Arial"/>
          <w:sz w:val="24"/>
        </w:rPr>
        <w:t xml:space="preserve"> ante </w:t>
      </w:r>
      <w:r w:rsidR="00317C14">
        <w:rPr>
          <w:rFonts w:ascii="Palatino Linotype" w:hAnsi="Palatino Linotype" w:cs="Arial"/>
          <w:b/>
          <w:sz w:val="24"/>
        </w:rPr>
        <w:t>El Sujeto Obligado</w:t>
      </w:r>
      <w:r w:rsidR="00317C14">
        <w:rPr>
          <w:rFonts w:ascii="Palatino Linotype" w:hAnsi="Palatino Linotype" w:cs="Arial"/>
          <w:sz w:val="24"/>
        </w:rPr>
        <w:t xml:space="preserve">, solicitud de acceso a la información pública, registrada bajo el número de expediente </w:t>
      </w:r>
      <w:r w:rsidR="00317C14">
        <w:rPr>
          <w:rFonts w:ascii="Palatino Linotype" w:hAnsi="Palatino Linotype" w:cs="Arial"/>
          <w:b/>
          <w:bCs/>
          <w:sz w:val="24"/>
        </w:rPr>
        <w:t xml:space="preserve">00028/ATENCO/IP/2023, </w:t>
      </w:r>
      <w:r w:rsidR="00317C14">
        <w:rPr>
          <w:rFonts w:ascii="Palatino Linotype" w:hAnsi="Palatino Linotype" w:cs="Arial"/>
          <w:sz w:val="24"/>
        </w:rPr>
        <w:t>mediante la cual solicitó información en el tenor siguiente:</w:t>
      </w:r>
    </w:p>
    <w:p w14:paraId="69E16452" w14:textId="491578EB" w:rsidR="00317C14" w:rsidRPr="00317C14" w:rsidRDefault="00317C14" w:rsidP="00317C14">
      <w:pPr>
        <w:pStyle w:val="Citas"/>
        <w:rPr>
          <w:b/>
          <w:bCs/>
          <w:sz w:val="24"/>
        </w:rPr>
      </w:pPr>
      <w:r>
        <w:t xml:space="preserve">“solicito la relación de juicios laborales vigentes que se entrega al Osfem, actualizada al mes de febrero de 2023” </w:t>
      </w:r>
      <w:r>
        <w:rPr>
          <w:b/>
          <w:bCs/>
        </w:rPr>
        <w:t>(Sic)</w:t>
      </w:r>
    </w:p>
    <w:p w14:paraId="0FDD1B9D" w14:textId="77777777" w:rsidR="009B5029" w:rsidRDefault="009B5029" w:rsidP="009B5029">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r>
        <w:rPr>
          <w:rFonts w:ascii="Palatino Linotype" w:eastAsia="Times New Roman" w:hAnsi="Palatino Linotype" w:cs="Times New Roman"/>
          <w:sz w:val="24"/>
          <w:szCs w:val="24"/>
          <w:lang w:val="es-ES_tradnl" w:eastAsia="es-ES"/>
        </w:rPr>
        <w:t>.</w:t>
      </w:r>
    </w:p>
    <w:p w14:paraId="5FBE22B9" w14:textId="77777777" w:rsidR="00317C14" w:rsidRDefault="00317C14" w:rsidP="009B5029">
      <w:pPr>
        <w:spacing w:before="240" w:line="360" w:lineRule="auto"/>
        <w:jc w:val="both"/>
        <w:rPr>
          <w:rFonts w:ascii="Palatino Linotype" w:hAnsi="Palatino Linotype" w:cs="Arial"/>
          <w:b/>
          <w:sz w:val="28"/>
        </w:rPr>
      </w:pPr>
    </w:p>
    <w:p w14:paraId="32234D96" w14:textId="57CC9D5F" w:rsidR="009B5029" w:rsidRDefault="009B5029" w:rsidP="009B5029">
      <w:pPr>
        <w:spacing w:before="240" w:line="360" w:lineRule="auto"/>
        <w:jc w:val="both"/>
        <w:rPr>
          <w:rFonts w:ascii="Palatino Linotype" w:hAnsi="Palatino Linotype" w:cs="Arial"/>
          <w:b/>
          <w:sz w:val="28"/>
        </w:rPr>
      </w:pPr>
      <w:r>
        <w:rPr>
          <w:rFonts w:ascii="Palatino Linotype" w:hAnsi="Palatino Linotype" w:cs="Arial"/>
          <w:b/>
          <w:sz w:val="28"/>
        </w:rPr>
        <w:lastRenderedPageBreak/>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67C7399E" w14:textId="4D789F0F" w:rsidR="00317C14"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317C14">
        <w:rPr>
          <w:rFonts w:ascii="Palatino Linotype" w:hAnsi="Palatino Linotype" w:cs="Arial"/>
          <w:b/>
          <w:bCs/>
          <w:sz w:val="24"/>
          <w:szCs w:val="24"/>
        </w:rPr>
        <w:t xml:space="preserve">veintisiete de marzo de dos mil veintitrés, El Sujeto Obligado </w:t>
      </w:r>
      <w:r w:rsidR="00317C14">
        <w:rPr>
          <w:rFonts w:ascii="Palatino Linotype" w:hAnsi="Palatino Linotype" w:cs="Arial"/>
          <w:sz w:val="24"/>
          <w:szCs w:val="24"/>
        </w:rPr>
        <w:t>dio respuesta a la solicitud de información en los siguientes términos:</w:t>
      </w:r>
    </w:p>
    <w:p w14:paraId="1405C277" w14:textId="64903852" w:rsidR="00317C14" w:rsidRPr="00317C14" w:rsidRDefault="00317C14" w:rsidP="00317C14">
      <w:pPr>
        <w:pStyle w:val="Citas"/>
      </w:pPr>
      <w:r w:rsidRPr="00317C14">
        <w:t>“En respuesta a la solicitud recibida, nos permitimos hacer de su conocimiento que con fundamento en el artículo 53, Fracciones: II, V y VI de la Ley de Transparencia y Acceso a la Información Pública del Estado de México y Municipios, le contestamos que:</w:t>
      </w:r>
    </w:p>
    <w:p w14:paraId="659F3A90" w14:textId="26BDFEA8" w:rsidR="00317C14" w:rsidRPr="00317C14" w:rsidRDefault="00317C14" w:rsidP="00317C14">
      <w:pPr>
        <w:pStyle w:val="Citas"/>
        <w:rPr>
          <w:b/>
          <w:bCs/>
        </w:rPr>
      </w:pPr>
      <w:r w:rsidRPr="00317C14">
        <w:t xml:space="preserve">Sea este el conducto mediante el cual reciba un cordial saludo, y a su vez,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00028/ATENCO/IP/2023,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w:t>
      </w:r>
      <w:r>
        <w:rPr>
          <w:b/>
          <w:bCs/>
        </w:rPr>
        <w:t>(Sic)</w:t>
      </w:r>
    </w:p>
    <w:p w14:paraId="17CA516F" w14:textId="37BECEC4" w:rsidR="00317C14" w:rsidRPr="00317C14" w:rsidRDefault="009B5029" w:rsidP="009B5029">
      <w:pPr>
        <w:spacing w:before="240" w:line="360" w:lineRule="auto"/>
        <w:jc w:val="both"/>
        <w:rPr>
          <w:rFonts w:ascii="Palatino Linotype" w:hAnsi="Palatino Linotype" w:cs="Arial"/>
          <w:b/>
          <w:bCs/>
          <w:sz w:val="24"/>
          <w:szCs w:val="24"/>
        </w:rPr>
      </w:pPr>
      <w:r>
        <w:rPr>
          <w:rFonts w:ascii="Palatino Linotype" w:hAnsi="Palatino Linotype" w:cs="Arial"/>
          <w:sz w:val="24"/>
          <w:szCs w:val="24"/>
        </w:rPr>
        <w:t xml:space="preserve">Adicionalmente,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w:t>
      </w:r>
      <w:r w:rsidR="00317C14">
        <w:rPr>
          <w:rFonts w:ascii="Palatino Linotype" w:hAnsi="Palatino Linotype" w:cs="Arial"/>
          <w:sz w:val="24"/>
          <w:szCs w:val="24"/>
        </w:rPr>
        <w:t>los</w:t>
      </w:r>
      <w:r w:rsidR="00DF6F34">
        <w:rPr>
          <w:rFonts w:ascii="Palatino Linotype" w:hAnsi="Palatino Linotype" w:cs="Arial"/>
          <w:sz w:val="24"/>
          <w:szCs w:val="24"/>
        </w:rPr>
        <w:t xml:space="preserve"> documento</w:t>
      </w:r>
      <w:r w:rsidR="00317C14">
        <w:rPr>
          <w:rFonts w:ascii="Palatino Linotype" w:hAnsi="Palatino Linotype" w:cs="Arial"/>
          <w:sz w:val="24"/>
          <w:szCs w:val="24"/>
        </w:rPr>
        <w:t>s</w:t>
      </w:r>
      <w:r w:rsidR="00DF6F34">
        <w:rPr>
          <w:rFonts w:ascii="Palatino Linotype" w:hAnsi="Palatino Linotype" w:cs="Arial"/>
          <w:sz w:val="24"/>
          <w:szCs w:val="24"/>
        </w:rPr>
        <w:t xml:space="preserve"> electrónico</w:t>
      </w:r>
      <w:r w:rsidR="00317C14">
        <w:rPr>
          <w:rFonts w:ascii="Palatino Linotype" w:hAnsi="Palatino Linotype" w:cs="Arial"/>
          <w:sz w:val="24"/>
          <w:szCs w:val="24"/>
        </w:rPr>
        <w:t xml:space="preserve">s </w:t>
      </w:r>
      <w:r w:rsidR="00317C14">
        <w:rPr>
          <w:rFonts w:ascii="Palatino Linotype" w:hAnsi="Palatino Linotype" w:cs="Arial"/>
          <w:b/>
          <w:bCs/>
          <w:sz w:val="24"/>
          <w:szCs w:val="24"/>
        </w:rPr>
        <w:t xml:space="preserve">“Resp. Sol. 00028 U.J..pdf”, “Resp. Sol. 00028 Contraloría.pdf”, “Acta Vigésima Sol. 00028.pdf”, </w:t>
      </w:r>
      <w:r w:rsidR="00317C14">
        <w:rPr>
          <w:rFonts w:ascii="Palatino Linotype" w:hAnsi="Palatino Linotype" w:cs="Arial"/>
          <w:b/>
          <w:bCs/>
          <w:sz w:val="24"/>
          <w:szCs w:val="24"/>
        </w:rPr>
        <w:lastRenderedPageBreak/>
        <w:t xml:space="preserve">“Sol. 00028.pdf” </w:t>
      </w:r>
      <w:r w:rsidR="00317C14">
        <w:rPr>
          <w:rFonts w:ascii="Palatino Linotype" w:hAnsi="Palatino Linotype" w:cs="Arial"/>
          <w:sz w:val="24"/>
          <w:szCs w:val="24"/>
        </w:rPr>
        <w:t xml:space="preserve">y </w:t>
      </w:r>
      <w:r w:rsidR="00317C14">
        <w:rPr>
          <w:rFonts w:ascii="Palatino Linotype" w:hAnsi="Palatino Linotype" w:cs="Arial"/>
          <w:b/>
          <w:bCs/>
          <w:sz w:val="24"/>
          <w:szCs w:val="24"/>
        </w:rPr>
        <w:t xml:space="preserve">“Acta Vigésima correcta.pdf”, </w:t>
      </w:r>
      <w:r w:rsidR="00317C14">
        <w:rPr>
          <w:rFonts w:ascii="Palatino Linotype" w:hAnsi="Palatino Linotype" w:cs="Arial"/>
          <w:sz w:val="24"/>
          <w:szCs w:val="24"/>
        </w:rPr>
        <w:t xml:space="preserve">cuya contenido será materia de estudio en el considerando respectivo. </w:t>
      </w:r>
      <w:r w:rsidR="00317C14">
        <w:rPr>
          <w:rFonts w:ascii="Palatino Linotype" w:hAnsi="Palatino Linotype" w:cs="Arial"/>
          <w:b/>
          <w:bCs/>
          <w:sz w:val="24"/>
          <w:szCs w:val="24"/>
        </w:rPr>
        <w:t xml:space="preserve"> </w:t>
      </w:r>
    </w:p>
    <w:p w14:paraId="4B2637FD" w14:textId="77777777" w:rsidR="00317C14" w:rsidRDefault="00317C14" w:rsidP="009B5029">
      <w:pPr>
        <w:spacing w:before="240" w:line="360" w:lineRule="auto"/>
        <w:jc w:val="both"/>
        <w:rPr>
          <w:rFonts w:ascii="Palatino Linotype" w:hAnsi="Palatino Linotype" w:cs="Arial"/>
          <w:sz w:val="24"/>
          <w:szCs w:val="24"/>
        </w:rPr>
      </w:pPr>
    </w:p>
    <w:p w14:paraId="2C824AC7" w14:textId="77777777" w:rsidR="009B5029" w:rsidRDefault="009B5029" w:rsidP="009B5029">
      <w:pPr>
        <w:spacing w:before="240" w:line="360" w:lineRule="auto"/>
        <w:rPr>
          <w:rFonts w:ascii="Palatino Linotype" w:hAnsi="Palatino Linotype" w:cs="Arial"/>
          <w:b/>
          <w:sz w:val="28"/>
        </w:rPr>
      </w:pPr>
      <w:r>
        <w:rPr>
          <w:rFonts w:ascii="Palatino Linotype" w:hAnsi="Palatino Linotype" w:cs="Arial"/>
          <w:b/>
          <w:sz w:val="28"/>
        </w:rPr>
        <w:t xml:space="preserve">TERCERO. </w:t>
      </w:r>
      <w:r>
        <w:rPr>
          <w:rFonts w:ascii="Palatino Linotype" w:hAnsi="Palatino Linotype"/>
          <w:b/>
          <w:sz w:val="28"/>
        </w:rPr>
        <w:t>Del recurso de revisión.</w:t>
      </w:r>
    </w:p>
    <w:p w14:paraId="100F09B6" w14:textId="5C3B66E6" w:rsidR="00317C14" w:rsidRPr="00317C14" w:rsidRDefault="009B5029" w:rsidP="009B502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El Recurrente </w:t>
      </w:r>
      <w:r>
        <w:rPr>
          <w:rFonts w:ascii="Palatino Linotype" w:hAnsi="Palatino Linotype" w:cs="Arial"/>
          <w:sz w:val="24"/>
          <w:szCs w:val="24"/>
        </w:rPr>
        <w:t>interpuso recurso de revisión, en fecha</w:t>
      </w:r>
      <w:r w:rsidR="00DF6F34">
        <w:rPr>
          <w:rFonts w:ascii="Palatino Linotype" w:hAnsi="Palatino Linotype" w:cs="Arial"/>
          <w:sz w:val="24"/>
          <w:szCs w:val="24"/>
        </w:rPr>
        <w:t xml:space="preserve"> </w:t>
      </w:r>
      <w:r w:rsidR="00317C14">
        <w:rPr>
          <w:rFonts w:ascii="Palatino Linotype" w:hAnsi="Palatino Linotype" w:cs="Arial"/>
          <w:b/>
          <w:bCs/>
          <w:sz w:val="24"/>
          <w:szCs w:val="24"/>
        </w:rPr>
        <w:t xml:space="preserve">veintinueve de marzo de dos mil veintitrés, </w:t>
      </w:r>
      <w:r w:rsidR="00317C14">
        <w:rPr>
          <w:rFonts w:ascii="Palatino Linotype" w:hAnsi="Palatino Linotype" w:cs="Arial"/>
          <w:sz w:val="24"/>
          <w:szCs w:val="24"/>
        </w:rPr>
        <w:t xml:space="preserve">el cual fue registrado en el sistema electrónico con el expediente </w:t>
      </w:r>
      <w:r w:rsidR="00317C14">
        <w:rPr>
          <w:rFonts w:ascii="Palatino Linotype" w:hAnsi="Palatino Linotype" w:cs="Arial"/>
          <w:b/>
          <w:bCs/>
          <w:sz w:val="24"/>
          <w:szCs w:val="24"/>
        </w:rPr>
        <w:t xml:space="preserve">01735/INFOEM/IP/RR/2023, </w:t>
      </w:r>
      <w:r w:rsidR="00317C14">
        <w:rPr>
          <w:rFonts w:ascii="Palatino Linotype" w:hAnsi="Palatino Linotype" w:cs="Arial"/>
          <w:sz w:val="24"/>
          <w:szCs w:val="24"/>
        </w:rPr>
        <w:t>en el cual arguye las siguientes manifestaciones:</w:t>
      </w:r>
    </w:p>
    <w:p w14:paraId="26145687" w14:textId="77777777" w:rsidR="009B5029" w:rsidRDefault="009B5029" w:rsidP="009B502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643D150B" w14:textId="29BD7257" w:rsidR="00317C14" w:rsidRPr="00CE3EB5" w:rsidRDefault="00CE3EB5" w:rsidP="00CE3EB5">
      <w:pPr>
        <w:pStyle w:val="Citas"/>
        <w:rPr>
          <w:b/>
          <w:bCs/>
          <w:sz w:val="24"/>
        </w:rPr>
      </w:pPr>
      <w:r>
        <w:t xml:space="preserve">“la información no es susceptible de ser clasificada como reservada, ya que la divulgación de la misma no afecta al proceso jurídico al que refiere el comité de transparencia y/o el titular del área jurídica; información que refieren los lineamientos, Fechas de Capacitación y Calendarización para la Entrega de Informes Trimestrales de las Entidades Fiscalizables del Estado de México del Ejercicio Fiscal 2022, en su modulo 4; por lo que solicito énvien la información solicitada, y en su caso el órgano de control realice las acciones necesarias” </w:t>
      </w:r>
      <w:r>
        <w:rPr>
          <w:b/>
          <w:bCs/>
        </w:rPr>
        <w:t>(Sic)</w:t>
      </w:r>
    </w:p>
    <w:p w14:paraId="70C90EFB" w14:textId="77777777" w:rsidR="009B5029" w:rsidRDefault="009B5029" w:rsidP="009B5029">
      <w:pPr>
        <w:spacing w:before="24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6CBFC893" w14:textId="2AF99A03" w:rsidR="009B5029" w:rsidRPr="00CE3EB5" w:rsidRDefault="00CE3EB5" w:rsidP="00CE3EB5">
      <w:pPr>
        <w:pStyle w:val="Citas"/>
        <w:rPr>
          <w:b/>
          <w:bCs/>
        </w:rPr>
      </w:pPr>
      <w:r>
        <w:t>“</w:t>
      </w:r>
      <w:r w:rsidRPr="00CE3EB5">
        <w:t xml:space="preserve">la información no es susceptible de ser clasificada como reservada, ya que la divulgación de la misma no afecta al proceso jurídico al que refiere el comité de transparencia y/o el titular del área jurídica; información que refieren los lineamientos, Fechas de Capacitación y Calendarización para la Entrega de Informes </w:t>
      </w:r>
      <w:r w:rsidRPr="00CE3EB5">
        <w:lastRenderedPageBreak/>
        <w:t>Trimestrales de las Entidades Fiscalizables del Estado de México del Ejercicio Fiscal 2022, en su modulo 4; por lo que solicito énvien la información solicitada, y en su caso el órgano de control realice las acciones necesarias</w:t>
      </w:r>
      <w:r>
        <w:t xml:space="preserve">” </w:t>
      </w:r>
      <w:r>
        <w:rPr>
          <w:b/>
          <w:bCs/>
        </w:rPr>
        <w:t>(Sic)</w:t>
      </w:r>
    </w:p>
    <w:p w14:paraId="4A4C7430" w14:textId="77777777" w:rsidR="00CE3EB5" w:rsidRPr="00CE3EB5" w:rsidRDefault="00CE3EB5" w:rsidP="00CE3EB5">
      <w:pPr>
        <w:pStyle w:val="Citas"/>
      </w:pPr>
    </w:p>
    <w:p w14:paraId="147EA26C" w14:textId="77777777" w:rsidR="009B5029" w:rsidRDefault="009B5029" w:rsidP="009B502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5929B5D1" w14:textId="28FCD61A" w:rsidR="009B5029"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presidente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CE3EB5">
        <w:rPr>
          <w:rFonts w:ascii="Palatino Linotype" w:hAnsi="Palatino Linotype" w:cs="Arial"/>
          <w:b/>
          <w:bCs/>
          <w:sz w:val="24"/>
          <w:szCs w:val="24"/>
        </w:rPr>
        <w:t xml:space="preserve">treinta de marzo de dos mil veintitrés, </w:t>
      </w:r>
      <w:r>
        <w:rPr>
          <w:rFonts w:ascii="Palatino Linotype" w:hAnsi="Palatino Linotype" w:cs="Arial"/>
          <w:sz w:val="24"/>
          <w:szCs w:val="24"/>
        </w:rPr>
        <w:t>determinándose en él, un plazo de siete días para que las partes manifestaran lo que a su derecho corresponda en términos del numeral ya citado.</w:t>
      </w:r>
    </w:p>
    <w:p w14:paraId="3030EFB0" w14:textId="77777777" w:rsidR="009B5029" w:rsidRDefault="009B5029" w:rsidP="009B5029">
      <w:pPr>
        <w:spacing w:before="240" w:line="360" w:lineRule="auto"/>
        <w:jc w:val="both"/>
        <w:rPr>
          <w:rFonts w:ascii="Palatino Linotype" w:hAnsi="Palatino Linotype" w:cs="Arial"/>
          <w:sz w:val="24"/>
          <w:szCs w:val="24"/>
        </w:rPr>
      </w:pPr>
    </w:p>
    <w:p w14:paraId="606807D4" w14:textId="77777777" w:rsidR="009B5029" w:rsidRDefault="009B5029" w:rsidP="009B502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Pr="00AC0CCC">
        <w:rPr>
          <w:rFonts w:ascii="Palatino Linotype" w:hAnsi="Palatino Linotype" w:cs="Arial"/>
          <w:b/>
          <w:sz w:val="28"/>
          <w:szCs w:val="28"/>
        </w:rPr>
        <w:t xml:space="preserve">. </w:t>
      </w:r>
      <w:r w:rsidRPr="0087163A">
        <w:rPr>
          <w:rFonts w:ascii="Palatino Linotype" w:hAnsi="Palatino Linotype" w:cs="Arial"/>
          <w:b/>
          <w:sz w:val="28"/>
          <w:szCs w:val="28"/>
        </w:rPr>
        <w:t>De la etapa de instrucción.</w:t>
      </w:r>
    </w:p>
    <w:p w14:paraId="03C019D3" w14:textId="4277C3EA" w:rsidR="00DF6F34" w:rsidRPr="00CE3EB5" w:rsidRDefault="009B5029" w:rsidP="009B5029">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en la etapa de instrucción, de las constancias que obran en los expedientes electrónicos de los recursos de revisión se advierte que </w:t>
      </w:r>
      <w:r>
        <w:rPr>
          <w:rFonts w:ascii="Palatino Linotype" w:hAnsi="Palatino Linotype" w:cs="Arial"/>
          <w:b/>
          <w:bCs/>
          <w:sz w:val="24"/>
          <w:szCs w:val="24"/>
        </w:rPr>
        <w:t xml:space="preserve">El Sujeto Obligado </w:t>
      </w:r>
      <w:r w:rsidR="00CE3EB5">
        <w:rPr>
          <w:rFonts w:ascii="Palatino Linotype" w:hAnsi="Palatino Linotype" w:cs="Arial"/>
          <w:sz w:val="24"/>
          <w:szCs w:val="24"/>
        </w:rPr>
        <w:t xml:space="preserve">fue omiso en rendir su informe justificado. </w:t>
      </w:r>
    </w:p>
    <w:p w14:paraId="468F8640" w14:textId="01C2A34B" w:rsidR="00DF6F34" w:rsidRPr="00EF5310" w:rsidRDefault="00DF6F34" w:rsidP="00DF6F34">
      <w:pPr>
        <w:spacing w:before="240" w:line="360" w:lineRule="auto"/>
        <w:jc w:val="both"/>
        <w:rPr>
          <w:rFonts w:ascii="Palatino Linotype" w:hAnsi="Palatino Linotype" w:cs="Arial"/>
          <w:sz w:val="24"/>
          <w:szCs w:val="24"/>
        </w:rPr>
      </w:pPr>
      <w:r>
        <w:rPr>
          <w:rFonts w:ascii="Palatino Linotype" w:hAnsi="Palatino Linotype" w:cs="Arial"/>
          <w:sz w:val="24"/>
          <w:szCs w:val="24"/>
        </w:rPr>
        <w:t>Por lo cual se decretó instrucción con fecha</w:t>
      </w:r>
      <w:r w:rsidR="00CE3EB5">
        <w:rPr>
          <w:rFonts w:ascii="Palatino Linotype" w:hAnsi="Palatino Linotype" w:cs="Arial"/>
          <w:sz w:val="24"/>
          <w:szCs w:val="24"/>
        </w:rPr>
        <w:t xml:space="preserve"> </w:t>
      </w:r>
      <w:r w:rsidR="00CE3EB5">
        <w:rPr>
          <w:rFonts w:ascii="Palatino Linotype" w:hAnsi="Palatino Linotype" w:cs="Arial"/>
          <w:b/>
          <w:bCs/>
          <w:sz w:val="24"/>
          <w:szCs w:val="24"/>
        </w:rPr>
        <w:t xml:space="preserve">dieciocho de abril del presente,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53A6F19A" w14:textId="77777777" w:rsidR="00DF6F34" w:rsidRDefault="00DF6F34" w:rsidP="009B5029">
      <w:pPr>
        <w:spacing w:after="0" w:line="360" w:lineRule="auto"/>
        <w:jc w:val="both"/>
        <w:rPr>
          <w:rFonts w:ascii="Palatino Linotype" w:hAnsi="Palatino Linotype" w:cs="Arial"/>
          <w:sz w:val="24"/>
          <w:szCs w:val="24"/>
        </w:rPr>
      </w:pPr>
    </w:p>
    <w:p w14:paraId="1EBA35FA" w14:textId="563EFF0D"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lastRenderedPageBreak/>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42FEF585" w14:textId="77777777" w:rsidR="00DF6F34" w:rsidRDefault="00DF6F34" w:rsidP="00DF6F34">
      <w:pPr>
        <w:spacing w:after="0" w:line="360" w:lineRule="auto"/>
        <w:jc w:val="both"/>
        <w:rPr>
          <w:rFonts w:ascii="Palatino Linotype" w:hAnsi="Palatino Linotype"/>
          <w:sz w:val="24"/>
          <w:szCs w:val="24"/>
        </w:rPr>
      </w:pPr>
      <w:r w:rsidRPr="00121F39">
        <w:rPr>
          <w:rFonts w:ascii="Palatino Linotype" w:hAnsi="Palatino Linotype"/>
          <w:sz w:val="24"/>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33B49E16" w14:textId="77777777" w:rsidR="00CE3EB5" w:rsidRPr="00121F39" w:rsidRDefault="00CE3EB5" w:rsidP="00DF6F34">
      <w:pPr>
        <w:spacing w:after="0" w:line="360" w:lineRule="auto"/>
        <w:jc w:val="both"/>
        <w:rPr>
          <w:rFonts w:ascii="Palatino Linotype" w:hAnsi="Palatino Linotype"/>
          <w:sz w:val="24"/>
          <w:szCs w:val="24"/>
        </w:rPr>
      </w:pP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w:t>
      </w:r>
      <w:r w:rsidRPr="00B10F60">
        <w:rPr>
          <w:rFonts w:ascii="Palatino Linotype" w:hAnsi="Palatino Linotype" w:cs="Arial"/>
        </w:rPr>
        <w:lastRenderedPageBreak/>
        <w:t>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295A7AB0"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6EC714CE" w14:textId="77777777" w:rsidR="00A36D0F" w:rsidRPr="00161CEB" w:rsidRDefault="00A36D0F" w:rsidP="00A36D0F">
      <w:pPr>
        <w:autoSpaceDE w:val="0"/>
        <w:autoSpaceDN w:val="0"/>
        <w:adjustRightInd w:val="0"/>
        <w:spacing w:after="0" w:line="360" w:lineRule="auto"/>
        <w:jc w:val="both"/>
        <w:rPr>
          <w:rFonts w:ascii="Palatino Linotype" w:hAnsi="Palatino Linotype" w:cs="Arial"/>
          <w:b/>
        </w:rPr>
      </w:pPr>
      <w:r w:rsidRPr="00161CEB">
        <w:rPr>
          <w:rFonts w:ascii="Palatino Linotype" w:hAnsi="Palatino Linotype" w:cs="Arial"/>
          <w:b/>
          <w:sz w:val="28"/>
        </w:rPr>
        <w:t>TERCERO. Cuestiones de previo y especial pronunciamiento</w:t>
      </w:r>
      <w:r w:rsidRPr="00161CEB">
        <w:rPr>
          <w:rFonts w:ascii="Palatino Linotype" w:hAnsi="Palatino Linotype" w:cs="Arial"/>
          <w:b/>
        </w:rPr>
        <w:t>.</w:t>
      </w:r>
    </w:p>
    <w:p w14:paraId="366E8CB6" w14:textId="77777777" w:rsidR="00DF6F34" w:rsidRPr="00187D70" w:rsidRDefault="00DF6F34" w:rsidP="00DF6F34">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4A18F177"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39F449C8"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6BBF588B"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26B4B300"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7D43CD0E"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2D1E8BEC"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07EA9DB3"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4EB0A203"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69441997"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lastRenderedPageBreak/>
        <w:t>VIII. Firma del recurrente, en su caso, cuando se presente por escrito, requisito sin el cual se dará trámite al recurso.</w:t>
      </w:r>
    </w:p>
    <w:p w14:paraId="7496A126"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51B13334"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En ningún caso será necesario que el particular ratifique el recurso de revisión interpuesto.</w:t>
      </w:r>
    </w:p>
    <w:p w14:paraId="16062A3C" w14:textId="77777777" w:rsidR="00DF6F34" w:rsidRPr="009B74C2" w:rsidRDefault="00DF6F34" w:rsidP="00DF6F34">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058EF932" w14:textId="77777777" w:rsidR="00DF6F34" w:rsidRPr="00187D70" w:rsidRDefault="00DF6F34" w:rsidP="00DF6F34">
      <w:pPr>
        <w:spacing w:after="0" w:line="360" w:lineRule="auto"/>
        <w:jc w:val="both"/>
        <w:rPr>
          <w:rFonts w:ascii="Palatino Linotype" w:eastAsia="Times New Roman" w:hAnsi="Palatino Linotype" w:cs="Arial"/>
          <w:b/>
          <w:i/>
          <w:sz w:val="24"/>
          <w:szCs w:val="24"/>
          <w:lang w:eastAsia="es-ES"/>
        </w:rPr>
      </w:pPr>
    </w:p>
    <w:p w14:paraId="58FAABE2" w14:textId="77777777" w:rsidR="00DF6F34" w:rsidRPr="00187D70" w:rsidRDefault="00DF6F34" w:rsidP="00DF6F34">
      <w:pPr>
        <w:spacing w:after="0" w:line="360" w:lineRule="auto"/>
        <w:jc w:val="both"/>
        <w:rPr>
          <w:rFonts w:ascii="Palatino Linotype" w:hAnsi="Palatino Linotype" w:cs="Arial"/>
          <w:sz w:val="24"/>
          <w:szCs w:val="24"/>
          <w:lang w:val="es-ES" w:eastAsia="es-ES"/>
        </w:rPr>
      </w:pPr>
      <w:r>
        <w:rPr>
          <w:rFonts w:ascii="Palatino Linotype" w:hAnsi="Palatino Linotype" w:cs="Segoe UI"/>
          <w:sz w:val="24"/>
          <w:szCs w:val="24"/>
          <w:lang w:val="es-ES" w:eastAsia="es-ES"/>
        </w:rPr>
        <w:t xml:space="preserve">Cabe señalar que </w:t>
      </w:r>
      <w:r w:rsidRPr="009B74C2">
        <w:rPr>
          <w:rFonts w:ascii="Palatino Linotype" w:hAnsi="Palatino Linotype" w:cs="Segoe UI"/>
          <w:b/>
          <w:sz w:val="24"/>
          <w:szCs w:val="24"/>
          <w:lang w:val="es-ES" w:eastAsia="es-ES"/>
        </w:rPr>
        <w:t>El Recurrente</w:t>
      </w:r>
      <w:r w:rsidRPr="00187D70">
        <w:rPr>
          <w:rFonts w:ascii="Palatino Linotype" w:hAnsi="Palatino Linotype" w:cs="Segoe UI"/>
          <w:sz w:val="24"/>
          <w:szCs w:val="24"/>
          <w:lang w:val="es-ES" w:eastAsia="es-ES"/>
        </w:rPr>
        <w:t xml:space="preserve"> </w:t>
      </w:r>
      <w:r>
        <w:rPr>
          <w:rFonts w:ascii="Palatino Linotype" w:hAnsi="Palatino Linotype" w:cs="Segoe UI"/>
          <w:sz w:val="24"/>
          <w:szCs w:val="24"/>
          <w:lang w:val="es-ES" w:eastAsia="es-ES"/>
        </w:rPr>
        <w:t>ejerció de manera anónima su derecho de acceso a la información pública</w:t>
      </w:r>
      <w:r>
        <w:rPr>
          <w:rFonts w:ascii="Palatino Linotype" w:hAnsi="Palatino Linotype" w:cs="Times New Roman"/>
          <w:sz w:val="24"/>
          <w:szCs w:val="24"/>
          <w:lang w:val="es-ES" w:eastAsia="es-ES"/>
        </w:rPr>
        <w:t>,</w:t>
      </w:r>
      <w:r w:rsidRPr="00187D70">
        <w:rPr>
          <w:rFonts w:ascii="Palatino Linotype" w:hAnsi="Palatino Linotype" w:cs="Times New Roman"/>
          <w:sz w:val="24"/>
          <w:szCs w:val="24"/>
          <w:lang w:val="es-ES" w:eastAsia="es-ES"/>
        </w:rPr>
        <w:t xml:space="preserve"> </w:t>
      </w:r>
      <w:r>
        <w:rPr>
          <w:rFonts w:ascii="Palatino Linotype" w:hAnsi="Palatino Linotype" w:cs="Times New Roman"/>
          <w:sz w:val="24"/>
          <w:szCs w:val="24"/>
          <w:lang w:val="es-ES" w:eastAsia="es-ES"/>
        </w:rPr>
        <w:t xml:space="preserve">sin embargo, </w:t>
      </w:r>
      <w:r w:rsidRPr="00187D70">
        <w:rPr>
          <w:rFonts w:ascii="Palatino Linotype" w:hAnsi="Palatino Linotype" w:cs="Times New Roman"/>
          <w:sz w:val="24"/>
          <w:szCs w:val="24"/>
          <w:lang w:val="es-ES" w:eastAsia="es-ES"/>
        </w:rPr>
        <w:t xml:space="preserve">no es motivo para desechar las </w:t>
      </w:r>
      <w:r w:rsidRPr="00187D70">
        <w:rPr>
          <w:rFonts w:ascii="Palatino Linotype"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23A0EA33" w14:textId="77777777" w:rsidR="00DF6F34" w:rsidRDefault="00DF6F34" w:rsidP="00DF6F34">
      <w:pPr>
        <w:spacing w:before="240" w:line="360" w:lineRule="auto"/>
        <w:ind w:left="851" w:right="851"/>
        <w:jc w:val="both"/>
        <w:rPr>
          <w:rFonts w:ascii="Palatino Linotype" w:hAnsi="Palatino Linotype" w:cs="Arial"/>
          <w:b/>
          <w:i/>
          <w:lang w:val="es-ES" w:eastAsia="es-ES"/>
        </w:rPr>
      </w:pPr>
      <w:r w:rsidRPr="00187D70">
        <w:rPr>
          <w:rFonts w:ascii="Palatino Linotype"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hAnsi="Palatino Linotype" w:cs="Arial"/>
          <w:i/>
          <w:lang w:val="es-ES" w:eastAsia="es-ES"/>
        </w:rPr>
        <w:t xml:space="preserve"> </w:t>
      </w:r>
      <w:r>
        <w:rPr>
          <w:rFonts w:ascii="Palatino Linotype" w:hAnsi="Palatino Linotype" w:cs="Arial"/>
          <w:b/>
          <w:i/>
          <w:lang w:val="es-ES" w:eastAsia="es-ES"/>
        </w:rPr>
        <w:t>[Sic]</w:t>
      </w:r>
    </w:p>
    <w:p w14:paraId="6F456BFC" w14:textId="77777777" w:rsidR="00DF6F34" w:rsidRPr="009B74C2" w:rsidRDefault="00DF6F34" w:rsidP="00DF6F34">
      <w:pPr>
        <w:spacing w:before="240" w:line="360" w:lineRule="auto"/>
        <w:ind w:left="851" w:right="851"/>
        <w:jc w:val="both"/>
        <w:rPr>
          <w:rFonts w:ascii="Palatino Linotype" w:hAnsi="Palatino Linotype" w:cs="Arial"/>
          <w:b/>
          <w:i/>
          <w:lang w:val="es-ES" w:eastAsia="es-ES"/>
        </w:rPr>
      </w:pPr>
    </w:p>
    <w:p w14:paraId="554C8AFF" w14:textId="77777777" w:rsidR="00DF6F34" w:rsidRDefault="00DF6F34" w:rsidP="00DF6F34">
      <w:pPr>
        <w:spacing w:after="0" w:line="360" w:lineRule="auto"/>
        <w:jc w:val="both"/>
        <w:rPr>
          <w:rFonts w:ascii="Palatino Linotype" w:hAnsi="Palatino Linotype" w:cs="Times New Roman"/>
          <w:sz w:val="24"/>
          <w:szCs w:val="24"/>
          <w:lang w:val="es-ES" w:eastAsia="es-ES"/>
        </w:rPr>
      </w:pPr>
      <w:r w:rsidRPr="00187D70">
        <w:rPr>
          <w:rFonts w:ascii="Palatino Linotype"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w:t>
      </w:r>
      <w:r w:rsidRPr="00187D70">
        <w:rPr>
          <w:rFonts w:ascii="Palatino Linotype" w:hAnsi="Palatino Linotype" w:cs="Times New Roman"/>
          <w:sz w:val="24"/>
          <w:szCs w:val="24"/>
          <w:lang w:val="es-ES" w:eastAsia="es-ES"/>
        </w:rPr>
        <w:lastRenderedPageBreak/>
        <w:t xml:space="preserve">párrafos </w:t>
      </w:r>
      <w:r w:rsidRPr="00187D70">
        <w:rPr>
          <w:rFonts w:ascii="Palatino Linotype"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hAnsi="Palatino Linotype" w:cs="Times New Roman"/>
          <w:sz w:val="24"/>
          <w:szCs w:val="24"/>
          <w:lang w:val="es-ES" w:eastAsia="es-ES"/>
        </w:rPr>
        <w:t>, de la Constitución Política del Estado Libre y Soberano de México, se establece lo siguiente:</w:t>
      </w:r>
    </w:p>
    <w:p w14:paraId="747D3A91" w14:textId="77777777" w:rsidR="00DF6F34" w:rsidRPr="00187D70" w:rsidRDefault="00DF6F34" w:rsidP="00DF6F34">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033CB607"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t>“</w:t>
      </w:r>
      <w:r w:rsidRPr="00187D70">
        <w:rPr>
          <w:rFonts w:ascii="Palatino Linotype" w:eastAsia="Times New Roman" w:hAnsi="Palatino Linotype" w:cs="Times New Roman"/>
          <w:b/>
          <w:i/>
          <w:lang w:val="es-ES" w:eastAsia="es-ES"/>
        </w:rPr>
        <w:t>Artículo 6</w:t>
      </w:r>
      <w:r w:rsidRPr="00187D70">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B1FED01"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22D41DA1"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3E8160F0"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04709A8D"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EE5D203"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01B69F2D" w14:textId="77777777" w:rsidR="00DF6F34" w:rsidRDefault="00DF6F34" w:rsidP="00DF6F34">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56052BFB" w14:textId="77777777" w:rsidR="00DF6F34" w:rsidRPr="00E71AB2" w:rsidRDefault="00DF6F34" w:rsidP="00DF6F34">
      <w:pPr>
        <w:spacing w:before="240" w:line="360" w:lineRule="auto"/>
        <w:ind w:left="851" w:right="851"/>
        <w:jc w:val="both"/>
        <w:rPr>
          <w:rFonts w:ascii="Palatino Linotype" w:eastAsia="Times New Roman" w:hAnsi="Palatino Linotype" w:cs="Times New Roman"/>
          <w:b/>
          <w:i/>
          <w:lang w:val="es-ES" w:eastAsia="es-ES"/>
        </w:rPr>
      </w:pPr>
    </w:p>
    <w:p w14:paraId="1F752397" w14:textId="77777777" w:rsidR="00DF6F34" w:rsidRPr="00187D70" w:rsidRDefault="00DF6F34" w:rsidP="00DF6F34">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lastRenderedPageBreak/>
        <w:t>Constitución Política del Estado Libre y Soberano de México</w:t>
      </w:r>
    </w:p>
    <w:p w14:paraId="6BE31572"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01BA9C19"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F030AED"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62C70781"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0877D5E1"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7854CF6F"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8A6C617"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Pr>
          <w:rFonts w:ascii="Palatino Linotype" w:eastAsia="Times New Roman" w:hAnsi="Palatino Linotype" w:cs="Times New Roman"/>
          <w:i/>
          <w:lang w:val="es-ES" w:eastAsia="es-ES"/>
        </w:rPr>
        <w:t>.</w:t>
      </w:r>
      <w:r w:rsidRPr="00187D70">
        <w:rPr>
          <w:rFonts w:ascii="Palatino Linotype" w:eastAsia="Times New Roman" w:hAnsi="Palatino Linotype" w:cs="Times New Roman"/>
          <w:i/>
          <w:lang w:val="es-ES" w:eastAsia="es-ES"/>
        </w:rPr>
        <w:t>.)</w:t>
      </w:r>
    </w:p>
    <w:p w14:paraId="610A486E"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III. Toda persona, sin necesidad de acreditar interés alguno o justificar su utilización, tendrá acceso gratuito a la información pública, a sus datos personales o a la rectificación de éstos;</w:t>
      </w:r>
    </w:p>
    <w:p w14:paraId="62898943"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5163BF5B"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7AB0F519" w14:textId="77777777" w:rsidR="00DF6F34" w:rsidRPr="009B74C2" w:rsidRDefault="00DF6F34" w:rsidP="00DF6F34">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71B7C7A0" w14:textId="77777777" w:rsidR="00DF6F34" w:rsidRDefault="00DF6F34" w:rsidP="00DF6F34">
      <w:pPr>
        <w:spacing w:after="0" w:line="360" w:lineRule="auto"/>
        <w:jc w:val="both"/>
        <w:rPr>
          <w:rFonts w:ascii="Palatino Linotype" w:eastAsia="Times New Roman" w:hAnsi="Palatino Linotype" w:cs="Times New Roman"/>
          <w:sz w:val="24"/>
          <w:szCs w:val="24"/>
          <w:lang w:val="es-ES" w:eastAsia="es-ES"/>
        </w:rPr>
      </w:pPr>
    </w:p>
    <w:p w14:paraId="32723598" w14:textId="77777777" w:rsidR="00DF6F34" w:rsidRPr="00187D70" w:rsidRDefault="00DF6F34" w:rsidP="00DF6F34">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627ED46B" w14:textId="77777777" w:rsidR="00DF6F34" w:rsidRPr="00187D70" w:rsidRDefault="00DF6F34" w:rsidP="00DF6F34">
      <w:pPr>
        <w:spacing w:before="240" w:line="360" w:lineRule="auto"/>
        <w:ind w:left="851" w:right="851"/>
        <w:jc w:val="both"/>
        <w:rPr>
          <w:rFonts w:ascii="Palatino Linotype" w:hAnsi="Palatino Linotype" w:cs="Times New Roman"/>
          <w:i/>
          <w:lang w:val="es-ES" w:eastAsia="es-ES"/>
        </w:rPr>
      </w:pPr>
      <w:r w:rsidRPr="00187D70">
        <w:rPr>
          <w:rFonts w:ascii="Palatino Linotype" w:hAnsi="Palatino Linotype" w:cs="Times New Roman"/>
          <w:i/>
          <w:lang w:val="es-ES" w:eastAsia="es-ES"/>
        </w:rPr>
        <w:t>“</w:t>
      </w:r>
      <w:r w:rsidRPr="00187D70">
        <w:rPr>
          <w:rFonts w:ascii="Palatino Linotype" w:hAnsi="Palatino Linotype" w:cs="Times New Roman"/>
          <w:b/>
          <w:i/>
          <w:lang w:val="es-ES" w:eastAsia="es-ES"/>
        </w:rPr>
        <w:t>Artículo 1o</w:t>
      </w:r>
      <w:r w:rsidRPr="00187D70">
        <w:rPr>
          <w:rFonts w:ascii="Palatino Linotype"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6A802A9" w14:textId="77777777" w:rsidR="00DF6F34" w:rsidRPr="00187D70" w:rsidRDefault="00DF6F34" w:rsidP="00DF6F34">
      <w:pPr>
        <w:spacing w:before="240" w:line="360" w:lineRule="auto"/>
        <w:ind w:left="851" w:right="851"/>
        <w:jc w:val="both"/>
        <w:rPr>
          <w:rFonts w:ascii="Palatino Linotype" w:hAnsi="Palatino Linotype" w:cs="Times New Roman"/>
          <w:i/>
          <w:lang w:val="es-ES" w:eastAsia="es-ES"/>
        </w:rPr>
      </w:pPr>
      <w:r w:rsidRPr="00187D70">
        <w:rPr>
          <w:rFonts w:ascii="Palatino Linotype" w:hAnsi="Palatino Linotype" w:cs="Times New Roman"/>
          <w:i/>
          <w:lang w:val="es-ES" w:eastAsia="es-ES"/>
        </w:rPr>
        <w:lastRenderedPageBreak/>
        <w:t>Las normas relativas a los derechos humanos se interpretarán de conformidad con esta Constitución y con los tratados internacionales de la materia favoreciendo en todo tiempo a las personas la protección más amplia.</w:t>
      </w:r>
    </w:p>
    <w:p w14:paraId="667AD58C" w14:textId="77777777" w:rsidR="00DF6F34" w:rsidRPr="009B74C2" w:rsidRDefault="00DF6F34" w:rsidP="00DF6F34">
      <w:pPr>
        <w:spacing w:before="240" w:line="360" w:lineRule="auto"/>
        <w:ind w:left="851" w:right="851"/>
        <w:jc w:val="both"/>
        <w:rPr>
          <w:rFonts w:ascii="Palatino Linotype" w:hAnsi="Palatino Linotype" w:cs="Times New Roman"/>
          <w:b/>
          <w:i/>
          <w:lang w:val="es-ES" w:eastAsia="es-ES"/>
        </w:rPr>
      </w:pPr>
      <w:r w:rsidRPr="00187D70">
        <w:rPr>
          <w:rFonts w:ascii="Palatino Linotype"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hAnsi="Palatino Linotype" w:cs="Times New Roman"/>
          <w:i/>
          <w:lang w:val="es-ES" w:eastAsia="es-ES"/>
        </w:rPr>
        <w:t xml:space="preserve"> </w:t>
      </w:r>
      <w:r>
        <w:rPr>
          <w:rFonts w:ascii="Palatino Linotype" w:hAnsi="Palatino Linotype" w:cs="Times New Roman"/>
          <w:b/>
          <w:i/>
          <w:lang w:val="es-ES" w:eastAsia="es-ES"/>
        </w:rPr>
        <w:t>[Sic]</w:t>
      </w:r>
    </w:p>
    <w:p w14:paraId="115F58FE" w14:textId="77777777" w:rsidR="00DF6F34" w:rsidRDefault="00DF6F34" w:rsidP="00DF6F34">
      <w:pPr>
        <w:pBdr>
          <w:top w:val="nil"/>
          <w:left w:val="nil"/>
          <w:bottom w:val="nil"/>
          <w:right w:val="nil"/>
          <w:between w:val="nil"/>
        </w:pBdr>
        <w:spacing w:after="0" w:line="360" w:lineRule="auto"/>
        <w:jc w:val="both"/>
        <w:rPr>
          <w:rFonts w:ascii="Palatino Linotype" w:eastAsia="Times New Roman" w:hAnsi="Palatino Linotype" w:cs="Times New Roman"/>
          <w:sz w:val="24"/>
          <w:szCs w:val="24"/>
          <w:lang w:val="es-ES" w:eastAsia="es-ES"/>
        </w:rPr>
      </w:pPr>
    </w:p>
    <w:p w14:paraId="11E5C8CA" w14:textId="77777777" w:rsidR="00DF6F34" w:rsidRDefault="00DF6F34" w:rsidP="00DF6F34">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
        </w:rPr>
      </w:pPr>
      <w:r w:rsidRPr="00187D70">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hAnsi="Palatino Linotype" w:cs="Arial"/>
          <w:sz w:val="24"/>
          <w:szCs w:val="24"/>
          <w:lang w:val="es-ES"/>
        </w:rPr>
        <w:t>En conclusión, se cubrieron los requisitos de procedencia y procedibilidad y conforme a las constancias que obran en el expediente.</w:t>
      </w:r>
    </w:p>
    <w:p w14:paraId="511BBA79" w14:textId="77777777" w:rsidR="00DF6F34" w:rsidRDefault="00DF6F34" w:rsidP="00BA18D5">
      <w:pPr>
        <w:pStyle w:val="Prrafodelista"/>
        <w:autoSpaceDE w:val="0"/>
        <w:autoSpaceDN w:val="0"/>
        <w:adjustRightInd w:val="0"/>
        <w:spacing w:line="360" w:lineRule="auto"/>
        <w:ind w:left="0"/>
        <w:jc w:val="both"/>
        <w:rPr>
          <w:rFonts w:ascii="Palatino Linotype" w:hAnsi="Palatino Linotype" w:cs="Arial"/>
        </w:rPr>
      </w:pPr>
    </w:p>
    <w:p w14:paraId="4628A669" w14:textId="0040AA4A" w:rsidR="000D4532" w:rsidRPr="009A0D0A"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0A695E7E" w14:textId="77777777" w:rsidR="00C26216" w:rsidRDefault="00C26216" w:rsidP="00C26216">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w:t>
      </w:r>
      <w:r>
        <w:rPr>
          <w:rFonts w:ascii="Palatino Linotype" w:hAnsi="Palatino Linotype" w:cs="Arial"/>
        </w:rPr>
        <w:lastRenderedPageBreak/>
        <w:t xml:space="preserve">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075AAD77" w14:textId="3DF03D79" w:rsidR="00C26216" w:rsidRPr="002869E1" w:rsidRDefault="00C26216" w:rsidP="00C26216">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7E6297"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3CBD6FB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A73B63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4233E8A"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723220D"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9DE387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D293513"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0E5FFC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2935CDF"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A5ECB74"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1AFDF1B"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30EF0F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F3F0B9F" w14:textId="77777777" w:rsidR="00C26216"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70D1985A" w14:textId="77777777" w:rsidR="001F6766" w:rsidRDefault="001F6766" w:rsidP="00C26216">
      <w:pPr>
        <w:spacing w:after="0" w:line="360" w:lineRule="auto"/>
        <w:jc w:val="both"/>
        <w:rPr>
          <w:rFonts w:ascii="Palatino Linotype" w:eastAsia="Times New Roman" w:hAnsi="Palatino Linotype" w:cs="Times New Roman"/>
          <w:sz w:val="24"/>
          <w:szCs w:val="24"/>
          <w:lang w:eastAsia="es-ES"/>
        </w:rPr>
      </w:pPr>
    </w:p>
    <w:p w14:paraId="52223D59" w14:textId="73A3DFE7" w:rsidR="00C26216" w:rsidRPr="006010FE" w:rsidRDefault="00C26216" w:rsidP="00C26216">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lastRenderedPageBreak/>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06986A42" w14:textId="391FF9F6" w:rsidR="00C26216" w:rsidRDefault="00C26216" w:rsidP="00C26216">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1AC52B3C" w14:textId="24E5CDBD" w:rsidR="00100F8E" w:rsidRDefault="00100F8E" w:rsidP="0024633A">
      <w:pPr>
        <w:spacing w:before="240" w:line="360" w:lineRule="auto"/>
        <w:ind w:right="851"/>
        <w:jc w:val="both"/>
        <w:rPr>
          <w:rFonts w:ascii="Palatino Linotype" w:eastAsia="Times New Roman" w:hAnsi="Palatino Linotype" w:cs="Arial"/>
          <w:b/>
          <w:i/>
          <w:lang w:eastAsia="es-ES"/>
        </w:rPr>
      </w:pPr>
    </w:p>
    <w:p w14:paraId="2B094083" w14:textId="61F67A34" w:rsidR="007773E6" w:rsidRDefault="008028E9" w:rsidP="00E04DB7">
      <w:pPr>
        <w:autoSpaceDE w:val="0"/>
        <w:autoSpaceDN w:val="0"/>
        <w:adjustRightInd w:val="0"/>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t>En una aproximación inicial</w:t>
      </w:r>
      <w:r>
        <w:rPr>
          <w:rFonts w:ascii="Palatino Linotype" w:hAnsi="Palatino Linotype" w:cs="Arial"/>
          <w:sz w:val="24"/>
          <w:szCs w:val="24"/>
        </w:rPr>
        <w:t xml:space="preserve">, con relación </w:t>
      </w:r>
      <w:r w:rsidR="007773E6">
        <w:rPr>
          <w:rFonts w:ascii="Palatino Linotype" w:hAnsi="Palatino Linotype" w:cs="Arial"/>
          <w:sz w:val="24"/>
          <w:szCs w:val="24"/>
        </w:rPr>
        <w:t xml:space="preserve">a la solicitud de información </w:t>
      </w:r>
      <w:r w:rsidR="00CE3EB5">
        <w:rPr>
          <w:rFonts w:ascii="Palatino Linotype" w:hAnsi="Palatino Linotype" w:cs="Arial"/>
          <w:b/>
          <w:bCs/>
          <w:sz w:val="24"/>
          <w:szCs w:val="24"/>
        </w:rPr>
        <w:t>00028/ATENCO/IP/2023</w:t>
      </w:r>
      <w:r w:rsidR="007773E6">
        <w:rPr>
          <w:rFonts w:ascii="Palatino Linotype" w:hAnsi="Palatino Linotype" w:cs="Arial"/>
          <w:b/>
          <w:bCs/>
          <w:sz w:val="24"/>
          <w:szCs w:val="24"/>
        </w:rPr>
        <w:t xml:space="preserve"> </w:t>
      </w:r>
      <w:r w:rsidR="007773E6">
        <w:rPr>
          <w:rFonts w:ascii="Palatino Linotype" w:hAnsi="Palatino Linotype" w:cs="Arial"/>
          <w:sz w:val="24"/>
          <w:szCs w:val="24"/>
        </w:rPr>
        <w:t>se desprenden las siguientes consideraciones:</w:t>
      </w:r>
    </w:p>
    <w:p w14:paraId="5EB61A55" w14:textId="77777777" w:rsidR="00133A1D" w:rsidRDefault="00133A1D">
      <w:pPr>
        <w:pStyle w:val="Prrafodelista"/>
        <w:numPr>
          <w:ilvl w:val="0"/>
          <w:numId w:val="11"/>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 xml:space="preserve">Sujetos Obligados. </w:t>
      </w:r>
    </w:p>
    <w:p w14:paraId="5C877EDA" w14:textId="318A0292" w:rsidR="007773E6" w:rsidRPr="007773E6" w:rsidRDefault="00133A1D">
      <w:pPr>
        <w:pStyle w:val="Prrafodelista"/>
        <w:numPr>
          <w:ilvl w:val="0"/>
          <w:numId w:val="11"/>
        </w:numPr>
        <w:autoSpaceDE w:val="0"/>
        <w:autoSpaceDN w:val="0"/>
        <w:adjustRightInd w:val="0"/>
        <w:spacing w:before="240" w:line="360" w:lineRule="auto"/>
        <w:jc w:val="both"/>
        <w:rPr>
          <w:rFonts w:ascii="Palatino Linotype" w:hAnsi="Palatino Linotype" w:cs="Arial"/>
          <w:b/>
          <w:bCs/>
          <w:i/>
          <w:iCs/>
          <w:sz w:val="20"/>
          <w:szCs w:val="20"/>
        </w:rPr>
      </w:pPr>
      <w:r>
        <w:rPr>
          <w:rFonts w:ascii="Palatino Linotype" w:hAnsi="Palatino Linotype" w:cs="Arial"/>
        </w:rPr>
        <w:t xml:space="preserve">Que </w:t>
      </w:r>
      <w:r w:rsidR="00CE3EB5">
        <w:rPr>
          <w:rFonts w:ascii="Palatino Linotype" w:hAnsi="Palatino Linotype" w:cs="Arial"/>
        </w:rPr>
        <w:t xml:space="preserve">fue formulado </w:t>
      </w:r>
      <w:r w:rsidR="00CE3EB5">
        <w:rPr>
          <w:rFonts w:ascii="Palatino Linotype" w:hAnsi="Palatino Linotype" w:cs="Arial"/>
          <w:b/>
          <w:bCs/>
        </w:rPr>
        <w:t xml:space="preserve">1 -un- </w:t>
      </w:r>
      <w:r w:rsidR="00CE3EB5">
        <w:rPr>
          <w:rFonts w:ascii="Palatino Linotype" w:hAnsi="Palatino Linotype" w:cs="Arial"/>
        </w:rPr>
        <w:t xml:space="preserve">requerimiento respecto del cual fue señalado como elemento temporal </w:t>
      </w:r>
      <w:r w:rsidR="00CE3EB5">
        <w:rPr>
          <w:rFonts w:ascii="Palatino Linotype" w:hAnsi="Palatino Linotype" w:cs="Arial"/>
          <w:i/>
          <w:iCs/>
        </w:rPr>
        <w:t xml:space="preserve">“actualizada al mes de febrero de 2023”. </w:t>
      </w:r>
      <w:r w:rsidR="00CE3EB5">
        <w:rPr>
          <w:rFonts w:ascii="Palatino Linotype" w:hAnsi="Palatino Linotype" w:cs="Arial"/>
        </w:rPr>
        <w:t xml:space="preserve">Bajo este contexto, la temporalidad debe de ser delimitada al veintitrés de febrero de dos mil veintitrés, al tratarse de la fecha en que se ejerció el derecho de acceso a la información pública. </w:t>
      </w:r>
      <w:r w:rsidR="007773E6">
        <w:rPr>
          <w:rFonts w:ascii="Palatino Linotype" w:hAnsi="Palatino Linotype" w:cs="Arial"/>
        </w:rPr>
        <w:t xml:space="preserve"> </w:t>
      </w:r>
    </w:p>
    <w:p w14:paraId="3D8AE30D" w14:textId="77777777" w:rsidR="0054390A" w:rsidRDefault="0054390A" w:rsidP="001534CF">
      <w:pPr>
        <w:spacing w:before="240" w:line="360" w:lineRule="auto"/>
        <w:jc w:val="both"/>
        <w:rPr>
          <w:rFonts w:ascii="Palatino Linotype" w:hAnsi="Palatino Linotype"/>
          <w:sz w:val="24"/>
          <w:szCs w:val="24"/>
        </w:rPr>
      </w:pPr>
    </w:p>
    <w:p w14:paraId="5C2A02B1" w14:textId="1272148B" w:rsidR="001534CF" w:rsidRPr="0051062B" w:rsidRDefault="001534CF" w:rsidP="001534CF">
      <w:pPr>
        <w:spacing w:before="240" w:line="360" w:lineRule="auto"/>
        <w:jc w:val="both"/>
        <w:rPr>
          <w:rFonts w:ascii="Palatino Linotype" w:hAnsi="Palatino Linotype"/>
          <w:sz w:val="24"/>
          <w:szCs w:val="24"/>
        </w:rPr>
      </w:pPr>
      <w:r w:rsidRPr="00A44FBE">
        <w:rPr>
          <w:rFonts w:ascii="Palatino Linotype" w:hAnsi="Palatino Linotype"/>
          <w:sz w:val="24"/>
          <w:szCs w:val="24"/>
        </w:rPr>
        <w:lastRenderedPageBreak/>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52B63351" w14:textId="77777777" w:rsidR="001534CF" w:rsidRPr="0051062B" w:rsidRDefault="001534CF" w:rsidP="001534CF">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32DB7D4C" w14:textId="77777777" w:rsidR="001534CF" w:rsidRPr="0051062B" w:rsidRDefault="001534CF" w:rsidP="001534CF">
      <w:pPr>
        <w:pStyle w:val="Citas"/>
        <w:rPr>
          <w:b/>
        </w:rPr>
      </w:pPr>
      <w:r w:rsidRPr="0051062B">
        <w:rPr>
          <w:b/>
        </w:rPr>
        <w:t xml:space="preserve">Artículo 181. … </w:t>
      </w:r>
    </w:p>
    <w:p w14:paraId="2962A267" w14:textId="77777777" w:rsidR="001534CF" w:rsidRDefault="001534CF" w:rsidP="001534CF">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47FD226F" w14:textId="77777777" w:rsidR="001534CF" w:rsidRDefault="001534CF" w:rsidP="001534CF">
      <w:pPr>
        <w:spacing w:before="240" w:line="360" w:lineRule="auto"/>
        <w:jc w:val="both"/>
        <w:rPr>
          <w:rFonts w:ascii="Palatino Linotype" w:hAnsi="Palatino Linotype"/>
          <w:sz w:val="24"/>
          <w:szCs w:val="24"/>
        </w:rPr>
      </w:pPr>
    </w:p>
    <w:p w14:paraId="551ECE12" w14:textId="188EC209" w:rsidR="001534CF" w:rsidRDefault="001534CF" w:rsidP="001534CF">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sidRPr="00074A76">
        <w:rPr>
          <w:rFonts w:ascii="Palatino Linotype" w:hAnsi="Palatino Linotype"/>
          <w:b/>
          <w:bCs/>
          <w:sz w:val="24"/>
          <w:szCs w:val="24"/>
        </w:rPr>
        <w:t xml:space="preserve">Recurrente, </w:t>
      </w:r>
      <w:r w:rsidRPr="00074A76">
        <w:rPr>
          <w:rFonts w:ascii="Palatino Linotype" w:hAnsi="Palatino Linotype"/>
          <w:sz w:val="24"/>
          <w:szCs w:val="24"/>
        </w:rPr>
        <w:t xml:space="preserve">de manera objetiva se precisa que versa en conocer la siguiente información: </w:t>
      </w:r>
    </w:p>
    <w:p w14:paraId="45213BFD" w14:textId="0095E7B7" w:rsidR="00DF3F6B" w:rsidRDefault="0043218D" w:rsidP="00CE3EB5">
      <w:pPr>
        <w:pStyle w:val="Prrafodelista"/>
        <w:numPr>
          <w:ilvl w:val="0"/>
          <w:numId w:val="4"/>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Relación de juicios laborales vigentes</w:t>
      </w:r>
      <w:r w:rsidR="008C0DDD">
        <w:rPr>
          <w:rFonts w:ascii="Palatino Linotype" w:hAnsi="Palatino Linotype" w:cs="Arial"/>
        </w:rPr>
        <w:t xml:space="preserve"> entregado al Órgano Superior de Fiscalización del Estado de México</w:t>
      </w:r>
      <w:r>
        <w:rPr>
          <w:rFonts w:ascii="Palatino Linotype" w:hAnsi="Palatino Linotype" w:cs="Arial"/>
        </w:rPr>
        <w:t xml:space="preserve">, al veintitrés de febrero de dos mil veintitrés. </w:t>
      </w:r>
    </w:p>
    <w:p w14:paraId="5F7FA7E2" w14:textId="77777777" w:rsidR="00CE3EB5" w:rsidRDefault="00CE3EB5" w:rsidP="00E04DB7">
      <w:pPr>
        <w:spacing w:after="0" w:line="360" w:lineRule="auto"/>
        <w:jc w:val="both"/>
        <w:rPr>
          <w:rFonts w:ascii="Palatino Linotype" w:hAnsi="Palatino Linotype" w:cs="Arial"/>
          <w:sz w:val="24"/>
          <w:szCs w:val="24"/>
        </w:rPr>
      </w:pPr>
    </w:p>
    <w:p w14:paraId="3EF4F0E9" w14:textId="77777777" w:rsidR="00CE3EB5" w:rsidRDefault="00CE3EB5" w:rsidP="00E04DB7">
      <w:pPr>
        <w:spacing w:after="0" w:line="360" w:lineRule="auto"/>
        <w:jc w:val="both"/>
        <w:rPr>
          <w:rFonts w:ascii="Palatino Linotype" w:hAnsi="Palatino Linotype" w:cs="Arial"/>
          <w:sz w:val="24"/>
          <w:szCs w:val="24"/>
        </w:rPr>
      </w:pPr>
    </w:p>
    <w:p w14:paraId="079F5378" w14:textId="3F587107" w:rsidR="00E04DB7" w:rsidRDefault="00E04DB7" w:rsidP="00E04DB7">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 xml:space="preserve">Bajo este contexto, a efecto de identificar las unidades administrativas competentes se traen a colación los </w:t>
      </w:r>
      <w:r>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0651E25D" w14:textId="77777777" w:rsidR="00E04DB7" w:rsidRPr="009535E0" w:rsidRDefault="00E04DB7" w:rsidP="00E04DB7">
      <w:pPr>
        <w:tabs>
          <w:tab w:val="left" w:pos="709"/>
        </w:tabs>
        <w:spacing w:before="240" w:line="360" w:lineRule="auto"/>
        <w:ind w:left="851" w:right="851"/>
        <w:jc w:val="both"/>
        <w:rPr>
          <w:rFonts w:ascii="Palatino Linotype" w:hAnsi="Palatino Linotype"/>
          <w:i/>
        </w:rPr>
      </w:pPr>
      <w:r>
        <w:rPr>
          <w:rFonts w:ascii="Palatino Linotype" w:hAnsi="Palatino Linotype"/>
          <w:i/>
        </w:rPr>
        <w:lastRenderedPageBreak/>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0E65AD01" w14:textId="77777777" w:rsidR="00E04DB7" w:rsidRPr="009535E0" w:rsidRDefault="00E04DB7" w:rsidP="00E04DB7">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6DAAC113" w14:textId="77777777" w:rsidR="00E04DB7" w:rsidRPr="00C231A5" w:rsidRDefault="00E04DB7" w:rsidP="00E04DB7">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t>(…)</w:t>
      </w:r>
    </w:p>
    <w:p w14:paraId="4ABDDB34" w14:textId="77777777" w:rsidR="00E04DB7" w:rsidRPr="009535E0" w:rsidRDefault="00E04DB7" w:rsidP="00E04DB7">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08F49E8" w14:textId="77777777" w:rsidR="00E04DB7" w:rsidRDefault="00E04DB7" w:rsidP="00E04DB7">
      <w:pPr>
        <w:pStyle w:val="INFOEM0"/>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44133853" w14:textId="77777777" w:rsidR="00E04DB7" w:rsidRPr="00A94BBE" w:rsidRDefault="00E04DB7" w:rsidP="00E04DB7">
      <w:pPr>
        <w:pStyle w:val="INFOEM0"/>
        <w:rPr>
          <w:b/>
        </w:rPr>
      </w:pPr>
      <w:r>
        <w:t xml:space="preserve"> (…)” </w:t>
      </w:r>
      <w:r>
        <w:rPr>
          <w:b/>
        </w:rPr>
        <w:t xml:space="preserve">[Sic] </w:t>
      </w:r>
    </w:p>
    <w:p w14:paraId="3064A97C" w14:textId="0A57A993" w:rsidR="00E04DB7" w:rsidRDefault="00E04DB7" w:rsidP="00E04DB7">
      <w:pPr>
        <w:pStyle w:val="Sinespaciado"/>
        <w:spacing w:line="360" w:lineRule="auto"/>
        <w:jc w:val="both"/>
        <w:rPr>
          <w:rFonts w:ascii="Palatino Linotype" w:hAnsi="Palatino Linotype"/>
        </w:rPr>
      </w:pPr>
    </w:p>
    <w:p w14:paraId="4C096975" w14:textId="62E683E9" w:rsidR="00AB3CCD" w:rsidRDefault="00AB3CCD" w:rsidP="00E04DB7">
      <w:pPr>
        <w:pStyle w:val="Sinespaciado"/>
        <w:spacing w:line="360" w:lineRule="auto"/>
        <w:jc w:val="both"/>
        <w:rPr>
          <w:rFonts w:ascii="Palatino Linotype" w:hAnsi="Palatino Linotype"/>
        </w:rPr>
      </w:pPr>
      <w:r>
        <w:rPr>
          <w:rFonts w:ascii="Palatino Linotype" w:hAnsi="Palatino Linotype"/>
        </w:rPr>
        <w:t xml:space="preserve">Resulta oportuno traer a colación las siguientes imágenes ilustrativas, correspondientes al organigrama del </w:t>
      </w:r>
      <w:r>
        <w:rPr>
          <w:rFonts w:ascii="Palatino Linotype" w:hAnsi="Palatino Linotype"/>
          <w:b/>
          <w:bCs/>
        </w:rPr>
        <w:t>Sujeto Obligado</w:t>
      </w:r>
      <w:r w:rsidR="00A35411">
        <w:rPr>
          <w:rFonts w:ascii="Palatino Linotype" w:hAnsi="Palatino Linotype"/>
          <w:b/>
          <w:bCs/>
        </w:rPr>
        <w:t xml:space="preserve">: </w:t>
      </w:r>
    </w:p>
    <w:p w14:paraId="20C6D204" w14:textId="7031980F" w:rsidR="00E04DB7" w:rsidRDefault="00E04DB7" w:rsidP="00E04DB7">
      <w:pPr>
        <w:pStyle w:val="Sinespaciado"/>
        <w:spacing w:line="360" w:lineRule="auto"/>
        <w:jc w:val="both"/>
        <w:rPr>
          <w:rFonts w:ascii="Palatino Linotype" w:hAnsi="Palatino Linotype"/>
          <w:b/>
          <w:bCs/>
        </w:rPr>
      </w:pPr>
    </w:p>
    <w:p w14:paraId="6A02064D" w14:textId="77777777" w:rsidR="0043218D" w:rsidRDefault="0043218D" w:rsidP="008028E9">
      <w:pPr>
        <w:autoSpaceDE w:val="0"/>
        <w:autoSpaceDN w:val="0"/>
        <w:adjustRightInd w:val="0"/>
        <w:spacing w:before="240" w:line="360" w:lineRule="auto"/>
        <w:jc w:val="both"/>
        <w:rPr>
          <w:rFonts w:ascii="Palatino Linotype" w:hAnsi="Palatino Linotype" w:cs="Arial"/>
          <w:b/>
          <w:bCs/>
          <w:noProof/>
        </w:rPr>
      </w:pPr>
    </w:p>
    <w:p w14:paraId="49340267" w14:textId="0F3EA239" w:rsidR="0043218D" w:rsidRDefault="00794930" w:rsidP="008028E9">
      <w:pPr>
        <w:autoSpaceDE w:val="0"/>
        <w:autoSpaceDN w:val="0"/>
        <w:adjustRightInd w:val="0"/>
        <w:spacing w:before="240" w:line="360" w:lineRule="auto"/>
        <w:jc w:val="both"/>
        <w:rPr>
          <w:rFonts w:ascii="Palatino Linotype" w:hAnsi="Palatino Linotype" w:cs="Arial"/>
          <w:b/>
          <w:bCs/>
          <w:noProof/>
        </w:rPr>
      </w:pPr>
      <w:r>
        <w:rPr>
          <w:rFonts w:ascii="Palatino Linotype" w:hAnsi="Palatino Linotype" w:cs="Arial"/>
          <w:b/>
          <w:bCs/>
          <w:noProof/>
          <w:lang w:eastAsia="es-MX"/>
        </w:rPr>
        <w:lastRenderedPageBreak/>
        <w:drawing>
          <wp:anchor distT="0" distB="0" distL="114300" distR="114300" simplePos="0" relativeHeight="251845619" behindDoc="0" locked="0" layoutInCell="1" allowOverlap="1" wp14:anchorId="44948563" wp14:editId="24D99EA2">
            <wp:simplePos x="0" y="0"/>
            <wp:positionH relativeFrom="column">
              <wp:posOffset>33135</wp:posOffset>
            </wp:positionH>
            <wp:positionV relativeFrom="paragraph">
              <wp:posOffset>3649114</wp:posOffset>
            </wp:positionV>
            <wp:extent cx="5747385" cy="3315970"/>
            <wp:effectExtent l="19050" t="19050" r="24765" b="17780"/>
            <wp:wrapThrough wrapText="bothSides">
              <wp:wrapPolygon edited="0">
                <wp:start x="-72" y="-124"/>
                <wp:lineTo x="-72" y="21592"/>
                <wp:lineTo x="21621" y="21592"/>
                <wp:lineTo x="21621" y="-124"/>
                <wp:lineTo x="-72" y="-124"/>
              </wp:wrapPolygon>
            </wp:wrapThrough>
            <wp:docPr id="85260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7385" cy="33159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3218D">
        <w:rPr>
          <w:rFonts w:ascii="Palatino Linotype" w:hAnsi="Palatino Linotype" w:cs="Arial"/>
          <w:b/>
          <w:bCs/>
          <w:noProof/>
          <w:lang w:eastAsia="es-MX"/>
        </w:rPr>
        <w:drawing>
          <wp:anchor distT="0" distB="0" distL="114300" distR="114300" simplePos="0" relativeHeight="251844595" behindDoc="0" locked="0" layoutInCell="1" allowOverlap="1" wp14:anchorId="648B385A" wp14:editId="1B365601">
            <wp:simplePos x="0" y="0"/>
            <wp:positionH relativeFrom="column">
              <wp:posOffset>32385</wp:posOffset>
            </wp:positionH>
            <wp:positionV relativeFrom="paragraph">
              <wp:posOffset>19685</wp:posOffset>
            </wp:positionV>
            <wp:extent cx="5758815" cy="3315970"/>
            <wp:effectExtent l="19050" t="19050" r="13335" b="17780"/>
            <wp:wrapThrough wrapText="bothSides">
              <wp:wrapPolygon edited="0">
                <wp:start x="-71" y="-124"/>
                <wp:lineTo x="-71" y="21592"/>
                <wp:lineTo x="21579" y="21592"/>
                <wp:lineTo x="21579" y="-124"/>
                <wp:lineTo x="-71" y="-124"/>
              </wp:wrapPolygon>
            </wp:wrapThrough>
            <wp:docPr id="1155678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8815" cy="33159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3F3131E" w14:textId="24EC3622" w:rsidR="0043218D" w:rsidRDefault="0043218D" w:rsidP="008028E9">
      <w:pPr>
        <w:autoSpaceDE w:val="0"/>
        <w:autoSpaceDN w:val="0"/>
        <w:adjustRightInd w:val="0"/>
        <w:spacing w:before="240" w:line="360" w:lineRule="auto"/>
        <w:jc w:val="both"/>
        <w:rPr>
          <w:rFonts w:ascii="Palatino Linotype" w:hAnsi="Palatino Linotype" w:cs="Arial"/>
          <w:b/>
          <w:bCs/>
          <w:noProof/>
        </w:rPr>
      </w:pPr>
    </w:p>
    <w:p w14:paraId="02C927F1" w14:textId="7716214D" w:rsidR="00794930" w:rsidRDefault="001810AA" w:rsidP="001810AA">
      <w:pPr>
        <w:autoSpaceDE w:val="0"/>
        <w:autoSpaceDN w:val="0"/>
        <w:adjustRightInd w:val="0"/>
        <w:spacing w:before="240" w:line="360" w:lineRule="auto"/>
        <w:jc w:val="both"/>
        <w:rPr>
          <w:rFonts w:ascii="Palatino Linotype" w:hAnsi="Palatino Linotype"/>
          <w:sz w:val="24"/>
          <w:szCs w:val="24"/>
        </w:rPr>
      </w:pPr>
      <w:r w:rsidRPr="000064FD">
        <w:rPr>
          <w:rFonts w:ascii="Palatino Linotype" w:hAnsi="Palatino Linotype" w:cs="Arial"/>
          <w:noProof/>
          <w:sz w:val="24"/>
          <w:szCs w:val="24"/>
        </w:rPr>
        <w:lastRenderedPageBreak/>
        <w:t>D</w:t>
      </w:r>
      <w:r w:rsidR="00E04DB7" w:rsidRPr="000064FD">
        <w:rPr>
          <w:rFonts w:ascii="Palatino Linotype" w:hAnsi="Palatino Linotype"/>
          <w:sz w:val="24"/>
          <w:szCs w:val="24"/>
        </w:rPr>
        <w:t xml:space="preserve">e lo expuesto con anterioridad, se desprende que </w:t>
      </w:r>
      <w:r w:rsidR="00E04DB7" w:rsidRPr="000064FD">
        <w:rPr>
          <w:rFonts w:ascii="Palatino Linotype" w:hAnsi="Palatino Linotype"/>
          <w:b/>
          <w:bCs/>
          <w:sz w:val="24"/>
          <w:szCs w:val="24"/>
        </w:rPr>
        <w:t xml:space="preserve">El Sujeto Obligado </w:t>
      </w:r>
      <w:r w:rsidR="00E04DB7" w:rsidRPr="000064FD">
        <w:rPr>
          <w:rFonts w:ascii="Palatino Linotype" w:hAnsi="Palatino Linotype"/>
          <w:sz w:val="24"/>
          <w:szCs w:val="24"/>
        </w:rPr>
        <w:t xml:space="preserve">se auxilia de diversas Direcciones, Subdirecciones, Departamentos, Unidades Administrativas y Órganos Descentralizados para cumplir con sus fines y objetivos, resultando de nuestro más amplio interés </w:t>
      </w:r>
      <w:r w:rsidR="0072048E" w:rsidRPr="000064FD">
        <w:rPr>
          <w:rFonts w:ascii="Palatino Linotype" w:hAnsi="Palatino Linotype"/>
          <w:sz w:val="24"/>
          <w:szCs w:val="24"/>
        </w:rPr>
        <w:t xml:space="preserve">la </w:t>
      </w:r>
      <w:r w:rsidR="00794930">
        <w:rPr>
          <w:rFonts w:ascii="Palatino Linotype" w:hAnsi="Palatino Linotype"/>
          <w:sz w:val="24"/>
          <w:szCs w:val="24"/>
        </w:rPr>
        <w:t xml:space="preserve">Unidad Jurídica y la Tesorería Municipal. </w:t>
      </w:r>
    </w:p>
    <w:p w14:paraId="069E5DCE" w14:textId="4CF393B5" w:rsidR="00794930" w:rsidRDefault="00794930" w:rsidP="001810AA">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En este tenor, para delimitar las fronteras competenciales de las unidades administrativas en cita, resulta oportuno traer a colación </w:t>
      </w:r>
      <w:r w:rsidR="00C66D59">
        <w:rPr>
          <w:rFonts w:ascii="Palatino Linotype" w:hAnsi="Palatino Linotype"/>
          <w:sz w:val="24"/>
          <w:szCs w:val="24"/>
        </w:rPr>
        <w:t xml:space="preserve">los artículos </w:t>
      </w:r>
      <w:r w:rsidR="00C66D59" w:rsidRPr="00C66D59">
        <w:rPr>
          <w:rFonts w:ascii="Palatino Linotype" w:hAnsi="Palatino Linotype"/>
          <w:sz w:val="24"/>
          <w:szCs w:val="24"/>
        </w:rPr>
        <w:t>31 fracción I Sextus, 48 fracciones IV Bis y V Bis, 95 fracciones I, IV y XVI de la</w:t>
      </w:r>
      <w:r w:rsidR="00C66D59">
        <w:rPr>
          <w:rFonts w:ascii="Palatino Linotype" w:hAnsi="Palatino Linotype"/>
          <w:sz w:val="24"/>
          <w:szCs w:val="24"/>
        </w:rPr>
        <w:t xml:space="preserve"> Ley Orgánica Municipal del Estado de México, así como los numerales 25 y 28 del Bando Municipal de Atenco, porciones normativas que disponen a la literalidad lo siguiente:</w:t>
      </w:r>
    </w:p>
    <w:p w14:paraId="5A40EE7A" w14:textId="2894D5F0" w:rsidR="00C66D59" w:rsidRPr="00C66D59" w:rsidRDefault="00C66D59" w:rsidP="00C66D59">
      <w:pPr>
        <w:pStyle w:val="Citas"/>
        <w:jc w:val="center"/>
        <w:rPr>
          <w:b/>
          <w:bCs/>
          <w:sz w:val="24"/>
          <w:szCs w:val="24"/>
        </w:rPr>
      </w:pPr>
      <w:r w:rsidRPr="00C66D59">
        <w:rPr>
          <w:b/>
          <w:bCs/>
          <w:sz w:val="24"/>
          <w:szCs w:val="24"/>
        </w:rPr>
        <w:t>LEY ORGÁNICA MUNICIPAL DEL ESTADO DE MÉXICO</w:t>
      </w:r>
    </w:p>
    <w:p w14:paraId="73310B5E" w14:textId="24FD941B" w:rsidR="00794930" w:rsidRDefault="00C66D59" w:rsidP="00C66D59">
      <w:pPr>
        <w:pStyle w:val="Citas"/>
      </w:pPr>
      <w:r>
        <w:t>“</w:t>
      </w:r>
      <w:r w:rsidR="00794930">
        <w:t>Artículo 31.- Son atribuciones de los ayuntamientos:</w:t>
      </w:r>
    </w:p>
    <w:p w14:paraId="25716072" w14:textId="4AFA00EE" w:rsidR="00794930" w:rsidRDefault="00794930" w:rsidP="00C66D59">
      <w:pPr>
        <w:pStyle w:val="Citas"/>
      </w:pPr>
      <w:r>
        <w:t>(…)</w:t>
      </w:r>
    </w:p>
    <w:p w14:paraId="204C87A1" w14:textId="5A2EB82E" w:rsidR="00794930" w:rsidRDefault="00794930" w:rsidP="00C66D59">
      <w:pPr>
        <w:pStyle w:val="Citas"/>
      </w:pPr>
      <w:r>
        <w:t xml:space="preserve">I. Sextus. Formular, aprobar, implementar y ejecutar los programas y acciones para la prevención, atención y en su caso, el pago de las responsabilidades económicas en los conflictos laborales; </w:t>
      </w:r>
    </w:p>
    <w:p w14:paraId="77EDE404" w14:textId="4CE88C5B" w:rsidR="00794930" w:rsidRDefault="00794930" w:rsidP="00C66D59">
      <w:pPr>
        <w:pStyle w:val="Citas"/>
        <w:rPr>
          <w:sz w:val="24"/>
          <w:szCs w:val="24"/>
        </w:rPr>
      </w:pPr>
      <w:r>
        <w:rPr>
          <w:sz w:val="24"/>
          <w:szCs w:val="24"/>
        </w:rPr>
        <w:t>(…)</w:t>
      </w:r>
    </w:p>
    <w:p w14:paraId="67A4072C" w14:textId="5D067285" w:rsidR="00794930" w:rsidRDefault="00794930" w:rsidP="00C66D59">
      <w:pPr>
        <w:pStyle w:val="Citas"/>
      </w:pPr>
      <w:r>
        <w:t>Artículo 48.- El presidente municipal tiene las siguientes atribuciones:</w:t>
      </w:r>
    </w:p>
    <w:p w14:paraId="7AE614EA" w14:textId="062AE6E1" w:rsidR="00794930" w:rsidRDefault="00794930" w:rsidP="00C66D59">
      <w:pPr>
        <w:pStyle w:val="Citas"/>
      </w:pPr>
      <w:r>
        <w:t>(…)</w:t>
      </w:r>
    </w:p>
    <w:p w14:paraId="7BDD89D2" w14:textId="7DD71A5F" w:rsidR="00794930" w:rsidRDefault="00794930" w:rsidP="00C66D59">
      <w:pPr>
        <w:pStyle w:val="Citas"/>
      </w:pPr>
      <w:r>
        <w:lastRenderedPageBreak/>
        <w:t>IV Bis. Vigilar y ejecutar los programas y acciones para la prevención, atención y en su caso, el pago de las responsabilidades económicas de los Ayuntamientos de los conflictos laborales;</w:t>
      </w:r>
    </w:p>
    <w:p w14:paraId="4A7E0A5E" w14:textId="6F63635D" w:rsidR="00794930" w:rsidRDefault="00794930" w:rsidP="00C66D59">
      <w:pPr>
        <w:pStyle w:val="Citas"/>
      </w:pPr>
      <w:r>
        <w:t>(…)</w:t>
      </w:r>
    </w:p>
    <w:p w14:paraId="2125DCAB" w14:textId="04B03929" w:rsidR="00794930" w:rsidRDefault="00794930" w:rsidP="00C66D59">
      <w:pPr>
        <w:pStyle w:val="Citas"/>
      </w:pPr>
      <w:r>
        <w:t>V. Bis. Elaborar, con la aprobación del cabildo, el presupuesto correspondiente al pago de las responsabilidades económicas derivadas de los conflictos laborales</w:t>
      </w:r>
    </w:p>
    <w:p w14:paraId="59F856FA" w14:textId="50830652" w:rsidR="00794930" w:rsidRDefault="00C66D59" w:rsidP="00C66D59">
      <w:pPr>
        <w:pStyle w:val="Citas"/>
        <w:rPr>
          <w:sz w:val="24"/>
          <w:szCs w:val="24"/>
        </w:rPr>
      </w:pPr>
      <w:r>
        <w:t>(…)</w:t>
      </w:r>
    </w:p>
    <w:p w14:paraId="54F57FBC" w14:textId="77777777" w:rsidR="00794930" w:rsidRDefault="00794930" w:rsidP="00794930">
      <w:pPr>
        <w:pStyle w:val="Citas"/>
      </w:pPr>
      <w:r>
        <w:t xml:space="preserve">Artículo 95.- Son atribuciones del tesorero municipal: </w:t>
      </w:r>
    </w:p>
    <w:p w14:paraId="69323CC4" w14:textId="77777777" w:rsidR="00794930" w:rsidRDefault="00794930" w:rsidP="00794930">
      <w:pPr>
        <w:pStyle w:val="Citas"/>
      </w:pPr>
      <w:r>
        <w:t xml:space="preserve">I. Administrar la hacienda pública municipal, de conformidad con las disposiciones legales aplicables; </w:t>
      </w:r>
    </w:p>
    <w:p w14:paraId="32C30FB6" w14:textId="77777777" w:rsidR="00794930" w:rsidRDefault="00794930" w:rsidP="00794930">
      <w:pPr>
        <w:pStyle w:val="Citas"/>
      </w:pPr>
      <w:r>
        <w:t>(…)</w:t>
      </w:r>
    </w:p>
    <w:p w14:paraId="003E766A" w14:textId="77777777" w:rsidR="00794930" w:rsidRDefault="00794930" w:rsidP="00794930">
      <w:pPr>
        <w:pStyle w:val="Citas"/>
      </w:pPr>
      <w:r>
        <w:t>IV. Llevar los registros contables, financieros y administrativos de los ingresos, egresos, e inventarios;</w:t>
      </w:r>
    </w:p>
    <w:p w14:paraId="5F06243F" w14:textId="65631AC3" w:rsidR="00794930" w:rsidRDefault="00794930" w:rsidP="00794930">
      <w:pPr>
        <w:pStyle w:val="Citas"/>
      </w:pPr>
      <w:r>
        <w:t>(…)</w:t>
      </w:r>
    </w:p>
    <w:p w14:paraId="76723B4C" w14:textId="77777777" w:rsidR="00794930" w:rsidRDefault="00794930" w:rsidP="00794930">
      <w:pPr>
        <w:pStyle w:val="Citas"/>
      </w:pPr>
      <w:r>
        <w:t>XVI. Glosar oportunamente las cuentas del ayuntamiento;</w:t>
      </w:r>
    </w:p>
    <w:p w14:paraId="1759C5A1" w14:textId="77777777" w:rsidR="00794930" w:rsidRPr="00A432DF" w:rsidRDefault="00794930" w:rsidP="00794930">
      <w:pPr>
        <w:pStyle w:val="Citas"/>
        <w:rPr>
          <w:b/>
          <w:bCs/>
        </w:rPr>
      </w:pPr>
      <w:r>
        <w:t xml:space="preserve">(…)” </w:t>
      </w:r>
      <w:r>
        <w:rPr>
          <w:b/>
          <w:bCs/>
        </w:rPr>
        <w:t>(Sic)</w:t>
      </w:r>
    </w:p>
    <w:p w14:paraId="6D759FB2" w14:textId="77777777" w:rsidR="00794930" w:rsidRDefault="00794930" w:rsidP="001810AA">
      <w:pPr>
        <w:autoSpaceDE w:val="0"/>
        <w:autoSpaceDN w:val="0"/>
        <w:adjustRightInd w:val="0"/>
        <w:spacing w:before="240" w:line="360" w:lineRule="auto"/>
        <w:jc w:val="both"/>
        <w:rPr>
          <w:rFonts w:ascii="Palatino Linotype" w:hAnsi="Palatino Linotype"/>
          <w:sz w:val="24"/>
          <w:szCs w:val="24"/>
        </w:rPr>
      </w:pPr>
    </w:p>
    <w:p w14:paraId="431BFD92" w14:textId="1B3D49AD" w:rsidR="00794930" w:rsidRPr="00C66D59" w:rsidRDefault="00C66D59" w:rsidP="00C66D59">
      <w:pPr>
        <w:pStyle w:val="Citas"/>
        <w:jc w:val="center"/>
        <w:rPr>
          <w:b/>
          <w:bCs/>
        </w:rPr>
      </w:pPr>
      <w:r w:rsidRPr="00C66D59">
        <w:rPr>
          <w:b/>
          <w:bCs/>
        </w:rPr>
        <w:t>BANDO MUNICIPAL DE ATENCO</w:t>
      </w:r>
    </w:p>
    <w:p w14:paraId="61EAD453" w14:textId="6013140C" w:rsidR="00794930" w:rsidRDefault="00C66D59" w:rsidP="00C66D59">
      <w:pPr>
        <w:pStyle w:val="Citas"/>
      </w:pPr>
      <w:r>
        <w:lastRenderedPageBreak/>
        <w:t>“</w:t>
      </w:r>
      <w:r w:rsidR="00794930">
        <w:t>Artículo 25. La Presidenta Municipal ostenta la representación jurídica del Ayuntamiento y de la Administración Pública Municipal, en los litigios en que éste sea parte, así como la gestión de los negocios de la hacienda municipal; cuenta con la facultad para otorgar y revocar poderes generales y especiales a terceros o mediante oficio para la debida representación jurídica, pudiendo convenir en los mismos, apoyándose de la Consejería Jurídica Municipal.</w:t>
      </w:r>
    </w:p>
    <w:p w14:paraId="16326F4F" w14:textId="77777777" w:rsidR="00C66D59" w:rsidRDefault="00C66D59" w:rsidP="00C66D59">
      <w:pPr>
        <w:pStyle w:val="Citas"/>
      </w:pPr>
      <w:r>
        <w:t xml:space="preserve">Artículo 28. La Tesorería Municipal es la dependencia encargada de la recaudación de los ingresos municipales y responsable de realizar las erogaciones requeridas por el Ayuntamiento, apegadas a los ordenamientos legales vigentes. </w:t>
      </w:r>
    </w:p>
    <w:p w14:paraId="0D1E1B63" w14:textId="5CE65BD3" w:rsidR="00C66D59" w:rsidRPr="00C66D59" w:rsidRDefault="00C66D59" w:rsidP="00C66D59">
      <w:pPr>
        <w:pStyle w:val="Citas"/>
        <w:rPr>
          <w:b/>
          <w:bCs/>
        </w:rPr>
      </w:pPr>
      <w:r>
        <w:t xml:space="preserve">Ninguna autoridad municipal podrá condonar, subsidiar o eximir del pago total o parcial de contribuciones, aprovechamientos, derechos y sus accesorios, salvo en los casos que exista aprobación expresa del Ayuntamiento conforme a la normatividad vigente” </w:t>
      </w:r>
      <w:r>
        <w:rPr>
          <w:b/>
          <w:bCs/>
        </w:rPr>
        <w:t>(Sic)</w:t>
      </w:r>
    </w:p>
    <w:p w14:paraId="7AE185DC" w14:textId="77777777" w:rsidR="00794930" w:rsidRDefault="00794930" w:rsidP="001810AA">
      <w:pPr>
        <w:autoSpaceDE w:val="0"/>
        <w:autoSpaceDN w:val="0"/>
        <w:adjustRightInd w:val="0"/>
        <w:spacing w:before="240" w:line="360" w:lineRule="auto"/>
        <w:jc w:val="both"/>
        <w:rPr>
          <w:rFonts w:ascii="Palatino Linotype" w:hAnsi="Palatino Linotype"/>
          <w:sz w:val="24"/>
          <w:szCs w:val="24"/>
        </w:rPr>
      </w:pPr>
    </w:p>
    <w:p w14:paraId="3BC06532" w14:textId="02498B9A" w:rsidR="00794930" w:rsidRDefault="00C66D59" w:rsidP="001810AA">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De ahí que deba arribarse a la premisa de que la Tesorería Municipal da cuenta de los egresos y cuentas del Ayuntamiento, propone políticas de ingresos y administra la cuenta pública</w:t>
      </w:r>
      <w:r w:rsidR="00F347AF">
        <w:rPr>
          <w:rFonts w:ascii="Palatino Linotype" w:hAnsi="Palatino Linotype"/>
          <w:sz w:val="24"/>
          <w:szCs w:val="24"/>
        </w:rPr>
        <w:t>, también realiza erogaciones por concepto de conflictos laborales.</w:t>
      </w:r>
      <w:r>
        <w:rPr>
          <w:rFonts w:ascii="Palatino Linotype" w:hAnsi="Palatino Linotype"/>
          <w:sz w:val="24"/>
          <w:szCs w:val="24"/>
        </w:rPr>
        <w:t xml:space="preserve"> En contraste, la Coordinación Jurídica Municipal participa activamente en los conflictos jurídicos en los cuales resulta parte el Ayuntamiento de Atenco, englobando aquellos de naturaleza laboral. </w:t>
      </w:r>
    </w:p>
    <w:p w14:paraId="69548C35" w14:textId="77777777" w:rsidR="00C66D59" w:rsidRPr="003E0BC5" w:rsidRDefault="00C66D59" w:rsidP="00C66D59">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Pr>
          <w:rFonts w:ascii="Palatino Linotype" w:hAnsi="Palatino Linotype"/>
          <w:sz w:val="24"/>
          <w:szCs w:val="24"/>
        </w:rPr>
        <w:t xml:space="preserve">Ahora bien, resulta oportuno señalar que al </w:t>
      </w:r>
      <w:r w:rsidRPr="003E0BC5">
        <w:rPr>
          <w:rStyle w:val="apple-style-span"/>
          <w:rFonts w:ascii="Palatino Linotype" w:hAnsi="Palatino Linotype" w:cs="Arial"/>
          <w:color w:val="000000"/>
          <w:sz w:val="24"/>
          <w:szCs w:val="24"/>
        </w:rPr>
        <w:t xml:space="preserve">Órgano Superior de Fiscalización de esta entidad federativa, le asiste la facultad de emitir los </w:t>
      </w:r>
      <w:r w:rsidRPr="003E0BC5">
        <w:rPr>
          <w:rStyle w:val="apple-style-span"/>
          <w:rFonts w:ascii="Palatino Linotype" w:hAnsi="Palatino Linotype" w:cs="Arial"/>
          <w:b/>
          <w:color w:val="000000"/>
          <w:sz w:val="24"/>
          <w:szCs w:val="24"/>
        </w:rPr>
        <w:t xml:space="preserve">Lineamientos para la Integración </w:t>
      </w:r>
      <w:r w:rsidRPr="003E0BC5">
        <w:rPr>
          <w:rStyle w:val="apple-style-span"/>
          <w:rFonts w:ascii="Palatino Linotype" w:hAnsi="Palatino Linotype" w:cs="Arial"/>
          <w:b/>
          <w:color w:val="000000"/>
          <w:sz w:val="24"/>
          <w:szCs w:val="24"/>
        </w:rPr>
        <w:lastRenderedPageBreak/>
        <w:t>del Informe Mensual</w:t>
      </w:r>
      <w:r w:rsidRPr="003E0BC5">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6B93B4A7" w14:textId="77777777" w:rsidR="00C66D59" w:rsidRPr="00F975C8" w:rsidRDefault="00C66D59" w:rsidP="00C66D59">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14:paraId="1C865DFC" w14:textId="77777777" w:rsidR="00C66D59" w:rsidRPr="00F975C8" w:rsidRDefault="00C66D59" w:rsidP="00C66D59">
      <w:pPr>
        <w:autoSpaceDE w:val="0"/>
        <w:autoSpaceDN w:val="0"/>
        <w:adjustRightInd w:val="0"/>
        <w:spacing w:before="240" w:line="360" w:lineRule="auto"/>
        <w:ind w:left="851" w:right="851"/>
        <w:jc w:val="both"/>
        <w:rPr>
          <w:rFonts w:ascii="Palatino Linotype" w:hAnsi="Palatino Linotype" w:cs="Arial"/>
          <w:i/>
        </w:rPr>
      </w:pPr>
      <w:r>
        <w:rPr>
          <w:rFonts w:ascii="Palatino Linotype" w:hAnsi="Palatino Linotype" w:cs="Arial"/>
          <w:i/>
        </w:rPr>
        <w:t>(</w:t>
      </w:r>
      <w:r w:rsidRPr="00F975C8">
        <w:rPr>
          <w:rFonts w:ascii="Palatino Linotype" w:hAnsi="Palatino Linotype" w:cs="Arial"/>
          <w:i/>
        </w:rPr>
        <w:t>…</w:t>
      </w:r>
      <w:r>
        <w:rPr>
          <w:rFonts w:ascii="Palatino Linotype" w:hAnsi="Palatino Linotype" w:cs="Arial"/>
          <w:i/>
        </w:rPr>
        <w:t>)</w:t>
      </w:r>
    </w:p>
    <w:p w14:paraId="69D05500" w14:textId="77777777" w:rsidR="00C66D59" w:rsidRPr="00F975C8" w:rsidRDefault="00C66D59" w:rsidP="00C66D59">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7859D3A3" w14:textId="77777777" w:rsidR="00C66D59" w:rsidRDefault="00C66D59" w:rsidP="00C66D59">
      <w:pPr>
        <w:autoSpaceDE w:val="0"/>
        <w:autoSpaceDN w:val="0"/>
        <w:adjustRightInd w:val="0"/>
        <w:spacing w:before="240" w:line="360" w:lineRule="auto"/>
        <w:ind w:left="851" w:right="851"/>
        <w:jc w:val="both"/>
        <w:rPr>
          <w:rStyle w:val="apple-style-span"/>
          <w:rFonts w:ascii="Palatino Linotype" w:hAnsi="Palatino Linotype" w:cs="Arial"/>
          <w:b/>
          <w:i/>
          <w:color w:val="000000"/>
        </w:rPr>
      </w:pP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 xml:space="preserve"> </w:t>
      </w:r>
      <w:r w:rsidRPr="003E0BC5">
        <w:rPr>
          <w:rStyle w:val="apple-style-span"/>
          <w:rFonts w:ascii="Palatino Linotype" w:hAnsi="Palatino Linotype" w:cs="Arial"/>
          <w:b/>
          <w:i/>
          <w:color w:val="000000"/>
        </w:rPr>
        <w:t>[Sic]</w:t>
      </w:r>
    </w:p>
    <w:p w14:paraId="291910F9" w14:textId="77777777" w:rsidR="00C66D59" w:rsidRDefault="00C66D59" w:rsidP="00C66D59">
      <w:pPr>
        <w:autoSpaceDE w:val="0"/>
        <w:autoSpaceDN w:val="0"/>
        <w:adjustRightInd w:val="0"/>
        <w:spacing w:before="240" w:line="360" w:lineRule="auto"/>
        <w:ind w:left="851" w:right="851"/>
        <w:jc w:val="both"/>
        <w:rPr>
          <w:rStyle w:val="apple-style-span"/>
          <w:rFonts w:ascii="Palatino Linotype" w:hAnsi="Palatino Linotype" w:cs="Arial"/>
          <w:b/>
          <w:color w:val="000000"/>
        </w:rPr>
      </w:pPr>
    </w:p>
    <w:p w14:paraId="29435EFB" w14:textId="77777777" w:rsidR="00C66D59" w:rsidRDefault="00C66D59" w:rsidP="00C66D59">
      <w:pPr>
        <w:spacing w:line="360" w:lineRule="auto"/>
        <w:jc w:val="both"/>
        <w:rPr>
          <w:rFonts w:ascii="Palatino Linotype" w:hAnsi="Palatino Linotype"/>
          <w:sz w:val="24"/>
          <w:szCs w:val="24"/>
        </w:rPr>
      </w:pPr>
      <w:r w:rsidRPr="003E0BC5">
        <w:rPr>
          <w:rFonts w:ascii="Palatino Linotype" w:hAnsi="Palatino Linotype"/>
          <w:sz w:val="24"/>
          <w:szCs w:val="24"/>
        </w:rPr>
        <w:t>De esta forma, el Órgano Superior de Fiscalización del Estado de México (OSFEM),  emite anualmente los Lineamientos para definir los criterios, formatos y documentación necesaria para presentar los informes,  dentro de los cuales d</w:t>
      </w:r>
      <w:r>
        <w:rPr>
          <w:rFonts w:ascii="Palatino Linotype" w:hAnsi="Palatino Linotype"/>
          <w:sz w:val="24"/>
          <w:szCs w:val="24"/>
        </w:rPr>
        <w:t>estaca</w:t>
      </w:r>
      <w:r w:rsidRPr="003E0BC5">
        <w:rPr>
          <w:rFonts w:ascii="Palatino Linotype" w:hAnsi="Palatino Linotype"/>
          <w:sz w:val="24"/>
          <w:szCs w:val="24"/>
        </w:rPr>
        <w:t xml:space="preserve"> –en relación con el análisis que nos ocupa-, </w:t>
      </w:r>
      <w:r>
        <w:rPr>
          <w:rFonts w:ascii="Palatino Linotype" w:hAnsi="Palatino Linotype"/>
          <w:sz w:val="24"/>
          <w:szCs w:val="24"/>
        </w:rPr>
        <w:t xml:space="preserve">relación de juicios laborales vigentes. </w:t>
      </w:r>
    </w:p>
    <w:p w14:paraId="79B259B9" w14:textId="77777777" w:rsidR="00C66D59" w:rsidRPr="003E0BC5" w:rsidRDefault="00C66D59" w:rsidP="00C66D59">
      <w:pPr>
        <w:spacing w:line="360" w:lineRule="auto"/>
        <w:jc w:val="both"/>
        <w:rPr>
          <w:rFonts w:ascii="Palatino Linotype" w:hAnsi="Palatino Linotype"/>
          <w:sz w:val="24"/>
          <w:szCs w:val="24"/>
        </w:rPr>
      </w:pPr>
      <w:r w:rsidRPr="003E0BC5">
        <w:rPr>
          <w:rFonts w:ascii="Palatino Linotype" w:hAnsi="Palatino Linotype"/>
          <w:sz w:val="24"/>
          <w:szCs w:val="24"/>
        </w:rPr>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4A29148E" w14:textId="77777777" w:rsidR="00C66D59" w:rsidRPr="00F975C8" w:rsidRDefault="00C66D59" w:rsidP="00C66D59">
      <w:pPr>
        <w:spacing w:before="240" w:line="360" w:lineRule="auto"/>
        <w:ind w:left="851" w:right="851"/>
        <w:jc w:val="both"/>
        <w:rPr>
          <w:rFonts w:ascii="Palatino Linotype" w:hAnsi="Palatino Linotype"/>
          <w:i/>
        </w:rPr>
      </w:pPr>
      <w:r w:rsidRPr="00F975C8">
        <w:rPr>
          <w:rFonts w:ascii="Palatino Linotype" w:hAnsi="Palatino Linotype"/>
          <w:b/>
          <w:i/>
        </w:rPr>
        <w:lastRenderedPageBreak/>
        <w:t>“Artículo 32.-</w:t>
      </w:r>
      <w:r w:rsidRPr="00F975C8">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2506594A" w14:textId="77777777" w:rsidR="00C66D59" w:rsidRPr="00A535E3" w:rsidRDefault="00C66D59" w:rsidP="00C66D59">
      <w:pPr>
        <w:spacing w:before="240" w:line="360" w:lineRule="auto"/>
        <w:ind w:left="851" w:right="851"/>
        <w:jc w:val="both"/>
        <w:rPr>
          <w:rFonts w:ascii="Palatino Linotype" w:hAnsi="Palatino Linotype"/>
          <w:b/>
          <w:i/>
        </w:rPr>
      </w:pPr>
      <w:r w:rsidRPr="00F975C8">
        <w:rPr>
          <w:rFonts w:ascii="Palatino Linotype" w:hAnsi="Palatino Linotype"/>
          <w:b/>
          <w:i/>
        </w:rPr>
        <w:t>Los Presidentes Municipales presentarán a la Legislatura las cuentas públicas anuales</w:t>
      </w:r>
      <w:r w:rsidRPr="00F975C8">
        <w:rPr>
          <w:rFonts w:ascii="Palatino Linotype" w:hAnsi="Palatino Linotype"/>
          <w:i/>
        </w:rPr>
        <w:t xml:space="preserve"> de sus respectivos municipios, del ejercicio fiscal inmediato anterior, </w:t>
      </w:r>
      <w:r w:rsidRPr="00F975C8">
        <w:rPr>
          <w:rFonts w:ascii="Palatino Linotype" w:hAnsi="Palatino Linotype"/>
          <w:b/>
          <w:i/>
        </w:rPr>
        <w:t>dentro de los quince primeros días del mes de marzo</w:t>
      </w:r>
      <w:r w:rsidRPr="00F975C8">
        <w:rPr>
          <w:rFonts w:ascii="Palatino Linotype" w:hAnsi="Palatino Linotype"/>
          <w:i/>
        </w:rPr>
        <w:t xml:space="preserve"> de cada año; </w:t>
      </w:r>
      <w:r w:rsidRPr="00F975C8">
        <w:rPr>
          <w:rFonts w:ascii="Palatino Linotype" w:hAnsi="Palatino Linotype"/>
          <w:b/>
          <w:i/>
        </w:rPr>
        <w:t>asimism</w:t>
      </w:r>
      <w:r w:rsidRPr="00F975C8">
        <w:rPr>
          <w:rFonts w:ascii="Palatino Linotype" w:hAnsi="Palatino Linotype"/>
          <w:i/>
        </w:rPr>
        <w:t xml:space="preserve">o, </w:t>
      </w:r>
      <w:r w:rsidRPr="00F975C8">
        <w:rPr>
          <w:rFonts w:ascii="Palatino Linotype" w:hAnsi="Palatino Linotype"/>
          <w:b/>
          <w:i/>
          <w:u w:val="single"/>
        </w:rPr>
        <w:t>los informes mensuales</w:t>
      </w:r>
      <w:r w:rsidRPr="00F975C8">
        <w:rPr>
          <w:rFonts w:ascii="Palatino Linotype" w:hAnsi="Palatino Linotype"/>
          <w:i/>
        </w:rPr>
        <w:t xml:space="preserve"> los deberán presentar </w:t>
      </w:r>
      <w:r w:rsidRPr="00F975C8">
        <w:rPr>
          <w:rFonts w:ascii="Palatino Linotype" w:hAnsi="Palatino Linotype"/>
          <w:b/>
          <w:i/>
          <w:u w:val="single"/>
        </w:rPr>
        <w:t>dentro de los veinte días posteriores al término del mes correspondiente.”</w:t>
      </w:r>
      <w:r>
        <w:rPr>
          <w:rFonts w:ascii="Palatino Linotype" w:hAnsi="Palatino Linotype"/>
          <w:b/>
          <w:i/>
          <w:u w:val="single"/>
        </w:rPr>
        <w:t xml:space="preserve"> </w:t>
      </w:r>
      <w:r>
        <w:rPr>
          <w:rFonts w:ascii="Palatino Linotype" w:hAnsi="Palatino Linotype"/>
          <w:b/>
          <w:i/>
        </w:rPr>
        <w:t>[Sic]</w:t>
      </w:r>
    </w:p>
    <w:p w14:paraId="7F9C2D37" w14:textId="77777777" w:rsidR="00C66D59" w:rsidRPr="00F975C8" w:rsidRDefault="00C66D59" w:rsidP="00C66D59">
      <w:pPr>
        <w:ind w:left="851" w:right="758"/>
        <w:jc w:val="both"/>
        <w:rPr>
          <w:rFonts w:ascii="Palatino Linotype" w:hAnsi="Palatino Linotype"/>
          <w:i/>
        </w:rPr>
      </w:pPr>
    </w:p>
    <w:p w14:paraId="257FA62C" w14:textId="77777777" w:rsidR="00C66D59" w:rsidRPr="003E0BC5" w:rsidRDefault="00C66D59" w:rsidP="00C66D59">
      <w:pPr>
        <w:spacing w:before="240" w:after="240" w:line="360" w:lineRule="auto"/>
        <w:ind w:right="-91"/>
        <w:jc w:val="both"/>
        <w:rPr>
          <w:rFonts w:ascii="Palatino Linotype" w:hAnsi="Palatino Linotype"/>
          <w:sz w:val="24"/>
          <w:szCs w:val="24"/>
        </w:rPr>
      </w:pPr>
      <w:r w:rsidRPr="003E0BC5">
        <w:rPr>
          <w:rFonts w:ascii="Palatino Linotype" w:hAnsi="Palatino Linotype"/>
          <w:sz w:val="24"/>
          <w:szCs w:val="24"/>
        </w:rPr>
        <w:t xml:space="preserve">La información </w:t>
      </w:r>
      <w:r w:rsidRPr="003E0BC5">
        <w:rPr>
          <w:rFonts w:ascii="Palatino Linotype" w:hAnsi="Palatino Linotype"/>
          <w:b/>
          <w:sz w:val="24"/>
          <w:szCs w:val="24"/>
        </w:rPr>
        <w:t>documental comprobatoria</w:t>
      </w:r>
      <w:r w:rsidRPr="003E0BC5">
        <w:rPr>
          <w:rFonts w:ascii="Palatino Linotype" w:hAnsi="Palatino Linotype"/>
          <w:sz w:val="24"/>
          <w:szCs w:val="24"/>
        </w:rPr>
        <w:t xml:space="preserve">, </w:t>
      </w:r>
      <w:r w:rsidRPr="003E0BC5">
        <w:rPr>
          <w:rFonts w:ascii="Palatino Linotype" w:hAnsi="Palatino Linotype"/>
          <w:b/>
          <w:sz w:val="24"/>
          <w:szCs w:val="24"/>
          <w:u w:val="single"/>
        </w:rPr>
        <w:t>deberá conservarse en los archivos de la entidad fiscalizada –Municipio</w:t>
      </w:r>
      <w:r w:rsidRPr="003E0BC5">
        <w:rPr>
          <w:rFonts w:ascii="Palatino Linotype" w:hAnsi="Palatino Linotype"/>
          <w:sz w:val="24"/>
          <w:szCs w:val="24"/>
        </w:rPr>
        <w:t>-, en original y debidamente integrada en términos de los lineamientos de referencia, pues son susceptibles de revisión directa por el órgano Superior de Fiscalización.</w:t>
      </w:r>
    </w:p>
    <w:p w14:paraId="3DBF100F" w14:textId="263DE351" w:rsidR="002D26D3" w:rsidRDefault="00C66D59" w:rsidP="00C66D59">
      <w:pPr>
        <w:spacing w:line="360" w:lineRule="auto"/>
        <w:jc w:val="both"/>
        <w:rPr>
          <w:rFonts w:ascii="Palatino Linotype" w:hAnsi="Palatino Linotype" w:cs="Arial"/>
          <w:sz w:val="24"/>
          <w:szCs w:val="24"/>
          <w:lang w:val="es-ES"/>
        </w:rPr>
      </w:pPr>
      <w:r w:rsidRPr="003E0BC5">
        <w:rPr>
          <w:rFonts w:ascii="Palatino Linotype" w:hAnsi="Palatino Linotype" w:cs="Arial"/>
          <w:sz w:val="24"/>
          <w:szCs w:val="24"/>
          <w:lang w:val="es-ES"/>
        </w:rPr>
        <w:t>Una vez puntualizado esto, se advierte que</w:t>
      </w:r>
      <w:r>
        <w:rPr>
          <w:rFonts w:ascii="Palatino Linotype" w:hAnsi="Palatino Linotype" w:cs="Arial"/>
          <w:sz w:val="24"/>
          <w:szCs w:val="24"/>
          <w:lang w:val="es-ES"/>
        </w:rPr>
        <w:t xml:space="preserve"> </w:t>
      </w:r>
      <w:r w:rsidR="002D26D3">
        <w:rPr>
          <w:rFonts w:ascii="Palatino Linotype" w:hAnsi="Palatino Linotype" w:cs="Arial"/>
          <w:sz w:val="24"/>
          <w:szCs w:val="24"/>
          <w:lang w:val="es-ES"/>
        </w:rPr>
        <w:t xml:space="preserve">la relación de juicios laborales vigentes contiene la información relativa a número de expediente, acción demandada, actor, fecha de inició y término, entre otros. </w:t>
      </w:r>
    </w:p>
    <w:p w14:paraId="1DCE5C0E" w14:textId="0F923947" w:rsidR="002D26D3" w:rsidRDefault="00C66D59" w:rsidP="002D26D3">
      <w:pPr>
        <w:spacing w:before="240" w:after="240" w:line="360" w:lineRule="auto"/>
        <w:jc w:val="both"/>
        <w:rPr>
          <w:rFonts w:ascii="Palatino Linotype" w:hAnsi="Palatino Linotype"/>
          <w:sz w:val="24"/>
          <w:szCs w:val="24"/>
        </w:rPr>
      </w:pPr>
      <w:r>
        <w:rPr>
          <w:rFonts w:ascii="Palatino Linotype" w:hAnsi="Palatino Linotype"/>
          <w:sz w:val="24"/>
          <w:szCs w:val="24"/>
        </w:rPr>
        <w:t xml:space="preserve"> </w:t>
      </w:r>
      <w:r w:rsidR="002D26D3">
        <w:rPr>
          <w:rFonts w:ascii="Palatino Linotype" w:hAnsi="Palatino Linotype"/>
          <w:sz w:val="24"/>
          <w:szCs w:val="24"/>
        </w:rPr>
        <w:t>Bajo este contexto, los Lineamientos para la Integración del informe trimestral de los Sujetos de Fiscalización Municipales para el Ejercicio 2022, visibles en la página oficial del Órgano Superior de Fiscalización del Estado de México (OSFEM) reflejan lo siguiente:</w:t>
      </w:r>
    </w:p>
    <w:p w14:paraId="211A0550" w14:textId="77777777" w:rsidR="002D26D3" w:rsidRDefault="002D26D3" w:rsidP="002D26D3">
      <w:pPr>
        <w:spacing w:before="240" w:after="240" w:line="360" w:lineRule="auto"/>
        <w:jc w:val="both"/>
        <w:rPr>
          <w:rFonts w:ascii="Palatino Linotype" w:hAnsi="Palatino Linotype"/>
          <w:sz w:val="24"/>
          <w:szCs w:val="24"/>
        </w:rPr>
      </w:pPr>
    </w:p>
    <w:p w14:paraId="10716218" w14:textId="77777777" w:rsidR="002D26D3" w:rsidRDefault="002D26D3" w:rsidP="002D26D3">
      <w:pPr>
        <w:spacing w:before="240" w:after="240" w:line="360" w:lineRule="auto"/>
        <w:jc w:val="both"/>
        <w:rPr>
          <w:rFonts w:ascii="Palatino Linotype" w:hAnsi="Palatino Linotype"/>
          <w:sz w:val="24"/>
          <w:szCs w:val="24"/>
        </w:rPr>
      </w:pPr>
    </w:p>
    <w:p w14:paraId="30D30EE4" w14:textId="42427F2B" w:rsidR="002D26D3" w:rsidRDefault="002D26D3" w:rsidP="002D26D3">
      <w:pPr>
        <w:spacing w:before="240" w:after="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846643" behindDoc="0" locked="0" layoutInCell="1" allowOverlap="1" wp14:anchorId="4045D23E" wp14:editId="47B83868">
            <wp:simplePos x="0" y="0"/>
            <wp:positionH relativeFrom="column">
              <wp:posOffset>3175</wp:posOffset>
            </wp:positionH>
            <wp:positionV relativeFrom="paragraph">
              <wp:posOffset>19050</wp:posOffset>
            </wp:positionV>
            <wp:extent cx="5756275" cy="7425267"/>
            <wp:effectExtent l="19050" t="19050" r="15875" b="23495"/>
            <wp:wrapThrough wrapText="bothSides">
              <wp:wrapPolygon edited="0">
                <wp:start x="-71" y="-55"/>
                <wp:lineTo x="-71" y="21613"/>
                <wp:lineTo x="21588" y="21613"/>
                <wp:lineTo x="21588" y="-55"/>
                <wp:lineTo x="-71" y="-55"/>
              </wp:wrapPolygon>
            </wp:wrapThrough>
            <wp:docPr id="15035234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275" cy="742526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DEA8ECA" w14:textId="3D727DB9" w:rsidR="002D26D3" w:rsidRDefault="002D26D3" w:rsidP="002D26D3">
      <w:pPr>
        <w:spacing w:before="240" w:after="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847667" behindDoc="0" locked="0" layoutInCell="1" allowOverlap="1" wp14:anchorId="62AA6659" wp14:editId="4C9759B6">
            <wp:simplePos x="0" y="0"/>
            <wp:positionH relativeFrom="column">
              <wp:posOffset>-92438</wp:posOffset>
            </wp:positionH>
            <wp:positionV relativeFrom="paragraph">
              <wp:posOffset>19685</wp:posOffset>
            </wp:positionV>
            <wp:extent cx="5760720" cy="7427595"/>
            <wp:effectExtent l="19050" t="19050" r="11430" b="20955"/>
            <wp:wrapThrough wrapText="bothSides">
              <wp:wrapPolygon edited="0">
                <wp:start x="-71" y="-55"/>
                <wp:lineTo x="-71" y="21606"/>
                <wp:lineTo x="21571" y="21606"/>
                <wp:lineTo x="21571" y="-55"/>
                <wp:lineTo x="-71" y="-55"/>
              </wp:wrapPolygon>
            </wp:wrapThrough>
            <wp:docPr id="14701738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4275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634F156" w14:textId="30AEC89D" w:rsidR="002D26D3" w:rsidRDefault="002D26D3" w:rsidP="00C66D59">
      <w:pPr>
        <w:spacing w:line="360" w:lineRule="auto"/>
        <w:jc w:val="both"/>
        <w:rPr>
          <w:rFonts w:ascii="Palatino Linotype" w:hAnsi="Palatino Linotype" w:cs="Arial"/>
          <w:b/>
          <w:bCs/>
          <w:sz w:val="24"/>
          <w:szCs w:val="24"/>
          <w:lang w:val="es-ES"/>
        </w:rPr>
      </w:pPr>
      <w:r>
        <w:rPr>
          <w:rFonts w:ascii="Palatino Linotype" w:hAnsi="Palatino Linotype" w:cs="Arial"/>
          <w:sz w:val="24"/>
          <w:szCs w:val="24"/>
          <w:lang w:val="es-ES"/>
        </w:rPr>
        <w:lastRenderedPageBreak/>
        <w:t>A</w:t>
      </w:r>
      <w:r w:rsidRPr="00B272A6">
        <w:rPr>
          <w:rFonts w:ascii="Palatino Linotype" w:hAnsi="Palatino Linotype" w:cs="Arial"/>
          <w:sz w:val="24"/>
          <w:szCs w:val="24"/>
          <w:lang w:val="es-ES"/>
        </w:rPr>
        <w:t xml:space="preserve">tento a lo anterior, resulta claro que existe la obligación por parte del </w:t>
      </w:r>
      <w:r>
        <w:rPr>
          <w:rFonts w:ascii="Palatino Linotype" w:hAnsi="Palatino Linotype" w:cs="Arial"/>
          <w:b/>
          <w:sz w:val="24"/>
          <w:szCs w:val="24"/>
          <w:lang w:val="es-ES"/>
        </w:rPr>
        <w:t>Sujeto Obligado</w:t>
      </w:r>
      <w:r w:rsidRPr="00B272A6">
        <w:rPr>
          <w:rFonts w:ascii="Palatino Linotype" w:hAnsi="Palatino Linotype" w:cs="Arial"/>
          <w:sz w:val="24"/>
          <w:szCs w:val="24"/>
          <w:lang w:val="es-ES"/>
        </w:rPr>
        <w:t xml:space="preserve">, de entregar los informes </w:t>
      </w:r>
      <w:r>
        <w:rPr>
          <w:rFonts w:ascii="Palatino Linotype" w:hAnsi="Palatino Linotype" w:cs="Arial"/>
          <w:sz w:val="24"/>
          <w:szCs w:val="24"/>
          <w:lang w:val="es-ES"/>
        </w:rPr>
        <w:t>trimestrales</w:t>
      </w:r>
      <w:r w:rsidRPr="00B272A6">
        <w:rPr>
          <w:rFonts w:ascii="Palatino Linotype" w:hAnsi="Palatino Linotype" w:cs="Arial"/>
          <w:sz w:val="24"/>
          <w:szCs w:val="24"/>
          <w:lang w:val="es-ES"/>
        </w:rPr>
        <w:t xml:space="preserve"> al Órgano Superior de Fiscalización del Estado de México de conformidad con el artículo 32 de la Ley de Fiscalización Superior del Estado de México, en los cua</w:t>
      </w:r>
      <w:r>
        <w:rPr>
          <w:rFonts w:ascii="Palatino Linotype" w:hAnsi="Palatino Linotype" w:cs="Arial"/>
          <w:sz w:val="24"/>
          <w:szCs w:val="24"/>
          <w:lang w:val="es-ES"/>
        </w:rPr>
        <w:t xml:space="preserve">les se incluye lo referente a la relación de juicios laborales vigentes, en consecuencia, la información solicitada debe de obrar en los archivos del </w:t>
      </w:r>
      <w:r>
        <w:rPr>
          <w:rFonts w:ascii="Palatino Linotype" w:hAnsi="Palatino Linotype" w:cs="Arial"/>
          <w:b/>
          <w:bCs/>
          <w:sz w:val="24"/>
          <w:szCs w:val="24"/>
          <w:lang w:val="es-ES"/>
        </w:rPr>
        <w:t xml:space="preserve">Sujeto Obligado. </w:t>
      </w:r>
    </w:p>
    <w:p w14:paraId="5851AD81" w14:textId="4118FFD2" w:rsidR="002D26D3" w:rsidRPr="002D26D3" w:rsidRDefault="002D26D3" w:rsidP="00C66D59">
      <w:pPr>
        <w:spacing w:line="360" w:lineRule="auto"/>
        <w:jc w:val="both"/>
        <w:rPr>
          <w:rFonts w:ascii="Palatino Linotype" w:hAnsi="Palatino Linotype" w:cs="Arial"/>
          <w:b/>
          <w:bCs/>
          <w:sz w:val="24"/>
          <w:szCs w:val="24"/>
          <w:lang w:val="es-ES"/>
        </w:rPr>
      </w:pPr>
      <w:r w:rsidRPr="00B272A6">
        <w:rPr>
          <w:rFonts w:ascii="Palatino Linotype" w:hAnsi="Palatino Linotype" w:cs="Arial"/>
          <w:sz w:val="24"/>
          <w:szCs w:val="24"/>
          <w:lang w:val="es-ES"/>
        </w:rPr>
        <w:t>En este sentido, de acuerdo a la naturaleza de la información solicitada se concluye que ésta es de</w:t>
      </w:r>
      <w:r w:rsidRPr="00B272A6">
        <w:rPr>
          <w:rFonts w:ascii="Palatino Linotype" w:hAnsi="Palatino Linotype" w:cs="Arial"/>
          <w:bCs/>
          <w:sz w:val="24"/>
          <w:szCs w:val="24"/>
          <w:lang w:val="es-ES"/>
        </w:rPr>
        <w:t xml:space="preserve"> interés general y de alcance público, puesto que la ciudadanía tiene derecho a saber</w:t>
      </w:r>
      <w:r>
        <w:rPr>
          <w:rFonts w:ascii="Palatino Linotype" w:hAnsi="Palatino Linotype" w:cs="Arial"/>
          <w:bCs/>
          <w:sz w:val="24"/>
          <w:szCs w:val="24"/>
          <w:lang w:val="es-ES"/>
        </w:rPr>
        <w:t xml:space="preserve"> la situación jurídica y laboral de los entes públicos.  </w:t>
      </w:r>
    </w:p>
    <w:p w14:paraId="7769ACBC" w14:textId="77777777" w:rsidR="00460632" w:rsidRDefault="00460632" w:rsidP="00460632">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2C149325" w14:textId="77777777" w:rsidR="00460632" w:rsidRDefault="00460632" w:rsidP="00460632">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2C5DCD2E" w14:textId="77777777" w:rsidR="00460632" w:rsidRDefault="00460632" w:rsidP="00460632">
      <w:pPr>
        <w:pStyle w:val="Citas"/>
      </w:pPr>
      <w:r>
        <w:t xml:space="preserve">Artículo 19. Se presume que la información debe existir si se refiere a las facultades, competencias y funciones que los ordenamientos jurídicos aplicables otorgan a los sujetos obligados. </w:t>
      </w:r>
    </w:p>
    <w:p w14:paraId="25953647" w14:textId="77777777" w:rsidR="00460632" w:rsidRDefault="00460632" w:rsidP="00460632">
      <w:pPr>
        <w:pStyle w:val="Citas"/>
      </w:pPr>
      <w:r>
        <w:t xml:space="preserve">En los casos en que ciertas facultades, competencias o funciones no se hayan ejercido, se debe motivar la respuesta en función de las causas que motiven tal circunstancia. </w:t>
      </w:r>
    </w:p>
    <w:p w14:paraId="68501017" w14:textId="77777777" w:rsidR="00460632" w:rsidRPr="00407C65" w:rsidRDefault="00460632" w:rsidP="00460632">
      <w:pPr>
        <w:pStyle w:val="Citas"/>
        <w:rPr>
          <w:b/>
          <w:bCs/>
          <w:sz w:val="24"/>
          <w:szCs w:val="24"/>
        </w:rPr>
      </w:pPr>
      <w:r>
        <w:lastRenderedPageBreak/>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4836BFD2" w14:textId="77777777" w:rsidR="00460632" w:rsidRDefault="00460632" w:rsidP="00E04DB7">
      <w:pPr>
        <w:spacing w:before="240" w:line="360" w:lineRule="auto"/>
        <w:jc w:val="both"/>
        <w:rPr>
          <w:rFonts w:ascii="Palatino Linotype" w:hAnsi="Palatino Linotype"/>
          <w:sz w:val="24"/>
          <w:szCs w:val="24"/>
        </w:rPr>
      </w:pPr>
    </w:p>
    <w:p w14:paraId="0F7D326A" w14:textId="16E0E304" w:rsidR="002D26D3" w:rsidRDefault="00E04DB7" w:rsidP="00E04DB7">
      <w:pPr>
        <w:spacing w:before="240" w:line="360" w:lineRule="auto"/>
        <w:jc w:val="both"/>
        <w:rPr>
          <w:rFonts w:ascii="Palatino Linotype" w:hAnsi="Palatino Linotype"/>
          <w:sz w:val="24"/>
          <w:szCs w:val="24"/>
        </w:rPr>
      </w:pPr>
      <w:r w:rsidRPr="00A56A13">
        <w:rPr>
          <w:rFonts w:ascii="Palatino Linotype" w:hAnsi="Palatino Linotype"/>
          <w:sz w:val="24"/>
          <w:szCs w:val="24"/>
        </w:rPr>
        <w:t xml:space="preserve">Una vez sentado lo anterior, como se mencionó en el </w:t>
      </w:r>
      <w:r>
        <w:rPr>
          <w:rFonts w:ascii="Palatino Linotype" w:hAnsi="Palatino Linotype"/>
          <w:sz w:val="24"/>
          <w:szCs w:val="24"/>
        </w:rPr>
        <w:t xml:space="preserve">antecedente segundo, </w:t>
      </w:r>
      <w:r>
        <w:rPr>
          <w:rFonts w:ascii="Palatino Linotype" w:hAnsi="Palatino Linotype"/>
          <w:b/>
          <w:bCs/>
          <w:sz w:val="24"/>
          <w:szCs w:val="24"/>
        </w:rPr>
        <w:t xml:space="preserve">El Sujeto Obligado </w:t>
      </w:r>
      <w:r>
        <w:rPr>
          <w:rFonts w:ascii="Palatino Linotype" w:hAnsi="Palatino Linotype"/>
          <w:sz w:val="24"/>
          <w:szCs w:val="24"/>
        </w:rPr>
        <w:t>en fecha</w:t>
      </w:r>
      <w:r w:rsidR="008F42F4">
        <w:rPr>
          <w:rFonts w:ascii="Palatino Linotype" w:hAnsi="Palatino Linotype"/>
          <w:sz w:val="24"/>
          <w:szCs w:val="24"/>
        </w:rPr>
        <w:t xml:space="preserve"> </w:t>
      </w:r>
      <w:r w:rsidR="002D26D3">
        <w:rPr>
          <w:rFonts w:ascii="Palatino Linotype" w:hAnsi="Palatino Linotype"/>
          <w:b/>
          <w:bCs/>
          <w:sz w:val="24"/>
          <w:szCs w:val="24"/>
        </w:rPr>
        <w:t xml:space="preserve">veintisiete de marzo de dos mil veintitrés, </w:t>
      </w:r>
      <w:r w:rsidR="002D26D3">
        <w:rPr>
          <w:rFonts w:ascii="Palatino Linotype" w:hAnsi="Palatino Linotype"/>
          <w:sz w:val="24"/>
          <w:szCs w:val="24"/>
        </w:rPr>
        <w:t>rindió su respuesta a la solicitud de información formulada por el particular, adjuntando para tal efecto lo siguiente:</w:t>
      </w:r>
    </w:p>
    <w:p w14:paraId="61835951" w14:textId="3BC992DD" w:rsidR="00794D93" w:rsidRPr="00794D93" w:rsidRDefault="002D26D3" w:rsidP="002D26D3">
      <w:pPr>
        <w:pStyle w:val="Prrafodelista"/>
        <w:numPr>
          <w:ilvl w:val="0"/>
          <w:numId w:val="32"/>
        </w:numPr>
        <w:spacing w:before="240" w:line="360" w:lineRule="auto"/>
        <w:jc w:val="both"/>
        <w:rPr>
          <w:rFonts w:ascii="Palatino Linotype" w:hAnsi="Palatino Linotype"/>
          <w:lang w:val="es-MX"/>
        </w:rPr>
      </w:pPr>
      <w:r w:rsidRPr="00794D93">
        <w:rPr>
          <w:rFonts w:ascii="Palatino Linotype" w:hAnsi="Palatino Linotype" w:cs="Arial"/>
          <w:b/>
          <w:bCs/>
          <w:lang w:val="es-MX"/>
        </w:rPr>
        <w:t xml:space="preserve">“Resp. Sol. 00028 U.J..pdf”: </w:t>
      </w:r>
      <w:r w:rsidR="00794D93" w:rsidRPr="00794D93">
        <w:rPr>
          <w:rFonts w:ascii="Palatino Linotype" w:hAnsi="Palatino Linotype" w:cs="Arial"/>
          <w:lang w:val="es-MX"/>
        </w:rPr>
        <w:t>Compila lo</w:t>
      </w:r>
      <w:r w:rsidR="00794D93">
        <w:rPr>
          <w:rFonts w:ascii="Palatino Linotype" w:hAnsi="Palatino Linotype" w:cs="Arial"/>
          <w:lang w:val="es-MX"/>
        </w:rPr>
        <w:t xml:space="preserve"> siguiente:</w:t>
      </w:r>
    </w:p>
    <w:p w14:paraId="6B32BCC1" w14:textId="52D27EEC" w:rsidR="002D26D3" w:rsidRPr="00794D93" w:rsidRDefault="00794D93" w:rsidP="00794D93">
      <w:pPr>
        <w:pStyle w:val="Prrafodelista"/>
        <w:numPr>
          <w:ilvl w:val="0"/>
          <w:numId w:val="33"/>
        </w:numPr>
        <w:spacing w:before="240" w:line="360" w:lineRule="auto"/>
        <w:jc w:val="both"/>
        <w:rPr>
          <w:rFonts w:ascii="Palatino Linotype" w:hAnsi="Palatino Linotype"/>
          <w:lang w:val="es-MX"/>
        </w:rPr>
      </w:pPr>
      <w:r w:rsidRPr="00794D93">
        <w:rPr>
          <w:rFonts w:ascii="Palatino Linotype" w:hAnsi="Palatino Linotype" w:cs="Arial"/>
          <w:lang w:val="es-MX"/>
        </w:rPr>
        <w:t>Ofici</w:t>
      </w:r>
      <w:r>
        <w:rPr>
          <w:rFonts w:ascii="Palatino Linotype" w:hAnsi="Palatino Linotype" w:cs="Arial"/>
          <w:lang w:val="es-MX"/>
        </w:rPr>
        <w:t xml:space="preserve">o número </w:t>
      </w:r>
      <w:r>
        <w:rPr>
          <w:rFonts w:ascii="Palatino Linotype" w:hAnsi="Palatino Linotype" w:cs="Arial"/>
          <w:b/>
          <w:bCs/>
          <w:lang w:val="es-MX"/>
        </w:rPr>
        <w:t xml:space="preserve">PMA/UJA/092/2023 </w:t>
      </w:r>
      <w:r>
        <w:rPr>
          <w:rFonts w:ascii="Palatino Linotype" w:hAnsi="Palatino Linotype" w:cs="Arial"/>
          <w:lang w:val="es-MX"/>
        </w:rPr>
        <w:t xml:space="preserve">signado por el Titular de la Unidad Jurídica y dirigido al Titular de la Unidad de Transparencia, de fecha veinticuatro de marzo de dos mil veintitrés, en lo medular refiere que la información requerida es susceptible de ser clasificada como reservada, al reflejar nombre de actores, prestaciones reclamadas, en su caso, montos derivados de laudos condenatorios que, de publicarse atentarían contra el debido proceso legal. </w:t>
      </w:r>
    </w:p>
    <w:p w14:paraId="3FD7A080" w14:textId="70FF590E" w:rsidR="00794D93" w:rsidRPr="00794D93" w:rsidRDefault="00794D93" w:rsidP="00794D93">
      <w:pPr>
        <w:pStyle w:val="Prrafodelista"/>
        <w:numPr>
          <w:ilvl w:val="0"/>
          <w:numId w:val="33"/>
        </w:numPr>
        <w:spacing w:before="240" w:line="360" w:lineRule="auto"/>
        <w:jc w:val="both"/>
        <w:rPr>
          <w:rFonts w:ascii="Palatino Linotype" w:hAnsi="Palatino Linotype"/>
          <w:lang w:val="es-MX"/>
        </w:rPr>
      </w:pPr>
      <w:r>
        <w:rPr>
          <w:rFonts w:ascii="Palatino Linotype" w:hAnsi="Palatino Linotype"/>
          <w:lang w:val="es-MX"/>
        </w:rPr>
        <w:t xml:space="preserve">Prueba de daño derivada de la información requerida mediante la solicitud de información </w:t>
      </w:r>
      <w:r>
        <w:rPr>
          <w:rFonts w:ascii="Palatino Linotype" w:hAnsi="Palatino Linotype"/>
          <w:b/>
          <w:bCs/>
          <w:lang w:val="es-MX"/>
        </w:rPr>
        <w:t xml:space="preserve">00028/ATENCO/IP/2023. </w:t>
      </w:r>
    </w:p>
    <w:p w14:paraId="1C402D31" w14:textId="07E458EE" w:rsidR="002D26D3" w:rsidRPr="00794D93" w:rsidRDefault="002D26D3" w:rsidP="002D26D3">
      <w:pPr>
        <w:pStyle w:val="Prrafodelista"/>
        <w:numPr>
          <w:ilvl w:val="0"/>
          <w:numId w:val="32"/>
        </w:numPr>
        <w:spacing w:before="240" w:line="360" w:lineRule="auto"/>
        <w:jc w:val="both"/>
        <w:rPr>
          <w:rFonts w:ascii="Palatino Linotype" w:hAnsi="Palatino Linotype"/>
        </w:rPr>
      </w:pPr>
      <w:r w:rsidRPr="00794D93">
        <w:rPr>
          <w:rFonts w:ascii="Palatino Linotype" w:hAnsi="Palatino Linotype" w:cs="Arial"/>
          <w:b/>
          <w:bCs/>
          <w:lang w:val="es-MX"/>
        </w:rPr>
        <w:t xml:space="preserve"> </w:t>
      </w:r>
      <w:r w:rsidRPr="002D26D3">
        <w:rPr>
          <w:rFonts w:ascii="Palatino Linotype" w:hAnsi="Palatino Linotype" w:cs="Arial"/>
          <w:b/>
          <w:bCs/>
        </w:rPr>
        <w:t>“Resp. Sol. 00028 Contraloría.pdf”</w:t>
      </w:r>
      <w:r w:rsidR="00794D93">
        <w:rPr>
          <w:rFonts w:ascii="Palatino Linotype" w:hAnsi="Palatino Linotype" w:cs="Arial"/>
          <w:b/>
          <w:bCs/>
        </w:rPr>
        <w:t xml:space="preserve">: </w:t>
      </w:r>
      <w:r w:rsidR="00794D93">
        <w:rPr>
          <w:rFonts w:ascii="Palatino Linotype" w:hAnsi="Palatino Linotype" w:cs="Arial"/>
        </w:rPr>
        <w:t xml:space="preserve">Oficio número </w:t>
      </w:r>
      <w:r w:rsidR="00794D93">
        <w:rPr>
          <w:rFonts w:ascii="Palatino Linotype" w:hAnsi="Palatino Linotype" w:cs="Arial"/>
          <w:b/>
          <w:bCs/>
        </w:rPr>
        <w:t xml:space="preserve">ATE/CIM/057/2023 </w:t>
      </w:r>
      <w:r w:rsidR="00794D93">
        <w:rPr>
          <w:rFonts w:ascii="Palatino Linotype" w:hAnsi="Palatino Linotype" w:cs="Arial"/>
        </w:rPr>
        <w:t xml:space="preserve">signado por la Contralora Interna Municipal y dirigido al Titular de la Unidad </w:t>
      </w:r>
      <w:r w:rsidR="00794D93">
        <w:rPr>
          <w:rFonts w:ascii="Palatino Linotype" w:hAnsi="Palatino Linotype" w:cs="Arial"/>
        </w:rPr>
        <w:lastRenderedPageBreak/>
        <w:t xml:space="preserve">de Transparencia, de fecha diecisiete de marzo de dos mil veintitrés, en síntesis refiere que es la unidad administrativa competente para atender la solicitud de información </w:t>
      </w:r>
      <w:r w:rsidR="00794D93">
        <w:rPr>
          <w:rFonts w:ascii="Palatino Linotype" w:hAnsi="Palatino Linotype" w:cs="Arial"/>
          <w:b/>
          <w:bCs/>
        </w:rPr>
        <w:t xml:space="preserve">00028/ATENCO/IP/2023, </w:t>
      </w:r>
      <w:r w:rsidR="00794D93">
        <w:rPr>
          <w:rFonts w:ascii="Palatino Linotype" w:hAnsi="Palatino Linotype" w:cs="Arial"/>
        </w:rPr>
        <w:t xml:space="preserve">resultando competencia de la Coordinación Jurídica y de la Tesorería Municipal. </w:t>
      </w:r>
    </w:p>
    <w:p w14:paraId="38D68397" w14:textId="5471B48A" w:rsidR="0051313D" w:rsidRPr="0051313D" w:rsidRDefault="002D26D3" w:rsidP="0051313D">
      <w:pPr>
        <w:pStyle w:val="Prrafodelista"/>
        <w:numPr>
          <w:ilvl w:val="0"/>
          <w:numId w:val="32"/>
        </w:numPr>
        <w:spacing w:before="240" w:line="360" w:lineRule="auto"/>
        <w:jc w:val="both"/>
        <w:rPr>
          <w:rFonts w:ascii="Palatino Linotype" w:hAnsi="Palatino Linotype"/>
          <w:b/>
          <w:bCs/>
          <w:i/>
          <w:iCs/>
        </w:rPr>
      </w:pPr>
      <w:r w:rsidRPr="002D26D3">
        <w:rPr>
          <w:rFonts w:ascii="Palatino Linotype" w:hAnsi="Palatino Linotype" w:cs="Arial"/>
          <w:b/>
          <w:bCs/>
        </w:rPr>
        <w:t xml:space="preserve"> “Acta Vigésima Sol. 00028.pdf”</w:t>
      </w:r>
      <w:r w:rsidR="0051313D">
        <w:rPr>
          <w:rFonts w:ascii="Palatino Linotype" w:hAnsi="Palatino Linotype" w:cs="Arial"/>
          <w:b/>
          <w:bCs/>
        </w:rPr>
        <w:t xml:space="preserve">: </w:t>
      </w:r>
      <w:r w:rsidR="0051313D">
        <w:rPr>
          <w:rFonts w:ascii="Palatino Linotype" w:hAnsi="Palatino Linotype" w:cs="Arial"/>
        </w:rPr>
        <w:t xml:space="preserve">Acta de la Vigésima Sesión Extraordinaria del Comité de Transparencia, de fecha veintisiete de marzo de dos mil veintitrés, referente a la clasificación de la información requerida mediante solicitud </w:t>
      </w:r>
      <w:r w:rsidR="0051313D">
        <w:rPr>
          <w:rFonts w:ascii="Palatino Linotype" w:hAnsi="Palatino Linotype" w:cs="Arial"/>
          <w:b/>
          <w:bCs/>
        </w:rPr>
        <w:t>00028/ATENCO/IP/2023</w:t>
      </w:r>
    </w:p>
    <w:p w14:paraId="5A8A73D9" w14:textId="59D33BF1" w:rsidR="002D26D3" w:rsidRPr="002D26D3" w:rsidRDefault="002D26D3" w:rsidP="002D26D3">
      <w:pPr>
        <w:pStyle w:val="Prrafodelista"/>
        <w:numPr>
          <w:ilvl w:val="0"/>
          <w:numId w:val="32"/>
        </w:numPr>
        <w:spacing w:before="240" w:line="360" w:lineRule="auto"/>
        <w:jc w:val="both"/>
        <w:rPr>
          <w:rFonts w:ascii="Palatino Linotype" w:hAnsi="Palatino Linotype"/>
        </w:rPr>
      </w:pPr>
      <w:r w:rsidRPr="002D26D3">
        <w:rPr>
          <w:rFonts w:ascii="Palatino Linotype" w:hAnsi="Palatino Linotype" w:cs="Arial"/>
          <w:b/>
          <w:bCs/>
        </w:rPr>
        <w:t xml:space="preserve"> “Sol. 00028.pdf”</w:t>
      </w:r>
      <w:r w:rsidR="0051313D">
        <w:rPr>
          <w:rFonts w:ascii="Palatino Linotype" w:hAnsi="Palatino Linotype" w:cs="Arial"/>
          <w:b/>
          <w:bCs/>
        </w:rPr>
        <w:t xml:space="preserve">: </w:t>
      </w:r>
      <w:r w:rsidR="0051313D">
        <w:rPr>
          <w:rFonts w:ascii="Palatino Linotype" w:hAnsi="Palatino Linotype" w:cs="Arial"/>
        </w:rPr>
        <w:t xml:space="preserve">Oficio número </w:t>
      </w:r>
      <w:r w:rsidR="0051313D">
        <w:rPr>
          <w:rFonts w:ascii="Palatino Linotype" w:hAnsi="Palatino Linotype" w:cs="Arial"/>
          <w:b/>
          <w:bCs/>
        </w:rPr>
        <w:t xml:space="preserve">PMA/UT/SOL/2023/0045 </w:t>
      </w:r>
      <w:r w:rsidR="0051313D">
        <w:rPr>
          <w:rFonts w:ascii="Palatino Linotype" w:hAnsi="Palatino Linotype" w:cs="Arial"/>
        </w:rPr>
        <w:t xml:space="preserve">signado por el Titular de la Unidad de Transparencia y dirigido al solicitante de información, de fecha veintisiete de marzo de dos mil veintitrés, en síntesis refiere adjuntar oficio emitido por el servidor público habilitado. </w:t>
      </w:r>
    </w:p>
    <w:p w14:paraId="758CB5A4" w14:textId="77777777" w:rsidR="0051313D" w:rsidRPr="0051313D" w:rsidRDefault="002D26D3" w:rsidP="0051313D">
      <w:pPr>
        <w:pStyle w:val="Prrafodelista"/>
        <w:numPr>
          <w:ilvl w:val="0"/>
          <w:numId w:val="32"/>
        </w:numPr>
        <w:spacing w:before="240" w:line="360" w:lineRule="auto"/>
        <w:jc w:val="both"/>
        <w:rPr>
          <w:rFonts w:ascii="Palatino Linotype" w:hAnsi="Palatino Linotype"/>
        </w:rPr>
      </w:pPr>
      <w:r w:rsidRPr="002D26D3">
        <w:rPr>
          <w:rFonts w:ascii="Palatino Linotype" w:hAnsi="Palatino Linotype" w:cs="Arial"/>
        </w:rPr>
        <w:t xml:space="preserve"> </w:t>
      </w:r>
      <w:r w:rsidRPr="002D26D3">
        <w:rPr>
          <w:rFonts w:ascii="Palatino Linotype" w:hAnsi="Palatino Linotype" w:cs="Arial"/>
          <w:b/>
          <w:bCs/>
        </w:rPr>
        <w:t>“Acta Vigésima correcta.pdf”</w:t>
      </w:r>
      <w:r w:rsidR="0051313D">
        <w:rPr>
          <w:rFonts w:ascii="Palatino Linotype" w:hAnsi="Palatino Linotype" w:cs="Arial"/>
          <w:b/>
          <w:bCs/>
        </w:rPr>
        <w:t xml:space="preserve">: </w:t>
      </w:r>
      <w:r w:rsidR="0051313D">
        <w:rPr>
          <w:rFonts w:ascii="Palatino Linotype" w:hAnsi="Palatino Linotype" w:cs="Arial"/>
        </w:rPr>
        <w:t>Acta de la Vigésima Sesión Extraordinaria del Comité de Transparencia, de fecha veintisiete de marzo de dos mil veintitrés, del orden del día resulta de nuestro interés el siguiente extracto:</w:t>
      </w:r>
    </w:p>
    <w:p w14:paraId="32214EB6" w14:textId="77777777" w:rsidR="0051313D" w:rsidRDefault="0051313D" w:rsidP="0051313D">
      <w:pPr>
        <w:pStyle w:val="Prrafodelista"/>
        <w:spacing w:before="240" w:line="360" w:lineRule="auto"/>
        <w:ind w:left="720"/>
        <w:jc w:val="both"/>
        <w:rPr>
          <w:rFonts w:ascii="Palatino Linotype" w:hAnsi="Palatino Linotype" w:cs="Arial"/>
          <w:i/>
          <w:iCs/>
        </w:rPr>
      </w:pPr>
      <w:r>
        <w:rPr>
          <w:rFonts w:ascii="Palatino Linotype" w:hAnsi="Palatino Linotype" w:cs="Arial"/>
          <w:b/>
          <w:bCs/>
        </w:rPr>
        <w:t>“</w:t>
      </w:r>
      <w:r>
        <w:rPr>
          <w:rFonts w:ascii="Palatino Linotype" w:hAnsi="Palatino Linotype" w:cs="Arial"/>
          <w:i/>
          <w:iCs/>
        </w:rPr>
        <w:t>ORDEN DEL DÍA</w:t>
      </w:r>
    </w:p>
    <w:p w14:paraId="42D578F4" w14:textId="77777777" w:rsidR="0051313D" w:rsidRPr="0051313D" w:rsidRDefault="0051313D" w:rsidP="0051313D">
      <w:pPr>
        <w:pStyle w:val="Prrafodelista"/>
        <w:spacing w:before="240" w:line="360" w:lineRule="auto"/>
        <w:ind w:left="720"/>
        <w:jc w:val="both"/>
        <w:rPr>
          <w:rFonts w:ascii="Palatino Linotype" w:hAnsi="Palatino Linotype" w:cs="Arial"/>
          <w:i/>
          <w:iCs/>
        </w:rPr>
      </w:pPr>
      <w:r w:rsidRPr="0051313D">
        <w:rPr>
          <w:rFonts w:ascii="Palatino Linotype" w:hAnsi="Palatino Linotype" w:cs="Arial"/>
          <w:i/>
          <w:iCs/>
        </w:rPr>
        <w:t>(…)</w:t>
      </w:r>
    </w:p>
    <w:p w14:paraId="128E0481" w14:textId="3A7BFD3E" w:rsidR="0051313D" w:rsidRDefault="0051313D" w:rsidP="00C73C45">
      <w:pPr>
        <w:pStyle w:val="Prrafodelista"/>
        <w:numPr>
          <w:ilvl w:val="0"/>
          <w:numId w:val="4"/>
        </w:numPr>
        <w:spacing w:before="240" w:line="360" w:lineRule="auto"/>
        <w:jc w:val="both"/>
        <w:rPr>
          <w:rFonts w:ascii="Palatino Linotype" w:hAnsi="Palatino Linotype" w:cs="Arial"/>
          <w:b/>
          <w:bCs/>
          <w:i/>
          <w:iCs/>
        </w:rPr>
      </w:pPr>
      <w:r>
        <w:rPr>
          <w:rFonts w:ascii="Palatino Linotype" w:hAnsi="Palatino Linotype" w:cs="Arial"/>
          <w:i/>
          <w:iCs/>
        </w:rPr>
        <w:t xml:space="preserve">Presentación y en su caso aprobación de la clasificación de información reservada, con fundamento en los artículos 49 fracción II y VIII y 140 de la Ley de Transparencia y Acceso a la Información Pública del Estado de México y Municipios, solicitada por el Servidor Público Habilitado, de la Unidad Jurídica de Atenco del H. Ayuntamiento de </w:t>
      </w:r>
      <w:r>
        <w:rPr>
          <w:rFonts w:ascii="Palatino Linotype" w:hAnsi="Palatino Linotype" w:cs="Arial"/>
          <w:i/>
          <w:iCs/>
        </w:rPr>
        <w:lastRenderedPageBreak/>
        <w:t xml:space="preserve">Atenco, con la finalidad de dar respuesta a la solicitud con número de folio 00028/ATENCO/IP/2023, ingresada vía SAIMEX” </w:t>
      </w:r>
      <w:r>
        <w:rPr>
          <w:rFonts w:ascii="Palatino Linotype" w:hAnsi="Palatino Linotype" w:cs="Arial"/>
          <w:b/>
          <w:bCs/>
          <w:i/>
          <w:iCs/>
        </w:rPr>
        <w:t>(Sic)</w:t>
      </w:r>
    </w:p>
    <w:p w14:paraId="48BA9F3F" w14:textId="77777777" w:rsidR="00C73C45" w:rsidRDefault="00C73C45" w:rsidP="00C73C45">
      <w:pPr>
        <w:spacing w:before="240" w:line="360" w:lineRule="auto"/>
        <w:jc w:val="both"/>
        <w:rPr>
          <w:rFonts w:ascii="Palatino Linotype" w:hAnsi="Palatino Linotype"/>
          <w:b/>
          <w:bCs/>
          <w:i/>
          <w:iCs/>
        </w:rPr>
      </w:pPr>
    </w:p>
    <w:p w14:paraId="519FD07F" w14:textId="77777777" w:rsidR="00C73C45" w:rsidRPr="00157736" w:rsidRDefault="00C73C45" w:rsidP="00C73C45">
      <w:pPr>
        <w:spacing w:before="240" w:line="360" w:lineRule="auto"/>
        <w:jc w:val="both"/>
        <w:rPr>
          <w:rFonts w:ascii="Palatino Linotype" w:hAnsi="Palatino Linotype"/>
          <w:sz w:val="24"/>
          <w:szCs w:val="24"/>
        </w:rPr>
      </w:pPr>
      <w:r>
        <w:rPr>
          <w:rFonts w:ascii="Palatino Linotype" w:hAnsi="Palatino Linotype"/>
          <w:sz w:val="24"/>
          <w:szCs w:val="24"/>
        </w:rPr>
        <w:t xml:space="preserve">Bajo este contexto y derivado de la respuesta rendida por </w:t>
      </w:r>
      <w:r>
        <w:rPr>
          <w:rFonts w:ascii="Palatino Linotype" w:hAnsi="Palatino Linotype"/>
          <w:b/>
          <w:bCs/>
          <w:sz w:val="24"/>
          <w:szCs w:val="24"/>
        </w:rPr>
        <w:t xml:space="preserve">El Sujeto Obligado </w:t>
      </w:r>
      <w:r>
        <w:rPr>
          <w:rFonts w:ascii="Palatino Linotype" w:hAnsi="Palatino Linotype"/>
          <w:sz w:val="24"/>
          <w:szCs w:val="24"/>
        </w:rPr>
        <w:t xml:space="preserve">se destaca que </w:t>
      </w:r>
      <w:r w:rsidRPr="00157736">
        <w:rPr>
          <w:rFonts w:ascii="Palatino Linotype" w:hAnsi="Palatino Linotype"/>
          <w:sz w:val="24"/>
        </w:rPr>
        <w:t>la clasificación debe de concebirse</w:t>
      </w:r>
      <w:r w:rsidRPr="00157736">
        <w:rPr>
          <w:rFonts w:ascii="Palatino Linotype" w:hAnsi="Palatino Linotype"/>
          <w:i/>
          <w:iCs/>
          <w:sz w:val="24"/>
        </w:rPr>
        <w:t xml:space="preserve"> </w:t>
      </w:r>
      <w:r w:rsidRPr="00157736">
        <w:rPr>
          <w:rFonts w:ascii="Palatino Linotype" w:hAnsi="Palatino Linotype"/>
          <w:sz w:val="24"/>
        </w:rPr>
        <w:t xml:space="preserve">como </w:t>
      </w:r>
      <w:r w:rsidRPr="00157736">
        <w:rPr>
          <w:rFonts w:ascii="Palatino Linotype" w:hAnsi="Palatino Linotype"/>
          <w:sz w:val="24"/>
          <w:szCs w:val="24"/>
        </w:rPr>
        <w:t xml:space="preserve">el acto administrativo mediante el cual los </w:t>
      </w:r>
      <w:r w:rsidRPr="00157736">
        <w:rPr>
          <w:rFonts w:ascii="Palatino Linotype" w:hAnsi="Palatino Linotype"/>
          <w:b/>
          <w:sz w:val="24"/>
          <w:szCs w:val="24"/>
        </w:rPr>
        <w:t xml:space="preserve">Sujetos Obligados </w:t>
      </w:r>
      <w:r w:rsidRPr="00157736">
        <w:rPr>
          <w:rFonts w:ascii="Palatino Linotype" w:hAnsi="Palatino Linotype"/>
          <w:sz w:val="24"/>
          <w:szCs w:val="24"/>
        </w:rPr>
        <w:t xml:space="preserve">determinan que la información requerida actualiza alguno de los supuestos de confidencialidad </w:t>
      </w:r>
      <w:r w:rsidRPr="00157736">
        <w:rPr>
          <w:rFonts w:ascii="Palatino Linotype" w:hAnsi="Palatino Linotype"/>
          <w:b/>
          <w:sz w:val="24"/>
          <w:szCs w:val="24"/>
        </w:rPr>
        <w:t xml:space="preserve">o </w:t>
      </w:r>
      <w:r w:rsidRPr="00157736">
        <w:rPr>
          <w:rFonts w:ascii="Palatino Linotype" w:hAnsi="Palatino Linotype"/>
          <w:b/>
          <w:sz w:val="24"/>
          <w:szCs w:val="24"/>
          <w:u w:val="single"/>
        </w:rPr>
        <w:t>reserva,</w:t>
      </w:r>
      <w:r w:rsidRPr="00157736">
        <w:rPr>
          <w:rFonts w:ascii="Palatino Linotype" w:hAnsi="Palatino Linotype"/>
          <w:b/>
          <w:sz w:val="24"/>
          <w:szCs w:val="24"/>
        </w:rPr>
        <w:t xml:space="preserve"> </w:t>
      </w:r>
      <w:r w:rsidRPr="00157736">
        <w:rPr>
          <w:rFonts w:ascii="Palatino Linotype" w:hAnsi="Palatino Linotype"/>
          <w:sz w:val="24"/>
          <w:szCs w:val="24"/>
        </w:rPr>
        <w:t xml:space="preserve">de acuerdo con las bases y los principios inmersos en la normatividad aplicable. </w:t>
      </w:r>
    </w:p>
    <w:p w14:paraId="7B0E763E" w14:textId="77777777" w:rsidR="00C73C45" w:rsidRPr="000A07D4" w:rsidRDefault="00C73C45" w:rsidP="00C73C45">
      <w:pPr>
        <w:autoSpaceDE w:val="0"/>
        <w:autoSpaceDN w:val="0"/>
        <w:adjustRightInd w:val="0"/>
        <w:spacing w:line="360" w:lineRule="auto"/>
        <w:jc w:val="both"/>
        <w:rPr>
          <w:rFonts w:ascii="Palatino Linotype" w:hAnsi="Palatino Linotype"/>
          <w:b/>
          <w:sz w:val="24"/>
          <w:szCs w:val="24"/>
        </w:rPr>
      </w:pPr>
      <w:r w:rsidRPr="000A07D4">
        <w:rPr>
          <w:rFonts w:ascii="Palatino Linotype" w:hAnsi="Palatino Linotype" w:cs="Arial"/>
          <w:sz w:val="24"/>
          <w:szCs w:val="24"/>
        </w:rPr>
        <w:t xml:space="preserve">Luego entonces, </w:t>
      </w:r>
      <w:r w:rsidRPr="000A07D4">
        <w:rPr>
          <w:rFonts w:ascii="Palatino Linotype" w:hAnsi="Palatino Linotype"/>
          <w:sz w:val="24"/>
          <w:szCs w:val="24"/>
        </w:rPr>
        <w:t xml:space="preserve">para realizar la reserva </w:t>
      </w:r>
      <w:r>
        <w:rPr>
          <w:rFonts w:ascii="Palatino Linotype" w:hAnsi="Palatino Linotype"/>
          <w:sz w:val="24"/>
          <w:szCs w:val="24"/>
        </w:rPr>
        <w:t xml:space="preserve">de </w:t>
      </w:r>
      <w:r w:rsidRPr="000A07D4">
        <w:rPr>
          <w:rFonts w:ascii="Palatino Linotype" w:hAnsi="Palatino Linotype"/>
          <w:sz w:val="24"/>
          <w:szCs w:val="24"/>
        </w:rPr>
        <w:t xml:space="preserve">la información, no basta con invocar alguna de las causales previstas en la Ley de transparencia local. En sentido contrario, dicha valoración debe realizarse a través de lo que se conoce como </w:t>
      </w:r>
      <w:r w:rsidRPr="000A07D4">
        <w:rPr>
          <w:rFonts w:ascii="Palatino Linotype" w:hAnsi="Palatino Linotype"/>
          <w:b/>
          <w:i/>
          <w:sz w:val="24"/>
          <w:szCs w:val="24"/>
        </w:rPr>
        <w:t xml:space="preserve">“prueba de daño”, </w:t>
      </w:r>
      <w:r w:rsidRPr="000A07D4">
        <w:rPr>
          <w:rFonts w:ascii="Palatino Linotype" w:hAnsi="Palatino Linotype"/>
          <w:sz w:val="24"/>
          <w:szCs w:val="24"/>
        </w:rPr>
        <w:t>que consiste en exponer los argumentos y razones, basados en elementos objetivos o verificables, a partir de los cuales se derive que la divulgación de información, en particular, puede afectar, poner en riesgo o dañar el interés protegido</w:t>
      </w:r>
      <w:r w:rsidRPr="000A07D4">
        <w:rPr>
          <w:sz w:val="24"/>
          <w:szCs w:val="24"/>
          <w:vertAlign w:val="superscript"/>
        </w:rPr>
        <w:footnoteReference w:id="1"/>
      </w:r>
      <w:r w:rsidRPr="000A07D4">
        <w:rPr>
          <w:rFonts w:ascii="Palatino Linotype" w:hAnsi="Palatino Linotype"/>
          <w:sz w:val="24"/>
          <w:szCs w:val="24"/>
        </w:rPr>
        <w:t>. Asimismo, ésta no debe basarse en meras especulaciones o suposiciones, sino en elementos objetivos que deban evaluar que existe un riego actual e inminente</w:t>
      </w:r>
      <w:r w:rsidRPr="000A07D4">
        <w:rPr>
          <w:sz w:val="24"/>
          <w:szCs w:val="24"/>
          <w:vertAlign w:val="superscript"/>
        </w:rPr>
        <w:footnoteReference w:id="2"/>
      </w:r>
      <w:r w:rsidRPr="000A07D4">
        <w:rPr>
          <w:rFonts w:ascii="Palatino Linotype" w:hAnsi="Palatino Linotype"/>
          <w:sz w:val="24"/>
          <w:szCs w:val="24"/>
        </w:rPr>
        <w:t>.</w:t>
      </w:r>
    </w:p>
    <w:p w14:paraId="74DB2E1E" w14:textId="77777777" w:rsidR="00C73C45" w:rsidRPr="000A07D4" w:rsidRDefault="00C73C45" w:rsidP="00C73C45">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 xml:space="preserve">Adicionalmente los artículos 129 y 134 último párrafo de la Ley Estatal y 104 y 108 último párrafo de la Ley General, respectivamente, determinan que se debe realizar un análisis caso por caso, aplicando la prueba de daño. Esto implica que la motivación, </w:t>
      </w:r>
      <w:r w:rsidRPr="000A07D4">
        <w:rPr>
          <w:rFonts w:ascii="Palatino Linotype" w:hAnsi="Palatino Linotype"/>
          <w:color w:val="000000" w:themeColor="text1"/>
          <w:sz w:val="24"/>
          <w:szCs w:val="24"/>
        </w:rPr>
        <w:lastRenderedPageBreak/>
        <w:t xml:space="preserve">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w:t>
      </w:r>
      <w:r w:rsidRPr="000A07D4">
        <w:rPr>
          <w:rFonts w:ascii="Palatino Linotype" w:hAnsi="Palatino Linotype"/>
          <w:b/>
          <w:color w:val="000000" w:themeColor="text1"/>
          <w:sz w:val="24"/>
          <w:szCs w:val="24"/>
          <w:u w:val="single"/>
        </w:rPr>
        <w:t>sino de cada uno de los documentos que lo integran</w:t>
      </w:r>
      <w:r w:rsidRPr="000A07D4">
        <w:rPr>
          <w:rFonts w:ascii="Palatino Linotype" w:hAnsi="Palatino Linotype"/>
          <w:color w:val="000000" w:themeColor="text1"/>
          <w:sz w:val="24"/>
          <w:szCs w:val="24"/>
        </w:rPr>
        <w:t>.</w:t>
      </w:r>
    </w:p>
    <w:p w14:paraId="17853002" w14:textId="77777777" w:rsidR="00C73C45" w:rsidRPr="000A07D4" w:rsidRDefault="00C73C45" w:rsidP="00C73C45">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Para aplicar la prueba de daño, se deberán de precisar las razones objetivas por las que la apertura genera una afectación, acreditando que:</w:t>
      </w:r>
    </w:p>
    <w:p w14:paraId="6B8F80FC" w14:textId="77777777" w:rsidR="00C73C45" w:rsidRPr="000A07D4" w:rsidRDefault="00C73C45" w:rsidP="00C73C45">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0A07D4">
        <w:rPr>
          <w:rFonts w:ascii="Palatino Linotype" w:hAnsi="Palatino Linotype" w:cs="Bookman Old Style"/>
          <w:bCs/>
          <w:color w:val="000000" w:themeColor="text1"/>
          <w:sz w:val="24"/>
          <w:szCs w:val="24"/>
          <w:lang w:val="es-ES_tradnl"/>
        </w:rPr>
        <w:t xml:space="preserve">I. </w:t>
      </w:r>
      <w:r w:rsidRPr="000A07D4">
        <w:rPr>
          <w:rFonts w:ascii="Palatino Linotype" w:hAnsi="Palatino Linotype" w:cs="Bookman Old Style"/>
          <w:color w:val="000000" w:themeColor="text1"/>
          <w:sz w:val="24"/>
          <w:szCs w:val="24"/>
          <w:lang w:val="es-ES_tradnl"/>
        </w:rPr>
        <w:t xml:space="preserve">La divulgación de la información representa un riesgo real, demostrable e identificable del perjuicio significativo al interés público o a la seguridad pública; </w:t>
      </w:r>
    </w:p>
    <w:p w14:paraId="7B542F97" w14:textId="77777777" w:rsidR="00C73C45" w:rsidRPr="000A07D4" w:rsidRDefault="00C73C45" w:rsidP="00C73C45">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0A07D4">
        <w:rPr>
          <w:rFonts w:ascii="Palatino Linotype" w:hAnsi="Palatino Linotype" w:cs="Bookman Old Style"/>
          <w:bCs/>
          <w:color w:val="000000" w:themeColor="text1"/>
          <w:sz w:val="24"/>
          <w:szCs w:val="24"/>
          <w:lang w:val="es-ES_tradnl"/>
        </w:rPr>
        <w:t xml:space="preserve">II. </w:t>
      </w:r>
      <w:r w:rsidRPr="000A07D4">
        <w:rPr>
          <w:rFonts w:ascii="Palatino Linotype" w:hAnsi="Palatino Linotype" w:cs="Bookman Old Style"/>
          <w:color w:val="000000" w:themeColor="text1"/>
          <w:sz w:val="24"/>
          <w:szCs w:val="24"/>
          <w:lang w:val="es-ES_tradnl"/>
        </w:rPr>
        <w:t xml:space="preserve">El riesgo de perjuicio que supondría la divulgación supera el interés público general de que se difunda; y </w:t>
      </w:r>
    </w:p>
    <w:p w14:paraId="67B2B15C" w14:textId="77777777" w:rsidR="00C73C45" w:rsidRPr="000A07D4" w:rsidRDefault="00C73C45" w:rsidP="00C73C45">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0A07D4">
        <w:rPr>
          <w:rFonts w:ascii="Palatino Linotype" w:hAnsi="Palatino Linotype" w:cs="Bookman Old Style"/>
          <w:bCs/>
          <w:color w:val="000000" w:themeColor="text1"/>
          <w:sz w:val="24"/>
          <w:szCs w:val="24"/>
          <w:lang w:val="es-ES_tradnl"/>
        </w:rPr>
        <w:t xml:space="preserve">III. </w:t>
      </w:r>
      <w:r w:rsidRPr="000A07D4">
        <w:rPr>
          <w:rFonts w:ascii="Palatino Linotype" w:hAnsi="Palatino Linotype" w:cs="Bookman Old Style"/>
          <w:color w:val="000000" w:themeColor="text1"/>
          <w:sz w:val="24"/>
          <w:szCs w:val="24"/>
          <w:lang w:val="es-ES_tradnl"/>
        </w:rPr>
        <w:t xml:space="preserve">La limitación se adecua al principio de proporcionalidad y representa el medio menos restrictivo disponible para evitar el perjuicio. </w:t>
      </w:r>
    </w:p>
    <w:p w14:paraId="4D4AF9DA" w14:textId="77777777" w:rsidR="00C73C45" w:rsidRDefault="00C73C45" w:rsidP="00C73C45">
      <w:pPr>
        <w:spacing w:line="360" w:lineRule="auto"/>
        <w:jc w:val="both"/>
        <w:rPr>
          <w:rFonts w:ascii="Palatino Linotype" w:hAnsi="Palatino Linotype"/>
          <w:color w:val="000000" w:themeColor="text1"/>
          <w:sz w:val="24"/>
          <w:szCs w:val="24"/>
        </w:rPr>
      </w:pPr>
    </w:p>
    <w:p w14:paraId="505FFB75" w14:textId="77777777" w:rsidR="00C73C45" w:rsidRPr="000A07D4" w:rsidRDefault="00C73C45" w:rsidP="00C73C45">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0D3E9A7D" w14:textId="77777777" w:rsidR="00C73C45" w:rsidRPr="000A07D4" w:rsidRDefault="00C73C45" w:rsidP="00C73C45">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lastRenderedPageBreak/>
        <w:t xml:space="preserve">Identificado ese riesgo, se debe demostrar que el mismo supera el interés público general porque se difunda dicha información. </w:t>
      </w:r>
    </w:p>
    <w:p w14:paraId="35B95EDD" w14:textId="77777777" w:rsidR="00C73C45" w:rsidRPr="000A07D4" w:rsidRDefault="00C73C45" w:rsidP="00C73C45">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Y, por último,  que la limitación es acorde con el principio de proporcionalidad, para ello, se sugiere emplear los tres juicios propuestos por la Corte Constitucional Colombiana</w:t>
      </w:r>
      <w:r w:rsidRPr="000A07D4">
        <w:rPr>
          <w:rStyle w:val="Refdenotaalpie"/>
          <w:rFonts w:ascii="Palatino Linotype" w:hAnsi="Palatino Linotype"/>
          <w:color w:val="000000" w:themeColor="text1"/>
        </w:rPr>
        <w:footnoteReference w:id="3"/>
      </w:r>
      <w:r w:rsidRPr="000A07D4">
        <w:rPr>
          <w:rFonts w:ascii="Palatino Linotype" w:hAnsi="Palatino Linotype"/>
          <w:color w:val="000000" w:themeColor="text1"/>
          <w:sz w:val="24"/>
          <w:szCs w:val="24"/>
        </w:rPr>
        <w:t>, siguiendo el principio de ponderación propuesto por el Tribunal Constitucional Alemán,</w:t>
      </w:r>
      <w:r w:rsidRPr="000A07D4">
        <w:rPr>
          <w:rStyle w:val="Refdenotaalpie"/>
          <w:rFonts w:ascii="Palatino Linotype" w:hAnsi="Palatino Linotype"/>
          <w:color w:val="000000" w:themeColor="text1"/>
        </w:rPr>
        <w:footnoteReference w:id="4"/>
      </w:r>
      <w:r w:rsidRPr="000A07D4">
        <w:rPr>
          <w:rFonts w:ascii="Palatino Linotype" w:hAnsi="Palatino Linotype"/>
          <w:color w:val="000000" w:themeColor="text1"/>
          <w:sz w:val="24"/>
          <w:szCs w:val="24"/>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237919A1" w14:textId="77777777" w:rsidR="00C73C45" w:rsidRDefault="00C73C45" w:rsidP="00C73C45">
      <w:pPr>
        <w:spacing w:line="360" w:lineRule="auto"/>
        <w:jc w:val="both"/>
        <w:rPr>
          <w:rFonts w:ascii="Palatino Linotype" w:hAnsi="Palatino Linotype"/>
          <w:sz w:val="24"/>
          <w:szCs w:val="24"/>
          <w:lang w:val="es-ES"/>
        </w:rPr>
      </w:pPr>
      <w:r w:rsidRPr="000A07D4">
        <w:rPr>
          <w:rFonts w:ascii="Palatino Linotype" w:hAnsi="Palatino Linotype"/>
          <w:color w:val="000000" w:themeColor="text1"/>
          <w:sz w:val="24"/>
          <w:szCs w:val="24"/>
        </w:rPr>
        <w:t>Es así, que al configurarse tales requisitos, se otorga certidumbre jurídica y se protege la esfera más íntima del derecho humano constitucional y convencionalmente reconocido.</w:t>
      </w:r>
      <w:r>
        <w:rPr>
          <w:rFonts w:ascii="Palatino Linotype" w:hAnsi="Palatino Linotype"/>
          <w:color w:val="000000" w:themeColor="text1"/>
          <w:sz w:val="24"/>
          <w:szCs w:val="24"/>
        </w:rPr>
        <w:t xml:space="preserve"> </w:t>
      </w:r>
    </w:p>
    <w:p w14:paraId="77D90B0E" w14:textId="77777777" w:rsidR="00C73C45" w:rsidRPr="00031AB1" w:rsidRDefault="00C73C45" w:rsidP="00C73C45">
      <w:pPr>
        <w:spacing w:after="0" w:line="360" w:lineRule="auto"/>
        <w:jc w:val="both"/>
        <w:rPr>
          <w:rFonts w:ascii="Palatino Linotype" w:hAnsi="Palatino Linotype"/>
          <w:sz w:val="24"/>
          <w:szCs w:val="24"/>
        </w:rPr>
      </w:pPr>
      <w:r w:rsidRPr="00031AB1">
        <w:rPr>
          <w:rFonts w:ascii="Palatino Linotype" w:hAnsi="Palatino Linotype"/>
          <w:sz w:val="24"/>
          <w:szCs w:val="24"/>
        </w:rPr>
        <w:lastRenderedPageBreak/>
        <w:t>En virtud de lo anterior, se desprende que los Acuerdos de Reserva deberán de cumplir parámetros de forma y fondo, los cuales se abordan a continuación:</w:t>
      </w:r>
    </w:p>
    <w:p w14:paraId="65D0812E" w14:textId="5C8A028F" w:rsidR="00C73C45" w:rsidRPr="00C73C45" w:rsidRDefault="00C73C45" w:rsidP="00C73C45">
      <w:pPr>
        <w:spacing w:before="240" w:line="360" w:lineRule="auto"/>
        <w:jc w:val="both"/>
        <w:rPr>
          <w:rFonts w:ascii="Palatino Linotype" w:hAnsi="Palatino Linotype"/>
          <w:sz w:val="24"/>
          <w:szCs w:val="24"/>
        </w:rPr>
      </w:pP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770"/>
        <w:gridCol w:w="6021"/>
      </w:tblGrid>
      <w:tr w:rsidR="00C73C45" w:rsidRPr="0069309F" w14:paraId="6DA4A102" w14:textId="77777777" w:rsidTr="00223CAE">
        <w:tc>
          <w:tcPr>
            <w:tcW w:w="1535" w:type="dxa"/>
            <w:tcBorders>
              <w:top w:val="nil"/>
              <w:left w:val="nil"/>
            </w:tcBorders>
          </w:tcPr>
          <w:p w14:paraId="7D80D3E5" w14:textId="77777777" w:rsidR="00C73C45" w:rsidRPr="0069309F" w:rsidRDefault="00C73C45" w:rsidP="00451E08">
            <w:pPr>
              <w:pBdr>
                <w:top w:val="nil"/>
                <w:left w:val="nil"/>
                <w:bottom w:val="nil"/>
                <w:right w:val="nil"/>
                <w:between w:val="nil"/>
              </w:pBdr>
              <w:spacing w:after="120"/>
              <w:ind w:left="47"/>
              <w:jc w:val="both"/>
              <w:rPr>
                <w:rFonts w:ascii="Palatino Linotype" w:eastAsia="Palatino Linotype" w:hAnsi="Palatino Linotype" w:cs="Palatino Linotype"/>
                <w:b/>
                <w:color w:val="000000"/>
                <w:sz w:val="20"/>
                <w:szCs w:val="20"/>
              </w:rPr>
            </w:pPr>
          </w:p>
        </w:tc>
        <w:tc>
          <w:tcPr>
            <w:tcW w:w="1770" w:type="dxa"/>
            <w:tcBorders>
              <w:bottom w:val="single" w:sz="4" w:space="0" w:color="000000"/>
            </w:tcBorders>
            <w:shd w:val="clear" w:color="auto" w:fill="BFBFBF"/>
            <w:vAlign w:val="bottom"/>
          </w:tcPr>
          <w:p w14:paraId="524DED74" w14:textId="77777777" w:rsidR="00C73C45" w:rsidRPr="0069309F" w:rsidRDefault="00C73C45" w:rsidP="00451E08">
            <w:pPr>
              <w:pBdr>
                <w:top w:val="nil"/>
                <w:left w:val="nil"/>
                <w:bottom w:val="nil"/>
                <w:right w:val="nil"/>
                <w:between w:val="nil"/>
              </w:pBdr>
              <w:spacing w:after="120"/>
              <w:ind w:left="47"/>
              <w:jc w:val="center"/>
              <w:rPr>
                <w:rFonts w:ascii="Palatino Linotype" w:eastAsia="Palatino Linotype" w:hAnsi="Palatino Linotype" w:cs="Palatino Linotype"/>
                <w:b/>
                <w:color w:val="000000"/>
                <w:sz w:val="20"/>
                <w:szCs w:val="20"/>
              </w:rPr>
            </w:pPr>
            <w:r w:rsidRPr="0069309F">
              <w:rPr>
                <w:rFonts w:ascii="Palatino Linotype" w:eastAsia="Palatino Linotype" w:hAnsi="Palatino Linotype" w:cs="Palatino Linotype"/>
                <w:b/>
                <w:color w:val="000000"/>
              </w:rPr>
              <w:t>Cumplió:</w:t>
            </w:r>
          </w:p>
        </w:tc>
        <w:tc>
          <w:tcPr>
            <w:tcW w:w="6021" w:type="dxa"/>
            <w:tcBorders>
              <w:bottom w:val="single" w:sz="4" w:space="0" w:color="000000"/>
            </w:tcBorders>
            <w:shd w:val="clear" w:color="auto" w:fill="BFBFBF"/>
            <w:vAlign w:val="bottom"/>
          </w:tcPr>
          <w:p w14:paraId="129B5F53" w14:textId="77777777" w:rsidR="00C73C45" w:rsidRPr="0069309F" w:rsidRDefault="00C73C45" w:rsidP="00451E08">
            <w:pPr>
              <w:pBdr>
                <w:top w:val="nil"/>
                <w:left w:val="nil"/>
                <w:bottom w:val="nil"/>
                <w:right w:val="nil"/>
                <w:between w:val="nil"/>
              </w:pBdr>
              <w:spacing w:after="120"/>
              <w:ind w:left="47"/>
              <w:jc w:val="center"/>
              <w:rPr>
                <w:rFonts w:ascii="Palatino Linotype" w:eastAsia="Palatino Linotype" w:hAnsi="Palatino Linotype" w:cs="Palatino Linotype"/>
                <w:b/>
                <w:color w:val="000000"/>
              </w:rPr>
            </w:pPr>
            <w:r w:rsidRPr="0069309F">
              <w:rPr>
                <w:rFonts w:ascii="Palatino Linotype" w:eastAsia="Palatino Linotype" w:hAnsi="Palatino Linotype" w:cs="Palatino Linotype"/>
                <w:b/>
                <w:color w:val="000000"/>
              </w:rPr>
              <w:t>Contenido</w:t>
            </w:r>
          </w:p>
        </w:tc>
      </w:tr>
      <w:tr w:rsidR="00C73C45" w:rsidRPr="0069309F" w14:paraId="1C92705C" w14:textId="77777777" w:rsidTr="00223CAE">
        <w:tc>
          <w:tcPr>
            <w:tcW w:w="1535" w:type="dxa"/>
            <w:vAlign w:val="center"/>
          </w:tcPr>
          <w:p w14:paraId="5FC1A9DC" w14:textId="77777777" w:rsidR="00C73C45" w:rsidRPr="0069309F" w:rsidRDefault="00C73C45" w:rsidP="00451E08">
            <w:pPr>
              <w:spacing w:after="120"/>
              <w:jc w:val="center"/>
              <w:rPr>
                <w:rFonts w:ascii="Palatino Linotype" w:eastAsia="Palatino Linotype" w:hAnsi="Palatino Linotype" w:cs="Palatino Linotype"/>
                <w:b/>
                <w:sz w:val="16"/>
                <w:szCs w:val="16"/>
              </w:rPr>
            </w:pPr>
            <w:r w:rsidRPr="0069309F">
              <w:rPr>
                <w:rFonts w:ascii="Palatino Linotype" w:eastAsia="Palatino Linotype" w:hAnsi="Palatino Linotype" w:cs="Palatino Linotype"/>
                <w:b/>
                <w:sz w:val="16"/>
                <w:szCs w:val="16"/>
              </w:rPr>
              <w:t>Número de folio de la solicitud</w:t>
            </w:r>
          </w:p>
        </w:tc>
        <w:tc>
          <w:tcPr>
            <w:tcW w:w="1770" w:type="dxa"/>
            <w:tcBorders>
              <w:top w:val="single" w:sz="4" w:space="0" w:color="000000"/>
            </w:tcBorders>
            <w:vAlign w:val="center"/>
          </w:tcPr>
          <w:p w14:paraId="239E3890" w14:textId="74D1CA81" w:rsidR="00C73C45" w:rsidRPr="00223CAE" w:rsidRDefault="00223CAE" w:rsidP="00451E08">
            <w:pPr>
              <w:spacing w:after="120"/>
              <w:ind w:left="47"/>
              <w:jc w:val="center"/>
              <w:rPr>
                <w:rFonts w:ascii="Palatino Linotype" w:eastAsia="Palatino Linotype" w:hAnsi="Palatino Linotype" w:cs="Palatino Linotype"/>
                <w:b/>
                <w:sz w:val="18"/>
                <w:szCs w:val="18"/>
              </w:rPr>
            </w:pPr>
            <w:r w:rsidRPr="00223CAE">
              <w:rPr>
                <w:rFonts w:ascii="Palatino Linotype" w:eastAsia="Palatino Linotype" w:hAnsi="Palatino Linotype" w:cs="Palatino Linotype"/>
                <w:b/>
                <w:sz w:val="18"/>
                <w:szCs w:val="18"/>
              </w:rPr>
              <w:t>SÍ</w:t>
            </w:r>
          </w:p>
        </w:tc>
        <w:tc>
          <w:tcPr>
            <w:tcW w:w="6021" w:type="dxa"/>
            <w:tcBorders>
              <w:top w:val="single" w:sz="4" w:space="0" w:color="000000"/>
            </w:tcBorders>
            <w:vAlign w:val="center"/>
          </w:tcPr>
          <w:p w14:paraId="07ECA569" w14:textId="115A2863" w:rsidR="00C73C45" w:rsidRPr="0069309F" w:rsidRDefault="00320D7B" w:rsidP="00451E08">
            <w:pPr>
              <w:spacing w:after="120"/>
              <w:ind w:left="-115"/>
              <w:jc w:val="center"/>
              <w:rPr>
                <w:rFonts w:ascii="Palatino Linotype" w:eastAsia="Palatino Linotype" w:hAnsi="Palatino Linotype" w:cs="Palatino Linotype"/>
              </w:rPr>
            </w:pPr>
            <w:r>
              <w:object w:dxaOrig="9840" w:dyaOrig="2184" w14:anchorId="5EE51609">
                <v:shape id="_x0000_i1026" type="#_x0000_t75" style="width:295.2pt;height:64.8pt" o:ole="">
                  <v:imagedata r:id="rId12" o:title=""/>
                </v:shape>
                <o:OLEObject Type="Embed" ProgID="PBrush" ShapeID="_x0000_i1026" DrawAspect="Content" ObjectID="_1747552895" r:id="rId13"/>
              </w:object>
            </w:r>
          </w:p>
        </w:tc>
      </w:tr>
      <w:tr w:rsidR="00C73C45" w:rsidRPr="0069309F" w14:paraId="1405D526" w14:textId="77777777" w:rsidTr="00223CAE">
        <w:trPr>
          <w:trHeight w:val="1825"/>
        </w:trPr>
        <w:tc>
          <w:tcPr>
            <w:tcW w:w="1535" w:type="dxa"/>
            <w:vAlign w:val="center"/>
          </w:tcPr>
          <w:p w14:paraId="38ED2A47" w14:textId="77777777" w:rsidR="00C73C45" w:rsidRPr="0069309F" w:rsidRDefault="00C73C45" w:rsidP="00451E08">
            <w:pPr>
              <w:spacing w:after="120"/>
              <w:jc w:val="center"/>
              <w:rPr>
                <w:rFonts w:ascii="Palatino Linotype" w:eastAsia="Palatino Linotype" w:hAnsi="Palatino Linotype" w:cs="Palatino Linotype"/>
                <w:b/>
                <w:sz w:val="16"/>
                <w:szCs w:val="16"/>
              </w:rPr>
            </w:pPr>
            <w:r w:rsidRPr="0069309F">
              <w:rPr>
                <w:rFonts w:ascii="Palatino Linotype" w:eastAsia="Palatino Linotype" w:hAnsi="Palatino Linotype" w:cs="Palatino Linotype"/>
                <w:b/>
                <w:sz w:val="16"/>
                <w:szCs w:val="16"/>
              </w:rPr>
              <w:t>Referencia de la información solicitada</w:t>
            </w:r>
          </w:p>
        </w:tc>
        <w:tc>
          <w:tcPr>
            <w:tcW w:w="1770" w:type="dxa"/>
            <w:vAlign w:val="center"/>
          </w:tcPr>
          <w:p w14:paraId="7D7BA9C0" w14:textId="11F2A830" w:rsidR="00C73C45" w:rsidRPr="00223CAE" w:rsidRDefault="00223CAE" w:rsidP="00451E08">
            <w:pPr>
              <w:spacing w:after="120"/>
              <w:ind w:left="47"/>
              <w:jc w:val="center"/>
              <w:rPr>
                <w:rFonts w:ascii="Palatino Linotype" w:eastAsia="Palatino Linotype" w:hAnsi="Palatino Linotype" w:cs="Palatino Linotype"/>
                <w:b/>
                <w:sz w:val="18"/>
                <w:szCs w:val="18"/>
              </w:rPr>
            </w:pPr>
            <w:r w:rsidRPr="00223CAE">
              <w:rPr>
                <w:rFonts w:ascii="Palatino Linotype" w:eastAsia="Palatino Linotype" w:hAnsi="Palatino Linotype" w:cs="Palatino Linotype"/>
                <w:b/>
                <w:sz w:val="18"/>
                <w:szCs w:val="18"/>
              </w:rPr>
              <w:t>SÍ</w:t>
            </w:r>
          </w:p>
        </w:tc>
        <w:tc>
          <w:tcPr>
            <w:tcW w:w="6021" w:type="dxa"/>
            <w:vAlign w:val="center"/>
          </w:tcPr>
          <w:p w14:paraId="0C2C214A" w14:textId="4A611CE4" w:rsidR="00C73C45" w:rsidRPr="0069309F" w:rsidRDefault="00320D7B" w:rsidP="00451E08">
            <w:pPr>
              <w:spacing w:after="120"/>
              <w:jc w:val="both"/>
              <w:rPr>
                <w:rFonts w:ascii="Palatino Linotype" w:eastAsia="Palatino Linotype" w:hAnsi="Palatino Linotype" w:cs="Palatino Linotype"/>
                <w:b/>
              </w:rPr>
            </w:pPr>
            <w:r>
              <w:object w:dxaOrig="9972" w:dyaOrig="3252" w14:anchorId="0FD9D940">
                <v:shape id="_x0000_i1027" type="#_x0000_t75" style="width:295.2pt;height:93.6pt" o:ole="">
                  <v:imagedata r:id="rId14" o:title=""/>
                </v:shape>
                <o:OLEObject Type="Embed" ProgID="PBrush" ShapeID="_x0000_i1027" DrawAspect="Content" ObjectID="_1747552896" r:id="rId15"/>
              </w:object>
            </w:r>
          </w:p>
        </w:tc>
      </w:tr>
      <w:tr w:rsidR="00C73C45" w:rsidRPr="0069309F" w14:paraId="495CE0B4" w14:textId="77777777" w:rsidTr="00223CAE">
        <w:tc>
          <w:tcPr>
            <w:tcW w:w="1535" w:type="dxa"/>
            <w:vAlign w:val="center"/>
          </w:tcPr>
          <w:p w14:paraId="3ECECE4C" w14:textId="77777777" w:rsidR="00C73C45" w:rsidRPr="0069309F" w:rsidRDefault="00C73C45" w:rsidP="00451E08">
            <w:pPr>
              <w:spacing w:after="120"/>
              <w:jc w:val="center"/>
              <w:rPr>
                <w:rFonts w:ascii="Palatino Linotype" w:eastAsia="Palatino Linotype" w:hAnsi="Palatino Linotype" w:cs="Palatino Linotype"/>
                <w:b/>
                <w:sz w:val="16"/>
                <w:szCs w:val="16"/>
              </w:rPr>
            </w:pPr>
            <w:r w:rsidRPr="0069309F">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770" w:type="dxa"/>
            <w:vAlign w:val="center"/>
          </w:tcPr>
          <w:p w14:paraId="084020C0" w14:textId="79F6A2EF" w:rsidR="00223CAE" w:rsidRPr="00223CAE" w:rsidRDefault="00223CAE" w:rsidP="00451E08">
            <w:pPr>
              <w:spacing w:after="120"/>
              <w:ind w:left="47"/>
              <w:jc w:val="center"/>
              <w:rPr>
                <w:rFonts w:ascii="Palatino Linotype" w:eastAsia="Palatino Linotype" w:hAnsi="Palatino Linotype" w:cs="Palatino Linotype"/>
                <w:b/>
                <w:bCs/>
                <w:sz w:val="18"/>
                <w:szCs w:val="18"/>
              </w:rPr>
            </w:pPr>
            <w:r w:rsidRPr="00223CAE">
              <w:rPr>
                <w:rFonts w:ascii="Palatino Linotype" w:eastAsia="Palatino Linotype" w:hAnsi="Palatino Linotype" w:cs="Palatino Linotype"/>
                <w:b/>
                <w:bCs/>
                <w:sz w:val="18"/>
                <w:szCs w:val="18"/>
              </w:rPr>
              <w:t>NO</w:t>
            </w:r>
          </w:p>
          <w:p w14:paraId="49A77A2A" w14:textId="52616210" w:rsidR="00C73C45" w:rsidRPr="00223CAE" w:rsidRDefault="00223CAE" w:rsidP="00223CAE">
            <w:pPr>
              <w:spacing w:after="120"/>
              <w:ind w:left="47"/>
              <w:jc w:val="both"/>
              <w:rPr>
                <w:rFonts w:ascii="Palatino Linotype" w:eastAsia="Palatino Linotype" w:hAnsi="Palatino Linotype" w:cs="Palatino Linotype"/>
                <w:b/>
                <w:bCs/>
                <w:sz w:val="18"/>
                <w:szCs w:val="18"/>
                <w:u w:val="single"/>
              </w:rPr>
            </w:pPr>
            <w:r>
              <w:rPr>
                <w:rFonts w:ascii="Palatino Linotype" w:eastAsia="Palatino Linotype" w:hAnsi="Palatino Linotype" w:cs="Palatino Linotype"/>
                <w:sz w:val="18"/>
                <w:szCs w:val="18"/>
              </w:rPr>
              <w:t>S</w:t>
            </w:r>
            <w:r w:rsidRPr="00223CAE">
              <w:rPr>
                <w:rFonts w:ascii="Palatino Linotype" w:eastAsia="Palatino Linotype" w:hAnsi="Palatino Linotype" w:cs="Palatino Linotype"/>
                <w:sz w:val="18"/>
                <w:szCs w:val="18"/>
              </w:rPr>
              <w:t xml:space="preserve">e invoca la fracción IX del artículo 113 de la Ley General </w:t>
            </w:r>
            <w:r>
              <w:rPr>
                <w:rFonts w:ascii="Palatino Linotype" w:eastAsia="Palatino Linotype" w:hAnsi="Palatino Linotype" w:cs="Palatino Linotype"/>
                <w:sz w:val="18"/>
                <w:szCs w:val="18"/>
              </w:rPr>
              <w:t xml:space="preserve">de Transparencia, así como el lineamiento vigésimo octavo, </w:t>
            </w:r>
            <w:r w:rsidRPr="00223CAE">
              <w:rPr>
                <w:rFonts w:ascii="Palatino Linotype" w:eastAsia="Palatino Linotype" w:hAnsi="Palatino Linotype" w:cs="Palatino Linotype"/>
                <w:sz w:val="18"/>
                <w:szCs w:val="18"/>
              </w:rPr>
              <w:t>relativos a la obstrucción para fincar responsabilidades administrativas a servidores públicos</w:t>
            </w:r>
          </w:p>
          <w:p w14:paraId="4AEDEAE8" w14:textId="77777777" w:rsidR="00223CAE" w:rsidRPr="00223CAE" w:rsidRDefault="00223CAE" w:rsidP="00451E08">
            <w:pPr>
              <w:spacing w:after="120"/>
              <w:ind w:left="47"/>
              <w:jc w:val="center"/>
              <w:rPr>
                <w:rFonts w:ascii="Palatino Linotype" w:eastAsia="Palatino Linotype" w:hAnsi="Palatino Linotype" w:cs="Palatino Linotype"/>
                <w:sz w:val="18"/>
                <w:szCs w:val="18"/>
              </w:rPr>
            </w:pPr>
          </w:p>
          <w:p w14:paraId="1ECD1BFE" w14:textId="6852F306" w:rsidR="00223CAE" w:rsidRPr="00223CAE" w:rsidRDefault="00223CAE" w:rsidP="00223CAE">
            <w:pPr>
              <w:spacing w:after="120"/>
              <w:ind w:left="47"/>
              <w:jc w:val="both"/>
              <w:rPr>
                <w:rFonts w:ascii="Palatino Linotype" w:eastAsia="Palatino Linotype" w:hAnsi="Palatino Linotype" w:cs="Palatino Linotype"/>
                <w:b/>
                <w:bCs/>
                <w:sz w:val="18"/>
                <w:u w:val="single"/>
              </w:rPr>
            </w:pPr>
            <w:r w:rsidRPr="00223CAE">
              <w:rPr>
                <w:rFonts w:ascii="Palatino Linotype" w:eastAsia="Palatino Linotype" w:hAnsi="Palatino Linotype" w:cs="Palatino Linotype"/>
                <w:b/>
                <w:bCs/>
                <w:sz w:val="18"/>
                <w:szCs w:val="18"/>
                <w:u w:val="single"/>
              </w:rPr>
              <w:lastRenderedPageBreak/>
              <w:t>Es decir, hay indebida fundamentación</w:t>
            </w:r>
          </w:p>
        </w:tc>
        <w:tc>
          <w:tcPr>
            <w:tcW w:w="6021" w:type="dxa"/>
            <w:vAlign w:val="center"/>
          </w:tcPr>
          <w:p w14:paraId="3DB7A5B5" w14:textId="49007BD8" w:rsidR="00C73C45" w:rsidRPr="0069309F" w:rsidRDefault="00223CAE" w:rsidP="00451E08">
            <w:pPr>
              <w:spacing w:after="120"/>
              <w:jc w:val="center"/>
              <w:rPr>
                <w:rFonts w:ascii="Palatino Linotype" w:eastAsia="Palatino Linotype" w:hAnsi="Palatino Linotype" w:cs="Palatino Linotype"/>
                <w:b/>
              </w:rPr>
            </w:pPr>
            <w:r>
              <w:object w:dxaOrig="12636" w:dyaOrig="6108" w14:anchorId="4D516B7D">
                <v:shape id="_x0000_i1028" type="#_x0000_t75" style="width:295.2pt;height:2in" o:ole="">
                  <v:imagedata r:id="rId16" o:title=""/>
                </v:shape>
                <o:OLEObject Type="Embed" ProgID="PBrush" ShapeID="_x0000_i1028" DrawAspect="Content" ObjectID="_1747552897" r:id="rId17"/>
              </w:object>
            </w:r>
          </w:p>
        </w:tc>
      </w:tr>
      <w:tr w:rsidR="00C73C45" w:rsidRPr="0069309F" w14:paraId="3B3E4413" w14:textId="77777777" w:rsidTr="00223CAE">
        <w:tc>
          <w:tcPr>
            <w:tcW w:w="1535" w:type="dxa"/>
            <w:vAlign w:val="center"/>
          </w:tcPr>
          <w:p w14:paraId="0B252BF7" w14:textId="77777777" w:rsidR="00C73C45" w:rsidRPr="0069309F" w:rsidRDefault="00C73C45" w:rsidP="00451E08">
            <w:pPr>
              <w:tabs>
                <w:tab w:val="left" w:pos="317"/>
              </w:tabs>
              <w:spacing w:after="120"/>
              <w:jc w:val="center"/>
              <w:rPr>
                <w:rFonts w:ascii="Palatino Linotype" w:eastAsia="Palatino Linotype" w:hAnsi="Palatino Linotype" w:cs="Palatino Linotype"/>
                <w:b/>
                <w:sz w:val="16"/>
                <w:szCs w:val="16"/>
              </w:rPr>
            </w:pPr>
            <w:r w:rsidRPr="0069309F">
              <w:rPr>
                <w:rFonts w:ascii="Palatino Linotype" w:eastAsia="Palatino Linotype" w:hAnsi="Palatino Linotype" w:cs="Palatino Linotype"/>
                <w:b/>
                <w:sz w:val="16"/>
                <w:szCs w:val="16"/>
              </w:rPr>
              <w:t>Fundamento y Motivación Legal</w:t>
            </w:r>
          </w:p>
        </w:tc>
        <w:tc>
          <w:tcPr>
            <w:tcW w:w="1770" w:type="dxa"/>
            <w:vAlign w:val="center"/>
          </w:tcPr>
          <w:p w14:paraId="3FA85622" w14:textId="104BCE35" w:rsidR="00C73C45" w:rsidRDefault="00F347AF" w:rsidP="00451E08">
            <w:pPr>
              <w:spacing w:after="120"/>
              <w:ind w:left="47"/>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NO</w:t>
            </w:r>
          </w:p>
          <w:p w14:paraId="07F210AF" w14:textId="77777777" w:rsidR="00B5693B" w:rsidRDefault="00B5693B" w:rsidP="00451E08">
            <w:pPr>
              <w:spacing w:after="120"/>
              <w:ind w:left="47"/>
              <w:jc w:val="center"/>
              <w:rPr>
                <w:rFonts w:ascii="Palatino Linotype" w:eastAsia="Palatino Linotype" w:hAnsi="Palatino Linotype" w:cs="Palatino Linotype"/>
                <w:b/>
                <w:sz w:val="18"/>
                <w:szCs w:val="18"/>
              </w:rPr>
            </w:pPr>
          </w:p>
          <w:p w14:paraId="2C145CA7" w14:textId="7B505A37" w:rsidR="00B5693B" w:rsidRPr="00B5693B" w:rsidRDefault="00B5693B" w:rsidP="00B5693B">
            <w:pPr>
              <w:spacing w:after="120"/>
              <w:ind w:left="47"/>
              <w:jc w:val="both"/>
              <w:rPr>
                <w:rFonts w:ascii="Palatino Linotype" w:eastAsia="Palatino Linotype" w:hAnsi="Palatino Linotype" w:cs="Palatino Linotype"/>
                <w:bCs/>
                <w:sz w:val="18"/>
                <w:szCs w:val="18"/>
              </w:rPr>
            </w:pPr>
            <w:r>
              <w:rPr>
                <w:rFonts w:ascii="Palatino Linotype" w:eastAsia="Palatino Linotype" w:hAnsi="Palatino Linotype" w:cs="Palatino Linotype"/>
                <w:bCs/>
                <w:sz w:val="18"/>
                <w:szCs w:val="18"/>
              </w:rPr>
              <w:t>Se advierte falta de congruencia interna entre distintos apartados del acuerdo de reserva</w:t>
            </w:r>
            <w:r w:rsidR="00F06D25">
              <w:rPr>
                <w:rFonts w:ascii="Palatino Linotype" w:eastAsia="Palatino Linotype" w:hAnsi="Palatino Linotype" w:cs="Palatino Linotype"/>
                <w:bCs/>
                <w:sz w:val="18"/>
                <w:szCs w:val="18"/>
              </w:rPr>
              <w:t xml:space="preserve">, al tomar en consideración que se invocan causales de reserva diversas. </w:t>
            </w:r>
          </w:p>
        </w:tc>
        <w:tc>
          <w:tcPr>
            <w:tcW w:w="6021" w:type="dxa"/>
            <w:vAlign w:val="center"/>
          </w:tcPr>
          <w:p w14:paraId="243335CE" w14:textId="07EE0278" w:rsidR="00C73C45" w:rsidRPr="0069309F" w:rsidRDefault="00B5693B" w:rsidP="00451E08">
            <w:pPr>
              <w:spacing w:after="120"/>
              <w:jc w:val="center"/>
              <w:rPr>
                <w:rFonts w:ascii="Palatino Linotype" w:eastAsia="Palatino Linotype" w:hAnsi="Palatino Linotype" w:cs="Palatino Linotype"/>
                <w:b/>
                <w:sz w:val="2"/>
                <w:szCs w:val="2"/>
              </w:rPr>
            </w:pPr>
            <w:r>
              <w:object w:dxaOrig="12312" w:dyaOrig="3852" w14:anchorId="64D763B9">
                <v:shape id="_x0000_i1029" type="#_x0000_t75" style="width:4in;height:93.6pt" o:ole="">
                  <v:imagedata r:id="rId18" o:title=""/>
                </v:shape>
                <o:OLEObject Type="Embed" ProgID="PBrush" ShapeID="_x0000_i1029" DrawAspect="Content" ObjectID="_1747552898" r:id="rId19"/>
              </w:object>
            </w:r>
          </w:p>
          <w:p w14:paraId="5BA3F015" w14:textId="50E16A31" w:rsidR="00C73C45" w:rsidRPr="0069309F" w:rsidRDefault="000751CF" w:rsidP="00451E08">
            <w:pPr>
              <w:spacing w:after="120"/>
              <w:ind w:left="47"/>
              <w:jc w:val="center"/>
              <w:rPr>
                <w:rFonts w:ascii="Palatino Linotype" w:eastAsia="Palatino Linotype" w:hAnsi="Palatino Linotype" w:cs="Palatino Linotype"/>
                <w:b/>
              </w:rPr>
            </w:pPr>
            <w:r>
              <w:rPr>
                <w:noProof/>
              </w:rPr>
              <w:object w:dxaOrig="1440" w:dyaOrig="1440" w14:anchorId="604C7C2A">
                <v:shape id="_x0000_s2051" type="#_x0000_t75" style="position:absolute;left:0;text-align:left;margin-left:2.35pt;margin-top:36.6pt;width:289.85pt;height:146.3pt;z-index:251849715;mso-position-horizontal-relative:text;mso-position-vertical-relative:text;mso-width-relative:page;mso-height-relative:page" wrapcoords="-56 0 -56 21489 21600 21489 21600 0 -56 0" strokecolor="black [3213]">
                  <v:imagedata r:id="rId20" o:title=""/>
                  <w10:wrap type="through"/>
                </v:shape>
                <o:OLEObject Type="Embed" ProgID="PBrush" ShapeID="_x0000_s2051" DrawAspect="Content" ObjectID="_1747552901" r:id="rId21"/>
              </w:object>
            </w:r>
          </w:p>
        </w:tc>
      </w:tr>
      <w:tr w:rsidR="00C73C45" w:rsidRPr="0069309F" w14:paraId="357AA5C8" w14:textId="77777777" w:rsidTr="000F7389">
        <w:trPr>
          <w:trHeight w:val="841"/>
        </w:trPr>
        <w:tc>
          <w:tcPr>
            <w:tcW w:w="1535" w:type="dxa"/>
            <w:vAlign w:val="bottom"/>
          </w:tcPr>
          <w:p w14:paraId="5EC65CB3" w14:textId="77777777" w:rsidR="00C73C45" w:rsidRDefault="00C73C45" w:rsidP="00451E08">
            <w:pPr>
              <w:spacing w:after="120"/>
              <w:jc w:val="center"/>
              <w:rPr>
                <w:rFonts w:ascii="Palatino Linotype" w:eastAsia="Palatino Linotype" w:hAnsi="Palatino Linotype" w:cs="Palatino Linotype"/>
                <w:b/>
                <w:sz w:val="16"/>
                <w:szCs w:val="16"/>
              </w:rPr>
            </w:pPr>
          </w:p>
          <w:p w14:paraId="7ADF2A06" w14:textId="77777777" w:rsidR="00C73C45" w:rsidRDefault="00C73C45" w:rsidP="00451E08">
            <w:pPr>
              <w:spacing w:after="120"/>
              <w:jc w:val="center"/>
              <w:rPr>
                <w:rFonts w:ascii="Palatino Linotype" w:eastAsia="Palatino Linotype" w:hAnsi="Palatino Linotype" w:cs="Palatino Linotype"/>
                <w:b/>
                <w:sz w:val="16"/>
                <w:szCs w:val="16"/>
              </w:rPr>
            </w:pPr>
          </w:p>
          <w:p w14:paraId="5E5C10B4" w14:textId="77777777" w:rsidR="00C73C45" w:rsidRDefault="00C73C45" w:rsidP="00451E08">
            <w:pPr>
              <w:spacing w:after="120"/>
              <w:jc w:val="center"/>
              <w:rPr>
                <w:rFonts w:ascii="Palatino Linotype" w:eastAsia="Palatino Linotype" w:hAnsi="Palatino Linotype" w:cs="Palatino Linotype"/>
                <w:b/>
                <w:sz w:val="16"/>
                <w:szCs w:val="16"/>
              </w:rPr>
            </w:pPr>
          </w:p>
          <w:p w14:paraId="0CF9B238" w14:textId="77777777" w:rsidR="00C73C45" w:rsidRDefault="00C73C45" w:rsidP="00451E08">
            <w:pPr>
              <w:spacing w:after="120"/>
              <w:jc w:val="center"/>
              <w:rPr>
                <w:rFonts w:ascii="Palatino Linotype" w:eastAsia="Palatino Linotype" w:hAnsi="Palatino Linotype" w:cs="Palatino Linotype"/>
                <w:b/>
                <w:sz w:val="16"/>
                <w:szCs w:val="16"/>
              </w:rPr>
            </w:pPr>
          </w:p>
          <w:p w14:paraId="6236C63D" w14:textId="77777777" w:rsidR="00C73C45" w:rsidRDefault="00C73C45" w:rsidP="00451E08">
            <w:pPr>
              <w:spacing w:after="120"/>
              <w:jc w:val="center"/>
              <w:rPr>
                <w:rFonts w:ascii="Palatino Linotype" w:eastAsia="Palatino Linotype" w:hAnsi="Palatino Linotype" w:cs="Palatino Linotype"/>
                <w:b/>
                <w:sz w:val="16"/>
                <w:szCs w:val="16"/>
              </w:rPr>
            </w:pPr>
          </w:p>
          <w:p w14:paraId="6A5FFF54" w14:textId="77777777" w:rsidR="00C73C45" w:rsidRDefault="00C73C45" w:rsidP="00451E08">
            <w:pPr>
              <w:spacing w:after="120"/>
              <w:jc w:val="center"/>
              <w:rPr>
                <w:rFonts w:ascii="Palatino Linotype" w:eastAsia="Palatino Linotype" w:hAnsi="Palatino Linotype" w:cs="Palatino Linotype"/>
                <w:b/>
                <w:sz w:val="16"/>
                <w:szCs w:val="16"/>
              </w:rPr>
            </w:pPr>
          </w:p>
          <w:p w14:paraId="198E83B5" w14:textId="1EE32CCD" w:rsidR="00C73C45" w:rsidRDefault="00C73C45" w:rsidP="00451E08">
            <w:pPr>
              <w:spacing w:after="120"/>
              <w:jc w:val="center"/>
              <w:rPr>
                <w:rFonts w:ascii="Palatino Linotype" w:eastAsia="Palatino Linotype" w:hAnsi="Palatino Linotype" w:cs="Palatino Linotype"/>
                <w:b/>
                <w:sz w:val="16"/>
                <w:szCs w:val="16"/>
              </w:rPr>
            </w:pPr>
            <w:r w:rsidRPr="0069309F">
              <w:rPr>
                <w:rFonts w:ascii="Palatino Linotype" w:eastAsia="Palatino Linotype" w:hAnsi="Palatino Linotype" w:cs="Palatino Linotype"/>
                <w:b/>
                <w:sz w:val="16"/>
                <w:szCs w:val="16"/>
              </w:rPr>
              <w:t>Conexión entre los fundamentos y motivos que dieron origen a la Reserva de la información</w:t>
            </w:r>
          </w:p>
          <w:p w14:paraId="3C6710C3" w14:textId="77777777" w:rsidR="000F7389" w:rsidRDefault="000F7389" w:rsidP="00451E08">
            <w:pPr>
              <w:spacing w:after="120"/>
              <w:jc w:val="center"/>
              <w:rPr>
                <w:rFonts w:ascii="Palatino Linotype" w:eastAsia="Palatino Linotype" w:hAnsi="Palatino Linotype" w:cs="Palatino Linotype"/>
                <w:b/>
                <w:sz w:val="16"/>
                <w:szCs w:val="16"/>
              </w:rPr>
            </w:pPr>
          </w:p>
          <w:p w14:paraId="2BB7604F" w14:textId="77777777" w:rsidR="000F7389" w:rsidRDefault="000F7389" w:rsidP="00451E08">
            <w:pPr>
              <w:spacing w:after="120"/>
              <w:jc w:val="center"/>
              <w:rPr>
                <w:rFonts w:ascii="Palatino Linotype" w:eastAsia="Palatino Linotype" w:hAnsi="Palatino Linotype" w:cs="Palatino Linotype"/>
                <w:b/>
                <w:sz w:val="16"/>
                <w:szCs w:val="16"/>
              </w:rPr>
            </w:pPr>
          </w:p>
          <w:p w14:paraId="0B5F7027" w14:textId="77777777" w:rsidR="00C73C45" w:rsidRDefault="00C73C45" w:rsidP="00451E08">
            <w:pPr>
              <w:spacing w:after="120"/>
              <w:jc w:val="center"/>
              <w:rPr>
                <w:rFonts w:ascii="Palatino Linotype" w:eastAsia="Palatino Linotype" w:hAnsi="Palatino Linotype" w:cs="Palatino Linotype"/>
                <w:b/>
                <w:sz w:val="16"/>
                <w:szCs w:val="16"/>
              </w:rPr>
            </w:pPr>
          </w:p>
          <w:p w14:paraId="675E40E3" w14:textId="77777777" w:rsidR="00C73C45" w:rsidRDefault="00C73C45" w:rsidP="00451E08">
            <w:pPr>
              <w:spacing w:after="120"/>
              <w:jc w:val="center"/>
              <w:rPr>
                <w:rFonts w:ascii="Palatino Linotype" w:eastAsia="Palatino Linotype" w:hAnsi="Palatino Linotype" w:cs="Palatino Linotype"/>
                <w:b/>
                <w:sz w:val="16"/>
                <w:szCs w:val="16"/>
              </w:rPr>
            </w:pPr>
          </w:p>
          <w:p w14:paraId="25EC3190" w14:textId="77777777" w:rsidR="00C73C45" w:rsidRDefault="00C73C45" w:rsidP="00451E08">
            <w:pPr>
              <w:spacing w:after="120"/>
              <w:jc w:val="center"/>
              <w:rPr>
                <w:rFonts w:ascii="Palatino Linotype" w:eastAsia="Palatino Linotype" w:hAnsi="Palatino Linotype" w:cs="Palatino Linotype"/>
                <w:b/>
                <w:sz w:val="16"/>
                <w:szCs w:val="16"/>
              </w:rPr>
            </w:pPr>
          </w:p>
          <w:p w14:paraId="713626C5" w14:textId="77777777" w:rsidR="00C73C45" w:rsidRPr="0069309F" w:rsidRDefault="00C73C45" w:rsidP="00451E08">
            <w:pPr>
              <w:spacing w:after="120"/>
              <w:jc w:val="center"/>
              <w:rPr>
                <w:rFonts w:ascii="Palatino Linotype" w:eastAsia="Palatino Linotype" w:hAnsi="Palatino Linotype" w:cs="Palatino Linotype"/>
                <w:b/>
                <w:sz w:val="16"/>
                <w:szCs w:val="16"/>
              </w:rPr>
            </w:pPr>
          </w:p>
        </w:tc>
        <w:tc>
          <w:tcPr>
            <w:tcW w:w="1770" w:type="dxa"/>
            <w:vAlign w:val="center"/>
          </w:tcPr>
          <w:p w14:paraId="457A3C04" w14:textId="11AD74AB" w:rsidR="00C73C45" w:rsidRPr="00F347AF" w:rsidRDefault="00F347AF" w:rsidP="00451E08">
            <w:pPr>
              <w:spacing w:after="120"/>
              <w:ind w:left="47"/>
              <w:jc w:val="center"/>
              <w:rPr>
                <w:rFonts w:ascii="Palatino Linotype" w:eastAsia="Palatino Linotype" w:hAnsi="Palatino Linotype" w:cs="Palatino Linotype"/>
                <w:b/>
                <w:sz w:val="18"/>
                <w:szCs w:val="18"/>
              </w:rPr>
            </w:pPr>
            <w:r w:rsidRPr="00F347AF">
              <w:rPr>
                <w:rFonts w:ascii="Palatino Linotype" w:eastAsia="Palatino Linotype" w:hAnsi="Palatino Linotype" w:cs="Palatino Linotype"/>
                <w:b/>
                <w:sz w:val="18"/>
                <w:szCs w:val="18"/>
              </w:rPr>
              <w:lastRenderedPageBreak/>
              <w:t>PARCIAL</w:t>
            </w:r>
          </w:p>
        </w:tc>
        <w:tc>
          <w:tcPr>
            <w:tcW w:w="6021" w:type="dxa"/>
            <w:vAlign w:val="center"/>
          </w:tcPr>
          <w:p w14:paraId="7D5D4762" w14:textId="220DEDA7" w:rsidR="00C73C45" w:rsidRPr="0069309F" w:rsidRDefault="000751CF" w:rsidP="00451E08">
            <w:pPr>
              <w:pBdr>
                <w:top w:val="nil"/>
                <w:left w:val="nil"/>
                <w:bottom w:val="nil"/>
                <w:right w:val="nil"/>
                <w:between w:val="nil"/>
              </w:pBdr>
              <w:spacing w:after="120"/>
              <w:ind w:left="29" w:firstLine="18"/>
              <w:jc w:val="center"/>
              <w:rPr>
                <w:color w:val="000000"/>
              </w:rPr>
            </w:pPr>
            <w:r>
              <w:rPr>
                <w:noProof/>
              </w:rPr>
              <w:object w:dxaOrig="1440" w:dyaOrig="1440" w14:anchorId="10FAB098">
                <v:shape id="_x0000_s2052" type="#_x0000_t75" style="position:absolute;left:0;text-align:left;margin-left:2.1pt;margin-top:.35pt;width:291.25pt;height:108.45pt;z-index:251851763;mso-position-horizontal:absolute;mso-position-horizontal-relative:text;mso-position-vertical:absolute;mso-position-vertical-relative:text;mso-width-relative:page;mso-height-relative:page" wrapcoords="-56 0 -56 21451 21600 21451 21600 0 -56 0">
                  <v:imagedata r:id="rId22" o:title=""/>
                  <w10:wrap type="through"/>
                </v:shape>
                <o:OLEObject Type="Embed" ProgID="PBrush" ShapeID="_x0000_s2052" DrawAspect="Content" ObjectID="_1747552902" r:id="rId23"/>
              </w:object>
            </w:r>
          </w:p>
          <w:p w14:paraId="516F4A1A" w14:textId="77777777" w:rsidR="00C73C45" w:rsidRPr="0069309F" w:rsidRDefault="00C73C45" w:rsidP="00451E08">
            <w:pPr>
              <w:pBdr>
                <w:top w:val="nil"/>
                <w:left w:val="nil"/>
                <w:bottom w:val="nil"/>
                <w:right w:val="nil"/>
                <w:between w:val="nil"/>
              </w:pBdr>
              <w:spacing w:after="120"/>
              <w:rPr>
                <w:color w:val="000000"/>
              </w:rPr>
            </w:pPr>
          </w:p>
        </w:tc>
      </w:tr>
      <w:tr w:rsidR="00C73C45" w:rsidRPr="0069309F" w14:paraId="7727E5A1" w14:textId="77777777" w:rsidTr="00451E08">
        <w:tc>
          <w:tcPr>
            <w:tcW w:w="9326" w:type="dxa"/>
            <w:gridSpan w:val="3"/>
            <w:shd w:val="clear" w:color="auto" w:fill="D9D9D9"/>
            <w:vAlign w:val="center"/>
          </w:tcPr>
          <w:p w14:paraId="3D36B76F" w14:textId="77777777" w:rsidR="00C73C45" w:rsidRPr="0069309F" w:rsidRDefault="00C73C45" w:rsidP="00451E08">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rPr>
            </w:pPr>
            <w:r w:rsidRPr="0069309F">
              <w:rPr>
                <w:rFonts w:ascii="Palatino Linotype" w:eastAsia="Palatino Linotype" w:hAnsi="Palatino Linotype" w:cs="Palatino Linotype"/>
                <w:b/>
                <w:color w:val="000000"/>
              </w:rPr>
              <w:t>Prueba de Daño</w:t>
            </w:r>
          </w:p>
        </w:tc>
      </w:tr>
      <w:tr w:rsidR="00C73C45" w:rsidRPr="0069309F" w14:paraId="282959D9" w14:textId="77777777" w:rsidTr="00223CAE">
        <w:trPr>
          <w:trHeight w:val="4990"/>
        </w:trPr>
        <w:tc>
          <w:tcPr>
            <w:tcW w:w="1535" w:type="dxa"/>
            <w:vAlign w:val="center"/>
          </w:tcPr>
          <w:p w14:paraId="50A13631" w14:textId="77777777" w:rsidR="00C73C45" w:rsidRPr="0069309F" w:rsidRDefault="00C73C45" w:rsidP="00451E08">
            <w:pPr>
              <w:spacing w:after="120"/>
              <w:jc w:val="center"/>
              <w:rPr>
                <w:rFonts w:ascii="Palatino Linotype" w:eastAsia="Palatino Linotype" w:hAnsi="Palatino Linotype" w:cs="Palatino Linotype"/>
                <w:b/>
                <w:sz w:val="16"/>
                <w:szCs w:val="16"/>
              </w:rPr>
            </w:pPr>
            <w:r w:rsidRPr="0069309F">
              <w:rPr>
                <w:rFonts w:ascii="Palatino Linotype" w:eastAsia="Palatino Linotype" w:hAnsi="Palatino Linotype" w:cs="Palatino Linotype"/>
                <w:b/>
                <w:sz w:val="16"/>
                <w:szCs w:val="16"/>
              </w:rPr>
              <w:t>Riesgo Real, Demostrable e Identificable</w:t>
            </w:r>
          </w:p>
          <w:p w14:paraId="53A8D46F" w14:textId="77777777" w:rsidR="00C73C45" w:rsidRPr="0069309F" w:rsidRDefault="00C73C45" w:rsidP="00451E08">
            <w:pPr>
              <w:spacing w:after="120"/>
              <w:jc w:val="center"/>
              <w:rPr>
                <w:rFonts w:ascii="Palatino Linotype" w:eastAsia="Palatino Linotype" w:hAnsi="Palatino Linotype" w:cs="Palatino Linotype"/>
                <w:b/>
                <w:sz w:val="16"/>
                <w:szCs w:val="16"/>
              </w:rPr>
            </w:pPr>
            <w:r w:rsidRPr="0069309F">
              <w:rPr>
                <w:rFonts w:ascii="Palatino Linotype" w:eastAsia="Palatino Linotype" w:hAnsi="Palatino Linotype" w:cs="Palatino Linotype"/>
                <w:b/>
                <w:sz w:val="16"/>
                <w:szCs w:val="16"/>
              </w:rPr>
              <w:t>(Modo, Tiempo y Lugar)</w:t>
            </w:r>
          </w:p>
        </w:tc>
        <w:tc>
          <w:tcPr>
            <w:tcW w:w="1770" w:type="dxa"/>
            <w:vAlign w:val="center"/>
          </w:tcPr>
          <w:p w14:paraId="0EEA8FFA" w14:textId="799CDF36" w:rsidR="00C73C45" w:rsidRPr="000F7389" w:rsidRDefault="000F7389" w:rsidP="00451E08">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sz w:val="18"/>
                <w:szCs w:val="18"/>
              </w:rPr>
            </w:pPr>
            <w:r w:rsidRPr="000F7389">
              <w:rPr>
                <w:rFonts w:ascii="Palatino Linotype" w:eastAsia="Palatino Linotype" w:hAnsi="Palatino Linotype" w:cs="Palatino Linotype"/>
                <w:b/>
                <w:color w:val="000000"/>
                <w:sz w:val="18"/>
                <w:szCs w:val="18"/>
              </w:rPr>
              <w:t>PARCIAL</w:t>
            </w:r>
          </w:p>
        </w:tc>
        <w:tc>
          <w:tcPr>
            <w:tcW w:w="6021" w:type="dxa"/>
            <w:vAlign w:val="center"/>
          </w:tcPr>
          <w:p w14:paraId="57A221A4" w14:textId="77777777" w:rsidR="00C73C45" w:rsidRPr="0069309F" w:rsidRDefault="00C73C45" w:rsidP="00451E08">
            <w:pPr>
              <w:rPr>
                <w:rFonts w:ascii="Palatino Linotype" w:eastAsia="Palatino Linotype" w:hAnsi="Palatino Linotype" w:cs="Palatino Linotype"/>
              </w:rPr>
            </w:pPr>
          </w:p>
          <w:p w14:paraId="01F176C9" w14:textId="097024BF" w:rsidR="00C73C45" w:rsidRPr="0069309F" w:rsidRDefault="000F7389" w:rsidP="00451E08">
            <w:pPr>
              <w:rPr>
                <w:rFonts w:ascii="Palatino Linotype" w:eastAsia="Palatino Linotype" w:hAnsi="Palatino Linotype" w:cs="Palatino Linotype"/>
              </w:rPr>
            </w:pPr>
            <w:r>
              <w:object w:dxaOrig="11040" w:dyaOrig="9432" w14:anchorId="184A19E9">
                <v:shape id="_x0000_i1032" type="#_x0000_t75" style="width:4in;height:244.8pt" o:ole="">
                  <v:imagedata r:id="rId24" o:title=""/>
                </v:shape>
                <o:OLEObject Type="Embed" ProgID="PBrush" ShapeID="_x0000_i1032" DrawAspect="Content" ObjectID="_1747552899" r:id="rId25"/>
              </w:object>
            </w:r>
          </w:p>
          <w:p w14:paraId="2766A735" w14:textId="77777777" w:rsidR="00C73C45" w:rsidRPr="0069309F" w:rsidRDefault="00C73C45" w:rsidP="00451E08">
            <w:pPr>
              <w:jc w:val="both"/>
              <w:rPr>
                <w:rFonts w:ascii="Palatino Linotype" w:eastAsia="Palatino Linotype" w:hAnsi="Palatino Linotype" w:cs="Palatino Linotype"/>
              </w:rPr>
            </w:pPr>
          </w:p>
        </w:tc>
      </w:tr>
      <w:tr w:rsidR="00C73C45" w:rsidRPr="0069309F" w14:paraId="535E52A3" w14:textId="77777777" w:rsidTr="00223CAE">
        <w:trPr>
          <w:trHeight w:val="4087"/>
        </w:trPr>
        <w:tc>
          <w:tcPr>
            <w:tcW w:w="1535" w:type="dxa"/>
            <w:vAlign w:val="center"/>
          </w:tcPr>
          <w:p w14:paraId="5568B026" w14:textId="77777777" w:rsidR="00C73C45" w:rsidRPr="0069309F" w:rsidRDefault="00C73C45" w:rsidP="00451E08">
            <w:pPr>
              <w:spacing w:after="120"/>
              <w:jc w:val="center"/>
              <w:rPr>
                <w:rFonts w:ascii="Palatino Linotype" w:eastAsia="Palatino Linotype" w:hAnsi="Palatino Linotype" w:cs="Palatino Linotype"/>
                <w:b/>
                <w:sz w:val="16"/>
                <w:szCs w:val="16"/>
              </w:rPr>
            </w:pPr>
            <w:r w:rsidRPr="0069309F">
              <w:rPr>
                <w:rFonts w:ascii="Palatino Linotype" w:eastAsia="Palatino Linotype" w:hAnsi="Palatino Linotype" w:cs="Palatino Linotype"/>
                <w:b/>
                <w:sz w:val="16"/>
                <w:szCs w:val="16"/>
              </w:rPr>
              <w:t>Temporalidad de la Reserva de la información</w:t>
            </w:r>
          </w:p>
        </w:tc>
        <w:tc>
          <w:tcPr>
            <w:tcW w:w="1770" w:type="dxa"/>
            <w:shd w:val="clear" w:color="auto" w:fill="auto"/>
            <w:vAlign w:val="center"/>
          </w:tcPr>
          <w:p w14:paraId="2C3A853C" w14:textId="200E5783" w:rsidR="00C73C45" w:rsidRPr="000F7389" w:rsidRDefault="000F7389" w:rsidP="00451E08">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sz w:val="18"/>
                <w:szCs w:val="18"/>
              </w:rPr>
            </w:pPr>
            <w:r w:rsidRPr="000F7389">
              <w:rPr>
                <w:rFonts w:ascii="Palatino Linotype" w:eastAsia="Palatino Linotype" w:hAnsi="Palatino Linotype" w:cs="Palatino Linotype"/>
                <w:b/>
                <w:color w:val="000000"/>
                <w:sz w:val="18"/>
                <w:szCs w:val="18"/>
              </w:rPr>
              <w:t>SÍ</w:t>
            </w:r>
          </w:p>
        </w:tc>
        <w:tc>
          <w:tcPr>
            <w:tcW w:w="6021" w:type="dxa"/>
            <w:vAlign w:val="center"/>
          </w:tcPr>
          <w:p w14:paraId="5C162A0F" w14:textId="77777777" w:rsidR="00C73C45" w:rsidRPr="0069309F" w:rsidRDefault="00C73C45" w:rsidP="00451E08">
            <w:pPr>
              <w:pBdr>
                <w:top w:val="nil"/>
                <w:left w:val="nil"/>
                <w:bottom w:val="nil"/>
                <w:right w:val="nil"/>
                <w:between w:val="nil"/>
              </w:pBdr>
              <w:spacing w:after="120"/>
              <w:ind w:left="29" w:firstLine="18"/>
              <w:jc w:val="center"/>
              <w:rPr>
                <w:color w:val="000000"/>
              </w:rPr>
            </w:pPr>
          </w:p>
          <w:p w14:paraId="5958646E" w14:textId="77777777" w:rsidR="00C73C45" w:rsidRPr="0069309F" w:rsidRDefault="00C73C45" w:rsidP="00451E08"/>
          <w:p w14:paraId="2F11A7C7" w14:textId="54626369" w:rsidR="00C73C45" w:rsidRPr="0069309F" w:rsidRDefault="000F7389" w:rsidP="00451E08">
            <w:r>
              <w:object w:dxaOrig="12336" w:dyaOrig="6564" w14:anchorId="33E2E1E3">
                <v:shape id="_x0000_i1033" type="#_x0000_t75" style="width:4in;height:151.2pt" o:ole="">
                  <v:imagedata r:id="rId26" o:title=""/>
                </v:shape>
                <o:OLEObject Type="Embed" ProgID="PBrush" ShapeID="_x0000_i1033" DrawAspect="Content" ObjectID="_1747552900" r:id="rId27"/>
              </w:object>
            </w:r>
          </w:p>
        </w:tc>
      </w:tr>
      <w:tr w:rsidR="00C73C45" w:rsidRPr="0069309F" w14:paraId="38E449CF" w14:textId="77777777" w:rsidTr="00F06D25">
        <w:trPr>
          <w:trHeight w:val="301"/>
        </w:trPr>
        <w:tc>
          <w:tcPr>
            <w:tcW w:w="1535" w:type="dxa"/>
            <w:vAlign w:val="center"/>
          </w:tcPr>
          <w:p w14:paraId="64950CC8" w14:textId="77777777" w:rsidR="00C73C45" w:rsidRPr="0069309F" w:rsidRDefault="00C73C45" w:rsidP="00451E08">
            <w:pPr>
              <w:tabs>
                <w:tab w:val="left" w:pos="317"/>
              </w:tabs>
              <w:spacing w:after="120"/>
              <w:jc w:val="center"/>
              <w:rPr>
                <w:rFonts w:ascii="Palatino Linotype" w:eastAsia="Palatino Linotype" w:hAnsi="Palatino Linotype" w:cs="Palatino Linotype"/>
                <w:b/>
                <w:sz w:val="16"/>
                <w:szCs w:val="16"/>
              </w:rPr>
            </w:pPr>
            <w:r w:rsidRPr="0069309F">
              <w:rPr>
                <w:rFonts w:ascii="Palatino Linotype" w:eastAsia="Palatino Linotype" w:hAnsi="Palatino Linotype" w:cs="Palatino Linotype"/>
                <w:b/>
                <w:sz w:val="16"/>
                <w:szCs w:val="16"/>
              </w:rPr>
              <w:lastRenderedPageBreak/>
              <w:t>Autoridades competentes.</w:t>
            </w:r>
          </w:p>
        </w:tc>
        <w:tc>
          <w:tcPr>
            <w:tcW w:w="1770" w:type="dxa"/>
            <w:vAlign w:val="center"/>
          </w:tcPr>
          <w:p w14:paraId="45183F21" w14:textId="25180519" w:rsidR="00C73C45" w:rsidRPr="00237402" w:rsidRDefault="000F7389" w:rsidP="00451E08">
            <w:pPr>
              <w:pBdr>
                <w:top w:val="nil"/>
                <w:left w:val="nil"/>
                <w:bottom w:val="nil"/>
                <w:right w:val="nil"/>
                <w:between w:val="nil"/>
              </w:pBdr>
              <w:spacing w:after="120"/>
              <w:ind w:left="29" w:firstLine="18"/>
              <w:jc w:val="center"/>
              <w:rPr>
                <w:rFonts w:ascii="Palatino Linotype" w:eastAsia="Palatino Linotype" w:hAnsi="Palatino Linotype" w:cs="Palatino Linotype"/>
                <w:bCs/>
                <w:color w:val="000000"/>
                <w:sz w:val="18"/>
                <w:szCs w:val="18"/>
              </w:rPr>
            </w:pPr>
            <w:r w:rsidRPr="00237402">
              <w:rPr>
                <w:rFonts w:ascii="Palatino Linotype" w:eastAsia="Palatino Linotype" w:hAnsi="Palatino Linotype" w:cs="Palatino Linotype"/>
                <w:bCs/>
                <w:color w:val="000000"/>
                <w:sz w:val="18"/>
                <w:szCs w:val="18"/>
              </w:rPr>
              <w:t>SÍ</w:t>
            </w:r>
          </w:p>
        </w:tc>
        <w:tc>
          <w:tcPr>
            <w:tcW w:w="6021" w:type="dxa"/>
          </w:tcPr>
          <w:p w14:paraId="4E3AB319" w14:textId="7FF686DA" w:rsidR="00C73C45" w:rsidRPr="0069309F" w:rsidRDefault="000751CF" w:rsidP="00451E08">
            <w:r>
              <w:rPr>
                <w:noProof/>
              </w:rPr>
              <w:object w:dxaOrig="1440" w:dyaOrig="1440" w14:anchorId="2F312966">
                <v:shape id="_x0000_s2053" type="#_x0000_t75" style="position:absolute;margin-left:.4pt;margin-top:27.25pt;width:289.85pt;height:216.9pt;z-index:251853811;mso-position-horizontal-relative:text;mso-position-vertical-relative:text;mso-width-relative:page;mso-height-relative:page" wrapcoords="-56 0 -56 21532 21600 21532 21600 0 -56 0">
                  <v:imagedata r:id="rId28" o:title=""/>
                  <w10:wrap type="through"/>
                </v:shape>
                <o:OLEObject Type="Embed" ProgID="PBrush" ShapeID="_x0000_s2053" DrawAspect="Content" ObjectID="_1747552903" r:id="rId29"/>
              </w:object>
            </w:r>
          </w:p>
          <w:p w14:paraId="3CF5A551" w14:textId="2FA0604B" w:rsidR="00C73C45" w:rsidRDefault="000751CF" w:rsidP="00451E08">
            <w:pPr>
              <w:tabs>
                <w:tab w:val="left" w:pos="1140"/>
              </w:tabs>
            </w:pPr>
            <w:r>
              <w:rPr>
                <w:noProof/>
              </w:rPr>
              <w:object w:dxaOrig="1440" w:dyaOrig="1440" w14:anchorId="7188DF8D">
                <v:shape id="_x0000_s2054" type="#_x0000_t75" style="position:absolute;margin-left:8.75pt;margin-top:261.2pt;width:268.75pt;height:214.3pt;z-index:251855859;mso-position-horizontal-relative:text;mso-position-vertical-relative:text;mso-width-relative:page;mso-height-relative:page" wrapcoords="-56 0 -56 21548 21600 21548 21600 0 -56 0">
                  <v:imagedata r:id="rId30" o:title=""/>
                  <w10:wrap type="through"/>
                </v:shape>
                <o:OLEObject Type="Embed" ProgID="PBrush" ShapeID="_x0000_s2054" DrawAspect="Content" ObjectID="_1747552904" r:id="rId31"/>
              </w:object>
            </w:r>
          </w:p>
          <w:p w14:paraId="36D3E918" w14:textId="77777777" w:rsidR="00C73C45" w:rsidRDefault="00C73C45" w:rsidP="00451E08">
            <w:pPr>
              <w:tabs>
                <w:tab w:val="left" w:pos="1140"/>
              </w:tabs>
            </w:pPr>
          </w:p>
          <w:p w14:paraId="7AA2214C" w14:textId="7203E956" w:rsidR="00C73C45" w:rsidRPr="0069309F" w:rsidRDefault="00C73C45" w:rsidP="00451E08">
            <w:pPr>
              <w:tabs>
                <w:tab w:val="left" w:pos="1140"/>
              </w:tabs>
            </w:pPr>
          </w:p>
        </w:tc>
      </w:tr>
    </w:tbl>
    <w:p w14:paraId="45AC99A8" w14:textId="6D4F96DC" w:rsidR="002D26D3" w:rsidRPr="002D26D3" w:rsidRDefault="002D26D3" w:rsidP="0051313D">
      <w:pPr>
        <w:pStyle w:val="Prrafodelista"/>
        <w:spacing w:before="240" w:line="360" w:lineRule="auto"/>
        <w:ind w:left="720"/>
        <w:jc w:val="both"/>
        <w:rPr>
          <w:rFonts w:ascii="Palatino Linotype" w:hAnsi="Palatino Linotype"/>
        </w:rPr>
      </w:pPr>
    </w:p>
    <w:p w14:paraId="2CCE3F89" w14:textId="1777C40E" w:rsidR="00F06D25" w:rsidRDefault="00F06D25" w:rsidP="00F06D25">
      <w:pPr>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En razón de lo anterior, se destaca que la pauta metodológica necesaria para declarar </w:t>
      </w:r>
      <w:r w:rsidR="007F52EC">
        <w:rPr>
          <w:rFonts w:ascii="Palatino Linotype" w:hAnsi="Palatino Linotype"/>
          <w:sz w:val="24"/>
          <w:szCs w:val="24"/>
        </w:rPr>
        <w:t>reserva</w:t>
      </w:r>
      <w:r>
        <w:rPr>
          <w:rFonts w:ascii="Palatino Linotype" w:hAnsi="Palatino Linotype"/>
          <w:sz w:val="24"/>
          <w:szCs w:val="24"/>
        </w:rPr>
        <w:t xml:space="preserve"> de la información, no se tiene por acreditada en el caso en particular.  Bajo este contexto, para delimitar las fronteras conceptuales entre </w:t>
      </w:r>
      <w:r w:rsidRPr="007F52EC">
        <w:rPr>
          <w:rFonts w:ascii="Palatino Linotype" w:hAnsi="Palatino Linotype"/>
          <w:bCs/>
          <w:sz w:val="24"/>
          <w:szCs w:val="24"/>
        </w:rPr>
        <w:t>falta e indebida</w:t>
      </w:r>
      <w:r w:rsidRPr="00866F25">
        <w:rPr>
          <w:rFonts w:ascii="Palatino Linotype" w:hAnsi="Palatino Linotype"/>
          <w:b/>
          <w:bCs/>
          <w:sz w:val="24"/>
          <w:szCs w:val="24"/>
          <w:u w:val="single"/>
        </w:rPr>
        <w:t xml:space="preserve"> </w:t>
      </w:r>
      <w:r w:rsidRPr="00F06D25">
        <w:rPr>
          <w:rFonts w:ascii="Palatino Linotype" w:hAnsi="Palatino Linotype"/>
          <w:sz w:val="24"/>
          <w:szCs w:val="24"/>
        </w:rPr>
        <w:t>fundamentación y motivación,</w:t>
      </w:r>
      <w:r>
        <w:rPr>
          <w:rFonts w:ascii="Palatino Linotype" w:hAnsi="Palatino Linotype"/>
          <w:sz w:val="24"/>
          <w:szCs w:val="24"/>
        </w:rPr>
        <w:t xml:space="preserve"> cobra particular relevancia la corriente que emana del Tercer Tribunal Colegiado en Materia Civil del Primer Circuito, a través de la jurisprudencia con número de registro digital </w:t>
      </w:r>
      <w:r>
        <w:rPr>
          <w:rFonts w:ascii="Palatino Linotype" w:hAnsi="Palatino Linotype"/>
          <w:b/>
          <w:sz w:val="24"/>
          <w:szCs w:val="24"/>
        </w:rPr>
        <w:t xml:space="preserve">170307 </w:t>
      </w:r>
      <w:r>
        <w:rPr>
          <w:rFonts w:ascii="Palatino Linotype" w:hAnsi="Palatino Linotype"/>
          <w:sz w:val="24"/>
          <w:szCs w:val="24"/>
        </w:rPr>
        <w:t>de la Novena Época, visible en el Semanario Judicial de la Federación y su Gaceta, Tomo XXVII, de febrero de 2008, tesis I.3o.C. J/47 en materia común, en la que establece lo siguiente:</w:t>
      </w:r>
    </w:p>
    <w:p w14:paraId="7F683F36" w14:textId="1ECA622A" w:rsidR="00F06D25" w:rsidRPr="00575268" w:rsidRDefault="00F06D25" w:rsidP="005D73DA">
      <w:pPr>
        <w:pStyle w:val="Citas"/>
        <w:rPr>
          <w:b/>
        </w:rPr>
      </w:pPr>
      <w:r>
        <w:rPr>
          <w:b/>
        </w:rPr>
        <w:t>“</w:t>
      </w:r>
      <w:r w:rsidRPr="00575268">
        <w:rPr>
          <w:b/>
        </w:rPr>
        <w:t>FUNDAMENTACIÓN Y MOTIVACIÓN. LA DIFERENCIA ENTRE</w:t>
      </w:r>
      <w:r w:rsidR="005D73DA">
        <w:rPr>
          <w:b/>
        </w:rPr>
        <w:t xml:space="preserve"> </w:t>
      </w:r>
      <w:r>
        <w:rPr>
          <w:b/>
        </w:rPr>
        <w:t>L</w:t>
      </w:r>
      <w:r w:rsidRPr="00575268">
        <w:rPr>
          <w:b/>
        </w:rPr>
        <w:t>A FALTA Y LA INDEBIDA SATISFACCIÓN DE AMBOS REQUISITOS CONSTITUCIONALES TRASCIENDE AL ORDEN EN QUE DEBEN ESTUDIARSE LOS CONCEPTOS DE VIOLACIÓN Y A LOS EFECTOS DEL FALLO PROTECTOR.</w:t>
      </w:r>
    </w:p>
    <w:p w14:paraId="5D4DEFA7" w14:textId="77777777" w:rsidR="00F06D25" w:rsidRDefault="00F06D25" w:rsidP="00F06D25">
      <w:pPr>
        <w:pStyle w:val="Citas"/>
      </w:pPr>
      <w:r>
        <w:t xml:space="preserve">La falta de fundamentación y motivación es una violación formal diversa a la indebida o incorrecta fundamentación y motivación, que es una violación material o de fondo, siendo </w:t>
      </w:r>
      <w:r w:rsidRPr="00575268">
        <w:t>distintos los efectos que genera la existencia de una u otra, por lo que el estudio de aquella omisión debe hacerse de manera previa. En efecto, el artículo </w:t>
      </w:r>
      <w:hyperlink r:id="rId32" w:history="1">
        <w:r w:rsidRPr="00575268">
          <w:t>16 constitucional</w:t>
        </w:r>
      </w:hyperlink>
      <w:r w:rsidRPr="00575268">
        <w:t> establece, en su primer párrafo, el imperativo para las autoridades de fundar y motivar sus actos</w:t>
      </w:r>
      <w:r>
        <w:t xml:space="preserve">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w:t>
      </w:r>
      <w:r>
        <w:lastRenderedPageBreak/>
        <w:t xml:space="preserve">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w:t>
      </w:r>
      <w:r>
        <w:lastRenderedPageBreak/>
        <w:t>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w:t>
      </w:r>
    </w:p>
    <w:p w14:paraId="11EFCF62" w14:textId="77777777" w:rsidR="00F06D25" w:rsidRDefault="00F06D25" w:rsidP="00F06D25">
      <w:pPr>
        <w:pStyle w:val="Citas"/>
      </w:pPr>
      <w:r>
        <w:t>TERCER TRIBUNAL COLEGIADO EN MATERIA CIVIL DEL PRIMER CIRCUITO.</w:t>
      </w:r>
    </w:p>
    <w:p w14:paraId="37F3A3CA" w14:textId="77777777" w:rsidR="00F06D25" w:rsidRDefault="00F06D25" w:rsidP="00F06D25">
      <w:pPr>
        <w:pStyle w:val="Citas"/>
      </w:pPr>
      <w:r>
        <w:t>Amparo directo 551/2005. Jorge Luis Almaral Mendívil. 20 de octubre de 2005. Unanimidad de votos. Ponente: Neófito López Ramos. Secretario: Raúl Alfaro Telpalo.</w:t>
      </w:r>
    </w:p>
    <w:p w14:paraId="18DF5746" w14:textId="77777777" w:rsidR="00F06D25" w:rsidRDefault="00F06D25" w:rsidP="00F06D25">
      <w:pPr>
        <w:pStyle w:val="Citas"/>
      </w:pPr>
      <w:r>
        <w:t>Amparo directo 66/2007. Juan Ramón Jaime Alcántara. 15 de febrero de 2007. Unanimidad de votos. Ponente: Neófito López Ramos. Secretario: Raúl Alfaro Telpalo.</w:t>
      </w:r>
    </w:p>
    <w:p w14:paraId="4B23D891" w14:textId="77777777" w:rsidR="00F06D25" w:rsidRDefault="00F06D25" w:rsidP="00F06D25">
      <w:pPr>
        <w:pStyle w:val="Citas"/>
      </w:pPr>
      <w:r>
        <w:t>Amparo directo 364/2007. Guadalupe Rodríguez Daniel. 6 de julio de 2007. Unanimidad de votos. Ponente: Neófito López Ramos. Secretaria: Greta Lozada Amezcua.</w:t>
      </w:r>
    </w:p>
    <w:p w14:paraId="39381F19" w14:textId="77777777" w:rsidR="00F06D25" w:rsidRDefault="00F06D25" w:rsidP="00F06D25">
      <w:pPr>
        <w:pStyle w:val="Citas"/>
      </w:pPr>
      <w:r>
        <w:t>Amparo directo 513/2007. Autofinanciamiento México, S.A. de C.V. 4 de octubre de 2007. Unanimidad de votos. Ponente: Neófito López Ramos. Secretario: Raúl Alfaro Telpalo.</w:t>
      </w:r>
    </w:p>
    <w:p w14:paraId="390DD58E" w14:textId="77777777" w:rsidR="00F06D25" w:rsidRPr="008F4670" w:rsidRDefault="00F06D25" w:rsidP="00F06D25">
      <w:pPr>
        <w:pStyle w:val="Citas"/>
        <w:rPr>
          <w:b/>
        </w:rPr>
      </w:pPr>
      <w:r>
        <w:lastRenderedPageBreak/>
        <w:t xml:space="preserve">Amparo directo 562/2007. Arenas y Gravas Xaltepec, S.A. 11 de octubre de 2007. Unanimidad de votos. Ponente: Neófito López Ramos. Secretario: Raúl Alfaro Telpalo.” </w:t>
      </w:r>
      <w:r>
        <w:rPr>
          <w:b/>
        </w:rPr>
        <w:t>(Sic)</w:t>
      </w:r>
    </w:p>
    <w:p w14:paraId="62C66966" w14:textId="77777777" w:rsidR="00F06D25" w:rsidRPr="00374738" w:rsidRDefault="00F06D25" w:rsidP="00F06D25">
      <w:pPr>
        <w:spacing w:after="0" w:line="360" w:lineRule="auto"/>
        <w:jc w:val="both"/>
        <w:rPr>
          <w:rFonts w:ascii="Palatino Linotype" w:hAnsi="Palatino Linotype" w:cs="Arial"/>
          <w:noProof/>
          <w:color w:val="000000"/>
          <w:sz w:val="24"/>
          <w:szCs w:val="24"/>
          <w:lang w:eastAsia="es-MX"/>
        </w:rPr>
      </w:pPr>
    </w:p>
    <w:p w14:paraId="70C64C76" w14:textId="77777777" w:rsidR="00F06D25" w:rsidRDefault="00F06D25" w:rsidP="00F06D25">
      <w:pPr>
        <w:spacing w:after="0" w:line="360" w:lineRule="auto"/>
        <w:jc w:val="both"/>
        <w:rPr>
          <w:rFonts w:ascii="Palatino Linotype" w:hAnsi="Palatino Linotype" w:cs="Arial"/>
          <w:sz w:val="24"/>
          <w:szCs w:val="24"/>
        </w:rPr>
      </w:pPr>
      <w:r w:rsidRPr="00374738">
        <w:rPr>
          <w:rFonts w:ascii="Palatino Linotype" w:hAnsi="Palatino Linotype" w:cs="Arial"/>
          <w:noProof/>
          <w:color w:val="000000"/>
          <w:sz w:val="24"/>
          <w:szCs w:val="24"/>
          <w:lang w:eastAsia="es-MX"/>
        </w:rPr>
        <w:t>En efecto, se arriba a la conclusión de que el acuerdo de clasificación remitido no cumple con la pauta metodologica prevista en la</w:t>
      </w:r>
      <w:r w:rsidRPr="00374738">
        <w:rPr>
          <w:rFonts w:ascii="Palatino Linotype" w:hAnsi="Palatino Linotype" w:cs="Arial"/>
          <w:sz w:val="24"/>
          <w:szCs w:val="24"/>
        </w:rPr>
        <w:t xml:space="preserve"> normatividad aplicable, lo anterior al tomar en consideración que el acuerdo remitido refleja indebida y falta de fundamentación y motivación. </w:t>
      </w:r>
    </w:p>
    <w:p w14:paraId="14B546D1" w14:textId="77777777" w:rsidR="00F06D25" w:rsidRDefault="00F06D25" w:rsidP="00F06D25">
      <w:pPr>
        <w:spacing w:after="0" w:line="360" w:lineRule="auto"/>
        <w:jc w:val="both"/>
        <w:rPr>
          <w:rFonts w:ascii="Palatino Linotype" w:hAnsi="Palatino Linotype" w:cs="Arial"/>
          <w:sz w:val="24"/>
          <w:szCs w:val="24"/>
        </w:rPr>
      </w:pPr>
    </w:p>
    <w:p w14:paraId="2B5CEA68" w14:textId="68A91E15" w:rsidR="00F06D25" w:rsidRDefault="00F06D25" w:rsidP="00F06D2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otra parte, al tomar en consideración el instructivo de llenado de la relación de juicios laborales vigentes, no se advierte que la naturaleza del documento en cita encauce a su clasificación como reservado en su totalidad, por el contrario, resulta de interés general y alcance público conocer los juicios laborales respecto de los cuales forma parte el Ayuntamiento. </w:t>
      </w:r>
    </w:p>
    <w:p w14:paraId="273F19C6" w14:textId="77777777" w:rsidR="005D73DA" w:rsidRDefault="005D73DA" w:rsidP="00F06D25">
      <w:pPr>
        <w:spacing w:after="0" w:line="360" w:lineRule="auto"/>
        <w:jc w:val="both"/>
        <w:rPr>
          <w:rFonts w:ascii="Palatino Linotype" w:hAnsi="Palatino Linotype" w:cs="Arial"/>
          <w:sz w:val="24"/>
          <w:szCs w:val="24"/>
        </w:rPr>
      </w:pPr>
    </w:p>
    <w:p w14:paraId="3AA96C2A" w14:textId="62FAAE3F" w:rsidR="005D73DA" w:rsidRDefault="005D73DA" w:rsidP="00F06D2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Hasta aquí lo expuesto, se desprende que la respuesta primigenia del </w:t>
      </w:r>
      <w:r>
        <w:rPr>
          <w:rFonts w:ascii="Palatino Linotype" w:hAnsi="Palatino Linotype" w:cs="Arial"/>
          <w:b/>
          <w:bCs/>
          <w:sz w:val="24"/>
          <w:szCs w:val="24"/>
        </w:rPr>
        <w:t xml:space="preserve">Sujeto Obligado </w:t>
      </w:r>
      <w:r>
        <w:rPr>
          <w:rFonts w:ascii="Palatino Linotype" w:hAnsi="Palatino Linotype" w:cs="Arial"/>
          <w:sz w:val="24"/>
          <w:szCs w:val="24"/>
        </w:rPr>
        <w:t xml:space="preserve">no colmó el derecho de acceso a la información pública. </w:t>
      </w:r>
    </w:p>
    <w:p w14:paraId="5E355DD7" w14:textId="77777777" w:rsidR="005D73DA" w:rsidRDefault="005D73DA" w:rsidP="00F06D25">
      <w:pPr>
        <w:spacing w:after="0" w:line="360" w:lineRule="auto"/>
        <w:jc w:val="both"/>
        <w:rPr>
          <w:rFonts w:ascii="Palatino Linotype" w:hAnsi="Palatino Linotype" w:cs="Arial"/>
          <w:sz w:val="24"/>
          <w:szCs w:val="24"/>
        </w:rPr>
      </w:pPr>
    </w:p>
    <w:p w14:paraId="70AD0DA5" w14:textId="6A637B50" w:rsidR="005D73DA" w:rsidRDefault="005D73DA" w:rsidP="00F06D2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Inconforme con la respuesta del </w:t>
      </w:r>
      <w:r>
        <w:rPr>
          <w:rFonts w:ascii="Palatino Linotype" w:hAnsi="Palatino Linotype" w:cs="Arial"/>
          <w:b/>
          <w:bCs/>
          <w:sz w:val="24"/>
          <w:szCs w:val="24"/>
        </w:rPr>
        <w:t xml:space="preserve">Sujeto Obligado, El Recurrente </w:t>
      </w:r>
      <w:r>
        <w:rPr>
          <w:rFonts w:ascii="Palatino Linotype" w:hAnsi="Palatino Linotype" w:cs="Arial"/>
          <w:sz w:val="24"/>
          <w:szCs w:val="24"/>
        </w:rPr>
        <w:t xml:space="preserve">interpuso recurso de revisión en fecha </w:t>
      </w:r>
      <w:r w:rsidR="0061744C">
        <w:rPr>
          <w:rFonts w:ascii="Palatino Linotype" w:hAnsi="Palatino Linotype" w:cs="Arial"/>
          <w:b/>
          <w:bCs/>
          <w:sz w:val="24"/>
          <w:szCs w:val="24"/>
        </w:rPr>
        <w:t xml:space="preserve">veintinueve de marzo, </w:t>
      </w:r>
      <w:r w:rsidR="0061744C">
        <w:rPr>
          <w:rFonts w:ascii="Palatino Linotype" w:hAnsi="Palatino Linotype" w:cs="Arial"/>
          <w:sz w:val="24"/>
          <w:szCs w:val="24"/>
        </w:rPr>
        <w:t xml:space="preserve">admitiéndose el </w:t>
      </w:r>
      <w:r w:rsidR="0061744C">
        <w:rPr>
          <w:rFonts w:ascii="Palatino Linotype" w:hAnsi="Palatino Linotype" w:cs="Arial"/>
          <w:b/>
          <w:bCs/>
          <w:sz w:val="24"/>
          <w:szCs w:val="24"/>
        </w:rPr>
        <w:t xml:space="preserve">treinta de marzo, ambos de dos mil veintitrés. </w:t>
      </w:r>
      <w:r w:rsidR="0061744C">
        <w:rPr>
          <w:rFonts w:ascii="Palatino Linotype" w:hAnsi="Palatino Linotype" w:cs="Arial"/>
          <w:sz w:val="24"/>
          <w:szCs w:val="24"/>
        </w:rPr>
        <w:t>Señalando como razones o motivos de inconformidad:</w:t>
      </w:r>
    </w:p>
    <w:p w14:paraId="32E7B2A7" w14:textId="43918045" w:rsidR="0061744C" w:rsidRPr="0061744C" w:rsidRDefault="0061744C" w:rsidP="0061744C">
      <w:pPr>
        <w:pStyle w:val="Citas"/>
        <w:rPr>
          <w:b/>
          <w:bCs/>
          <w:sz w:val="24"/>
          <w:szCs w:val="24"/>
        </w:rPr>
      </w:pPr>
      <w:r>
        <w:t xml:space="preserve">“la información no es susceptible de ser clasificada como reservada, ya que la divulgación de la misma no afecta al proceso jurídico al que refiere el comité de transparencia y/o el titular del área jurídica; información que refieren los </w:t>
      </w:r>
      <w:r>
        <w:lastRenderedPageBreak/>
        <w:t xml:space="preserve">lineamientos, Fechas de Capacitación y Calendarización para la Entrega de Informes Trimestrales de las Entidades Fiscalizables del Estado de México del Ejercicio Fiscal 2022, en su modulo 4; por lo que solicito énvien la información solicitada, y en su caso el órgano de control realice las acciones necesarias” </w:t>
      </w:r>
      <w:r>
        <w:rPr>
          <w:b/>
          <w:bCs/>
        </w:rPr>
        <w:t>(Sic)</w:t>
      </w:r>
    </w:p>
    <w:p w14:paraId="75408A1E" w14:textId="77777777" w:rsidR="005D73DA" w:rsidRDefault="005D73DA" w:rsidP="00F06D25">
      <w:pPr>
        <w:spacing w:after="0" w:line="360" w:lineRule="auto"/>
        <w:jc w:val="both"/>
        <w:rPr>
          <w:rFonts w:ascii="Palatino Linotype" w:hAnsi="Palatino Linotype" w:cs="Arial"/>
          <w:sz w:val="24"/>
          <w:szCs w:val="24"/>
        </w:rPr>
      </w:pPr>
    </w:p>
    <w:p w14:paraId="66CD2576" w14:textId="77777777" w:rsidR="0061744C" w:rsidRDefault="0061744C" w:rsidP="0061744C">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sidRPr="00535EDD">
        <w:rPr>
          <w:rFonts w:cs="Arial"/>
          <w:b/>
          <w:i w:val="0"/>
          <w:noProof/>
          <w:color w:val="000000"/>
          <w:sz w:val="24"/>
          <w:lang w:eastAsia="es-MX"/>
        </w:rPr>
        <w:t xml:space="preserve">El Recurrente, </w:t>
      </w:r>
      <w:r w:rsidRPr="00535EDD">
        <w:rPr>
          <w:rFonts w:cs="Arial"/>
          <w:i w:val="0"/>
          <w:noProof/>
          <w:color w:val="000000"/>
          <w:sz w:val="24"/>
          <w:lang w:eastAsia="es-MX"/>
        </w:rPr>
        <w:t>al tenerse por actualizadas las hipotesis normativas previstas en el artículo 179, fracciones I</w:t>
      </w:r>
      <w:r>
        <w:rPr>
          <w:rFonts w:cs="Arial"/>
          <w:i w:val="0"/>
          <w:noProof/>
          <w:color w:val="000000"/>
          <w:sz w:val="24"/>
          <w:lang w:eastAsia="es-MX"/>
        </w:rPr>
        <w:t xml:space="preserve"> y II de la Ley de Transparencia y Acceso a la Información Pública del Estado de Mexico y Municipios, cuyo contenido literal es el siguiente: </w:t>
      </w:r>
    </w:p>
    <w:p w14:paraId="67231175" w14:textId="77777777" w:rsidR="0061744C" w:rsidRDefault="0061744C" w:rsidP="0061744C">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47619D6E" w14:textId="77777777" w:rsidR="0061744C" w:rsidRDefault="0061744C" w:rsidP="0061744C">
      <w:pPr>
        <w:pStyle w:val="Citas"/>
      </w:pPr>
      <w:r>
        <w:t>I. La negativa a la información solicitada;</w:t>
      </w:r>
    </w:p>
    <w:p w14:paraId="06E15C55" w14:textId="77777777" w:rsidR="0061744C" w:rsidRPr="00E33834" w:rsidRDefault="0061744C" w:rsidP="0061744C">
      <w:pPr>
        <w:pStyle w:val="Citas"/>
        <w:rPr>
          <w:b/>
          <w:bCs/>
          <w:u w:val="single"/>
        </w:rPr>
      </w:pPr>
      <w:r w:rsidRPr="00E33834">
        <w:rPr>
          <w:b/>
          <w:bCs/>
          <w:u w:val="single"/>
        </w:rPr>
        <w:t xml:space="preserve">II. La clasificación de la información; </w:t>
      </w:r>
    </w:p>
    <w:p w14:paraId="0E9FD46A" w14:textId="77777777" w:rsidR="0061744C" w:rsidRPr="005A12AE" w:rsidRDefault="0061744C" w:rsidP="0061744C">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5EFACB8D" w14:textId="77777777" w:rsidR="005D73DA" w:rsidRDefault="005D73DA" w:rsidP="00F06D25">
      <w:pPr>
        <w:spacing w:after="0" w:line="360" w:lineRule="auto"/>
        <w:jc w:val="both"/>
        <w:rPr>
          <w:rFonts w:ascii="Palatino Linotype" w:hAnsi="Palatino Linotype" w:cs="Arial"/>
          <w:sz w:val="24"/>
          <w:szCs w:val="24"/>
        </w:rPr>
      </w:pPr>
    </w:p>
    <w:p w14:paraId="2613BF6F" w14:textId="0E143FB0" w:rsidR="0061744C" w:rsidRDefault="0061744C" w:rsidP="0061744C">
      <w:pPr>
        <w:spacing w:after="0" w:line="360" w:lineRule="auto"/>
        <w:jc w:val="both"/>
        <w:rPr>
          <w:rFonts w:ascii="Palatino Linotype" w:hAnsi="Palatino Linotype" w:cs="Arial"/>
          <w:sz w:val="24"/>
          <w:szCs w:val="24"/>
        </w:rPr>
      </w:pPr>
      <w:r w:rsidRPr="0061744C">
        <w:rPr>
          <w:rFonts w:ascii="Palatino Linotype" w:hAnsi="Palatino Linotype"/>
          <w:sz w:val="24"/>
          <w:szCs w:val="24"/>
        </w:rPr>
        <w:t>Por otra parte, como fue referido en el antecedente quinto,</w:t>
      </w:r>
      <w:r>
        <w:rPr>
          <w:rFonts w:ascii="Palatino Linotype" w:hAnsi="Palatino Linotype"/>
          <w:sz w:val="24"/>
          <w:szCs w:val="24"/>
        </w:rPr>
        <w:t xml:space="preserve"> </w:t>
      </w:r>
      <w:r>
        <w:rPr>
          <w:rFonts w:ascii="Palatino Linotype" w:hAnsi="Palatino Linotype"/>
          <w:b/>
          <w:bCs/>
          <w:sz w:val="24"/>
          <w:szCs w:val="24"/>
        </w:rPr>
        <w:t xml:space="preserve">El Sujeto Obligado </w:t>
      </w:r>
      <w:r>
        <w:rPr>
          <w:rFonts w:ascii="Palatino Linotype" w:hAnsi="Palatino Linotype"/>
          <w:sz w:val="24"/>
          <w:szCs w:val="24"/>
        </w:rPr>
        <w:t>fue omiso en rendir su informe justificado, luego entonces, no se reparó la violación al derecho de acceso a la información pública, en términos de lo expuesto en párrafos precedentes, resultando procedente ordenar la entrega de la información requerida.</w:t>
      </w:r>
    </w:p>
    <w:p w14:paraId="5E8CFEC3" w14:textId="7ED4C233" w:rsidR="005D73DA" w:rsidRPr="0061744C" w:rsidRDefault="0061744C" w:rsidP="0061744C">
      <w:pPr>
        <w:spacing w:after="0" w:line="360" w:lineRule="auto"/>
        <w:jc w:val="both"/>
        <w:rPr>
          <w:rFonts w:ascii="Palatino Linotype" w:hAnsi="Palatino Linotype"/>
          <w:color w:val="000000" w:themeColor="text1"/>
          <w:sz w:val="24"/>
          <w:szCs w:val="24"/>
          <w:lang w:val="es-ES"/>
        </w:rPr>
      </w:pPr>
      <w:r>
        <w:rPr>
          <w:rFonts w:ascii="Palatino Linotype" w:hAnsi="Palatino Linotype" w:cs="Arial"/>
          <w:sz w:val="24"/>
          <w:szCs w:val="24"/>
          <w:lang w:val="es-ES"/>
        </w:rPr>
        <w:lastRenderedPageBreak/>
        <w:t>Ahora bien</w:t>
      </w:r>
      <w:r w:rsidRPr="0061744C">
        <w:rPr>
          <w:rFonts w:ascii="Palatino Linotype" w:hAnsi="Palatino Linotype" w:cs="Arial"/>
          <w:sz w:val="24"/>
          <w:szCs w:val="24"/>
          <w:lang w:val="es-ES"/>
        </w:rPr>
        <w:t xml:space="preserve">, particular mención requiere el nombre del servidor público en su carácter de actor que ha interpuesto demanda laboral, </w:t>
      </w:r>
      <w:r w:rsidR="005D73DA" w:rsidRPr="0061744C">
        <w:rPr>
          <w:rFonts w:ascii="Palatino Linotype" w:hAnsi="Palatino Linotype"/>
          <w:color w:val="000000" w:themeColor="text1"/>
          <w:sz w:val="24"/>
          <w:szCs w:val="24"/>
        </w:rPr>
        <w:t xml:space="preserve">este </w:t>
      </w:r>
      <w:r w:rsidR="005D73DA" w:rsidRPr="0061744C">
        <w:rPr>
          <w:rFonts w:ascii="Palatino Linotype" w:hAnsi="Palatino Linotype"/>
          <w:color w:val="000000" w:themeColor="text1"/>
          <w:sz w:val="24"/>
          <w:szCs w:val="24"/>
          <w:lang w:val="es-ES"/>
        </w:rPr>
        <w:t xml:space="preserve">Órgano Garante precisa que únicamente procede de aquellos que han recibido recurso público y se debe clasificar el nombre del actor siempre y cuando el juicio se encuentre en trámite o en su defecto no haya sido favorable a su persona; es decir que no hayan recibido recurso público. </w:t>
      </w:r>
    </w:p>
    <w:p w14:paraId="62166F01" w14:textId="77777777" w:rsidR="005D73DA" w:rsidRPr="00681D93" w:rsidRDefault="005D73DA" w:rsidP="005D73DA">
      <w:pPr>
        <w:autoSpaceDE w:val="0"/>
        <w:autoSpaceDN w:val="0"/>
        <w:adjustRightInd w:val="0"/>
        <w:spacing w:line="360" w:lineRule="auto"/>
        <w:ind w:right="18"/>
        <w:jc w:val="both"/>
        <w:rPr>
          <w:rFonts w:ascii="Palatino Linotype" w:hAnsi="Palatino Linotype" w:cs="Arial"/>
          <w:bCs/>
          <w:color w:val="000000" w:themeColor="text1"/>
        </w:rPr>
      </w:pPr>
    </w:p>
    <w:p w14:paraId="11AD7659" w14:textId="5A6673BB" w:rsidR="005D73DA" w:rsidRPr="0061744C" w:rsidRDefault="005D73DA" w:rsidP="005D73DA">
      <w:pPr>
        <w:autoSpaceDE w:val="0"/>
        <w:autoSpaceDN w:val="0"/>
        <w:adjustRightInd w:val="0"/>
        <w:spacing w:line="360" w:lineRule="auto"/>
        <w:ind w:right="18"/>
        <w:jc w:val="both"/>
        <w:rPr>
          <w:rFonts w:ascii="Palatino Linotype" w:hAnsi="Palatino Linotype"/>
          <w:color w:val="000000" w:themeColor="text1"/>
          <w:sz w:val="24"/>
          <w:szCs w:val="24"/>
        </w:rPr>
      </w:pPr>
      <w:r w:rsidRPr="0061744C">
        <w:rPr>
          <w:rFonts w:ascii="Palatino Linotype" w:hAnsi="Palatino Linotype" w:cs="Arial"/>
          <w:bCs/>
          <w:color w:val="000000" w:themeColor="text1"/>
          <w:sz w:val="24"/>
          <w:szCs w:val="24"/>
        </w:rPr>
        <w:t xml:space="preserve">A efecto de sustentar lo anterior, resulta aplicable </w:t>
      </w:r>
      <w:r w:rsidRPr="0061744C">
        <w:rPr>
          <w:rFonts w:ascii="Palatino Linotype" w:hAnsi="Palatino Linotype" w:cs="Arial"/>
          <w:color w:val="000000" w:themeColor="text1"/>
          <w:sz w:val="24"/>
          <w:szCs w:val="24"/>
        </w:rPr>
        <w:t>lo plasmado en el criterio</w:t>
      </w:r>
      <w:r w:rsidRPr="0061744C">
        <w:rPr>
          <w:rFonts w:ascii="Palatino Linotype" w:hAnsi="Palatino Linotype"/>
          <w:color w:val="000000" w:themeColor="text1"/>
          <w:sz w:val="24"/>
          <w:szCs w:val="24"/>
        </w:rPr>
        <w:t xml:space="preserve"> 19-13 emitido por el entonces Instituto Federal de Acceso a la Información y Protección de Datos (IFAI) ahora Instituto Nacional de Transparencia, Acceso a la Información, y Protección de Datos Personales (INAI), cuyo rubro y texto disponen a la literalidad lo siguiente: </w:t>
      </w:r>
    </w:p>
    <w:p w14:paraId="776BDCD2" w14:textId="738BADE7" w:rsidR="005D73DA" w:rsidRPr="005D73DA" w:rsidRDefault="005D73DA" w:rsidP="005D73DA">
      <w:pPr>
        <w:pStyle w:val="Citas"/>
        <w:rPr>
          <w:b/>
          <w:bCs/>
        </w:rPr>
      </w:pPr>
      <w:r w:rsidRPr="005D73DA">
        <w:rPr>
          <w:b/>
          <w:bCs/>
        </w:rPr>
        <w:t xml:space="preserve">“NOMBRE DE ACTORES EN JUICIOS LABORALES CONSTITUYE, EN PRINCIPIO, INFORMACIÓN CONFIDENCIAL. </w:t>
      </w:r>
    </w:p>
    <w:p w14:paraId="4C24436C" w14:textId="323597A9" w:rsidR="005D73DA" w:rsidRPr="005D73DA" w:rsidRDefault="005D73DA" w:rsidP="005D73DA">
      <w:pPr>
        <w:pStyle w:val="Citas"/>
        <w:rPr>
          <w:b/>
          <w:bCs/>
        </w:rPr>
      </w:pPr>
      <w:r w:rsidRPr="00681D93">
        <w:t xml:space="preserve">El nombre es un atributo de la personalidad y la manifestación principal del derecho a la identidad, en razón de que por sí mismo permite identificar a una persona física. Por lo que respecta al nombre de las personas que han entablado un juicio laboral, éste permite identificar a los actores que presentaron una demanda laboral y participan en un juicio, lo cual constituye una decisión personal que refleja un acto de voluntad de quien lo realiza. En efecto, las acciones legales que emprenden los actores en el ejercicio de sus derechos laborales hacen evidente la posición jurídica en la cual se han colocado por decisión propia, con relación a determinados órganos de gobierno, para la obtención de algunas prestaciones laborales o económicas, lo cual constituye cuestiones de carácter estrictamente privado. En este tenor, el nombre de los actores de los juicios laborales que se encuentran en trámite o que, en su defecto, </w:t>
      </w:r>
      <w:r w:rsidRPr="00681D93">
        <w:lastRenderedPageBreak/>
        <w:t>concluyeron con la emisión de un laudo desfavorable a los intereses personales del actor constituye información confidencial, conforme a lo dispuesto en el artículo 18, fracción II de la Ley Federal de Transparencia y Acceso a la Información Pública Gubernamental. No obstante, procede la entrega del nombre de los actores en juicios laborales cuando, en definitiva, se haya condenado a una dependencia o entidad al pago de las prestaciones económicas reclamadas o la reinstalación del servidor público, en virtud de que el cumplimiento de dicho fallo se realiza  necesariamente  con  recursos  públicos  a  cargo  del  presupuesto  del  sujeto obligado, lo cual permite por una parte, dar cumplimiento a las obligaciones de transparencia contenidas en el artículo 7, fracciones III, IV, IX y XVII de la Ley y, por la otra, transparenta la gestión pública y favorece la rendición de cuentas a los ciudadanos, ya que se refiere al ejercicio de los recursos públicos y al cumplimiento que se da a las resoluciones emitidas por alguna autoridad jurisdiccional encargada de dirimir conflictos laborales.”</w:t>
      </w:r>
      <w:r>
        <w:t xml:space="preserve"> </w:t>
      </w:r>
      <w:r>
        <w:rPr>
          <w:b/>
          <w:bCs/>
        </w:rPr>
        <w:t>(Sic)</w:t>
      </w:r>
    </w:p>
    <w:p w14:paraId="263B6AB7" w14:textId="77777777" w:rsidR="005D73DA" w:rsidRPr="00681D93" w:rsidRDefault="005D73DA" w:rsidP="005D73DA">
      <w:pPr>
        <w:jc w:val="both"/>
        <w:rPr>
          <w:rFonts w:ascii="Palatino Linotype" w:hAnsi="Palatino Linotype"/>
          <w:color w:val="000000" w:themeColor="text1"/>
          <w:lang w:val="es-ES"/>
        </w:rPr>
      </w:pPr>
    </w:p>
    <w:p w14:paraId="5079B836" w14:textId="77777777" w:rsidR="005D73DA" w:rsidRPr="0061744C" w:rsidRDefault="005D73DA" w:rsidP="005D73DA">
      <w:pPr>
        <w:spacing w:line="360" w:lineRule="auto"/>
        <w:jc w:val="both"/>
        <w:rPr>
          <w:rFonts w:ascii="Palatino Linotype" w:hAnsi="Palatino Linotype" w:cs="Arial"/>
          <w:bCs/>
          <w:color w:val="000000" w:themeColor="text1"/>
          <w:sz w:val="24"/>
          <w:szCs w:val="24"/>
          <w:lang w:val="es-ES"/>
        </w:rPr>
      </w:pPr>
      <w:r w:rsidRPr="0061744C">
        <w:rPr>
          <w:rFonts w:ascii="Palatino Linotype" w:hAnsi="Palatino Linotype"/>
          <w:color w:val="000000" w:themeColor="text1"/>
          <w:sz w:val="24"/>
          <w:szCs w:val="24"/>
          <w:lang w:val="es-ES"/>
        </w:rPr>
        <w:t>Ahora bien, es procedente la entrega del nombre de los actores en juicios cuando en definitiva, se haya condenado a una dependencia o entidad al pago, en virtud de que el cumplimiento de dicho fallo se realiza  necesariamente  con  recursos  públicos  a  cargo  del  presupuesto  del  sujeto obligado; por lo tanto el nombre de los actores en este supuesto es de</w:t>
      </w:r>
      <w:r w:rsidRPr="0061744C">
        <w:rPr>
          <w:rFonts w:ascii="Palatino Linotype" w:hAnsi="Palatino Linotype" w:cs="Arial"/>
          <w:bCs/>
          <w:color w:val="000000" w:themeColor="text1"/>
          <w:sz w:val="24"/>
          <w:szCs w:val="24"/>
          <w:lang w:val="es-ES"/>
        </w:rPr>
        <w:t xml:space="preserve"> interés general y de alcance público, puesto que la ciudadanía tiene derecho a saber cuánto es el gasto ejercido para el pago derivado de juicios laborales y/o administrativos, esto es, su acceso</w:t>
      </w:r>
      <w:r w:rsidRPr="0061744C">
        <w:rPr>
          <w:rFonts w:ascii="Palatino Linotype" w:hAnsi="Palatino Linotype" w:cs="Arial"/>
          <w:color w:val="000000" w:themeColor="text1"/>
          <w:sz w:val="24"/>
          <w:szCs w:val="24"/>
          <w:lang w:val="es-ES"/>
        </w:rPr>
        <w:t xml:space="preserve"> </w:t>
      </w:r>
      <w:r w:rsidRPr="0061744C">
        <w:rPr>
          <w:rFonts w:ascii="Palatino Linotype" w:hAnsi="Palatino Linotype" w:cs="Arial"/>
          <w:bCs/>
          <w:color w:val="000000" w:themeColor="text1"/>
          <w:sz w:val="24"/>
          <w:szCs w:val="24"/>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w:t>
      </w:r>
      <w:r w:rsidRPr="0061744C">
        <w:rPr>
          <w:rFonts w:ascii="Palatino Linotype" w:hAnsi="Palatino Linotype" w:cs="Arial"/>
          <w:bCs/>
          <w:color w:val="000000" w:themeColor="text1"/>
          <w:sz w:val="24"/>
          <w:szCs w:val="24"/>
          <w:lang w:val="es-ES"/>
        </w:rPr>
        <w:lastRenderedPageBreak/>
        <w:t xml:space="preserve">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606270C3" w14:textId="77777777" w:rsidR="005D73DA" w:rsidRPr="00681D93" w:rsidRDefault="005D73DA" w:rsidP="005D73DA">
      <w:pPr>
        <w:pStyle w:val="Citas"/>
        <w:rPr>
          <w:lang w:val="es-ES"/>
        </w:rPr>
      </w:pPr>
      <w:r w:rsidRPr="00681D93">
        <w:rPr>
          <w:lang w:val="es-ES"/>
        </w:rPr>
        <w:t>“</w:t>
      </w:r>
      <w:r w:rsidRPr="00681D93">
        <w:rPr>
          <w:b/>
          <w:lang w:val="es-ES"/>
        </w:rPr>
        <w:t>Artículo 23</w:t>
      </w:r>
      <w:r w:rsidRPr="00681D93">
        <w:rPr>
          <w:lang w:val="es-ES"/>
        </w:rPr>
        <w:t xml:space="preserve"> Son </w:t>
      </w:r>
      <w:r w:rsidRPr="00681D93">
        <w:rPr>
          <w:rFonts w:eastAsia="Calibri"/>
        </w:rPr>
        <w:t>sujetos</w:t>
      </w:r>
      <w:r w:rsidRPr="00681D93">
        <w:rPr>
          <w:lang w:val="es-ES"/>
        </w:rPr>
        <w:t xml:space="preserve"> obligados a transparentar y permitir el acceso a su información y proteger los datos personales que obren en su poder:</w:t>
      </w:r>
    </w:p>
    <w:p w14:paraId="2584F750" w14:textId="77777777" w:rsidR="005D73DA" w:rsidRPr="00681D93" w:rsidRDefault="005D73DA" w:rsidP="005D73DA">
      <w:pPr>
        <w:pStyle w:val="Citas"/>
        <w:rPr>
          <w:lang w:val="es-ES"/>
        </w:rPr>
      </w:pPr>
      <w:r w:rsidRPr="00681D93">
        <w:rPr>
          <w:b/>
          <w:lang w:val="es-ES"/>
        </w:rPr>
        <w:t>IV.</w:t>
      </w:r>
      <w:r w:rsidRPr="00681D93">
        <w:rPr>
          <w:lang w:val="es-ES"/>
        </w:rPr>
        <w:t xml:space="preserve"> Los ayuntamientos </w:t>
      </w:r>
      <w:r w:rsidRPr="00681D93">
        <w:rPr>
          <w:b/>
          <w:u w:val="single"/>
          <w:lang w:val="es-ES"/>
        </w:rPr>
        <w:t>y las dependencias, organismos, órganos y entidades de la administración municipal;</w:t>
      </w:r>
    </w:p>
    <w:p w14:paraId="06A6D70D" w14:textId="77777777" w:rsidR="005D73DA" w:rsidRPr="00681D93" w:rsidRDefault="005D73DA" w:rsidP="005D73DA">
      <w:pPr>
        <w:pStyle w:val="Citas"/>
        <w:rPr>
          <w:b/>
          <w:lang w:val="es-ES"/>
        </w:rPr>
      </w:pPr>
      <w:r w:rsidRPr="00681D93">
        <w:rPr>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 (Sic)</w:t>
      </w:r>
    </w:p>
    <w:p w14:paraId="0F484DE9" w14:textId="4994AFD1" w:rsidR="00F06D25" w:rsidRDefault="00F06D25" w:rsidP="00F06D25">
      <w:pPr>
        <w:spacing w:after="0" w:line="360" w:lineRule="auto"/>
        <w:jc w:val="both"/>
        <w:rPr>
          <w:rFonts w:ascii="Palatino Linotype" w:hAnsi="Palatino Linotype" w:cs="Arial"/>
          <w:sz w:val="24"/>
          <w:szCs w:val="24"/>
        </w:rPr>
      </w:pPr>
    </w:p>
    <w:p w14:paraId="54FF3AE6" w14:textId="5186CF1E" w:rsidR="00F06D25" w:rsidRDefault="0061744C" w:rsidP="00F06D25">
      <w:pPr>
        <w:spacing w:after="0" w:line="360" w:lineRule="auto"/>
        <w:jc w:val="both"/>
        <w:rPr>
          <w:rFonts w:ascii="Palatino Linotype" w:hAnsi="Palatino Linotype" w:cs="Arial"/>
          <w:sz w:val="24"/>
          <w:szCs w:val="24"/>
        </w:rPr>
      </w:pPr>
      <w:r>
        <w:rPr>
          <w:rFonts w:ascii="Palatino Linotype" w:hAnsi="Palatino Linotype" w:cs="Arial"/>
          <w:sz w:val="24"/>
          <w:szCs w:val="24"/>
        </w:rPr>
        <w:t>Con base en lo anteriormente expuesto, resulta procedente ordenar entrega de la siguiente información en versión pública:</w:t>
      </w:r>
    </w:p>
    <w:p w14:paraId="367643EB" w14:textId="18B0B5F3" w:rsidR="0061744C" w:rsidRDefault="0061744C" w:rsidP="0061744C">
      <w:pPr>
        <w:pStyle w:val="Prrafodelista"/>
        <w:numPr>
          <w:ilvl w:val="0"/>
          <w:numId w:val="34"/>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Relación de juicios laborales vigentes</w:t>
      </w:r>
      <w:r w:rsidR="008C0DDD">
        <w:rPr>
          <w:rFonts w:ascii="Palatino Linotype" w:hAnsi="Palatino Linotype" w:cs="Arial"/>
        </w:rPr>
        <w:t xml:space="preserve"> entregado al Órgano Superior de Fiscalización del Estado de México</w:t>
      </w:r>
      <w:r>
        <w:rPr>
          <w:rFonts w:ascii="Palatino Linotype" w:hAnsi="Palatino Linotype" w:cs="Arial"/>
        </w:rPr>
        <w:t xml:space="preserve">, al veintitrés de febrero de dos mil veintitrés. </w:t>
      </w:r>
    </w:p>
    <w:p w14:paraId="149352D5" w14:textId="77777777" w:rsidR="0061744C" w:rsidRPr="0061744C" w:rsidRDefault="0061744C" w:rsidP="00F06D25">
      <w:pPr>
        <w:spacing w:after="0" w:line="360" w:lineRule="auto"/>
        <w:jc w:val="both"/>
        <w:rPr>
          <w:rFonts w:ascii="Palatino Linotype" w:hAnsi="Palatino Linotype" w:cs="Arial"/>
          <w:sz w:val="24"/>
          <w:szCs w:val="24"/>
          <w:lang w:val="es-ES"/>
        </w:rPr>
      </w:pPr>
    </w:p>
    <w:p w14:paraId="7CECDD73" w14:textId="77777777" w:rsidR="00A35411" w:rsidRPr="00C22506" w:rsidRDefault="00A35411" w:rsidP="00A35411">
      <w:pPr>
        <w:autoSpaceDE w:val="0"/>
        <w:autoSpaceDN w:val="0"/>
        <w:adjustRightInd w:val="0"/>
        <w:spacing w:before="240" w:line="360" w:lineRule="auto"/>
        <w:jc w:val="both"/>
        <w:rPr>
          <w:rFonts w:ascii="Palatino Linotype" w:hAnsi="Palatino Linotype"/>
          <w:b/>
          <w:sz w:val="28"/>
          <w:szCs w:val="28"/>
        </w:rPr>
      </w:pPr>
      <w:r>
        <w:rPr>
          <w:rFonts w:ascii="Palatino Linotype" w:hAnsi="Palatino Linotype"/>
          <w:b/>
          <w:sz w:val="28"/>
          <w:szCs w:val="28"/>
        </w:rPr>
        <w:t>D</w:t>
      </w:r>
      <w:r w:rsidRPr="006918CC">
        <w:rPr>
          <w:rFonts w:ascii="Palatino Linotype" w:hAnsi="Palatino Linotype"/>
          <w:b/>
          <w:sz w:val="28"/>
          <w:szCs w:val="28"/>
        </w:rPr>
        <w:t>e la Versión Pública</w:t>
      </w:r>
      <w:r w:rsidRPr="00C22506">
        <w:rPr>
          <w:rFonts w:ascii="Palatino Linotype" w:hAnsi="Palatino Linotype"/>
          <w:b/>
          <w:sz w:val="28"/>
          <w:szCs w:val="28"/>
        </w:rPr>
        <w:t xml:space="preserve"> </w:t>
      </w:r>
    </w:p>
    <w:p w14:paraId="25F8897A" w14:textId="77777777" w:rsidR="00A35411" w:rsidRPr="001571EB" w:rsidRDefault="00A35411" w:rsidP="00A35411">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w:t>
      </w:r>
      <w:r w:rsidRPr="001571EB">
        <w:rPr>
          <w:rFonts w:ascii="Palatino Linotype" w:eastAsia="Arial Unicode MS" w:hAnsi="Palatino Linotype" w:cs="Arial"/>
          <w:sz w:val="24"/>
          <w:szCs w:val="24"/>
        </w:rPr>
        <w:lastRenderedPageBreak/>
        <w:t>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4ABEDB2C" w14:textId="77777777" w:rsidR="00A35411" w:rsidRPr="00E60DEF" w:rsidRDefault="00A35411" w:rsidP="00A35411">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16EAF643" w14:textId="77777777" w:rsidR="00A35411" w:rsidRPr="00E60DEF" w:rsidRDefault="00A35411" w:rsidP="00A35411">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4EF6228F" w14:textId="77777777" w:rsidR="00A35411" w:rsidRPr="001571EB" w:rsidRDefault="00A35411" w:rsidP="00A35411">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5398A6F5" w14:textId="77777777" w:rsidR="00A35411" w:rsidRPr="001571EB" w:rsidRDefault="00A35411" w:rsidP="00A35411">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2249EB22" w14:textId="77777777" w:rsidR="00A35411" w:rsidRPr="001571EB" w:rsidRDefault="00A35411" w:rsidP="00A35411">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08CE40EF" w14:textId="77777777" w:rsidR="00A35411" w:rsidRPr="001571EB" w:rsidRDefault="00A35411" w:rsidP="00A35411">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6B9DD289" w14:textId="77777777" w:rsidR="00A35411" w:rsidRPr="001571EB" w:rsidRDefault="00A35411" w:rsidP="00A35411">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20A2B713" w14:textId="77777777" w:rsidR="00A35411" w:rsidRPr="001571EB" w:rsidRDefault="00A35411" w:rsidP="00A35411">
      <w:pPr>
        <w:spacing w:before="240" w:line="360" w:lineRule="auto"/>
        <w:ind w:left="851" w:right="851"/>
        <w:jc w:val="both"/>
        <w:rPr>
          <w:rFonts w:ascii="Palatino Linotype" w:hAnsi="Palatino Linotype" w:cs="Arial"/>
          <w:i/>
        </w:rPr>
      </w:pPr>
      <w:r w:rsidRPr="001571EB">
        <w:rPr>
          <w:rFonts w:ascii="Palatino Linotype" w:hAnsi="Palatino Linotype" w:cs="Arial"/>
          <w:i/>
        </w:rPr>
        <w:lastRenderedPageBreak/>
        <w:t>Artículo 132. La clasificación de la información se llevará a cabo en el momento en que:</w:t>
      </w:r>
    </w:p>
    <w:p w14:paraId="1D561D8F" w14:textId="77777777" w:rsidR="00A35411" w:rsidRPr="001571EB" w:rsidRDefault="00A35411" w:rsidP="00A35411">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0BB8BFA2" w14:textId="77777777" w:rsidR="00A35411" w:rsidRPr="00E60DEF" w:rsidRDefault="00A35411" w:rsidP="00A35411">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499C64AC" w14:textId="77777777" w:rsidR="00A35411" w:rsidRPr="001571EB" w:rsidRDefault="00A35411" w:rsidP="00A35411">
      <w:pPr>
        <w:spacing w:before="240" w:line="360" w:lineRule="auto"/>
        <w:ind w:left="851" w:right="851"/>
        <w:jc w:val="both"/>
        <w:rPr>
          <w:rFonts w:ascii="Palatino Linotype" w:hAnsi="Palatino Linotype" w:cs="Arial"/>
          <w:b/>
          <w:i/>
        </w:rPr>
      </w:pPr>
      <w:r>
        <w:rPr>
          <w:rFonts w:ascii="Palatino Linotype" w:hAnsi="Palatino Linotype" w:cs="Arial"/>
          <w:b/>
          <w:i/>
        </w:rPr>
        <w:t>(…)</w:t>
      </w:r>
    </w:p>
    <w:p w14:paraId="0FCEE484" w14:textId="77777777" w:rsidR="00A35411" w:rsidRDefault="00A35411" w:rsidP="00A35411">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0F21611E" w14:textId="77777777" w:rsidR="00A35411" w:rsidRPr="00E60DEF" w:rsidRDefault="00A35411" w:rsidP="00A35411">
      <w:pPr>
        <w:spacing w:before="240" w:line="360" w:lineRule="auto"/>
        <w:ind w:left="851" w:right="851"/>
        <w:jc w:val="both"/>
        <w:rPr>
          <w:rFonts w:ascii="Palatino Linotype" w:hAnsi="Palatino Linotype" w:cs="Arial"/>
          <w:b/>
          <w:i/>
        </w:rPr>
      </w:pPr>
    </w:p>
    <w:p w14:paraId="0E97621D" w14:textId="77777777" w:rsidR="00A35411" w:rsidRPr="001571EB" w:rsidRDefault="00A35411" w:rsidP="00A35411">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609BBE70" w14:textId="77777777" w:rsidR="00A35411" w:rsidRPr="001571EB" w:rsidRDefault="00A35411" w:rsidP="00A35411">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1E5A89A" w14:textId="77777777" w:rsidR="00A35411" w:rsidRPr="001571EB" w:rsidRDefault="00A35411" w:rsidP="00A35411">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7281F495" w14:textId="77777777" w:rsidR="00A35411" w:rsidRDefault="00A35411" w:rsidP="00A35411">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7E90F3C2" w14:textId="77777777" w:rsidR="00A35411" w:rsidRDefault="00A35411" w:rsidP="00A35411">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19E44E98" w14:textId="77777777" w:rsidR="00A35411" w:rsidRPr="001571EB" w:rsidRDefault="00A35411" w:rsidP="00A35411">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66A7CD19" w14:textId="77777777" w:rsidR="00A35411" w:rsidRPr="001571EB" w:rsidRDefault="00A35411" w:rsidP="00A35411">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4E74148B" w14:textId="77777777" w:rsidR="00A35411" w:rsidRPr="001571EB" w:rsidRDefault="00A35411" w:rsidP="00A35411">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5644F7E1" w14:textId="77777777" w:rsidR="00A35411" w:rsidRPr="001571EB" w:rsidRDefault="00A35411" w:rsidP="00A35411">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2EE65558" w14:textId="77777777" w:rsidR="00A35411" w:rsidRPr="00EE0180" w:rsidRDefault="00A35411" w:rsidP="00A35411">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5564EC4E" w14:textId="77777777" w:rsidR="00A35411" w:rsidRPr="001571EB" w:rsidRDefault="00A35411" w:rsidP="00A35411">
      <w:pPr>
        <w:autoSpaceDE w:val="0"/>
        <w:autoSpaceDN w:val="0"/>
        <w:adjustRightInd w:val="0"/>
        <w:spacing w:before="120" w:after="120"/>
        <w:ind w:left="567" w:right="850"/>
        <w:jc w:val="both"/>
        <w:rPr>
          <w:rFonts w:ascii="Palatino Linotype" w:eastAsia="Times New Roman" w:hAnsi="Palatino Linotype" w:cs="Arial"/>
          <w:i/>
        </w:rPr>
      </w:pPr>
    </w:p>
    <w:p w14:paraId="1BCA5649" w14:textId="77777777" w:rsidR="00A35411" w:rsidRPr="001571EB" w:rsidRDefault="00A35411" w:rsidP="00A35411">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lastRenderedPageBreak/>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3C5D0237" w14:textId="77777777" w:rsidR="00A35411" w:rsidRPr="001571EB" w:rsidRDefault="00A35411" w:rsidP="00A35411">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72ACDB3" w14:textId="77777777" w:rsidR="00A35411" w:rsidRDefault="00A35411" w:rsidP="00A35411">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20221E13" w14:textId="77777777" w:rsidR="00A35411" w:rsidRDefault="00A35411" w:rsidP="00A35411">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57E894C5" w14:textId="77777777" w:rsidR="00A35411" w:rsidRPr="001571EB" w:rsidRDefault="00A35411" w:rsidP="00A35411">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0A0298E" w14:textId="77777777" w:rsidR="00A35411" w:rsidRPr="001571EB" w:rsidRDefault="00A35411" w:rsidP="00A3541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6B66D3D9" w14:textId="77777777" w:rsidR="00A35411" w:rsidRPr="001571EB" w:rsidRDefault="00A35411" w:rsidP="00A3541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62DA0C90" w14:textId="77777777" w:rsidR="00A35411" w:rsidRPr="001571EB" w:rsidRDefault="00A35411" w:rsidP="00A3541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lastRenderedPageBreak/>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6220DD55" w14:textId="77777777" w:rsidR="00A35411" w:rsidRPr="00151D16" w:rsidRDefault="00A35411" w:rsidP="00A35411">
      <w:pPr>
        <w:autoSpaceDE w:val="0"/>
        <w:autoSpaceDN w:val="0"/>
        <w:adjustRightInd w:val="0"/>
        <w:spacing w:before="240" w:line="360" w:lineRule="auto"/>
        <w:ind w:left="851" w:right="851"/>
        <w:jc w:val="both"/>
        <w:rPr>
          <w:rFonts w:ascii="Palatino Linotype" w:eastAsia="Times New Roman" w:hAnsi="Palatino Linotype" w:cs="Arial"/>
          <w:b/>
          <w:i/>
          <w:sz w:val="24"/>
          <w:szCs w:val="24"/>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w:t>
      </w:r>
      <w:r w:rsidRPr="00151D16">
        <w:rPr>
          <w:rFonts w:ascii="Palatino Linotype" w:eastAsia="Times New Roman" w:hAnsi="Palatino Linotype" w:cs="Arial"/>
          <w:i/>
          <w:sz w:val="24"/>
          <w:szCs w:val="24"/>
          <w:lang w:eastAsia="es-MX"/>
        </w:rPr>
        <w:t xml:space="preserve">ente Areli Cano Guadiana.” </w:t>
      </w:r>
      <w:r w:rsidRPr="00151D16">
        <w:rPr>
          <w:rFonts w:ascii="Palatino Linotype" w:eastAsia="Times New Roman" w:hAnsi="Palatino Linotype" w:cs="Arial"/>
          <w:b/>
          <w:i/>
          <w:sz w:val="24"/>
          <w:szCs w:val="24"/>
          <w:lang w:eastAsia="es-MX"/>
        </w:rPr>
        <w:t>[Sic]</w:t>
      </w:r>
    </w:p>
    <w:p w14:paraId="563AE229" w14:textId="77777777" w:rsidR="0061744C" w:rsidRDefault="0061744C" w:rsidP="00A35411">
      <w:pPr>
        <w:spacing w:after="0" w:line="360" w:lineRule="auto"/>
        <w:ind w:right="51"/>
        <w:jc w:val="both"/>
        <w:rPr>
          <w:rFonts w:ascii="Palatino Linotype" w:hAnsi="Palatino Linotype" w:cs="Arial"/>
          <w:sz w:val="24"/>
          <w:szCs w:val="24"/>
        </w:rPr>
      </w:pPr>
    </w:p>
    <w:p w14:paraId="7354F480" w14:textId="0DFDA1F5" w:rsidR="00A35411" w:rsidRDefault="00A35411" w:rsidP="00A35411">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39A48C8D" w14:textId="77777777" w:rsidR="00A35411" w:rsidRDefault="00A35411" w:rsidP="007A006A">
      <w:pPr>
        <w:spacing w:after="0" w:line="360" w:lineRule="auto"/>
        <w:jc w:val="both"/>
        <w:rPr>
          <w:rFonts w:ascii="Palatino Linotype" w:hAnsi="Palatino Linotype"/>
          <w:sz w:val="24"/>
          <w:szCs w:val="24"/>
        </w:rPr>
      </w:pPr>
    </w:p>
    <w:p w14:paraId="3256DEEA" w14:textId="58C1F573" w:rsidR="005F4E5A" w:rsidRPr="00AB3254" w:rsidRDefault="005F4E5A" w:rsidP="005F4E5A">
      <w:pPr>
        <w:spacing w:after="0" w:line="360" w:lineRule="auto"/>
        <w:jc w:val="both"/>
        <w:rPr>
          <w:rFonts w:ascii="Palatino Linotype" w:hAnsi="Palatino Linotype" w:cs="Arial"/>
          <w:sz w:val="24"/>
          <w:szCs w:val="24"/>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Pr>
          <w:rFonts w:ascii="Palatino Linotype" w:eastAsia="Times New Roman" w:hAnsi="Palatino Linotype" w:cs="Times New Roman"/>
          <w:b/>
          <w:bCs/>
          <w:sz w:val="24"/>
          <w:szCs w:val="24"/>
          <w:lang w:eastAsia="es-ES"/>
        </w:rPr>
        <w:t>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 xml:space="preserve">REVOCA </w:t>
      </w:r>
      <w:r w:rsidRPr="000F5B7E">
        <w:rPr>
          <w:rFonts w:ascii="Palatino Linotype" w:eastAsia="Times New Roman" w:hAnsi="Palatino Linotype" w:cs="Arial"/>
          <w:sz w:val="24"/>
          <w:szCs w:val="24"/>
          <w:lang w:eastAsia="es-ES"/>
        </w:rPr>
        <w:t>la respuesta a la solicitud de información número</w:t>
      </w:r>
      <w:r w:rsidRPr="000F5B7E">
        <w:rPr>
          <w:rFonts w:ascii="Palatino Linotype" w:eastAsia="Times New Roman" w:hAnsi="Palatino Linotype" w:cs="Times New Roman"/>
          <w:b/>
          <w:sz w:val="24"/>
          <w:szCs w:val="24"/>
          <w:lang w:eastAsia="es-ES"/>
        </w:rPr>
        <w:t xml:space="preserve"> </w:t>
      </w:r>
      <w:r>
        <w:rPr>
          <w:rFonts w:ascii="Palatino Linotype" w:hAnsi="Palatino Linotype" w:cs="Arial"/>
          <w:b/>
          <w:sz w:val="24"/>
          <w:szCs w:val="24"/>
        </w:rPr>
        <w:t xml:space="preserve">00028/ATENCO/IP/2023 </w:t>
      </w:r>
      <w:r>
        <w:rPr>
          <w:rFonts w:ascii="Palatino Linotype" w:hAnsi="Palatino Linotype" w:cs="Arial"/>
          <w:sz w:val="24"/>
          <w:szCs w:val="24"/>
        </w:rPr>
        <w:t xml:space="preserve">que ha sido materia del presente fallo. </w:t>
      </w:r>
    </w:p>
    <w:p w14:paraId="49B2753C" w14:textId="77777777" w:rsidR="005F4E5A" w:rsidRDefault="005F4E5A" w:rsidP="005F4E5A">
      <w:pPr>
        <w:spacing w:after="0" w:line="360" w:lineRule="auto"/>
        <w:jc w:val="both"/>
        <w:rPr>
          <w:rFonts w:ascii="Palatino Linotype" w:eastAsia="Times New Roman" w:hAnsi="Palatino Linotype" w:cs="Times New Roman"/>
          <w:sz w:val="24"/>
          <w:szCs w:val="24"/>
          <w:lang w:eastAsia="es-ES"/>
        </w:rPr>
      </w:pPr>
    </w:p>
    <w:p w14:paraId="5E486629" w14:textId="77777777" w:rsidR="005F4E5A" w:rsidRDefault="005F4E5A" w:rsidP="005F4E5A">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lastRenderedPageBreak/>
        <w:t>Por lo antes expuesto y fundado es de resolverse y,</w:t>
      </w:r>
    </w:p>
    <w:p w14:paraId="1A840F82" w14:textId="77777777" w:rsidR="005F4E5A" w:rsidRDefault="005F4E5A" w:rsidP="005F4E5A">
      <w:pPr>
        <w:spacing w:after="0" w:line="360" w:lineRule="auto"/>
        <w:jc w:val="both"/>
        <w:rPr>
          <w:rFonts w:ascii="Palatino Linotype" w:eastAsia="Times New Roman" w:hAnsi="Palatino Linotype" w:cs="Times New Roman"/>
          <w:sz w:val="24"/>
          <w:szCs w:val="24"/>
          <w:lang w:eastAsia="es-ES"/>
        </w:rPr>
      </w:pPr>
    </w:p>
    <w:p w14:paraId="5753B52F" w14:textId="77777777" w:rsidR="005F4E5A" w:rsidRPr="00413327" w:rsidRDefault="005F4E5A" w:rsidP="005F4E5A">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415AA670" w14:textId="254E02D1" w:rsidR="005F4E5A" w:rsidRDefault="005F4E5A" w:rsidP="005F4E5A">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Pr>
          <w:rFonts w:ascii="Palatino Linotype" w:hAnsi="Palatino Linotype" w:cs="Arial"/>
          <w:b/>
          <w:sz w:val="24"/>
          <w:szCs w:val="24"/>
        </w:rPr>
        <w:t xml:space="preserve">00028/ATENCO/IP/2023 </w:t>
      </w:r>
      <w:r>
        <w:rPr>
          <w:rFonts w:ascii="Palatino Linotype" w:hAnsi="Palatino Linotype" w:cs="Arial"/>
          <w:sz w:val="24"/>
          <w:szCs w:val="24"/>
        </w:rPr>
        <w:t xml:space="preserve">por resultar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4DAFF2C6" w14:textId="77777777" w:rsidR="005F4E5A" w:rsidRDefault="005F4E5A" w:rsidP="005F4E5A">
      <w:pPr>
        <w:spacing w:before="240" w:line="360" w:lineRule="auto"/>
        <w:jc w:val="both"/>
        <w:rPr>
          <w:rFonts w:ascii="Palatino Linotype" w:hAnsi="Palatino Linotype" w:cs="Arial"/>
          <w:sz w:val="24"/>
          <w:szCs w:val="24"/>
        </w:rPr>
      </w:pPr>
    </w:p>
    <w:p w14:paraId="720178D5" w14:textId="71DBFEDC" w:rsidR="005F4E5A" w:rsidRPr="00074A76" w:rsidRDefault="005F4E5A" w:rsidP="005F4E5A">
      <w:pPr>
        <w:autoSpaceDE w:val="0"/>
        <w:autoSpaceDN w:val="0"/>
        <w:adjustRightInd w:val="0"/>
        <w:spacing w:before="240" w:line="360" w:lineRule="auto"/>
        <w:ind w:right="49"/>
        <w:jc w:val="both"/>
        <w:rPr>
          <w:rFonts w:ascii="Palatino Linotype" w:hAnsi="Palatino Linotype" w:cs="Arial"/>
          <w:sz w:val="24"/>
          <w:szCs w:val="24"/>
        </w:rPr>
      </w:pPr>
      <w:r>
        <w:rPr>
          <w:rFonts w:ascii="Palatino Linotype" w:hAnsi="Palatino Linotype" w:cs="Arial"/>
          <w:b/>
          <w:sz w:val="28"/>
          <w:szCs w:val="28"/>
          <w:lang w:val="es-ES_tradnl"/>
        </w:rPr>
        <w:t>SEGUNDO</w:t>
      </w:r>
      <w:r w:rsidRPr="001829F0">
        <w:rPr>
          <w:rFonts w:ascii="Palatino Linotype" w:hAnsi="Palatino Linotype" w:cs="Arial"/>
          <w:b/>
          <w:sz w:val="28"/>
          <w:szCs w:val="28"/>
          <w:lang w:val="es-ES_tradnl"/>
        </w:rPr>
        <w:t>.</w:t>
      </w:r>
      <w:r w:rsidRPr="006633BF">
        <w:rPr>
          <w:rFonts w:ascii="Palatino Linotype" w:hAnsi="Palatino Linotype" w:cs="Arial"/>
          <w:sz w:val="24"/>
          <w:szCs w:val="24"/>
        </w:rPr>
        <w:t xml:space="preserve"> 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sidR="00930D7A">
        <w:rPr>
          <w:rFonts w:ascii="Palatino Linotype" w:hAnsi="Palatino Linotype" w:cs="Arial"/>
          <w:sz w:val="24"/>
          <w:szCs w:val="24"/>
        </w:rPr>
        <w:t xml:space="preserve">que haga entrega </w:t>
      </w:r>
      <w:r>
        <w:rPr>
          <w:rFonts w:ascii="Palatino Linotype" w:hAnsi="Palatino Linotype" w:cs="Arial"/>
          <w:sz w:val="24"/>
          <w:szCs w:val="24"/>
        </w:rPr>
        <w:t xml:space="preserve">al </w:t>
      </w:r>
      <w:r>
        <w:rPr>
          <w:rFonts w:ascii="Palatino Linotype" w:hAnsi="Palatino Linotype" w:cs="Arial"/>
          <w:b/>
          <w:bCs/>
          <w:sz w:val="24"/>
          <w:szCs w:val="24"/>
        </w:rPr>
        <w:t xml:space="preserve">RECURRENTE, </w:t>
      </w:r>
      <w:r w:rsidRPr="006633BF">
        <w:rPr>
          <w:rFonts w:ascii="Palatino Linotype" w:hAnsi="Palatino Linotype" w:cs="Arial"/>
          <w:sz w:val="24"/>
          <w:szCs w:val="24"/>
        </w:rPr>
        <w:t xml:space="preserve">en términos del Considerando </w:t>
      </w:r>
      <w:r w:rsidRPr="006633BF">
        <w:rPr>
          <w:rFonts w:ascii="Palatino Linotype" w:hAnsi="Palatino Linotype" w:cs="Arial"/>
          <w:b/>
          <w:sz w:val="24"/>
          <w:szCs w:val="24"/>
        </w:rPr>
        <w:t xml:space="preserve">CUARTO </w:t>
      </w:r>
      <w:r w:rsidRPr="006633BF">
        <w:rPr>
          <w:rFonts w:ascii="Palatino Linotype" w:hAnsi="Palatino Linotype" w:cs="Arial"/>
          <w:sz w:val="24"/>
          <w:szCs w:val="24"/>
        </w:rPr>
        <w:t>de esta resolución</w:t>
      </w:r>
      <w:r w:rsidRPr="00074A76">
        <w:rPr>
          <w:rFonts w:ascii="Palatino Linotype" w:hAnsi="Palatino Linotype" w:cs="Arial"/>
          <w:b/>
          <w:sz w:val="24"/>
          <w:szCs w:val="24"/>
        </w:rPr>
        <w:t xml:space="preserve">, </w:t>
      </w:r>
      <w:r w:rsidRPr="00074A76">
        <w:rPr>
          <w:rFonts w:ascii="Palatino Linotype" w:hAnsi="Palatino Linotype" w:cs="Arial"/>
          <w:sz w:val="24"/>
          <w:szCs w:val="24"/>
        </w:rPr>
        <w:t>en versión pública,</w:t>
      </w:r>
      <w:r>
        <w:rPr>
          <w:rFonts w:ascii="Palatino Linotype" w:hAnsi="Palatino Linotype" w:cs="Arial"/>
          <w:sz w:val="24"/>
          <w:szCs w:val="24"/>
        </w:rPr>
        <w:t xml:space="preserve"> </w:t>
      </w:r>
      <w:r w:rsidRPr="00074A76">
        <w:rPr>
          <w:rFonts w:ascii="Palatino Linotype" w:hAnsi="Palatino Linotype" w:cs="Arial"/>
          <w:sz w:val="24"/>
          <w:szCs w:val="24"/>
        </w:rPr>
        <w:t xml:space="preserve">a través del Sistema de Acceso a la Información Mexiquense </w:t>
      </w:r>
      <w:r w:rsidRPr="00074A76">
        <w:rPr>
          <w:rFonts w:ascii="Palatino Linotype" w:hAnsi="Palatino Linotype" w:cs="Arial"/>
          <w:b/>
          <w:sz w:val="24"/>
          <w:szCs w:val="24"/>
        </w:rPr>
        <w:t xml:space="preserve">(SAIMEX), </w:t>
      </w:r>
      <w:r w:rsidRPr="00074A76">
        <w:rPr>
          <w:rFonts w:ascii="Palatino Linotype" w:hAnsi="Palatino Linotype" w:cs="Arial"/>
          <w:sz w:val="24"/>
          <w:szCs w:val="24"/>
        </w:rPr>
        <w:t xml:space="preserve">de lo siguiente: </w:t>
      </w:r>
    </w:p>
    <w:p w14:paraId="111016E2" w14:textId="340CD7C8" w:rsidR="005F4E5A" w:rsidRPr="005F4E5A" w:rsidRDefault="005F4E5A" w:rsidP="005F4E5A">
      <w:pPr>
        <w:pStyle w:val="Prrafodelista"/>
        <w:numPr>
          <w:ilvl w:val="0"/>
          <w:numId w:val="35"/>
        </w:numPr>
        <w:autoSpaceDE w:val="0"/>
        <w:autoSpaceDN w:val="0"/>
        <w:adjustRightInd w:val="0"/>
        <w:spacing w:before="240" w:line="360" w:lineRule="auto"/>
        <w:jc w:val="both"/>
        <w:rPr>
          <w:rFonts w:ascii="Palatino Linotype" w:hAnsi="Palatino Linotype" w:cs="Arial"/>
          <w:i/>
          <w:iCs/>
        </w:rPr>
      </w:pPr>
      <w:bookmarkStart w:id="1" w:name="_Hlk121218568"/>
      <w:r w:rsidRPr="005F4E5A">
        <w:rPr>
          <w:rFonts w:ascii="Palatino Linotype" w:hAnsi="Palatino Linotype" w:cs="Arial"/>
          <w:i/>
          <w:iCs/>
        </w:rPr>
        <w:t>Relación de juicios laborales vigentes</w:t>
      </w:r>
      <w:r w:rsidR="008C0DDD">
        <w:rPr>
          <w:rFonts w:ascii="Palatino Linotype" w:hAnsi="Palatino Linotype" w:cs="Arial"/>
          <w:i/>
          <w:iCs/>
        </w:rPr>
        <w:t xml:space="preserve"> entregado al Órgano Superior de Fiscalización del Estado de México</w:t>
      </w:r>
      <w:r w:rsidRPr="005F4E5A">
        <w:rPr>
          <w:rFonts w:ascii="Palatino Linotype" w:hAnsi="Palatino Linotype" w:cs="Arial"/>
          <w:i/>
          <w:iCs/>
        </w:rPr>
        <w:t xml:space="preserve">, al veintitrés de febrero de dos mil veintitrés. </w:t>
      </w:r>
    </w:p>
    <w:bookmarkEnd w:id="1"/>
    <w:p w14:paraId="44BCCC65" w14:textId="77777777" w:rsidR="005F4E5A" w:rsidRPr="00074A76" w:rsidRDefault="005F4E5A" w:rsidP="005F4E5A">
      <w:pPr>
        <w:pStyle w:val="Prrafodelista"/>
        <w:spacing w:before="240" w:line="360" w:lineRule="auto"/>
        <w:ind w:left="782"/>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w:t>
      </w:r>
      <w:r w:rsidRPr="00074A76">
        <w:rPr>
          <w:rFonts w:ascii="Palatino Linotype" w:hAnsi="Palatino Linotype" w:cs="Arial"/>
          <w:i/>
        </w:rPr>
        <w:t>la Información Pública del Estado de México y Municipios, en el que funde y motive las razones sobre los datos que se supriman o eliminen y se ponga a disposición del recurrente.</w:t>
      </w:r>
    </w:p>
    <w:p w14:paraId="19FA1ADB" w14:textId="77777777" w:rsidR="005F4E5A" w:rsidRDefault="005F4E5A" w:rsidP="005F4E5A">
      <w:pPr>
        <w:pStyle w:val="Prrafodelista"/>
        <w:spacing w:before="240" w:line="360" w:lineRule="auto"/>
        <w:ind w:left="782"/>
        <w:jc w:val="both"/>
        <w:rPr>
          <w:rFonts w:ascii="Palatino Linotype" w:hAnsi="Palatino Linotype" w:cs="Arial"/>
          <w:i/>
        </w:rPr>
      </w:pPr>
    </w:p>
    <w:p w14:paraId="2AE50712" w14:textId="77777777" w:rsidR="005F4E5A" w:rsidRPr="006F36F4" w:rsidRDefault="005F4E5A" w:rsidP="005F4E5A">
      <w:pPr>
        <w:spacing w:after="0" w:line="360" w:lineRule="auto"/>
        <w:jc w:val="both"/>
        <w:rPr>
          <w:rFonts w:ascii="Palatino Linotype" w:eastAsia="Times New Roman" w:hAnsi="Palatino Linotype" w:cs="Tahoma"/>
          <w:sz w:val="24"/>
          <w:szCs w:val="24"/>
          <w:lang w:eastAsia="es-ES"/>
        </w:rPr>
      </w:pPr>
      <w:r w:rsidRPr="00593F5D">
        <w:rPr>
          <w:rFonts w:ascii="Palatino Linotype" w:eastAsia="Times New Roman" w:hAnsi="Palatino Linotype" w:cs="Arial"/>
          <w:b/>
          <w:sz w:val="28"/>
          <w:szCs w:val="24"/>
          <w:lang w:eastAsia="es-ES"/>
        </w:rPr>
        <w:lastRenderedPageBreak/>
        <w:t>TERCERO</w:t>
      </w:r>
      <w:r w:rsidRPr="00593F5D">
        <w:rPr>
          <w:rFonts w:ascii="Palatino Linotype" w:eastAsia="Times New Roman" w:hAnsi="Palatino Linotype" w:cs="Arial"/>
          <w:b/>
          <w:sz w:val="24"/>
          <w:szCs w:val="24"/>
          <w:lang w:eastAsia="es-ES"/>
        </w:rPr>
        <w:t>.</w:t>
      </w:r>
      <w:r w:rsidRPr="00593F5D">
        <w:rPr>
          <w:rFonts w:ascii="Palatino Linotype" w:eastAsia="Times New Roman" w:hAnsi="Palatino Linotype" w:cs="Arial"/>
          <w:sz w:val="24"/>
          <w:szCs w:val="24"/>
          <w:lang w:eastAsia="es-ES"/>
        </w:rPr>
        <w:t xml:space="preserve"> </w:t>
      </w:r>
      <w:r w:rsidRPr="006F36F4">
        <w:rPr>
          <w:rFonts w:ascii="Palatino Linotype" w:hAnsi="Palatino Linotype" w:cstheme="minorHAnsi"/>
          <w:b/>
          <w:sz w:val="24"/>
          <w:szCs w:val="24"/>
        </w:rPr>
        <w:t>NOTIFÍQUESE</w:t>
      </w:r>
      <w:r w:rsidRPr="006F36F4">
        <w:rPr>
          <w:rFonts w:ascii="Palatino Linotype" w:hAnsi="Palatino Linotype" w:cstheme="minorHAnsi"/>
          <w:i/>
          <w:sz w:val="24"/>
          <w:szCs w:val="24"/>
        </w:rPr>
        <w:t xml:space="preserve"> </w:t>
      </w:r>
      <w:r w:rsidRPr="006F36F4">
        <w:rPr>
          <w:rFonts w:ascii="Palatino Linotype" w:hAnsi="Palatino Linotype" w:cstheme="minorHAnsi"/>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F4D0A44" w14:textId="77777777" w:rsidR="005F4E5A" w:rsidRPr="00593F5D" w:rsidRDefault="005F4E5A" w:rsidP="005F4E5A">
      <w:pPr>
        <w:spacing w:after="0" w:line="360" w:lineRule="auto"/>
        <w:jc w:val="both"/>
        <w:rPr>
          <w:rFonts w:ascii="Palatino Linotype" w:eastAsia="Times New Roman" w:hAnsi="Palatino Linotype" w:cs="Tahoma"/>
          <w:bCs/>
          <w:sz w:val="24"/>
          <w:szCs w:val="24"/>
          <w:lang w:eastAsia="es-ES"/>
        </w:rPr>
      </w:pPr>
    </w:p>
    <w:p w14:paraId="398FAC8B" w14:textId="77777777" w:rsidR="005F4E5A" w:rsidRDefault="005F4E5A" w:rsidP="005F4E5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93F5D">
        <w:rPr>
          <w:rFonts w:ascii="Palatino Linotype" w:eastAsia="Times New Roman" w:hAnsi="Palatino Linotype" w:cs="Arial"/>
          <w:b/>
          <w:sz w:val="28"/>
          <w:szCs w:val="28"/>
          <w:lang w:val="es-ES" w:eastAsia="es-ES"/>
        </w:rPr>
        <w:t>CUARTO.</w:t>
      </w:r>
      <w:r w:rsidRPr="00593F5D">
        <w:rPr>
          <w:rFonts w:ascii="Palatino Linotype" w:eastAsia="Times New Roman" w:hAnsi="Palatino Linotype" w:cs="Arial"/>
          <w:b/>
          <w:sz w:val="24"/>
          <w:szCs w:val="24"/>
          <w:lang w:val="es-ES" w:eastAsia="es-ES"/>
        </w:rPr>
        <w:t xml:space="preserve"> </w:t>
      </w:r>
      <w:r w:rsidRPr="00593F5D">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593F5D">
        <w:rPr>
          <w:rFonts w:ascii="Palatino Linotype" w:eastAsia="Times New Roman" w:hAnsi="Palatino Linotype" w:cs="Arial"/>
          <w:b/>
          <w:sz w:val="24"/>
          <w:szCs w:val="24"/>
          <w:lang w:val="es-ES" w:eastAsia="es-ES"/>
        </w:rPr>
        <w:t>Sujeto Obligado</w:t>
      </w:r>
      <w:r w:rsidRPr="00593F5D">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57DB222B" w14:textId="77777777" w:rsidR="005F4E5A" w:rsidRPr="00593F5D" w:rsidRDefault="005F4E5A" w:rsidP="005F4E5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CBAA504" w14:textId="77777777" w:rsidR="005F4E5A" w:rsidRDefault="005F4E5A" w:rsidP="005F4E5A">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315A0D2B" w14:textId="77777777" w:rsidR="002F0742" w:rsidRDefault="002F0742" w:rsidP="00803F88">
      <w:pPr>
        <w:spacing w:after="0" w:line="360" w:lineRule="auto"/>
        <w:jc w:val="both"/>
        <w:rPr>
          <w:rFonts w:ascii="Palatino Linotype" w:hAnsi="Palatino Linotype" w:cs="Arial"/>
          <w:sz w:val="24"/>
          <w:szCs w:val="24"/>
        </w:rPr>
      </w:pPr>
    </w:p>
    <w:p w14:paraId="580F4941" w14:textId="77777777" w:rsidR="0061744C" w:rsidRDefault="0061744C" w:rsidP="00803F88">
      <w:pPr>
        <w:spacing w:after="0" w:line="360" w:lineRule="auto"/>
        <w:jc w:val="both"/>
        <w:rPr>
          <w:rFonts w:ascii="Palatino Linotype" w:hAnsi="Palatino Linotype" w:cs="Arial"/>
          <w:sz w:val="24"/>
          <w:szCs w:val="24"/>
        </w:rPr>
      </w:pPr>
    </w:p>
    <w:p w14:paraId="3362A021" w14:textId="77777777" w:rsidR="0061744C" w:rsidRDefault="0061744C" w:rsidP="00803F88">
      <w:pPr>
        <w:spacing w:after="0" w:line="360" w:lineRule="auto"/>
        <w:jc w:val="both"/>
        <w:rPr>
          <w:rFonts w:ascii="Palatino Linotype" w:hAnsi="Palatino Linotype" w:cs="Arial"/>
          <w:sz w:val="24"/>
          <w:szCs w:val="24"/>
        </w:rPr>
      </w:pPr>
    </w:p>
    <w:p w14:paraId="20CF1F0C" w14:textId="2C09EF89" w:rsidR="00BE17E0" w:rsidRPr="00627D99" w:rsidRDefault="00BE17E0" w:rsidP="00BE17E0">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rPr>
        <w:lastRenderedPageBreak/>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xml:space="preserve">, CONFORMADO POR LOS </w:t>
      </w:r>
      <w:r w:rsidR="00241038" w:rsidRPr="00272CE0">
        <w:rPr>
          <w:rFonts w:ascii="Palatino Linotype" w:hAnsi="Palatino Linotype" w:cs="Arial"/>
        </w:rPr>
        <w:t>COMISIONADOS</w:t>
      </w:r>
      <w:r w:rsidR="00241038">
        <w:rPr>
          <w:rFonts w:ascii="Palatino Linotype" w:hAnsi="Palatino Linotype" w:cs="Arial"/>
        </w:rPr>
        <w:t xml:space="preserve"> JOSÉ MARTÍNEZ VILCHIS, MARÍA DEL ROSARIO </w:t>
      </w:r>
      <w:r w:rsidR="00241038" w:rsidRPr="00266B85">
        <w:rPr>
          <w:rFonts w:ascii="Palatino Linotype" w:hAnsi="Palatino Linotype" w:cs="Arial"/>
        </w:rPr>
        <w:t>MEJÍA AYALA, S</w:t>
      </w:r>
      <w:r w:rsidR="00241038">
        <w:rPr>
          <w:rFonts w:ascii="Palatino Linotype" w:hAnsi="Palatino Linotype" w:cs="Arial"/>
        </w:rPr>
        <w:t xml:space="preserve">HARON CRISTINA MORALES </w:t>
      </w:r>
      <w:r w:rsidR="002F0742">
        <w:rPr>
          <w:rFonts w:ascii="Palatino Linotype" w:hAnsi="Palatino Linotype" w:cs="Arial"/>
        </w:rPr>
        <w:t xml:space="preserve">MARTÍNEZ, </w:t>
      </w:r>
      <w:r w:rsidR="002F0742" w:rsidRPr="00266B85">
        <w:rPr>
          <w:rFonts w:ascii="Palatino Linotype" w:hAnsi="Palatino Linotype" w:cs="Arial"/>
        </w:rPr>
        <w:t>LUIS GUSTAVO PARRA NORIEGA</w:t>
      </w:r>
      <w:r w:rsidR="002F0742">
        <w:rPr>
          <w:rFonts w:ascii="Palatino Linotype" w:hAnsi="Palatino Linotype" w:cs="Arial"/>
        </w:rPr>
        <w:t xml:space="preserve"> </w:t>
      </w:r>
      <w:r w:rsidR="002F0742" w:rsidRPr="00266B85">
        <w:rPr>
          <w:rFonts w:ascii="Palatino Linotype" w:hAnsi="Palatino Linotype" w:cs="Arial"/>
        </w:rPr>
        <w:t xml:space="preserve">Y GUADALUPE RAMÍREZ PEÑA; EN LA </w:t>
      </w:r>
      <w:r w:rsidR="002F0742">
        <w:rPr>
          <w:rFonts w:ascii="Palatino Linotype" w:hAnsi="Palatino Linotype" w:cs="Arial"/>
        </w:rPr>
        <w:t xml:space="preserve">DÉCIMA </w:t>
      </w:r>
      <w:r w:rsidR="00CA7073">
        <w:rPr>
          <w:rFonts w:ascii="Palatino Linotype" w:hAnsi="Palatino Linotype" w:cs="Arial"/>
        </w:rPr>
        <w:t>OCTAVA</w:t>
      </w:r>
      <w:r w:rsidR="005F4E5A">
        <w:rPr>
          <w:rFonts w:ascii="Palatino Linotype" w:hAnsi="Palatino Linotype" w:cs="Arial"/>
        </w:rPr>
        <w:t xml:space="preserve"> </w:t>
      </w:r>
      <w:r w:rsidR="002F0742">
        <w:rPr>
          <w:rFonts w:ascii="Palatino Linotype" w:hAnsi="Palatino Linotype" w:cs="Arial"/>
        </w:rPr>
        <w:t xml:space="preserve">SESIÓN ORDINARIA CELEBRADA EL </w:t>
      </w:r>
      <w:r w:rsidR="00CA7073">
        <w:rPr>
          <w:rFonts w:ascii="Palatino Linotype" w:hAnsi="Palatino Linotype" w:cs="Arial"/>
        </w:rPr>
        <w:t xml:space="preserve">DIECISIETE </w:t>
      </w:r>
      <w:r w:rsidR="002F0742">
        <w:rPr>
          <w:rFonts w:ascii="Palatino Linotype" w:hAnsi="Palatino Linotype" w:cs="Arial"/>
        </w:rPr>
        <w:t xml:space="preserve">DE MAYO DE DOS MIL VEINTITRÉS, ANTE EL SECRETARIO </w:t>
      </w:r>
      <w:r w:rsidR="002F0742" w:rsidRPr="00627D99">
        <w:rPr>
          <w:rFonts w:ascii="Palatino Linotype" w:hAnsi="Palatino Linotype" w:cs="Arial"/>
          <w:sz w:val="23"/>
          <w:szCs w:val="23"/>
        </w:rPr>
        <w:t xml:space="preserve">TÉCNICO DEL PLENO, ALEXIS TAPIA RAMÍREZ. </w:t>
      </w:r>
    </w:p>
    <w:p w14:paraId="44E6C755" w14:textId="512DA936" w:rsidR="00BE17E0" w:rsidRDefault="00BE17E0"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78CF5BDE" w14:textId="6BF1C892"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D233A30" w14:textId="3B7C0FB7"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73B5E0" w14:textId="6F15166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709914A" w14:textId="651780F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BAC58A" w14:textId="0539221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BDE8A59" w14:textId="236E740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F667946" w14:textId="794763D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2CF3C00" w14:textId="233DABAF"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FF030B1" w14:textId="0C88C12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566E09D" w14:textId="06C3D30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82C3D4" w14:textId="309F5629"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BB93AEF" w14:textId="3C16CD1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C61B42" w14:textId="38108626"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CF72B1B" w14:textId="613D99B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33E61A4" w14:textId="5B347C7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7988BD3" w14:textId="0238CAE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7CD1B65" w14:textId="72A0C7D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D202F6C" w14:textId="71BF40EB"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sectPr w:rsidR="001A7216" w:rsidSect="00FB4AAD">
      <w:headerReference w:type="default" r:id="rId33"/>
      <w:footerReference w:type="default" r:id="rId34"/>
      <w:headerReference w:type="first" r:id="rId35"/>
      <w:footerReference w:type="first" r:id="rId3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F59079" w14:textId="77777777" w:rsidR="00D06195" w:rsidRDefault="00D06195" w:rsidP="006168E4">
      <w:pPr>
        <w:spacing w:after="0" w:line="240" w:lineRule="auto"/>
      </w:pPr>
      <w:r>
        <w:separator/>
      </w:r>
    </w:p>
  </w:endnote>
  <w:endnote w:type="continuationSeparator" w:id="0">
    <w:p w14:paraId="7C84438E" w14:textId="77777777" w:rsidR="00D06195" w:rsidRDefault="00D06195"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F37770" w:rsidRPr="000B69FA" w:rsidRDefault="00F3777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751CF">
      <w:rPr>
        <w:rFonts w:ascii="Palatino Linotype" w:hAnsi="Palatino Linotype"/>
        <w:bCs/>
        <w:noProof/>
        <w:sz w:val="20"/>
      </w:rPr>
      <w:t>11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751CF">
      <w:rPr>
        <w:rFonts w:ascii="Palatino Linotype" w:hAnsi="Palatino Linotype"/>
        <w:bCs/>
        <w:noProof/>
        <w:sz w:val="20"/>
      </w:rPr>
      <w:t>51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F37770" w:rsidRPr="000B69FA" w:rsidRDefault="00F3777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751C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751CF">
      <w:rPr>
        <w:rFonts w:ascii="Palatino Linotype" w:hAnsi="Palatino Linotype"/>
        <w:bCs/>
        <w:noProof/>
        <w:sz w:val="20"/>
      </w:rPr>
      <w:t>51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D6FF73" w14:textId="77777777" w:rsidR="00D06195" w:rsidRDefault="00D06195" w:rsidP="006168E4">
      <w:pPr>
        <w:spacing w:after="0" w:line="240" w:lineRule="auto"/>
      </w:pPr>
      <w:r>
        <w:separator/>
      </w:r>
    </w:p>
  </w:footnote>
  <w:footnote w:type="continuationSeparator" w:id="0">
    <w:p w14:paraId="17749237" w14:textId="77777777" w:rsidR="00D06195" w:rsidRDefault="00D06195" w:rsidP="006168E4">
      <w:pPr>
        <w:spacing w:after="0" w:line="240" w:lineRule="auto"/>
      </w:pPr>
      <w:r>
        <w:continuationSeparator/>
      </w:r>
    </w:p>
  </w:footnote>
  <w:footnote w:id="1">
    <w:p w14:paraId="35910623" w14:textId="77777777" w:rsidR="00C73C45" w:rsidRDefault="00C73C45" w:rsidP="00C73C45">
      <w:pPr>
        <w:pStyle w:val="Textonotapie"/>
        <w:jc w:val="both"/>
      </w:pPr>
      <w:r>
        <w:rPr>
          <w:rStyle w:val="Refdenotaalpie"/>
        </w:rPr>
        <w:footnoteRef/>
      </w:r>
      <w:r>
        <w:t xml:space="preserve"> </w:t>
      </w:r>
      <w:r w:rsidRPr="00BE033D">
        <w:rPr>
          <w:rFonts w:ascii="Palatino Linotype" w:hAnsi="Palatino Linotype"/>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2">
    <w:p w14:paraId="17A52C8E" w14:textId="77777777" w:rsidR="00C73C45" w:rsidRDefault="00C73C45" w:rsidP="00C73C45">
      <w:pPr>
        <w:pStyle w:val="Textonotapie"/>
        <w:jc w:val="both"/>
      </w:pPr>
      <w:r>
        <w:rPr>
          <w:rStyle w:val="Refdenotaalpie"/>
        </w:rPr>
        <w:footnoteRef/>
      </w:r>
      <w:r>
        <w:t xml:space="preserve"> </w:t>
      </w:r>
      <w:r w:rsidRPr="003F34E5">
        <w:rPr>
          <w:sz w:val="16"/>
          <w:szCs w:val="16"/>
        </w:rPr>
        <w:t>Sergio López Ayllón y Alejandro Posadas. “Las pruebas de Daño e Interés Público en materia de acceso a la información. Una perspectiva comparada” en Derecho comparada de la Información, enero-junio de 2007.</w:t>
      </w:r>
    </w:p>
  </w:footnote>
  <w:footnote w:id="3">
    <w:p w14:paraId="36AB1422" w14:textId="77777777" w:rsidR="00C73C45" w:rsidRPr="00D75A73" w:rsidRDefault="00C73C45" w:rsidP="00C73C45">
      <w:pPr>
        <w:jc w:val="both"/>
        <w:rPr>
          <w:rFonts w:ascii="Palatino Linotype" w:eastAsia="Times New Roman" w:hAnsi="Palatino Linotype" w:cs="Times New Roman"/>
          <w:color w:val="000000" w:themeColor="text1"/>
          <w:sz w:val="16"/>
          <w:szCs w:val="16"/>
          <w:lang w:val="es-ES_tradnl"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eastAsia="Times New Roman" w:hAnsi="Palatino Linotype" w:cs="Arial"/>
          <w:color w:val="000000" w:themeColor="text1"/>
          <w:sz w:val="16"/>
          <w:szCs w:val="16"/>
          <w:lang w:val="es-ES_tradnl"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4">
    <w:p w14:paraId="5C30404E" w14:textId="77777777" w:rsidR="00C73C45" w:rsidRPr="00153277" w:rsidRDefault="00C73C45" w:rsidP="00C73C45">
      <w:pPr>
        <w:pStyle w:val="Textonotapie"/>
        <w:jc w:val="both"/>
        <w:rPr>
          <w:rFonts w:ascii="Palatino Linotype" w:hAnsi="Palatino Linotype"/>
          <w:color w:val="000000" w:themeColor="text1"/>
          <w:sz w:val="16"/>
          <w:szCs w:val="16"/>
          <w:lang w:val="en-US"/>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 xml:space="preserve">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w:t>
      </w:r>
      <w:r w:rsidRPr="00153277">
        <w:rPr>
          <w:rFonts w:ascii="Palatino Linotype" w:hAnsi="Palatino Linotype"/>
          <w:color w:val="000000" w:themeColor="text1"/>
          <w:sz w:val="16"/>
          <w:szCs w:val="16"/>
          <w:lang w:val="en-US"/>
        </w:rPr>
        <w:t>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F37770" w:rsidRDefault="00F3777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37770" w14:paraId="17981A04" w14:textId="77777777" w:rsidTr="00417FC0">
      <w:trPr>
        <w:trHeight w:val="227"/>
      </w:trPr>
      <w:tc>
        <w:tcPr>
          <w:tcW w:w="5529" w:type="dxa"/>
          <w:hideMark/>
        </w:tcPr>
        <w:p w14:paraId="0E414BC5" w14:textId="75B4D793" w:rsidR="00F37770" w:rsidRDefault="00F3777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3DAB91D6" w:rsidR="00F37770" w:rsidRPr="00B4142F" w:rsidRDefault="00317C14"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01735</w:t>
          </w:r>
          <w:r w:rsidR="00F37770">
            <w:rPr>
              <w:rFonts w:ascii="Palatino Linotype" w:hAnsi="Palatino Linotype" w:cs="Arial"/>
              <w:bCs/>
              <w:sz w:val="24"/>
              <w:lang w:eastAsia="es-MX"/>
            </w:rPr>
            <w:t>/INFOEM/IP/RR</w:t>
          </w:r>
          <w:r w:rsidR="009B5029">
            <w:rPr>
              <w:rFonts w:ascii="Palatino Linotype" w:hAnsi="Palatino Linotype" w:cs="Arial"/>
              <w:bCs/>
              <w:sz w:val="24"/>
              <w:lang w:eastAsia="es-MX"/>
            </w:rPr>
            <w:t>/2023</w:t>
          </w:r>
        </w:p>
      </w:tc>
    </w:tr>
    <w:tr w:rsidR="00F37770" w14:paraId="637042F0" w14:textId="77777777" w:rsidTr="00417FC0">
      <w:trPr>
        <w:trHeight w:val="242"/>
      </w:trPr>
      <w:tc>
        <w:tcPr>
          <w:tcW w:w="5529" w:type="dxa"/>
          <w:hideMark/>
        </w:tcPr>
        <w:p w14:paraId="412AD568" w14:textId="582E7AD7" w:rsidR="00F37770" w:rsidRDefault="00F3777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588A2548" w:rsidR="00F37770" w:rsidRPr="00F06FED" w:rsidRDefault="009B5029" w:rsidP="001B1CE0">
          <w:pPr>
            <w:spacing w:after="120" w:line="256" w:lineRule="auto"/>
            <w:ind w:left="639" w:right="214"/>
            <w:jc w:val="both"/>
            <w:rPr>
              <w:rFonts w:ascii="Palatino Linotype" w:hAnsi="Palatino Linotype" w:cs="Arial"/>
            </w:rPr>
          </w:pPr>
          <w:r>
            <w:rPr>
              <w:rFonts w:ascii="Palatino Linotype" w:hAnsi="Palatino Linotype" w:cs="Arial"/>
            </w:rPr>
            <w:t xml:space="preserve">Ayuntamiento de </w:t>
          </w:r>
          <w:r w:rsidR="00317C14">
            <w:rPr>
              <w:rFonts w:ascii="Palatino Linotype" w:hAnsi="Palatino Linotype" w:cs="Arial"/>
            </w:rPr>
            <w:t>Atenco</w:t>
          </w:r>
          <w:r w:rsidR="00033125">
            <w:rPr>
              <w:rFonts w:ascii="Palatino Linotype" w:hAnsi="Palatino Linotype" w:cs="Arial"/>
            </w:rPr>
            <w:t xml:space="preserve"> </w:t>
          </w:r>
        </w:p>
      </w:tc>
    </w:tr>
    <w:tr w:rsidR="00F37770" w14:paraId="21BFE746" w14:textId="77777777" w:rsidTr="00417FC0">
      <w:trPr>
        <w:trHeight w:val="342"/>
      </w:trPr>
      <w:tc>
        <w:tcPr>
          <w:tcW w:w="5529" w:type="dxa"/>
          <w:hideMark/>
        </w:tcPr>
        <w:p w14:paraId="64C4E314" w14:textId="1C66F8DB" w:rsidR="00F37770" w:rsidRDefault="00F3777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37770" w:rsidRDefault="00F3777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37770" w:rsidRDefault="00F3777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37770" w14:paraId="385FD437" w14:textId="77777777" w:rsidTr="00417FC0">
      <w:trPr>
        <w:trHeight w:val="227"/>
      </w:trPr>
      <w:tc>
        <w:tcPr>
          <w:tcW w:w="5529" w:type="dxa"/>
          <w:hideMark/>
        </w:tcPr>
        <w:p w14:paraId="272860E8" w14:textId="23375EDF" w:rsidR="00F37770" w:rsidRDefault="00F3777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59193162" w:rsidR="00F37770" w:rsidRPr="00B4142F" w:rsidRDefault="00317C14"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01735</w:t>
          </w:r>
          <w:r w:rsidR="00F37770">
            <w:rPr>
              <w:rFonts w:ascii="Palatino Linotype" w:hAnsi="Palatino Linotype" w:cs="Arial"/>
              <w:bCs/>
              <w:sz w:val="24"/>
              <w:lang w:eastAsia="es-MX"/>
            </w:rPr>
            <w:t>/INFOEM/IP/RR/202</w:t>
          </w:r>
          <w:r w:rsidR="009B5029">
            <w:rPr>
              <w:rFonts w:ascii="Palatino Linotype" w:hAnsi="Palatino Linotype" w:cs="Arial"/>
              <w:bCs/>
              <w:sz w:val="24"/>
              <w:lang w:eastAsia="es-MX"/>
            </w:rPr>
            <w:t>3</w:t>
          </w:r>
          <w:r w:rsidR="00F37770">
            <w:rPr>
              <w:rFonts w:ascii="Palatino Linotype" w:hAnsi="Palatino Linotype" w:cs="Arial"/>
              <w:bCs/>
              <w:sz w:val="24"/>
              <w:lang w:eastAsia="es-MX"/>
            </w:rPr>
            <w:t xml:space="preserve"> </w:t>
          </w:r>
        </w:p>
      </w:tc>
    </w:tr>
    <w:tr w:rsidR="00F37770" w14:paraId="33FC5097" w14:textId="77777777" w:rsidTr="00417FC0">
      <w:trPr>
        <w:trHeight w:val="196"/>
      </w:trPr>
      <w:tc>
        <w:tcPr>
          <w:tcW w:w="5529" w:type="dxa"/>
          <w:hideMark/>
        </w:tcPr>
        <w:p w14:paraId="4F5D01E5" w14:textId="77777777" w:rsidR="00F37770" w:rsidRDefault="00F3777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0B299D46" w:rsidR="00F37770" w:rsidRPr="00E93E68" w:rsidRDefault="00F37770" w:rsidP="00B667E5">
          <w:pPr>
            <w:spacing w:after="120" w:line="256" w:lineRule="auto"/>
            <w:ind w:right="214"/>
            <w:jc w:val="both"/>
            <w:rPr>
              <w:rFonts w:ascii="Palatino Linotype" w:hAnsi="Palatino Linotype" w:cs="Arial"/>
            </w:rPr>
          </w:pPr>
          <w:r>
            <w:rPr>
              <w:rFonts w:ascii="Palatino Linotype" w:hAnsi="Palatino Linotype" w:cs="Arial"/>
            </w:rPr>
            <w:t xml:space="preserve">            </w:t>
          </w:r>
          <w:r w:rsidR="000751CF">
            <w:rPr>
              <w:rFonts w:ascii="Palatino Linotype" w:hAnsi="Palatino Linotype" w:cs="Arial"/>
            </w:rPr>
            <w:t>XXXX</w:t>
          </w:r>
        </w:p>
      </w:tc>
    </w:tr>
    <w:tr w:rsidR="00F37770" w14:paraId="178280DE" w14:textId="77777777" w:rsidTr="00417FC0">
      <w:trPr>
        <w:trHeight w:val="242"/>
      </w:trPr>
      <w:tc>
        <w:tcPr>
          <w:tcW w:w="5529" w:type="dxa"/>
          <w:hideMark/>
        </w:tcPr>
        <w:p w14:paraId="71AC708B" w14:textId="77777777" w:rsidR="00F37770" w:rsidRDefault="00F3777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6F945DCB" w:rsidR="00F37770" w:rsidRDefault="009B5029"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317C14">
            <w:rPr>
              <w:rFonts w:ascii="Palatino Linotype" w:hAnsi="Palatino Linotype" w:cs="Arial"/>
              <w:szCs w:val="20"/>
            </w:rPr>
            <w:t>Atenco</w:t>
          </w:r>
        </w:p>
      </w:tc>
    </w:tr>
    <w:tr w:rsidR="00F37770" w14:paraId="0518978B" w14:textId="77777777" w:rsidTr="00417FC0">
      <w:trPr>
        <w:trHeight w:val="342"/>
      </w:trPr>
      <w:tc>
        <w:tcPr>
          <w:tcW w:w="5529" w:type="dxa"/>
          <w:hideMark/>
        </w:tcPr>
        <w:p w14:paraId="04968A43" w14:textId="5F7729A7" w:rsidR="00F37770" w:rsidRDefault="00F3777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37770" w:rsidRDefault="00F3777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37770" w:rsidRDefault="00F3777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14.4pt" o:bullet="t">
        <v:imagedata r:id="rId1" o:title="mso9F57"/>
      </v:shape>
    </w:pict>
  </w:numPicBullet>
  <w:abstractNum w:abstractNumId="0" w15:restartNumberingAfterBreak="0">
    <w:nsid w:val="0C4C7456"/>
    <w:multiLevelType w:val="hybridMultilevel"/>
    <w:tmpl w:val="365829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1670BE"/>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2"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1A86104"/>
    <w:multiLevelType w:val="hybridMultilevel"/>
    <w:tmpl w:val="2E5C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3838CD"/>
    <w:multiLevelType w:val="hybridMultilevel"/>
    <w:tmpl w:val="475CE3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9EB64CA"/>
    <w:multiLevelType w:val="hybridMultilevel"/>
    <w:tmpl w:val="EB966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E512EC"/>
    <w:multiLevelType w:val="hybridMultilevel"/>
    <w:tmpl w:val="26004448"/>
    <w:lvl w:ilvl="0" w:tplc="0409000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8" w15:restartNumberingAfterBreak="0">
    <w:nsid w:val="2E5E0A2C"/>
    <w:multiLevelType w:val="hybridMultilevel"/>
    <w:tmpl w:val="E00A8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150144"/>
    <w:multiLevelType w:val="hybridMultilevel"/>
    <w:tmpl w:val="8D905B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4C06D41"/>
    <w:multiLevelType w:val="hybridMultilevel"/>
    <w:tmpl w:val="475CE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9529AA"/>
    <w:multiLevelType w:val="hybridMultilevel"/>
    <w:tmpl w:val="648268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0D7918"/>
    <w:multiLevelType w:val="hybridMultilevel"/>
    <w:tmpl w:val="D18434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6030DD"/>
    <w:multiLevelType w:val="hybridMultilevel"/>
    <w:tmpl w:val="A1A6F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6939E0"/>
    <w:multiLevelType w:val="hybridMultilevel"/>
    <w:tmpl w:val="0848FE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08F023C"/>
    <w:multiLevelType w:val="hybridMultilevel"/>
    <w:tmpl w:val="A90CB6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B64DC7"/>
    <w:multiLevelType w:val="hybridMultilevel"/>
    <w:tmpl w:val="075C98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3F00C79"/>
    <w:multiLevelType w:val="hybridMultilevel"/>
    <w:tmpl w:val="6750D2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B76BF7"/>
    <w:multiLevelType w:val="hybridMultilevel"/>
    <w:tmpl w:val="565EF036"/>
    <w:lvl w:ilvl="0" w:tplc="0BBA5E3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6F66F9"/>
    <w:multiLevelType w:val="hybridMultilevel"/>
    <w:tmpl w:val="3E500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E179F8"/>
    <w:multiLevelType w:val="hybridMultilevel"/>
    <w:tmpl w:val="EA044F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2654112"/>
    <w:multiLevelType w:val="hybridMultilevel"/>
    <w:tmpl w:val="039E1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B617B9"/>
    <w:multiLevelType w:val="hybridMultilevel"/>
    <w:tmpl w:val="5D06069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68317A4"/>
    <w:multiLevelType w:val="hybridMultilevel"/>
    <w:tmpl w:val="389C463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57F18D4"/>
    <w:multiLevelType w:val="hybridMultilevel"/>
    <w:tmpl w:val="7478A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130074"/>
    <w:multiLevelType w:val="hybridMultilevel"/>
    <w:tmpl w:val="45DC5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795BAE"/>
    <w:multiLevelType w:val="hybridMultilevel"/>
    <w:tmpl w:val="0CF0BEC0"/>
    <w:lvl w:ilvl="0" w:tplc="BB0A26CE">
      <w:start w:val="1"/>
      <w:numFmt w:val="bullet"/>
      <w:lvlText w:val="-"/>
      <w:lvlJc w:val="left"/>
      <w:pPr>
        <w:ind w:left="1800" w:hanging="360"/>
      </w:pPr>
      <w:rPr>
        <w:rFonts w:ascii="Palatino Linotype" w:eastAsia="Times New Roman" w:hAnsi="Palatino Linotype"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6800238C"/>
    <w:multiLevelType w:val="hybridMultilevel"/>
    <w:tmpl w:val="B98C9D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1" w15:restartNumberingAfterBreak="0">
    <w:nsid w:val="6C844700"/>
    <w:multiLevelType w:val="hybridMultilevel"/>
    <w:tmpl w:val="3AAA1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A30162"/>
    <w:multiLevelType w:val="hybridMultilevel"/>
    <w:tmpl w:val="6D64FD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106425"/>
    <w:multiLevelType w:val="hybridMultilevel"/>
    <w:tmpl w:val="5DEE0B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3"/>
  </w:num>
  <w:num w:numId="3">
    <w:abstractNumId w:val="7"/>
  </w:num>
  <w:num w:numId="4">
    <w:abstractNumId w:val="11"/>
  </w:num>
  <w:num w:numId="5">
    <w:abstractNumId w:val="32"/>
  </w:num>
  <w:num w:numId="6">
    <w:abstractNumId w:val="2"/>
  </w:num>
  <w:num w:numId="7">
    <w:abstractNumId w:val="30"/>
  </w:num>
  <w:num w:numId="8">
    <w:abstractNumId w:val="25"/>
  </w:num>
  <w:num w:numId="9">
    <w:abstractNumId w:val="8"/>
  </w:num>
  <w:num w:numId="10">
    <w:abstractNumId w:val="14"/>
  </w:num>
  <w:num w:numId="11">
    <w:abstractNumId w:val="15"/>
  </w:num>
  <w:num w:numId="12">
    <w:abstractNumId w:val="23"/>
  </w:num>
  <w:num w:numId="13">
    <w:abstractNumId w:val="9"/>
  </w:num>
  <w:num w:numId="14">
    <w:abstractNumId w:val="20"/>
  </w:num>
  <w:num w:numId="15">
    <w:abstractNumId w:val="33"/>
  </w:num>
  <w:num w:numId="16">
    <w:abstractNumId w:val="31"/>
  </w:num>
  <w:num w:numId="17">
    <w:abstractNumId w:val="29"/>
  </w:num>
  <w:num w:numId="18">
    <w:abstractNumId w:val="0"/>
  </w:num>
  <w:num w:numId="19">
    <w:abstractNumId w:val="13"/>
  </w:num>
  <w:num w:numId="20">
    <w:abstractNumId w:val="34"/>
  </w:num>
  <w:num w:numId="21">
    <w:abstractNumId w:val="21"/>
  </w:num>
  <w:num w:numId="22">
    <w:abstractNumId w:val="26"/>
  </w:num>
  <w:num w:numId="23">
    <w:abstractNumId w:val="17"/>
  </w:num>
  <w:num w:numId="24">
    <w:abstractNumId w:val="22"/>
  </w:num>
  <w:num w:numId="25">
    <w:abstractNumId w:val="28"/>
  </w:num>
  <w:num w:numId="26">
    <w:abstractNumId w:val="12"/>
  </w:num>
  <w:num w:numId="27">
    <w:abstractNumId w:val="18"/>
  </w:num>
  <w:num w:numId="28">
    <w:abstractNumId w:val="6"/>
  </w:num>
  <w:num w:numId="29">
    <w:abstractNumId w:val="24"/>
  </w:num>
  <w:num w:numId="30">
    <w:abstractNumId w:val="5"/>
  </w:num>
  <w:num w:numId="31">
    <w:abstractNumId w:val="4"/>
  </w:num>
  <w:num w:numId="32">
    <w:abstractNumId w:val="19"/>
  </w:num>
  <w:num w:numId="33">
    <w:abstractNumId w:val="16"/>
  </w:num>
  <w:num w:numId="34">
    <w:abstractNumId w:val="27"/>
  </w:num>
  <w:num w:numId="35">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A5"/>
    <w:rsid w:val="0000484E"/>
    <w:rsid w:val="00004BE2"/>
    <w:rsid w:val="000054D0"/>
    <w:rsid w:val="000056BB"/>
    <w:rsid w:val="00005B85"/>
    <w:rsid w:val="000064FD"/>
    <w:rsid w:val="00010643"/>
    <w:rsid w:val="000115F8"/>
    <w:rsid w:val="0001366A"/>
    <w:rsid w:val="00013C75"/>
    <w:rsid w:val="000143F3"/>
    <w:rsid w:val="00015141"/>
    <w:rsid w:val="000158D2"/>
    <w:rsid w:val="00016E36"/>
    <w:rsid w:val="000171B7"/>
    <w:rsid w:val="00020C6B"/>
    <w:rsid w:val="00020E74"/>
    <w:rsid w:val="000240C8"/>
    <w:rsid w:val="00024AFB"/>
    <w:rsid w:val="0002560B"/>
    <w:rsid w:val="000306A7"/>
    <w:rsid w:val="000308B6"/>
    <w:rsid w:val="000316DC"/>
    <w:rsid w:val="00031B3B"/>
    <w:rsid w:val="00032762"/>
    <w:rsid w:val="00032896"/>
    <w:rsid w:val="000329BE"/>
    <w:rsid w:val="00033125"/>
    <w:rsid w:val="00037EBF"/>
    <w:rsid w:val="0004186E"/>
    <w:rsid w:val="000420E2"/>
    <w:rsid w:val="00044D01"/>
    <w:rsid w:val="000451BE"/>
    <w:rsid w:val="00045379"/>
    <w:rsid w:val="00045CB8"/>
    <w:rsid w:val="0005080D"/>
    <w:rsid w:val="000508FA"/>
    <w:rsid w:val="0005171D"/>
    <w:rsid w:val="000518AC"/>
    <w:rsid w:val="00053936"/>
    <w:rsid w:val="00055224"/>
    <w:rsid w:val="000569A5"/>
    <w:rsid w:val="00056D2A"/>
    <w:rsid w:val="00057E37"/>
    <w:rsid w:val="000612BD"/>
    <w:rsid w:val="00061821"/>
    <w:rsid w:val="000623F9"/>
    <w:rsid w:val="00063035"/>
    <w:rsid w:val="00063A10"/>
    <w:rsid w:val="00064EA6"/>
    <w:rsid w:val="000662F8"/>
    <w:rsid w:val="00066E86"/>
    <w:rsid w:val="00070E99"/>
    <w:rsid w:val="000720CA"/>
    <w:rsid w:val="00073E78"/>
    <w:rsid w:val="00073FC2"/>
    <w:rsid w:val="000740DB"/>
    <w:rsid w:val="000751CF"/>
    <w:rsid w:val="00076AE0"/>
    <w:rsid w:val="0007756F"/>
    <w:rsid w:val="0008151E"/>
    <w:rsid w:val="000821BF"/>
    <w:rsid w:val="0008548C"/>
    <w:rsid w:val="00085A69"/>
    <w:rsid w:val="00085EA6"/>
    <w:rsid w:val="00086AF1"/>
    <w:rsid w:val="00086BE9"/>
    <w:rsid w:val="00090174"/>
    <w:rsid w:val="00091552"/>
    <w:rsid w:val="00091C3A"/>
    <w:rsid w:val="000944B9"/>
    <w:rsid w:val="00095CD4"/>
    <w:rsid w:val="00096C6C"/>
    <w:rsid w:val="0009704F"/>
    <w:rsid w:val="000A08F1"/>
    <w:rsid w:val="000A18F1"/>
    <w:rsid w:val="000A2E75"/>
    <w:rsid w:val="000A3486"/>
    <w:rsid w:val="000A3612"/>
    <w:rsid w:val="000A369F"/>
    <w:rsid w:val="000A4601"/>
    <w:rsid w:val="000A46EB"/>
    <w:rsid w:val="000A5195"/>
    <w:rsid w:val="000A535D"/>
    <w:rsid w:val="000A5980"/>
    <w:rsid w:val="000A79DA"/>
    <w:rsid w:val="000B03E0"/>
    <w:rsid w:val="000B1C4F"/>
    <w:rsid w:val="000B43A0"/>
    <w:rsid w:val="000B4B51"/>
    <w:rsid w:val="000B5864"/>
    <w:rsid w:val="000B6250"/>
    <w:rsid w:val="000B6D61"/>
    <w:rsid w:val="000B7158"/>
    <w:rsid w:val="000C0B33"/>
    <w:rsid w:val="000C2602"/>
    <w:rsid w:val="000C2A35"/>
    <w:rsid w:val="000C48B5"/>
    <w:rsid w:val="000C5B8B"/>
    <w:rsid w:val="000C7ED3"/>
    <w:rsid w:val="000D0F48"/>
    <w:rsid w:val="000D1A4E"/>
    <w:rsid w:val="000D1B50"/>
    <w:rsid w:val="000D1B55"/>
    <w:rsid w:val="000D3C75"/>
    <w:rsid w:val="000D3D44"/>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6D5B"/>
    <w:rsid w:val="000F7389"/>
    <w:rsid w:val="00100C19"/>
    <w:rsid w:val="00100F8E"/>
    <w:rsid w:val="0010154B"/>
    <w:rsid w:val="00104A18"/>
    <w:rsid w:val="00104B9D"/>
    <w:rsid w:val="00105B75"/>
    <w:rsid w:val="00105F91"/>
    <w:rsid w:val="00106372"/>
    <w:rsid w:val="001108D8"/>
    <w:rsid w:val="00111DCD"/>
    <w:rsid w:val="00112C29"/>
    <w:rsid w:val="00114965"/>
    <w:rsid w:val="00114CF9"/>
    <w:rsid w:val="00116FA7"/>
    <w:rsid w:val="00120642"/>
    <w:rsid w:val="001228AB"/>
    <w:rsid w:val="001233A3"/>
    <w:rsid w:val="001235C3"/>
    <w:rsid w:val="00124807"/>
    <w:rsid w:val="00124855"/>
    <w:rsid w:val="001254F5"/>
    <w:rsid w:val="00125561"/>
    <w:rsid w:val="001272C6"/>
    <w:rsid w:val="001311AB"/>
    <w:rsid w:val="00133A1D"/>
    <w:rsid w:val="001341CF"/>
    <w:rsid w:val="0013496D"/>
    <w:rsid w:val="001351F2"/>
    <w:rsid w:val="00135837"/>
    <w:rsid w:val="00135E00"/>
    <w:rsid w:val="00136FAD"/>
    <w:rsid w:val="0013704D"/>
    <w:rsid w:val="00137D60"/>
    <w:rsid w:val="00137F01"/>
    <w:rsid w:val="00140557"/>
    <w:rsid w:val="001408A0"/>
    <w:rsid w:val="00142F1F"/>
    <w:rsid w:val="0014385C"/>
    <w:rsid w:val="001439C9"/>
    <w:rsid w:val="00144BC1"/>
    <w:rsid w:val="001464A3"/>
    <w:rsid w:val="00146F0A"/>
    <w:rsid w:val="00151373"/>
    <w:rsid w:val="0015205D"/>
    <w:rsid w:val="001522E7"/>
    <w:rsid w:val="00152AB2"/>
    <w:rsid w:val="00152C2B"/>
    <w:rsid w:val="001534CF"/>
    <w:rsid w:val="00157251"/>
    <w:rsid w:val="00157736"/>
    <w:rsid w:val="001602D7"/>
    <w:rsid w:val="001603EC"/>
    <w:rsid w:val="001605FD"/>
    <w:rsid w:val="00161FBE"/>
    <w:rsid w:val="0016297B"/>
    <w:rsid w:val="0016745C"/>
    <w:rsid w:val="0017022E"/>
    <w:rsid w:val="00170562"/>
    <w:rsid w:val="00170FD1"/>
    <w:rsid w:val="001710C0"/>
    <w:rsid w:val="001733A0"/>
    <w:rsid w:val="001749B1"/>
    <w:rsid w:val="00175897"/>
    <w:rsid w:val="00176AF4"/>
    <w:rsid w:val="00180B9F"/>
    <w:rsid w:val="001810AA"/>
    <w:rsid w:val="001810FF"/>
    <w:rsid w:val="00181CC5"/>
    <w:rsid w:val="001829BE"/>
    <w:rsid w:val="001831C5"/>
    <w:rsid w:val="00184E8E"/>
    <w:rsid w:val="001854E1"/>
    <w:rsid w:val="0018577F"/>
    <w:rsid w:val="00185D2C"/>
    <w:rsid w:val="0018644A"/>
    <w:rsid w:val="00192661"/>
    <w:rsid w:val="00193784"/>
    <w:rsid w:val="00194B41"/>
    <w:rsid w:val="001957A3"/>
    <w:rsid w:val="00196DCE"/>
    <w:rsid w:val="001A02EC"/>
    <w:rsid w:val="001A169E"/>
    <w:rsid w:val="001A1756"/>
    <w:rsid w:val="001A1FDD"/>
    <w:rsid w:val="001A30F5"/>
    <w:rsid w:val="001A4643"/>
    <w:rsid w:val="001A5140"/>
    <w:rsid w:val="001A5630"/>
    <w:rsid w:val="001A565B"/>
    <w:rsid w:val="001A577E"/>
    <w:rsid w:val="001A659C"/>
    <w:rsid w:val="001A7216"/>
    <w:rsid w:val="001A7C9B"/>
    <w:rsid w:val="001B05B9"/>
    <w:rsid w:val="001B1180"/>
    <w:rsid w:val="001B18A5"/>
    <w:rsid w:val="001B1CE0"/>
    <w:rsid w:val="001B3222"/>
    <w:rsid w:val="001B37B1"/>
    <w:rsid w:val="001B7B88"/>
    <w:rsid w:val="001B7FA2"/>
    <w:rsid w:val="001C166A"/>
    <w:rsid w:val="001C1CAF"/>
    <w:rsid w:val="001C2ECC"/>
    <w:rsid w:val="001C3EE0"/>
    <w:rsid w:val="001C50EE"/>
    <w:rsid w:val="001C588A"/>
    <w:rsid w:val="001C64DF"/>
    <w:rsid w:val="001C7319"/>
    <w:rsid w:val="001C7D87"/>
    <w:rsid w:val="001D23B4"/>
    <w:rsid w:val="001D2949"/>
    <w:rsid w:val="001D3E11"/>
    <w:rsid w:val="001D3E87"/>
    <w:rsid w:val="001D491D"/>
    <w:rsid w:val="001D49A2"/>
    <w:rsid w:val="001D627A"/>
    <w:rsid w:val="001D6B60"/>
    <w:rsid w:val="001E07F4"/>
    <w:rsid w:val="001E0C3F"/>
    <w:rsid w:val="001E5063"/>
    <w:rsid w:val="001E58D8"/>
    <w:rsid w:val="001E5CBD"/>
    <w:rsid w:val="001E78AA"/>
    <w:rsid w:val="001F2101"/>
    <w:rsid w:val="001F274C"/>
    <w:rsid w:val="001F280C"/>
    <w:rsid w:val="001F3969"/>
    <w:rsid w:val="001F5753"/>
    <w:rsid w:val="001F61DA"/>
    <w:rsid w:val="001F6766"/>
    <w:rsid w:val="001F72D9"/>
    <w:rsid w:val="001F7B3B"/>
    <w:rsid w:val="001F7C68"/>
    <w:rsid w:val="002033E7"/>
    <w:rsid w:val="0020352C"/>
    <w:rsid w:val="00205ACD"/>
    <w:rsid w:val="002075A5"/>
    <w:rsid w:val="00207EF0"/>
    <w:rsid w:val="002105B4"/>
    <w:rsid w:val="00212A9D"/>
    <w:rsid w:val="00212FB6"/>
    <w:rsid w:val="002138D5"/>
    <w:rsid w:val="0021501E"/>
    <w:rsid w:val="00215192"/>
    <w:rsid w:val="00216628"/>
    <w:rsid w:val="002205C0"/>
    <w:rsid w:val="00220EA5"/>
    <w:rsid w:val="002214A5"/>
    <w:rsid w:val="00221889"/>
    <w:rsid w:val="002227C6"/>
    <w:rsid w:val="00223CAE"/>
    <w:rsid w:val="002248AC"/>
    <w:rsid w:val="00225FB3"/>
    <w:rsid w:val="00226AF5"/>
    <w:rsid w:val="00230F7C"/>
    <w:rsid w:val="002315A1"/>
    <w:rsid w:val="002317D3"/>
    <w:rsid w:val="0023373D"/>
    <w:rsid w:val="00233904"/>
    <w:rsid w:val="0023423C"/>
    <w:rsid w:val="002363F6"/>
    <w:rsid w:val="00241038"/>
    <w:rsid w:val="002417A0"/>
    <w:rsid w:val="002420E3"/>
    <w:rsid w:val="002432D3"/>
    <w:rsid w:val="002448CB"/>
    <w:rsid w:val="00245C21"/>
    <w:rsid w:val="0024633A"/>
    <w:rsid w:val="0024703B"/>
    <w:rsid w:val="00251B84"/>
    <w:rsid w:val="00252232"/>
    <w:rsid w:val="002525C7"/>
    <w:rsid w:val="002526E7"/>
    <w:rsid w:val="00252DBE"/>
    <w:rsid w:val="00254BA9"/>
    <w:rsid w:val="00254FD8"/>
    <w:rsid w:val="002563D7"/>
    <w:rsid w:val="0025690D"/>
    <w:rsid w:val="002577FE"/>
    <w:rsid w:val="0026055B"/>
    <w:rsid w:val="00261125"/>
    <w:rsid w:val="00261542"/>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588E"/>
    <w:rsid w:val="00286325"/>
    <w:rsid w:val="00286784"/>
    <w:rsid w:val="00287C02"/>
    <w:rsid w:val="002905AA"/>
    <w:rsid w:val="00290BC9"/>
    <w:rsid w:val="00290E6E"/>
    <w:rsid w:val="0029431D"/>
    <w:rsid w:val="00295749"/>
    <w:rsid w:val="0029598B"/>
    <w:rsid w:val="00296F0B"/>
    <w:rsid w:val="00297614"/>
    <w:rsid w:val="002A1502"/>
    <w:rsid w:val="002A2034"/>
    <w:rsid w:val="002A24F4"/>
    <w:rsid w:val="002A38BF"/>
    <w:rsid w:val="002A4319"/>
    <w:rsid w:val="002A5409"/>
    <w:rsid w:val="002A56AE"/>
    <w:rsid w:val="002A597E"/>
    <w:rsid w:val="002B0DF5"/>
    <w:rsid w:val="002B113A"/>
    <w:rsid w:val="002B19E0"/>
    <w:rsid w:val="002B1A1F"/>
    <w:rsid w:val="002B466A"/>
    <w:rsid w:val="002B5DBD"/>
    <w:rsid w:val="002B710C"/>
    <w:rsid w:val="002B7AC8"/>
    <w:rsid w:val="002C07C4"/>
    <w:rsid w:val="002C1B76"/>
    <w:rsid w:val="002C254D"/>
    <w:rsid w:val="002C2C20"/>
    <w:rsid w:val="002C4FD2"/>
    <w:rsid w:val="002C64CF"/>
    <w:rsid w:val="002C64E9"/>
    <w:rsid w:val="002C705E"/>
    <w:rsid w:val="002C72D2"/>
    <w:rsid w:val="002D08E3"/>
    <w:rsid w:val="002D2391"/>
    <w:rsid w:val="002D26D3"/>
    <w:rsid w:val="002D30CB"/>
    <w:rsid w:val="002D310D"/>
    <w:rsid w:val="002D338B"/>
    <w:rsid w:val="002D44B4"/>
    <w:rsid w:val="002D6995"/>
    <w:rsid w:val="002D6CD7"/>
    <w:rsid w:val="002D7003"/>
    <w:rsid w:val="002E002A"/>
    <w:rsid w:val="002E140D"/>
    <w:rsid w:val="002E2D7B"/>
    <w:rsid w:val="002E3B1F"/>
    <w:rsid w:val="002E54CE"/>
    <w:rsid w:val="002E588D"/>
    <w:rsid w:val="002E5E6A"/>
    <w:rsid w:val="002E6E6D"/>
    <w:rsid w:val="002F0742"/>
    <w:rsid w:val="002F098B"/>
    <w:rsid w:val="002F14AA"/>
    <w:rsid w:val="002F2198"/>
    <w:rsid w:val="002F37BE"/>
    <w:rsid w:val="002F3F85"/>
    <w:rsid w:val="002F4577"/>
    <w:rsid w:val="002F4E06"/>
    <w:rsid w:val="002F6424"/>
    <w:rsid w:val="00300966"/>
    <w:rsid w:val="00300D0B"/>
    <w:rsid w:val="00303522"/>
    <w:rsid w:val="00304D88"/>
    <w:rsid w:val="003056A2"/>
    <w:rsid w:val="00306096"/>
    <w:rsid w:val="00306FB6"/>
    <w:rsid w:val="003107AB"/>
    <w:rsid w:val="003111C0"/>
    <w:rsid w:val="003116EE"/>
    <w:rsid w:val="003154F2"/>
    <w:rsid w:val="0031645D"/>
    <w:rsid w:val="00317A04"/>
    <w:rsid w:val="00317A10"/>
    <w:rsid w:val="00317C14"/>
    <w:rsid w:val="003200EB"/>
    <w:rsid w:val="00320A67"/>
    <w:rsid w:val="00320D7B"/>
    <w:rsid w:val="00321565"/>
    <w:rsid w:val="0032187D"/>
    <w:rsid w:val="00322C93"/>
    <w:rsid w:val="00323CD2"/>
    <w:rsid w:val="003248E6"/>
    <w:rsid w:val="00325855"/>
    <w:rsid w:val="003272FB"/>
    <w:rsid w:val="00327718"/>
    <w:rsid w:val="003317CD"/>
    <w:rsid w:val="00331CDD"/>
    <w:rsid w:val="00332498"/>
    <w:rsid w:val="0034179E"/>
    <w:rsid w:val="00341AC3"/>
    <w:rsid w:val="003421F9"/>
    <w:rsid w:val="0034299B"/>
    <w:rsid w:val="003430A8"/>
    <w:rsid w:val="00344259"/>
    <w:rsid w:val="003443B2"/>
    <w:rsid w:val="00344580"/>
    <w:rsid w:val="0034558E"/>
    <w:rsid w:val="0035126E"/>
    <w:rsid w:val="00351CFB"/>
    <w:rsid w:val="003551AD"/>
    <w:rsid w:val="00355A06"/>
    <w:rsid w:val="003618D7"/>
    <w:rsid w:val="00361B9C"/>
    <w:rsid w:val="003622D5"/>
    <w:rsid w:val="003640B1"/>
    <w:rsid w:val="00365C45"/>
    <w:rsid w:val="00370146"/>
    <w:rsid w:val="00373F33"/>
    <w:rsid w:val="00374444"/>
    <w:rsid w:val="003746F5"/>
    <w:rsid w:val="00374E41"/>
    <w:rsid w:val="00376114"/>
    <w:rsid w:val="00376B5B"/>
    <w:rsid w:val="00376CEC"/>
    <w:rsid w:val="00376E2A"/>
    <w:rsid w:val="003806DC"/>
    <w:rsid w:val="00380758"/>
    <w:rsid w:val="00381742"/>
    <w:rsid w:val="003827B4"/>
    <w:rsid w:val="00383C82"/>
    <w:rsid w:val="00386BBB"/>
    <w:rsid w:val="00386D84"/>
    <w:rsid w:val="00387363"/>
    <w:rsid w:val="00391324"/>
    <w:rsid w:val="0039245A"/>
    <w:rsid w:val="0039324E"/>
    <w:rsid w:val="00393376"/>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73D3"/>
    <w:rsid w:val="003B1A03"/>
    <w:rsid w:val="003B1C4E"/>
    <w:rsid w:val="003B1E14"/>
    <w:rsid w:val="003B1E88"/>
    <w:rsid w:val="003B3C41"/>
    <w:rsid w:val="003B4B5F"/>
    <w:rsid w:val="003B5455"/>
    <w:rsid w:val="003B58C0"/>
    <w:rsid w:val="003B5FFE"/>
    <w:rsid w:val="003B63C0"/>
    <w:rsid w:val="003C2632"/>
    <w:rsid w:val="003C2A7C"/>
    <w:rsid w:val="003C2A8E"/>
    <w:rsid w:val="003C7873"/>
    <w:rsid w:val="003C78F7"/>
    <w:rsid w:val="003C7C12"/>
    <w:rsid w:val="003D153C"/>
    <w:rsid w:val="003D65C9"/>
    <w:rsid w:val="003D70D4"/>
    <w:rsid w:val="003E0BC5"/>
    <w:rsid w:val="003E16E1"/>
    <w:rsid w:val="003E2624"/>
    <w:rsid w:val="003E34C9"/>
    <w:rsid w:val="003E4B54"/>
    <w:rsid w:val="003E53AC"/>
    <w:rsid w:val="003E55DB"/>
    <w:rsid w:val="003E7555"/>
    <w:rsid w:val="003E7FD3"/>
    <w:rsid w:val="003F0EB3"/>
    <w:rsid w:val="003F332C"/>
    <w:rsid w:val="003F3E41"/>
    <w:rsid w:val="003F6008"/>
    <w:rsid w:val="003F659A"/>
    <w:rsid w:val="00400A2B"/>
    <w:rsid w:val="00400E16"/>
    <w:rsid w:val="004012CF"/>
    <w:rsid w:val="004012E1"/>
    <w:rsid w:val="004028F5"/>
    <w:rsid w:val="00402FF3"/>
    <w:rsid w:val="00403116"/>
    <w:rsid w:val="00404445"/>
    <w:rsid w:val="00404627"/>
    <w:rsid w:val="00404750"/>
    <w:rsid w:val="004051F5"/>
    <w:rsid w:val="0040546E"/>
    <w:rsid w:val="00405D9B"/>
    <w:rsid w:val="00405EAB"/>
    <w:rsid w:val="004069EB"/>
    <w:rsid w:val="0041002B"/>
    <w:rsid w:val="00410684"/>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77C4"/>
    <w:rsid w:val="00431178"/>
    <w:rsid w:val="004319BF"/>
    <w:rsid w:val="0043218D"/>
    <w:rsid w:val="00433507"/>
    <w:rsid w:val="004335F1"/>
    <w:rsid w:val="00434F13"/>
    <w:rsid w:val="00434FFC"/>
    <w:rsid w:val="00435A16"/>
    <w:rsid w:val="0043695E"/>
    <w:rsid w:val="00436AC7"/>
    <w:rsid w:val="00437A0E"/>
    <w:rsid w:val="00442231"/>
    <w:rsid w:val="00443B76"/>
    <w:rsid w:val="00444B4C"/>
    <w:rsid w:val="004460C0"/>
    <w:rsid w:val="00447ABE"/>
    <w:rsid w:val="00447DF5"/>
    <w:rsid w:val="004502F1"/>
    <w:rsid w:val="004516EB"/>
    <w:rsid w:val="00451E27"/>
    <w:rsid w:val="004529B6"/>
    <w:rsid w:val="00453DBD"/>
    <w:rsid w:val="00454CE6"/>
    <w:rsid w:val="00456FFF"/>
    <w:rsid w:val="00457A9F"/>
    <w:rsid w:val="00460632"/>
    <w:rsid w:val="0046133D"/>
    <w:rsid w:val="00462881"/>
    <w:rsid w:val="00462B0D"/>
    <w:rsid w:val="004642A1"/>
    <w:rsid w:val="0046475C"/>
    <w:rsid w:val="004653BB"/>
    <w:rsid w:val="004702BF"/>
    <w:rsid w:val="00470F88"/>
    <w:rsid w:val="00472649"/>
    <w:rsid w:val="00474273"/>
    <w:rsid w:val="00475574"/>
    <w:rsid w:val="00475F48"/>
    <w:rsid w:val="00477430"/>
    <w:rsid w:val="00477CC2"/>
    <w:rsid w:val="0048180A"/>
    <w:rsid w:val="00481C7A"/>
    <w:rsid w:val="004821D4"/>
    <w:rsid w:val="004836B3"/>
    <w:rsid w:val="0048464D"/>
    <w:rsid w:val="00484F88"/>
    <w:rsid w:val="00485906"/>
    <w:rsid w:val="004867DB"/>
    <w:rsid w:val="00487713"/>
    <w:rsid w:val="0049063B"/>
    <w:rsid w:val="004906C8"/>
    <w:rsid w:val="00491A1C"/>
    <w:rsid w:val="00491BAB"/>
    <w:rsid w:val="00493252"/>
    <w:rsid w:val="00493A00"/>
    <w:rsid w:val="0049459B"/>
    <w:rsid w:val="00495252"/>
    <w:rsid w:val="0049534C"/>
    <w:rsid w:val="004964B5"/>
    <w:rsid w:val="0049675F"/>
    <w:rsid w:val="004967E2"/>
    <w:rsid w:val="00496CDA"/>
    <w:rsid w:val="0049718E"/>
    <w:rsid w:val="0049785D"/>
    <w:rsid w:val="004A290F"/>
    <w:rsid w:val="004A5FFD"/>
    <w:rsid w:val="004A7195"/>
    <w:rsid w:val="004A7CE2"/>
    <w:rsid w:val="004B12AF"/>
    <w:rsid w:val="004B13CF"/>
    <w:rsid w:val="004B376D"/>
    <w:rsid w:val="004B51FA"/>
    <w:rsid w:val="004B53C1"/>
    <w:rsid w:val="004B5DEC"/>
    <w:rsid w:val="004B7F32"/>
    <w:rsid w:val="004C0FAC"/>
    <w:rsid w:val="004C1207"/>
    <w:rsid w:val="004C17CE"/>
    <w:rsid w:val="004C18A7"/>
    <w:rsid w:val="004C1DF1"/>
    <w:rsid w:val="004C2ED8"/>
    <w:rsid w:val="004C3D8C"/>
    <w:rsid w:val="004C4E77"/>
    <w:rsid w:val="004C537E"/>
    <w:rsid w:val="004C61C2"/>
    <w:rsid w:val="004C79B9"/>
    <w:rsid w:val="004D021D"/>
    <w:rsid w:val="004D08EB"/>
    <w:rsid w:val="004D1FB9"/>
    <w:rsid w:val="004D2D13"/>
    <w:rsid w:val="004D6029"/>
    <w:rsid w:val="004D647B"/>
    <w:rsid w:val="004E0679"/>
    <w:rsid w:val="004E0B32"/>
    <w:rsid w:val="004E1E0C"/>
    <w:rsid w:val="004E2371"/>
    <w:rsid w:val="004E4936"/>
    <w:rsid w:val="004E59D7"/>
    <w:rsid w:val="004E5A14"/>
    <w:rsid w:val="004E6BE9"/>
    <w:rsid w:val="004E78B8"/>
    <w:rsid w:val="004E79A4"/>
    <w:rsid w:val="004F1C51"/>
    <w:rsid w:val="004F26CF"/>
    <w:rsid w:val="004F3071"/>
    <w:rsid w:val="004F41DA"/>
    <w:rsid w:val="004F4792"/>
    <w:rsid w:val="004F4DF1"/>
    <w:rsid w:val="004F6476"/>
    <w:rsid w:val="004F698D"/>
    <w:rsid w:val="004F76FC"/>
    <w:rsid w:val="00500601"/>
    <w:rsid w:val="00500BA6"/>
    <w:rsid w:val="0050182F"/>
    <w:rsid w:val="00502F50"/>
    <w:rsid w:val="00503655"/>
    <w:rsid w:val="0050375C"/>
    <w:rsid w:val="00503CA0"/>
    <w:rsid w:val="00504408"/>
    <w:rsid w:val="00505759"/>
    <w:rsid w:val="0050578D"/>
    <w:rsid w:val="0051107C"/>
    <w:rsid w:val="005115C9"/>
    <w:rsid w:val="0051235E"/>
    <w:rsid w:val="005124EC"/>
    <w:rsid w:val="0051313D"/>
    <w:rsid w:val="00513CB3"/>
    <w:rsid w:val="00513DE2"/>
    <w:rsid w:val="00514187"/>
    <w:rsid w:val="00515090"/>
    <w:rsid w:val="00517889"/>
    <w:rsid w:val="005178ED"/>
    <w:rsid w:val="00521E57"/>
    <w:rsid w:val="00521F80"/>
    <w:rsid w:val="00523DDF"/>
    <w:rsid w:val="0052735A"/>
    <w:rsid w:val="00527EBC"/>
    <w:rsid w:val="005305EA"/>
    <w:rsid w:val="00530E3E"/>
    <w:rsid w:val="005311BB"/>
    <w:rsid w:val="005314E4"/>
    <w:rsid w:val="00533DF5"/>
    <w:rsid w:val="005366C6"/>
    <w:rsid w:val="005371E7"/>
    <w:rsid w:val="005402C2"/>
    <w:rsid w:val="00540538"/>
    <w:rsid w:val="00540775"/>
    <w:rsid w:val="00540C92"/>
    <w:rsid w:val="00541143"/>
    <w:rsid w:val="00542BC6"/>
    <w:rsid w:val="0054390A"/>
    <w:rsid w:val="005478DE"/>
    <w:rsid w:val="0055176C"/>
    <w:rsid w:val="005520FE"/>
    <w:rsid w:val="0055211D"/>
    <w:rsid w:val="00552FA7"/>
    <w:rsid w:val="00553E92"/>
    <w:rsid w:val="00554927"/>
    <w:rsid w:val="005559F5"/>
    <w:rsid w:val="00556513"/>
    <w:rsid w:val="00560D4A"/>
    <w:rsid w:val="00560D8E"/>
    <w:rsid w:val="00562653"/>
    <w:rsid w:val="0056468F"/>
    <w:rsid w:val="0056558A"/>
    <w:rsid w:val="00565F99"/>
    <w:rsid w:val="00566E4B"/>
    <w:rsid w:val="00567001"/>
    <w:rsid w:val="00567F9A"/>
    <w:rsid w:val="005705E2"/>
    <w:rsid w:val="005714B9"/>
    <w:rsid w:val="00571A7B"/>
    <w:rsid w:val="00572C64"/>
    <w:rsid w:val="005733EB"/>
    <w:rsid w:val="005754D2"/>
    <w:rsid w:val="00576C2F"/>
    <w:rsid w:val="00576E97"/>
    <w:rsid w:val="005771DE"/>
    <w:rsid w:val="00577C71"/>
    <w:rsid w:val="00580802"/>
    <w:rsid w:val="00581064"/>
    <w:rsid w:val="00581A22"/>
    <w:rsid w:val="005833A8"/>
    <w:rsid w:val="00583431"/>
    <w:rsid w:val="0058483E"/>
    <w:rsid w:val="00585740"/>
    <w:rsid w:val="0058661B"/>
    <w:rsid w:val="00586CD3"/>
    <w:rsid w:val="00593E91"/>
    <w:rsid w:val="00595600"/>
    <w:rsid w:val="0059597D"/>
    <w:rsid w:val="00596DC4"/>
    <w:rsid w:val="00597589"/>
    <w:rsid w:val="005A0B49"/>
    <w:rsid w:val="005A13CC"/>
    <w:rsid w:val="005A2394"/>
    <w:rsid w:val="005A52D9"/>
    <w:rsid w:val="005A5A6E"/>
    <w:rsid w:val="005A694B"/>
    <w:rsid w:val="005A6D57"/>
    <w:rsid w:val="005B0424"/>
    <w:rsid w:val="005B0575"/>
    <w:rsid w:val="005B37EF"/>
    <w:rsid w:val="005B451E"/>
    <w:rsid w:val="005B5B70"/>
    <w:rsid w:val="005B5F05"/>
    <w:rsid w:val="005B60F5"/>
    <w:rsid w:val="005B6D44"/>
    <w:rsid w:val="005B77A6"/>
    <w:rsid w:val="005B79E7"/>
    <w:rsid w:val="005C2999"/>
    <w:rsid w:val="005C3E35"/>
    <w:rsid w:val="005C40CB"/>
    <w:rsid w:val="005C6982"/>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E482F"/>
    <w:rsid w:val="005E4D7C"/>
    <w:rsid w:val="005E4EB4"/>
    <w:rsid w:val="005E4ED7"/>
    <w:rsid w:val="005E7A49"/>
    <w:rsid w:val="005F048E"/>
    <w:rsid w:val="005F1408"/>
    <w:rsid w:val="005F18FF"/>
    <w:rsid w:val="005F1E0B"/>
    <w:rsid w:val="005F4648"/>
    <w:rsid w:val="005F4E5A"/>
    <w:rsid w:val="005F57F0"/>
    <w:rsid w:val="005F661E"/>
    <w:rsid w:val="005F7424"/>
    <w:rsid w:val="005F7D10"/>
    <w:rsid w:val="00600FB9"/>
    <w:rsid w:val="00602223"/>
    <w:rsid w:val="0060242C"/>
    <w:rsid w:val="00603C36"/>
    <w:rsid w:val="00603FB8"/>
    <w:rsid w:val="00606FDA"/>
    <w:rsid w:val="00607414"/>
    <w:rsid w:val="0061042F"/>
    <w:rsid w:val="00612CE5"/>
    <w:rsid w:val="0061459B"/>
    <w:rsid w:val="00615562"/>
    <w:rsid w:val="006168E4"/>
    <w:rsid w:val="00616943"/>
    <w:rsid w:val="0061744C"/>
    <w:rsid w:val="006214B9"/>
    <w:rsid w:val="00621940"/>
    <w:rsid w:val="00624380"/>
    <w:rsid w:val="006246D1"/>
    <w:rsid w:val="00625866"/>
    <w:rsid w:val="00625F2D"/>
    <w:rsid w:val="0062656C"/>
    <w:rsid w:val="0063265C"/>
    <w:rsid w:val="00633079"/>
    <w:rsid w:val="0063387F"/>
    <w:rsid w:val="0063429D"/>
    <w:rsid w:val="00634E08"/>
    <w:rsid w:val="00635020"/>
    <w:rsid w:val="006355D4"/>
    <w:rsid w:val="00635846"/>
    <w:rsid w:val="0063607E"/>
    <w:rsid w:val="006365E7"/>
    <w:rsid w:val="00637512"/>
    <w:rsid w:val="0064055F"/>
    <w:rsid w:val="006408ED"/>
    <w:rsid w:val="00640EE4"/>
    <w:rsid w:val="0064168D"/>
    <w:rsid w:val="00643161"/>
    <w:rsid w:val="0064576A"/>
    <w:rsid w:val="00645D17"/>
    <w:rsid w:val="00645FB2"/>
    <w:rsid w:val="006466F5"/>
    <w:rsid w:val="006468D6"/>
    <w:rsid w:val="00646A16"/>
    <w:rsid w:val="00650800"/>
    <w:rsid w:val="006529A5"/>
    <w:rsid w:val="00655372"/>
    <w:rsid w:val="00655735"/>
    <w:rsid w:val="00660203"/>
    <w:rsid w:val="00661404"/>
    <w:rsid w:val="00661753"/>
    <w:rsid w:val="006620CA"/>
    <w:rsid w:val="006646AC"/>
    <w:rsid w:val="00664D5B"/>
    <w:rsid w:val="0066569D"/>
    <w:rsid w:val="00666627"/>
    <w:rsid w:val="0066689A"/>
    <w:rsid w:val="0066744F"/>
    <w:rsid w:val="00671D7C"/>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DA2"/>
    <w:rsid w:val="00696B2F"/>
    <w:rsid w:val="00697281"/>
    <w:rsid w:val="006A2C7F"/>
    <w:rsid w:val="006A3E53"/>
    <w:rsid w:val="006A4322"/>
    <w:rsid w:val="006A5961"/>
    <w:rsid w:val="006A6FF3"/>
    <w:rsid w:val="006B03E9"/>
    <w:rsid w:val="006B1615"/>
    <w:rsid w:val="006B1953"/>
    <w:rsid w:val="006B1BF1"/>
    <w:rsid w:val="006B1C95"/>
    <w:rsid w:val="006B26E3"/>
    <w:rsid w:val="006B2A6C"/>
    <w:rsid w:val="006B32E4"/>
    <w:rsid w:val="006B3302"/>
    <w:rsid w:val="006B37EA"/>
    <w:rsid w:val="006B3A2B"/>
    <w:rsid w:val="006B3B00"/>
    <w:rsid w:val="006B3C6D"/>
    <w:rsid w:val="006B4CB8"/>
    <w:rsid w:val="006B503F"/>
    <w:rsid w:val="006B53AB"/>
    <w:rsid w:val="006B63ED"/>
    <w:rsid w:val="006B7444"/>
    <w:rsid w:val="006C24D8"/>
    <w:rsid w:val="006C2888"/>
    <w:rsid w:val="006C3175"/>
    <w:rsid w:val="006C32EE"/>
    <w:rsid w:val="006C5083"/>
    <w:rsid w:val="006C6A05"/>
    <w:rsid w:val="006C7DA5"/>
    <w:rsid w:val="006D23FC"/>
    <w:rsid w:val="006D3253"/>
    <w:rsid w:val="006D3CD7"/>
    <w:rsid w:val="006D3F82"/>
    <w:rsid w:val="006D5719"/>
    <w:rsid w:val="006D79B4"/>
    <w:rsid w:val="006E0068"/>
    <w:rsid w:val="006E01D1"/>
    <w:rsid w:val="006E3711"/>
    <w:rsid w:val="006E4055"/>
    <w:rsid w:val="006E469B"/>
    <w:rsid w:val="006E785D"/>
    <w:rsid w:val="006F1B61"/>
    <w:rsid w:val="006F1BFE"/>
    <w:rsid w:val="006F2478"/>
    <w:rsid w:val="006F25F4"/>
    <w:rsid w:val="006F53A9"/>
    <w:rsid w:val="006F5A35"/>
    <w:rsid w:val="006F610D"/>
    <w:rsid w:val="006F6E0E"/>
    <w:rsid w:val="00701033"/>
    <w:rsid w:val="007024E8"/>
    <w:rsid w:val="0070368E"/>
    <w:rsid w:val="0070371E"/>
    <w:rsid w:val="00703BAE"/>
    <w:rsid w:val="00704AB7"/>
    <w:rsid w:val="00705F8F"/>
    <w:rsid w:val="007064F6"/>
    <w:rsid w:val="007078A3"/>
    <w:rsid w:val="00711536"/>
    <w:rsid w:val="00712203"/>
    <w:rsid w:val="007129C0"/>
    <w:rsid w:val="007142B5"/>
    <w:rsid w:val="00714663"/>
    <w:rsid w:val="00714C96"/>
    <w:rsid w:val="00716BFE"/>
    <w:rsid w:val="0072048E"/>
    <w:rsid w:val="007234D1"/>
    <w:rsid w:val="00724441"/>
    <w:rsid w:val="00725B1D"/>
    <w:rsid w:val="0072666C"/>
    <w:rsid w:val="00731428"/>
    <w:rsid w:val="0073157A"/>
    <w:rsid w:val="00731690"/>
    <w:rsid w:val="007338D5"/>
    <w:rsid w:val="00735209"/>
    <w:rsid w:val="00740F93"/>
    <w:rsid w:val="0074395D"/>
    <w:rsid w:val="007444E2"/>
    <w:rsid w:val="00744D68"/>
    <w:rsid w:val="00744E29"/>
    <w:rsid w:val="00744EEF"/>
    <w:rsid w:val="007517D1"/>
    <w:rsid w:val="0075229E"/>
    <w:rsid w:val="007524CA"/>
    <w:rsid w:val="00753476"/>
    <w:rsid w:val="00754B44"/>
    <w:rsid w:val="00754CAE"/>
    <w:rsid w:val="00756CE9"/>
    <w:rsid w:val="00757992"/>
    <w:rsid w:val="00761B5E"/>
    <w:rsid w:val="007622D6"/>
    <w:rsid w:val="00763998"/>
    <w:rsid w:val="00763FEE"/>
    <w:rsid w:val="0076467C"/>
    <w:rsid w:val="007658D5"/>
    <w:rsid w:val="00767724"/>
    <w:rsid w:val="00772BA8"/>
    <w:rsid w:val="007736D6"/>
    <w:rsid w:val="00774266"/>
    <w:rsid w:val="00775E28"/>
    <w:rsid w:val="00776FEB"/>
    <w:rsid w:val="007773E6"/>
    <w:rsid w:val="0078028A"/>
    <w:rsid w:val="00780302"/>
    <w:rsid w:val="007806CB"/>
    <w:rsid w:val="007816FD"/>
    <w:rsid w:val="00781C64"/>
    <w:rsid w:val="007829AF"/>
    <w:rsid w:val="007848FB"/>
    <w:rsid w:val="007851D5"/>
    <w:rsid w:val="00785698"/>
    <w:rsid w:val="0078693A"/>
    <w:rsid w:val="00790164"/>
    <w:rsid w:val="00793170"/>
    <w:rsid w:val="007933A7"/>
    <w:rsid w:val="00793670"/>
    <w:rsid w:val="00794153"/>
    <w:rsid w:val="0079486A"/>
    <w:rsid w:val="00794930"/>
    <w:rsid w:val="00794D7E"/>
    <w:rsid w:val="00794D93"/>
    <w:rsid w:val="00794E74"/>
    <w:rsid w:val="00794F80"/>
    <w:rsid w:val="0079620D"/>
    <w:rsid w:val="0079666D"/>
    <w:rsid w:val="00796CA6"/>
    <w:rsid w:val="00797118"/>
    <w:rsid w:val="00797B4F"/>
    <w:rsid w:val="007A006A"/>
    <w:rsid w:val="007A139A"/>
    <w:rsid w:val="007A1C9E"/>
    <w:rsid w:val="007A21C7"/>
    <w:rsid w:val="007A312D"/>
    <w:rsid w:val="007A3B58"/>
    <w:rsid w:val="007A3BB5"/>
    <w:rsid w:val="007A4967"/>
    <w:rsid w:val="007A7354"/>
    <w:rsid w:val="007B2C77"/>
    <w:rsid w:val="007B34C6"/>
    <w:rsid w:val="007B7A6F"/>
    <w:rsid w:val="007C2C6B"/>
    <w:rsid w:val="007C368A"/>
    <w:rsid w:val="007C57D3"/>
    <w:rsid w:val="007C7FF1"/>
    <w:rsid w:val="007D15EF"/>
    <w:rsid w:val="007D1A27"/>
    <w:rsid w:val="007D1B24"/>
    <w:rsid w:val="007D1F15"/>
    <w:rsid w:val="007D25B1"/>
    <w:rsid w:val="007D2878"/>
    <w:rsid w:val="007D300A"/>
    <w:rsid w:val="007D661B"/>
    <w:rsid w:val="007E00E1"/>
    <w:rsid w:val="007E0BC1"/>
    <w:rsid w:val="007E26F8"/>
    <w:rsid w:val="007E3A35"/>
    <w:rsid w:val="007E5726"/>
    <w:rsid w:val="007E5D23"/>
    <w:rsid w:val="007E6297"/>
    <w:rsid w:val="007E65B5"/>
    <w:rsid w:val="007E65DB"/>
    <w:rsid w:val="007E7BAB"/>
    <w:rsid w:val="007E7DCE"/>
    <w:rsid w:val="007F1347"/>
    <w:rsid w:val="007F20AC"/>
    <w:rsid w:val="007F43BD"/>
    <w:rsid w:val="007F52EC"/>
    <w:rsid w:val="007F53D4"/>
    <w:rsid w:val="00800927"/>
    <w:rsid w:val="00800F46"/>
    <w:rsid w:val="008016F1"/>
    <w:rsid w:val="008028E9"/>
    <w:rsid w:val="00802C56"/>
    <w:rsid w:val="00803A88"/>
    <w:rsid w:val="00803F88"/>
    <w:rsid w:val="008041B5"/>
    <w:rsid w:val="00804BD9"/>
    <w:rsid w:val="00805270"/>
    <w:rsid w:val="00810845"/>
    <w:rsid w:val="008111EB"/>
    <w:rsid w:val="00811205"/>
    <w:rsid w:val="008112E3"/>
    <w:rsid w:val="00811D16"/>
    <w:rsid w:val="00812C48"/>
    <w:rsid w:val="008146F9"/>
    <w:rsid w:val="00814D55"/>
    <w:rsid w:val="00815093"/>
    <w:rsid w:val="00816506"/>
    <w:rsid w:val="008170EF"/>
    <w:rsid w:val="00817BFB"/>
    <w:rsid w:val="008230AE"/>
    <w:rsid w:val="00823267"/>
    <w:rsid w:val="0082382A"/>
    <w:rsid w:val="00824DCD"/>
    <w:rsid w:val="00824DDB"/>
    <w:rsid w:val="008257A6"/>
    <w:rsid w:val="00831346"/>
    <w:rsid w:val="00831D3F"/>
    <w:rsid w:val="00832986"/>
    <w:rsid w:val="00833C97"/>
    <w:rsid w:val="00833DB5"/>
    <w:rsid w:val="00833FA4"/>
    <w:rsid w:val="00834BBB"/>
    <w:rsid w:val="00834E50"/>
    <w:rsid w:val="00835692"/>
    <w:rsid w:val="00835A92"/>
    <w:rsid w:val="008419A8"/>
    <w:rsid w:val="008436AD"/>
    <w:rsid w:val="00844569"/>
    <w:rsid w:val="0084474D"/>
    <w:rsid w:val="00846539"/>
    <w:rsid w:val="008468AD"/>
    <w:rsid w:val="0084766D"/>
    <w:rsid w:val="00847D23"/>
    <w:rsid w:val="00851545"/>
    <w:rsid w:val="00855544"/>
    <w:rsid w:val="00856D15"/>
    <w:rsid w:val="0086020D"/>
    <w:rsid w:val="00860E59"/>
    <w:rsid w:val="00861DEF"/>
    <w:rsid w:val="00863327"/>
    <w:rsid w:val="008662C4"/>
    <w:rsid w:val="00867B2F"/>
    <w:rsid w:val="00870550"/>
    <w:rsid w:val="00870F44"/>
    <w:rsid w:val="00874015"/>
    <w:rsid w:val="00874916"/>
    <w:rsid w:val="00876A75"/>
    <w:rsid w:val="0087786C"/>
    <w:rsid w:val="00877BF0"/>
    <w:rsid w:val="00883587"/>
    <w:rsid w:val="00884054"/>
    <w:rsid w:val="008849DE"/>
    <w:rsid w:val="00886712"/>
    <w:rsid w:val="008868B6"/>
    <w:rsid w:val="00890452"/>
    <w:rsid w:val="00891715"/>
    <w:rsid w:val="00893C5F"/>
    <w:rsid w:val="00895089"/>
    <w:rsid w:val="008951ED"/>
    <w:rsid w:val="0089661D"/>
    <w:rsid w:val="00896BBC"/>
    <w:rsid w:val="00896BBD"/>
    <w:rsid w:val="008A1129"/>
    <w:rsid w:val="008A157E"/>
    <w:rsid w:val="008A1FF2"/>
    <w:rsid w:val="008A22FB"/>
    <w:rsid w:val="008A2709"/>
    <w:rsid w:val="008A322D"/>
    <w:rsid w:val="008A344B"/>
    <w:rsid w:val="008A3486"/>
    <w:rsid w:val="008A3935"/>
    <w:rsid w:val="008A59F1"/>
    <w:rsid w:val="008A75BE"/>
    <w:rsid w:val="008B00D5"/>
    <w:rsid w:val="008B14D0"/>
    <w:rsid w:val="008B1720"/>
    <w:rsid w:val="008B4658"/>
    <w:rsid w:val="008B4E07"/>
    <w:rsid w:val="008B74DC"/>
    <w:rsid w:val="008C0050"/>
    <w:rsid w:val="008C0799"/>
    <w:rsid w:val="008C0DDD"/>
    <w:rsid w:val="008C2BCF"/>
    <w:rsid w:val="008C2C84"/>
    <w:rsid w:val="008C32A8"/>
    <w:rsid w:val="008C55A3"/>
    <w:rsid w:val="008C783C"/>
    <w:rsid w:val="008D06E0"/>
    <w:rsid w:val="008D1DFF"/>
    <w:rsid w:val="008D24AA"/>
    <w:rsid w:val="008D6165"/>
    <w:rsid w:val="008E0AFD"/>
    <w:rsid w:val="008E15BF"/>
    <w:rsid w:val="008E19C1"/>
    <w:rsid w:val="008E6308"/>
    <w:rsid w:val="008E6375"/>
    <w:rsid w:val="008F16D2"/>
    <w:rsid w:val="008F1EF4"/>
    <w:rsid w:val="008F3674"/>
    <w:rsid w:val="008F42F4"/>
    <w:rsid w:val="008F4C65"/>
    <w:rsid w:val="008F66C9"/>
    <w:rsid w:val="0090060E"/>
    <w:rsid w:val="00901E77"/>
    <w:rsid w:val="009020E0"/>
    <w:rsid w:val="0090233A"/>
    <w:rsid w:val="00903410"/>
    <w:rsid w:val="0090429A"/>
    <w:rsid w:val="00905422"/>
    <w:rsid w:val="00905BEF"/>
    <w:rsid w:val="00906C7A"/>
    <w:rsid w:val="00910B4E"/>
    <w:rsid w:val="0091211D"/>
    <w:rsid w:val="009130C0"/>
    <w:rsid w:val="00913133"/>
    <w:rsid w:val="00913283"/>
    <w:rsid w:val="00915791"/>
    <w:rsid w:val="00916B04"/>
    <w:rsid w:val="00917869"/>
    <w:rsid w:val="009179B9"/>
    <w:rsid w:val="00917BDD"/>
    <w:rsid w:val="0092113F"/>
    <w:rsid w:val="00921DB9"/>
    <w:rsid w:val="00921FC1"/>
    <w:rsid w:val="00922358"/>
    <w:rsid w:val="00923DBE"/>
    <w:rsid w:val="0092403D"/>
    <w:rsid w:val="00930D7A"/>
    <w:rsid w:val="00932888"/>
    <w:rsid w:val="009331C2"/>
    <w:rsid w:val="00936DCF"/>
    <w:rsid w:val="009402DB"/>
    <w:rsid w:val="0094145F"/>
    <w:rsid w:val="0094160B"/>
    <w:rsid w:val="00943F2E"/>
    <w:rsid w:val="00944355"/>
    <w:rsid w:val="00944898"/>
    <w:rsid w:val="009449B8"/>
    <w:rsid w:val="00944DC9"/>
    <w:rsid w:val="00946C4B"/>
    <w:rsid w:val="0094795E"/>
    <w:rsid w:val="00951D52"/>
    <w:rsid w:val="00952187"/>
    <w:rsid w:val="00952A32"/>
    <w:rsid w:val="00954916"/>
    <w:rsid w:val="0095704B"/>
    <w:rsid w:val="00960A6D"/>
    <w:rsid w:val="00960A7F"/>
    <w:rsid w:val="009611E0"/>
    <w:rsid w:val="00963CEB"/>
    <w:rsid w:val="0096447C"/>
    <w:rsid w:val="0096451F"/>
    <w:rsid w:val="00964749"/>
    <w:rsid w:val="00964B89"/>
    <w:rsid w:val="00965FEE"/>
    <w:rsid w:val="0096643B"/>
    <w:rsid w:val="009675B8"/>
    <w:rsid w:val="009706B5"/>
    <w:rsid w:val="00970926"/>
    <w:rsid w:val="00970CE3"/>
    <w:rsid w:val="009718BF"/>
    <w:rsid w:val="009721A5"/>
    <w:rsid w:val="00972BDF"/>
    <w:rsid w:val="0097390F"/>
    <w:rsid w:val="009772A0"/>
    <w:rsid w:val="0098182D"/>
    <w:rsid w:val="009845ED"/>
    <w:rsid w:val="00985C4C"/>
    <w:rsid w:val="0098704B"/>
    <w:rsid w:val="0099059B"/>
    <w:rsid w:val="00991E43"/>
    <w:rsid w:val="00993821"/>
    <w:rsid w:val="00994280"/>
    <w:rsid w:val="0099517B"/>
    <w:rsid w:val="009970B5"/>
    <w:rsid w:val="009A0D0A"/>
    <w:rsid w:val="009A0FAE"/>
    <w:rsid w:val="009A1D94"/>
    <w:rsid w:val="009A200B"/>
    <w:rsid w:val="009A2418"/>
    <w:rsid w:val="009A3184"/>
    <w:rsid w:val="009A3F82"/>
    <w:rsid w:val="009A5659"/>
    <w:rsid w:val="009A64BD"/>
    <w:rsid w:val="009A686F"/>
    <w:rsid w:val="009A6ACC"/>
    <w:rsid w:val="009B1636"/>
    <w:rsid w:val="009B33A8"/>
    <w:rsid w:val="009B3487"/>
    <w:rsid w:val="009B3978"/>
    <w:rsid w:val="009B4510"/>
    <w:rsid w:val="009B5029"/>
    <w:rsid w:val="009B5F5A"/>
    <w:rsid w:val="009B7C61"/>
    <w:rsid w:val="009C0DC9"/>
    <w:rsid w:val="009C1104"/>
    <w:rsid w:val="009C3793"/>
    <w:rsid w:val="009C451F"/>
    <w:rsid w:val="009C5E96"/>
    <w:rsid w:val="009C726D"/>
    <w:rsid w:val="009D317E"/>
    <w:rsid w:val="009D3186"/>
    <w:rsid w:val="009D3697"/>
    <w:rsid w:val="009D5F9E"/>
    <w:rsid w:val="009E07D9"/>
    <w:rsid w:val="009E0C04"/>
    <w:rsid w:val="009E1411"/>
    <w:rsid w:val="009E1BB5"/>
    <w:rsid w:val="009E52F2"/>
    <w:rsid w:val="009E5717"/>
    <w:rsid w:val="009E589B"/>
    <w:rsid w:val="009E6FC4"/>
    <w:rsid w:val="009F01C0"/>
    <w:rsid w:val="009F1278"/>
    <w:rsid w:val="009F2C44"/>
    <w:rsid w:val="009F3C1F"/>
    <w:rsid w:val="009F4D30"/>
    <w:rsid w:val="009F5D6D"/>
    <w:rsid w:val="009F5DB2"/>
    <w:rsid w:val="009F614E"/>
    <w:rsid w:val="009F6713"/>
    <w:rsid w:val="009F6FB0"/>
    <w:rsid w:val="009F762B"/>
    <w:rsid w:val="009F7941"/>
    <w:rsid w:val="00A0172D"/>
    <w:rsid w:val="00A02047"/>
    <w:rsid w:val="00A02F38"/>
    <w:rsid w:val="00A036BE"/>
    <w:rsid w:val="00A03C4B"/>
    <w:rsid w:val="00A03DF1"/>
    <w:rsid w:val="00A04C52"/>
    <w:rsid w:val="00A06819"/>
    <w:rsid w:val="00A075FB"/>
    <w:rsid w:val="00A07627"/>
    <w:rsid w:val="00A10583"/>
    <w:rsid w:val="00A11AE6"/>
    <w:rsid w:val="00A12205"/>
    <w:rsid w:val="00A20062"/>
    <w:rsid w:val="00A21876"/>
    <w:rsid w:val="00A22E00"/>
    <w:rsid w:val="00A24194"/>
    <w:rsid w:val="00A27C95"/>
    <w:rsid w:val="00A30B55"/>
    <w:rsid w:val="00A30C44"/>
    <w:rsid w:val="00A328AE"/>
    <w:rsid w:val="00A33460"/>
    <w:rsid w:val="00A35411"/>
    <w:rsid w:val="00A355A6"/>
    <w:rsid w:val="00A36D0F"/>
    <w:rsid w:val="00A36F3E"/>
    <w:rsid w:val="00A40DDC"/>
    <w:rsid w:val="00A4131E"/>
    <w:rsid w:val="00A41694"/>
    <w:rsid w:val="00A41C93"/>
    <w:rsid w:val="00A42233"/>
    <w:rsid w:val="00A42784"/>
    <w:rsid w:val="00A43501"/>
    <w:rsid w:val="00A44343"/>
    <w:rsid w:val="00A453DC"/>
    <w:rsid w:val="00A45E71"/>
    <w:rsid w:val="00A46BDA"/>
    <w:rsid w:val="00A477E9"/>
    <w:rsid w:val="00A503DF"/>
    <w:rsid w:val="00A535E3"/>
    <w:rsid w:val="00A540E1"/>
    <w:rsid w:val="00A560C7"/>
    <w:rsid w:val="00A570A7"/>
    <w:rsid w:val="00A572E9"/>
    <w:rsid w:val="00A57B77"/>
    <w:rsid w:val="00A625E2"/>
    <w:rsid w:val="00A62AA3"/>
    <w:rsid w:val="00A62B55"/>
    <w:rsid w:val="00A64C80"/>
    <w:rsid w:val="00A65143"/>
    <w:rsid w:val="00A67EF9"/>
    <w:rsid w:val="00A70411"/>
    <w:rsid w:val="00A72465"/>
    <w:rsid w:val="00A7406D"/>
    <w:rsid w:val="00A7778A"/>
    <w:rsid w:val="00A802CB"/>
    <w:rsid w:val="00A8088D"/>
    <w:rsid w:val="00A80C92"/>
    <w:rsid w:val="00A81BCB"/>
    <w:rsid w:val="00A81C87"/>
    <w:rsid w:val="00A82461"/>
    <w:rsid w:val="00A82A4F"/>
    <w:rsid w:val="00A82D8A"/>
    <w:rsid w:val="00A82D96"/>
    <w:rsid w:val="00A840FB"/>
    <w:rsid w:val="00A84571"/>
    <w:rsid w:val="00A84CDC"/>
    <w:rsid w:val="00A851D8"/>
    <w:rsid w:val="00A857DA"/>
    <w:rsid w:val="00A85E37"/>
    <w:rsid w:val="00A860FD"/>
    <w:rsid w:val="00A86416"/>
    <w:rsid w:val="00A90202"/>
    <w:rsid w:val="00A908EE"/>
    <w:rsid w:val="00A9099E"/>
    <w:rsid w:val="00A91DA7"/>
    <w:rsid w:val="00A91F04"/>
    <w:rsid w:val="00A9277F"/>
    <w:rsid w:val="00A931BF"/>
    <w:rsid w:val="00A95083"/>
    <w:rsid w:val="00A953BA"/>
    <w:rsid w:val="00A95557"/>
    <w:rsid w:val="00A95A9B"/>
    <w:rsid w:val="00A96232"/>
    <w:rsid w:val="00A96E60"/>
    <w:rsid w:val="00A97130"/>
    <w:rsid w:val="00A97D27"/>
    <w:rsid w:val="00AA1687"/>
    <w:rsid w:val="00AA1F1C"/>
    <w:rsid w:val="00AA285C"/>
    <w:rsid w:val="00AA327E"/>
    <w:rsid w:val="00AA4542"/>
    <w:rsid w:val="00AA5D62"/>
    <w:rsid w:val="00AB14BD"/>
    <w:rsid w:val="00AB1D6A"/>
    <w:rsid w:val="00AB252B"/>
    <w:rsid w:val="00AB3710"/>
    <w:rsid w:val="00AB3CCD"/>
    <w:rsid w:val="00AB4B0F"/>
    <w:rsid w:val="00AB4FA1"/>
    <w:rsid w:val="00AB50BC"/>
    <w:rsid w:val="00AB5BB5"/>
    <w:rsid w:val="00AB6BF9"/>
    <w:rsid w:val="00AB6C3B"/>
    <w:rsid w:val="00AC0516"/>
    <w:rsid w:val="00AC0D96"/>
    <w:rsid w:val="00AC1266"/>
    <w:rsid w:val="00AC48E0"/>
    <w:rsid w:val="00AC7C82"/>
    <w:rsid w:val="00AD1553"/>
    <w:rsid w:val="00AD1580"/>
    <w:rsid w:val="00AD25F0"/>
    <w:rsid w:val="00AD2EBD"/>
    <w:rsid w:val="00AD3A1D"/>
    <w:rsid w:val="00AD4144"/>
    <w:rsid w:val="00AD41B6"/>
    <w:rsid w:val="00AD461A"/>
    <w:rsid w:val="00AD529C"/>
    <w:rsid w:val="00AD57A9"/>
    <w:rsid w:val="00AD6EAA"/>
    <w:rsid w:val="00AD78F8"/>
    <w:rsid w:val="00AE008F"/>
    <w:rsid w:val="00AE04E8"/>
    <w:rsid w:val="00AE0D01"/>
    <w:rsid w:val="00AE2056"/>
    <w:rsid w:val="00AE3724"/>
    <w:rsid w:val="00AE3AAC"/>
    <w:rsid w:val="00AF0F9F"/>
    <w:rsid w:val="00AF16C8"/>
    <w:rsid w:val="00AF2A22"/>
    <w:rsid w:val="00AF5638"/>
    <w:rsid w:val="00AF6F51"/>
    <w:rsid w:val="00AF74DA"/>
    <w:rsid w:val="00B006A9"/>
    <w:rsid w:val="00B00C72"/>
    <w:rsid w:val="00B01443"/>
    <w:rsid w:val="00B0272E"/>
    <w:rsid w:val="00B047AD"/>
    <w:rsid w:val="00B04CF0"/>
    <w:rsid w:val="00B06912"/>
    <w:rsid w:val="00B070A2"/>
    <w:rsid w:val="00B1020A"/>
    <w:rsid w:val="00B10E49"/>
    <w:rsid w:val="00B116EE"/>
    <w:rsid w:val="00B11E08"/>
    <w:rsid w:val="00B13A39"/>
    <w:rsid w:val="00B145FA"/>
    <w:rsid w:val="00B14814"/>
    <w:rsid w:val="00B160F4"/>
    <w:rsid w:val="00B163D5"/>
    <w:rsid w:val="00B2037B"/>
    <w:rsid w:val="00B20F15"/>
    <w:rsid w:val="00B23274"/>
    <w:rsid w:val="00B246DA"/>
    <w:rsid w:val="00B25262"/>
    <w:rsid w:val="00B272A6"/>
    <w:rsid w:val="00B30856"/>
    <w:rsid w:val="00B31395"/>
    <w:rsid w:val="00B32CD3"/>
    <w:rsid w:val="00B3475C"/>
    <w:rsid w:val="00B34866"/>
    <w:rsid w:val="00B34CA9"/>
    <w:rsid w:val="00B35797"/>
    <w:rsid w:val="00B35A93"/>
    <w:rsid w:val="00B3672D"/>
    <w:rsid w:val="00B40656"/>
    <w:rsid w:val="00B40F8A"/>
    <w:rsid w:val="00B425E9"/>
    <w:rsid w:val="00B426D4"/>
    <w:rsid w:val="00B4300B"/>
    <w:rsid w:val="00B4669F"/>
    <w:rsid w:val="00B4710D"/>
    <w:rsid w:val="00B4745C"/>
    <w:rsid w:val="00B47BB2"/>
    <w:rsid w:val="00B5000A"/>
    <w:rsid w:val="00B50AAA"/>
    <w:rsid w:val="00B51461"/>
    <w:rsid w:val="00B51940"/>
    <w:rsid w:val="00B52EAB"/>
    <w:rsid w:val="00B530EE"/>
    <w:rsid w:val="00B537E8"/>
    <w:rsid w:val="00B544D9"/>
    <w:rsid w:val="00B5693B"/>
    <w:rsid w:val="00B56B5D"/>
    <w:rsid w:val="00B576A9"/>
    <w:rsid w:val="00B57E3B"/>
    <w:rsid w:val="00B61DC9"/>
    <w:rsid w:val="00B658D4"/>
    <w:rsid w:val="00B667E5"/>
    <w:rsid w:val="00B66C9E"/>
    <w:rsid w:val="00B705ED"/>
    <w:rsid w:val="00B70E50"/>
    <w:rsid w:val="00B73C99"/>
    <w:rsid w:val="00B75A2C"/>
    <w:rsid w:val="00B75E7F"/>
    <w:rsid w:val="00B77811"/>
    <w:rsid w:val="00B80129"/>
    <w:rsid w:val="00B80734"/>
    <w:rsid w:val="00B813AC"/>
    <w:rsid w:val="00B8376C"/>
    <w:rsid w:val="00B84260"/>
    <w:rsid w:val="00B8655B"/>
    <w:rsid w:val="00B86A15"/>
    <w:rsid w:val="00B8738D"/>
    <w:rsid w:val="00B90248"/>
    <w:rsid w:val="00B90F23"/>
    <w:rsid w:val="00B91B89"/>
    <w:rsid w:val="00B91F0B"/>
    <w:rsid w:val="00B9223B"/>
    <w:rsid w:val="00B9263F"/>
    <w:rsid w:val="00B92D47"/>
    <w:rsid w:val="00B961A5"/>
    <w:rsid w:val="00BA1133"/>
    <w:rsid w:val="00BA18D5"/>
    <w:rsid w:val="00BA32E9"/>
    <w:rsid w:val="00BA39A0"/>
    <w:rsid w:val="00BA46EE"/>
    <w:rsid w:val="00BA49CC"/>
    <w:rsid w:val="00BA4D1F"/>
    <w:rsid w:val="00BA7AD1"/>
    <w:rsid w:val="00BA7E0C"/>
    <w:rsid w:val="00BB0B9D"/>
    <w:rsid w:val="00BB1CC2"/>
    <w:rsid w:val="00BB2250"/>
    <w:rsid w:val="00BB38DC"/>
    <w:rsid w:val="00BB4107"/>
    <w:rsid w:val="00BB4F63"/>
    <w:rsid w:val="00BB5BB7"/>
    <w:rsid w:val="00BB744D"/>
    <w:rsid w:val="00BB7708"/>
    <w:rsid w:val="00BC0FDD"/>
    <w:rsid w:val="00BC114F"/>
    <w:rsid w:val="00BC22E0"/>
    <w:rsid w:val="00BC3AAD"/>
    <w:rsid w:val="00BC4AA7"/>
    <w:rsid w:val="00BC5852"/>
    <w:rsid w:val="00BD0B09"/>
    <w:rsid w:val="00BD1B09"/>
    <w:rsid w:val="00BD5425"/>
    <w:rsid w:val="00BD5EAE"/>
    <w:rsid w:val="00BD618E"/>
    <w:rsid w:val="00BD6F2F"/>
    <w:rsid w:val="00BD705F"/>
    <w:rsid w:val="00BD7854"/>
    <w:rsid w:val="00BE0EBA"/>
    <w:rsid w:val="00BE17E0"/>
    <w:rsid w:val="00BE27E5"/>
    <w:rsid w:val="00BE28ED"/>
    <w:rsid w:val="00BE3AFC"/>
    <w:rsid w:val="00BE54B8"/>
    <w:rsid w:val="00BE55D6"/>
    <w:rsid w:val="00BE734B"/>
    <w:rsid w:val="00BF2ABC"/>
    <w:rsid w:val="00BF2EA1"/>
    <w:rsid w:val="00BF3B35"/>
    <w:rsid w:val="00BF4805"/>
    <w:rsid w:val="00BF4CC6"/>
    <w:rsid w:val="00BF5321"/>
    <w:rsid w:val="00BF543F"/>
    <w:rsid w:val="00BF5918"/>
    <w:rsid w:val="00BF6902"/>
    <w:rsid w:val="00BF7421"/>
    <w:rsid w:val="00C01E2A"/>
    <w:rsid w:val="00C024E0"/>
    <w:rsid w:val="00C03536"/>
    <w:rsid w:val="00C03793"/>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122"/>
    <w:rsid w:val="00C316A8"/>
    <w:rsid w:val="00C322F2"/>
    <w:rsid w:val="00C337F9"/>
    <w:rsid w:val="00C34705"/>
    <w:rsid w:val="00C36DCE"/>
    <w:rsid w:val="00C3746F"/>
    <w:rsid w:val="00C3768A"/>
    <w:rsid w:val="00C37D9D"/>
    <w:rsid w:val="00C4139D"/>
    <w:rsid w:val="00C42AC0"/>
    <w:rsid w:val="00C42E26"/>
    <w:rsid w:val="00C44901"/>
    <w:rsid w:val="00C449BF"/>
    <w:rsid w:val="00C45DE7"/>
    <w:rsid w:val="00C5024A"/>
    <w:rsid w:val="00C5122B"/>
    <w:rsid w:val="00C538D4"/>
    <w:rsid w:val="00C53A8B"/>
    <w:rsid w:val="00C562FD"/>
    <w:rsid w:val="00C56C17"/>
    <w:rsid w:val="00C574A4"/>
    <w:rsid w:val="00C57BF6"/>
    <w:rsid w:val="00C60396"/>
    <w:rsid w:val="00C615BE"/>
    <w:rsid w:val="00C61AE7"/>
    <w:rsid w:val="00C659E1"/>
    <w:rsid w:val="00C667D8"/>
    <w:rsid w:val="00C66D59"/>
    <w:rsid w:val="00C67F11"/>
    <w:rsid w:val="00C7039A"/>
    <w:rsid w:val="00C718A8"/>
    <w:rsid w:val="00C71CD1"/>
    <w:rsid w:val="00C73143"/>
    <w:rsid w:val="00C73C45"/>
    <w:rsid w:val="00C7536A"/>
    <w:rsid w:val="00C76C40"/>
    <w:rsid w:val="00C77685"/>
    <w:rsid w:val="00C77815"/>
    <w:rsid w:val="00C80ED6"/>
    <w:rsid w:val="00C82277"/>
    <w:rsid w:val="00C82D1D"/>
    <w:rsid w:val="00C83209"/>
    <w:rsid w:val="00C83E62"/>
    <w:rsid w:val="00C85259"/>
    <w:rsid w:val="00C85378"/>
    <w:rsid w:val="00C86808"/>
    <w:rsid w:val="00C87238"/>
    <w:rsid w:val="00C9240B"/>
    <w:rsid w:val="00C9297C"/>
    <w:rsid w:val="00C92FE0"/>
    <w:rsid w:val="00C9361E"/>
    <w:rsid w:val="00C961E8"/>
    <w:rsid w:val="00C967A3"/>
    <w:rsid w:val="00C96AB8"/>
    <w:rsid w:val="00CA00C0"/>
    <w:rsid w:val="00CA190D"/>
    <w:rsid w:val="00CA1C79"/>
    <w:rsid w:val="00CA30DB"/>
    <w:rsid w:val="00CA3159"/>
    <w:rsid w:val="00CA491B"/>
    <w:rsid w:val="00CA6D58"/>
    <w:rsid w:val="00CA6FDA"/>
    <w:rsid w:val="00CA7073"/>
    <w:rsid w:val="00CA764C"/>
    <w:rsid w:val="00CA7E48"/>
    <w:rsid w:val="00CB3B6F"/>
    <w:rsid w:val="00CB3D57"/>
    <w:rsid w:val="00CB427A"/>
    <w:rsid w:val="00CB4843"/>
    <w:rsid w:val="00CB72F4"/>
    <w:rsid w:val="00CC0C5F"/>
    <w:rsid w:val="00CC156B"/>
    <w:rsid w:val="00CC1C06"/>
    <w:rsid w:val="00CC24B0"/>
    <w:rsid w:val="00CC2788"/>
    <w:rsid w:val="00CC29A7"/>
    <w:rsid w:val="00CC2F3D"/>
    <w:rsid w:val="00CC5FF3"/>
    <w:rsid w:val="00CC7586"/>
    <w:rsid w:val="00CD3D8E"/>
    <w:rsid w:val="00CD4C2B"/>
    <w:rsid w:val="00CD559A"/>
    <w:rsid w:val="00CD6714"/>
    <w:rsid w:val="00CD7015"/>
    <w:rsid w:val="00CD7024"/>
    <w:rsid w:val="00CD7178"/>
    <w:rsid w:val="00CE00F0"/>
    <w:rsid w:val="00CE13CE"/>
    <w:rsid w:val="00CE16FE"/>
    <w:rsid w:val="00CE2ADF"/>
    <w:rsid w:val="00CE33FC"/>
    <w:rsid w:val="00CE3EB5"/>
    <w:rsid w:val="00CE410A"/>
    <w:rsid w:val="00CE4B84"/>
    <w:rsid w:val="00CE68C7"/>
    <w:rsid w:val="00CE74B0"/>
    <w:rsid w:val="00CE74DF"/>
    <w:rsid w:val="00CF00DE"/>
    <w:rsid w:val="00CF0213"/>
    <w:rsid w:val="00CF052D"/>
    <w:rsid w:val="00CF0623"/>
    <w:rsid w:val="00CF181D"/>
    <w:rsid w:val="00CF1D7D"/>
    <w:rsid w:val="00CF3998"/>
    <w:rsid w:val="00CF4273"/>
    <w:rsid w:val="00CF45D3"/>
    <w:rsid w:val="00CF4D04"/>
    <w:rsid w:val="00CF4E1C"/>
    <w:rsid w:val="00CF52BD"/>
    <w:rsid w:val="00CF6B6C"/>
    <w:rsid w:val="00CF7B6B"/>
    <w:rsid w:val="00D0069F"/>
    <w:rsid w:val="00D00804"/>
    <w:rsid w:val="00D01094"/>
    <w:rsid w:val="00D01EA5"/>
    <w:rsid w:val="00D02978"/>
    <w:rsid w:val="00D031F5"/>
    <w:rsid w:val="00D03A57"/>
    <w:rsid w:val="00D03F5E"/>
    <w:rsid w:val="00D042BB"/>
    <w:rsid w:val="00D06195"/>
    <w:rsid w:val="00D06321"/>
    <w:rsid w:val="00D0642F"/>
    <w:rsid w:val="00D06CA0"/>
    <w:rsid w:val="00D06DB7"/>
    <w:rsid w:val="00D07E06"/>
    <w:rsid w:val="00D108E6"/>
    <w:rsid w:val="00D11ED7"/>
    <w:rsid w:val="00D123AA"/>
    <w:rsid w:val="00D12F56"/>
    <w:rsid w:val="00D1312A"/>
    <w:rsid w:val="00D13159"/>
    <w:rsid w:val="00D13814"/>
    <w:rsid w:val="00D1412C"/>
    <w:rsid w:val="00D14390"/>
    <w:rsid w:val="00D14BA9"/>
    <w:rsid w:val="00D17789"/>
    <w:rsid w:val="00D21565"/>
    <w:rsid w:val="00D228B8"/>
    <w:rsid w:val="00D2737E"/>
    <w:rsid w:val="00D274A9"/>
    <w:rsid w:val="00D27F98"/>
    <w:rsid w:val="00D30750"/>
    <w:rsid w:val="00D32644"/>
    <w:rsid w:val="00D3357A"/>
    <w:rsid w:val="00D33619"/>
    <w:rsid w:val="00D3586F"/>
    <w:rsid w:val="00D40C02"/>
    <w:rsid w:val="00D427A6"/>
    <w:rsid w:val="00D42AFE"/>
    <w:rsid w:val="00D45390"/>
    <w:rsid w:val="00D46323"/>
    <w:rsid w:val="00D47571"/>
    <w:rsid w:val="00D475A2"/>
    <w:rsid w:val="00D5015D"/>
    <w:rsid w:val="00D52355"/>
    <w:rsid w:val="00D52AC7"/>
    <w:rsid w:val="00D53360"/>
    <w:rsid w:val="00D54CA9"/>
    <w:rsid w:val="00D5571D"/>
    <w:rsid w:val="00D55EA9"/>
    <w:rsid w:val="00D563D9"/>
    <w:rsid w:val="00D6188C"/>
    <w:rsid w:val="00D61959"/>
    <w:rsid w:val="00D62168"/>
    <w:rsid w:val="00D6340F"/>
    <w:rsid w:val="00D63705"/>
    <w:rsid w:val="00D64BDF"/>
    <w:rsid w:val="00D6781D"/>
    <w:rsid w:val="00D67D98"/>
    <w:rsid w:val="00D72D16"/>
    <w:rsid w:val="00D7412C"/>
    <w:rsid w:val="00D74B01"/>
    <w:rsid w:val="00D74E8F"/>
    <w:rsid w:val="00D75521"/>
    <w:rsid w:val="00D75839"/>
    <w:rsid w:val="00D75E6E"/>
    <w:rsid w:val="00D76314"/>
    <w:rsid w:val="00D77E6B"/>
    <w:rsid w:val="00D8032A"/>
    <w:rsid w:val="00D8195B"/>
    <w:rsid w:val="00D83503"/>
    <w:rsid w:val="00D84724"/>
    <w:rsid w:val="00D8554E"/>
    <w:rsid w:val="00D8619F"/>
    <w:rsid w:val="00D86764"/>
    <w:rsid w:val="00D91271"/>
    <w:rsid w:val="00D91F4E"/>
    <w:rsid w:val="00D93AF6"/>
    <w:rsid w:val="00D93F28"/>
    <w:rsid w:val="00D955A3"/>
    <w:rsid w:val="00D95998"/>
    <w:rsid w:val="00D95C7F"/>
    <w:rsid w:val="00D969C9"/>
    <w:rsid w:val="00DA0DAE"/>
    <w:rsid w:val="00DA1A98"/>
    <w:rsid w:val="00DA2E2B"/>
    <w:rsid w:val="00DA3DE4"/>
    <w:rsid w:val="00DA69DE"/>
    <w:rsid w:val="00DB1083"/>
    <w:rsid w:val="00DB1F2D"/>
    <w:rsid w:val="00DB322C"/>
    <w:rsid w:val="00DB5C0A"/>
    <w:rsid w:val="00DB6DAF"/>
    <w:rsid w:val="00DB7500"/>
    <w:rsid w:val="00DC0AF1"/>
    <w:rsid w:val="00DC1B90"/>
    <w:rsid w:val="00DC20B8"/>
    <w:rsid w:val="00DC2393"/>
    <w:rsid w:val="00DC2414"/>
    <w:rsid w:val="00DC588B"/>
    <w:rsid w:val="00DC64BF"/>
    <w:rsid w:val="00DC7AD2"/>
    <w:rsid w:val="00DD13E2"/>
    <w:rsid w:val="00DD2FA4"/>
    <w:rsid w:val="00DD3539"/>
    <w:rsid w:val="00DD6CBE"/>
    <w:rsid w:val="00DD74C3"/>
    <w:rsid w:val="00DD7977"/>
    <w:rsid w:val="00DE0119"/>
    <w:rsid w:val="00DE07ED"/>
    <w:rsid w:val="00DE34FF"/>
    <w:rsid w:val="00DE3CE4"/>
    <w:rsid w:val="00DF003C"/>
    <w:rsid w:val="00DF00D4"/>
    <w:rsid w:val="00DF270F"/>
    <w:rsid w:val="00DF34F5"/>
    <w:rsid w:val="00DF3BEE"/>
    <w:rsid w:val="00DF3F6B"/>
    <w:rsid w:val="00DF4501"/>
    <w:rsid w:val="00DF6F34"/>
    <w:rsid w:val="00DF7233"/>
    <w:rsid w:val="00DF7781"/>
    <w:rsid w:val="00DF78AE"/>
    <w:rsid w:val="00E033F2"/>
    <w:rsid w:val="00E0462A"/>
    <w:rsid w:val="00E04A8B"/>
    <w:rsid w:val="00E04DB7"/>
    <w:rsid w:val="00E04F5E"/>
    <w:rsid w:val="00E06616"/>
    <w:rsid w:val="00E07CC2"/>
    <w:rsid w:val="00E10D00"/>
    <w:rsid w:val="00E11E2E"/>
    <w:rsid w:val="00E125A7"/>
    <w:rsid w:val="00E125CA"/>
    <w:rsid w:val="00E129EF"/>
    <w:rsid w:val="00E134EE"/>
    <w:rsid w:val="00E14B17"/>
    <w:rsid w:val="00E14EAE"/>
    <w:rsid w:val="00E16394"/>
    <w:rsid w:val="00E20027"/>
    <w:rsid w:val="00E2053B"/>
    <w:rsid w:val="00E22571"/>
    <w:rsid w:val="00E238A2"/>
    <w:rsid w:val="00E25156"/>
    <w:rsid w:val="00E25242"/>
    <w:rsid w:val="00E25AAC"/>
    <w:rsid w:val="00E2730D"/>
    <w:rsid w:val="00E279B9"/>
    <w:rsid w:val="00E301D0"/>
    <w:rsid w:val="00E30CA9"/>
    <w:rsid w:val="00E31B09"/>
    <w:rsid w:val="00E31D0F"/>
    <w:rsid w:val="00E33AAA"/>
    <w:rsid w:val="00E33CB8"/>
    <w:rsid w:val="00E33F0E"/>
    <w:rsid w:val="00E35ABC"/>
    <w:rsid w:val="00E3619E"/>
    <w:rsid w:val="00E368E3"/>
    <w:rsid w:val="00E36C8F"/>
    <w:rsid w:val="00E371EC"/>
    <w:rsid w:val="00E379D8"/>
    <w:rsid w:val="00E37EB7"/>
    <w:rsid w:val="00E40095"/>
    <w:rsid w:val="00E404C5"/>
    <w:rsid w:val="00E40A10"/>
    <w:rsid w:val="00E41CCA"/>
    <w:rsid w:val="00E4238A"/>
    <w:rsid w:val="00E42DA5"/>
    <w:rsid w:val="00E45BCC"/>
    <w:rsid w:val="00E4736B"/>
    <w:rsid w:val="00E47558"/>
    <w:rsid w:val="00E51EF9"/>
    <w:rsid w:val="00E52087"/>
    <w:rsid w:val="00E52965"/>
    <w:rsid w:val="00E53400"/>
    <w:rsid w:val="00E538D1"/>
    <w:rsid w:val="00E54816"/>
    <w:rsid w:val="00E5512E"/>
    <w:rsid w:val="00E55E60"/>
    <w:rsid w:val="00E56594"/>
    <w:rsid w:val="00E578DF"/>
    <w:rsid w:val="00E57D18"/>
    <w:rsid w:val="00E605C2"/>
    <w:rsid w:val="00E60761"/>
    <w:rsid w:val="00E6129C"/>
    <w:rsid w:val="00E62B95"/>
    <w:rsid w:val="00E644A0"/>
    <w:rsid w:val="00E662D7"/>
    <w:rsid w:val="00E667D2"/>
    <w:rsid w:val="00E67395"/>
    <w:rsid w:val="00E67549"/>
    <w:rsid w:val="00E67670"/>
    <w:rsid w:val="00E71CF3"/>
    <w:rsid w:val="00E71FCE"/>
    <w:rsid w:val="00E7206B"/>
    <w:rsid w:val="00E7226F"/>
    <w:rsid w:val="00E72707"/>
    <w:rsid w:val="00E72AE3"/>
    <w:rsid w:val="00E7349C"/>
    <w:rsid w:val="00E73B51"/>
    <w:rsid w:val="00E75790"/>
    <w:rsid w:val="00E80180"/>
    <w:rsid w:val="00E8129E"/>
    <w:rsid w:val="00E814CD"/>
    <w:rsid w:val="00E81A2B"/>
    <w:rsid w:val="00E81C84"/>
    <w:rsid w:val="00E81DE2"/>
    <w:rsid w:val="00E81E42"/>
    <w:rsid w:val="00E82187"/>
    <w:rsid w:val="00E83023"/>
    <w:rsid w:val="00E848DB"/>
    <w:rsid w:val="00E86140"/>
    <w:rsid w:val="00E86936"/>
    <w:rsid w:val="00E86D59"/>
    <w:rsid w:val="00E87407"/>
    <w:rsid w:val="00E91243"/>
    <w:rsid w:val="00E9258F"/>
    <w:rsid w:val="00E93E68"/>
    <w:rsid w:val="00E944BC"/>
    <w:rsid w:val="00E958D7"/>
    <w:rsid w:val="00E97312"/>
    <w:rsid w:val="00E97676"/>
    <w:rsid w:val="00EA1CE1"/>
    <w:rsid w:val="00EA1F89"/>
    <w:rsid w:val="00EA44B5"/>
    <w:rsid w:val="00EA5439"/>
    <w:rsid w:val="00EA72C0"/>
    <w:rsid w:val="00EA7A5C"/>
    <w:rsid w:val="00EB008E"/>
    <w:rsid w:val="00EB08A0"/>
    <w:rsid w:val="00EB117B"/>
    <w:rsid w:val="00EB2E85"/>
    <w:rsid w:val="00EB4095"/>
    <w:rsid w:val="00EB40D6"/>
    <w:rsid w:val="00EB49F7"/>
    <w:rsid w:val="00EB5F75"/>
    <w:rsid w:val="00EB685E"/>
    <w:rsid w:val="00EB7852"/>
    <w:rsid w:val="00EB79CD"/>
    <w:rsid w:val="00EC060D"/>
    <w:rsid w:val="00EC2174"/>
    <w:rsid w:val="00EC2525"/>
    <w:rsid w:val="00EC3E9E"/>
    <w:rsid w:val="00EC49A4"/>
    <w:rsid w:val="00ED4BC1"/>
    <w:rsid w:val="00ED50C1"/>
    <w:rsid w:val="00ED56D8"/>
    <w:rsid w:val="00ED5DF8"/>
    <w:rsid w:val="00ED6A44"/>
    <w:rsid w:val="00EE066D"/>
    <w:rsid w:val="00EE0713"/>
    <w:rsid w:val="00EE07A6"/>
    <w:rsid w:val="00EE0F2E"/>
    <w:rsid w:val="00EE2A41"/>
    <w:rsid w:val="00EE3337"/>
    <w:rsid w:val="00EE4E10"/>
    <w:rsid w:val="00EE520C"/>
    <w:rsid w:val="00EE525B"/>
    <w:rsid w:val="00EE633C"/>
    <w:rsid w:val="00EE7CB5"/>
    <w:rsid w:val="00EF09FB"/>
    <w:rsid w:val="00EF0CFD"/>
    <w:rsid w:val="00EF0DE2"/>
    <w:rsid w:val="00EF28A1"/>
    <w:rsid w:val="00EF4DFA"/>
    <w:rsid w:val="00EF4E6C"/>
    <w:rsid w:val="00EF5D1D"/>
    <w:rsid w:val="00EF5F08"/>
    <w:rsid w:val="00EF6A92"/>
    <w:rsid w:val="00F00ACE"/>
    <w:rsid w:val="00F02923"/>
    <w:rsid w:val="00F0304F"/>
    <w:rsid w:val="00F0351B"/>
    <w:rsid w:val="00F04089"/>
    <w:rsid w:val="00F05B66"/>
    <w:rsid w:val="00F06275"/>
    <w:rsid w:val="00F06472"/>
    <w:rsid w:val="00F068E1"/>
    <w:rsid w:val="00F06D25"/>
    <w:rsid w:val="00F07362"/>
    <w:rsid w:val="00F1169F"/>
    <w:rsid w:val="00F123EC"/>
    <w:rsid w:val="00F15FB1"/>
    <w:rsid w:val="00F16331"/>
    <w:rsid w:val="00F20356"/>
    <w:rsid w:val="00F22566"/>
    <w:rsid w:val="00F22963"/>
    <w:rsid w:val="00F2436E"/>
    <w:rsid w:val="00F25862"/>
    <w:rsid w:val="00F310D2"/>
    <w:rsid w:val="00F31705"/>
    <w:rsid w:val="00F31A1A"/>
    <w:rsid w:val="00F347AF"/>
    <w:rsid w:val="00F35C78"/>
    <w:rsid w:val="00F35EB1"/>
    <w:rsid w:val="00F36FD9"/>
    <w:rsid w:val="00F37770"/>
    <w:rsid w:val="00F378B2"/>
    <w:rsid w:val="00F403EA"/>
    <w:rsid w:val="00F40B51"/>
    <w:rsid w:val="00F40E4D"/>
    <w:rsid w:val="00F40FD8"/>
    <w:rsid w:val="00F417E1"/>
    <w:rsid w:val="00F42499"/>
    <w:rsid w:val="00F42753"/>
    <w:rsid w:val="00F42B2A"/>
    <w:rsid w:val="00F46CE7"/>
    <w:rsid w:val="00F510DB"/>
    <w:rsid w:val="00F5260F"/>
    <w:rsid w:val="00F546CD"/>
    <w:rsid w:val="00F5595C"/>
    <w:rsid w:val="00F5694B"/>
    <w:rsid w:val="00F604E0"/>
    <w:rsid w:val="00F6442C"/>
    <w:rsid w:val="00F64A83"/>
    <w:rsid w:val="00F64E3D"/>
    <w:rsid w:val="00F6501E"/>
    <w:rsid w:val="00F66D27"/>
    <w:rsid w:val="00F70615"/>
    <w:rsid w:val="00F716FA"/>
    <w:rsid w:val="00F71969"/>
    <w:rsid w:val="00F72722"/>
    <w:rsid w:val="00F727B0"/>
    <w:rsid w:val="00F72E08"/>
    <w:rsid w:val="00F7575C"/>
    <w:rsid w:val="00F7598B"/>
    <w:rsid w:val="00F761B1"/>
    <w:rsid w:val="00F76CC5"/>
    <w:rsid w:val="00F803A3"/>
    <w:rsid w:val="00F81BD5"/>
    <w:rsid w:val="00F82098"/>
    <w:rsid w:val="00F83C01"/>
    <w:rsid w:val="00F85EFE"/>
    <w:rsid w:val="00F87ADD"/>
    <w:rsid w:val="00F87D1E"/>
    <w:rsid w:val="00F907A0"/>
    <w:rsid w:val="00F914FD"/>
    <w:rsid w:val="00F9164E"/>
    <w:rsid w:val="00F952BF"/>
    <w:rsid w:val="00F95515"/>
    <w:rsid w:val="00F974AA"/>
    <w:rsid w:val="00FA103A"/>
    <w:rsid w:val="00FA2545"/>
    <w:rsid w:val="00FA2729"/>
    <w:rsid w:val="00FA4C7E"/>
    <w:rsid w:val="00FA7CFC"/>
    <w:rsid w:val="00FB03BA"/>
    <w:rsid w:val="00FB097C"/>
    <w:rsid w:val="00FB21C2"/>
    <w:rsid w:val="00FB39ED"/>
    <w:rsid w:val="00FB3DE5"/>
    <w:rsid w:val="00FB4AAD"/>
    <w:rsid w:val="00FB4E3D"/>
    <w:rsid w:val="00FB55F3"/>
    <w:rsid w:val="00FB5A22"/>
    <w:rsid w:val="00FB5F2A"/>
    <w:rsid w:val="00FB62A3"/>
    <w:rsid w:val="00FB6639"/>
    <w:rsid w:val="00FB7353"/>
    <w:rsid w:val="00FC1407"/>
    <w:rsid w:val="00FC22E1"/>
    <w:rsid w:val="00FC2C8C"/>
    <w:rsid w:val="00FC4F9B"/>
    <w:rsid w:val="00FC5068"/>
    <w:rsid w:val="00FC59F0"/>
    <w:rsid w:val="00FC5F82"/>
    <w:rsid w:val="00FD01CA"/>
    <w:rsid w:val="00FD21A8"/>
    <w:rsid w:val="00FD4599"/>
    <w:rsid w:val="00FD4784"/>
    <w:rsid w:val="00FD4FE7"/>
    <w:rsid w:val="00FD65FE"/>
    <w:rsid w:val="00FD6B22"/>
    <w:rsid w:val="00FD725C"/>
    <w:rsid w:val="00FE0FAF"/>
    <w:rsid w:val="00FE35B1"/>
    <w:rsid w:val="00FE3C36"/>
    <w:rsid w:val="00FE427F"/>
    <w:rsid w:val="00FE45DB"/>
    <w:rsid w:val="00FE5966"/>
    <w:rsid w:val="00FE72EA"/>
    <w:rsid w:val="00FF0402"/>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
    <w:name w:val="Unresolved Mention"/>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
    <w:name w:val="Unresolved Mention2"/>
    <w:basedOn w:val="Fuentedeprrafopredeter"/>
    <w:uiPriority w:val="99"/>
    <w:semiHidden/>
    <w:unhideWhenUsed/>
    <w:rsid w:val="00415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3.png"/><Relationship Id="rId21" Type="http://schemas.openxmlformats.org/officeDocument/2006/relationships/oleObject" Target="embeddings/oleObject5.bin"/><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hyperlink" Target="javascript:void(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oleObject" Target="embeddings/oleObject8.bin"/><Relationship Id="rId30" Type="http://schemas.openxmlformats.org/officeDocument/2006/relationships/image" Target="media/image15.png"/><Relationship Id="rId35"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3CB82-859F-41C0-8242-904B1B8B4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51</Pages>
  <Words>9338</Words>
  <Characters>51364</Characters>
  <Application>Microsoft Office Word</Application>
  <DocSecurity>0</DocSecurity>
  <Lines>428</Lines>
  <Paragraphs>121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60581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19</cp:revision>
  <cp:lastPrinted>2018-12-04T20:35:00Z</cp:lastPrinted>
  <dcterms:created xsi:type="dcterms:W3CDTF">2023-04-24T16:41:00Z</dcterms:created>
  <dcterms:modified xsi:type="dcterms:W3CDTF">2023-06-06T16:35:00Z</dcterms:modified>
</cp:coreProperties>
</file>