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treinta de agosto de dos mil veintitrés.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04369/INFOEM/IP/RR/2023</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una persona que no proporcionó nombre o seudónimo,</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por parte de la</w:t>
      </w:r>
      <w:r w:rsidDel="00000000" w:rsidR="00000000" w:rsidRPr="00000000">
        <w:rPr>
          <w:rFonts w:ascii="Palatino Linotype" w:cs="Palatino Linotype" w:eastAsia="Palatino Linotype" w:hAnsi="Palatino Linotype"/>
          <w:b w:val="1"/>
          <w:rtl w:val="0"/>
        </w:rPr>
        <w:t xml:space="preserve"> Secretaría de Salud,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uno de agosto de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dos mil veintitrés,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color w:val="333333"/>
          <w:rtl w:val="0"/>
        </w:rPr>
        <w:t xml:space="preserve">00311/SSALUD/IP/2023</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after="240" w:before="240" w:lineRule="auto"/>
        <w:ind w:left="851" w:right="902" w:firstLine="0"/>
        <w:jc w:val="both"/>
        <w:rPr>
          <w:rFonts w:ascii="Palatino Linotype" w:cs="Palatino Linotype" w:eastAsia="Palatino Linotype" w:hAnsi="Palatino Linotype"/>
          <w:b w:val="1"/>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“Solicito información sobre el presupuesto destinado a la creación y funcionamiento del Registro Estatal de Discapacidad, plan de trabajo, avances, y número de personas registradas, tipo de discapacidad y zonas. También le agradecería información sobre cuándo culminará el registro, es decir cuando estará funcionando al 100 por ciento, solicito que se envíe al área correspondiente y al Instituto Mexiquense de la Discapacidad, adscrita a la secretaría de salud.” (sic) </w:t>
      </w:r>
      <w:r w:rsidDel="00000000" w:rsidR="00000000" w:rsidRPr="00000000">
        <w:rPr>
          <w:rtl w:val="0"/>
        </w:rPr>
      </w:r>
    </w:p>
    <w:p w:rsidR="00000000" w:rsidDel="00000000" w:rsidP="00000000" w:rsidRDefault="00000000" w:rsidRPr="00000000" w14:paraId="0000000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adjuntó archivos.</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w:t>
      </w:r>
      <w:r w:rsidDel="00000000" w:rsidR="00000000" w:rsidRPr="00000000">
        <w:rPr>
          <w:rFonts w:ascii="Palatino Linotype" w:cs="Palatino Linotype" w:eastAsia="Palatino Linotype" w:hAnsi="Palatino Linotype"/>
          <w:b w:val="1"/>
          <w:rtl w:val="0"/>
        </w:rPr>
        <w:t xml:space="preserve">de SAIMEX</w:t>
      </w:r>
      <w:r w:rsidDel="00000000" w:rsidR="00000000" w:rsidRPr="00000000">
        <w:rPr>
          <w:rtl w:val="0"/>
        </w:rPr>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b w:val="1"/>
        </w:rPr>
      </w:pPr>
      <w:bookmarkStart w:colFirst="0" w:colLast="0" w:name="_heading=h.3dy6vkm" w:id="1"/>
      <w:bookmarkEnd w:id="1"/>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w:t>
      </w:r>
      <w:r w:rsidDel="00000000" w:rsidR="00000000" w:rsidRPr="00000000">
        <w:rPr>
          <w:rFonts w:ascii="Palatino Linotype" w:cs="Palatino Linotype" w:eastAsia="Palatino Linotype" w:hAnsi="Palatino Linotype"/>
          <w:b w:val="1"/>
          <w:rtl w:val="0"/>
        </w:rPr>
        <w:t xml:space="preserve"> dos de agosto de dos mil veintitrés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9">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informa: Con fundamento en el artículo 12 de la Ley de Transparencia y Acceso a la Información Pública del Estado de México y Municipios, que textualmente señala: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Asimismo, lo establecido en el artículo 167 de la Ley de Transparencia y Acceso a la Información Pública del Estado de México y Municipios, que a la letra señala: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Se recomienda ingresar su solicitud de información al INSTITUTO MEXIQUENSE PARA LA DISCAPACIDAD, en la dirección electrónica: https://imedis.edomex.gob.mx...” (sic)</w:t>
      </w:r>
    </w:p>
    <w:p w:rsidR="00000000" w:rsidDel="00000000" w:rsidP="00000000" w:rsidRDefault="00000000" w:rsidRPr="00000000" w14:paraId="0000000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adjuntó el oficio SAIMEX SARCOEM/254/2023 de fecha dos de agosto de dos mil veintitrés, emitido por el Jefe de la Unidad de Información, Planeación, Programación y Evaluación, y Titular de la Unidad de Transparencia, mediante el cual notifica a la persona solicitante la incompetencia, en los mismos términos vertidos  el párrafo anterior.</w:t>
      </w:r>
    </w:p>
    <w:p w:rsidR="00000000" w:rsidDel="00000000" w:rsidP="00000000" w:rsidRDefault="00000000" w:rsidRPr="00000000" w14:paraId="0000000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C">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w:t>
      </w:r>
      <w:r w:rsidDel="00000000" w:rsidR="00000000" w:rsidRPr="00000000">
        <w:rPr>
          <w:rFonts w:ascii="Palatino Linotype" w:cs="Palatino Linotype" w:eastAsia="Palatino Linotype" w:hAnsi="Palatino Linotype"/>
          <w:b w:val="1"/>
          <w:rtl w:val="0"/>
        </w:rPr>
        <w:t xml:space="preserve"> siete de agosto de dos mil veintitrés,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r w:rsidDel="00000000" w:rsidR="00000000" w:rsidRPr="00000000">
        <w:rPr>
          <w:rtl w:val="0"/>
        </w:rPr>
      </w:r>
    </w:p>
    <w:p w:rsidR="00000000" w:rsidDel="00000000" w:rsidP="00000000" w:rsidRDefault="00000000" w:rsidRPr="00000000" w14:paraId="0000000D">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0E">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declara incompetente y redirige la petición a una instancia dependiente de la propia secretaría.” (sic)</w:t>
      </w:r>
    </w:p>
    <w:p w:rsidR="00000000" w:rsidDel="00000000" w:rsidP="00000000" w:rsidRDefault="00000000" w:rsidRPr="00000000" w14:paraId="0000000F">
      <w:pPr>
        <w:spacing w:line="360" w:lineRule="auto"/>
        <w:jc w:val="both"/>
        <w:rPr>
          <w:rFonts w:ascii="Palatino Linotype" w:cs="Palatino Linotype" w:eastAsia="Palatino Linotype" w:hAnsi="Palatino Linotype"/>
        </w:rPr>
      </w:pPr>
      <w:bookmarkStart w:colFirst="0" w:colLast="0" w:name="_heading=h.30j0zll" w:id="2"/>
      <w:bookmarkEnd w:id="2"/>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10">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secretaría afirma que no es de su competencia y redirige la solicitud con INSTITUTO MEXIQUENSE PARA LA DISCAPACIDAD; sin embargo, el instituto </w:t>
      </w:r>
      <w:r w:rsidDel="00000000" w:rsidR="00000000" w:rsidRPr="00000000">
        <w:rPr>
          <w:rFonts w:ascii="Palatino Linotype" w:cs="Palatino Linotype" w:eastAsia="Palatino Linotype" w:hAnsi="Palatino Linotype"/>
          <w:b w:val="1"/>
          <w:i w:val="1"/>
          <w:sz w:val="22"/>
          <w:szCs w:val="22"/>
          <w:rtl w:val="0"/>
        </w:rPr>
        <w:t xml:space="preserve">no es un sujeto obligado independiente</w:t>
      </w:r>
      <w:r w:rsidDel="00000000" w:rsidR="00000000" w:rsidRPr="00000000">
        <w:rPr>
          <w:rFonts w:ascii="Palatino Linotype" w:cs="Palatino Linotype" w:eastAsia="Palatino Linotype" w:hAnsi="Palatino Linotype"/>
          <w:i w:val="1"/>
          <w:sz w:val="22"/>
          <w:szCs w:val="22"/>
          <w:rtl w:val="0"/>
        </w:rPr>
        <w:t xml:space="preserve">, es decir, no aparece en la plataforma de saimex, ya que ES DEPENDIENTE DE LA SECRETARÍA DE SALUD, misma que está negando la información.” (sic)</w:t>
      </w:r>
    </w:p>
    <w:p w:rsidR="00000000" w:rsidDel="00000000" w:rsidP="00000000" w:rsidRDefault="00000000" w:rsidRPr="00000000" w14:paraId="0000001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Anexos: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no adjuntó archivos. </w:t>
      </w:r>
    </w:p>
    <w:p w:rsidR="00000000" w:rsidDel="00000000" w:rsidP="00000000" w:rsidRDefault="00000000" w:rsidRPr="00000000" w14:paraId="00000012">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diez de agosto de dos mil veintitrés,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rPr>
      </w:pPr>
      <w:bookmarkStart w:colFirst="0" w:colLast="0" w:name="_heading=h.2s8eyo1" w:id="3"/>
      <w:bookmarkEnd w:id="3"/>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De las constancias que obran en el expediente electrónico del SAIMEX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rindió su informe justificado, del mismo modo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omitió realizar manifestaciones, como se observa a continuación:</w:t>
      </w:r>
    </w:p>
    <w:p w:rsidR="00000000" w:rsidDel="00000000" w:rsidP="00000000" w:rsidRDefault="00000000" w:rsidRPr="00000000" w14:paraId="00000015">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612130" cy="1669415"/>
            <wp:effectExtent b="0" l="0" r="0" t="0"/>
            <wp:docPr id="1905268470"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612130" cy="166941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veinticuatro de agosto de dos mil veintitrés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18">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rPr>
      </w:pPr>
      <w:bookmarkStart w:colFirst="0" w:colLast="0" w:name="_heading=h.tyjcwt" w:id="4"/>
      <w:bookmarkEnd w:id="4"/>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w:t>
      </w:r>
      <w:r w:rsidDel="00000000" w:rsidR="00000000" w:rsidRPr="00000000">
        <w:rPr>
          <w:rFonts w:ascii="Palatino Linotype" w:cs="Palatino Linotype" w:eastAsia="Palatino Linotype" w:hAnsi="Palatino Linotype"/>
          <w:b w:val="1"/>
          <w:rtl w:val="0"/>
        </w:rPr>
        <w:t xml:space="preserve">dos de agosto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 dos mil veintitrés,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siete de agosto de dos mil veintitrés, </w:t>
      </w:r>
      <w:r w:rsidDel="00000000" w:rsidR="00000000" w:rsidRPr="00000000">
        <w:rPr>
          <w:rFonts w:ascii="Palatino Linotype" w:cs="Palatino Linotype" w:eastAsia="Palatino Linotype" w:hAnsi="Palatino Linotype"/>
          <w:rtl w:val="0"/>
        </w:rPr>
        <w:t xml:space="preserve">esto es, al tercer día en que tuvo conocimiento de la respuesta impugnada. En este sentido, se concluye que el presente recurso de revisión se encuentra dentro de los márgenes temporales previstos en las disposiciones legales referidas.</w:t>
      </w:r>
    </w:p>
    <w:p w:rsidR="00000000" w:rsidDel="00000000" w:rsidP="00000000" w:rsidRDefault="00000000" w:rsidRPr="00000000" w14:paraId="0000001C">
      <w:pPr>
        <w:tabs>
          <w:tab w:val="left" w:leader="none" w:pos="7938"/>
        </w:tabs>
        <w:spacing w:after="240" w:before="240" w:line="360" w:lineRule="auto"/>
        <w:jc w:val="both"/>
        <w:rPr>
          <w:rFonts w:ascii="Palatino Linotype" w:cs="Palatino Linotype" w:eastAsia="Palatino Linotype" w:hAnsi="Palatino Linotype"/>
        </w:rPr>
      </w:pPr>
      <w:bookmarkStart w:colFirst="0" w:colLast="0" w:name="_heading=h.3znysh7" w:id="5"/>
      <w:bookmarkEnd w:id="5"/>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efecto de sustentar lo anterior, es de suma importancia mencionar que si bien la persona solicitante </w:t>
      </w:r>
      <w:r w:rsidDel="00000000" w:rsidR="00000000" w:rsidRPr="00000000">
        <w:rPr>
          <w:rFonts w:ascii="Palatino Linotype" w:cs="Palatino Linotype" w:eastAsia="Palatino Linotype" w:hAnsi="Palatino Linotype"/>
          <w:b w:val="1"/>
          <w:rtl w:val="0"/>
        </w:rPr>
        <w:t xml:space="preserve">no proporcionó nombre o seudónimo, </w:t>
      </w:r>
      <w:r w:rsidDel="00000000" w:rsidR="00000000" w:rsidRPr="00000000">
        <w:rPr>
          <w:rFonts w:ascii="Palatino Linotype" w:cs="Palatino Linotype" w:eastAsia="Palatino Linotype" w:hAnsi="Palatino Linotype"/>
          <w:rtl w:val="0"/>
        </w:rPr>
        <w:t xml:space="preserve">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1E">
      <w:pP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1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por lo que, en el presente caso, al haber sido presentado el recurso de revisión vía SAIMEX, dicho requisito resulta innecesario.</w:t>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IV del ordenamiento legal citado, que a la letra dice: </w:t>
      </w:r>
    </w:p>
    <w:p w:rsidR="00000000" w:rsidDel="00000000" w:rsidP="00000000" w:rsidRDefault="00000000" w:rsidRPr="00000000" w14:paraId="0000002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22">
      <w:pPr>
        <w:spacing w:after="120" w:before="120" w:lineRule="auto"/>
        <w:ind w:left="1134"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3">
      <w:pPr>
        <w:spacing w:after="120" w:before="120" w:lineRule="auto"/>
        <w:ind w:left="1134"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La declaración de incompetencia por el sujeto obligado;”</w:t>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w:t>
      </w:r>
    </w:p>
    <w:p w:rsidR="00000000" w:rsidDel="00000000" w:rsidP="00000000" w:rsidRDefault="00000000" w:rsidRPr="00000000" w14:paraId="00000025">
      <w:pPr>
        <w:spacing w:after="240" w:before="240" w:line="360" w:lineRule="auto"/>
        <w:ind w:right="51"/>
        <w:jc w:val="both"/>
        <w:rPr>
          <w:rFonts w:ascii="Palatino Linotype" w:cs="Palatino Linotype" w:eastAsia="Palatino Linotype" w:hAnsi="Palatino Linotype"/>
        </w:rPr>
      </w:pPr>
      <w:bookmarkStart w:colFirst="0" w:colLast="0" w:name="_heading=h.2et92p0" w:id="6"/>
      <w:bookmarkEnd w:id="6"/>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información consistente en lo siguiente:</w:t>
      </w:r>
    </w:p>
    <w:p w:rsidR="00000000" w:rsidDel="00000000" w:rsidP="00000000" w:rsidRDefault="00000000" w:rsidRPr="00000000" w14:paraId="00000026">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Registro Estatal de Discapacidad:</w:t>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40" w:line="360" w:lineRule="auto"/>
        <w:ind w:left="644" w:right="4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Presupuesto destinado a su creación y funcionamiento </w:t>
      </w:r>
    </w:p>
    <w:p w:rsidR="00000000" w:rsidDel="00000000" w:rsidP="00000000" w:rsidRDefault="00000000" w:rsidRPr="00000000" w14:paraId="000000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644" w:right="4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Plan de trabajo.</w:t>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644" w:right="4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Avances.</w:t>
      </w:r>
    </w:p>
    <w:p w:rsidR="00000000" w:rsidDel="00000000" w:rsidP="00000000" w:rsidRDefault="00000000" w:rsidRPr="00000000" w14:paraId="00000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644" w:right="4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Número de personas registradas, tipo de discapacidad y zonas. </w:t>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360" w:lineRule="auto"/>
        <w:ind w:left="644" w:right="4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Cuándo culminará el registro, es decir cuándo estará funcionando al 100%</w:t>
      </w:r>
    </w:p>
    <w:p w:rsidR="00000000" w:rsidDel="00000000" w:rsidP="00000000" w:rsidRDefault="00000000" w:rsidRPr="00000000" w14:paraId="0000002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la persona solicitante precisó que la solicitud se enviara al área correspondiente y al Instituto Mexiquense de la Discapacidad, adscrito a la Secretaría de Salud.</w:t>
      </w:r>
    </w:p>
    <w:p w:rsidR="00000000" w:rsidDel="00000000" w:rsidP="00000000" w:rsidRDefault="00000000" w:rsidRPr="00000000" w14:paraId="0000002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Titular de la Unidad de Transparencia, con fundamento en los artículos 12 y 167</w:t>
      </w:r>
      <w:r w:rsidDel="00000000" w:rsidR="00000000" w:rsidRPr="00000000">
        <w:rPr>
          <w:rtl w:val="0"/>
        </w:rPr>
        <w:t xml:space="preserve"> de la </w:t>
      </w:r>
      <w:r w:rsidDel="00000000" w:rsidR="00000000" w:rsidRPr="00000000">
        <w:rPr>
          <w:rFonts w:ascii="Palatino Linotype" w:cs="Palatino Linotype" w:eastAsia="Palatino Linotype" w:hAnsi="Palatino Linotype"/>
          <w:rtl w:val="0"/>
        </w:rPr>
        <w:t xml:space="preserve">Ley de Transparencia y Acceso a la Información Pública del Estado de México y Municipios, recomendó a la persona solicitante, ingresar su solicitud de información ante el Instituto Mexiquense para la Discapacidad, en la dirección electrónica: </w:t>
      </w:r>
      <w:hyperlink r:id="rId9">
        <w:r w:rsidDel="00000000" w:rsidR="00000000" w:rsidRPr="00000000">
          <w:rPr>
            <w:rFonts w:ascii="Palatino Linotype" w:cs="Palatino Linotype" w:eastAsia="Palatino Linotype" w:hAnsi="Palatino Linotype"/>
            <w:color w:val="000000"/>
            <w:u w:val="single"/>
            <w:rtl w:val="0"/>
          </w:rPr>
          <w:t xml:space="preserve">https://imedis.edomex.gob.mx</w:t>
        </w:r>
      </w:hyperlink>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2E">
      <w:pPr>
        <w:spacing w:after="240" w:before="240" w:line="360" w:lineRule="auto"/>
        <w:ind w:right="49"/>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Conocida la respuesta por la persona solicitante, al no estar conforme con los términos de la misma, interpuso el recurso de revisión que nos ocupa, mediante el cual manifestó como motivo de inconformidad que “</w:t>
      </w:r>
      <w:r w:rsidDel="00000000" w:rsidR="00000000" w:rsidRPr="00000000">
        <w:rPr>
          <w:rFonts w:ascii="Palatino Linotype" w:cs="Palatino Linotype" w:eastAsia="Palatino Linotype" w:hAnsi="Palatino Linotype"/>
          <w:i w:val="1"/>
          <w:rtl w:val="0"/>
        </w:rPr>
        <w:t xml:space="preserve">La secretaría afirma que no es de su competencia y redirige la solicitud con INSTITUTO MEXIQUENSE PARA LA DISCAPACIDAD; sin embargo, el instituto noes un sujeto obligado independiente, es decir, no aparece en la plataforma de saimex, ya que ES DEPENDIENTE DE LA SECRETARÍA DE SALUD, misma que está negando la información.” (sic)</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Admitido el presente recurso de revisión, en términos del artículo 185 fracción II</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es conveniente mencionar que de conformidad con el artículo 4, párrafo segundo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de la información, y esta sólo podrá ser clasificada excepcionalmente como reservada temporalmente por razones de interés público, en los términos de las causas legítimas y estrictamente necesarias previstas por dicha Ley, es decir, que por regla general, toda la información generada, obtenida, adquirida, transmitida, administrada o en posesión de los Sujetos Obligados es pública, y de manera excepcional puede ser clasificada.</w:t>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24 en su último párrafo de la Ley de la Materia, dispone que los Sujetos Obligados sólo proporcionarán la información pública que generen, administren o posean en el ejercicio de sus atribuciones; por consiguiente, la información generada por los entes públicos, se encuentra a disposición de cualquier persona, lo que implica que es deber de los Sujetos Obligados, garantizar el Derecho de Acceso a la Información Pública.</w:t>
      </w:r>
    </w:p>
    <w:p w:rsidR="00000000" w:rsidDel="00000000" w:rsidP="00000000" w:rsidRDefault="00000000" w:rsidRPr="00000000" w14:paraId="0000003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otras palabras,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33">
      <w:pPr>
        <w:ind w:left="851" w:right="89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4">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35">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6">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37">
      <w:pPr>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39">
      <w:pPr>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A">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3B">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3C">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3D">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3E">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3F">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40">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4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42">
      <w:pPr>
        <w:numPr>
          <w:ilvl w:val="0"/>
          <w:numId w:val="1"/>
        </w:numPr>
        <w:spacing w:after="240" w:before="240"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u w:val="single"/>
          <w:rtl w:val="0"/>
        </w:rPr>
        <w:t xml:space="preserve">De las atribuciones del Sujeto Obligado</w:t>
      </w:r>
      <w:r w:rsidDel="00000000" w:rsidR="00000000" w:rsidRPr="00000000">
        <w:rPr>
          <w:rtl w:val="0"/>
        </w:rPr>
      </w:r>
    </w:p>
    <w:p w:rsidR="00000000" w:rsidDel="00000000" w:rsidP="00000000" w:rsidRDefault="00000000" w:rsidRPr="00000000" w14:paraId="00000043">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lugar, es oportuno señalar que de conformidad con el artículo 25 de la Ley Orgánica de la Administración Pública del Estado de México, la Secretaría de Salud, es la dependencia encargada de conducir la política estatal en materia de salud en los términos de la legislación aplicable, para lo cual se le confieren las siguientes atribuciones:</w:t>
      </w:r>
    </w:p>
    <w:p w:rsidR="00000000" w:rsidDel="00000000" w:rsidP="00000000" w:rsidRDefault="00000000" w:rsidRPr="00000000" w14:paraId="0000004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26</w:t>
      </w:r>
      <w:r w:rsidDel="00000000" w:rsidR="00000000" w:rsidRPr="00000000">
        <w:rPr>
          <w:rFonts w:ascii="Palatino Linotype" w:cs="Palatino Linotype" w:eastAsia="Palatino Linotype" w:hAnsi="Palatino Linotype"/>
          <w:i w:val="1"/>
          <w:sz w:val="22"/>
          <w:szCs w:val="22"/>
          <w:rtl w:val="0"/>
        </w:rPr>
        <w:t xml:space="preserve">.- A la </w:t>
      </w:r>
      <w:r w:rsidDel="00000000" w:rsidR="00000000" w:rsidRPr="00000000">
        <w:rPr>
          <w:rFonts w:ascii="Palatino Linotype" w:cs="Palatino Linotype" w:eastAsia="Palatino Linotype" w:hAnsi="Palatino Linotype"/>
          <w:b w:val="1"/>
          <w:i w:val="1"/>
          <w:sz w:val="22"/>
          <w:szCs w:val="22"/>
          <w:rtl w:val="0"/>
        </w:rPr>
        <w:t xml:space="preserve">Secretaría de Salud</w:t>
      </w:r>
      <w:r w:rsidDel="00000000" w:rsidR="00000000" w:rsidRPr="00000000">
        <w:rPr>
          <w:rFonts w:ascii="Palatino Linotype" w:cs="Palatino Linotype" w:eastAsia="Palatino Linotype" w:hAnsi="Palatino Linotype"/>
          <w:i w:val="1"/>
          <w:sz w:val="22"/>
          <w:szCs w:val="22"/>
          <w:rtl w:val="0"/>
        </w:rPr>
        <w:t xml:space="preserve"> corresponde el despacho de los siguientes asuntos: </w:t>
      </w:r>
    </w:p>
    <w:p w:rsidR="00000000" w:rsidDel="00000000" w:rsidP="00000000" w:rsidRDefault="00000000" w:rsidRPr="00000000" w14:paraId="0000004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Ejercer las atribuciones que en materia de salud le correspondan al titular del Ejecutivo Estatal, de acuerdo a la Ley General de Salud, el Libro Segundo del Código Administrativo del Estado de México, sus reglamentos y demás disposiciones aplicables; </w:t>
      </w:r>
    </w:p>
    <w:p w:rsidR="00000000" w:rsidDel="00000000" w:rsidP="00000000" w:rsidRDefault="00000000" w:rsidRPr="00000000" w14:paraId="0000004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Conducir la política estatal en materia de salud, en los términos del Libro Segundo del Código Administrativo del Estado de México y demás disposiciones aplicables, de conformidad con el Sistema Nacional de Salud; </w:t>
      </w:r>
    </w:p>
    <w:p w:rsidR="00000000" w:rsidDel="00000000" w:rsidP="00000000" w:rsidRDefault="00000000" w:rsidRPr="00000000" w14:paraId="0000004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Elaborar en coordinación con las autoridades competentes los programas de salud y presentados a la aprobación del Gobernador del Estado; </w:t>
      </w:r>
    </w:p>
    <w:p w:rsidR="00000000" w:rsidDel="00000000" w:rsidP="00000000" w:rsidRDefault="00000000" w:rsidRPr="00000000" w14:paraId="0000004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Coordinar la participación de todas las instituciones de los sectores público, social y privado en la ejecución de las políticas de salud de la entidad; </w:t>
      </w:r>
    </w:p>
    <w:p w:rsidR="00000000" w:rsidDel="00000000" w:rsidP="00000000" w:rsidRDefault="00000000" w:rsidRPr="00000000" w14:paraId="0000004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Planear, organizar, dirigir, coordinar y evaluar el Sistema Estatal de Salud, con base en la legislación en la materia;</w:t>
      </w:r>
    </w:p>
    <w:p w:rsidR="00000000" w:rsidDel="00000000" w:rsidP="00000000" w:rsidRDefault="00000000" w:rsidRPr="00000000" w14:paraId="0000004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Coordinar la prestación de servicios de atención médica, salud pública y regulación sanitaria en el Estado; y convenir en lo conducente, con cualquier otro sector que promueva acciones en estas materias;</w:t>
      </w:r>
    </w:p>
    <w:p w:rsidR="00000000" w:rsidDel="00000000" w:rsidP="00000000" w:rsidRDefault="00000000" w:rsidRPr="00000000" w14:paraId="0000004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Planear, operar, controlar y evaluar el Sistema Estatal de Donación de Organos Humanos para transplante; </w:t>
      </w:r>
    </w:p>
    <w:p w:rsidR="00000000" w:rsidDel="00000000" w:rsidP="00000000" w:rsidRDefault="00000000" w:rsidRPr="00000000" w14:paraId="0000004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Planear, operar, controlar y evaluar el Sistema de Información de Salud del Estado de México, participando todas las dependencias y organismos auxiliares que proporcionen servicios de salud, así como el Instituto Mexicano del Seguro Social y el Instituto de Seguridad y Servicios Sociales de los Trabajadores del Estado; </w:t>
      </w:r>
    </w:p>
    <w:p w:rsidR="00000000" w:rsidDel="00000000" w:rsidP="00000000" w:rsidRDefault="00000000" w:rsidRPr="00000000" w14:paraId="0000004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Impulsar la descentralización y desconcentración de los servicios de salud a los municipios, mediante los convenios que al efecto se suscriban, en términos de la Ley de Salud del Estado de México y demás disposiciones legales en la materia; </w:t>
      </w:r>
    </w:p>
    <w:p w:rsidR="00000000" w:rsidDel="00000000" w:rsidP="00000000" w:rsidRDefault="00000000" w:rsidRPr="00000000" w14:paraId="0000004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Proponer al Ejecutivo Estatal, para su aprobación, acuerdos de coordinación con las instituciones del sector salud, tendientes a promover y apoyar los programas de medicina preventiva; </w:t>
      </w:r>
    </w:p>
    <w:p w:rsidR="00000000" w:rsidDel="00000000" w:rsidP="00000000" w:rsidRDefault="00000000" w:rsidRPr="00000000" w14:paraId="0000004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Proponer e implementar la infraestructura sanitaria necesaria que procure niveles de sanidad mínimos entre la población; </w:t>
      </w:r>
    </w:p>
    <w:p w:rsidR="00000000" w:rsidDel="00000000" w:rsidP="00000000" w:rsidRDefault="00000000" w:rsidRPr="00000000" w14:paraId="0000005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Dictar las medidas de seguridad sanitaria que sean necesarias para proteger la salud de la población;</w:t>
      </w:r>
    </w:p>
    <w:p w:rsidR="00000000" w:rsidDel="00000000" w:rsidP="00000000" w:rsidRDefault="00000000" w:rsidRPr="00000000" w14:paraId="0000005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XIII. Proponer al Gobernador del Estado las normas sanitarias a las que deberá sujetarse la salubridad local y aplicar las relativas a salubridad general, en los términos de los acuerdos de coordinación que al efecto se celebren entre el Gobierno del Estado y la Secretaría de Salud del Gobierno Federal; XIV. Coordinar la realización de campañas para prevenir y atacar las epidemias y enfermedades que por su naturaleza requieran de atención y cuidados especiales; XV. Realizar, en coordinación con otras instancias públicas, sociales y privadas, campañas de concientización, educación, capacitación sanitaria y de salud, y sana alimentación que contribuyan al mejoramiento de las condiciones de vida de la población en general; y ejercer las facultades que los ordenamientos federales y locales le otorguen para prevenir la venta y consumo de alimentos de baja o nula nutrición entre la población en general, con especial cuidado en los que consumen los niños y jóvenes dentro de los planteles escolares. </w:t>
      </w:r>
    </w:p>
    <w:p w:rsidR="00000000" w:rsidDel="00000000" w:rsidP="00000000" w:rsidRDefault="00000000" w:rsidRPr="00000000" w14:paraId="0000005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 Desarrollar acciones encaminadas a erradicar las enfermedades transmisibles, así como los factores que afecten la salud, o propicien el alcoholismo, las toxicomanías y otros vicios sociales; </w:t>
      </w:r>
    </w:p>
    <w:p w:rsidR="00000000" w:rsidDel="00000000" w:rsidP="00000000" w:rsidRDefault="00000000" w:rsidRPr="00000000" w14:paraId="00000053">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 Establecer, coordinar y ejecutar, con la participación de otras instituciones asistenciales públicas y privadas, </w:t>
      </w:r>
      <w:r w:rsidDel="00000000" w:rsidR="00000000" w:rsidRPr="00000000">
        <w:rPr>
          <w:rFonts w:ascii="Palatino Linotype" w:cs="Palatino Linotype" w:eastAsia="Palatino Linotype" w:hAnsi="Palatino Linotype"/>
          <w:b w:val="1"/>
          <w:i w:val="1"/>
          <w:sz w:val="22"/>
          <w:szCs w:val="22"/>
          <w:u w:val="single"/>
          <w:rtl w:val="0"/>
        </w:rPr>
        <w:t xml:space="preserve">programas para la asistencia, prevención, atención y tratamiento a las personas discapacitadas</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5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XVIII. Vigilar que se apliquen las normas oficiales mexicanas, en materia de salud, que emitan las autoridades federales; </w:t>
      </w:r>
    </w:p>
    <w:p w:rsidR="00000000" w:rsidDel="00000000" w:rsidP="00000000" w:rsidRDefault="00000000" w:rsidRPr="00000000" w14:paraId="0000005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XIX. Coordinar, supervisar e inspeccionar los centros educativos, para proteger la salud del educando y de la comunidad escolar, los servicios de medicina legal de salud en apoyo a la procuración de justicia, así como la atención médica a las personas privadas de la libertad en los Centros Penitenciarios;</w:t>
      </w:r>
    </w:p>
    <w:p w:rsidR="00000000" w:rsidDel="00000000" w:rsidP="00000000" w:rsidRDefault="00000000" w:rsidRPr="00000000" w14:paraId="0000005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 Participar con las dependencias competentes y con las autoridades federales y municipales en la prevención o tratamiento de problemas ambientales; </w:t>
      </w:r>
    </w:p>
    <w:p w:rsidR="00000000" w:rsidDel="00000000" w:rsidP="00000000" w:rsidRDefault="00000000" w:rsidRPr="00000000" w14:paraId="0000005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Organizar congresos, talleres, conferencias y demás eventos que coadyuven a la capacitación y actualización de los conocimientos del personal médico en materia de salud; </w:t>
      </w:r>
    </w:p>
    <w:p w:rsidR="00000000" w:rsidDel="00000000" w:rsidP="00000000" w:rsidRDefault="00000000" w:rsidRPr="00000000" w14:paraId="0000005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XXII. Verificar el cumplimiento de las normas establecidas para la prestación de servicios de salud, por parte de los sectores público, social y privado en el Estado, vigilando que se aplique el cuadro básico de insumos para la salud; </w:t>
      </w:r>
    </w:p>
    <w:p w:rsidR="00000000" w:rsidDel="00000000" w:rsidP="00000000" w:rsidRDefault="00000000" w:rsidRPr="00000000" w14:paraId="0000005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XXIII. Vigilar, en coordinación con las autoridades educativas, al ejercicio de los profesionales, técnicos y auxiliares de la salud en la prestación de sus servicios; </w:t>
      </w:r>
    </w:p>
    <w:p w:rsidR="00000000" w:rsidDel="00000000" w:rsidP="00000000" w:rsidRDefault="00000000" w:rsidRPr="00000000" w14:paraId="0000005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XXIV. Efectuar el control higiénico e inspección sobre preparación, posesión, uso, suministro, importación, exportación y circulación de comestibles y bebidas; </w:t>
      </w:r>
    </w:p>
    <w:p w:rsidR="00000000" w:rsidDel="00000000" w:rsidP="00000000" w:rsidRDefault="00000000" w:rsidRPr="00000000" w14:paraId="0000005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XXV. Controlar la preparación, posesión, uso, suministro, importación, exportación y distribución de productos medicinales, a excepción de los de uso veterinario; </w:t>
      </w:r>
    </w:p>
    <w:p w:rsidR="00000000" w:rsidDel="00000000" w:rsidP="00000000" w:rsidRDefault="00000000" w:rsidRPr="00000000" w14:paraId="0000005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XXVI. Vigilar y supervisar la operación de clínicas, hospitales y consultorios públicos y privados, a fin de que operen conforme a los términos de las leyes en la materia; </w:t>
      </w:r>
    </w:p>
    <w:p w:rsidR="00000000" w:rsidDel="00000000" w:rsidP="00000000" w:rsidRDefault="00000000" w:rsidRPr="00000000" w14:paraId="0000005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XXVII. Adquirir, con sujeción a las bases y procedimientos relativos, el equipo instrumental médico que requieran las unidades aplicativas, así como contratar, en su caso, los servicios para su reparación y mantenimiento, observando las disposiciones en la materia;</w:t>
      </w:r>
    </w:p>
    <w:p w:rsidR="00000000" w:rsidDel="00000000" w:rsidP="00000000" w:rsidRDefault="00000000" w:rsidRPr="00000000" w14:paraId="0000005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XXVIII. Participar en el establecimiento y expedición, en coordinación con las dependencias competentes del Ejecutivo Estatal, de las bases y normas a las que deben sujetarse los concursos para la ejecución de obras del sector salud; y </w:t>
      </w:r>
    </w:p>
    <w:p w:rsidR="00000000" w:rsidDel="00000000" w:rsidP="00000000" w:rsidRDefault="00000000" w:rsidRPr="00000000" w14:paraId="0000005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XXIX. Participar en la prevención, tratamiento y rehabilitación de la farmacodependencia y coordinarse con las autoridades federales y las instituciones públicas, privadas o sociales para la planeación, programación, ejecución y evaluación de los programas y acciones del proceso para su recuperación, así como para la superación de la problemática; y </w:t>
      </w:r>
    </w:p>
    <w:p w:rsidR="00000000" w:rsidDel="00000000" w:rsidP="00000000" w:rsidRDefault="00000000" w:rsidRPr="00000000" w14:paraId="0000006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 Derogada.</w:t>
      </w:r>
    </w:p>
    <w:p w:rsidR="00000000" w:rsidDel="00000000" w:rsidP="00000000" w:rsidRDefault="00000000" w:rsidRPr="00000000" w14:paraId="0000006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XXXI. Vigilar, en coordinación con el Instituto de Verificación Administrativa del Estado de México y las autoridades correspondientes, el debido cumplimiento de las disposiciones en el ámbito de su competencia, así como la aplicación de las medidas de seguridad e imposición de sanciones que le correspondan, y </w:t>
      </w:r>
    </w:p>
    <w:p w:rsidR="00000000" w:rsidDel="00000000" w:rsidP="00000000" w:rsidRDefault="00000000" w:rsidRPr="00000000" w14:paraId="0000006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XXXII</w:t>
      </w:r>
      <w:r w:rsidDel="00000000" w:rsidR="00000000" w:rsidRPr="00000000">
        <w:rPr>
          <w:rFonts w:ascii="Palatino Linotype" w:cs="Palatino Linotype" w:eastAsia="Palatino Linotype" w:hAnsi="Palatino Linotype"/>
          <w:i w:val="1"/>
          <w:sz w:val="22"/>
          <w:szCs w:val="22"/>
          <w:rtl w:val="0"/>
        </w:rPr>
        <w:t xml:space="preserve">. Las demás que señalen las leyes, reglamentos y disposiciones en la materia.”</w:t>
      </w:r>
    </w:p>
    <w:p w:rsidR="00000000" w:rsidDel="00000000" w:rsidP="00000000" w:rsidRDefault="00000000" w:rsidRPr="00000000" w14:paraId="00000063">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Manual General de Organización de la Secretaría de Salud, establece que la Secretaría se integra por las siguientes unidades admirativas:</w:t>
      </w:r>
    </w:p>
    <w:p w:rsidR="00000000" w:rsidDel="00000000" w:rsidP="00000000" w:rsidRDefault="00000000" w:rsidRPr="00000000" w14:paraId="00000064">
      <w:pPr>
        <w:spacing w:after="240" w:before="240" w:line="360" w:lineRule="auto"/>
        <w:ind w:right="51"/>
        <w:jc w:val="center"/>
        <w:rPr>
          <w:rFonts w:ascii="Palatino Linotype" w:cs="Palatino Linotype" w:eastAsia="Palatino Linotype" w:hAnsi="Palatino Linotype"/>
        </w:rPr>
      </w:pPr>
      <w:r w:rsidDel="00000000" w:rsidR="00000000" w:rsidRPr="00000000">
        <w:rPr/>
        <w:drawing>
          <wp:inline distB="0" distT="0" distL="0" distR="0">
            <wp:extent cx="4500000" cy="1138235"/>
            <wp:effectExtent b="0" l="0" r="0" t="0"/>
            <wp:docPr id="1905268472" name="image5.png"/>
            <a:graphic>
              <a:graphicData uri="http://schemas.openxmlformats.org/drawingml/2006/picture">
                <pic:pic>
                  <pic:nvPicPr>
                    <pic:cNvPr id="0" name="image5.png"/>
                    <pic:cNvPicPr preferRelativeResize="0"/>
                  </pic:nvPicPr>
                  <pic:blipFill>
                    <a:blip r:embed="rId10"/>
                    <a:srcRect b="72042" l="0" r="0" t="0"/>
                    <a:stretch>
                      <a:fillRect/>
                    </a:stretch>
                  </pic:blipFill>
                  <pic:spPr>
                    <a:xfrm>
                      <a:off x="0" y="0"/>
                      <a:ext cx="4500000" cy="1138235"/>
                    </a:xfrm>
                    <a:prstGeom prst="rect"/>
                    <a:ln/>
                  </pic:spPr>
                </pic:pic>
              </a:graphicData>
            </a:graphic>
          </wp:inline>
        </w:drawing>
      </w:r>
      <w:r w:rsidDel="00000000" w:rsidR="00000000" w:rsidRPr="00000000">
        <w:rPr/>
        <w:drawing>
          <wp:inline distB="0" distT="0" distL="0" distR="0">
            <wp:extent cx="4500000" cy="1373753"/>
            <wp:effectExtent b="0" l="0" r="0" t="0"/>
            <wp:docPr id="1905268471" name="image5.png"/>
            <a:graphic>
              <a:graphicData uri="http://schemas.openxmlformats.org/drawingml/2006/picture">
                <pic:pic>
                  <pic:nvPicPr>
                    <pic:cNvPr id="0" name="image5.png"/>
                    <pic:cNvPicPr preferRelativeResize="0"/>
                  </pic:nvPicPr>
                  <pic:blipFill>
                    <a:blip r:embed="rId10"/>
                    <a:srcRect b="971" l="0" r="0" t="65286"/>
                    <a:stretch>
                      <a:fillRect/>
                    </a:stretch>
                  </pic:blipFill>
                  <pic:spPr>
                    <a:xfrm>
                      <a:off x="0" y="0"/>
                      <a:ext cx="4500000" cy="1373753"/>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colige que, si bien la Secretaría de Salud tiene a su cargo la conducción de la política estatal en materia de salud, asimismo que entre sus atribuciones se encuentra la de establecer, coordinar y ejecutar, con la participación de otras instituciones asistenciales públicas y privadas, programas para la asistencia, prevención, atención y tratamiento a las personas discapacitadas, no se advierte que cuente con atribuciones relacionadas con la implementación del Registro Estatal de Discapacidad, a través de mecanismos para detectar y evaluar la condición de discapacidad en la entidad</w:t>
      </w:r>
    </w:p>
    <w:p w:rsidR="00000000" w:rsidDel="00000000" w:rsidP="00000000" w:rsidRDefault="00000000" w:rsidRPr="00000000" w14:paraId="0000006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cobra relevancia el criterio 13/17 emitido por el Pleno del Instituto Nacional de Transparencia, Acceso a la Información y Protección de Datos Personales, el cual, para pronta referencia se reproduce a continuación:</w:t>
      </w:r>
    </w:p>
    <w:p w:rsidR="00000000" w:rsidDel="00000000" w:rsidP="00000000" w:rsidRDefault="00000000" w:rsidRPr="00000000" w14:paraId="00000067">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“Incompetencia. La incompetencia implica la ausencia de atribuciones del sujeto obligado para poseer la información solicitada</w:t>
      </w:r>
      <w:r w:rsidDel="00000000" w:rsidR="00000000" w:rsidRPr="00000000">
        <w:rPr>
          <w:rFonts w:ascii="Palatino Linotype" w:cs="Palatino Linotype" w:eastAsia="Palatino Linotype" w:hAnsi="Palatino Linotype"/>
          <w:i w:val="1"/>
          <w:sz w:val="22"/>
          <w:szCs w:val="22"/>
          <w:rtl w:val="0"/>
        </w:rPr>
        <w:t xml:space="preserve">; es decir, se trata de una cuestión de derecho, </w:t>
      </w:r>
      <w:r w:rsidDel="00000000" w:rsidR="00000000" w:rsidRPr="00000000">
        <w:rPr>
          <w:rFonts w:ascii="Palatino Linotype" w:cs="Palatino Linotype" w:eastAsia="Palatino Linotype" w:hAnsi="Palatino Linotype"/>
          <w:b w:val="1"/>
          <w:i w:val="1"/>
          <w:sz w:val="22"/>
          <w:szCs w:val="22"/>
          <w:rtl w:val="0"/>
        </w:rPr>
        <w:t xml:space="preserve">en tanto que no existan facultades para contar con lo requerido</w:t>
      </w:r>
      <w:r w:rsidDel="00000000" w:rsidR="00000000" w:rsidRPr="00000000">
        <w:rPr>
          <w:rFonts w:ascii="Palatino Linotype" w:cs="Palatino Linotype" w:eastAsia="Palatino Linotype" w:hAnsi="Palatino Linotype"/>
          <w:i w:val="1"/>
          <w:sz w:val="22"/>
          <w:szCs w:val="22"/>
          <w:rtl w:val="0"/>
        </w:rPr>
        <w:t xml:space="preserve">; por lo que la incompetencia es una cualidad atribuida al sujeto obligado que la declara.”</w:t>
      </w:r>
    </w:p>
    <w:p w:rsidR="00000000" w:rsidDel="00000000" w:rsidP="00000000" w:rsidRDefault="00000000" w:rsidRPr="00000000" w14:paraId="00000068">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9">
      <w:pPr>
        <w:numPr>
          <w:ilvl w:val="0"/>
          <w:numId w:val="2"/>
        </w:numPr>
        <w:pBdr>
          <w:top w:space="0" w:sz="0" w:val="nil"/>
          <w:left w:space="0" w:sz="0" w:val="nil"/>
          <w:bottom w:space="0" w:sz="0" w:val="nil"/>
          <w:right w:space="0" w:sz="0" w:val="nil"/>
          <w:between w:space="0" w:sz="0" w:val="nil"/>
        </w:pBdr>
        <w:spacing w:after="240" w:before="240" w:line="360" w:lineRule="auto"/>
        <w:ind w:left="644"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u w:val="single"/>
          <w:rtl w:val="0"/>
        </w:rPr>
        <w:t xml:space="preserve">Delimitación del ámbito competencial relativo a información solicitada.</w:t>
      </w:r>
      <w:r w:rsidDel="00000000" w:rsidR="00000000" w:rsidRPr="00000000">
        <w:rPr>
          <w:rtl w:val="0"/>
        </w:rPr>
      </w:r>
    </w:p>
    <w:p w:rsidR="00000000" w:rsidDel="00000000" w:rsidP="00000000" w:rsidRDefault="00000000" w:rsidRPr="00000000" w14:paraId="0000006A">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lugar, conviene referir que el 14 de abril de 2021, se publicó en el Periódico Oficial “Gaceta del Gobierno” del Estado de México, el Decreto número 258, mediante el cual se expide la Ley para la Inclusión de las Personas en Situación de Discapacidad del Estado de México, la cual es de orden público e interés social, de observancia general en el Estado de México, tiene por objeto promover, proteger y garantizar el pleno ejercicio de los derechos y libertades fundamentales de las personas en situación de discapacidad, dentro de un marco de respeto, igualdad, dignidad, perspectiva de género y equiparación de oportunidades, para su plena inclusión y desarrollo en todos los ámbitos de la vida.</w:t>
      </w:r>
    </w:p>
    <w:p w:rsidR="00000000" w:rsidDel="00000000" w:rsidP="00000000" w:rsidRDefault="00000000" w:rsidRPr="00000000" w14:paraId="0000006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en la referida ley se prevé en su artículo 10 la creación del Instituto Mexiquense para la Discapacidad el cual es un organismo público descentralizado, con personalidad jurídica y patrimonio propio, sectorizado a la Secretaría de Salud, mismo que para el cumplimiento de sus atribuciones gozará de autonomía técnica y de gestión para formular políticas, acciones, estrategias y programas.</w:t>
      </w:r>
    </w:p>
    <w:p w:rsidR="00000000" w:rsidDel="00000000" w:rsidP="00000000" w:rsidRDefault="00000000" w:rsidRPr="00000000" w14:paraId="0000006C">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 tema que nos ocupa, es de suma importancia mencionar que de conformidad con el artículo 31 de la Ley para la Inclusión de las Personas en Situación de Discapacidad del Estado de México, corresponde al del Instituto Mexiquense para la Discapacidad, con base en la Clasificación Internacional del Funcionamiento, de la Discapacidad y de la Salud, implementar los mecanismos para detectar y evaluar la condición de discapacidad en la entidad, a través del Registro Estatal de Discapacidad, REDIS. Lo anterior se llevará a cabo mediante una plataforma digital que deberá contar con los requisitos mínimos de accesibilidad. Cada persona usuaria registrada deberá contar con su Clave Única de Registro de Discapacidad, será obligatoria para cualquier trámite, servicio, gestión de apoyos o programas en materia de discapacidad, como se lee en seguida:</w:t>
      </w:r>
    </w:p>
    <w:p w:rsidR="00000000" w:rsidDel="00000000" w:rsidP="00000000" w:rsidRDefault="00000000" w:rsidRPr="00000000" w14:paraId="0000006D">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31.</w:t>
      </w:r>
      <w:r w:rsidDel="00000000" w:rsidR="00000000" w:rsidRPr="00000000">
        <w:rPr>
          <w:rFonts w:ascii="Palatino Linotype" w:cs="Palatino Linotype" w:eastAsia="Palatino Linotype" w:hAnsi="Palatino Linotype"/>
          <w:i w:val="1"/>
          <w:sz w:val="22"/>
          <w:szCs w:val="22"/>
          <w:rtl w:val="0"/>
        </w:rPr>
        <w:t xml:space="preserve"> Corresponde al Instituto, con base en la CIF implementar los mecanismos para detectar y evaluar la condición de discapacidad en la entidad, a través del REDIS. </w:t>
      </w:r>
    </w:p>
    <w:p w:rsidR="00000000" w:rsidDel="00000000" w:rsidP="00000000" w:rsidRDefault="00000000" w:rsidRPr="00000000" w14:paraId="0000006E">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se llevará a cabo mediante una plataforma digital que deberá contar con los requisitos mínimos de accesibilidad. Cada persona usuaria registrada deberá contar con su CURED, la cual será́ obligatoria para cualquier trámite, servicio, gestión de apoyos o programas en materia de discapacidad.”</w:t>
      </w:r>
    </w:p>
    <w:p w:rsidR="00000000" w:rsidDel="00000000" w:rsidP="00000000" w:rsidRDefault="00000000" w:rsidRPr="00000000" w14:paraId="0000006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Reglamento Interno del Instituto Mexiquense para la Discapacidad, dispone, en su artículo 9, fracción XXIII que la persona titular de la Dirección General del Instituto cuenta con la atribución de actualizar periódicamente el diagnóstico sobre la situación de las personas con discapacidad a través del Registro Estatal de Discapacidad.</w:t>
      </w:r>
    </w:p>
    <w:p w:rsidR="00000000" w:rsidDel="00000000" w:rsidP="00000000" w:rsidRDefault="00000000" w:rsidRPr="00000000" w14:paraId="0000007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Mientras que los Lineamientos de Operación del Registro Estatal de Discapacidad, cuyo objeto consiste en regular la creación, diseño, implementación, ejecución y seguimiento del Registro Estatal de Discapacidad, a través de una plataforma digital donde las instituciones responsables sumen esfuerzos para concretar la obtención de una Clave Única de Registro de Discapacidad por parte de las personas con discapacidad, en su artículo 5 establece que las autoridades responsables de la creación, diseño, implementación, ejecución y seguimiento del Registro Estatal de Discapacidad, son el Instituto Mexiquense para la Discapacidad, el Instituto de Salud del Estado de México, y el Sistema Municipal para el Desarrollo Integral de la Familia, a saber: </w:t>
      </w:r>
    </w:p>
    <w:p w:rsidR="00000000" w:rsidDel="00000000" w:rsidP="00000000" w:rsidRDefault="00000000" w:rsidRPr="00000000" w14:paraId="0000007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w:t>
      </w:r>
      <w:r w:rsidDel="00000000" w:rsidR="00000000" w:rsidRPr="00000000">
        <w:rPr>
          <w:rFonts w:ascii="Palatino Linotype" w:cs="Palatino Linotype" w:eastAsia="Palatino Linotype" w:hAnsi="Palatino Linotype"/>
          <w:i w:val="1"/>
          <w:sz w:val="22"/>
          <w:szCs w:val="22"/>
          <w:rtl w:val="0"/>
        </w:rPr>
        <w:t xml:space="preserve">.- Las autoridades responsables de la creación, diseño, implementación, ejecución y seguimiento del REDIS, son: </w:t>
      </w:r>
    </w:p>
    <w:p w:rsidR="00000000" w:rsidDel="00000000" w:rsidP="00000000" w:rsidRDefault="00000000" w:rsidRPr="00000000" w14:paraId="0000007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IMEDIS; </w:t>
      </w:r>
    </w:p>
    <w:p w:rsidR="00000000" w:rsidDel="00000000" w:rsidP="00000000" w:rsidRDefault="00000000" w:rsidRPr="00000000" w14:paraId="0000007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ISEM; y </w:t>
      </w:r>
    </w:p>
    <w:p w:rsidR="00000000" w:rsidDel="00000000" w:rsidP="00000000" w:rsidRDefault="00000000" w:rsidRPr="00000000" w14:paraId="0000007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DIFEM;”</w:t>
      </w:r>
    </w:p>
    <w:p w:rsidR="00000000" w:rsidDel="00000000" w:rsidP="00000000" w:rsidRDefault="00000000" w:rsidRPr="00000000" w14:paraId="0000007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6 de los referidos lineamientos le confiere al Instituto Mexiquense para la Discapacidad, las siguientes atribuciones:</w:t>
      </w:r>
    </w:p>
    <w:p w:rsidR="00000000" w:rsidDel="00000000" w:rsidP="00000000" w:rsidRDefault="00000000" w:rsidRPr="00000000" w14:paraId="0000007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Corresponden al IMEDIS las siguientes funciones: </w:t>
      </w:r>
    </w:p>
    <w:p w:rsidR="00000000" w:rsidDel="00000000" w:rsidP="00000000" w:rsidRDefault="00000000" w:rsidRPr="00000000" w14:paraId="0000007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Implementar los mecanismos para detectar y evaluar la condición de discapacidad en la entidad</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Coordinar el cumplimiento de los acuerdos generados por el Comité; </w:t>
      </w:r>
    </w:p>
    <w:p w:rsidR="00000000" w:rsidDel="00000000" w:rsidP="00000000" w:rsidRDefault="00000000" w:rsidRPr="00000000" w14:paraId="0000007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Realizar la Vinculación interinstitucional para la correcta implementación del REDIS; </w:t>
      </w:r>
    </w:p>
    <w:p w:rsidR="00000000" w:rsidDel="00000000" w:rsidP="00000000" w:rsidRDefault="00000000" w:rsidRPr="00000000" w14:paraId="0000007A">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Resguardar la base de datos contenida en el REDIS y proponer las medidas de seguridad tanto de la información como de la documentación contenida en la Plataforma Digital. </w:t>
      </w:r>
    </w:p>
    <w:p w:rsidR="00000000" w:rsidDel="00000000" w:rsidP="00000000" w:rsidRDefault="00000000" w:rsidRPr="00000000" w14:paraId="0000007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Determinar, gestionar y establecer el o los avisos de privacidad, consentimiento informado, documento de seguridad, cedula de base de datos, evaluación de impacto, así como la documentación necesaria y solicitada por el INFOEM, para la creación, ejecución y modificación de la Plataforma Digital del REDIS; </w:t>
      </w:r>
    </w:p>
    <w:p w:rsidR="00000000" w:rsidDel="00000000" w:rsidP="00000000" w:rsidRDefault="00000000" w:rsidRPr="00000000" w14:paraId="0000007C">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Realizar los trámites y gestiones necesarias para publicar las cifras y datos duros que arroje el REDIS; </w:t>
      </w:r>
    </w:p>
    <w:p w:rsidR="00000000" w:rsidDel="00000000" w:rsidP="00000000" w:rsidRDefault="00000000" w:rsidRPr="00000000" w14:paraId="0000007D">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Dar contestación a las solicitudes de información, oficios y requerimientos realizados por personas físicas o por instituciones públicas, privadas y sociales, respecto de la información contenida en la Plataforma Digital; </w:t>
      </w:r>
    </w:p>
    <w:p w:rsidR="00000000" w:rsidDel="00000000" w:rsidP="00000000" w:rsidRDefault="00000000" w:rsidRPr="00000000" w14:paraId="0000007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Informar de manera periódica al Comité, sobre las contestaciones a las que se refiere la fracción que antecede y sobre cualquier acción o estrategia realizada en relación con el REDIS; </w:t>
      </w:r>
    </w:p>
    <w:p w:rsidR="00000000" w:rsidDel="00000000" w:rsidP="00000000" w:rsidRDefault="00000000" w:rsidRPr="00000000" w14:paraId="0000007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Establecer junto con el ISEM y DIFEM: </w:t>
      </w:r>
    </w:p>
    <w:p w:rsidR="00000000" w:rsidDel="00000000" w:rsidP="00000000" w:rsidRDefault="00000000" w:rsidRPr="00000000" w14:paraId="00000080">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Las estrategias para identificar a las PcD; </w:t>
      </w:r>
    </w:p>
    <w:p w:rsidR="00000000" w:rsidDel="00000000" w:rsidP="00000000" w:rsidRDefault="00000000" w:rsidRPr="00000000" w14:paraId="00000081">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La manera de informar a la población sobre los alcances y beneficios del REDIS; y </w:t>
      </w:r>
    </w:p>
    <w:p w:rsidR="00000000" w:rsidDel="00000000" w:rsidP="00000000" w:rsidRDefault="00000000" w:rsidRPr="00000000" w14:paraId="00000082">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El modo mediante el cual las PcD puedan obtener la CURED. </w:t>
      </w:r>
    </w:p>
    <w:p w:rsidR="00000000" w:rsidDel="00000000" w:rsidP="00000000" w:rsidRDefault="00000000" w:rsidRPr="00000000" w14:paraId="0000008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Mantener vinculación de manera permanente con instituciones públicas, privadas y sociales, para difundir información referente al REDIS por cualquier medio o espacio; </w:t>
      </w:r>
    </w:p>
    <w:p w:rsidR="00000000" w:rsidDel="00000000" w:rsidP="00000000" w:rsidRDefault="00000000" w:rsidRPr="00000000" w14:paraId="0000008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Las Demás que establezcan las disposiciones jurídicas en la materia, conforme a sus atribuciones y funciones, así como las que de manera unánime establezca el Comité.”</w:t>
      </w:r>
    </w:p>
    <w:p w:rsidR="00000000" w:rsidDel="00000000" w:rsidP="00000000" w:rsidRDefault="00000000" w:rsidRPr="00000000" w14:paraId="0000008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expuesto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u w:val="single"/>
          <w:rtl w:val="0"/>
        </w:rPr>
        <w:t xml:space="preserve">no se advirtió que la Secretaría de Salud</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como lo adelantó la Unidad de Transparencia del Sujeto Obligado, </w:t>
      </w:r>
      <w:r w:rsidDel="00000000" w:rsidR="00000000" w:rsidRPr="00000000">
        <w:rPr>
          <w:rFonts w:ascii="Palatino Linotype" w:cs="Palatino Linotype" w:eastAsia="Palatino Linotype" w:hAnsi="Palatino Linotype"/>
          <w:b w:val="1"/>
          <w:u w:val="single"/>
          <w:rtl w:val="0"/>
        </w:rPr>
        <w:t xml:space="preserve">tenga injerencia en la implementación y ejecución del Registro Estatal de Discapacidad,</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al no contar con atribuciones que le faculten para ello.</w:t>
      </w:r>
    </w:p>
    <w:p w:rsidR="00000000" w:rsidDel="00000000" w:rsidP="00000000" w:rsidRDefault="00000000" w:rsidRPr="00000000" w14:paraId="0000008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es el Instituto Mexiquense para la Discapacidad, el ente público dotado de atribuciones para conocer la materia de la solicitud, como se analizó previamente.</w:t>
      </w:r>
    </w:p>
    <w:p w:rsidR="00000000" w:rsidDel="00000000" w:rsidP="00000000" w:rsidRDefault="00000000" w:rsidRPr="00000000" w14:paraId="0000008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no es procedente la entrega de información alguna para atender el punto en análisis,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Del="00000000" w:rsidR="00000000" w:rsidRPr="00000000">
        <w:rPr>
          <w:rFonts w:ascii="Palatino Linotype" w:cs="Palatino Linotype" w:eastAsia="Palatino Linotype" w:hAnsi="Palatino Linotype"/>
          <w:i w:val="1"/>
          <w:rtl w:val="0"/>
        </w:rPr>
        <w:t xml:space="preserve"> contrario sensu</w:t>
      </w:r>
      <w:r w:rsidDel="00000000" w:rsidR="00000000" w:rsidRPr="00000000">
        <w:rPr>
          <w:rFonts w:ascii="Palatino Linotype" w:cs="Palatino Linotype" w:eastAsia="Palatino Linotype" w:hAnsi="Palatino Linotype"/>
          <w:rtl w:val="0"/>
        </w:rPr>
        <w:t xml:space="preserve"> significa que no se está obligado a proporcionar lo que no obre en sus archivos, en consecuencia,  el pronunciamiento vertido por la Unidad de Transparencia, es suficiente para tener por atendidos los requerimientos de información. </w:t>
      </w:r>
    </w:p>
    <w:p w:rsidR="00000000" w:rsidDel="00000000" w:rsidP="00000000" w:rsidRDefault="00000000" w:rsidRPr="00000000" w14:paraId="00000088">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es de recordar, respecto a la Declaración de Incompetencia la Ley de Transparencia y Acceso a la Información Pública del Estado de México, establece, en los artículos 49, fracción II y 167, lo siguiente: </w:t>
      </w:r>
    </w:p>
    <w:p w:rsidR="00000000" w:rsidDel="00000000" w:rsidP="00000000" w:rsidRDefault="00000000" w:rsidRPr="00000000" w14:paraId="00000089">
      <w:pPr>
        <w:tabs>
          <w:tab w:val="left" w:leader="none" w:pos="1134"/>
        </w:tabs>
        <w:spacing w:line="360" w:lineRule="auto"/>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A">
      <w:pPr>
        <w:tabs>
          <w:tab w:val="left" w:leader="none" w:pos="1134"/>
          <w:tab w:val="left" w:leader="none" w:pos="1276"/>
        </w:tabs>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08B">
      <w:pPr>
        <w:tabs>
          <w:tab w:val="left" w:leader="none" w:pos="1134"/>
        </w:tabs>
        <w:spacing w:line="276"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8C">
      <w:pPr>
        <w:tabs>
          <w:tab w:val="left" w:leader="none" w:pos="1134"/>
        </w:tabs>
        <w:spacing w:line="276" w:lineRule="auto"/>
        <w:ind w:left="1134" w:right="90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Calibri" w:cs="Calibri" w:eastAsia="Calibri" w:hAnsi="Calibri"/>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Confirmar, modificar o revocar</w:t>
      </w:r>
      <w:r w:rsidDel="00000000" w:rsidR="00000000" w:rsidRPr="00000000">
        <w:rPr>
          <w:rFonts w:ascii="Palatino Linotype" w:cs="Palatino Linotype" w:eastAsia="Palatino Linotype" w:hAnsi="Palatino Linotype"/>
          <w:i w:val="1"/>
          <w:sz w:val="22"/>
          <w:szCs w:val="22"/>
          <w:rtl w:val="0"/>
        </w:rPr>
        <w:t xml:space="preserve"> las determinaciones que en materia de ampliación del plazo de respuesta, clasificación de la información </w:t>
      </w:r>
      <w:r w:rsidDel="00000000" w:rsidR="00000000" w:rsidRPr="00000000">
        <w:rPr>
          <w:rFonts w:ascii="Palatino Linotype" w:cs="Palatino Linotype" w:eastAsia="Palatino Linotype" w:hAnsi="Palatino Linotype"/>
          <w:b w:val="1"/>
          <w:i w:val="1"/>
          <w:sz w:val="22"/>
          <w:szCs w:val="22"/>
          <w:rtl w:val="0"/>
        </w:rPr>
        <w:t xml:space="preserve">y declaración</w:t>
      </w:r>
      <w:r w:rsidDel="00000000" w:rsidR="00000000" w:rsidRPr="00000000">
        <w:rPr>
          <w:rFonts w:ascii="Palatino Linotype" w:cs="Palatino Linotype" w:eastAsia="Palatino Linotype" w:hAnsi="Palatino Linotype"/>
          <w:i w:val="1"/>
          <w:sz w:val="22"/>
          <w:szCs w:val="22"/>
          <w:rtl w:val="0"/>
        </w:rPr>
        <w:t xml:space="preserve"> de inexistencia o </w:t>
      </w:r>
      <w:r w:rsidDel="00000000" w:rsidR="00000000" w:rsidRPr="00000000">
        <w:rPr>
          <w:rFonts w:ascii="Palatino Linotype" w:cs="Palatino Linotype" w:eastAsia="Palatino Linotype" w:hAnsi="Palatino Linotype"/>
          <w:b w:val="1"/>
          <w:i w:val="1"/>
          <w:sz w:val="22"/>
          <w:szCs w:val="22"/>
          <w:rtl w:val="0"/>
        </w:rPr>
        <w:t xml:space="preserve">de incompetencia realicen los titulares de las áreas de los sujetos obligados;</w:t>
      </w:r>
      <w:r w:rsidDel="00000000" w:rsidR="00000000" w:rsidRPr="00000000">
        <w:rPr>
          <w:rtl w:val="0"/>
        </w:rPr>
      </w:r>
    </w:p>
    <w:p w:rsidR="00000000" w:rsidDel="00000000" w:rsidP="00000000" w:rsidRDefault="00000000" w:rsidRPr="00000000" w14:paraId="0000008D">
      <w:pPr>
        <w:tabs>
          <w:tab w:val="left" w:leader="none" w:pos="1134"/>
        </w:tabs>
        <w:spacing w:line="276"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8E">
      <w:pPr>
        <w:tabs>
          <w:tab w:val="left" w:leader="none" w:pos="1134"/>
        </w:tabs>
        <w:spacing w:line="276"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167</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Cuando las unidades de transparencia determinen la notoria incompetencia</w:t>
      </w:r>
      <w:r w:rsidDel="00000000" w:rsidR="00000000" w:rsidRPr="00000000">
        <w:rPr>
          <w:rFonts w:ascii="Palatino Linotype" w:cs="Palatino Linotype" w:eastAsia="Palatino Linotype" w:hAnsi="Palatino Linotype"/>
          <w:i w:val="1"/>
          <w:sz w:val="22"/>
          <w:szCs w:val="22"/>
          <w:rtl w:val="0"/>
        </w:rPr>
        <w:t xml:space="preserve"> por parte de los sujetos obligados, dentro del ámbito de aplicación, para atender la solicitud de acceso a la información, </w:t>
      </w:r>
      <w:r w:rsidDel="00000000" w:rsidR="00000000" w:rsidRPr="00000000">
        <w:rPr>
          <w:rFonts w:ascii="Palatino Linotype" w:cs="Palatino Linotype" w:eastAsia="Palatino Linotype" w:hAnsi="Palatino Linotype"/>
          <w:b w:val="1"/>
          <w:i w:val="1"/>
          <w:sz w:val="22"/>
          <w:szCs w:val="22"/>
          <w:rtl w:val="0"/>
        </w:rPr>
        <w:t xml:space="preserve">deberán comunicarlo al solicitante, dentro de los tres días hábiles posteriores a la recepción de la solicitud</w:t>
      </w:r>
      <w:r w:rsidDel="00000000" w:rsidR="00000000" w:rsidRPr="00000000">
        <w:rPr>
          <w:rFonts w:ascii="Palatino Linotype" w:cs="Palatino Linotype" w:eastAsia="Palatino Linotype" w:hAnsi="Palatino Linotype"/>
          <w:i w:val="1"/>
          <w:sz w:val="22"/>
          <w:szCs w:val="22"/>
          <w:rtl w:val="0"/>
        </w:rPr>
        <w:t xml:space="preserve"> y, </w:t>
      </w:r>
      <w:r w:rsidDel="00000000" w:rsidR="00000000" w:rsidRPr="00000000">
        <w:rPr>
          <w:rFonts w:ascii="Palatino Linotype" w:cs="Palatino Linotype" w:eastAsia="Palatino Linotype" w:hAnsi="Palatino Linotype"/>
          <w:b w:val="1"/>
          <w:i w:val="1"/>
          <w:sz w:val="22"/>
          <w:szCs w:val="22"/>
          <w:rtl w:val="0"/>
        </w:rPr>
        <w:t xml:space="preserve">en su caso orientar al solicitante, el o los sujetos obligados competentes.” (Sic)</w:t>
      </w:r>
    </w:p>
    <w:p w:rsidR="00000000" w:rsidDel="00000000" w:rsidP="00000000" w:rsidRDefault="00000000" w:rsidRPr="00000000" w14:paraId="0000008F">
      <w:pPr>
        <w:tabs>
          <w:tab w:val="left" w:leader="none" w:pos="142"/>
          <w:tab w:val="left" w:leader="none" w:pos="284"/>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 los preceptos citados se desprende que es atribución del Comité de Transparencia confirmar, modificar o revocar, en su caso, la declaración de incompetencia,</w:t>
      </w:r>
      <w:r w:rsidDel="00000000" w:rsidR="00000000" w:rsidRPr="00000000">
        <w:rPr>
          <w:rFonts w:ascii="Palatino Linotype" w:cs="Palatino Linotype" w:eastAsia="Palatino Linotype" w:hAnsi="Palatino Linotype"/>
          <w:b w:val="1"/>
          <w:rtl w:val="0"/>
        </w:rPr>
        <w:t xml:space="preserve"> en aquellos casos en los que no se trate de una notoria incompetencia. </w:t>
      </w:r>
    </w:p>
    <w:p w:rsidR="00000000" w:rsidDel="00000000" w:rsidP="00000000" w:rsidRDefault="00000000" w:rsidRPr="00000000" w14:paraId="00000090">
      <w:pPr>
        <w:tabs>
          <w:tab w:val="left" w:leader="none" w:pos="142"/>
          <w:tab w:val="left" w:leader="none" w:pos="284"/>
        </w:tabs>
        <w:spacing w:after="240" w:before="240" w:line="360" w:lineRule="auto"/>
        <w:jc w:val="both"/>
        <w:rPr>
          <w:rFonts w:ascii="Palatino Linotype" w:cs="Palatino Linotype" w:eastAsia="Palatino Linotype" w:hAnsi="Palatino Linotype"/>
          <w:u w:val="single"/>
        </w:rPr>
      </w:pPr>
      <w:r w:rsidDel="00000000" w:rsidR="00000000" w:rsidRPr="00000000">
        <w:rPr>
          <w:rFonts w:ascii="Palatino Linotype" w:cs="Palatino Linotype" w:eastAsia="Palatino Linotype" w:hAnsi="Palatino Linotype"/>
          <w:rtl w:val="0"/>
        </w:rPr>
        <w:t xml:space="preserve">Puesto que la Ley también prevé que dicho acuerdo no es necesario cuando la Unidad de Transparencia determine que la incompetencia es notoria dando un plazo de tres días hábiles para hacerlo del conocimiento del particular. En otras palabras, la Ley de la Materia confiere a las Unidades de Transparencia la posibilidad de notificar la incompetencia cuando esta sea notoria, siendo innecesario que dicha circunstancia sea sometida a consideración de los integrantes del Comité de Transparencia </w:t>
      </w:r>
      <w:r w:rsidDel="00000000" w:rsidR="00000000" w:rsidRPr="00000000">
        <w:rPr>
          <w:rFonts w:ascii="Palatino Linotype" w:cs="Palatino Linotype" w:eastAsia="Palatino Linotype" w:hAnsi="Palatino Linotype"/>
          <w:u w:val="single"/>
          <w:rtl w:val="0"/>
        </w:rPr>
        <w:t xml:space="preserve">para su aprobación. </w:t>
      </w:r>
    </w:p>
    <w:p w:rsidR="00000000" w:rsidDel="00000000" w:rsidP="00000000" w:rsidRDefault="00000000" w:rsidRPr="00000000" w14:paraId="00000091">
      <w:pPr>
        <w:tabs>
          <w:tab w:val="left" w:leader="none" w:pos="142"/>
          <w:tab w:val="left" w:leader="none" w:pos="284"/>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sustento de lo anterior, resulta aplicable el Criterio 20/20, emitido por el Instituto Nacional de Transparencia, Acceso a la Información, y Protección de Datos Personales, INAI, que lleva por rubro y texto los siguientes:  </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“Declaración de incompetencia por parte del Comité, cuando no sea notoria o manifiesta.</w:t>
      </w:r>
      <w:r w:rsidDel="00000000" w:rsidR="00000000" w:rsidRPr="00000000">
        <w:rPr>
          <w:rFonts w:ascii="Palatino Linotype" w:cs="Palatino Linotype" w:eastAsia="Palatino Linotype" w:hAnsi="Palatino Linotype"/>
          <w:i w:val="1"/>
          <w:sz w:val="22"/>
          <w:szCs w:val="22"/>
          <w:rtl w:val="0"/>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rsidR="00000000" w:rsidDel="00000000" w:rsidP="00000000" w:rsidRDefault="00000000" w:rsidRPr="00000000" w14:paraId="00000093">
      <w:pPr>
        <w:tabs>
          <w:tab w:val="left" w:leader="none" w:pos="142"/>
          <w:tab w:val="left" w:leader="none" w:pos="284"/>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u w:val="single"/>
          <w:rtl w:val="0"/>
        </w:rPr>
        <w:t xml:space="preserve">duda razonable sobre la administración del documento materia de la solicitud de información</w:t>
      </w:r>
      <w:r w:rsidDel="00000000" w:rsidR="00000000" w:rsidRPr="00000000">
        <w:rPr>
          <w:rFonts w:ascii="Palatino Linotype" w:cs="Palatino Linotype" w:eastAsia="Palatino Linotype" w:hAnsi="Palatino Linotype"/>
          <w:rtl w:val="0"/>
        </w:rPr>
        <w:t xml:space="preserve">, como se lee enseguida:</w:t>
      </w:r>
    </w:p>
    <w:p w:rsidR="00000000" w:rsidDel="00000000" w:rsidP="00000000" w:rsidRDefault="00000000" w:rsidRPr="00000000" w14:paraId="00000094">
      <w:pPr>
        <w:tabs>
          <w:tab w:val="left" w:leader="none" w:pos="1418"/>
        </w:tabs>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“DECLARATORIA DE INCOMPETENCIA DEL SUJETO OBLIGADO. SUPUESTO PARA CONFIRMARLA POR ACUERDO DEL COMITÉ DE TRANSPARENCIA. </w:t>
      </w:r>
      <w:r w:rsidDel="00000000" w:rsidR="00000000" w:rsidRPr="00000000">
        <w:rPr>
          <w:rFonts w:ascii="Palatino Linotype" w:cs="Palatino Linotype" w:eastAsia="Palatino Linotype" w:hAnsi="Palatino Linotype"/>
          <w:i w:val="1"/>
          <w:sz w:val="22"/>
          <w:szCs w:val="22"/>
          <w:rtl w:val="0"/>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Del="00000000" w:rsidR="00000000" w:rsidRPr="00000000">
        <w:rPr>
          <w:rFonts w:ascii="Palatino Linotype" w:cs="Palatino Linotype" w:eastAsia="Palatino Linotype" w:hAnsi="Palatino Linotype"/>
          <w:b w:val="1"/>
          <w:i w:val="1"/>
          <w:sz w:val="22"/>
          <w:szCs w:val="22"/>
          <w:rtl w:val="0"/>
        </w:rPr>
        <w:t xml:space="preserve">al ejercer el derecho de acceso a la información pública cabe la posibilidad de que existan atribuciones concurrentes entre dos o más Sujetos Obligados que </w:t>
      </w:r>
      <w:r w:rsidDel="00000000" w:rsidR="00000000" w:rsidRPr="00000000">
        <w:rPr>
          <w:rFonts w:ascii="Palatino Linotype" w:cs="Palatino Linotype" w:eastAsia="Palatino Linotype" w:hAnsi="Palatino Linotype"/>
          <w:b w:val="1"/>
          <w:i w:val="1"/>
          <w:sz w:val="22"/>
          <w:szCs w:val="22"/>
          <w:u w:val="single"/>
          <w:rtl w:val="0"/>
        </w:rPr>
        <w:t xml:space="preserve">impiden determinar dentro del término legal de tres días hábiles</w:t>
      </w:r>
      <w:r w:rsidDel="00000000" w:rsidR="00000000" w:rsidRPr="00000000">
        <w:rPr>
          <w:rFonts w:ascii="Palatino Linotype" w:cs="Palatino Linotype" w:eastAsia="Palatino Linotype" w:hAnsi="Palatino Linotype"/>
          <w:b w:val="1"/>
          <w:i w:val="1"/>
          <w:sz w:val="22"/>
          <w:szCs w:val="22"/>
          <w:rtl w:val="0"/>
        </w:rPr>
        <w:t xml:space="preserve">, si se posee o no la información por el Sujeto Obligado requerid</w:t>
      </w:r>
      <w:r w:rsidDel="00000000" w:rsidR="00000000" w:rsidRPr="00000000">
        <w:rPr>
          <w:rFonts w:ascii="Palatino Linotype" w:cs="Palatino Linotype" w:eastAsia="Palatino Linotype" w:hAnsi="Palatino Linotype"/>
          <w:i w:val="1"/>
          <w:sz w:val="22"/>
          <w:szCs w:val="22"/>
          <w:rtl w:val="0"/>
        </w:rPr>
        <w:t xml:space="preserve">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rsidR="00000000" w:rsidDel="00000000" w:rsidP="00000000" w:rsidRDefault="00000000" w:rsidRPr="00000000" w14:paraId="00000095">
      <w:pPr>
        <w:tabs>
          <w:tab w:val="left" w:leader="none" w:pos="142"/>
          <w:tab w:val="left" w:leader="none" w:pos="284"/>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particular, de los registros que obran en el Sistema de Acceso a la Información Mexiquense, se tiene que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realizó su solicitud de información en fecha </w:t>
      </w:r>
      <w:r w:rsidDel="00000000" w:rsidR="00000000" w:rsidRPr="00000000">
        <w:rPr>
          <w:rFonts w:ascii="Palatino Linotype" w:cs="Palatino Linotype" w:eastAsia="Palatino Linotype" w:hAnsi="Palatino Linotype"/>
          <w:b w:val="1"/>
          <w:rtl w:val="0"/>
        </w:rPr>
        <w:t xml:space="preserve">dos de agosto de dos mil veintitrés</w:t>
      </w:r>
      <w:r w:rsidDel="00000000" w:rsidR="00000000" w:rsidRPr="00000000">
        <w:rPr>
          <w:rFonts w:ascii="Palatino Linotype" w:cs="Palatino Linotype" w:eastAsia="Palatino Linotype" w:hAnsi="Palatino Linotype"/>
          <w:rtl w:val="0"/>
        </w:rPr>
        <w:t xml:space="preserve"> y,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declinó la competencia en fecha </w:t>
      </w:r>
      <w:r w:rsidDel="00000000" w:rsidR="00000000" w:rsidRPr="00000000">
        <w:rPr>
          <w:rFonts w:ascii="Palatino Linotype" w:cs="Palatino Linotype" w:eastAsia="Palatino Linotype" w:hAnsi="Palatino Linotype"/>
          <w:b w:val="1"/>
          <w:rtl w:val="0"/>
        </w:rPr>
        <w:t xml:space="preserve">tres de agosto de dos mil veintitrés</w:t>
      </w:r>
      <w:r w:rsidDel="00000000" w:rsidR="00000000" w:rsidRPr="00000000">
        <w:rPr>
          <w:rFonts w:ascii="Palatino Linotype" w:cs="Palatino Linotype" w:eastAsia="Palatino Linotype" w:hAnsi="Palatino Linotype"/>
          <w:rtl w:val="0"/>
        </w:rPr>
        <w:t xml:space="preserve">, es decir; </w:t>
      </w:r>
      <w:r w:rsidDel="00000000" w:rsidR="00000000" w:rsidRPr="00000000">
        <w:rPr>
          <w:rFonts w:ascii="Palatino Linotype" w:cs="Palatino Linotype" w:eastAsia="Palatino Linotype" w:hAnsi="Palatino Linotype"/>
          <w:b w:val="1"/>
          <w:rtl w:val="0"/>
        </w:rPr>
        <w:t xml:space="preserve">al siguiente día hábil</w:t>
      </w:r>
      <w:r w:rsidDel="00000000" w:rsidR="00000000" w:rsidRPr="00000000">
        <w:rPr>
          <w:rFonts w:ascii="Palatino Linotype" w:cs="Palatino Linotype" w:eastAsia="Palatino Linotype" w:hAnsi="Palatino Linotype"/>
          <w:rtl w:val="0"/>
        </w:rPr>
        <w:t xml:space="preserve"> en que se tuvo por registrada la solicitud de información.  </w:t>
      </w:r>
    </w:p>
    <w:p w:rsidR="00000000" w:rsidDel="00000000" w:rsidP="00000000" w:rsidRDefault="00000000" w:rsidRPr="00000000" w14:paraId="0000009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orientó en su respuesta al particular, refiriendo  que una vez analizada la información solicitada, se determinó que esta podía estar en posesión del Instituto Mexiquense para la Discapacidad.</w:t>
      </w:r>
    </w:p>
    <w:p w:rsidR="00000000" w:rsidDel="00000000" w:rsidP="00000000" w:rsidRDefault="00000000" w:rsidRPr="00000000" w14:paraId="00000097">
      <w:pPr>
        <w:tabs>
          <w:tab w:val="left" w:leader="none" w:pos="993"/>
        </w:tabs>
        <w:spacing w:line="360" w:lineRule="auto"/>
        <w:ind w:right="-2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lo anterior, es de vital importancia señalar que la facultad de orientación al particular para que formule su solicitud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competente es potestativa. </w:t>
      </w:r>
    </w:p>
    <w:p w:rsidR="00000000" w:rsidDel="00000000" w:rsidP="00000000" w:rsidRDefault="00000000" w:rsidRPr="00000000" w14:paraId="0000009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tales circunstancias, dado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informó la notoria incompetencia para atender favorablemente la solicitud, al día siguiente de haberse presentado, cobra relevancia artículo 167, párrafo primero de la Ley de Transparencia y Acceso a la Información Pública del Estado de México y Municipios, citado con antelación, toda vez que la declaración de incompetencia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encontró </w:t>
      </w:r>
      <w:r w:rsidDel="00000000" w:rsidR="00000000" w:rsidRPr="00000000">
        <w:rPr>
          <w:rFonts w:ascii="Palatino Linotype" w:cs="Palatino Linotype" w:eastAsia="Palatino Linotype" w:hAnsi="Palatino Linotype"/>
          <w:b w:val="1"/>
          <w:u w:val="single"/>
          <w:rtl w:val="0"/>
        </w:rPr>
        <w:t xml:space="preserve">dentro de los tres días siguientes a la presentación de la solicitud</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 conformidad con el párrafo primero del precepto legal en cita, se colige que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son infundados, por lo que resulta procedente </w:t>
      </w:r>
      <w:r w:rsidDel="00000000" w:rsidR="00000000" w:rsidRPr="00000000">
        <w:rPr>
          <w:rFonts w:ascii="Palatino Linotype" w:cs="Palatino Linotype" w:eastAsia="Palatino Linotype" w:hAnsi="Palatino Linotype"/>
          <w:i w:val="1"/>
          <w:rtl w:val="0"/>
        </w:rPr>
        <w:t xml:space="preserve">confirmar </w:t>
      </w:r>
      <w:r w:rsidDel="00000000" w:rsidR="00000000" w:rsidRPr="00000000">
        <w:rPr>
          <w:rFonts w:ascii="Palatino Linotype" w:cs="Palatino Linotype" w:eastAsia="Palatino Linotype" w:hAnsi="Palatino Linotype"/>
          <w:rtl w:val="0"/>
        </w:rPr>
        <w:t xml:space="preserve">la respuesta que se otorgó a la solicitud, dejando a salvo sus derechos para que, en caso de así considerarlo conveniente a sus intereses, pueda formular una solicitud ante el o los Sujetos Obligados competentes, pudiendo ser, de manera enunciativa, más no limitativa, el Instituto Mexiquense para la Discapacidad. </w:t>
      </w:r>
    </w:p>
    <w:p w:rsidR="00000000" w:rsidDel="00000000" w:rsidP="00000000" w:rsidRDefault="00000000" w:rsidRPr="00000000" w14:paraId="0000009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atendiendo al motivo de inconformidad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que refiere que Instituto Mexiquense para la Discapacidad no es un Sujeto Obligado independiente, sino que depende de la Secretaría de Salud, y por tal motivo no aparece en la plataforma de SAIMEX, es oportuno traer a colación el ACUERDO MEDIANTE EL CUAL EL PLENO DEL INSTITUTO DE TRANSPARENCIA, ACCESO A LA INFORMACIÓN PÚBLICA Y PROTECCIÓN DE DATOS PERSONALES DEL ESTADO DE MÉXICO Y MUNICIPIOS, APRUEBA LA MODIFICACIÓN AL PADRÓN DE SUJETOS OBLIGADOS EN MATERIA DE TRANSPARENCIA Y ACCESO A LA INFORMACIÓN PÚBLICA DEL ESTADO DE MÉXICO Y MUNICIPIOS, aprobado por el Pleno de este Instituto en la Cuadragésimo Primera Sesión Ordinaria de fecha dieciocho de noviembre de dos mil veintiuno, mediante el cual se aprobó la modificación del Padrón de Sujetos Obligados en materia de Transparencia y Acceso a la Información Pública del Estado de México y Municipios, en los términos siguientes: </w:t>
      </w:r>
    </w:p>
    <w:p w:rsidR="00000000" w:rsidDel="00000000" w:rsidP="00000000" w:rsidRDefault="00000000" w:rsidRPr="00000000" w14:paraId="0000009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803400"/>
            <wp:effectExtent b="0" l="0" r="0" t="0"/>
            <wp:docPr id="190526847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612130" cy="1803400"/>
                    </a:xfrm>
                    <a:prstGeom prst="rect"/>
                    <a:ln/>
                  </pic:spPr>
                </pic:pic>
              </a:graphicData>
            </a:graphic>
          </wp:inline>
        </w:drawing>
      </w:r>
      <w:r w:rsidDel="00000000" w:rsidR="00000000" w:rsidRPr="00000000">
        <w:rPr>
          <w:rFonts w:ascii="Palatino Linotype" w:cs="Palatino Linotype" w:eastAsia="Palatino Linotype" w:hAnsi="Palatino Linotype"/>
        </w:rPr>
        <w:drawing>
          <wp:inline distB="0" distT="0" distL="0" distR="0">
            <wp:extent cx="5612130" cy="816610"/>
            <wp:effectExtent b="0" l="0" r="0" t="0"/>
            <wp:docPr id="190526847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612130" cy="816610"/>
                    </a:xfrm>
                    <a:prstGeom prst="rect"/>
                    <a:ln/>
                  </pic:spPr>
                </pic:pic>
              </a:graphicData>
            </a:graphic>
          </wp:inline>
        </w:drawing>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9B">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612130" cy="1101090"/>
            <wp:effectExtent b="0" l="0" r="0" t="0"/>
            <wp:docPr id="1905268476"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612130" cy="110109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de conformidad con el Acuerdo mediante el cual, el Pleno del Instituto de Transparencia, Acceso a la Información Pública y Protección de Datos Personales del Estado de México y Municipios, emite el Padrón de Sujetos Obligados en materia de Protección de Datos Personales del Estado de México y Municipios, aprobado en la Décimo Octava Sesión Ordinaria celebrada el dieciocho de mayo de dos mil veintidós, se localizó al Instituto Mexiquense para la Discapacidad, como Sujeto Obligado Independiente, tal como se observa a continuación: </w:t>
      </w:r>
    </w:p>
    <w:p w:rsidR="00000000" w:rsidDel="00000000" w:rsidP="00000000" w:rsidRDefault="00000000" w:rsidRPr="00000000" w14:paraId="0000009D">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612130" cy="862330"/>
            <wp:effectExtent b="0" l="0" r="0" t="0"/>
            <wp:docPr id="1905268475"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612130" cy="86233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584200</wp:posOffset>
                </wp:positionV>
                <wp:extent cx="362100" cy="114300"/>
                <wp:effectExtent b="0" l="0" r="0" t="0"/>
                <wp:wrapNone/>
                <wp:docPr id="1905268466" name=""/>
                <a:graphic>
                  <a:graphicData uri="http://schemas.microsoft.com/office/word/2010/wordprocessingShape">
                    <wps:wsp>
                      <wps:cNvCnPr/>
                      <wps:spPr>
                        <a:xfrm>
                          <a:off x="5184000" y="3741900"/>
                          <a:ext cx="324000" cy="76200"/>
                        </a:xfrm>
                        <a:prstGeom prst="straightConnector1">
                          <a:avLst/>
                        </a:prstGeom>
                        <a:noFill/>
                        <a:ln cap="flat" cmpd="sng" w="38100">
                          <a:solidFill>
                            <a:srgbClr val="C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584200</wp:posOffset>
                </wp:positionV>
                <wp:extent cx="362100" cy="114300"/>
                <wp:effectExtent b="0" l="0" r="0" t="0"/>
                <wp:wrapNone/>
                <wp:docPr id="1905268466"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362100" cy="114300"/>
                        </a:xfrm>
                        <a:prstGeom prst="rect"/>
                        <a:ln/>
                      </pic:spPr>
                    </pic:pic>
                  </a:graphicData>
                </a:graphic>
              </wp:anchor>
            </w:drawing>
          </mc:Fallback>
        </mc:AlternateContent>
      </w:r>
    </w:p>
    <w:p w:rsidR="00000000" w:rsidDel="00000000" w:rsidP="00000000" w:rsidRDefault="00000000" w:rsidRPr="00000000" w14:paraId="0000009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contrario a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el Instituto Mexiquense para la Discapacidad se encuentra contemplado en el Padrón como un Sujeto independiente desde la modificación al Padrón de fecha dieciocho de noviembre de dos mil veintiuno, así como en el Padrón actual, por ello, es responsable de transparentar la información que en ejercicio de sus atribuciones genere, administre o posea, en cumplimiento a las disposiciones previstas en la normativa aplicable en la materia, por tanto, es evidente que para acceder a la información de dicho Sujeto Obligado, las personas interesadas pueden ejercer su derecho a través del Sistema de Información Pública de Oficio Mexiquense, IPOMEX, del Sistema de Acceso a la Información Mexiquense, SAIMEX y del Sistema de Acceso, Rectificación, Cancelación y Oposición del Estado de México, SARCOEM.</w:t>
      </w:r>
    </w:p>
    <w:p w:rsidR="00000000" w:rsidDel="00000000" w:rsidP="00000000" w:rsidRDefault="00000000" w:rsidRPr="00000000" w14:paraId="0000009F">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devienen infundados, siendo procedente </w:t>
      </w:r>
      <w:r w:rsidDel="00000000" w:rsidR="00000000" w:rsidRPr="00000000">
        <w:rPr>
          <w:rFonts w:ascii="Palatino Linotype" w:cs="Palatino Linotype" w:eastAsia="Palatino Linotype" w:hAnsi="Palatino Linotype"/>
          <w:i w:val="1"/>
          <w:rtl w:val="0"/>
        </w:rPr>
        <w:t xml:space="preserve">Confirmar </w:t>
      </w:r>
      <w:r w:rsidDel="00000000" w:rsidR="00000000" w:rsidRPr="00000000">
        <w:rPr>
          <w:rFonts w:ascii="Palatino Linotype" w:cs="Palatino Linotype" w:eastAsia="Palatino Linotype" w:hAnsi="Palatino Linotype"/>
          <w:rtl w:val="0"/>
        </w:rPr>
        <w:t xml:space="preserve">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términos del artículo 186 fracción II de la Ley de Transparencia y Acceso a la Información Pública del Estado de México y Municipios.</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bookmarkStart w:colFirst="0" w:colLast="0" w:name="_heading=h.17dp8vu" w:id="7"/>
      <w:bookmarkEnd w:id="7"/>
      <w:r w:rsidDel="00000000" w:rsidR="00000000" w:rsidRPr="00000000">
        <w:rPr>
          <w:rFonts w:ascii="Palatino Linotype" w:cs="Palatino Linotype" w:eastAsia="Palatino Linotype" w:hAnsi="Palatino Linotype"/>
          <w:rtl w:val="0"/>
        </w:rPr>
        <w:t xml:space="preserve">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0A2">
      <w:pPr>
        <w:spacing w:after="240" w:before="240" w:line="360" w:lineRule="auto"/>
        <w:jc w:val="both"/>
        <w:rPr>
          <w:rFonts w:ascii="Palatino Linotype" w:cs="Palatino Linotype" w:eastAsia="Palatino Linotype" w:hAnsi="Palatino Linotype"/>
        </w:rPr>
      </w:pPr>
      <w:bookmarkStart w:colFirst="0" w:colLast="0" w:name="_heading=h.26in1rg" w:id="8"/>
      <w:bookmarkEnd w:id="8"/>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Son </w:t>
      </w:r>
      <w:r w:rsidDel="00000000" w:rsidR="00000000" w:rsidRPr="00000000">
        <w:rPr>
          <w:rFonts w:ascii="Palatino Linotype" w:cs="Palatino Linotype" w:eastAsia="Palatino Linotype" w:hAnsi="Palatino Linotype"/>
          <w:b w:val="1"/>
          <w:rtl w:val="0"/>
        </w:rPr>
        <w:t xml:space="preserve">infundadas</w:t>
      </w:r>
      <w:r w:rsidDel="00000000" w:rsidR="00000000" w:rsidRPr="00000000">
        <w:rPr>
          <w:rFonts w:ascii="Palatino Linotype" w:cs="Palatino Linotype" w:eastAsia="Palatino Linotype" w:hAnsi="Palatino Linotype"/>
          <w:rtl w:val="0"/>
        </w:rPr>
        <w:t xml:space="preserve">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04369/INFOEM/IP/RR/2023</w:t>
      </w:r>
      <w:r w:rsidDel="00000000" w:rsidR="00000000" w:rsidRPr="00000000">
        <w:rPr>
          <w:rFonts w:ascii="Palatino Linotype" w:cs="Palatino Linotype" w:eastAsia="Palatino Linotype" w:hAnsi="Palatino Linotype"/>
          <w:rtl w:val="0"/>
        </w:rPr>
        <w:t xml:space="preserve">, por lo que, en términos de los argumentos de derecho señalados en 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se</w:t>
      </w:r>
      <w:r w:rsidDel="00000000" w:rsidR="00000000" w:rsidRPr="00000000">
        <w:rPr>
          <w:rFonts w:ascii="Palatino Linotype" w:cs="Palatino Linotype" w:eastAsia="Palatino Linotype" w:hAnsi="Palatino Linotype"/>
          <w:b w:val="1"/>
          <w:rtl w:val="0"/>
        </w:rPr>
        <w:t xml:space="preserve"> Confirma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A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Notifíquese, </w:t>
      </w:r>
      <w:r w:rsidDel="00000000" w:rsidR="00000000" w:rsidRPr="00000000">
        <w:rPr>
          <w:rFonts w:ascii="Palatino Linotype" w:cs="Palatino Linotype" w:eastAsia="Palatino Linotype" w:hAnsi="Palatino Linotype"/>
          <w:rtl w:val="0"/>
        </w:rPr>
        <w:t xml:space="preserve">al Responsable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su conocimiento, la presente resolución.</w:t>
      </w:r>
    </w:p>
    <w:p w:rsidR="00000000" w:rsidDel="00000000" w:rsidP="00000000" w:rsidRDefault="00000000" w:rsidRPr="00000000" w14:paraId="000000A4">
      <w:pPr>
        <w:spacing w:after="240" w:before="240" w:line="360" w:lineRule="auto"/>
        <w:jc w:val="both"/>
        <w:rPr>
          <w:rFonts w:ascii="Palatino Linotype" w:cs="Palatino Linotype" w:eastAsia="Palatino Linotype" w:hAnsi="Palatino Linotype"/>
        </w:rPr>
      </w:pPr>
      <w:bookmarkStart w:colFirst="0" w:colLast="0" w:name="_heading=h.4d34og8" w:id="9"/>
      <w:bookmarkEnd w:id="9"/>
      <w:r w:rsidDel="00000000" w:rsidR="00000000" w:rsidRPr="00000000">
        <w:rPr>
          <w:rFonts w:ascii="Palatino Linotype" w:cs="Palatino Linotype" w:eastAsia="Palatino Linotype" w:hAnsi="Palatino Linotype"/>
          <w:b w:val="1"/>
          <w:rtl w:val="0"/>
        </w:rPr>
        <w:t xml:space="preserve"> Tercero.  Notifíquese, a</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A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NORIEGAY GUADALUPE RAMÍREZ PEÑA; EN LA TRIGÉSIMO PRIMERA SESIÓN ORDINARIA, CELEBRADA EL TREINTA DE AGOSTO DE DOS MIL VEINTITRÉS, ANTE EL SECRETARIO TÉCNICO DEL PLENO ALEXIS TAPIA RAMÍREZ.</w:t>
      </w:r>
    </w:p>
    <w:p w:rsidR="00000000" w:rsidDel="00000000" w:rsidP="00000000" w:rsidRDefault="00000000" w:rsidRPr="00000000" w14:paraId="000000A6">
      <w:pPr>
        <w:spacing w:line="360" w:lineRule="auto"/>
        <w:jc w:val="both"/>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12700</wp:posOffset>
                </wp:positionV>
                <wp:extent cx="5530850" cy="3330575"/>
                <wp:effectExtent b="0" l="0" r="0" t="0"/>
                <wp:wrapNone/>
                <wp:docPr id="1905268467" name=""/>
                <a:graphic>
                  <a:graphicData uri="http://schemas.microsoft.com/office/word/2010/wordprocessingShape">
                    <wps:wsp>
                      <wps:cNvCnPr/>
                      <wps:spPr>
                        <a:xfrm>
                          <a:off x="2593275" y="2127413"/>
                          <a:ext cx="5505450" cy="3305175"/>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12700</wp:posOffset>
                </wp:positionV>
                <wp:extent cx="5530850" cy="3330575"/>
                <wp:effectExtent b="0" l="0" r="0" t="0"/>
                <wp:wrapNone/>
                <wp:docPr id="1905268467"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5530850" cy="3330575"/>
                        </a:xfrm>
                        <a:prstGeom prst="rect"/>
                        <a:ln/>
                      </pic:spPr>
                    </pic:pic>
                  </a:graphicData>
                </a:graphic>
              </wp:anchor>
            </w:drawing>
          </mc:Fallback>
        </mc:AlternateContent>
      </w:r>
    </w:p>
    <w:p w:rsidR="00000000" w:rsidDel="00000000" w:rsidP="00000000" w:rsidRDefault="00000000" w:rsidRPr="00000000" w14:paraId="000000A7">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8">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9">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A">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B">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C">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D">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E">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F">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0">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1">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2">
      <w:pPr>
        <w:spacing w:line="360" w:lineRule="auto"/>
        <w:jc w:val="both"/>
        <w:rPr>
          <w:rFonts w:ascii="Palatino Linotype" w:cs="Palatino Linotype" w:eastAsia="Palatino Linotype" w:hAnsi="Palatino Linotype"/>
        </w:rPr>
      </w:pPr>
      <w:bookmarkStart w:colFirst="0" w:colLast="0" w:name="_heading=h.3rdcrjn" w:id="10"/>
      <w:bookmarkEnd w:id="10"/>
      <w:r w:rsidDel="00000000" w:rsidR="00000000" w:rsidRPr="00000000">
        <w:rPr>
          <w:rtl w:val="0"/>
        </w:rPr>
      </w:r>
    </w:p>
    <w:p w:rsidR="00000000" w:rsidDel="00000000" w:rsidP="00000000" w:rsidRDefault="00000000" w:rsidRPr="00000000" w14:paraId="000000B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5">
      <w:pPr>
        <w:spacing w:line="360" w:lineRule="auto"/>
        <w:jc w:val="both"/>
        <w:rPr>
          <w:rFonts w:ascii="Palatino Linotype" w:cs="Palatino Linotype" w:eastAsia="Palatino Linotype" w:hAnsi="Palatino Linotype"/>
        </w:rPr>
      </w:pPr>
      <w:bookmarkStart w:colFirst="0" w:colLast="0" w:name="_heading=h.1t3h5sf" w:id="11"/>
      <w:bookmarkEnd w:id="11"/>
      <w:r w:rsidDel="00000000" w:rsidR="00000000" w:rsidRPr="00000000">
        <w:rPr>
          <w:rtl w:val="0"/>
        </w:rPr>
      </w:r>
    </w:p>
    <w:p w:rsidR="00000000" w:rsidDel="00000000" w:rsidP="00000000" w:rsidRDefault="00000000" w:rsidRPr="00000000" w14:paraId="000000B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0">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7" w:type="default"/>
      <w:headerReference r:id="rId18" w:type="first"/>
      <w:footerReference r:id="rId19" w:type="default"/>
      <w:footerReference r:id="rId20"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C1">
      <w:pPr>
        <w:pBdr>
          <w:top w:space="0" w:sz="0" w:val="nil"/>
          <w:left w:space="0" w:sz="0" w:val="nil"/>
          <w:bottom w:space="0" w:sz="0" w:val="nil"/>
          <w:right w:space="0" w:sz="0" w:val="nil"/>
          <w:between w:space="0" w:sz="0" w:val="nil"/>
        </w:pBd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0C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-1079498</wp:posOffset>
          </wp:positionH>
          <wp:positionV relativeFrom="paragraph">
            <wp:posOffset>-328928</wp:posOffset>
          </wp:positionV>
          <wp:extent cx="7809865" cy="10165715"/>
          <wp:effectExtent b="0" l="0" r="0" t="0"/>
          <wp:wrapNone/>
          <wp:docPr id="1905268469"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0C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C5">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04369/INFOEM/IP/RR/2023</w:t>
          </w:r>
        </w:p>
      </w:tc>
    </w:tr>
    <w:tr>
      <w:trPr>
        <w:cantSplit w:val="0"/>
        <w:trHeight w:val="130" w:hRule="atLeast"/>
        <w:tblHeader w:val="0"/>
      </w:trPr>
      <w:tc>
        <w:tcPr>
          <w:shd w:fill="auto" w:val="clear"/>
          <w:vAlign w:val="center"/>
        </w:tcPr>
        <w:p w:rsidR="00000000" w:rsidDel="00000000" w:rsidP="00000000" w:rsidRDefault="00000000" w:rsidRPr="00000000" w14:paraId="000000C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0C7">
          <w:pPr>
            <w:ind w:left="-45" w:firstLine="0"/>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0C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C9">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Secretaría de Salud</w:t>
          </w:r>
        </w:p>
      </w:tc>
    </w:tr>
    <w:tr>
      <w:trPr>
        <w:cantSplit w:val="0"/>
        <w:tblHeader w:val="0"/>
      </w:trPr>
      <w:tc>
        <w:tcPr>
          <w:shd w:fill="auto" w:val="clear"/>
          <w:vAlign w:val="center"/>
        </w:tcPr>
        <w:p w:rsidR="00000000" w:rsidDel="00000000" w:rsidP="00000000" w:rsidRDefault="00000000" w:rsidRPr="00000000" w14:paraId="000000C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CB">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-1080120</wp:posOffset>
          </wp:positionH>
          <wp:positionV relativeFrom="paragraph">
            <wp:posOffset>-488298</wp:posOffset>
          </wp:positionV>
          <wp:extent cx="7809865" cy="10165715"/>
          <wp:effectExtent b="0" l="0" r="0" t="0"/>
          <wp:wrapNone/>
          <wp:docPr id="1905268468"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0C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D0">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04369/INFOEM/IP/RR/2023</w:t>
          </w:r>
        </w:p>
      </w:tc>
    </w:tr>
    <w:tr>
      <w:trPr>
        <w:cantSplit w:val="0"/>
        <w:trHeight w:val="228" w:hRule="atLeast"/>
        <w:tblHeader w:val="0"/>
      </w:trPr>
      <w:tc>
        <w:tcPr>
          <w:shd w:fill="auto" w:val="clear"/>
          <w:vAlign w:val="center"/>
        </w:tcPr>
        <w:p w:rsidR="00000000" w:rsidDel="00000000" w:rsidP="00000000" w:rsidRDefault="00000000" w:rsidRPr="00000000" w14:paraId="000000D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D2">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Secretaría de Salud</w:t>
          </w:r>
        </w:p>
      </w:tc>
    </w:tr>
    <w:tr>
      <w:trPr>
        <w:cantSplit w:val="0"/>
        <w:tblHeader w:val="0"/>
      </w:trPr>
      <w:tc>
        <w:tcPr>
          <w:shd w:fill="auto" w:val="clear"/>
          <w:vAlign w:val="center"/>
        </w:tcPr>
        <w:p w:rsidR="00000000" w:rsidDel="00000000" w:rsidP="00000000" w:rsidRDefault="00000000" w:rsidRPr="00000000" w14:paraId="000000D3">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D4">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D5">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7"/>
      <w:numFmt w:val="bullet"/>
      <w:lvlText w:val="-"/>
      <w:lvlJc w:val="left"/>
      <w:pPr>
        <w:ind w:left="644" w:hanging="357"/>
      </w:pPr>
      <w:rPr>
        <w:rFonts w:ascii="Times New Roman" w:cs="Times New Roman" w:eastAsia="Times New Roman" w:hAnsi="Times New Roman"/>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w:cs="Noto Sans" w:eastAsia="Noto Sans" w:hAnsi="Noto Sans"/>
      </w:rPr>
    </w:lvl>
    <w:lvl w:ilvl="3">
      <w:start w:val="1"/>
      <w:numFmt w:val="bullet"/>
      <w:lvlText w:val="●"/>
      <w:lvlJc w:val="left"/>
      <w:pPr>
        <w:ind w:left="2804" w:hanging="360"/>
      </w:pPr>
      <w:rPr>
        <w:rFonts w:ascii="Noto Sans" w:cs="Noto Sans" w:eastAsia="Noto Sans" w:hAnsi="Noto San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w:cs="Noto Sans" w:eastAsia="Noto Sans" w:hAnsi="Noto Sans"/>
      </w:rPr>
    </w:lvl>
    <w:lvl w:ilvl="6">
      <w:start w:val="1"/>
      <w:numFmt w:val="bullet"/>
      <w:lvlText w:val="●"/>
      <w:lvlJc w:val="left"/>
      <w:pPr>
        <w:ind w:left="4964" w:hanging="360"/>
      </w:pPr>
      <w:rPr>
        <w:rFonts w:ascii="Noto Sans" w:cs="Noto Sans" w:eastAsia="Noto Sans" w:hAnsi="Noto San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w:cs="Noto Sans" w:eastAsia="Noto Sans" w:hAnsi="Noto Sans"/>
      </w:rPr>
    </w:lvl>
  </w:abstractNum>
  <w:abstractNum w:abstractNumId="3">
    <w:lvl w:ilvl="0">
      <w:start w:val="1"/>
      <w:numFmt w:val="decimal"/>
      <w:lvlText w:val="%1."/>
      <w:lvlJc w:val="left"/>
      <w:pPr>
        <w:ind w:left="644" w:hanging="359.99999999999994"/>
      </w:pPr>
      <w:rPr>
        <w:b w:val="1"/>
        <w:sz w:val="24"/>
        <w:szCs w:val="24"/>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B2902"/>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semiHidden w:val="1"/>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9" w:customStyle="1">
    <w:name w:val="Table Normal9"/>
    <w:tblPr>
      <w:tblCellMar>
        <w:top w:w="0.0" w:type="dxa"/>
        <w:left w:w="0.0" w:type="dxa"/>
        <w:bottom w:w="0.0" w:type="dxa"/>
        <w:right w:w="0.0" w:type="dxa"/>
      </w:tblCellMar>
    </w:tblPr>
  </w:style>
  <w:style w:type="table" w:styleId="TableNormal8" w:customStyle="1">
    <w:name w:val="Table Normal8"/>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5" w:customStyle="1">
    <w:name w:val="5"/>
    <w:basedOn w:val="TableNormal10"/>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4" w:customStyle="1">
    <w:name w:val="4"/>
    <w:basedOn w:val="TableNormal10"/>
    <w:tblPr>
      <w:tblStyleRowBandSize w:val="1"/>
      <w:tblStyleColBandSize w:val="1"/>
      <w:tblCellMar>
        <w:left w:w="115.0" w:type="dxa"/>
        <w:right w:w="115.0" w:type="dxa"/>
      </w:tblCellMar>
    </w:tblPr>
  </w:style>
  <w:style w:type="table" w:styleId="3" w:customStyle="1">
    <w:name w:val="3"/>
    <w:basedOn w:val="TableNormal10"/>
    <w:tblPr>
      <w:tblStyleRowBandSize w:val="1"/>
      <w:tblStyleColBandSize w:val="1"/>
      <w:tblCellMar>
        <w:left w:w="115.0" w:type="dxa"/>
        <w:right w:w="115.0" w:type="dxa"/>
      </w:tblCellMar>
    </w:tblPr>
  </w:style>
  <w:style w:type="character" w:styleId="Mencinsinresolver3" w:customStyle="1">
    <w:name w:val="Mención sin resolver3"/>
    <w:basedOn w:val="Fuentedeprrafopredeter"/>
    <w:uiPriority w:val="99"/>
    <w:semiHidden w:val="1"/>
    <w:unhideWhenUsed w:val="1"/>
    <w:rsid w:val="0094565C"/>
    <w:rPr>
      <w:color w:val="605e5c"/>
      <w:shd w:color="auto" w:fill="e1dfdd" w:val="clear"/>
    </w:rPr>
  </w:style>
  <w:style w:type="table" w:styleId="2" w:customStyle="1">
    <w:name w:val="2"/>
    <w:basedOn w:val="TableNormal10"/>
    <w:tblPr>
      <w:tblStyleRowBandSize w:val="1"/>
      <w:tblStyleColBandSize w:val="1"/>
      <w:tblCellMar>
        <w:left w:w="115.0" w:type="dxa"/>
        <w:right w:w="115.0" w:type="dxa"/>
      </w:tblCellMar>
    </w:tblPr>
  </w:style>
  <w:style w:type="table" w:styleId="1" w:customStyle="1">
    <w:name w:val="1"/>
    <w:basedOn w:val="TableNormal10"/>
    <w:tblPr>
      <w:tblStyleRowBandSize w:val="1"/>
      <w:tblStyleColBandSize w:val="1"/>
      <w:tblCellMar>
        <w:left w:w="115.0" w:type="dxa"/>
        <w:right w:w="115.0" w:type="dxa"/>
      </w:tblCellMar>
    </w:tblPr>
  </w:style>
  <w:style w:type="table" w:styleId="9" w:customStyle="1">
    <w:name w:val="9"/>
    <w:basedOn w:val="TableNormal20"/>
    <w:tblPr>
      <w:tblStyleRowBandSize w:val="1"/>
      <w:tblStyleColBandSize w:val="1"/>
      <w:tblCellMar>
        <w:left w:w="115.0" w:type="dxa"/>
        <w:right w:w="115.0" w:type="dxa"/>
      </w:tblCellMar>
    </w:tblPr>
  </w:style>
  <w:style w:type="table" w:styleId="8" w:customStyle="1">
    <w:name w:val="8"/>
    <w:basedOn w:val="TableNormal20"/>
    <w:tblPr>
      <w:tblStyleRowBandSize w:val="1"/>
      <w:tblStyleColBandSize w:val="1"/>
      <w:tblCellMar>
        <w:left w:w="115.0" w:type="dxa"/>
        <w:right w:w="115.0" w:type="dxa"/>
      </w:tblCellMar>
    </w:tblPr>
  </w:style>
  <w:style w:type="table" w:styleId="7" w:customStyle="1">
    <w:name w:val="7"/>
    <w:basedOn w:val="TableNormal30"/>
    <w:tblPr>
      <w:tblStyleRowBandSize w:val="1"/>
      <w:tblStyleColBandSize w:val="1"/>
      <w:tblCellMar>
        <w:left w:w="115.0" w:type="dxa"/>
        <w:right w:w="115.0" w:type="dxa"/>
      </w:tblCellMar>
    </w:tblPr>
  </w:style>
  <w:style w:type="table" w:styleId="6" w:customStyle="1">
    <w:name w:val="6"/>
    <w:basedOn w:val="TableNormal30"/>
    <w:tblPr>
      <w:tblStyleRowBandSize w:val="1"/>
      <w:tblStyleColBandSize w:val="1"/>
      <w:tblCellMar>
        <w:left w:w="115.0" w:type="dxa"/>
        <w:right w:w="115.0" w:type="dxa"/>
      </w:tblCellMar>
    </w:tblPr>
  </w:style>
  <w:style w:type="table" w:styleId="20" w:customStyle="1">
    <w:name w:val="20"/>
    <w:basedOn w:val="TableNormal4"/>
    <w:tblPr>
      <w:tblStyleRowBandSize w:val="1"/>
      <w:tblStyleColBandSize w:val="1"/>
      <w:tblCellMar>
        <w:left w:w="115.0" w:type="dxa"/>
        <w:right w:w="115.0" w:type="dxa"/>
      </w:tblCellMar>
    </w:tblPr>
  </w:style>
  <w:style w:type="table" w:styleId="19" w:customStyle="1">
    <w:name w:val="19"/>
    <w:basedOn w:val="TableNormal4"/>
    <w:tblPr>
      <w:tblStyleRowBandSize w:val="1"/>
      <w:tblStyleColBandSize w:val="1"/>
      <w:tblCellMar>
        <w:left w:w="115.0" w:type="dxa"/>
        <w:right w:w="115.0" w:type="dxa"/>
      </w:tblCellMar>
    </w:tblPr>
  </w:style>
  <w:style w:type="table" w:styleId="18" w:customStyle="1">
    <w:name w:val="18"/>
    <w:basedOn w:val="TableNormal5"/>
    <w:tblPr>
      <w:tblStyleRowBandSize w:val="1"/>
      <w:tblStyleColBandSize w:val="1"/>
      <w:tblCellMar>
        <w:left w:w="115.0" w:type="dxa"/>
        <w:right w:w="115.0" w:type="dxa"/>
      </w:tblCellMar>
    </w:tblPr>
  </w:style>
  <w:style w:type="table" w:styleId="17" w:customStyle="1">
    <w:name w:val="17"/>
    <w:basedOn w:val="TableNormal5"/>
    <w:tblPr>
      <w:tblStyleRowBandSize w:val="1"/>
      <w:tblStyleColBandSize w:val="1"/>
      <w:tblCellMar>
        <w:left w:w="115.0" w:type="dxa"/>
        <w:right w:w="115.0" w:type="dxa"/>
      </w:tblCellMar>
    </w:tblPr>
  </w:style>
  <w:style w:type="table" w:styleId="16" w:customStyle="1">
    <w:name w:val="16"/>
    <w:basedOn w:val="TableNormal6"/>
    <w:tblPr>
      <w:tblStyleRowBandSize w:val="1"/>
      <w:tblStyleColBandSize w:val="1"/>
      <w:tblCellMar>
        <w:left w:w="115.0" w:type="dxa"/>
        <w:right w:w="115.0" w:type="dxa"/>
      </w:tblCellMar>
    </w:tblPr>
  </w:style>
  <w:style w:type="table" w:styleId="15" w:customStyle="1">
    <w:name w:val="15"/>
    <w:basedOn w:val="TableNormal6"/>
    <w:tblPr>
      <w:tblStyleRowBandSize w:val="1"/>
      <w:tblStyleColBandSize w:val="1"/>
      <w:tblCellMar>
        <w:left w:w="115.0" w:type="dxa"/>
        <w:right w:w="115.0" w:type="dxa"/>
      </w:tblCellMar>
    </w:tblPr>
  </w:style>
  <w:style w:type="table" w:styleId="14" w:customStyle="1">
    <w:name w:val="14"/>
    <w:basedOn w:val="TableNormal7"/>
    <w:tblPr>
      <w:tblStyleRowBandSize w:val="1"/>
      <w:tblStyleColBandSize w:val="1"/>
      <w:tblCellMar>
        <w:left w:w="115.0" w:type="dxa"/>
        <w:right w:w="115.0" w:type="dxa"/>
      </w:tblCellMar>
    </w:tblPr>
  </w:style>
  <w:style w:type="table" w:styleId="13" w:customStyle="1">
    <w:name w:val="13"/>
    <w:basedOn w:val="TableNormal7"/>
    <w:tblPr>
      <w:tblStyleRowBandSize w:val="1"/>
      <w:tblStyleColBandSize w:val="1"/>
      <w:tblCellMar>
        <w:left w:w="115.0" w:type="dxa"/>
        <w:right w:w="115.0" w:type="dxa"/>
      </w:tblCellMar>
    </w:tblPr>
  </w:style>
  <w:style w:type="character" w:styleId="rse6dlih" w:customStyle="1">
    <w:name w:val="rse6dlih"/>
    <w:basedOn w:val="Fuentedeprrafopredeter"/>
    <w:rsid w:val="00190860"/>
  </w:style>
  <w:style w:type="table" w:styleId="12" w:customStyle="1">
    <w:name w:val="12"/>
    <w:basedOn w:val="TableNormal8"/>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11" w:customStyle="1">
    <w:name w:val="11"/>
    <w:basedOn w:val="TableNormal8"/>
    <w:tblPr>
      <w:tblStyleRowBandSize w:val="1"/>
      <w:tblStyleColBandSize w:val="1"/>
      <w:tblCellMar>
        <w:left w:w="115.0" w:type="dxa"/>
        <w:right w:w="115.0" w:type="dxa"/>
      </w:tblCellMar>
    </w:tblPr>
  </w:style>
  <w:style w:type="table" w:styleId="10" w:customStyle="1">
    <w:name w:val="10"/>
    <w:basedOn w:val="TableNormal8"/>
    <w:tblPr>
      <w:tblStyleRowBandSize w:val="1"/>
      <w:tblStyleColBandSize w:val="1"/>
      <w:tblCellMar>
        <w:left w:w="115.0" w:type="dxa"/>
        <w:right w:w="115.0" w:type="dxa"/>
      </w:tblCellMar>
    </w:tblPr>
  </w:style>
  <w:style w:type="table" w:styleId="24" w:customStyle="1">
    <w:name w:val="24"/>
    <w:basedOn w:val="TableNormal9"/>
    <w:tblPr>
      <w:tblStyleRowBandSize w:val="1"/>
      <w:tblStyleColBandSize w:val="1"/>
      <w:tblCellMar>
        <w:left w:w="115.0" w:type="dxa"/>
        <w:right w:w="115.0" w:type="dxa"/>
      </w:tblCellMar>
    </w:tblPr>
  </w:style>
  <w:style w:type="table" w:styleId="23" w:customStyle="1">
    <w:name w:val="23"/>
    <w:basedOn w:val="TableNormal9"/>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22" w:customStyle="1">
    <w:name w:val="22"/>
    <w:basedOn w:val="TableNormal9"/>
    <w:tblPr>
      <w:tblStyleRowBandSize w:val="1"/>
      <w:tblStyleColBandSize w:val="1"/>
      <w:tblCellMar>
        <w:left w:w="115.0" w:type="dxa"/>
        <w:right w:w="115.0" w:type="dxa"/>
      </w:tblCellMar>
    </w:tblPr>
  </w:style>
  <w:style w:type="table" w:styleId="21" w:customStyle="1">
    <w:name w:val="21"/>
    <w:basedOn w:val="TableNormal9"/>
    <w:tblPr>
      <w:tblStyleRowBandSize w:val="1"/>
      <w:tblStyleColBandSize w:val="1"/>
      <w:tblCellMar>
        <w:left w:w="115.0" w:type="dxa"/>
        <w:right w:w="115.0" w:type="dxa"/>
      </w:tblCellMar>
    </w:tblPr>
  </w:style>
  <w:style w:type="table" w:styleId="a" w:customStyle="1">
    <w:basedOn w:val="TableNormal3"/>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3"/>
    <w:tblPr>
      <w:tblStyleRowBandSize w:val="1"/>
      <w:tblStyleColBandSize w:val="1"/>
      <w:tblCellMar>
        <w:left w:w="115.0" w:type="dxa"/>
        <w:right w:w="115.0" w:type="dxa"/>
      </w:tblCellMar>
    </w:tblPr>
  </w:style>
  <w:style w:type="table" w:styleId="a2" w:customStyle="1">
    <w:basedOn w:val="TableNormal3"/>
    <w:tblPr>
      <w:tblStyleRowBandSize w:val="1"/>
      <w:tblStyleColBandSize w:val="1"/>
      <w:tblCellMar>
        <w:left w:w="115.0" w:type="dxa"/>
        <w:right w:w="115.0" w:type="dxa"/>
      </w:tblCellMar>
    </w:tblPr>
  </w:style>
  <w:style w:type="table" w:styleId="a3" w:customStyle="1">
    <w:basedOn w:val="TableNormal2"/>
    <w:tblPr>
      <w:tblStyleRowBandSize w:val="1"/>
      <w:tblStyleColBandSize w:val="1"/>
      <w:tblCellMar>
        <w:left w:w="115.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4" w:customStyle="1">
    <w:basedOn w:val="TableNormal2"/>
    <w:tblPr>
      <w:tblStyleRowBandSize w:val="1"/>
      <w:tblStyleColBandSize w:val="1"/>
      <w:tblCellMar>
        <w:left w:w="115.0" w:type="dxa"/>
        <w:right w:w="115.0" w:type="dxa"/>
      </w:tblCellMar>
    </w:tblPr>
  </w:style>
  <w:style w:type="table" w:styleId="a5" w:customStyle="1">
    <w:basedOn w:val="TableNormal2"/>
    <w:tblPr>
      <w:tblStyleRowBandSize w:val="1"/>
      <w:tblStyleColBandSize w:val="1"/>
      <w:tblCellMar>
        <w:left w:w="115.0" w:type="dxa"/>
        <w:right w:w="115.0" w:type="dxa"/>
      </w:tblCellMar>
    </w:tblPr>
  </w:style>
  <w:style w:type="table" w:styleId="a6" w:customStyle="1">
    <w:basedOn w:val="TableNormal1"/>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7" w:customStyle="1">
    <w:basedOn w:val="TableNormal1"/>
    <w:tblPr>
      <w:tblStyleRowBandSize w:val="1"/>
      <w:tblStyleColBandSize w:val="1"/>
      <w:tblCellMar>
        <w:left w:w="115.0" w:type="dxa"/>
        <w:right w:w="115.0" w:type="dxa"/>
      </w:tblCellMar>
    </w:tblPr>
  </w:style>
  <w:style w:type="table" w:styleId="a8" w:customStyle="1">
    <w:basedOn w:val="TableNormal1"/>
    <w:tblPr>
      <w:tblStyleRowBandSize w:val="1"/>
      <w:tblStyleColBandSize w:val="1"/>
      <w:tblCellMar>
        <w:left w:w="115.0" w:type="dxa"/>
        <w:right w:w="115.0" w:type="dxa"/>
      </w:tblCellMar>
    </w:tblPr>
  </w:style>
  <w:style w:type="character" w:styleId="Mencinsinresolver4" w:customStyle="1">
    <w:name w:val="Mención sin resolver4"/>
    <w:basedOn w:val="Fuentedeprrafopredeter"/>
    <w:uiPriority w:val="99"/>
    <w:semiHidden w:val="1"/>
    <w:unhideWhenUsed w:val="1"/>
    <w:rsid w:val="00B70D09"/>
    <w:rPr>
      <w:color w:val="605e5c"/>
      <w:shd w:color="auto" w:fill="e1dfdd" w:val="clear"/>
    </w:rPr>
  </w:style>
  <w:style w:type="table" w:styleId="a9" w:customStyle="1">
    <w:basedOn w:val="TableNormal0"/>
    <w:tblPr>
      <w:tblStyleRowBandSize w:val="1"/>
      <w:tblStyleColBandSize w:val="1"/>
      <w:tblCellMar>
        <w:left w:w="115.0" w:type="dxa"/>
        <w:right w:w="115.0" w:type="dxa"/>
      </w:tblCellMar>
    </w:tblPr>
  </w:style>
  <w:style w:type="table" w:styleId="aa" w:customStyle="1">
    <w:basedOn w:val="TableNormal0"/>
    <w:tblPr>
      <w:tblStyleRowBandSize w:val="1"/>
      <w:tblStyleColBandSize w:val="1"/>
      <w:tblCellMar>
        <w:left w:w="115.0" w:type="dxa"/>
        <w:right w:w="115.0" w:type="dxa"/>
      </w:tblCellMar>
    </w:tblPr>
  </w:style>
  <w:style w:type="character" w:styleId="Mencinsinresolver5" w:customStyle="1">
    <w:name w:val="Mención sin resolver5"/>
    <w:basedOn w:val="Fuentedeprrafopredeter"/>
    <w:uiPriority w:val="99"/>
    <w:semiHidden w:val="1"/>
    <w:unhideWhenUsed w:val="1"/>
    <w:rsid w:val="00FD1A55"/>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png"/><Relationship Id="rId10" Type="http://schemas.openxmlformats.org/officeDocument/2006/relationships/image" Target="media/image5.png"/><Relationship Id="rId13" Type="http://schemas.openxmlformats.org/officeDocument/2006/relationships/image" Target="media/image7.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imedis.edomex.gob.mx" TargetMode="External"/><Relationship Id="rId15" Type="http://schemas.openxmlformats.org/officeDocument/2006/relationships/image" Target="media/image8.png"/><Relationship Id="rId14" Type="http://schemas.openxmlformats.org/officeDocument/2006/relationships/image" Target="media/image3.png"/><Relationship Id="rId17" Type="http://schemas.openxmlformats.org/officeDocument/2006/relationships/header" Target="header2.xml"/><Relationship Id="rId16" Type="http://schemas.openxmlformats.org/officeDocument/2006/relationships/image" Target="media/image9.png"/><Relationship Id="rId5" Type="http://schemas.openxmlformats.org/officeDocument/2006/relationships/numbering" Target="numbering.xml"/><Relationship Id="rId19" Type="http://schemas.openxmlformats.org/officeDocument/2006/relationships/footer" Target="footer2.xml"/><Relationship Id="rId6" Type="http://schemas.openxmlformats.org/officeDocument/2006/relationships/styles" Target="styles.xml"/><Relationship Id="rId18" Type="http://schemas.openxmlformats.org/officeDocument/2006/relationships/header" Target="header1.xml"/><Relationship Id="rId7" Type="http://schemas.openxmlformats.org/officeDocument/2006/relationships/customXml" Target="../customXML/item1.xm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WfIuKN20cll0f1o2X9CwtWcfg==">CgMxLjAyCGguZ2pkZ3hzMgloLjNkeTZ2a20yCWguMzBqMHpsbDIJaC4yczhleW8xMghoLnR5amN3dDIJaC4zem55c2g3MgloLjJldDkycDAyCWguMTdkcDh2dTIJaC4yNmluMXJnMgloLjRkMzRvZzgyCWguM3JkY3JqbjIJaC4xdDNoNXNmOAByITF0Rm5LVTlMdldwYjBZaG4xYUhuTERvelZvc1d4M0xtSw==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2023-09-07T19:07:00Z</dcterms:created>
  <dc:creator>iMac</dc:creator>
</cp:coreProperties>
</file>