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5828EE" w:rsidR="00E35DF9" w:rsidP="00147516" w:rsidRDefault="00E35DF9" w14:paraId="7BD6608F" w14:textId="45CC956C">
      <w:pPr>
        <w:spacing w:line="360" w:lineRule="auto"/>
        <w:contextualSpacing/>
        <w:jc w:val="both"/>
        <w:rPr>
          <w:rFonts w:ascii="Palatino Linotype" w:hAnsi="Palatino Linotype" w:cs="Tahoma"/>
          <w:bCs/>
          <w:sz w:val="22"/>
          <w:szCs w:val="22"/>
        </w:rPr>
      </w:pPr>
      <w:bookmarkStart w:name="_Hlk76457302" w:id="0"/>
      <w:r w:rsidRPr="005828EE">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8B4B4D">
        <w:rPr>
          <w:rFonts w:ascii="Palatino Linotype" w:hAnsi="Palatino Linotype" w:cs="Tahoma"/>
          <w:bCs/>
          <w:sz w:val="22"/>
          <w:szCs w:val="22"/>
        </w:rPr>
        <w:t>veintidós</w:t>
      </w:r>
      <w:r w:rsidRPr="00966C54" w:rsidR="008B4B4D">
        <w:rPr>
          <w:rFonts w:ascii="Palatino Linotype" w:hAnsi="Palatino Linotype" w:cs="Tahoma"/>
          <w:bCs/>
          <w:sz w:val="22"/>
          <w:szCs w:val="22"/>
        </w:rPr>
        <w:t xml:space="preserve"> de marzo de dos mil veintitrés</w:t>
      </w:r>
      <w:r w:rsidRPr="005828EE">
        <w:rPr>
          <w:rFonts w:ascii="Palatino Linotype" w:hAnsi="Palatino Linotype" w:cs="Tahoma"/>
          <w:bCs/>
          <w:sz w:val="22"/>
          <w:szCs w:val="22"/>
        </w:rPr>
        <w:t>.</w:t>
      </w:r>
    </w:p>
    <w:p w:rsidRPr="005828EE" w:rsidR="00E35DF9" w:rsidP="00147516" w:rsidRDefault="00E35DF9" w14:paraId="6A43441C" w14:textId="77777777">
      <w:pPr>
        <w:spacing w:line="360" w:lineRule="auto"/>
        <w:contextualSpacing/>
        <w:rPr>
          <w:rFonts w:ascii="Palatino Linotype" w:hAnsi="Palatino Linotype" w:cs="Tahoma"/>
          <w:bCs/>
          <w:sz w:val="22"/>
          <w:szCs w:val="22"/>
        </w:rPr>
      </w:pPr>
    </w:p>
    <w:p w:rsidRPr="005828EE" w:rsidR="00E35DF9" w:rsidP="511E282C" w:rsidRDefault="00E35DF9" w14:paraId="3198D13F" w14:textId="724D54A1">
      <w:pPr>
        <w:spacing w:line="360" w:lineRule="auto"/>
        <w:contextualSpacing/>
        <w:jc w:val="both"/>
        <w:rPr>
          <w:rFonts w:ascii="Palatino Linotype" w:hAnsi="Palatino Linotype" w:cs="Tahoma"/>
          <w:sz w:val="22"/>
          <w:szCs w:val="22"/>
        </w:rPr>
      </w:pPr>
      <w:r w:rsidRPr="511E282C" w:rsidR="511E282C">
        <w:rPr>
          <w:rFonts w:ascii="Palatino Linotype" w:hAnsi="Palatino Linotype" w:cs="Tahoma"/>
          <w:b w:val="1"/>
          <w:bCs w:val="1"/>
          <w:color w:val="0D0D0D" w:themeColor="text1" w:themeTint="F2" w:themeShade="FF"/>
          <w:sz w:val="22"/>
          <w:szCs w:val="22"/>
        </w:rPr>
        <w:t xml:space="preserve">VISTO </w:t>
      </w:r>
      <w:r w:rsidRPr="511E282C" w:rsidR="511E282C">
        <w:rPr>
          <w:rFonts w:ascii="Palatino Linotype" w:hAnsi="Palatino Linotype" w:cs="Tahoma"/>
          <w:color w:val="0D0D0D" w:themeColor="text1" w:themeTint="F2" w:themeShade="FF"/>
          <w:sz w:val="22"/>
          <w:szCs w:val="22"/>
        </w:rPr>
        <w:t xml:space="preserve">el expediente conformado con motivo del Recurso de Revisión </w:t>
      </w:r>
      <w:r w:rsidRPr="511E282C" w:rsidR="511E282C">
        <w:rPr>
          <w:rFonts w:ascii="Palatino Linotype" w:hAnsi="Palatino Linotype" w:cs="Tahoma"/>
          <w:b w:val="1"/>
          <w:bCs w:val="1"/>
          <w:color w:val="0D0D0D" w:themeColor="text1" w:themeTint="F2" w:themeShade="FF"/>
          <w:sz w:val="22"/>
          <w:szCs w:val="22"/>
        </w:rPr>
        <w:t>17036/INFOEM/IP/RR/2022,</w:t>
      </w:r>
      <w:r w:rsidRPr="511E282C" w:rsidR="511E282C">
        <w:rPr>
          <w:rFonts w:ascii="Palatino Linotype" w:hAnsi="Palatino Linotype" w:cs="Tahoma"/>
          <w:color w:val="0D0D0D" w:themeColor="text1" w:themeTint="F2" w:themeShade="FF"/>
          <w:sz w:val="22"/>
          <w:szCs w:val="22"/>
        </w:rPr>
        <w:t xml:space="preserve"> interpuesto por </w:t>
      </w:r>
      <w:r w:rsidRPr="511E282C" w:rsidR="511E282C">
        <w:rPr>
          <w:rFonts w:ascii="Palatino Linotype" w:hAnsi="Palatino Linotype" w:cs="Tahoma"/>
          <w:color w:val="0D0D0D" w:themeColor="text1" w:themeTint="F2" w:themeShade="FF"/>
          <w:sz w:val="22"/>
          <w:szCs w:val="22"/>
          <w:highlight w:val="black"/>
        </w:rPr>
        <w:t>XXXXXXXXXXXXXXXXXXXXX</w:t>
      </w:r>
      <w:r w:rsidRPr="511E282C" w:rsidR="511E282C">
        <w:rPr>
          <w:rFonts w:ascii="Palatino Linotype" w:hAnsi="Palatino Linotype" w:cs="Tahoma"/>
          <w:b w:val="1"/>
          <w:bCs w:val="1"/>
          <w:color w:val="0D0D0D" w:themeColor="text1" w:themeTint="F2" w:themeShade="FF"/>
          <w:sz w:val="22"/>
          <w:szCs w:val="22"/>
        </w:rPr>
        <w:t xml:space="preserve"> </w:t>
      </w:r>
      <w:r w:rsidRPr="511E282C" w:rsidR="511E282C">
        <w:rPr>
          <w:rFonts w:ascii="Palatino Linotype" w:hAnsi="Palatino Linotype" w:cs="Tahoma"/>
          <w:color w:val="0D0D0D" w:themeColor="text1" w:themeTint="F2" w:themeShade="FF"/>
          <w:sz w:val="22"/>
          <w:szCs w:val="22"/>
        </w:rPr>
        <w:t>en lo sucesivo Recurrente o Particular, en contra de la respuesta del Sujeto Obligado</w:t>
      </w:r>
      <w:r w:rsidRPr="511E282C" w:rsidR="511E282C">
        <w:rPr>
          <w:rFonts w:ascii="Palatino Linotype" w:hAnsi="Palatino Linotype"/>
          <w:sz w:val="22"/>
          <w:szCs w:val="22"/>
        </w:rPr>
        <w:t xml:space="preserve"> </w:t>
      </w:r>
      <w:r w:rsidRPr="511E282C" w:rsidR="511E282C">
        <w:rPr>
          <w:rFonts w:ascii="Palatino Linotype" w:hAnsi="Palatino Linotype" w:eastAsia="Calibri" w:cs="Tahoma"/>
          <w:b w:val="1"/>
          <w:bCs w:val="1"/>
          <w:sz w:val="22"/>
          <w:szCs w:val="22"/>
          <w:lang w:eastAsia="en-US"/>
        </w:rPr>
        <w:t>Fiscalía General</w:t>
      </w:r>
      <w:r w:rsidRPr="511E282C" w:rsidR="511E282C">
        <w:rPr>
          <w:rFonts w:ascii="Palatino Linotype" w:hAnsi="Palatino Linotype" w:eastAsia="Calibri" w:cs="Tahoma"/>
          <w:b w:val="1"/>
          <w:bCs w:val="1"/>
          <w:sz w:val="22"/>
          <w:szCs w:val="22"/>
          <w:lang w:eastAsia="en-US"/>
        </w:rPr>
        <w:t xml:space="preserve"> de Justicia del Estado de México</w:t>
      </w:r>
      <w:r w:rsidRPr="511E282C" w:rsidR="511E282C">
        <w:rPr>
          <w:rFonts w:ascii="Palatino Linotype" w:hAnsi="Palatino Linotype" w:cs="Tahoma"/>
          <w:b w:val="1"/>
          <w:bCs w:val="1"/>
          <w:color w:val="0D0D0D" w:themeColor="text1" w:themeTint="F2" w:themeShade="FF"/>
          <w:sz w:val="22"/>
          <w:szCs w:val="22"/>
        </w:rPr>
        <w:t xml:space="preserve">, </w:t>
      </w:r>
      <w:r w:rsidRPr="511E282C" w:rsidR="511E282C">
        <w:rPr>
          <w:rFonts w:ascii="Palatino Linotype" w:hAnsi="Palatino Linotype" w:cs="Tahoma"/>
          <w:color w:val="0D0D0D" w:themeColor="text1" w:themeTint="F2" w:themeShade="FF"/>
          <w:sz w:val="22"/>
          <w:szCs w:val="22"/>
        </w:rPr>
        <w:t>se emite la presente Resolución, con base en los Antecedentes y C</w:t>
      </w:r>
      <w:r w:rsidRPr="511E282C" w:rsidR="511E282C">
        <w:rPr>
          <w:rFonts w:ascii="Palatino Linotype" w:hAnsi="Palatino Linotype" w:cs="Tahoma"/>
          <w:sz w:val="22"/>
          <w:szCs w:val="22"/>
        </w:rPr>
        <w:t>onsiderandos que a continuación se exponen:</w:t>
      </w:r>
    </w:p>
    <w:p w:rsidRPr="005828EE" w:rsidR="00E35DF9" w:rsidP="00147516" w:rsidRDefault="00E35DF9" w14:paraId="4EA02704" w14:textId="77777777">
      <w:pPr>
        <w:spacing w:line="360" w:lineRule="auto"/>
        <w:contextualSpacing/>
        <w:jc w:val="both"/>
        <w:rPr>
          <w:rFonts w:ascii="Palatino Linotype" w:hAnsi="Palatino Linotype" w:cs="Tahoma"/>
          <w:b/>
          <w:color w:val="0D0D0D" w:themeColor="text1" w:themeTint="F2"/>
          <w:sz w:val="18"/>
          <w:szCs w:val="22"/>
        </w:rPr>
      </w:pPr>
    </w:p>
    <w:p w:rsidRPr="005828EE" w:rsidR="00E35DF9" w:rsidP="00147516" w:rsidRDefault="00E35DF9" w14:paraId="7105A914" w14:textId="77777777">
      <w:pPr>
        <w:tabs>
          <w:tab w:val="center" w:pos="4522"/>
          <w:tab w:val="left" w:pos="7245"/>
        </w:tabs>
        <w:spacing w:line="360" w:lineRule="auto"/>
        <w:contextualSpacing/>
        <w:jc w:val="center"/>
        <w:rPr>
          <w:rFonts w:ascii="Palatino Linotype" w:hAnsi="Palatino Linotype" w:cs="Tahoma"/>
          <w:b/>
          <w:sz w:val="22"/>
          <w:szCs w:val="22"/>
        </w:rPr>
      </w:pPr>
      <w:r w:rsidRPr="005828EE">
        <w:rPr>
          <w:rFonts w:ascii="Palatino Linotype" w:hAnsi="Palatino Linotype" w:cs="Tahoma"/>
          <w:b/>
          <w:sz w:val="22"/>
          <w:szCs w:val="22"/>
        </w:rPr>
        <w:t>A N T E C E D E N T E S</w:t>
      </w:r>
    </w:p>
    <w:p w:rsidRPr="005828EE" w:rsidR="00E35DF9" w:rsidP="00147516" w:rsidRDefault="00E35DF9" w14:paraId="0134624D" w14:textId="77777777">
      <w:pPr>
        <w:tabs>
          <w:tab w:val="center" w:pos="4522"/>
          <w:tab w:val="left" w:pos="7245"/>
        </w:tabs>
        <w:spacing w:line="360" w:lineRule="auto"/>
        <w:contextualSpacing/>
        <w:jc w:val="center"/>
        <w:rPr>
          <w:rFonts w:ascii="Palatino Linotype" w:hAnsi="Palatino Linotype" w:cs="Tahoma"/>
          <w:b/>
          <w:sz w:val="22"/>
          <w:szCs w:val="22"/>
        </w:rPr>
      </w:pPr>
    </w:p>
    <w:p w:rsidRPr="005828EE" w:rsidR="00E35DF9" w:rsidP="00147516" w:rsidRDefault="00E35DF9" w14:paraId="51ABC52A" w14:textId="77777777">
      <w:pPr>
        <w:pStyle w:val="Prrafodelista"/>
        <w:tabs>
          <w:tab w:val="left" w:pos="567"/>
        </w:tabs>
        <w:spacing w:line="360" w:lineRule="auto"/>
        <w:ind w:left="0"/>
        <w:jc w:val="both"/>
        <w:rPr>
          <w:rFonts w:ascii="Palatino Linotype" w:hAnsi="Palatino Linotype" w:cs="Tahoma"/>
          <w:b/>
          <w:szCs w:val="22"/>
        </w:rPr>
      </w:pPr>
      <w:r w:rsidRPr="005828EE">
        <w:rPr>
          <w:rFonts w:ascii="Palatino Linotype" w:hAnsi="Palatino Linotype" w:cs="Tahoma"/>
          <w:b/>
          <w:szCs w:val="22"/>
        </w:rPr>
        <w:t xml:space="preserve">I. Presentación de la solicitud de información. </w:t>
      </w:r>
    </w:p>
    <w:p w:rsidRPr="005828EE" w:rsidR="00E35DF9" w:rsidP="00147516" w:rsidRDefault="00E35DF9" w14:paraId="45B7C801" w14:textId="77777777">
      <w:pPr>
        <w:pStyle w:val="Prrafodelista"/>
        <w:tabs>
          <w:tab w:val="left" w:pos="567"/>
        </w:tabs>
        <w:spacing w:line="360" w:lineRule="auto"/>
        <w:ind w:left="0"/>
        <w:jc w:val="both"/>
        <w:rPr>
          <w:rFonts w:ascii="Palatino Linotype" w:hAnsi="Palatino Linotype" w:cs="Tahoma"/>
          <w:b/>
          <w:sz w:val="18"/>
          <w:szCs w:val="22"/>
        </w:rPr>
      </w:pPr>
    </w:p>
    <w:p w:rsidRPr="005828EE" w:rsidR="00E35DF9" w:rsidP="00147516" w:rsidRDefault="00E35DF9" w14:paraId="3680BB4F" w14:textId="339A225D">
      <w:pPr>
        <w:tabs>
          <w:tab w:val="left" w:pos="567"/>
        </w:tabs>
        <w:spacing w:line="360" w:lineRule="auto"/>
        <w:contextualSpacing/>
        <w:jc w:val="both"/>
        <w:rPr>
          <w:rFonts w:ascii="Palatino Linotype" w:hAnsi="Palatino Linotype" w:cs="Tahoma"/>
          <w:sz w:val="22"/>
          <w:szCs w:val="22"/>
        </w:rPr>
      </w:pPr>
      <w:r w:rsidRPr="005828EE">
        <w:rPr>
          <w:rFonts w:ascii="Palatino Linotype" w:hAnsi="Palatino Linotype" w:cs="Tahoma"/>
          <w:sz w:val="22"/>
          <w:szCs w:val="22"/>
        </w:rPr>
        <w:t xml:space="preserve">Con fecha </w:t>
      </w:r>
      <w:r w:rsidRPr="005828EE" w:rsidR="00815DA9">
        <w:rPr>
          <w:rFonts w:ascii="Palatino Linotype" w:hAnsi="Palatino Linotype" w:cs="Tahoma"/>
          <w:sz w:val="22"/>
          <w:szCs w:val="22"/>
        </w:rPr>
        <w:t>ocho</w:t>
      </w:r>
      <w:r w:rsidRPr="005828EE" w:rsidR="008453FA">
        <w:rPr>
          <w:rFonts w:ascii="Palatino Linotype" w:hAnsi="Palatino Linotype" w:cs="Tahoma"/>
          <w:sz w:val="22"/>
          <w:szCs w:val="22"/>
        </w:rPr>
        <w:t xml:space="preserve"> de noviembre </w:t>
      </w:r>
      <w:r w:rsidRPr="005828EE" w:rsidR="008436E1">
        <w:rPr>
          <w:rFonts w:ascii="Palatino Linotype" w:hAnsi="Palatino Linotype" w:cs="Tahoma"/>
          <w:sz w:val="22"/>
          <w:szCs w:val="22"/>
        </w:rPr>
        <w:t>de dos mil veintidós</w:t>
      </w:r>
      <w:r w:rsidRPr="005828EE">
        <w:rPr>
          <w:rFonts w:ascii="Palatino Linotype" w:hAnsi="Palatino Linotype" w:cs="Tahoma"/>
          <w:sz w:val="22"/>
          <w:szCs w:val="22"/>
        </w:rPr>
        <w:t>, el Particular presentó solicitud de acceso a la i</w:t>
      </w:r>
      <w:r w:rsidRPr="005828EE" w:rsidR="009D6672">
        <w:rPr>
          <w:rFonts w:ascii="Palatino Linotype" w:hAnsi="Palatino Linotype" w:cs="Tahoma"/>
          <w:sz w:val="22"/>
          <w:szCs w:val="22"/>
        </w:rPr>
        <w:t>nformación pública, a través del Sistema de Acceso a la Información Mexiquense (SAIMEX)</w:t>
      </w:r>
      <w:r w:rsidRPr="005828EE">
        <w:rPr>
          <w:rFonts w:ascii="Palatino Linotype" w:hAnsi="Palatino Linotype" w:cs="Tahoma"/>
          <w:sz w:val="22"/>
          <w:szCs w:val="22"/>
        </w:rPr>
        <w:t xml:space="preserve">, ante </w:t>
      </w:r>
      <w:r w:rsidRPr="005828EE" w:rsidR="0084052B">
        <w:rPr>
          <w:rFonts w:ascii="Palatino Linotype" w:hAnsi="Palatino Linotype" w:cs="Tahoma"/>
          <w:sz w:val="22"/>
          <w:szCs w:val="22"/>
        </w:rPr>
        <w:t>l</w:t>
      </w:r>
      <w:r w:rsidRPr="005828EE" w:rsidR="00815DA9">
        <w:rPr>
          <w:rFonts w:ascii="Palatino Linotype" w:hAnsi="Palatino Linotype" w:cs="Tahoma"/>
          <w:sz w:val="22"/>
          <w:szCs w:val="22"/>
        </w:rPr>
        <w:t>a</w:t>
      </w:r>
      <w:r w:rsidRPr="005828EE">
        <w:rPr>
          <w:rFonts w:ascii="Palatino Linotype" w:hAnsi="Palatino Linotype" w:cs="Tahoma"/>
          <w:sz w:val="22"/>
          <w:szCs w:val="22"/>
        </w:rPr>
        <w:t xml:space="preserve"> </w:t>
      </w:r>
      <w:r w:rsidRPr="005828EE" w:rsidR="00815DA9">
        <w:rPr>
          <w:rFonts w:ascii="Palatino Linotype" w:hAnsi="Palatino Linotype" w:cs="Tahoma"/>
          <w:b/>
          <w:bCs/>
          <w:sz w:val="22"/>
          <w:szCs w:val="22"/>
        </w:rPr>
        <w:t>Fiscalía General de Justicia del Estado de México</w:t>
      </w:r>
      <w:r w:rsidRPr="005828EE">
        <w:rPr>
          <w:rFonts w:ascii="Palatino Linotype" w:hAnsi="Palatino Linotype" w:cs="Tahoma"/>
          <w:sz w:val="22"/>
          <w:szCs w:val="22"/>
        </w:rPr>
        <w:t xml:space="preserve">, </w:t>
      </w:r>
      <w:r w:rsidRPr="005828EE" w:rsidR="003A12F1">
        <w:rPr>
          <w:rFonts w:ascii="Palatino Linotype" w:hAnsi="Palatino Linotype" w:cs="Tahoma"/>
          <w:sz w:val="22"/>
          <w:szCs w:val="22"/>
        </w:rPr>
        <w:t xml:space="preserve">misma que fue registrada con el número de folio </w:t>
      </w:r>
      <w:bookmarkStart w:name="_Hlk128491974" w:id="1"/>
      <w:r w:rsidRPr="005828EE" w:rsidR="00815DA9">
        <w:rPr>
          <w:rFonts w:ascii="Palatino Linotype" w:hAnsi="Palatino Linotype" w:cs="Tahoma"/>
          <w:b/>
          <w:bCs/>
          <w:sz w:val="22"/>
          <w:szCs w:val="22"/>
        </w:rPr>
        <w:t>00890/FGJ/IP/2022</w:t>
      </w:r>
      <w:bookmarkEnd w:id="1"/>
      <w:r w:rsidRPr="005828EE" w:rsidR="003A12F1">
        <w:rPr>
          <w:rFonts w:ascii="Palatino Linotype" w:hAnsi="Palatino Linotype" w:cs="Tahoma"/>
          <w:b/>
          <w:bCs/>
          <w:sz w:val="22"/>
          <w:szCs w:val="22"/>
        </w:rPr>
        <w:t xml:space="preserve">, </w:t>
      </w:r>
      <w:r w:rsidRPr="005828EE">
        <w:rPr>
          <w:rFonts w:ascii="Palatino Linotype" w:hAnsi="Palatino Linotype" w:cs="Tahoma"/>
          <w:sz w:val="22"/>
          <w:szCs w:val="22"/>
        </w:rPr>
        <w:t xml:space="preserve">mediante </w:t>
      </w:r>
      <w:r w:rsidRPr="005828EE" w:rsidR="0074594A">
        <w:rPr>
          <w:rFonts w:ascii="Palatino Linotype" w:hAnsi="Palatino Linotype" w:cs="Tahoma"/>
          <w:sz w:val="22"/>
          <w:szCs w:val="22"/>
        </w:rPr>
        <w:t>l</w:t>
      </w:r>
      <w:r w:rsidRPr="005828EE" w:rsidR="00B50512">
        <w:rPr>
          <w:rFonts w:ascii="Palatino Linotype" w:hAnsi="Palatino Linotype" w:cs="Tahoma"/>
          <w:sz w:val="22"/>
          <w:szCs w:val="22"/>
        </w:rPr>
        <w:t>a</w:t>
      </w:r>
      <w:r w:rsidRPr="005828EE">
        <w:rPr>
          <w:rFonts w:ascii="Palatino Linotype" w:hAnsi="Palatino Linotype" w:cs="Tahoma"/>
          <w:sz w:val="22"/>
          <w:szCs w:val="22"/>
        </w:rPr>
        <w:t xml:space="preserve"> cual requirió lo siguiente: </w:t>
      </w:r>
    </w:p>
    <w:p w:rsidRPr="005828EE" w:rsidR="00D807FB" w:rsidP="00147516" w:rsidRDefault="00D807FB" w14:paraId="039EA397" w14:textId="77777777">
      <w:pPr>
        <w:tabs>
          <w:tab w:val="left" w:pos="567"/>
        </w:tabs>
        <w:spacing w:line="360" w:lineRule="auto"/>
        <w:contextualSpacing/>
        <w:jc w:val="both"/>
        <w:rPr>
          <w:rFonts w:ascii="Palatino Linotype" w:hAnsi="Palatino Linotype" w:cs="Tahoma"/>
          <w:sz w:val="22"/>
        </w:rPr>
      </w:pPr>
    </w:p>
    <w:p w:rsidRPr="005828EE" w:rsidR="00D807FB" w:rsidP="00147516" w:rsidRDefault="00D807FB" w14:paraId="77F67BD1" w14:textId="77777777">
      <w:pPr>
        <w:tabs>
          <w:tab w:val="left" w:pos="567"/>
        </w:tabs>
        <w:spacing w:line="360" w:lineRule="auto"/>
        <w:ind w:left="567" w:right="539"/>
        <w:contextualSpacing/>
        <w:jc w:val="both"/>
        <w:rPr>
          <w:rFonts w:ascii="Palatino Linotype" w:hAnsi="Palatino Linotype" w:cs="Tahoma"/>
          <w:b/>
          <w:bCs/>
          <w:sz w:val="22"/>
          <w:szCs w:val="22"/>
        </w:rPr>
      </w:pPr>
      <w:r w:rsidRPr="005828EE">
        <w:rPr>
          <w:rFonts w:ascii="Palatino Linotype" w:hAnsi="Palatino Linotype" w:cs="Tahoma"/>
          <w:b/>
          <w:bCs/>
        </w:rPr>
        <w:t>DESCRIPCIÓN CLARA Y PRECISA DE LA INFORMACIÓN SOLICITADA</w:t>
      </w:r>
      <w:r w:rsidRPr="005828EE">
        <w:rPr>
          <w:rFonts w:ascii="Palatino Linotype" w:hAnsi="Palatino Linotype" w:cs="Tahoma"/>
          <w:b/>
          <w:bCs/>
          <w:sz w:val="22"/>
          <w:szCs w:val="22"/>
        </w:rPr>
        <w:t>:</w:t>
      </w:r>
    </w:p>
    <w:p w:rsidRPr="005828EE" w:rsidR="000F2B83" w:rsidP="00815DA9" w:rsidRDefault="009D6672" w14:paraId="45F90852" w14:textId="318FDA54">
      <w:pPr>
        <w:pStyle w:val="Prrafodelista"/>
        <w:tabs>
          <w:tab w:val="left" w:pos="567"/>
        </w:tabs>
        <w:spacing w:line="360" w:lineRule="auto"/>
        <w:ind w:left="567" w:right="539"/>
        <w:jc w:val="both"/>
        <w:rPr>
          <w:rFonts w:ascii="Palatino Linotype" w:hAnsi="Palatino Linotype"/>
          <w:i/>
          <w:iCs/>
          <w:color w:val="000000"/>
          <w:sz w:val="20"/>
          <w:szCs w:val="20"/>
        </w:rPr>
      </w:pPr>
      <w:r w:rsidRPr="005828EE">
        <w:rPr>
          <w:rFonts w:ascii="Palatino Linotype" w:hAnsi="Palatino Linotype"/>
          <w:i/>
          <w:iCs/>
          <w:color w:val="000000"/>
          <w:sz w:val="20"/>
          <w:szCs w:val="20"/>
        </w:rPr>
        <w:t>“</w:t>
      </w:r>
      <w:r w:rsidRPr="005828EE" w:rsidR="00815DA9">
        <w:rPr>
          <w:rFonts w:ascii="Palatino Linotype" w:hAnsi="Palatino Linotype"/>
          <w:i/>
          <w:iCs/>
          <w:color w:val="000000"/>
          <w:sz w:val="20"/>
          <w:szCs w:val="20"/>
        </w:rPr>
        <w:t xml:space="preserve">QUE SE ME PROPORCIONE EL MANUAL, CIRCULAR O OFICIO SOBRE LOS PROTOCOLOS DE ACTUACIÓN DE ASEGURAMIENTO DE LOS BIENES INMUEBLES ASEGURADOS POR LA FISCALIA GENERAL DE JUSTICIA DEL ESTADO DE MÉXICO. 2. QUE CENTRO DE ATENCIÓN CIUDADANA; TURNO, MESA DE TRAMITE O AGENTE DEL MINISTERIO PUBLICO COLOCO O USO LOS SELLOS DE "INMUEBLE ASEGURADO" CON FOLIO 0098-22-G; TODA VEZ QUE SE TIENE EN UN INMUEBLE LOCALIZADO EN SUR 7, MANZANA 233, LOTE 8, COLONIA NIÑOS HÉROES 2DA </w:t>
      </w:r>
      <w:r w:rsidRPr="005828EE" w:rsidR="00815DA9">
        <w:rPr>
          <w:rFonts w:ascii="Palatino Linotype" w:hAnsi="Palatino Linotype"/>
          <w:i/>
          <w:iCs/>
          <w:color w:val="000000"/>
          <w:sz w:val="20"/>
          <w:szCs w:val="20"/>
        </w:rPr>
        <w:lastRenderedPageBreak/>
        <w:t>SECCIÓN, VALLE DE CHALCO, SOLIDARIDAD, ESTADO DE MÉXICO; ESTE FOLIO, SIN QUE SE COLOCARA FISCALIA O CARPETA (anexo foto en doc)</w:t>
      </w:r>
      <w:r w:rsidRPr="005828EE" w:rsidR="008453FA">
        <w:rPr>
          <w:rFonts w:ascii="Palatino Linotype" w:hAnsi="Palatino Linotype"/>
          <w:i/>
          <w:iCs/>
          <w:color w:val="000000"/>
          <w:sz w:val="20"/>
          <w:szCs w:val="20"/>
        </w:rPr>
        <w:t xml:space="preserve"> </w:t>
      </w:r>
      <w:r w:rsidRPr="005828EE" w:rsidR="00B50512">
        <w:rPr>
          <w:rFonts w:ascii="Palatino Linotype" w:hAnsi="Palatino Linotype"/>
          <w:i/>
          <w:iCs/>
          <w:color w:val="000000"/>
          <w:sz w:val="20"/>
          <w:szCs w:val="20"/>
        </w:rPr>
        <w:t>"</w:t>
      </w:r>
      <w:r w:rsidRPr="005828EE" w:rsidR="00A650C6">
        <w:rPr>
          <w:rFonts w:ascii="Palatino Linotype" w:hAnsi="Palatino Linotype"/>
          <w:i/>
          <w:iCs/>
          <w:color w:val="000000"/>
          <w:sz w:val="20"/>
          <w:szCs w:val="20"/>
        </w:rPr>
        <w:t xml:space="preserve"> </w:t>
      </w:r>
      <w:r w:rsidRPr="005828EE" w:rsidR="00D74B06">
        <w:rPr>
          <w:rFonts w:ascii="Palatino Linotype" w:hAnsi="Palatino Linotype"/>
          <w:i/>
          <w:iCs/>
          <w:color w:val="000000"/>
          <w:sz w:val="20"/>
          <w:szCs w:val="20"/>
        </w:rPr>
        <w:t>(Sic)</w:t>
      </w:r>
    </w:p>
    <w:p w:rsidRPr="005828EE" w:rsidR="007E4927" w:rsidP="00147516" w:rsidRDefault="007E4927" w14:paraId="7DC11451" w14:textId="77777777">
      <w:pPr>
        <w:pStyle w:val="Prrafodelista"/>
        <w:tabs>
          <w:tab w:val="left" w:pos="567"/>
        </w:tabs>
        <w:spacing w:line="360" w:lineRule="auto"/>
        <w:ind w:left="567" w:right="539"/>
        <w:jc w:val="both"/>
        <w:rPr>
          <w:rFonts w:ascii="Palatino Linotype" w:hAnsi="Palatino Linotype"/>
          <w:i/>
          <w:iCs/>
          <w:color w:val="000000"/>
          <w:sz w:val="20"/>
          <w:szCs w:val="20"/>
        </w:rPr>
      </w:pPr>
    </w:p>
    <w:p w:rsidRPr="005828EE" w:rsidR="00E35DF9" w:rsidP="00147516" w:rsidRDefault="00E35DF9" w14:paraId="73356228" w14:textId="77777777">
      <w:pPr>
        <w:pStyle w:val="Prrafodelista"/>
        <w:tabs>
          <w:tab w:val="left" w:pos="567"/>
        </w:tabs>
        <w:spacing w:line="360" w:lineRule="auto"/>
        <w:ind w:left="567" w:right="539"/>
        <w:jc w:val="both"/>
        <w:rPr>
          <w:rFonts w:ascii="Palatino Linotype" w:hAnsi="Palatino Linotype" w:cs="Tahoma"/>
          <w:b/>
          <w:sz w:val="20"/>
          <w:szCs w:val="22"/>
        </w:rPr>
      </w:pPr>
      <w:r w:rsidRPr="005828EE">
        <w:rPr>
          <w:rFonts w:ascii="Palatino Linotype" w:hAnsi="Palatino Linotype" w:cs="Tahoma"/>
          <w:b/>
          <w:sz w:val="20"/>
          <w:szCs w:val="22"/>
        </w:rPr>
        <w:t>MODALIDAD DE ENTREGA</w:t>
      </w:r>
    </w:p>
    <w:p w:rsidRPr="005828EE" w:rsidR="00E35DF9" w:rsidP="00147516" w:rsidRDefault="007E4927" w14:paraId="620386C0" w14:textId="77777777">
      <w:pPr>
        <w:pStyle w:val="Prrafodelista"/>
        <w:tabs>
          <w:tab w:val="left" w:pos="567"/>
        </w:tabs>
        <w:spacing w:line="360" w:lineRule="auto"/>
        <w:ind w:left="567" w:right="539"/>
        <w:jc w:val="both"/>
        <w:rPr>
          <w:rFonts w:ascii="Palatino Linotype" w:hAnsi="Palatino Linotype" w:cs="Tahoma"/>
          <w:i/>
          <w:sz w:val="20"/>
          <w:szCs w:val="22"/>
        </w:rPr>
      </w:pPr>
      <w:r w:rsidRPr="005828EE">
        <w:rPr>
          <w:rFonts w:ascii="Palatino Linotype" w:hAnsi="Palatino Linotype" w:cs="Tahoma"/>
          <w:i/>
          <w:sz w:val="20"/>
          <w:szCs w:val="22"/>
        </w:rPr>
        <w:t>“</w:t>
      </w:r>
      <w:r w:rsidRPr="005828EE" w:rsidR="009D6672">
        <w:rPr>
          <w:rFonts w:ascii="Palatino Linotype" w:hAnsi="Palatino Linotype" w:cs="Tahoma"/>
          <w:i/>
          <w:sz w:val="20"/>
          <w:szCs w:val="22"/>
        </w:rPr>
        <w:t>A través del SAIMEX</w:t>
      </w:r>
      <w:r w:rsidRPr="005828EE">
        <w:rPr>
          <w:rFonts w:ascii="Palatino Linotype" w:hAnsi="Palatino Linotype" w:cs="Tahoma"/>
          <w:i/>
          <w:sz w:val="20"/>
          <w:szCs w:val="22"/>
        </w:rPr>
        <w:t>”</w:t>
      </w:r>
    </w:p>
    <w:p w:rsidRPr="005828EE" w:rsidR="00E05A28" w:rsidP="00147516" w:rsidRDefault="00E05A28" w14:paraId="3C555515" w14:textId="12154A04">
      <w:pPr>
        <w:pStyle w:val="Prrafodelista"/>
        <w:tabs>
          <w:tab w:val="left" w:pos="567"/>
        </w:tabs>
        <w:spacing w:line="360" w:lineRule="auto"/>
        <w:ind w:left="0"/>
        <w:jc w:val="both"/>
        <w:rPr>
          <w:rFonts w:ascii="Palatino Linotype" w:hAnsi="Palatino Linotype" w:cs="Tahoma"/>
          <w:szCs w:val="20"/>
        </w:rPr>
      </w:pPr>
    </w:p>
    <w:p w:rsidRPr="005828EE" w:rsidR="00750C77" w:rsidP="00147516" w:rsidRDefault="00750C77" w14:paraId="55C540D6" w14:textId="046A16AA">
      <w:pPr>
        <w:pStyle w:val="Prrafodelista"/>
        <w:tabs>
          <w:tab w:val="left" w:pos="567"/>
        </w:tabs>
        <w:spacing w:line="360" w:lineRule="auto"/>
        <w:ind w:left="0"/>
        <w:jc w:val="both"/>
        <w:rPr>
          <w:rFonts w:ascii="Palatino Linotype" w:hAnsi="Palatino Linotype" w:cs="Tahoma"/>
          <w:szCs w:val="20"/>
        </w:rPr>
      </w:pPr>
      <w:r w:rsidRPr="005828EE">
        <w:rPr>
          <w:rFonts w:ascii="Palatino Linotype" w:hAnsi="Palatino Linotype" w:cs="Tahoma"/>
          <w:szCs w:val="20"/>
        </w:rPr>
        <w:t>El Particular adjuntó la fotografía mencionada en su solicitud de un sello con el nombre de la Fiscalía General de Justicia del Estado de México.</w:t>
      </w:r>
    </w:p>
    <w:p w:rsidRPr="005828EE" w:rsidR="00750C77" w:rsidP="00147516" w:rsidRDefault="00750C77" w14:paraId="74F41CEB" w14:textId="77777777">
      <w:pPr>
        <w:pStyle w:val="Prrafodelista"/>
        <w:tabs>
          <w:tab w:val="left" w:pos="567"/>
        </w:tabs>
        <w:spacing w:line="360" w:lineRule="auto"/>
        <w:ind w:left="0"/>
        <w:jc w:val="both"/>
        <w:rPr>
          <w:rFonts w:ascii="Palatino Linotype" w:hAnsi="Palatino Linotype" w:cs="Tahoma"/>
          <w:szCs w:val="20"/>
        </w:rPr>
      </w:pPr>
    </w:p>
    <w:p w:rsidRPr="005828EE" w:rsidR="00681D84" w:rsidP="00147516" w:rsidRDefault="00A01EB6" w14:paraId="30ADDE99" w14:textId="77777777">
      <w:pPr>
        <w:pStyle w:val="Prrafodelista"/>
        <w:tabs>
          <w:tab w:val="left" w:pos="567"/>
        </w:tabs>
        <w:spacing w:line="360" w:lineRule="auto"/>
        <w:ind w:left="0"/>
        <w:jc w:val="both"/>
        <w:rPr>
          <w:rFonts w:ascii="Palatino Linotype" w:hAnsi="Palatino Linotype" w:cs="Tahoma"/>
          <w:b/>
          <w:szCs w:val="22"/>
        </w:rPr>
      </w:pPr>
      <w:r w:rsidRPr="005828EE">
        <w:rPr>
          <w:rFonts w:ascii="Palatino Linotype" w:hAnsi="Palatino Linotype" w:cs="Tahoma"/>
          <w:b/>
          <w:szCs w:val="20"/>
        </w:rPr>
        <w:t>II</w:t>
      </w:r>
      <w:r w:rsidRPr="005828EE" w:rsidR="00681D84">
        <w:rPr>
          <w:rFonts w:ascii="Palatino Linotype" w:hAnsi="Palatino Linotype" w:cs="Tahoma"/>
          <w:b/>
          <w:szCs w:val="22"/>
        </w:rPr>
        <w:t>.</w:t>
      </w:r>
      <w:r w:rsidRPr="005828EE" w:rsidR="002A74AD">
        <w:rPr>
          <w:rFonts w:ascii="Palatino Linotype" w:hAnsi="Palatino Linotype" w:cs="Tahoma"/>
          <w:b/>
          <w:szCs w:val="22"/>
        </w:rPr>
        <w:t xml:space="preserve"> </w:t>
      </w:r>
      <w:r w:rsidRPr="005828EE" w:rsidR="00681D84">
        <w:rPr>
          <w:rFonts w:ascii="Palatino Linotype" w:hAnsi="Palatino Linotype" w:cs="Tahoma"/>
          <w:b/>
          <w:szCs w:val="22"/>
        </w:rPr>
        <w:t>Respuesta del Sujeto Obligado.</w:t>
      </w:r>
    </w:p>
    <w:p w:rsidRPr="005828EE" w:rsidR="00E0128F" w:rsidP="00147516" w:rsidRDefault="00E0128F" w14:paraId="19415080" w14:textId="77777777">
      <w:pPr>
        <w:pStyle w:val="Prrafodelista"/>
        <w:tabs>
          <w:tab w:val="left" w:pos="567"/>
        </w:tabs>
        <w:spacing w:line="360" w:lineRule="auto"/>
        <w:ind w:left="0"/>
        <w:jc w:val="both"/>
        <w:rPr>
          <w:rFonts w:ascii="Palatino Linotype" w:hAnsi="Palatino Linotype" w:cs="Tahoma"/>
          <w:b/>
          <w:sz w:val="20"/>
          <w:szCs w:val="22"/>
        </w:rPr>
      </w:pPr>
    </w:p>
    <w:p w:rsidRPr="005828EE" w:rsidR="0084052B" w:rsidP="00147516" w:rsidRDefault="00681D84" w14:paraId="79BA0BD3" w14:textId="76C6D0E4">
      <w:pPr>
        <w:autoSpaceDE w:val="0"/>
        <w:autoSpaceDN w:val="0"/>
        <w:adjustRightInd w:val="0"/>
        <w:spacing w:line="360" w:lineRule="auto"/>
        <w:contextualSpacing/>
        <w:jc w:val="both"/>
        <w:rPr>
          <w:rFonts w:ascii="Palatino Linotype" w:hAnsi="Palatino Linotype" w:cs="Tahoma"/>
          <w:sz w:val="22"/>
          <w:szCs w:val="22"/>
        </w:rPr>
      </w:pPr>
      <w:r w:rsidRPr="005828EE">
        <w:rPr>
          <w:rFonts w:ascii="Palatino Linotype" w:hAnsi="Palatino Linotype" w:cs="Tahoma"/>
          <w:sz w:val="22"/>
          <w:szCs w:val="22"/>
        </w:rPr>
        <w:t xml:space="preserve">Con fecha </w:t>
      </w:r>
      <w:r w:rsidRPr="005828EE" w:rsidR="008453FA">
        <w:rPr>
          <w:rFonts w:ascii="Palatino Linotype" w:hAnsi="Palatino Linotype" w:cs="Tahoma"/>
          <w:sz w:val="22"/>
          <w:szCs w:val="22"/>
        </w:rPr>
        <w:t xml:space="preserve">veintinueve de noviembre </w:t>
      </w:r>
      <w:r w:rsidRPr="005828EE" w:rsidR="00B71F2C">
        <w:rPr>
          <w:rFonts w:ascii="Palatino Linotype" w:hAnsi="Palatino Linotype" w:cs="Tahoma"/>
          <w:sz w:val="22"/>
          <w:szCs w:val="22"/>
        </w:rPr>
        <w:t>de dos mil veintidós</w:t>
      </w:r>
      <w:r w:rsidRPr="005828EE">
        <w:rPr>
          <w:rFonts w:ascii="Palatino Linotype" w:hAnsi="Palatino Linotype" w:cs="Tahoma"/>
          <w:sz w:val="22"/>
          <w:szCs w:val="22"/>
        </w:rPr>
        <w:t xml:space="preserve">, </w:t>
      </w:r>
      <w:r w:rsidRPr="005828EE" w:rsidR="00D74B06">
        <w:rPr>
          <w:rFonts w:ascii="Palatino Linotype" w:hAnsi="Palatino Linotype" w:cs="Tahoma"/>
          <w:sz w:val="22"/>
          <w:szCs w:val="22"/>
        </w:rPr>
        <w:t xml:space="preserve">el Sujeto Obligado </w:t>
      </w:r>
      <w:r w:rsidRPr="005828EE" w:rsidR="008453FA">
        <w:rPr>
          <w:rFonts w:ascii="Palatino Linotype" w:hAnsi="Palatino Linotype" w:cs="Tahoma"/>
          <w:sz w:val="22"/>
          <w:szCs w:val="22"/>
        </w:rPr>
        <w:t>otorgó respuesta a través del Sistema de Acceso a la Información Mexiquense (SAIMEX) en</w:t>
      </w:r>
      <w:r w:rsidRPr="005828EE" w:rsidR="00815DA9">
        <w:rPr>
          <w:rFonts w:ascii="Palatino Linotype" w:hAnsi="Palatino Linotype" w:cs="Tahoma"/>
          <w:sz w:val="22"/>
          <w:szCs w:val="22"/>
        </w:rPr>
        <w:t xml:space="preserve"> la que adjuntó el archivo denominado </w:t>
      </w:r>
      <w:r w:rsidRPr="005828EE" w:rsidR="00815DA9">
        <w:rPr>
          <w:rFonts w:ascii="Palatino Linotype" w:hAnsi="Palatino Linotype" w:cs="Tahoma"/>
          <w:i/>
          <w:iCs/>
          <w:sz w:val="22"/>
          <w:szCs w:val="22"/>
        </w:rPr>
        <w:t>RESPUESTA 890.pdf</w:t>
      </w:r>
      <w:r w:rsidRPr="005828EE" w:rsidR="00815DA9">
        <w:rPr>
          <w:rFonts w:ascii="Palatino Linotype" w:hAnsi="Palatino Linotype" w:cs="Tahoma"/>
          <w:sz w:val="22"/>
          <w:szCs w:val="22"/>
        </w:rPr>
        <w:t xml:space="preserve"> en el que manifestó lo siguiente:</w:t>
      </w:r>
    </w:p>
    <w:p w:rsidRPr="005828EE" w:rsidR="0084052B" w:rsidP="00147516" w:rsidRDefault="0084052B" w14:paraId="716488DF" w14:textId="77777777">
      <w:pPr>
        <w:autoSpaceDE w:val="0"/>
        <w:autoSpaceDN w:val="0"/>
        <w:adjustRightInd w:val="0"/>
        <w:spacing w:line="360" w:lineRule="auto"/>
        <w:contextualSpacing/>
        <w:jc w:val="both"/>
        <w:rPr>
          <w:rFonts w:ascii="Palatino Linotype" w:hAnsi="Palatino Linotype" w:cs="Tahoma"/>
          <w:sz w:val="22"/>
          <w:szCs w:val="22"/>
        </w:rPr>
      </w:pPr>
    </w:p>
    <w:p w:rsidRPr="005828EE" w:rsidR="00916E90" w:rsidP="00D74B06" w:rsidRDefault="00D74B06" w14:paraId="38E3D084"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5828EE">
        <w:rPr>
          <w:rFonts w:ascii="Palatino Linotype" w:hAnsi="Palatino Linotype" w:cs="Tahoma"/>
          <w:i/>
          <w:szCs w:val="22"/>
        </w:rPr>
        <w:t>“…</w:t>
      </w:r>
      <w:r w:rsidRPr="005828EE" w:rsidR="003B5D10">
        <w:rPr>
          <w:rFonts w:ascii="Palatino Linotype" w:hAnsi="Palatino Linotype" w:cs="Tahoma"/>
          <w:i/>
          <w:szCs w:val="22"/>
        </w:rPr>
        <w:t xml:space="preserve"> </w:t>
      </w:r>
    </w:p>
    <w:p w:rsidRPr="005828EE" w:rsidR="00815DA9" w:rsidP="00D74B06" w:rsidRDefault="00815DA9" w14:paraId="35D72CAC" w14:textId="637179F9">
      <w:pPr>
        <w:autoSpaceDE w:val="0"/>
        <w:autoSpaceDN w:val="0"/>
        <w:adjustRightInd w:val="0"/>
        <w:spacing w:line="360" w:lineRule="auto"/>
        <w:ind w:left="567" w:right="539"/>
        <w:contextualSpacing/>
        <w:jc w:val="both"/>
        <w:rPr>
          <w:rFonts w:ascii="Palatino Linotype" w:hAnsi="Palatino Linotype" w:cs="Tahoma"/>
          <w:i/>
          <w:szCs w:val="22"/>
        </w:rPr>
      </w:pPr>
      <w:r w:rsidRPr="005828EE">
        <w:rPr>
          <w:rFonts w:ascii="Palatino Linotype" w:hAnsi="Palatino Linotype" w:cs="Tahoma"/>
          <w:i/>
          <w:szCs w:val="22"/>
        </w:rPr>
        <w:t>Al respecto, esta Fiscalía General, hace de su conocimiento que la Fiscalía especializada en la Investigación del Delito de Robo de Vehículo Zona Oriente y de la Dirección de la Unidad de Custodia y guarda de Bienes Asegurados Puestos a Disposición del Ministerio Público, informaron lo siguiente:</w:t>
      </w:r>
    </w:p>
    <w:p w:rsidRPr="005828EE" w:rsidR="00815DA9" w:rsidP="00D74B06" w:rsidRDefault="00815DA9" w14:paraId="6C324386" w14:textId="5F554C1C">
      <w:pPr>
        <w:autoSpaceDE w:val="0"/>
        <w:autoSpaceDN w:val="0"/>
        <w:adjustRightInd w:val="0"/>
        <w:spacing w:line="360" w:lineRule="auto"/>
        <w:ind w:left="567" w:right="539"/>
        <w:contextualSpacing/>
        <w:jc w:val="both"/>
        <w:rPr>
          <w:rFonts w:ascii="Palatino Linotype" w:hAnsi="Palatino Linotype" w:cs="Tahoma"/>
          <w:i/>
          <w:szCs w:val="22"/>
        </w:rPr>
      </w:pPr>
    </w:p>
    <w:p w:rsidRPr="005828EE" w:rsidR="00815DA9" w:rsidP="00D74B06" w:rsidRDefault="00815DA9" w14:paraId="63E9BDA2"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5828EE">
        <w:rPr>
          <w:rFonts w:ascii="Palatino Linotype" w:hAnsi="Palatino Linotype" w:cs="Tahoma"/>
          <w:i/>
          <w:szCs w:val="22"/>
        </w:rPr>
        <w:t>En relación al manual, circular u oficio sobre los protocolos de actuación de aseguramiento de los bienes inmuebles asegurados por la Fiscalía General de Justicia del Estado de México, se informa que a través del Acuerdo 17/2013 del entonces Procurador de Justicia del Estado de México en fecha 07 de agosto del año 2013, se autorizó y emitió el Protocolo de Actuación para la Práctica de Gestiones Administrativas Inherentes al Aseguramiento de Bienes.</w:t>
      </w:r>
    </w:p>
    <w:p w:rsidRPr="005828EE" w:rsidR="00815DA9" w:rsidP="00D74B06" w:rsidRDefault="00815DA9" w14:paraId="02668679" w14:textId="77777777">
      <w:pPr>
        <w:autoSpaceDE w:val="0"/>
        <w:autoSpaceDN w:val="0"/>
        <w:adjustRightInd w:val="0"/>
        <w:spacing w:line="360" w:lineRule="auto"/>
        <w:ind w:left="567" w:right="539"/>
        <w:contextualSpacing/>
        <w:jc w:val="both"/>
        <w:rPr>
          <w:rFonts w:ascii="Palatino Linotype" w:hAnsi="Palatino Linotype" w:cs="Tahoma"/>
          <w:i/>
          <w:szCs w:val="22"/>
        </w:rPr>
      </w:pPr>
    </w:p>
    <w:p w:rsidRPr="005828EE" w:rsidR="00815DA9" w:rsidP="00D74B06" w:rsidRDefault="00815DA9" w14:paraId="6655C5AE" w14:textId="4532B557">
      <w:pPr>
        <w:autoSpaceDE w:val="0"/>
        <w:autoSpaceDN w:val="0"/>
        <w:adjustRightInd w:val="0"/>
        <w:spacing w:line="360" w:lineRule="auto"/>
        <w:ind w:left="567" w:right="539"/>
        <w:contextualSpacing/>
        <w:jc w:val="both"/>
        <w:rPr>
          <w:rFonts w:ascii="Palatino Linotype" w:hAnsi="Palatino Linotype" w:cs="Tahoma"/>
          <w:i/>
          <w:szCs w:val="22"/>
        </w:rPr>
      </w:pPr>
      <w:r w:rsidRPr="005828EE">
        <w:rPr>
          <w:rFonts w:ascii="Palatino Linotype" w:hAnsi="Palatino Linotype" w:cs="Tahoma"/>
          <w:i/>
          <w:szCs w:val="22"/>
        </w:rPr>
        <w:t xml:space="preserve">Respecto al sello “INMUEBLE ASEGURADO” con folio número 0098-22-G; colocado en el inmueble localizado en Sur 7, manzana 233, lote 8, Colonia Niños Héroes 2da Sección, Valle de </w:t>
      </w:r>
      <w:r w:rsidRPr="005828EE">
        <w:rPr>
          <w:rFonts w:ascii="Palatino Linotype" w:hAnsi="Palatino Linotype" w:cs="Tahoma"/>
          <w:i/>
          <w:szCs w:val="22"/>
        </w:rPr>
        <w:lastRenderedPageBreak/>
        <w:t>Chalco Solidaridad, Estado de México informo a usted que el 27 de agosto de 2022, Agente del Ministerio Público de la Agencia el Ministerio Público Especializada en la Investigación de Delito de Robo de Vehículo con sede en Amecameca, Estad</w:t>
      </w:r>
      <w:r w:rsidRPr="005828EE" w:rsidR="00D44AC7">
        <w:rPr>
          <w:rFonts w:ascii="Palatino Linotype" w:hAnsi="Palatino Linotype" w:cs="Tahoma"/>
          <w:i/>
          <w:szCs w:val="22"/>
        </w:rPr>
        <w:t>o</w:t>
      </w:r>
      <w:r w:rsidRPr="005828EE">
        <w:rPr>
          <w:rFonts w:ascii="Palatino Linotype" w:hAnsi="Palatino Linotype" w:cs="Tahoma"/>
          <w:i/>
          <w:szCs w:val="22"/>
        </w:rPr>
        <w:t xml:space="preserve"> de México practicó la diligencia de aseguramiento a que se hace referencia. </w:t>
      </w:r>
    </w:p>
    <w:p w:rsidRPr="005828EE" w:rsidR="00D74B06" w:rsidP="00D74B06" w:rsidRDefault="0084052B" w14:paraId="5AC9F9DD" w14:textId="4448BF14">
      <w:pPr>
        <w:autoSpaceDE w:val="0"/>
        <w:autoSpaceDN w:val="0"/>
        <w:adjustRightInd w:val="0"/>
        <w:spacing w:line="360" w:lineRule="auto"/>
        <w:ind w:left="567" w:right="539"/>
        <w:contextualSpacing/>
        <w:jc w:val="both"/>
        <w:rPr>
          <w:rFonts w:ascii="Palatino Linotype" w:hAnsi="Palatino Linotype" w:cs="Tahoma"/>
          <w:i/>
          <w:szCs w:val="22"/>
        </w:rPr>
      </w:pPr>
      <w:r w:rsidRPr="005828EE">
        <w:rPr>
          <w:rFonts w:ascii="Palatino Linotype" w:hAnsi="Palatino Linotype" w:cs="Tahoma"/>
          <w:i/>
          <w:szCs w:val="22"/>
        </w:rPr>
        <w:t>…</w:t>
      </w:r>
      <w:r w:rsidRPr="005828EE" w:rsidR="00D74B06">
        <w:rPr>
          <w:rFonts w:ascii="Palatino Linotype" w:hAnsi="Palatino Linotype" w:cs="Tahoma"/>
          <w:i/>
          <w:szCs w:val="22"/>
        </w:rPr>
        <w:t>”</w:t>
      </w:r>
      <w:r w:rsidRPr="005828EE" w:rsidR="00916E90">
        <w:rPr>
          <w:rFonts w:ascii="Palatino Linotype" w:hAnsi="Palatino Linotype" w:cs="Tahoma"/>
          <w:i/>
          <w:szCs w:val="22"/>
        </w:rPr>
        <w:t xml:space="preserve"> </w:t>
      </w:r>
    </w:p>
    <w:bookmarkEnd w:id="0"/>
    <w:p w:rsidRPr="005828EE" w:rsidR="00815DA9" w:rsidP="00147516" w:rsidRDefault="00815DA9" w14:paraId="05924DF3" w14:textId="77777777">
      <w:pPr>
        <w:autoSpaceDE w:val="0"/>
        <w:autoSpaceDN w:val="0"/>
        <w:adjustRightInd w:val="0"/>
        <w:spacing w:line="360" w:lineRule="auto"/>
        <w:contextualSpacing/>
        <w:jc w:val="both"/>
        <w:rPr>
          <w:rFonts w:ascii="Palatino Linotype" w:hAnsi="Palatino Linotype" w:cs="Tahoma"/>
          <w:b/>
          <w:sz w:val="22"/>
          <w:szCs w:val="22"/>
        </w:rPr>
      </w:pPr>
    </w:p>
    <w:p w:rsidRPr="005828EE" w:rsidR="001A412B" w:rsidP="00147516" w:rsidRDefault="007812D1" w14:paraId="360451A9" w14:textId="6B9D1DEF">
      <w:pPr>
        <w:autoSpaceDE w:val="0"/>
        <w:autoSpaceDN w:val="0"/>
        <w:adjustRightInd w:val="0"/>
        <w:spacing w:line="360" w:lineRule="auto"/>
        <w:contextualSpacing/>
        <w:jc w:val="both"/>
        <w:rPr>
          <w:rFonts w:ascii="Palatino Linotype" w:hAnsi="Palatino Linotype" w:cs="Tahoma"/>
          <w:b/>
          <w:sz w:val="22"/>
          <w:szCs w:val="22"/>
        </w:rPr>
      </w:pPr>
      <w:r w:rsidRPr="005828EE">
        <w:rPr>
          <w:rFonts w:ascii="Palatino Linotype" w:hAnsi="Palatino Linotype" w:cs="Tahoma"/>
          <w:b/>
          <w:sz w:val="22"/>
          <w:szCs w:val="22"/>
        </w:rPr>
        <w:t>III</w:t>
      </w:r>
      <w:r w:rsidRPr="005828EE" w:rsidR="009A7587">
        <w:rPr>
          <w:rFonts w:ascii="Palatino Linotype" w:hAnsi="Palatino Linotype" w:cs="Tahoma"/>
          <w:b/>
          <w:sz w:val="22"/>
          <w:szCs w:val="22"/>
        </w:rPr>
        <w:t xml:space="preserve">. Interposición del Recurso de Revisión. </w:t>
      </w:r>
    </w:p>
    <w:p w:rsidRPr="005828EE" w:rsidR="00F87649" w:rsidP="00147516" w:rsidRDefault="00F87649" w14:paraId="5EBD9609" w14:textId="77777777">
      <w:pPr>
        <w:autoSpaceDE w:val="0"/>
        <w:autoSpaceDN w:val="0"/>
        <w:adjustRightInd w:val="0"/>
        <w:spacing w:line="360" w:lineRule="auto"/>
        <w:contextualSpacing/>
        <w:jc w:val="both"/>
        <w:rPr>
          <w:rFonts w:ascii="Palatino Linotype" w:hAnsi="Palatino Linotype" w:cs="Tahoma"/>
          <w:b/>
          <w:sz w:val="18"/>
          <w:szCs w:val="22"/>
        </w:rPr>
      </w:pPr>
    </w:p>
    <w:p w:rsidRPr="005828EE" w:rsidR="009A7587" w:rsidP="00147516" w:rsidRDefault="009A7587" w14:paraId="2A31C8B6" w14:textId="35CA2415">
      <w:pPr>
        <w:tabs>
          <w:tab w:val="left" w:pos="3122"/>
        </w:tabs>
        <w:spacing w:line="360" w:lineRule="auto"/>
        <w:contextualSpacing/>
        <w:jc w:val="both"/>
        <w:rPr>
          <w:rFonts w:ascii="Palatino Linotype" w:hAnsi="Palatino Linotype" w:cs="Tahoma"/>
          <w:sz w:val="22"/>
          <w:szCs w:val="22"/>
        </w:rPr>
      </w:pPr>
      <w:r w:rsidRPr="005828EE">
        <w:rPr>
          <w:rFonts w:ascii="Palatino Linotype" w:hAnsi="Palatino Linotype" w:cs="Tahoma"/>
          <w:sz w:val="22"/>
          <w:szCs w:val="22"/>
        </w:rPr>
        <w:t>Con fecha</w:t>
      </w:r>
      <w:r w:rsidRPr="005828EE" w:rsidR="00E13C8C">
        <w:rPr>
          <w:rFonts w:ascii="Palatino Linotype" w:hAnsi="Palatino Linotype" w:cs="Tahoma"/>
          <w:sz w:val="22"/>
          <w:szCs w:val="22"/>
        </w:rPr>
        <w:t xml:space="preserve"> </w:t>
      </w:r>
      <w:r w:rsidRPr="005828EE" w:rsidR="00815DA9">
        <w:rPr>
          <w:rFonts w:ascii="Palatino Linotype" w:hAnsi="Palatino Linotype" w:cs="Tahoma"/>
          <w:sz w:val="22"/>
          <w:szCs w:val="22"/>
        </w:rPr>
        <w:t>treinta</w:t>
      </w:r>
      <w:r w:rsidRPr="005828EE" w:rsidR="001D1C9C">
        <w:rPr>
          <w:rFonts w:ascii="Palatino Linotype" w:hAnsi="Palatino Linotype" w:cs="Tahoma"/>
          <w:sz w:val="22"/>
          <w:szCs w:val="22"/>
        </w:rPr>
        <w:t xml:space="preserve"> de noviembre </w:t>
      </w:r>
      <w:r w:rsidRPr="005828EE" w:rsidR="00B267E1">
        <w:rPr>
          <w:rFonts w:ascii="Palatino Linotype" w:hAnsi="Palatino Linotype" w:cs="Tahoma"/>
          <w:sz w:val="22"/>
          <w:szCs w:val="22"/>
        </w:rPr>
        <w:t>de dos mil veintidós</w:t>
      </w:r>
      <w:r w:rsidRPr="005828EE">
        <w:rPr>
          <w:rFonts w:ascii="Palatino Linotype" w:hAnsi="Palatino Linotype" w:cs="Tahoma"/>
          <w:sz w:val="22"/>
          <w:szCs w:val="22"/>
        </w:rPr>
        <w:t xml:space="preserve">, a través del </w:t>
      </w:r>
      <w:r w:rsidRPr="005828EE">
        <w:rPr>
          <w:rFonts w:ascii="Palatino Linotype" w:hAnsi="Palatino Linotype" w:cs="Tahoma"/>
          <w:sz w:val="22"/>
          <w:szCs w:val="22"/>
          <w:lang w:val="es-ES"/>
        </w:rPr>
        <w:t>Sistema de Acceso a la Información Mexiquense (SAIMEX)</w:t>
      </w:r>
      <w:r w:rsidRPr="005828EE" w:rsidR="00A048C7">
        <w:rPr>
          <w:rFonts w:ascii="Palatino Linotype" w:hAnsi="Palatino Linotype" w:cs="Tahoma"/>
          <w:sz w:val="22"/>
          <w:szCs w:val="22"/>
        </w:rPr>
        <w:t>, se interpus</w:t>
      </w:r>
      <w:r w:rsidRPr="005828EE" w:rsidR="003C3E71">
        <w:rPr>
          <w:rFonts w:ascii="Palatino Linotype" w:hAnsi="Palatino Linotype" w:cs="Tahoma"/>
          <w:sz w:val="22"/>
          <w:szCs w:val="22"/>
        </w:rPr>
        <w:t>o</w:t>
      </w:r>
      <w:r w:rsidRPr="005828EE" w:rsidR="00A048C7">
        <w:rPr>
          <w:rFonts w:ascii="Palatino Linotype" w:hAnsi="Palatino Linotype" w:cs="Tahoma"/>
          <w:sz w:val="22"/>
          <w:szCs w:val="22"/>
        </w:rPr>
        <w:t xml:space="preserve"> </w:t>
      </w:r>
      <w:r w:rsidRPr="005828EE" w:rsidR="003C3E71">
        <w:rPr>
          <w:rFonts w:ascii="Palatino Linotype" w:hAnsi="Palatino Linotype" w:cs="Tahoma"/>
          <w:sz w:val="22"/>
          <w:szCs w:val="22"/>
        </w:rPr>
        <w:t>el</w:t>
      </w:r>
      <w:r w:rsidRPr="005828EE">
        <w:rPr>
          <w:rFonts w:ascii="Palatino Linotype" w:hAnsi="Palatino Linotype" w:cs="Tahoma"/>
          <w:sz w:val="22"/>
          <w:szCs w:val="22"/>
        </w:rPr>
        <w:t xml:space="preserve"> presente Recurso de Revisión por</w:t>
      </w:r>
      <w:r w:rsidRPr="005828EE" w:rsidR="008E6658">
        <w:rPr>
          <w:rFonts w:ascii="Palatino Linotype" w:hAnsi="Palatino Linotype" w:cs="Tahoma"/>
          <w:sz w:val="22"/>
          <w:szCs w:val="22"/>
        </w:rPr>
        <w:t xml:space="preserve"> </w:t>
      </w:r>
      <w:r w:rsidRPr="005828EE" w:rsidR="0035716C">
        <w:rPr>
          <w:rFonts w:ascii="Palatino Linotype" w:hAnsi="Palatino Linotype" w:cs="Tahoma"/>
          <w:sz w:val="22"/>
          <w:szCs w:val="22"/>
        </w:rPr>
        <w:t xml:space="preserve">el </w:t>
      </w:r>
      <w:r w:rsidRPr="005828EE">
        <w:rPr>
          <w:rFonts w:ascii="Palatino Linotype" w:hAnsi="Palatino Linotype" w:cs="Tahoma"/>
          <w:sz w:val="22"/>
          <w:szCs w:val="22"/>
        </w:rPr>
        <w:t xml:space="preserve">Recurrente, en contra de </w:t>
      </w:r>
      <w:r w:rsidRPr="005828EE" w:rsidR="00655265">
        <w:rPr>
          <w:rFonts w:ascii="Palatino Linotype" w:hAnsi="Palatino Linotype" w:cs="Tahoma"/>
          <w:sz w:val="22"/>
          <w:szCs w:val="22"/>
        </w:rPr>
        <w:t>la respuesta emitida</w:t>
      </w:r>
      <w:r w:rsidRPr="005828EE">
        <w:rPr>
          <w:rFonts w:ascii="Palatino Linotype" w:hAnsi="Palatino Linotype" w:cs="Tahoma"/>
          <w:sz w:val="22"/>
          <w:szCs w:val="22"/>
        </w:rPr>
        <w:t xml:space="preserve"> por el Sujeto Obligado a </w:t>
      </w:r>
      <w:r w:rsidRPr="005828EE" w:rsidR="00655265">
        <w:rPr>
          <w:rFonts w:ascii="Palatino Linotype" w:hAnsi="Palatino Linotype" w:cs="Tahoma"/>
          <w:sz w:val="22"/>
          <w:szCs w:val="22"/>
        </w:rPr>
        <w:t>la solicitud</w:t>
      </w:r>
      <w:r w:rsidRPr="005828EE">
        <w:rPr>
          <w:rFonts w:ascii="Palatino Linotype" w:hAnsi="Palatino Linotype" w:cs="Tahoma"/>
          <w:sz w:val="22"/>
          <w:szCs w:val="22"/>
        </w:rPr>
        <w:t xml:space="preserve"> de información, en los siguientes términos:</w:t>
      </w:r>
    </w:p>
    <w:p w:rsidRPr="005828EE" w:rsidR="00AB6595" w:rsidP="00147516" w:rsidRDefault="00AB6595" w14:paraId="52EDC81B" w14:textId="77777777">
      <w:pPr>
        <w:tabs>
          <w:tab w:val="left" w:pos="3122"/>
        </w:tabs>
        <w:spacing w:line="360" w:lineRule="auto"/>
        <w:contextualSpacing/>
        <w:jc w:val="both"/>
        <w:rPr>
          <w:rFonts w:ascii="Palatino Linotype" w:hAnsi="Palatino Linotype" w:cs="Tahoma"/>
          <w:sz w:val="22"/>
          <w:szCs w:val="22"/>
        </w:rPr>
      </w:pPr>
    </w:p>
    <w:p w:rsidRPr="005828EE" w:rsidR="00D5699B" w:rsidP="00147516" w:rsidRDefault="00D5699B" w14:paraId="0722936C" w14:textId="77777777">
      <w:pPr>
        <w:spacing w:line="360" w:lineRule="auto"/>
        <w:ind w:left="567" w:right="539"/>
        <w:contextualSpacing/>
        <w:jc w:val="both"/>
        <w:rPr>
          <w:rFonts w:ascii="Palatino Linotype" w:hAnsi="Palatino Linotype" w:cs="Tahoma"/>
          <w:b/>
          <w:bCs/>
          <w:szCs w:val="22"/>
        </w:rPr>
      </w:pPr>
      <w:r w:rsidRPr="005828EE">
        <w:rPr>
          <w:rFonts w:ascii="Palatino Linotype" w:hAnsi="Palatino Linotype" w:cs="Tahoma"/>
          <w:b/>
          <w:bCs/>
          <w:szCs w:val="22"/>
        </w:rPr>
        <w:t>ACTO IMPUGNADO:</w:t>
      </w:r>
    </w:p>
    <w:p w:rsidRPr="005828EE" w:rsidR="003D1770" w:rsidP="00147516" w:rsidRDefault="007E4927" w14:paraId="547E4104" w14:textId="1E0FA9D1">
      <w:pPr>
        <w:spacing w:line="360" w:lineRule="auto"/>
        <w:ind w:left="567" w:right="539"/>
        <w:contextualSpacing/>
        <w:jc w:val="both"/>
        <w:rPr>
          <w:rFonts w:ascii="Palatino Linotype" w:hAnsi="Palatino Linotype" w:cs="Tahoma"/>
          <w:bCs/>
          <w:szCs w:val="22"/>
        </w:rPr>
      </w:pPr>
      <w:r w:rsidRPr="005828EE">
        <w:rPr>
          <w:rFonts w:ascii="Palatino Linotype" w:hAnsi="Palatino Linotype" w:cs="Tahoma"/>
          <w:bCs/>
          <w:i/>
          <w:szCs w:val="22"/>
        </w:rPr>
        <w:t>“</w:t>
      </w:r>
      <w:r w:rsidRPr="005828EE" w:rsidR="00815DA9">
        <w:rPr>
          <w:rFonts w:ascii="Palatino Linotype" w:hAnsi="Palatino Linotype" w:cs="Tahoma"/>
          <w:bCs/>
          <w:i/>
          <w:szCs w:val="22"/>
        </w:rPr>
        <w:t>Entrega de información incompleta, necesariamente al Oficio de contestación de fecha 29 de noviembre del 2022, con número de oficio 2750/MAIP/FGJ/2022, para el efecto de que conteste plenamente a la solicitud de información que le fue solicitada,sin contemplar en el cómputo el día siete de febrero; considerado como inhábil, en términos del artículo 3, fracción X de la Ley de Transparencia y Acceso a la Información Pública del Estado de México y Municipios</w:t>
      </w:r>
      <w:r w:rsidRPr="005828EE" w:rsidR="001D1C9C">
        <w:rPr>
          <w:rFonts w:ascii="Palatino Linotype" w:hAnsi="Palatino Linotype" w:cs="Tahoma"/>
          <w:bCs/>
          <w:i/>
          <w:szCs w:val="22"/>
        </w:rPr>
        <w:t xml:space="preserve"> </w:t>
      </w:r>
      <w:r w:rsidRPr="005828EE" w:rsidR="00E55401">
        <w:rPr>
          <w:rFonts w:ascii="Palatino Linotype" w:hAnsi="Palatino Linotype" w:cs="Tahoma"/>
          <w:bCs/>
          <w:i/>
          <w:szCs w:val="22"/>
        </w:rPr>
        <w:t>"</w:t>
      </w:r>
      <w:r w:rsidRPr="005828EE" w:rsidR="00253937">
        <w:rPr>
          <w:rFonts w:ascii="Palatino Linotype" w:hAnsi="Palatino Linotype" w:cs="Tahoma"/>
          <w:bCs/>
          <w:i/>
          <w:szCs w:val="22"/>
        </w:rPr>
        <w:t xml:space="preserve"> (Sic)</w:t>
      </w:r>
    </w:p>
    <w:p w:rsidRPr="005828EE" w:rsidR="007E4927" w:rsidP="00147516" w:rsidRDefault="007E4927" w14:paraId="0A912BCB" w14:textId="77777777">
      <w:pPr>
        <w:spacing w:line="360" w:lineRule="auto"/>
        <w:ind w:left="567" w:right="539"/>
        <w:contextualSpacing/>
        <w:jc w:val="both"/>
        <w:rPr>
          <w:rFonts w:ascii="Palatino Linotype" w:hAnsi="Palatino Linotype" w:cs="Tahoma"/>
          <w:bCs/>
          <w:i/>
          <w:szCs w:val="22"/>
        </w:rPr>
      </w:pPr>
    </w:p>
    <w:p w:rsidRPr="005828EE" w:rsidR="00D5699B" w:rsidP="00147516" w:rsidRDefault="00D5699B" w14:paraId="7E49CF74" w14:textId="77777777">
      <w:pPr>
        <w:spacing w:line="360" w:lineRule="auto"/>
        <w:ind w:left="567" w:right="539"/>
        <w:contextualSpacing/>
        <w:jc w:val="both"/>
        <w:rPr>
          <w:rFonts w:ascii="Palatino Linotype" w:hAnsi="Palatino Linotype" w:cs="Tahoma"/>
          <w:b/>
          <w:szCs w:val="22"/>
        </w:rPr>
      </w:pPr>
      <w:r w:rsidRPr="005828EE">
        <w:rPr>
          <w:rFonts w:ascii="Palatino Linotype" w:hAnsi="Palatino Linotype" w:cs="Tahoma"/>
          <w:b/>
          <w:szCs w:val="22"/>
        </w:rPr>
        <w:t>RAZONES O MOTIVOS DE LA INCONFORMIDAD.</w:t>
      </w:r>
    </w:p>
    <w:p w:rsidRPr="005828EE" w:rsidR="00D5699B" w:rsidP="00147516" w:rsidRDefault="007E4927" w14:paraId="70A884A2" w14:textId="22E09410">
      <w:pPr>
        <w:spacing w:line="360" w:lineRule="auto"/>
        <w:ind w:left="567" w:right="539"/>
        <w:contextualSpacing/>
        <w:jc w:val="both"/>
        <w:rPr>
          <w:rFonts w:ascii="Palatino Linotype" w:hAnsi="Palatino Linotype" w:cs="Tahoma"/>
          <w:i/>
          <w:iCs/>
        </w:rPr>
      </w:pPr>
      <w:r w:rsidRPr="005828EE">
        <w:rPr>
          <w:rFonts w:ascii="Palatino Linotype" w:hAnsi="Palatino Linotype" w:cs="Tahoma"/>
          <w:i/>
          <w:iCs/>
        </w:rPr>
        <w:t>“</w:t>
      </w:r>
      <w:r w:rsidRPr="005828EE" w:rsidR="00815DA9">
        <w:rPr>
          <w:rFonts w:ascii="Palatino Linotype" w:hAnsi="Palatino Linotype" w:cs="Tahoma"/>
          <w:i/>
          <w:iCs/>
        </w:rPr>
        <w:t xml:space="preserve">Entrega de información incompleta. Del análisis a las constancias que integran el Oficio de contestación de fecha 29 de noviembre del 2022, con número de oficio 2750/MAIP/FGJ/2022, se advierte que el SUJETO OBLIGADO no proporciono la información consistente en lo siguiente: QUE SE ME PROPORCIONE EL MANUAL, CIRCULAR O OFICIO SOBRE LOS PROTOCOLOS DE ACTUACIÓN DE ASEGURAMIENTO DE LOS BIENES INMUEBLES ASEGURADOS POR LA FISCALIA GENERAL DE JUSTICIA DEL ESTADO DE MÉXICO. 2. QUE CENTRO DE ATENCIÓN CIUDADANA; TURNO, MESA DE TRAMITE O AGENTE DEL MINISTERIO PUBLICO COLOCO O USO LOS SELLOS DE "INMUEBLE </w:t>
      </w:r>
      <w:r w:rsidRPr="005828EE" w:rsidR="00815DA9">
        <w:rPr>
          <w:rFonts w:ascii="Palatino Linotype" w:hAnsi="Palatino Linotype" w:cs="Tahoma"/>
          <w:i/>
          <w:iCs/>
        </w:rPr>
        <w:lastRenderedPageBreak/>
        <w:t xml:space="preserve">ASEGURADO" CON FOLIO 0098-22-G; TODA VEZ QUE SE TIENE EN UN INMUEBLE LOCALIZADO EN SUR 7, MANZANA 233, LOTE 8, COLONIA NIÑOS HÉROES 2DA SECCIÓN, VALLE DE CHALCO, SOLIDARIDAD, ESTADO DE MÉXICO; ESTE FOLIO, SIN QUE SE COLOCARA FISCALIA O CARPETA (anexo foto en doc Ante tal situación, interpongo el Recurso de Revisión materia del presente asunto, inconformándome principalmente de que no se me entregó la información completa. En primer lugar, es conveniente analizar que la respuesta del Sujeto Obligado NO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 “CRITERIO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w:t>
      </w:r>
      <w:r w:rsidRPr="005828EE" w:rsidR="00815DA9">
        <w:rPr>
          <w:rFonts w:ascii="Palatino Linotype" w:hAnsi="Palatino Linotype" w:cs="Tahoma"/>
          <w:i/>
          <w:iCs/>
        </w:rPr>
        <w:lastRenderedPageBreak/>
        <w:t xml:space="preserve">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 De lo anterior se puede concluir que el SUJETO OBLIGADO, omitió proporcionar en la respuesta a la solicitud de información; hacer la entrega de la información pública solicitada, toda vez que no proporciona ni anexa; el Acuerdo 17/2013 del Entonces Procurador del Estado de México, publicado en la Gaceta de Gobierno del Estado de México, en fecha 7 de agosto del año 2013, se autorizó e emitió el protocolo de actuación para la práctica de gestiones administrativas e inherentes al aseguramiento de bienes. Así mismo este omitió proporcionar la información pública, que diera soporte a su contestación al respecto al segundo punto de nuestra solicitud es decir: 2. QUE CENTRO DE ATENCIÓN CIUDADANA; TURNO, MESA DE TRAMITE O AGENTE DEL MINISTERIO PUBLICO COLOCO O USO LOS SELLOS DE "INMUEBLE ASEGURADO" CON FOLIO 0098-22-G; TODA VEZ QUE SE TIENE EN UN INMUEBLE LOCALIZADO EN SUR 7, MANZANA 233, LOTE 8, COLONIA NIÑOS HÉROES 2DA SECCIÓN, VALLE DE CHALCO, SOLIDARIDAD, ESTADO DE MÉXICO; ESTE FOLIO, SIN QUE SE COLOCARA FISCALIA O CARPETA (anexo foto en doc). Por lo tanto también omitió indicar EL NUMERO DE CARPETA DE INVESTIGACION, que este refiere, así mismo OMITIO INDICAR MESA DE TRAMITE, EL TURNO O EL AGENTE DEL MINISTERIO PUBLICO, en específico, que realizo la diligencia, tan es así que nos deja en total incertidumbre su respuesta al no anexar el expediente o carpeta de investigación con la información en su versión publica que soportara su contestación.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LINEAMIENTOS GENERALES EN MATERIA DE CLASIFICACIÓN Y DESCLASIFICACIÓN DE LA INFORMACIÓN, ASÍ COMO PARA LA ELABORACIÓN DE VERSIONES PÚBLICAS, publicados en el Diario Oficial de la Federación en fecha quince de abril del año dos mil dieciséis, mediante Acuerdo del Consejo Nacional del Sistema Nacional de Transparencia, Acceso a la Información Pública y Protección de Datos Personales. Por </w:t>
      </w:r>
      <w:r w:rsidRPr="005828EE" w:rsidR="00815DA9">
        <w:rPr>
          <w:rFonts w:ascii="Palatino Linotype" w:hAnsi="Palatino Linotype" w:cs="Tahoma"/>
          <w:i/>
          <w:iCs/>
        </w:rPr>
        <w:lastRenderedPageBreak/>
        <w:t>lo tanto, es notorio y evidente la falta de la entrega de los documentos en su versión pública que debió de haberse acompañado necesariamente al Oficio de contestación de fecha 29 de noviembre del 2022, con número de oficio 2750/MAIP/FGJ/2022, para el efecto de que conteste plenamente a la solicitud de información que le fue solicitada.</w:t>
      </w:r>
      <w:r w:rsidRPr="005828EE" w:rsidR="00DF3BE8">
        <w:rPr>
          <w:rFonts w:ascii="Palatino Linotype" w:hAnsi="Palatino Linotype" w:cs="Tahoma"/>
          <w:i/>
          <w:iCs/>
        </w:rPr>
        <w:t>”</w:t>
      </w:r>
      <w:r w:rsidRPr="005828EE" w:rsidR="000C2529">
        <w:rPr>
          <w:rFonts w:ascii="Palatino Linotype" w:hAnsi="Palatino Linotype" w:cs="Tahoma"/>
          <w:i/>
          <w:iCs/>
        </w:rPr>
        <w:t xml:space="preserve"> </w:t>
      </w:r>
      <w:r w:rsidRPr="005828EE" w:rsidR="00040101">
        <w:rPr>
          <w:rFonts w:ascii="Palatino Linotype" w:hAnsi="Palatino Linotype" w:cs="Tahoma"/>
          <w:i/>
          <w:iCs/>
        </w:rPr>
        <w:t>(Sic)</w:t>
      </w:r>
    </w:p>
    <w:p w:rsidRPr="005828EE" w:rsidR="007E4927" w:rsidP="00147516" w:rsidRDefault="007E4927" w14:paraId="0BF51F7C" w14:textId="77777777">
      <w:pPr>
        <w:spacing w:line="360" w:lineRule="auto"/>
        <w:contextualSpacing/>
        <w:jc w:val="both"/>
        <w:rPr>
          <w:rFonts w:ascii="Palatino Linotype" w:hAnsi="Palatino Linotype" w:cs="Tahoma"/>
          <w:b/>
          <w:sz w:val="22"/>
          <w:szCs w:val="22"/>
        </w:rPr>
      </w:pPr>
    </w:p>
    <w:p w:rsidRPr="005828EE" w:rsidR="009A7587" w:rsidP="00147516" w:rsidRDefault="005319DA" w14:paraId="55C5896C" w14:textId="77777777">
      <w:pPr>
        <w:spacing w:line="360" w:lineRule="auto"/>
        <w:contextualSpacing/>
        <w:jc w:val="both"/>
        <w:rPr>
          <w:rFonts w:ascii="Palatino Linotype" w:hAnsi="Palatino Linotype" w:eastAsia="Batang" w:cs="Tahoma"/>
          <w:b/>
          <w:bCs/>
          <w:sz w:val="22"/>
          <w:szCs w:val="22"/>
        </w:rPr>
      </w:pPr>
      <w:r w:rsidRPr="005828EE">
        <w:rPr>
          <w:rFonts w:ascii="Palatino Linotype" w:hAnsi="Palatino Linotype" w:cs="Tahoma"/>
          <w:b/>
          <w:sz w:val="22"/>
          <w:szCs w:val="22"/>
        </w:rPr>
        <w:t>I</w:t>
      </w:r>
      <w:r w:rsidRPr="005828EE" w:rsidR="00FF1049">
        <w:rPr>
          <w:rFonts w:ascii="Palatino Linotype" w:hAnsi="Palatino Linotype" w:cs="Tahoma"/>
          <w:b/>
          <w:sz w:val="22"/>
          <w:szCs w:val="22"/>
        </w:rPr>
        <w:t>V</w:t>
      </w:r>
      <w:r w:rsidRPr="005828EE" w:rsidR="009A7587">
        <w:rPr>
          <w:rFonts w:ascii="Palatino Linotype" w:hAnsi="Palatino Linotype" w:cs="Tahoma"/>
          <w:b/>
          <w:sz w:val="22"/>
          <w:szCs w:val="22"/>
        </w:rPr>
        <w:t xml:space="preserve">. </w:t>
      </w:r>
      <w:r w:rsidRPr="005828EE" w:rsidR="009A7587">
        <w:rPr>
          <w:rFonts w:ascii="Palatino Linotype" w:hAnsi="Palatino Linotype" w:eastAsia="Batang" w:cs="Tahoma"/>
          <w:b/>
          <w:bCs/>
          <w:sz w:val="22"/>
          <w:szCs w:val="22"/>
        </w:rPr>
        <w:t xml:space="preserve">Trámite del </w:t>
      </w:r>
      <w:r w:rsidRPr="005828EE" w:rsidR="009A7587">
        <w:rPr>
          <w:rFonts w:ascii="Palatino Linotype" w:hAnsi="Palatino Linotype" w:cs="Tahoma"/>
          <w:b/>
          <w:sz w:val="22"/>
          <w:szCs w:val="22"/>
        </w:rPr>
        <w:t xml:space="preserve">Recurso de Revisión </w:t>
      </w:r>
      <w:r w:rsidRPr="005828EE" w:rsidR="009A7587">
        <w:rPr>
          <w:rFonts w:ascii="Palatino Linotype" w:hAnsi="Palatino Linotype" w:eastAsia="Batang" w:cs="Tahoma"/>
          <w:b/>
          <w:bCs/>
          <w:sz w:val="22"/>
          <w:szCs w:val="22"/>
        </w:rPr>
        <w:t>ante el Instituto.</w:t>
      </w:r>
    </w:p>
    <w:p w:rsidRPr="005828EE" w:rsidR="007E4927" w:rsidP="00147516" w:rsidRDefault="007E4927" w14:paraId="1635E8FA" w14:textId="77777777">
      <w:pPr>
        <w:spacing w:line="360" w:lineRule="auto"/>
        <w:contextualSpacing/>
        <w:jc w:val="both"/>
        <w:rPr>
          <w:rFonts w:ascii="Palatino Linotype" w:hAnsi="Palatino Linotype" w:eastAsia="Batang" w:cs="Tahoma"/>
          <w:b/>
          <w:bCs/>
          <w:sz w:val="22"/>
          <w:szCs w:val="22"/>
        </w:rPr>
      </w:pPr>
    </w:p>
    <w:p w:rsidRPr="005828EE" w:rsidR="00C950E3" w:rsidP="00147516" w:rsidRDefault="009A7587" w14:paraId="2D377226" w14:textId="318D2349">
      <w:pPr>
        <w:spacing w:line="360" w:lineRule="auto"/>
        <w:contextualSpacing/>
        <w:jc w:val="both"/>
        <w:rPr>
          <w:rFonts w:ascii="Palatino Linotype" w:hAnsi="Palatino Linotype" w:eastAsia="Batang" w:cs="Tahoma"/>
          <w:bCs/>
          <w:sz w:val="22"/>
          <w:szCs w:val="22"/>
        </w:rPr>
      </w:pPr>
      <w:r w:rsidRPr="005828EE">
        <w:rPr>
          <w:rFonts w:ascii="Palatino Linotype" w:hAnsi="Palatino Linotype" w:eastAsia="Batang" w:cs="Tahoma"/>
          <w:b/>
          <w:bCs/>
          <w:sz w:val="22"/>
          <w:szCs w:val="22"/>
        </w:rPr>
        <w:t xml:space="preserve">a) Turno del </w:t>
      </w:r>
      <w:r w:rsidRPr="005828EE">
        <w:rPr>
          <w:rFonts w:ascii="Palatino Linotype" w:hAnsi="Palatino Linotype" w:cs="Tahoma"/>
          <w:b/>
          <w:sz w:val="22"/>
          <w:szCs w:val="22"/>
        </w:rPr>
        <w:t>Recurso de Revisión</w:t>
      </w:r>
      <w:r w:rsidRPr="005828EE">
        <w:rPr>
          <w:rFonts w:ascii="Palatino Linotype" w:hAnsi="Palatino Linotype" w:eastAsia="Batang" w:cs="Tahoma"/>
          <w:b/>
          <w:bCs/>
          <w:sz w:val="22"/>
          <w:szCs w:val="22"/>
        </w:rPr>
        <w:t xml:space="preserve">. </w:t>
      </w:r>
      <w:r w:rsidRPr="005828EE" w:rsidR="00A06844">
        <w:rPr>
          <w:rFonts w:ascii="Palatino Linotype" w:hAnsi="Palatino Linotype" w:eastAsia="Batang" w:cs="Tahoma"/>
          <w:bCs/>
          <w:sz w:val="22"/>
          <w:szCs w:val="22"/>
        </w:rPr>
        <w:t xml:space="preserve">El </w:t>
      </w:r>
      <w:r w:rsidRPr="005828EE" w:rsidR="00815DA9">
        <w:rPr>
          <w:rFonts w:ascii="Palatino Linotype" w:hAnsi="Palatino Linotype" w:eastAsia="Batang" w:cs="Tahoma"/>
          <w:bCs/>
          <w:sz w:val="22"/>
          <w:szCs w:val="22"/>
        </w:rPr>
        <w:t>treinta</w:t>
      </w:r>
      <w:r w:rsidRPr="005828EE" w:rsidR="001D1C9C">
        <w:rPr>
          <w:rFonts w:ascii="Palatino Linotype" w:hAnsi="Palatino Linotype" w:eastAsia="Batang" w:cs="Tahoma"/>
          <w:bCs/>
          <w:sz w:val="22"/>
          <w:szCs w:val="22"/>
        </w:rPr>
        <w:t xml:space="preserve"> de noviembre</w:t>
      </w:r>
      <w:r w:rsidRPr="005828EE" w:rsidR="00916E90">
        <w:rPr>
          <w:rFonts w:ascii="Palatino Linotype" w:hAnsi="Palatino Linotype" w:eastAsia="Batang" w:cs="Tahoma"/>
          <w:bCs/>
          <w:sz w:val="22"/>
          <w:szCs w:val="22"/>
        </w:rPr>
        <w:t xml:space="preserve"> </w:t>
      </w:r>
      <w:r w:rsidRPr="005828EE" w:rsidR="00B267E1">
        <w:rPr>
          <w:rFonts w:ascii="Palatino Linotype" w:hAnsi="Palatino Linotype" w:eastAsia="Batang" w:cs="Tahoma"/>
          <w:bCs/>
          <w:sz w:val="22"/>
          <w:szCs w:val="22"/>
        </w:rPr>
        <w:t>de dos mil veintidós</w:t>
      </w:r>
      <w:r w:rsidRPr="005828EE" w:rsidR="00A06844">
        <w:rPr>
          <w:rFonts w:ascii="Palatino Linotype" w:hAnsi="Palatino Linotype" w:eastAsia="Batang" w:cs="Tahoma"/>
          <w:bCs/>
          <w:sz w:val="22"/>
          <w:szCs w:val="22"/>
        </w:rPr>
        <w:t xml:space="preserve">, </w:t>
      </w:r>
      <w:r w:rsidRPr="005828EE" w:rsidR="00D5699B">
        <w:rPr>
          <w:rFonts w:ascii="Palatino Linotype" w:hAnsi="Palatino Linotype" w:eastAsia="Batang" w:cs="Tahoma"/>
          <w:bCs/>
          <w:sz w:val="22"/>
          <w:szCs w:val="22"/>
        </w:rPr>
        <w:t xml:space="preserve">el Sistema de Acceso a la Información Mexiquense (SAIMEX), asignó el número de expediente </w:t>
      </w:r>
      <w:r w:rsidRPr="005828EE" w:rsidR="00815DA9">
        <w:rPr>
          <w:rFonts w:ascii="Palatino Linotype" w:hAnsi="Palatino Linotype" w:eastAsia="Batang" w:cs="Tahoma"/>
          <w:b/>
          <w:bCs/>
          <w:sz w:val="22"/>
          <w:szCs w:val="22"/>
        </w:rPr>
        <w:t>17036</w:t>
      </w:r>
      <w:r w:rsidRPr="005828EE" w:rsidR="00D5699B">
        <w:rPr>
          <w:rFonts w:ascii="Palatino Linotype" w:hAnsi="Palatino Linotype" w:eastAsia="Batang" w:cs="Tahoma"/>
          <w:b/>
          <w:bCs/>
          <w:sz w:val="22"/>
          <w:szCs w:val="22"/>
        </w:rPr>
        <w:t>/INFOEM/IP/RR/202</w:t>
      </w:r>
      <w:r w:rsidRPr="005828EE" w:rsidR="00B267E1">
        <w:rPr>
          <w:rFonts w:ascii="Palatino Linotype" w:hAnsi="Palatino Linotype" w:eastAsia="Batang" w:cs="Tahoma"/>
          <w:b/>
          <w:bCs/>
          <w:sz w:val="22"/>
          <w:szCs w:val="22"/>
        </w:rPr>
        <w:t>2</w:t>
      </w:r>
      <w:r w:rsidRPr="005828EE" w:rsidR="00D5699B">
        <w:rPr>
          <w:rFonts w:ascii="Palatino Linotype" w:hAnsi="Palatino Linotype" w:eastAsia="Batang" w:cs="Tahoma"/>
          <w:bCs/>
          <w:sz w:val="22"/>
          <w:szCs w:val="22"/>
        </w:rPr>
        <w:t xml:space="preserve">, al medio de impugnación que nos ocupa, con base en el sistema aprobado por el Pleno de este Órgano Garante y lo turnó al </w:t>
      </w:r>
      <w:r w:rsidRPr="005828EE" w:rsidR="00D5699B">
        <w:rPr>
          <w:rFonts w:ascii="Palatino Linotype" w:hAnsi="Palatino Linotype" w:eastAsia="Batang" w:cs="Tahoma"/>
          <w:b/>
          <w:bCs/>
          <w:sz w:val="22"/>
          <w:szCs w:val="22"/>
        </w:rPr>
        <w:t>Comisionado Ponente Luis Gustavo Parra Noriega</w:t>
      </w:r>
      <w:r w:rsidRPr="005828EE" w:rsidR="00D5699B">
        <w:rPr>
          <w:rFonts w:ascii="Palatino Linotype" w:hAnsi="Palatino Linotype" w:eastAsia="Batang" w:cs="Tahoma"/>
          <w:bCs/>
          <w:sz w:val="22"/>
          <w:szCs w:val="22"/>
        </w:rPr>
        <w:t>, para los efectos del artículo 185, fracción I de la Ley de Transparencia y Acceso a la Información Pública del Estado de México y Municipios.</w:t>
      </w:r>
    </w:p>
    <w:p w:rsidRPr="005828EE" w:rsidR="00D5699B" w:rsidP="00147516" w:rsidRDefault="00D5699B" w14:paraId="4322DF8A" w14:textId="77777777">
      <w:pPr>
        <w:spacing w:line="360" w:lineRule="auto"/>
        <w:contextualSpacing/>
        <w:jc w:val="both"/>
        <w:rPr>
          <w:rFonts w:ascii="Palatino Linotype" w:hAnsi="Palatino Linotype" w:eastAsia="Batang" w:cs="Tahoma"/>
          <w:b/>
          <w:bCs/>
          <w:sz w:val="22"/>
          <w:szCs w:val="22"/>
        </w:rPr>
      </w:pPr>
    </w:p>
    <w:p w:rsidRPr="005828EE" w:rsidR="00253937" w:rsidP="00147516" w:rsidRDefault="009A7587" w14:paraId="2BE692C4" w14:textId="77777777">
      <w:pPr>
        <w:spacing w:line="360" w:lineRule="auto"/>
        <w:contextualSpacing/>
        <w:jc w:val="both"/>
        <w:rPr>
          <w:rFonts w:ascii="Palatino Linotype" w:hAnsi="Palatino Linotype" w:cs="Tahoma"/>
          <w:bCs/>
          <w:sz w:val="22"/>
          <w:szCs w:val="22"/>
          <w:lang w:val="es-ES_tradnl"/>
        </w:rPr>
      </w:pPr>
      <w:r w:rsidRPr="005828EE">
        <w:rPr>
          <w:rFonts w:ascii="Palatino Linotype" w:hAnsi="Palatino Linotype" w:eastAsia="Batang" w:cs="Tahoma"/>
          <w:b/>
          <w:bCs/>
          <w:sz w:val="22"/>
          <w:szCs w:val="22"/>
        </w:rPr>
        <w:t xml:space="preserve">b) Admisión del </w:t>
      </w:r>
      <w:r w:rsidRPr="005828EE">
        <w:rPr>
          <w:rFonts w:ascii="Palatino Linotype" w:hAnsi="Palatino Linotype" w:cs="Tahoma"/>
          <w:b/>
          <w:sz w:val="22"/>
          <w:szCs w:val="22"/>
        </w:rPr>
        <w:t>Recurso de Revisión</w:t>
      </w:r>
      <w:r w:rsidRPr="005828EE">
        <w:rPr>
          <w:rFonts w:ascii="Palatino Linotype" w:hAnsi="Palatino Linotype" w:eastAsia="Batang" w:cs="Tahoma"/>
          <w:b/>
          <w:bCs/>
          <w:sz w:val="22"/>
          <w:szCs w:val="22"/>
          <w:lang w:val="es-ES_tradnl"/>
        </w:rPr>
        <w:t xml:space="preserve">. </w:t>
      </w:r>
      <w:r w:rsidRPr="005828EE">
        <w:rPr>
          <w:rFonts w:ascii="Palatino Linotype" w:hAnsi="Palatino Linotype" w:cs="Tahoma"/>
          <w:bCs/>
          <w:sz w:val="22"/>
          <w:szCs w:val="22"/>
        </w:rPr>
        <w:t>El</w:t>
      </w:r>
      <w:r w:rsidRPr="005828EE" w:rsidR="00EB3A2C">
        <w:rPr>
          <w:rFonts w:ascii="Palatino Linotype" w:hAnsi="Palatino Linotype" w:cs="Tahoma"/>
          <w:bCs/>
          <w:sz w:val="22"/>
          <w:szCs w:val="22"/>
        </w:rPr>
        <w:t xml:space="preserve"> </w:t>
      </w:r>
      <w:r w:rsidRPr="005828EE" w:rsidR="001D1C9C">
        <w:rPr>
          <w:rFonts w:ascii="Palatino Linotype" w:hAnsi="Palatino Linotype" w:cs="Tahoma"/>
          <w:bCs/>
          <w:sz w:val="22"/>
          <w:szCs w:val="22"/>
        </w:rPr>
        <w:t>cinco de diciembre</w:t>
      </w:r>
      <w:r w:rsidRPr="005828EE" w:rsidR="00916E90">
        <w:rPr>
          <w:rFonts w:ascii="Palatino Linotype" w:hAnsi="Palatino Linotype" w:cs="Tahoma"/>
          <w:bCs/>
          <w:sz w:val="22"/>
          <w:szCs w:val="22"/>
        </w:rPr>
        <w:t xml:space="preserve"> </w:t>
      </w:r>
      <w:r w:rsidRPr="005828EE" w:rsidR="00B267E1">
        <w:rPr>
          <w:rFonts w:ascii="Palatino Linotype" w:hAnsi="Palatino Linotype" w:cs="Tahoma"/>
          <w:bCs/>
          <w:sz w:val="22"/>
          <w:szCs w:val="22"/>
        </w:rPr>
        <w:t>de dos mil veintidós</w:t>
      </w:r>
      <w:r w:rsidRPr="005828EE">
        <w:rPr>
          <w:rFonts w:ascii="Palatino Linotype" w:hAnsi="Palatino Linotype" w:cs="Tahoma"/>
          <w:bCs/>
          <w:sz w:val="22"/>
          <w:szCs w:val="22"/>
        </w:rPr>
        <w:t xml:space="preserve">, </w:t>
      </w:r>
      <w:r w:rsidRPr="005828EE" w:rsidR="001F787A">
        <w:rPr>
          <w:rFonts w:ascii="Palatino Linotype" w:hAnsi="Palatino Linotype" w:cs="Tahoma"/>
          <w:bCs/>
          <w:sz w:val="22"/>
          <w:szCs w:val="22"/>
        </w:rPr>
        <w:t xml:space="preserve">se acordó la admisión del </w:t>
      </w:r>
      <w:r w:rsidRPr="005828EE" w:rsidR="001F787A">
        <w:rPr>
          <w:rFonts w:ascii="Palatino Linotype" w:hAnsi="Palatino Linotype" w:cs="Tahoma"/>
          <w:bCs/>
          <w:sz w:val="22"/>
          <w:szCs w:val="22"/>
          <w:lang w:val="es-ES_tradnl"/>
        </w:rPr>
        <w:t xml:space="preserve">Recurso de Revisión interpuesto por el Recurrente en contra del </w:t>
      </w:r>
      <w:r w:rsidRPr="005828EE" w:rsidR="001F787A">
        <w:rPr>
          <w:rFonts w:ascii="Palatino Linotype" w:hAnsi="Palatino Linotype" w:cs="Tahoma"/>
          <w:b/>
          <w:bCs/>
          <w:sz w:val="22"/>
          <w:szCs w:val="22"/>
          <w:lang w:val="es-ES_tradnl"/>
        </w:rPr>
        <w:t>Sujeto Obligado</w:t>
      </w:r>
      <w:r w:rsidRPr="005828EE" w:rsidR="001F787A">
        <w:rPr>
          <w:rFonts w:ascii="Palatino Linotype" w:hAnsi="Palatino Linotype" w:cs="Tahoma"/>
          <w:bCs/>
          <w:sz w:val="22"/>
          <w:szCs w:val="22"/>
          <w:lang w:val="es-ES_tradnl"/>
        </w:rPr>
        <w:t>, en términos del artículo 185, fracciones I, II y IV de la Ley de Transparencia y Acceso a la Información Pública del Estado de México y Municipios, el cual fue notificad</w:t>
      </w:r>
      <w:r w:rsidRPr="005828EE" w:rsidR="000C6179">
        <w:rPr>
          <w:rFonts w:ascii="Palatino Linotype" w:hAnsi="Palatino Linotype" w:cs="Tahoma"/>
          <w:bCs/>
          <w:sz w:val="22"/>
          <w:szCs w:val="22"/>
          <w:lang w:val="es-ES_tradnl"/>
        </w:rPr>
        <w:t>o a las partes el mismo día</w:t>
      </w:r>
      <w:r w:rsidRPr="005828EE" w:rsidR="001F787A">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w:t>
      </w:r>
    </w:p>
    <w:p w:rsidRPr="005828EE" w:rsidR="00253937" w:rsidP="00147516" w:rsidRDefault="00253937" w14:paraId="479936AE" w14:textId="77777777">
      <w:pPr>
        <w:spacing w:line="360" w:lineRule="auto"/>
        <w:contextualSpacing/>
        <w:jc w:val="both"/>
        <w:rPr>
          <w:rFonts w:ascii="Palatino Linotype" w:hAnsi="Palatino Linotype" w:cs="Tahoma"/>
          <w:bCs/>
          <w:sz w:val="22"/>
          <w:szCs w:val="22"/>
          <w:lang w:val="es-ES_tradnl"/>
        </w:rPr>
      </w:pPr>
    </w:p>
    <w:p w:rsidRPr="005828EE" w:rsidR="00815DA9" w:rsidP="001D1C9C" w:rsidRDefault="001D1C9C" w14:paraId="30F61E3C" w14:textId="77777777">
      <w:pPr>
        <w:spacing w:line="360" w:lineRule="auto"/>
        <w:jc w:val="both"/>
        <w:rPr>
          <w:rFonts w:ascii="Palatino Linotype" w:hAnsi="Palatino Linotype" w:eastAsia="Batang" w:cs="Tahoma"/>
          <w:bCs/>
          <w:sz w:val="22"/>
          <w:szCs w:val="22"/>
          <w:lang w:val="es-ES_tradnl"/>
        </w:rPr>
      </w:pPr>
      <w:r w:rsidRPr="005828EE">
        <w:rPr>
          <w:rFonts w:ascii="Palatino Linotype" w:hAnsi="Palatino Linotype" w:eastAsia="Batang" w:cs="Tahoma"/>
          <w:b/>
          <w:bCs/>
          <w:sz w:val="22"/>
          <w:szCs w:val="22"/>
          <w:lang w:val="es-ES_tradnl"/>
        </w:rPr>
        <w:t xml:space="preserve">c) Informe Justificado. </w:t>
      </w:r>
      <w:r w:rsidRPr="005828EE">
        <w:rPr>
          <w:rFonts w:ascii="Palatino Linotype" w:hAnsi="Palatino Linotype" w:eastAsia="Batang" w:cs="Tahoma"/>
          <w:bCs/>
          <w:sz w:val="22"/>
          <w:szCs w:val="22"/>
          <w:lang w:val="es-ES_tradnl"/>
        </w:rPr>
        <w:t xml:space="preserve">El </w:t>
      </w:r>
      <w:r w:rsidRPr="005828EE" w:rsidR="00815DA9">
        <w:rPr>
          <w:rFonts w:ascii="Palatino Linotype" w:hAnsi="Palatino Linotype" w:eastAsia="Batang" w:cs="Tahoma"/>
          <w:bCs/>
          <w:sz w:val="22"/>
          <w:szCs w:val="22"/>
          <w:lang w:val="es-ES_tradnl"/>
        </w:rPr>
        <w:t>once de enero de dos mil veintitrés</w:t>
      </w:r>
      <w:r w:rsidRPr="005828EE">
        <w:rPr>
          <w:rFonts w:ascii="Palatino Linotype" w:hAnsi="Palatino Linotype" w:eastAsia="Batang" w:cs="Tahoma"/>
          <w:bCs/>
          <w:sz w:val="22"/>
          <w:szCs w:val="22"/>
          <w:lang w:val="es-ES_tradnl"/>
        </w:rPr>
        <w:t xml:space="preserve">, a través del Sistema de Acceso a la Información Mexiquense (SAIMEX), se recibió en este Instituto el informe justificado por parte del Sujeto Obligado en el </w:t>
      </w:r>
      <w:r w:rsidRPr="005828EE" w:rsidR="00815DA9">
        <w:rPr>
          <w:rFonts w:ascii="Palatino Linotype" w:hAnsi="Palatino Linotype" w:eastAsia="Batang" w:cs="Tahoma"/>
          <w:bCs/>
          <w:sz w:val="22"/>
          <w:szCs w:val="22"/>
          <w:lang w:val="es-ES_tradnl"/>
        </w:rPr>
        <w:t>que señaló lo siguiente:</w:t>
      </w:r>
    </w:p>
    <w:p w:rsidRPr="005828EE" w:rsidR="00815DA9" w:rsidP="001D1C9C" w:rsidRDefault="00815DA9" w14:paraId="352021E2" w14:textId="77777777">
      <w:pPr>
        <w:spacing w:line="360" w:lineRule="auto"/>
        <w:jc w:val="both"/>
        <w:rPr>
          <w:rFonts w:ascii="Palatino Linotype" w:hAnsi="Palatino Linotype" w:eastAsia="Batang" w:cs="Tahoma"/>
          <w:bCs/>
          <w:sz w:val="22"/>
          <w:szCs w:val="22"/>
          <w:lang w:val="es-ES_tradnl"/>
        </w:rPr>
      </w:pPr>
    </w:p>
    <w:p w:rsidRPr="005828EE" w:rsidR="00707743" w:rsidP="001D1C9C" w:rsidRDefault="001D1C9C" w14:paraId="14A16DF8" w14:textId="77777777">
      <w:pPr>
        <w:spacing w:line="360" w:lineRule="auto"/>
        <w:ind w:left="567" w:right="539"/>
        <w:jc w:val="both"/>
        <w:rPr>
          <w:rFonts w:ascii="Palatino Linotype" w:hAnsi="Palatino Linotype" w:eastAsia="Batang" w:cs="Tahoma"/>
          <w:bCs/>
          <w:i/>
          <w:iCs/>
          <w:szCs w:val="22"/>
          <w:lang w:val="es-ES_tradnl"/>
        </w:rPr>
      </w:pPr>
      <w:r w:rsidRPr="005828EE">
        <w:rPr>
          <w:rFonts w:ascii="Palatino Linotype" w:hAnsi="Palatino Linotype" w:eastAsia="Batang" w:cs="Tahoma"/>
          <w:bCs/>
          <w:i/>
          <w:iCs/>
          <w:szCs w:val="22"/>
          <w:lang w:val="es-ES_tradnl"/>
        </w:rPr>
        <w:t>“</w:t>
      </w:r>
      <w:r w:rsidRPr="005828EE" w:rsidR="00E95147">
        <w:rPr>
          <w:rFonts w:ascii="Palatino Linotype" w:hAnsi="Palatino Linotype" w:eastAsia="Batang" w:cs="Tahoma"/>
          <w:bCs/>
          <w:i/>
          <w:iCs/>
          <w:szCs w:val="22"/>
          <w:lang w:val="es-ES_tradnl"/>
        </w:rPr>
        <w:t>…</w:t>
      </w:r>
    </w:p>
    <w:p w:rsidRPr="005828EE" w:rsidR="00707743" w:rsidP="001D1C9C" w:rsidRDefault="00707743" w14:paraId="56B2B0B1" w14:textId="2F5B18D0">
      <w:pPr>
        <w:spacing w:line="360" w:lineRule="auto"/>
        <w:ind w:left="567" w:right="539"/>
        <w:jc w:val="both"/>
        <w:rPr>
          <w:rFonts w:ascii="Palatino Linotype" w:hAnsi="Palatino Linotype" w:eastAsia="Batang" w:cs="Tahoma"/>
          <w:bCs/>
          <w:i/>
          <w:iCs/>
          <w:szCs w:val="22"/>
          <w:lang w:val="es-ES_tradnl"/>
        </w:rPr>
      </w:pPr>
      <w:r w:rsidRPr="005828EE">
        <w:rPr>
          <w:rFonts w:ascii="Palatino Linotype" w:hAnsi="Palatino Linotype" w:eastAsia="Batang" w:cs="Tahoma"/>
          <w:bCs/>
          <w:i/>
          <w:iCs/>
          <w:szCs w:val="22"/>
          <w:lang w:val="es-ES_tradnl"/>
        </w:rPr>
        <w:lastRenderedPageBreak/>
        <w:t xml:space="preserve">1. El ahora recurrente señal que no se le proporcionó el manual, circular u oficio sobre los protocolos de actuación de aseguramiento  de los bienes inmuebles asegurados por la Fiscalía General de Justicia del Estado de México, sin embargo, en la respuesta proporcionada, se informó de manera precisa el documento que contiene la información de su interés, siendo el Acuerdo 17/2013, emitido por el entonces Procurador de Justicia del Estado de México, documento que obra en una fuente de acceso público, dependiente de la Secretaría de Justicia y Derechos Humanos, y órgano informativo del Gobierno del Estado de México, cuyo objetivo es publicar las leyes, decretos, reglamentos, </w:t>
      </w:r>
      <w:r w:rsidRPr="005828EE">
        <w:rPr>
          <w:rFonts w:ascii="Palatino Linotype" w:hAnsi="Palatino Linotype" w:eastAsia="Batang" w:cs="Tahoma"/>
          <w:b/>
          <w:i/>
          <w:iCs/>
          <w:szCs w:val="22"/>
          <w:lang w:val="es-ES_tradnl"/>
        </w:rPr>
        <w:t xml:space="preserve">acuerdos, </w:t>
      </w:r>
      <w:r w:rsidRPr="005828EE">
        <w:rPr>
          <w:rFonts w:ascii="Palatino Linotype" w:hAnsi="Palatino Linotype" w:eastAsia="Batang" w:cs="Tahoma"/>
          <w:bCs/>
          <w:i/>
          <w:iCs/>
          <w:szCs w:val="22"/>
          <w:lang w:val="es-ES_tradnl"/>
        </w:rPr>
        <w:t xml:space="preserve">notificaciones, avisos, manuales y demás disposiciones de carácter general de los poderes del Estado, </w:t>
      </w:r>
      <w:r w:rsidRPr="005828EE">
        <w:rPr>
          <w:rFonts w:ascii="Palatino Linotype" w:hAnsi="Palatino Linotype" w:eastAsia="Batang" w:cs="Tahoma"/>
          <w:b/>
          <w:i/>
          <w:iCs/>
          <w:szCs w:val="22"/>
          <w:lang w:val="es-ES_tradnl"/>
        </w:rPr>
        <w:t>organismos autónomos (</w:t>
      </w:r>
      <w:r w:rsidRPr="005828EE">
        <w:rPr>
          <w:rFonts w:ascii="Palatino Linotype" w:hAnsi="Palatino Linotype" w:eastAsia="Batang" w:cs="Tahoma"/>
          <w:bCs/>
          <w:i/>
          <w:iCs/>
          <w:szCs w:val="22"/>
          <w:lang w:val="es-ES_tradnl"/>
        </w:rPr>
        <w:t>Fiscalía General de Justicia del Estado de México), organismos auxiliares, ayuntamientos y de particulares.</w:t>
      </w:r>
    </w:p>
    <w:p w:rsidRPr="005828EE" w:rsidR="00707743" w:rsidP="001D1C9C" w:rsidRDefault="00707743" w14:paraId="54D3ACB1" w14:textId="5794E6EE">
      <w:pPr>
        <w:spacing w:line="360" w:lineRule="auto"/>
        <w:ind w:left="567" w:right="539"/>
        <w:jc w:val="both"/>
        <w:rPr>
          <w:rFonts w:ascii="Palatino Linotype" w:hAnsi="Palatino Linotype" w:eastAsia="Batang" w:cs="Tahoma"/>
          <w:bCs/>
          <w:i/>
          <w:iCs/>
          <w:szCs w:val="22"/>
          <w:lang w:val="es-ES_tradnl"/>
        </w:rPr>
      </w:pPr>
    </w:p>
    <w:p w:rsidRPr="005828EE" w:rsidR="00707743" w:rsidP="001D1C9C" w:rsidRDefault="00707743" w14:paraId="066C1022" w14:textId="09FA1C69">
      <w:pPr>
        <w:spacing w:line="360" w:lineRule="auto"/>
        <w:ind w:left="567" w:right="539"/>
        <w:jc w:val="both"/>
        <w:rPr>
          <w:rFonts w:ascii="Palatino Linotype" w:hAnsi="Palatino Linotype" w:eastAsia="Batang" w:cs="Tahoma"/>
          <w:bCs/>
          <w:i/>
          <w:iCs/>
          <w:szCs w:val="22"/>
          <w:lang w:val="es-ES_tradnl"/>
        </w:rPr>
      </w:pPr>
      <w:r w:rsidRPr="005828EE">
        <w:rPr>
          <w:rFonts w:ascii="Palatino Linotype" w:hAnsi="Palatino Linotype" w:eastAsia="Batang" w:cs="Tahoma"/>
          <w:bCs/>
          <w:i/>
          <w:iCs/>
          <w:szCs w:val="22"/>
          <w:lang w:val="es-ES_tradnl"/>
        </w:rPr>
        <w:t>No obstante, con la finalidad de atender la inconformidad del particular, se adjunta al presente el referido Acuerdo 17/2013.</w:t>
      </w:r>
    </w:p>
    <w:p w:rsidRPr="005828EE" w:rsidR="00707743" w:rsidP="001D1C9C" w:rsidRDefault="00707743" w14:paraId="5B2099D2" w14:textId="0049F8D8">
      <w:pPr>
        <w:spacing w:line="360" w:lineRule="auto"/>
        <w:ind w:left="567" w:right="539"/>
        <w:jc w:val="both"/>
        <w:rPr>
          <w:rFonts w:ascii="Palatino Linotype" w:hAnsi="Palatino Linotype" w:eastAsia="Batang" w:cs="Tahoma"/>
          <w:bCs/>
          <w:i/>
          <w:iCs/>
          <w:szCs w:val="22"/>
          <w:lang w:val="es-ES_tradnl"/>
        </w:rPr>
      </w:pPr>
    </w:p>
    <w:p w:rsidRPr="005828EE" w:rsidR="00707743" w:rsidP="001D1C9C" w:rsidRDefault="00707743" w14:paraId="30DC23A7" w14:textId="158DE5C2">
      <w:pPr>
        <w:spacing w:line="360" w:lineRule="auto"/>
        <w:ind w:left="567" w:right="539"/>
        <w:jc w:val="both"/>
        <w:rPr>
          <w:rFonts w:ascii="Palatino Linotype" w:hAnsi="Palatino Linotype" w:eastAsia="Batang" w:cs="Tahoma"/>
          <w:bCs/>
          <w:i/>
          <w:iCs/>
          <w:szCs w:val="22"/>
          <w:lang w:val="es-ES_tradnl"/>
        </w:rPr>
      </w:pPr>
      <w:r w:rsidRPr="005828EE">
        <w:rPr>
          <w:rFonts w:ascii="Palatino Linotype" w:hAnsi="Palatino Linotype" w:eastAsia="Batang" w:cs="Tahoma"/>
          <w:bCs/>
          <w:i/>
          <w:iCs/>
          <w:szCs w:val="22"/>
          <w:lang w:val="es-ES_tradnl"/>
        </w:rPr>
        <w:t xml:space="preserve">2. Por otro lado, el particular señala que no se le informó que autoridad coloco o uso los sellos de “inmueble asegurado” con folio 0098-22-G. Sin embargo, dichas manifestaciones resultan </w:t>
      </w:r>
      <w:r w:rsidRPr="005828EE">
        <w:rPr>
          <w:rFonts w:ascii="Palatino Linotype" w:hAnsi="Palatino Linotype" w:eastAsia="Batang" w:cs="Tahoma"/>
          <w:b/>
          <w:i/>
          <w:iCs/>
          <w:szCs w:val="22"/>
          <w:u w:val="single"/>
          <w:lang w:val="es-ES_tradnl"/>
        </w:rPr>
        <w:t xml:space="preserve">infundadas, </w:t>
      </w:r>
      <w:r w:rsidRPr="005828EE">
        <w:rPr>
          <w:rFonts w:ascii="Palatino Linotype" w:hAnsi="Palatino Linotype" w:eastAsia="Batang" w:cs="Tahoma"/>
          <w:bCs/>
          <w:i/>
          <w:iCs/>
          <w:szCs w:val="22"/>
          <w:lang w:val="es-ES_tradnl"/>
        </w:rPr>
        <w:t>toda vez que en la respuesta contenida en el oficio número 2750/MAIP/FGJ/2022, se informó que la diligencia para colocar el sello de “INMUEBLE ASEGURADO” fue practicada por el Agente del Ministerio Público de la Agencia del Ministerio Publico Especializada en la Investigación del Delito de Robo de Vehículo con sede en Amecameca,</w:t>
      </w:r>
    </w:p>
    <w:p w:rsidRPr="005828EE" w:rsidR="00707743" w:rsidP="001D1C9C" w:rsidRDefault="00707743" w14:paraId="7FB3FD2B" w14:textId="37045594">
      <w:pPr>
        <w:spacing w:line="360" w:lineRule="auto"/>
        <w:ind w:left="567" w:right="539"/>
        <w:jc w:val="both"/>
        <w:rPr>
          <w:rFonts w:ascii="Palatino Linotype" w:hAnsi="Palatino Linotype" w:eastAsia="Batang" w:cs="Tahoma"/>
          <w:bCs/>
          <w:i/>
          <w:iCs/>
          <w:szCs w:val="22"/>
          <w:lang w:val="es-ES_tradnl"/>
        </w:rPr>
      </w:pPr>
    </w:p>
    <w:p w:rsidRPr="005828EE" w:rsidR="00707743" w:rsidP="001D1C9C" w:rsidRDefault="00707743" w14:paraId="3C53EB74" w14:textId="2DC0F749">
      <w:pPr>
        <w:spacing w:line="360" w:lineRule="auto"/>
        <w:ind w:left="567" w:right="539"/>
        <w:jc w:val="both"/>
        <w:rPr>
          <w:rFonts w:ascii="Palatino Linotype" w:hAnsi="Palatino Linotype" w:eastAsia="Batang" w:cs="Tahoma"/>
          <w:bCs/>
          <w:i/>
          <w:iCs/>
          <w:szCs w:val="22"/>
          <w:lang w:val="es-ES_tradnl"/>
        </w:rPr>
      </w:pPr>
      <w:r w:rsidRPr="005828EE">
        <w:rPr>
          <w:rFonts w:ascii="Palatino Linotype" w:hAnsi="Palatino Linotype" w:eastAsia="Batang" w:cs="Tahoma"/>
          <w:bCs/>
          <w:i/>
          <w:iCs/>
          <w:szCs w:val="22"/>
          <w:lang w:val="es-ES_tradnl"/>
        </w:rPr>
        <w:t>No se mite informar al ahora recurrente que, en caso de ser parte, puede acudir a la referida unidad administrativa para que previo a acreditar su personalidad, le puedan ser proporcionados mayores datos de la diligencia practicada.</w:t>
      </w:r>
    </w:p>
    <w:p w:rsidRPr="005828EE" w:rsidR="00707743" w:rsidP="001D1C9C" w:rsidRDefault="00707743" w14:paraId="5EDB692F" w14:textId="225F1CB9">
      <w:pPr>
        <w:spacing w:line="360" w:lineRule="auto"/>
        <w:ind w:left="567" w:right="539"/>
        <w:jc w:val="both"/>
        <w:rPr>
          <w:rFonts w:ascii="Palatino Linotype" w:hAnsi="Palatino Linotype" w:eastAsia="Batang" w:cs="Tahoma"/>
          <w:bCs/>
          <w:i/>
          <w:iCs/>
          <w:szCs w:val="22"/>
          <w:lang w:val="es-ES_tradnl"/>
        </w:rPr>
      </w:pPr>
    </w:p>
    <w:p w:rsidRPr="005828EE" w:rsidR="00707743" w:rsidP="001D1C9C" w:rsidRDefault="00E6508C" w14:paraId="35DDA738" w14:textId="37D614C6">
      <w:pPr>
        <w:spacing w:line="360" w:lineRule="auto"/>
        <w:ind w:left="567" w:right="539"/>
        <w:jc w:val="both"/>
        <w:rPr>
          <w:rFonts w:ascii="Palatino Linotype" w:hAnsi="Palatino Linotype" w:eastAsia="Batang" w:cs="Tahoma"/>
          <w:bCs/>
          <w:i/>
          <w:iCs/>
          <w:szCs w:val="22"/>
          <w:lang w:val="es-ES_tradnl"/>
        </w:rPr>
      </w:pPr>
      <w:r w:rsidRPr="005828EE">
        <w:rPr>
          <w:rFonts w:ascii="Palatino Linotype" w:hAnsi="Palatino Linotype" w:eastAsia="Batang" w:cs="Tahoma"/>
          <w:b/>
          <w:i/>
          <w:iCs/>
          <w:szCs w:val="22"/>
          <w:lang w:val="es-ES_tradnl"/>
        </w:rPr>
        <w:t xml:space="preserve">CUARTO.- </w:t>
      </w:r>
      <w:r w:rsidRPr="005828EE">
        <w:rPr>
          <w:rFonts w:ascii="Palatino Linotype" w:hAnsi="Palatino Linotype" w:eastAsia="Batang" w:cs="Tahoma"/>
          <w:bCs/>
          <w:i/>
          <w:iCs/>
          <w:szCs w:val="22"/>
          <w:lang w:val="es-ES_tradnl"/>
        </w:rPr>
        <w:t xml:space="preserve">No debe pasar desapercibido para la ponencia resolutoria que el particular, en la interposición del recurso de revisión </w:t>
      </w:r>
      <w:r w:rsidRPr="005828EE">
        <w:rPr>
          <w:rFonts w:ascii="Palatino Linotype" w:hAnsi="Palatino Linotype" w:eastAsia="Batang" w:cs="Tahoma"/>
          <w:b/>
          <w:i/>
          <w:iCs/>
          <w:szCs w:val="22"/>
          <w:u w:val="single"/>
          <w:lang w:val="es-ES_tradnl"/>
        </w:rPr>
        <w:t xml:space="preserve">amplia su solicitud inicial, </w:t>
      </w:r>
      <w:r w:rsidRPr="005828EE">
        <w:rPr>
          <w:rFonts w:ascii="Palatino Linotype" w:hAnsi="Palatino Linotype" w:eastAsia="Batang" w:cs="Tahoma"/>
          <w:bCs/>
          <w:i/>
          <w:iCs/>
          <w:szCs w:val="22"/>
          <w:lang w:val="es-ES_tradnl"/>
        </w:rPr>
        <w:t xml:space="preserve">toda vez que ahora requiere le sea entregada el expediente o carpeta de investigación en versión publica referente a la colocación del sello de “INMUEBLE ASEGURADO”, información que </w:t>
      </w:r>
      <w:r w:rsidRPr="005828EE">
        <w:rPr>
          <w:rFonts w:ascii="Palatino Linotype" w:hAnsi="Palatino Linotype" w:eastAsia="Batang" w:cs="Tahoma"/>
          <w:b/>
          <w:i/>
          <w:iCs/>
          <w:szCs w:val="22"/>
          <w:u w:val="single"/>
          <w:lang w:val="es-ES_tradnl"/>
        </w:rPr>
        <w:t xml:space="preserve">no fue requerida en un principio, </w:t>
      </w:r>
      <w:r w:rsidRPr="005828EE">
        <w:rPr>
          <w:rFonts w:ascii="Palatino Linotype" w:hAnsi="Palatino Linotype" w:eastAsia="Batang" w:cs="Tahoma"/>
          <w:bCs/>
          <w:i/>
          <w:iCs/>
          <w:szCs w:val="22"/>
          <w:lang w:val="es-ES_tradnl"/>
        </w:rPr>
        <w:t xml:space="preserve">así </w:t>
      </w:r>
      <w:r w:rsidRPr="005828EE">
        <w:rPr>
          <w:rFonts w:ascii="Palatino Linotype" w:hAnsi="Palatino Linotype" w:eastAsia="Batang" w:cs="Tahoma"/>
          <w:bCs/>
          <w:i/>
          <w:iCs/>
          <w:szCs w:val="22"/>
          <w:lang w:val="es-ES_tradnl"/>
        </w:rPr>
        <w:lastRenderedPageBreak/>
        <w:t>como el acuerdo de clasificación emitido por el Comité de Transparencia de este sujeto obligado y tales requerimientos deben ser desechados.</w:t>
      </w:r>
    </w:p>
    <w:p w:rsidRPr="005828EE" w:rsidR="001D1C9C" w:rsidP="001D1C9C" w:rsidRDefault="00E6508C" w14:paraId="1E6D715C" w14:textId="5964BC98">
      <w:pPr>
        <w:spacing w:line="360" w:lineRule="auto"/>
        <w:ind w:left="567" w:right="539"/>
        <w:jc w:val="both"/>
        <w:rPr>
          <w:rFonts w:ascii="Palatino Linotype" w:hAnsi="Palatino Linotype" w:eastAsia="Batang" w:cs="Tahoma"/>
          <w:bCs/>
          <w:i/>
          <w:iCs/>
          <w:szCs w:val="22"/>
          <w:lang w:val="es-ES_tradnl"/>
        </w:rPr>
      </w:pPr>
      <w:r w:rsidRPr="005828EE">
        <w:rPr>
          <w:rFonts w:ascii="Palatino Linotype" w:hAnsi="Palatino Linotype" w:eastAsia="Batang" w:cs="Tahoma"/>
          <w:b/>
          <w:i/>
          <w:iCs/>
          <w:szCs w:val="22"/>
          <w:lang w:val="es-ES_tradnl"/>
        </w:rPr>
        <w:t>…</w:t>
      </w:r>
      <w:r w:rsidRPr="005828EE" w:rsidR="001D1C9C">
        <w:rPr>
          <w:rFonts w:ascii="Palatino Linotype" w:hAnsi="Palatino Linotype" w:eastAsia="Batang" w:cs="Tahoma"/>
          <w:bCs/>
          <w:i/>
          <w:iCs/>
          <w:szCs w:val="22"/>
          <w:lang w:val="es-ES_tradnl"/>
        </w:rPr>
        <w:t>”</w:t>
      </w:r>
    </w:p>
    <w:p w:rsidRPr="005828EE" w:rsidR="001D1C9C" w:rsidP="001D1C9C" w:rsidRDefault="001D1C9C" w14:paraId="67A2A7CB" w14:textId="77777777">
      <w:pPr>
        <w:spacing w:line="360" w:lineRule="auto"/>
        <w:jc w:val="both"/>
        <w:rPr>
          <w:rFonts w:ascii="Palatino Linotype" w:hAnsi="Palatino Linotype" w:cs="Tahoma"/>
          <w:sz w:val="22"/>
          <w:szCs w:val="22"/>
        </w:rPr>
      </w:pPr>
    </w:p>
    <w:p w:rsidRPr="005828EE" w:rsidR="001D1C9C" w:rsidP="001D1C9C" w:rsidRDefault="001D1C9C" w14:paraId="749AAAD5" w14:textId="478E0DDE">
      <w:pPr>
        <w:spacing w:line="360" w:lineRule="auto"/>
        <w:jc w:val="both"/>
        <w:rPr>
          <w:rFonts w:ascii="Palatino Linotype" w:hAnsi="Palatino Linotype" w:cs="Tahoma"/>
          <w:sz w:val="22"/>
          <w:szCs w:val="22"/>
        </w:rPr>
      </w:pPr>
      <w:r w:rsidRPr="005828EE">
        <w:rPr>
          <w:rFonts w:ascii="Palatino Linotype" w:hAnsi="Palatino Linotype" w:cs="Tahoma"/>
          <w:b/>
          <w:sz w:val="22"/>
          <w:szCs w:val="22"/>
        </w:rPr>
        <w:t>d). Vista del Informe Justificado</w:t>
      </w:r>
      <w:r w:rsidRPr="005828EE">
        <w:rPr>
          <w:rFonts w:ascii="Palatino Linotype" w:hAnsi="Palatino Linotype" w:cs="Tahoma"/>
          <w:sz w:val="22"/>
          <w:szCs w:val="22"/>
        </w:rPr>
        <w:t xml:space="preserve">. El </w:t>
      </w:r>
      <w:r w:rsidRPr="005828EE" w:rsidR="00815DA9">
        <w:rPr>
          <w:rFonts w:ascii="Palatino Linotype" w:hAnsi="Palatino Linotype" w:cs="Tahoma"/>
          <w:sz w:val="22"/>
          <w:szCs w:val="22"/>
        </w:rPr>
        <w:t>veintisiete de febrero</w:t>
      </w:r>
      <w:r w:rsidRPr="005828EE" w:rsidR="00E95147">
        <w:rPr>
          <w:rFonts w:ascii="Palatino Linotype" w:hAnsi="Palatino Linotype" w:cs="Tahoma"/>
          <w:sz w:val="22"/>
          <w:szCs w:val="22"/>
        </w:rPr>
        <w:t xml:space="preserve"> de dos mil veintitrés</w:t>
      </w:r>
      <w:r w:rsidRPr="005828EE">
        <w:rPr>
          <w:rFonts w:ascii="Palatino Linotype" w:hAnsi="Palatino Linotype" w:cs="Tahoma"/>
          <w:sz w:val="22"/>
          <w:szCs w:val="22"/>
        </w:rPr>
        <w:t xml:space="preserve">, se dictó acuerdo mediante el cual se puso a la vista del Particular, el Informe Justificado, el cual le fue notificado, en esa misma fecha, a través del Sistema de Acceso a la Información Mexiquense (SAIMEX). </w:t>
      </w:r>
    </w:p>
    <w:p w:rsidRPr="005828EE" w:rsidR="006127B0" w:rsidP="001D1C9C" w:rsidRDefault="006127B0" w14:paraId="2FB6CF19" w14:textId="77777777">
      <w:pPr>
        <w:spacing w:line="360" w:lineRule="auto"/>
        <w:jc w:val="both"/>
        <w:rPr>
          <w:rFonts w:ascii="Palatino Linotype" w:hAnsi="Palatino Linotype" w:cs="Tahoma"/>
          <w:sz w:val="22"/>
          <w:szCs w:val="22"/>
        </w:rPr>
      </w:pPr>
    </w:p>
    <w:p w:rsidRPr="005828EE" w:rsidR="006127B0" w:rsidP="001D1C9C" w:rsidRDefault="006127B0" w14:paraId="743D8A54" w14:textId="3F7A5B90">
      <w:pPr>
        <w:spacing w:line="360" w:lineRule="auto"/>
        <w:jc w:val="both"/>
        <w:rPr>
          <w:rFonts w:ascii="Palatino Linotype" w:hAnsi="Palatino Linotype" w:cs="Tahoma"/>
          <w:sz w:val="22"/>
          <w:szCs w:val="22"/>
        </w:rPr>
      </w:pPr>
      <w:r w:rsidRPr="005828EE">
        <w:rPr>
          <w:rFonts w:ascii="Palatino Linotype" w:hAnsi="Palatino Linotype" w:cs="Tahoma"/>
          <w:b/>
          <w:bCs/>
          <w:sz w:val="22"/>
          <w:szCs w:val="22"/>
        </w:rPr>
        <w:t xml:space="preserve">e) Manifestaciones del Recurrente: </w:t>
      </w:r>
      <w:r w:rsidRPr="005828EE">
        <w:rPr>
          <w:rFonts w:ascii="Palatino Linotype" w:hAnsi="Palatino Linotype" w:cs="Tahoma"/>
          <w:sz w:val="22"/>
          <w:szCs w:val="22"/>
        </w:rPr>
        <w:t>El veintisiete de febrero de dos mil veintitrés, el Particular realizó sus manifestaciones en los siguientes términos.</w:t>
      </w:r>
    </w:p>
    <w:p w:rsidRPr="005828EE" w:rsidR="006127B0" w:rsidP="001D1C9C" w:rsidRDefault="006127B0" w14:paraId="541775A8" w14:textId="77777777">
      <w:pPr>
        <w:spacing w:line="360" w:lineRule="auto"/>
        <w:jc w:val="both"/>
        <w:rPr>
          <w:rFonts w:ascii="Palatino Linotype" w:hAnsi="Palatino Linotype" w:cs="Tahoma"/>
          <w:b/>
          <w:bCs/>
          <w:sz w:val="22"/>
          <w:szCs w:val="22"/>
        </w:rPr>
      </w:pPr>
    </w:p>
    <w:p w:rsidRPr="005828EE" w:rsidR="00A80EE1" w:rsidP="00A80EE1" w:rsidRDefault="00A80EE1" w14:paraId="4F300FE7" w14:textId="77777777">
      <w:pPr>
        <w:spacing w:line="360" w:lineRule="auto"/>
        <w:ind w:left="567" w:right="539"/>
        <w:jc w:val="both"/>
        <w:rPr>
          <w:rFonts w:ascii="Palatino Linotype" w:hAnsi="Palatino Linotype" w:cs="Tahoma"/>
          <w:b/>
          <w:bCs/>
          <w:sz w:val="22"/>
          <w:szCs w:val="22"/>
        </w:rPr>
      </w:pPr>
      <w:r w:rsidRPr="005828EE">
        <w:rPr>
          <w:rFonts w:ascii="Palatino Linotype" w:hAnsi="Palatino Linotype" w:cs="Tahoma"/>
          <w:b/>
          <w:bCs/>
          <w:sz w:val="22"/>
          <w:szCs w:val="22"/>
        </w:rPr>
        <w:t>“…</w:t>
      </w:r>
    </w:p>
    <w:p w:rsidRPr="005828EE" w:rsidR="00A80EE1" w:rsidP="00A80EE1" w:rsidRDefault="00A80EE1" w14:paraId="16A210C5" w14:textId="01DEEE35">
      <w:pPr>
        <w:spacing w:line="360" w:lineRule="auto"/>
        <w:ind w:left="567" w:right="539"/>
        <w:jc w:val="both"/>
        <w:rPr>
          <w:rFonts w:ascii="Palatino Linotype" w:hAnsi="Palatino Linotype" w:eastAsia="Batang" w:cs="Tahoma"/>
          <w:bCs/>
          <w:i/>
          <w:iCs/>
          <w:szCs w:val="22"/>
          <w:lang w:val="es-ES_tradnl"/>
        </w:rPr>
      </w:pPr>
      <w:r w:rsidRPr="005828EE">
        <w:rPr>
          <w:rFonts w:ascii="Palatino Linotype" w:hAnsi="Palatino Linotype" w:eastAsia="Batang" w:cs="Tahoma"/>
          <w:bCs/>
          <w:i/>
          <w:iCs/>
          <w:szCs w:val="22"/>
          <w:lang w:val="es-ES_tradnl"/>
        </w:rPr>
        <w:t>Por lo cual se reitera que este Entrego la información incompleta, En el oficio de fecha 22 de noviembre de 2022, en términos de la Ley de Transparencia y Acceso a la Información Pública del Estado de México y Municipios</w:t>
      </w:r>
    </w:p>
    <w:p w:rsidRPr="005828EE" w:rsidR="00A80EE1" w:rsidP="00A80EE1" w:rsidRDefault="00A80EE1" w14:paraId="20BF00D8" w14:textId="77777777">
      <w:pPr>
        <w:spacing w:line="360" w:lineRule="auto"/>
        <w:ind w:left="567" w:right="539"/>
        <w:jc w:val="both"/>
        <w:rPr>
          <w:rFonts w:ascii="Palatino Linotype" w:hAnsi="Palatino Linotype" w:eastAsia="Batang" w:cs="Tahoma"/>
          <w:bCs/>
          <w:i/>
          <w:iCs/>
          <w:szCs w:val="22"/>
          <w:lang w:val="es-ES_tradnl"/>
        </w:rPr>
      </w:pPr>
    </w:p>
    <w:p w:rsidRPr="005828EE" w:rsidR="00A80EE1" w:rsidP="00A80EE1" w:rsidRDefault="00A80EE1" w14:paraId="5A901D2F" w14:textId="77777777">
      <w:pPr>
        <w:spacing w:line="360" w:lineRule="auto"/>
        <w:ind w:left="567" w:right="539"/>
        <w:jc w:val="both"/>
        <w:rPr>
          <w:rFonts w:ascii="Palatino Linotype" w:hAnsi="Palatino Linotype" w:eastAsia="Batang" w:cs="Tahoma"/>
          <w:bCs/>
          <w:i/>
          <w:iCs/>
          <w:szCs w:val="22"/>
          <w:lang w:val="es-ES_tradnl"/>
        </w:rPr>
      </w:pPr>
      <w:r w:rsidRPr="005828EE">
        <w:rPr>
          <w:rFonts w:ascii="Palatino Linotype" w:hAnsi="Palatino Linotype" w:eastAsia="Batang" w:cs="Tahoma"/>
          <w:bCs/>
          <w:i/>
          <w:iCs/>
          <w:szCs w:val="22"/>
          <w:lang w:val="es-ES_tradnl"/>
        </w:rPr>
        <w:t xml:space="preserve">Y como motivos de inconformidad:  la negativa a proporcionar la información solicitada. </w:t>
      </w:r>
    </w:p>
    <w:p w:rsidRPr="005828EE" w:rsidR="00A80EE1" w:rsidP="00A80EE1" w:rsidRDefault="00A80EE1" w14:paraId="65BC6F2F" w14:textId="635A0C4D">
      <w:pPr>
        <w:spacing w:line="360" w:lineRule="auto"/>
        <w:ind w:left="567" w:right="539"/>
        <w:jc w:val="both"/>
        <w:rPr>
          <w:rFonts w:ascii="Palatino Linotype" w:hAnsi="Palatino Linotype" w:eastAsia="Batang" w:cs="Tahoma"/>
          <w:bCs/>
          <w:i/>
          <w:iCs/>
          <w:szCs w:val="22"/>
          <w:lang w:val="es-ES_tradnl"/>
        </w:rPr>
      </w:pPr>
      <w:r w:rsidRPr="005828EE">
        <w:rPr>
          <w:rFonts w:ascii="Palatino Linotype" w:hAnsi="Palatino Linotype" w:eastAsia="Batang" w:cs="Tahoma"/>
          <w:bCs/>
          <w:i/>
          <w:iCs/>
          <w:szCs w:val="22"/>
          <w:lang w:val="es-ES_tradnl"/>
        </w:rPr>
        <w:t xml:space="preserve">Del análisis a las constancias que integran el Oficio de contestación de fecha 22 de noviembre del 2022, con número de oficio s/n,  se advierte que  el </w:t>
      </w:r>
      <w:r w:rsidRPr="005828EE">
        <w:rPr>
          <w:rFonts w:ascii="Palatino Linotype" w:hAnsi="Palatino Linotype" w:eastAsia="Batang" w:cs="Tahoma"/>
          <w:b/>
          <w:i/>
          <w:iCs/>
          <w:szCs w:val="22"/>
          <w:lang w:val="es-ES_tradnl"/>
        </w:rPr>
        <w:t>SUJETO OBLIGADO no</w:t>
      </w:r>
      <w:r w:rsidRPr="005828EE">
        <w:rPr>
          <w:rFonts w:ascii="Palatino Linotype" w:hAnsi="Palatino Linotype" w:eastAsia="Batang" w:cs="Tahoma"/>
          <w:bCs/>
          <w:i/>
          <w:iCs/>
          <w:szCs w:val="22"/>
          <w:lang w:val="es-ES_tradnl"/>
        </w:rPr>
        <w:t xml:space="preserve"> proporciono la  información consistente en lo siguiente:</w:t>
      </w:r>
    </w:p>
    <w:p w:rsidRPr="005828EE" w:rsidR="00A80EE1" w:rsidP="00A80EE1" w:rsidRDefault="00A80EE1" w14:paraId="0902597C" w14:textId="77777777">
      <w:pPr>
        <w:spacing w:line="360" w:lineRule="auto"/>
        <w:ind w:left="567" w:right="539"/>
        <w:jc w:val="both"/>
        <w:rPr>
          <w:rFonts w:ascii="Palatino Linotype" w:hAnsi="Palatino Linotype" w:eastAsia="Batang" w:cs="Tahoma"/>
          <w:bCs/>
          <w:i/>
          <w:iCs/>
          <w:szCs w:val="22"/>
          <w:lang w:val="es-ES_tradnl"/>
        </w:rPr>
      </w:pPr>
      <w:r w:rsidRPr="005828EE">
        <w:rPr>
          <w:rFonts w:ascii="Palatino Linotype" w:hAnsi="Palatino Linotype" w:eastAsia="Batang" w:cs="Tahoma"/>
          <w:bCs/>
          <w:i/>
          <w:iCs/>
          <w:szCs w:val="22"/>
          <w:lang w:val="es-ES_tradnl"/>
        </w:rPr>
        <w:t xml:space="preserve">QUE SE ME PROPORCIONE EL MANUAL, CIRCULAR O OFICIO SOBRE LOS PROTOCOLOS DE ACTUACIÓN DE ASEGURAMIENTO DE LOS BIENES INMUEBLES ASEGURADOS POR LA FISCALIA GENERAL DE JUSTICIA DEL ESTADO DE MÉXICO. 2. QUE CENTRO DE ATENCIÓN CIUDADANA; TURNO, MESA DE TRAMITE O AGENTE DEL MINISTERIO PUBLICO COLOCO O USO LOS SELLOS DE "INMUEBLE ASEGURADO" CON FOLIO 0098-22-G; TODA VEZ QUE SE TIENE EN UN INMUEBLE LOCALIZADO EN SUR 7, MANZANA 233, LOTE 8, COLONIA NIÑOS HÉROES 2DA </w:t>
      </w:r>
      <w:r w:rsidRPr="005828EE">
        <w:rPr>
          <w:rFonts w:ascii="Palatino Linotype" w:hAnsi="Palatino Linotype" w:eastAsia="Batang" w:cs="Tahoma"/>
          <w:bCs/>
          <w:i/>
          <w:iCs/>
          <w:szCs w:val="22"/>
          <w:lang w:val="es-ES_tradnl"/>
        </w:rPr>
        <w:lastRenderedPageBreak/>
        <w:t>SECCIÓN, VALLE DE CHALCO, SOLIDARIDAD, ESTADO DE MÉXICO; ESTE FOLIO, SIN QUE SE COLOCARA FISCALIA O CARPETA (anexo foto en doc</w:t>
      </w:r>
    </w:p>
    <w:p w:rsidRPr="005828EE" w:rsidR="00A80EE1" w:rsidP="00A80EE1" w:rsidRDefault="00A80EE1" w14:paraId="3A2FA3BE" w14:textId="77777777">
      <w:pPr>
        <w:spacing w:line="360" w:lineRule="auto"/>
        <w:ind w:left="567" w:right="539"/>
        <w:jc w:val="both"/>
        <w:rPr>
          <w:rFonts w:ascii="Palatino Linotype" w:hAnsi="Palatino Linotype" w:eastAsia="Batang" w:cs="Tahoma"/>
          <w:bCs/>
          <w:i/>
          <w:iCs/>
          <w:szCs w:val="22"/>
          <w:lang w:val="es-ES_tradnl"/>
        </w:rPr>
      </w:pPr>
      <w:r w:rsidRPr="005828EE">
        <w:rPr>
          <w:rFonts w:ascii="Palatino Linotype" w:hAnsi="Palatino Linotype" w:eastAsia="Batang" w:cs="Tahoma"/>
          <w:bCs/>
          <w:i/>
          <w:iCs/>
          <w:szCs w:val="22"/>
          <w:lang w:val="es-ES_tradnl"/>
        </w:rPr>
        <w:t xml:space="preserve">Ante tal situación, interpongo el Recurso de Revisión materia del presente asunto, inconformándome principalmente de que no se me entregó la información completa. </w:t>
      </w:r>
    </w:p>
    <w:p w:rsidRPr="005828EE" w:rsidR="00A80EE1" w:rsidP="00A80EE1" w:rsidRDefault="00A80EE1" w14:paraId="50A9849E" w14:textId="77777777">
      <w:pPr>
        <w:spacing w:line="360" w:lineRule="auto"/>
        <w:ind w:left="567" w:right="539"/>
        <w:jc w:val="both"/>
        <w:rPr>
          <w:rFonts w:ascii="Palatino Linotype" w:hAnsi="Palatino Linotype" w:eastAsia="Batang" w:cs="Tahoma"/>
          <w:bCs/>
          <w:i/>
          <w:iCs/>
          <w:szCs w:val="22"/>
          <w:lang w:val="es-ES_tradnl"/>
        </w:rPr>
      </w:pPr>
    </w:p>
    <w:p w:rsidRPr="005828EE" w:rsidR="00A80EE1" w:rsidP="00A80EE1" w:rsidRDefault="00A80EE1" w14:paraId="12517E03" w14:textId="77777777">
      <w:pPr>
        <w:spacing w:line="360" w:lineRule="auto"/>
        <w:ind w:left="567" w:right="539"/>
        <w:jc w:val="both"/>
        <w:rPr>
          <w:rFonts w:ascii="Palatino Linotype" w:hAnsi="Palatino Linotype" w:eastAsia="Batang" w:cs="Tahoma"/>
          <w:bCs/>
          <w:i/>
          <w:iCs/>
          <w:szCs w:val="22"/>
          <w:lang w:val="es-ES_tradnl"/>
        </w:rPr>
      </w:pPr>
      <w:r w:rsidRPr="005828EE">
        <w:rPr>
          <w:rFonts w:ascii="Palatino Linotype" w:hAnsi="Palatino Linotype" w:eastAsia="Batang" w:cs="Tahoma"/>
          <w:bCs/>
          <w:i/>
          <w:iCs/>
          <w:szCs w:val="22"/>
          <w:lang w:val="es-ES_tradnl"/>
        </w:rPr>
        <w:t>En primer lugar, es conveniente analizar que  la respuesta del Sujeto Obligado NO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w:t>
      </w:r>
    </w:p>
    <w:p w:rsidRPr="005828EE" w:rsidR="00A80EE1" w:rsidP="00A80EE1" w:rsidRDefault="00A80EE1" w14:paraId="5B5C000C" w14:textId="77777777">
      <w:pPr>
        <w:spacing w:line="360" w:lineRule="auto"/>
        <w:ind w:left="567" w:right="539"/>
        <w:jc w:val="both"/>
        <w:rPr>
          <w:rFonts w:ascii="Palatino Linotype" w:hAnsi="Palatino Linotype" w:eastAsia="Batang" w:cs="Tahoma"/>
          <w:bCs/>
          <w:i/>
          <w:iCs/>
          <w:szCs w:val="22"/>
          <w:lang w:val="es-ES_tradnl"/>
        </w:rPr>
      </w:pPr>
    </w:p>
    <w:p w:rsidRPr="005828EE" w:rsidR="00A80EE1" w:rsidP="00A80EE1" w:rsidRDefault="00A80EE1" w14:paraId="737AA6B8" w14:textId="77777777">
      <w:pPr>
        <w:spacing w:line="360" w:lineRule="auto"/>
        <w:ind w:left="567" w:right="539"/>
        <w:jc w:val="both"/>
        <w:rPr>
          <w:rFonts w:ascii="Palatino Linotype" w:hAnsi="Palatino Linotype" w:eastAsia="Batang" w:cs="Tahoma"/>
          <w:bCs/>
          <w:i/>
          <w:iCs/>
          <w:szCs w:val="22"/>
          <w:lang w:val="es-ES_tradnl"/>
        </w:rPr>
      </w:pPr>
      <w:r w:rsidRPr="005828EE">
        <w:rPr>
          <w:rFonts w:ascii="Palatino Linotype" w:hAnsi="Palatino Linotype" w:eastAsia="Batang" w:cs="Tahoma"/>
          <w:bCs/>
          <w:i/>
          <w:iCs/>
          <w:szCs w:val="22"/>
          <w:lang w:val="es-ES_tradnl"/>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w:t>
      </w:r>
    </w:p>
    <w:p w:rsidRPr="005828EE" w:rsidR="00A80EE1" w:rsidP="00A80EE1" w:rsidRDefault="00A80EE1" w14:paraId="435AE34B" w14:textId="77777777">
      <w:pPr>
        <w:spacing w:line="360" w:lineRule="auto"/>
        <w:ind w:left="567" w:right="539"/>
        <w:jc w:val="both"/>
        <w:rPr>
          <w:rFonts w:ascii="Palatino Linotype" w:hAnsi="Palatino Linotype" w:eastAsia="Batang" w:cs="Tahoma"/>
          <w:bCs/>
          <w:i/>
          <w:iCs/>
          <w:szCs w:val="22"/>
          <w:lang w:val="es-ES_tradnl"/>
        </w:rPr>
      </w:pPr>
    </w:p>
    <w:p w:rsidRPr="005828EE" w:rsidR="00A80EE1" w:rsidP="00A80EE1" w:rsidRDefault="00A80EE1" w14:paraId="10CE973B" w14:textId="77777777">
      <w:pPr>
        <w:spacing w:line="360" w:lineRule="auto"/>
        <w:ind w:left="567" w:right="539"/>
        <w:jc w:val="both"/>
        <w:rPr>
          <w:rFonts w:ascii="Palatino Linotype" w:hAnsi="Palatino Linotype" w:eastAsia="Batang" w:cs="Tahoma"/>
          <w:bCs/>
          <w:i/>
          <w:iCs/>
          <w:szCs w:val="22"/>
          <w:lang w:val="es-ES_tradnl"/>
        </w:rPr>
      </w:pPr>
      <w:r w:rsidRPr="005828EE">
        <w:rPr>
          <w:rFonts w:ascii="Palatino Linotype" w:hAnsi="Palatino Linotype" w:eastAsia="Batang" w:cs="Tahoma"/>
          <w:bCs/>
          <w:i/>
          <w:iCs/>
          <w:szCs w:val="22"/>
          <w:lang w:val="es-ES_tradnl"/>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Pr="005828EE" w:rsidR="00EF2617" w:rsidP="00A80EE1" w:rsidRDefault="00EF2617" w14:paraId="7C2C5809" w14:textId="77777777">
      <w:pPr>
        <w:spacing w:line="360" w:lineRule="auto"/>
        <w:ind w:left="567" w:right="539"/>
        <w:jc w:val="both"/>
        <w:rPr>
          <w:rFonts w:ascii="Palatino Linotype" w:hAnsi="Palatino Linotype" w:eastAsia="Batang" w:cs="Tahoma"/>
          <w:bCs/>
          <w:i/>
          <w:iCs/>
          <w:szCs w:val="22"/>
          <w:lang w:val="es-ES_tradnl"/>
        </w:rPr>
      </w:pPr>
    </w:p>
    <w:p w:rsidRPr="005828EE" w:rsidR="00A80EE1" w:rsidP="00A80EE1" w:rsidRDefault="00A80EE1" w14:paraId="608C63E2" w14:textId="77777777">
      <w:pPr>
        <w:spacing w:line="360" w:lineRule="auto"/>
        <w:ind w:left="567" w:right="539"/>
        <w:jc w:val="both"/>
        <w:rPr>
          <w:rFonts w:ascii="Palatino Linotype" w:hAnsi="Palatino Linotype" w:eastAsia="Batang" w:cs="Tahoma"/>
          <w:b/>
          <w:i/>
          <w:iCs/>
          <w:szCs w:val="22"/>
          <w:lang w:val="es-ES_tradnl"/>
        </w:rPr>
      </w:pPr>
      <w:r w:rsidRPr="005828EE">
        <w:rPr>
          <w:rFonts w:ascii="Palatino Linotype" w:hAnsi="Palatino Linotype" w:eastAsia="Batang" w:cs="Tahoma"/>
          <w:b/>
          <w:i/>
          <w:iCs/>
          <w:szCs w:val="22"/>
          <w:lang w:val="es-ES_tradnl"/>
        </w:rPr>
        <w:t>“CRITERIO 0002-11</w:t>
      </w:r>
    </w:p>
    <w:p w:rsidRPr="005828EE" w:rsidR="00A80EE1" w:rsidP="00A80EE1" w:rsidRDefault="00A80EE1" w14:paraId="04E0D0D0" w14:textId="77777777">
      <w:pPr>
        <w:spacing w:line="360" w:lineRule="auto"/>
        <w:ind w:left="567" w:right="539"/>
        <w:jc w:val="both"/>
        <w:rPr>
          <w:rFonts w:ascii="Palatino Linotype" w:hAnsi="Palatino Linotype" w:eastAsia="Batang" w:cs="Tahoma"/>
          <w:bCs/>
          <w:i/>
          <w:iCs/>
          <w:szCs w:val="22"/>
          <w:lang w:val="es-ES_tradnl"/>
        </w:rPr>
      </w:pPr>
      <w:r w:rsidRPr="005828EE">
        <w:rPr>
          <w:rFonts w:ascii="Palatino Linotype" w:hAnsi="Palatino Linotype" w:eastAsia="Batang" w:cs="Tahoma"/>
          <w:b/>
          <w:i/>
          <w:iCs/>
          <w:szCs w:val="22"/>
          <w:lang w:val="es-ES_tradnl"/>
        </w:rPr>
        <w:t>INFORMACIÓN PÚBLICA, CONCEPTO DE, EN MATERIA DE TRANSPARENCIA. INTERPRETACIÓN SISTEMÁTICA DE LOS ARTÍCULOS 2°, FRACCIÓN V, XV, Y XVI, 3°, 4°, 11 Y 41</w:t>
      </w:r>
      <w:r w:rsidRPr="005828EE">
        <w:rPr>
          <w:rFonts w:ascii="Palatino Linotype" w:hAnsi="Palatino Linotype" w:eastAsia="Batang" w:cs="Tahoma"/>
          <w:bCs/>
          <w:i/>
          <w:iCs/>
          <w:szCs w:val="22"/>
          <w:lang w:val="es-ES_tradnl"/>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w:t>
      </w:r>
      <w:r w:rsidRPr="005828EE">
        <w:rPr>
          <w:rFonts w:ascii="Palatino Linotype" w:hAnsi="Palatino Linotype" w:eastAsia="Batang" w:cs="Tahoma"/>
          <w:bCs/>
          <w:i/>
          <w:iCs/>
          <w:szCs w:val="22"/>
          <w:lang w:val="es-ES_tradnl"/>
        </w:rPr>
        <w:lastRenderedPageBreak/>
        <w:t>en virtud del ejercicio de sus funciones de derecho público, sin importar su fuente, soporte o fecha de elaboración.</w:t>
      </w:r>
    </w:p>
    <w:p w:rsidRPr="005828EE" w:rsidR="00A80EE1" w:rsidP="00A80EE1" w:rsidRDefault="00A80EE1" w14:paraId="3FB76AC5" w14:textId="77777777">
      <w:pPr>
        <w:spacing w:line="360" w:lineRule="auto"/>
        <w:ind w:left="567" w:right="539"/>
        <w:jc w:val="both"/>
        <w:rPr>
          <w:rFonts w:ascii="Palatino Linotype" w:hAnsi="Palatino Linotype" w:eastAsia="Batang" w:cs="Tahoma"/>
          <w:bCs/>
          <w:i/>
          <w:iCs/>
          <w:szCs w:val="22"/>
          <w:lang w:val="es-ES_tradnl"/>
        </w:rPr>
      </w:pPr>
      <w:r w:rsidRPr="005828EE">
        <w:rPr>
          <w:rFonts w:ascii="Palatino Linotype" w:hAnsi="Palatino Linotype" w:eastAsia="Batang" w:cs="Tahoma"/>
          <w:bCs/>
          <w:i/>
          <w:iCs/>
          <w:szCs w:val="22"/>
          <w:lang w:val="es-ES_tradnl"/>
        </w:rPr>
        <w:t>En consecuencia el acceso a la información se refiere a que se cumplan cualquiera de los siguientes tres supuestos:</w:t>
      </w:r>
    </w:p>
    <w:p w:rsidRPr="005828EE" w:rsidR="00A80EE1" w:rsidP="00A80EE1" w:rsidRDefault="00A80EE1" w14:paraId="7A87CBAC" w14:textId="77777777">
      <w:pPr>
        <w:spacing w:line="360" w:lineRule="auto"/>
        <w:ind w:left="567" w:right="539"/>
        <w:jc w:val="both"/>
        <w:rPr>
          <w:rFonts w:ascii="Palatino Linotype" w:hAnsi="Palatino Linotype" w:eastAsia="Batang" w:cs="Tahoma"/>
          <w:bCs/>
          <w:i/>
          <w:iCs/>
          <w:szCs w:val="22"/>
          <w:lang w:val="es-ES_tradnl"/>
        </w:rPr>
      </w:pPr>
      <w:r w:rsidRPr="005828EE">
        <w:rPr>
          <w:rFonts w:ascii="Palatino Linotype" w:hAnsi="Palatino Linotype" w:eastAsia="Batang" w:cs="Tahoma"/>
          <w:bCs/>
          <w:i/>
          <w:iCs/>
          <w:szCs w:val="22"/>
          <w:lang w:val="es-ES_tradnl"/>
        </w:rPr>
        <w:t>1) Que se trate de información registrada en cualquier soporte documental, que en ejercicio de las atribuciones conferidas, sea generada por los Sujetos Obligados;</w:t>
      </w:r>
    </w:p>
    <w:p w:rsidRPr="005828EE" w:rsidR="00A80EE1" w:rsidP="00A80EE1" w:rsidRDefault="00A80EE1" w14:paraId="469D89F5" w14:textId="77777777">
      <w:pPr>
        <w:spacing w:line="360" w:lineRule="auto"/>
        <w:ind w:left="567" w:right="539"/>
        <w:jc w:val="both"/>
        <w:rPr>
          <w:rFonts w:ascii="Palatino Linotype" w:hAnsi="Palatino Linotype" w:eastAsia="Batang" w:cs="Tahoma"/>
          <w:b/>
          <w:i/>
          <w:iCs/>
          <w:szCs w:val="22"/>
          <w:lang w:val="es-ES_tradnl"/>
        </w:rPr>
      </w:pPr>
      <w:r w:rsidRPr="005828EE">
        <w:rPr>
          <w:rFonts w:ascii="Palatino Linotype" w:hAnsi="Palatino Linotype" w:eastAsia="Batang" w:cs="Tahoma"/>
          <w:b/>
          <w:i/>
          <w:iCs/>
          <w:szCs w:val="22"/>
          <w:lang w:val="es-ES_tradnl"/>
        </w:rPr>
        <w:t>2) Que se trate de información registrada en cualquier soporte documental, que en ejercicio de las atribuciones conferidas, sea administrada por los Sujetos Obligados, y</w:t>
      </w:r>
    </w:p>
    <w:p w:rsidRPr="005828EE" w:rsidR="00A80EE1" w:rsidP="00A80EE1" w:rsidRDefault="00A80EE1" w14:paraId="24C25B3D" w14:textId="77777777">
      <w:pPr>
        <w:spacing w:line="360" w:lineRule="auto"/>
        <w:ind w:left="567" w:right="539"/>
        <w:jc w:val="both"/>
        <w:rPr>
          <w:rFonts w:ascii="Palatino Linotype" w:hAnsi="Palatino Linotype" w:eastAsia="Batang" w:cs="Tahoma"/>
          <w:b/>
          <w:i/>
          <w:iCs/>
          <w:szCs w:val="22"/>
          <w:lang w:val="es-ES_tradnl"/>
        </w:rPr>
      </w:pPr>
      <w:r w:rsidRPr="005828EE">
        <w:rPr>
          <w:rFonts w:ascii="Palatino Linotype" w:hAnsi="Palatino Linotype" w:eastAsia="Batang" w:cs="Tahoma"/>
          <w:b/>
          <w:i/>
          <w:iCs/>
          <w:szCs w:val="22"/>
          <w:lang w:val="es-ES_tradnl"/>
        </w:rPr>
        <w:t xml:space="preserve">3) Que se trate de información registrada en cualquier soporte documental, que en ejercicio de las atribuciones conferidas, se encuentre en posesión de los Sujetos Obligados.” </w:t>
      </w:r>
    </w:p>
    <w:p w:rsidRPr="005828EE" w:rsidR="00A80EE1" w:rsidP="00A80EE1" w:rsidRDefault="00A80EE1" w14:paraId="4F3307D4" w14:textId="77777777">
      <w:pPr>
        <w:spacing w:line="360" w:lineRule="auto"/>
        <w:ind w:left="567" w:right="539"/>
        <w:jc w:val="both"/>
        <w:rPr>
          <w:rFonts w:ascii="Palatino Linotype" w:hAnsi="Palatino Linotype" w:eastAsia="Batang" w:cs="Tahoma"/>
          <w:bCs/>
          <w:i/>
          <w:iCs/>
          <w:szCs w:val="22"/>
          <w:lang w:val="es-ES_tradnl"/>
        </w:rPr>
      </w:pPr>
      <w:r w:rsidRPr="005828EE">
        <w:rPr>
          <w:rFonts w:ascii="Palatino Linotype" w:hAnsi="Palatino Linotype" w:eastAsia="Batang" w:cs="Tahoma"/>
          <w:bCs/>
          <w:i/>
          <w:iCs/>
          <w:szCs w:val="22"/>
          <w:lang w:val="es-ES_tradnl"/>
        </w:rPr>
        <w:t>De lo anterior se puede concluir que el SUJETO OBLIGADO,  omitió proporcionar en la respuesta a la solicitud de información;  hacer la  entrega de la información pública solicitada,  toda vez que no proporciona ni anexa; el motivo por el cual refiere su incompetencia en virtud de que el juez de control de Chalco  o competente en el estado de México , respecto a los bienes asegurado por la fiscalía , no nos proporcionó , ni si quiera contesto nuestra solicitud , cuando es evidente la participación del sujeto obligado.</w:t>
      </w:r>
    </w:p>
    <w:p w:rsidRPr="005828EE" w:rsidR="00A80EE1" w:rsidP="00A80EE1" w:rsidRDefault="00A80EE1" w14:paraId="73C03398" w14:textId="77777777">
      <w:pPr>
        <w:spacing w:line="360" w:lineRule="auto"/>
        <w:ind w:left="567" w:right="539"/>
        <w:jc w:val="both"/>
        <w:rPr>
          <w:rFonts w:ascii="Palatino Linotype" w:hAnsi="Palatino Linotype" w:eastAsia="Batang" w:cs="Tahoma"/>
          <w:bCs/>
          <w:i/>
          <w:iCs/>
          <w:szCs w:val="22"/>
          <w:lang w:val="es-ES_tradnl"/>
        </w:rPr>
      </w:pPr>
      <w:r w:rsidRPr="005828EE">
        <w:rPr>
          <w:rFonts w:ascii="Palatino Linotype" w:hAnsi="Palatino Linotype" w:eastAsia="Batang" w:cs="Tahoma"/>
          <w:bCs/>
          <w:i/>
          <w:iCs/>
          <w:szCs w:val="22"/>
          <w:lang w:val="es-ES_tradnl"/>
        </w:rPr>
        <w:t xml:space="preserve"> Así mismo este omitió proporcionar la información pública, que diera soporte a su contestación al  respecto al segundo punto de nuestra solicitud es decir:</w:t>
      </w:r>
    </w:p>
    <w:p w:rsidRPr="005828EE" w:rsidR="00A80EE1" w:rsidP="00A80EE1" w:rsidRDefault="00A80EE1" w14:paraId="2F88376B" w14:textId="77777777">
      <w:pPr>
        <w:spacing w:line="360" w:lineRule="auto"/>
        <w:ind w:left="567" w:right="539"/>
        <w:jc w:val="both"/>
        <w:rPr>
          <w:rFonts w:ascii="Palatino Linotype" w:hAnsi="Palatino Linotype" w:eastAsia="Batang" w:cs="Tahoma"/>
          <w:bCs/>
          <w:i/>
          <w:iCs/>
          <w:szCs w:val="22"/>
          <w:lang w:val="es-ES_tradnl"/>
        </w:rPr>
      </w:pPr>
      <w:r w:rsidRPr="005828EE">
        <w:rPr>
          <w:rFonts w:ascii="Palatino Linotype" w:hAnsi="Palatino Linotype" w:eastAsia="Batang" w:cs="Tahoma"/>
          <w:b/>
          <w:i/>
          <w:iCs/>
          <w:szCs w:val="22"/>
          <w:lang w:val="es-ES_tradnl"/>
        </w:rPr>
        <w:t>2. QUE CENTRO DE ATENCIÓN CIUDADANA; TURNO, MESA DE TRAMITE O AGENTE DEL MINISTERIO PUBLICO COLOCO O USO LOS SELLOS DE "INMUEBLE ASEGURADO" CON FOLIO 0098-22-G; TODA VEZ QUE SE TIENE EN UN INMUEBLE LOCALIZADO EN SUR 7, MANZANA 233, LOTE 8, COLONIA NIÑOS HÉROES 2DA SECCIÓN, VALLE DE CHALCO, SOLIDARIDAD, ESTADO DE MÉXICO; ESTE FOLIO, SIN QUE SE COLOCARA FISCALIA O CARPETA</w:t>
      </w:r>
      <w:r w:rsidRPr="005828EE">
        <w:rPr>
          <w:rFonts w:ascii="Palatino Linotype" w:hAnsi="Palatino Linotype" w:eastAsia="Batang" w:cs="Tahoma"/>
          <w:bCs/>
          <w:i/>
          <w:iCs/>
          <w:szCs w:val="22"/>
          <w:lang w:val="es-ES_tradnl"/>
        </w:rPr>
        <w:t xml:space="preserve"> (anexo foto en doc).</w:t>
      </w:r>
    </w:p>
    <w:p w:rsidRPr="005828EE" w:rsidR="00A80EE1" w:rsidP="00A80EE1" w:rsidRDefault="00A80EE1" w14:paraId="17C2DE9D" w14:textId="6C40943E">
      <w:pPr>
        <w:spacing w:line="360" w:lineRule="auto"/>
        <w:ind w:left="567" w:right="539"/>
        <w:jc w:val="both"/>
        <w:rPr>
          <w:rFonts w:ascii="Palatino Linotype" w:hAnsi="Palatino Linotype" w:eastAsia="Batang" w:cs="Tahoma"/>
          <w:bCs/>
          <w:i/>
          <w:iCs/>
          <w:szCs w:val="22"/>
          <w:lang w:val="es-ES_tradnl"/>
        </w:rPr>
      </w:pPr>
      <w:r w:rsidRPr="005828EE">
        <w:rPr>
          <w:rFonts w:ascii="Palatino Linotype" w:hAnsi="Palatino Linotype" w:eastAsia="Batang" w:cs="Tahoma"/>
          <w:bCs/>
          <w:i/>
          <w:iCs/>
          <w:szCs w:val="22"/>
          <w:lang w:val="es-ES_tradnl"/>
        </w:rPr>
        <w:t>Por lo tanto también omitió indicar  EL NUMERO DE CARPETA DE INVESTIGACION, que  este refiere, así mismo OMITIO INDICAR MESA DE TRAMITE,  EL TURNO O EL AGENTE DEL MINISTERIO PUBLICO, en específico, que realizo la diligencia,  tan es así que nos deja en total incertidumbre su respuesta al no anexar el expediente o carpeta de investigación con la información en su versión publica que soportara su contestación.</w:t>
      </w:r>
    </w:p>
    <w:p w:rsidRPr="005828EE" w:rsidR="00A80EE1" w:rsidP="00A80EE1" w:rsidRDefault="00A80EE1" w14:paraId="76C78296" w14:textId="77777777">
      <w:pPr>
        <w:spacing w:line="360" w:lineRule="auto"/>
        <w:ind w:left="567" w:right="539"/>
        <w:jc w:val="both"/>
        <w:rPr>
          <w:rFonts w:ascii="Palatino Linotype" w:hAnsi="Palatino Linotype" w:eastAsia="Batang" w:cs="Tahoma"/>
          <w:bCs/>
          <w:i/>
          <w:iCs/>
          <w:szCs w:val="22"/>
          <w:lang w:val="es-ES_tradnl"/>
        </w:rPr>
      </w:pPr>
      <w:r w:rsidRPr="005828EE">
        <w:rPr>
          <w:rFonts w:ascii="Palatino Linotype" w:hAnsi="Palatino Linotype" w:eastAsia="Batang" w:cs="Tahoma"/>
          <w:bCs/>
          <w:i/>
          <w:iCs/>
          <w:szCs w:val="22"/>
          <w:lang w:val="es-ES_tradnl"/>
        </w:rPr>
        <w:lastRenderedPageBreak/>
        <w:t xml:space="preserve">En virtud de que dicha información se encuentra en poder de los jueces de control quienes dan seguimiento a los bienes asegurados por la Fiscalía del Estado y este el sujeto obligado solo refiere que no es de su competencia cuando en el oficio que nos inconformamos no refiere haber hecho la búsqueda de la información que le fue solicitada, ya que  el </w:t>
      </w:r>
      <w:r w:rsidRPr="005828EE">
        <w:rPr>
          <w:rFonts w:ascii="Palatino Linotype" w:hAnsi="Palatino Linotype" w:eastAsia="Batang" w:cs="Tahoma"/>
          <w:b/>
          <w:i/>
          <w:iCs/>
          <w:szCs w:val="22"/>
          <w:lang w:val="es-ES_tradnl"/>
        </w:rPr>
        <w:t>Sujeto Obligado</w:t>
      </w:r>
      <w:r w:rsidRPr="005828EE">
        <w:rPr>
          <w:rFonts w:ascii="Palatino Linotype" w:hAnsi="Palatino Linotype" w:eastAsia="Batang" w:cs="Tahoma"/>
          <w:bCs/>
          <w:i/>
          <w:iCs/>
          <w:szCs w:val="22"/>
          <w:lang w:val="es-ES_tradnl"/>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5828EE">
        <w:rPr>
          <w:rFonts w:ascii="Palatino Linotype" w:hAnsi="Palatino Linotype" w:eastAsia="Batang" w:cs="Tahoma"/>
          <w:b/>
          <w:i/>
          <w:iCs/>
          <w:szCs w:val="22"/>
          <w:lang w:val="es-ES_tradnl"/>
        </w:rPr>
        <w:t>LINEAMIENTOS GENERALES EN MATERIA DE CLASIFICACIÓN Y DESCLASIFICACIÓN DE LA INFORMACIÓN, ASÍ COMO PARA LA ELABORACIÓN DE VERSIONES PÚBLICAS,</w:t>
      </w:r>
      <w:r w:rsidRPr="005828EE">
        <w:rPr>
          <w:rFonts w:ascii="Palatino Linotype" w:hAnsi="Palatino Linotype" w:eastAsia="Batang" w:cs="Tahoma"/>
          <w:bCs/>
          <w:i/>
          <w:iCs/>
          <w:szCs w:val="22"/>
          <w:lang w:val="es-ES_tradnl"/>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p w:rsidRPr="005828EE" w:rsidR="00A80EE1" w:rsidP="00A80EE1" w:rsidRDefault="00A80EE1" w14:paraId="33063ABC" w14:textId="7F9AF575">
      <w:pPr>
        <w:spacing w:line="360" w:lineRule="auto"/>
        <w:ind w:left="567" w:right="539"/>
        <w:jc w:val="both"/>
        <w:rPr>
          <w:rFonts w:ascii="Palatino Linotype" w:hAnsi="Palatino Linotype" w:eastAsia="Batang" w:cs="Tahoma"/>
          <w:bCs/>
          <w:i/>
          <w:iCs/>
          <w:szCs w:val="22"/>
          <w:lang w:val="es-ES_tradnl"/>
        </w:rPr>
      </w:pPr>
      <w:r w:rsidRPr="005828EE">
        <w:rPr>
          <w:rFonts w:ascii="Palatino Linotype" w:hAnsi="Palatino Linotype" w:eastAsia="Batang" w:cs="Tahoma"/>
          <w:b/>
          <w:i/>
          <w:iCs/>
          <w:szCs w:val="22"/>
          <w:lang w:val="es-ES_tradnl"/>
        </w:rPr>
        <w:t>…</w:t>
      </w:r>
      <w:r w:rsidRPr="005828EE">
        <w:rPr>
          <w:rFonts w:ascii="Palatino Linotype" w:hAnsi="Palatino Linotype" w:eastAsia="Batang" w:cs="Tahoma"/>
          <w:bCs/>
          <w:i/>
          <w:iCs/>
          <w:szCs w:val="22"/>
          <w:lang w:val="es-ES_tradnl"/>
        </w:rPr>
        <w:t>”</w:t>
      </w:r>
    </w:p>
    <w:p w:rsidRPr="005828EE" w:rsidR="006127B0" w:rsidP="001D1C9C" w:rsidRDefault="006127B0" w14:paraId="6276ED77" w14:textId="726E58C9">
      <w:pPr>
        <w:spacing w:line="360" w:lineRule="auto"/>
        <w:jc w:val="both"/>
        <w:rPr>
          <w:rFonts w:ascii="Palatino Linotype" w:hAnsi="Palatino Linotype" w:cs="Tahoma"/>
          <w:b/>
          <w:bCs/>
          <w:sz w:val="22"/>
          <w:szCs w:val="22"/>
        </w:rPr>
      </w:pPr>
    </w:p>
    <w:p w:rsidRPr="005828EE" w:rsidR="00617B73" w:rsidP="00617B73" w:rsidRDefault="00617B73" w14:paraId="5722E0F8" w14:textId="0C3D784B">
      <w:pPr>
        <w:spacing w:line="360" w:lineRule="auto"/>
        <w:jc w:val="both"/>
        <w:rPr>
          <w:rFonts w:ascii="Palatino Linotype" w:hAnsi="Palatino Linotype" w:eastAsia="Batang" w:cs="Tahoma"/>
          <w:bCs/>
          <w:sz w:val="22"/>
          <w:szCs w:val="22"/>
          <w:lang w:val="es-ES_tradnl"/>
        </w:rPr>
      </w:pPr>
      <w:r w:rsidRPr="005828EE">
        <w:rPr>
          <w:rFonts w:ascii="Palatino Linotype" w:hAnsi="Palatino Linotype" w:eastAsia="Batang" w:cs="Tahoma"/>
          <w:b/>
          <w:bCs/>
          <w:sz w:val="22"/>
          <w:szCs w:val="22"/>
          <w:lang w:val="es-ES_tradnl"/>
        </w:rPr>
        <w:t xml:space="preserve">f) Alcance de Informe Justificado. </w:t>
      </w:r>
      <w:r w:rsidRPr="005828EE">
        <w:rPr>
          <w:rFonts w:ascii="Palatino Linotype" w:hAnsi="Palatino Linotype" w:eastAsia="Batang" w:cs="Tahoma"/>
          <w:bCs/>
          <w:sz w:val="22"/>
          <w:szCs w:val="22"/>
          <w:lang w:val="es-ES_tradnl"/>
        </w:rPr>
        <w:t>El nueve de marzo de dos mil veintitrés, a través del Sistema de Acceso a la Información Mexiquense (SAIMEX), se recibió en este Instituto el alcance del informe justificado por parte del Sujeto Obligado en el que señaló lo siguiente:</w:t>
      </w:r>
    </w:p>
    <w:p w:rsidRPr="005828EE" w:rsidR="00617B73" w:rsidP="00617B73" w:rsidRDefault="00617B73" w14:paraId="701D6B59" w14:textId="77777777">
      <w:pPr>
        <w:spacing w:line="360" w:lineRule="auto"/>
        <w:jc w:val="both"/>
        <w:rPr>
          <w:rFonts w:ascii="Palatino Linotype" w:hAnsi="Palatino Linotype" w:eastAsia="Batang" w:cs="Tahoma"/>
          <w:bCs/>
          <w:sz w:val="22"/>
          <w:szCs w:val="22"/>
          <w:lang w:val="es-ES_tradnl"/>
        </w:rPr>
      </w:pPr>
    </w:p>
    <w:p w:rsidRPr="005828EE" w:rsidR="00617B73" w:rsidP="00617B73" w:rsidRDefault="00617B73" w14:paraId="33AC2CB2" w14:textId="77777777">
      <w:pPr>
        <w:spacing w:line="360" w:lineRule="auto"/>
        <w:ind w:left="567" w:right="539"/>
        <w:jc w:val="both"/>
        <w:rPr>
          <w:rFonts w:ascii="Palatino Linotype" w:hAnsi="Palatino Linotype" w:eastAsia="Batang" w:cs="Tahoma"/>
          <w:bCs/>
          <w:i/>
          <w:iCs/>
          <w:szCs w:val="22"/>
          <w:lang w:val="es-ES_tradnl"/>
        </w:rPr>
      </w:pPr>
      <w:r w:rsidRPr="005828EE">
        <w:rPr>
          <w:rFonts w:ascii="Palatino Linotype" w:hAnsi="Palatino Linotype" w:eastAsia="Batang" w:cs="Tahoma"/>
          <w:bCs/>
          <w:i/>
          <w:iCs/>
          <w:szCs w:val="22"/>
          <w:lang w:val="es-ES_tradnl"/>
        </w:rPr>
        <w:t>“…</w:t>
      </w:r>
    </w:p>
    <w:p w:rsidRPr="005828EE" w:rsidR="00617B73" w:rsidP="00617B73" w:rsidRDefault="00617B73" w14:paraId="05619DE0" w14:textId="774595DC">
      <w:pPr>
        <w:spacing w:line="360" w:lineRule="auto"/>
        <w:ind w:left="567" w:right="539"/>
        <w:jc w:val="both"/>
        <w:rPr>
          <w:rFonts w:ascii="Palatino Linotype" w:hAnsi="Palatino Linotype" w:eastAsia="Batang" w:cs="Tahoma"/>
          <w:bCs/>
          <w:i/>
          <w:iCs/>
          <w:szCs w:val="22"/>
          <w:lang w:val="es-ES_tradnl"/>
        </w:rPr>
      </w:pPr>
      <w:r w:rsidRPr="005828EE">
        <w:rPr>
          <w:rFonts w:ascii="Palatino Linotype" w:hAnsi="Palatino Linotype" w:eastAsia="Batang" w:cs="Tahoma"/>
          <w:bCs/>
          <w:i/>
          <w:iCs/>
          <w:szCs w:val="22"/>
          <w:lang w:val="es-ES_tradnl"/>
        </w:rPr>
        <w:t xml:space="preserve">No se omite hacer de su conocimiento, que de conformidad con lo informado por la Fiscalía Especializada en la Investigación del Delito </w:t>
      </w:r>
      <w:r w:rsidRPr="005828EE" w:rsidR="00B506F3">
        <w:rPr>
          <w:rFonts w:ascii="Palatino Linotype" w:hAnsi="Palatino Linotype" w:eastAsia="Batang" w:cs="Tahoma"/>
          <w:bCs/>
          <w:i/>
          <w:iCs/>
          <w:szCs w:val="22"/>
          <w:lang w:val="es-ES_tradnl"/>
        </w:rPr>
        <w:t>d</w:t>
      </w:r>
      <w:r w:rsidRPr="005828EE">
        <w:rPr>
          <w:rFonts w:ascii="Palatino Linotype" w:hAnsi="Palatino Linotype" w:eastAsia="Batang" w:cs="Tahoma"/>
          <w:bCs/>
          <w:i/>
          <w:iCs/>
          <w:szCs w:val="22"/>
          <w:lang w:val="es-ES_tradnl"/>
        </w:rPr>
        <w:t xml:space="preserve">e Robo de Vehículo Zona Oriente, el referido Agente del Ministerio Público se encuentra adscrito al </w:t>
      </w:r>
      <w:r w:rsidRPr="005828EE">
        <w:rPr>
          <w:rFonts w:ascii="Palatino Linotype" w:hAnsi="Palatino Linotype" w:eastAsia="Batang" w:cs="Tahoma"/>
          <w:b/>
          <w:i/>
          <w:iCs/>
          <w:szCs w:val="22"/>
          <w:lang w:val="es-ES_tradnl"/>
        </w:rPr>
        <w:t xml:space="preserve">TURNO ÚNICO </w:t>
      </w:r>
      <w:r w:rsidRPr="005828EE">
        <w:rPr>
          <w:rFonts w:ascii="Palatino Linotype" w:hAnsi="Palatino Linotype" w:eastAsia="Batang" w:cs="Tahoma"/>
          <w:bCs/>
          <w:i/>
          <w:iCs/>
          <w:szCs w:val="22"/>
          <w:lang w:val="es-ES_tradnl"/>
        </w:rPr>
        <w:t>dela referida Agencia del Ministerio Público, la cual no se encuentra organizada en mesas de trámite.</w:t>
      </w:r>
    </w:p>
    <w:p w:rsidRPr="005828EE" w:rsidR="00617B73" w:rsidP="00617B73" w:rsidRDefault="00617B73" w14:paraId="4F9F10DA" w14:textId="2D3C825B">
      <w:pPr>
        <w:spacing w:line="360" w:lineRule="auto"/>
        <w:ind w:left="567" w:right="539"/>
        <w:jc w:val="both"/>
        <w:rPr>
          <w:rFonts w:ascii="Palatino Linotype" w:hAnsi="Palatino Linotype" w:eastAsia="Batang" w:cs="Tahoma"/>
          <w:bCs/>
          <w:i/>
          <w:iCs/>
          <w:szCs w:val="22"/>
          <w:lang w:val="es-ES_tradnl"/>
        </w:rPr>
      </w:pPr>
      <w:r w:rsidRPr="005828EE">
        <w:rPr>
          <w:rFonts w:ascii="Palatino Linotype" w:hAnsi="Palatino Linotype" w:eastAsia="Batang" w:cs="Tahoma"/>
          <w:b/>
          <w:i/>
          <w:iCs/>
          <w:szCs w:val="22"/>
          <w:lang w:val="es-ES_tradnl"/>
        </w:rPr>
        <w:t>…</w:t>
      </w:r>
      <w:r w:rsidRPr="005828EE">
        <w:rPr>
          <w:rFonts w:ascii="Palatino Linotype" w:hAnsi="Palatino Linotype" w:eastAsia="Batang" w:cs="Tahoma"/>
          <w:bCs/>
          <w:i/>
          <w:iCs/>
          <w:szCs w:val="22"/>
          <w:lang w:val="es-ES_tradnl"/>
        </w:rPr>
        <w:t>”</w:t>
      </w:r>
    </w:p>
    <w:p w:rsidRPr="005828EE" w:rsidR="00617B73" w:rsidP="00617B73" w:rsidRDefault="00617B73" w14:paraId="24566898" w14:textId="77777777">
      <w:pPr>
        <w:spacing w:line="360" w:lineRule="auto"/>
        <w:jc w:val="both"/>
        <w:rPr>
          <w:rFonts w:ascii="Palatino Linotype" w:hAnsi="Palatino Linotype" w:cs="Tahoma"/>
          <w:sz w:val="22"/>
          <w:szCs w:val="22"/>
        </w:rPr>
      </w:pPr>
    </w:p>
    <w:p w:rsidRPr="005828EE" w:rsidR="00617B73" w:rsidP="00617B73" w:rsidRDefault="00617B73" w14:paraId="21F74A31" w14:textId="4B7CE89D">
      <w:pPr>
        <w:spacing w:line="360" w:lineRule="auto"/>
        <w:jc w:val="both"/>
        <w:rPr>
          <w:rFonts w:ascii="Palatino Linotype" w:hAnsi="Palatino Linotype" w:cs="Tahoma"/>
          <w:sz w:val="22"/>
          <w:szCs w:val="22"/>
        </w:rPr>
      </w:pPr>
      <w:r w:rsidRPr="005828EE">
        <w:rPr>
          <w:rFonts w:ascii="Palatino Linotype" w:hAnsi="Palatino Linotype" w:cs="Tahoma"/>
          <w:b/>
          <w:sz w:val="22"/>
          <w:szCs w:val="22"/>
        </w:rPr>
        <w:t>g). Vista del alcance de Informe Justificado</w:t>
      </w:r>
      <w:r w:rsidRPr="005828EE">
        <w:rPr>
          <w:rFonts w:ascii="Palatino Linotype" w:hAnsi="Palatino Linotype" w:cs="Tahoma"/>
          <w:sz w:val="22"/>
          <w:szCs w:val="22"/>
        </w:rPr>
        <w:t xml:space="preserve">. El catorce de marzo de dos mil veintitrés, se dictó acuerdo mediante el cual se puso a la vista del Particular, el Informe Justificado, el cual le fue </w:t>
      </w:r>
      <w:r w:rsidRPr="005828EE">
        <w:rPr>
          <w:rFonts w:ascii="Palatino Linotype" w:hAnsi="Palatino Linotype" w:cs="Tahoma"/>
          <w:sz w:val="22"/>
          <w:szCs w:val="22"/>
        </w:rPr>
        <w:lastRenderedPageBreak/>
        <w:t xml:space="preserve">notificado, en esa misma fecha, a través del Sistema de Acceso a la Información Mexiquense (SAIMEX). </w:t>
      </w:r>
    </w:p>
    <w:p w:rsidRPr="005828EE" w:rsidR="00617B73" w:rsidP="001D1C9C" w:rsidRDefault="00617B73" w14:paraId="0E5111C1" w14:textId="77777777">
      <w:pPr>
        <w:spacing w:line="360" w:lineRule="auto"/>
        <w:jc w:val="both"/>
        <w:rPr>
          <w:rFonts w:ascii="Palatino Linotype" w:hAnsi="Palatino Linotype" w:cs="Tahoma"/>
          <w:b/>
          <w:bCs/>
          <w:sz w:val="22"/>
          <w:szCs w:val="22"/>
        </w:rPr>
      </w:pPr>
    </w:p>
    <w:p w:rsidRPr="005828EE" w:rsidR="00A80EE1" w:rsidP="00A80EE1" w:rsidRDefault="00617B73" w14:paraId="736847FF" w14:textId="718C7038">
      <w:pPr>
        <w:spacing w:line="360" w:lineRule="auto"/>
        <w:jc w:val="both"/>
        <w:rPr>
          <w:rFonts w:ascii="Palatino Linotype" w:hAnsi="Palatino Linotype" w:cs="Tahoma"/>
          <w:sz w:val="22"/>
          <w:szCs w:val="24"/>
          <w:lang w:val="es-ES"/>
        </w:rPr>
      </w:pPr>
      <w:r w:rsidRPr="005828EE">
        <w:rPr>
          <w:rFonts w:ascii="Palatino Linotype" w:hAnsi="Palatino Linotype" w:cs="Tahoma"/>
          <w:b/>
          <w:sz w:val="22"/>
          <w:szCs w:val="24"/>
        </w:rPr>
        <w:t>h</w:t>
      </w:r>
      <w:r w:rsidRPr="005828EE" w:rsidR="00A80EE1">
        <w:rPr>
          <w:rFonts w:ascii="Palatino Linotype" w:hAnsi="Palatino Linotype" w:cs="Tahoma"/>
          <w:b/>
          <w:sz w:val="22"/>
          <w:szCs w:val="24"/>
        </w:rPr>
        <w:t xml:space="preserve">) </w:t>
      </w:r>
      <w:r w:rsidRPr="005828EE" w:rsidR="00A80EE1">
        <w:rPr>
          <w:rFonts w:ascii="Palatino Linotype" w:hAnsi="Palatino Linotype" w:cs="Tahoma"/>
          <w:b/>
          <w:bCs/>
          <w:sz w:val="22"/>
          <w:szCs w:val="24"/>
          <w:lang w:val="es-ES"/>
        </w:rPr>
        <w:t xml:space="preserve">Ampliación del plazo para resolver: </w:t>
      </w:r>
      <w:r w:rsidRPr="005828EE" w:rsidR="00A80EE1">
        <w:rPr>
          <w:rFonts w:ascii="Palatino Linotype" w:hAnsi="Palatino Linotype" w:cs="Tahoma"/>
          <w:sz w:val="22"/>
          <w:szCs w:val="24"/>
          <w:lang w:val="es-ES"/>
        </w:rPr>
        <w:t>El veintisiete de enero del año en curso,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el mismo día de su emisión.</w:t>
      </w:r>
    </w:p>
    <w:p w:rsidRPr="005828EE" w:rsidR="00A80EE1" w:rsidP="00A80EE1" w:rsidRDefault="00A80EE1" w14:paraId="029F037E" w14:textId="77777777">
      <w:pPr>
        <w:spacing w:line="360" w:lineRule="auto"/>
        <w:jc w:val="both"/>
        <w:rPr>
          <w:rFonts w:ascii="Palatino Linotype" w:hAnsi="Palatino Linotype" w:eastAsia="Batang" w:cs="Tahoma"/>
          <w:b/>
          <w:bCs/>
          <w:sz w:val="22"/>
          <w:szCs w:val="22"/>
          <w:lang w:val="es-ES_tradnl"/>
        </w:rPr>
      </w:pPr>
    </w:p>
    <w:p w:rsidRPr="005828EE" w:rsidR="00A80EE1" w:rsidP="00A80EE1" w:rsidRDefault="00A80EE1" w14:paraId="2955A402" w14:textId="77777777">
      <w:pPr>
        <w:spacing w:line="360" w:lineRule="auto"/>
        <w:jc w:val="both"/>
        <w:rPr>
          <w:rFonts w:ascii="Palatino Linotype" w:hAnsi="Palatino Linotype" w:eastAsia="Batang" w:cs="Tahoma"/>
          <w:bCs/>
          <w:sz w:val="22"/>
          <w:szCs w:val="22"/>
          <w:lang w:val="es-ES_tradnl"/>
        </w:rPr>
      </w:pPr>
      <w:r w:rsidRPr="005828EE">
        <w:rPr>
          <w:rFonts w:ascii="Palatino Linotype" w:hAnsi="Palatino Linotype" w:eastAsia="Batang" w:cs="Tahoma"/>
          <w:bCs/>
          <w:sz w:val="22"/>
          <w:szCs w:val="22"/>
          <w:lang w:val="es-ES_tradn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5828EE" w:rsidR="00A80EE1" w:rsidP="00A80EE1" w:rsidRDefault="00A80EE1" w14:paraId="5581B326" w14:textId="77777777">
      <w:pPr>
        <w:spacing w:line="360" w:lineRule="auto"/>
        <w:jc w:val="both"/>
        <w:rPr>
          <w:rFonts w:ascii="Palatino Linotype" w:hAnsi="Palatino Linotype" w:eastAsia="Batang" w:cs="Tahoma"/>
          <w:bCs/>
          <w:sz w:val="22"/>
          <w:szCs w:val="22"/>
          <w:lang w:val="es-ES_tradnl"/>
        </w:rPr>
      </w:pPr>
      <w:r w:rsidRPr="005828EE">
        <w:rPr>
          <w:rFonts w:ascii="Palatino Linotype" w:hAnsi="Palatino Linotype" w:eastAsia="Batang" w:cs="Tahoma"/>
          <w:bCs/>
          <w:sz w:val="22"/>
          <w:szCs w:val="22"/>
          <w:lang w:val="es-ES_tradnl"/>
        </w:rPr>
        <w:t xml:space="preserve"> </w:t>
      </w:r>
    </w:p>
    <w:p w:rsidRPr="005828EE" w:rsidR="00A80EE1" w:rsidP="00A80EE1" w:rsidRDefault="00A80EE1" w14:paraId="6BC2A227" w14:textId="77777777">
      <w:pPr>
        <w:spacing w:line="360" w:lineRule="auto"/>
        <w:jc w:val="both"/>
        <w:rPr>
          <w:rFonts w:ascii="Palatino Linotype" w:hAnsi="Palatino Linotype" w:eastAsia="Batang" w:cs="Tahoma"/>
          <w:bCs/>
          <w:sz w:val="22"/>
          <w:szCs w:val="22"/>
          <w:lang w:val="es-ES_tradnl"/>
        </w:rPr>
      </w:pPr>
      <w:r w:rsidRPr="005828EE">
        <w:rPr>
          <w:rFonts w:ascii="Palatino Linotype" w:hAnsi="Palatino Linotype" w:eastAsia="Batang" w:cs="Tahoma"/>
          <w:bCs/>
          <w:sz w:val="22"/>
          <w:szCs w:val="22"/>
          <w:lang w:val="es-ES_tradn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5828EE" w:rsidR="00A80EE1" w:rsidP="00A80EE1" w:rsidRDefault="00A80EE1" w14:paraId="24D39AD8" w14:textId="77777777">
      <w:pPr>
        <w:spacing w:line="360" w:lineRule="auto"/>
        <w:jc w:val="both"/>
        <w:rPr>
          <w:rFonts w:ascii="Palatino Linotype" w:hAnsi="Palatino Linotype" w:eastAsia="Batang" w:cs="Tahoma"/>
          <w:bCs/>
          <w:sz w:val="22"/>
          <w:szCs w:val="22"/>
          <w:lang w:val="es-ES_tradnl"/>
        </w:rPr>
      </w:pPr>
      <w:r w:rsidRPr="005828EE">
        <w:rPr>
          <w:rFonts w:ascii="Palatino Linotype" w:hAnsi="Palatino Linotype" w:eastAsia="Batang" w:cs="Tahoma"/>
          <w:bCs/>
          <w:sz w:val="22"/>
          <w:szCs w:val="22"/>
          <w:lang w:val="es-ES_tradnl"/>
        </w:rPr>
        <w:t xml:space="preserve"> </w:t>
      </w:r>
    </w:p>
    <w:p w:rsidRPr="005828EE" w:rsidR="00A80EE1" w:rsidP="00A80EE1" w:rsidRDefault="00A80EE1" w14:paraId="64E820DD" w14:textId="77777777">
      <w:pPr>
        <w:spacing w:line="360" w:lineRule="auto"/>
        <w:jc w:val="both"/>
        <w:rPr>
          <w:rFonts w:ascii="Palatino Linotype" w:hAnsi="Palatino Linotype" w:eastAsia="Batang" w:cs="Tahoma"/>
          <w:bCs/>
          <w:sz w:val="22"/>
          <w:szCs w:val="22"/>
          <w:lang w:val="es-ES_tradnl"/>
        </w:rPr>
      </w:pPr>
      <w:r w:rsidRPr="005828EE">
        <w:rPr>
          <w:rFonts w:ascii="Palatino Linotype" w:hAnsi="Palatino Linotype" w:eastAsia="Batang" w:cs="Tahoma"/>
          <w:bCs/>
          <w:sz w:val="22"/>
          <w:szCs w:val="22"/>
          <w:lang w:val="es-ES_tradn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Pr="005828EE" w:rsidR="00A80EE1" w:rsidP="00A80EE1" w:rsidRDefault="00A80EE1" w14:paraId="3841BAAB" w14:textId="77777777">
      <w:pPr>
        <w:spacing w:line="360" w:lineRule="auto"/>
        <w:jc w:val="both"/>
        <w:rPr>
          <w:rFonts w:ascii="Palatino Linotype" w:hAnsi="Palatino Linotype" w:eastAsia="Batang" w:cs="Tahoma"/>
          <w:bCs/>
          <w:sz w:val="22"/>
          <w:szCs w:val="22"/>
          <w:lang w:val="es-ES_tradnl"/>
        </w:rPr>
      </w:pPr>
      <w:r w:rsidRPr="005828EE">
        <w:rPr>
          <w:rFonts w:ascii="Palatino Linotype" w:hAnsi="Palatino Linotype" w:eastAsia="Batang" w:cs="Tahoma"/>
          <w:bCs/>
          <w:sz w:val="22"/>
          <w:szCs w:val="22"/>
          <w:lang w:val="es-ES_tradnl"/>
        </w:rPr>
        <w:t xml:space="preserve"> </w:t>
      </w:r>
    </w:p>
    <w:p w:rsidRPr="005828EE" w:rsidR="00A80EE1" w:rsidP="00A80EE1" w:rsidRDefault="00A80EE1" w14:paraId="4CA2F9AD" w14:textId="77777777">
      <w:pPr>
        <w:spacing w:line="360" w:lineRule="auto"/>
        <w:jc w:val="both"/>
        <w:rPr>
          <w:rFonts w:ascii="Palatino Linotype" w:hAnsi="Palatino Linotype" w:eastAsia="Batang" w:cs="Tahoma"/>
          <w:bCs/>
          <w:sz w:val="22"/>
          <w:szCs w:val="22"/>
          <w:lang w:val="es-ES_tradnl"/>
        </w:rPr>
      </w:pPr>
      <w:r w:rsidRPr="005828EE">
        <w:rPr>
          <w:rFonts w:ascii="Palatino Linotype" w:hAnsi="Palatino Linotype" w:eastAsia="Batang" w:cs="Tahoma"/>
          <w:bCs/>
          <w:sz w:val="22"/>
          <w:szCs w:val="22"/>
          <w:lang w:val="es-ES_tradnl"/>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5828EE" w:rsidR="00A80EE1" w:rsidP="00A80EE1" w:rsidRDefault="00A80EE1" w14:paraId="23514D99" w14:textId="77777777">
      <w:pPr>
        <w:spacing w:line="360" w:lineRule="auto"/>
        <w:jc w:val="both"/>
        <w:rPr>
          <w:rFonts w:ascii="Palatino Linotype" w:hAnsi="Palatino Linotype" w:eastAsia="Batang" w:cs="Tahoma"/>
          <w:bCs/>
          <w:sz w:val="22"/>
          <w:szCs w:val="22"/>
          <w:lang w:val="es-ES_tradnl"/>
        </w:rPr>
      </w:pPr>
      <w:r w:rsidRPr="005828EE">
        <w:rPr>
          <w:rFonts w:ascii="Palatino Linotype" w:hAnsi="Palatino Linotype" w:eastAsia="Batang" w:cs="Tahoma"/>
          <w:bCs/>
          <w:sz w:val="22"/>
          <w:szCs w:val="22"/>
          <w:lang w:val="es-ES_tradnl"/>
        </w:rPr>
        <w:t xml:space="preserve"> </w:t>
      </w:r>
    </w:p>
    <w:p w:rsidRPr="005828EE" w:rsidR="00A80EE1" w:rsidP="00A80EE1" w:rsidRDefault="00A80EE1" w14:paraId="011AA1B4" w14:textId="77777777">
      <w:pPr>
        <w:spacing w:line="360" w:lineRule="auto"/>
        <w:jc w:val="both"/>
        <w:rPr>
          <w:rFonts w:ascii="Palatino Linotype" w:hAnsi="Palatino Linotype" w:eastAsia="Batang" w:cs="Tahoma"/>
          <w:bCs/>
          <w:sz w:val="22"/>
          <w:szCs w:val="22"/>
          <w:lang w:val="es-ES_tradnl"/>
        </w:rPr>
      </w:pPr>
      <w:r w:rsidRPr="005828EE">
        <w:rPr>
          <w:rFonts w:ascii="Palatino Linotype" w:hAnsi="Palatino Linotype" w:eastAsia="Batang" w:cs="Tahoma"/>
          <w:bCs/>
          <w:sz w:val="22"/>
          <w:szCs w:val="22"/>
          <w:lang w:val="es-ES_tradnl"/>
        </w:rPr>
        <w:t xml:space="preserve">Por ello, excepcionalmente, si un asunto es resuelto con posterioridad a los plazos señalados por la norma debe analizarse la razonabilidad del tiempo necesario para su resolución, atentos a los siguientes criterios:  </w:t>
      </w:r>
    </w:p>
    <w:p w:rsidRPr="005828EE" w:rsidR="00A80EE1" w:rsidP="00A80EE1" w:rsidRDefault="00A80EE1" w14:paraId="75BA35ED" w14:textId="77777777">
      <w:pPr>
        <w:spacing w:line="360" w:lineRule="auto"/>
        <w:jc w:val="both"/>
        <w:rPr>
          <w:rFonts w:ascii="Palatino Linotype" w:hAnsi="Palatino Linotype" w:eastAsia="Batang" w:cs="Tahoma"/>
          <w:bCs/>
          <w:sz w:val="22"/>
          <w:szCs w:val="22"/>
          <w:lang w:val="es-ES_tradnl"/>
        </w:rPr>
      </w:pPr>
      <w:r w:rsidRPr="005828EE">
        <w:rPr>
          <w:rFonts w:ascii="Palatino Linotype" w:hAnsi="Palatino Linotype" w:eastAsia="Batang" w:cs="Tahoma"/>
          <w:bCs/>
          <w:sz w:val="22"/>
          <w:szCs w:val="22"/>
          <w:lang w:val="es-ES_tradnl"/>
        </w:rPr>
        <w:t xml:space="preserve"> </w:t>
      </w:r>
    </w:p>
    <w:p w:rsidRPr="005828EE" w:rsidR="00A80EE1" w:rsidP="00A80EE1" w:rsidRDefault="00A80EE1" w14:paraId="03B3C681" w14:textId="77777777">
      <w:pPr>
        <w:spacing w:line="360" w:lineRule="auto"/>
        <w:jc w:val="both"/>
        <w:rPr>
          <w:rFonts w:ascii="Palatino Linotype" w:hAnsi="Palatino Linotype" w:eastAsia="Batang" w:cs="Tahoma"/>
          <w:bCs/>
          <w:sz w:val="22"/>
          <w:szCs w:val="22"/>
          <w:lang w:val="es-ES_tradnl"/>
        </w:rPr>
      </w:pPr>
      <w:r w:rsidRPr="005828EE">
        <w:rPr>
          <w:rFonts w:ascii="Palatino Linotype" w:hAnsi="Palatino Linotype" w:eastAsia="Batang" w:cs="Tahoma"/>
          <w:bCs/>
          <w:sz w:val="22"/>
          <w:szCs w:val="22"/>
          <w:lang w:val="es-ES_tradnl"/>
        </w:rPr>
        <w:t>a) Complejidad del asunto: La complejidad de la prueba, la pluralidad de sujetos procesales, el tiempo transcurrido, las características y contexto del recurso.</w:t>
      </w:r>
    </w:p>
    <w:p w:rsidRPr="005828EE" w:rsidR="00A80EE1" w:rsidP="00A80EE1" w:rsidRDefault="00A80EE1" w14:paraId="22D2F631" w14:textId="77777777">
      <w:pPr>
        <w:spacing w:line="360" w:lineRule="auto"/>
        <w:jc w:val="both"/>
        <w:rPr>
          <w:rFonts w:ascii="Palatino Linotype" w:hAnsi="Palatino Linotype" w:eastAsia="Batang" w:cs="Tahoma"/>
          <w:bCs/>
          <w:sz w:val="22"/>
          <w:szCs w:val="22"/>
          <w:lang w:val="es-ES_tradnl"/>
        </w:rPr>
      </w:pPr>
      <w:r w:rsidRPr="005828EE">
        <w:rPr>
          <w:rFonts w:ascii="Palatino Linotype" w:hAnsi="Palatino Linotype" w:eastAsia="Batang" w:cs="Tahoma"/>
          <w:bCs/>
          <w:sz w:val="22"/>
          <w:szCs w:val="22"/>
          <w:lang w:val="es-ES_tradnl"/>
        </w:rPr>
        <w:t>b) Actividad Procesal del interesado: Acciones u omisiones del interesado.</w:t>
      </w:r>
    </w:p>
    <w:p w:rsidRPr="005828EE" w:rsidR="00A80EE1" w:rsidP="00A80EE1" w:rsidRDefault="00A80EE1" w14:paraId="123B798A" w14:textId="77777777">
      <w:pPr>
        <w:spacing w:line="360" w:lineRule="auto"/>
        <w:jc w:val="both"/>
        <w:rPr>
          <w:rFonts w:ascii="Palatino Linotype" w:hAnsi="Palatino Linotype" w:eastAsia="Batang" w:cs="Tahoma"/>
          <w:bCs/>
          <w:sz w:val="22"/>
          <w:szCs w:val="22"/>
          <w:lang w:val="es-ES_tradnl"/>
        </w:rPr>
      </w:pPr>
      <w:r w:rsidRPr="005828EE">
        <w:rPr>
          <w:rFonts w:ascii="Palatino Linotype" w:hAnsi="Palatino Linotype" w:eastAsia="Batang" w:cs="Tahoma"/>
          <w:bCs/>
          <w:sz w:val="22"/>
          <w:szCs w:val="22"/>
          <w:lang w:val="es-ES_tradnl"/>
        </w:rPr>
        <w:t>c) Conducta de la Autoridad: Las Acciones u omisiones realizadas en el procedimiento. Así como si la autoridad actuó con la debida diligencia.</w:t>
      </w:r>
    </w:p>
    <w:p w:rsidRPr="005828EE" w:rsidR="00A80EE1" w:rsidP="00A80EE1" w:rsidRDefault="00A80EE1" w14:paraId="0EB25E68" w14:textId="77777777">
      <w:pPr>
        <w:spacing w:line="360" w:lineRule="auto"/>
        <w:jc w:val="both"/>
        <w:rPr>
          <w:rFonts w:ascii="Palatino Linotype" w:hAnsi="Palatino Linotype" w:eastAsia="Batang" w:cs="Tahoma"/>
          <w:bCs/>
          <w:sz w:val="22"/>
          <w:szCs w:val="22"/>
          <w:lang w:val="es-ES_tradnl"/>
        </w:rPr>
      </w:pPr>
      <w:r w:rsidRPr="005828EE">
        <w:rPr>
          <w:rFonts w:ascii="Palatino Linotype" w:hAnsi="Palatino Linotype" w:eastAsia="Batang" w:cs="Tahoma"/>
          <w:bCs/>
          <w:sz w:val="22"/>
          <w:szCs w:val="22"/>
          <w:lang w:val="es-ES_tradnl"/>
        </w:rPr>
        <w:t>d) La afectación generada en la situación jurídica de la persona involucrada en el proceso: Violación a sus derechos humanos.</w:t>
      </w:r>
    </w:p>
    <w:p w:rsidRPr="005828EE" w:rsidR="00A80EE1" w:rsidP="00A80EE1" w:rsidRDefault="00A80EE1" w14:paraId="6BDC62E4" w14:textId="77777777">
      <w:pPr>
        <w:spacing w:line="360" w:lineRule="auto"/>
        <w:jc w:val="both"/>
        <w:rPr>
          <w:rFonts w:ascii="Palatino Linotype" w:hAnsi="Palatino Linotype" w:eastAsia="Batang" w:cs="Tahoma"/>
          <w:bCs/>
          <w:sz w:val="22"/>
          <w:szCs w:val="22"/>
          <w:lang w:val="es-ES_tradnl"/>
        </w:rPr>
      </w:pPr>
    </w:p>
    <w:p w:rsidRPr="005828EE" w:rsidR="00A80EE1" w:rsidP="00A80EE1" w:rsidRDefault="00A80EE1" w14:paraId="00CABDFE" w14:textId="77777777">
      <w:pPr>
        <w:spacing w:line="360" w:lineRule="auto"/>
        <w:jc w:val="both"/>
        <w:rPr>
          <w:rFonts w:ascii="Palatino Linotype" w:hAnsi="Palatino Linotype" w:eastAsia="Batang" w:cs="Tahoma"/>
          <w:bCs/>
          <w:sz w:val="22"/>
          <w:szCs w:val="22"/>
          <w:lang w:val="es-ES_tradnl"/>
        </w:rPr>
      </w:pPr>
      <w:r w:rsidRPr="005828EE">
        <w:rPr>
          <w:rFonts w:ascii="Palatino Linotype" w:hAnsi="Palatino Linotype" w:eastAsia="Batang" w:cs="Tahoma"/>
          <w:bCs/>
          <w:sz w:val="22"/>
          <w:szCs w:val="22"/>
          <w:lang w:val="es-ES_tradn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5828EE" w:rsidR="00A80EE1" w:rsidP="00A80EE1" w:rsidRDefault="00A80EE1" w14:paraId="7CE761CE" w14:textId="77777777">
      <w:pPr>
        <w:spacing w:line="360" w:lineRule="auto"/>
        <w:jc w:val="both"/>
        <w:rPr>
          <w:rFonts w:ascii="Palatino Linotype" w:hAnsi="Palatino Linotype" w:eastAsia="Batang" w:cs="Tahoma"/>
          <w:bCs/>
          <w:sz w:val="22"/>
          <w:szCs w:val="22"/>
          <w:lang w:val="es-ES_tradnl"/>
        </w:rPr>
      </w:pPr>
      <w:r w:rsidRPr="005828EE">
        <w:rPr>
          <w:rFonts w:ascii="Palatino Linotype" w:hAnsi="Palatino Linotype" w:eastAsia="Batang" w:cs="Tahoma"/>
          <w:bCs/>
          <w:sz w:val="22"/>
          <w:szCs w:val="22"/>
          <w:lang w:val="es-ES_tradnl"/>
        </w:rPr>
        <w:t xml:space="preserve"> </w:t>
      </w:r>
    </w:p>
    <w:p w:rsidRPr="005828EE" w:rsidR="00A80EE1" w:rsidP="00A80EE1" w:rsidRDefault="00A80EE1" w14:paraId="53A0264E" w14:textId="77777777">
      <w:pPr>
        <w:spacing w:line="360" w:lineRule="auto"/>
        <w:jc w:val="both"/>
        <w:rPr>
          <w:rFonts w:ascii="Palatino Linotype" w:hAnsi="Palatino Linotype" w:eastAsia="Batang" w:cs="Tahoma"/>
          <w:bCs/>
          <w:sz w:val="22"/>
          <w:szCs w:val="22"/>
          <w:lang w:val="es-ES_tradnl"/>
        </w:rPr>
      </w:pPr>
      <w:r w:rsidRPr="005828EE">
        <w:rPr>
          <w:rFonts w:ascii="Palatino Linotype" w:hAnsi="Palatino Linotype" w:eastAsia="Batang" w:cs="Tahoma"/>
          <w:bCs/>
          <w:sz w:val="22"/>
          <w:szCs w:val="22"/>
          <w:lang w:val="es-ES_tradnl"/>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w:t>
      </w:r>
      <w:r w:rsidRPr="005828EE">
        <w:rPr>
          <w:rFonts w:ascii="Palatino Linotype" w:hAnsi="Palatino Linotype" w:eastAsia="Batang" w:cs="Tahoma"/>
          <w:bCs/>
          <w:sz w:val="22"/>
          <w:szCs w:val="22"/>
          <w:lang w:val="es-ES_tradnl"/>
        </w:rPr>
        <w:lastRenderedPageBreak/>
        <w:t>LEGISLADOR AL FIJARLOS Y LAS CARACTERÍSTICAS DEL CASO.”, visible en la Gaceta del Seminario Judicial de la Federación con el registro digital 205635.</w:t>
      </w:r>
    </w:p>
    <w:p w:rsidRPr="005828EE" w:rsidR="00A80EE1" w:rsidP="00A80EE1" w:rsidRDefault="00A80EE1" w14:paraId="41EA5720" w14:textId="77777777">
      <w:pPr>
        <w:spacing w:line="360" w:lineRule="auto"/>
        <w:jc w:val="both"/>
        <w:rPr>
          <w:rFonts w:ascii="Palatino Linotype" w:hAnsi="Palatino Linotype" w:eastAsia="Batang" w:cs="Tahoma"/>
          <w:bCs/>
          <w:sz w:val="22"/>
          <w:szCs w:val="22"/>
          <w:lang w:val="es-ES_tradnl"/>
        </w:rPr>
      </w:pPr>
      <w:r w:rsidRPr="005828EE">
        <w:rPr>
          <w:rFonts w:ascii="Palatino Linotype" w:hAnsi="Palatino Linotype" w:eastAsia="Batang" w:cs="Tahoma"/>
          <w:bCs/>
          <w:sz w:val="22"/>
          <w:szCs w:val="22"/>
          <w:lang w:val="es-ES_tradnl"/>
        </w:rPr>
        <w:t xml:space="preserve"> </w:t>
      </w:r>
    </w:p>
    <w:p w:rsidRPr="005828EE" w:rsidR="00A80EE1" w:rsidP="00A80EE1" w:rsidRDefault="00A80EE1" w14:paraId="561D49D4" w14:textId="77777777">
      <w:pPr>
        <w:spacing w:line="360" w:lineRule="auto"/>
        <w:jc w:val="both"/>
        <w:rPr>
          <w:rFonts w:ascii="Palatino Linotype" w:hAnsi="Palatino Linotype" w:eastAsia="Batang" w:cs="Tahoma"/>
          <w:bCs/>
          <w:sz w:val="22"/>
          <w:szCs w:val="22"/>
          <w:lang w:val="es-ES_tradnl"/>
        </w:rPr>
      </w:pPr>
      <w:r w:rsidRPr="005828EE">
        <w:rPr>
          <w:rFonts w:ascii="Palatino Linotype" w:hAnsi="Palatino Linotype" w:eastAsia="Batang" w:cs="Tahoma"/>
          <w:bCs/>
          <w:sz w:val="22"/>
          <w:szCs w:val="22"/>
          <w:lang w:val="es-ES_tradn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5828EE" w:rsidR="00A80EE1" w:rsidP="00A80EE1" w:rsidRDefault="00A80EE1" w14:paraId="3CA636BD" w14:textId="77777777">
      <w:pPr>
        <w:spacing w:line="360" w:lineRule="auto"/>
        <w:jc w:val="both"/>
        <w:rPr>
          <w:rFonts w:ascii="Palatino Linotype" w:hAnsi="Palatino Linotype" w:eastAsia="Batang" w:cs="Tahoma"/>
          <w:bCs/>
          <w:sz w:val="22"/>
          <w:szCs w:val="22"/>
          <w:lang w:val="es-ES_tradnl"/>
        </w:rPr>
      </w:pPr>
    </w:p>
    <w:p w:rsidRPr="005828EE" w:rsidR="00A80EE1" w:rsidP="00A80EE1" w:rsidRDefault="00A80EE1" w14:paraId="4F8EB9A4" w14:textId="77777777">
      <w:pPr>
        <w:spacing w:line="360" w:lineRule="auto"/>
        <w:jc w:val="both"/>
        <w:rPr>
          <w:rFonts w:ascii="Palatino Linotype" w:hAnsi="Palatino Linotype" w:eastAsia="Batang" w:cs="Tahoma"/>
          <w:bCs/>
          <w:sz w:val="22"/>
          <w:szCs w:val="22"/>
          <w:lang w:val="es-ES_tradnl"/>
        </w:rPr>
      </w:pPr>
      <w:r w:rsidRPr="005828EE">
        <w:rPr>
          <w:rFonts w:ascii="Palatino Linotype" w:hAnsi="Palatino Linotype" w:eastAsia="Batang" w:cs="Tahoma"/>
          <w:bCs/>
          <w:sz w:val="22"/>
          <w:szCs w:val="22"/>
          <w:lang w:val="es-ES_tradnl"/>
        </w:rPr>
        <w:t>Al respecto, también son de considerar los criterios sostenidos por el Cuarto Tribunal Colegiado en Materia Administrativa del Primer Circuito, cuyos rubros y datos de identificación son los siguientes:</w:t>
      </w:r>
    </w:p>
    <w:p w:rsidRPr="005828EE" w:rsidR="00A80EE1" w:rsidP="00A80EE1" w:rsidRDefault="00A80EE1" w14:paraId="31749F45" w14:textId="77777777">
      <w:pPr>
        <w:spacing w:line="360" w:lineRule="auto"/>
        <w:jc w:val="both"/>
        <w:rPr>
          <w:rFonts w:ascii="Palatino Linotype" w:hAnsi="Palatino Linotype" w:eastAsia="Batang" w:cs="Tahoma"/>
          <w:bCs/>
          <w:sz w:val="22"/>
          <w:szCs w:val="22"/>
          <w:lang w:val="es-ES_tradnl"/>
        </w:rPr>
      </w:pPr>
    </w:p>
    <w:p w:rsidRPr="005828EE" w:rsidR="00A80EE1" w:rsidP="00A80EE1" w:rsidRDefault="00A80EE1" w14:paraId="620EF9F9" w14:textId="77777777">
      <w:pPr>
        <w:spacing w:line="360" w:lineRule="auto"/>
        <w:jc w:val="both"/>
        <w:rPr>
          <w:rFonts w:ascii="Palatino Linotype" w:hAnsi="Palatino Linotype" w:eastAsia="Batang" w:cs="Tahoma"/>
          <w:bCs/>
          <w:sz w:val="22"/>
          <w:szCs w:val="22"/>
          <w:lang w:val="es-ES_tradnl"/>
        </w:rPr>
      </w:pPr>
      <w:r w:rsidRPr="005828EE">
        <w:rPr>
          <w:rFonts w:ascii="Palatino Linotype" w:hAnsi="Palatino Linotype" w:eastAsia="Batang" w:cs="Tahoma"/>
          <w:bCs/>
          <w:sz w:val="22"/>
          <w:szCs w:val="22"/>
          <w:lang w:val="es-ES_tradnl"/>
        </w:rPr>
        <w:t>“PLAZO RAZONABLE PARA RESOLVER. DIMENSIÓN Y EFECTOS DE ESTE CONCEPTO CUANDO SE ADUCE EXCESIVA CARGA DE TRABAJO.” consultable en el Seminario Judicial de la Federación y su gaceta, con el registro digital 2002351.</w:t>
      </w:r>
    </w:p>
    <w:p w:rsidRPr="005828EE" w:rsidR="00A80EE1" w:rsidP="00A80EE1" w:rsidRDefault="00A80EE1" w14:paraId="7398B27A" w14:textId="77777777">
      <w:pPr>
        <w:spacing w:line="360" w:lineRule="auto"/>
        <w:jc w:val="both"/>
        <w:rPr>
          <w:rFonts w:ascii="Palatino Linotype" w:hAnsi="Palatino Linotype" w:eastAsia="Batang" w:cs="Tahoma"/>
          <w:bCs/>
          <w:sz w:val="22"/>
          <w:szCs w:val="22"/>
          <w:lang w:val="es-ES_tradnl"/>
        </w:rPr>
      </w:pPr>
    </w:p>
    <w:p w:rsidRPr="005828EE" w:rsidR="00A80EE1" w:rsidP="00A80EE1" w:rsidRDefault="00A80EE1" w14:paraId="4403D72D" w14:textId="77777777">
      <w:pPr>
        <w:spacing w:line="360" w:lineRule="auto"/>
        <w:jc w:val="both"/>
        <w:rPr>
          <w:rFonts w:ascii="Palatino Linotype" w:hAnsi="Palatino Linotype" w:eastAsia="Batang" w:cs="Tahoma"/>
          <w:bCs/>
          <w:sz w:val="22"/>
          <w:szCs w:val="22"/>
          <w:lang w:val="es-ES_tradnl"/>
        </w:rPr>
      </w:pPr>
      <w:r w:rsidRPr="005828EE">
        <w:rPr>
          <w:rFonts w:ascii="Palatino Linotype" w:hAnsi="Palatino Linotype" w:eastAsia="Batang" w:cs="Tahoma"/>
          <w:bCs/>
          <w:sz w:val="22"/>
          <w:szCs w:val="22"/>
          <w:lang w:val="es-ES_tradnl"/>
        </w:rPr>
        <w:t>“PLAZO RAZONABLE PARA RESOLVER. CONCEPTO Y ELEMENTOS QUE LO INTEGRAN A LA LUZ DEL DERECHO INTERNACIONAL DE LOS DERECHOS HUMANOS.”, visible en el Seminario Judicial de la Federación y su gaceta, con el registro digital 2002350.</w:t>
      </w:r>
    </w:p>
    <w:p w:rsidRPr="005828EE" w:rsidR="00A80EE1" w:rsidP="00A80EE1" w:rsidRDefault="00A80EE1" w14:paraId="62629FB4" w14:textId="77777777">
      <w:pPr>
        <w:spacing w:line="360" w:lineRule="auto"/>
        <w:jc w:val="both"/>
        <w:rPr>
          <w:rFonts w:ascii="Palatino Linotype" w:hAnsi="Palatino Linotype" w:eastAsia="Batang" w:cs="Tahoma"/>
          <w:bCs/>
          <w:sz w:val="22"/>
          <w:szCs w:val="22"/>
          <w:lang w:val="es-ES_tradnl"/>
        </w:rPr>
      </w:pPr>
    </w:p>
    <w:p w:rsidRPr="005828EE" w:rsidR="00A80EE1" w:rsidP="00A80EE1" w:rsidRDefault="00A80EE1" w14:paraId="7C95ABBB" w14:textId="77777777">
      <w:pPr>
        <w:spacing w:line="360" w:lineRule="auto"/>
        <w:jc w:val="both"/>
        <w:rPr>
          <w:rFonts w:ascii="Palatino Linotype" w:hAnsi="Palatino Linotype" w:eastAsia="Batang" w:cs="Tahoma"/>
          <w:bCs/>
          <w:sz w:val="22"/>
          <w:szCs w:val="22"/>
          <w:lang w:val="es-ES_tradnl"/>
        </w:rPr>
      </w:pPr>
      <w:r w:rsidRPr="005828EE">
        <w:rPr>
          <w:rFonts w:ascii="Palatino Linotype" w:hAnsi="Palatino Linotype" w:eastAsia="Batang" w:cs="Tahoma"/>
          <w:bCs/>
          <w:sz w:val="22"/>
          <w:szCs w:val="22"/>
          <w:lang w:val="es-ES_tradnl"/>
        </w:rPr>
        <w:lastRenderedPageBreak/>
        <w:t>Por ello, este organismo garante comprometido con la tutela de los derechos humanos confiados, señala que este exceso del plazo legal para resolver el presente asunto, resulta de carácter excepcional.</w:t>
      </w:r>
    </w:p>
    <w:p w:rsidRPr="005828EE" w:rsidR="00A80EE1" w:rsidP="001D1C9C" w:rsidRDefault="00A80EE1" w14:paraId="75EF2B97" w14:textId="77777777">
      <w:pPr>
        <w:spacing w:line="360" w:lineRule="auto"/>
        <w:jc w:val="both"/>
        <w:rPr>
          <w:rFonts w:ascii="Palatino Linotype" w:hAnsi="Palatino Linotype" w:cs="Tahoma"/>
          <w:b/>
          <w:bCs/>
          <w:sz w:val="22"/>
          <w:szCs w:val="22"/>
        </w:rPr>
      </w:pPr>
    </w:p>
    <w:p w:rsidRPr="005828EE" w:rsidR="00ED5DF5" w:rsidP="00147516" w:rsidRDefault="00617B73" w14:paraId="6C989DFE" w14:textId="1AA40CEF">
      <w:pPr>
        <w:spacing w:line="360" w:lineRule="auto"/>
        <w:jc w:val="both"/>
        <w:rPr>
          <w:rFonts w:ascii="Palatino Linotype" w:hAnsi="Palatino Linotype" w:cs="Tahoma"/>
          <w:sz w:val="22"/>
          <w:szCs w:val="22"/>
        </w:rPr>
      </w:pPr>
      <w:r w:rsidRPr="005828EE">
        <w:rPr>
          <w:rFonts w:ascii="Palatino Linotype" w:hAnsi="Palatino Linotype" w:eastAsia="Batang" w:cs="Tahoma"/>
          <w:b/>
          <w:bCs/>
          <w:sz w:val="22"/>
          <w:szCs w:val="22"/>
          <w:lang w:val="es-ES_tradnl"/>
        </w:rPr>
        <w:t>i</w:t>
      </w:r>
      <w:r w:rsidRPr="005828EE" w:rsidR="00C3485C">
        <w:rPr>
          <w:rFonts w:ascii="Palatino Linotype" w:hAnsi="Palatino Linotype" w:eastAsia="Batang" w:cs="Tahoma"/>
          <w:b/>
          <w:bCs/>
          <w:sz w:val="22"/>
          <w:szCs w:val="22"/>
          <w:lang w:val="es-ES_tradnl"/>
        </w:rPr>
        <w:t xml:space="preserve">) </w:t>
      </w:r>
      <w:r w:rsidRPr="005828EE" w:rsidR="00ED5DF5">
        <w:rPr>
          <w:rFonts w:ascii="Palatino Linotype" w:hAnsi="Palatino Linotype" w:cs="Tahoma"/>
          <w:b/>
          <w:bCs/>
          <w:sz w:val="22"/>
          <w:szCs w:val="22"/>
        </w:rPr>
        <w:t xml:space="preserve">Cierre de instrucción. </w:t>
      </w:r>
      <w:r w:rsidRPr="005828EE" w:rsidR="00ED5DF5">
        <w:rPr>
          <w:rFonts w:ascii="Palatino Linotype" w:hAnsi="Palatino Linotype" w:cs="Tahoma"/>
          <w:sz w:val="22"/>
          <w:szCs w:val="22"/>
        </w:rPr>
        <w:t>El</w:t>
      </w:r>
      <w:r w:rsidRPr="005828EE" w:rsidR="000F437A">
        <w:rPr>
          <w:rFonts w:ascii="Palatino Linotype" w:hAnsi="Palatino Linotype" w:cs="Tahoma"/>
          <w:sz w:val="22"/>
          <w:szCs w:val="22"/>
        </w:rPr>
        <w:t xml:space="preserve"> </w:t>
      </w:r>
      <w:r w:rsidRPr="005828EE">
        <w:rPr>
          <w:rFonts w:ascii="Palatino Linotype" w:hAnsi="Palatino Linotype" w:cs="Tahoma"/>
          <w:sz w:val="22"/>
          <w:szCs w:val="22"/>
        </w:rPr>
        <w:t xml:space="preserve">veintiuno </w:t>
      </w:r>
      <w:r w:rsidRPr="005828EE" w:rsidR="00815DA9">
        <w:rPr>
          <w:rFonts w:ascii="Palatino Linotype" w:hAnsi="Palatino Linotype" w:cs="Tahoma"/>
          <w:sz w:val="22"/>
          <w:szCs w:val="22"/>
        </w:rPr>
        <w:t>de marzo</w:t>
      </w:r>
      <w:r w:rsidRPr="005828EE" w:rsidR="00E95147">
        <w:rPr>
          <w:rFonts w:ascii="Palatino Linotype" w:hAnsi="Palatino Linotype" w:cs="Tahoma"/>
          <w:sz w:val="22"/>
          <w:szCs w:val="22"/>
        </w:rPr>
        <w:t xml:space="preserve"> de dos mil veintitrés</w:t>
      </w:r>
      <w:r w:rsidRPr="005828EE" w:rsidR="00ED5DF5">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Pr="005828EE" w:rsidR="000F437A">
        <w:rPr>
          <w:rFonts w:ascii="Palatino Linotype" w:hAnsi="Palatino Linotype" w:cs="Tahoma"/>
          <w:sz w:val="22"/>
          <w:szCs w:val="22"/>
        </w:rPr>
        <w:t>el mismo día</w:t>
      </w:r>
      <w:r w:rsidRPr="005828EE" w:rsidR="00ED5DF5">
        <w:rPr>
          <w:rFonts w:ascii="Palatino Linotype" w:hAnsi="Palatino Linotype" w:cs="Tahoma"/>
          <w:sz w:val="22"/>
          <w:szCs w:val="22"/>
        </w:rPr>
        <w:t xml:space="preserve">, a través del </w:t>
      </w:r>
      <w:r w:rsidRPr="005828EE" w:rsidR="00ED5DF5">
        <w:rPr>
          <w:rFonts w:ascii="Palatino Linotype" w:hAnsi="Palatino Linotype" w:cs="Tahoma"/>
          <w:sz w:val="22"/>
          <w:szCs w:val="22"/>
          <w:lang w:val="es-ES"/>
        </w:rPr>
        <w:t>Sistema de Acceso a la Información Mexiquense (SAIMEX)</w:t>
      </w:r>
      <w:r w:rsidRPr="005828EE" w:rsidR="00ED5DF5">
        <w:rPr>
          <w:rFonts w:ascii="Palatino Linotype" w:hAnsi="Palatino Linotype" w:cs="Tahoma"/>
          <w:sz w:val="22"/>
          <w:szCs w:val="22"/>
        </w:rPr>
        <w:t>.</w:t>
      </w:r>
    </w:p>
    <w:p w:rsidRPr="005828EE" w:rsidR="00CE5228" w:rsidP="00147516" w:rsidRDefault="00CE5228" w14:paraId="35F219C7" w14:textId="77777777">
      <w:pPr>
        <w:spacing w:line="360" w:lineRule="auto"/>
        <w:contextualSpacing/>
        <w:jc w:val="both"/>
        <w:rPr>
          <w:rFonts w:ascii="Palatino Linotype" w:hAnsi="Palatino Linotype" w:cs="Tahoma"/>
          <w:color w:val="000000"/>
          <w:sz w:val="22"/>
          <w:szCs w:val="22"/>
        </w:rPr>
      </w:pPr>
    </w:p>
    <w:p w:rsidRPr="005828EE" w:rsidR="004F2D88" w:rsidP="00147516" w:rsidRDefault="004F2D88" w14:paraId="23D3AE8D" w14:textId="77777777">
      <w:pPr>
        <w:spacing w:line="360" w:lineRule="auto"/>
        <w:contextualSpacing/>
        <w:jc w:val="both"/>
        <w:rPr>
          <w:rFonts w:ascii="Palatino Linotype" w:hAnsi="Palatino Linotype" w:cs="Tahoma"/>
          <w:color w:val="000000"/>
          <w:sz w:val="22"/>
          <w:szCs w:val="22"/>
        </w:rPr>
      </w:pPr>
      <w:r w:rsidRPr="005828EE">
        <w:rPr>
          <w:rFonts w:ascii="Palatino Linotype" w:hAnsi="Palatino Linotype" w:cs="Tahoma"/>
          <w:color w:val="000000"/>
          <w:sz w:val="22"/>
          <w:szCs w:val="22"/>
        </w:rPr>
        <w:t xml:space="preserve">En </w:t>
      </w:r>
      <w:r w:rsidRPr="005828EE" w:rsidR="00367F82">
        <w:rPr>
          <w:rFonts w:ascii="Palatino Linotype" w:hAnsi="Palatino Linotype" w:cs="Tahoma"/>
          <w:color w:val="000000"/>
          <w:sz w:val="22"/>
          <w:szCs w:val="22"/>
        </w:rPr>
        <w:t>razón de que fue debidamente su</w:t>
      </w:r>
      <w:r w:rsidRPr="005828EE">
        <w:rPr>
          <w:rFonts w:ascii="Palatino Linotype" w:hAnsi="Palatino Linotype" w:cs="Tahoma"/>
          <w:color w:val="000000"/>
          <w:sz w:val="22"/>
          <w:szCs w:val="22"/>
        </w:rPr>
        <w:t xml:space="preserve">stanciado el expediente </w:t>
      </w:r>
      <w:r w:rsidRPr="005828EE" w:rsidR="00367F82">
        <w:rPr>
          <w:rFonts w:ascii="Palatino Linotype" w:hAnsi="Palatino Linotype" w:cs="Tahoma"/>
          <w:color w:val="000000"/>
          <w:sz w:val="22"/>
          <w:szCs w:val="22"/>
        </w:rPr>
        <w:t xml:space="preserve">electrónico </w:t>
      </w:r>
      <w:r w:rsidRPr="005828EE">
        <w:rPr>
          <w:rFonts w:ascii="Palatino Linotype" w:hAnsi="Palatino Linotype" w:cs="Tahoma"/>
          <w:color w:val="000000"/>
          <w:sz w:val="22"/>
          <w:szCs w:val="22"/>
        </w:rPr>
        <w:t>y no exist</w:t>
      </w:r>
      <w:r w:rsidRPr="005828EE" w:rsidR="00367F82">
        <w:rPr>
          <w:rFonts w:ascii="Palatino Linotype" w:hAnsi="Palatino Linotype" w:cs="Tahoma"/>
          <w:color w:val="000000"/>
          <w:sz w:val="22"/>
          <w:szCs w:val="22"/>
        </w:rPr>
        <w:t>e</w:t>
      </w:r>
      <w:r w:rsidRPr="005828EE">
        <w:rPr>
          <w:rFonts w:ascii="Palatino Linotype" w:hAnsi="Palatino Linotype" w:cs="Tahoma"/>
          <w:color w:val="000000"/>
          <w:sz w:val="22"/>
          <w:szCs w:val="22"/>
        </w:rPr>
        <w:t xml:space="preserve"> dilige</w:t>
      </w:r>
      <w:r w:rsidRPr="005828EE" w:rsidR="00367F82">
        <w:rPr>
          <w:rFonts w:ascii="Palatino Linotype" w:hAnsi="Palatino Linotype" w:cs="Tahoma"/>
          <w:color w:val="000000"/>
          <w:sz w:val="22"/>
          <w:szCs w:val="22"/>
        </w:rPr>
        <w:t xml:space="preserve">ncia pendiente de desahogo, se </w:t>
      </w:r>
      <w:r w:rsidRPr="005828EE">
        <w:rPr>
          <w:rFonts w:ascii="Palatino Linotype" w:hAnsi="Palatino Linotype" w:cs="Tahoma"/>
          <w:color w:val="000000"/>
          <w:sz w:val="22"/>
          <w:szCs w:val="22"/>
        </w:rPr>
        <w:t>emit</w:t>
      </w:r>
      <w:r w:rsidRPr="005828EE" w:rsidR="00367F82">
        <w:rPr>
          <w:rFonts w:ascii="Palatino Linotype" w:hAnsi="Palatino Linotype" w:cs="Tahoma"/>
          <w:color w:val="000000"/>
          <w:sz w:val="22"/>
          <w:szCs w:val="22"/>
        </w:rPr>
        <w:t>e</w:t>
      </w:r>
      <w:r w:rsidRPr="005828EE">
        <w:rPr>
          <w:rFonts w:ascii="Palatino Linotype" w:hAnsi="Palatino Linotype" w:cs="Tahoma"/>
          <w:color w:val="000000"/>
          <w:sz w:val="22"/>
          <w:szCs w:val="22"/>
        </w:rPr>
        <w:t xml:space="preserve"> la resolución que conforme a Derecho proceda, de acuerdo a l</w:t>
      </w:r>
      <w:r w:rsidRPr="005828EE" w:rsidR="009A620E">
        <w:rPr>
          <w:rFonts w:ascii="Palatino Linotype" w:hAnsi="Palatino Linotype" w:cs="Tahoma"/>
          <w:color w:val="000000"/>
          <w:sz w:val="22"/>
          <w:szCs w:val="22"/>
        </w:rPr>
        <w:t>o</w:t>
      </w:r>
      <w:r w:rsidRPr="005828EE">
        <w:rPr>
          <w:rFonts w:ascii="Palatino Linotype" w:hAnsi="Palatino Linotype" w:cs="Tahoma"/>
          <w:color w:val="000000"/>
          <w:sz w:val="22"/>
          <w:szCs w:val="22"/>
        </w:rPr>
        <w:t xml:space="preserve">s siguientes: </w:t>
      </w:r>
    </w:p>
    <w:p w:rsidRPr="005828EE" w:rsidR="001C0C73" w:rsidP="00147516" w:rsidRDefault="001C0C73" w14:paraId="0ADC271A" w14:textId="77777777">
      <w:pPr>
        <w:spacing w:line="360" w:lineRule="auto"/>
        <w:contextualSpacing/>
        <w:jc w:val="both"/>
        <w:rPr>
          <w:rFonts w:ascii="Palatino Linotype" w:hAnsi="Palatino Linotype" w:cs="Tahoma"/>
          <w:color w:val="000000"/>
          <w:sz w:val="22"/>
          <w:szCs w:val="22"/>
        </w:rPr>
      </w:pPr>
    </w:p>
    <w:p w:rsidRPr="005828EE" w:rsidR="00EA4E4A" w:rsidP="00147516" w:rsidRDefault="00EA4E4A" w14:paraId="3AD4B5AF" w14:textId="77777777">
      <w:pPr>
        <w:spacing w:line="360" w:lineRule="auto"/>
        <w:contextualSpacing/>
        <w:jc w:val="center"/>
        <w:rPr>
          <w:rFonts w:ascii="Palatino Linotype" w:hAnsi="Palatino Linotype" w:cs="Tahoma"/>
          <w:b/>
          <w:sz w:val="22"/>
          <w:szCs w:val="22"/>
        </w:rPr>
      </w:pPr>
      <w:r w:rsidRPr="005828EE">
        <w:rPr>
          <w:rFonts w:ascii="Palatino Linotype" w:hAnsi="Palatino Linotype" w:cs="Tahoma"/>
          <w:b/>
          <w:sz w:val="22"/>
          <w:szCs w:val="22"/>
        </w:rPr>
        <w:t>C O N S I D E R A N D O S</w:t>
      </w:r>
    </w:p>
    <w:p w:rsidRPr="005828EE" w:rsidR="00EA4E4A" w:rsidP="00147516" w:rsidRDefault="00EA4E4A" w14:paraId="0D4ADEFB" w14:textId="77777777">
      <w:pPr>
        <w:spacing w:line="360" w:lineRule="auto"/>
        <w:contextualSpacing/>
        <w:jc w:val="center"/>
        <w:rPr>
          <w:rFonts w:ascii="Palatino Linotype" w:hAnsi="Palatino Linotype" w:cs="Tahoma"/>
          <w:b/>
          <w:sz w:val="22"/>
          <w:szCs w:val="22"/>
        </w:rPr>
      </w:pPr>
    </w:p>
    <w:p w:rsidRPr="005828EE" w:rsidR="00EA4E4A" w:rsidP="00147516" w:rsidRDefault="00EA4E4A" w14:paraId="0C5905F3" w14:textId="77777777">
      <w:pPr>
        <w:autoSpaceDE w:val="0"/>
        <w:autoSpaceDN w:val="0"/>
        <w:adjustRightInd w:val="0"/>
        <w:spacing w:line="360" w:lineRule="auto"/>
        <w:contextualSpacing/>
        <w:jc w:val="both"/>
        <w:rPr>
          <w:rFonts w:ascii="Palatino Linotype" w:hAnsi="Palatino Linotype" w:cs="Tahoma"/>
          <w:b/>
          <w:sz w:val="22"/>
          <w:szCs w:val="22"/>
        </w:rPr>
      </w:pPr>
      <w:r w:rsidRPr="005828EE">
        <w:rPr>
          <w:rFonts w:ascii="Palatino Linotype" w:hAnsi="Palatino Linotype" w:eastAsia="Calibri" w:cs="Tahoma"/>
          <w:b/>
          <w:color w:val="000000"/>
          <w:sz w:val="22"/>
          <w:szCs w:val="22"/>
          <w:lang w:eastAsia="es-MX"/>
        </w:rPr>
        <w:t>PRIMERO</w:t>
      </w:r>
      <w:r w:rsidRPr="005828EE">
        <w:rPr>
          <w:rFonts w:ascii="Palatino Linotype" w:hAnsi="Palatino Linotype" w:eastAsia="Calibri" w:cs="Tahoma"/>
          <w:color w:val="000000"/>
          <w:sz w:val="22"/>
          <w:szCs w:val="22"/>
          <w:lang w:eastAsia="es-MX"/>
        </w:rPr>
        <w:t xml:space="preserve">. </w:t>
      </w:r>
      <w:r w:rsidRPr="005828EE">
        <w:rPr>
          <w:rFonts w:ascii="Palatino Linotype" w:hAnsi="Palatino Linotype" w:cs="Tahoma"/>
          <w:b/>
          <w:sz w:val="22"/>
          <w:szCs w:val="22"/>
        </w:rPr>
        <w:t>Competencia.</w:t>
      </w:r>
    </w:p>
    <w:p w:rsidRPr="005828EE" w:rsidR="00EA4E4A" w:rsidP="00147516" w:rsidRDefault="00EA4E4A" w14:paraId="4E45E8AF" w14:textId="77777777">
      <w:pPr>
        <w:autoSpaceDE w:val="0"/>
        <w:autoSpaceDN w:val="0"/>
        <w:adjustRightInd w:val="0"/>
        <w:spacing w:line="360" w:lineRule="auto"/>
        <w:contextualSpacing/>
        <w:jc w:val="both"/>
        <w:rPr>
          <w:rFonts w:ascii="Palatino Linotype" w:hAnsi="Palatino Linotype" w:cs="Tahoma"/>
          <w:b/>
          <w:sz w:val="22"/>
          <w:szCs w:val="22"/>
        </w:rPr>
      </w:pPr>
    </w:p>
    <w:p w:rsidRPr="005828EE" w:rsidR="00CE0B4C" w:rsidP="00147516" w:rsidRDefault="00CE0B4C" w14:paraId="6AFC5E42" w14:textId="77777777">
      <w:pPr>
        <w:spacing w:line="360" w:lineRule="auto"/>
        <w:jc w:val="both"/>
        <w:rPr>
          <w:rFonts w:ascii="Palatino Linotype" w:hAnsi="Palatino Linotype" w:cs="Tahoma"/>
          <w:sz w:val="22"/>
          <w:szCs w:val="22"/>
          <w:shd w:val="clear" w:color="auto" w:fill="FFFFFF"/>
        </w:rPr>
      </w:pPr>
      <w:r w:rsidRPr="005828EE">
        <w:rPr>
          <w:rFonts w:ascii="Palatino Linotype" w:hAnsi="Palatino Linotype" w:eastAsia="Calibri" w:cs="Tahoma"/>
          <w:color w:val="000000"/>
          <w:sz w:val="22"/>
          <w:szCs w:val="22"/>
          <w:lang w:eastAsia="es-MX"/>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w:t>
      </w:r>
      <w:r w:rsidRPr="005828EE">
        <w:rPr>
          <w:rFonts w:ascii="Palatino Linotype" w:hAnsi="Palatino Linotype" w:eastAsia="Calibri" w:cs="Tahoma"/>
          <w:color w:val="000000"/>
          <w:sz w:val="22"/>
          <w:szCs w:val="22"/>
          <w:lang w:eastAsia="es-MX"/>
        </w:rPr>
        <w:lastRenderedPageBreak/>
        <w:t>de la Ley Transparencia y Acceso a la Información Pública del Estado de México y Municipios;</w:t>
      </w:r>
      <w:r w:rsidRPr="005828EE">
        <w:rPr>
          <w:rFonts w:eastAsia="Calibri"/>
          <w:color w:val="000000"/>
          <w:lang w:eastAsia="es-MX"/>
        </w:rPr>
        <w:t xml:space="preserve"> 7°, </w:t>
      </w:r>
      <w:r w:rsidRPr="005828EE">
        <w:rPr>
          <w:rFonts w:ascii="Palatino Linotype" w:hAnsi="Palatino Linotype" w:eastAsia="Calibri" w:cs="Tahoma"/>
          <w:color w:val="000000"/>
          <w:sz w:val="22"/>
          <w:szCs w:val="22"/>
          <w:lang w:eastAsia="es-MX"/>
        </w:rPr>
        <w:t>9°, fracciones I y XXIV y 11 del Reglamento Interior del Instituto de Transparencia, Acceso a la Información</w:t>
      </w:r>
      <w:r w:rsidRPr="005828EE">
        <w:rPr>
          <w:rFonts w:ascii="Palatino Linotype" w:hAnsi="Palatino Linotype" w:cs="Tahoma"/>
          <w:sz w:val="22"/>
          <w:szCs w:val="22"/>
          <w:shd w:val="clear" w:color="auto" w:fill="FFFFFF"/>
        </w:rPr>
        <w:t xml:space="preserve"> Pública y Protección de Datos Personales del Estado de México y Municipios.</w:t>
      </w:r>
    </w:p>
    <w:p w:rsidRPr="005828EE" w:rsidR="00EA4E4A" w:rsidP="00147516" w:rsidRDefault="00EA4E4A" w14:paraId="6EB8FE43" w14:textId="1CC4DE0F">
      <w:pPr>
        <w:spacing w:line="360" w:lineRule="auto"/>
        <w:contextualSpacing/>
        <w:jc w:val="both"/>
        <w:rPr>
          <w:rFonts w:ascii="Palatino Linotype" w:hAnsi="Palatino Linotype" w:cs="Tahoma"/>
          <w:sz w:val="22"/>
          <w:szCs w:val="22"/>
          <w:shd w:val="clear" w:color="auto" w:fill="FFFFFF"/>
        </w:rPr>
      </w:pPr>
    </w:p>
    <w:p w:rsidRPr="005828EE" w:rsidR="00617B73" w:rsidP="00617B73" w:rsidRDefault="00617B73" w14:paraId="73C4BA05"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5828EE">
        <w:rPr>
          <w:rFonts w:ascii="Palatino Linotype" w:hAnsi="Palatino Linotype" w:eastAsia="Calibri" w:cs="Tahoma"/>
          <w:b/>
          <w:color w:val="000000"/>
          <w:sz w:val="22"/>
          <w:szCs w:val="22"/>
          <w:lang w:eastAsia="es-MX"/>
        </w:rPr>
        <w:t>SEGUNDO</w:t>
      </w:r>
      <w:r w:rsidRPr="005828EE">
        <w:rPr>
          <w:rFonts w:ascii="Palatino Linotype" w:hAnsi="Palatino Linotype" w:eastAsia="Calibri" w:cs="Tahoma"/>
          <w:color w:val="000000"/>
          <w:sz w:val="22"/>
          <w:szCs w:val="22"/>
          <w:lang w:eastAsia="es-MX"/>
        </w:rPr>
        <w:t xml:space="preserve">. </w:t>
      </w:r>
      <w:r w:rsidRPr="005828EE">
        <w:rPr>
          <w:rFonts w:ascii="Palatino Linotype" w:hAnsi="Palatino Linotype" w:eastAsia="Calibri" w:cs="Tahoma"/>
          <w:b/>
          <w:color w:val="000000"/>
          <w:sz w:val="22"/>
          <w:szCs w:val="22"/>
          <w:lang w:eastAsia="es-MX"/>
        </w:rPr>
        <w:t>Causales de improcedencia y sobreseimiento.</w:t>
      </w:r>
      <w:r w:rsidRPr="005828EE">
        <w:rPr>
          <w:rFonts w:ascii="Palatino Linotype" w:hAnsi="Palatino Linotype" w:eastAsia="Calibri" w:cs="Tahoma"/>
          <w:color w:val="000000"/>
          <w:sz w:val="22"/>
          <w:szCs w:val="22"/>
          <w:lang w:eastAsia="es-MX"/>
        </w:rPr>
        <w:t xml:space="preserve"> </w:t>
      </w:r>
    </w:p>
    <w:p w:rsidRPr="005828EE" w:rsidR="00617B73" w:rsidP="00617B73" w:rsidRDefault="00617B73" w14:paraId="5D213E03"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5828EE" w:rsidR="00617B73" w:rsidP="00617B73" w:rsidRDefault="00617B73" w14:paraId="5F54DE04"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5828EE">
        <w:rPr>
          <w:rFonts w:ascii="Palatino Linotype" w:hAnsi="Palatino Linotype" w:eastAsia="Calibri"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5828EE" w:rsidR="00617B73" w:rsidP="00617B73" w:rsidRDefault="00617B73" w14:paraId="55D632FE"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5828EE" w:rsidR="00617B73" w:rsidP="00617B73" w:rsidRDefault="00617B73" w14:paraId="156F1790"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5828EE">
        <w:rPr>
          <w:rFonts w:ascii="Palatino Linotype" w:hAnsi="Palatino Linotype" w:eastAsia="Calibri"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5828EE" w:rsidR="00617B73" w:rsidP="00617B73" w:rsidRDefault="00617B73" w14:paraId="61E7A842" w14:textId="77777777">
      <w:pPr>
        <w:spacing w:line="360" w:lineRule="auto"/>
        <w:jc w:val="both"/>
        <w:rPr>
          <w:rFonts w:ascii="Palatino Linotype" w:hAnsi="Palatino Linotype" w:eastAsia="Calibri" w:cs="Tahoma"/>
          <w:b/>
          <w:sz w:val="22"/>
          <w:szCs w:val="22"/>
          <w:lang w:eastAsia="es-ES_tradnl"/>
        </w:rPr>
      </w:pPr>
    </w:p>
    <w:p w:rsidRPr="005828EE" w:rsidR="00617B73" w:rsidP="00617B73" w:rsidRDefault="00617B73" w14:paraId="0F2EC79E" w14:textId="77777777">
      <w:pPr>
        <w:spacing w:line="360" w:lineRule="auto"/>
        <w:jc w:val="both"/>
        <w:rPr>
          <w:rFonts w:ascii="Palatino Linotype" w:hAnsi="Palatino Linotype" w:eastAsia="Calibri" w:cs="Tahoma"/>
          <w:b/>
          <w:sz w:val="22"/>
          <w:szCs w:val="22"/>
          <w:lang w:eastAsia="es-ES_tradnl"/>
        </w:rPr>
      </w:pPr>
      <w:r w:rsidRPr="005828EE">
        <w:rPr>
          <w:rFonts w:ascii="Palatino Linotype" w:hAnsi="Palatino Linotype" w:eastAsia="Calibri" w:cs="Tahoma"/>
          <w:b/>
          <w:sz w:val="22"/>
          <w:szCs w:val="22"/>
          <w:lang w:eastAsia="es-ES_tradnl"/>
        </w:rPr>
        <w:t>Causales de sobreseimiento.</w:t>
      </w:r>
    </w:p>
    <w:p w:rsidRPr="005828EE" w:rsidR="00617B73" w:rsidP="00617B73" w:rsidRDefault="00617B73" w14:paraId="10ACB17F" w14:textId="77777777">
      <w:pPr>
        <w:spacing w:line="360" w:lineRule="auto"/>
        <w:jc w:val="both"/>
        <w:rPr>
          <w:rFonts w:ascii="Palatino Linotype" w:hAnsi="Palatino Linotype" w:eastAsia="Calibri" w:cs="Tahoma"/>
          <w:b/>
          <w:sz w:val="22"/>
          <w:szCs w:val="22"/>
          <w:lang w:eastAsia="es-ES_tradnl"/>
        </w:rPr>
      </w:pPr>
    </w:p>
    <w:p w:rsidRPr="005828EE" w:rsidR="00617B73" w:rsidP="00617B73" w:rsidRDefault="00617B73" w14:paraId="4C221859" w14:textId="77777777">
      <w:pPr>
        <w:spacing w:line="360" w:lineRule="auto"/>
        <w:jc w:val="both"/>
        <w:rPr>
          <w:rFonts w:ascii="Palatino Linotype" w:hAnsi="Palatino Linotype" w:eastAsia="Calibri" w:cs="Tahoma"/>
          <w:bCs/>
          <w:color w:val="000000"/>
          <w:sz w:val="22"/>
          <w:szCs w:val="22"/>
          <w:lang w:eastAsia="es-ES_tradnl"/>
        </w:rPr>
      </w:pPr>
      <w:r w:rsidRPr="005828EE">
        <w:rPr>
          <w:rFonts w:ascii="Palatino Linotype" w:hAnsi="Palatino Linotype" w:cs="Tahoma"/>
          <w:sz w:val="22"/>
          <w:szCs w:val="22"/>
        </w:rPr>
        <w:lastRenderedPageBreak/>
        <w:t xml:space="preserve">Por otra parte, el artículo 192 de la </w:t>
      </w:r>
      <w:r w:rsidRPr="005828EE">
        <w:rPr>
          <w:rFonts w:ascii="Palatino Linotype" w:hAnsi="Palatino Linotype" w:eastAsia="Calibri" w:cs="Tahoma"/>
          <w:bCs/>
          <w:color w:val="000000"/>
          <w:sz w:val="22"/>
          <w:szCs w:val="22"/>
          <w:lang w:eastAsia="es-ES_tradnl"/>
        </w:rPr>
        <w:t>Ley Transparencia y Acceso a la Información Pública del Estado de México y Municipios, señala que el Recurso de Revisión será sobreseído en todo o en parte, cuando, una vez admitido, se actualice alguno de los siguientes supuestos:</w:t>
      </w:r>
    </w:p>
    <w:p w:rsidRPr="005828EE" w:rsidR="00617B73" w:rsidP="00617B73" w:rsidRDefault="00617B73" w14:paraId="530CE58C" w14:textId="77777777">
      <w:pPr>
        <w:spacing w:line="360" w:lineRule="auto"/>
        <w:jc w:val="both"/>
        <w:rPr>
          <w:rFonts w:ascii="Palatino Linotype" w:hAnsi="Palatino Linotype" w:eastAsia="Calibri" w:cs="Tahoma"/>
          <w:bCs/>
          <w:color w:val="000000"/>
          <w:sz w:val="22"/>
          <w:szCs w:val="22"/>
          <w:lang w:eastAsia="es-ES_tradnl"/>
        </w:rPr>
      </w:pPr>
    </w:p>
    <w:p w:rsidRPr="005828EE" w:rsidR="00617B73" w:rsidP="00617B73" w:rsidRDefault="00617B73" w14:paraId="30CF162F" w14:textId="77777777">
      <w:pPr>
        <w:numPr>
          <w:ilvl w:val="0"/>
          <w:numId w:val="24"/>
        </w:numPr>
        <w:spacing w:line="360" w:lineRule="auto"/>
        <w:jc w:val="both"/>
        <w:rPr>
          <w:rFonts w:ascii="Palatino Linotype" w:hAnsi="Palatino Linotype" w:eastAsia="Calibri" w:cs="Tahoma"/>
          <w:bCs/>
          <w:color w:val="000000"/>
          <w:sz w:val="22"/>
          <w:szCs w:val="22"/>
          <w:lang w:eastAsia="es-ES_tradnl"/>
        </w:rPr>
      </w:pPr>
      <w:r w:rsidRPr="005828EE">
        <w:rPr>
          <w:rFonts w:ascii="Palatino Linotype" w:hAnsi="Palatino Linotype" w:eastAsia="Calibri" w:cs="Tahoma"/>
          <w:bCs/>
          <w:color w:val="000000"/>
          <w:sz w:val="22"/>
          <w:szCs w:val="22"/>
          <w:lang w:eastAsia="es-ES_tradnl"/>
        </w:rPr>
        <w:t>El recurrente se desista expresamente;</w:t>
      </w:r>
    </w:p>
    <w:p w:rsidRPr="005828EE" w:rsidR="00617B73" w:rsidP="00617B73" w:rsidRDefault="00617B73" w14:paraId="1392D940" w14:textId="77777777">
      <w:pPr>
        <w:numPr>
          <w:ilvl w:val="0"/>
          <w:numId w:val="24"/>
        </w:numPr>
        <w:spacing w:line="360" w:lineRule="auto"/>
        <w:jc w:val="both"/>
        <w:rPr>
          <w:rFonts w:ascii="Palatino Linotype" w:hAnsi="Palatino Linotype" w:eastAsia="Calibri" w:cs="Tahoma"/>
          <w:bCs/>
          <w:color w:val="000000"/>
          <w:sz w:val="22"/>
          <w:szCs w:val="22"/>
          <w:lang w:eastAsia="es-ES_tradnl"/>
        </w:rPr>
      </w:pPr>
      <w:r w:rsidRPr="005828EE">
        <w:rPr>
          <w:rFonts w:ascii="Palatino Linotype" w:hAnsi="Palatino Linotype" w:eastAsia="Calibri" w:cs="Tahoma"/>
          <w:bCs/>
          <w:color w:val="000000"/>
          <w:sz w:val="22"/>
          <w:szCs w:val="22"/>
          <w:lang w:eastAsia="es-ES_tradnl"/>
        </w:rPr>
        <w:t>El recurrente fallezca o, tratándose de personas morales se disuelva;</w:t>
      </w:r>
    </w:p>
    <w:p w:rsidRPr="005828EE" w:rsidR="00617B73" w:rsidP="00617B73" w:rsidRDefault="00617B73" w14:paraId="03A52D5E" w14:textId="77777777">
      <w:pPr>
        <w:numPr>
          <w:ilvl w:val="0"/>
          <w:numId w:val="24"/>
        </w:numPr>
        <w:spacing w:line="360" w:lineRule="auto"/>
        <w:jc w:val="both"/>
        <w:rPr>
          <w:rFonts w:ascii="Palatino Linotype" w:hAnsi="Palatino Linotype" w:eastAsia="Calibri" w:cs="Tahoma"/>
          <w:bCs/>
          <w:color w:val="000000"/>
          <w:sz w:val="22"/>
          <w:szCs w:val="22"/>
          <w:lang w:eastAsia="es-ES_tradnl"/>
        </w:rPr>
      </w:pPr>
      <w:r w:rsidRPr="005828EE">
        <w:rPr>
          <w:rFonts w:ascii="Palatino Linotype" w:hAnsi="Palatino Linotype" w:eastAsia="Calibri" w:cs="Tahoma"/>
          <w:bCs/>
          <w:color w:val="000000"/>
          <w:sz w:val="22"/>
          <w:szCs w:val="22"/>
          <w:lang w:eastAsia="es-ES_tradnl"/>
        </w:rPr>
        <w:t>El Sujeto Obligado modifique la respuesta o la revoque, de tal manera que el recurso de revisión quede sin materia;</w:t>
      </w:r>
    </w:p>
    <w:p w:rsidRPr="005828EE" w:rsidR="00617B73" w:rsidP="00617B73" w:rsidRDefault="00617B73" w14:paraId="72CA1CB4" w14:textId="77777777">
      <w:pPr>
        <w:numPr>
          <w:ilvl w:val="0"/>
          <w:numId w:val="24"/>
        </w:numPr>
        <w:spacing w:line="360" w:lineRule="auto"/>
        <w:jc w:val="both"/>
        <w:rPr>
          <w:rFonts w:ascii="Palatino Linotype" w:hAnsi="Palatino Linotype" w:eastAsia="Calibri" w:cs="Tahoma"/>
          <w:bCs/>
          <w:color w:val="000000"/>
          <w:sz w:val="22"/>
          <w:szCs w:val="22"/>
          <w:lang w:eastAsia="es-ES_tradnl"/>
        </w:rPr>
      </w:pPr>
      <w:r w:rsidRPr="005828EE">
        <w:rPr>
          <w:rFonts w:ascii="Palatino Linotype" w:hAnsi="Palatino Linotype" w:eastAsia="Calibri" w:cs="Tahoma"/>
          <w:bCs/>
          <w:color w:val="000000"/>
          <w:sz w:val="22"/>
          <w:szCs w:val="22"/>
          <w:lang w:eastAsia="es-ES_tradnl"/>
        </w:rPr>
        <w:t>Admitido el recurso de revisión, aparezca alguna causal de improcedencia; y,</w:t>
      </w:r>
    </w:p>
    <w:p w:rsidRPr="005828EE" w:rsidR="00617B73" w:rsidP="00617B73" w:rsidRDefault="00617B73" w14:paraId="4EBC1003" w14:textId="77777777">
      <w:pPr>
        <w:numPr>
          <w:ilvl w:val="0"/>
          <w:numId w:val="24"/>
        </w:numPr>
        <w:spacing w:line="360" w:lineRule="auto"/>
        <w:jc w:val="both"/>
        <w:rPr>
          <w:rFonts w:ascii="Palatino Linotype" w:hAnsi="Palatino Linotype" w:eastAsia="Calibri" w:cs="Tahoma"/>
          <w:bCs/>
          <w:color w:val="000000"/>
          <w:sz w:val="22"/>
          <w:szCs w:val="22"/>
          <w:lang w:eastAsia="es-ES_tradnl"/>
        </w:rPr>
      </w:pPr>
      <w:r w:rsidRPr="005828EE">
        <w:rPr>
          <w:rFonts w:ascii="Palatino Linotype" w:hAnsi="Palatino Linotype" w:eastAsia="Calibri" w:cs="Tahoma"/>
          <w:bCs/>
          <w:color w:val="000000"/>
          <w:sz w:val="22"/>
          <w:szCs w:val="22"/>
          <w:lang w:eastAsia="es-ES_tradnl"/>
        </w:rPr>
        <w:t>Cuando por cualquier motivo quede sin materia el recurso de revisión.</w:t>
      </w:r>
    </w:p>
    <w:p w:rsidRPr="005828EE" w:rsidR="00617B73" w:rsidP="00617B73" w:rsidRDefault="00617B73" w14:paraId="1FBF2F37" w14:textId="77777777">
      <w:pPr>
        <w:spacing w:line="360" w:lineRule="auto"/>
        <w:jc w:val="both"/>
        <w:rPr>
          <w:rFonts w:ascii="Palatino Linotype" w:hAnsi="Palatino Linotype" w:eastAsia="Calibri" w:cs="Tahoma"/>
          <w:bCs/>
          <w:color w:val="000000"/>
          <w:sz w:val="22"/>
          <w:szCs w:val="22"/>
          <w:lang w:eastAsia="es-ES_tradnl"/>
        </w:rPr>
      </w:pPr>
    </w:p>
    <w:p w:rsidRPr="005828EE" w:rsidR="00617B73" w:rsidP="00617B73" w:rsidRDefault="00617B73" w14:paraId="04830895" w14:textId="77777777">
      <w:pPr>
        <w:spacing w:line="360" w:lineRule="auto"/>
        <w:jc w:val="both"/>
        <w:rPr>
          <w:rFonts w:ascii="Palatino Linotype" w:hAnsi="Palatino Linotype" w:cs="Tahoma"/>
          <w:sz w:val="22"/>
          <w:szCs w:val="22"/>
        </w:rPr>
      </w:pPr>
      <w:r w:rsidRPr="005828EE">
        <w:rPr>
          <w:rFonts w:ascii="Palatino Linotype" w:hAnsi="Palatino Linotype" w:cs="Tahoma"/>
          <w:sz w:val="22"/>
          <w:szCs w:val="22"/>
        </w:rPr>
        <w:t>Sin embargo, de los autos que corren agregados al expediente en el que se actúa, no fue posible advertir que el Recurrente se hubiera desistido, fallecido o hubiera aparecido una causal de improcedencia durante el trámite del presente Recurso, Por lo que no se actualizan dichas causales de sobreseimiento.</w:t>
      </w:r>
    </w:p>
    <w:p w:rsidRPr="005828EE" w:rsidR="00617B73" w:rsidP="00617B73" w:rsidRDefault="00617B73" w14:paraId="31ECE710" w14:textId="77777777">
      <w:pPr>
        <w:spacing w:line="360" w:lineRule="auto"/>
        <w:jc w:val="both"/>
        <w:rPr>
          <w:rFonts w:ascii="Palatino Linotype" w:hAnsi="Palatino Linotype" w:cs="Tahoma"/>
          <w:sz w:val="22"/>
          <w:szCs w:val="22"/>
        </w:rPr>
      </w:pPr>
    </w:p>
    <w:p w:rsidRPr="005828EE" w:rsidR="00617B73" w:rsidP="00617B73" w:rsidRDefault="00617B73" w14:paraId="68692DB9" w14:textId="77777777">
      <w:pPr>
        <w:spacing w:line="360" w:lineRule="auto"/>
        <w:jc w:val="both"/>
        <w:rPr>
          <w:rFonts w:ascii="Palatino Linotype" w:hAnsi="Palatino Linotype" w:eastAsia="Calibri" w:cs="Tahoma"/>
          <w:bCs/>
          <w:color w:val="000000"/>
          <w:sz w:val="22"/>
          <w:szCs w:val="22"/>
          <w:lang w:eastAsia="es-ES_tradnl"/>
        </w:rPr>
      </w:pPr>
      <w:r w:rsidRPr="005828EE">
        <w:rPr>
          <w:rFonts w:ascii="Palatino Linotype" w:hAnsi="Palatino Linotype" w:cs="Tahoma"/>
          <w:sz w:val="22"/>
          <w:szCs w:val="22"/>
        </w:rPr>
        <w:t xml:space="preserve">Ahora bien, es susceptible de análisis la actualización del supuesto jurídico previsto en la fracción III, del artículo 192, de la Ley en cita, mismo que dispone que el Recurso de Revisión será sobreseído cuando </w:t>
      </w:r>
      <w:r w:rsidRPr="005828EE">
        <w:rPr>
          <w:rFonts w:ascii="Palatino Linotype" w:hAnsi="Palatino Linotype" w:cs="Tahoma"/>
          <w:b/>
          <w:sz w:val="22"/>
          <w:szCs w:val="22"/>
        </w:rPr>
        <w:t>el Sujeto Obligado del acto lo modifique de tal manera</w:t>
      </w:r>
      <w:r w:rsidRPr="005828EE">
        <w:rPr>
          <w:rFonts w:ascii="Palatino Linotype" w:hAnsi="Palatino Linotype" w:cs="Tahoma"/>
          <w:sz w:val="22"/>
          <w:szCs w:val="22"/>
        </w:rPr>
        <w:t xml:space="preserve"> </w:t>
      </w:r>
      <w:r w:rsidRPr="005828EE">
        <w:rPr>
          <w:rFonts w:ascii="Palatino Linotype" w:hAnsi="Palatino Linotype" w:eastAsia="Calibri" w:cs="Tahoma"/>
          <w:b/>
          <w:bCs/>
          <w:color w:val="000000"/>
          <w:sz w:val="22"/>
          <w:szCs w:val="22"/>
          <w:lang w:eastAsia="es-ES_tradnl"/>
        </w:rPr>
        <w:t>que quede sin materia</w:t>
      </w:r>
      <w:r w:rsidRPr="005828EE">
        <w:rPr>
          <w:rFonts w:ascii="Palatino Linotype" w:hAnsi="Palatino Linotype" w:eastAsia="Calibri" w:cs="Tahoma"/>
          <w:bCs/>
          <w:color w:val="000000"/>
          <w:sz w:val="22"/>
          <w:szCs w:val="22"/>
          <w:lang w:eastAsia="es-ES_tradnl"/>
        </w:rPr>
        <w:t>. Ello, toda vez que mediante Informe Justificado el Sujeto Obligado proporcionó mayores datos que atienden el derecho de acceso a la información del Particular.</w:t>
      </w:r>
    </w:p>
    <w:p w:rsidRPr="005828EE" w:rsidR="00617B73" w:rsidP="00617B73" w:rsidRDefault="00617B73" w14:paraId="260BF50A" w14:textId="77777777">
      <w:pPr>
        <w:tabs>
          <w:tab w:val="left" w:pos="4962"/>
        </w:tabs>
        <w:spacing w:line="360" w:lineRule="auto"/>
        <w:jc w:val="both"/>
        <w:rPr>
          <w:rFonts w:ascii="Palatino Linotype" w:hAnsi="Palatino Linotype" w:eastAsia="Calibri" w:cs="Tahoma"/>
          <w:iCs/>
          <w:sz w:val="22"/>
          <w:szCs w:val="22"/>
          <w:lang w:eastAsia="es-ES_tradnl"/>
        </w:rPr>
      </w:pPr>
    </w:p>
    <w:p w:rsidRPr="005828EE" w:rsidR="00617B73" w:rsidP="00617B73" w:rsidRDefault="00617B73" w14:paraId="33C44A83" w14:textId="77777777">
      <w:pPr>
        <w:spacing w:line="360" w:lineRule="auto"/>
        <w:jc w:val="both"/>
        <w:rPr>
          <w:rFonts w:ascii="Palatino Linotype" w:hAnsi="Palatino Linotype" w:eastAsia="Calibri" w:cs="Tahoma"/>
          <w:iCs/>
          <w:sz w:val="22"/>
          <w:szCs w:val="22"/>
          <w:lang w:eastAsia="es-ES_tradnl"/>
        </w:rPr>
      </w:pPr>
      <w:r w:rsidRPr="005828EE">
        <w:rPr>
          <w:rFonts w:ascii="Palatino Linotype" w:hAnsi="Palatino Linotype" w:eastAsia="Calibri" w:cs="Tahoma"/>
          <w:bCs/>
          <w:color w:val="000000"/>
          <w:sz w:val="22"/>
          <w:szCs w:val="22"/>
          <w:lang w:eastAsia="es-ES_tradnl"/>
        </w:rPr>
        <w:t xml:space="preserve">Así, con la finalidad de verificar si el acto descrito deja sin materia el presente Recurso de Revisión, </w:t>
      </w:r>
      <w:r w:rsidRPr="005828EE">
        <w:rPr>
          <w:rFonts w:ascii="Palatino Linotype" w:hAnsi="Palatino Linotype" w:cs="Tahoma"/>
          <w:sz w:val="22"/>
          <w:szCs w:val="22"/>
        </w:rPr>
        <w:t xml:space="preserve">se realizará la relatoría de las actuaciones efectuadas por las partes durante el procedimiento de acceso a la información pública </w:t>
      </w:r>
      <w:r w:rsidRPr="005828EE">
        <w:rPr>
          <w:rFonts w:ascii="Palatino Linotype" w:hAnsi="Palatino Linotype" w:eastAsia="Calibri" w:cs="Tahoma"/>
          <w:iCs/>
          <w:sz w:val="22"/>
          <w:szCs w:val="22"/>
          <w:lang w:eastAsia="es-ES_tradnl"/>
        </w:rPr>
        <w:t xml:space="preserve">con el propósito de dar claridad en el tratamiento del tema en estudio. </w:t>
      </w:r>
    </w:p>
    <w:p w:rsidRPr="005828EE" w:rsidR="00617B73" w:rsidP="00617B73" w:rsidRDefault="00617B73" w14:paraId="0C6B612E" w14:textId="77777777">
      <w:pPr>
        <w:tabs>
          <w:tab w:val="left" w:pos="4962"/>
        </w:tabs>
        <w:spacing w:line="360" w:lineRule="auto"/>
        <w:jc w:val="both"/>
        <w:rPr>
          <w:rFonts w:ascii="Palatino Linotype" w:hAnsi="Palatino Linotype" w:eastAsia="Calibri" w:cs="Tahoma"/>
          <w:iCs/>
          <w:sz w:val="22"/>
          <w:szCs w:val="22"/>
          <w:lang w:eastAsia="es-ES_tradnl"/>
        </w:rPr>
      </w:pPr>
    </w:p>
    <w:p w:rsidRPr="005828EE" w:rsidR="001A135B" w:rsidP="001A135B" w:rsidRDefault="00617B73" w14:paraId="03E1D006" w14:textId="26E99187">
      <w:pPr>
        <w:tabs>
          <w:tab w:val="left" w:pos="4962"/>
        </w:tabs>
        <w:spacing w:line="360" w:lineRule="auto"/>
        <w:jc w:val="both"/>
        <w:rPr>
          <w:rFonts w:ascii="Palatino Linotype" w:hAnsi="Palatino Linotype" w:eastAsia="Calibri" w:cs="Tahoma"/>
          <w:iCs/>
          <w:sz w:val="22"/>
          <w:szCs w:val="22"/>
          <w:lang w:val="es-ES" w:eastAsia="es-ES_tradnl"/>
        </w:rPr>
      </w:pPr>
      <w:r w:rsidRPr="005828EE">
        <w:rPr>
          <w:rFonts w:ascii="Palatino Linotype" w:hAnsi="Palatino Linotype" w:eastAsia="Calibri" w:cs="Tahoma"/>
          <w:iCs/>
          <w:sz w:val="22"/>
          <w:szCs w:val="22"/>
          <w:lang w:eastAsia="es-ES_tradnl"/>
        </w:rPr>
        <w:lastRenderedPageBreak/>
        <w:t xml:space="preserve">Previamente es de precisar que el contenido de la solicitud, fue ceñida a conocer </w:t>
      </w:r>
      <w:r w:rsidRPr="005828EE" w:rsidR="001A135B">
        <w:rPr>
          <w:rFonts w:ascii="Palatino Linotype" w:hAnsi="Palatino Linotype" w:eastAsia="Calibri" w:cs="Tahoma"/>
          <w:iCs/>
          <w:sz w:val="22"/>
          <w:szCs w:val="22"/>
          <w:lang w:val="es-ES" w:eastAsia="es-ES_tradnl"/>
        </w:rPr>
        <w:t>lo siguiente:</w:t>
      </w:r>
    </w:p>
    <w:p w:rsidRPr="005828EE" w:rsidR="00BD0B61" w:rsidP="001A135B" w:rsidRDefault="00BD0B61" w14:paraId="6980A256"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5828EE" w:rsidR="001A135B" w:rsidP="001A135B" w:rsidRDefault="001A135B" w14:paraId="08F61C3F" w14:textId="77777777">
      <w:pPr>
        <w:pStyle w:val="Prrafodelista"/>
        <w:numPr>
          <w:ilvl w:val="0"/>
          <w:numId w:val="21"/>
        </w:numPr>
        <w:tabs>
          <w:tab w:val="left" w:pos="4962"/>
        </w:tabs>
        <w:spacing w:line="360" w:lineRule="auto"/>
        <w:jc w:val="both"/>
        <w:rPr>
          <w:rFonts w:ascii="Palatino Linotype" w:hAnsi="Palatino Linotype" w:eastAsia="Calibri" w:cs="Tahoma"/>
          <w:iCs/>
          <w:szCs w:val="22"/>
          <w:lang w:val="es-ES" w:eastAsia="es-ES_tradnl"/>
        </w:rPr>
      </w:pPr>
      <w:r w:rsidRPr="005828EE">
        <w:rPr>
          <w:rFonts w:ascii="Palatino Linotype" w:hAnsi="Palatino Linotype" w:eastAsia="Calibri" w:cs="Tahoma"/>
          <w:iCs/>
          <w:szCs w:val="22"/>
          <w:lang w:val="es-ES" w:eastAsia="es-ES_tradnl"/>
        </w:rPr>
        <w:t>El Manual, Circular u Oficio sobre los protocolos de actuación de aseguramiento de los bienes inmuebles asegurados por la Fiscalía General de Justicia del Estado de México.</w:t>
      </w:r>
    </w:p>
    <w:p w:rsidRPr="005828EE" w:rsidR="001A135B" w:rsidP="001A135B" w:rsidRDefault="001A135B" w14:paraId="64A65ADA" w14:textId="77777777">
      <w:pPr>
        <w:pStyle w:val="Prrafodelista"/>
        <w:numPr>
          <w:ilvl w:val="0"/>
          <w:numId w:val="21"/>
        </w:numPr>
        <w:tabs>
          <w:tab w:val="left" w:pos="4962"/>
        </w:tabs>
        <w:spacing w:line="360" w:lineRule="auto"/>
        <w:jc w:val="both"/>
        <w:rPr>
          <w:rFonts w:ascii="Palatino Linotype" w:hAnsi="Palatino Linotype" w:eastAsia="Calibri" w:cs="Tahoma"/>
          <w:iCs/>
          <w:szCs w:val="22"/>
          <w:lang w:val="es-ES" w:eastAsia="es-ES_tradnl"/>
        </w:rPr>
      </w:pPr>
      <w:r w:rsidRPr="005828EE">
        <w:rPr>
          <w:rFonts w:ascii="Palatino Linotype" w:hAnsi="Palatino Linotype" w:eastAsia="Calibri" w:cs="Tahoma"/>
          <w:iCs/>
          <w:szCs w:val="22"/>
          <w:lang w:val="es-ES" w:eastAsia="es-ES_tradnl"/>
        </w:rPr>
        <w:t>El centro de atención ciudadana; turno, mesa de tramite o Agente del Ministerio Publico que coloco o uso los sellos de "INMUEBLE ASEGURADO" con folio 0098-22-G.</w:t>
      </w:r>
    </w:p>
    <w:p w:rsidRPr="005828EE" w:rsidR="001A135B" w:rsidP="001A135B" w:rsidRDefault="001A135B" w14:paraId="5CF83F5A"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5828EE" w:rsidR="001A135B" w:rsidP="001A135B" w:rsidRDefault="001A135B" w14:paraId="5A31F52D" w14:textId="458D0BC0">
      <w:pPr>
        <w:tabs>
          <w:tab w:val="left" w:pos="4962"/>
        </w:tabs>
        <w:spacing w:line="360" w:lineRule="auto"/>
        <w:jc w:val="both"/>
        <w:rPr>
          <w:rFonts w:ascii="Palatino Linotype" w:hAnsi="Palatino Linotype" w:eastAsia="Calibri" w:cs="Tahoma"/>
          <w:iCs/>
          <w:sz w:val="22"/>
          <w:szCs w:val="22"/>
          <w:lang w:eastAsia="es-ES_tradnl"/>
        </w:rPr>
      </w:pPr>
      <w:r w:rsidRPr="005828EE">
        <w:rPr>
          <w:rFonts w:ascii="Palatino Linotype" w:hAnsi="Palatino Linotype" w:eastAsia="Calibri" w:cs="Tahoma"/>
          <w:iCs/>
          <w:sz w:val="22"/>
          <w:szCs w:val="22"/>
          <w:lang w:val="es-ES" w:eastAsia="es-ES_tradnl"/>
        </w:rPr>
        <w:t>En respuesta, el Sujeto Obligado por lo que hace al primer punto señaló que a través del Acuerdo 17/2013 del entonces Procurador de Justicia del Estado de México en fecha 07 de agosto del año 2013, se autorizó y emitió el Protocolo de Actuación para la Práctica de Gestiones Administrativas Inherentes al Aseguramiento de Bienes y en relación al punto dos manifestó que fue el Agente del Ministerio Público de la Agencia el Ministerio Público Especializada en la Investigación de Delito de Robo de Vehículo con sede en Amecameca.</w:t>
      </w:r>
    </w:p>
    <w:p w:rsidRPr="005828EE" w:rsidR="001A135B" w:rsidP="00617B73" w:rsidRDefault="001A135B" w14:paraId="574B6EAD" w14:textId="77777777">
      <w:pPr>
        <w:tabs>
          <w:tab w:val="left" w:pos="4962"/>
        </w:tabs>
        <w:spacing w:line="360" w:lineRule="auto"/>
        <w:jc w:val="both"/>
        <w:rPr>
          <w:rFonts w:ascii="Palatino Linotype" w:hAnsi="Palatino Linotype" w:eastAsia="Calibri" w:cs="Tahoma"/>
          <w:iCs/>
          <w:sz w:val="22"/>
          <w:szCs w:val="22"/>
          <w:lang w:eastAsia="es-ES_tradnl"/>
        </w:rPr>
      </w:pPr>
    </w:p>
    <w:p w:rsidRPr="005828EE" w:rsidR="001A135B" w:rsidP="001A135B" w:rsidRDefault="001A135B" w14:paraId="43CDB144" w14:textId="7F4DA40B">
      <w:pPr>
        <w:spacing w:line="360" w:lineRule="auto"/>
        <w:jc w:val="both"/>
        <w:rPr>
          <w:rFonts w:ascii="Palatino Linotype" w:hAnsi="Palatino Linotype" w:eastAsia="Calibri" w:cs="Tahoma"/>
          <w:iCs/>
          <w:sz w:val="22"/>
          <w:szCs w:val="22"/>
          <w:lang w:val="es-ES" w:eastAsia="es-ES_tradnl"/>
        </w:rPr>
      </w:pPr>
      <w:r w:rsidRPr="005828EE">
        <w:rPr>
          <w:rFonts w:ascii="Palatino Linotype" w:hAnsi="Palatino Linotype" w:eastAsia="Calibri" w:cs="Tahoma"/>
          <w:iCs/>
          <w:sz w:val="22"/>
          <w:szCs w:val="22"/>
          <w:lang w:val="es-ES" w:eastAsia="es-ES_tradnl"/>
        </w:rPr>
        <w:t xml:space="preserve">Establecido lo anterior, se analiza cada </w:t>
      </w:r>
      <w:r w:rsidRPr="005828EE" w:rsidR="00EF2617">
        <w:rPr>
          <w:rFonts w:ascii="Palatino Linotype" w:hAnsi="Palatino Linotype" w:eastAsia="Calibri" w:cs="Tahoma"/>
          <w:iCs/>
          <w:sz w:val="22"/>
          <w:szCs w:val="22"/>
          <w:lang w:val="es-ES" w:eastAsia="es-ES_tradnl"/>
        </w:rPr>
        <w:t>u</w:t>
      </w:r>
      <w:r w:rsidRPr="005828EE">
        <w:rPr>
          <w:rFonts w:ascii="Palatino Linotype" w:hAnsi="Palatino Linotype" w:eastAsia="Calibri" w:cs="Tahoma"/>
          <w:iCs/>
          <w:sz w:val="22"/>
          <w:szCs w:val="22"/>
          <w:lang w:val="es-ES" w:eastAsia="es-ES_tradnl"/>
        </w:rPr>
        <w:t>no de los puntos requeridos por el Particular con la finalidad de verificar si la respuesta proporcionada y la información enviada en informe justificado por el Sujeto Obligado satisf</w:t>
      </w:r>
      <w:r w:rsidRPr="005828EE" w:rsidR="00EF2617">
        <w:rPr>
          <w:rFonts w:ascii="Palatino Linotype" w:hAnsi="Palatino Linotype" w:eastAsia="Calibri" w:cs="Tahoma"/>
          <w:iCs/>
          <w:sz w:val="22"/>
          <w:szCs w:val="22"/>
          <w:lang w:val="es-ES" w:eastAsia="es-ES_tradnl"/>
        </w:rPr>
        <w:t>izo</w:t>
      </w:r>
      <w:r w:rsidRPr="005828EE">
        <w:rPr>
          <w:rFonts w:ascii="Palatino Linotype" w:hAnsi="Palatino Linotype" w:eastAsia="Calibri" w:cs="Tahoma"/>
          <w:iCs/>
          <w:sz w:val="22"/>
          <w:szCs w:val="22"/>
          <w:lang w:val="es-ES" w:eastAsia="es-ES_tradnl"/>
        </w:rPr>
        <w:t xml:space="preserve"> sus requerimientos:</w:t>
      </w:r>
    </w:p>
    <w:p w:rsidRPr="005828EE" w:rsidR="001A135B" w:rsidP="001A135B" w:rsidRDefault="001A135B" w14:paraId="451669AD" w14:textId="77777777">
      <w:pPr>
        <w:spacing w:line="360" w:lineRule="auto"/>
        <w:jc w:val="both"/>
        <w:rPr>
          <w:rFonts w:ascii="Palatino Linotype" w:hAnsi="Palatino Linotype" w:eastAsia="Calibri" w:cs="Tahoma"/>
          <w:iCs/>
          <w:sz w:val="22"/>
          <w:szCs w:val="22"/>
          <w:lang w:val="es-ES" w:eastAsia="es-ES_tradnl"/>
        </w:rPr>
      </w:pPr>
    </w:p>
    <w:p w:rsidRPr="005828EE" w:rsidR="001A135B" w:rsidP="001A135B" w:rsidRDefault="001A135B" w14:paraId="07E0E1E0" w14:textId="77777777">
      <w:pPr>
        <w:pStyle w:val="Prrafodelista"/>
        <w:numPr>
          <w:ilvl w:val="0"/>
          <w:numId w:val="22"/>
        </w:numPr>
        <w:tabs>
          <w:tab w:val="left" w:pos="4962"/>
        </w:tabs>
        <w:spacing w:line="360" w:lineRule="auto"/>
        <w:jc w:val="both"/>
        <w:rPr>
          <w:rFonts w:ascii="Palatino Linotype" w:hAnsi="Palatino Linotype" w:eastAsia="Calibri" w:cs="Tahoma"/>
          <w:b/>
          <w:bCs/>
          <w:iCs/>
          <w:szCs w:val="22"/>
          <w:lang w:val="es-ES" w:eastAsia="es-ES_tradnl"/>
        </w:rPr>
      </w:pPr>
      <w:r w:rsidRPr="005828EE">
        <w:rPr>
          <w:rFonts w:ascii="Palatino Linotype" w:hAnsi="Palatino Linotype" w:eastAsia="Calibri" w:cs="Tahoma"/>
          <w:b/>
          <w:bCs/>
          <w:iCs/>
          <w:szCs w:val="22"/>
          <w:lang w:val="es-ES" w:eastAsia="es-ES_tradnl"/>
        </w:rPr>
        <w:t>El Manual, Circular u Oficio sobre los protocolos de actuación de aseguramiento de los bienes inmuebles asegurados por la Fiscalía General de Justicia del Estado de México.</w:t>
      </w:r>
    </w:p>
    <w:p w:rsidRPr="005828EE" w:rsidR="001A135B" w:rsidP="001A135B" w:rsidRDefault="001A135B" w14:paraId="5946018D" w14:textId="77777777">
      <w:pPr>
        <w:spacing w:line="360" w:lineRule="auto"/>
        <w:jc w:val="both"/>
        <w:rPr>
          <w:rFonts w:ascii="Palatino Linotype" w:hAnsi="Palatino Linotype" w:eastAsia="Calibri" w:cs="Tahoma"/>
          <w:iCs/>
          <w:sz w:val="22"/>
          <w:szCs w:val="22"/>
          <w:lang w:val="es-ES" w:eastAsia="es-ES_tradnl"/>
        </w:rPr>
      </w:pPr>
    </w:p>
    <w:p w:rsidRPr="005828EE" w:rsidR="001A135B" w:rsidP="001A135B" w:rsidRDefault="001A135B" w14:paraId="6DB65A62" w14:textId="75E43F45">
      <w:pPr>
        <w:spacing w:line="360" w:lineRule="auto"/>
        <w:jc w:val="both"/>
        <w:rPr>
          <w:rFonts w:ascii="Palatino Linotype" w:hAnsi="Palatino Linotype" w:eastAsia="Calibri" w:cs="Tahoma"/>
          <w:iCs/>
          <w:sz w:val="22"/>
          <w:szCs w:val="22"/>
          <w:lang w:val="es-ES" w:eastAsia="es-ES_tradnl"/>
        </w:rPr>
      </w:pPr>
      <w:r w:rsidRPr="005828EE">
        <w:rPr>
          <w:rFonts w:ascii="Palatino Linotype" w:hAnsi="Palatino Linotype" w:eastAsia="Calibri" w:cs="Tahoma"/>
          <w:iCs/>
          <w:sz w:val="22"/>
          <w:szCs w:val="22"/>
          <w:lang w:val="es-ES" w:eastAsia="es-ES_tradnl"/>
        </w:rPr>
        <w:t xml:space="preserve">En respuesta al presente punto el Sujeto Obligado señaló que a través del Acuerdo 17/2013 del entonces Procurador de Justicia del Estado de México en fecha siete de agosto del año dos mil trece, se autorizó y emitió el Protocolo de Actuación para la Práctica de Gestiones </w:t>
      </w:r>
      <w:r w:rsidRPr="005828EE">
        <w:rPr>
          <w:rFonts w:ascii="Palatino Linotype" w:hAnsi="Palatino Linotype" w:eastAsia="Calibri" w:cs="Tahoma"/>
          <w:iCs/>
          <w:sz w:val="22"/>
          <w:szCs w:val="22"/>
          <w:lang w:val="es-ES" w:eastAsia="es-ES_tradnl"/>
        </w:rPr>
        <w:lastRenderedPageBreak/>
        <w:t>Administrativas Inherentes al Aseguramiento de Bienes, no obstante, el Particular se inconformó por no proporcionarle el Acuerdo mencionado, razón por la cual en informe justificado la Fiscalía reiteró su respuesta e hizo llegar el siguiente documento:</w:t>
      </w:r>
    </w:p>
    <w:p w:rsidRPr="005828EE" w:rsidR="001A135B" w:rsidP="001A135B" w:rsidRDefault="001A135B" w14:paraId="07B64B7B" w14:textId="77777777">
      <w:pPr>
        <w:spacing w:line="360" w:lineRule="auto"/>
        <w:jc w:val="both"/>
        <w:rPr>
          <w:rFonts w:ascii="Palatino Linotype" w:hAnsi="Palatino Linotype" w:eastAsia="Calibri" w:cs="Tahoma"/>
          <w:iCs/>
          <w:sz w:val="22"/>
          <w:szCs w:val="22"/>
          <w:lang w:val="es-ES" w:eastAsia="es-ES_tradnl"/>
        </w:rPr>
      </w:pPr>
    </w:p>
    <w:p w:rsidRPr="005828EE" w:rsidR="001A135B" w:rsidP="001A135B" w:rsidRDefault="001A135B" w14:paraId="777A541E" w14:textId="77777777">
      <w:pPr>
        <w:spacing w:line="360" w:lineRule="auto"/>
        <w:jc w:val="center"/>
        <w:rPr>
          <w:rFonts w:ascii="Palatino Linotype" w:hAnsi="Palatino Linotype" w:eastAsia="Calibri" w:cs="Tahoma"/>
          <w:iCs/>
          <w:sz w:val="22"/>
          <w:szCs w:val="22"/>
          <w:lang w:val="es-ES" w:eastAsia="es-ES_tradnl"/>
        </w:rPr>
      </w:pPr>
      <w:r w:rsidRPr="005828EE">
        <w:rPr>
          <w:noProof/>
          <w:lang w:eastAsia="es-MX"/>
        </w:rPr>
        <w:drawing>
          <wp:inline distT="0" distB="0" distL="0" distR="0" wp14:anchorId="7C2226E8" wp14:editId="453B8AB1">
            <wp:extent cx="5320030" cy="30575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474" t="15924" r="58204" b="46963"/>
                    <a:stretch/>
                  </pic:blipFill>
                  <pic:spPr bwMode="auto">
                    <a:xfrm>
                      <a:off x="0" y="0"/>
                      <a:ext cx="5331476" cy="3064103"/>
                    </a:xfrm>
                    <a:prstGeom prst="rect">
                      <a:avLst/>
                    </a:prstGeom>
                    <a:ln>
                      <a:noFill/>
                    </a:ln>
                    <a:extLst>
                      <a:ext uri="{53640926-AAD7-44D8-BBD7-CCE9431645EC}">
                        <a14:shadowObscured xmlns:a14="http://schemas.microsoft.com/office/drawing/2010/main"/>
                      </a:ext>
                    </a:extLst>
                  </pic:spPr>
                </pic:pic>
              </a:graphicData>
            </a:graphic>
          </wp:inline>
        </w:drawing>
      </w:r>
    </w:p>
    <w:p w:rsidRPr="005828EE" w:rsidR="001A135B" w:rsidP="001A135B" w:rsidRDefault="001A135B" w14:paraId="2AFA0A12" w14:textId="77777777">
      <w:pPr>
        <w:spacing w:line="360" w:lineRule="auto"/>
        <w:jc w:val="both"/>
        <w:rPr>
          <w:rFonts w:ascii="Palatino Linotype" w:hAnsi="Palatino Linotype" w:eastAsia="Calibri" w:cs="Tahoma"/>
          <w:iCs/>
          <w:sz w:val="22"/>
          <w:szCs w:val="22"/>
          <w:lang w:val="es-ES" w:eastAsia="es-ES_tradnl"/>
        </w:rPr>
      </w:pPr>
    </w:p>
    <w:p w:rsidRPr="005828EE" w:rsidR="001A135B" w:rsidP="001A135B" w:rsidRDefault="001A135B" w14:paraId="55612217" w14:textId="77777777">
      <w:pPr>
        <w:spacing w:line="360" w:lineRule="auto"/>
        <w:jc w:val="both"/>
        <w:rPr>
          <w:rFonts w:ascii="Palatino Linotype" w:hAnsi="Palatino Linotype"/>
          <w:noProof/>
          <w:sz w:val="22"/>
          <w:szCs w:val="22"/>
          <w:lang w:eastAsia="es-MX"/>
        </w:rPr>
      </w:pPr>
      <w:r w:rsidRPr="005828EE">
        <w:rPr>
          <w:rFonts w:ascii="Palatino Linotype" w:hAnsi="Palatino Linotype" w:eastAsia="Calibri" w:cs="Tahoma"/>
          <w:iCs/>
          <w:sz w:val="22"/>
          <w:szCs w:val="22"/>
          <w:lang w:val="es-ES" w:eastAsia="es-ES_tradnl"/>
        </w:rPr>
        <w:t xml:space="preserve">Derivado de lo anterior, el Sujeto Obligado atendió la inconformidad del Particular al proporcionarle el Acuerdo que mencionó en su respuesta inicial, </w:t>
      </w:r>
      <w:r w:rsidRPr="005828EE">
        <w:rPr>
          <w:rFonts w:ascii="Palatino Linotype" w:hAnsi="Palatino Linotype"/>
          <w:noProof/>
          <w:sz w:val="22"/>
          <w:szCs w:val="22"/>
          <w:lang w:eastAsia="es-MX"/>
        </w:rPr>
        <w:t>en virtud de que conforme al artículo 12 de la Ley de Transparencia y Acceso a la Información Pública del Estado de México y Municipios, los sujetos obligados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Pr="005828EE" w:rsidR="001A135B" w:rsidP="001A135B" w:rsidRDefault="001A135B" w14:paraId="0A65A620" w14:textId="77777777">
      <w:pPr>
        <w:spacing w:line="360" w:lineRule="auto"/>
        <w:jc w:val="both"/>
        <w:rPr>
          <w:rFonts w:ascii="Palatino Linotype" w:hAnsi="Palatino Linotype" w:eastAsia="Calibri" w:cs="Tahoma"/>
          <w:iCs/>
          <w:sz w:val="22"/>
          <w:szCs w:val="22"/>
          <w:lang w:val="es-ES" w:eastAsia="es-ES_tradnl"/>
        </w:rPr>
      </w:pPr>
    </w:p>
    <w:p w:rsidRPr="005828EE" w:rsidR="001A135B" w:rsidP="001A135B" w:rsidRDefault="001A135B" w14:paraId="78A2BDF6" w14:textId="77777777">
      <w:pPr>
        <w:pStyle w:val="Prrafodelista"/>
        <w:numPr>
          <w:ilvl w:val="0"/>
          <w:numId w:val="22"/>
        </w:numPr>
        <w:tabs>
          <w:tab w:val="left" w:pos="4962"/>
        </w:tabs>
        <w:spacing w:line="360" w:lineRule="auto"/>
        <w:jc w:val="both"/>
        <w:rPr>
          <w:rFonts w:ascii="Palatino Linotype" w:hAnsi="Palatino Linotype" w:eastAsia="Calibri" w:cs="Tahoma"/>
          <w:b/>
          <w:bCs/>
          <w:iCs/>
          <w:szCs w:val="22"/>
          <w:lang w:val="es-ES" w:eastAsia="es-ES_tradnl"/>
        </w:rPr>
      </w:pPr>
      <w:r w:rsidRPr="005828EE">
        <w:rPr>
          <w:rFonts w:ascii="Palatino Linotype" w:hAnsi="Palatino Linotype" w:eastAsia="Calibri" w:cs="Tahoma"/>
          <w:b/>
          <w:bCs/>
          <w:iCs/>
          <w:szCs w:val="22"/>
          <w:lang w:val="es-ES" w:eastAsia="es-ES_tradnl"/>
        </w:rPr>
        <w:lastRenderedPageBreak/>
        <w:t>El centro de atención ciudadana; turno, mesa de tramite o Agente del Ministerio Publico que coloco o uso los sellos de "INMUEBLE ASEGURADO" con folio 0098-22-G.</w:t>
      </w:r>
    </w:p>
    <w:p w:rsidRPr="005828EE" w:rsidR="001A135B" w:rsidP="001A135B" w:rsidRDefault="001A135B" w14:paraId="165E8A3E" w14:textId="77777777">
      <w:pPr>
        <w:spacing w:line="360" w:lineRule="auto"/>
        <w:jc w:val="both"/>
        <w:rPr>
          <w:rFonts w:ascii="Palatino Linotype" w:hAnsi="Palatino Linotype" w:eastAsia="Calibri" w:cs="Tahoma"/>
          <w:iCs/>
          <w:sz w:val="22"/>
          <w:szCs w:val="22"/>
          <w:lang w:val="es-ES" w:eastAsia="es-ES_tradnl"/>
        </w:rPr>
      </w:pPr>
    </w:p>
    <w:p w:rsidRPr="005828EE" w:rsidR="001A135B" w:rsidP="001A135B" w:rsidRDefault="001A135B" w14:paraId="43EA3A60"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5828EE">
        <w:rPr>
          <w:rFonts w:ascii="Palatino Linotype" w:hAnsi="Palatino Linotype" w:eastAsia="Calibri" w:cs="Tahoma"/>
          <w:iCs/>
          <w:sz w:val="22"/>
          <w:szCs w:val="22"/>
          <w:lang w:val="es-ES" w:eastAsia="es-ES_tradnl"/>
        </w:rPr>
        <w:t>Sobre el presente punto, es de señalar que el Particular solicita la información de un Centro de Justicia, al respecto se trae a colación la Ley de la Fiscalía General de Justicia del Estado de México misma que señala lo siguiente:</w:t>
      </w:r>
    </w:p>
    <w:p w:rsidRPr="005828EE" w:rsidR="001A135B" w:rsidP="001A135B" w:rsidRDefault="001A135B" w14:paraId="0BCE4427"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5828EE" w:rsidR="001A135B" w:rsidP="001A135B" w:rsidRDefault="001A135B" w14:paraId="03194664"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5828EE">
        <w:rPr>
          <w:rFonts w:ascii="Palatino Linotype" w:hAnsi="Palatino Linotype" w:eastAsia="Calibri" w:cs="Tahoma"/>
          <w:b/>
          <w:i/>
          <w:iCs/>
          <w:szCs w:val="22"/>
          <w:lang w:eastAsia="es-ES_tradnl"/>
        </w:rPr>
        <w:t>Artículo 28.</w:t>
      </w:r>
      <w:r w:rsidRPr="005828EE">
        <w:rPr>
          <w:rFonts w:ascii="Palatino Linotype" w:hAnsi="Palatino Linotype" w:eastAsia="Calibri" w:cs="Tahoma"/>
          <w:i/>
          <w:iCs/>
          <w:szCs w:val="22"/>
          <w:lang w:eastAsia="es-ES_tradnl"/>
        </w:rPr>
        <w:t xml:space="preserve"> Para el despacho de los asuntos que competen a la Fiscalía, esta se auxiliará de las unidades administrativas siguientes:</w:t>
      </w:r>
    </w:p>
    <w:p w:rsidRPr="005828EE" w:rsidR="001A135B" w:rsidP="001A135B" w:rsidRDefault="001A135B" w14:paraId="7BAE22F8"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5828EE">
        <w:rPr>
          <w:rFonts w:ascii="Palatino Linotype" w:hAnsi="Palatino Linotype" w:eastAsia="Calibri" w:cs="Tahoma"/>
          <w:i/>
          <w:iCs/>
          <w:szCs w:val="22"/>
          <w:lang w:val="es-ES" w:eastAsia="es-ES_tradnl"/>
        </w:rPr>
        <w:t>I a II…</w:t>
      </w:r>
    </w:p>
    <w:p w:rsidRPr="005828EE" w:rsidR="001A135B" w:rsidP="001A135B" w:rsidRDefault="001A135B" w14:paraId="62809096"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5828EE">
        <w:rPr>
          <w:rFonts w:ascii="Palatino Linotype" w:hAnsi="Palatino Linotype" w:eastAsia="Calibri" w:cs="Tahoma"/>
          <w:i/>
          <w:iCs/>
          <w:szCs w:val="22"/>
          <w:lang w:val="es-ES" w:eastAsia="es-ES_tradnl"/>
        </w:rPr>
        <w:t xml:space="preserve">III. Oficialía Mayor, Órgano Interno de Control, Visitaduría General, comisiones, coordinaciones generales, institutos y </w:t>
      </w:r>
      <w:r w:rsidRPr="005828EE">
        <w:rPr>
          <w:rFonts w:ascii="Palatino Linotype" w:hAnsi="Palatino Linotype" w:eastAsia="Calibri" w:cs="Tahoma"/>
          <w:bCs/>
          <w:i/>
          <w:iCs/>
          <w:szCs w:val="22"/>
          <w:lang w:val="es-ES" w:eastAsia="es-ES_tradnl"/>
        </w:rPr>
        <w:t>centros</w:t>
      </w:r>
      <w:r w:rsidRPr="005828EE">
        <w:rPr>
          <w:rFonts w:ascii="Palatino Linotype" w:hAnsi="Palatino Linotype" w:eastAsia="Calibri" w:cs="Tahoma"/>
          <w:b/>
          <w:i/>
          <w:iCs/>
          <w:szCs w:val="22"/>
          <w:u w:val="single"/>
          <w:lang w:val="es-ES" w:eastAsia="es-ES_tradnl"/>
        </w:rPr>
        <w:t>.</w:t>
      </w:r>
    </w:p>
    <w:p w:rsidRPr="005828EE" w:rsidR="001A135B" w:rsidP="001A135B" w:rsidRDefault="001A135B" w14:paraId="7937AB12"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5828EE">
        <w:rPr>
          <w:rFonts w:ascii="Palatino Linotype" w:hAnsi="Palatino Linotype" w:eastAsia="Calibri" w:cs="Tahoma"/>
          <w:i/>
          <w:iCs/>
          <w:szCs w:val="22"/>
          <w:lang w:val="es-ES" w:eastAsia="es-ES_tradnl"/>
        </w:rPr>
        <w:t>IV. Fiscalías regionales y especializadas.</w:t>
      </w:r>
    </w:p>
    <w:p w:rsidRPr="005828EE" w:rsidR="001A135B" w:rsidP="001A135B" w:rsidRDefault="001A135B" w14:paraId="67AAD6E9"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5828EE">
        <w:rPr>
          <w:rFonts w:ascii="Palatino Linotype" w:hAnsi="Palatino Linotype" w:eastAsia="Calibri" w:cs="Tahoma"/>
          <w:i/>
          <w:iCs/>
          <w:szCs w:val="22"/>
          <w:lang w:val="es-ES" w:eastAsia="es-ES_tradnl"/>
        </w:rPr>
        <w:t>V a VII…</w:t>
      </w:r>
    </w:p>
    <w:p w:rsidRPr="005828EE" w:rsidR="001A135B" w:rsidP="001A135B" w:rsidRDefault="001A135B" w14:paraId="20038EC6"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p>
    <w:p w:rsidRPr="005828EE" w:rsidR="001A135B" w:rsidP="001A135B" w:rsidRDefault="001A135B" w14:paraId="43890B82"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5828EE">
        <w:rPr>
          <w:rFonts w:ascii="Palatino Linotype" w:hAnsi="Palatino Linotype" w:eastAsia="Calibri" w:cs="Tahoma"/>
          <w:b/>
          <w:i/>
          <w:iCs/>
          <w:szCs w:val="22"/>
          <w:lang w:eastAsia="es-ES_tradnl"/>
        </w:rPr>
        <w:t>Artículo 30.</w:t>
      </w:r>
      <w:r w:rsidRPr="005828EE">
        <w:rPr>
          <w:rFonts w:ascii="Palatino Linotype" w:hAnsi="Palatino Linotype" w:eastAsia="Calibri" w:cs="Tahoma"/>
          <w:i/>
          <w:iCs/>
          <w:szCs w:val="22"/>
          <w:lang w:eastAsia="es-ES_tradnl"/>
        </w:rPr>
        <w:t xml:space="preserve"> Para el desarrollo de las funciones de la Fiscalía, se contará con un sistema de especialización y organización territorial, sujeto a las bases generales siguientes:</w:t>
      </w:r>
    </w:p>
    <w:p w:rsidRPr="005828EE" w:rsidR="001A135B" w:rsidP="001A135B" w:rsidRDefault="001A135B" w14:paraId="7B8B624C"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5828EE">
        <w:rPr>
          <w:rFonts w:ascii="Palatino Linotype" w:hAnsi="Palatino Linotype" w:eastAsia="Calibri" w:cs="Tahoma"/>
          <w:i/>
          <w:iCs/>
          <w:szCs w:val="22"/>
          <w:lang w:val="es-ES" w:eastAsia="es-ES_tradnl"/>
        </w:rPr>
        <w:t>I…</w:t>
      </w:r>
    </w:p>
    <w:p w:rsidRPr="005828EE" w:rsidR="001A135B" w:rsidP="001A135B" w:rsidRDefault="001A135B" w14:paraId="2D470947"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p>
    <w:p w:rsidRPr="005828EE" w:rsidR="001A135B" w:rsidP="001A135B" w:rsidRDefault="001A135B" w14:paraId="193BB273"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5828EE">
        <w:rPr>
          <w:rFonts w:ascii="Palatino Linotype" w:hAnsi="Palatino Linotype" w:eastAsia="Calibri" w:cs="Tahoma"/>
          <w:i/>
          <w:iCs/>
          <w:szCs w:val="22"/>
          <w:lang w:eastAsia="es-ES_tradnl"/>
        </w:rPr>
        <w:t>II. Sistema de organización territorial:</w:t>
      </w:r>
    </w:p>
    <w:p w:rsidRPr="005828EE" w:rsidR="001A135B" w:rsidP="001A135B" w:rsidRDefault="001A135B" w14:paraId="2239AE76" w14:textId="77777777">
      <w:pPr>
        <w:tabs>
          <w:tab w:val="left" w:pos="4962"/>
        </w:tabs>
        <w:spacing w:line="360" w:lineRule="auto"/>
        <w:ind w:left="567" w:right="539"/>
        <w:jc w:val="both"/>
        <w:rPr>
          <w:rFonts w:ascii="Palatino Linotype" w:hAnsi="Palatino Linotype" w:eastAsia="Calibri" w:cs="Tahoma"/>
          <w:i/>
          <w:iCs/>
          <w:szCs w:val="22"/>
          <w:lang w:eastAsia="es-ES_tradnl"/>
        </w:rPr>
      </w:pPr>
      <w:r w:rsidRPr="005828EE">
        <w:rPr>
          <w:rFonts w:ascii="Palatino Linotype" w:hAnsi="Palatino Linotype" w:eastAsia="Calibri" w:cs="Tahoma"/>
          <w:i/>
          <w:iCs/>
          <w:szCs w:val="22"/>
          <w:lang w:eastAsia="es-ES_tradnl"/>
        </w:rPr>
        <w:t>a) Tiene como objetivo que la investigación y persecución de delitos, distintos a los que se determinen o califiquen como de atención especializada, se lleven a cabo en la región donde tenga lugar el delito y auxiliar a las Fiscalías Especializadas, en los términos que determine la o el Fiscal General.</w:t>
      </w:r>
    </w:p>
    <w:p w:rsidRPr="005828EE" w:rsidR="001A135B" w:rsidP="001A135B" w:rsidRDefault="001A135B" w14:paraId="19E69FB0" w14:textId="77777777">
      <w:pPr>
        <w:tabs>
          <w:tab w:val="left" w:pos="4962"/>
        </w:tabs>
        <w:spacing w:line="360" w:lineRule="auto"/>
        <w:ind w:left="567" w:right="539"/>
        <w:jc w:val="both"/>
        <w:rPr>
          <w:rFonts w:ascii="Palatino Linotype" w:hAnsi="Palatino Linotype" w:eastAsia="Calibri" w:cs="Tahoma"/>
          <w:i/>
          <w:iCs/>
          <w:szCs w:val="22"/>
          <w:lang w:eastAsia="es-ES_tradnl"/>
        </w:rPr>
      </w:pPr>
    </w:p>
    <w:p w:rsidRPr="005828EE" w:rsidR="001A135B" w:rsidP="001A135B" w:rsidRDefault="001A135B" w14:paraId="3F88ECF8" w14:textId="77777777">
      <w:pPr>
        <w:tabs>
          <w:tab w:val="left" w:pos="4962"/>
        </w:tabs>
        <w:spacing w:line="360" w:lineRule="auto"/>
        <w:ind w:left="567" w:right="539"/>
        <w:jc w:val="both"/>
        <w:rPr>
          <w:rFonts w:ascii="Palatino Linotype" w:hAnsi="Palatino Linotype" w:eastAsia="Calibri" w:cs="Tahoma"/>
          <w:i/>
          <w:iCs/>
          <w:szCs w:val="22"/>
          <w:lang w:eastAsia="es-ES_tradnl"/>
        </w:rPr>
      </w:pPr>
      <w:r w:rsidRPr="005828EE">
        <w:rPr>
          <w:rFonts w:ascii="Palatino Linotype" w:hAnsi="Palatino Linotype" w:eastAsia="Calibri" w:cs="Tahoma"/>
          <w:i/>
          <w:iCs/>
          <w:szCs w:val="22"/>
          <w:lang w:eastAsia="es-ES_tradnl"/>
        </w:rPr>
        <w:t>B) La o el Fiscal General podrá establecer fiscalías regionales en circunscripciones que abarcarán uno o más municipios o regiones del Estado de México.</w:t>
      </w:r>
    </w:p>
    <w:p w:rsidRPr="005828EE" w:rsidR="001A135B" w:rsidP="001A135B" w:rsidRDefault="001A135B" w14:paraId="02F7AB42" w14:textId="77777777">
      <w:pPr>
        <w:tabs>
          <w:tab w:val="left" w:pos="4962"/>
        </w:tabs>
        <w:spacing w:line="360" w:lineRule="auto"/>
        <w:ind w:left="567" w:right="539"/>
        <w:jc w:val="both"/>
        <w:rPr>
          <w:rFonts w:ascii="Palatino Linotype" w:hAnsi="Palatino Linotype" w:eastAsia="Calibri" w:cs="Tahoma"/>
          <w:i/>
          <w:iCs/>
          <w:szCs w:val="22"/>
          <w:lang w:eastAsia="es-ES_tradnl"/>
        </w:rPr>
      </w:pPr>
    </w:p>
    <w:p w:rsidRPr="005828EE" w:rsidR="001A135B" w:rsidP="001A135B" w:rsidRDefault="001A135B" w14:paraId="7271A930" w14:textId="77777777">
      <w:pPr>
        <w:tabs>
          <w:tab w:val="left" w:pos="4962"/>
        </w:tabs>
        <w:spacing w:line="360" w:lineRule="auto"/>
        <w:ind w:left="567" w:right="539"/>
        <w:jc w:val="both"/>
        <w:rPr>
          <w:rFonts w:ascii="Palatino Linotype" w:hAnsi="Palatino Linotype" w:eastAsia="Calibri" w:cs="Tahoma"/>
          <w:b/>
          <w:i/>
          <w:iCs/>
          <w:szCs w:val="22"/>
          <w:u w:val="single"/>
          <w:lang w:eastAsia="es-ES_tradnl"/>
        </w:rPr>
      </w:pPr>
      <w:r w:rsidRPr="005828EE">
        <w:rPr>
          <w:rFonts w:ascii="Palatino Linotype" w:hAnsi="Palatino Linotype" w:eastAsia="Calibri" w:cs="Tahoma"/>
          <w:b/>
          <w:i/>
          <w:iCs/>
          <w:szCs w:val="22"/>
          <w:u w:val="single"/>
          <w:lang w:eastAsia="es-ES_tradnl"/>
        </w:rPr>
        <w:lastRenderedPageBreak/>
        <w:t>c) Las sedes de las fiscalías regionales serán definidas atendiendo a la incidencia delictiva, densidad de población, las características geográficas del Estado de México y la correcta distribución de las cargas de trabajo.</w:t>
      </w:r>
    </w:p>
    <w:p w:rsidRPr="005828EE" w:rsidR="001A135B" w:rsidP="001A135B" w:rsidRDefault="001A135B" w14:paraId="0D7488B5"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p>
    <w:p w:rsidRPr="005828EE" w:rsidR="001A135B" w:rsidP="001A135B" w:rsidRDefault="001A135B" w14:paraId="4AAD524F"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5828EE">
        <w:rPr>
          <w:rFonts w:ascii="Palatino Linotype" w:hAnsi="Palatino Linotype" w:eastAsia="Calibri" w:cs="Tahoma"/>
          <w:i/>
          <w:iCs/>
          <w:szCs w:val="22"/>
          <w:lang w:eastAsia="es-ES_tradnl"/>
        </w:rPr>
        <w:t>Las fiscalías regionales y especializadas contarán con las y los servidores públicos que ejercerán sus funciones en la circunscripción territorial que determine la o el Fiscal General a través de Acuerdo.</w:t>
      </w:r>
    </w:p>
    <w:p w:rsidRPr="005828EE" w:rsidR="001A135B" w:rsidP="001A135B" w:rsidRDefault="001A135B" w14:paraId="763B7045"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5828EE" w:rsidR="001A135B" w:rsidP="001A135B" w:rsidRDefault="001A135B" w14:paraId="614F0385"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5828EE">
        <w:rPr>
          <w:rFonts w:ascii="Palatino Linotype" w:hAnsi="Palatino Linotype" w:eastAsia="Calibri" w:cs="Tahoma"/>
          <w:iCs/>
          <w:sz w:val="22"/>
          <w:szCs w:val="22"/>
          <w:lang w:val="es-ES" w:eastAsia="es-ES_tradnl"/>
        </w:rPr>
        <w:t xml:space="preserve">Establecido lo anterior, en respuesta al presente punto el Sujeto Obligado señaló que el veintisiete de agosto de dos mil veintidós, el Agente del Ministerio Público de la Agencia el Ministerio Público Especializada en la Investigación de Delito de Robo de Vehículo con sede en Amecameca, Estado de México practicó la diligencia de aseguramiento, derivado de ello se localizó el Acuerdo número 19/2913, por el que se crean la Fiscalía Especializada en la Investigación del Delito de robo de Vehículos Zona Oriente y la fiscalía Especializada en la Investigación del Delito de Robo de Vehículos Toluca Tlalnepantla, publicado en el periódico oficial “Gaceta del Gobierno” en fecha primero de octubre de dos mil trece (misma que puede ser consultada en la liga electrónica </w:t>
      </w:r>
      <w:hyperlink w:history="1" r:id="rId9">
        <w:r w:rsidRPr="005828EE">
          <w:rPr>
            <w:rStyle w:val="Hipervnculo"/>
            <w:rFonts w:ascii="Palatino Linotype" w:hAnsi="Palatino Linotype" w:eastAsia="Calibri" w:cs="Tahoma"/>
            <w:iCs/>
            <w:sz w:val="22"/>
            <w:szCs w:val="22"/>
            <w:lang w:val="es-ES" w:eastAsia="es-ES_tradnl"/>
          </w:rPr>
          <w:t>https://legislacion.edomex.gob.mx/sites/legislacion.edomex.gob.mx/files/files/vigentes/oct011.PDF</w:t>
        </w:r>
      </w:hyperlink>
      <w:r w:rsidRPr="005828EE">
        <w:rPr>
          <w:rStyle w:val="Hipervnculo"/>
          <w:rFonts w:ascii="Palatino Linotype" w:hAnsi="Palatino Linotype" w:eastAsia="Calibri" w:cs="Tahoma"/>
          <w:iCs/>
          <w:sz w:val="22"/>
          <w:szCs w:val="22"/>
          <w:lang w:val="es-ES" w:eastAsia="es-ES_tradnl"/>
        </w:rPr>
        <w:t>)</w:t>
      </w:r>
      <w:r w:rsidRPr="005828EE">
        <w:rPr>
          <w:rFonts w:ascii="Palatino Linotype" w:hAnsi="Palatino Linotype" w:eastAsia="Calibri" w:cs="Tahoma"/>
          <w:iCs/>
          <w:sz w:val="22"/>
          <w:szCs w:val="22"/>
          <w:lang w:val="es-ES" w:eastAsia="es-ES_tradnl"/>
        </w:rPr>
        <w:t xml:space="preserve"> en dicho acuerdo se establecen las facultades y atribuciones de los titulares de las Fiscalías como se muestra a continuación:</w:t>
      </w:r>
    </w:p>
    <w:p w:rsidRPr="005828EE" w:rsidR="001A135B" w:rsidP="001A135B" w:rsidRDefault="001A135B" w14:paraId="2F46FA48"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5828EE" w:rsidR="001A135B" w:rsidP="001A135B" w:rsidRDefault="001A135B" w14:paraId="50FC6463" w14:textId="77777777">
      <w:pPr>
        <w:tabs>
          <w:tab w:val="left" w:pos="4962"/>
        </w:tabs>
        <w:spacing w:line="360" w:lineRule="auto"/>
        <w:ind w:left="567" w:right="539"/>
        <w:jc w:val="both"/>
        <w:rPr>
          <w:rFonts w:ascii="Palatino Linotype" w:hAnsi="Palatino Linotype" w:eastAsia="Calibri" w:cs="Tahoma"/>
          <w:b/>
          <w:bCs/>
          <w:i/>
          <w:lang w:eastAsia="es-ES_tradnl"/>
        </w:rPr>
      </w:pPr>
      <w:r w:rsidRPr="005828EE">
        <w:rPr>
          <w:rFonts w:ascii="Palatino Linotype" w:hAnsi="Palatino Linotype" w:eastAsia="Calibri" w:cs="Tahoma"/>
          <w:b/>
          <w:bCs/>
          <w:i/>
          <w:lang w:eastAsia="es-ES_tradnl"/>
        </w:rPr>
        <w:t xml:space="preserve">Facultades genéricas de los titulares de las Fiscalías </w:t>
      </w:r>
    </w:p>
    <w:p w:rsidRPr="005828EE" w:rsidR="001A135B" w:rsidP="001A135B" w:rsidRDefault="001A135B" w14:paraId="7DA407B2" w14:textId="77777777">
      <w:pPr>
        <w:tabs>
          <w:tab w:val="left" w:pos="4962"/>
        </w:tabs>
        <w:spacing w:line="360" w:lineRule="auto"/>
        <w:ind w:left="567" w:right="539"/>
        <w:jc w:val="both"/>
        <w:rPr>
          <w:rFonts w:ascii="Palatino Linotype" w:hAnsi="Palatino Linotype" w:eastAsia="Calibri" w:cs="Tahoma"/>
          <w:i/>
          <w:lang w:eastAsia="es-ES_tradnl"/>
        </w:rPr>
      </w:pPr>
      <w:r w:rsidRPr="005828EE">
        <w:rPr>
          <w:rFonts w:ascii="Palatino Linotype" w:hAnsi="Palatino Linotype" w:eastAsia="Calibri" w:cs="Tahoma"/>
          <w:b/>
          <w:bCs/>
          <w:i/>
          <w:lang w:eastAsia="es-ES_tradnl"/>
        </w:rPr>
        <w:t>ARTÍCULO TERCERO</w:t>
      </w:r>
      <w:r w:rsidRPr="005828EE">
        <w:rPr>
          <w:rFonts w:ascii="Palatino Linotype" w:hAnsi="Palatino Linotype" w:eastAsia="Calibri" w:cs="Tahoma"/>
          <w:i/>
          <w:lang w:eastAsia="es-ES_tradnl"/>
        </w:rPr>
        <w:t>.- Corresponde a los titulares de las Fiscalías Especializadas de Robo de Vehículo, el ejercicio de las facultades que establecen los artículos 15, 27 y 28 del Reglamento de la Ley Orgánica de la Procuraduría General de Justicia del Estado de México, así como aquellas otras atribuciones que establezcan las disposiciones aplicables y las que les encomiende el Procurador o el Subprocurador de Atención Especializada.</w:t>
      </w:r>
    </w:p>
    <w:p w:rsidRPr="005828EE" w:rsidR="001A135B" w:rsidP="001A135B" w:rsidRDefault="001A135B" w14:paraId="18C840C9" w14:textId="77777777">
      <w:pPr>
        <w:tabs>
          <w:tab w:val="left" w:pos="4962"/>
        </w:tabs>
        <w:spacing w:line="360" w:lineRule="auto"/>
        <w:ind w:left="567" w:right="539"/>
        <w:jc w:val="both"/>
        <w:rPr>
          <w:rFonts w:ascii="Palatino Linotype" w:hAnsi="Palatino Linotype" w:eastAsia="Calibri" w:cs="Tahoma"/>
          <w:b/>
          <w:bCs/>
          <w:i/>
          <w:lang w:eastAsia="es-ES_tradnl"/>
        </w:rPr>
      </w:pPr>
    </w:p>
    <w:p w:rsidRPr="005828EE" w:rsidR="001A135B" w:rsidP="001A135B" w:rsidRDefault="001A135B" w14:paraId="556A2214" w14:textId="77777777">
      <w:pPr>
        <w:tabs>
          <w:tab w:val="left" w:pos="4962"/>
        </w:tabs>
        <w:spacing w:line="360" w:lineRule="auto"/>
        <w:ind w:left="567" w:right="539"/>
        <w:jc w:val="both"/>
        <w:rPr>
          <w:rFonts w:ascii="Palatino Linotype" w:hAnsi="Palatino Linotype" w:eastAsia="Calibri" w:cs="Tahoma"/>
          <w:b/>
          <w:bCs/>
          <w:i/>
          <w:lang w:eastAsia="es-ES_tradnl"/>
        </w:rPr>
      </w:pPr>
      <w:r w:rsidRPr="005828EE">
        <w:rPr>
          <w:rFonts w:ascii="Palatino Linotype" w:hAnsi="Palatino Linotype" w:eastAsia="Calibri" w:cs="Tahoma"/>
          <w:b/>
          <w:bCs/>
          <w:i/>
          <w:lang w:eastAsia="es-ES_tradnl"/>
        </w:rPr>
        <w:t xml:space="preserve">Atribuciones de las Fiscalías </w:t>
      </w:r>
    </w:p>
    <w:p w:rsidRPr="005828EE" w:rsidR="001A135B" w:rsidP="001A135B" w:rsidRDefault="001A135B" w14:paraId="63AA48E8" w14:textId="77777777">
      <w:pPr>
        <w:tabs>
          <w:tab w:val="left" w:pos="4962"/>
        </w:tabs>
        <w:spacing w:line="360" w:lineRule="auto"/>
        <w:ind w:left="567" w:right="539"/>
        <w:jc w:val="both"/>
        <w:rPr>
          <w:rFonts w:ascii="Palatino Linotype" w:hAnsi="Palatino Linotype" w:eastAsia="Calibri" w:cs="Tahoma"/>
          <w:i/>
          <w:lang w:eastAsia="es-ES_tradnl"/>
        </w:rPr>
      </w:pPr>
      <w:r w:rsidRPr="005828EE">
        <w:rPr>
          <w:rFonts w:ascii="Palatino Linotype" w:hAnsi="Palatino Linotype" w:eastAsia="Calibri" w:cs="Tahoma"/>
          <w:b/>
          <w:bCs/>
          <w:i/>
          <w:lang w:eastAsia="es-ES_tradnl"/>
        </w:rPr>
        <w:lastRenderedPageBreak/>
        <w:t>ARTÍCULO CUARTO</w:t>
      </w:r>
      <w:r w:rsidRPr="005828EE">
        <w:rPr>
          <w:rFonts w:ascii="Palatino Linotype" w:hAnsi="Palatino Linotype" w:eastAsia="Calibri" w:cs="Tahoma"/>
          <w:i/>
          <w:lang w:eastAsia="es-ES_tradnl"/>
        </w:rPr>
        <w:t xml:space="preserve">.- Los titulares de las Fiscalías Especializadas de Robo de Vehículo, por sí o por conducto de los agentes del Ministerio Público que le estén adscritos, ejercerán las atribuciones siguientes: </w:t>
      </w:r>
    </w:p>
    <w:p w:rsidRPr="005828EE" w:rsidR="001A135B" w:rsidP="001A135B" w:rsidRDefault="001A135B" w14:paraId="16BBDED9" w14:textId="77777777">
      <w:pPr>
        <w:tabs>
          <w:tab w:val="left" w:pos="4962"/>
        </w:tabs>
        <w:spacing w:line="360" w:lineRule="auto"/>
        <w:ind w:left="567" w:right="539"/>
        <w:jc w:val="both"/>
        <w:rPr>
          <w:rFonts w:ascii="Palatino Linotype" w:hAnsi="Palatino Linotype" w:eastAsia="Calibri" w:cs="Tahoma"/>
          <w:i/>
          <w:lang w:eastAsia="es-ES_tradnl"/>
        </w:rPr>
      </w:pPr>
      <w:r w:rsidRPr="005828EE">
        <w:rPr>
          <w:rFonts w:ascii="Palatino Linotype" w:hAnsi="Palatino Linotype" w:eastAsia="Calibri" w:cs="Tahoma"/>
          <w:b/>
          <w:bCs/>
          <w:i/>
          <w:lang w:eastAsia="es-ES_tradnl"/>
        </w:rPr>
        <w:t>I</w:t>
      </w:r>
      <w:r w:rsidRPr="005828EE">
        <w:rPr>
          <w:rFonts w:ascii="Palatino Linotype" w:hAnsi="Palatino Linotype" w:eastAsia="Calibri" w:cs="Tahoma"/>
          <w:i/>
          <w:lang w:eastAsia="es-ES_tradnl"/>
        </w:rPr>
        <w:t>. Las establecidas en el artículo 10 de la Ley Orgánica de la Procuraduría General de Justicia del Estado de México, respecto de los asuntos materia de su competencia; I</w:t>
      </w:r>
    </w:p>
    <w:p w:rsidRPr="005828EE" w:rsidR="001A135B" w:rsidP="001A135B" w:rsidRDefault="001A135B" w14:paraId="4060FA42" w14:textId="77777777">
      <w:pPr>
        <w:tabs>
          <w:tab w:val="left" w:pos="4962"/>
        </w:tabs>
        <w:spacing w:line="360" w:lineRule="auto"/>
        <w:ind w:left="567" w:right="539"/>
        <w:jc w:val="both"/>
        <w:rPr>
          <w:rFonts w:ascii="Palatino Linotype" w:hAnsi="Palatino Linotype" w:eastAsia="Calibri" w:cs="Tahoma"/>
          <w:i/>
          <w:lang w:eastAsia="es-ES_tradnl"/>
        </w:rPr>
      </w:pPr>
      <w:r w:rsidRPr="005828EE">
        <w:rPr>
          <w:rFonts w:ascii="Palatino Linotype" w:hAnsi="Palatino Linotype" w:eastAsia="Calibri" w:cs="Tahoma"/>
          <w:i/>
          <w:lang w:eastAsia="es-ES_tradnl"/>
        </w:rPr>
        <w:t xml:space="preserve">II. Investigar los delitos de su competencia, ejercitar acción penal ante los órganos jurisdiccionales e intervenir en los procesos penales, en los términos que establece la Ley; </w:t>
      </w:r>
    </w:p>
    <w:p w:rsidRPr="005828EE" w:rsidR="001A135B" w:rsidP="001A135B" w:rsidRDefault="001A135B" w14:paraId="636D7E21" w14:textId="77777777">
      <w:pPr>
        <w:tabs>
          <w:tab w:val="left" w:pos="4962"/>
        </w:tabs>
        <w:spacing w:line="360" w:lineRule="auto"/>
        <w:ind w:left="567" w:right="539"/>
        <w:jc w:val="both"/>
        <w:rPr>
          <w:rFonts w:ascii="Palatino Linotype" w:hAnsi="Palatino Linotype" w:eastAsia="Calibri" w:cs="Tahoma"/>
          <w:i/>
          <w:lang w:eastAsia="es-ES_tradnl"/>
        </w:rPr>
      </w:pPr>
      <w:r w:rsidRPr="005828EE">
        <w:rPr>
          <w:rFonts w:ascii="Palatino Linotype" w:hAnsi="Palatino Linotype" w:eastAsia="Calibri" w:cs="Tahoma"/>
          <w:i/>
          <w:lang w:eastAsia="es-ES_tradnl"/>
        </w:rPr>
        <w:t xml:space="preserve">III. Coordinar, supervisar y dar seguimiento a las carpetas de investigación iniciadas por los delitos de su competencia y determinar los casos en que deban ser del conocimiento de otras unidades administrativas, según la naturaleza de los hechos; </w:t>
      </w:r>
    </w:p>
    <w:p w:rsidRPr="005828EE" w:rsidR="001A135B" w:rsidP="001A135B" w:rsidRDefault="001A135B" w14:paraId="7A8CB51E" w14:textId="77777777">
      <w:pPr>
        <w:tabs>
          <w:tab w:val="left" w:pos="4962"/>
        </w:tabs>
        <w:spacing w:line="360" w:lineRule="auto"/>
        <w:ind w:left="567" w:right="539"/>
        <w:jc w:val="both"/>
        <w:rPr>
          <w:rFonts w:ascii="Palatino Linotype" w:hAnsi="Palatino Linotype" w:eastAsia="Calibri" w:cs="Tahoma"/>
          <w:i/>
          <w:lang w:eastAsia="es-ES_tradnl"/>
        </w:rPr>
      </w:pPr>
      <w:r w:rsidRPr="005828EE">
        <w:rPr>
          <w:rFonts w:ascii="Palatino Linotype" w:hAnsi="Palatino Linotype" w:eastAsia="Calibri" w:cs="Tahoma"/>
          <w:i/>
          <w:lang w:eastAsia="es-ES_tradnl"/>
        </w:rPr>
        <w:t xml:space="preserve">IV. Recibir de las Fiscalías Regionales y Especializadas, Agencias del Ministerio Público y componentes del Sistema de Medios Alternativos de Denuncias y Querellas (Cali Center), las denuncias por los delitos de su competencia; </w:t>
      </w:r>
    </w:p>
    <w:p w:rsidRPr="005828EE" w:rsidR="001A135B" w:rsidP="001A135B" w:rsidRDefault="001A135B" w14:paraId="030D26C7" w14:textId="77777777">
      <w:pPr>
        <w:tabs>
          <w:tab w:val="left" w:pos="4962"/>
        </w:tabs>
        <w:spacing w:line="360" w:lineRule="auto"/>
        <w:ind w:left="567" w:right="539"/>
        <w:jc w:val="both"/>
        <w:rPr>
          <w:rFonts w:ascii="Palatino Linotype" w:hAnsi="Palatino Linotype" w:eastAsia="Calibri" w:cs="Tahoma"/>
          <w:i/>
          <w:lang w:eastAsia="es-ES_tradnl"/>
        </w:rPr>
      </w:pPr>
      <w:r w:rsidRPr="005828EE">
        <w:rPr>
          <w:rFonts w:ascii="Palatino Linotype" w:hAnsi="Palatino Linotype" w:eastAsia="Calibri" w:cs="Tahoma"/>
          <w:i/>
          <w:lang w:eastAsia="es-ES_tradnl"/>
        </w:rPr>
        <w:t xml:space="preserve">V. Coordinar su actuación en la investigación de los delitos de su competencia con las autoridades federales, de otras entidades federativas y municipios de la entidad; </w:t>
      </w:r>
    </w:p>
    <w:p w:rsidRPr="005828EE" w:rsidR="001A135B" w:rsidP="001A135B" w:rsidRDefault="001A135B" w14:paraId="2A9562E8" w14:textId="77777777">
      <w:pPr>
        <w:tabs>
          <w:tab w:val="left" w:pos="4962"/>
        </w:tabs>
        <w:spacing w:line="360" w:lineRule="auto"/>
        <w:ind w:left="567" w:right="539"/>
        <w:jc w:val="both"/>
        <w:rPr>
          <w:rFonts w:ascii="Palatino Linotype" w:hAnsi="Palatino Linotype" w:eastAsia="Calibri" w:cs="Tahoma"/>
          <w:i/>
          <w:lang w:eastAsia="es-ES_tradnl"/>
        </w:rPr>
      </w:pPr>
      <w:r w:rsidRPr="005828EE">
        <w:rPr>
          <w:rFonts w:ascii="Palatino Linotype" w:hAnsi="Palatino Linotype" w:eastAsia="Calibri" w:cs="Tahoma"/>
          <w:i/>
          <w:lang w:eastAsia="es-ES_tradnl"/>
        </w:rPr>
        <w:t>VI a XV…</w:t>
      </w:r>
    </w:p>
    <w:p w:rsidRPr="005828EE" w:rsidR="001A135B" w:rsidP="001A135B" w:rsidRDefault="001A135B" w14:paraId="4000241E" w14:textId="77777777">
      <w:pPr>
        <w:tabs>
          <w:tab w:val="left" w:pos="4962"/>
        </w:tabs>
        <w:spacing w:line="360" w:lineRule="auto"/>
        <w:ind w:left="567" w:right="539"/>
        <w:jc w:val="both"/>
        <w:rPr>
          <w:rFonts w:ascii="Palatino Linotype" w:hAnsi="Palatino Linotype" w:eastAsia="Calibri" w:cs="Tahoma"/>
          <w:i/>
          <w:lang w:eastAsia="es-ES_tradnl"/>
        </w:rPr>
      </w:pPr>
    </w:p>
    <w:p w:rsidRPr="005828EE" w:rsidR="001A135B" w:rsidP="001A135B" w:rsidRDefault="001A135B" w14:paraId="60766877" w14:textId="12FFE3C4">
      <w:pPr>
        <w:spacing w:line="360" w:lineRule="auto"/>
        <w:jc w:val="both"/>
        <w:rPr>
          <w:rFonts w:ascii="Palatino Linotype" w:hAnsi="Palatino Linotype" w:eastAsia="Calibri" w:cs="Tahoma"/>
          <w:iCs/>
          <w:sz w:val="22"/>
          <w:szCs w:val="22"/>
          <w:lang w:val="es-ES" w:eastAsia="es-ES_tradnl"/>
        </w:rPr>
      </w:pPr>
      <w:r w:rsidRPr="005828EE">
        <w:rPr>
          <w:rFonts w:ascii="Palatino Linotype" w:hAnsi="Palatino Linotype" w:eastAsia="Calibri" w:cs="Tahoma"/>
          <w:iCs/>
          <w:sz w:val="22"/>
          <w:szCs w:val="22"/>
          <w:lang w:val="es-ES" w:eastAsia="es-ES_tradnl"/>
        </w:rPr>
        <w:t>Aunado a lo anterior, el Acuerdo mencionado establece la circunscripción territorial, así como el horario de las Fiscalías como se muestra a continuación:</w:t>
      </w:r>
    </w:p>
    <w:p w:rsidRPr="005828EE" w:rsidR="001A135B" w:rsidP="001A135B" w:rsidRDefault="001A135B" w14:paraId="399287B4" w14:textId="77777777">
      <w:pPr>
        <w:spacing w:line="360" w:lineRule="auto"/>
        <w:jc w:val="both"/>
        <w:rPr>
          <w:rFonts w:ascii="Palatino Linotype" w:hAnsi="Palatino Linotype" w:eastAsia="Calibri" w:cs="Tahoma"/>
          <w:iCs/>
          <w:sz w:val="22"/>
          <w:szCs w:val="22"/>
          <w:lang w:val="es-ES" w:eastAsia="es-ES_tradnl"/>
        </w:rPr>
      </w:pPr>
    </w:p>
    <w:p w:rsidRPr="005828EE" w:rsidR="001A135B" w:rsidP="001A135B" w:rsidRDefault="001A135B" w14:paraId="456CE280" w14:textId="77777777">
      <w:pPr>
        <w:spacing w:line="360" w:lineRule="auto"/>
        <w:ind w:left="567" w:right="539"/>
        <w:jc w:val="both"/>
        <w:rPr>
          <w:rFonts w:ascii="Palatino Linotype" w:hAnsi="Palatino Linotype" w:eastAsia="Calibri" w:cs="Tahoma"/>
          <w:i/>
          <w:lang w:eastAsia="es-ES_tradnl"/>
        </w:rPr>
      </w:pPr>
      <w:r w:rsidRPr="005828EE">
        <w:rPr>
          <w:rFonts w:ascii="Palatino Linotype" w:hAnsi="Palatino Linotype" w:eastAsia="Calibri" w:cs="Tahoma"/>
          <w:b/>
          <w:bCs/>
          <w:i/>
          <w:lang w:eastAsia="es-ES_tradnl"/>
        </w:rPr>
        <w:t>Circunscripción territorial de la de la Fiscalía Especializada en la Investigación del Delito de Robo de Vehículo Zona Oriente</w:t>
      </w:r>
      <w:r w:rsidRPr="005828EE">
        <w:rPr>
          <w:rFonts w:ascii="Palatino Linotype" w:hAnsi="Palatino Linotype" w:eastAsia="Calibri" w:cs="Tahoma"/>
          <w:i/>
          <w:lang w:eastAsia="es-ES_tradnl"/>
        </w:rPr>
        <w:t xml:space="preserve"> </w:t>
      </w:r>
    </w:p>
    <w:p w:rsidRPr="005828EE" w:rsidR="001A135B" w:rsidP="001A135B" w:rsidRDefault="001A135B" w14:paraId="7D3A27BB" w14:textId="77777777">
      <w:pPr>
        <w:spacing w:line="360" w:lineRule="auto"/>
        <w:ind w:left="567" w:right="539"/>
        <w:jc w:val="both"/>
        <w:rPr>
          <w:rFonts w:ascii="Palatino Linotype" w:hAnsi="Palatino Linotype" w:eastAsia="Calibri" w:cs="Tahoma"/>
          <w:i/>
          <w:lang w:eastAsia="es-ES_tradnl"/>
        </w:rPr>
      </w:pPr>
      <w:r w:rsidRPr="005828EE">
        <w:rPr>
          <w:rFonts w:ascii="Palatino Linotype" w:hAnsi="Palatino Linotype" w:eastAsia="Calibri" w:cs="Tahoma"/>
          <w:b/>
          <w:bCs/>
          <w:i/>
          <w:lang w:eastAsia="es-ES_tradnl"/>
        </w:rPr>
        <w:t>ARTICULO SÉPTIMO</w:t>
      </w:r>
      <w:r w:rsidRPr="005828EE">
        <w:rPr>
          <w:rFonts w:ascii="Palatino Linotype" w:hAnsi="Palatino Linotype" w:eastAsia="Calibri" w:cs="Tahoma"/>
          <w:i/>
          <w:lang w:eastAsia="es-ES_tradnl"/>
        </w:rPr>
        <w:t>.- La Fiscalía Especializada en la Investigación del Delito de Robo de Vehículo Zona Oriente, tendrá su sede en venida Central casi esquina con 1° de mayo, colonia Jajalpa, Ecatepec, México; y conocerá de la investigación de los hechos delictuosos del ámbito de su competencia que se cometan en los siguientes municipios:</w:t>
      </w:r>
    </w:p>
    <w:p w:rsidRPr="005828EE" w:rsidR="001A135B" w:rsidP="001A135B" w:rsidRDefault="001A135B" w14:paraId="3B132BF7" w14:textId="77777777">
      <w:pPr>
        <w:spacing w:line="360" w:lineRule="auto"/>
        <w:ind w:left="567" w:right="539"/>
        <w:jc w:val="both"/>
        <w:rPr>
          <w:rFonts w:ascii="Palatino Linotype" w:hAnsi="Palatino Linotype" w:eastAsia="Calibri" w:cs="Tahoma"/>
          <w:i/>
          <w:lang w:eastAsia="es-ES_tradnl"/>
        </w:rPr>
      </w:pPr>
    </w:p>
    <w:p w:rsidRPr="005828EE" w:rsidR="001A135B" w:rsidP="001A135B" w:rsidRDefault="001A135B" w14:paraId="698A8675" w14:textId="77777777">
      <w:pPr>
        <w:spacing w:line="360" w:lineRule="auto"/>
        <w:ind w:left="567" w:right="539"/>
        <w:jc w:val="center"/>
        <w:rPr>
          <w:rFonts w:ascii="Palatino Linotype" w:hAnsi="Palatino Linotype" w:eastAsia="Calibri" w:cs="Tahoma"/>
          <w:i/>
          <w:lang w:eastAsia="es-ES_tradnl"/>
        </w:rPr>
      </w:pPr>
      <w:r w:rsidRPr="005828EE">
        <w:rPr>
          <w:noProof/>
          <w:lang w:eastAsia="es-MX"/>
        </w:rPr>
        <w:lastRenderedPageBreak/>
        <w:drawing>
          <wp:inline distT="0" distB="0" distL="0" distR="0" wp14:anchorId="18447E3F" wp14:editId="16ABF77A">
            <wp:extent cx="4586385" cy="239077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283" t="38038" r="58536" b="33064"/>
                    <a:stretch/>
                  </pic:blipFill>
                  <pic:spPr bwMode="auto">
                    <a:xfrm>
                      <a:off x="0" y="0"/>
                      <a:ext cx="4597951" cy="2396804"/>
                    </a:xfrm>
                    <a:prstGeom prst="rect">
                      <a:avLst/>
                    </a:prstGeom>
                    <a:ln>
                      <a:noFill/>
                    </a:ln>
                    <a:extLst>
                      <a:ext uri="{53640926-AAD7-44D8-BBD7-CCE9431645EC}">
                        <a14:shadowObscured xmlns:a14="http://schemas.microsoft.com/office/drawing/2010/main"/>
                      </a:ext>
                    </a:extLst>
                  </pic:spPr>
                </pic:pic>
              </a:graphicData>
            </a:graphic>
          </wp:inline>
        </w:drawing>
      </w:r>
    </w:p>
    <w:p w:rsidRPr="005828EE" w:rsidR="001A135B" w:rsidP="001A135B" w:rsidRDefault="001A135B" w14:paraId="02552DA5" w14:textId="77777777">
      <w:pPr>
        <w:spacing w:line="360" w:lineRule="auto"/>
        <w:ind w:left="567" w:right="539"/>
        <w:jc w:val="both"/>
        <w:rPr>
          <w:rFonts w:ascii="Palatino Linotype" w:hAnsi="Palatino Linotype" w:eastAsia="Calibri" w:cs="Tahoma"/>
          <w:i/>
          <w:lang w:eastAsia="es-ES_tradnl"/>
        </w:rPr>
      </w:pPr>
    </w:p>
    <w:p w:rsidRPr="005828EE" w:rsidR="001A135B" w:rsidP="001A135B" w:rsidRDefault="001A135B" w14:paraId="18C4BF14" w14:textId="77777777">
      <w:pPr>
        <w:spacing w:line="360" w:lineRule="auto"/>
        <w:ind w:left="567" w:right="539"/>
        <w:jc w:val="both"/>
        <w:rPr>
          <w:rFonts w:ascii="Palatino Linotype" w:hAnsi="Palatino Linotype" w:eastAsia="Calibri" w:cs="Tahoma"/>
          <w:b/>
          <w:bCs/>
          <w:i/>
          <w:lang w:eastAsia="es-ES_tradnl"/>
        </w:rPr>
      </w:pPr>
      <w:r w:rsidRPr="005828EE">
        <w:rPr>
          <w:rFonts w:ascii="Palatino Linotype" w:hAnsi="Palatino Linotype" w:eastAsia="Calibri" w:cs="Tahoma"/>
          <w:b/>
          <w:bCs/>
          <w:i/>
          <w:lang w:eastAsia="es-ES_tradnl"/>
        </w:rPr>
        <w:t>HORARIO</w:t>
      </w:r>
    </w:p>
    <w:p w:rsidRPr="005828EE" w:rsidR="001A135B" w:rsidP="001A135B" w:rsidRDefault="001A135B" w14:paraId="4EE31538" w14:textId="14E47CAC">
      <w:pPr>
        <w:spacing w:line="360" w:lineRule="auto"/>
        <w:ind w:left="567" w:right="539"/>
        <w:jc w:val="both"/>
        <w:rPr>
          <w:rFonts w:ascii="Palatino Linotype" w:hAnsi="Palatino Linotype" w:eastAsia="Calibri" w:cs="Tahoma"/>
          <w:i/>
          <w:lang w:eastAsia="es-ES_tradnl"/>
        </w:rPr>
      </w:pPr>
      <w:r w:rsidRPr="005828EE">
        <w:rPr>
          <w:rFonts w:ascii="Palatino Linotype" w:hAnsi="Palatino Linotype" w:eastAsia="Calibri" w:cs="Tahoma"/>
          <w:b/>
          <w:bCs/>
          <w:i/>
          <w:lang w:eastAsia="es-ES_tradnl"/>
        </w:rPr>
        <w:t xml:space="preserve">ARTÍCULO DÉCIMO.- </w:t>
      </w:r>
      <w:r w:rsidRPr="005828EE">
        <w:rPr>
          <w:rFonts w:ascii="Palatino Linotype" w:hAnsi="Palatino Linotype" w:eastAsia="Calibri" w:cs="Tahoma"/>
          <w:i/>
          <w:lang w:eastAsia="es-ES_tradnl"/>
        </w:rPr>
        <w:t>el horario de las Fiscalías Especializadas de robo de vehículo será de lunes a sábado de 9:00 a 23:00 horas Las agencias del Ministerio Público Especializadas en Robo de Vehículo funcionaran en el horario que se indica en la siguiente tabla:</w:t>
      </w:r>
    </w:p>
    <w:p w:rsidRPr="005828EE" w:rsidR="001A135B" w:rsidP="001A135B" w:rsidRDefault="001A135B" w14:paraId="78B1E39A" w14:textId="77777777">
      <w:pPr>
        <w:spacing w:line="360" w:lineRule="auto"/>
        <w:ind w:left="567" w:right="539"/>
        <w:jc w:val="center"/>
        <w:rPr>
          <w:rFonts w:ascii="Palatino Linotype" w:hAnsi="Palatino Linotype" w:eastAsia="Calibri" w:cs="Tahoma"/>
          <w:i/>
          <w:lang w:eastAsia="es-ES_tradnl"/>
        </w:rPr>
      </w:pPr>
      <w:r w:rsidRPr="005828EE">
        <w:rPr>
          <w:noProof/>
          <w:lang w:eastAsia="es-MX"/>
        </w:rPr>
        <w:drawing>
          <wp:inline distT="0" distB="0" distL="0" distR="0" wp14:anchorId="5E41CCD3" wp14:editId="1D5B9BC3">
            <wp:extent cx="4032885" cy="2085975"/>
            <wp:effectExtent l="0" t="0" r="571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420" t="61628" r="64341" b="20680"/>
                    <a:stretch/>
                  </pic:blipFill>
                  <pic:spPr bwMode="auto">
                    <a:xfrm>
                      <a:off x="0" y="0"/>
                      <a:ext cx="4032885" cy="2085975"/>
                    </a:xfrm>
                    <a:prstGeom prst="rect">
                      <a:avLst/>
                    </a:prstGeom>
                    <a:ln>
                      <a:noFill/>
                    </a:ln>
                    <a:extLst>
                      <a:ext uri="{53640926-AAD7-44D8-BBD7-CCE9431645EC}">
                        <a14:shadowObscured xmlns:a14="http://schemas.microsoft.com/office/drawing/2010/main"/>
                      </a:ext>
                    </a:extLst>
                  </pic:spPr>
                </pic:pic>
              </a:graphicData>
            </a:graphic>
          </wp:inline>
        </w:drawing>
      </w:r>
    </w:p>
    <w:p w:rsidRPr="005828EE" w:rsidR="001A135B" w:rsidP="001A135B" w:rsidRDefault="001A135B" w14:paraId="5B75781D" w14:textId="77777777">
      <w:pPr>
        <w:spacing w:line="360" w:lineRule="auto"/>
        <w:jc w:val="both"/>
        <w:rPr>
          <w:rFonts w:ascii="Palatino Linotype" w:hAnsi="Palatino Linotype" w:eastAsia="Calibri" w:cs="Tahoma"/>
          <w:iCs/>
          <w:sz w:val="22"/>
          <w:szCs w:val="22"/>
          <w:lang w:eastAsia="es-ES_tradnl"/>
        </w:rPr>
      </w:pPr>
    </w:p>
    <w:p w:rsidRPr="005828EE" w:rsidR="00B506F3" w:rsidP="00B506F3" w:rsidRDefault="001A135B" w14:paraId="7453BD01" w14:textId="77777777">
      <w:pPr>
        <w:spacing w:line="360" w:lineRule="auto"/>
        <w:jc w:val="both"/>
        <w:rPr>
          <w:rFonts w:ascii="Palatino Linotype" w:hAnsi="Palatino Linotype" w:eastAsia="Calibri" w:cs="Tahoma"/>
          <w:iCs/>
          <w:sz w:val="22"/>
          <w:szCs w:val="22"/>
          <w:lang w:val="es-ES" w:eastAsia="es-ES_tradnl"/>
        </w:rPr>
      </w:pPr>
      <w:r w:rsidRPr="005828EE">
        <w:rPr>
          <w:rFonts w:ascii="Palatino Linotype" w:hAnsi="Palatino Linotype" w:eastAsia="Calibri" w:cs="Tahoma"/>
          <w:iCs/>
          <w:sz w:val="22"/>
          <w:szCs w:val="22"/>
          <w:lang w:val="es-ES" w:eastAsia="es-ES_tradnl"/>
        </w:rPr>
        <w:t xml:space="preserve">Derivado de lo anterior, y de la respuesta proporcionada por el Sujeto Obligado se desprende que el Agente del Ministerio Público de la Agencia el Ministerio Público Especializada en la Investigación de Delito de Robo de Vehículo con sede en Amecameca, Estado de México tiene horario establecido de lunes a sábado, por lo que no puede haber varios turnos por no ser veinticuatro horas, </w:t>
      </w:r>
      <w:r w:rsidRPr="005828EE" w:rsidR="00B506F3">
        <w:rPr>
          <w:rFonts w:ascii="Palatino Linotype" w:hAnsi="Palatino Linotype" w:eastAsia="Calibri" w:cs="Tahoma"/>
          <w:iCs/>
          <w:sz w:val="22"/>
          <w:szCs w:val="22"/>
          <w:lang w:val="es-ES" w:eastAsia="es-ES_tradnl"/>
        </w:rPr>
        <w:t xml:space="preserve">situación que confirmo la Fiscalía en el alcance de su informe justificado al </w:t>
      </w:r>
      <w:r w:rsidRPr="005828EE" w:rsidR="00B506F3">
        <w:rPr>
          <w:rFonts w:ascii="Palatino Linotype" w:hAnsi="Palatino Linotype" w:eastAsia="Calibri" w:cs="Tahoma"/>
          <w:iCs/>
          <w:sz w:val="22"/>
          <w:szCs w:val="22"/>
          <w:lang w:val="es-ES" w:eastAsia="es-ES_tradnl"/>
        </w:rPr>
        <w:lastRenderedPageBreak/>
        <w:t>manifestar que es turno único además de que no se encuentra organizada en mesas de trámite la Fiscalía especializada mencionada.</w:t>
      </w:r>
    </w:p>
    <w:p w:rsidRPr="005828EE" w:rsidR="00B506F3" w:rsidP="00B506F3" w:rsidRDefault="00B506F3" w14:paraId="0AC7E29A" w14:textId="77777777">
      <w:pPr>
        <w:spacing w:line="360" w:lineRule="auto"/>
        <w:jc w:val="both"/>
        <w:rPr>
          <w:rFonts w:ascii="Palatino Linotype" w:hAnsi="Palatino Linotype" w:eastAsia="Calibri" w:cs="Tahoma"/>
          <w:iCs/>
          <w:sz w:val="22"/>
          <w:szCs w:val="22"/>
          <w:lang w:val="es-ES" w:eastAsia="es-ES_tradnl"/>
        </w:rPr>
      </w:pPr>
    </w:p>
    <w:p w:rsidRPr="005828EE" w:rsidR="00B506F3" w:rsidP="00B506F3" w:rsidRDefault="00CB1FED" w14:paraId="21B92052" w14:textId="20A6DEF9">
      <w:pPr>
        <w:spacing w:line="360" w:lineRule="auto"/>
        <w:ind w:right="-91"/>
        <w:jc w:val="both"/>
        <w:rPr>
          <w:rFonts w:ascii="Palatino Linotype" w:hAnsi="Palatino Linotype" w:eastAsia="Calibri" w:cs="Tahoma"/>
          <w:iCs/>
          <w:sz w:val="22"/>
          <w:szCs w:val="22"/>
          <w:lang w:eastAsia="es-ES_tradnl"/>
        </w:rPr>
      </w:pPr>
      <w:r w:rsidRPr="005828EE">
        <w:rPr>
          <w:rFonts w:ascii="Palatino Linotype" w:hAnsi="Palatino Linotype" w:eastAsia="Calibri" w:cs="Tahoma"/>
          <w:iCs/>
          <w:sz w:val="22"/>
          <w:szCs w:val="22"/>
          <w:lang w:val="es-ES" w:eastAsia="es-ES_tradnl"/>
        </w:rPr>
        <w:t xml:space="preserve">En conclusión, </w:t>
      </w:r>
      <w:r w:rsidRPr="005828EE" w:rsidR="00B506F3">
        <w:rPr>
          <w:rFonts w:ascii="Palatino Linotype" w:hAnsi="Palatino Linotype" w:eastAsia="Calibri" w:cs="Tahoma"/>
          <w:iCs/>
          <w:sz w:val="22"/>
          <w:szCs w:val="22"/>
          <w:lang w:val="es-ES" w:eastAsia="es-ES_tradnl"/>
        </w:rPr>
        <w:t xml:space="preserve">el Sujeto Obligado completo su respuesta </w:t>
      </w:r>
      <w:r w:rsidRPr="005828EE">
        <w:rPr>
          <w:rFonts w:ascii="Palatino Linotype" w:hAnsi="Palatino Linotype" w:eastAsia="Calibri" w:cs="Tahoma"/>
          <w:iCs/>
          <w:sz w:val="22"/>
          <w:szCs w:val="22"/>
          <w:lang w:val="es-ES" w:eastAsia="es-ES_tradnl"/>
        </w:rPr>
        <w:t>ya que especificó que el Agente del Ministerio Público de la Agencia el Ministerio Público Especializada en la Investigación de Delito de Robo de Vehículo con sede en Amecameca</w:t>
      </w:r>
      <w:r w:rsidRPr="005828EE" w:rsidR="00B506F3">
        <w:rPr>
          <w:rFonts w:ascii="Palatino Linotype" w:hAnsi="Palatino Linotype" w:eastAsia="Calibri" w:cs="Tahoma"/>
          <w:iCs/>
          <w:sz w:val="22"/>
          <w:szCs w:val="22"/>
          <w:lang w:val="es-ES" w:eastAsia="es-ES_tradnl"/>
        </w:rPr>
        <w:t xml:space="preserve">, </w:t>
      </w:r>
      <w:r w:rsidRPr="005828EE">
        <w:rPr>
          <w:rFonts w:ascii="Palatino Linotype" w:hAnsi="Palatino Linotype" w:eastAsia="Calibri" w:cs="Tahoma"/>
          <w:iCs/>
          <w:sz w:val="22"/>
          <w:szCs w:val="22"/>
          <w:lang w:val="es-ES" w:eastAsia="es-ES_tradnl"/>
        </w:rPr>
        <w:t xml:space="preserve">se encuentra adscrito al turno único y no se encuentra organizado por mesas de trámite, </w:t>
      </w:r>
      <w:r w:rsidRPr="005828EE" w:rsidR="00B506F3">
        <w:rPr>
          <w:rFonts w:ascii="Palatino Linotype" w:hAnsi="Palatino Linotype" w:cs="Tahoma"/>
          <w:sz w:val="22"/>
          <w:szCs w:val="22"/>
          <w:lang w:val="es-ES"/>
        </w:rPr>
        <w:t xml:space="preserve">por lo que </w:t>
      </w:r>
      <w:r w:rsidRPr="005828EE" w:rsidR="00B506F3">
        <w:rPr>
          <w:rFonts w:ascii="Palatino Linotype" w:hAnsi="Palatino Linotype" w:eastAsia="Calibri" w:cs="Tahoma"/>
          <w:iCs/>
          <w:sz w:val="22"/>
          <w:szCs w:val="22"/>
          <w:lang w:eastAsia="es-ES_tradnl"/>
        </w:rPr>
        <w:t xml:space="preserve">sobre tales manifestaciones este </w:t>
      </w:r>
      <w:r w:rsidRPr="005828EE" w:rsidR="00B506F3">
        <w:rPr>
          <w:rFonts w:ascii="Palatino Linotype" w:hAnsi="Palatino Linotype" w:cs="Tahoma"/>
          <w:sz w:val="22"/>
          <w:szCs w:val="24"/>
        </w:rPr>
        <w:t xml:space="preserve">Organismo Garante no está facultado para manifestarse sobre la veracidad, pues no existe precepto legal alguno en la Ley de la materia que lo faculte para ello, situación que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Pr="005828EE" w:rsidR="00B506F3" w:rsidP="00B506F3" w:rsidRDefault="00B506F3" w14:paraId="5619ABBA" w14:textId="77777777">
      <w:pPr>
        <w:spacing w:line="360" w:lineRule="auto"/>
        <w:jc w:val="both"/>
        <w:rPr>
          <w:rFonts w:ascii="Palatino Linotype" w:hAnsi="Palatino Linotype" w:cs="Tahoma"/>
          <w:sz w:val="22"/>
          <w:szCs w:val="24"/>
        </w:rPr>
      </w:pPr>
    </w:p>
    <w:p w:rsidRPr="005828EE" w:rsidR="00B506F3" w:rsidP="00B506F3" w:rsidRDefault="00B506F3" w14:paraId="31DDD26B" w14:textId="77777777">
      <w:pPr>
        <w:spacing w:line="360" w:lineRule="auto"/>
        <w:ind w:left="567" w:right="539"/>
        <w:jc w:val="both"/>
        <w:rPr>
          <w:rFonts w:ascii="Palatino Linotype" w:hAnsi="Palatino Linotype" w:cs="Tahoma"/>
          <w:i/>
          <w:szCs w:val="24"/>
        </w:rPr>
      </w:pPr>
      <w:r w:rsidRPr="005828EE">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5828EE">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Pr="005828EE" w:rsidR="00B506F3" w:rsidP="001A135B" w:rsidRDefault="00B506F3" w14:paraId="759BF83C" w14:textId="77777777">
      <w:pPr>
        <w:spacing w:line="360" w:lineRule="auto"/>
        <w:jc w:val="both"/>
        <w:rPr>
          <w:rFonts w:ascii="Palatino Linotype" w:hAnsi="Palatino Linotype" w:eastAsia="Calibri" w:cs="Tahoma"/>
          <w:iCs/>
          <w:sz w:val="22"/>
          <w:szCs w:val="22"/>
          <w:lang w:val="es-ES" w:eastAsia="es-ES_tradnl"/>
        </w:rPr>
      </w:pPr>
    </w:p>
    <w:p w:rsidRPr="005828EE" w:rsidR="001A135B" w:rsidP="001A135B" w:rsidRDefault="001A135B" w14:paraId="728BDB45" w14:textId="3BA20BDE">
      <w:pPr>
        <w:spacing w:line="360" w:lineRule="auto"/>
        <w:jc w:val="both"/>
        <w:rPr>
          <w:rFonts w:ascii="Palatino Linotype" w:hAnsi="Palatino Linotype" w:eastAsia="Calibri" w:cs="Tahoma"/>
          <w:iCs/>
          <w:sz w:val="22"/>
          <w:szCs w:val="22"/>
          <w:lang w:val="es-ES" w:eastAsia="es-ES_tradnl"/>
        </w:rPr>
      </w:pPr>
      <w:r w:rsidRPr="005828EE">
        <w:rPr>
          <w:rFonts w:ascii="Palatino Linotype" w:hAnsi="Palatino Linotype" w:eastAsia="Calibri" w:cs="Tahoma"/>
          <w:iCs/>
          <w:sz w:val="22"/>
          <w:szCs w:val="22"/>
          <w:lang w:val="es-ES" w:eastAsia="es-ES_tradnl"/>
        </w:rPr>
        <w:lastRenderedPageBreak/>
        <w:t xml:space="preserve">Ahora bien, es necesario aclarar que el Particular en su solicitud inicial hizo referencia a que en el sello de “INMUEBLE ASEGURADO” no se </w:t>
      </w:r>
      <w:r w:rsidRPr="005828EE" w:rsidR="00B506F3">
        <w:rPr>
          <w:rFonts w:ascii="Palatino Linotype" w:hAnsi="Palatino Linotype" w:eastAsia="Calibri" w:cs="Tahoma"/>
          <w:iCs/>
          <w:sz w:val="22"/>
          <w:szCs w:val="22"/>
          <w:lang w:val="es-ES" w:eastAsia="es-ES_tradnl"/>
        </w:rPr>
        <w:t>colocó</w:t>
      </w:r>
      <w:r w:rsidRPr="005828EE">
        <w:rPr>
          <w:rFonts w:ascii="Palatino Linotype" w:hAnsi="Palatino Linotype" w:eastAsia="Calibri" w:cs="Tahoma"/>
          <w:iCs/>
          <w:sz w:val="22"/>
          <w:szCs w:val="22"/>
          <w:lang w:val="es-ES" w:eastAsia="es-ES_tradnl"/>
        </w:rPr>
        <w:t xml:space="preserve"> Fiscalía o Carpeta, pero no se observa que requiera esta última, sin embargo, en sus manifestaciones señaló lo siguiente:</w:t>
      </w:r>
    </w:p>
    <w:p w:rsidRPr="005828EE" w:rsidR="001A135B" w:rsidP="001A135B" w:rsidRDefault="001A135B" w14:paraId="7A67EC56" w14:textId="77777777">
      <w:pPr>
        <w:spacing w:line="360" w:lineRule="auto"/>
        <w:jc w:val="both"/>
        <w:rPr>
          <w:rFonts w:ascii="Palatino Linotype" w:hAnsi="Palatino Linotype" w:eastAsia="Calibri" w:cs="Tahoma"/>
          <w:iCs/>
          <w:sz w:val="22"/>
          <w:szCs w:val="22"/>
          <w:lang w:val="es-ES" w:eastAsia="es-ES_tradnl"/>
        </w:rPr>
      </w:pPr>
    </w:p>
    <w:p w:rsidRPr="005828EE" w:rsidR="001A135B" w:rsidP="001A135B" w:rsidRDefault="001A135B" w14:paraId="7FE28C42" w14:textId="77777777">
      <w:pPr>
        <w:spacing w:line="360" w:lineRule="auto"/>
        <w:ind w:left="567" w:right="539"/>
        <w:jc w:val="both"/>
        <w:rPr>
          <w:rFonts w:ascii="Palatino Linotype" w:hAnsi="Palatino Linotype" w:eastAsia="Batang" w:cs="Tahoma"/>
          <w:bCs/>
          <w:i/>
          <w:iCs/>
          <w:szCs w:val="22"/>
          <w:lang w:val="es-ES_tradnl"/>
        </w:rPr>
      </w:pPr>
      <w:r w:rsidRPr="005828EE">
        <w:rPr>
          <w:rFonts w:ascii="Palatino Linotype" w:hAnsi="Palatino Linotype" w:eastAsia="Batang" w:cs="Tahoma"/>
          <w:bCs/>
          <w:i/>
          <w:iCs/>
          <w:szCs w:val="22"/>
          <w:lang w:val="es-ES_tradnl"/>
        </w:rPr>
        <w:t>“…</w:t>
      </w:r>
    </w:p>
    <w:p w:rsidRPr="005828EE" w:rsidR="001A135B" w:rsidP="001A135B" w:rsidRDefault="001A135B" w14:paraId="312BCB45" w14:textId="77777777">
      <w:pPr>
        <w:spacing w:line="360" w:lineRule="auto"/>
        <w:ind w:left="567" w:right="539"/>
        <w:jc w:val="both"/>
        <w:rPr>
          <w:rFonts w:ascii="Palatino Linotype" w:hAnsi="Palatino Linotype" w:eastAsia="Batang" w:cs="Tahoma"/>
          <w:bCs/>
          <w:i/>
          <w:iCs/>
          <w:szCs w:val="22"/>
          <w:lang w:val="es-ES_tradnl"/>
        </w:rPr>
      </w:pPr>
      <w:r w:rsidRPr="005828EE">
        <w:rPr>
          <w:rFonts w:ascii="Palatino Linotype" w:hAnsi="Palatino Linotype" w:eastAsia="Batang" w:cs="Tahoma"/>
          <w:bCs/>
          <w:i/>
          <w:iCs/>
          <w:szCs w:val="22"/>
          <w:lang w:val="es-ES_tradnl"/>
        </w:rPr>
        <w:t xml:space="preserve">Por lo tanto también omitió indicar EL NUMERO DE CARPETA DE INVESTIGACION, que  este refiere, así mismo OMITIO INDICAR MESA DE TRAMITE,  EL TURNO O EL AGENTE DEL MINISTERIO PUBLICO, en específico, que realizo la diligencia, tan es así que nos deja en total incertidumbre su respuesta </w:t>
      </w:r>
      <w:r w:rsidRPr="005828EE">
        <w:rPr>
          <w:rFonts w:ascii="Palatino Linotype" w:hAnsi="Palatino Linotype" w:eastAsia="Batang" w:cs="Tahoma"/>
          <w:b/>
          <w:i/>
          <w:iCs/>
          <w:szCs w:val="22"/>
          <w:u w:val="single"/>
          <w:lang w:val="es-ES_tradnl"/>
        </w:rPr>
        <w:t>al no anexar el expediente o carpeta de investigación con la información en su versión publica que soportara su contestación.</w:t>
      </w:r>
    </w:p>
    <w:p w:rsidRPr="005828EE" w:rsidR="001A135B" w:rsidP="001A135B" w:rsidRDefault="001A135B" w14:paraId="7821E350" w14:textId="77777777">
      <w:pPr>
        <w:spacing w:line="360" w:lineRule="auto"/>
        <w:ind w:left="567" w:right="539"/>
        <w:jc w:val="both"/>
        <w:rPr>
          <w:rFonts w:ascii="Palatino Linotype" w:hAnsi="Palatino Linotype" w:eastAsia="Batang" w:cs="Tahoma"/>
          <w:bCs/>
          <w:i/>
          <w:iCs/>
          <w:szCs w:val="22"/>
          <w:lang w:val="es-ES_tradnl"/>
        </w:rPr>
      </w:pPr>
      <w:r w:rsidRPr="005828EE">
        <w:rPr>
          <w:rFonts w:ascii="Palatino Linotype" w:hAnsi="Palatino Linotype" w:eastAsia="Batang" w:cs="Tahoma"/>
          <w:bCs/>
          <w:i/>
          <w:iCs/>
          <w:szCs w:val="22"/>
          <w:lang w:val="es-ES_tradnl"/>
        </w:rPr>
        <w:t>…”</w:t>
      </w:r>
    </w:p>
    <w:p w:rsidRPr="005828EE" w:rsidR="001A135B" w:rsidP="001A135B" w:rsidRDefault="001A135B" w14:paraId="471A7EAE" w14:textId="77777777">
      <w:pPr>
        <w:spacing w:line="360" w:lineRule="auto"/>
        <w:jc w:val="both"/>
        <w:rPr>
          <w:rFonts w:ascii="Palatino Linotype" w:hAnsi="Palatino Linotype" w:eastAsia="Calibri" w:cs="Tahoma"/>
          <w:iCs/>
          <w:sz w:val="22"/>
          <w:szCs w:val="22"/>
          <w:lang w:val="es-ES" w:eastAsia="es-ES_tradnl"/>
        </w:rPr>
      </w:pPr>
    </w:p>
    <w:p w:rsidRPr="005828EE" w:rsidR="001A135B" w:rsidP="001A135B" w:rsidRDefault="001A135B" w14:paraId="5E7AB48C" w14:textId="77777777">
      <w:pPr>
        <w:spacing w:line="360" w:lineRule="auto"/>
        <w:ind w:right="-93"/>
        <w:jc w:val="both"/>
        <w:rPr>
          <w:rFonts w:ascii="Palatino Linotype" w:hAnsi="Palatino Linotype" w:eastAsia="Calibri" w:cs="Tahoma"/>
          <w:iCs/>
          <w:sz w:val="22"/>
          <w:szCs w:val="22"/>
          <w:lang w:val="es-ES" w:eastAsia="es-ES_tradnl"/>
        </w:rPr>
      </w:pPr>
      <w:r w:rsidRPr="005828EE">
        <w:rPr>
          <w:rFonts w:ascii="Palatino Linotype" w:hAnsi="Palatino Linotype" w:eastAsia="Calibri" w:cs="Tahoma"/>
          <w:sz w:val="22"/>
          <w:szCs w:val="22"/>
          <w:lang w:eastAsia="es-ES_tradnl"/>
        </w:rPr>
        <w:t xml:space="preserve">Por lo que, es necesario precisar que estos puntos no fueron requeridos en un principio como ya se señaló, ya que solo refirió que en el sello colocado no se observaba el número de carpeta, mas no requirió esta, por lo que </w:t>
      </w:r>
      <w:r w:rsidRPr="005828EE">
        <w:rPr>
          <w:rFonts w:ascii="Palatino Linotype" w:hAnsi="Palatino Linotype" w:cs="Tahoma"/>
          <w:sz w:val="22"/>
          <w:szCs w:val="24"/>
          <w:lang w:val="es-ES"/>
        </w:rPr>
        <w:t xml:space="preserve">es oportuno precisar, que del análisis de tales manifestaciones vertidas por el Recurrente </w:t>
      </w:r>
      <w:r w:rsidRPr="005828EE">
        <w:rPr>
          <w:rFonts w:ascii="Palatino Linotype" w:hAnsi="Palatino Linotype" w:cs="Tahoma"/>
          <w:iCs/>
          <w:sz w:val="22"/>
          <w:szCs w:val="22"/>
        </w:rPr>
        <w:t xml:space="preserve">se advierte que amplió su solicitud, </w:t>
      </w:r>
      <w:r w:rsidRPr="005828EE">
        <w:rPr>
          <w:rFonts w:ascii="Palatino Linotype" w:hAnsi="Palatino Linotype" w:eastAsia="Calibri" w:cs="Tahoma"/>
          <w:iCs/>
          <w:sz w:val="22"/>
          <w:szCs w:val="22"/>
          <w:lang w:eastAsia="es-ES_tradnl"/>
        </w:rPr>
        <w:t xml:space="preserve">por lo que se configura una </w:t>
      </w:r>
      <w:r w:rsidRPr="005828EE">
        <w:rPr>
          <w:rFonts w:ascii="Palatino Linotype" w:hAnsi="Palatino Linotype" w:eastAsia="Calibri" w:cs="Tahoma"/>
          <w:i/>
          <w:iCs/>
          <w:sz w:val="22"/>
          <w:szCs w:val="22"/>
          <w:lang w:eastAsia="es-ES_tradnl"/>
        </w:rPr>
        <w:t xml:space="preserve">plus petitio, </w:t>
      </w:r>
      <w:r w:rsidRPr="005828EE">
        <w:rPr>
          <w:rFonts w:ascii="Palatino Linotype" w:hAnsi="Palatino Linotype" w:eastAsia="Calibri" w:cs="Tahoma"/>
          <w:iCs/>
          <w:sz w:val="22"/>
          <w:szCs w:val="22"/>
          <w:lang w:eastAsia="es-ES_tradnl"/>
        </w:rPr>
        <w:t xml:space="preserve">que consiste en una ampliación a su requerimiento informativo, argumentos que no son susceptibles de ser valorados en términos de la fracción VII, del Artículo 191 de la </w:t>
      </w:r>
      <w:r w:rsidRPr="005828EE">
        <w:rPr>
          <w:rFonts w:ascii="Palatino Linotype" w:hAnsi="Palatino Linotype" w:eastAsia="Calibri" w:cs="Tahoma"/>
          <w:color w:val="000000"/>
          <w:sz w:val="22"/>
          <w:szCs w:val="22"/>
          <w:lang w:eastAsia="es-MX"/>
        </w:rPr>
        <w:t xml:space="preserve">Ley de Transparencia y Acceso a la Información Pública del Estado de México y Municipios, el cual señala la improcedencia cuando el Recurrente amplíe su solicitud en el Recurso de Revisión, </w:t>
      </w:r>
      <w:r w:rsidRPr="005828EE">
        <w:rPr>
          <w:rFonts w:ascii="Palatino Linotype" w:hAnsi="Palatino Linotype" w:eastAsia="Calibri" w:cs="Tahoma"/>
          <w:bCs/>
          <w:color w:val="000000"/>
          <w:sz w:val="22"/>
          <w:szCs w:val="22"/>
          <w:lang w:eastAsia="es-MX"/>
        </w:rPr>
        <w:t xml:space="preserve">únicamente respecto de los nuevos contenidos, </w:t>
      </w:r>
      <w:r w:rsidRPr="005828EE">
        <w:rPr>
          <w:rFonts w:ascii="Palatino Linotype" w:hAnsi="Palatino Linotype" w:eastAsia="Calibri" w:cs="Tahoma"/>
          <w:iCs/>
          <w:sz w:val="22"/>
          <w:szCs w:val="22"/>
          <w:lang w:val="es-ES" w:eastAsia="es-ES_tradnl"/>
        </w:rPr>
        <w:t>robustece lo anterior el Criterio 01/17 del Instituto Nacional de Transparencia, Acceso a la Información y Protección de Datos Personales que a continuación se cita:</w:t>
      </w:r>
    </w:p>
    <w:p w:rsidRPr="005828EE" w:rsidR="001A135B" w:rsidP="001A135B" w:rsidRDefault="001A135B" w14:paraId="246D48CF" w14:textId="77777777">
      <w:pPr>
        <w:spacing w:line="360" w:lineRule="auto"/>
        <w:ind w:left="567" w:right="539"/>
        <w:jc w:val="both"/>
        <w:rPr>
          <w:rFonts w:ascii="Palatino Linotype" w:hAnsi="Palatino Linotype" w:eastAsia="Batang" w:cs="Tahoma"/>
          <w:bCs/>
          <w:i/>
          <w:iCs/>
          <w:szCs w:val="22"/>
          <w:lang w:val="es-ES_tradnl"/>
        </w:rPr>
      </w:pPr>
    </w:p>
    <w:p w:rsidRPr="005828EE" w:rsidR="001A135B" w:rsidP="001A135B" w:rsidRDefault="001A135B" w14:paraId="0F8F00E6" w14:textId="77777777">
      <w:pPr>
        <w:spacing w:line="360" w:lineRule="auto"/>
        <w:ind w:left="567" w:right="539"/>
        <w:jc w:val="both"/>
        <w:rPr>
          <w:rFonts w:ascii="Palatino Linotype" w:hAnsi="Palatino Linotype" w:eastAsia="Batang" w:cs="Tahoma"/>
          <w:bCs/>
          <w:i/>
          <w:iCs/>
          <w:szCs w:val="22"/>
          <w:lang w:val="es-ES_tradnl"/>
        </w:rPr>
      </w:pPr>
      <w:r w:rsidRPr="005828EE">
        <w:rPr>
          <w:rFonts w:ascii="Palatino Linotype" w:hAnsi="Palatino Linotype" w:eastAsia="Batang" w:cs="Tahoma"/>
          <w:b/>
          <w:i/>
          <w:iCs/>
          <w:szCs w:val="22"/>
          <w:lang w:val="es-ES_tradnl"/>
        </w:rPr>
        <w:t>Es improcedente ampliar las solicitudes de acceso a información, a través de la interposición del recurso de revisión</w:t>
      </w:r>
      <w:r w:rsidRPr="005828EE">
        <w:rPr>
          <w:rFonts w:ascii="Palatino Linotype" w:hAnsi="Palatino Linotype" w:eastAsia="Batang" w:cs="Tahoma"/>
          <w:bCs/>
          <w:i/>
          <w:iCs/>
          <w:szCs w:val="22"/>
          <w:lang w:val="es-ES_tradnl"/>
        </w:rPr>
        <w:t xml:space="preserve">. En términos de los artículos 155, fracción VII de la Ley General de Transparencia y Acceso a la Información Pública, y 161, fracción VII de la Ley Federal de Transparencia y Acceso a la Información Pública, en aquellos casos en que los recurrentes, </w:t>
      </w:r>
      <w:r w:rsidRPr="005828EE">
        <w:rPr>
          <w:rFonts w:ascii="Palatino Linotype" w:hAnsi="Palatino Linotype" w:eastAsia="Batang" w:cs="Tahoma"/>
          <w:bCs/>
          <w:i/>
          <w:iCs/>
          <w:szCs w:val="22"/>
          <w:lang w:val="es-ES_tradnl"/>
        </w:rPr>
        <w:lastRenderedPageBreak/>
        <w:t>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rsidRPr="005828EE" w:rsidR="001A135B" w:rsidP="00617B73" w:rsidRDefault="001A135B" w14:paraId="006F4DA6" w14:textId="77777777">
      <w:pPr>
        <w:spacing w:line="360" w:lineRule="auto"/>
        <w:contextualSpacing/>
        <w:jc w:val="both"/>
        <w:rPr>
          <w:rFonts w:ascii="Palatino Linotype" w:hAnsi="Palatino Linotype" w:cs="Tahoma"/>
          <w:color w:val="000000" w:themeColor="text1"/>
          <w:sz w:val="22"/>
          <w:szCs w:val="22"/>
          <w:lang w:val="es-ES"/>
        </w:rPr>
      </w:pPr>
    </w:p>
    <w:p w:rsidRPr="005828EE" w:rsidR="00B506F3" w:rsidP="00B506F3" w:rsidRDefault="00B506F3" w14:paraId="52AE1B8A" w14:textId="77777777">
      <w:pPr>
        <w:spacing w:line="360" w:lineRule="auto"/>
        <w:jc w:val="both"/>
        <w:rPr>
          <w:rFonts w:ascii="Palatino Linotype" w:hAnsi="Palatino Linotype" w:eastAsia="Calibri" w:cs="Tahoma"/>
          <w:sz w:val="22"/>
          <w:szCs w:val="22"/>
          <w:lang w:eastAsia="es-ES_tradnl"/>
        </w:rPr>
      </w:pPr>
      <w:r w:rsidRPr="005828EE">
        <w:rPr>
          <w:rFonts w:ascii="Palatino Linotype" w:hAnsi="Palatino Linotype" w:eastAsia="Calibri" w:cs="Tahoma"/>
          <w:bCs/>
          <w:sz w:val="22"/>
          <w:szCs w:val="22"/>
          <w:lang w:eastAsia="en-US"/>
        </w:rPr>
        <w:t>En conclusión, el Sujeto Obligado, señaló los datos requeridos por el Particular, en consecuencia, se estima que se actualiza el supuesto establecido en la fracción III, del artículo 192, de la Ley de la materia, el cual determina lo siguiente:</w:t>
      </w:r>
    </w:p>
    <w:p w:rsidRPr="005828EE" w:rsidR="00B506F3" w:rsidP="00B506F3" w:rsidRDefault="00B506F3" w14:paraId="7C635971" w14:textId="77777777">
      <w:pPr>
        <w:spacing w:line="360" w:lineRule="auto"/>
        <w:ind w:right="-93"/>
        <w:jc w:val="both"/>
        <w:rPr>
          <w:rFonts w:ascii="Palatino Linotype" w:hAnsi="Palatino Linotype" w:eastAsia="Calibri" w:cs="Tahoma"/>
          <w:bCs/>
          <w:sz w:val="22"/>
          <w:szCs w:val="22"/>
          <w:lang w:eastAsia="en-US"/>
        </w:rPr>
      </w:pPr>
    </w:p>
    <w:p w:rsidRPr="005828EE" w:rsidR="00B506F3" w:rsidP="00B506F3" w:rsidRDefault="00B506F3" w14:paraId="0A6B3BDD" w14:textId="77777777">
      <w:pPr>
        <w:spacing w:line="360" w:lineRule="auto"/>
        <w:ind w:left="567" w:right="567"/>
        <w:jc w:val="both"/>
        <w:rPr>
          <w:rFonts w:ascii="Palatino Linotype" w:hAnsi="Palatino Linotype" w:eastAsia="Calibri" w:cs="Tahoma"/>
          <w:bCs/>
          <w:i/>
          <w:szCs w:val="22"/>
          <w:lang w:eastAsia="en-US"/>
        </w:rPr>
      </w:pPr>
      <w:r w:rsidRPr="005828EE">
        <w:rPr>
          <w:rFonts w:ascii="Palatino Linotype" w:hAnsi="Palatino Linotype" w:eastAsia="Calibri" w:cs="Tahoma"/>
          <w:b/>
          <w:bCs/>
          <w:i/>
          <w:szCs w:val="22"/>
          <w:lang w:eastAsia="en-US"/>
        </w:rPr>
        <w:t>Artículo 192.</w:t>
      </w:r>
      <w:r w:rsidRPr="005828EE">
        <w:rPr>
          <w:rFonts w:ascii="Palatino Linotype" w:hAnsi="Palatino Linotype" w:eastAsia="Calibri" w:cs="Tahoma"/>
          <w:bCs/>
          <w:i/>
          <w:szCs w:val="22"/>
          <w:lang w:eastAsia="en-US"/>
        </w:rPr>
        <w:t xml:space="preserve"> El recurso será </w:t>
      </w:r>
      <w:r w:rsidRPr="005828EE">
        <w:rPr>
          <w:rFonts w:ascii="Palatino Linotype" w:hAnsi="Palatino Linotype" w:eastAsia="Calibri" w:cs="Tahoma"/>
          <w:b/>
          <w:bCs/>
          <w:i/>
          <w:szCs w:val="22"/>
          <w:u w:val="single"/>
          <w:lang w:eastAsia="en-US"/>
        </w:rPr>
        <w:t>sobreseído</w:t>
      </w:r>
      <w:r w:rsidRPr="005828EE">
        <w:rPr>
          <w:rFonts w:ascii="Palatino Linotype" w:hAnsi="Palatino Linotype" w:eastAsia="Calibri" w:cs="Tahoma"/>
          <w:bCs/>
          <w:i/>
          <w:szCs w:val="22"/>
          <w:lang w:eastAsia="en-US"/>
        </w:rPr>
        <w:t xml:space="preserve">, en todo o en parte, </w:t>
      </w:r>
      <w:r w:rsidRPr="005828EE">
        <w:rPr>
          <w:rFonts w:ascii="Palatino Linotype" w:hAnsi="Palatino Linotype" w:eastAsia="Calibri" w:cs="Tahoma"/>
          <w:b/>
          <w:bCs/>
          <w:i/>
          <w:szCs w:val="22"/>
          <w:lang w:eastAsia="en-US"/>
        </w:rPr>
        <w:t xml:space="preserve">cuando </w:t>
      </w:r>
      <w:r w:rsidRPr="005828EE">
        <w:rPr>
          <w:rFonts w:ascii="Palatino Linotype" w:hAnsi="Palatino Linotype" w:eastAsia="Calibri" w:cs="Tahoma"/>
          <w:bCs/>
          <w:i/>
          <w:szCs w:val="22"/>
          <w:lang w:eastAsia="en-US"/>
        </w:rPr>
        <w:t>una vez admitido, se actualicen alguno de los siguientes supuestos:</w:t>
      </w:r>
    </w:p>
    <w:p w:rsidRPr="005828EE" w:rsidR="00B506F3" w:rsidP="00B506F3" w:rsidRDefault="00B506F3" w14:paraId="4EE451D8" w14:textId="77777777">
      <w:pPr>
        <w:spacing w:line="360" w:lineRule="auto"/>
        <w:ind w:left="567" w:right="567"/>
        <w:jc w:val="both"/>
        <w:rPr>
          <w:rFonts w:ascii="Palatino Linotype" w:hAnsi="Palatino Linotype" w:eastAsia="Calibri" w:cs="Tahoma"/>
          <w:bCs/>
          <w:i/>
          <w:szCs w:val="22"/>
          <w:lang w:eastAsia="en-US"/>
        </w:rPr>
      </w:pPr>
      <w:r w:rsidRPr="005828EE">
        <w:rPr>
          <w:rFonts w:ascii="Palatino Linotype" w:hAnsi="Palatino Linotype" w:eastAsia="Calibri" w:cs="Tahoma"/>
          <w:bCs/>
          <w:i/>
          <w:szCs w:val="22"/>
          <w:lang w:eastAsia="en-US"/>
        </w:rPr>
        <w:t>I. El recurrente se desista expresamente del recurso;</w:t>
      </w:r>
    </w:p>
    <w:p w:rsidRPr="005828EE" w:rsidR="00B506F3" w:rsidP="00B506F3" w:rsidRDefault="00B506F3" w14:paraId="2824AD07" w14:textId="77777777">
      <w:pPr>
        <w:spacing w:line="360" w:lineRule="auto"/>
        <w:ind w:left="567" w:right="567"/>
        <w:jc w:val="both"/>
        <w:rPr>
          <w:rFonts w:ascii="Palatino Linotype" w:hAnsi="Palatino Linotype" w:eastAsia="Calibri" w:cs="Tahoma"/>
          <w:bCs/>
          <w:i/>
          <w:szCs w:val="22"/>
          <w:lang w:eastAsia="en-US"/>
        </w:rPr>
      </w:pPr>
      <w:r w:rsidRPr="005828EE">
        <w:rPr>
          <w:rFonts w:ascii="Palatino Linotype" w:hAnsi="Palatino Linotype" w:eastAsia="Calibri" w:cs="Tahoma"/>
          <w:bCs/>
          <w:i/>
          <w:szCs w:val="22"/>
          <w:lang w:eastAsia="en-US"/>
        </w:rPr>
        <w:t>II. El recurrente fallezca o, tratándose de personas jurídicas colectivas, se disuelva;</w:t>
      </w:r>
    </w:p>
    <w:p w:rsidRPr="005828EE" w:rsidR="00B506F3" w:rsidP="00B506F3" w:rsidRDefault="00B506F3" w14:paraId="220EAC0D" w14:textId="77777777">
      <w:pPr>
        <w:spacing w:line="360" w:lineRule="auto"/>
        <w:ind w:left="567" w:right="567"/>
        <w:jc w:val="both"/>
        <w:rPr>
          <w:rFonts w:ascii="Palatino Linotype" w:hAnsi="Palatino Linotype" w:eastAsia="Calibri" w:cs="Tahoma"/>
          <w:b/>
          <w:bCs/>
          <w:i/>
          <w:szCs w:val="22"/>
          <w:lang w:eastAsia="en-US"/>
        </w:rPr>
      </w:pPr>
      <w:r w:rsidRPr="005828EE">
        <w:rPr>
          <w:rFonts w:ascii="Palatino Linotype" w:hAnsi="Palatino Linotype" w:eastAsia="Calibri" w:cs="Tahoma"/>
          <w:b/>
          <w:bCs/>
          <w:i/>
          <w:szCs w:val="22"/>
          <w:lang w:eastAsia="en-US"/>
        </w:rPr>
        <w:t>III. El sujeto obligado responsable del acto lo modifique o revoque de tal manera que el recurso de revisión quede sin materia;</w:t>
      </w:r>
    </w:p>
    <w:p w:rsidRPr="005828EE" w:rsidR="00B506F3" w:rsidP="00B506F3" w:rsidRDefault="00B506F3" w14:paraId="27EB45A4" w14:textId="77777777">
      <w:pPr>
        <w:spacing w:line="360" w:lineRule="auto"/>
        <w:ind w:left="567" w:right="567"/>
        <w:jc w:val="both"/>
        <w:rPr>
          <w:rFonts w:ascii="Palatino Linotype" w:hAnsi="Palatino Linotype" w:eastAsia="Calibri" w:cs="Tahoma"/>
          <w:bCs/>
          <w:i/>
          <w:szCs w:val="22"/>
          <w:lang w:eastAsia="en-US"/>
        </w:rPr>
      </w:pPr>
      <w:r w:rsidRPr="005828EE">
        <w:rPr>
          <w:rFonts w:ascii="Palatino Linotype" w:hAnsi="Palatino Linotype" w:eastAsia="Calibri" w:cs="Tahoma"/>
          <w:bCs/>
          <w:i/>
          <w:szCs w:val="22"/>
          <w:lang w:eastAsia="en-US"/>
        </w:rPr>
        <w:t>IV a V…</w:t>
      </w:r>
    </w:p>
    <w:p w:rsidRPr="005828EE" w:rsidR="001A135B" w:rsidP="00617B73" w:rsidRDefault="001A135B" w14:paraId="7E8FAC7A" w14:textId="77777777">
      <w:pPr>
        <w:spacing w:line="360" w:lineRule="auto"/>
        <w:contextualSpacing/>
        <w:jc w:val="both"/>
        <w:rPr>
          <w:rFonts w:ascii="Palatino Linotype" w:hAnsi="Palatino Linotype" w:cs="Tahoma"/>
          <w:color w:val="000000" w:themeColor="text1"/>
          <w:sz w:val="22"/>
          <w:szCs w:val="22"/>
          <w:lang w:val="es-ES"/>
        </w:rPr>
      </w:pPr>
    </w:p>
    <w:p w:rsidRPr="005828EE" w:rsidR="00B506F3" w:rsidP="00B506F3" w:rsidRDefault="00B506F3" w14:paraId="0BCB98A0" w14:textId="77777777">
      <w:pPr>
        <w:spacing w:line="360" w:lineRule="auto"/>
        <w:jc w:val="both"/>
        <w:rPr>
          <w:rFonts w:ascii="Palatino Linotype" w:hAnsi="Palatino Linotype" w:cs="Tahoma"/>
          <w:b/>
          <w:sz w:val="22"/>
          <w:szCs w:val="22"/>
          <w:lang w:val="es-ES"/>
        </w:rPr>
      </w:pPr>
      <w:r w:rsidRPr="005828EE">
        <w:rPr>
          <w:rFonts w:ascii="Palatino Linotype" w:hAnsi="Palatino Linotype" w:cs="Tahoma"/>
          <w:b/>
          <w:sz w:val="22"/>
          <w:szCs w:val="22"/>
          <w:lang w:val="es-ES"/>
        </w:rPr>
        <w:t xml:space="preserve">TERCERO. Decisión. </w:t>
      </w:r>
    </w:p>
    <w:p w:rsidRPr="005828EE" w:rsidR="00B506F3" w:rsidP="00B506F3" w:rsidRDefault="00B506F3" w14:paraId="1CAAF6FD" w14:textId="77777777">
      <w:pPr>
        <w:spacing w:line="360" w:lineRule="auto"/>
        <w:jc w:val="both"/>
        <w:rPr>
          <w:rFonts w:ascii="Palatino Linotype" w:hAnsi="Palatino Linotype" w:cs="Tahoma"/>
          <w:b/>
          <w:sz w:val="22"/>
          <w:szCs w:val="22"/>
          <w:lang w:val="es-ES"/>
        </w:rPr>
      </w:pPr>
    </w:p>
    <w:p w:rsidRPr="005828EE" w:rsidR="00B506F3" w:rsidP="00B506F3" w:rsidRDefault="00B506F3" w14:paraId="65D1F89D" w14:textId="51621209">
      <w:pPr>
        <w:autoSpaceDE w:val="0"/>
        <w:autoSpaceDN w:val="0"/>
        <w:adjustRightInd w:val="0"/>
        <w:spacing w:line="360" w:lineRule="auto"/>
        <w:jc w:val="both"/>
        <w:rPr>
          <w:rFonts w:ascii="Palatino Linotype" w:hAnsi="Palatino Linotype" w:cs="Arial"/>
          <w:sz w:val="22"/>
          <w:szCs w:val="22"/>
        </w:rPr>
      </w:pPr>
      <w:r w:rsidRPr="005828EE">
        <w:rPr>
          <w:rFonts w:ascii="Palatino Linotype" w:hAnsi="Palatino Linotype" w:cs="Arial"/>
          <w:sz w:val="22"/>
          <w:szCs w:val="22"/>
        </w:rPr>
        <w:t xml:space="preserve">Con fundamento en los artículos 186, fracción I y 192 fracción III, de la Ley de Transparencia y Acceso a la Información Pública del Estado de México y Municipios, es procedente </w:t>
      </w:r>
      <w:r w:rsidRPr="005828EE">
        <w:rPr>
          <w:rFonts w:ascii="Palatino Linotype" w:hAnsi="Palatino Linotype" w:cs="Arial"/>
          <w:b/>
          <w:sz w:val="22"/>
          <w:szCs w:val="22"/>
        </w:rPr>
        <w:t>SOBRESEER</w:t>
      </w:r>
      <w:r w:rsidRPr="005828EE">
        <w:rPr>
          <w:rFonts w:ascii="Palatino Linotype" w:hAnsi="Palatino Linotype" w:cs="Arial"/>
          <w:sz w:val="22"/>
          <w:szCs w:val="22"/>
        </w:rPr>
        <w:t xml:space="preserve"> el Recurso de Revisión </w:t>
      </w:r>
      <w:r w:rsidRPr="005828EE">
        <w:rPr>
          <w:rFonts w:ascii="Palatino Linotype" w:hAnsi="Palatino Linotype" w:cs="Arial"/>
          <w:b/>
          <w:sz w:val="22"/>
          <w:szCs w:val="22"/>
        </w:rPr>
        <w:t>17036/INFOEM/IP/RR/2022</w:t>
      </w:r>
      <w:r w:rsidRPr="005828EE">
        <w:rPr>
          <w:rFonts w:ascii="Palatino Linotype" w:hAnsi="Palatino Linotype" w:cs="Arial"/>
          <w:sz w:val="22"/>
          <w:szCs w:val="22"/>
        </w:rPr>
        <w:t xml:space="preserve">, porque al haber modificado el acto el Sujeto Obligado, el medio de impugnación quedó sin materia. </w:t>
      </w:r>
    </w:p>
    <w:p w:rsidRPr="005828EE" w:rsidR="00B506F3" w:rsidP="00B506F3" w:rsidRDefault="00B506F3" w14:paraId="433B7B6C" w14:textId="77777777">
      <w:pPr>
        <w:spacing w:line="360" w:lineRule="auto"/>
        <w:jc w:val="both"/>
        <w:rPr>
          <w:rFonts w:ascii="Palatino Linotype" w:hAnsi="Palatino Linotype" w:cs="Tahoma"/>
          <w:bCs/>
          <w:sz w:val="22"/>
          <w:szCs w:val="22"/>
          <w:u w:val="single"/>
        </w:rPr>
      </w:pPr>
    </w:p>
    <w:p w:rsidRPr="005828EE" w:rsidR="00B506F3" w:rsidP="00B506F3" w:rsidRDefault="00B506F3" w14:paraId="5BFAB6A6" w14:textId="77777777">
      <w:pPr>
        <w:spacing w:line="360" w:lineRule="auto"/>
        <w:jc w:val="both"/>
        <w:rPr>
          <w:rFonts w:ascii="Palatino Linotype" w:hAnsi="Palatino Linotype" w:cs="Tahoma"/>
          <w:b/>
          <w:bCs/>
          <w:sz w:val="22"/>
          <w:szCs w:val="22"/>
        </w:rPr>
      </w:pPr>
      <w:r w:rsidRPr="005828EE">
        <w:rPr>
          <w:rFonts w:ascii="Palatino Linotype" w:hAnsi="Palatino Linotype" w:cs="Tahoma"/>
          <w:b/>
          <w:bCs/>
          <w:sz w:val="22"/>
          <w:szCs w:val="22"/>
        </w:rPr>
        <w:t>Términos de la Resolución para el Recurrente:</w:t>
      </w:r>
    </w:p>
    <w:p w:rsidRPr="005828EE" w:rsidR="00B506F3" w:rsidP="00B506F3" w:rsidRDefault="00B506F3" w14:paraId="3C3DE508" w14:textId="77777777">
      <w:pPr>
        <w:spacing w:line="360" w:lineRule="auto"/>
        <w:jc w:val="both"/>
        <w:rPr>
          <w:rFonts w:ascii="Palatino Linotype" w:hAnsi="Palatino Linotype" w:cs="Tahoma"/>
          <w:b/>
          <w:bCs/>
          <w:sz w:val="22"/>
          <w:szCs w:val="22"/>
        </w:rPr>
      </w:pPr>
    </w:p>
    <w:p w:rsidRPr="005828EE" w:rsidR="00B506F3" w:rsidP="00B506F3" w:rsidRDefault="00B506F3" w14:paraId="2D883EDF" w14:textId="77777777">
      <w:pPr>
        <w:spacing w:line="360" w:lineRule="auto"/>
        <w:jc w:val="both"/>
        <w:rPr>
          <w:rFonts w:ascii="Palatino Linotype" w:hAnsi="Palatino Linotype" w:cs="Tahoma"/>
          <w:bCs/>
          <w:sz w:val="22"/>
          <w:szCs w:val="22"/>
          <w:u w:val="single"/>
        </w:rPr>
      </w:pPr>
      <w:r w:rsidRPr="005828EE">
        <w:rPr>
          <w:rFonts w:ascii="Palatino Linotype" w:hAnsi="Palatino Linotype" w:cs="Tahoma"/>
          <w:bCs/>
          <w:sz w:val="22"/>
          <w:szCs w:val="22"/>
          <w:u w:val="single"/>
        </w:rPr>
        <w:t>Se hace del conocimiento del Recurrente la determinación de este Órgano Garante a su inconformidad:</w:t>
      </w:r>
    </w:p>
    <w:p w:rsidRPr="005828EE" w:rsidR="00B506F3" w:rsidP="00B506F3" w:rsidRDefault="00B506F3" w14:paraId="5EE0B81E" w14:textId="77777777">
      <w:pPr>
        <w:spacing w:line="360" w:lineRule="auto"/>
        <w:jc w:val="both"/>
        <w:rPr>
          <w:rFonts w:ascii="Palatino Linotype" w:hAnsi="Palatino Linotype" w:cs="Tahoma"/>
          <w:bCs/>
          <w:sz w:val="22"/>
          <w:szCs w:val="22"/>
          <w:u w:val="single"/>
        </w:rPr>
      </w:pPr>
    </w:p>
    <w:p w:rsidRPr="005828EE" w:rsidR="00B506F3" w:rsidP="00B506F3" w:rsidRDefault="00B506F3" w14:paraId="6E043F32" w14:textId="77777777">
      <w:pPr>
        <w:spacing w:line="360" w:lineRule="auto"/>
        <w:jc w:val="both"/>
        <w:rPr>
          <w:rFonts w:ascii="Palatino Linotype" w:hAnsi="Palatino Linotype" w:cs="Tahoma"/>
          <w:bCs/>
          <w:sz w:val="22"/>
          <w:szCs w:val="22"/>
          <w:u w:val="single"/>
        </w:rPr>
      </w:pPr>
      <w:r w:rsidRPr="005828EE">
        <w:rPr>
          <w:rFonts w:ascii="Palatino Linotype" w:hAnsi="Palatino Linotype" w:cs="Tahoma"/>
          <w:bCs/>
          <w:sz w:val="22"/>
          <w:szCs w:val="22"/>
          <w:u w:val="single"/>
        </w:rPr>
        <w:t xml:space="preserve">Este Instituto Garante, determinó que el Sujeto Obligado entregó la información que hacía falta sobre lo que se inconformó al momento de interponer su recurso de revisión. </w:t>
      </w:r>
    </w:p>
    <w:p w:rsidRPr="005828EE" w:rsidR="00B506F3" w:rsidP="00B506F3" w:rsidRDefault="00B506F3" w14:paraId="33F95B60" w14:textId="77777777">
      <w:pPr>
        <w:spacing w:line="360" w:lineRule="auto"/>
        <w:jc w:val="both"/>
        <w:rPr>
          <w:rFonts w:ascii="Palatino Linotype" w:hAnsi="Palatino Linotype" w:cs="Tahoma"/>
          <w:bCs/>
          <w:sz w:val="22"/>
          <w:szCs w:val="22"/>
          <w:u w:val="single"/>
        </w:rPr>
      </w:pPr>
    </w:p>
    <w:p w:rsidRPr="005828EE" w:rsidR="00B506F3" w:rsidP="00B506F3" w:rsidRDefault="00B506F3" w14:paraId="00332F3F" w14:textId="77777777">
      <w:pPr>
        <w:spacing w:line="360" w:lineRule="auto"/>
        <w:jc w:val="both"/>
        <w:rPr>
          <w:rFonts w:ascii="Palatino Linotype" w:hAnsi="Palatino Linotype" w:cs="Tahoma"/>
          <w:bCs/>
          <w:sz w:val="22"/>
          <w:szCs w:val="22"/>
          <w:u w:val="single"/>
        </w:rPr>
      </w:pPr>
      <w:r w:rsidRPr="005828EE">
        <w:rPr>
          <w:rFonts w:ascii="Palatino Linotype" w:hAnsi="Palatino Linotype" w:cs="Tahoma"/>
          <w:bCs/>
          <w:sz w:val="22"/>
          <w:szCs w:val="22"/>
          <w:u w:val="single"/>
        </w:rPr>
        <w:t>La labor del INFOEM, es apoyar a la población para acceder a la información pública y garantizar la protección de sus datos personales.</w:t>
      </w:r>
    </w:p>
    <w:p w:rsidRPr="005828EE" w:rsidR="00B506F3" w:rsidP="00B506F3" w:rsidRDefault="00B506F3" w14:paraId="46A82E4C" w14:textId="77777777">
      <w:pPr>
        <w:autoSpaceDE w:val="0"/>
        <w:autoSpaceDN w:val="0"/>
        <w:adjustRightInd w:val="0"/>
        <w:spacing w:line="360" w:lineRule="auto"/>
        <w:jc w:val="both"/>
        <w:rPr>
          <w:rFonts w:ascii="Palatino Linotype" w:hAnsi="Palatino Linotype" w:cs="Arial"/>
          <w:sz w:val="22"/>
          <w:szCs w:val="22"/>
        </w:rPr>
      </w:pPr>
    </w:p>
    <w:p w:rsidRPr="005828EE" w:rsidR="00B506F3" w:rsidP="00B506F3" w:rsidRDefault="00B506F3" w14:paraId="3D04EC1B" w14:textId="77777777">
      <w:pPr>
        <w:spacing w:line="360" w:lineRule="auto"/>
        <w:jc w:val="both"/>
        <w:rPr>
          <w:rFonts w:ascii="Palatino Linotype" w:hAnsi="Palatino Linotype" w:eastAsia="Calibri" w:cs="Tahoma"/>
          <w:bCs/>
          <w:sz w:val="22"/>
          <w:lang w:eastAsia="en-US"/>
        </w:rPr>
      </w:pPr>
      <w:r w:rsidRPr="005828EE">
        <w:rPr>
          <w:rFonts w:ascii="Palatino Linotype" w:hAnsi="Palatino Linotype" w:eastAsia="Calibri" w:cs="Tahoma"/>
          <w:bCs/>
          <w:sz w:val="22"/>
          <w:lang w:eastAsia="en-US"/>
        </w:rPr>
        <w:t>Por lo expuesto y fundado, este Pleno:</w:t>
      </w:r>
    </w:p>
    <w:p w:rsidRPr="005828EE" w:rsidR="00B506F3" w:rsidP="00B506F3" w:rsidRDefault="00B506F3" w14:paraId="00E2AF83" w14:textId="77777777">
      <w:pPr>
        <w:spacing w:line="360" w:lineRule="auto"/>
        <w:ind w:right="-93"/>
        <w:jc w:val="both"/>
        <w:rPr>
          <w:rFonts w:ascii="Palatino Linotype" w:hAnsi="Palatino Linotype" w:cs="Tahoma"/>
          <w:sz w:val="22"/>
          <w:szCs w:val="22"/>
        </w:rPr>
      </w:pPr>
    </w:p>
    <w:p w:rsidRPr="005828EE" w:rsidR="00B506F3" w:rsidP="00B506F3" w:rsidRDefault="00B506F3" w14:paraId="1373F70E" w14:textId="77777777">
      <w:pPr>
        <w:spacing w:line="360" w:lineRule="auto"/>
        <w:ind w:right="-91"/>
        <w:jc w:val="center"/>
        <w:rPr>
          <w:rFonts w:ascii="Palatino Linotype" w:hAnsi="Palatino Linotype" w:eastAsia="Calibri" w:cs="Tahoma"/>
          <w:b/>
          <w:bCs/>
          <w:sz w:val="22"/>
          <w:szCs w:val="22"/>
          <w:lang w:eastAsia="en-US"/>
        </w:rPr>
      </w:pPr>
      <w:r w:rsidRPr="005828EE">
        <w:rPr>
          <w:rFonts w:ascii="Palatino Linotype" w:hAnsi="Palatino Linotype" w:eastAsia="Calibri" w:cs="Tahoma"/>
          <w:b/>
          <w:bCs/>
          <w:sz w:val="22"/>
          <w:szCs w:val="22"/>
          <w:lang w:eastAsia="en-US"/>
        </w:rPr>
        <w:t>R E S U E L V E</w:t>
      </w:r>
    </w:p>
    <w:p w:rsidRPr="005828EE" w:rsidR="00B506F3" w:rsidP="00B506F3" w:rsidRDefault="00B506F3" w14:paraId="62D98BFB" w14:textId="77777777">
      <w:pPr>
        <w:spacing w:line="360" w:lineRule="auto"/>
        <w:jc w:val="center"/>
        <w:rPr>
          <w:rFonts w:ascii="Palatino Linotype" w:hAnsi="Palatino Linotype" w:cs="Tahoma"/>
          <w:b/>
          <w:bCs/>
          <w:sz w:val="22"/>
          <w:szCs w:val="22"/>
        </w:rPr>
      </w:pPr>
    </w:p>
    <w:p w:rsidRPr="005828EE" w:rsidR="00B506F3" w:rsidP="00B506F3" w:rsidRDefault="00B506F3" w14:paraId="4EDC14DB" w14:textId="560A724F">
      <w:pPr>
        <w:spacing w:line="360" w:lineRule="auto"/>
        <w:ind w:right="113"/>
        <w:jc w:val="both"/>
        <w:rPr>
          <w:rFonts w:ascii="Palatino Linotype" w:hAnsi="Palatino Linotype" w:cs="Arial"/>
          <w:sz w:val="22"/>
          <w:szCs w:val="22"/>
        </w:rPr>
      </w:pPr>
      <w:r w:rsidRPr="005828EE">
        <w:rPr>
          <w:rFonts w:ascii="Palatino Linotype" w:hAnsi="Palatino Linotype" w:cs="Arial"/>
          <w:b/>
          <w:sz w:val="22"/>
          <w:szCs w:val="22"/>
        </w:rPr>
        <w:t xml:space="preserve">PRIMERO. </w:t>
      </w:r>
      <w:r w:rsidRPr="005828EE">
        <w:rPr>
          <w:rFonts w:ascii="Palatino Linotype" w:hAnsi="Palatino Linotype" w:cs="Arial"/>
          <w:sz w:val="22"/>
          <w:szCs w:val="22"/>
        </w:rPr>
        <w:t xml:space="preserve">Se </w:t>
      </w:r>
      <w:r w:rsidRPr="005828EE">
        <w:rPr>
          <w:rFonts w:ascii="Palatino Linotype" w:hAnsi="Palatino Linotype" w:cs="Arial"/>
          <w:b/>
          <w:sz w:val="22"/>
          <w:szCs w:val="22"/>
        </w:rPr>
        <w:t>SOBRESEE</w:t>
      </w:r>
      <w:r w:rsidRPr="005828EE">
        <w:rPr>
          <w:rFonts w:ascii="Palatino Linotype" w:hAnsi="Palatino Linotype" w:cs="Arial"/>
          <w:sz w:val="22"/>
          <w:szCs w:val="22"/>
        </w:rPr>
        <w:t xml:space="preserve"> el Recurso de Revisión </w:t>
      </w:r>
      <w:r w:rsidRPr="005828EE">
        <w:rPr>
          <w:rFonts w:ascii="Palatino Linotype" w:hAnsi="Palatino Linotype" w:cs="Arial"/>
          <w:b/>
          <w:sz w:val="22"/>
          <w:szCs w:val="22"/>
        </w:rPr>
        <w:t>17036/INFOEM/IP/RR/2022</w:t>
      </w:r>
      <w:r w:rsidRPr="005828EE">
        <w:rPr>
          <w:rFonts w:ascii="Palatino Linotype" w:hAnsi="Palatino Linotype" w:cs="Arial"/>
          <w:sz w:val="22"/>
          <w:szCs w:val="22"/>
        </w:rPr>
        <w:t xml:space="preserve">, </w:t>
      </w:r>
      <w:r w:rsidRPr="005828EE">
        <w:rPr>
          <w:rFonts w:ascii="Palatino Linotype" w:hAnsi="Palatino Linotype" w:eastAsia="Calibri" w:cs="Tahoma"/>
          <w:bCs/>
          <w:iCs/>
          <w:sz w:val="22"/>
          <w:szCs w:val="22"/>
          <w:lang w:eastAsia="en-US"/>
        </w:rPr>
        <w:t>de conformidad con el artículo 192, fracción III,</w:t>
      </w:r>
      <w:r w:rsidRPr="005828EE">
        <w:rPr>
          <w:rFonts w:ascii="Palatino Linotype" w:hAnsi="Palatino Linotype" w:cs="Arial"/>
          <w:sz w:val="22"/>
          <w:szCs w:val="22"/>
        </w:rPr>
        <w:t xml:space="preserve"> </w:t>
      </w:r>
      <w:r w:rsidRPr="005828EE">
        <w:rPr>
          <w:rFonts w:ascii="Palatino Linotype" w:hAnsi="Palatino Linotype" w:cs="Arial"/>
          <w:b/>
          <w:sz w:val="22"/>
          <w:szCs w:val="22"/>
        </w:rPr>
        <w:t>porque el Sujeto Obligado al modificar la respuesta</w:t>
      </w:r>
      <w:r w:rsidRPr="005828EE">
        <w:rPr>
          <w:rFonts w:ascii="Palatino Linotype" w:hAnsi="Palatino Linotype" w:cs="Arial"/>
          <w:sz w:val="22"/>
          <w:szCs w:val="22"/>
        </w:rPr>
        <w:t xml:space="preserve"> de la solicitud con número de folio </w:t>
      </w:r>
      <w:r w:rsidRPr="005828EE">
        <w:rPr>
          <w:rFonts w:ascii="Palatino Linotype" w:hAnsi="Palatino Linotype" w:cs="Arial"/>
          <w:b/>
          <w:sz w:val="22"/>
          <w:szCs w:val="22"/>
        </w:rPr>
        <w:t>00890/FGJ/IP/2022</w:t>
      </w:r>
      <w:r w:rsidRPr="005828EE">
        <w:rPr>
          <w:rFonts w:ascii="Palatino Linotype" w:hAnsi="Palatino Linotype" w:cs="Arial"/>
          <w:sz w:val="22"/>
          <w:szCs w:val="22"/>
        </w:rPr>
        <w:t>, el Recurso de Revisión</w:t>
      </w:r>
      <w:r w:rsidRPr="005828EE">
        <w:rPr>
          <w:rFonts w:ascii="Palatino Linotype" w:hAnsi="Palatino Linotype" w:cs="Arial"/>
          <w:b/>
          <w:sz w:val="22"/>
          <w:szCs w:val="22"/>
        </w:rPr>
        <w:t xml:space="preserve"> quedó sin materia</w:t>
      </w:r>
      <w:r w:rsidRPr="005828EE">
        <w:rPr>
          <w:rFonts w:ascii="Palatino Linotype" w:hAnsi="Palatino Linotype" w:cs="Arial"/>
          <w:sz w:val="22"/>
          <w:szCs w:val="22"/>
        </w:rPr>
        <w:t>, en términos de los Considerandos SEGUNDO y TERCERO de la presente Resolución.</w:t>
      </w:r>
    </w:p>
    <w:p w:rsidRPr="005828EE" w:rsidR="00B506F3" w:rsidP="00B506F3" w:rsidRDefault="00B506F3" w14:paraId="6C18F0AB" w14:textId="77777777">
      <w:pPr>
        <w:spacing w:line="360" w:lineRule="auto"/>
        <w:ind w:right="113"/>
        <w:jc w:val="both"/>
        <w:rPr>
          <w:rFonts w:ascii="Palatino Linotype" w:hAnsi="Palatino Linotype"/>
          <w:i/>
          <w:sz w:val="22"/>
          <w:szCs w:val="22"/>
          <w:lang w:val="es-ES_tradnl"/>
        </w:rPr>
      </w:pPr>
    </w:p>
    <w:p w:rsidRPr="005828EE" w:rsidR="00B506F3" w:rsidP="00B506F3" w:rsidRDefault="00B506F3" w14:paraId="13D5CB88" w14:textId="77777777">
      <w:pPr>
        <w:spacing w:line="360" w:lineRule="auto"/>
        <w:ind w:right="113"/>
        <w:jc w:val="both"/>
        <w:rPr>
          <w:rFonts w:ascii="Palatino Linotype" w:hAnsi="Palatino Linotype" w:cs="Arial"/>
          <w:b/>
          <w:sz w:val="22"/>
          <w:szCs w:val="22"/>
        </w:rPr>
      </w:pPr>
      <w:r w:rsidRPr="005828EE">
        <w:rPr>
          <w:rFonts w:ascii="Palatino Linotype" w:hAnsi="Palatino Linotype"/>
          <w:b/>
          <w:sz w:val="22"/>
          <w:szCs w:val="22"/>
        </w:rPr>
        <w:t>SEGUNDO.</w:t>
      </w:r>
      <w:r w:rsidRPr="005828EE">
        <w:rPr>
          <w:rFonts w:ascii="Palatino Linotype" w:hAnsi="Palatino Linotype" w:cs="Arial"/>
          <w:sz w:val="22"/>
          <w:szCs w:val="22"/>
        </w:rPr>
        <w:t xml:space="preserve"> </w:t>
      </w:r>
      <w:r w:rsidRPr="005828EE">
        <w:rPr>
          <w:rFonts w:ascii="Palatino Linotype" w:hAnsi="Palatino Linotype" w:cs="Arial"/>
          <w:b/>
          <w:sz w:val="22"/>
          <w:szCs w:val="22"/>
        </w:rPr>
        <w:t xml:space="preserve">Notifíquese </w:t>
      </w:r>
      <w:r w:rsidRPr="005828EE">
        <w:rPr>
          <w:rFonts w:ascii="Palatino Linotype" w:hAnsi="Palatino Linotype" w:cs="Arial"/>
          <w:sz w:val="22"/>
          <w:szCs w:val="22"/>
        </w:rPr>
        <w:t>la presente resolución</w:t>
      </w:r>
      <w:r w:rsidRPr="005828EE">
        <w:rPr>
          <w:rFonts w:ascii="Palatino Linotype" w:hAnsi="Palatino Linotype" w:cs="Arial"/>
          <w:b/>
          <w:sz w:val="22"/>
          <w:szCs w:val="22"/>
        </w:rPr>
        <w:t xml:space="preserve"> </w:t>
      </w:r>
      <w:r w:rsidRPr="005828EE">
        <w:rPr>
          <w:rFonts w:ascii="Palatino Linotype" w:hAnsi="Palatino Linotype" w:cs="Arial"/>
          <w:sz w:val="22"/>
          <w:szCs w:val="22"/>
        </w:rPr>
        <w:t xml:space="preserve">al Titular de la Unidad de Transparencia del </w:t>
      </w:r>
      <w:r w:rsidRPr="005828EE">
        <w:rPr>
          <w:rFonts w:ascii="Palatino Linotype" w:hAnsi="Palatino Linotype" w:cs="Arial"/>
          <w:b/>
          <w:sz w:val="22"/>
          <w:szCs w:val="22"/>
        </w:rPr>
        <w:t>Sujeto Obligado</w:t>
      </w:r>
      <w:r w:rsidRPr="005828EE">
        <w:rPr>
          <w:rFonts w:ascii="Palatino Linotype" w:hAnsi="Palatino Linotype" w:cs="Arial"/>
          <w:sz w:val="22"/>
          <w:szCs w:val="22"/>
        </w:rPr>
        <w:t>.</w:t>
      </w:r>
    </w:p>
    <w:p w:rsidRPr="005828EE" w:rsidR="00B506F3" w:rsidP="00B506F3" w:rsidRDefault="00B506F3" w14:paraId="0BEDDA2E" w14:textId="77777777">
      <w:pPr>
        <w:spacing w:line="360" w:lineRule="auto"/>
        <w:ind w:right="333"/>
        <w:jc w:val="both"/>
        <w:rPr>
          <w:rFonts w:ascii="Palatino Linotype" w:hAnsi="Palatino Linotype" w:cs="Arial"/>
          <w:sz w:val="22"/>
          <w:szCs w:val="22"/>
        </w:rPr>
      </w:pPr>
    </w:p>
    <w:p w:rsidRPr="005828EE" w:rsidR="00B506F3" w:rsidP="00B506F3" w:rsidRDefault="00B506F3" w14:paraId="3ED7CBE9" w14:textId="77777777">
      <w:pPr>
        <w:spacing w:line="360" w:lineRule="auto"/>
        <w:jc w:val="both"/>
        <w:rPr>
          <w:rFonts w:ascii="Palatino Linotype" w:hAnsi="Palatino Linotype" w:cs="Tahoma"/>
          <w:sz w:val="22"/>
          <w:szCs w:val="22"/>
        </w:rPr>
      </w:pPr>
      <w:r w:rsidRPr="005828EE">
        <w:rPr>
          <w:rFonts w:ascii="Palatino Linotype" w:hAnsi="Palatino Linotype" w:cs="Arial"/>
          <w:b/>
          <w:sz w:val="22"/>
          <w:szCs w:val="22"/>
        </w:rPr>
        <w:t>TERCERO.</w:t>
      </w:r>
      <w:r w:rsidRPr="005828EE">
        <w:rPr>
          <w:rFonts w:ascii="Palatino Linotype" w:hAnsi="Palatino Linotype" w:cs="Arial"/>
          <w:sz w:val="22"/>
          <w:szCs w:val="22"/>
        </w:rPr>
        <w:t xml:space="preserve"> </w:t>
      </w:r>
      <w:r w:rsidRPr="005828EE">
        <w:rPr>
          <w:rFonts w:ascii="Palatino Linotype" w:hAnsi="Palatino Linotype" w:cs="Arial"/>
          <w:b/>
          <w:sz w:val="22"/>
          <w:szCs w:val="22"/>
        </w:rPr>
        <w:t xml:space="preserve">Notifíquese </w:t>
      </w:r>
      <w:r w:rsidRPr="005828EE">
        <w:rPr>
          <w:rFonts w:ascii="Palatino Linotype" w:hAnsi="Palatino Linotype" w:cs="Arial"/>
          <w:sz w:val="22"/>
          <w:szCs w:val="22"/>
        </w:rPr>
        <w:t>la presente Resolución</w:t>
      </w:r>
      <w:r w:rsidRPr="005828EE">
        <w:rPr>
          <w:rFonts w:ascii="Palatino Linotype" w:hAnsi="Palatino Linotype" w:cs="Arial"/>
          <w:b/>
          <w:sz w:val="22"/>
          <w:szCs w:val="22"/>
        </w:rPr>
        <w:t xml:space="preserve"> </w:t>
      </w:r>
      <w:r w:rsidRPr="005828EE">
        <w:rPr>
          <w:rFonts w:ascii="Palatino Linotype" w:hAnsi="Palatino Linotype" w:cs="Arial"/>
          <w:sz w:val="22"/>
          <w:szCs w:val="22"/>
        </w:rPr>
        <w:t>al</w:t>
      </w:r>
      <w:r w:rsidRPr="005828EE">
        <w:rPr>
          <w:rFonts w:ascii="Palatino Linotype" w:hAnsi="Palatino Linotype" w:cs="Arial"/>
          <w:b/>
          <w:sz w:val="22"/>
          <w:szCs w:val="22"/>
        </w:rPr>
        <w:t xml:space="preserve"> Recurrente</w:t>
      </w:r>
      <w:r w:rsidRPr="005828EE">
        <w:rPr>
          <w:rFonts w:ascii="Palatino Linotype" w:hAnsi="Palatino Linotype" w:cs="Arial"/>
          <w:sz w:val="22"/>
          <w:szCs w:val="22"/>
        </w:rPr>
        <w:t>, a través del SAIMEX y por correo electrónico,</w:t>
      </w:r>
      <w:r w:rsidRPr="005828EE">
        <w:rPr>
          <w:rFonts w:ascii="Palatino Linotype" w:hAnsi="Palatino Linotype" w:cs="Arial"/>
          <w:b/>
          <w:sz w:val="22"/>
          <w:szCs w:val="22"/>
        </w:rPr>
        <w:t xml:space="preserve"> </w:t>
      </w:r>
      <w:r w:rsidRPr="005828EE">
        <w:rPr>
          <w:rFonts w:ascii="Palatino Linotype" w:hAnsi="Palatino Linotype" w:cs="Tahoma"/>
          <w:sz w:val="22"/>
          <w:szCs w:val="22"/>
        </w:rPr>
        <w:t>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5828EE" w:rsidR="008A73EF" w:rsidP="00803E3D" w:rsidRDefault="008A73EF" w14:paraId="2EDBAF9D" w14:textId="77777777">
      <w:pPr>
        <w:spacing w:line="360" w:lineRule="auto"/>
        <w:contextualSpacing/>
        <w:jc w:val="both"/>
        <w:rPr>
          <w:rFonts w:ascii="Palatino Linotype" w:hAnsi="Palatino Linotype" w:cs="Tahoma"/>
          <w:color w:val="000000" w:themeColor="text1"/>
          <w:sz w:val="22"/>
          <w:szCs w:val="22"/>
        </w:rPr>
      </w:pPr>
    </w:p>
    <w:p w:rsidR="00803E3D" w:rsidP="00803E3D" w:rsidRDefault="00803E3D" w14:paraId="3CECF42D" w14:textId="65812A16">
      <w:pPr>
        <w:spacing w:line="360" w:lineRule="auto"/>
        <w:contextualSpacing/>
        <w:jc w:val="both"/>
        <w:rPr>
          <w:rFonts w:ascii="Palatino Linotype" w:hAnsi="Palatino Linotype" w:cs="Tahoma"/>
          <w:sz w:val="22"/>
          <w:szCs w:val="22"/>
        </w:rPr>
      </w:pPr>
      <w:r w:rsidRPr="005828EE">
        <w:rPr>
          <w:rFonts w:ascii="Palatino Linotype" w:hAnsi="Palatino Linotype" w:cs="Tahoma"/>
          <w:sz w:val="22"/>
          <w:szCs w:val="22"/>
          <w:lang w:eastAsia="es-MX"/>
        </w:rPr>
        <w:lastRenderedPageBreak/>
        <w:t xml:space="preserve">ASÍ LO RESUELVE, POR </w:t>
      </w:r>
      <w:r w:rsidRPr="005828EE">
        <w:rPr>
          <w:rFonts w:ascii="Palatino Linotype" w:hAnsi="Palatino Linotype" w:cs="Tahoma"/>
          <w:b/>
          <w:sz w:val="22"/>
          <w:szCs w:val="22"/>
          <w:lang w:eastAsia="es-MX"/>
        </w:rPr>
        <w:t>UNANIMIDAD</w:t>
      </w:r>
      <w:r w:rsidRPr="005828EE">
        <w:rPr>
          <w:rFonts w:ascii="Palatino Linotype" w:hAnsi="Palatino Linotype" w:cs="Tahoma"/>
          <w:sz w:val="22"/>
          <w:szCs w:val="22"/>
          <w:lang w:eastAsia="es-MX"/>
        </w:rPr>
        <w:t xml:space="preserve"> DE VOTOS EL PLENO DEL INSTITUTO DE TRANSPARENCIA, ACCESO A LA INFORMACIÓN PÚBLICA Y PROTECCIÓN DE DATOS PERSONALES DEL ESTADO </w:t>
      </w:r>
      <w:bookmarkStart w:name="_GoBack" w:id="2"/>
      <w:bookmarkEnd w:id="2"/>
      <w:r w:rsidRPr="005828EE">
        <w:rPr>
          <w:rFonts w:ascii="Palatino Linotype" w:hAnsi="Palatino Linotype" w:cs="Tahoma"/>
          <w:sz w:val="22"/>
          <w:szCs w:val="22"/>
          <w:lang w:eastAsia="es-MX"/>
        </w:rPr>
        <w:t xml:space="preserve">DE MÉXICO Y MUNICIPIOS, CONFORMADO POR LOS COMISIONADOS JOSÉ MARTÍNEZ VILCHIS, MARÍA DEL ROSARIO MEJÍA AYALA, SHARON CRISTINA MORALES MARTÍNEZ, LUIS GUSTAVO PARRA NORIEGA Y GUADALUPE RAMÍREZ PEÑA, EN LA </w:t>
      </w:r>
      <w:r w:rsidRPr="005828EE" w:rsidR="00B506F3">
        <w:rPr>
          <w:rFonts w:ascii="Palatino Linotype" w:hAnsi="Palatino Linotype" w:cs="Tahoma"/>
          <w:sz w:val="22"/>
          <w:szCs w:val="22"/>
          <w:lang w:eastAsia="es-MX"/>
        </w:rPr>
        <w:t xml:space="preserve">DÉCIMA PRIMERA </w:t>
      </w:r>
      <w:r w:rsidRPr="005828EE">
        <w:rPr>
          <w:rFonts w:ascii="Palatino Linotype" w:hAnsi="Palatino Linotype" w:cs="Tahoma"/>
          <w:sz w:val="22"/>
          <w:szCs w:val="22"/>
          <w:lang w:eastAsia="es-MX"/>
        </w:rPr>
        <w:t xml:space="preserve">SESIÓN ORDINARIA, </w:t>
      </w:r>
      <w:r w:rsidRPr="005828EE" w:rsidR="008B4B4D">
        <w:rPr>
          <w:rFonts w:ascii="Palatino Linotype" w:hAnsi="Palatino Linotype" w:cs="Tahoma"/>
          <w:sz w:val="22"/>
          <w:szCs w:val="22"/>
          <w:lang w:eastAsia="es-MX"/>
        </w:rPr>
        <w:t xml:space="preserve">CELEBRADA EL </w:t>
      </w:r>
      <w:r w:rsidR="008B4B4D">
        <w:rPr>
          <w:rFonts w:ascii="Palatino Linotype" w:hAnsi="Palatino Linotype" w:cs="Tahoma"/>
          <w:bCs/>
          <w:sz w:val="22"/>
          <w:szCs w:val="22"/>
        </w:rPr>
        <w:t>VEINTIDÓS</w:t>
      </w:r>
      <w:r w:rsidRPr="00966C54" w:rsidR="008B4B4D">
        <w:rPr>
          <w:rFonts w:ascii="Palatino Linotype" w:hAnsi="Palatino Linotype" w:cs="Tahoma"/>
          <w:bCs/>
          <w:sz w:val="22"/>
          <w:szCs w:val="22"/>
        </w:rPr>
        <w:t xml:space="preserve"> DE MARZO DE DOS MIL VEINTITRÉS</w:t>
      </w:r>
      <w:r w:rsidRPr="005828EE" w:rsidR="008B4B4D">
        <w:rPr>
          <w:rFonts w:ascii="Palatino Linotype" w:hAnsi="Palatino Linotype" w:cs="Tahoma"/>
          <w:sz w:val="22"/>
          <w:szCs w:val="22"/>
          <w:lang w:eastAsia="es-MX"/>
        </w:rPr>
        <w:t>, ANTE EL SECRETARIO TÉCNICO DEL PLENO, ALEXIS TAPIA RAMÍREZ.</w:t>
      </w:r>
    </w:p>
    <w:p w:rsidR="00B347E4" w:rsidRDefault="00B347E4" w14:paraId="2F75FAB9" w14:textId="59C2900F">
      <w:pPr>
        <w:spacing w:after="160" w:line="259" w:lineRule="auto"/>
        <w:rPr>
          <w:rFonts w:ascii="Palatino Linotype" w:hAnsi="Palatino Linotype" w:cs="Tahoma"/>
          <w:sz w:val="22"/>
          <w:szCs w:val="22"/>
        </w:rPr>
      </w:pPr>
      <w:r>
        <w:rPr>
          <w:rFonts w:ascii="Palatino Linotype" w:hAnsi="Palatino Linotype" w:cs="Tahoma"/>
          <w:sz w:val="22"/>
          <w:szCs w:val="22"/>
        </w:rPr>
        <w:br w:type="page"/>
      </w:r>
    </w:p>
    <w:p w:rsidRPr="003A1DF0" w:rsidR="003A1DF0" w:rsidP="00147516" w:rsidRDefault="003A1DF0" w14:paraId="181D7282" w14:textId="77777777">
      <w:pPr>
        <w:spacing w:line="360" w:lineRule="auto"/>
        <w:contextualSpacing/>
        <w:jc w:val="both"/>
        <w:rPr>
          <w:rFonts w:ascii="Palatino Linotype" w:hAnsi="Palatino Linotype" w:cs="Tahoma"/>
          <w:sz w:val="22"/>
          <w:szCs w:val="22"/>
        </w:rPr>
      </w:pPr>
    </w:p>
    <w:sectPr w:rsidRPr="003A1DF0" w:rsidR="003A1DF0" w:rsidSect="0003481C">
      <w:headerReference w:type="even" r:id="rId12"/>
      <w:headerReference w:type="default" r:id="rId13"/>
      <w:footerReference w:type="default" r:id="rId14"/>
      <w:headerReference w:type="first" r:id="rId15"/>
      <w:footerReference w:type="first" r:id="rId16"/>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46D1" w:rsidP="00B31222" w:rsidRDefault="006146D1" w14:paraId="1DBC3FCE" w14:textId="77777777">
      <w:r>
        <w:separator/>
      </w:r>
    </w:p>
  </w:endnote>
  <w:endnote w:type="continuationSeparator" w:id="0">
    <w:p w:rsidR="006146D1" w:rsidP="00B31222" w:rsidRDefault="006146D1" w14:paraId="47565F4F" w14:textId="77777777">
      <w:r>
        <w:continuationSeparator/>
      </w:r>
    </w:p>
  </w:endnote>
  <w:endnote w:type="continuationNotice" w:id="1">
    <w:p w:rsidR="006146D1" w:rsidRDefault="006146D1" w14:paraId="4729CFE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9721A0" w:rsidRDefault="009721A0" w14:paraId="759A67E6"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B4B4D">
              <w:rPr>
                <w:b/>
                <w:bCs/>
                <w:noProof/>
              </w:rPr>
              <w:t>27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B4B4D">
              <w:rPr>
                <w:b/>
                <w:bCs/>
                <w:noProof/>
              </w:rPr>
              <w:t>29</w:t>
            </w:r>
            <w:r>
              <w:rPr>
                <w:b/>
                <w:bCs/>
                <w:sz w:val="24"/>
                <w:szCs w:val="24"/>
              </w:rPr>
              <w:fldChar w:fldCharType="end"/>
            </w:r>
          </w:p>
        </w:sdtContent>
      </w:sdt>
    </w:sdtContent>
  </w:sdt>
  <w:p w:rsidR="009721A0" w:rsidRDefault="009721A0" w14:paraId="3F90EAC6" w14:textId="7777777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1A0" w:rsidRDefault="009721A0" w14:paraId="2D684229"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B4B4D">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B4B4D">
      <w:rPr>
        <w:b/>
        <w:bCs/>
        <w:noProof/>
      </w:rPr>
      <w:t>29</w:t>
    </w:r>
    <w:r>
      <w:rPr>
        <w:b/>
        <w:bCs/>
        <w:sz w:val="24"/>
        <w:szCs w:val="24"/>
      </w:rPr>
      <w:fldChar w:fldCharType="end"/>
    </w:r>
  </w:p>
  <w:p w:rsidR="009721A0" w:rsidRDefault="009721A0" w14:paraId="13BEF1D8" w14:textId="777777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46D1" w:rsidP="00B31222" w:rsidRDefault="006146D1" w14:paraId="0D976FF3" w14:textId="77777777">
      <w:r>
        <w:separator/>
      </w:r>
    </w:p>
  </w:footnote>
  <w:footnote w:type="continuationSeparator" w:id="0">
    <w:p w:rsidR="006146D1" w:rsidP="00B31222" w:rsidRDefault="006146D1" w14:paraId="0E1A6575" w14:textId="77777777">
      <w:r>
        <w:continuationSeparator/>
      </w:r>
    </w:p>
  </w:footnote>
  <w:footnote w:type="continuationNotice" w:id="1">
    <w:p w:rsidR="006146D1" w:rsidRDefault="006146D1" w14:paraId="5A31E243" w14:textId="7777777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1A0" w:rsidRDefault="006146D1" w14:paraId="03D76046" w14:textId="77777777">
    <w:pPr>
      <w:pStyle w:val="Encabezado"/>
    </w:pPr>
    <w:r>
      <w:rPr>
        <w:noProof/>
        <w:lang w:eastAsia="es-MX"/>
      </w:rPr>
      <w:pict w14:anchorId="0EC2249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1" style="position:absolute;margin-left:0;margin-top:0;width:663.5pt;height:12in;z-index:-251657728;mso-position-horizontal:center;mso-position-horizontal-relative:margin;mso-position-vertical:center;mso-position-vertical-relative:margin" o:spid="_x0000_s2050" o:allowincell="f" type="#_x0000_t75">
          <v:imagedata o:title="WhatsApp Image 2020-08-13 at 10" r:id="rId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tbl>
    <w:tblPr>
      <w:tblW w:w="9568" w:type="dxa"/>
      <w:tblLayout w:type="fixed"/>
      <w:tblLook w:val="04A0" w:firstRow="1" w:lastRow="0" w:firstColumn="1" w:lastColumn="0" w:noHBand="0" w:noVBand="1"/>
    </w:tblPr>
    <w:tblGrid>
      <w:gridCol w:w="2835"/>
      <w:gridCol w:w="6733"/>
    </w:tblGrid>
    <w:tr w:rsidRPr="005C106F" w:rsidR="009721A0" w:rsidTr="00202DB8" w14:paraId="30E8C517" w14:textId="77777777">
      <w:trPr>
        <w:trHeight w:val="1435"/>
      </w:trPr>
      <w:tc>
        <w:tcPr>
          <w:tcW w:w="2835" w:type="dxa"/>
          <w:shd w:val="clear" w:color="auto" w:fill="auto"/>
        </w:tcPr>
        <w:p w:rsidRPr="005C106F" w:rsidR="009721A0" w:rsidP="00EF4A64" w:rsidRDefault="009721A0" w14:paraId="0BB04F32" w14:textId="77777777">
          <w:pPr>
            <w:tabs>
              <w:tab w:val="right" w:pos="4273"/>
            </w:tabs>
            <w:rPr>
              <w:rFonts w:ascii="Garamond" w:hAnsi="Garamond" w:eastAsia="Calibri"/>
              <w:sz w:val="16"/>
              <w:szCs w:val="16"/>
              <w:lang w:eastAsia="en-US"/>
            </w:rPr>
          </w:pPr>
          <w:r>
            <w:rPr>
              <w:rFonts w:ascii="Garamond" w:hAnsi="Garamond" w:eastAsia="Calibri"/>
              <w:noProof/>
              <w:sz w:val="16"/>
              <w:szCs w:val="16"/>
              <w:lang w:eastAsia="es-MX"/>
            </w:rPr>
            <w:drawing>
              <wp:anchor distT="0" distB="0" distL="114300" distR="114300" simplePos="0" relativeHeight="251656704" behindDoc="1" locked="0" layoutInCell="0" allowOverlap="1" wp14:anchorId="49039E3C" wp14:editId="2ADA3FA9">
                <wp:simplePos x="0" y="0"/>
                <wp:positionH relativeFrom="page">
                  <wp:posOffset>-1005205</wp:posOffset>
                </wp:positionH>
                <wp:positionV relativeFrom="margin">
                  <wp:posOffset>-514350</wp:posOffset>
                </wp:positionV>
                <wp:extent cx="8426450" cy="10972800"/>
                <wp:effectExtent l="0" t="0" r="0" b="0"/>
                <wp:wrapNone/>
                <wp:docPr id="10" name="Imagen 10"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p w:rsidR="009721A0" w:rsidP="005743D2" w:rsidRDefault="009721A0" w14:paraId="05DAE7F1" w14:textId="77777777"/>
        <w:tbl>
          <w:tblPr>
            <w:tblStyle w:val="Tablaconcuadrcula"/>
            <w:tblW w:w="6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89"/>
            <w:gridCol w:w="3543"/>
          </w:tblGrid>
          <w:tr w:rsidR="009721A0" w:rsidTr="00DF3BE8" w14:paraId="2A5D9BBA" w14:textId="77777777">
            <w:trPr>
              <w:trHeight w:val="144"/>
            </w:trPr>
            <w:tc>
              <w:tcPr>
                <w:tcW w:w="2589" w:type="dxa"/>
              </w:tcPr>
              <w:p w:rsidRPr="00431A70" w:rsidR="009721A0" w:rsidP="00E43A0F" w:rsidRDefault="009721A0" w14:paraId="3A00B38F"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43" w:type="dxa"/>
              </w:tcPr>
              <w:p w:rsidRPr="00431A70" w:rsidR="009721A0" w:rsidP="00E05A28" w:rsidRDefault="00815DA9" w14:paraId="47F558D4" w14:textId="5254324A">
                <w:pPr>
                  <w:tabs>
                    <w:tab w:val="right" w:pos="8838"/>
                  </w:tabs>
                  <w:ind w:left="-106"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val="es-MX" w:eastAsia="en-US"/>
                  </w:rPr>
                  <w:t>17036</w:t>
                </w:r>
                <w:r w:rsidRPr="001A412B" w:rsidR="009721A0">
                  <w:rPr>
                    <w:rFonts w:ascii="Palatino Linotype" w:hAnsi="Palatino Linotype" w:eastAsia="Calibri" w:cs="Tahoma"/>
                    <w:b/>
                    <w:bCs/>
                    <w:sz w:val="22"/>
                    <w:szCs w:val="22"/>
                    <w:lang w:val="es-MX" w:eastAsia="en-US"/>
                  </w:rPr>
                  <w:t>/INFOEM/IP/RR/202</w:t>
                </w:r>
                <w:r w:rsidR="009721A0">
                  <w:rPr>
                    <w:rFonts w:ascii="Palatino Linotype" w:hAnsi="Palatino Linotype" w:eastAsia="Calibri" w:cs="Tahoma"/>
                    <w:b/>
                    <w:bCs/>
                    <w:sz w:val="22"/>
                    <w:szCs w:val="22"/>
                    <w:lang w:val="es-MX" w:eastAsia="en-US"/>
                  </w:rPr>
                  <w:t>2</w:t>
                </w:r>
              </w:p>
            </w:tc>
          </w:tr>
          <w:tr w:rsidR="009721A0" w:rsidTr="00DF3BE8" w14:paraId="38BDA30F" w14:textId="77777777">
            <w:trPr>
              <w:trHeight w:val="283"/>
            </w:trPr>
            <w:tc>
              <w:tcPr>
                <w:tcW w:w="2589" w:type="dxa"/>
              </w:tcPr>
              <w:p w:rsidRPr="00431A70" w:rsidR="009721A0" w:rsidP="00E43A0F" w:rsidRDefault="009721A0" w14:paraId="642BF8D3"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43" w:type="dxa"/>
              </w:tcPr>
              <w:p w:rsidRPr="005F13CF" w:rsidR="009721A0" w:rsidP="0031023E" w:rsidRDefault="00815DA9" w14:paraId="05F590B8" w14:textId="7764E5CC">
                <w:pPr>
                  <w:tabs>
                    <w:tab w:val="left" w:pos="2834"/>
                    <w:tab w:val="right" w:pos="8838"/>
                  </w:tabs>
                  <w:ind w:left="-106" w:right="171"/>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val="es-MX" w:eastAsia="en-US"/>
                  </w:rPr>
                  <w:t>Fiscalía General de Justicia del Estado de México</w:t>
                </w:r>
              </w:p>
            </w:tc>
          </w:tr>
          <w:tr w:rsidR="009721A0" w:rsidTr="00DF3BE8" w14:paraId="7D947DAB" w14:textId="77777777">
            <w:trPr>
              <w:trHeight w:val="283"/>
            </w:trPr>
            <w:tc>
              <w:tcPr>
                <w:tcW w:w="2589" w:type="dxa"/>
              </w:tcPr>
              <w:p w:rsidRPr="00431A70" w:rsidR="009721A0" w:rsidP="00E43A0F" w:rsidRDefault="009721A0" w14:paraId="5E254379"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43" w:type="dxa"/>
              </w:tcPr>
              <w:p w:rsidRPr="00431A70" w:rsidR="009721A0" w:rsidP="005F13CF" w:rsidRDefault="009721A0" w14:paraId="569A6EAB" w14:textId="77777777">
                <w:pPr>
                  <w:tabs>
                    <w:tab w:val="right" w:pos="8838"/>
                  </w:tabs>
                  <w:ind w:left="-106" w:right="171"/>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5C106F" w:rsidR="009721A0" w:rsidP="005743D2" w:rsidRDefault="009721A0" w14:paraId="44A60A5F" w14:textId="77777777">
          <w:pPr>
            <w:tabs>
              <w:tab w:val="right" w:pos="8838"/>
            </w:tabs>
            <w:ind w:left="-28"/>
            <w:jc w:val="both"/>
            <w:rPr>
              <w:rFonts w:ascii="Arial" w:hAnsi="Arial" w:eastAsia="Calibri" w:cs="Arial"/>
              <w:b/>
              <w:sz w:val="22"/>
              <w:szCs w:val="22"/>
              <w:lang w:eastAsia="en-US"/>
            </w:rPr>
          </w:pPr>
        </w:p>
      </w:tc>
    </w:tr>
  </w:tbl>
  <w:p w:rsidRPr="00A25151" w:rsidR="009721A0" w:rsidP="00EF4A64" w:rsidRDefault="009721A0" w14:paraId="6CDDD061" w14:textId="77777777">
    <w:pPr>
      <w:pStyle w:val="Encabezado"/>
      <w:rPr>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tbl>
    <w:tblPr>
      <w:tblW w:w="9568" w:type="dxa"/>
      <w:tblLayout w:type="fixed"/>
      <w:tblLook w:val="04A0" w:firstRow="1" w:lastRow="0" w:firstColumn="1" w:lastColumn="0" w:noHBand="0" w:noVBand="1"/>
    </w:tblPr>
    <w:tblGrid>
      <w:gridCol w:w="2835"/>
      <w:gridCol w:w="6733"/>
    </w:tblGrid>
    <w:tr w:rsidRPr="00330DA7" w:rsidR="009721A0" w:rsidTr="511E282C" w14:paraId="54F6F087" w14:textId="77777777">
      <w:trPr>
        <w:trHeight w:val="1435"/>
      </w:trPr>
      <w:tc>
        <w:tcPr>
          <w:tcW w:w="2835" w:type="dxa"/>
          <w:shd w:val="clear" w:color="auto" w:fill="auto"/>
          <w:tcMar/>
        </w:tcPr>
        <w:p w:rsidRPr="00330DA7" w:rsidR="009721A0" w:rsidP="00F805F6" w:rsidRDefault="009721A0" w14:paraId="4631D33D" w14:textId="77777777">
          <w:pPr>
            <w:tabs>
              <w:tab w:val="right" w:pos="4273"/>
            </w:tabs>
            <w:rPr>
              <w:rFonts w:ascii="Garamond" w:hAnsi="Garamond" w:eastAsia="Calibri"/>
              <w:sz w:val="22"/>
              <w:szCs w:val="22"/>
              <w:lang w:eastAsia="en-US"/>
            </w:rPr>
          </w:pPr>
          <w:r>
            <w:rPr>
              <w:rFonts w:ascii="Garamond" w:hAnsi="Garamond" w:eastAsia="Calibri"/>
              <w:noProof/>
              <w:sz w:val="22"/>
              <w:szCs w:val="22"/>
              <w:lang w:eastAsia="es-MX"/>
            </w:rPr>
            <w:drawing>
              <wp:anchor distT="0" distB="0" distL="114300" distR="114300" simplePos="0" relativeHeight="251657728" behindDoc="1" locked="0" layoutInCell="0" allowOverlap="1" wp14:anchorId="11C90466" wp14:editId="67BA73E6">
                <wp:simplePos x="0" y="0"/>
                <wp:positionH relativeFrom="page">
                  <wp:posOffset>-1071880</wp:posOffset>
                </wp:positionH>
                <wp:positionV relativeFrom="page">
                  <wp:posOffset>-450215</wp:posOffset>
                </wp:positionV>
                <wp:extent cx="8426450" cy="10972800"/>
                <wp:effectExtent l="0" t="0" r="0" b="0"/>
                <wp:wrapNone/>
                <wp:docPr id="11" name="Imagen 11"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Mar/>
        </w:tcPr>
        <w:tbl>
          <w:tblPr>
            <w:tblStyle w:val="Tablaconcuadrcula"/>
            <w:tblW w:w="6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89"/>
            <w:gridCol w:w="3543"/>
          </w:tblGrid>
          <w:tr w:rsidRPr="00431A70" w:rsidR="009721A0" w:rsidTr="511E282C" w14:paraId="4EE00055" w14:textId="77777777">
            <w:trPr>
              <w:trHeight w:val="144"/>
            </w:trPr>
            <w:tc>
              <w:tcPr>
                <w:tcW w:w="2589" w:type="dxa"/>
                <w:tcMar/>
              </w:tcPr>
              <w:p w:rsidRPr="00431A70" w:rsidR="009721A0" w:rsidP="00844CB5" w:rsidRDefault="009721A0" w14:paraId="008192DF"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43" w:type="dxa"/>
                <w:tcMar/>
              </w:tcPr>
              <w:p w:rsidRPr="00431A70" w:rsidR="009721A0" w:rsidP="00E05A28" w:rsidRDefault="00815DA9" w14:paraId="05EC21F9" w14:textId="600AF4FB">
                <w:pPr>
                  <w:tabs>
                    <w:tab w:val="right" w:pos="8838"/>
                  </w:tabs>
                  <w:ind w:left="-106" w:right="-105"/>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val="es-MX" w:eastAsia="en-US"/>
                  </w:rPr>
                  <w:t>17036</w:t>
                </w:r>
                <w:r w:rsidR="009721A0">
                  <w:rPr>
                    <w:rFonts w:ascii="Palatino Linotype" w:hAnsi="Palatino Linotype" w:eastAsia="Calibri" w:cs="Tahoma"/>
                    <w:b/>
                    <w:bCs/>
                    <w:sz w:val="22"/>
                    <w:szCs w:val="22"/>
                    <w:lang w:val="es-MX" w:eastAsia="en-US"/>
                  </w:rPr>
                  <w:t xml:space="preserve">/INFOEM/IP/RR/2022 </w:t>
                </w:r>
              </w:p>
            </w:tc>
          </w:tr>
          <w:tr w:rsidRPr="00286D0C" w:rsidR="009721A0" w:rsidTr="511E282C" w14:paraId="58377435" w14:textId="77777777">
            <w:trPr>
              <w:trHeight w:val="144"/>
            </w:trPr>
            <w:tc>
              <w:tcPr>
                <w:tcW w:w="2589" w:type="dxa"/>
                <w:tcMar/>
              </w:tcPr>
              <w:p w:rsidRPr="00431A70" w:rsidR="009721A0" w:rsidP="009A7587" w:rsidRDefault="009721A0" w14:paraId="0279AF08"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Recurrente:</w:t>
                </w:r>
              </w:p>
            </w:tc>
            <w:tc>
              <w:tcPr>
                <w:tcW w:w="3543" w:type="dxa"/>
                <w:tcMar/>
              </w:tcPr>
              <w:p w:rsidRPr="00286D0C" w:rsidR="009721A0" w:rsidP="511E282C" w:rsidRDefault="00815DA9" w14:paraId="113C7A96" w14:textId="18EF8BB0">
                <w:pPr>
                  <w:tabs>
                    <w:tab w:val="left" w:pos="3122"/>
                    <w:tab w:val="right" w:pos="8838"/>
                  </w:tabs>
                  <w:ind w:left="-106" w:right="-105"/>
                  <w:jc w:val="both"/>
                  <w:rPr>
                    <w:rFonts w:ascii="Palatino Linotype" w:hAnsi="Palatino Linotype" w:eastAsia="Calibri" w:cs="Tahoma"/>
                    <w:sz w:val="22"/>
                    <w:szCs w:val="22"/>
                    <w:highlight w:val="black"/>
                    <w:lang w:eastAsia="en-US"/>
                  </w:rPr>
                </w:pPr>
                <w:r w:rsidRPr="511E282C" w:rsidR="511E282C">
                  <w:rPr>
                    <w:rFonts w:ascii="Palatino Linotype" w:hAnsi="Palatino Linotype" w:eastAsia="Calibri" w:cs="Tahoma"/>
                    <w:sz w:val="22"/>
                    <w:szCs w:val="22"/>
                    <w:highlight w:val="black"/>
                    <w:lang w:eastAsia="en-US"/>
                  </w:rPr>
                  <w:t>XXXXXXXXXXXXXXXXXXX</w:t>
                </w:r>
              </w:p>
            </w:tc>
          </w:tr>
          <w:tr w:rsidRPr="00431A70" w:rsidR="009721A0" w:rsidTr="511E282C" w14:paraId="3D48480B" w14:textId="77777777">
            <w:trPr>
              <w:trHeight w:val="283"/>
            </w:trPr>
            <w:tc>
              <w:tcPr>
                <w:tcW w:w="2589" w:type="dxa"/>
                <w:tcMar/>
              </w:tcPr>
              <w:p w:rsidRPr="00431A70" w:rsidR="009721A0" w:rsidP="009A7587" w:rsidRDefault="009721A0" w14:paraId="6271EA12"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43" w:type="dxa"/>
                <w:tcMar/>
              </w:tcPr>
              <w:p w:rsidRPr="005F13CF" w:rsidR="009721A0" w:rsidP="0031023E" w:rsidRDefault="00815DA9" w14:paraId="472DA60E" w14:textId="07F5C4FC">
                <w:pPr>
                  <w:tabs>
                    <w:tab w:val="left" w:pos="2834"/>
                    <w:tab w:val="right" w:pos="8838"/>
                  </w:tabs>
                  <w:ind w:left="-106" w:right="-105"/>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val="es-MX" w:eastAsia="en-US"/>
                  </w:rPr>
                  <w:t>Fiscalía General de Justicia del Estado de México</w:t>
                </w:r>
              </w:p>
            </w:tc>
          </w:tr>
          <w:tr w:rsidRPr="00431A70" w:rsidR="009721A0" w:rsidTr="511E282C" w14:paraId="53F86B7E" w14:textId="77777777">
            <w:trPr>
              <w:trHeight w:val="283"/>
            </w:trPr>
            <w:tc>
              <w:tcPr>
                <w:tcW w:w="2589" w:type="dxa"/>
                <w:tcMar/>
              </w:tcPr>
              <w:p w:rsidRPr="00431A70" w:rsidR="009721A0" w:rsidP="009A7587" w:rsidRDefault="009721A0" w14:paraId="1900A97C"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43" w:type="dxa"/>
                <w:tcMar/>
              </w:tcPr>
              <w:p w:rsidRPr="00431A70" w:rsidR="009721A0" w:rsidP="005F13CF" w:rsidRDefault="009721A0" w14:paraId="4972CB92" w14:textId="77777777">
                <w:pPr>
                  <w:tabs>
                    <w:tab w:val="right" w:pos="8838"/>
                  </w:tabs>
                  <w:ind w:left="-106" w:right="-105"/>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330DA7" w:rsidR="009721A0" w:rsidP="00DB7E5F" w:rsidRDefault="009721A0" w14:paraId="7C40973D" w14:textId="77777777">
          <w:pPr>
            <w:tabs>
              <w:tab w:val="right" w:pos="8838"/>
            </w:tabs>
            <w:ind w:left="-28"/>
            <w:jc w:val="both"/>
            <w:rPr>
              <w:rFonts w:ascii="Arial" w:hAnsi="Arial" w:eastAsia="Calibri" w:cs="Arial"/>
              <w:b/>
              <w:sz w:val="22"/>
              <w:szCs w:val="22"/>
              <w:lang w:eastAsia="en-US"/>
            </w:rPr>
          </w:pPr>
        </w:p>
      </w:tc>
    </w:tr>
  </w:tbl>
  <w:p w:rsidRPr="00330DA7" w:rsidR="009721A0" w:rsidP="00B727C5" w:rsidRDefault="009721A0" w14:paraId="20763E24" w14:textId="77777777">
    <w:pPr>
      <w:pStyle w:val="Encabezado"/>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hint="default" w:ascii="Symbol" w:hAnsi="Symbol"/>
      </w:rPr>
    </w:lvl>
  </w:abstractNum>
  <w:abstractNum w:abstractNumId="1"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9470C43"/>
    <w:multiLevelType w:val="hybridMultilevel"/>
    <w:tmpl w:val="D5E2B7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9CB6C09"/>
    <w:multiLevelType w:val="hybridMultilevel"/>
    <w:tmpl w:val="205016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E4E0461"/>
    <w:multiLevelType w:val="hybridMultilevel"/>
    <w:tmpl w:val="741836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621EE4"/>
    <w:multiLevelType w:val="hybridMultilevel"/>
    <w:tmpl w:val="E81E6D1C"/>
    <w:lvl w:ilvl="0" w:tplc="30D85BAE">
      <w:start w:val="1"/>
      <w:numFmt w:val="decimal"/>
      <w:lvlText w:val="%1)"/>
      <w:lvlJc w:val="left"/>
      <w:pPr>
        <w:ind w:left="720" w:hanging="360"/>
      </w:pPr>
      <w:rPr>
        <w:b/>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6" w15:restartNumberingAfterBreak="0">
    <w:nsid w:val="201339B5"/>
    <w:multiLevelType w:val="hybridMultilevel"/>
    <w:tmpl w:val="2B500EC8"/>
    <w:lvl w:ilvl="0" w:tplc="080A000B">
      <w:start w:val="1"/>
      <w:numFmt w:val="bullet"/>
      <w:lvlText w:val=""/>
      <w:lvlJc w:val="left"/>
      <w:pPr>
        <w:ind w:left="1440" w:hanging="360"/>
      </w:pPr>
      <w:rPr>
        <w:rFonts w:hint="default" w:ascii="Wingdings" w:hAnsi="Wingdings"/>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7"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937EFD"/>
    <w:multiLevelType w:val="hybridMultilevel"/>
    <w:tmpl w:val="DFEAA5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E360DEA"/>
    <w:multiLevelType w:val="hybridMultilevel"/>
    <w:tmpl w:val="005AFEE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0" w15:restartNumberingAfterBreak="0">
    <w:nsid w:val="2F31292A"/>
    <w:multiLevelType w:val="hybridMultilevel"/>
    <w:tmpl w:val="C8480E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BA7E48"/>
    <w:multiLevelType w:val="hybridMultilevel"/>
    <w:tmpl w:val="CD1E71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1D023F1"/>
    <w:multiLevelType w:val="hybridMultilevel"/>
    <w:tmpl w:val="242611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4" w15:restartNumberingAfterBreak="0">
    <w:nsid w:val="37F60587"/>
    <w:multiLevelType w:val="hybridMultilevel"/>
    <w:tmpl w:val="9A8094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97548EC"/>
    <w:multiLevelType w:val="hybridMultilevel"/>
    <w:tmpl w:val="9A344A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EDD4CAE"/>
    <w:multiLevelType w:val="hybridMultilevel"/>
    <w:tmpl w:val="EFF40530"/>
    <w:lvl w:ilvl="0" w:tplc="932C81D0">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C0D1D37"/>
    <w:multiLevelType w:val="hybridMultilevel"/>
    <w:tmpl w:val="1CB0D6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66E23506"/>
    <w:multiLevelType w:val="hybridMultilevel"/>
    <w:tmpl w:val="24261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DED7307"/>
    <w:multiLevelType w:val="hybridMultilevel"/>
    <w:tmpl w:val="58FAFD70"/>
    <w:lvl w:ilvl="0" w:tplc="694A926A">
      <w:start w:val="1"/>
      <w:numFmt w:val="decimal"/>
      <w:lvlText w:val="%1."/>
      <w:lvlJc w:val="left"/>
      <w:pPr>
        <w:tabs>
          <w:tab w:val="num" w:pos="720"/>
        </w:tabs>
        <w:ind w:left="72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1" w15:restartNumberingAfterBreak="0">
    <w:nsid w:val="7ADA4D23"/>
    <w:multiLevelType w:val="hybridMultilevel"/>
    <w:tmpl w:val="D59A05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7E196450"/>
    <w:multiLevelType w:val="hybridMultilevel"/>
    <w:tmpl w:val="28A4AA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7E490726"/>
    <w:multiLevelType w:val="hybridMultilevel"/>
    <w:tmpl w:val="E43C6C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18"/>
  </w:num>
  <w:num w:numId="3">
    <w:abstractNumId w:val="2"/>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0"/>
  </w:num>
  <w:num w:numId="7">
    <w:abstractNumId w:val="21"/>
  </w:num>
  <w:num w:numId="8">
    <w:abstractNumId w:val="16"/>
  </w:num>
  <w:num w:numId="9">
    <w:abstractNumId w:val="11"/>
  </w:num>
  <w:num w:numId="10">
    <w:abstractNumId w:val="22"/>
  </w:num>
  <w:num w:numId="11">
    <w:abstractNumId w:val="15"/>
  </w:num>
  <w:num w:numId="12">
    <w:abstractNumId w:val="17"/>
  </w:num>
  <w:num w:numId="13">
    <w:abstractNumId w:val="3"/>
  </w:num>
  <w:num w:numId="14">
    <w:abstractNumId w:val="23"/>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
  </w:num>
  <w:num w:numId="18">
    <w:abstractNumId w:val="6"/>
  </w:num>
  <w:num w:numId="19">
    <w:abstractNumId w:val="9"/>
  </w:num>
  <w:num w:numId="20">
    <w:abstractNumId w:val="5"/>
    <w:lvlOverride w:ilvl="0">
      <w:startOverride w:val="1"/>
    </w:lvlOverride>
    <w:lvlOverride w:ilvl="1"/>
    <w:lvlOverride w:ilvl="2"/>
    <w:lvlOverride w:ilvl="3"/>
    <w:lvlOverride w:ilvl="4"/>
    <w:lvlOverride w:ilvl="5"/>
    <w:lvlOverride w:ilvl="6"/>
    <w:lvlOverride w:ilvl="7"/>
    <w:lvlOverride w:ilvl="8"/>
  </w:num>
  <w:num w:numId="21">
    <w:abstractNumId w:val="12"/>
  </w:num>
  <w:num w:numId="22">
    <w:abstractNumId w:val="8"/>
  </w:num>
  <w:num w:numId="23">
    <w:abstractNumId w:val="19"/>
  </w:num>
  <w:num w:numId="2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trackRevisions w:val="false"/>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B91"/>
    <w:rsid w:val="00000F3F"/>
    <w:rsid w:val="0000156C"/>
    <w:rsid w:val="000027EB"/>
    <w:rsid w:val="00002CF8"/>
    <w:rsid w:val="0000339F"/>
    <w:rsid w:val="00003AAE"/>
    <w:rsid w:val="00004263"/>
    <w:rsid w:val="0000485A"/>
    <w:rsid w:val="00005668"/>
    <w:rsid w:val="00006091"/>
    <w:rsid w:val="00006543"/>
    <w:rsid w:val="00006DC5"/>
    <w:rsid w:val="00007C72"/>
    <w:rsid w:val="00010426"/>
    <w:rsid w:val="000106AE"/>
    <w:rsid w:val="00013291"/>
    <w:rsid w:val="00013861"/>
    <w:rsid w:val="00013A19"/>
    <w:rsid w:val="00013C8D"/>
    <w:rsid w:val="0001402B"/>
    <w:rsid w:val="00014465"/>
    <w:rsid w:val="00014BC5"/>
    <w:rsid w:val="00015D5C"/>
    <w:rsid w:val="00016A4A"/>
    <w:rsid w:val="00017858"/>
    <w:rsid w:val="00017D26"/>
    <w:rsid w:val="00020799"/>
    <w:rsid w:val="00020818"/>
    <w:rsid w:val="00020AA1"/>
    <w:rsid w:val="00020C07"/>
    <w:rsid w:val="000212E5"/>
    <w:rsid w:val="00021C64"/>
    <w:rsid w:val="0002227D"/>
    <w:rsid w:val="00023351"/>
    <w:rsid w:val="000241C5"/>
    <w:rsid w:val="00024362"/>
    <w:rsid w:val="0002439E"/>
    <w:rsid w:val="0002467B"/>
    <w:rsid w:val="0002481A"/>
    <w:rsid w:val="0002483C"/>
    <w:rsid w:val="00024A48"/>
    <w:rsid w:val="00024C42"/>
    <w:rsid w:val="00024D74"/>
    <w:rsid w:val="000259E6"/>
    <w:rsid w:val="00025D40"/>
    <w:rsid w:val="00025F5D"/>
    <w:rsid w:val="00027B6E"/>
    <w:rsid w:val="000300BE"/>
    <w:rsid w:val="0003037C"/>
    <w:rsid w:val="0003089C"/>
    <w:rsid w:val="00030E29"/>
    <w:rsid w:val="00030EDA"/>
    <w:rsid w:val="000313A7"/>
    <w:rsid w:val="00032F5B"/>
    <w:rsid w:val="00033086"/>
    <w:rsid w:val="0003481C"/>
    <w:rsid w:val="00034E9D"/>
    <w:rsid w:val="000350F7"/>
    <w:rsid w:val="00035F9E"/>
    <w:rsid w:val="000373BC"/>
    <w:rsid w:val="000378BC"/>
    <w:rsid w:val="00037B34"/>
    <w:rsid w:val="00037F4B"/>
    <w:rsid w:val="00040101"/>
    <w:rsid w:val="000415F1"/>
    <w:rsid w:val="00043009"/>
    <w:rsid w:val="00043C4B"/>
    <w:rsid w:val="000452B7"/>
    <w:rsid w:val="00045736"/>
    <w:rsid w:val="0004646B"/>
    <w:rsid w:val="000467AD"/>
    <w:rsid w:val="0004735D"/>
    <w:rsid w:val="00047C1B"/>
    <w:rsid w:val="00051243"/>
    <w:rsid w:val="00051E32"/>
    <w:rsid w:val="000523BB"/>
    <w:rsid w:val="000528E6"/>
    <w:rsid w:val="00053784"/>
    <w:rsid w:val="00053EEF"/>
    <w:rsid w:val="0005422F"/>
    <w:rsid w:val="00055361"/>
    <w:rsid w:val="00056A85"/>
    <w:rsid w:val="00057250"/>
    <w:rsid w:val="0006017B"/>
    <w:rsid w:val="00060BE1"/>
    <w:rsid w:val="00061F79"/>
    <w:rsid w:val="000620E1"/>
    <w:rsid w:val="00062B8B"/>
    <w:rsid w:val="00063514"/>
    <w:rsid w:val="000640BD"/>
    <w:rsid w:val="00064855"/>
    <w:rsid w:val="000648B3"/>
    <w:rsid w:val="0006654C"/>
    <w:rsid w:val="000666FD"/>
    <w:rsid w:val="000672AA"/>
    <w:rsid w:val="00070738"/>
    <w:rsid w:val="00071A4A"/>
    <w:rsid w:val="0007204D"/>
    <w:rsid w:val="00072AD9"/>
    <w:rsid w:val="00073C50"/>
    <w:rsid w:val="000749A5"/>
    <w:rsid w:val="00075542"/>
    <w:rsid w:val="000758B2"/>
    <w:rsid w:val="00075C83"/>
    <w:rsid w:val="000765EA"/>
    <w:rsid w:val="000778B2"/>
    <w:rsid w:val="000805CC"/>
    <w:rsid w:val="000813B0"/>
    <w:rsid w:val="0008148B"/>
    <w:rsid w:val="00081756"/>
    <w:rsid w:val="00081C1C"/>
    <w:rsid w:val="000822AC"/>
    <w:rsid w:val="000851BA"/>
    <w:rsid w:val="00086A01"/>
    <w:rsid w:val="0008787B"/>
    <w:rsid w:val="000910AA"/>
    <w:rsid w:val="00091672"/>
    <w:rsid w:val="00091759"/>
    <w:rsid w:val="00092475"/>
    <w:rsid w:val="0009263F"/>
    <w:rsid w:val="00092AD0"/>
    <w:rsid w:val="000939AD"/>
    <w:rsid w:val="000943DD"/>
    <w:rsid w:val="00096500"/>
    <w:rsid w:val="00097211"/>
    <w:rsid w:val="00097806"/>
    <w:rsid w:val="000A001B"/>
    <w:rsid w:val="000A0518"/>
    <w:rsid w:val="000A0861"/>
    <w:rsid w:val="000A1342"/>
    <w:rsid w:val="000A20A4"/>
    <w:rsid w:val="000A275D"/>
    <w:rsid w:val="000A3AEE"/>
    <w:rsid w:val="000A5058"/>
    <w:rsid w:val="000A5BA8"/>
    <w:rsid w:val="000A7211"/>
    <w:rsid w:val="000B0C2B"/>
    <w:rsid w:val="000B1059"/>
    <w:rsid w:val="000B1D37"/>
    <w:rsid w:val="000B2318"/>
    <w:rsid w:val="000B24EE"/>
    <w:rsid w:val="000B254D"/>
    <w:rsid w:val="000B2C93"/>
    <w:rsid w:val="000B36DD"/>
    <w:rsid w:val="000B4248"/>
    <w:rsid w:val="000B45D4"/>
    <w:rsid w:val="000B5711"/>
    <w:rsid w:val="000B5B9F"/>
    <w:rsid w:val="000B5E8D"/>
    <w:rsid w:val="000B6020"/>
    <w:rsid w:val="000C0396"/>
    <w:rsid w:val="000C04EA"/>
    <w:rsid w:val="000C055A"/>
    <w:rsid w:val="000C2283"/>
    <w:rsid w:val="000C2529"/>
    <w:rsid w:val="000C27CA"/>
    <w:rsid w:val="000C3B64"/>
    <w:rsid w:val="000C3F1A"/>
    <w:rsid w:val="000C471D"/>
    <w:rsid w:val="000C59CB"/>
    <w:rsid w:val="000C60A2"/>
    <w:rsid w:val="000C6179"/>
    <w:rsid w:val="000C77BB"/>
    <w:rsid w:val="000C7B74"/>
    <w:rsid w:val="000D0B08"/>
    <w:rsid w:val="000D1DDF"/>
    <w:rsid w:val="000D1F49"/>
    <w:rsid w:val="000D2646"/>
    <w:rsid w:val="000D2A27"/>
    <w:rsid w:val="000D300A"/>
    <w:rsid w:val="000D3B88"/>
    <w:rsid w:val="000D3EFB"/>
    <w:rsid w:val="000D62E2"/>
    <w:rsid w:val="000D62EF"/>
    <w:rsid w:val="000D6304"/>
    <w:rsid w:val="000E0BEA"/>
    <w:rsid w:val="000E189E"/>
    <w:rsid w:val="000E2884"/>
    <w:rsid w:val="000E50C3"/>
    <w:rsid w:val="000E54A2"/>
    <w:rsid w:val="000E6517"/>
    <w:rsid w:val="000E7527"/>
    <w:rsid w:val="000E7E79"/>
    <w:rsid w:val="000F019D"/>
    <w:rsid w:val="000F02BE"/>
    <w:rsid w:val="000F24C8"/>
    <w:rsid w:val="000F2B83"/>
    <w:rsid w:val="000F2EBF"/>
    <w:rsid w:val="000F3B9F"/>
    <w:rsid w:val="000F3D6D"/>
    <w:rsid w:val="000F3DA0"/>
    <w:rsid w:val="000F4178"/>
    <w:rsid w:val="000F4183"/>
    <w:rsid w:val="000F437A"/>
    <w:rsid w:val="000F4876"/>
    <w:rsid w:val="000F555D"/>
    <w:rsid w:val="000F5B40"/>
    <w:rsid w:val="000F6336"/>
    <w:rsid w:val="000F661E"/>
    <w:rsid w:val="000F6834"/>
    <w:rsid w:val="000F75DE"/>
    <w:rsid w:val="000F76AB"/>
    <w:rsid w:val="000F7A45"/>
    <w:rsid w:val="000F7FD8"/>
    <w:rsid w:val="001004F1"/>
    <w:rsid w:val="00100BAC"/>
    <w:rsid w:val="001017B7"/>
    <w:rsid w:val="001034C6"/>
    <w:rsid w:val="00103855"/>
    <w:rsid w:val="001049B0"/>
    <w:rsid w:val="00104ADB"/>
    <w:rsid w:val="001057BC"/>
    <w:rsid w:val="00107D2F"/>
    <w:rsid w:val="00110E1B"/>
    <w:rsid w:val="00111385"/>
    <w:rsid w:val="00111825"/>
    <w:rsid w:val="00111AE8"/>
    <w:rsid w:val="00111EFD"/>
    <w:rsid w:val="001133D5"/>
    <w:rsid w:val="00114068"/>
    <w:rsid w:val="001141F0"/>
    <w:rsid w:val="001147DC"/>
    <w:rsid w:val="00114967"/>
    <w:rsid w:val="001150E9"/>
    <w:rsid w:val="0011605B"/>
    <w:rsid w:val="001166C8"/>
    <w:rsid w:val="001171BD"/>
    <w:rsid w:val="00117CD7"/>
    <w:rsid w:val="00117FA6"/>
    <w:rsid w:val="0012216D"/>
    <w:rsid w:val="001221B8"/>
    <w:rsid w:val="001227A5"/>
    <w:rsid w:val="0012668C"/>
    <w:rsid w:val="00126A21"/>
    <w:rsid w:val="00126F68"/>
    <w:rsid w:val="001270CA"/>
    <w:rsid w:val="00127546"/>
    <w:rsid w:val="00127757"/>
    <w:rsid w:val="001279BF"/>
    <w:rsid w:val="00127B6A"/>
    <w:rsid w:val="00130B72"/>
    <w:rsid w:val="00130C11"/>
    <w:rsid w:val="00132A80"/>
    <w:rsid w:val="00132F95"/>
    <w:rsid w:val="00133222"/>
    <w:rsid w:val="00133B0C"/>
    <w:rsid w:val="00133BBB"/>
    <w:rsid w:val="0013420A"/>
    <w:rsid w:val="00134409"/>
    <w:rsid w:val="001346BA"/>
    <w:rsid w:val="00135955"/>
    <w:rsid w:val="00136051"/>
    <w:rsid w:val="00136073"/>
    <w:rsid w:val="0013647C"/>
    <w:rsid w:val="0013791C"/>
    <w:rsid w:val="00137B8F"/>
    <w:rsid w:val="0014037C"/>
    <w:rsid w:val="00141895"/>
    <w:rsid w:val="00141CDA"/>
    <w:rsid w:val="00142312"/>
    <w:rsid w:val="0014307A"/>
    <w:rsid w:val="00144363"/>
    <w:rsid w:val="00144D0B"/>
    <w:rsid w:val="00144FA7"/>
    <w:rsid w:val="001460EE"/>
    <w:rsid w:val="0014682A"/>
    <w:rsid w:val="00147516"/>
    <w:rsid w:val="00147566"/>
    <w:rsid w:val="00147666"/>
    <w:rsid w:val="00147887"/>
    <w:rsid w:val="00147D17"/>
    <w:rsid w:val="001507DF"/>
    <w:rsid w:val="00150E21"/>
    <w:rsid w:val="00151053"/>
    <w:rsid w:val="0015192B"/>
    <w:rsid w:val="00151FBB"/>
    <w:rsid w:val="00151FBC"/>
    <w:rsid w:val="001534EA"/>
    <w:rsid w:val="0015381E"/>
    <w:rsid w:val="0015530E"/>
    <w:rsid w:val="00155B1A"/>
    <w:rsid w:val="00155F96"/>
    <w:rsid w:val="00155FE6"/>
    <w:rsid w:val="00156408"/>
    <w:rsid w:val="00156A6B"/>
    <w:rsid w:val="0015731F"/>
    <w:rsid w:val="001606D4"/>
    <w:rsid w:val="00160E54"/>
    <w:rsid w:val="00161DF9"/>
    <w:rsid w:val="00162383"/>
    <w:rsid w:val="00162A24"/>
    <w:rsid w:val="00162CCE"/>
    <w:rsid w:val="00163387"/>
    <w:rsid w:val="00163BAA"/>
    <w:rsid w:val="001646D2"/>
    <w:rsid w:val="00165010"/>
    <w:rsid w:val="00165891"/>
    <w:rsid w:val="0016712E"/>
    <w:rsid w:val="00167136"/>
    <w:rsid w:val="00170545"/>
    <w:rsid w:val="00171ADD"/>
    <w:rsid w:val="001728F3"/>
    <w:rsid w:val="00172F78"/>
    <w:rsid w:val="00173533"/>
    <w:rsid w:val="00173548"/>
    <w:rsid w:val="00174390"/>
    <w:rsid w:val="0017459B"/>
    <w:rsid w:val="00175A0D"/>
    <w:rsid w:val="00175CEB"/>
    <w:rsid w:val="00175E61"/>
    <w:rsid w:val="00176367"/>
    <w:rsid w:val="00177532"/>
    <w:rsid w:val="00177BFC"/>
    <w:rsid w:val="00177C07"/>
    <w:rsid w:val="00180208"/>
    <w:rsid w:val="00180365"/>
    <w:rsid w:val="00180DE9"/>
    <w:rsid w:val="001821D9"/>
    <w:rsid w:val="001824D6"/>
    <w:rsid w:val="00182D6C"/>
    <w:rsid w:val="00182DCE"/>
    <w:rsid w:val="00182F0F"/>
    <w:rsid w:val="001832D9"/>
    <w:rsid w:val="00183664"/>
    <w:rsid w:val="00183D24"/>
    <w:rsid w:val="001851A6"/>
    <w:rsid w:val="00186AC2"/>
    <w:rsid w:val="00187211"/>
    <w:rsid w:val="001872B5"/>
    <w:rsid w:val="001875A7"/>
    <w:rsid w:val="001879E1"/>
    <w:rsid w:val="0019031A"/>
    <w:rsid w:val="00190E90"/>
    <w:rsid w:val="00190F5F"/>
    <w:rsid w:val="0019295F"/>
    <w:rsid w:val="0019389B"/>
    <w:rsid w:val="00196522"/>
    <w:rsid w:val="001A135B"/>
    <w:rsid w:val="001A1B94"/>
    <w:rsid w:val="001A22F5"/>
    <w:rsid w:val="001A372F"/>
    <w:rsid w:val="001A3887"/>
    <w:rsid w:val="001A3AF1"/>
    <w:rsid w:val="001A412B"/>
    <w:rsid w:val="001A4B83"/>
    <w:rsid w:val="001A4BBA"/>
    <w:rsid w:val="001A4BBC"/>
    <w:rsid w:val="001A5BDB"/>
    <w:rsid w:val="001A5DF5"/>
    <w:rsid w:val="001A7153"/>
    <w:rsid w:val="001A769E"/>
    <w:rsid w:val="001A7FD2"/>
    <w:rsid w:val="001B04B4"/>
    <w:rsid w:val="001B0D53"/>
    <w:rsid w:val="001B107D"/>
    <w:rsid w:val="001B1997"/>
    <w:rsid w:val="001B2CD9"/>
    <w:rsid w:val="001B2EA3"/>
    <w:rsid w:val="001B38FF"/>
    <w:rsid w:val="001B4549"/>
    <w:rsid w:val="001B62A0"/>
    <w:rsid w:val="001B6C10"/>
    <w:rsid w:val="001C0C73"/>
    <w:rsid w:val="001C1705"/>
    <w:rsid w:val="001C17B0"/>
    <w:rsid w:val="001C182B"/>
    <w:rsid w:val="001C1CFF"/>
    <w:rsid w:val="001C1F74"/>
    <w:rsid w:val="001C282F"/>
    <w:rsid w:val="001C45E3"/>
    <w:rsid w:val="001C67BD"/>
    <w:rsid w:val="001C7DDF"/>
    <w:rsid w:val="001D0086"/>
    <w:rsid w:val="001D0094"/>
    <w:rsid w:val="001D0B58"/>
    <w:rsid w:val="001D1C9C"/>
    <w:rsid w:val="001D3086"/>
    <w:rsid w:val="001D3CA3"/>
    <w:rsid w:val="001D3E97"/>
    <w:rsid w:val="001D5A6D"/>
    <w:rsid w:val="001D657A"/>
    <w:rsid w:val="001D67AC"/>
    <w:rsid w:val="001D7012"/>
    <w:rsid w:val="001D733A"/>
    <w:rsid w:val="001D7530"/>
    <w:rsid w:val="001D7974"/>
    <w:rsid w:val="001D7BD2"/>
    <w:rsid w:val="001E04FC"/>
    <w:rsid w:val="001E05F1"/>
    <w:rsid w:val="001E0C19"/>
    <w:rsid w:val="001E211D"/>
    <w:rsid w:val="001E293E"/>
    <w:rsid w:val="001E2A4D"/>
    <w:rsid w:val="001E331E"/>
    <w:rsid w:val="001E3322"/>
    <w:rsid w:val="001E343E"/>
    <w:rsid w:val="001E4C89"/>
    <w:rsid w:val="001E53C2"/>
    <w:rsid w:val="001E548E"/>
    <w:rsid w:val="001E6342"/>
    <w:rsid w:val="001E6357"/>
    <w:rsid w:val="001E6816"/>
    <w:rsid w:val="001E6FC5"/>
    <w:rsid w:val="001E745E"/>
    <w:rsid w:val="001F0C4E"/>
    <w:rsid w:val="001F0E9C"/>
    <w:rsid w:val="001F0EB8"/>
    <w:rsid w:val="001F0F7D"/>
    <w:rsid w:val="001F1540"/>
    <w:rsid w:val="001F18F9"/>
    <w:rsid w:val="001F1A77"/>
    <w:rsid w:val="001F2C2A"/>
    <w:rsid w:val="001F30C3"/>
    <w:rsid w:val="001F3351"/>
    <w:rsid w:val="001F5C7C"/>
    <w:rsid w:val="001F5D3A"/>
    <w:rsid w:val="001F652C"/>
    <w:rsid w:val="001F787A"/>
    <w:rsid w:val="001F78D9"/>
    <w:rsid w:val="0020024D"/>
    <w:rsid w:val="00200E50"/>
    <w:rsid w:val="002020FA"/>
    <w:rsid w:val="00202DB8"/>
    <w:rsid w:val="00203950"/>
    <w:rsid w:val="002051ED"/>
    <w:rsid w:val="002060B4"/>
    <w:rsid w:val="002066D0"/>
    <w:rsid w:val="00206EC9"/>
    <w:rsid w:val="002072EE"/>
    <w:rsid w:val="00207359"/>
    <w:rsid w:val="00207736"/>
    <w:rsid w:val="002079D3"/>
    <w:rsid w:val="00207D7C"/>
    <w:rsid w:val="00207F5A"/>
    <w:rsid w:val="0021049B"/>
    <w:rsid w:val="00210546"/>
    <w:rsid w:val="002108B0"/>
    <w:rsid w:val="00210A50"/>
    <w:rsid w:val="002121D1"/>
    <w:rsid w:val="00212460"/>
    <w:rsid w:val="00215D0D"/>
    <w:rsid w:val="002161C6"/>
    <w:rsid w:val="00217AEF"/>
    <w:rsid w:val="00221EC9"/>
    <w:rsid w:val="00221F64"/>
    <w:rsid w:val="0022258F"/>
    <w:rsid w:val="00222731"/>
    <w:rsid w:val="00223317"/>
    <w:rsid w:val="00223601"/>
    <w:rsid w:val="00223C6D"/>
    <w:rsid w:val="00223ECD"/>
    <w:rsid w:val="002241A6"/>
    <w:rsid w:val="002241E8"/>
    <w:rsid w:val="00224774"/>
    <w:rsid w:val="002247B0"/>
    <w:rsid w:val="00224F7A"/>
    <w:rsid w:val="00225152"/>
    <w:rsid w:val="002253A6"/>
    <w:rsid w:val="00225403"/>
    <w:rsid w:val="002257BF"/>
    <w:rsid w:val="00230629"/>
    <w:rsid w:val="00230E81"/>
    <w:rsid w:val="0023183A"/>
    <w:rsid w:val="00232251"/>
    <w:rsid w:val="00232673"/>
    <w:rsid w:val="00232700"/>
    <w:rsid w:val="002343FF"/>
    <w:rsid w:val="0023568B"/>
    <w:rsid w:val="00235F93"/>
    <w:rsid w:val="00236653"/>
    <w:rsid w:val="00236863"/>
    <w:rsid w:val="00237C1F"/>
    <w:rsid w:val="00237D0D"/>
    <w:rsid w:val="00240363"/>
    <w:rsid w:val="00241116"/>
    <w:rsid w:val="002433A4"/>
    <w:rsid w:val="002435DC"/>
    <w:rsid w:val="002447B2"/>
    <w:rsid w:val="00244ABB"/>
    <w:rsid w:val="00245F9F"/>
    <w:rsid w:val="00246501"/>
    <w:rsid w:val="00246E9B"/>
    <w:rsid w:val="00247B17"/>
    <w:rsid w:val="00247CFF"/>
    <w:rsid w:val="00247D21"/>
    <w:rsid w:val="00250389"/>
    <w:rsid w:val="00251FF7"/>
    <w:rsid w:val="002520B1"/>
    <w:rsid w:val="00252669"/>
    <w:rsid w:val="00252BD8"/>
    <w:rsid w:val="00252F10"/>
    <w:rsid w:val="00253937"/>
    <w:rsid w:val="00254209"/>
    <w:rsid w:val="00254288"/>
    <w:rsid w:val="0025469C"/>
    <w:rsid w:val="00255921"/>
    <w:rsid w:val="00257541"/>
    <w:rsid w:val="00257932"/>
    <w:rsid w:val="002579CE"/>
    <w:rsid w:val="00260BF5"/>
    <w:rsid w:val="00260FEC"/>
    <w:rsid w:val="0026108A"/>
    <w:rsid w:val="00261DD6"/>
    <w:rsid w:val="00262408"/>
    <w:rsid w:val="00263DDD"/>
    <w:rsid w:val="00263FE3"/>
    <w:rsid w:val="002649C4"/>
    <w:rsid w:val="002657E2"/>
    <w:rsid w:val="002661B2"/>
    <w:rsid w:val="002669E5"/>
    <w:rsid w:val="002671C8"/>
    <w:rsid w:val="002672CF"/>
    <w:rsid w:val="00271E0B"/>
    <w:rsid w:val="002727CC"/>
    <w:rsid w:val="00272ADB"/>
    <w:rsid w:val="00272F63"/>
    <w:rsid w:val="00273679"/>
    <w:rsid w:val="00274E6F"/>
    <w:rsid w:val="00275C84"/>
    <w:rsid w:val="00275CC4"/>
    <w:rsid w:val="00276009"/>
    <w:rsid w:val="00276A4C"/>
    <w:rsid w:val="00277B53"/>
    <w:rsid w:val="00280D8C"/>
    <w:rsid w:val="00280DC2"/>
    <w:rsid w:val="00281A35"/>
    <w:rsid w:val="00281AD9"/>
    <w:rsid w:val="002825EB"/>
    <w:rsid w:val="00283068"/>
    <w:rsid w:val="00284486"/>
    <w:rsid w:val="00285118"/>
    <w:rsid w:val="00285644"/>
    <w:rsid w:val="0028581E"/>
    <w:rsid w:val="0028601B"/>
    <w:rsid w:val="002862DB"/>
    <w:rsid w:val="0028682F"/>
    <w:rsid w:val="00286D0C"/>
    <w:rsid w:val="00287034"/>
    <w:rsid w:val="00291EFE"/>
    <w:rsid w:val="002922A1"/>
    <w:rsid w:val="00292319"/>
    <w:rsid w:val="002933B7"/>
    <w:rsid w:val="00293491"/>
    <w:rsid w:val="002942AB"/>
    <w:rsid w:val="00295F53"/>
    <w:rsid w:val="002A093E"/>
    <w:rsid w:val="002A0FB8"/>
    <w:rsid w:val="002A116B"/>
    <w:rsid w:val="002A169A"/>
    <w:rsid w:val="002A1B97"/>
    <w:rsid w:val="002A2EA3"/>
    <w:rsid w:val="002A415C"/>
    <w:rsid w:val="002A57D2"/>
    <w:rsid w:val="002A6193"/>
    <w:rsid w:val="002A66CD"/>
    <w:rsid w:val="002A6901"/>
    <w:rsid w:val="002A6E2B"/>
    <w:rsid w:val="002A717C"/>
    <w:rsid w:val="002A74AD"/>
    <w:rsid w:val="002A7BD4"/>
    <w:rsid w:val="002A7F32"/>
    <w:rsid w:val="002B1EE1"/>
    <w:rsid w:val="002B20A1"/>
    <w:rsid w:val="002B21A5"/>
    <w:rsid w:val="002B226E"/>
    <w:rsid w:val="002B3285"/>
    <w:rsid w:val="002B46D4"/>
    <w:rsid w:val="002B4C49"/>
    <w:rsid w:val="002B54CF"/>
    <w:rsid w:val="002B57F5"/>
    <w:rsid w:val="002B5BE0"/>
    <w:rsid w:val="002B70C7"/>
    <w:rsid w:val="002C06E4"/>
    <w:rsid w:val="002C1F2C"/>
    <w:rsid w:val="002C284D"/>
    <w:rsid w:val="002C3F5F"/>
    <w:rsid w:val="002C4046"/>
    <w:rsid w:val="002C431E"/>
    <w:rsid w:val="002C458A"/>
    <w:rsid w:val="002C46EE"/>
    <w:rsid w:val="002C483C"/>
    <w:rsid w:val="002C63FA"/>
    <w:rsid w:val="002C6BDE"/>
    <w:rsid w:val="002C7D95"/>
    <w:rsid w:val="002D1BE4"/>
    <w:rsid w:val="002D1D6C"/>
    <w:rsid w:val="002D33B0"/>
    <w:rsid w:val="002D3962"/>
    <w:rsid w:val="002D438B"/>
    <w:rsid w:val="002D4C3D"/>
    <w:rsid w:val="002D6323"/>
    <w:rsid w:val="002E074E"/>
    <w:rsid w:val="002E1218"/>
    <w:rsid w:val="002E1C48"/>
    <w:rsid w:val="002E2418"/>
    <w:rsid w:val="002E2DDD"/>
    <w:rsid w:val="002E3755"/>
    <w:rsid w:val="002E3FCF"/>
    <w:rsid w:val="002E4059"/>
    <w:rsid w:val="002E5015"/>
    <w:rsid w:val="002E5739"/>
    <w:rsid w:val="002E6FFD"/>
    <w:rsid w:val="002E7343"/>
    <w:rsid w:val="002E7ACF"/>
    <w:rsid w:val="002F072D"/>
    <w:rsid w:val="002F0C1A"/>
    <w:rsid w:val="002F0CE9"/>
    <w:rsid w:val="002F1E5A"/>
    <w:rsid w:val="002F3BD0"/>
    <w:rsid w:val="002F58D8"/>
    <w:rsid w:val="002F63C1"/>
    <w:rsid w:val="002F7857"/>
    <w:rsid w:val="0030032A"/>
    <w:rsid w:val="003007FA"/>
    <w:rsid w:val="00300A0B"/>
    <w:rsid w:val="0030100F"/>
    <w:rsid w:val="00301D5F"/>
    <w:rsid w:val="00301F46"/>
    <w:rsid w:val="00302D4B"/>
    <w:rsid w:val="00303776"/>
    <w:rsid w:val="00303CAD"/>
    <w:rsid w:val="00303E71"/>
    <w:rsid w:val="00304310"/>
    <w:rsid w:val="00304687"/>
    <w:rsid w:val="00304E7C"/>
    <w:rsid w:val="0030559A"/>
    <w:rsid w:val="00306418"/>
    <w:rsid w:val="003100F3"/>
    <w:rsid w:val="0031023E"/>
    <w:rsid w:val="00310C11"/>
    <w:rsid w:val="00311D8B"/>
    <w:rsid w:val="00311DCB"/>
    <w:rsid w:val="0031243F"/>
    <w:rsid w:val="00312456"/>
    <w:rsid w:val="0031313F"/>
    <w:rsid w:val="00316600"/>
    <w:rsid w:val="00317214"/>
    <w:rsid w:val="003172EC"/>
    <w:rsid w:val="00320253"/>
    <w:rsid w:val="00320B79"/>
    <w:rsid w:val="00320FC1"/>
    <w:rsid w:val="0032150B"/>
    <w:rsid w:val="0032170B"/>
    <w:rsid w:val="00322C74"/>
    <w:rsid w:val="00323325"/>
    <w:rsid w:val="0032377D"/>
    <w:rsid w:val="00323EA6"/>
    <w:rsid w:val="003243B0"/>
    <w:rsid w:val="003243D4"/>
    <w:rsid w:val="00324C7C"/>
    <w:rsid w:val="00325EC0"/>
    <w:rsid w:val="00326A83"/>
    <w:rsid w:val="00326EA2"/>
    <w:rsid w:val="00330729"/>
    <w:rsid w:val="00330822"/>
    <w:rsid w:val="00330D7B"/>
    <w:rsid w:val="00330DA7"/>
    <w:rsid w:val="003323E7"/>
    <w:rsid w:val="00332724"/>
    <w:rsid w:val="003340EC"/>
    <w:rsid w:val="0033421F"/>
    <w:rsid w:val="00334225"/>
    <w:rsid w:val="003350FF"/>
    <w:rsid w:val="00335DC9"/>
    <w:rsid w:val="003363F6"/>
    <w:rsid w:val="00337053"/>
    <w:rsid w:val="0034057C"/>
    <w:rsid w:val="0034141F"/>
    <w:rsid w:val="003416A5"/>
    <w:rsid w:val="003416E2"/>
    <w:rsid w:val="003417A1"/>
    <w:rsid w:val="00341E21"/>
    <w:rsid w:val="00341E6C"/>
    <w:rsid w:val="00343B91"/>
    <w:rsid w:val="00343DCE"/>
    <w:rsid w:val="00344743"/>
    <w:rsid w:val="00350142"/>
    <w:rsid w:val="00350672"/>
    <w:rsid w:val="0035070B"/>
    <w:rsid w:val="00350D3D"/>
    <w:rsid w:val="00351247"/>
    <w:rsid w:val="00353B6D"/>
    <w:rsid w:val="003541D8"/>
    <w:rsid w:val="00354920"/>
    <w:rsid w:val="00355456"/>
    <w:rsid w:val="00355DC6"/>
    <w:rsid w:val="00356A4E"/>
    <w:rsid w:val="00356F72"/>
    <w:rsid w:val="0035716C"/>
    <w:rsid w:val="00357700"/>
    <w:rsid w:val="003604D7"/>
    <w:rsid w:val="00361176"/>
    <w:rsid w:val="003613DA"/>
    <w:rsid w:val="0036164E"/>
    <w:rsid w:val="003622C8"/>
    <w:rsid w:val="0036351E"/>
    <w:rsid w:val="00363615"/>
    <w:rsid w:val="00364521"/>
    <w:rsid w:val="00364D22"/>
    <w:rsid w:val="00365026"/>
    <w:rsid w:val="00366C8C"/>
    <w:rsid w:val="0036780A"/>
    <w:rsid w:val="00367F82"/>
    <w:rsid w:val="00370CB0"/>
    <w:rsid w:val="0037163B"/>
    <w:rsid w:val="00371916"/>
    <w:rsid w:val="00372803"/>
    <w:rsid w:val="00373387"/>
    <w:rsid w:val="003749EC"/>
    <w:rsid w:val="00374AC2"/>
    <w:rsid w:val="003756AF"/>
    <w:rsid w:val="00375815"/>
    <w:rsid w:val="00375832"/>
    <w:rsid w:val="00375FCD"/>
    <w:rsid w:val="003777EE"/>
    <w:rsid w:val="00377848"/>
    <w:rsid w:val="00377EFD"/>
    <w:rsid w:val="00380441"/>
    <w:rsid w:val="00381176"/>
    <w:rsid w:val="00381447"/>
    <w:rsid w:val="00381EE0"/>
    <w:rsid w:val="00382696"/>
    <w:rsid w:val="0038358D"/>
    <w:rsid w:val="00383BDB"/>
    <w:rsid w:val="0038438A"/>
    <w:rsid w:val="00384393"/>
    <w:rsid w:val="003864D2"/>
    <w:rsid w:val="00386AFB"/>
    <w:rsid w:val="00390249"/>
    <w:rsid w:val="003905C8"/>
    <w:rsid w:val="00390BF8"/>
    <w:rsid w:val="0039109D"/>
    <w:rsid w:val="0039165C"/>
    <w:rsid w:val="00391E2E"/>
    <w:rsid w:val="003925E2"/>
    <w:rsid w:val="00392877"/>
    <w:rsid w:val="00392E12"/>
    <w:rsid w:val="00393668"/>
    <w:rsid w:val="00393685"/>
    <w:rsid w:val="00393EB2"/>
    <w:rsid w:val="00394461"/>
    <w:rsid w:val="003948EA"/>
    <w:rsid w:val="00394CA8"/>
    <w:rsid w:val="00394D7E"/>
    <w:rsid w:val="003956E9"/>
    <w:rsid w:val="003965EC"/>
    <w:rsid w:val="00396BA0"/>
    <w:rsid w:val="00396BE3"/>
    <w:rsid w:val="00397A62"/>
    <w:rsid w:val="003A0E17"/>
    <w:rsid w:val="003A123E"/>
    <w:rsid w:val="003A12F1"/>
    <w:rsid w:val="003A1986"/>
    <w:rsid w:val="003A1DF0"/>
    <w:rsid w:val="003A24F5"/>
    <w:rsid w:val="003A2BE3"/>
    <w:rsid w:val="003A357E"/>
    <w:rsid w:val="003A39A8"/>
    <w:rsid w:val="003A3F24"/>
    <w:rsid w:val="003A40EC"/>
    <w:rsid w:val="003A64F4"/>
    <w:rsid w:val="003A6E62"/>
    <w:rsid w:val="003A6FD1"/>
    <w:rsid w:val="003A78B5"/>
    <w:rsid w:val="003A78F9"/>
    <w:rsid w:val="003A7BE8"/>
    <w:rsid w:val="003A7C85"/>
    <w:rsid w:val="003A7E83"/>
    <w:rsid w:val="003A7FBE"/>
    <w:rsid w:val="003B0104"/>
    <w:rsid w:val="003B03A1"/>
    <w:rsid w:val="003B0D09"/>
    <w:rsid w:val="003B12E6"/>
    <w:rsid w:val="003B165A"/>
    <w:rsid w:val="003B1A7B"/>
    <w:rsid w:val="003B2140"/>
    <w:rsid w:val="003B3AB4"/>
    <w:rsid w:val="003B45E3"/>
    <w:rsid w:val="003B4ABD"/>
    <w:rsid w:val="003B504B"/>
    <w:rsid w:val="003B571C"/>
    <w:rsid w:val="003B5AD4"/>
    <w:rsid w:val="003B5C01"/>
    <w:rsid w:val="003B5D10"/>
    <w:rsid w:val="003B5D41"/>
    <w:rsid w:val="003B643A"/>
    <w:rsid w:val="003B6BEF"/>
    <w:rsid w:val="003C01B9"/>
    <w:rsid w:val="003C0AFA"/>
    <w:rsid w:val="003C0CA6"/>
    <w:rsid w:val="003C1B21"/>
    <w:rsid w:val="003C28B8"/>
    <w:rsid w:val="003C3BD5"/>
    <w:rsid w:val="003C3E71"/>
    <w:rsid w:val="003C4519"/>
    <w:rsid w:val="003C5C01"/>
    <w:rsid w:val="003C6934"/>
    <w:rsid w:val="003C7FD0"/>
    <w:rsid w:val="003D0268"/>
    <w:rsid w:val="003D11DD"/>
    <w:rsid w:val="003D1770"/>
    <w:rsid w:val="003D1A43"/>
    <w:rsid w:val="003D1A64"/>
    <w:rsid w:val="003D1AEC"/>
    <w:rsid w:val="003D1DB6"/>
    <w:rsid w:val="003D4123"/>
    <w:rsid w:val="003D58C8"/>
    <w:rsid w:val="003D5C08"/>
    <w:rsid w:val="003D5FF4"/>
    <w:rsid w:val="003D624F"/>
    <w:rsid w:val="003D63DA"/>
    <w:rsid w:val="003D63F9"/>
    <w:rsid w:val="003D7252"/>
    <w:rsid w:val="003D75E8"/>
    <w:rsid w:val="003D769B"/>
    <w:rsid w:val="003D76DE"/>
    <w:rsid w:val="003D7C4D"/>
    <w:rsid w:val="003E0B96"/>
    <w:rsid w:val="003E1982"/>
    <w:rsid w:val="003E26E3"/>
    <w:rsid w:val="003E3072"/>
    <w:rsid w:val="003E31E5"/>
    <w:rsid w:val="003E32ED"/>
    <w:rsid w:val="003E3A39"/>
    <w:rsid w:val="003E3DF8"/>
    <w:rsid w:val="003E58C9"/>
    <w:rsid w:val="003E58D5"/>
    <w:rsid w:val="003E5F91"/>
    <w:rsid w:val="003E601D"/>
    <w:rsid w:val="003E6061"/>
    <w:rsid w:val="003E68B5"/>
    <w:rsid w:val="003E77B5"/>
    <w:rsid w:val="003F0DFC"/>
    <w:rsid w:val="003F0E6C"/>
    <w:rsid w:val="003F12B4"/>
    <w:rsid w:val="003F25D4"/>
    <w:rsid w:val="003F3157"/>
    <w:rsid w:val="003F3C2B"/>
    <w:rsid w:val="003F3DEE"/>
    <w:rsid w:val="003F405A"/>
    <w:rsid w:val="003F57CA"/>
    <w:rsid w:val="003F650B"/>
    <w:rsid w:val="003F6EF0"/>
    <w:rsid w:val="004004E9"/>
    <w:rsid w:val="0040115B"/>
    <w:rsid w:val="00402B25"/>
    <w:rsid w:val="004052C5"/>
    <w:rsid w:val="004059FB"/>
    <w:rsid w:val="00406B7F"/>
    <w:rsid w:val="00406BFE"/>
    <w:rsid w:val="004074B3"/>
    <w:rsid w:val="00407A93"/>
    <w:rsid w:val="004100AA"/>
    <w:rsid w:val="00410CD2"/>
    <w:rsid w:val="00411961"/>
    <w:rsid w:val="00412203"/>
    <w:rsid w:val="0041222F"/>
    <w:rsid w:val="004128F6"/>
    <w:rsid w:val="00413718"/>
    <w:rsid w:val="004137A4"/>
    <w:rsid w:val="00413C18"/>
    <w:rsid w:val="00413C24"/>
    <w:rsid w:val="00414BF2"/>
    <w:rsid w:val="00414F9B"/>
    <w:rsid w:val="0041591A"/>
    <w:rsid w:val="00417DE3"/>
    <w:rsid w:val="00417F91"/>
    <w:rsid w:val="00420B07"/>
    <w:rsid w:val="00420CCC"/>
    <w:rsid w:val="00420E30"/>
    <w:rsid w:val="00421B36"/>
    <w:rsid w:val="00421D3F"/>
    <w:rsid w:val="0042247C"/>
    <w:rsid w:val="00422869"/>
    <w:rsid w:val="00423D2F"/>
    <w:rsid w:val="00423F48"/>
    <w:rsid w:val="004250D2"/>
    <w:rsid w:val="00426448"/>
    <w:rsid w:val="00426613"/>
    <w:rsid w:val="00427408"/>
    <w:rsid w:val="00427457"/>
    <w:rsid w:val="00431A70"/>
    <w:rsid w:val="004321C5"/>
    <w:rsid w:val="0043257A"/>
    <w:rsid w:val="004327EE"/>
    <w:rsid w:val="00432F20"/>
    <w:rsid w:val="004339FC"/>
    <w:rsid w:val="00434202"/>
    <w:rsid w:val="00436305"/>
    <w:rsid w:val="00436FD3"/>
    <w:rsid w:val="00437B95"/>
    <w:rsid w:val="004406CF"/>
    <w:rsid w:val="00441804"/>
    <w:rsid w:val="004435B4"/>
    <w:rsid w:val="00443C24"/>
    <w:rsid w:val="00444D0E"/>
    <w:rsid w:val="0044550A"/>
    <w:rsid w:val="0044640B"/>
    <w:rsid w:val="004464AF"/>
    <w:rsid w:val="00447C98"/>
    <w:rsid w:val="00447F7D"/>
    <w:rsid w:val="004506B1"/>
    <w:rsid w:val="004506BF"/>
    <w:rsid w:val="004524C9"/>
    <w:rsid w:val="00452EF4"/>
    <w:rsid w:val="0045371C"/>
    <w:rsid w:val="00453729"/>
    <w:rsid w:val="0045411C"/>
    <w:rsid w:val="004544CD"/>
    <w:rsid w:val="00454DE4"/>
    <w:rsid w:val="00455993"/>
    <w:rsid w:val="00460032"/>
    <w:rsid w:val="0046048A"/>
    <w:rsid w:val="00461E53"/>
    <w:rsid w:val="00463F50"/>
    <w:rsid w:val="0046548F"/>
    <w:rsid w:val="00465497"/>
    <w:rsid w:val="00466346"/>
    <w:rsid w:val="00466C2C"/>
    <w:rsid w:val="00467498"/>
    <w:rsid w:val="004675F7"/>
    <w:rsid w:val="004676FF"/>
    <w:rsid w:val="004702B0"/>
    <w:rsid w:val="00473F72"/>
    <w:rsid w:val="004751D6"/>
    <w:rsid w:val="00475E6B"/>
    <w:rsid w:val="0047608E"/>
    <w:rsid w:val="004763B0"/>
    <w:rsid w:val="004769EB"/>
    <w:rsid w:val="00476A1A"/>
    <w:rsid w:val="00476DD6"/>
    <w:rsid w:val="00476EE9"/>
    <w:rsid w:val="00477546"/>
    <w:rsid w:val="00477667"/>
    <w:rsid w:val="00477AD3"/>
    <w:rsid w:val="00477DBA"/>
    <w:rsid w:val="00477E20"/>
    <w:rsid w:val="00480034"/>
    <w:rsid w:val="004809DC"/>
    <w:rsid w:val="00480A77"/>
    <w:rsid w:val="00480BB8"/>
    <w:rsid w:val="00481492"/>
    <w:rsid w:val="00481AC6"/>
    <w:rsid w:val="00481D51"/>
    <w:rsid w:val="0048519E"/>
    <w:rsid w:val="00485EC7"/>
    <w:rsid w:val="004860BD"/>
    <w:rsid w:val="00487430"/>
    <w:rsid w:val="00487710"/>
    <w:rsid w:val="0049115D"/>
    <w:rsid w:val="00491430"/>
    <w:rsid w:val="00491A4E"/>
    <w:rsid w:val="004922A7"/>
    <w:rsid w:val="00492FAB"/>
    <w:rsid w:val="0049514C"/>
    <w:rsid w:val="00495D70"/>
    <w:rsid w:val="004960B3"/>
    <w:rsid w:val="004962E4"/>
    <w:rsid w:val="00496DAA"/>
    <w:rsid w:val="00497150"/>
    <w:rsid w:val="00497BA6"/>
    <w:rsid w:val="004A0079"/>
    <w:rsid w:val="004A0337"/>
    <w:rsid w:val="004A0A7B"/>
    <w:rsid w:val="004A0BB0"/>
    <w:rsid w:val="004A1745"/>
    <w:rsid w:val="004A1B57"/>
    <w:rsid w:val="004A1C04"/>
    <w:rsid w:val="004A1FC1"/>
    <w:rsid w:val="004A260B"/>
    <w:rsid w:val="004A26CD"/>
    <w:rsid w:val="004A2C97"/>
    <w:rsid w:val="004A2CF1"/>
    <w:rsid w:val="004A3584"/>
    <w:rsid w:val="004A3752"/>
    <w:rsid w:val="004A3891"/>
    <w:rsid w:val="004A40EF"/>
    <w:rsid w:val="004A466C"/>
    <w:rsid w:val="004A5097"/>
    <w:rsid w:val="004A5121"/>
    <w:rsid w:val="004A577A"/>
    <w:rsid w:val="004A5780"/>
    <w:rsid w:val="004A6AE8"/>
    <w:rsid w:val="004A6ECB"/>
    <w:rsid w:val="004A7990"/>
    <w:rsid w:val="004B1796"/>
    <w:rsid w:val="004B1DA9"/>
    <w:rsid w:val="004B2A07"/>
    <w:rsid w:val="004B2FD6"/>
    <w:rsid w:val="004B3992"/>
    <w:rsid w:val="004B3F2D"/>
    <w:rsid w:val="004B4E57"/>
    <w:rsid w:val="004B591D"/>
    <w:rsid w:val="004B5A60"/>
    <w:rsid w:val="004B7542"/>
    <w:rsid w:val="004B769A"/>
    <w:rsid w:val="004B7DB2"/>
    <w:rsid w:val="004B7E7A"/>
    <w:rsid w:val="004C14AC"/>
    <w:rsid w:val="004C17E0"/>
    <w:rsid w:val="004C30D4"/>
    <w:rsid w:val="004C36F9"/>
    <w:rsid w:val="004C4ACC"/>
    <w:rsid w:val="004C51C1"/>
    <w:rsid w:val="004C6F68"/>
    <w:rsid w:val="004C78C8"/>
    <w:rsid w:val="004C7AEC"/>
    <w:rsid w:val="004C7E83"/>
    <w:rsid w:val="004D01DA"/>
    <w:rsid w:val="004D0E1D"/>
    <w:rsid w:val="004D151D"/>
    <w:rsid w:val="004D18DE"/>
    <w:rsid w:val="004D19CC"/>
    <w:rsid w:val="004D2B43"/>
    <w:rsid w:val="004D3573"/>
    <w:rsid w:val="004D42A5"/>
    <w:rsid w:val="004D583C"/>
    <w:rsid w:val="004D5DB3"/>
    <w:rsid w:val="004D6AAE"/>
    <w:rsid w:val="004E019E"/>
    <w:rsid w:val="004E0AA4"/>
    <w:rsid w:val="004E0D17"/>
    <w:rsid w:val="004E24D4"/>
    <w:rsid w:val="004E2B43"/>
    <w:rsid w:val="004E2CEB"/>
    <w:rsid w:val="004E345F"/>
    <w:rsid w:val="004E3BBA"/>
    <w:rsid w:val="004E401B"/>
    <w:rsid w:val="004E41C7"/>
    <w:rsid w:val="004E43D5"/>
    <w:rsid w:val="004E446D"/>
    <w:rsid w:val="004E5BB8"/>
    <w:rsid w:val="004E660C"/>
    <w:rsid w:val="004E747A"/>
    <w:rsid w:val="004E7603"/>
    <w:rsid w:val="004E7759"/>
    <w:rsid w:val="004E7842"/>
    <w:rsid w:val="004E7C22"/>
    <w:rsid w:val="004E7DB7"/>
    <w:rsid w:val="004F0223"/>
    <w:rsid w:val="004F0E3C"/>
    <w:rsid w:val="004F26C4"/>
    <w:rsid w:val="004F2C69"/>
    <w:rsid w:val="004F2D88"/>
    <w:rsid w:val="004F2F70"/>
    <w:rsid w:val="004F3134"/>
    <w:rsid w:val="004F3156"/>
    <w:rsid w:val="004F3D21"/>
    <w:rsid w:val="004F4D64"/>
    <w:rsid w:val="004F582B"/>
    <w:rsid w:val="004F60EF"/>
    <w:rsid w:val="004F637B"/>
    <w:rsid w:val="004F6532"/>
    <w:rsid w:val="004F67C2"/>
    <w:rsid w:val="004F6E78"/>
    <w:rsid w:val="00501150"/>
    <w:rsid w:val="00501276"/>
    <w:rsid w:val="005014BB"/>
    <w:rsid w:val="00501A0B"/>
    <w:rsid w:val="00502502"/>
    <w:rsid w:val="005028CC"/>
    <w:rsid w:val="005036C3"/>
    <w:rsid w:val="005070C3"/>
    <w:rsid w:val="00510D32"/>
    <w:rsid w:val="00510E39"/>
    <w:rsid w:val="00511BC6"/>
    <w:rsid w:val="00511FA0"/>
    <w:rsid w:val="0051276F"/>
    <w:rsid w:val="005130AC"/>
    <w:rsid w:val="00517427"/>
    <w:rsid w:val="00520C2F"/>
    <w:rsid w:val="00521A73"/>
    <w:rsid w:val="005220BE"/>
    <w:rsid w:val="005223C0"/>
    <w:rsid w:val="00523D57"/>
    <w:rsid w:val="00524076"/>
    <w:rsid w:val="0052421B"/>
    <w:rsid w:val="005242AD"/>
    <w:rsid w:val="0052622D"/>
    <w:rsid w:val="00526575"/>
    <w:rsid w:val="0052716F"/>
    <w:rsid w:val="00527DAD"/>
    <w:rsid w:val="005308B8"/>
    <w:rsid w:val="00530F7C"/>
    <w:rsid w:val="005319DA"/>
    <w:rsid w:val="00532035"/>
    <w:rsid w:val="005336C5"/>
    <w:rsid w:val="00533B79"/>
    <w:rsid w:val="00533C44"/>
    <w:rsid w:val="00533FD4"/>
    <w:rsid w:val="00534258"/>
    <w:rsid w:val="0053462F"/>
    <w:rsid w:val="0053527A"/>
    <w:rsid w:val="00535C1C"/>
    <w:rsid w:val="00536006"/>
    <w:rsid w:val="005366E5"/>
    <w:rsid w:val="00536B36"/>
    <w:rsid w:val="00540E5A"/>
    <w:rsid w:val="005423DD"/>
    <w:rsid w:val="00542B7D"/>
    <w:rsid w:val="00542D5F"/>
    <w:rsid w:val="005435DE"/>
    <w:rsid w:val="00543AD3"/>
    <w:rsid w:val="005441AD"/>
    <w:rsid w:val="00544B35"/>
    <w:rsid w:val="00544C28"/>
    <w:rsid w:val="00545B62"/>
    <w:rsid w:val="005462BA"/>
    <w:rsid w:val="00546769"/>
    <w:rsid w:val="00546BAE"/>
    <w:rsid w:val="00546C4E"/>
    <w:rsid w:val="0054704A"/>
    <w:rsid w:val="005475F1"/>
    <w:rsid w:val="00547D7E"/>
    <w:rsid w:val="00550418"/>
    <w:rsid w:val="005504F6"/>
    <w:rsid w:val="00550C0B"/>
    <w:rsid w:val="00552EBD"/>
    <w:rsid w:val="00553061"/>
    <w:rsid w:val="00553827"/>
    <w:rsid w:val="00553A6B"/>
    <w:rsid w:val="005544AF"/>
    <w:rsid w:val="00555F71"/>
    <w:rsid w:val="00557D01"/>
    <w:rsid w:val="00560495"/>
    <w:rsid w:val="00560FD1"/>
    <w:rsid w:val="005614EF"/>
    <w:rsid w:val="005638D9"/>
    <w:rsid w:val="00563BEB"/>
    <w:rsid w:val="005651B9"/>
    <w:rsid w:val="00565223"/>
    <w:rsid w:val="0056535E"/>
    <w:rsid w:val="00565EE6"/>
    <w:rsid w:val="00566562"/>
    <w:rsid w:val="00566696"/>
    <w:rsid w:val="00566849"/>
    <w:rsid w:val="0056798A"/>
    <w:rsid w:val="00567E79"/>
    <w:rsid w:val="0057089E"/>
    <w:rsid w:val="00570981"/>
    <w:rsid w:val="00571C37"/>
    <w:rsid w:val="0057292B"/>
    <w:rsid w:val="005732E7"/>
    <w:rsid w:val="005734F4"/>
    <w:rsid w:val="005740F6"/>
    <w:rsid w:val="005743D2"/>
    <w:rsid w:val="005746D4"/>
    <w:rsid w:val="00574C83"/>
    <w:rsid w:val="00575905"/>
    <w:rsid w:val="00576FAF"/>
    <w:rsid w:val="00576FDA"/>
    <w:rsid w:val="00577825"/>
    <w:rsid w:val="005802BD"/>
    <w:rsid w:val="00580BBC"/>
    <w:rsid w:val="005818E7"/>
    <w:rsid w:val="0058220D"/>
    <w:rsid w:val="005828EE"/>
    <w:rsid w:val="00583228"/>
    <w:rsid w:val="00583A2A"/>
    <w:rsid w:val="0058487B"/>
    <w:rsid w:val="00584915"/>
    <w:rsid w:val="00585B48"/>
    <w:rsid w:val="00585BFC"/>
    <w:rsid w:val="005864DC"/>
    <w:rsid w:val="00586FA8"/>
    <w:rsid w:val="00586FDF"/>
    <w:rsid w:val="00587F23"/>
    <w:rsid w:val="00590A85"/>
    <w:rsid w:val="005912F7"/>
    <w:rsid w:val="00591E3A"/>
    <w:rsid w:val="00592510"/>
    <w:rsid w:val="00593411"/>
    <w:rsid w:val="00593CB4"/>
    <w:rsid w:val="00593E68"/>
    <w:rsid w:val="0059433D"/>
    <w:rsid w:val="005A04BD"/>
    <w:rsid w:val="005A16B3"/>
    <w:rsid w:val="005A1884"/>
    <w:rsid w:val="005A52AC"/>
    <w:rsid w:val="005A62BE"/>
    <w:rsid w:val="005A6C82"/>
    <w:rsid w:val="005A738C"/>
    <w:rsid w:val="005B02DF"/>
    <w:rsid w:val="005B08E6"/>
    <w:rsid w:val="005B0D7C"/>
    <w:rsid w:val="005B0E86"/>
    <w:rsid w:val="005B2B96"/>
    <w:rsid w:val="005B5416"/>
    <w:rsid w:val="005B5CB1"/>
    <w:rsid w:val="005B5D03"/>
    <w:rsid w:val="005B6854"/>
    <w:rsid w:val="005C04CB"/>
    <w:rsid w:val="005C0E92"/>
    <w:rsid w:val="005C1800"/>
    <w:rsid w:val="005C1943"/>
    <w:rsid w:val="005C2BEF"/>
    <w:rsid w:val="005C3570"/>
    <w:rsid w:val="005C37A0"/>
    <w:rsid w:val="005C4034"/>
    <w:rsid w:val="005C483A"/>
    <w:rsid w:val="005C48AE"/>
    <w:rsid w:val="005C491D"/>
    <w:rsid w:val="005C4955"/>
    <w:rsid w:val="005C4DA8"/>
    <w:rsid w:val="005C4E98"/>
    <w:rsid w:val="005C5721"/>
    <w:rsid w:val="005C5BF9"/>
    <w:rsid w:val="005C5F0C"/>
    <w:rsid w:val="005C651C"/>
    <w:rsid w:val="005C656A"/>
    <w:rsid w:val="005D0941"/>
    <w:rsid w:val="005D1427"/>
    <w:rsid w:val="005D22D3"/>
    <w:rsid w:val="005D26B8"/>
    <w:rsid w:val="005D285E"/>
    <w:rsid w:val="005D364D"/>
    <w:rsid w:val="005D3841"/>
    <w:rsid w:val="005D457F"/>
    <w:rsid w:val="005D49C8"/>
    <w:rsid w:val="005D5607"/>
    <w:rsid w:val="005D5B86"/>
    <w:rsid w:val="005D6A2B"/>
    <w:rsid w:val="005D6AD9"/>
    <w:rsid w:val="005E1099"/>
    <w:rsid w:val="005E15D1"/>
    <w:rsid w:val="005E1BC2"/>
    <w:rsid w:val="005E1EE5"/>
    <w:rsid w:val="005E2F72"/>
    <w:rsid w:val="005E32ED"/>
    <w:rsid w:val="005E37E9"/>
    <w:rsid w:val="005E4B75"/>
    <w:rsid w:val="005E4BAF"/>
    <w:rsid w:val="005E6CA4"/>
    <w:rsid w:val="005E6E23"/>
    <w:rsid w:val="005E7994"/>
    <w:rsid w:val="005F03DB"/>
    <w:rsid w:val="005F0F0A"/>
    <w:rsid w:val="005F13CF"/>
    <w:rsid w:val="005F220F"/>
    <w:rsid w:val="005F2E78"/>
    <w:rsid w:val="005F3BF5"/>
    <w:rsid w:val="005F48F1"/>
    <w:rsid w:val="005F52F4"/>
    <w:rsid w:val="005F7BA4"/>
    <w:rsid w:val="00600280"/>
    <w:rsid w:val="0060111D"/>
    <w:rsid w:val="00601E59"/>
    <w:rsid w:val="00602657"/>
    <w:rsid w:val="00602736"/>
    <w:rsid w:val="0060381C"/>
    <w:rsid w:val="00603A46"/>
    <w:rsid w:val="006045FD"/>
    <w:rsid w:val="00605E6E"/>
    <w:rsid w:val="00606194"/>
    <w:rsid w:val="00607826"/>
    <w:rsid w:val="0061051A"/>
    <w:rsid w:val="00610656"/>
    <w:rsid w:val="00610DF8"/>
    <w:rsid w:val="0061115C"/>
    <w:rsid w:val="00611A49"/>
    <w:rsid w:val="00611ADB"/>
    <w:rsid w:val="006127B0"/>
    <w:rsid w:val="00613017"/>
    <w:rsid w:val="00613A54"/>
    <w:rsid w:val="00614619"/>
    <w:rsid w:val="006146D1"/>
    <w:rsid w:val="006157C9"/>
    <w:rsid w:val="00616189"/>
    <w:rsid w:val="00617B73"/>
    <w:rsid w:val="0062078C"/>
    <w:rsid w:val="00620E8F"/>
    <w:rsid w:val="00621760"/>
    <w:rsid w:val="006217BB"/>
    <w:rsid w:val="00625134"/>
    <w:rsid w:val="00625ADA"/>
    <w:rsid w:val="00625BD5"/>
    <w:rsid w:val="00625DFB"/>
    <w:rsid w:val="006277B7"/>
    <w:rsid w:val="00627FA4"/>
    <w:rsid w:val="00632E54"/>
    <w:rsid w:val="00633619"/>
    <w:rsid w:val="00633635"/>
    <w:rsid w:val="00633BA6"/>
    <w:rsid w:val="00634436"/>
    <w:rsid w:val="00634D1A"/>
    <w:rsid w:val="00635173"/>
    <w:rsid w:val="00635CA0"/>
    <w:rsid w:val="00635DD5"/>
    <w:rsid w:val="00636904"/>
    <w:rsid w:val="00636D9C"/>
    <w:rsid w:val="00637179"/>
    <w:rsid w:val="00637EC0"/>
    <w:rsid w:val="0064182B"/>
    <w:rsid w:val="006418ED"/>
    <w:rsid w:val="0064229C"/>
    <w:rsid w:val="00642B13"/>
    <w:rsid w:val="0064309D"/>
    <w:rsid w:val="006431FF"/>
    <w:rsid w:val="00644B26"/>
    <w:rsid w:val="00645F7D"/>
    <w:rsid w:val="00645F85"/>
    <w:rsid w:val="00646100"/>
    <w:rsid w:val="00646C1B"/>
    <w:rsid w:val="006476CA"/>
    <w:rsid w:val="00650554"/>
    <w:rsid w:val="00650BF8"/>
    <w:rsid w:val="0065303D"/>
    <w:rsid w:val="00654AF0"/>
    <w:rsid w:val="00655265"/>
    <w:rsid w:val="006552AE"/>
    <w:rsid w:val="00655773"/>
    <w:rsid w:val="00655DD0"/>
    <w:rsid w:val="006563CA"/>
    <w:rsid w:val="00656730"/>
    <w:rsid w:val="006578FC"/>
    <w:rsid w:val="006607B1"/>
    <w:rsid w:val="006608AB"/>
    <w:rsid w:val="006609AC"/>
    <w:rsid w:val="006611C7"/>
    <w:rsid w:val="0066144D"/>
    <w:rsid w:val="006615D6"/>
    <w:rsid w:val="0066170D"/>
    <w:rsid w:val="00661857"/>
    <w:rsid w:val="00661AD1"/>
    <w:rsid w:val="006620DA"/>
    <w:rsid w:val="0066371D"/>
    <w:rsid w:val="006637A2"/>
    <w:rsid w:val="00663A6B"/>
    <w:rsid w:val="00664587"/>
    <w:rsid w:val="006646D0"/>
    <w:rsid w:val="00664B6D"/>
    <w:rsid w:val="00665955"/>
    <w:rsid w:val="00666F25"/>
    <w:rsid w:val="00667045"/>
    <w:rsid w:val="00667C1C"/>
    <w:rsid w:val="0067001F"/>
    <w:rsid w:val="006702FA"/>
    <w:rsid w:val="00670A43"/>
    <w:rsid w:val="00671AE7"/>
    <w:rsid w:val="0067227D"/>
    <w:rsid w:val="00673DD4"/>
    <w:rsid w:val="00674AEB"/>
    <w:rsid w:val="006755B4"/>
    <w:rsid w:val="00675FFF"/>
    <w:rsid w:val="006760F3"/>
    <w:rsid w:val="0067655A"/>
    <w:rsid w:val="00676907"/>
    <w:rsid w:val="0067744D"/>
    <w:rsid w:val="006775EF"/>
    <w:rsid w:val="00677A5D"/>
    <w:rsid w:val="00677F62"/>
    <w:rsid w:val="0068028B"/>
    <w:rsid w:val="00680A15"/>
    <w:rsid w:val="00681732"/>
    <w:rsid w:val="00681D84"/>
    <w:rsid w:val="006828D8"/>
    <w:rsid w:val="0068455C"/>
    <w:rsid w:val="006845C0"/>
    <w:rsid w:val="00684600"/>
    <w:rsid w:val="00684887"/>
    <w:rsid w:val="00685898"/>
    <w:rsid w:val="00685D11"/>
    <w:rsid w:val="006867FA"/>
    <w:rsid w:val="006907C6"/>
    <w:rsid w:val="00690B13"/>
    <w:rsid w:val="00690EE9"/>
    <w:rsid w:val="00690F20"/>
    <w:rsid w:val="00693C8E"/>
    <w:rsid w:val="00693E63"/>
    <w:rsid w:val="00694912"/>
    <w:rsid w:val="00694A75"/>
    <w:rsid w:val="006969BA"/>
    <w:rsid w:val="00696DD6"/>
    <w:rsid w:val="006975FA"/>
    <w:rsid w:val="00697E11"/>
    <w:rsid w:val="00697F3E"/>
    <w:rsid w:val="00697FF1"/>
    <w:rsid w:val="006A026A"/>
    <w:rsid w:val="006A0425"/>
    <w:rsid w:val="006A09CB"/>
    <w:rsid w:val="006A0EB1"/>
    <w:rsid w:val="006A1CFF"/>
    <w:rsid w:val="006A1D62"/>
    <w:rsid w:val="006A2363"/>
    <w:rsid w:val="006A43A7"/>
    <w:rsid w:val="006A4EAE"/>
    <w:rsid w:val="006A52CC"/>
    <w:rsid w:val="006A56C3"/>
    <w:rsid w:val="006A67AA"/>
    <w:rsid w:val="006A6B88"/>
    <w:rsid w:val="006A6D7F"/>
    <w:rsid w:val="006B0298"/>
    <w:rsid w:val="006B0962"/>
    <w:rsid w:val="006B0D07"/>
    <w:rsid w:val="006B0E83"/>
    <w:rsid w:val="006B180E"/>
    <w:rsid w:val="006B385B"/>
    <w:rsid w:val="006B4562"/>
    <w:rsid w:val="006B5493"/>
    <w:rsid w:val="006B6FED"/>
    <w:rsid w:val="006B72F6"/>
    <w:rsid w:val="006B77E2"/>
    <w:rsid w:val="006C005A"/>
    <w:rsid w:val="006C10C0"/>
    <w:rsid w:val="006C1B1D"/>
    <w:rsid w:val="006C2508"/>
    <w:rsid w:val="006C2D0D"/>
    <w:rsid w:val="006C2D71"/>
    <w:rsid w:val="006C2F3E"/>
    <w:rsid w:val="006C32BB"/>
    <w:rsid w:val="006C3747"/>
    <w:rsid w:val="006C3761"/>
    <w:rsid w:val="006C3FEB"/>
    <w:rsid w:val="006C4E8F"/>
    <w:rsid w:val="006C5817"/>
    <w:rsid w:val="006C5AE1"/>
    <w:rsid w:val="006C6180"/>
    <w:rsid w:val="006C6FE3"/>
    <w:rsid w:val="006C7416"/>
    <w:rsid w:val="006C7760"/>
    <w:rsid w:val="006C7EEA"/>
    <w:rsid w:val="006D084C"/>
    <w:rsid w:val="006D0CF8"/>
    <w:rsid w:val="006D1B66"/>
    <w:rsid w:val="006D1CE0"/>
    <w:rsid w:val="006D233A"/>
    <w:rsid w:val="006D2764"/>
    <w:rsid w:val="006D3202"/>
    <w:rsid w:val="006D326E"/>
    <w:rsid w:val="006D4FC4"/>
    <w:rsid w:val="006D522C"/>
    <w:rsid w:val="006D559B"/>
    <w:rsid w:val="006D56AA"/>
    <w:rsid w:val="006D6A65"/>
    <w:rsid w:val="006D7795"/>
    <w:rsid w:val="006D7ACB"/>
    <w:rsid w:val="006D7D14"/>
    <w:rsid w:val="006E00EF"/>
    <w:rsid w:val="006E06BB"/>
    <w:rsid w:val="006E1A7A"/>
    <w:rsid w:val="006E4723"/>
    <w:rsid w:val="006E716F"/>
    <w:rsid w:val="006E7DA9"/>
    <w:rsid w:val="006E7DEE"/>
    <w:rsid w:val="006F01E7"/>
    <w:rsid w:val="006F0FD7"/>
    <w:rsid w:val="006F13AF"/>
    <w:rsid w:val="006F1F3A"/>
    <w:rsid w:val="006F2104"/>
    <w:rsid w:val="006F6CA7"/>
    <w:rsid w:val="006F7EB8"/>
    <w:rsid w:val="007007DA"/>
    <w:rsid w:val="00700825"/>
    <w:rsid w:val="0070094A"/>
    <w:rsid w:val="00701DE4"/>
    <w:rsid w:val="00702DD7"/>
    <w:rsid w:val="00704085"/>
    <w:rsid w:val="00704138"/>
    <w:rsid w:val="00704305"/>
    <w:rsid w:val="007043CB"/>
    <w:rsid w:val="0070476D"/>
    <w:rsid w:val="007047D3"/>
    <w:rsid w:val="00704B24"/>
    <w:rsid w:val="00705663"/>
    <w:rsid w:val="00705C40"/>
    <w:rsid w:val="00707743"/>
    <w:rsid w:val="00710855"/>
    <w:rsid w:val="0071087E"/>
    <w:rsid w:val="00711EF8"/>
    <w:rsid w:val="00712750"/>
    <w:rsid w:val="00713A8D"/>
    <w:rsid w:val="00713EB7"/>
    <w:rsid w:val="00713EC3"/>
    <w:rsid w:val="007143A9"/>
    <w:rsid w:val="007145CD"/>
    <w:rsid w:val="007147C2"/>
    <w:rsid w:val="0071508D"/>
    <w:rsid w:val="0071622D"/>
    <w:rsid w:val="007169A8"/>
    <w:rsid w:val="00716C32"/>
    <w:rsid w:val="00721648"/>
    <w:rsid w:val="00721B25"/>
    <w:rsid w:val="007229A1"/>
    <w:rsid w:val="00722F18"/>
    <w:rsid w:val="007235AA"/>
    <w:rsid w:val="00724BD3"/>
    <w:rsid w:val="00725E35"/>
    <w:rsid w:val="00730D13"/>
    <w:rsid w:val="00730D35"/>
    <w:rsid w:val="007312DB"/>
    <w:rsid w:val="00731461"/>
    <w:rsid w:val="00731D11"/>
    <w:rsid w:val="00732289"/>
    <w:rsid w:val="00733CE0"/>
    <w:rsid w:val="007343FD"/>
    <w:rsid w:val="00734FB9"/>
    <w:rsid w:val="007355EC"/>
    <w:rsid w:val="00735843"/>
    <w:rsid w:val="00735915"/>
    <w:rsid w:val="00735C21"/>
    <w:rsid w:val="00735FE4"/>
    <w:rsid w:val="0073614A"/>
    <w:rsid w:val="00736FF2"/>
    <w:rsid w:val="00737D63"/>
    <w:rsid w:val="00740478"/>
    <w:rsid w:val="00740C8C"/>
    <w:rsid w:val="00741745"/>
    <w:rsid w:val="00741AC4"/>
    <w:rsid w:val="007429E1"/>
    <w:rsid w:val="00742CA5"/>
    <w:rsid w:val="00743CA7"/>
    <w:rsid w:val="007447C7"/>
    <w:rsid w:val="0074489F"/>
    <w:rsid w:val="0074594A"/>
    <w:rsid w:val="00746642"/>
    <w:rsid w:val="00747181"/>
    <w:rsid w:val="0075065B"/>
    <w:rsid w:val="00750C77"/>
    <w:rsid w:val="007513F0"/>
    <w:rsid w:val="007515BC"/>
    <w:rsid w:val="00751953"/>
    <w:rsid w:val="00752606"/>
    <w:rsid w:val="007533B0"/>
    <w:rsid w:val="00753CF0"/>
    <w:rsid w:val="0075402E"/>
    <w:rsid w:val="007561A3"/>
    <w:rsid w:val="00756CA2"/>
    <w:rsid w:val="00756D31"/>
    <w:rsid w:val="00756D3D"/>
    <w:rsid w:val="007573B2"/>
    <w:rsid w:val="007574BB"/>
    <w:rsid w:val="0075764C"/>
    <w:rsid w:val="00757CFF"/>
    <w:rsid w:val="00760712"/>
    <w:rsid w:val="00761D17"/>
    <w:rsid w:val="00762198"/>
    <w:rsid w:val="007625A2"/>
    <w:rsid w:val="007628DA"/>
    <w:rsid w:val="00762E28"/>
    <w:rsid w:val="00763CE8"/>
    <w:rsid w:val="007648CF"/>
    <w:rsid w:val="00765BD5"/>
    <w:rsid w:val="00765E07"/>
    <w:rsid w:val="007660BA"/>
    <w:rsid w:val="0076703C"/>
    <w:rsid w:val="00767C15"/>
    <w:rsid w:val="00770792"/>
    <w:rsid w:val="00770FB7"/>
    <w:rsid w:val="007733A0"/>
    <w:rsid w:val="007737B5"/>
    <w:rsid w:val="00773A22"/>
    <w:rsid w:val="00774B5C"/>
    <w:rsid w:val="00774FFE"/>
    <w:rsid w:val="00775638"/>
    <w:rsid w:val="00775677"/>
    <w:rsid w:val="0077599A"/>
    <w:rsid w:val="00775B6D"/>
    <w:rsid w:val="00776648"/>
    <w:rsid w:val="00776811"/>
    <w:rsid w:val="0077724D"/>
    <w:rsid w:val="00777353"/>
    <w:rsid w:val="00777ABC"/>
    <w:rsid w:val="00777C4E"/>
    <w:rsid w:val="007804C8"/>
    <w:rsid w:val="00780571"/>
    <w:rsid w:val="0078080D"/>
    <w:rsid w:val="00780CD6"/>
    <w:rsid w:val="007812D1"/>
    <w:rsid w:val="00781A64"/>
    <w:rsid w:val="00782EA4"/>
    <w:rsid w:val="00784834"/>
    <w:rsid w:val="00785461"/>
    <w:rsid w:val="00785A0A"/>
    <w:rsid w:val="00785DC5"/>
    <w:rsid w:val="0078639C"/>
    <w:rsid w:val="00786B36"/>
    <w:rsid w:val="00786F25"/>
    <w:rsid w:val="00786FF3"/>
    <w:rsid w:val="0078758E"/>
    <w:rsid w:val="007875F5"/>
    <w:rsid w:val="007876CF"/>
    <w:rsid w:val="00787B77"/>
    <w:rsid w:val="00790309"/>
    <w:rsid w:val="007929AE"/>
    <w:rsid w:val="00793090"/>
    <w:rsid w:val="00793B8B"/>
    <w:rsid w:val="007948A8"/>
    <w:rsid w:val="007958AC"/>
    <w:rsid w:val="00795CBE"/>
    <w:rsid w:val="00796484"/>
    <w:rsid w:val="007967B8"/>
    <w:rsid w:val="00796F2A"/>
    <w:rsid w:val="00797A1E"/>
    <w:rsid w:val="007A0176"/>
    <w:rsid w:val="007A0F2A"/>
    <w:rsid w:val="007A0FF8"/>
    <w:rsid w:val="007A1632"/>
    <w:rsid w:val="007A198B"/>
    <w:rsid w:val="007A1E47"/>
    <w:rsid w:val="007A2086"/>
    <w:rsid w:val="007A249F"/>
    <w:rsid w:val="007A24FC"/>
    <w:rsid w:val="007A2F67"/>
    <w:rsid w:val="007A3918"/>
    <w:rsid w:val="007A3B65"/>
    <w:rsid w:val="007A409E"/>
    <w:rsid w:val="007A4296"/>
    <w:rsid w:val="007A43AB"/>
    <w:rsid w:val="007A5398"/>
    <w:rsid w:val="007A5C59"/>
    <w:rsid w:val="007B00A0"/>
    <w:rsid w:val="007B0C10"/>
    <w:rsid w:val="007B0E89"/>
    <w:rsid w:val="007B2C38"/>
    <w:rsid w:val="007B2E54"/>
    <w:rsid w:val="007B31B9"/>
    <w:rsid w:val="007B38DE"/>
    <w:rsid w:val="007B56A8"/>
    <w:rsid w:val="007B7498"/>
    <w:rsid w:val="007B77DC"/>
    <w:rsid w:val="007B7AEE"/>
    <w:rsid w:val="007C02F6"/>
    <w:rsid w:val="007C0D24"/>
    <w:rsid w:val="007C3E2E"/>
    <w:rsid w:val="007C5C9B"/>
    <w:rsid w:val="007C6C24"/>
    <w:rsid w:val="007C71CF"/>
    <w:rsid w:val="007C7EB6"/>
    <w:rsid w:val="007D03CB"/>
    <w:rsid w:val="007D12D8"/>
    <w:rsid w:val="007D1667"/>
    <w:rsid w:val="007D1BCD"/>
    <w:rsid w:val="007D2BE6"/>
    <w:rsid w:val="007D2F75"/>
    <w:rsid w:val="007D48A3"/>
    <w:rsid w:val="007D4F74"/>
    <w:rsid w:val="007D5BF3"/>
    <w:rsid w:val="007D5BF9"/>
    <w:rsid w:val="007D710E"/>
    <w:rsid w:val="007D7215"/>
    <w:rsid w:val="007D7E3A"/>
    <w:rsid w:val="007E05D3"/>
    <w:rsid w:val="007E1177"/>
    <w:rsid w:val="007E1A0F"/>
    <w:rsid w:val="007E22E7"/>
    <w:rsid w:val="007E2467"/>
    <w:rsid w:val="007E2893"/>
    <w:rsid w:val="007E2C7F"/>
    <w:rsid w:val="007E3AF4"/>
    <w:rsid w:val="007E4232"/>
    <w:rsid w:val="007E4478"/>
    <w:rsid w:val="007E4927"/>
    <w:rsid w:val="007E4ED9"/>
    <w:rsid w:val="007E5C53"/>
    <w:rsid w:val="007E5C74"/>
    <w:rsid w:val="007E6649"/>
    <w:rsid w:val="007E69BB"/>
    <w:rsid w:val="007E6AB8"/>
    <w:rsid w:val="007E70B9"/>
    <w:rsid w:val="007E70FD"/>
    <w:rsid w:val="007E728E"/>
    <w:rsid w:val="007E7E96"/>
    <w:rsid w:val="007F08FC"/>
    <w:rsid w:val="007F19DA"/>
    <w:rsid w:val="007F2109"/>
    <w:rsid w:val="007F21C5"/>
    <w:rsid w:val="007F26EE"/>
    <w:rsid w:val="007F34CB"/>
    <w:rsid w:val="007F3889"/>
    <w:rsid w:val="007F3A61"/>
    <w:rsid w:val="007F3EF1"/>
    <w:rsid w:val="007F4EB7"/>
    <w:rsid w:val="007F70A0"/>
    <w:rsid w:val="007F77C3"/>
    <w:rsid w:val="0080056E"/>
    <w:rsid w:val="00801457"/>
    <w:rsid w:val="00801BCE"/>
    <w:rsid w:val="00801E7D"/>
    <w:rsid w:val="00802515"/>
    <w:rsid w:val="0080254F"/>
    <w:rsid w:val="0080373C"/>
    <w:rsid w:val="00803E3D"/>
    <w:rsid w:val="00807232"/>
    <w:rsid w:val="00807627"/>
    <w:rsid w:val="00807636"/>
    <w:rsid w:val="00807982"/>
    <w:rsid w:val="00807B88"/>
    <w:rsid w:val="00811CA6"/>
    <w:rsid w:val="00811FE9"/>
    <w:rsid w:val="0081283F"/>
    <w:rsid w:val="00812A28"/>
    <w:rsid w:val="00812C0C"/>
    <w:rsid w:val="0081376F"/>
    <w:rsid w:val="00813AD9"/>
    <w:rsid w:val="0081480A"/>
    <w:rsid w:val="00815998"/>
    <w:rsid w:val="00815D79"/>
    <w:rsid w:val="00815DA9"/>
    <w:rsid w:val="00816051"/>
    <w:rsid w:val="00816C59"/>
    <w:rsid w:val="0081793A"/>
    <w:rsid w:val="00817F96"/>
    <w:rsid w:val="008202EB"/>
    <w:rsid w:val="008202EE"/>
    <w:rsid w:val="0082060B"/>
    <w:rsid w:val="008209BE"/>
    <w:rsid w:val="00820F86"/>
    <w:rsid w:val="008216D3"/>
    <w:rsid w:val="00821D62"/>
    <w:rsid w:val="00821E14"/>
    <w:rsid w:val="008221B0"/>
    <w:rsid w:val="008231C8"/>
    <w:rsid w:val="008242C5"/>
    <w:rsid w:val="0082496F"/>
    <w:rsid w:val="00825F1D"/>
    <w:rsid w:val="008267E8"/>
    <w:rsid w:val="00826BB6"/>
    <w:rsid w:val="0082778C"/>
    <w:rsid w:val="00827F88"/>
    <w:rsid w:val="008310F6"/>
    <w:rsid w:val="008315CE"/>
    <w:rsid w:val="00831AA8"/>
    <w:rsid w:val="008336A5"/>
    <w:rsid w:val="0083454E"/>
    <w:rsid w:val="00834C4C"/>
    <w:rsid w:val="00835107"/>
    <w:rsid w:val="00835474"/>
    <w:rsid w:val="00836653"/>
    <w:rsid w:val="008373C0"/>
    <w:rsid w:val="00837A48"/>
    <w:rsid w:val="00837E18"/>
    <w:rsid w:val="008402A5"/>
    <w:rsid w:val="0084052B"/>
    <w:rsid w:val="008407B9"/>
    <w:rsid w:val="0084105A"/>
    <w:rsid w:val="0084145F"/>
    <w:rsid w:val="00841DA2"/>
    <w:rsid w:val="0084295C"/>
    <w:rsid w:val="008429DF"/>
    <w:rsid w:val="008436E1"/>
    <w:rsid w:val="00843A04"/>
    <w:rsid w:val="00843CB5"/>
    <w:rsid w:val="00844963"/>
    <w:rsid w:val="00844CB5"/>
    <w:rsid w:val="008453FA"/>
    <w:rsid w:val="008458F6"/>
    <w:rsid w:val="00845AED"/>
    <w:rsid w:val="00845D98"/>
    <w:rsid w:val="008465D3"/>
    <w:rsid w:val="008466E5"/>
    <w:rsid w:val="0084708E"/>
    <w:rsid w:val="00847637"/>
    <w:rsid w:val="00847973"/>
    <w:rsid w:val="00851AE4"/>
    <w:rsid w:val="00851E86"/>
    <w:rsid w:val="00851ED8"/>
    <w:rsid w:val="008525AB"/>
    <w:rsid w:val="00852B41"/>
    <w:rsid w:val="00854971"/>
    <w:rsid w:val="008549BA"/>
    <w:rsid w:val="00854A6C"/>
    <w:rsid w:val="00855019"/>
    <w:rsid w:val="008554B6"/>
    <w:rsid w:val="0085598D"/>
    <w:rsid w:val="00857B6B"/>
    <w:rsid w:val="008604BD"/>
    <w:rsid w:val="008605C1"/>
    <w:rsid w:val="00860E4C"/>
    <w:rsid w:val="008612BE"/>
    <w:rsid w:val="00862771"/>
    <w:rsid w:val="00865800"/>
    <w:rsid w:val="0086682F"/>
    <w:rsid w:val="00867687"/>
    <w:rsid w:val="008704DF"/>
    <w:rsid w:val="00870622"/>
    <w:rsid w:val="008706E3"/>
    <w:rsid w:val="008715CB"/>
    <w:rsid w:val="00874300"/>
    <w:rsid w:val="00874748"/>
    <w:rsid w:val="00874894"/>
    <w:rsid w:val="00875DB0"/>
    <w:rsid w:val="00876057"/>
    <w:rsid w:val="00876F54"/>
    <w:rsid w:val="00877292"/>
    <w:rsid w:val="0087754A"/>
    <w:rsid w:val="0087766C"/>
    <w:rsid w:val="00880552"/>
    <w:rsid w:val="008814A6"/>
    <w:rsid w:val="00882595"/>
    <w:rsid w:val="0088336E"/>
    <w:rsid w:val="008839DA"/>
    <w:rsid w:val="00884EE8"/>
    <w:rsid w:val="00885168"/>
    <w:rsid w:val="008868FF"/>
    <w:rsid w:val="00890C12"/>
    <w:rsid w:val="008915DD"/>
    <w:rsid w:val="0089173B"/>
    <w:rsid w:val="0089175F"/>
    <w:rsid w:val="00891E76"/>
    <w:rsid w:val="0089220F"/>
    <w:rsid w:val="00892B57"/>
    <w:rsid w:val="008935AA"/>
    <w:rsid w:val="008939CF"/>
    <w:rsid w:val="00893D5A"/>
    <w:rsid w:val="00894DF3"/>
    <w:rsid w:val="008963F0"/>
    <w:rsid w:val="0089708C"/>
    <w:rsid w:val="00897444"/>
    <w:rsid w:val="008A01F7"/>
    <w:rsid w:val="008A03A5"/>
    <w:rsid w:val="008A0DF3"/>
    <w:rsid w:val="008A10D3"/>
    <w:rsid w:val="008A1B76"/>
    <w:rsid w:val="008A24AE"/>
    <w:rsid w:val="008A282C"/>
    <w:rsid w:val="008A3808"/>
    <w:rsid w:val="008A4138"/>
    <w:rsid w:val="008A5D96"/>
    <w:rsid w:val="008A5F7E"/>
    <w:rsid w:val="008A6178"/>
    <w:rsid w:val="008A61E2"/>
    <w:rsid w:val="008A73EF"/>
    <w:rsid w:val="008B00A4"/>
    <w:rsid w:val="008B1C74"/>
    <w:rsid w:val="008B28D1"/>
    <w:rsid w:val="008B440B"/>
    <w:rsid w:val="008B4B4D"/>
    <w:rsid w:val="008B5AB3"/>
    <w:rsid w:val="008B5E49"/>
    <w:rsid w:val="008B6848"/>
    <w:rsid w:val="008B75B8"/>
    <w:rsid w:val="008C0024"/>
    <w:rsid w:val="008C1393"/>
    <w:rsid w:val="008C15FF"/>
    <w:rsid w:val="008C2FA1"/>
    <w:rsid w:val="008C58DF"/>
    <w:rsid w:val="008C5AE6"/>
    <w:rsid w:val="008C62AB"/>
    <w:rsid w:val="008C6C63"/>
    <w:rsid w:val="008C796D"/>
    <w:rsid w:val="008C7A97"/>
    <w:rsid w:val="008D0157"/>
    <w:rsid w:val="008D098D"/>
    <w:rsid w:val="008D1369"/>
    <w:rsid w:val="008D2028"/>
    <w:rsid w:val="008D2C4C"/>
    <w:rsid w:val="008D2E01"/>
    <w:rsid w:val="008D38A3"/>
    <w:rsid w:val="008D3A3F"/>
    <w:rsid w:val="008D3CAF"/>
    <w:rsid w:val="008D44D9"/>
    <w:rsid w:val="008D4C39"/>
    <w:rsid w:val="008D654B"/>
    <w:rsid w:val="008D6B34"/>
    <w:rsid w:val="008D6F2C"/>
    <w:rsid w:val="008D7E0D"/>
    <w:rsid w:val="008D7EDB"/>
    <w:rsid w:val="008E0B2F"/>
    <w:rsid w:val="008E1829"/>
    <w:rsid w:val="008E1856"/>
    <w:rsid w:val="008E1949"/>
    <w:rsid w:val="008E1A61"/>
    <w:rsid w:val="008E2327"/>
    <w:rsid w:val="008E2C9C"/>
    <w:rsid w:val="008E2D66"/>
    <w:rsid w:val="008E3507"/>
    <w:rsid w:val="008E3EFA"/>
    <w:rsid w:val="008E431C"/>
    <w:rsid w:val="008E4A6D"/>
    <w:rsid w:val="008E4FAD"/>
    <w:rsid w:val="008E5077"/>
    <w:rsid w:val="008E5F0E"/>
    <w:rsid w:val="008E64F0"/>
    <w:rsid w:val="008E6658"/>
    <w:rsid w:val="008E6FF3"/>
    <w:rsid w:val="008E767B"/>
    <w:rsid w:val="008E7B05"/>
    <w:rsid w:val="008E7EB3"/>
    <w:rsid w:val="008F13A5"/>
    <w:rsid w:val="008F18ED"/>
    <w:rsid w:val="008F2631"/>
    <w:rsid w:val="008F46C2"/>
    <w:rsid w:val="008F5C6C"/>
    <w:rsid w:val="008F6CE5"/>
    <w:rsid w:val="008F7068"/>
    <w:rsid w:val="008F77BF"/>
    <w:rsid w:val="008F7852"/>
    <w:rsid w:val="00900134"/>
    <w:rsid w:val="00901CD4"/>
    <w:rsid w:val="0090360E"/>
    <w:rsid w:val="00903D37"/>
    <w:rsid w:val="0090582F"/>
    <w:rsid w:val="009079CA"/>
    <w:rsid w:val="009079ED"/>
    <w:rsid w:val="0091000D"/>
    <w:rsid w:val="0091055D"/>
    <w:rsid w:val="00911631"/>
    <w:rsid w:val="00911A5C"/>
    <w:rsid w:val="009125AE"/>
    <w:rsid w:val="009125C5"/>
    <w:rsid w:val="00914408"/>
    <w:rsid w:val="00914C61"/>
    <w:rsid w:val="00915AB6"/>
    <w:rsid w:val="00915DB9"/>
    <w:rsid w:val="009161CB"/>
    <w:rsid w:val="009165F0"/>
    <w:rsid w:val="00916E90"/>
    <w:rsid w:val="00917D6F"/>
    <w:rsid w:val="0092073B"/>
    <w:rsid w:val="00921B1A"/>
    <w:rsid w:val="00921B7F"/>
    <w:rsid w:val="00921DDA"/>
    <w:rsid w:val="00922DE1"/>
    <w:rsid w:val="00922E4B"/>
    <w:rsid w:val="00924B6C"/>
    <w:rsid w:val="00924E02"/>
    <w:rsid w:val="00925183"/>
    <w:rsid w:val="00925DF8"/>
    <w:rsid w:val="0092600D"/>
    <w:rsid w:val="00926885"/>
    <w:rsid w:val="009273F7"/>
    <w:rsid w:val="00930345"/>
    <w:rsid w:val="0093039D"/>
    <w:rsid w:val="009318E8"/>
    <w:rsid w:val="00931E4F"/>
    <w:rsid w:val="00932A0C"/>
    <w:rsid w:val="0093364D"/>
    <w:rsid w:val="00933664"/>
    <w:rsid w:val="00933BE4"/>
    <w:rsid w:val="00934048"/>
    <w:rsid w:val="00935B2E"/>
    <w:rsid w:val="00936574"/>
    <w:rsid w:val="00937EE1"/>
    <w:rsid w:val="0094041C"/>
    <w:rsid w:val="0094101E"/>
    <w:rsid w:val="00941720"/>
    <w:rsid w:val="00941C5E"/>
    <w:rsid w:val="009439D3"/>
    <w:rsid w:val="00943BCE"/>
    <w:rsid w:val="009451DC"/>
    <w:rsid w:val="009466BE"/>
    <w:rsid w:val="009503FE"/>
    <w:rsid w:val="009508A0"/>
    <w:rsid w:val="00950A17"/>
    <w:rsid w:val="00952615"/>
    <w:rsid w:val="009535BD"/>
    <w:rsid w:val="00953D8B"/>
    <w:rsid w:val="00953FF0"/>
    <w:rsid w:val="00954502"/>
    <w:rsid w:val="0095506D"/>
    <w:rsid w:val="009553A4"/>
    <w:rsid w:val="00955A98"/>
    <w:rsid w:val="00955DA9"/>
    <w:rsid w:val="009576B2"/>
    <w:rsid w:val="00960346"/>
    <w:rsid w:val="00960F05"/>
    <w:rsid w:val="00961724"/>
    <w:rsid w:val="009617D3"/>
    <w:rsid w:val="009626F7"/>
    <w:rsid w:val="0096463B"/>
    <w:rsid w:val="00967035"/>
    <w:rsid w:val="00967869"/>
    <w:rsid w:val="0096796E"/>
    <w:rsid w:val="009702DB"/>
    <w:rsid w:val="00970BEB"/>
    <w:rsid w:val="0097149A"/>
    <w:rsid w:val="00971F54"/>
    <w:rsid w:val="009721A0"/>
    <w:rsid w:val="009725C5"/>
    <w:rsid w:val="00972AEA"/>
    <w:rsid w:val="00972B4E"/>
    <w:rsid w:val="0097393A"/>
    <w:rsid w:val="009739F3"/>
    <w:rsid w:val="00973E34"/>
    <w:rsid w:val="00973F40"/>
    <w:rsid w:val="00974529"/>
    <w:rsid w:val="00974C1A"/>
    <w:rsid w:val="00975F0E"/>
    <w:rsid w:val="00980900"/>
    <w:rsid w:val="00982BC9"/>
    <w:rsid w:val="009830F7"/>
    <w:rsid w:val="00983EDC"/>
    <w:rsid w:val="00983EED"/>
    <w:rsid w:val="009849EF"/>
    <w:rsid w:val="00984A3A"/>
    <w:rsid w:val="00985967"/>
    <w:rsid w:val="00986DB7"/>
    <w:rsid w:val="00987D23"/>
    <w:rsid w:val="009905A5"/>
    <w:rsid w:val="009912C8"/>
    <w:rsid w:val="009912E0"/>
    <w:rsid w:val="00992750"/>
    <w:rsid w:val="009934CF"/>
    <w:rsid w:val="00993BF4"/>
    <w:rsid w:val="009940FC"/>
    <w:rsid w:val="00994396"/>
    <w:rsid w:val="00994B03"/>
    <w:rsid w:val="00994FB1"/>
    <w:rsid w:val="00995A6A"/>
    <w:rsid w:val="00995D84"/>
    <w:rsid w:val="009971AA"/>
    <w:rsid w:val="00997908"/>
    <w:rsid w:val="009A0D75"/>
    <w:rsid w:val="009A1234"/>
    <w:rsid w:val="009A306D"/>
    <w:rsid w:val="009A347A"/>
    <w:rsid w:val="009A3661"/>
    <w:rsid w:val="009A5A3D"/>
    <w:rsid w:val="009A620E"/>
    <w:rsid w:val="009A7587"/>
    <w:rsid w:val="009B0214"/>
    <w:rsid w:val="009B02EF"/>
    <w:rsid w:val="009B0A91"/>
    <w:rsid w:val="009B19CD"/>
    <w:rsid w:val="009B6316"/>
    <w:rsid w:val="009B6452"/>
    <w:rsid w:val="009B6A6F"/>
    <w:rsid w:val="009B736C"/>
    <w:rsid w:val="009C01A6"/>
    <w:rsid w:val="009C0EAC"/>
    <w:rsid w:val="009C1AFE"/>
    <w:rsid w:val="009C1F30"/>
    <w:rsid w:val="009C246A"/>
    <w:rsid w:val="009C3E33"/>
    <w:rsid w:val="009C54A0"/>
    <w:rsid w:val="009C5C6C"/>
    <w:rsid w:val="009C5F24"/>
    <w:rsid w:val="009C6C53"/>
    <w:rsid w:val="009C7F99"/>
    <w:rsid w:val="009D048B"/>
    <w:rsid w:val="009D0A63"/>
    <w:rsid w:val="009D1B5D"/>
    <w:rsid w:val="009D27C3"/>
    <w:rsid w:val="009D28FA"/>
    <w:rsid w:val="009D4200"/>
    <w:rsid w:val="009D43FE"/>
    <w:rsid w:val="009D53FD"/>
    <w:rsid w:val="009D5C19"/>
    <w:rsid w:val="009D6672"/>
    <w:rsid w:val="009D69C6"/>
    <w:rsid w:val="009D6F70"/>
    <w:rsid w:val="009D7501"/>
    <w:rsid w:val="009D7975"/>
    <w:rsid w:val="009E10E1"/>
    <w:rsid w:val="009E3966"/>
    <w:rsid w:val="009E3C52"/>
    <w:rsid w:val="009E4361"/>
    <w:rsid w:val="009E4852"/>
    <w:rsid w:val="009E5419"/>
    <w:rsid w:val="009E5A6E"/>
    <w:rsid w:val="009E619C"/>
    <w:rsid w:val="009E6500"/>
    <w:rsid w:val="009E6692"/>
    <w:rsid w:val="009E6AC4"/>
    <w:rsid w:val="009E70E7"/>
    <w:rsid w:val="009E7122"/>
    <w:rsid w:val="009E72AB"/>
    <w:rsid w:val="009E7784"/>
    <w:rsid w:val="009E7DB9"/>
    <w:rsid w:val="009F1E38"/>
    <w:rsid w:val="009F25A8"/>
    <w:rsid w:val="009F34D3"/>
    <w:rsid w:val="009F3CA9"/>
    <w:rsid w:val="009F46DC"/>
    <w:rsid w:val="009F508F"/>
    <w:rsid w:val="009F6006"/>
    <w:rsid w:val="009F65AF"/>
    <w:rsid w:val="009F72A8"/>
    <w:rsid w:val="009F754F"/>
    <w:rsid w:val="009F7D54"/>
    <w:rsid w:val="00A00109"/>
    <w:rsid w:val="00A01B9B"/>
    <w:rsid w:val="00A01BE4"/>
    <w:rsid w:val="00A01C00"/>
    <w:rsid w:val="00A01EB6"/>
    <w:rsid w:val="00A01ED1"/>
    <w:rsid w:val="00A02488"/>
    <w:rsid w:val="00A02AB3"/>
    <w:rsid w:val="00A034EF"/>
    <w:rsid w:val="00A03A1B"/>
    <w:rsid w:val="00A048C7"/>
    <w:rsid w:val="00A0598E"/>
    <w:rsid w:val="00A05E08"/>
    <w:rsid w:val="00A06844"/>
    <w:rsid w:val="00A06A2C"/>
    <w:rsid w:val="00A06CC5"/>
    <w:rsid w:val="00A07909"/>
    <w:rsid w:val="00A0791C"/>
    <w:rsid w:val="00A079D8"/>
    <w:rsid w:val="00A1047D"/>
    <w:rsid w:val="00A117D8"/>
    <w:rsid w:val="00A11B56"/>
    <w:rsid w:val="00A11CAD"/>
    <w:rsid w:val="00A121AB"/>
    <w:rsid w:val="00A13DF7"/>
    <w:rsid w:val="00A14807"/>
    <w:rsid w:val="00A15263"/>
    <w:rsid w:val="00A155CD"/>
    <w:rsid w:val="00A15BF1"/>
    <w:rsid w:val="00A1620D"/>
    <w:rsid w:val="00A166AF"/>
    <w:rsid w:val="00A16AC0"/>
    <w:rsid w:val="00A16DC1"/>
    <w:rsid w:val="00A171AC"/>
    <w:rsid w:val="00A224E5"/>
    <w:rsid w:val="00A231CF"/>
    <w:rsid w:val="00A23D31"/>
    <w:rsid w:val="00A240A7"/>
    <w:rsid w:val="00A24AF6"/>
    <w:rsid w:val="00A24C9B"/>
    <w:rsid w:val="00A25151"/>
    <w:rsid w:val="00A26554"/>
    <w:rsid w:val="00A26ECD"/>
    <w:rsid w:val="00A27BA0"/>
    <w:rsid w:val="00A27D2B"/>
    <w:rsid w:val="00A301A7"/>
    <w:rsid w:val="00A30C34"/>
    <w:rsid w:val="00A30C4E"/>
    <w:rsid w:val="00A30CA8"/>
    <w:rsid w:val="00A30FD3"/>
    <w:rsid w:val="00A31582"/>
    <w:rsid w:val="00A315DF"/>
    <w:rsid w:val="00A32453"/>
    <w:rsid w:val="00A32564"/>
    <w:rsid w:val="00A33A8D"/>
    <w:rsid w:val="00A34223"/>
    <w:rsid w:val="00A34F11"/>
    <w:rsid w:val="00A3509C"/>
    <w:rsid w:val="00A352DA"/>
    <w:rsid w:val="00A35E2F"/>
    <w:rsid w:val="00A36013"/>
    <w:rsid w:val="00A36159"/>
    <w:rsid w:val="00A36FB5"/>
    <w:rsid w:val="00A37891"/>
    <w:rsid w:val="00A40A51"/>
    <w:rsid w:val="00A415BA"/>
    <w:rsid w:val="00A419A8"/>
    <w:rsid w:val="00A4230D"/>
    <w:rsid w:val="00A4432A"/>
    <w:rsid w:val="00A4594F"/>
    <w:rsid w:val="00A45F38"/>
    <w:rsid w:val="00A47916"/>
    <w:rsid w:val="00A47C18"/>
    <w:rsid w:val="00A50123"/>
    <w:rsid w:val="00A50298"/>
    <w:rsid w:val="00A50838"/>
    <w:rsid w:val="00A50EC5"/>
    <w:rsid w:val="00A511BB"/>
    <w:rsid w:val="00A535E4"/>
    <w:rsid w:val="00A536DA"/>
    <w:rsid w:val="00A5370C"/>
    <w:rsid w:val="00A5406C"/>
    <w:rsid w:val="00A54801"/>
    <w:rsid w:val="00A556AA"/>
    <w:rsid w:val="00A5596D"/>
    <w:rsid w:val="00A56ACD"/>
    <w:rsid w:val="00A56F1F"/>
    <w:rsid w:val="00A56F39"/>
    <w:rsid w:val="00A571CD"/>
    <w:rsid w:val="00A57C3D"/>
    <w:rsid w:val="00A57D17"/>
    <w:rsid w:val="00A60B22"/>
    <w:rsid w:val="00A617D1"/>
    <w:rsid w:val="00A640F1"/>
    <w:rsid w:val="00A64F4B"/>
    <w:rsid w:val="00A650C6"/>
    <w:rsid w:val="00A660D1"/>
    <w:rsid w:val="00A66829"/>
    <w:rsid w:val="00A6697B"/>
    <w:rsid w:val="00A719AA"/>
    <w:rsid w:val="00A731B5"/>
    <w:rsid w:val="00A73DE3"/>
    <w:rsid w:val="00A747F9"/>
    <w:rsid w:val="00A74C2D"/>
    <w:rsid w:val="00A76217"/>
    <w:rsid w:val="00A76595"/>
    <w:rsid w:val="00A766B1"/>
    <w:rsid w:val="00A76B34"/>
    <w:rsid w:val="00A779A5"/>
    <w:rsid w:val="00A8051E"/>
    <w:rsid w:val="00A805D0"/>
    <w:rsid w:val="00A80EE1"/>
    <w:rsid w:val="00A8238F"/>
    <w:rsid w:val="00A83487"/>
    <w:rsid w:val="00A83582"/>
    <w:rsid w:val="00A83DD8"/>
    <w:rsid w:val="00A84A8E"/>
    <w:rsid w:val="00A84BEF"/>
    <w:rsid w:val="00A854FF"/>
    <w:rsid w:val="00A85A76"/>
    <w:rsid w:val="00A85EC8"/>
    <w:rsid w:val="00A86E30"/>
    <w:rsid w:val="00A87035"/>
    <w:rsid w:val="00A87307"/>
    <w:rsid w:val="00A8745D"/>
    <w:rsid w:val="00A8767A"/>
    <w:rsid w:val="00A879F7"/>
    <w:rsid w:val="00A9011C"/>
    <w:rsid w:val="00A908DA"/>
    <w:rsid w:val="00A90F9B"/>
    <w:rsid w:val="00A9135D"/>
    <w:rsid w:val="00A917E6"/>
    <w:rsid w:val="00A92694"/>
    <w:rsid w:val="00A93072"/>
    <w:rsid w:val="00A94938"/>
    <w:rsid w:val="00A95838"/>
    <w:rsid w:val="00A9629C"/>
    <w:rsid w:val="00A96A29"/>
    <w:rsid w:val="00A97219"/>
    <w:rsid w:val="00A97515"/>
    <w:rsid w:val="00AA07B1"/>
    <w:rsid w:val="00AA133B"/>
    <w:rsid w:val="00AA193D"/>
    <w:rsid w:val="00AA2289"/>
    <w:rsid w:val="00AA35D5"/>
    <w:rsid w:val="00AA417B"/>
    <w:rsid w:val="00AA49FF"/>
    <w:rsid w:val="00AA4A1F"/>
    <w:rsid w:val="00AA505C"/>
    <w:rsid w:val="00AA533F"/>
    <w:rsid w:val="00AA59B2"/>
    <w:rsid w:val="00AA5A86"/>
    <w:rsid w:val="00AA5C7C"/>
    <w:rsid w:val="00AA639B"/>
    <w:rsid w:val="00AA6EFD"/>
    <w:rsid w:val="00AA7F48"/>
    <w:rsid w:val="00AB010D"/>
    <w:rsid w:val="00AB0749"/>
    <w:rsid w:val="00AB2617"/>
    <w:rsid w:val="00AB2C53"/>
    <w:rsid w:val="00AB37BE"/>
    <w:rsid w:val="00AB5936"/>
    <w:rsid w:val="00AB6595"/>
    <w:rsid w:val="00AB76D8"/>
    <w:rsid w:val="00AB7760"/>
    <w:rsid w:val="00AB7E6A"/>
    <w:rsid w:val="00AC193A"/>
    <w:rsid w:val="00AC1B50"/>
    <w:rsid w:val="00AC1B61"/>
    <w:rsid w:val="00AC28E0"/>
    <w:rsid w:val="00AC2C6E"/>
    <w:rsid w:val="00AC3A3F"/>
    <w:rsid w:val="00AC41CA"/>
    <w:rsid w:val="00AC5363"/>
    <w:rsid w:val="00AC5EE6"/>
    <w:rsid w:val="00AC6B75"/>
    <w:rsid w:val="00AC6C2F"/>
    <w:rsid w:val="00AC706C"/>
    <w:rsid w:val="00AD0D24"/>
    <w:rsid w:val="00AD0DE0"/>
    <w:rsid w:val="00AD1480"/>
    <w:rsid w:val="00AD1923"/>
    <w:rsid w:val="00AD2611"/>
    <w:rsid w:val="00AD285F"/>
    <w:rsid w:val="00AD368D"/>
    <w:rsid w:val="00AD3AC5"/>
    <w:rsid w:val="00AD3D57"/>
    <w:rsid w:val="00AD497C"/>
    <w:rsid w:val="00AD4AD2"/>
    <w:rsid w:val="00AD50F9"/>
    <w:rsid w:val="00AD55E6"/>
    <w:rsid w:val="00AE0890"/>
    <w:rsid w:val="00AE0B4B"/>
    <w:rsid w:val="00AE156A"/>
    <w:rsid w:val="00AE1872"/>
    <w:rsid w:val="00AE19C0"/>
    <w:rsid w:val="00AE1B90"/>
    <w:rsid w:val="00AE3252"/>
    <w:rsid w:val="00AE47BF"/>
    <w:rsid w:val="00AE489D"/>
    <w:rsid w:val="00AE4A34"/>
    <w:rsid w:val="00AE552E"/>
    <w:rsid w:val="00AE56A2"/>
    <w:rsid w:val="00AE5737"/>
    <w:rsid w:val="00AE57A9"/>
    <w:rsid w:val="00AE65BD"/>
    <w:rsid w:val="00AE6A7D"/>
    <w:rsid w:val="00AE79E1"/>
    <w:rsid w:val="00AF0861"/>
    <w:rsid w:val="00AF0A77"/>
    <w:rsid w:val="00AF15CB"/>
    <w:rsid w:val="00AF17E9"/>
    <w:rsid w:val="00AF1992"/>
    <w:rsid w:val="00AF3305"/>
    <w:rsid w:val="00AF4424"/>
    <w:rsid w:val="00AF4610"/>
    <w:rsid w:val="00AF4C29"/>
    <w:rsid w:val="00AF4EED"/>
    <w:rsid w:val="00AF6432"/>
    <w:rsid w:val="00AF6DED"/>
    <w:rsid w:val="00AF753C"/>
    <w:rsid w:val="00AF79BD"/>
    <w:rsid w:val="00B00F3C"/>
    <w:rsid w:val="00B01191"/>
    <w:rsid w:val="00B01762"/>
    <w:rsid w:val="00B01B16"/>
    <w:rsid w:val="00B01D0C"/>
    <w:rsid w:val="00B029B1"/>
    <w:rsid w:val="00B02C78"/>
    <w:rsid w:val="00B03811"/>
    <w:rsid w:val="00B039E1"/>
    <w:rsid w:val="00B03B83"/>
    <w:rsid w:val="00B04D4C"/>
    <w:rsid w:val="00B04D63"/>
    <w:rsid w:val="00B04FDF"/>
    <w:rsid w:val="00B0597E"/>
    <w:rsid w:val="00B05E74"/>
    <w:rsid w:val="00B07F12"/>
    <w:rsid w:val="00B07FE3"/>
    <w:rsid w:val="00B10BAE"/>
    <w:rsid w:val="00B11CB3"/>
    <w:rsid w:val="00B12451"/>
    <w:rsid w:val="00B12A0A"/>
    <w:rsid w:val="00B14154"/>
    <w:rsid w:val="00B1415B"/>
    <w:rsid w:val="00B150A3"/>
    <w:rsid w:val="00B15278"/>
    <w:rsid w:val="00B164F6"/>
    <w:rsid w:val="00B16E71"/>
    <w:rsid w:val="00B222A2"/>
    <w:rsid w:val="00B233F4"/>
    <w:rsid w:val="00B234EC"/>
    <w:rsid w:val="00B267E1"/>
    <w:rsid w:val="00B274AE"/>
    <w:rsid w:val="00B274BF"/>
    <w:rsid w:val="00B304B7"/>
    <w:rsid w:val="00B31222"/>
    <w:rsid w:val="00B31516"/>
    <w:rsid w:val="00B318C9"/>
    <w:rsid w:val="00B31FDB"/>
    <w:rsid w:val="00B33EEF"/>
    <w:rsid w:val="00B347E4"/>
    <w:rsid w:val="00B348F1"/>
    <w:rsid w:val="00B416D0"/>
    <w:rsid w:val="00B41D89"/>
    <w:rsid w:val="00B42C7F"/>
    <w:rsid w:val="00B42E81"/>
    <w:rsid w:val="00B4329D"/>
    <w:rsid w:val="00B457EF"/>
    <w:rsid w:val="00B45BEE"/>
    <w:rsid w:val="00B46C8E"/>
    <w:rsid w:val="00B50512"/>
    <w:rsid w:val="00B506F3"/>
    <w:rsid w:val="00B50F74"/>
    <w:rsid w:val="00B51A2F"/>
    <w:rsid w:val="00B520F9"/>
    <w:rsid w:val="00B52812"/>
    <w:rsid w:val="00B537CE"/>
    <w:rsid w:val="00B53891"/>
    <w:rsid w:val="00B541CB"/>
    <w:rsid w:val="00B5423C"/>
    <w:rsid w:val="00B5495A"/>
    <w:rsid w:val="00B54AAB"/>
    <w:rsid w:val="00B553BA"/>
    <w:rsid w:val="00B57560"/>
    <w:rsid w:val="00B57690"/>
    <w:rsid w:val="00B577A3"/>
    <w:rsid w:val="00B61205"/>
    <w:rsid w:val="00B6144B"/>
    <w:rsid w:val="00B61577"/>
    <w:rsid w:val="00B6170F"/>
    <w:rsid w:val="00B625C9"/>
    <w:rsid w:val="00B63796"/>
    <w:rsid w:val="00B64641"/>
    <w:rsid w:val="00B648F6"/>
    <w:rsid w:val="00B66A77"/>
    <w:rsid w:val="00B675DD"/>
    <w:rsid w:val="00B704AA"/>
    <w:rsid w:val="00B70B2A"/>
    <w:rsid w:val="00B71F2C"/>
    <w:rsid w:val="00B7262F"/>
    <w:rsid w:val="00B726C3"/>
    <w:rsid w:val="00B727C5"/>
    <w:rsid w:val="00B73031"/>
    <w:rsid w:val="00B73D51"/>
    <w:rsid w:val="00B73FD4"/>
    <w:rsid w:val="00B74128"/>
    <w:rsid w:val="00B743FD"/>
    <w:rsid w:val="00B74DCE"/>
    <w:rsid w:val="00B74FC5"/>
    <w:rsid w:val="00B75A6C"/>
    <w:rsid w:val="00B7684C"/>
    <w:rsid w:val="00B77614"/>
    <w:rsid w:val="00B8029A"/>
    <w:rsid w:val="00B80DB5"/>
    <w:rsid w:val="00B827B3"/>
    <w:rsid w:val="00B82F2D"/>
    <w:rsid w:val="00B83E2A"/>
    <w:rsid w:val="00B83E38"/>
    <w:rsid w:val="00B84273"/>
    <w:rsid w:val="00B84E0E"/>
    <w:rsid w:val="00B85781"/>
    <w:rsid w:val="00B85DF3"/>
    <w:rsid w:val="00B861AD"/>
    <w:rsid w:val="00B8690B"/>
    <w:rsid w:val="00B86C19"/>
    <w:rsid w:val="00B8730C"/>
    <w:rsid w:val="00B878CC"/>
    <w:rsid w:val="00B912E7"/>
    <w:rsid w:val="00B91367"/>
    <w:rsid w:val="00B913FB"/>
    <w:rsid w:val="00B923C1"/>
    <w:rsid w:val="00B924EF"/>
    <w:rsid w:val="00B92EDF"/>
    <w:rsid w:val="00B9332A"/>
    <w:rsid w:val="00B93510"/>
    <w:rsid w:val="00B93640"/>
    <w:rsid w:val="00B93E33"/>
    <w:rsid w:val="00B93FFB"/>
    <w:rsid w:val="00B94C63"/>
    <w:rsid w:val="00B94C73"/>
    <w:rsid w:val="00B954F3"/>
    <w:rsid w:val="00B95BCD"/>
    <w:rsid w:val="00B95CDC"/>
    <w:rsid w:val="00B95CE5"/>
    <w:rsid w:val="00B96107"/>
    <w:rsid w:val="00BA064F"/>
    <w:rsid w:val="00BA0D0B"/>
    <w:rsid w:val="00BA14FC"/>
    <w:rsid w:val="00BA1EE5"/>
    <w:rsid w:val="00BA3D3F"/>
    <w:rsid w:val="00BA4C61"/>
    <w:rsid w:val="00BA4CE5"/>
    <w:rsid w:val="00BA5DF2"/>
    <w:rsid w:val="00BA7E4A"/>
    <w:rsid w:val="00BB1236"/>
    <w:rsid w:val="00BB1A27"/>
    <w:rsid w:val="00BB375D"/>
    <w:rsid w:val="00BB4277"/>
    <w:rsid w:val="00BB49A0"/>
    <w:rsid w:val="00BB515F"/>
    <w:rsid w:val="00BB532B"/>
    <w:rsid w:val="00BB593C"/>
    <w:rsid w:val="00BC0924"/>
    <w:rsid w:val="00BC0C50"/>
    <w:rsid w:val="00BC11E0"/>
    <w:rsid w:val="00BC1FA5"/>
    <w:rsid w:val="00BC2598"/>
    <w:rsid w:val="00BC299D"/>
    <w:rsid w:val="00BC2C0C"/>
    <w:rsid w:val="00BC3B70"/>
    <w:rsid w:val="00BC4AE9"/>
    <w:rsid w:val="00BC6E7C"/>
    <w:rsid w:val="00BC7182"/>
    <w:rsid w:val="00BC732A"/>
    <w:rsid w:val="00BC7398"/>
    <w:rsid w:val="00BC7458"/>
    <w:rsid w:val="00BC758B"/>
    <w:rsid w:val="00BC79C3"/>
    <w:rsid w:val="00BC7D51"/>
    <w:rsid w:val="00BD0B61"/>
    <w:rsid w:val="00BD1045"/>
    <w:rsid w:val="00BD2183"/>
    <w:rsid w:val="00BD2EAC"/>
    <w:rsid w:val="00BD4BB3"/>
    <w:rsid w:val="00BD4EAE"/>
    <w:rsid w:val="00BD50FE"/>
    <w:rsid w:val="00BD5C33"/>
    <w:rsid w:val="00BD6804"/>
    <w:rsid w:val="00BD7F11"/>
    <w:rsid w:val="00BE17C6"/>
    <w:rsid w:val="00BE2498"/>
    <w:rsid w:val="00BE2BD3"/>
    <w:rsid w:val="00BE2E7C"/>
    <w:rsid w:val="00BE4843"/>
    <w:rsid w:val="00BE4865"/>
    <w:rsid w:val="00BE50F9"/>
    <w:rsid w:val="00BE5241"/>
    <w:rsid w:val="00BE5595"/>
    <w:rsid w:val="00BE6035"/>
    <w:rsid w:val="00BE675A"/>
    <w:rsid w:val="00BE69BF"/>
    <w:rsid w:val="00BE725A"/>
    <w:rsid w:val="00BE73C1"/>
    <w:rsid w:val="00BE7430"/>
    <w:rsid w:val="00BE7B48"/>
    <w:rsid w:val="00BF0B5F"/>
    <w:rsid w:val="00BF3269"/>
    <w:rsid w:val="00BF3381"/>
    <w:rsid w:val="00BF667D"/>
    <w:rsid w:val="00BF68BB"/>
    <w:rsid w:val="00BF69D9"/>
    <w:rsid w:val="00BF6E25"/>
    <w:rsid w:val="00BF706E"/>
    <w:rsid w:val="00BF773F"/>
    <w:rsid w:val="00BF7E94"/>
    <w:rsid w:val="00C0169B"/>
    <w:rsid w:val="00C02357"/>
    <w:rsid w:val="00C03070"/>
    <w:rsid w:val="00C06B11"/>
    <w:rsid w:val="00C06BCB"/>
    <w:rsid w:val="00C100E3"/>
    <w:rsid w:val="00C10FCF"/>
    <w:rsid w:val="00C11870"/>
    <w:rsid w:val="00C12810"/>
    <w:rsid w:val="00C12D84"/>
    <w:rsid w:val="00C13B88"/>
    <w:rsid w:val="00C1483A"/>
    <w:rsid w:val="00C14CF4"/>
    <w:rsid w:val="00C15B35"/>
    <w:rsid w:val="00C16B4B"/>
    <w:rsid w:val="00C1729D"/>
    <w:rsid w:val="00C17427"/>
    <w:rsid w:val="00C1797D"/>
    <w:rsid w:val="00C20C00"/>
    <w:rsid w:val="00C20C5A"/>
    <w:rsid w:val="00C210FD"/>
    <w:rsid w:val="00C2141B"/>
    <w:rsid w:val="00C2165D"/>
    <w:rsid w:val="00C22901"/>
    <w:rsid w:val="00C22969"/>
    <w:rsid w:val="00C22C44"/>
    <w:rsid w:val="00C22E49"/>
    <w:rsid w:val="00C2404F"/>
    <w:rsid w:val="00C24F30"/>
    <w:rsid w:val="00C25238"/>
    <w:rsid w:val="00C260FA"/>
    <w:rsid w:val="00C2682F"/>
    <w:rsid w:val="00C26853"/>
    <w:rsid w:val="00C2770D"/>
    <w:rsid w:val="00C305F2"/>
    <w:rsid w:val="00C318DD"/>
    <w:rsid w:val="00C31F8B"/>
    <w:rsid w:val="00C3253F"/>
    <w:rsid w:val="00C3345C"/>
    <w:rsid w:val="00C33886"/>
    <w:rsid w:val="00C3485C"/>
    <w:rsid w:val="00C3583A"/>
    <w:rsid w:val="00C35A5E"/>
    <w:rsid w:val="00C364D0"/>
    <w:rsid w:val="00C36C23"/>
    <w:rsid w:val="00C37A5F"/>
    <w:rsid w:val="00C407E5"/>
    <w:rsid w:val="00C40B65"/>
    <w:rsid w:val="00C4265A"/>
    <w:rsid w:val="00C42DAC"/>
    <w:rsid w:val="00C4342B"/>
    <w:rsid w:val="00C44C87"/>
    <w:rsid w:val="00C45345"/>
    <w:rsid w:val="00C45818"/>
    <w:rsid w:val="00C459A9"/>
    <w:rsid w:val="00C46EF4"/>
    <w:rsid w:val="00C47763"/>
    <w:rsid w:val="00C477E7"/>
    <w:rsid w:val="00C502A5"/>
    <w:rsid w:val="00C503A6"/>
    <w:rsid w:val="00C5063C"/>
    <w:rsid w:val="00C51CD8"/>
    <w:rsid w:val="00C521F7"/>
    <w:rsid w:val="00C526DE"/>
    <w:rsid w:val="00C53008"/>
    <w:rsid w:val="00C55151"/>
    <w:rsid w:val="00C554F7"/>
    <w:rsid w:val="00C5575D"/>
    <w:rsid w:val="00C558FF"/>
    <w:rsid w:val="00C55D26"/>
    <w:rsid w:val="00C560FA"/>
    <w:rsid w:val="00C56772"/>
    <w:rsid w:val="00C576D2"/>
    <w:rsid w:val="00C577C1"/>
    <w:rsid w:val="00C57FF9"/>
    <w:rsid w:val="00C6103F"/>
    <w:rsid w:val="00C612FD"/>
    <w:rsid w:val="00C62023"/>
    <w:rsid w:val="00C620F7"/>
    <w:rsid w:val="00C62348"/>
    <w:rsid w:val="00C62CA9"/>
    <w:rsid w:val="00C64434"/>
    <w:rsid w:val="00C648C4"/>
    <w:rsid w:val="00C64A51"/>
    <w:rsid w:val="00C64B27"/>
    <w:rsid w:val="00C65531"/>
    <w:rsid w:val="00C655F2"/>
    <w:rsid w:val="00C65C4D"/>
    <w:rsid w:val="00C66975"/>
    <w:rsid w:val="00C67C44"/>
    <w:rsid w:val="00C7063C"/>
    <w:rsid w:val="00C70670"/>
    <w:rsid w:val="00C72589"/>
    <w:rsid w:val="00C73C57"/>
    <w:rsid w:val="00C741B2"/>
    <w:rsid w:val="00C746D9"/>
    <w:rsid w:val="00C74D43"/>
    <w:rsid w:val="00C74F53"/>
    <w:rsid w:val="00C74F5F"/>
    <w:rsid w:val="00C75CA7"/>
    <w:rsid w:val="00C763EE"/>
    <w:rsid w:val="00C7683D"/>
    <w:rsid w:val="00C76A6F"/>
    <w:rsid w:val="00C76EE0"/>
    <w:rsid w:val="00C77E7E"/>
    <w:rsid w:val="00C80361"/>
    <w:rsid w:val="00C819AE"/>
    <w:rsid w:val="00C81FBD"/>
    <w:rsid w:val="00C82A8F"/>
    <w:rsid w:val="00C82FB9"/>
    <w:rsid w:val="00C84AAD"/>
    <w:rsid w:val="00C85C96"/>
    <w:rsid w:val="00C860AE"/>
    <w:rsid w:val="00C86432"/>
    <w:rsid w:val="00C86FC6"/>
    <w:rsid w:val="00C87C17"/>
    <w:rsid w:val="00C901BB"/>
    <w:rsid w:val="00C90C46"/>
    <w:rsid w:val="00C90CD3"/>
    <w:rsid w:val="00C91B62"/>
    <w:rsid w:val="00C92552"/>
    <w:rsid w:val="00C92916"/>
    <w:rsid w:val="00C92C27"/>
    <w:rsid w:val="00C93F1B"/>
    <w:rsid w:val="00C9454B"/>
    <w:rsid w:val="00C950E3"/>
    <w:rsid w:val="00C953F1"/>
    <w:rsid w:val="00C955F1"/>
    <w:rsid w:val="00C963DF"/>
    <w:rsid w:val="00C96DFE"/>
    <w:rsid w:val="00C96FE8"/>
    <w:rsid w:val="00C97151"/>
    <w:rsid w:val="00C9737D"/>
    <w:rsid w:val="00C976D1"/>
    <w:rsid w:val="00CA015B"/>
    <w:rsid w:val="00CA0F81"/>
    <w:rsid w:val="00CA2C6A"/>
    <w:rsid w:val="00CA2D01"/>
    <w:rsid w:val="00CA308F"/>
    <w:rsid w:val="00CA3730"/>
    <w:rsid w:val="00CA3C52"/>
    <w:rsid w:val="00CA5FDD"/>
    <w:rsid w:val="00CA67BA"/>
    <w:rsid w:val="00CA71D4"/>
    <w:rsid w:val="00CB0326"/>
    <w:rsid w:val="00CB03C1"/>
    <w:rsid w:val="00CB1FED"/>
    <w:rsid w:val="00CB5D29"/>
    <w:rsid w:val="00CB6019"/>
    <w:rsid w:val="00CB675A"/>
    <w:rsid w:val="00CB6847"/>
    <w:rsid w:val="00CB6EC8"/>
    <w:rsid w:val="00CB7423"/>
    <w:rsid w:val="00CB782B"/>
    <w:rsid w:val="00CC082B"/>
    <w:rsid w:val="00CC0E77"/>
    <w:rsid w:val="00CC13BE"/>
    <w:rsid w:val="00CC2092"/>
    <w:rsid w:val="00CC285C"/>
    <w:rsid w:val="00CC2E28"/>
    <w:rsid w:val="00CC3244"/>
    <w:rsid w:val="00CC5595"/>
    <w:rsid w:val="00CC596D"/>
    <w:rsid w:val="00CC5AAD"/>
    <w:rsid w:val="00CC5E76"/>
    <w:rsid w:val="00CC687B"/>
    <w:rsid w:val="00CC79AA"/>
    <w:rsid w:val="00CC7FC0"/>
    <w:rsid w:val="00CD0453"/>
    <w:rsid w:val="00CD1770"/>
    <w:rsid w:val="00CD2422"/>
    <w:rsid w:val="00CD2D4D"/>
    <w:rsid w:val="00CD3A5D"/>
    <w:rsid w:val="00CD3F0D"/>
    <w:rsid w:val="00CD4AF7"/>
    <w:rsid w:val="00CD5A78"/>
    <w:rsid w:val="00CD5FD4"/>
    <w:rsid w:val="00CD64D0"/>
    <w:rsid w:val="00CD7F8F"/>
    <w:rsid w:val="00CE0B4C"/>
    <w:rsid w:val="00CE0DCE"/>
    <w:rsid w:val="00CE142E"/>
    <w:rsid w:val="00CE1BC9"/>
    <w:rsid w:val="00CE25A1"/>
    <w:rsid w:val="00CE33C1"/>
    <w:rsid w:val="00CE43B9"/>
    <w:rsid w:val="00CE478C"/>
    <w:rsid w:val="00CE4DD6"/>
    <w:rsid w:val="00CE5049"/>
    <w:rsid w:val="00CE5228"/>
    <w:rsid w:val="00CE5EF9"/>
    <w:rsid w:val="00CE76FF"/>
    <w:rsid w:val="00CF090B"/>
    <w:rsid w:val="00CF0C41"/>
    <w:rsid w:val="00CF1CF7"/>
    <w:rsid w:val="00CF352D"/>
    <w:rsid w:val="00CF3AEC"/>
    <w:rsid w:val="00CF3B92"/>
    <w:rsid w:val="00CF4012"/>
    <w:rsid w:val="00CF43D5"/>
    <w:rsid w:val="00CF446E"/>
    <w:rsid w:val="00CF517B"/>
    <w:rsid w:val="00CF5F40"/>
    <w:rsid w:val="00CF73F3"/>
    <w:rsid w:val="00D0060A"/>
    <w:rsid w:val="00D01A66"/>
    <w:rsid w:val="00D01BB6"/>
    <w:rsid w:val="00D01C3D"/>
    <w:rsid w:val="00D01F75"/>
    <w:rsid w:val="00D026F0"/>
    <w:rsid w:val="00D02BC6"/>
    <w:rsid w:val="00D0310D"/>
    <w:rsid w:val="00D03542"/>
    <w:rsid w:val="00D04FF5"/>
    <w:rsid w:val="00D0542E"/>
    <w:rsid w:val="00D05803"/>
    <w:rsid w:val="00D05C7C"/>
    <w:rsid w:val="00D06906"/>
    <w:rsid w:val="00D06EF0"/>
    <w:rsid w:val="00D07171"/>
    <w:rsid w:val="00D07742"/>
    <w:rsid w:val="00D10711"/>
    <w:rsid w:val="00D117D5"/>
    <w:rsid w:val="00D11916"/>
    <w:rsid w:val="00D125A8"/>
    <w:rsid w:val="00D1276A"/>
    <w:rsid w:val="00D14DB7"/>
    <w:rsid w:val="00D15D92"/>
    <w:rsid w:val="00D15E6A"/>
    <w:rsid w:val="00D15ED5"/>
    <w:rsid w:val="00D16656"/>
    <w:rsid w:val="00D16FD7"/>
    <w:rsid w:val="00D17B33"/>
    <w:rsid w:val="00D200AB"/>
    <w:rsid w:val="00D204C4"/>
    <w:rsid w:val="00D24DD5"/>
    <w:rsid w:val="00D25689"/>
    <w:rsid w:val="00D25899"/>
    <w:rsid w:val="00D25ADC"/>
    <w:rsid w:val="00D2696B"/>
    <w:rsid w:val="00D31CD5"/>
    <w:rsid w:val="00D33009"/>
    <w:rsid w:val="00D3376E"/>
    <w:rsid w:val="00D340A6"/>
    <w:rsid w:val="00D34402"/>
    <w:rsid w:val="00D348F7"/>
    <w:rsid w:val="00D35641"/>
    <w:rsid w:val="00D3564E"/>
    <w:rsid w:val="00D36EF4"/>
    <w:rsid w:val="00D371D0"/>
    <w:rsid w:val="00D4062A"/>
    <w:rsid w:val="00D40BC3"/>
    <w:rsid w:val="00D410EA"/>
    <w:rsid w:val="00D434EC"/>
    <w:rsid w:val="00D44AC7"/>
    <w:rsid w:val="00D44C07"/>
    <w:rsid w:val="00D44E9D"/>
    <w:rsid w:val="00D450DA"/>
    <w:rsid w:val="00D4567E"/>
    <w:rsid w:val="00D46722"/>
    <w:rsid w:val="00D472A7"/>
    <w:rsid w:val="00D47BC2"/>
    <w:rsid w:val="00D504F1"/>
    <w:rsid w:val="00D514B7"/>
    <w:rsid w:val="00D51515"/>
    <w:rsid w:val="00D5217F"/>
    <w:rsid w:val="00D5381C"/>
    <w:rsid w:val="00D53C84"/>
    <w:rsid w:val="00D54BD5"/>
    <w:rsid w:val="00D5699B"/>
    <w:rsid w:val="00D575F0"/>
    <w:rsid w:val="00D57960"/>
    <w:rsid w:val="00D6004B"/>
    <w:rsid w:val="00D60578"/>
    <w:rsid w:val="00D60B56"/>
    <w:rsid w:val="00D614C8"/>
    <w:rsid w:val="00D61A0E"/>
    <w:rsid w:val="00D62055"/>
    <w:rsid w:val="00D62551"/>
    <w:rsid w:val="00D6295D"/>
    <w:rsid w:val="00D64656"/>
    <w:rsid w:val="00D66FC3"/>
    <w:rsid w:val="00D70C67"/>
    <w:rsid w:val="00D70E79"/>
    <w:rsid w:val="00D71436"/>
    <w:rsid w:val="00D71CF9"/>
    <w:rsid w:val="00D72EAC"/>
    <w:rsid w:val="00D73BC4"/>
    <w:rsid w:val="00D74170"/>
    <w:rsid w:val="00D74344"/>
    <w:rsid w:val="00D74B06"/>
    <w:rsid w:val="00D75780"/>
    <w:rsid w:val="00D7675E"/>
    <w:rsid w:val="00D80080"/>
    <w:rsid w:val="00D807FB"/>
    <w:rsid w:val="00D80F9D"/>
    <w:rsid w:val="00D80FFB"/>
    <w:rsid w:val="00D81BAE"/>
    <w:rsid w:val="00D82A34"/>
    <w:rsid w:val="00D84B17"/>
    <w:rsid w:val="00D8507D"/>
    <w:rsid w:val="00D86692"/>
    <w:rsid w:val="00D86735"/>
    <w:rsid w:val="00D8718E"/>
    <w:rsid w:val="00D871FB"/>
    <w:rsid w:val="00D90C9D"/>
    <w:rsid w:val="00D90E57"/>
    <w:rsid w:val="00D91757"/>
    <w:rsid w:val="00D91910"/>
    <w:rsid w:val="00D91AA8"/>
    <w:rsid w:val="00D92062"/>
    <w:rsid w:val="00D925A8"/>
    <w:rsid w:val="00D92FF3"/>
    <w:rsid w:val="00D930D2"/>
    <w:rsid w:val="00D944A6"/>
    <w:rsid w:val="00D948AF"/>
    <w:rsid w:val="00D9559A"/>
    <w:rsid w:val="00D95B5F"/>
    <w:rsid w:val="00D96FC3"/>
    <w:rsid w:val="00DA00CC"/>
    <w:rsid w:val="00DA0839"/>
    <w:rsid w:val="00DA0EE6"/>
    <w:rsid w:val="00DA1248"/>
    <w:rsid w:val="00DA12C3"/>
    <w:rsid w:val="00DA1878"/>
    <w:rsid w:val="00DA22B5"/>
    <w:rsid w:val="00DA374D"/>
    <w:rsid w:val="00DA4192"/>
    <w:rsid w:val="00DA495D"/>
    <w:rsid w:val="00DA4C0A"/>
    <w:rsid w:val="00DA4F15"/>
    <w:rsid w:val="00DA5280"/>
    <w:rsid w:val="00DA5DCA"/>
    <w:rsid w:val="00DA600C"/>
    <w:rsid w:val="00DA7BA0"/>
    <w:rsid w:val="00DA7C37"/>
    <w:rsid w:val="00DA7D03"/>
    <w:rsid w:val="00DB132B"/>
    <w:rsid w:val="00DB15D7"/>
    <w:rsid w:val="00DB3319"/>
    <w:rsid w:val="00DB400B"/>
    <w:rsid w:val="00DB42EB"/>
    <w:rsid w:val="00DB42F5"/>
    <w:rsid w:val="00DB43A2"/>
    <w:rsid w:val="00DB44D6"/>
    <w:rsid w:val="00DB469A"/>
    <w:rsid w:val="00DB50B8"/>
    <w:rsid w:val="00DB52C3"/>
    <w:rsid w:val="00DB5454"/>
    <w:rsid w:val="00DB5DA3"/>
    <w:rsid w:val="00DB74E4"/>
    <w:rsid w:val="00DB79B8"/>
    <w:rsid w:val="00DB7A6E"/>
    <w:rsid w:val="00DB7E5F"/>
    <w:rsid w:val="00DC10B0"/>
    <w:rsid w:val="00DC1594"/>
    <w:rsid w:val="00DC193B"/>
    <w:rsid w:val="00DC23B7"/>
    <w:rsid w:val="00DC2996"/>
    <w:rsid w:val="00DC2FA1"/>
    <w:rsid w:val="00DC3B4A"/>
    <w:rsid w:val="00DC4289"/>
    <w:rsid w:val="00DC4806"/>
    <w:rsid w:val="00DC4BCD"/>
    <w:rsid w:val="00DC5D44"/>
    <w:rsid w:val="00DC7619"/>
    <w:rsid w:val="00DC7BD4"/>
    <w:rsid w:val="00DD1107"/>
    <w:rsid w:val="00DD1121"/>
    <w:rsid w:val="00DD14F8"/>
    <w:rsid w:val="00DD15B7"/>
    <w:rsid w:val="00DD173F"/>
    <w:rsid w:val="00DD178F"/>
    <w:rsid w:val="00DD186A"/>
    <w:rsid w:val="00DD1BCE"/>
    <w:rsid w:val="00DD1FE4"/>
    <w:rsid w:val="00DD23C5"/>
    <w:rsid w:val="00DD3A92"/>
    <w:rsid w:val="00DD3B58"/>
    <w:rsid w:val="00DD4022"/>
    <w:rsid w:val="00DD78B2"/>
    <w:rsid w:val="00DE040C"/>
    <w:rsid w:val="00DE0DE9"/>
    <w:rsid w:val="00DE1746"/>
    <w:rsid w:val="00DE2004"/>
    <w:rsid w:val="00DE2966"/>
    <w:rsid w:val="00DE40E0"/>
    <w:rsid w:val="00DE4107"/>
    <w:rsid w:val="00DE4FD1"/>
    <w:rsid w:val="00DE6E6F"/>
    <w:rsid w:val="00DE736A"/>
    <w:rsid w:val="00DF0127"/>
    <w:rsid w:val="00DF0424"/>
    <w:rsid w:val="00DF04ED"/>
    <w:rsid w:val="00DF0B5E"/>
    <w:rsid w:val="00DF0ED5"/>
    <w:rsid w:val="00DF382D"/>
    <w:rsid w:val="00DF3BE8"/>
    <w:rsid w:val="00DF3F0D"/>
    <w:rsid w:val="00DF5CF5"/>
    <w:rsid w:val="00DF72D9"/>
    <w:rsid w:val="00DF7B69"/>
    <w:rsid w:val="00DF7EC8"/>
    <w:rsid w:val="00E00D4F"/>
    <w:rsid w:val="00E0128F"/>
    <w:rsid w:val="00E0164B"/>
    <w:rsid w:val="00E0218A"/>
    <w:rsid w:val="00E028ED"/>
    <w:rsid w:val="00E02E7F"/>
    <w:rsid w:val="00E03E52"/>
    <w:rsid w:val="00E048CD"/>
    <w:rsid w:val="00E0499F"/>
    <w:rsid w:val="00E04AA2"/>
    <w:rsid w:val="00E050B9"/>
    <w:rsid w:val="00E053F6"/>
    <w:rsid w:val="00E05A28"/>
    <w:rsid w:val="00E05B27"/>
    <w:rsid w:val="00E05F7B"/>
    <w:rsid w:val="00E06909"/>
    <w:rsid w:val="00E07080"/>
    <w:rsid w:val="00E07D4B"/>
    <w:rsid w:val="00E104F6"/>
    <w:rsid w:val="00E10748"/>
    <w:rsid w:val="00E10C8E"/>
    <w:rsid w:val="00E11A0D"/>
    <w:rsid w:val="00E12F57"/>
    <w:rsid w:val="00E13C8C"/>
    <w:rsid w:val="00E13FD2"/>
    <w:rsid w:val="00E14282"/>
    <w:rsid w:val="00E156F2"/>
    <w:rsid w:val="00E15D04"/>
    <w:rsid w:val="00E15F54"/>
    <w:rsid w:val="00E16621"/>
    <w:rsid w:val="00E178B3"/>
    <w:rsid w:val="00E17DB8"/>
    <w:rsid w:val="00E17EB1"/>
    <w:rsid w:val="00E20330"/>
    <w:rsid w:val="00E204CE"/>
    <w:rsid w:val="00E20A27"/>
    <w:rsid w:val="00E2153F"/>
    <w:rsid w:val="00E21B31"/>
    <w:rsid w:val="00E21BE4"/>
    <w:rsid w:val="00E2250E"/>
    <w:rsid w:val="00E22E9E"/>
    <w:rsid w:val="00E231DB"/>
    <w:rsid w:val="00E2322E"/>
    <w:rsid w:val="00E2370C"/>
    <w:rsid w:val="00E23855"/>
    <w:rsid w:val="00E23C67"/>
    <w:rsid w:val="00E249D1"/>
    <w:rsid w:val="00E24BF5"/>
    <w:rsid w:val="00E24DDF"/>
    <w:rsid w:val="00E27B87"/>
    <w:rsid w:val="00E27DDF"/>
    <w:rsid w:val="00E27E01"/>
    <w:rsid w:val="00E30210"/>
    <w:rsid w:val="00E30A90"/>
    <w:rsid w:val="00E310B9"/>
    <w:rsid w:val="00E3117A"/>
    <w:rsid w:val="00E317D9"/>
    <w:rsid w:val="00E32DBA"/>
    <w:rsid w:val="00E354AF"/>
    <w:rsid w:val="00E35DF9"/>
    <w:rsid w:val="00E37483"/>
    <w:rsid w:val="00E377D5"/>
    <w:rsid w:val="00E37FDD"/>
    <w:rsid w:val="00E416B1"/>
    <w:rsid w:val="00E42117"/>
    <w:rsid w:val="00E424DE"/>
    <w:rsid w:val="00E43469"/>
    <w:rsid w:val="00E4359A"/>
    <w:rsid w:val="00E4369C"/>
    <w:rsid w:val="00E43A0F"/>
    <w:rsid w:val="00E43AA2"/>
    <w:rsid w:val="00E4438B"/>
    <w:rsid w:val="00E445DA"/>
    <w:rsid w:val="00E447EE"/>
    <w:rsid w:val="00E45379"/>
    <w:rsid w:val="00E4659B"/>
    <w:rsid w:val="00E465CB"/>
    <w:rsid w:val="00E472D6"/>
    <w:rsid w:val="00E47C0D"/>
    <w:rsid w:val="00E50929"/>
    <w:rsid w:val="00E50A7E"/>
    <w:rsid w:val="00E50B22"/>
    <w:rsid w:val="00E51D7B"/>
    <w:rsid w:val="00E51E18"/>
    <w:rsid w:val="00E5267D"/>
    <w:rsid w:val="00E52703"/>
    <w:rsid w:val="00E533BD"/>
    <w:rsid w:val="00E5346C"/>
    <w:rsid w:val="00E53706"/>
    <w:rsid w:val="00E53DE8"/>
    <w:rsid w:val="00E55401"/>
    <w:rsid w:val="00E556C7"/>
    <w:rsid w:val="00E55B38"/>
    <w:rsid w:val="00E56663"/>
    <w:rsid w:val="00E57CE2"/>
    <w:rsid w:val="00E60967"/>
    <w:rsid w:val="00E617BD"/>
    <w:rsid w:val="00E617DF"/>
    <w:rsid w:val="00E61E05"/>
    <w:rsid w:val="00E61F5C"/>
    <w:rsid w:val="00E63111"/>
    <w:rsid w:val="00E63348"/>
    <w:rsid w:val="00E64BD9"/>
    <w:rsid w:val="00E6508C"/>
    <w:rsid w:val="00E6519C"/>
    <w:rsid w:val="00E65A16"/>
    <w:rsid w:val="00E6698C"/>
    <w:rsid w:val="00E67E50"/>
    <w:rsid w:val="00E705B4"/>
    <w:rsid w:val="00E72597"/>
    <w:rsid w:val="00E72967"/>
    <w:rsid w:val="00E74577"/>
    <w:rsid w:val="00E754ED"/>
    <w:rsid w:val="00E8071C"/>
    <w:rsid w:val="00E809B3"/>
    <w:rsid w:val="00E80D12"/>
    <w:rsid w:val="00E810C4"/>
    <w:rsid w:val="00E8134F"/>
    <w:rsid w:val="00E8155D"/>
    <w:rsid w:val="00E81743"/>
    <w:rsid w:val="00E83DF0"/>
    <w:rsid w:val="00E84558"/>
    <w:rsid w:val="00E84A74"/>
    <w:rsid w:val="00E84AD7"/>
    <w:rsid w:val="00E85080"/>
    <w:rsid w:val="00E8538B"/>
    <w:rsid w:val="00E85CC0"/>
    <w:rsid w:val="00E85E1F"/>
    <w:rsid w:val="00E86301"/>
    <w:rsid w:val="00E86815"/>
    <w:rsid w:val="00E86A65"/>
    <w:rsid w:val="00E90F9D"/>
    <w:rsid w:val="00E911A0"/>
    <w:rsid w:val="00E913DC"/>
    <w:rsid w:val="00E91404"/>
    <w:rsid w:val="00E9199A"/>
    <w:rsid w:val="00E9220A"/>
    <w:rsid w:val="00E93886"/>
    <w:rsid w:val="00E94225"/>
    <w:rsid w:val="00E947EF"/>
    <w:rsid w:val="00E94C22"/>
    <w:rsid w:val="00E95147"/>
    <w:rsid w:val="00E96AB8"/>
    <w:rsid w:val="00E96E1A"/>
    <w:rsid w:val="00EA030F"/>
    <w:rsid w:val="00EA0E04"/>
    <w:rsid w:val="00EA220D"/>
    <w:rsid w:val="00EA2FBD"/>
    <w:rsid w:val="00EA3156"/>
    <w:rsid w:val="00EA3FF0"/>
    <w:rsid w:val="00EA40A2"/>
    <w:rsid w:val="00EA4113"/>
    <w:rsid w:val="00EA46DF"/>
    <w:rsid w:val="00EA4CD5"/>
    <w:rsid w:val="00EA4E4A"/>
    <w:rsid w:val="00EA5D2C"/>
    <w:rsid w:val="00EA5D8E"/>
    <w:rsid w:val="00EA5E9B"/>
    <w:rsid w:val="00EA601D"/>
    <w:rsid w:val="00EA6C10"/>
    <w:rsid w:val="00EA7A52"/>
    <w:rsid w:val="00EB07CF"/>
    <w:rsid w:val="00EB112C"/>
    <w:rsid w:val="00EB1ED1"/>
    <w:rsid w:val="00EB2B80"/>
    <w:rsid w:val="00EB2E80"/>
    <w:rsid w:val="00EB397F"/>
    <w:rsid w:val="00EB3A2C"/>
    <w:rsid w:val="00EB3B88"/>
    <w:rsid w:val="00EB4900"/>
    <w:rsid w:val="00EB64EC"/>
    <w:rsid w:val="00EC044E"/>
    <w:rsid w:val="00EC0C14"/>
    <w:rsid w:val="00EC10DA"/>
    <w:rsid w:val="00EC25AE"/>
    <w:rsid w:val="00EC2B42"/>
    <w:rsid w:val="00EC2B82"/>
    <w:rsid w:val="00EC3B8F"/>
    <w:rsid w:val="00EC5BF3"/>
    <w:rsid w:val="00EC5CA0"/>
    <w:rsid w:val="00EC642A"/>
    <w:rsid w:val="00EC651D"/>
    <w:rsid w:val="00EC6C95"/>
    <w:rsid w:val="00EC6D3B"/>
    <w:rsid w:val="00EC7372"/>
    <w:rsid w:val="00ED0706"/>
    <w:rsid w:val="00ED19D1"/>
    <w:rsid w:val="00ED2082"/>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0EF"/>
    <w:rsid w:val="00EE17C8"/>
    <w:rsid w:val="00EE357C"/>
    <w:rsid w:val="00EE527A"/>
    <w:rsid w:val="00EE5898"/>
    <w:rsid w:val="00EE5F2E"/>
    <w:rsid w:val="00EE6BFF"/>
    <w:rsid w:val="00EE791A"/>
    <w:rsid w:val="00EF0A87"/>
    <w:rsid w:val="00EF2617"/>
    <w:rsid w:val="00EF2A6D"/>
    <w:rsid w:val="00EF2C2D"/>
    <w:rsid w:val="00EF3FC3"/>
    <w:rsid w:val="00EF4095"/>
    <w:rsid w:val="00EF4A64"/>
    <w:rsid w:val="00EF5683"/>
    <w:rsid w:val="00EF5D21"/>
    <w:rsid w:val="00EF6D09"/>
    <w:rsid w:val="00EF7198"/>
    <w:rsid w:val="00EF76FA"/>
    <w:rsid w:val="00EF7FC3"/>
    <w:rsid w:val="00F00858"/>
    <w:rsid w:val="00F00D60"/>
    <w:rsid w:val="00F0192D"/>
    <w:rsid w:val="00F02171"/>
    <w:rsid w:val="00F02474"/>
    <w:rsid w:val="00F02FA1"/>
    <w:rsid w:val="00F033EF"/>
    <w:rsid w:val="00F03614"/>
    <w:rsid w:val="00F040B4"/>
    <w:rsid w:val="00F041D8"/>
    <w:rsid w:val="00F04757"/>
    <w:rsid w:val="00F04E16"/>
    <w:rsid w:val="00F0519D"/>
    <w:rsid w:val="00F0523A"/>
    <w:rsid w:val="00F05C67"/>
    <w:rsid w:val="00F0603B"/>
    <w:rsid w:val="00F061A6"/>
    <w:rsid w:val="00F0710C"/>
    <w:rsid w:val="00F07119"/>
    <w:rsid w:val="00F072BF"/>
    <w:rsid w:val="00F110D8"/>
    <w:rsid w:val="00F11AB3"/>
    <w:rsid w:val="00F11F3F"/>
    <w:rsid w:val="00F1282E"/>
    <w:rsid w:val="00F136BF"/>
    <w:rsid w:val="00F14017"/>
    <w:rsid w:val="00F160C8"/>
    <w:rsid w:val="00F1684C"/>
    <w:rsid w:val="00F17435"/>
    <w:rsid w:val="00F17BCE"/>
    <w:rsid w:val="00F20633"/>
    <w:rsid w:val="00F210B8"/>
    <w:rsid w:val="00F21CB5"/>
    <w:rsid w:val="00F228DB"/>
    <w:rsid w:val="00F23316"/>
    <w:rsid w:val="00F2385F"/>
    <w:rsid w:val="00F23B0A"/>
    <w:rsid w:val="00F24527"/>
    <w:rsid w:val="00F24E11"/>
    <w:rsid w:val="00F25CFE"/>
    <w:rsid w:val="00F26CBF"/>
    <w:rsid w:val="00F27918"/>
    <w:rsid w:val="00F304E8"/>
    <w:rsid w:val="00F30562"/>
    <w:rsid w:val="00F30C80"/>
    <w:rsid w:val="00F3321F"/>
    <w:rsid w:val="00F34B11"/>
    <w:rsid w:val="00F35243"/>
    <w:rsid w:val="00F35D24"/>
    <w:rsid w:val="00F36E9F"/>
    <w:rsid w:val="00F37F2A"/>
    <w:rsid w:val="00F4004A"/>
    <w:rsid w:val="00F40D3A"/>
    <w:rsid w:val="00F40F02"/>
    <w:rsid w:val="00F417A5"/>
    <w:rsid w:val="00F41AEF"/>
    <w:rsid w:val="00F41B19"/>
    <w:rsid w:val="00F41B2F"/>
    <w:rsid w:val="00F420CA"/>
    <w:rsid w:val="00F422A7"/>
    <w:rsid w:val="00F42AE8"/>
    <w:rsid w:val="00F43E6E"/>
    <w:rsid w:val="00F43EBF"/>
    <w:rsid w:val="00F44423"/>
    <w:rsid w:val="00F464D1"/>
    <w:rsid w:val="00F4651D"/>
    <w:rsid w:val="00F46AD4"/>
    <w:rsid w:val="00F46E80"/>
    <w:rsid w:val="00F47A11"/>
    <w:rsid w:val="00F47CE9"/>
    <w:rsid w:val="00F47FE4"/>
    <w:rsid w:val="00F5096E"/>
    <w:rsid w:val="00F50BE6"/>
    <w:rsid w:val="00F51236"/>
    <w:rsid w:val="00F5374C"/>
    <w:rsid w:val="00F537BE"/>
    <w:rsid w:val="00F53B33"/>
    <w:rsid w:val="00F541B8"/>
    <w:rsid w:val="00F563D6"/>
    <w:rsid w:val="00F56B6D"/>
    <w:rsid w:val="00F56CC2"/>
    <w:rsid w:val="00F56F47"/>
    <w:rsid w:val="00F5771A"/>
    <w:rsid w:val="00F60BC0"/>
    <w:rsid w:val="00F61B7F"/>
    <w:rsid w:val="00F62370"/>
    <w:rsid w:val="00F628D3"/>
    <w:rsid w:val="00F62D64"/>
    <w:rsid w:val="00F62EF2"/>
    <w:rsid w:val="00F6433D"/>
    <w:rsid w:val="00F64430"/>
    <w:rsid w:val="00F6497E"/>
    <w:rsid w:val="00F64ED1"/>
    <w:rsid w:val="00F66BD7"/>
    <w:rsid w:val="00F677E2"/>
    <w:rsid w:val="00F705D2"/>
    <w:rsid w:val="00F70C9C"/>
    <w:rsid w:val="00F717E6"/>
    <w:rsid w:val="00F71D2E"/>
    <w:rsid w:val="00F7216B"/>
    <w:rsid w:val="00F7264A"/>
    <w:rsid w:val="00F72E5E"/>
    <w:rsid w:val="00F73751"/>
    <w:rsid w:val="00F75EAD"/>
    <w:rsid w:val="00F763CA"/>
    <w:rsid w:val="00F77154"/>
    <w:rsid w:val="00F805F6"/>
    <w:rsid w:val="00F80F33"/>
    <w:rsid w:val="00F8257B"/>
    <w:rsid w:val="00F82D9E"/>
    <w:rsid w:val="00F82FA8"/>
    <w:rsid w:val="00F8308D"/>
    <w:rsid w:val="00F8328B"/>
    <w:rsid w:val="00F8411B"/>
    <w:rsid w:val="00F8442A"/>
    <w:rsid w:val="00F846D6"/>
    <w:rsid w:val="00F85113"/>
    <w:rsid w:val="00F85512"/>
    <w:rsid w:val="00F856EE"/>
    <w:rsid w:val="00F85741"/>
    <w:rsid w:val="00F86130"/>
    <w:rsid w:val="00F871D7"/>
    <w:rsid w:val="00F87607"/>
    <w:rsid w:val="00F87649"/>
    <w:rsid w:val="00F9173A"/>
    <w:rsid w:val="00F91800"/>
    <w:rsid w:val="00F937CF"/>
    <w:rsid w:val="00F93C90"/>
    <w:rsid w:val="00F94A68"/>
    <w:rsid w:val="00F94B81"/>
    <w:rsid w:val="00F94E99"/>
    <w:rsid w:val="00F9650A"/>
    <w:rsid w:val="00F967C7"/>
    <w:rsid w:val="00F9792B"/>
    <w:rsid w:val="00FA0437"/>
    <w:rsid w:val="00FA0DFA"/>
    <w:rsid w:val="00FA233F"/>
    <w:rsid w:val="00FA2E05"/>
    <w:rsid w:val="00FA354E"/>
    <w:rsid w:val="00FA3DF0"/>
    <w:rsid w:val="00FA47AD"/>
    <w:rsid w:val="00FA4AAE"/>
    <w:rsid w:val="00FA61A8"/>
    <w:rsid w:val="00FA6D2D"/>
    <w:rsid w:val="00FA6F8F"/>
    <w:rsid w:val="00FA7166"/>
    <w:rsid w:val="00FA7D57"/>
    <w:rsid w:val="00FB0008"/>
    <w:rsid w:val="00FB071C"/>
    <w:rsid w:val="00FB1557"/>
    <w:rsid w:val="00FB1ACE"/>
    <w:rsid w:val="00FB2144"/>
    <w:rsid w:val="00FB3EA0"/>
    <w:rsid w:val="00FB55F4"/>
    <w:rsid w:val="00FB58D8"/>
    <w:rsid w:val="00FB6548"/>
    <w:rsid w:val="00FB688E"/>
    <w:rsid w:val="00FB7140"/>
    <w:rsid w:val="00FC0365"/>
    <w:rsid w:val="00FC0B63"/>
    <w:rsid w:val="00FC1226"/>
    <w:rsid w:val="00FC15DA"/>
    <w:rsid w:val="00FC2209"/>
    <w:rsid w:val="00FC31A6"/>
    <w:rsid w:val="00FC376A"/>
    <w:rsid w:val="00FC53DD"/>
    <w:rsid w:val="00FC6827"/>
    <w:rsid w:val="00FC7531"/>
    <w:rsid w:val="00FC7950"/>
    <w:rsid w:val="00FC7963"/>
    <w:rsid w:val="00FC7DD1"/>
    <w:rsid w:val="00FC7EAA"/>
    <w:rsid w:val="00FD17F9"/>
    <w:rsid w:val="00FD21E3"/>
    <w:rsid w:val="00FD4877"/>
    <w:rsid w:val="00FD4FA5"/>
    <w:rsid w:val="00FD5166"/>
    <w:rsid w:val="00FD526A"/>
    <w:rsid w:val="00FD68A6"/>
    <w:rsid w:val="00FD702A"/>
    <w:rsid w:val="00FD758C"/>
    <w:rsid w:val="00FE16CF"/>
    <w:rsid w:val="00FE1F08"/>
    <w:rsid w:val="00FE2170"/>
    <w:rsid w:val="00FE2921"/>
    <w:rsid w:val="00FE3F8B"/>
    <w:rsid w:val="00FE524D"/>
    <w:rsid w:val="00FF05B9"/>
    <w:rsid w:val="00FF05E6"/>
    <w:rsid w:val="00FF08BF"/>
    <w:rsid w:val="00FF0EB1"/>
    <w:rsid w:val="00FF1049"/>
    <w:rsid w:val="00FF156D"/>
    <w:rsid w:val="00FF3529"/>
    <w:rsid w:val="00FF3634"/>
    <w:rsid w:val="00FF3699"/>
    <w:rsid w:val="00FF4408"/>
    <w:rsid w:val="00FF456A"/>
    <w:rsid w:val="00FF46FD"/>
    <w:rsid w:val="00FF6204"/>
    <w:rsid w:val="00FF634D"/>
    <w:rsid w:val="00FF6E79"/>
    <w:rsid w:val="00FF75A4"/>
    <w:rsid w:val="00FF7A95"/>
    <w:rsid w:val="511E282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C23ECBC"/>
  <w15:docId w15:val="{8A69245D-C764-4D1E-8E72-08D88C89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9503FE"/>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hAnsiTheme="majorHAnsi" w:eastAsiaTheme="majorEastAsia" w:cstheme="majorBidi"/>
      <w:spacing w:val="-10"/>
      <w:kern w:val="28"/>
      <w:sz w:val="56"/>
      <w:szCs w:val="56"/>
    </w:rPr>
  </w:style>
  <w:style w:type="character" w:styleId="PuestoCar" w:customStyle="1">
    <w:name w:val="Puesto Car"/>
    <w:basedOn w:val="Fuentedeprrafopredeter"/>
    <w:link w:val="Puest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Mencinsinresolver1" w:customStyle="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styleId="Mencinsinresolver2" w:customStyle="1">
    <w:name w:val="Mención sin resolver2"/>
    <w:basedOn w:val="Fuentedeprrafopredeter"/>
    <w:uiPriority w:val="99"/>
    <w:semiHidden/>
    <w:unhideWhenUsed/>
    <w:rsid w:val="00417F91"/>
    <w:rPr>
      <w:color w:val="605E5C"/>
      <w:shd w:val="clear" w:color="auto" w:fill="E1DFDD"/>
    </w:rPr>
  </w:style>
  <w:style w:type="character" w:styleId="highlight" w:customStyle="1">
    <w:name w:val="highlight"/>
    <w:basedOn w:val="Fuentedeprrafopredeter"/>
    <w:rsid w:val="00ED3886"/>
  </w:style>
  <w:style w:type="character" w:styleId="Mencinsinresolver3" w:customStyle="1">
    <w:name w:val="Mención sin resolver3"/>
    <w:basedOn w:val="Fuentedeprrafopredeter"/>
    <w:uiPriority w:val="99"/>
    <w:semiHidden/>
    <w:unhideWhenUsed/>
    <w:rsid w:val="0064309D"/>
    <w:rPr>
      <w:color w:val="605E5C"/>
      <w:shd w:val="clear" w:color="auto" w:fill="E1DFDD"/>
    </w:rPr>
  </w:style>
  <w:style w:type="character" w:styleId="markkepa15iyi" w:customStyle="1">
    <w:name w:val="markkepa15iyi"/>
    <w:basedOn w:val="Fuentedeprrafopredeter"/>
    <w:rsid w:val="000F019D"/>
  </w:style>
  <w:style w:type="character" w:styleId="marki1hk2yicn" w:customStyle="1">
    <w:name w:val="marki1hk2yicn"/>
    <w:basedOn w:val="Fuentedeprrafopredeter"/>
    <w:rsid w:val="00BF3269"/>
  </w:style>
  <w:style w:type="character" w:styleId="Ttulo2Car" w:customStyle="1">
    <w:name w:val="Título 2 Car"/>
    <w:basedOn w:val="Fuentedeprrafopredeter"/>
    <w:link w:val="Ttulo2"/>
    <w:uiPriority w:val="9"/>
    <w:semiHidden/>
    <w:rsid w:val="00223317"/>
    <w:rPr>
      <w:rFonts w:asciiTheme="majorHAnsi" w:hAnsiTheme="majorHAnsi" w:eastAsiaTheme="majorEastAsia" w:cstheme="majorBidi"/>
      <w:color w:val="2F5496" w:themeColor="accent1" w:themeShade="BF"/>
      <w:sz w:val="26"/>
      <w:szCs w:val="26"/>
      <w:lang w:eastAsia="es-ES"/>
    </w:rPr>
  </w:style>
  <w:style w:type="table" w:styleId="Tablaconcuadrcula1" w:customStyle="1">
    <w:name w:val="Tabla con cuadrícula1"/>
    <w:basedOn w:val="Tablanormal"/>
    <w:next w:val="Tablaconcuadrcula"/>
    <w:uiPriority w:val="39"/>
    <w:rsid w:val="00AB6595"/>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4" w:customStyle="1">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hAnsi="Times New Roman" w:eastAsia="Times New Roman" w:cs="Times New Roman"/>
      <w:sz w:val="20"/>
      <w:szCs w:val="20"/>
      <w:lang w:eastAsia="es-ES"/>
    </w:rPr>
  </w:style>
  <w:style w:type="character" w:styleId="Mencinsinresolver5" w:customStyle="1">
    <w:name w:val="Mención sin resolver5"/>
    <w:basedOn w:val="Fuentedeprrafopredeter"/>
    <w:uiPriority w:val="99"/>
    <w:semiHidden/>
    <w:unhideWhenUsed/>
    <w:rsid w:val="00583A2A"/>
    <w:rPr>
      <w:color w:val="605E5C"/>
      <w:shd w:val="clear" w:color="auto" w:fill="E1DFDD"/>
    </w:rPr>
  </w:style>
  <w:style w:type="character" w:styleId="Mencinsinresolver6" w:customStyle="1">
    <w:name w:val="Mención sin resolver6"/>
    <w:basedOn w:val="Fuentedeprrafopredeter"/>
    <w:uiPriority w:val="99"/>
    <w:semiHidden/>
    <w:unhideWhenUsed/>
    <w:rsid w:val="00C669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6031142">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44460614">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1365">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57684912">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5727829">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184058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eader" Target="header2.xml"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header" Target="header3.xml" Id="rId1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hyperlink" Target="https://legislacion.edomex.gob.mx/sites/legislacion.edomex.gob.mx/files/files/vigentes/oct011.PDF" TargetMode="External" Id="rId9" /><Relationship Type="http://schemas.openxmlformats.org/officeDocument/2006/relationships/footer" Target="footer1.xml" Id="rId14" /><Relationship Type="http://schemas.openxmlformats.org/officeDocument/2006/relationships/glossaryDocument" Target="glossary/document.xml" Id="R6111541c82a3474d" /></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e301b84-bd73-4f36-8a2a-788cc82139ea}"/>
      </w:docPartPr>
      <w:docPartBody>
        <w:p w14:paraId="7F0B7AE4">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B4747-C4B7-46D1-98B1-875423EF4D5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LENOVO</dc:creator>
  <keywords/>
  <dc:description/>
  <lastModifiedBy>Denisse Eduarte</lastModifiedBy>
  <revision>8</revision>
  <lastPrinted>2020-01-16T18:20:00.0000000Z</lastPrinted>
  <dcterms:created xsi:type="dcterms:W3CDTF">2023-03-16T16:27:00.0000000Z</dcterms:created>
  <dcterms:modified xsi:type="dcterms:W3CDTF">2023-04-15T06:30:22.3563887Z</dcterms:modified>
</coreProperties>
</file>