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717BB" w14:textId="77777777" w:rsidR="008B38A1" w:rsidRPr="004915DB" w:rsidRDefault="00553CE8">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4915DB">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nueve de febrero de dos mil veintitrés.</w:t>
      </w:r>
    </w:p>
    <w:p w14:paraId="4186506D" w14:textId="77777777" w:rsidR="008B38A1" w:rsidRPr="004915DB" w:rsidRDefault="008B38A1"/>
    <w:p w14:paraId="58C84A3A"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Visto </w:t>
      </w:r>
      <w:r w:rsidRPr="004915DB">
        <w:rPr>
          <w:rFonts w:ascii="Palatino Linotype" w:eastAsia="Palatino Linotype" w:hAnsi="Palatino Linotype" w:cs="Palatino Linotype"/>
          <w:sz w:val="24"/>
          <w:szCs w:val="24"/>
        </w:rPr>
        <w:t xml:space="preserve">el expediente relativo al recurso de revisión </w:t>
      </w:r>
      <w:r w:rsidRPr="004915DB">
        <w:rPr>
          <w:rFonts w:ascii="Palatino Linotype" w:eastAsia="Palatino Linotype" w:hAnsi="Palatino Linotype" w:cs="Palatino Linotype"/>
          <w:b/>
          <w:sz w:val="24"/>
          <w:szCs w:val="24"/>
        </w:rPr>
        <w:t>12254/INFOEM/IP/RR/2022</w:t>
      </w:r>
      <w:r w:rsidRPr="004915DB">
        <w:rPr>
          <w:rFonts w:ascii="Palatino Linotype" w:eastAsia="Palatino Linotype" w:hAnsi="Palatino Linotype" w:cs="Palatino Linotype"/>
          <w:sz w:val="24"/>
          <w:szCs w:val="24"/>
        </w:rPr>
        <w:t xml:space="preserve">, interpuesto por un particular de manera anónima, a quien en lo sucesivo se le denominara </w:t>
      </w:r>
      <w:r w:rsidRPr="004915DB">
        <w:rPr>
          <w:rFonts w:ascii="Palatino Linotype" w:eastAsia="Palatino Linotype" w:hAnsi="Palatino Linotype" w:cs="Palatino Linotype"/>
          <w:b/>
          <w:sz w:val="24"/>
          <w:szCs w:val="24"/>
        </w:rPr>
        <w:t>EL RECURRENTE</w:t>
      </w:r>
      <w:r w:rsidRPr="004915DB">
        <w:rPr>
          <w:rFonts w:ascii="Palatino Linotype" w:eastAsia="Palatino Linotype" w:hAnsi="Palatino Linotype" w:cs="Palatino Linotype"/>
          <w:sz w:val="24"/>
          <w:szCs w:val="24"/>
        </w:rPr>
        <w:t xml:space="preserve">, en contra de la respuesta a la solicitud de información con número de folio </w:t>
      </w:r>
      <w:r w:rsidRPr="004915DB">
        <w:rPr>
          <w:rFonts w:ascii="Palatino Linotype" w:eastAsia="Palatino Linotype" w:hAnsi="Palatino Linotype" w:cs="Palatino Linotype"/>
          <w:b/>
          <w:sz w:val="24"/>
          <w:szCs w:val="24"/>
        </w:rPr>
        <w:t>00111/COYOTEP/IP/2022</w:t>
      </w:r>
      <w:r w:rsidRPr="004915DB">
        <w:rPr>
          <w:rFonts w:ascii="Palatino Linotype" w:eastAsia="Palatino Linotype" w:hAnsi="Palatino Linotype" w:cs="Palatino Linotype"/>
          <w:sz w:val="24"/>
          <w:szCs w:val="24"/>
        </w:rPr>
        <w:t xml:space="preserve">, por parte del </w:t>
      </w:r>
      <w:r w:rsidRPr="004915DB">
        <w:rPr>
          <w:rFonts w:ascii="Palatino Linotype" w:eastAsia="Palatino Linotype" w:hAnsi="Palatino Linotype" w:cs="Palatino Linotype"/>
          <w:b/>
          <w:sz w:val="24"/>
          <w:szCs w:val="24"/>
        </w:rPr>
        <w:t>Ayuntamiento de Coyotepec</w:t>
      </w:r>
      <w:r w:rsidRPr="004915DB">
        <w:rPr>
          <w:rFonts w:ascii="Palatino Linotype" w:eastAsia="Palatino Linotype" w:hAnsi="Palatino Linotype" w:cs="Palatino Linotype"/>
          <w:sz w:val="24"/>
          <w:szCs w:val="24"/>
        </w:rPr>
        <w:t xml:space="preserve">, en lo sucesivo </w:t>
      </w:r>
      <w:r w:rsidRPr="004915DB">
        <w:rPr>
          <w:rFonts w:ascii="Palatino Linotype" w:eastAsia="Palatino Linotype" w:hAnsi="Palatino Linotype" w:cs="Palatino Linotype"/>
          <w:b/>
          <w:sz w:val="24"/>
          <w:szCs w:val="24"/>
        </w:rPr>
        <w:t>EL</w:t>
      </w:r>
      <w:r w:rsidRPr="004915DB">
        <w:rPr>
          <w:rFonts w:ascii="Palatino Linotype" w:eastAsia="Palatino Linotype" w:hAnsi="Palatino Linotype" w:cs="Palatino Linotype"/>
          <w:sz w:val="24"/>
          <w:szCs w:val="24"/>
        </w:rPr>
        <w:t xml:space="preserve"> </w:t>
      </w:r>
      <w:r w:rsidRPr="004915DB">
        <w:rPr>
          <w:rFonts w:ascii="Palatino Linotype" w:eastAsia="Palatino Linotype" w:hAnsi="Palatino Linotype" w:cs="Palatino Linotype"/>
          <w:b/>
          <w:sz w:val="24"/>
          <w:szCs w:val="24"/>
        </w:rPr>
        <w:t xml:space="preserve">SUJETO OBLIGADO; </w:t>
      </w:r>
      <w:r w:rsidRPr="004915DB">
        <w:rPr>
          <w:rFonts w:ascii="Palatino Linotype" w:eastAsia="Palatino Linotype" w:hAnsi="Palatino Linotype" w:cs="Palatino Linotype"/>
          <w:sz w:val="24"/>
          <w:szCs w:val="24"/>
        </w:rPr>
        <w:t>se procede a dictar la presente resolución, con base en lo siguiente.</w:t>
      </w:r>
    </w:p>
    <w:p w14:paraId="16D46ABD" w14:textId="77777777" w:rsidR="008B38A1" w:rsidRPr="004915DB" w:rsidRDefault="008B38A1"/>
    <w:p w14:paraId="6E0F9C10" w14:textId="77777777" w:rsidR="008B38A1" w:rsidRPr="004915DB" w:rsidRDefault="00553CE8">
      <w:pPr>
        <w:spacing w:after="0" w:line="360" w:lineRule="auto"/>
        <w:jc w:val="center"/>
        <w:rPr>
          <w:rFonts w:ascii="Palatino Linotype" w:eastAsia="Palatino Linotype" w:hAnsi="Palatino Linotype" w:cs="Palatino Linotype"/>
          <w:b/>
        </w:rPr>
      </w:pPr>
      <w:r w:rsidRPr="004915DB">
        <w:rPr>
          <w:rFonts w:ascii="Palatino Linotype" w:eastAsia="Palatino Linotype" w:hAnsi="Palatino Linotype" w:cs="Palatino Linotype"/>
          <w:b/>
        </w:rPr>
        <w:t xml:space="preserve">A N T E C E D E N T E S </w:t>
      </w:r>
    </w:p>
    <w:p w14:paraId="67E315FC"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0DCF4E46"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1.</w:t>
      </w:r>
      <w:r w:rsidRPr="004915DB">
        <w:rPr>
          <w:rFonts w:ascii="Palatino Linotype" w:eastAsia="Palatino Linotype" w:hAnsi="Palatino Linotype" w:cs="Palatino Linotype"/>
          <w:sz w:val="24"/>
          <w:szCs w:val="24"/>
        </w:rPr>
        <w:t xml:space="preserve"> </w:t>
      </w:r>
      <w:r w:rsidRPr="004915DB">
        <w:rPr>
          <w:rFonts w:ascii="Palatino Linotype" w:eastAsia="Palatino Linotype" w:hAnsi="Palatino Linotype" w:cs="Palatino Linotype"/>
          <w:b/>
          <w:sz w:val="24"/>
          <w:szCs w:val="24"/>
        </w:rPr>
        <w:t xml:space="preserve">SOLICITUD DE INFORMACIÓN. </w:t>
      </w:r>
      <w:r w:rsidRPr="004915DB">
        <w:rPr>
          <w:rFonts w:ascii="Palatino Linotype" w:eastAsia="Palatino Linotype" w:hAnsi="Palatino Linotype" w:cs="Palatino Linotype"/>
          <w:sz w:val="24"/>
          <w:szCs w:val="24"/>
        </w:rPr>
        <w:t xml:space="preserve">Con fecha veinticinco de mayo de dos mil veintidós, </w:t>
      </w:r>
      <w:r w:rsidRPr="004915DB">
        <w:rPr>
          <w:rFonts w:ascii="Palatino Linotype" w:eastAsia="Palatino Linotype" w:hAnsi="Palatino Linotype" w:cs="Palatino Linotype"/>
          <w:b/>
          <w:sz w:val="24"/>
          <w:szCs w:val="24"/>
        </w:rPr>
        <w:t>EL RECURRENTE</w:t>
      </w:r>
      <w:r w:rsidRPr="004915DB">
        <w:rPr>
          <w:rFonts w:ascii="Palatino Linotype" w:eastAsia="Palatino Linotype" w:hAnsi="Palatino Linotype" w:cs="Palatino Linotype"/>
          <w:sz w:val="24"/>
          <w:szCs w:val="24"/>
        </w:rPr>
        <w:t>, presentó a través del Sistema de Acceso a la Información Mexiquense (</w:t>
      </w:r>
      <w:r w:rsidRPr="004915DB">
        <w:rPr>
          <w:rFonts w:ascii="Palatino Linotype" w:eastAsia="Palatino Linotype" w:hAnsi="Palatino Linotype" w:cs="Palatino Linotype"/>
          <w:b/>
          <w:sz w:val="24"/>
          <w:szCs w:val="24"/>
        </w:rPr>
        <w:t>SAIMEX)</w:t>
      </w:r>
      <w:r w:rsidRPr="004915DB">
        <w:rPr>
          <w:rFonts w:ascii="Palatino Linotype" w:eastAsia="Palatino Linotype" w:hAnsi="Palatino Linotype" w:cs="Palatino Linotype"/>
          <w:sz w:val="24"/>
          <w:szCs w:val="24"/>
        </w:rPr>
        <w:t xml:space="preserve"> ante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solicitud de acceso a la información pública, registrada bajo el número de expediente</w:t>
      </w:r>
      <w:r w:rsidRPr="004915DB">
        <w:rPr>
          <w:rFonts w:ascii="Verdana" w:eastAsia="Verdana" w:hAnsi="Verdana" w:cs="Verdana"/>
          <w:b/>
        </w:rPr>
        <w:t> </w:t>
      </w:r>
      <w:r w:rsidRPr="004915DB">
        <w:rPr>
          <w:rFonts w:ascii="Palatino Linotype" w:eastAsia="Palatino Linotype" w:hAnsi="Palatino Linotype" w:cs="Palatino Linotype"/>
          <w:b/>
          <w:sz w:val="24"/>
          <w:szCs w:val="24"/>
        </w:rPr>
        <w:t>00111/COYOTEP/IP/2022</w:t>
      </w:r>
      <w:r w:rsidRPr="004915DB">
        <w:rPr>
          <w:rFonts w:ascii="Palatino Linotype" w:eastAsia="Palatino Linotype" w:hAnsi="Palatino Linotype" w:cs="Palatino Linotype"/>
          <w:sz w:val="24"/>
          <w:szCs w:val="24"/>
        </w:rPr>
        <w:t>,</w:t>
      </w:r>
      <w:r w:rsidRPr="004915DB">
        <w:rPr>
          <w:rFonts w:ascii="Palatino Linotype" w:eastAsia="Palatino Linotype" w:hAnsi="Palatino Linotype" w:cs="Palatino Linotype"/>
          <w:b/>
          <w:sz w:val="24"/>
          <w:szCs w:val="24"/>
        </w:rPr>
        <w:t xml:space="preserve"> </w:t>
      </w:r>
      <w:r w:rsidRPr="004915DB">
        <w:rPr>
          <w:rFonts w:ascii="Palatino Linotype" w:eastAsia="Palatino Linotype" w:hAnsi="Palatino Linotype" w:cs="Palatino Linotype"/>
          <w:sz w:val="24"/>
          <w:szCs w:val="24"/>
        </w:rPr>
        <w:t>mediante la cual solicitó la siguiente información:</w:t>
      </w:r>
    </w:p>
    <w:p w14:paraId="64FA9238"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7BC8506C" w14:textId="77777777" w:rsidR="008B38A1" w:rsidRPr="004915DB" w:rsidRDefault="00553CE8">
      <w:pPr>
        <w:spacing w:after="0" w:line="276" w:lineRule="auto"/>
        <w:ind w:left="709" w:right="758"/>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w:t>
      </w:r>
      <w:r w:rsidRPr="004915DB">
        <w:rPr>
          <w:rFonts w:ascii="Palatino Linotype" w:eastAsia="Palatino Linotype" w:hAnsi="Palatino Linotype" w:cs="Palatino Linotype"/>
          <w:i/>
        </w:rPr>
        <w:lastRenderedPageBreak/>
        <w:t xml:space="preserve">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w:t>
      </w:r>
      <w:r w:rsidRPr="004915DB">
        <w:rPr>
          <w:rFonts w:ascii="Palatino Linotype" w:eastAsia="Palatino Linotype" w:hAnsi="Palatino Linotype" w:cs="Palatino Linotype"/>
          <w:i/>
        </w:rPr>
        <w:lastRenderedPageBreak/>
        <w:t xml:space="preserve">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w:t>
      </w:r>
      <w:r w:rsidRPr="004915DB">
        <w:rPr>
          <w:rFonts w:ascii="Palatino Linotype" w:eastAsia="Palatino Linotype" w:hAnsi="Palatino Linotype" w:cs="Palatino Linotype"/>
          <w:i/>
        </w:rPr>
        <w:lastRenderedPageBreak/>
        <w:t>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 (Sic).</w:t>
      </w:r>
    </w:p>
    <w:p w14:paraId="4EC23685" w14:textId="77777777" w:rsidR="008B38A1" w:rsidRPr="004915DB" w:rsidRDefault="008B38A1">
      <w:pPr>
        <w:spacing w:after="0" w:line="276" w:lineRule="auto"/>
        <w:ind w:right="758"/>
        <w:jc w:val="both"/>
        <w:rPr>
          <w:rFonts w:ascii="Palatino Linotype" w:eastAsia="Palatino Linotype" w:hAnsi="Palatino Linotype" w:cs="Palatino Linotype"/>
          <w:i/>
        </w:rPr>
      </w:pPr>
    </w:p>
    <w:p w14:paraId="0BB26CC1" w14:textId="77777777" w:rsidR="008B38A1" w:rsidRPr="004915DB" w:rsidRDefault="00553CE8">
      <w:pPr>
        <w:spacing w:after="0" w:line="360" w:lineRule="auto"/>
        <w:ind w:right="-8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El particular para tal efecto el archivo electrónico, </w:t>
      </w:r>
      <w:r w:rsidRPr="004915DB">
        <w:rPr>
          <w:rFonts w:ascii="Palatino Linotype" w:eastAsia="Palatino Linotype" w:hAnsi="Palatino Linotype" w:cs="Palatino Linotype"/>
          <w:b/>
          <w:i/>
          <w:sz w:val="24"/>
          <w:szCs w:val="24"/>
          <w:u w:val="single"/>
        </w:rPr>
        <w:t xml:space="preserve">Requerimientos de informacion a municipoios 2022.pdf, </w:t>
      </w:r>
      <w:r w:rsidRPr="004915DB">
        <w:rPr>
          <w:rFonts w:ascii="Palatino Linotype" w:eastAsia="Palatino Linotype" w:hAnsi="Palatino Linotype" w:cs="Palatino Linotype"/>
          <w:sz w:val="24"/>
          <w:szCs w:val="24"/>
        </w:rPr>
        <w:t>el cual los mismos puntos de la solicitud, motivo por el que se considera innecesaria su descripción.</w:t>
      </w:r>
    </w:p>
    <w:p w14:paraId="5702D2D2" w14:textId="77777777" w:rsidR="008B38A1" w:rsidRPr="004915DB" w:rsidRDefault="008B38A1">
      <w:pPr>
        <w:spacing w:after="0" w:line="360" w:lineRule="auto"/>
        <w:ind w:right="758"/>
        <w:jc w:val="both"/>
        <w:rPr>
          <w:rFonts w:ascii="Palatino Linotype" w:eastAsia="Palatino Linotype" w:hAnsi="Palatino Linotype" w:cs="Palatino Linotype"/>
          <w:sz w:val="24"/>
          <w:szCs w:val="24"/>
        </w:rPr>
      </w:pPr>
    </w:p>
    <w:p w14:paraId="225EB0A9"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Modalidad de entrega: A través del </w:t>
      </w:r>
      <w:r w:rsidRPr="004915DB">
        <w:rPr>
          <w:rFonts w:ascii="Palatino Linotype" w:eastAsia="Palatino Linotype" w:hAnsi="Palatino Linotype" w:cs="Palatino Linotype"/>
          <w:b/>
          <w:sz w:val="24"/>
          <w:szCs w:val="24"/>
        </w:rPr>
        <w:t>SAIMEX</w:t>
      </w:r>
      <w:r w:rsidRPr="004915DB">
        <w:rPr>
          <w:rFonts w:ascii="Palatino Linotype" w:eastAsia="Palatino Linotype" w:hAnsi="Palatino Linotype" w:cs="Palatino Linotype"/>
          <w:sz w:val="24"/>
          <w:szCs w:val="24"/>
        </w:rPr>
        <w:t>.</w:t>
      </w:r>
    </w:p>
    <w:p w14:paraId="25AC0C3A" w14:textId="77777777" w:rsidR="008B38A1" w:rsidRPr="004915DB" w:rsidRDefault="008B38A1"/>
    <w:p w14:paraId="545DD5D3" w14:textId="77777777" w:rsidR="008B38A1" w:rsidRPr="004915DB" w:rsidRDefault="00553CE8">
      <w:pPr>
        <w:spacing w:after="0" w:line="360" w:lineRule="auto"/>
        <w:jc w:val="both"/>
      </w:pPr>
      <w:r w:rsidRPr="004915DB">
        <w:rPr>
          <w:rFonts w:ascii="Palatino Linotype" w:eastAsia="Palatino Linotype" w:hAnsi="Palatino Linotype" w:cs="Palatino Linotype"/>
          <w:b/>
          <w:sz w:val="24"/>
          <w:szCs w:val="24"/>
        </w:rPr>
        <w:t xml:space="preserve">2. RESPUESTA.  </w:t>
      </w:r>
      <w:r w:rsidRPr="004915DB">
        <w:rPr>
          <w:rFonts w:ascii="Palatino Linotype" w:eastAsia="Palatino Linotype" w:hAnsi="Palatino Linotype" w:cs="Palatino Linotype"/>
          <w:sz w:val="24"/>
          <w:szCs w:val="24"/>
        </w:rPr>
        <w:t xml:space="preserve">Con fecha quince de junio del dos mil veintidós,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4915DB">
        <w:t xml:space="preserve"> </w:t>
      </w:r>
    </w:p>
    <w:p w14:paraId="2EE0E7CE" w14:textId="77777777" w:rsidR="008B38A1" w:rsidRPr="004915DB" w:rsidRDefault="008B38A1">
      <w:pPr>
        <w:spacing w:after="0" w:line="360" w:lineRule="auto"/>
        <w:jc w:val="both"/>
      </w:pPr>
    </w:p>
    <w:p w14:paraId="05298FBF" w14:textId="77777777" w:rsidR="008B38A1" w:rsidRPr="004915DB" w:rsidRDefault="00553CE8">
      <w:pPr>
        <w:spacing w:after="0" w:line="276" w:lineRule="auto"/>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“SE ENVIA INFORMACION PROPORCIONADA POR SERVIDOR PUBLICO HABILITADO</w:t>
      </w:r>
    </w:p>
    <w:p w14:paraId="267C57EC" w14:textId="77777777" w:rsidR="008B38A1" w:rsidRPr="004915DB" w:rsidRDefault="00553CE8">
      <w:pPr>
        <w:spacing w:after="0" w:line="276" w:lineRule="auto"/>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ATENTAMENTE</w:t>
      </w:r>
    </w:p>
    <w:p w14:paraId="0B45C1CB" w14:textId="77777777" w:rsidR="008B38A1" w:rsidRPr="004915DB" w:rsidRDefault="00553CE8">
      <w:pPr>
        <w:spacing w:after="0" w:line="276" w:lineRule="auto"/>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LIC. ARACELI BERNAL BALDOMAR”</w:t>
      </w:r>
    </w:p>
    <w:p w14:paraId="0E28400C" w14:textId="77777777" w:rsidR="008B38A1" w:rsidRPr="004915DB" w:rsidRDefault="008B38A1">
      <w:pPr>
        <w:spacing w:after="0" w:line="276" w:lineRule="auto"/>
        <w:ind w:left="851" w:right="900"/>
        <w:jc w:val="both"/>
        <w:rPr>
          <w:rFonts w:ascii="Palatino Linotype" w:eastAsia="Palatino Linotype" w:hAnsi="Palatino Linotype" w:cs="Palatino Linotype"/>
          <w:i/>
        </w:rPr>
      </w:pPr>
    </w:p>
    <w:p w14:paraId="392DC1C9" w14:textId="77777777" w:rsidR="008B38A1" w:rsidRPr="004915DB" w:rsidRDefault="00553CE8">
      <w:pPr>
        <w:spacing w:after="0" w:line="360" w:lineRule="auto"/>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Adjuntando para tal efecto el archivo electrónico:</w:t>
      </w:r>
    </w:p>
    <w:p w14:paraId="2B70030E" w14:textId="77777777" w:rsidR="008B38A1" w:rsidRPr="004915DB" w:rsidRDefault="008B38A1">
      <w:pPr>
        <w:spacing w:after="0" w:line="360" w:lineRule="auto"/>
        <w:rPr>
          <w:rFonts w:ascii="Palatino Linotype" w:eastAsia="Palatino Linotype" w:hAnsi="Palatino Linotype" w:cs="Palatino Linotype"/>
          <w:sz w:val="24"/>
          <w:szCs w:val="24"/>
        </w:rPr>
      </w:pPr>
    </w:p>
    <w:p w14:paraId="0331EB0F" w14:textId="77777777" w:rsidR="008B38A1" w:rsidRPr="004915DB" w:rsidRDefault="00553CE8">
      <w:pPr>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13500E" w14:textId="77777777" w:rsidR="008B38A1" w:rsidRPr="004915DB" w:rsidRDefault="00553CE8">
      <w:pPr>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Se adjunta en PDF la respuesta correspondiente a esta solicitud SE PROPORCIONA LA RESPUESTA EN FORMATO PDF</w:t>
      </w:r>
    </w:p>
    <w:p w14:paraId="58F2E601" w14:textId="77777777" w:rsidR="008B38A1" w:rsidRPr="004915DB" w:rsidRDefault="00553CE8">
      <w:pPr>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ATENTAMENTE</w:t>
      </w:r>
    </w:p>
    <w:p w14:paraId="796E98B0" w14:textId="77777777" w:rsidR="008B38A1" w:rsidRPr="004915DB" w:rsidRDefault="00553CE8">
      <w:pPr>
        <w:ind w:left="851"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LIC. KARLA VARGAS CHOREÑO</w:t>
      </w:r>
    </w:p>
    <w:p w14:paraId="22E4A075" w14:textId="77777777" w:rsidR="008B38A1" w:rsidRPr="004915DB" w:rsidRDefault="008B38A1">
      <w:pPr>
        <w:rPr>
          <w:rFonts w:ascii="Palatino Linotype" w:eastAsia="Palatino Linotype" w:hAnsi="Palatino Linotype" w:cs="Palatino Linotype"/>
        </w:rPr>
      </w:pPr>
    </w:p>
    <w:p w14:paraId="37EC808C" w14:textId="0B622529" w:rsidR="008B38A1" w:rsidRPr="004915DB" w:rsidRDefault="00BE756B" w:rsidP="00BE756B">
      <w:pPr>
        <w:tabs>
          <w:tab w:val="left" w:pos="1005"/>
        </w:tabs>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bCs/>
          <w:sz w:val="24"/>
          <w:szCs w:val="24"/>
        </w:rPr>
        <w:lastRenderedPageBreak/>
        <w:t>EL SUJETO OBLIGADO</w:t>
      </w:r>
      <w:r w:rsidR="00553CE8" w:rsidRPr="004915DB">
        <w:rPr>
          <w:rFonts w:ascii="Palatino Linotype" w:eastAsia="Palatino Linotype" w:hAnsi="Palatino Linotype" w:cs="Palatino Linotype"/>
          <w:sz w:val="24"/>
          <w:szCs w:val="24"/>
        </w:rPr>
        <w:t xml:space="preserve"> adjuntó para tal efecto los siguientes archivos electrónicos:</w:t>
      </w:r>
    </w:p>
    <w:p w14:paraId="070C3EC0" w14:textId="77777777" w:rsidR="008B38A1" w:rsidRPr="004915DB" w:rsidRDefault="008B38A1">
      <w:pPr>
        <w:tabs>
          <w:tab w:val="left" w:pos="1005"/>
        </w:tabs>
        <w:rPr>
          <w:rFonts w:ascii="Palatino Linotype" w:eastAsia="Palatino Linotype" w:hAnsi="Palatino Linotype" w:cs="Palatino Linotype"/>
          <w:sz w:val="24"/>
          <w:szCs w:val="24"/>
        </w:rPr>
      </w:pPr>
    </w:p>
    <w:p w14:paraId="7BCFEE97" w14:textId="77777777" w:rsidR="008B38A1" w:rsidRPr="004915DB" w:rsidRDefault="00553CE8">
      <w:pPr>
        <w:tabs>
          <w:tab w:val="left" w:pos="1005"/>
        </w:tabs>
        <w:spacing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“RESPUESTA 00111COYOTEPIP2022.pdf” </w:t>
      </w:r>
      <w:r w:rsidRPr="004915DB">
        <w:rPr>
          <w:rFonts w:ascii="Palatino Linotype" w:eastAsia="Palatino Linotype" w:hAnsi="Palatino Linotype" w:cs="Palatino Linotype"/>
          <w:sz w:val="24"/>
          <w:szCs w:val="24"/>
        </w:rPr>
        <w:t xml:space="preserve">Oficio DDE/06/0095/2022 de fecha catorce de junio de dos mil veintidós, signado por el Director de Desarrollo Económico, mediante el cual otorga respuesta a unos puntos de la solicitud de información, precisando que dicha información comprende de julio de 2021 al 31 de diciembre de 2021, ya que no cuenta con información a fechas anteriores. </w:t>
      </w:r>
      <w:r w:rsidRPr="004915DB">
        <w:rPr>
          <w:rFonts w:ascii="Palatino Linotype" w:eastAsia="Palatino Linotype" w:hAnsi="Palatino Linotype" w:cs="Palatino Linotype"/>
          <w:b/>
          <w:i/>
          <w:sz w:val="24"/>
          <w:szCs w:val="24"/>
          <w:u w:val="single"/>
        </w:rPr>
        <w:t xml:space="preserve"> </w:t>
      </w:r>
    </w:p>
    <w:p w14:paraId="73010273" w14:textId="77777777" w:rsidR="008B38A1" w:rsidRPr="004915DB" w:rsidRDefault="00553CE8">
      <w:pPr>
        <w:tabs>
          <w:tab w:val="left" w:pos="1005"/>
        </w:tabs>
        <w:spacing w:line="360" w:lineRule="auto"/>
        <w:jc w:val="both"/>
        <w:rPr>
          <w:rFonts w:ascii="Palatino Linotype" w:eastAsia="Palatino Linotype" w:hAnsi="Palatino Linotype" w:cs="Palatino Linotype"/>
          <w:b/>
          <w:i/>
          <w:sz w:val="24"/>
          <w:szCs w:val="24"/>
          <w:u w:val="single"/>
        </w:rPr>
      </w:pPr>
      <w:r w:rsidRPr="004915DB">
        <w:rPr>
          <w:noProof/>
        </w:rPr>
        <w:drawing>
          <wp:inline distT="0" distB="0" distL="0" distR="0" wp14:anchorId="4DBA961A" wp14:editId="0A1D4348">
            <wp:extent cx="5705127" cy="2233754"/>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3945" t="53711" r="33978" b="23959"/>
                    <a:stretch>
                      <a:fillRect/>
                    </a:stretch>
                  </pic:blipFill>
                  <pic:spPr>
                    <a:xfrm>
                      <a:off x="0" y="0"/>
                      <a:ext cx="5705127" cy="2233754"/>
                    </a:xfrm>
                    <a:prstGeom prst="rect">
                      <a:avLst/>
                    </a:prstGeom>
                    <a:ln/>
                  </pic:spPr>
                </pic:pic>
              </a:graphicData>
            </a:graphic>
          </wp:inline>
        </w:drawing>
      </w:r>
    </w:p>
    <w:p w14:paraId="08C7EFB0"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i/>
          <w:sz w:val="24"/>
          <w:szCs w:val="24"/>
          <w:u w:val="single"/>
        </w:rPr>
        <w:t>RESPUESTA A LA SOLICITUD 00111.pdf:</w:t>
      </w:r>
      <w:r w:rsidRPr="004915DB">
        <w:rPr>
          <w:rFonts w:ascii="Palatino Linotype" w:eastAsia="Palatino Linotype" w:hAnsi="Palatino Linotype" w:cs="Palatino Linotype"/>
          <w:sz w:val="24"/>
          <w:szCs w:val="24"/>
        </w:rPr>
        <w:t xml:space="preserve"> Oficio 146/06/TES/INT/2022 de fecha quince de junio de dos mil veintidós, signado por el Tesorero Municipal, mediante el cual refiere que hace entrega de archivos PDF a efecto de otorgar respuesta a la solicitud de información. </w:t>
      </w:r>
    </w:p>
    <w:p w14:paraId="7942FACA"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199C1F01"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i/>
          <w:sz w:val="24"/>
          <w:szCs w:val="24"/>
          <w:u w:val="single"/>
        </w:rPr>
        <w:t xml:space="preserve">ESTADO ANALITICO DE INGRESOS PRESUPUESTARIO 2018.pdf: </w:t>
      </w:r>
      <w:r w:rsidRPr="004915DB">
        <w:rPr>
          <w:rFonts w:ascii="Palatino Linotype" w:eastAsia="Palatino Linotype" w:hAnsi="Palatino Linotype" w:cs="Palatino Linotype"/>
          <w:sz w:val="24"/>
          <w:szCs w:val="24"/>
        </w:rPr>
        <w:t xml:space="preserve">Estado analítico de ingresos presupuestales del ejercicio fiscal 2018. </w:t>
      </w:r>
    </w:p>
    <w:p w14:paraId="155E3A83"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5AF78290"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lastRenderedPageBreak/>
        <w:t xml:space="preserve">ESTADO ANALITICO DE INGRESOS PRESUPUESTARIO 2017.pdf: </w:t>
      </w:r>
      <w:r w:rsidRPr="004915DB">
        <w:rPr>
          <w:rFonts w:ascii="Palatino Linotype" w:eastAsia="Palatino Linotype" w:hAnsi="Palatino Linotype" w:cs="Palatino Linotype"/>
          <w:sz w:val="24"/>
          <w:szCs w:val="24"/>
        </w:rPr>
        <w:t>Estado analítico de ingresos presupuestales del ejercicio fiscal 2017.</w:t>
      </w:r>
    </w:p>
    <w:p w14:paraId="6458B962"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3ACCD418"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PRESUPUESTARIO 2019.pdf: </w:t>
      </w:r>
      <w:r w:rsidRPr="004915DB">
        <w:rPr>
          <w:rFonts w:ascii="Palatino Linotype" w:eastAsia="Palatino Linotype" w:hAnsi="Palatino Linotype" w:cs="Palatino Linotype"/>
          <w:sz w:val="24"/>
          <w:szCs w:val="24"/>
        </w:rPr>
        <w:t>Estado analítico de ingresos presupuestales del ejercicio fiscal 2019.</w:t>
      </w:r>
    </w:p>
    <w:p w14:paraId="5EF18159"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71FC0AFF"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2021.pdf: </w:t>
      </w:r>
      <w:r w:rsidRPr="004915DB">
        <w:rPr>
          <w:rFonts w:ascii="Palatino Linotype" w:eastAsia="Palatino Linotype" w:hAnsi="Palatino Linotype" w:cs="Palatino Linotype"/>
          <w:sz w:val="24"/>
          <w:szCs w:val="24"/>
        </w:rPr>
        <w:t>Estado analítico de ingresos del ejercicio fiscal 2021.</w:t>
      </w:r>
    </w:p>
    <w:p w14:paraId="6D3EC667"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1C4E61AB"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PRESUPUESTARIO 2015.pdf: </w:t>
      </w:r>
      <w:r w:rsidRPr="004915DB">
        <w:rPr>
          <w:rFonts w:ascii="Palatino Linotype" w:eastAsia="Palatino Linotype" w:hAnsi="Palatino Linotype" w:cs="Palatino Linotype"/>
          <w:sz w:val="24"/>
          <w:szCs w:val="24"/>
        </w:rPr>
        <w:t>Estado analítico de ingresos presupuestales del ejercicio fiscal 2015.</w:t>
      </w:r>
    </w:p>
    <w:p w14:paraId="0605A787"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21F8A7AF"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PRESUPUESTARIO 2020.pdf: </w:t>
      </w:r>
      <w:r w:rsidRPr="004915DB">
        <w:rPr>
          <w:rFonts w:ascii="Palatino Linotype" w:eastAsia="Palatino Linotype" w:hAnsi="Palatino Linotype" w:cs="Palatino Linotype"/>
          <w:sz w:val="24"/>
          <w:szCs w:val="24"/>
        </w:rPr>
        <w:t>Estado analítico de ingresos presupuestales del ejercicio fiscal 2020.</w:t>
      </w:r>
    </w:p>
    <w:p w14:paraId="5B459C8B"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189374A3"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PRESUPUESTARIO 2014.pdf : </w:t>
      </w:r>
      <w:r w:rsidRPr="004915DB">
        <w:rPr>
          <w:rFonts w:ascii="Palatino Linotype" w:eastAsia="Palatino Linotype" w:hAnsi="Palatino Linotype" w:cs="Palatino Linotype"/>
          <w:sz w:val="24"/>
          <w:szCs w:val="24"/>
        </w:rPr>
        <w:t>Estado analítico de ingresos presupuestales del ejercicio fiscal 2014.</w:t>
      </w:r>
    </w:p>
    <w:p w14:paraId="6BEE5985"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31ED2805" w14:textId="77777777" w:rsidR="008B38A1" w:rsidRPr="004915DB" w:rsidRDefault="00553CE8">
      <w:pPr>
        <w:tabs>
          <w:tab w:val="left" w:pos="1005"/>
        </w:tabs>
        <w:spacing w:after="0" w:line="360" w:lineRule="auto"/>
        <w:jc w:val="both"/>
        <w:rPr>
          <w:rFonts w:ascii="Palatino Linotype" w:eastAsia="Palatino Linotype" w:hAnsi="Palatino Linotype" w:cs="Palatino Linotype"/>
          <w:b/>
          <w:i/>
          <w:sz w:val="24"/>
          <w:szCs w:val="24"/>
          <w:u w:val="single"/>
        </w:rPr>
      </w:pPr>
      <w:r w:rsidRPr="004915DB">
        <w:rPr>
          <w:rFonts w:ascii="Palatino Linotype" w:eastAsia="Palatino Linotype" w:hAnsi="Palatino Linotype" w:cs="Palatino Linotype"/>
          <w:b/>
          <w:i/>
          <w:sz w:val="24"/>
          <w:szCs w:val="24"/>
          <w:u w:val="single"/>
        </w:rPr>
        <w:t xml:space="preserve">ESTADO ANALITICO DE INGRESOS PRESUPUESTARIO 2016.pdf : </w:t>
      </w:r>
      <w:r w:rsidRPr="004915DB">
        <w:rPr>
          <w:rFonts w:ascii="Palatino Linotype" w:eastAsia="Palatino Linotype" w:hAnsi="Palatino Linotype" w:cs="Palatino Linotype"/>
          <w:sz w:val="24"/>
          <w:szCs w:val="24"/>
        </w:rPr>
        <w:t>Estado analítico de ingresos presupuestales del ejercicio fiscal 2016.</w:t>
      </w:r>
    </w:p>
    <w:p w14:paraId="72252673"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1640F36E"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i/>
          <w:sz w:val="24"/>
          <w:szCs w:val="24"/>
          <w:u w:val="single"/>
        </w:rPr>
        <w:t xml:space="preserve">ESTADO ANALITICO DE INGRESO PRESUPUESTARIO 2012,2013.pdf : </w:t>
      </w:r>
      <w:r w:rsidRPr="004915DB">
        <w:rPr>
          <w:rFonts w:ascii="Palatino Linotype" w:eastAsia="Palatino Linotype" w:hAnsi="Palatino Linotype" w:cs="Palatino Linotype"/>
          <w:sz w:val="24"/>
          <w:szCs w:val="24"/>
        </w:rPr>
        <w:t>Estado analítico de ingresos presupuestales del ejercicio fiscal 2012 y 2013.</w:t>
      </w:r>
    </w:p>
    <w:p w14:paraId="03C3F09B" w14:textId="77777777" w:rsidR="008B38A1" w:rsidRPr="004915DB" w:rsidRDefault="00553CE8">
      <w:pPr>
        <w:spacing w:after="0" w:line="360" w:lineRule="auto"/>
        <w:ind w:right="-2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lastRenderedPageBreak/>
        <w:t xml:space="preserve">3. DEL RECURSO DE REVISIÓN. </w:t>
      </w:r>
      <w:r w:rsidRPr="004915DB">
        <w:rPr>
          <w:rFonts w:ascii="Palatino Linotype" w:eastAsia="Palatino Linotype" w:hAnsi="Palatino Linotype" w:cs="Palatino Linotype"/>
          <w:sz w:val="24"/>
          <w:szCs w:val="24"/>
        </w:rPr>
        <w:t>Inconforme con la respuesta del</w:t>
      </w:r>
      <w:r w:rsidRPr="004915DB">
        <w:rPr>
          <w:rFonts w:ascii="Palatino Linotype" w:eastAsia="Palatino Linotype" w:hAnsi="Palatino Linotype" w:cs="Palatino Linotype"/>
          <w:b/>
          <w:sz w:val="24"/>
          <w:szCs w:val="24"/>
        </w:rPr>
        <w:t xml:space="preserve"> SUJETO OBLIGADO, </w:t>
      </w:r>
      <w:r w:rsidRPr="004915DB">
        <w:rPr>
          <w:rFonts w:ascii="Palatino Linotype" w:eastAsia="Palatino Linotype" w:hAnsi="Palatino Linotype" w:cs="Palatino Linotype"/>
          <w:sz w:val="24"/>
          <w:szCs w:val="24"/>
        </w:rPr>
        <w:t>en fecha veintinueve de junio de dos mil veintidós</w:t>
      </w:r>
      <w:r w:rsidRPr="004915DB">
        <w:rPr>
          <w:rFonts w:ascii="Palatino Linotype" w:eastAsia="Palatino Linotype" w:hAnsi="Palatino Linotype" w:cs="Palatino Linotype"/>
          <w:b/>
          <w:sz w:val="24"/>
          <w:szCs w:val="24"/>
        </w:rPr>
        <w:t xml:space="preserve">, EL RECURRENTE </w:t>
      </w:r>
      <w:r w:rsidRPr="004915DB">
        <w:rPr>
          <w:rFonts w:ascii="Palatino Linotype" w:eastAsia="Palatino Linotype" w:hAnsi="Palatino Linotype" w:cs="Palatino Linotype"/>
          <w:sz w:val="24"/>
          <w:szCs w:val="24"/>
        </w:rPr>
        <w:t>interpuso el recurso de revisión, el cual fue registrado</w:t>
      </w:r>
      <w:r w:rsidRPr="004915DB">
        <w:rPr>
          <w:rFonts w:ascii="Palatino Linotype" w:eastAsia="Palatino Linotype" w:hAnsi="Palatino Linotype" w:cs="Palatino Linotype"/>
          <w:b/>
          <w:sz w:val="24"/>
          <w:szCs w:val="24"/>
        </w:rPr>
        <w:t xml:space="preserve"> </w:t>
      </w:r>
      <w:r w:rsidRPr="004915DB">
        <w:rPr>
          <w:rFonts w:ascii="Palatino Linotype" w:eastAsia="Palatino Linotype" w:hAnsi="Palatino Linotype" w:cs="Palatino Linotype"/>
          <w:sz w:val="24"/>
          <w:szCs w:val="24"/>
        </w:rPr>
        <w:t xml:space="preserve">en el sistema electrónico con el expediente número </w:t>
      </w:r>
      <w:r w:rsidRPr="004915DB">
        <w:rPr>
          <w:rFonts w:ascii="Palatino Linotype" w:eastAsia="Palatino Linotype" w:hAnsi="Palatino Linotype" w:cs="Palatino Linotype"/>
          <w:b/>
          <w:sz w:val="24"/>
          <w:szCs w:val="24"/>
        </w:rPr>
        <w:t>12254/INFOEM/IP/RR/2022</w:t>
      </w:r>
      <w:r w:rsidRPr="004915DB">
        <w:rPr>
          <w:rFonts w:ascii="Palatino Linotype" w:eastAsia="Palatino Linotype" w:hAnsi="Palatino Linotype" w:cs="Palatino Linotype"/>
          <w:sz w:val="24"/>
          <w:szCs w:val="24"/>
        </w:rPr>
        <w:t>, en el cual manifiesta, lo siguiente:</w:t>
      </w:r>
    </w:p>
    <w:p w14:paraId="0EF20C41" w14:textId="77777777" w:rsidR="008B38A1" w:rsidRPr="004915DB" w:rsidRDefault="008B38A1">
      <w:pPr>
        <w:spacing w:after="0" w:line="360" w:lineRule="auto"/>
        <w:ind w:right="-234"/>
        <w:jc w:val="both"/>
        <w:rPr>
          <w:rFonts w:ascii="Palatino Linotype" w:eastAsia="Palatino Linotype" w:hAnsi="Palatino Linotype" w:cs="Palatino Linotype"/>
          <w:b/>
          <w:sz w:val="24"/>
          <w:szCs w:val="24"/>
        </w:rPr>
      </w:pPr>
    </w:p>
    <w:p w14:paraId="76CCD7F3" w14:textId="77777777" w:rsidR="008B38A1" w:rsidRPr="004915DB" w:rsidRDefault="00553CE8">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4915DB">
        <w:rPr>
          <w:rFonts w:ascii="Palatino Linotype" w:eastAsia="Palatino Linotype" w:hAnsi="Palatino Linotype" w:cs="Palatino Linotype"/>
          <w:b/>
          <w:i/>
          <w:sz w:val="24"/>
          <w:szCs w:val="24"/>
        </w:rPr>
        <w:t>Acto Impugnado:</w:t>
      </w:r>
    </w:p>
    <w:p w14:paraId="2B858A47" w14:textId="77777777" w:rsidR="008B38A1" w:rsidRPr="004915DB" w:rsidRDefault="00553CE8">
      <w:pPr>
        <w:tabs>
          <w:tab w:val="left" w:pos="8222"/>
        </w:tabs>
        <w:spacing w:before="240" w:after="240" w:line="276" w:lineRule="auto"/>
        <w:ind w:left="851"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“Información incompleta” [sic]</w:t>
      </w:r>
    </w:p>
    <w:p w14:paraId="3D168927" w14:textId="77777777" w:rsidR="008B38A1" w:rsidRPr="004915DB" w:rsidRDefault="008B38A1">
      <w:pPr>
        <w:tabs>
          <w:tab w:val="left" w:pos="8222"/>
        </w:tabs>
        <w:spacing w:before="240" w:after="240" w:line="276" w:lineRule="auto"/>
        <w:ind w:left="851" w:right="616"/>
        <w:jc w:val="both"/>
        <w:rPr>
          <w:rFonts w:ascii="Palatino Linotype" w:eastAsia="Palatino Linotype" w:hAnsi="Palatino Linotype" w:cs="Palatino Linotype"/>
          <w:i/>
        </w:rPr>
      </w:pPr>
    </w:p>
    <w:p w14:paraId="24988253" w14:textId="77777777" w:rsidR="008B38A1" w:rsidRPr="004915DB" w:rsidRDefault="00553CE8">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915DB">
        <w:rPr>
          <w:rFonts w:ascii="Palatino Linotype" w:eastAsia="Palatino Linotype" w:hAnsi="Palatino Linotype" w:cs="Palatino Linotype"/>
          <w:b/>
          <w:i/>
          <w:sz w:val="24"/>
          <w:szCs w:val="24"/>
        </w:rPr>
        <w:t>Razones o Motivos de Inconformidad</w:t>
      </w:r>
      <w:r w:rsidRPr="004915DB">
        <w:rPr>
          <w:rFonts w:ascii="Palatino Linotype" w:eastAsia="Palatino Linotype" w:hAnsi="Palatino Linotype" w:cs="Palatino Linotype"/>
          <w:i/>
          <w:sz w:val="24"/>
          <w:szCs w:val="24"/>
        </w:rPr>
        <w:t>:</w:t>
      </w:r>
    </w:p>
    <w:p w14:paraId="09CC65E0" w14:textId="77777777" w:rsidR="008B38A1" w:rsidRPr="004915DB" w:rsidRDefault="00553CE8">
      <w:pPr>
        <w:spacing w:before="240" w:after="0" w:line="276" w:lineRule="auto"/>
        <w:ind w:left="851"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“Dentro de la solicitud se especificó la información requerida, la cual se genera a través de reportes de las áreas correspondientes, la información que mandan no es lo solicitado, aunado a que la información no esta completa. se anexa documento que puede facilitar la búsqueda y entrega” [sic]</w:t>
      </w:r>
    </w:p>
    <w:p w14:paraId="016CECF0" w14:textId="77777777" w:rsidR="008B38A1" w:rsidRPr="004915DB" w:rsidRDefault="008B38A1">
      <w:pPr>
        <w:tabs>
          <w:tab w:val="left" w:pos="1005"/>
        </w:tabs>
        <w:spacing w:after="0" w:line="360" w:lineRule="auto"/>
        <w:jc w:val="both"/>
        <w:rPr>
          <w:rFonts w:ascii="Palatino Linotype" w:eastAsia="Palatino Linotype" w:hAnsi="Palatino Linotype" w:cs="Palatino Linotype"/>
          <w:b/>
          <w:i/>
          <w:sz w:val="24"/>
          <w:szCs w:val="24"/>
          <w:u w:val="single"/>
        </w:rPr>
      </w:pPr>
    </w:p>
    <w:p w14:paraId="4ACA6D42"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Adjuntando para tal efecto, el archivo electrónico:</w:t>
      </w:r>
    </w:p>
    <w:p w14:paraId="52CE4E0D"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4F951C31"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i/>
          <w:sz w:val="24"/>
          <w:szCs w:val="24"/>
          <w:u w:val="single"/>
        </w:rPr>
        <w:t xml:space="preserve">“Revision Coyotepec.pdf”: </w:t>
      </w:r>
      <w:r w:rsidRPr="004915DB">
        <w:rPr>
          <w:rFonts w:ascii="Palatino Linotype" w:eastAsia="Palatino Linotype" w:hAnsi="Palatino Linotype" w:cs="Palatino Linotype"/>
          <w:sz w:val="24"/>
          <w:szCs w:val="24"/>
        </w:rPr>
        <w:t xml:space="preserve">Dicho archivo consiste en la solicitud de información entregada, en la que únicamente precisa en qué área puede obrar la información, solicitada, se adjunta una captura de pantalla a manera de ejemplo: </w:t>
      </w:r>
    </w:p>
    <w:p w14:paraId="26676AFB"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noProof/>
        </w:rPr>
        <w:lastRenderedPageBreak/>
        <w:drawing>
          <wp:inline distT="0" distB="0" distL="0" distR="0" wp14:anchorId="1FAAE0D9" wp14:editId="7980A771">
            <wp:extent cx="5808432" cy="3388889"/>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963" t="42246" r="34318" b="15810"/>
                    <a:stretch>
                      <a:fillRect/>
                    </a:stretch>
                  </pic:blipFill>
                  <pic:spPr>
                    <a:xfrm>
                      <a:off x="0" y="0"/>
                      <a:ext cx="5808432" cy="3388889"/>
                    </a:xfrm>
                    <a:prstGeom prst="rect">
                      <a:avLst/>
                    </a:prstGeom>
                    <a:ln/>
                  </pic:spPr>
                </pic:pic>
              </a:graphicData>
            </a:graphic>
          </wp:inline>
        </w:drawing>
      </w:r>
    </w:p>
    <w:p w14:paraId="687FD73A"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4. TURNO. </w:t>
      </w:r>
      <w:r w:rsidRPr="004915D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915DB">
        <w:rPr>
          <w:rFonts w:ascii="Palatino Linotype" w:eastAsia="Palatino Linotype" w:hAnsi="Palatino Linotype" w:cs="Palatino Linotype"/>
          <w:b/>
          <w:sz w:val="24"/>
          <w:szCs w:val="24"/>
        </w:rPr>
        <w:t xml:space="preserve">Guadalupe Ramírez Peña, </w:t>
      </w:r>
      <w:r w:rsidRPr="004915DB">
        <w:rPr>
          <w:rFonts w:ascii="Palatino Linotype" w:eastAsia="Palatino Linotype" w:hAnsi="Palatino Linotype" w:cs="Palatino Linotype"/>
          <w:sz w:val="24"/>
          <w:szCs w:val="24"/>
        </w:rPr>
        <w:t>a efecto de que analizara sobre su admisión o su desechamiento.</w:t>
      </w:r>
    </w:p>
    <w:p w14:paraId="0B70C72E"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0095F3E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5. ADMISIÓN DEL RECURSO DE REVISIÓN.</w:t>
      </w:r>
      <w:r w:rsidRPr="004915DB">
        <w:rPr>
          <w:rFonts w:ascii="Palatino Linotype" w:eastAsia="Palatino Linotype" w:hAnsi="Palatino Linotype" w:cs="Palatino Linotype"/>
          <w:sz w:val="24"/>
          <w:szCs w:val="24"/>
        </w:rPr>
        <w:t xml:space="preserve"> Con fecha</w:t>
      </w:r>
      <w:r w:rsidRPr="004915DB">
        <w:rPr>
          <w:rFonts w:ascii="Palatino Linotype" w:eastAsia="Palatino Linotype" w:hAnsi="Palatino Linotype" w:cs="Palatino Linotype"/>
          <w:b/>
          <w:sz w:val="24"/>
          <w:szCs w:val="24"/>
        </w:rPr>
        <w:t xml:space="preserve"> cuatro de julio de dos mil veintidós, </w:t>
      </w:r>
      <w:r w:rsidRPr="004915D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4915DB">
        <w:rPr>
          <w:rFonts w:ascii="Palatino Linotype" w:eastAsia="Palatino Linotype" w:hAnsi="Palatino Linotype" w:cs="Palatino Linotype"/>
          <w:sz w:val="24"/>
          <w:szCs w:val="24"/>
        </w:rPr>
        <w:lastRenderedPageBreak/>
        <w:t xml:space="preserve">conveniente, ofrecieran pruebas, formularan alegatos y el </w:t>
      </w:r>
      <w:r w:rsidRPr="004915DB">
        <w:rPr>
          <w:rFonts w:ascii="Palatino Linotype" w:eastAsia="Palatino Linotype" w:hAnsi="Palatino Linotype" w:cs="Palatino Linotype"/>
          <w:b/>
          <w:sz w:val="24"/>
          <w:szCs w:val="24"/>
        </w:rPr>
        <w:t xml:space="preserve">SUJETO OBLIGADO </w:t>
      </w:r>
      <w:r w:rsidRPr="004915DB">
        <w:rPr>
          <w:rFonts w:ascii="Palatino Linotype" w:eastAsia="Palatino Linotype" w:hAnsi="Palatino Linotype" w:cs="Palatino Linotype"/>
          <w:sz w:val="24"/>
          <w:szCs w:val="24"/>
        </w:rPr>
        <w:t>presentara su informe justificado.</w:t>
      </w:r>
    </w:p>
    <w:p w14:paraId="13BA7D46"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74649B2D"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6. MANIFESTACIONES.</w:t>
      </w:r>
      <w:r w:rsidRPr="004915DB">
        <w:rPr>
          <w:rFonts w:ascii="Palatino Linotype" w:eastAsia="Palatino Linotype" w:hAnsi="Palatino Linotype" w:cs="Palatino Linotype"/>
          <w:sz w:val="24"/>
          <w:szCs w:val="24"/>
        </w:rPr>
        <w:t xml:space="preserve"> El catorce de julio de dos mil veintidós se recibió, a través del Sistema de Acceso a la Información Mexiquense (SAIMEX), el Informe Justificado del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w:t>
      </w:r>
      <w:r w:rsidRPr="004915DB">
        <w:rPr>
          <w:rFonts w:ascii="Palatino Linotype" w:eastAsia="Palatino Linotype" w:hAnsi="Palatino Linotype" w:cs="Palatino Linotype"/>
          <w:b/>
          <w:sz w:val="24"/>
          <w:szCs w:val="24"/>
        </w:rPr>
        <w:t xml:space="preserve"> </w:t>
      </w:r>
      <w:r w:rsidRPr="004915DB">
        <w:rPr>
          <w:rFonts w:ascii="Palatino Linotype" w:eastAsia="Palatino Linotype" w:hAnsi="Palatino Linotype" w:cs="Palatino Linotype"/>
          <w:sz w:val="24"/>
          <w:szCs w:val="24"/>
        </w:rPr>
        <w:t xml:space="preserve">a través del siguiente archivo electrónico: </w:t>
      </w:r>
    </w:p>
    <w:p w14:paraId="52A21441"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2EEFF06F"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4915DB">
        <w:rPr>
          <w:rFonts w:ascii="Palatino Linotype" w:eastAsia="Palatino Linotype" w:hAnsi="Palatino Linotype" w:cs="Palatino Linotype"/>
          <w:b/>
          <w:i/>
          <w:sz w:val="24"/>
          <w:szCs w:val="24"/>
          <w:u w:val="single"/>
        </w:rPr>
        <w:t>“MANIFESTACIONES-111-2022.pdf”:</w:t>
      </w:r>
      <w:r w:rsidRPr="004915DB">
        <w:rPr>
          <w:rFonts w:ascii="Palatino Linotype" w:eastAsia="Palatino Linotype" w:hAnsi="Palatino Linotype" w:cs="Palatino Linotype"/>
          <w:sz w:val="24"/>
          <w:szCs w:val="24"/>
        </w:rPr>
        <w:t xml:space="preserve"> Oficio 163/07/TES/INT/2022 de fecha once de julio de dos mil veintidós, signado por el Tesorero Municipal, mediante el cual refiere que no existe obligación de generar documentos ad hoc para atender las solicitudes de acceso a la información pública. </w:t>
      </w:r>
    </w:p>
    <w:p w14:paraId="45E79E9A" w14:textId="77777777" w:rsidR="008B38A1" w:rsidRPr="004915DB" w:rsidRDefault="008B38A1">
      <w:pPr>
        <w:tabs>
          <w:tab w:val="left" w:pos="1005"/>
        </w:tabs>
        <w:spacing w:after="0" w:line="360" w:lineRule="auto"/>
        <w:jc w:val="both"/>
      </w:pPr>
    </w:p>
    <w:p w14:paraId="61BC5056"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noProof/>
        </w:rPr>
        <w:lastRenderedPageBreak/>
        <w:drawing>
          <wp:inline distT="0" distB="0" distL="0" distR="0" wp14:anchorId="57A4863F" wp14:editId="5DBF03D0">
            <wp:extent cx="5604649" cy="7005811"/>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34454" t="16596" r="33638" b="12492"/>
                    <a:stretch>
                      <a:fillRect/>
                    </a:stretch>
                  </pic:blipFill>
                  <pic:spPr>
                    <a:xfrm>
                      <a:off x="0" y="0"/>
                      <a:ext cx="5604649" cy="7005811"/>
                    </a:xfrm>
                    <a:prstGeom prst="rect">
                      <a:avLst/>
                    </a:prstGeom>
                    <a:ln/>
                  </pic:spPr>
                </pic:pic>
              </a:graphicData>
            </a:graphic>
          </wp:inline>
        </w:drawing>
      </w:r>
    </w:p>
    <w:p w14:paraId="3BDDB3B8" w14:textId="77777777" w:rsidR="008B38A1" w:rsidRPr="004915DB" w:rsidRDefault="00553CE8">
      <w:pPr>
        <w:tabs>
          <w:tab w:val="left" w:pos="1005"/>
        </w:tabs>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Por lo que respecta a la parte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xml:space="preserve"> hace constar sus manifestaciones mediante el archivo electrónico </w:t>
      </w:r>
      <w:r w:rsidRPr="004915DB">
        <w:rPr>
          <w:rFonts w:ascii="Palatino Linotype" w:eastAsia="Palatino Linotype" w:hAnsi="Palatino Linotype" w:cs="Palatino Linotype"/>
          <w:sz w:val="24"/>
          <w:szCs w:val="24"/>
        </w:rPr>
        <w:tab/>
        <w:t>“</w:t>
      </w:r>
      <w:r w:rsidRPr="004915DB">
        <w:rPr>
          <w:rFonts w:ascii="Palatino Linotype" w:eastAsia="Palatino Linotype" w:hAnsi="Palatino Linotype" w:cs="Palatino Linotype"/>
          <w:b/>
          <w:i/>
          <w:sz w:val="24"/>
          <w:szCs w:val="24"/>
          <w:u w:val="single"/>
        </w:rPr>
        <w:t>Revision Coyotepec.pdf”</w:t>
      </w:r>
      <w:r w:rsidRPr="004915DB">
        <w:rPr>
          <w:rFonts w:ascii="Palatino Linotype" w:eastAsia="Palatino Linotype" w:hAnsi="Palatino Linotype" w:cs="Palatino Linotype"/>
          <w:sz w:val="24"/>
          <w:szCs w:val="24"/>
        </w:rPr>
        <w:t xml:space="preserve"> el cual consiste en el archivo electrónico que entrega en su recurso de revisión, por lo que se considera innecesaria su descripción. </w:t>
      </w:r>
    </w:p>
    <w:p w14:paraId="43447D33"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3583E1D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7. AMPLIACIÓN DEL TÉRMINO PARA RESOLVER</w:t>
      </w:r>
      <w:r w:rsidRPr="004915DB">
        <w:rPr>
          <w:rFonts w:ascii="Palatino Linotype" w:eastAsia="Palatino Linotype" w:hAnsi="Palatino Linotype" w:cs="Palatino Linotype"/>
          <w:sz w:val="24"/>
          <w:szCs w:val="24"/>
        </w:rPr>
        <w:t>.</w:t>
      </w:r>
      <w:r w:rsidRPr="004915DB">
        <w:rPr>
          <w:rFonts w:ascii="Palatino Linotype" w:eastAsia="Palatino Linotype" w:hAnsi="Palatino Linotype" w:cs="Palatino Linotype"/>
        </w:rPr>
        <w:t xml:space="preserve"> </w:t>
      </w:r>
      <w:r w:rsidRPr="004915DB">
        <w:rPr>
          <w:rFonts w:ascii="Palatino Linotype" w:eastAsia="Palatino Linotype" w:hAnsi="Palatino Linotype" w:cs="Palatino Linotype"/>
          <w:sz w:val="24"/>
          <w:szCs w:val="24"/>
        </w:rPr>
        <w:t xml:space="preserve">En catorce de diciembre de dos mil veintidós, se amplió el término para resolver el recurso de revisión en términos del artículo 181 párrafo tercero de la Ley de Transparencia y Acceso a la Información Pública del Estado de México y Municipios. </w:t>
      </w:r>
    </w:p>
    <w:p w14:paraId="1F7B1C65"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0FCFFC5"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4ED016F"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635CC32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4915DB">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78B6D7F3"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1987750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A02DE1"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80D096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2D6C70"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4A5BFE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5BF079C" w14:textId="77777777" w:rsidR="008B38A1" w:rsidRPr="004915DB" w:rsidRDefault="008B38A1">
      <w:pPr>
        <w:spacing w:after="0" w:line="360" w:lineRule="auto"/>
        <w:jc w:val="both"/>
        <w:rPr>
          <w:rFonts w:ascii="Palatino Linotype" w:eastAsia="Palatino Linotype" w:hAnsi="Palatino Linotype" w:cs="Palatino Linotype"/>
          <w:strike/>
          <w:sz w:val="24"/>
          <w:szCs w:val="24"/>
        </w:rPr>
      </w:pPr>
    </w:p>
    <w:p w14:paraId="2C93C297" w14:textId="77777777" w:rsidR="008B38A1" w:rsidRPr="004915DB" w:rsidRDefault="00553CE8">
      <w:pPr>
        <w:numPr>
          <w:ilvl w:val="0"/>
          <w:numId w:val="5"/>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B9CE94E" w14:textId="77777777" w:rsidR="008B38A1" w:rsidRPr="004915DB" w:rsidRDefault="008B38A1">
      <w:pPr>
        <w:spacing w:after="0" w:line="360" w:lineRule="auto"/>
        <w:ind w:left="927"/>
        <w:jc w:val="both"/>
        <w:rPr>
          <w:rFonts w:ascii="Palatino Linotype" w:eastAsia="Palatino Linotype" w:hAnsi="Palatino Linotype" w:cs="Palatino Linotype"/>
          <w:sz w:val="24"/>
          <w:szCs w:val="24"/>
        </w:rPr>
      </w:pPr>
    </w:p>
    <w:p w14:paraId="0DAF35FF" w14:textId="77777777" w:rsidR="008B38A1" w:rsidRPr="004915DB" w:rsidRDefault="00553CE8">
      <w:pPr>
        <w:numPr>
          <w:ilvl w:val="0"/>
          <w:numId w:val="5"/>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Actividad Procesal del interesado. Acciones u omisiones del interesado.</w:t>
      </w:r>
    </w:p>
    <w:p w14:paraId="15B73741"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0CF7442" w14:textId="77777777" w:rsidR="008B38A1" w:rsidRPr="004915DB" w:rsidRDefault="00553CE8">
      <w:pPr>
        <w:numPr>
          <w:ilvl w:val="0"/>
          <w:numId w:val="5"/>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21ABD1EF" w14:textId="77777777" w:rsidR="008B38A1" w:rsidRPr="004915DB" w:rsidRDefault="008B38A1">
      <w:pPr>
        <w:spacing w:after="0" w:line="360" w:lineRule="auto"/>
        <w:ind w:left="708"/>
        <w:rPr>
          <w:rFonts w:ascii="Palatino Linotype" w:eastAsia="Palatino Linotype" w:hAnsi="Palatino Linotype" w:cs="Palatino Linotype"/>
          <w:sz w:val="24"/>
          <w:szCs w:val="24"/>
        </w:rPr>
      </w:pPr>
    </w:p>
    <w:p w14:paraId="57A17C03" w14:textId="77777777" w:rsidR="008B38A1" w:rsidRPr="004915DB" w:rsidRDefault="00553CE8">
      <w:pPr>
        <w:spacing w:after="0" w:line="360" w:lineRule="auto"/>
        <w:ind w:left="567"/>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91F7626"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70481B1"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F0671B"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BB01767" w14:textId="77777777" w:rsidR="008B38A1" w:rsidRPr="004915DB" w:rsidRDefault="00553CE8">
      <w:pPr>
        <w:spacing w:after="0" w:line="360" w:lineRule="auto"/>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915D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915DB">
        <w:rPr>
          <w:rFonts w:ascii="Palatino Linotype" w:eastAsia="Palatino Linotype" w:hAnsi="Palatino Linotype" w:cs="Palatino Linotype"/>
          <w:sz w:val="24"/>
          <w:szCs w:val="24"/>
        </w:rPr>
        <w:t>, visible en la Gaceta del Seminario Judicial de la Federación con el registro digital 205635.</w:t>
      </w:r>
    </w:p>
    <w:p w14:paraId="0D7EA4CA"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E847FBF"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w:t>
      </w:r>
      <w:r w:rsidRPr="004915DB">
        <w:rPr>
          <w:rFonts w:ascii="Palatino Linotype" w:eastAsia="Palatino Linotype" w:hAnsi="Palatino Linotype" w:cs="Palatino Linotype"/>
          <w:sz w:val="24"/>
          <w:szCs w:val="24"/>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259C3A"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9E72EB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4F9086A"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0C498BC"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w:t>
      </w:r>
      <w:r w:rsidRPr="004915DB">
        <w:rPr>
          <w:rFonts w:ascii="Palatino Linotype" w:eastAsia="Palatino Linotype" w:hAnsi="Palatino Linotype" w:cs="Palatino Linotype"/>
          <w:i/>
          <w:sz w:val="24"/>
          <w:szCs w:val="24"/>
        </w:rPr>
        <w:t>“PLAZO RAZONABLE PARA RESOLVER. DIMENSIÓN Y EFECTOS DE ESTE CONCEPTO CUANDO SE ADUCE EXCESIVA CARGA DE TRABAJO.”</w:t>
      </w:r>
      <w:r w:rsidRPr="004915DB">
        <w:rPr>
          <w:rFonts w:ascii="Palatino Linotype" w:eastAsia="Palatino Linotype" w:hAnsi="Palatino Linotype" w:cs="Palatino Linotype"/>
          <w:sz w:val="24"/>
          <w:szCs w:val="24"/>
        </w:rPr>
        <w:t xml:space="preserve"> consultable en el Seminario Judicial de la Federación y su gaceta, con el registro digital 2002351.</w:t>
      </w:r>
    </w:p>
    <w:p w14:paraId="0124300E" w14:textId="77777777" w:rsidR="008B38A1" w:rsidRPr="004915DB" w:rsidRDefault="008B38A1">
      <w:pPr>
        <w:spacing w:after="0" w:line="360" w:lineRule="auto"/>
        <w:jc w:val="both"/>
        <w:rPr>
          <w:rFonts w:ascii="Palatino Linotype" w:eastAsia="Palatino Linotype" w:hAnsi="Palatino Linotype" w:cs="Palatino Linotype"/>
          <w:b/>
          <w:sz w:val="24"/>
          <w:szCs w:val="24"/>
        </w:rPr>
      </w:pPr>
    </w:p>
    <w:p w14:paraId="64542EB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4915DB">
        <w:rPr>
          <w:rFonts w:ascii="Palatino Linotype" w:eastAsia="Palatino Linotype" w:hAnsi="Palatino Linotype" w:cs="Palatino Linotype"/>
          <w:sz w:val="24"/>
          <w:szCs w:val="24"/>
        </w:rPr>
        <w:t>, visible en el Seminario Judicial de la Federación y su gaceta, con el registro digital 2002350.</w:t>
      </w:r>
    </w:p>
    <w:p w14:paraId="0C9069EA"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1B3BEFA1"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6564C11D"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65515644"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8. CIERRE DE INSTRUCCIÓN. </w:t>
      </w:r>
      <w:r w:rsidRPr="004915DB">
        <w:rPr>
          <w:rFonts w:ascii="Palatino Linotype" w:eastAsia="Palatino Linotype" w:hAnsi="Palatino Linotype" w:cs="Palatino Linotype"/>
          <w:sz w:val="24"/>
          <w:szCs w:val="24"/>
        </w:rPr>
        <w:t>El treinta 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C675BA5"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433CD31"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2539B34"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0C7601E5" w14:textId="77777777" w:rsidR="008B38A1" w:rsidRPr="004915DB" w:rsidRDefault="00553CE8">
      <w:pPr>
        <w:widowControl w:val="0"/>
        <w:spacing w:after="0" w:line="360" w:lineRule="auto"/>
        <w:jc w:val="center"/>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C O N S I D E R A N D O S</w:t>
      </w:r>
    </w:p>
    <w:p w14:paraId="2633662A" w14:textId="77777777" w:rsidR="008B38A1" w:rsidRPr="004915DB" w:rsidRDefault="008B38A1">
      <w:pPr>
        <w:spacing w:after="0" w:line="360" w:lineRule="auto"/>
        <w:jc w:val="both"/>
        <w:rPr>
          <w:rFonts w:ascii="Palatino Linotype" w:eastAsia="Palatino Linotype" w:hAnsi="Palatino Linotype" w:cs="Palatino Linotype"/>
          <w:b/>
          <w:sz w:val="24"/>
          <w:szCs w:val="24"/>
        </w:rPr>
      </w:pPr>
    </w:p>
    <w:p w14:paraId="1CE32709"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PRIMERO. COMPETENCIA.</w:t>
      </w:r>
      <w:r w:rsidRPr="004915D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w:t>
      </w:r>
      <w:r w:rsidRPr="004915DB">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D4C93"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034F881C" w14:textId="77777777" w:rsidR="008B38A1" w:rsidRPr="004915DB" w:rsidRDefault="00553CE8">
      <w:pPr>
        <w:spacing w:after="0" w:line="360" w:lineRule="auto"/>
        <w:ind w:right="-2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SEGUNDO. OPORTUNIDAD Y PROCEDIBILIDAD DEL RECURSO DE REVISIÓN.  </w:t>
      </w:r>
      <w:r w:rsidRPr="004915D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255272" w14:textId="77777777" w:rsidR="008B38A1" w:rsidRPr="004915DB" w:rsidRDefault="008B38A1">
      <w:pPr>
        <w:spacing w:after="0" w:line="360" w:lineRule="auto"/>
        <w:ind w:right="-234"/>
        <w:jc w:val="both"/>
        <w:rPr>
          <w:rFonts w:ascii="Palatino Linotype" w:eastAsia="Palatino Linotype" w:hAnsi="Palatino Linotype" w:cs="Palatino Linotype"/>
          <w:sz w:val="24"/>
          <w:szCs w:val="24"/>
        </w:rPr>
      </w:pPr>
    </w:p>
    <w:p w14:paraId="3BD8A2B4" w14:textId="77777777" w:rsidR="008B38A1" w:rsidRPr="004915DB" w:rsidRDefault="00553CE8">
      <w:pPr>
        <w:spacing w:after="0" w:line="360" w:lineRule="auto"/>
        <w:ind w:right="-2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4915DB">
        <w:rPr>
          <w:rFonts w:ascii="Palatino Linotype" w:eastAsia="Palatino Linotype" w:hAnsi="Palatino Linotype" w:cs="Palatino Linotype"/>
          <w:b/>
          <w:sz w:val="24"/>
          <w:szCs w:val="24"/>
        </w:rPr>
        <w:t xml:space="preserve"> EL SUJETO OBLIGADO </w:t>
      </w:r>
      <w:r w:rsidRPr="004915DB">
        <w:rPr>
          <w:rFonts w:ascii="Palatino Linotype" w:eastAsia="Palatino Linotype" w:hAnsi="Palatino Linotype" w:cs="Palatino Linotype"/>
          <w:sz w:val="24"/>
          <w:szCs w:val="24"/>
        </w:rPr>
        <w:t xml:space="preserve">emitió la respuesta, toda vez que esta fue pronunciada el quince de junio de dos mil veintidós, mientras que el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xml:space="preserve"> interpuso el recurso de revisión en fecha veintinueve de junio de dos mil veintidós, esto es al décimo día hábil de haber recibido la respuesta. </w:t>
      </w:r>
    </w:p>
    <w:p w14:paraId="00E6A238"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2AE9F51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así como, en la que se interpuso el </w:t>
      </w:r>
      <w:r w:rsidRPr="004915DB">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6C6D5145"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8D3B37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C9809E3"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5FC00B6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no señaló un nombre con el cual desea ser identificada,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824243"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134E7FE" w14:textId="77777777" w:rsidR="008B38A1" w:rsidRPr="004915DB" w:rsidRDefault="00553CE8">
      <w:pPr>
        <w:spacing w:after="0" w:line="276" w:lineRule="auto"/>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Las solicitudes anónimas</w:t>
      </w:r>
      <w:r w:rsidRPr="004915DB">
        <w:rPr>
          <w:rFonts w:ascii="Palatino Linotype" w:eastAsia="Palatino Linotype" w:hAnsi="Palatino Linotype" w:cs="Palatino Linotype"/>
          <w:i/>
        </w:rPr>
        <w:t>, con</w:t>
      </w:r>
      <w:r w:rsidRPr="004915DB">
        <w:rPr>
          <w:rFonts w:ascii="Palatino Linotype" w:eastAsia="Palatino Linotype" w:hAnsi="Palatino Linotype" w:cs="Palatino Linotype"/>
          <w:b/>
          <w:i/>
        </w:rPr>
        <w:t xml:space="preserve"> </w:t>
      </w:r>
      <w:r w:rsidRPr="004915DB">
        <w:rPr>
          <w:rFonts w:ascii="Palatino Linotype" w:eastAsia="Palatino Linotype" w:hAnsi="Palatino Linotype" w:cs="Palatino Linotype"/>
          <w:i/>
        </w:rPr>
        <w:t>nombre incompleto o seudónimo serán procedentes para su trámite por parte del sujeto obligado ante quien se presente. No podrá requerirse información adicional con motivo del nombre proporcionado por el solicitante."</w:t>
      </w:r>
    </w:p>
    <w:p w14:paraId="75B4EB70" w14:textId="77777777" w:rsidR="008B38A1" w:rsidRPr="004915DB" w:rsidRDefault="008B38A1">
      <w:pPr>
        <w:spacing w:after="0" w:line="360" w:lineRule="auto"/>
        <w:ind w:left="851" w:right="902"/>
        <w:jc w:val="both"/>
        <w:rPr>
          <w:rFonts w:ascii="Palatino Linotype" w:eastAsia="Palatino Linotype" w:hAnsi="Palatino Linotype" w:cs="Palatino Linotype"/>
          <w:sz w:val="24"/>
          <w:szCs w:val="24"/>
        </w:rPr>
      </w:pPr>
    </w:p>
    <w:p w14:paraId="38B924AB" w14:textId="77777777" w:rsidR="008B38A1" w:rsidRPr="004915DB" w:rsidRDefault="00553CE8">
      <w:pPr>
        <w:spacing w:after="0" w:line="360" w:lineRule="auto"/>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w:t>
      </w:r>
      <w:r w:rsidRPr="004915DB">
        <w:rPr>
          <w:rFonts w:ascii="Palatino Linotype" w:eastAsia="Palatino Linotype" w:hAnsi="Palatino Linotype" w:cs="Palatino Linotype"/>
          <w:sz w:val="24"/>
          <w:szCs w:val="24"/>
        </w:rPr>
        <w:lastRenderedPageBreak/>
        <w:t xml:space="preserve">Información Pública del Estado de México y Municipios en vigor, en atención a que fue presentado mediante el formato visible </w:t>
      </w:r>
      <w:r w:rsidRPr="004915DB">
        <w:rPr>
          <w:rFonts w:ascii="Palatino Linotype" w:eastAsia="Palatino Linotype" w:hAnsi="Palatino Linotype" w:cs="Palatino Linotype"/>
          <w:b/>
          <w:sz w:val="24"/>
          <w:szCs w:val="24"/>
        </w:rPr>
        <w:t xml:space="preserve">EL SAIMEX.  </w:t>
      </w:r>
    </w:p>
    <w:p w14:paraId="31C08D10"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42F06997" w14:textId="77777777" w:rsidR="008B38A1" w:rsidRPr="004915DB" w:rsidRDefault="00553CE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Finalmente, resulta procedente la interposición del recurso, según lo aducido por </w:t>
      </w:r>
      <w:r w:rsidRPr="004915DB">
        <w:rPr>
          <w:rFonts w:ascii="Palatino Linotype" w:eastAsia="Palatino Linotype" w:hAnsi="Palatino Linotype" w:cs="Palatino Linotype"/>
          <w:b/>
          <w:sz w:val="24"/>
          <w:szCs w:val="24"/>
        </w:rPr>
        <w:t>EL RECURRENTE</w:t>
      </w:r>
      <w:r w:rsidRPr="004915DB">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1C0FAA56" w14:textId="77777777" w:rsidR="008B38A1" w:rsidRPr="004915DB" w:rsidRDefault="008B38A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20066EF9" w14:textId="77777777" w:rsidR="008B38A1" w:rsidRPr="004915DB" w:rsidRDefault="00553CE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179</w:t>
      </w:r>
      <w:r w:rsidRPr="004915DB">
        <w:rPr>
          <w:rFonts w:ascii="Palatino Linotype" w:eastAsia="Palatino Linotype" w:hAnsi="Palatino Linotype" w:cs="Palatino Linotype"/>
          <w:i/>
        </w:rPr>
        <w:t xml:space="preserve">. </w:t>
      </w:r>
      <w:r w:rsidRPr="004915DB">
        <w:rPr>
          <w:rFonts w:ascii="Palatino Linotype" w:eastAsia="Palatino Linotype" w:hAnsi="Palatino Linotype" w:cs="Palatino Linotype"/>
          <w:b/>
          <w:i/>
        </w:rPr>
        <w:t>El recurso de revisión</w:t>
      </w:r>
      <w:r w:rsidRPr="004915D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915DB">
        <w:rPr>
          <w:rFonts w:ascii="Palatino Linotype" w:eastAsia="Palatino Linotype" w:hAnsi="Palatino Linotype" w:cs="Palatino Linotype"/>
          <w:b/>
          <w:i/>
        </w:rPr>
        <w:t>, y procederá en contra de las siguientes causas</w:t>
      </w:r>
      <w:r w:rsidRPr="004915DB">
        <w:rPr>
          <w:rFonts w:ascii="Palatino Linotype" w:eastAsia="Palatino Linotype" w:hAnsi="Palatino Linotype" w:cs="Palatino Linotype"/>
          <w:i/>
        </w:rPr>
        <w:t>:</w:t>
      </w:r>
    </w:p>
    <w:p w14:paraId="31DC161B" w14:textId="77777777" w:rsidR="008B38A1" w:rsidRPr="004915DB" w:rsidRDefault="00553CE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915DB">
        <w:rPr>
          <w:rFonts w:ascii="Palatino Linotype" w:eastAsia="Palatino Linotype" w:hAnsi="Palatino Linotype" w:cs="Palatino Linotype"/>
          <w:b/>
          <w:i/>
        </w:rPr>
        <w:t>(</w:t>
      </w:r>
      <w:r w:rsidRPr="004915DB">
        <w:rPr>
          <w:rFonts w:ascii="Palatino Linotype" w:eastAsia="Palatino Linotype" w:hAnsi="Palatino Linotype" w:cs="Palatino Linotype"/>
          <w:i/>
        </w:rPr>
        <w:t>…)</w:t>
      </w:r>
    </w:p>
    <w:p w14:paraId="6348E6DE" w14:textId="77777777" w:rsidR="008B38A1" w:rsidRPr="004915DB" w:rsidRDefault="00553CE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V. La entrega de información incompleta;” </w:t>
      </w:r>
    </w:p>
    <w:p w14:paraId="7ECDC369"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36CEA18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TERCERO. MATERIA DE LA REVISIÓN. </w:t>
      </w:r>
      <w:r w:rsidRPr="004915D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o en su defecto, en caso de ser procedente, ordenar la entrega de información oportuna.</w:t>
      </w:r>
    </w:p>
    <w:p w14:paraId="3016D690" w14:textId="77777777" w:rsidR="008B38A1" w:rsidRPr="004915DB" w:rsidRDefault="008B38A1">
      <w:pPr>
        <w:tabs>
          <w:tab w:val="left" w:pos="1005"/>
        </w:tabs>
        <w:spacing w:after="0" w:line="360" w:lineRule="auto"/>
        <w:jc w:val="both"/>
        <w:rPr>
          <w:rFonts w:ascii="Palatino Linotype" w:eastAsia="Palatino Linotype" w:hAnsi="Palatino Linotype" w:cs="Palatino Linotype"/>
          <w:sz w:val="24"/>
          <w:szCs w:val="24"/>
        </w:rPr>
      </w:pPr>
    </w:p>
    <w:p w14:paraId="7732201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CUARTO. ESTUDIO Y RESOLUCIÓN DEL ASUNTO.  </w:t>
      </w:r>
      <w:r w:rsidRPr="004915DB">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w:t>
      </w:r>
      <w:r w:rsidRPr="004915DB">
        <w:rPr>
          <w:rFonts w:ascii="Palatino Linotype" w:eastAsia="Palatino Linotype" w:hAnsi="Palatino Linotype" w:cs="Palatino Linotype"/>
          <w:sz w:val="24"/>
          <w:szCs w:val="24"/>
        </w:rPr>
        <w:lastRenderedPageBreak/>
        <w:t>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05DAA9"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0A26A2C" w14:textId="77777777" w:rsidR="008B38A1" w:rsidRPr="004915DB" w:rsidRDefault="00553CE8">
      <w:pPr>
        <w:tabs>
          <w:tab w:val="left" w:pos="709"/>
        </w:tabs>
        <w:spacing w:line="276" w:lineRule="auto"/>
        <w:ind w:left="851" w:right="850"/>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4915D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1CFFF97" w14:textId="77777777" w:rsidR="008B38A1" w:rsidRPr="004915DB" w:rsidRDefault="00553CE8">
      <w:pPr>
        <w:tabs>
          <w:tab w:val="left" w:pos="709"/>
        </w:tabs>
        <w:spacing w:line="276" w:lineRule="auto"/>
        <w:ind w:left="851" w:right="850"/>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38D0306" w14:textId="77777777" w:rsidR="008B38A1" w:rsidRPr="004915DB" w:rsidRDefault="00553CE8">
      <w:pPr>
        <w:tabs>
          <w:tab w:val="left" w:pos="709"/>
        </w:tabs>
        <w:spacing w:line="276" w:lineRule="auto"/>
        <w:ind w:left="851" w:right="850"/>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915D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3B9B560" w14:textId="77777777" w:rsidR="008B38A1" w:rsidRPr="004915DB" w:rsidRDefault="00553CE8">
      <w:pPr>
        <w:tabs>
          <w:tab w:val="left" w:pos="709"/>
        </w:tabs>
        <w:ind w:left="851" w:right="850"/>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36701D8F" w14:textId="77777777" w:rsidR="008B38A1" w:rsidRPr="004915DB" w:rsidRDefault="00553CE8">
      <w:pPr>
        <w:ind w:left="851" w:right="901"/>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6o.</w:t>
      </w:r>
    </w:p>
    <w:p w14:paraId="062AD031" w14:textId="77777777" w:rsidR="008B38A1" w:rsidRPr="004915DB" w:rsidRDefault="00553CE8">
      <w:pPr>
        <w:ind w:left="851" w:right="901"/>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3381A817"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A. Para el ejercicio del derecho de acceso a la información, la Federación y </w:t>
      </w:r>
      <w:r w:rsidRPr="004915DB">
        <w:rPr>
          <w:rFonts w:ascii="Palatino Linotype" w:eastAsia="Palatino Linotype" w:hAnsi="Palatino Linotype" w:cs="Palatino Linotype"/>
          <w:b/>
          <w:i/>
          <w:u w:val="single"/>
        </w:rPr>
        <w:t>las entidades federativas</w:t>
      </w:r>
      <w:r w:rsidRPr="004915DB">
        <w:rPr>
          <w:rFonts w:ascii="Palatino Linotype" w:eastAsia="Palatino Linotype" w:hAnsi="Palatino Linotype" w:cs="Palatino Linotype"/>
          <w:b/>
          <w:i/>
        </w:rPr>
        <w:t>,</w:t>
      </w:r>
      <w:r w:rsidRPr="004915DB">
        <w:rPr>
          <w:rFonts w:ascii="Palatino Linotype" w:eastAsia="Palatino Linotype" w:hAnsi="Palatino Linotype" w:cs="Palatino Linotype"/>
          <w:i/>
        </w:rPr>
        <w:t xml:space="preserve"> en el ámbito de sus respectivas competencias, se regirán por los siguientes principios y bases:</w:t>
      </w:r>
    </w:p>
    <w:p w14:paraId="101A4E5A"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lastRenderedPageBreak/>
        <w:t xml:space="preserve">I. </w:t>
      </w:r>
      <w:r w:rsidRPr="004915DB">
        <w:rPr>
          <w:rFonts w:ascii="Palatino Linotype" w:eastAsia="Palatino Linotype" w:hAnsi="Palatino Linotype" w:cs="Palatino Linotype"/>
          <w:b/>
          <w:i/>
          <w:u w:val="single"/>
        </w:rPr>
        <w:t>Toda la información en posesión de cualquier autoridad, entidad, órgano y organismo de los Poderes</w:t>
      </w:r>
      <w:r w:rsidRPr="004915DB">
        <w:rPr>
          <w:rFonts w:ascii="Palatino Linotype" w:eastAsia="Palatino Linotype" w:hAnsi="Palatino Linotype" w:cs="Palatino Linotype"/>
          <w:i/>
        </w:rPr>
        <w:t xml:space="preserve"> Ejecutivo, Legislativo </w:t>
      </w:r>
      <w:r w:rsidRPr="004915DB">
        <w:rPr>
          <w:rFonts w:ascii="Palatino Linotype" w:eastAsia="Palatino Linotype" w:hAnsi="Palatino Linotype" w:cs="Palatino Linotype"/>
          <w:b/>
          <w:i/>
          <w:u w:val="single"/>
        </w:rPr>
        <w:t>y Judicial</w:t>
      </w:r>
      <w:r w:rsidRPr="004915D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915DB">
        <w:rPr>
          <w:rFonts w:ascii="Palatino Linotype" w:eastAsia="Palatino Linotype" w:hAnsi="Palatino Linotype" w:cs="Palatino Linotype"/>
          <w:b/>
          <w:i/>
        </w:rPr>
        <w:t>es pública y sólo podrá ser reservada temporalmente por razones de interés público y seguridad nacional,</w:t>
      </w:r>
      <w:r w:rsidRPr="004915D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3C9DEC"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 </w:t>
      </w:r>
    </w:p>
    <w:p w14:paraId="1C834EAA" w14:textId="77777777" w:rsidR="008B38A1" w:rsidRPr="004915DB" w:rsidRDefault="00553CE8">
      <w:pPr>
        <w:spacing w:line="276" w:lineRule="auto"/>
        <w:ind w:left="851" w:right="851"/>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46D80C2"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III. </w:t>
      </w:r>
      <w:r w:rsidRPr="004915D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915DB">
        <w:rPr>
          <w:rFonts w:ascii="Palatino Linotype" w:eastAsia="Palatino Linotype" w:hAnsi="Palatino Linotype" w:cs="Palatino Linotype"/>
          <w:i/>
        </w:rPr>
        <w:t xml:space="preserve"> a sus datos personales o a la rectificación de éstos.</w:t>
      </w:r>
    </w:p>
    <w:p w14:paraId="27F18ABD"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 </w:t>
      </w:r>
    </w:p>
    <w:p w14:paraId="78643CAA"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IV. </w:t>
      </w:r>
      <w:r w:rsidRPr="004915D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87834F4" w14:textId="77777777" w:rsidR="008B38A1" w:rsidRPr="004915DB" w:rsidRDefault="008B38A1">
      <w:pPr>
        <w:spacing w:line="276" w:lineRule="auto"/>
        <w:ind w:left="851" w:right="851"/>
        <w:jc w:val="both"/>
        <w:rPr>
          <w:rFonts w:ascii="Palatino Linotype" w:eastAsia="Palatino Linotype" w:hAnsi="Palatino Linotype" w:cs="Palatino Linotype"/>
          <w:i/>
        </w:rPr>
      </w:pPr>
    </w:p>
    <w:p w14:paraId="76943D65"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V. </w:t>
      </w:r>
      <w:r w:rsidRPr="004915D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00433D8"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 </w:t>
      </w:r>
    </w:p>
    <w:p w14:paraId="2C45AB87"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lastRenderedPageBreak/>
        <w:t xml:space="preserve">VI. </w:t>
      </w:r>
      <w:r w:rsidRPr="004915D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7D22D84"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 </w:t>
      </w:r>
    </w:p>
    <w:p w14:paraId="2528E1C5" w14:textId="77777777" w:rsidR="008B38A1" w:rsidRPr="004915DB" w:rsidRDefault="00553CE8">
      <w:pPr>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VII. </w:t>
      </w:r>
      <w:r w:rsidRPr="004915D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2C69FA9D" w14:textId="77777777" w:rsidR="008B38A1" w:rsidRPr="004915DB" w:rsidRDefault="008B38A1">
      <w:pPr>
        <w:ind w:right="851"/>
        <w:jc w:val="both"/>
        <w:rPr>
          <w:rFonts w:ascii="Palatino Linotype" w:eastAsia="Palatino Linotype" w:hAnsi="Palatino Linotype" w:cs="Palatino Linotype"/>
          <w:i/>
        </w:rPr>
      </w:pPr>
    </w:p>
    <w:p w14:paraId="78C02DC7" w14:textId="77777777" w:rsidR="008B38A1" w:rsidRPr="004915DB" w:rsidRDefault="00553CE8">
      <w:pPr>
        <w:tabs>
          <w:tab w:val="left" w:pos="709"/>
        </w:tabs>
        <w:spacing w:before="16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FA915D6"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680DAC00" w14:textId="07C31481" w:rsidR="008B38A1" w:rsidRPr="004915DB" w:rsidRDefault="00553CE8" w:rsidP="00BE756B">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primer lugar, es conveniente analizar si la respuesta del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F8C7621" w14:textId="77777777" w:rsidR="008B38A1" w:rsidRPr="004915DB" w:rsidRDefault="00553CE8">
      <w:pPr>
        <w:spacing w:before="80" w:line="276" w:lineRule="auto"/>
        <w:ind w:left="709" w:right="760"/>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w:t>
      </w:r>
      <w:r w:rsidRPr="004915DB">
        <w:rPr>
          <w:rFonts w:ascii="Palatino Linotype" w:eastAsia="Palatino Linotype" w:hAnsi="Palatino Linotype" w:cs="Palatino Linotype"/>
          <w:b/>
          <w:i/>
        </w:rPr>
        <w:t>Artículo 4.</w:t>
      </w:r>
      <w:r w:rsidRPr="004915D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9CD309" w14:textId="77777777" w:rsidR="008B38A1" w:rsidRPr="004915DB" w:rsidRDefault="00553CE8">
      <w:pPr>
        <w:spacing w:line="276" w:lineRule="auto"/>
        <w:ind w:left="709" w:right="760"/>
        <w:jc w:val="both"/>
        <w:rPr>
          <w:rFonts w:ascii="Palatino Linotype" w:eastAsia="Palatino Linotype" w:hAnsi="Palatino Linotype" w:cs="Palatino Linotype"/>
          <w:i/>
        </w:rPr>
      </w:pPr>
      <w:r w:rsidRPr="004915D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915D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58F4A1" w14:textId="77777777" w:rsidR="008B38A1" w:rsidRPr="004915DB" w:rsidRDefault="008B38A1">
      <w:pPr>
        <w:spacing w:line="360" w:lineRule="auto"/>
        <w:ind w:left="709" w:right="760"/>
        <w:jc w:val="both"/>
        <w:rPr>
          <w:rFonts w:ascii="Palatino Linotype" w:eastAsia="Palatino Linotype" w:hAnsi="Palatino Linotype" w:cs="Palatino Linotype"/>
          <w:i/>
        </w:rPr>
      </w:pPr>
    </w:p>
    <w:p w14:paraId="08ADC824" w14:textId="77777777" w:rsidR="008B38A1" w:rsidRPr="004915DB" w:rsidRDefault="00553CE8">
      <w:pPr>
        <w:spacing w:line="276" w:lineRule="auto"/>
        <w:ind w:left="709" w:right="760"/>
        <w:jc w:val="both"/>
        <w:rPr>
          <w:rFonts w:ascii="Palatino Linotype" w:eastAsia="Palatino Linotype" w:hAnsi="Palatino Linotype" w:cs="Palatino Linotype"/>
          <w:i/>
        </w:rPr>
      </w:pPr>
      <w:r w:rsidRPr="004915D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4915DB">
        <w:rPr>
          <w:rFonts w:ascii="Palatino Linotype" w:eastAsia="Palatino Linotype" w:hAnsi="Palatino Linotype" w:cs="Palatino Linotype"/>
          <w:i/>
        </w:rPr>
        <w:t>.”(Sic)</w:t>
      </w:r>
    </w:p>
    <w:p w14:paraId="0DE3C61A" w14:textId="77777777" w:rsidR="008B38A1" w:rsidRPr="004915DB" w:rsidRDefault="008B38A1">
      <w:pPr>
        <w:ind w:left="709" w:right="760"/>
        <w:jc w:val="both"/>
        <w:rPr>
          <w:rFonts w:ascii="Palatino Linotype" w:eastAsia="Palatino Linotype" w:hAnsi="Palatino Linotype" w:cs="Palatino Linotype"/>
          <w:i/>
        </w:rPr>
      </w:pPr>
    </w:p>
    <w:p w14:paraId="76338FAF" w14:textId="77777777" w:rsidR="008B38A1" w:rsidRPr="004915DB" w:rsidRDefault="00553CE8">
      <w:pPr>
        <w:spacing w:before="240" w:after="24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31C2E47" w14:textId="77777777" w:rsidR="008B38A1" w:rsidRPr="004915DB" w:rsidRDefault="00553CE8">
      <w:pPr>
        <w:spacing w:line="276" w:lineRule="auto"/>
        <w:ind w:left="567" w:right="758"/>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w:t>
      </w:r>
      <w:r w:rsidRPr="004915DB">
        <w:rPr>
          <w:rFonts w:ascii="Palatino Linotype" w:eastAsia="Palatino Linotype" w:hAnsi="Palatino Linotype" w:cs="Palatino Linotype"/>
          <w:b/>
          <w:i/>
        </w:rPr>
        <w:t>Artículo 12.-</w:t>
      </w:r>
      <w:r w:rsidRPr="004915D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B281D74" w14:textId="77777777" w:rsidR="008B38A1" w:rsidRPr="004915DB" w:rsidRDefault="008B38A1">
      <w:pPr>
        <w:spacing w:line="276" w:lineRule="auto"/>
        <w:ind w:left="567" w:right="758"/>
        <w:jc w:val="both"/>
        <w:rPr>
          <w:rFonts w:ascii="Palatino Linotype" w:eastAsia="Palatino Linotype" w:hAnsi="Palatino Linotype" w:cs="Palatino Linotype"/>
          <w:i/>
        </w:rPr>
      </w:pPr>
    </w:p>
    <w:p w14:paraId="2CFEC5CE" w14:textId="77777777" w:rsidR="008B38A1" w:rsidRPr="004915DB" w:rsidRDefault="00553CE8">
      <w:pPr>
        <w:spacing w:line="276" w:lineRule="auto"/>
        <w:ind w:left="567" w:right="758"/>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915DB">
        <w:rPr>
          <w:rFonts w:ascii="Palatino Linotype" w:eastAsia="Palatino Linotype" w:hAnsi="Palatino Linotype" w:cs="Palatino Linotype"/>
          <w:i/>
        </w:rPr>
        <w:t xml:space="preserve">. </w:t>
      </w:r>
      <w:r w:rsidRPr="004915D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4F7416F" w14:textId="77777777" w:rsidR="008B38A1" w:rsidRPr="004915DB" w:rsidRDefault="008B38A1">
      <w:pPr>
        <w:spacing w:line="276" w:lineRule="auto"/>
        <w:ind w:left="567" w:right="758"/>
        <w:jc w:val="both"/>
        <w:rPr>
          <w:rFonts w:ascii="Palatino Linotype" w:eastAsia="Palatino Linotype" w:hAnsi="Palatino Linotype" w:cs="Palatino Linotype"/>
          <w:i/>
        </w:rPr>
      </w:pPr>
    </w:p>
    <w:p w14:paraId="5C9611B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4339EBD"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B5D5DAD"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50B7675"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13CC3927" w14:textId="77777777" w:rsidR="008B38A1" w:rsidRPr="004915DB" w:rsidRDefault="008B38A1">
      <w:pPr>
        <w:spacing w:line="360" w:lineRule="auto"/>
        <w:jc w:val="both"/>
        <w:rPr>
          <w:rFonts w:ascii="Palatino Linotype" w:eastAsia="Palatino Linotype" w:hAnsi="Palatino Linotype" w:cs="Palatino Linotype"/>
        </w:rPr>
      </w:pPr>
    </w:p>
    <w:p w14:paraId="1CB94E0F"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18.</w:t>
      </w:r>
      <w:r w:rsidRPr="004915DB">
        <w:rPr>
          <w:rFonts w:ascii="Palatino Linotype" w:eastAsia="Palatino Linotype" w:hAnsi="Palatino Linotype" w:cs="Palatino Linotype"/>
          <w:i/>
        </w:rPr>
        <w:t xml:space="preserve"> </w:t>
      </w:r>
      <w:r w:rsidRPr="004915D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915DB">
        <w:rPr>
          <w:rFonts w:ascii="Palatino Linotype" w:eastAsia="Palatino Linotype" w:hAnsi="Palatino Linotype" w:cs="Palatino Linotype"/>
          <w:i/>
        </w:rPr>
        <w:t xml:space="preserve"> y reutilización de la información que generen.</w:t>
      </w:r>
    </w:p>
    <w:p w14:paraId="0BF45478" w14:textId="77777777" w:rsidR="008B38A1" w:rsidRPr="004915DB" w:rsidRDefault="008B38A1">
      <w:pPr>
        <w:spacing w:line="276" w:lineRule="auto"/>
        <w:ind w:left="851" w:right="851"/>
        <w:jc w:val="both"/>
        <w:rPr>
          <w:rFonts w:ascii="Palatino Linotype" w:eastAsia="Palatino Linotype" w:hAnsi="Palatino Linotype" w:cs="Palatino Linotype"/>
          <w:b/>
          <w:i/>
        </w:rPr>
      </w:pPr>
    </w:p>
    <w:p w14:paraId="375929DB"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Artículo 19. </w:t>
      </w:r>
      <w:r w:rsidRPr="004915D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915DB">
        <w:rPr>
          <w:rFonts w:ascii="Palatino Linotype" w:eastAsia="Palatino Linotype" w:hAnsi="Palatino Linotype" w:cs="Palatino Linotype"/>
          <w:i/>
        </w:rPr>
        <w:t>.</w:t>
      </w:r>
    </w:p>
    <w:p w14:paraId="72A77B1D" w14:textId="77777777" w:rsidR="008B38A1" w:rsidRPr="004915DB" w:rsidRDefault="008B38A1">
      <w:pPr>
        <w:spacing w:line="276" w:lineRule="auto"/>
        <w:ind w:left="851" w:right="851"/>
        <w:jc w:val="both"/>
        <w:rPr>
          <w:rFonts w:ascii="Palatino Linotype" w:eastAsia="Palatino Linotype" w:hAnsi="Palatino Linotype" w:cs="Palatino Linotype"/>
          <w:i/>
        </w:rPr>
      </w:pPr>
    </w:p>
    <w:p w14:paraId="1E2B0F75" w14:textId="77777777" w:rsidR="008B38A1" w:rsidRPr="004915DB" w:rsidRDefault="00553CE8">
      <w:pPr>
        <w:spacing w:line="276"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4FCC229" w14:textId="77777777" w:rsidR="008B38A1" w:rsidRPr="004915DB" w:rsidRDefault="00553CE8">
      <w:pPr>
        <w:spacing w:after="0" w:line="360" w:lineRule="auto"/>
        <w:ind w:left="851" w:right="851"/>
        <w:jc w:val="both"/>
        <w:rPr>
          <w:rFonts w:ascii="Palatino Linotype" w:eastAsia="Palatino Linotype" w:hAnsi="Palatino Linotype" w:cs="Palatino Linotype"/>
          <w:i/>
        </w:rPr>
      </w:pPr>
      <w:r w:rsidRPr="004915DB">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FB183C0" w14:textId="77777777" w:rsidR="008B38A1" w:rsidRPr="004915DB" w:rsidRDefault="008B38A1">
      <w:pPr>
        <w:spacing w:after="0" w:line="360" w:lineRule="auto"/>
        <w:ind w:left="851" w:right="851"/>
        <w:jc w:val="both"/>
        <w:rPr>
          <w:rFonts w:ascii="Palatino Linotype" w:eastAsia="Palatino Linotype" w:hAnsi="Palatino Linotype" w:cs="Palatino Linotype"/>
          <w:i/>
        </w:rPr>
      </w:pPr>
    </w:p>
    <w:p w14:paraId="7818231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w:t>
      </w:r>
      <w:r w:rsidRPr="004915DB">
        <w:rPr>
          <w:rFonts w:ascii="Palatino Linotype" w:eastAsia="Palatino Linotype" w:hAnsi="Palatino Linotype" w:cs="Palatino Linotype"/>
          <w:sz w:val="24"/>
          <w:szCs w:val="24"/>
        </w:rPr>
        <w:lastRenderedPageBreak/>
        <w:t>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107B227"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F4A590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458F92"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1A1B8D1"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 xml:space="preserve">Artículo 3. </w:t>
      </w:r>
      <w:r w:rsidRPr="004915DB">
        <w:rPr>
          <w:rFonts w:ascii="Palatino Linotype" w:eastAsia="Palatino Linotype" w:hAnsi="Palatino Linotype" w:cs="Palatino Linotype"/>
          <w:i/>
        </w:rPr>
        <w:t>Para los efectos de la presente Ley se entenderá por:</w:t>
      </w:r>
    </w:p>
    <w:p w14:paraId="443C0F87"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4F2C9392" w14:textId="77777777" w:rsidR="008B38A1" w:rsidRPr="004915DB" w:rsidRDefault="00553CE8">
      <w:pPr>
        <w:spacing w:after="0"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b/>
          <w:i/>
        </w:rPr>
        <w:t>XI. Documento:</w:t>
      </w:r>
      <w:r w:rsidRPr="004915DB">
        <w:rPr>
          <w:rFonts w:ascii="Palatino Linotype" w:eastAsia="Palatino Linotype" w:hAnsi="Palatino Linotype" w:cs="Palatino Linotype"/>
          <w:i/>
        </w:rPr>
        <w:t xml:space="preserve"> Los expedientes, reportes, estudios, actas</w:t>
      </w:r>
      <w:r w:rsidRPr="004915DB">
        <w:rPr>
          <w:rFonts w:ascii="Palatino Linotype" w:eastAsia="Palatino Linotype" w:hAnsi="Palatino Linotype" w:cs="Palatino Linotype"/>
          <w:b/>
          <w:i/>
        </w:rPr>
        <w:t>,</w:t>
      </w:r>
      <w:r w:rsidRPr="004915D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C262698" w14:textId="77777777" w:rsidR="008B38A1" w:rsidRPr="004915DB" w:rsidRDefault="008B38A1">
      <w:pPr>
        <w:spacing w:after="0" w:line="360" w:lineRule="auto"/>
        <w:ind w:left="851" w:right="899"/>
        <w:jc w:val="both"/>
        <w:rPr>
          <w:rFonts w:ascii="Palatino Linotype" w:eastAsia="Palatino Linotype" w:hAnsi="Palatino Linotype" w:cs="Palatino Linotype"/>
          <w:i/>
        </w:rPr>
      </w:pPr>
    </w:p>
    <w:p w14:paraId="5EA39E43" w14:textId="61F65BEC"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315C61" w14:textId="77777777" w:rsidR="00BE756B" w:rsidRPr="004915DB" w:rsidRDefault="00BE756B">
      <w:pPr>
        <w:spacing w:after="0" w:line="360" w:lineRule="auto"/>
        <w:jc w:val="both"/>
        <w:rPr>
          <w:rFonts w:ascii="Palatino Linotype" w:eastAsia="Palatino Linotype" w:hAnsi="Palatino Linotype" w:cs="Palatino Linotype"/>
          <w:sz w:val="24"/>
          <w:szCs w:val="24"/>
        </w:rPr>
      </w:pPr>
    </w:p>
    <w:p w14:paraId="45FB52B8" w14:textId="77777777" w:rsidR="008B38A1" w:rsidRPr="004915DB" w:rsidRDefault="00553CE8">
      <w:pPr>
        <w:spacing w:line="276" w:lineRule="auto"/>
        <w:ind w:left="851" w:right="899"/>
        <w:jc w:val="both"/>
        <w:rPr>
          <w:rFonts w:ascii="Palatino Linotype" w:eastAsia="Palatino Linotype" w:hAnsi="Palatino Linotype" w:cs="Palatino Linotype"/>
          <w:b/>
          <w:i/>
        </w:rPr>
      </w:pPr>
      <w:r w:rsidRPr="004915DB">
        <w:rPr>
          <w:rFonts w:ascii="Palatino Linotype" w:eastAsia="Palatino Linotype" w:hAnsi="Palatino Linotype" w:cs="Palatino Linotype"/>
          <w:b/>
        </w:rPr>
        <w:t>“</w:t>
      </w:r>
      <w:r w:rsidRPr="004915DB">
        <w:rPr>
          <w:rFonts w:ascii="Palatino Linotype" w:eastAsia="Palatino Linotype" w:hAnsi="Palatino Linotype" w:cs="Palatino Linotype"/>
          <w:b/>
          <w:i/>
        </w:rPr>
        <w:t>CRITERIO 0002-11</w:t>
      </w:r>
    </w:p>
    <w:p w14:paraId="55A149A3"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915D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92E887"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En consecuencia el acceso a la información se refiere a que se cumplan cualquiera de los siguientes tres supuestos:</w:t>
      </w:r>
    </w:p>
    <w:p w14:paraId="49EF559D"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DB44851" w14:textId="77777777" w:rsidR="008B38A1" w:rsidRPr="004915DB" w:rsidRDefault="00553CE8">
      <w:pPr>
        <w:spacing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084734EE" w14:textId="77777777" w:rsidR="008B38A1" w:rsidRPr="004915DB" w:rsidRDefault="00553CE8">
      <w:pPr>
        <w:spacing w:after="0" w:line="276" w:lineRule="auto"/>
        <w:ind w:left="851" w:right="899"/>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2EC63859" w14:textId="77777777" w:rsidR="008B38A1" w:rsidRPr="004915DB" w:rsidRDefault="008B38A1">
      <w:pPr>
        <w:spacing w:after="0" w:line="360" w:lineRule="auto"/>
        <w:ind w:left="851" w:right="899"/>
        <w:jc w:val="both"/>
        <w:rPr>
          <w:rFonts w:ascii="Palatino Linotype" w:eastAsia="Palatino Linotype" w:hAnsi="Palatino Linotype" w:cs="Palatino Linotype"/>
          <w:i/>
        </w:rPr>
      </w:pPr>
    </w:p>
    <w:p w14:paraId="056C766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De ahí que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915DB">
        <w:rPr>
          <w:rFonts w:ascii="Palatino Linotype" w:eastAsia="Palatino Linotype" w:hAnsi="Palatino Linotype" w:cs="Palatino Linotype"/>
          <w:sz w:val="24"/>
          <w:szCs w:val="24"/>
          <w:vertAlign w:val="superscript"/>
        </w:rPr>
        <w:footnoteReference w:id="1"/>
      </w:r>
      <w:r w:rsidRPr="004915D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915DB">
        <w:rPr>
          <w:rFonts w:ascii="Palatino Linotype" w:eastAsia="Palatino Linotype" w:hAnsi="Palatino Linotype" w:cs="Palatino Linotype"/>
          <w:sz w:val="24"/>
          <w:szCs w:val="24"/>
          <w:vertAlign w:val="superscript"/>
        </w:rPr>
        <w:footnoteReference w:id="2"/>
      </w:r>
      <w:r w:rsidRPr="004915DB">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2D07904F"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1637EB5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Ahora bien, para profundizar en el estudio del presente asunto, es conveniente recordar que la parte solicitante requirió al Sujeto Obligado, le proporcionara lo siguiente:</w:t>
      </w:r>
    </w:p>
    <w:p w14:paraId="7A4C0467"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151CC2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1. ¿Cuál es el presupuesto aprobado para el ejercicio fiscal 2022? </w:t>
      </w:r>
    </w:p>
    <w:p w14:paraId="4A126510"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EBBEFA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2. ¿Cuál es la principal actividad económica del Municipio y que porcentaje representa? </w:t>
      </w:r>
    </w:p>
    <w:p w14:paraId="4AE6AA05"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0E156A6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3. Qué monto de los ingresos del municipio son: </w:t>
      </w:r>
    </w:p>
    <w:p w14:paraId="66A05439"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 Ingresos propios (de recaudación municipal) </w:t>
      </w:r>
    </w:p>
    <w:p w14:paraId="2FCC083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 ¿Cuánto representa del total del presupuesto? </w:t>
      </w:r>
    </w:p>
    <w:p w14:paraId="4164FDD4"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b. ¿A cuánto ascienden los Ingresos provenientes de las partidas presupuestales? </w:t>
      </w:r>
    </w:p>
    <w:p w14:paraId="5A6A768C"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 Federales </w:t>
      </w:r>
    </w:p>
    <w:p w14:paraId="4152AC1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 Estatales </w:t>
      </w:r>
    </w:p>
    <w:p w14:paraId="1BA15A15"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iii. ¿Cuál es el porcentaje que representan del total del presupuesto? </w:t>
      </w:r>
    </w:p>
    <w:p w14:paraId="18099C0B"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3B3FF41"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6B542F5C"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 Impuestos </w:t>
      </w:r>
    </w:p>
    <w:p w14:paraId="17A9D8F5"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 ¿Cuál es el Monto recaudado por los Impuestos sobre conjuntos urbanos?, por cada uno de los años a partir del 2011 hasta el 2021. </w:t>
      </w:r>
    </w:p>
    <w:p w14:paraId="69F4DE4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7200619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 iii. Indicar el número de anuncios que no pagan impuesto por estar en el supuesto del penúltimo párrafo del artículo 121 del Código Financiero del Estado de México y Municipios., por cada uno de los años a partir del 2011 hasta el 2021. </w:t>
      </w:r>
    </w:p>
    <w:p w14:paraId="13AD049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6F9534B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4A14755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b. Derechos </w:t>
      </w:r>
    </w:p>
    <w:p w14:paraId="0DE5BC0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416A5DD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w:t>
      </w:r>
      <w:r w:rsidRPr="004915DB">
        <w:rPr>
          <w:rFonts w:ascii="Palatino Linotype" w:eastAsia="Palatino Linotype" w:hAnsi="Palatino Linotype" w:cs="Palatino Linotype"/>
          <w:sz w:val="24"/>
          <w:szCs w:val="24"/>
        </w:rPr>
        <w:lastRenderedPageBreak/>
        <w:t xml:space="preserve">el decreto 267 y que fue publicado en el periódico oficial “Gaceta de gobierno”, Tomo CCIV Número 18 de fecha 17 de diciembre del 2017. </w:t>
      </w:r>
    </w:p>
    <w:p w14:paraId="289DBA2C"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p w14:paraId="45FBFA0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6EB2F843"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v. ¿A cuánto ascienden los ingresos recaudados por lo establecido en el artículo 154 en cada una de sus fracciones del Código Financiero del Estado de México y Municipios de los años 2011 al 2021? </w:t>
      </w:r>
    </w:p>
    <w:p w14:paraId="62EB24DD"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vi. ¿Cuál fue la recaudación por los Derechos establecido en la fracción I? por cada una de los supuestos siguientes de cada uno de los años que comprenden del 2011 al 2021:</w:t>
      </w:r>
    </w:p>
    <w:p w14:paraId="71F21C4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a. Puestos fijos </w:t>
      </w:r>
    </w:p>
    <w:p w14:paraId="7034DD5C"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b. Semi fijos </w:t>
      </w:r>
    </w:p>
    <w:p w14:paraId="371D0A8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c. Comerciantes ambulantes </w:t>
      </w:r>
    </w:p>
    <w:p w14:paraId="7029E3D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vii. Especificar el ingreso recaudado por lo establecido en la fracción I del artículo 154 del Código Financiero del Estado de México y Municipios por cada uno de los siguientes rubros: 1. Tianguis </w:t>
      </w:r>
    </w:p>
    <w:p w14:paraId="1216802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2. Ferias, bazares o ferias de temporadas Que se instalan periódicamente dentro del territorio municipal por cada uno de los años a partir del 2011 al 2021. </w:t>
      </w:r>
    </w:p>
    <w:p w14:paraId="04402CDF"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2D06176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1. ¿Cuál es el Numero de cajones autorizados para la prestación de servicios, de sitios de taxis o bases de servicio público de transporte de pasajeros? </w:t>
      </w:r>
    </w:p>
    <w:p w14:paraId="5DBD246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3C29AC8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1. Comercio establecido pago de cajones para carga y descarga </w:t>
      </w:r>
    </w:p>
    <w:p w14:paraId="25CB8FB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2. Empresas repartidoras pago de cajones para carga y descarga a. Padrón de las empresas Jurídicas colectivas (Morales) que pagan autorizaciones de carga y descarga en vía pública </w:t>
      </w:r>
    </w:p>
    <w:p w14:paraId="0D55BBA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x. Especificar ¿Cuáles fueron los ingresos recaudados por los Derechos de estacionamientos en vía pública y de servicios públicos establecidos en el artículo </w:t>
      </w:r>
      <w:r w:rsidRPr="004915DB">
        <w:rPr>
          <w:rFonts w:ascii="Palatino Linotype" w:eastAsia="Palatino Linotype" w:hAnsi="Palatino Linotype" w:cs="Palatino Linotype"/>
          <w:sz w:val="24"/>
          <w:szCs w:val="24"/>
        </w:rPr>
        <w:lastRenderedPageBreak/>
        <w:t xml:space="preserve">158 por cada una de sus fracciones del Código Financiero del Estado de México y Municipios?, por cada uno de los años a partir del 2011 hasta el 2021. </w:t>
      </w:r>
    </w:p>
    <w:p w14:paraId="2D0B8F91"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2F8F681F"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2B9A3AD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56CF1753"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61BEBC3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5. ¿El municipio tiene Reglamentos, manuales de operación o lineamientos para la recaudación de los siguientes conceptos?: </w:t>
      </w:r>
    </w:p>
    <w:p w14:paraId="6D478DDA"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 Impuestos Publicitarios </w:t>
      </w:r>
    </w:p>
    <w:p w14:paraId="6D19D86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 Lineamientos para el desarrollo de las actividades fracciones IV y VI del Artículo 121 del Código Financiero del Estado de México y Municipios</w:t>
      </w:r>
    </w:p>
    <w:p w14:paraId="1390037F"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b. Impuestos sobre Diversiones, Juegos y Espectáculos </w:t>
      </w:r>
    </w:p>
    <w:p w14:paraId="16E2E067"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c. Derechos de Desarrollo Urbano </w:t>
      </w:r>
    </w:p>
    <w:p w14:paraId="18C78AEA"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d. Derechos por el uso de las vías y áreas públicas para el ejercicio de actividades de comercio o de servicio </w:t>
      </w:r>
    </w:p>
    <w:p w14:paraId="3A28EF07"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 Conforme a lo establecido en materia de salud y al artículo 1 Objeto de Ley de la Ley de Movilidad del Estado de México. </w:t>
      </w:r>
    </w:p>
    <w:p w14:paraId="4F66A5FA"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FFA37C5"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14:paraId="2D3A5324"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194460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 Alineados a lo que establece la Ley de Competitividad y Ordenamiento Comercial del Estado de México, El Catálogo Mexiquense de Actividades Industriales, Comerciales y de Servicios de Bajo Riesgo y en materia de salud (COPRISEM).</w:t>
      </w:r>
    </w:p>
    <w:p w14:paraId="204E3123"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2BFDBF6"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5665AD0"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02B6AD84"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52B4D29"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 respuesta el Director de Desarrollo Económico, entrega información del periodo comprendido de julio de 2021 al 31 de diciembre de 2021, precisando que no cuenta con información a fechas anteriores, siendo lo siguiente:</w:t>
      </w:r>
    </w:p>
    <w:p w14:paraId="593BFE2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noProof/>
        </w:rPr>
        <w:lastRenderedPageBreak/>
        <w:drawing>
          <wp:inline distT="0" distB="0" distL="0" distR="0" wp14:anchorId="0402361B" wp14:editId="63E260BB">
            <wp:extent cx="5612130" cy="2197143"/>
            <wp:effectExtent l="0" t="0" r="0" b="0"/>
            <wp:docPr id="1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3945" t="53711" r="33978" b="23959"/>
                    <a:stretch>
                      <a:fillRect/>
                    </a:stretch>
                  </pic:blipFill>
                  <pic:spPr>
                    <a:xfrm>
                      <a:off x="0" y="0"/>
                      <a:ext cx="5612130" cy="2197143"/>
                    </a:xfrm>
                    <a:prstGeom prst="rect">
                      <a:avLst/>
                    </a:prstGeom>
                    <a:ln/>
                  </pic:spPr>
                </pic:pic>
              </a:graphicData>
            </a:graphic>
          </wp:inline>
        </w:drawing>
      </w:r>
    </w:p>
    <w:p w14:paraId="6D9304D9"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Además de ello, hace entrega del estado analítico de ingresos de los ejercicios fiscales del año 2012 al año 2021.</w:t>
      </w:r>
    </w:p>
    <w:p w14:paraId="3C2DE661"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7EBE04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Conocida la respuesta por la</w:t>
      </w:r>
      <w:r w:rsidRPr="004915DB">
        <w:rPr>
          <w:rFonts w:ascii="Palatino Linotype" w:eastAsia="Palatino Linotype" w:hAnsi="Palatino Linotype" w:cs="Palatino Linotype"/>
          <w:sz w:val="40"/>
          <w:szCs w:val="40"/>
        </w:rPr>
        <w:t xml:space="preserve"> </w:t>
      </w:r>
      <w:r w:rsidRPr="004915DB">
        <w:rPr>
          <w:rFonts w:ascii="Palatino Linotype" w:eastAsia="Palatino Linotype" w:hAnsi="Palatino Linotype" w:cs="Palatino Linotype"/>
          <w:sz w:val="24"/>
          <w:szCs w:val="24"/>
        </w:rPr>
        <w:t>particular, al no estar conforme con los términos de la misma, presentó el recurso de revisión que nos ocupa, mediante el cual señaló como motivo de inconformidad en lo medular que la información que mandan no es lo solicitado, aunado a que la información no está completa.</w:t>
      </w:r>
    </w:p>
    <w:p w14:paraId="3F087AE8"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35FF21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Cabe precisar que, una vez notificado el recurso de revisión al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remitió su informe justificado por conducto del Tesorero Municipal en donde menciona que no existe obligación de generar documentos ad hoc para atender las solicitudes de acceso a la información pública, por lo que respecta a la parte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xml:space="preserve"> hace entrega del archivo que adjuntó en su solicitud de información. </w:t>
      </w:r>
    </w:p>
    <w:p w14:paraId="52D66392"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05B6B960"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Una vez determinada la vía sobre la que versará el presente recurso, y previa revisión del expediente del recurso de revisión materia de la presente resolución, se advierte lo siguiente:</w:t>
      </w:r>
    </w:p>
    <w:p w14:paraId="4DF2497A" w14:textId="77777777" w:rsidR="008B38A1" w:rsidRPr="004915DB" w:rsidRDefault="008B38A1">
      <w:pPr>
        <w:rPr>
          <w:rFonts w:ascii="Palatino Linotype" w:eastAsia="Palatino Linotype" w:hAnsi="Palatino Linotype" w:cs="Palatino Linotype"/>
          <w:b/>
          <w:sz w:val="24"/>
          <w:szCs w:val="24"/>
        </w:rPr>
      </w:pPr>
    </w:p>
    <w:tbl>
      <w:tblPr>
        <w:tblStyle w:val="a"/>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915DB" w:rsidRPr="004915DB" w14:paraId="753146A9" w14:textId="77777777">
        <w:tc>
          <w:tcPr>
            <w:tcW w:w="2291" w:type="dxa"/>
            <w:shd w:val="clear" w:color="auto" w:fill="BFBFBF"/>
          </w:tcPr>
          <w:p w14:paraId="62F9B099"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Información requerida.</w:t>
            </w:r>
          </w:p>
        </w:tc>
        <w:tc>
          <w:tcPr>
            <w:tcW w:w="2179" w:type="dxa"/>
            <w:shd w:val="clear" w:color="auto" w:fill="BFBFBF"/>
          </w:tcPr>
          <w:p w14:paraId="1FF8D146"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Respuesta</w:t>
            </w:r>
          </w:p>
        </w:tc>
        <w:tc>
          <w:tcPr>
            <w:tcW w:w="2179" w:type="dxa"/>
            <w:shd w:val="clear" w:color="auto" w:fill="BFBFBF"/>
          </w:tcPr>
          <w:p w14:paraId="27812F4A"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Informe Justificado</w:t>
            </w:r>
          </w:p>
        </w:tc>
        <w:tc>
          <w:tcPr>
            <w:tcW w:w="2179" w:type="dxa"/>
            <w:shd w:val="clear" w:color="auto" w:fill="BFBFBF"/>
          </w:tcPr>
          <w:p w14:paraId="220000F4"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¿Colma?</w:t>
            </w:r>
          </w:p>
        </w:tc>
      </w:tr>
      <w:tr w:rsidR="004915DB" w:rsidRPr="004915DB" w14:paraId="003D597E" w14:textId="77777777">
        <w:tc>
          <w:tcPr>
            <w:tcW w:w="2291" w:type="dxa"/>
          </w:tcPr>
          <w:p w14:paraId="7E70C02B"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1.) Presupuesto aprobado para el ejercicio fiscal 2022.</w:t>
            </w:r>
          </w:p>
        </w:tc>
        <w:tc>
          <w:tcPr>
            <w:tcW w:w="2179" w:type="dxa"/>
            <w:vAlign w:val="center"/>
          </w:tcPr>
          <w:p w14:paraId="46893EB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No emite respuesta.</w:t>
            </w:r>
          </w:p>
        </w:tc>
        <w:tc>
          <w:tcPr>
            <w:tcW w:w="2179" w:type="dxa"/>
            <w:vAlign w:val="center"/>
          </w:tcPr>
          <w:p w14:paraId="1A37A728"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Pr>
          <w:p w14:paraId="6414779B"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No</w:t>
            </w:r>
          </w:p>
        </w:tc>
      </w:tr>
    </w:tbl>
    <w:p w14:paraId="4C9EE4A1" w14:textId="77777777" w:rsidR="008B38A1" w:rsidRPr="004915DB" w:rsidRDefault="008B38A1">
      <w:pPr>
        <w:rPr>
          <w:rFonts w:ascii="Palatino Linotype" w:eastAsia="Palatino Linotype" w:hAnsi="Palatino Linotype" w:cs="Palatino Linotype"/>
          <w:b/>
          <w:sz w:val="28"/>
          <w:szCs w:val="28"/>
        </w:rPr>
      </w:pPr>
    </w:p>
    <w:p w14:paraId="06B5D4A0" w14:textId="77777777" w:rsidR="008B38A1" w:rsidRPr="004915DB" w:rsidRDefault="00553CE8">
      <w:pPr>
        <w:spacing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Bajo esa línea de pensamiento, se advierte que la Constitución Política del Estado Libre y Soberano de México mandata a los ayuntamientos la aprobación de su presupuesto de egresos, tal como se desprende de la siguiente cita: </w:t>
      </w:r>
    </w:p>
    <w:p w14:paraId="08AAC1B7" w14:textId="77777777" w:rsidR="008B38A1" w:rsidRPr="004915DB" w:rsidRDefault="00553CE8">
      <w:pPr>
        <w:spacing w:line="276" w:lineRule="auto"/>
        <w:ind w:left="567" w:right="1134"/>
        <w:jc w:val="both"/>
        <w:rPr>
          <w:rFonts w:ascii="Palatino Linotype" w:eastAsia="Palatino Linotype" w:hAnsi="Palatino Linotype" w:cs="Palatino Linotype"/>
          <w:i/>
        </w:rPr>
      </w:pPr>
      <w:r w:rsidRPr="004915DB">
        <w:rPr>
          <w:rFonts w:ascii="Palatino Linotype" w:eastAsia="Palatino Linotype" w:hAnsi="Palatino Linotype" w:cs="Palatino Linotype"/>
          <w:i/>
        </w:rPr>
        <w:t>“Artículo 125.- Los municipios administrarán libremente su hacienda, la cual se formará de los rendimientos de los bienes que les pertenezcan, así como de las contribuciones y otros ingresos que la ley establezca, y en todo caso:</w:t>
      </w:r>
    </w:p>
    <w:p w14:paraId="19D636D1" w14:textId="77777777" w:rsidR="008B38A1" w:rsidRPr="004915DB" w:rsidRDefault="00553CE8">
      <w:pPr>
        <w:spacing w:line="276" w:lineRule="auto"/>
        <w:ind w:left="567" w:right="1134"/>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4A019F48" w14:textId="77777777" w:rsidR="008B38A1" w:rsidRPr="004915DB" w:rsidRDefault="00553CE8">
      <w:pPr>
        <w:spacing w:line="276" w:lineRule="auto"/>
        <w:ind w:left="567" w:right="1134"/>
        <w:jc w:val="both"/>
        <w:rPr>
          <w:rFonts w:ascii="Palatino Linotype" w:eastAsia="Palatino Linotype" w:hAnsi="Palatino Linotype" w:cs="Palatino Linotype"/>
          <w:b/>
          <w:i/>
        </w:rPr>
      </w:pPr>
      <w:r w:rsidRPr="004915DB">
        <w:rPr>
          <w:rFonts w:ascii="Palatino Linotype" w:eastAsia="Palatino Linotype" w:hAnsi="Palatino Linotype" w:cs="Palatino Linotype"/>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4915DB">
        <w:rPr>
          <w:rFonts w:ascii="Palatino Linotype" w:eastAsia="Palatino Linotype" w:hAnsi="Palatino Linotype" w:cs="Palatino Linotype"/>
          <w:b/>
          <w:i/>
        </w:rPr>
        <w:t xml:space="preserve">La Presidenta o el Presidente </w:t>
      </w:r>
      <w:r w:rsidRPr="004915DB">
        <w:rPr>
          <w:rFonts w:ascii="Palatino Linotype" w:eastAsia="Palatino Linotype" w:hAnsi="Palatino Linotype" w:cs="Palatino Linotype"/>
          <w:b/>
          <w:i/>
        </w:rPr>
        <w:lastRenderedPageBreak/>
        <w:t xml:space="preserve">Municipal, promulgará y publicará el Presupuesto de Egresos Municipal, a más tardar el día 25 de febrero de cada año debiendo enviarlo al Órgano Superior de Fiscalización en la misma fecha. </w:t>
      </w:r>
    </w:p>
    <w:p w14:paraId="3B485F34" w14:textId="77777777" w:rsidR="008B38A1" w:rsidRPr="004915DB" w:rsidRDefault="00553CE8">
      <w:pPr>
        <w:spacing w:line="276" w:lineRule="auto"/>
        <w:ind w:left="567" w:right="1134"/>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w:t>
      </w:r>
    </w:p>
    <w:p w14:paraId="627923C2" w14:textId="77777777" w:rsidR="008B38A1" w:rsidRPr="004915DB" w:rsidRDefault="00553CE8">
      <w:pPr>
        <w:spacing w:line="276" w:lineRule="auto"/>
        <w:ind w:left="567" w:right="1134"/>
        <w:jc w:val="both"/>
        <w:rPr>
          <w:rFonts w:ascii="Palatino Linotype" w:eastAsia="Palatino Linotype" w:hAnsi="Palatino Linotype" w:cs="Palatino Linotype"/>
          <w:i/>
        </w:rPr>
      </w:pPr>
      <w:r w:rsidRPr="004915DB">
        <w:rPr>
          <w:rFonts w:ascii="Palatino Linotype" w:eastAsia="Palatino Linotype" w:hAnsi="Palatino Linotype" w:cs="Palatino Linotype"/>
          <w:i/>
        </w:rPr>
        <w:t>” (Sic) (Énfasis añadido)</w:t>
      </w:r>
    </w:p>
    <w:p w14:paraId="5C5DA975" w14:textId="77777777" w:rsidR="008B38A1" w:rsidRPr="004915DB" w:rsidRDefault="008B38A1">
      <w:pPr>
        <w:spacing w:after="0" w:line="360" w:lineRule="auto"/>
        <w:ind w:left="567" w:right="1134"/>
        <w:jc w:val="both"/>
        <w:rPr>
          <w:rFonts w:ascii="Palatino Linotype" w:eastAsia="Palatino Linotype" w:hAnsi="Palatino Linotype" w:cs="Palatino Linotype"/>
          <w:i/>
        </w:rPr>
      </w:pPr>
    </w:p>
    <w:p w14:paraId="103AE17F" w14:textId="77777777" w:rsidR="008B38A1" w:rsidRPr="004915DB" w:rsidRDefault="00553CE8">
      <w:pPr>
        <w:spacing w:after="0" w:line="360" w:lineRule="auto"/>
        <w:ind w:right="11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Asimismo, el artículo 47 de la Ley de Fiscalización Superior del Estado de México indica que: </w:t>
      </w:r>
    </w:p>
    <w:p w14:paraId="3DE97F82" w14:textId="77777777" w:rsidR="008B38A1" w:rsidRPr="004915DB" w:rsidRDefault="008B38A1">
      <w:pPr>
        <w:spacing w:after="0" w:line="360" w:lineRule="auto"/>
        <w:ind w:right="1134"/>
        <w:jc w:val="both"/>
        <w:rPr>
          <w:rFonts w:ascii="Palatino Linotype" w:eastAsia="Palatino Linotype" w:hAnsi="Palatino Linotype" w:cs="Palatino Linotype"/>
        </w:rPr>
      </w:pPr>
    </w:p>
    <w:p w14:paraId="41CD64CF" w14:textId="77777777" w:rsidR="008B38A1" w:rsidRPr="004915DB" w:rsidRDefault="00553CE8">
      <w:pPr>
        <w:spacing w:after="0" w:line="276" w:lineRule="auto"/>
        <w:ind w:left="567" w:right="1134"/>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Los Presidentes Municipales y los Síndicos estarán obligados a informar al Órgano Superior, a más tardar el 25 de febrero de cada año, el Presupuesto de Egresos Municipal que haya aprobado el Ayuntamiento correspondiente.</w:t>
      </w:r>
      <w:r w:rsidRPr="004915DB">
        <w:rPr>
          <w:rFonts w:ascii="Palatino Linotype" w:eastAsia="Palatino Linotype" w:hAnsi="Palatino Linotype" w:cs="Palatino Linotype"/>
          <w:i/>
        </w:rPr>
        <w:t>”</w:t>
      </w:r>
    </w:p>
    <w:p w14:paraId="7FA13715" w14:textId="77777777" w:rsidR="008B38A1" w:rsidRPr="004915DB" w:rsidRDefault="008B38A1">
      <w:pPr>
        <w:spacing w:after="0" w:line="276" w:lineRule="auto"/>
        <w:ind w:left="567" w:right="1134"/>
        <w:jc w:val="both"/>
        <w:rPr>
          <w:rFonts w:ascii="Palatino Linotype" w:eastAsia="Palatino Linotype" w:hAnsi="Palatino Linotype" w:cs="Palatino Linotype"/>
          <w:i/>
        </w:rPr>
      </w:pPr>
    </w:p>
    <w:p w14:paraId="66CB1152"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Bajo esta línea de pensamiento, el Manual para la Planeación, Programación y Presupuesto de Egresos Municipal para el Ejercicio Fiscal 2022, prevé que dicho presupuesto de egresos se conformará de la siguiente manera: </w:t>
      </w:r>
    </w:p>
    <w:p w14:paraId="176457D3"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F89F5BE" w14:textId="77777777" w:rsidR="008B38A1" w:rsidRPr="004915DB" w:rsidRDefault="00553CE8">
      <w:pPr>
        <w:spacing w:after="0" w:line="360" w:lineRule="auto"/>
        <w:ind w:left="567" w:right="993"/>
        <w:jc w:val="both"/>
        <w:rPr>
          <w:rFonts w:ascii="Palatino Linotype" w:eastAsia="Palatino Linotype" w:hAnsi="Palatino Linotype" w:cs="Palatino Linotype"/>
          <w:b/>
          <w:i/>
          <w:u w:val="single"/>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 xml:space="preserve">3.4.1. Formatos que integran el Presupuesto de Egresos aprobado. </w:t>
      </w:r>
      <w:r w:rsidRPr="004915DB">
        <w:rPr>
          <w:rFonts w:ascii="Palatino Linotype" w:eastAsia="Palatino Linotype" w:hAnsi="Palatino Linotype" w:cs="Palatino Linotype"/>
          <w:i/>
        </w:rPr>
        <w:t xml:space="preserve">Considerando como base el Proyecto de Presupuesto </w:t>
      </w:r>
      <w:r w:rsidRPr="004915DB">
        <w:rPr>
          <w:rFonts w:ascii="Palatino Linotype" w:eastAsia="Palatino Linotype" w:hAnsi="Palatino Linotype" w:cs="Palatino Linotype"/>
          <w:b/>
          <w:i/>
          <w:u w:val="single"/>
        </w:rPr>
        <w:t xml:space="preserve">se realizará el Presupuesto de Egresos, con la información siguiente: </w:t>
      </w:r>
    </w:p>
    <w:p w14:paraId="6AA56DC9" w14:textId="77777777" w:rsidR="008B38A1" w:rsidRPr="004915DB" w:rsidRDefault="00553CE8">
      <w:pPr>
        <w:spacing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Una vez publicada la Ley de Ingresos, las Participaciones Federales, así como los Programas Federales y Estatales, se podrá tener una estimación más precisa de los Ingresos Totales, lo cual se deberá plasmar en los formatos: </w:t>
      </w:r>
    </w:p>
    <w:p w14:paraId="6771AA48"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Presupuesto de Ingresos Detallado PbRM-03a</w:t>
      </w:r>
      <w:r w:rsidRPr="004915DB">
        <w:rPr>
          <w:rFonts w:ascii="Palatino Linotype" w:eastAsia="Palatino Linotype" w:hAnsi="Palatino Linotype" w:cs="Palatino Linotype"/>
          <w:i/>
        </w:rPr>
        <w:t xml:space="preserve">, registrando los ingresos estimados a nivel concepto y su distribución por mes. </w:t>
      </w:r>
    </w:p>
    <w:p w14:paraId="0E9E8C70"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lastRenderedPageBreak/>
        <w:t>Carátula de Presupuesto de Ingresos PbRM-03b</w:t>
      </w:r>
      <w:r w:rsidRPr="004915DB">
        <w:rPr>
          <w:rFonts w:ascii="Palatino Linotype" w:eastAsia="Palatino Linotype" w:hAnsi="Palatino Linotype" w:cs="Palatino Linotype"/>
          <w:i/>
        </w:rPr>
        <w:t xml:space="preserve">, registrando los importes por tipo de Ingreso.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PbRM 01a y PbRM 01c. </w:t>
      </w:r>
    </w:p>
    <w:p w14:paraId="737E56F6"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50DB1700"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000E29C1"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Presupuestación y Evaluación para orientar la integración del Proyecto de Presupuesto de Egresos Municipal de dichos programas, utilizando para ello los formatos establecidos en este manual,</w:t>
      </w:r>
      <w:r w:rsidRPr="004915DB">
        <w:rPr>
          <w:i/>
        </w:rPr>
        <w:t xml:space="preserve"> </w:t>
      </w:r>
      <w:r w:rsidRPr="004915DB">
        <w:rPr>
          <w:rFonts w:ascii="Palatino Linotype" w:eastAsia="Palatino Linotype" w:hAnsi="Palatino Linotype" w:cs="Palatino Linotype"/>
          <w:i/>
        </w:rPr>
        <w:t xml:space="preserve">mismos que deberán guardar como ya se mencionó, la debida alineación y correspondencia con el Plan de Desarrollo Municipal. </w:t>
      </w:r>
    </w:p>
    <w:p w14:paraId="3A6480EB"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En esta etapa del Presupuesto de Egresos el responsable de la UIPPE municipal o equivalente, con base en la información proporcionada por cada una de las Dependencias y Organismos, será quien estructure el Programa Anual del </w:t>
      </w:r>
      <w:r w:rsidRPr="004915DB">
        <w:rPr>
          <w:rFonts w:ascii="Palatino Linotype" w:eastAsia="Palatino Linotype" w:hAnsi="Palatino Linotype" w:cs="Palatino Linotype"/>
          <w:i/>
        </w:rPr>
        <w:lastRenderedPageBreak/>
        <w:t xml:space="preserve">Municipio, para integrarlo al Presupuesto de Egresos Municipal para su presentación y aprobación en sesión de cabildo. </w:t>
      </w:r>
    </w:p>
    <w:p w14:paraId="3CB28CDE"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Presupuesto de Egresos por Objeto del Gasto y Dependencia General PbRM-04b</w:t>
      </w:r>
      <w:r w:rsidRPr="004915DB">
        <w:rPr>
          <w:rFonts w:ascii="Palatino Linotype" w:eastAsia="Palatino Linotype" w:hAnsi="Palatino Linotype" w:cs="Palatino Linotype"/>
          <w:i/>
        </w:rPr>
        <w:t xml:space="preserve">. Este formato deberá ser la suma de los formatos (PbRM-04a) Presupuesto de Egresos Detallado el cual contiene datos a nivel de Partida Específica, Partida Genérica, Concepto y Capítulo del Gasto, de cada proyecto a nivel de Dependencia General. </w:t>
      </w:r>
    </w:p>
    <w:p w14:paraId="28D2EB6E"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Presupuesto de Egreso Global Calendarizado PbRM-04c</w:t>
      </w:r>
      <w:r w:rsidRPr="004915DB">
        <w:rPr>
          <w:rFonts w:ascii="Palatino Linotype" w:eastAsia="Palatino Linotype" w:hAnsi="Palatino Linotype" w:cs="Palatino Linotype"/>
          <w:b/>
          <w:i/>
        </w:rPr>
        <w:t>.</w:t>
      </w:r>
      <w:r w:rsidRPr="004915DB">
        <w:rPr>
          <w:rFonts w:ascii="Palatino Linotype" w:eastAsia="Palatino Linotype" w:hAnsi="Palatino Linotype" w:cs="Palatino Linotype"/>
          <w:i/>
        </w:rPr>
        <w:t xml:space="preserve"> Este formato deberá ser la suma de los formatos de Presupuesto de Egresos por Objeto del Gasto y Dependencia General PbRM-04b. Carátula de Presupuesto de Egresos PbRM-04d. Este formato deberá registrar los importes del formato PbRM-04c.” (Sic)</w:t>
      </w:r>
    </w:p>
    <w:p w14:paraId="3E9E9914" w14:textId="77777777" w:rsidR="008B38A1" w:rsidRPr="004915DB" w:rsidRDefault="00553CE8">
      <w:pPr>
        <w:spacing w:before="240" w:after="240" w:line="360" w:lineRule="auto"/>
        <w:jc w:val="both"/>
        <w:rPr>
          <w:rFonts w:ascii="Palatino Linotype" w:eastAsia="Palatino Linotype" w:hAnsi="Palatino Linotype" w:cs="Palatino Linotype"/>
        </w:rPr>
      </w:pPr>
      <w:r w:rsidRPr="004915DB">
        <w:rPr>
          <w:rFonts w:ascii="Palatino Linotype" w:eastAsia="Palatino Linotype" w:hAnsi="Palatino Linotype" w:cs="Palatino Linotype"/>
          <w:noProof/>
        </w:rPr>
        <w:lastRenderedPageBreak/>
        <w:drawing>
          <wp:inline distT="0" distB="0" distL="0" distR="0" wp14:anchorId="7EA5C53D" wp14:editId="388CB729">
            <wp:extent cx="5671185" cy="4442460"/>
            <wp:effectExtent l="0" t="0" r="0" b="0"/>
            <wp:docPr id="1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671185" cy="4442460"/>
                    </a:xfrm>
                    <a:prstGeom prst="rect">
                      <a:avLst/>
                    </a:prstGeom>
                    <a:ln/>
                  </pic:spPr>
                </pic:pic>
              </a:graphicData>
            </a:graphic>
          </wp:inline>
        </w:drawing>
      </w:r>
    </w:p>
    <w:p w14:paraId="65635DFE" w14:textId="77777777" w:rsidR="008B38A1" w:rsidRPr="004915DB" w:rsidRDefault="00553CE8">
      <w:pPr>
        <w:spacing w:before="240" w:after="240" w:line="360" w:lineRule="auto"/>
        <w:jc w:val="both"/>
        <w:rPr>
          <w:rFonts w:ascii="Palatino Linotype" w:eastAsia="Palatino Linotype" w:hAnsi="Palatino Linotype" w:cs="Palatino Linotype"/>
        </w:rPr>
      </w:pPr>
      <w:r w:rsidRPr="004915DB">
        <w:rPr>
          <w:rFonts w:ascii="Palatino Linotype" w:eastAsia="Palatino Linotype" w:hAnsi="Palatino Linotype" w:cs="Palatino Linotype"/>
          <w:sz w:val="24"/>
          <w:szCs w:val="24"/>
        </w:rPr>
        <w:lastRenderedPageBreak/>
        <w:t xml:space="preserve">En esta tesitura, los Lineamientos para la Entrega del Presupuesto de Egresos Municipal 2022, establece las bases para la entrega de dicho presupuesto, sirven de referencia las siguientes ilustraciones: </w:t>
      </w:r>
      <w:r w:rsidRPr="004915DB">
        <w:rPr>
          <w:noProof/>
        </w:rPr>
        <w:drawing>
          <wp:anchor distT="0" distB="0" distL="114300" distR="114300" simplePos="0" relativeHeight="251658240" behindDoc="0" locked="0" layoutInCell="1" hidden="0" allowOverlap="1" wp14:anchorId="095B7F6F" wp14:editId="16346925">
            <wp:simplePos x="0" y="0"/>
            <wp:positionH relativeFrom="column">
              <wp:posOffset>805815</wp:posOffset>
            </wp:positionH>
            <wp:positionV relativeFrom="paragraph">
              <wp:posOffset>1039495</wp:posOffset>
            </wp:positionV>
            <wp:extent cx="4455806" cy="5676900"/>
            <wp:effectExtent l="0" t="0" r="0" b="0"/>
            <wp:wrapTopAndBottom distT="0" distB="0"/>
            <wp:docPr id="110" name="image7.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10;&#10;Descripción generada automáticamente con confianza media"/>
                    <pic:cNvPicPr preferRelativeResize="0"/>
                  </pic:nvPicPr>
                  <pic:blipFill>
                    <a:blip r:embed="rId13"/>
                    <a:srcRect/>
                    <a:stretch>
                      <a:fillRect/>
                    </a:stretch>
                  </pic:blipFill>
                  <pic:spPr>
                    <a:xfrm>
                      <a:off x="0" y="0"/>
                      <a:ext cx="4455806" cy="5676900"/>
                    </a:xfrm>
                    <a:prstGeom prst="rect">
                      <a:avLst/>
                    </a:prstGeom>
                    <a:ln/>
                  </pic:spPr>
                </pic:pic>
              </a:graphicData>
            </a:graphic>
          </wp:anchor>
        </w:drawing>
      </w:r>
      <w:r w:rsidRPr="004915DB">
        <w:rPr>
          <w:noProof/>
        </w:rPr>
        <mc:AlternateContent>
          <mc:Choice Requires="wps">
            <w:drawing>
              <wp:anchor distT="0" distB="0" distL="114300" distR="114300" simplePos="0" relativeHeight="251659264" behindDoc="0" locked="0" layoutInCell="1" hidden="0" allowOverlap="1" wp14:anchorId="73B25D2C" wp14:editId="1CAD4BAF">
                <wp:simplePos x="0" y="0"/>
                <wp:positionH relativeFrom="column">
                  <wp:posOffset>787400</wp:posOffset>
                </wp:positionH>
                <wp:positionV relativeFrom="paragraph">
                  <wp:posOffset>4495800</wp:posOffset>
                </wp:positionV>
                <wp:extent cx="4465320" cy="1733550"/>
                <wp:effectExtent l="0" t="0" r="0" b="0"/>
                <wp:wrapNone/>
                <wp:docPr id="109" name="Rectángulo 109"/>
                <wp:cNvGraphicFramePr/>
                <a:graphic xmlns:a="http://schemas.openxmlformats.org/drawingml/2006/main">
                  <a:graphicData uri="http://schemas.microsoft.com/office/word/2010/wordprocessingShape">
                    <wps:wsp>
                      <wps:cNvSpPr/>
                      <wps:spPr>
                        <a:xfrm>
                          <a:off x="3156203" y="2956088"/>
                          <a:ext cx="4379595" cy="16478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3725"/>
                            </a:srgbClr>
                          </a:outerShdw>
                        </a:effectLst>
                      </wps:spPr>
                      <wps:txbx>
                        <w:txbxContent>
                          <w:p w14:paraId="63930AFE" w14:textId="77777777" w:rsidR="00866E0E" w:rsidRDefault="00866E0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09" o:spid="_x0000_s1026" style="position:absolute;left:0;text-align:left;margin-left:62pt;margin-top:354pt;width:351.6pt;height:1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" filled="f" strokecolor="#002060" strokeweight="2.25pt">
                <v:stroke startarrowwidth="narrow" startarrowlength="short" endarrowwidth="narrow" endarrowlength="short" joinstyle="round"/>
                <v:shadow on="t" color="black" opacity="22102f" origin=",.5" offset="0,.63889mm"/>
                <v:textbox inset="2.53958mm,2.53958mm,2.53958mm,2.53958mm">
                  <w:txbxContent>
                    <w:p w:rsidR="00866E0E" w:rsidRDefault="00866E0E">
                      <w:pPr>
                        <w:spacing w:line="258" w:lineRule="auto"/>
                        <w:textDirection w:val="btLr"/>
                      </w:pPr>
                    </w:p>
                  </w:txbxContent>
                </v:textbox>
              </v:rect>
            </w:pict>
          </mc:Fallback>
        </mc:AlternateContent>
      </w:r>
    </w:p>
    <w:p w14:paraId="3019CF49" w14:textId="77777777" w:rsidR="008B38A1" w:rsidRPr="004915DB" w:rsidRDefault="008B38A1">
      <w:pPr>
        <w:spacing w:before="240" w:after="240" w:line="360" w:lineRule="auto"/>
        <w:jc w:val="both"/>
        <w:rPr>
          <w:rFonts w:ascii="Palatino Linotype" w:eastAsia="Palatino Linotype" w:hAnsi="Palatino Linotype" w:cs="Palatino Linotype"/>
        </w:rPr>
      </w:pPr>
    </w:p>
    <w:p w14:paraId="69320094" w14:textId="77777777" w:rsidR="008B38A1" w:rsidRPr="004915DB" w:rsidRDefault="00553CE8">
      <w:pPr>
        <w:spacing w:before="24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De manera que como se colige con lo anteriormente analizado, a la fecha de la solicitud de información, es decir, al veinticinco de mayo de dos mil veintidós,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ya cuenta con el presupuesto aprobado para el ejercicio fiscal 2022, por lo tanto, se estima procedente ordenar su entrega para atender este punto de la solicitud. </w:t>
      </w:r>
    </w:p>
    <w:p w14:paraId="3E4D1E88" w14:textId="77777777" w:rsidR="008B38A1" w:rsidRPr="004915DB" w:rsidRDefault="008B38A1">
      <w:pPr>
        <w:rPr>
          <w:rFonts w:ascii="Palatino Linotype" w:eastAsia="Palatino Linotype" w:hAnsi="Palatino Linotype" w:cs="Palatino Linotype"/>
          <w:b/>
          <w:sz w:val="24"/>
          <w:szCs w:val="24"/>
        </w:rPr>
      </w:pPr>
    </w:p>
    <w:tbl>
      <w:tblPr>
        <w:tblStyle w:val="a0"/>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915DB" w:rsidRPr="004915DB" w14:paraId="2CD7CCE0" w14:textId="77777777">
        <w:tc>
          <w:tcPr>
            <w:tcW w:w="2291" w:type="dxa"/>
            <w:shd w:val="clear" w:color="auto" w:fill="BFBFBF"/>
          </w:tcPr>
          <w:p w14:paraId="2F992F68"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Información requerida.</w:t>
            </w:r>
          </w:p>
        </w:tc>
        <w:tc>
          <w:tcPr>
            <w:tcW w:w="2179" w:type="dxa"/>
            <w:shd w:val="clear" w:color="auto" w:fill="BFBFBF"/>
          </w:tcPr>
          <w:p w14:paraId="22BC871E"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Respuesta</w:t>
            </w:r>
          </w:p>
        </w:tc>
        <w:tc>
          <w:tcPr>
            <w:tcW w:w="2179" w:type="dxa"/>
            <w:shd w:val="clear" w:color="auto" w:fill="BFBFBF"/>
          </w:tcPr>
          <w:p w14:paraId="359857AD"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Informe Justificado</w:t>
            </w:r>
          </w:p>
        </w:tc>
        <w:tc>
          <w:tcPr>
            <w:tcW w:w="2179" w:type="dxa"/>
            <w:shd w:val="clear" w:color="auto" w:fill="BFBFBF"/>
          </w:tcPr>
          <w:p w14:paraId="30685028"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¿Colma?</w:t>
            </w:r>
          </w:p>
        </w:tc>
      </w:tr>
      <w:tr w:rsidR="004915DB" w:rsidRPr="004915DB" w14:paraId="1168C213" w14:textId="77777777">
        <w:tc>
          <w:tcPr>
            <w:tcW w:w="2291" w:type="dxa"/>
          </w:tcPr>
          <w:p w14:paraId="6DDB65A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Principal Actividad Económica del Municipio y que porcentaje representa.</w:t>
            </w:r>
          </w:p>
        </w:tc>
        <w:tc>
          <w:tcPr>
            <w:tcW w:w="2179" w:type="dxa"/>
            <w:vAlign w:val="center"/>
          </w:tcPr>
          <w:p w14:paraId="14D7549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No emite respuesta</w:t>
            </w:r>
          </w:p>
        </w:tc>
        <w:tc>
          <w:tcPr>
            <w:tcW w:w="2179" w:type="dxa"/>
            <w:vAlign w:val="center"/>
          </w:tcPr>
          <w:p w14:paraId="23D50331"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Pr>
          <w:p w14:paraId="3DE83C94"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No</w:t>
            </w:r>
          </w:p>
        </w:tc>
      </w:tr>
    </w:tbl>
    <w:p w14:paraId="7AEA113D" w14:textId="77777777" w:rsidR="008B38A1" w:rsidRPr="004915DB" w:rsidRDefault="008B38A1">
      <w:pPr>
        <w:spacing w:after="0" w:line="360" w:lineRule="auto"/>
        <w:ind w:right="142"/>
        <w:jc w:val="both"/>
        <w:rPr>
          <w:rFonts w:ascii="Palatino Linotype" w:eastAsia="Palatino Linotype" w:hAnsi="Palatino Linotype" w:cs="Palatino Linotype"/>
          <w:b/>
          <w:sz w:val="24"/>
          <w:szCs w:val="24"/>
        </w:rPr>
      </w:pPr>
    </w:p>
    <w:p w14:paraId="00A45629" w14:textId="77777777" w:rsidR="008B38A1" w:rsidRPr="004915DB" w:rsidRDefault="00553CE8">
      <w:pPr>
        <w:shd w:val="clear" w:color="auto" w:fill="FFFFFF"/>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 relación a este punto de la solicitud de información conviene citar la siguiente normatividad en la que se señala lo siguiente:</w:t>
      </w:r>
    </w:p>
    <w:p w14:paraId="3B8A2641" w14:textId="77777777" w:rsidR="008B38A1" w:rsidRPr="004915DB" w:rsidRDefault="008B38A1">
      <w:pPr>
        <w:shd w:val="clear" w:color="auto" w:fill="FFFFFF"/>
        <w:spacing w:after="0" w:line="360" w:lineRule="auto"/>
        <w:jc w:val="both"/>
        <w:rPr>
          <w:rFonts w:ascii="Palatino Linotype" w:eastAsia="Palatino Linotype" w:hAnsi="Palatino Linotype" w:cs="Palatino Linotype"/>
          <w:sz w:val="24"/>
          <w:szCs w:val="24"/>
        </w:rPr>
      </w:pPr>
    </w:p>
    <w:p w14:paraId="3DEA70C5" w14:textId="77777777" w:rsidR="008B38A1" w:rsidRPr="004915DB" w:rsidRDefault="00553CE8">
      <w:pPr>
        <w:shd w:val="clear" w:color="auto" w:fill="FFFFFF"/>
        <w:spacing w:after="0" w:line="360" w:lineRule="auto"/>
        <w:ind w:left="851" w:right="1183"/>
        <w:jc w:val="both"/>
        <w:rPr>
          <w:rFonts w:ascii="Palatino Linotype" w:eastAsia="Palatino Linotype" w:hAnsi="Palatino Linotype" w:cs="Palatino Linotype"/>
          <w:b/>
          <w:i/>
          <w:u w:val="single"/>
        </w:rPr>
      </w:pPr>
      <w:r w:rsidRPr="004915DB">
        <w:rPr>
          <w:rFonts w:ascii="Palatino Linotype" w:eastAsia="Palatino Linotype" w:hAnsi="Palatino Linotype" w:cs="Palatino Linotype"/>
          <w:b/>
          <w:i/>
          <w:u w:val="single"/>
        </w:rPr>
        <w:t>BANDO MUNICIPAL DE COYOTEPEC, ESTADO DE MÉXICO 2022</w:t>
      </w:r>
    </w:p>
    <w:p w14:paraId="65F4FCBF" w14:textId="77777777" w:rsidR="008B38A1" w:rsidRPr="004915DB" w:rsidRDefault="008B38A1">
      <w:pPr>
        <w:shd w:val="clear" w:color="auto" w:fill="FFFFFF"/>
        <w:spacing w:after="0" w:line="360" w:lineRule="auto"/>
        <w:ind w:left="851" w:right="1183"/>
        <w:jc w:val="both"/>
        <w:rPr>
          <w:rFonts w:ascii="Palatino Linotype" w:eastAsia="Palatino Linotype" w:hAnsi="Palatino Linotype" w:cs="Palatino Linotype"/>
          <w:b/>
          <w:i/>
          <w:u w:val="single"/>
        </w:rPr>
      </w:pPr>
    </w:p>
    <w:p w14:paraId="02911AA9" w14:textId="77777777" w:rsidR="008B38A1" w:rsidRPr="004915DB" w:rsidRDefault="00553CE8">
      <w:pPr>
        <w:shd w:val="clear" w:color="auto" w:fill="FFFFFF"/>
        <w:spacing w:after="0" w:line="276" w:lineRule="auto"/>
        <w:ind w:left="851" w:right="118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Artículo 81.- El Gobierno Municipal a través de la Dirección de Desarrollo Económico promoverá y fomentará el empleo de las personas, el desarrollo económico, industrial, tecnológico, comercial, artesanal y de servicios en el Municipio; asimismo, establecerá las bases para un proceso de mejora regulatoria integral, continua y permanente, además de llevar a cabo la </w:t>
      </w:r>
      <w:r w:rsidRPr="004915DB">
        <w:rPr>
          <w:rFonts w:ascii="Palatino Linotype" w:eastAsia="Palatino Linotype" w:hAnsi="Palatino Linotype" w:cs="Palatino Linotype"/>
          <w:i/>
        </w:rPr>
        <w:lastRenderedPageBreak/>
        <w:t xml:space="preserve">gestión, análisis, planeación y coordinación de programas, proyectos y acciones de impacto regional de conformidad con la legislación vigente, debiendo basar sus atribuciones en la Ley de Competitividad y Ordenamiento Comercial del Estado de México, la Ley de Eventos Públicos del Estado de México y demás normatividad vigente aplicable. </w:t>
      </w:r>
    </w:p>
    <w:p w14:paraId="13B86EC2" w14:textId="77777777" w:rsidR="008B38A1" w:rsidRPr="004915DB" w:rsidRDefault="008B38A1">
      <w:pPr>
        <w:shd w:val="clear" w:color="auto" w:fill="FFFFFF"/>
        <w:spacing w:after="0" w:line="276" w:lineRule="auto"/>
        <w:ind w:left="851" w:right="1183"/>
        <w:jc w:val="both"/>
        <w:rPr>
          <w:rFonts w:ascii="Palatino Linotype" w:eastAsia="Palatino Linotype" w:hAnsi="Palatino Linotype" w:cs="Palatino Linotype"/>
          <w:i/>
        </w:rPr>
      </w:pPr>
    </w:p>
    <w:p w14:paraId="257DC626" w14:textId="77777777" w:rsidR="008B38A1" w:rsidRPr="004915DB" w:rsidRDefault="00553CE8">
      <w:pPr>
        <w:shd w:val="clear" w:color="auto" w:fill="FFFFFF"/>
        <w:spacing w:after="0" w:line="276" w:lineRule="auto"/>
        <w:ind w:left="851" w:right="1183"/>
        <w:jc w:val="both"/>
        <w:rPr>
          <w:rFonts w:ascii="Palatino Linotype" w:eastAsia="Palatino Linotype" w:hAnsi="Palatino Linotype" w:cs="Palatino Linotype"/>
          <w:i/>
          <w:sz w:val="24"/>
          <w:szCs w:val="24"/>
        </w:rPr>
      </w:pPr>
      <w:r w:rsidRPr="004915DB">
        <w:rPr>
          <w:rFonts w:ascii="Palatino Linotype" w:eastAsia="Palatino Linotype" w:hAnsi="Palatino Linotype" w:cs="Palatino Linotype"/>
          <w:i/>
        </w:rPr>
        <w:t>En el Municipio de Coyotepec se podrán desempeñar las actividades comerciales, industriales y de prestación de servicios como unidades económicas, así como colocar e instalar anuncios y/o espectáculos públicos o de publicidad, previo la obtención de permisos, autorizaciones, licencias de funcionamiento y dictámenes de giro, según sea caso, expedidos y autorizados por las dependencias administrativas municipales competentes, en total apego a lo que prevén los ordenamientos Federales, Estatales y Municipales aplicables.</w:t>
      </w:r>
    </w:p>
    <w:p w14:paraId="652756BA" w14:textId="77777777" w:rsidR="008B38A1" w:rsidRPr="004915DB" w:rsidRDefault="008B38A1">
      <w:pPr>
        <w:tabs>
          <w:tab w:val="left" w:pos="1275"/>
        </w:tabs>
        <w:rPr>
          <w:rFonts w:ascii="Palatino Linotype" w:eastAsia="Palatino Linotype" w:hAnsi="Palatino Linotype" w:cs="Palatino Linotype"/>
          <w:sz w:val="24"/>
          <w:szCs w:val="24"/>
        </w:rPr>
      </w:pPr>
    </w:p>
    <w:p w14:paraId="3136FCE1" w14:textId="3EA7D1A3" w:rsidR="007A5768" w:rsidRPr="004915DB" w:rsidRDefault="00553CE8">
      <w:pPr>
        <w:tabs>
          <w:tab w:val="left" w:pos="1275"/>
        </w:tabs>
        <w:spacing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De acuerdo a lo anterior,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promoverá y fomentara el desarrollo económico, por lo que se podrá desempeñar dentro del Municipio de Coyotepec, actividades comerciales, industriales y de prestación de servicios como unidades económicas previo la obtención de permisos, autorizaciones, licencias de funcionamiento y dictámenes de giro, por lo que de acuerdo a sus atribuciones puede obtener la principal actividad económica del municipio, por lo que se ordena al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haga entrega </w:t>
      </w:r>
      <w:r w:rsidR="00BE756B" w:rsidRPr="004915DB">
        <w:rPr>
          <w:rFonts w:ascii="Palatino Linotype" w:eastAsia="Palatino Linotype" w:hAnsi="Palatino Linotype" w:cs="Palatino Linotype"/>
          <w:sz w:val="24"/>
          <w:szCs w:val="24"/>
        </w:rPr>
        <w:t xml:space="preserve">del documento en el que conste la principal actividad económica del municipio de Coyotepec </w:t>
      </w:r>
      <w:r w:rsidRPr="004915DB">
        <w:rPr>
          <w:rFonts w:ascii="Palatino Linotype" w:eastAsia="Palatino Linotype" w:hAnsi="Palatino Linotype" w:cs="Palatino Linotype"/>
          <w:sz w:val="24"/>
          <w:szCs w:val="24"/>
        </w:rPr>
        <w:t>, sin embargo, no se encuentra obligado a realizar cálculos o practicar investigaciones para proporcionar la información que requieren los solicitantes</w:t>
      </w:r>
      <w:r w:rsidR="00BE756B" w:rsidRPr="004915DB">
        <w:rPr>
          <w:rFonts w:ascii="Palatino Linotype" w:eastAsia="Palatino Linotype" w:hAnsi="Palatino Linotype" w:cs="Palatino Linotype"/>
          <w:sz w:val="24"/>
          <w:szCs w:val="24"/>
        </w:rPr>
        <w:t xml:space="preserve"> de acuerdo al artículo 12 de la Ley de Transparencia y Acceso a la Información Pública del Estado de México y Municipios, </w:t>
      </w:r>
      <w:r w:rsidR="00BE756B" w:rsidRPr="004915DB">
        <w:rPr>
          <w:rFonts w:ascii="Palatino Linotype" w:eastAsia="Palatino Linotype" w:hAnsi="Palatino Linotype" w:cs="Palatino Linotype"/>
          <w:sz w:val="24"/>
          <w:szCs w:val="24"/>
        </w:rPr>
        <w:lastRenderedPageBreak/>
        <w:t xml:space="preserve">citado con anterioridad, </w:t>
      </w:r>
      <w:r w:rsidRPr="004915DB">
        <w:rPr>
          <w:rFonts w:ascii="Palatino Linotype" w:eastAsia="Palatino Linotype" w:hAnsi="Palatino Linotype" w:cs="Palatino Linotype"/>
          <w:sz w:val="24"/>
          <w:szCs w:val="24"/>
        </w:rPr>
        <w:t>motivo por el que no se ordena la entrega del porcentaje que representa</w:t>
      </w:r>
      <w:r w:rsidR="00BE756B" w:rsidRPr="004915DB">
        <w:rPr>
          <w:rFonts w:ascii="Palatino Linotype" w:eastAsia="Palatino Linotype" w:hAnsi="Palatino Linotype" w:cs="Palatino Linotype"/>
          <w:sz w:val="24"/>
          <w:szCs w:val="24"/>
        </w:rPr>
        <w:t xml:space="preserve"> la principal actividad económica</w:t>
      </w:r>
      <w:r w:rsidRPr="004915DB">
        <w:rPr>
          <w:rFonts w:ascii="Palatino Linotype" w:eastAsia="Palatino Linotype" w:hAnsi="Palatino Linotype" w:cs="Palatino Linotype"/>
          <w:sz w:val="24"/>
          <w:szCs w:val="24"/>
        </w:rPr>
        <w:t xml:space="preserve"> en los ingresos del municipio</w:t>
      </w:r>
      <w:r w:rsidR="00BE756B" w:rsidRPr="004915DB">
        <w:rPr>
          <w:rFonts w:ascii="Palatino Linotype" w:eastAsia="Palatino Linotype" w:hAnsi="Palatino Linotype" w:cs="Palatino Linotype"/>
          <w:sz w:val="24"/>
          <w:szCs w:val="24"/>
        </w:rPr>
        <w:t xml:space="preserve">. </w:t>
      </w:r>
    </w:p>
    <w:tbl>
      <w:tblPr>
        <w:tblStyle w:val="a1"/>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915DB" w:rsidRPr="004915DB" w14:paraId="42773162" w14:textId="77777777">
        <w:tc>
          <w:tcPr>
            <w:tcW w:w="2291" w:type="dxa"/>
            <w:shd w:val="clear" w:color="auto" w:fill="BFBFBF"/>
          </w:tcPr>
          <w:p w14:paraId="25901F61"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Información requerida.</w:t>
            </w:r>
          </w:p>
        </w:tc>
        <w:tc>
          <w:tcPr>
            <w:tcW w:w="2179" w:type="dxa"/>
            <w:shd w:val="clear" w:color="auto" w:fill="BFBFBF"/>
          </w:tcPr>
          <w:p w14:paraId="25108556"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Respuesta</w:t>
            </w:r>
          </w:p>
        </w:tc>
        <w:tc>
          <w:tcPr>
            <w:tcW w:w="2179" w:type="dxa"/>
            <w:shd w:val="clear" w:color="auto" w:fill="BFBFBF"/>
          </w:tcPr>
          <w:p w14:paraId="05D7F775"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Informe Justificado</w:t>
            </w:r>
          </w:p>
        </w:tc>
        <w:tc>
          <w:tcPr>
            <w:tcW w:w="2179" w:type="dxa"/>
            <w:shd w:val="clear" w:color="auto" w:fill="BFBFBF"/>
          </w:tcPr>
          <w:p w14:paraId="493CF45B"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¿Colma?</w:t>
            </w:r>
          </w:p>
        </w:tc>
      </w:tr>
      <w:tr w:rsidR="004915DB" w:rsidRPr="004915DB" w14:paraId="6AC70E56" w14:textId="77777777">
        <w:tc>
          <w:tcPr>
            <w:tcW w:w="2291" w:type="dxa"/>
          </w:tcPr>
          <w:p w14:paraId="71AE4CC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3.) Monto de los ingresos del municipio son:</w:t>
            </w:r>
          </w:p>
          <w:p w14:paraId="46C42F6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Ingresos propios (de recaudación municipal)</w:t>
            </w:r>
          </w:p>
          <w:p w14:paraId="6F5B7CC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 ¿Cuánto representa del total del presupuesto?</w:t>
            </w:r>
          </w:p>
          <w:p w14:paraId="23CEA98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b. ¿A cuánto ascienden los Ingresos proveniente de las de partidas presupuestales?</w:t>
            </w:r>
          </w:p>
          <w:p w14:paraId="4A4A3B3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 Federales</w:t>
            </w:r>
          </w:p>
          <w:p w14:paraId="1CCF90E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ii. Estatales</w:t>
            </w:r>
          </w:p>
          <w:p w14:paraId="61F64CB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iii. ¿Cuál es Porcentaje que representan del total del presupuesto</w:t>
            </w:r>
          </w:p>
        </w:tc>
        <w:tc>
          <w:tcPr>
            <w:tcW w:w="2179" w:type="dxa"/>
            <w:vAlign w:val="center"/>
          </w:tcPr>
          <w:p w14:paraId="40EA438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No emite respuesta.</w:t>
            </w:r>
          </w:p>
        </w:tc>
        <w:tc>
          <w:tcPr>
            <w:tcW w:w="2179" w:type="dxa"/>
            <w:vAlign w:val="center"/>
          </w:tcPr>
          <w:p w14:paraId="762C6DB9"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Pr>
          <w:p w14:paraId="217A4573"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No</w:t>
            </w:r>
          </w:p>
        </w:tc>
      </w:tr>
    </w:tbl>
    <w:p w14:paraId="717DF6F8" w14:textId="77777777" w:rsidR="008B38A1" w:rsidRPr="004915DB" w:rsidRDefault="008B38A1">
      <w:pPr>
        <w:rPr>
          <w:rFonts w:ascii="Palatino Linotype" w:eastAsia="Palatino Linotype" w:hAnsi="Palatino Linotype" w:cs="Palatino Linotype"/>
          <w:b/>
          <w:sz w:val="24"/>
          <w:szCs w:val="24"/>
        </w:rPr>
      </w:pPr>
    </w:p>
    <w:p w14:paraId="08788082" w14:textId="77777777" w:rsidR="008B38A1" w:rsidRPr="004915DB" w:rsidRDefault="00553CE8">
      <w:pPr>
        <w:spacing w:before="240" w:after="24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Ahora bien, como quedó asentado, </w:t>
      </w:r>
      <w:r w:rsidRPr="004915DB">
        <w:rPr>
          <w:rFonts w:ascii="Palatino Linotype" w:eastAsia="Palatino Linotype" w:hAnsi="Palatino Linotype" w:cs="Palatino Linotype"/>
          <w:b/>
          <w:sz w:val="24"/>
          <w:szCs w:val="24"/>
        </w:rPr>
        <w:t xml:space="preserve">EL SUJETO OBLIGADO, </w:t>
      </w:r>
      <w:r w:rsidRPr="004915DB">
        <w:rPr>
          <w:rFonts w:ascii="Palatino Linotype" w:eastAsia="Palatino Linotype" w:hAnsi="Palatino Linotype" w:cs="Palatino Linotype"/>
          <w:sz w:val="24"/>
          <w:szCs w:val="24"/>
        </w:rPr>
        <w:t xml:space="preserve">resultó omiso de pronunciarse sobre este punto de la solicitud, por lo que es necesario mencionar que dentro del Módulo 2 de los Lineamientos para la Entrega del Informe Trimestral, se aprecia el documento denominado Estado Comparativo Presupuestal de Ingresos, en el cual se asientan los siguientes puntos: </w:t>
      </w:r>
    </w:p>
    <w:p w14:paraId="11E6AACF" w14:textId="77777777" w:rsidR="008B38A1" w:rsidRPr="004915DB" w:rsidRDefault="00553CE8">
      <w:pPr>
        <w:spacing w:before="240" w:after="240" w:line="360" w:lineRule="auto"/>
        <w:ind w:right="49"/>
        <w:jc w:val="both"/>
        <w:rPr>
          <w:rFonts w:ascii="Palatino Linotype" w:eastAsia="Palatino Linotype" w:hAnsi="Palatino Linotype" w:cs="Palatino Linotype"/>
        </w:rPr>
      </w:pPr>
      <w:r w:rsidRPr="004915DB">
        <w:rPr>
          <w:rFonts w:ascii="Palatino Linotype" w:eastAsia="Palatino Linotype" w:hAnsi="Palatino Linotype" w:cs="Palatino Linotype"/>
          <w:noProof/>
        </w:rPr>
        <w:lastRenderedPageBreak/>
        <w:drawing>
          <wp:inline distT="0" distB="0" distL="0" distR="0" wp14:anchorId="3F3D453A" wp14:editId="2C9594F1">
            <wp:extent cx="5671185" cy="4911725"/>
            <wp:effectExtent l="0" t="0" r="0" b="0"/>
            <wp:docPr id="117" name="image4.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con confianza baja"/>
                    <pic:cNvPicPr preferRelativeResize="0"/>
                  </pic:nvPicPr>
                  <pic:blipFill>
                    <a:blip r:embed="rId14"/>
                    <a:srcRect/>
                    <a:stretch>
                      <a:fillRect/>
                    </a:stretch>
                  </pic:blipFill>
                  <pic:spPr>
                    <a:xfrm>
                      <a:off x="0" y="0"/>
                      <a:ext cx="5671185" cy="4911725"/>
                    </a:xfrm>
                    <a:prstGeom prst="rect">
                      <a:avLst/>
                    </a:prstGeom>
                    <a:ln/>
                  </pic:spPr>
                </pic:pic>
              </a:graphicData>
            </a:graphic>
          </wp:inline>
        </w:drawing>
      </w:r>
    </w:p>
    <w:p w14:paraId="593387C9" w14:textId="77777777" w:rsidR="008B38A1" w:rsidRPr="004915DB" w:rsidRDefault="00553CE8">
      <w:pPr>
        <w:spacing w:before="240"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noProof/>
        </w:rPr>
        <w:lastRenderedPageBreak/>
        <w:drawing>
          <wp:inline distT="0" distB="0" distL="0" distR="0" wp14:anchorId="017FB759" wp14:editId="1BA983FC">
            <wp:extent cx="5671185" cy="4255135"/>
            <wp:effectExtent l="0" t="0" r="0" b="0"/>
            <wp:docPr id="119"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exto&#10;&#10;Descripción generada automáticamente"/>
                    <pic:cNvPicPr preferRelativeResize="0"/>
                  </pic:nvPicPr>
                  <pic:blipFill>
                    <a:blip r:embed="rId15"/>
                    <a:srcRect/>
                    <a:stretch>
                      <a:fillRect/>
                    </a:stretch>
                  </pic:blipFill>
                  <pic:spPr>
                    <a:xfrm>
                      <a:off x="0" y="0"/>
                      <a:ext cx="5671185" cy="4255135"/>
                    </a:xfrm>
                    <a:prstGeom prst="rect">
                      <a:avLst/>
                    </a:prstGeom>
                    <a:ln/>
                  </pic:spPr>
                </pic:pic>
              </a:graphicData>
            </a:graphic>
          </wp:inline>
        </w:drawing>
      </w:r>
      <w:r w:rsidRPr="004915DB">
        <w:rPr>
          <w:rFonts w:ascii="Palatino Linotype" w:eastAsia="Palatino Linotype" w:hAnsi="Palatino Linotype" w:cs="Palatino Linotype"/>
          <w:sz w:val="24"/>
          <w:szCs w:val="24"/>
        </w:rPr>
        <w:t xml:space="preserve">Es en este documento en el que el particular podrá advertir el monto de los ingresos del municipio que son propios, es decir, de recaudación municipal, así como los provenientes de partidas presupuestales y federales, asimismo obra dentro de este documento, la representación del total del presupuesto, toda vez que se inscribe la cifra estimada como la recaudada y finalmente la variación porcentual que se obtiene de dividir la variación absoluta entre la Ley de Ingresos Modificada, multiplicándolo por cien, sin embargo, este punto no refleja el porcentaje ni la representación del total de ingresos del presupuesto, sino la variación entre el ingreso modificado y lo recaudado, por lo tanto, para obtener el dato que </w:t>
      </w:r>
      <w:r w:rsidRPr="004915DB">
        <w:rPr>
          <w:rFonts w:ascii="Palatino Linotype" w:eastAsia="Palatino Linotype" w:hAnsi="Palatino Linotype" w:cs="Palatino Linotype"/>
          <w:sz w:val="24"/>
          <w:szCs w:val="24"/>
        </w:rPr>
        <w:lastRenderedPageBreak/>
        <w:t>específicamente requiere la parte</w:t>
      </w:r>
      <w:r w:rsidRPr="004915DB">
        <w:rPr>
          <w:rFonts w:ascii="Palatino Linotype" w:eastAsia="Palatino Linotype" w:hAnsi="Palatino Linotype" w:cs="Palatino Linotype"/>
          <w:b/>
          <w:sz w:val="24"/>
          <w:szCs w:val="24"/>
        </w:rPr>
        <w:t xml:space="preserve"> RECURRENTE</w:t>
      </w:r>
      <w:r w:rsidRPr="004915DB">
        <w:rPr>
          <w:rFonts w:ascii="Palatino Linotype" w:eastAsia="Palatino Linotype" w:hAnsi="Palatino Linotype" w:cs="Palatino Linotype"/>
          <w:sz w:val="24"/>
          <w:szCs w:val="24"/>
        </w:rPr>
        <w:t xml:space="preserve">, implicaría que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realice un cálculo o una gráfica, para satisfacer los intereses del particular, por lo que es importante mencionar que se contravendría lo dispuesto por el artículo 12 de la Ley de Transparencia y Acceso a la Información Pública del Estado de México y Municipios, mismo que se inserta a continuación: </w:t>
      </w:r>
    </w:p>
    <w:p w14:paraId="28ED19E4"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2B06FA93" w14:textId="77777777" w:rsidR="008B38A1" w:rsidRPr="004915DB" w:rsidRDefault="00553CE8">
      <w:pPr>
        <w:spacing w:after="0" w:line="360"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“Artículo 12.</w:t>
      </w:r>
    </w:p>
    <w:p w14:paraId="45C79C77" w14:textId="77777777" w:rsidR="008B38A1" w:rsidRPr="004915DB" w:rsidRDefault="00553CE8">
      <w:pPr>
        <w:spacing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15CA4A83" w14:textId="77777777" w:rsidR="008B38A1" w:rsidRPr="004915DB" w:rsidRDefault="00553CE8">
      <w:pPr>
        <w:spacing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915DB">
        <w:rPr>
          <w:rFonts w:ascii="Palatino Linotype" w:eastAsia="Palatino Linotype" w:hAnsi="Palatino Linotype" w:cs="Palatino Linotype"/>
          <w:i/>
        </w:rPr>
        <w:t xml:space="preserve">. </w:t>
      </w:r>
      <w:r w:rsidRPr="004915DB">
        <w:rPr>
          <w:rFonts w:ascii="Palatino Linotype" w:eastAsia="Palatino Linotype" w:hAnsi="Palatino Linotype" w:cs="Palatino Linotype"/>
          <w:b/>
          <w:i/>
        </w:rPr>
        <w:t>La obligación de proporcionar información no comprende el procesamiento de la misma</w:t>
      </w:r>
      <w:r w:rsidRPr="004915DB">
        <w:rPr>
          <w:rFonts w:ascii="Palatino Linotype" w:eastAsia="Palatino Linotype" w:hAnsi="Palatino Linotype" w:cs="Palatino Linotype"/>
          <w:i/>
        </w:rPr>
        <w:t xml:space="preserve">, ni el presentarla conforme al interés del solicitante; </w:t>
      </w:r>
      <w:r w:rsidRPr="004915DB">
        <w:rPr>
          <w:rFonts w:ascii="Palatino Linotype" w:eastAsia="Palatino Linotype" w:hAnsi="Palatino Linotype" w:cs="Palatino Linotype"/>
          <w:b/>
          <w:i/>
        </w:rPr>
        <w:t xml:space="preserve">no estarán obligados a generarla, resumirla, </w:t>
      </w:r>
      <w:r w:rsidRPr="004915DB">
        <w:rPr>
          <w:rFonts w:ascii="Palatino Linotype" w:eastAsia="Palatino Linotype" w:hAnsi="Palatino Linotype" w:cs="Palatino Linotype"/>
          <w:b/>
          <w:i/>
          <w:u w:val="single"/>
        </w:rPr>
        <w:t>efectuar cálculos</w:t>
      </w:r>
      <w:r w:rsidRPr="004915DB">
        <w:rPr>
          <w:rFonts w:ascii="Palatino Linotype" w:eastAsia="Palatino Linotype" w:hAnsi="Palatino Linotype" w:cs="Palatino Linotype"/>
          <w:i/>
        </w:rPr>
        <w:t xml:space="preserve"> o practicar investigaciones.” (Sic) (Énfasis añadido)</w:t>
      </w:r>
    </w:p>
    <w:p w14:paraId="0C994FCC" w14:textId="77777777" w:rsidR="008B38A1" w:rsidRPr="004915DB" w:rsidRDefault="008B38A1">
      <w:pPr>
        <w:spacing w:after="0" w:line="360" w:lineRule="auto"/>
        <w:ind w:right="-91"/>
        <w:jc w:val="both"/>
        <w:rPr>
          <w:rFonts w:ascii="Palatino Linotype" w:eastAsia="Palatino Linotype" w:hAnsi="Palatino Linotype" w:cs="Palatino Linotype"/>
          <w:sz w:val="24"/>
          <w:szCs w:val="24"/>
        </w:rPr>
      </w:pPr>
    </w:p>
    <w:p w14:paraId="7096EE2B" w14:textId="77777777" w:rsidR="008B38A1" w:rsidRPr="004915DB" w:rsidRDefault="00553CE8">
      <w:pPr>
        <w:spacing w:after="0" w:line="360" w:lineRule="auto"/>
        <w:ind w:right="-9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 se genera de manera mensual, tal como se aprecia en la siguiente ilustración: </w:t>
      </w:r>
    </w:p>
    <w:p w14:paraId="693BD623" w14:textId="77777777" w:rsidR="008B38A1" w:rsidRPr="004915DB" w:rsidRDefault="008B38A1">
      <w:pPr>
        <w:spacing w:line="360" w:lineRule="auto"/>
        <w:ind w:right="-93"/>
        <w:jc w:val="both"/>
        <w:rPr>
          <w:rFonts w:ascii="Palatino Linotype" w:eastAsia="Palatino Linotype" w:hAnsi="Palatino Linotype" w:cs="Palatino Linotype"/>
        </w:rPr>
      </w:pPr>
    </w:p>
    <w:p w14:paraId="3792F9EC" w14:textId="77777777" w:rsidR="008B38A1" w:rsidRPr="004915DB" w:rsidRDefault="00553CE8">
      <w:pPr>
        <w:spacing w:line="360" w:lineRule="auto"/>
        <w:ind w:right="-93"/>
        <w:jc w:val="both"/>
        <w:rPr>
          <w:rFonts w:ascii="Palatino Linotype" w:eastAsia="Palatino Linotype" w:hAnsi="Palatino Linotype" w:cs="Palatino Linotype"/>
        </w:rPr>
      </w:pPr>
      <w:r w:rsidRPr="004915DB">
        <w:rPr>
          <w:rFonts w:ascii="Palatino Linotype" w:eastAsia="Palatino Linotype" w:hAnsi="Palatino Linotype" w:cs="Palatino Linotype"/>
          <w:noProof/>
        </w:rPr>
        <w:lastRenderedPageBreak/>
        <w:drawing>
          <wp:inline distT="0" distB="0" distL="0" distR="0" wp14:anchorId="51392C4B" wp14:editId="1965251C">
            <wp:extent cx="5671185" cy="5647690"/>
            <wp:effectExtent l="0" t="0" r="0" b="0"/>
            <wp:docPr id="118" name="image9.png" descr="Imagen que contiene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Calendario&#10;&#10;Descripción generada automáticamente"/>
                    <pic:cNvPicPr preferRelativeResize="0"/>
                  </pic:nvPicPr>
                  <pic:blipFill>
                    <a:blip r:embed="rId16"/>
                    <a:srcRect/>
                    <a:stretch>
                      <a:fillRect/>
                    </a:stretch>
                  </pic:blipFill>
                  <pic:spPr>
                    <a:xfrm>
                      <a:off x="0" y="0"/>
                      <a:ext cx="5671185" cy="5647690"/>
                    </a:xfrm>
                    <a:prstGeom prst="rect">
                      <a:avLst/>
                    </a:prstGeom>
                    <a:ln/>
                  </pic:spPr>
                </pic:pic>
              </a:graphicData>
            </a:graphic>
          </wp:inline>
        </w:drawing>
      </w:r>
      <w:r w:rsidRPr="004915DB">
        <w:rPr>
          <w:noProof/>
        </w:rPr>
        <mc:AlternateContent>
          <mc:Choice Requires="wps">
            <w:drawing>
              <wp:anchor distT="0" distB="0" distL="114300" distR="114300" simplePos="0" relativeHeight="251660288" behindDoc="0" locked="0" layoutInCell="1" hidden="0" allowOverlap="1" wp14:anchorId="584D5586" wp14:editId="29D6D1EB">
                <wp:simplePos x="0" y="0"/>
                <wp:positionH relativeFrom="column">
                  <wp:posOffset>1117600</wp:posOffset>
                </wp:positionH>
                <wp:positionV relativeFrom="paragraph">
                  <wp:posOffset>2159000</wp:posOffset>
                </wp:positionV>
                <wp:extent cx="4585335" cy="285750"/>
                <wp:effectExtent l="0" t="0" r="0" b="0"/>
                <wp:wrapNone/>
                <wp:docPr id="107" name="Rectángulo 107"/>
                <wp:cNvGraphicFramePr/>
                <a:graphic xmlns:a="http://schemas.openxmlformats.org/drawingml/2006/main">
                  <a:graphicData uri="http://schemas.microsoft.com/office/word/2010/wordprocessingShape">
                    <wps:wsp>
                      <wps:cNvSpPr/>
                      <wps:spPr>
                        <a:xfrm>
                          <a:off x="3081908" y="3665700"/>
                          <a:ext cx="4528185" cy="228600"/>
                        </a:xfrm>
                        <a:prstGeom prst="rect">
                          <a:avLst/>
                        </a:prstGeom>
                        <a:noFill/>
                        <a:ln w="28575" cap="flat" cmpd="sng">
                          <a:solidFill>
                            <a:srgbClr val="002060"/>
                          </a:solidFill>
                          <a:prstDash val="solid"/>
                          <a:round/>
                          <a:headEnd type="none" w="sm" len="sm"/>
                          <a:tailEnd type="none" w="sm" len="sm"/>
                        </a:ln>
                      </wps:spPr>
                      <wps:txbx>
                        <w:txbxContent>
                          <w:p w14:paraId="41430220" w14:textId="77777777" w:rsidR="00866E0E" w:rsidRDefault="00866E0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07" o:spid="_x0000_s1027" style="position:absolute;left:0;text-align:left;margin-left:88pt;margin-top:170pt;width:361.0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" filled="f" strokecolor="#002060" strokeweight="2.25pt">
                <v:stroke startarrowwidth="narrow" startarrowlength="short" endarrowwidth="narrow" endarrowlength="short" joinstyle="round"/>
                <v:textbox inset="2.53958mm,2.53958mm,2.53958mm,2.53958mm">
                  <w:txbxContent>
                    <w:p w:rsidR="00866E0E" w:rsidRDefault="00866E0E">
                      <w:pPr>
                        <w:spacing w:line="258" w:lineRule="auto"/>
                        <w:textDirection w:val="btLr"/>
                      </w:pPr>
                    </w:p>
                  </w:txbxContent>
                </v:textbox>
              </v:rect>
            </w:pict>
          </mc:Fallback>
        </mc:AlternateContent>
      </w:r>
    </w:p>
    <w:p w14:paraId="1C8A9A38" w14:textId="4A294AF8" w:rsidR="008B38A1" w:rsidRPr="004915DB" w:rsidRDefault="00553CE8">
      <w:pPr>
        <w:spacing w:line="360" w:lineRule="auto"/>
        <w:ind w:right="-9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tanto, para atender este punto, bastará con que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haga entrega del Estado Comparativo Presupuestal de Ingresos, generado del 1 de enero al </w:t>
      </w:r>
      <w:r w:rsidR="005F3E11" w:rsidRPr="004915DB">
        <w:rPr>
          <w:rFonts w:ascii="Palatino Linotype" w:eastAsia="Palatino Linotype" w:hAnsi="Palatino Linotype" w:cs="Palatino Linotype"/>
          <w:sz w:val="24"/>
          <w:szCs w:val="24"/>
        </w:rPr>
        <w:t>30</w:t>
      </w:r>
      <w:r w:rsidRPr="004915DB">
        <w:rPr>
          <w:rFonts w:ascii="Palatino Linotype" w:eastAsia="Palatino Linotype" w:hAnsi="Palatino Linotype" w:cs="Palatino Linotype"/>
          <w:sz w:val="24"/>
          <w:szCs w:val="24"/>
        </w:rPr>
        <w:t xml:space="preserve"> de </w:t>
      </w:r>
      <w:r w:rsidR="005F3E11" w:rsidRPr="004915DB">
        <w:rPr>
          <w:rFonts w:ascii="Palatino Linotype" w:eastAsia="Palatino Linotype" w:hAnsi="Palatino Linotype" w:cs="Palatino Linotype"/>
          <w:sz w:val="24"/>
          <w:szCs w:val="24"/>
        </w:rPr>
        <w:t>abril</w:t>
      </w:r>
      <w:r w:rsidRPr="004915DB">
        <w:rPr>
          <w:rFonts w:ascii="Palatino Linotype" w:eastAsia="Palatino Linotype" w:hAnsi="Palatino Linotype" w:cs="Palatino Linotype"/>
          <w:sz w:val="24"/>
          <w:szCs w:val="24"/>
        </w:rPr>
        <w:t xml:space="preserve"> de 2022.</w:t>
      </w:r>
      <w:r w:rsidR="007A5768" w:rsidRPr="004915DB">
        <w:rPr>
          <w:rFonts w:ascii="Palatino Linotype" w:eastAsia="Palatino Linotype" w:hAnsi="Palatino Linotype" w:cs="Palatino Linotype"/>
          <w:sz w:val="24"/>
          <w:szCs w:val="24"/>
        </w:rPr>
        <w:t xml:space="preserve"> </w:t>
      </w:r>
      <w:r w:rsidRPr="004915DB">
        <w:rPr>
          <w:rFonts w:ascii="Palatino Linotype" w:eastAsia="Palatino Linotype" w:hAnsi="Palatino Linotype" w:cs="Palatino Linotype"/>
          <w:sz w:val="24"/>
          <w:szCs w:val="24"/>
        </w:rPr>
        <w:t xml:space="preserve"> </w:t>
      </w:r>
    </w:p>
    <w:p w14:paraId="0C4B14C3" w14:textId="77777777" w:rsidR="008B38A1" w:rsidRPr="004915DB" w:rsidRDefault="008B38A1">
      <w:pPr>
        <w:spacing w:line="360" w:lineRule="auto"/>
        <w:ind w:right="-93"/>
        <w:jc w:val="both"/>
        <w:rPr>
          <w:rFonts w:ascii="Palatino Linotype" w:eastAsia="Palatino Linotype" w:hAnsi="Palatino Linotype" w:cs="Palatino Linotype"/>
          <w:sz w:val="24"/>
          <w:szCs w:val="24"/>
        </w:rPr>
      </w:pPr>
    </w:p>
    <w:tbl>
      <w:tblPr>
        <w:tblStyle w:val="a2"/>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915DB" w:rsidRPr="004915DB" w14:paraId="23186CC3" w14:textId="77777777">
        <w:tc>
          <w:tcPr>
            <w:tcW w:w="2291" w:type="dxa"/>
            <w:shd w:val="clear" w:color="auto" w:fill="BFBFBF"/>
          </w:tcPr>
          <w:p w14:paraId="37683C15" w14:textId="77777777" w:rsidR="008B38A1" w:rsidRPr="004915DB" w:rsidRDefault="00553CE8">
            <w:pPr>
              <w:spacing w:before="240" w:after="240"/>
              <w:ind w:firstLine="114"/>
              <w:rPr>
                <w:rFonts w:ascii="Palatino Linotype" w:eastAsia="Palatino Linotype" w:hAnsi="Palatino Linotype" w:cs="Palatino Linotype"/>
                <w:b/>
                <w:i/>
                <w:sz w:val="18"/>
                <w:szCs w:val="18"/>
              </w:rPr>
            </w:pPr>
            <w:bookmarkStart w:id="2" w:name="_heading=h.30j0zll" w:colFirst="0" w:colLast="0"/>
            <w:bookmarkEnd w:id="2"/>
            <w:r w:rsidRPr="004915DB">
              <w:rPr>
                <w:rFonts w:ascii="Palatino Linotype" w:eastAsia="Palatino Linotype" w:hAnsi="Palatino Linotype" w:cs="Palatino Linotype"/>
                <w:b/>
                <w:i/>
                <w:sz w:val="18"/>
                <w:szCs w:val="18"/>
              </w:rPr>
              <w:lastRenderedPageBreak/>
              <w:t>Información requerida.</w:t>
            </w:r>
          </w:p>
        </w:tc>
        <w:tc>
          <w:tcPr>
            <w:tcW w:w="2179" w:type="dxa"/>
            <w:shd w:val="clear" w:color="auto" w:fill="BFBFBF"/>
          </w:tcPr>
          <w:p w14:paraId="34D5B0CB"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Respuesta</w:t>
            </w:r>
          </w:p>
        </w:tc>
        <w:tc>
          <w:tcPr>
            <w:tcW w:w="2179" w:type="dxa"/>
            <w:shd w:val="clear" w:color="auto" w:fill="BFBFBF"/>
          </w:tcPr>
          <w:p w14:paraId="04EC3A4F"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Informe Justificado</w:t>
            </w:r>
          </w:p>
        </w:tc>
        <w:tc>
          <w:tcPr>
            <w:tcW w:w="2179" w:type="dxa"/>
            <w:shd w:val="clear" w:color="auto" w:fill="BFBFBF"/>
          </w:tcPr>
          <w:p w14:paraId="7585A503"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¿Colma?</w:t>
            </w:r>
          </w:p>
        </w:tc>
      </w:tr>
      <w:tr w:rsidR="004915DB" w:rsidRPr="004915DB" w14:paraId="21F1B6F7" w14:textId="77777777">
        <w:tc>
          <w:tcPr>
            <w:tcW w:w="2291" w:type="dxa"/>
          </w:tcPr>
          <w:p w14:paraId="7B11344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Monto recaudado por los Impuestos sobre conjuntos urbanos</w:t>
            </w:r>
          </w:p>
          <w:p w14:paraId="5E10686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Por cada uno de los años a partir del 2011 hasta el 2021</w:t>
            </w:r>
          </w:p>
        </w:tc>
        <w:tc>
          <w:tcPr>
            <w:tcW w:w="2179" w:type="dxa"/>
            <w:vAlign w:val="center"/>
          </w:tcPr>
          <w:p w14:paraId="3682302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2012: $0.00</w:t>
            </w:r>
          </w:p>
          <w:p w14:paraId="3B7D2D5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2013: $0.00</w:t>
            </w:r>
          </w:p>
          <w:p w14:paraId="4C423EA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2014: $0.00</w:t>
            </w:r>
          </w:p>
          <w:p w14:paraId="246A356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2015: $0.00</w:t>
            </w:r>
          </w:p>
          <w:p w14:paraId="19908F9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2016: $0.00</w:t>
            </w:r>
          </w:p>
          <w:p w14:paraId="59E2148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2017: $0.00</w:t>
            </w:r>
          </w:p>
          <w:p w14:paraId="513B975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2018: $0.00</w:t>
            </w:r>
          </w:p>
          <w:p w14:paraId="7629422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2019: $0.00</w:t>
            </w:r>
          </w:p>
          <w:p w14:paraId="27DB23A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2020: $0.00</w:t>
            </w:r>
          </w:p>
          <w:p w14:paraId="1CF305D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No se observa.</w:t>
            </w:r>
          </w:p>
        </w:tc>
        <w:tc>
          <w:tcPr>
            <w:tcW w:w="2179" w:type="dxa"/>
            <w:vAlign w:val="center"/>
          </w:tcPr>
          <w:p w14:paraId="3234234F"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Pr>
          <w:p w14:paraId="153B607F"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Falta el año 2011 y 2021.</w:t>
            </w:r>
          </w:p>
        </w:tc>
      </w:tr>
      <w:tr w:rsidR="004915DB" w:rsidRPr="004915DB" w14:paraId="60EA9B38" w14:textId="77777777">
        <w:tc>
          <w:tcPr>
            <w:tcW w:w="2291" w:type="dxa"/>
          </w:tcPr>
          <w:p w14:paraId="5104D88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Recaudación por los Impuestos sobre anuncios publicitarios especificados en el artículo 120 y 121 por cada una de sus fracciones del Código Financiero del Estado de México y Municipios?, por cada uno de los años a partir del 2011 hasta el 2021.</w:t>
            </w:r>
          </w:p>
        </w:tc>
        <w:tc>
          <w:tcPr>
            <w:tcW w:w="2179" w:type="dxa"/>
            <w:vAlign w:val="center"/>
          </w:tcPr>
          <w:p w14:paraId="41F29E3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2012: $4,676.21.00</w:t>
            </w:r>
          </w:p>
          <w:p w14:paraId="13AD47A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2013: $115,203.00</w:t>
            </w:r>
          </w:p>
          <w:p w14:paraId="79A3968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2014: $104, 713.42</w:t>
            </w:r>
          </w:p>
          <w:p w14:paraId="13D3B63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2015: $154, 167.29</w:t>
            </w:r>
          </w:p>
          <w:p w14:paraId="3C01C30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2016: $173,045.00</w:t>
            </w:r>
          </w:p>
          <w:p w14:paraId="2AA3D11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2017: $213,531.20</w:t>
            </w:r>
          </w:p>
          <w:p w14:paraId="69992842"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2018: $176,955.00</w:t>
            </w:r>
          </w:p>
          <w:p w14:paraId="33AA621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2019: $323, 326.00</w:t>
            </w:r>
          </w:p>
          <w:p w14:paraId="2A80E3D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2020: $276, 284.00</w:t>
            </w:r>
          </w:p>
          <w:p w14:paraId="2DB19BC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2021 (del 1° de julio al 31 de diciembre: $650. 64</w:t>
            </w:r>
          </w:p>
        </w:tc>
        <w:tc>
          <w:tcPr>
            <w:tcW w:w="2179" w:type="dxa"/>
            <w:vAlign w:val="center"/>
          </w:tcPr>
          <w:p w14:paraId="11B0FD21"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lastRenderedPageBreak/>
              <w:t>El Tesorero Municipal, mediante el cual refiere que no existe obligación de generar documentos ad hoc para atender las solicitudes de acceso a la información pública.</w:t>
            </w:r>
          </w:p>
        </w:tc>
        <w:tc>
          <w:tcPr>
            <w:tcW w:w="2179" w:type="dxa"/>
          </w:tcPr>
          <w:p w14:paraId="4DEB8F70"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Falta del año 2011 y del primero de enero al treinta de junio del 2021</w:t>
            </w:r>
          </w:p>
        </w:tc>
      </w:tr>
      <w:tr w:rsidR="004915DB" w:rsidRPr="004915DB" w14:paraId="437563E0" w14:textId="77777777">
        <w:tc>
          <w:tcPr>
            <w:tcW w:w="2291" w:type="dxa"/>
          </w:tcPr>
          <w:p w14:paraId="2351A3E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iii. Indicar el número de anuncios que no pagan impuesto por estar en el supuesto del penúltimo párrafo del artículo 121 del Código Financiero del Estado de México y Municipios., por cada uno de los años a partir del 2011 hasta el 2021.</w:t>
            </w:r>
          </w:p>
        </w:tc>
        <w:tc>
          <w:tcPr>
            <w:tcW w:w="2179" w:type="dxa"/>
            <w:vAlign w:val="center"/>
          </w:tcPr>
          <w:p w14:paraId="0E090E9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2012 y 2011.</w:t>
            </w:r>
          </w:p>
        </w:tc>
        <w:tc>
          <w:tcPr>
            <w:tcW w:w="2179" w:type="dxa"/>
            <w:vAlign w:val="center"/>
          </w:tcPr>
          <w:p w14:paraId="0C806EA7"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Pr>
          <w:p w14:paraId="3621A2F5" w14:textId="6D60F955"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tc>
      </w:tr>
      <w:tr w:rsidR="004915DB" w:rsidRPr="004915DB" w14:paraId="56E1641C" w14:textId="77777777">
        <w:tc>
          <w:tcPr>
            <w:tcW w:w="2291" w:type="dxa"/>
            <w:tcBorders>
              <w:top w:val="single" w:sz="4" w:space="0" w:color="000000"/>
              <w:left w:val="single" w:sz="4" w:space="0" w:color="000000"/>
              <w:bottom w:val="single" w:sz="4" w:space="0" w:color="000000"/>
              <w:right w:val="single" w:sz="4" w:space="0" w:color="000000"/>
            </w:tcBorders>
          </w:tcPr>
          <w:p w14:paraId="09855E2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Recaudación por los Impuestos sobre diversiones, juegos y espectáculos públicos que establece el artículo 123 en cada una de sus  fracciones del Código Financiero del Estado de México y Municipios?, por cada uno de los años a partir del 2011 hasta el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5C7A70A2"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2012: $0.00</w:t>
            </w:r>
          </w:p>
          <w:p w14:paraId="603FEEF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2013: $2,000.00</w:t>
            </w:r>
          </w:p>
          <w:p w14:paraId="0FBF33BA"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2014: $0.00</w:t>
            </w:r>
          </w:p>
          <w:p w14:paraId="353030A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2015: $0.00</w:t>
            </w:r>
          </w:p>
          <w:p w14:paraId="14C828FA"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2016: $0.00</w:t>
            </w:r>
          </w:p>
          <w:p w14:paraId="5DD8C74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2017: $532.00</w:t>
            </w:r>
          </w:p>
          <w:p w14:paraId="6061BB1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2018: $0.00</w:t>
            </w:r>
          </w:p>
          <w:p w14:paraId="205277E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2019: $0.00</w:t>
            </w:r>
          </w:p>
          <w:p w14:paraId="16CFCFD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2020: $1,680.00</w:t>
            </w:r>
          </w:p>
          <w:p w14:paraId="3D66021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(del 1° de julio al 31 de diciembre: $0.00</w:t>
            </w:r>
          </w:p>
        </w:tc>
        <w:tc>
          <w:tcPr>
            <w:tcW w:w="2179" w:type="dxa"/>
            <w:tcBorders>
              <w:top w:val="single" w:sz="4" w:space="0" w:color="000000"/>
              <w:left w:val="single" w:sz="4" w:space="0" w:color="000000"/>
              <w:bottom w:val="single" w:sz="4" w:space="0" w:color="000000"/>
              <w:right w:val="single" w:sz="4" w:space="0" w:color="000000"/>
            </w:tcBorders>
            <w:vAlign w:val="center"/>
          </w:tcPr>
          <w:p w14:paraId="0D6A032C"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37085CEB" w14:textId="3CA4529B"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Falta del año 2011 y del</w:t>
            </w:r>
            <w:r w:rsidR="005F3E11" w:rsidRPr="004915DB">
              <w:rPr>
                <w:rFonts w:ascii="Palatino Linotype" w:eastAsia="Palatino Linotype" w:hAnsi="Palatino Linotype" w:cs="Palatino Linotype"/>
                <w:sz w:val="20"/>
                <w:szCs w:val="20"/>
              </w:rPr>
              <w:t xml:space="preserve"> 1ª de enero al 30 de junio de</w:t>
            </w:r>
            <w:r w:rsidRPr="004915DB">
              <w:rPr>
                <w:rFonts w:ascii="Palatino Linotype" w:eastAsia="Palatino Linotype" w:hAnsi="Palatino Linotype" w:cs="Palatino Linotype"/>
                <w:sz w:val="20"/>
                <w:szCs w:val="20"/>
              </w:rPr>
              <w:t xml:space="preserve"> 2021. </w:t>
            </w:r>
          </w:p>
        </w:tc>
      </w:tr>
      <w:tr w:rsidR="004915DB" w:rsidRPr="004915DB" w14:paraId="76F2FA56" w14:textId="77777777">
        <w:tc>
          <w:tcPr>
            <w:tcW w:w="2291" w:type="dxa"/>
            <w:tcBorders>
              <w:top w:val="single" w:sz="4" w:space="0" w:color="000000"/>
              <w:left w:val="single" w:sz="4" w:space="0" w:color="000000"/>
              <w:bottom w:val="single" w:sz="4" w:space="0" w:color="000000"/>
              <w:right w:val="single" w:sz="4" w:space="0" w:color="000000"/>
            </w:tcBorders>
          </w:tcPr>
          <w:p w14:paraId="1FCA5D9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¿Cuál fue la recaudación por los de ingresos conforme a lo establecido en el último párrafo del artículo 123 del Código Financiero del Estado de </w:t>
            </w:r>
            <w:r w:rsidRPr="004915DB">
              <w:rPr>
                <w:rFonts w:ascii="Palatino Linotype" w:eastAsia="Palatino Linotype" w:hAnsi="Palatino Linotype" w:cs="Palatino Linotype"/>
                <w:sz w:val="18"/>
                <w:szCs w:val="18"/>
              </w:rPr>
              <w:lastRenderedPageBreak/>
              <w:t>México y Municipios, indicando el número de máquinas instaladas dentro del territorio municipal?, por cada uno de los años a partir del 2011 hasta el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317628E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 xml:space="preserve">Estado analítico de ingresos presupuestario del ejercicio fiscal 2021, 2020, 2019, 2018, 2017, </w:t>
            </w:r>
            <w:r w:rsidRPr="004915DB">
              <w:rPr>
                <w:rFonts w:ascii="Palatino Linotype" w:eastAsia="Palatino Linotype" w:hAnsi="Palatino Linotype" w:cs="Palatino Linotype"/>
                <w:sz w:val="18"/>
                <w:szCs w:val="18"/>
              </w:rPr>
              <w:lastRenderedPageBreak/>
              <w:t>2016, 2015, 2014, 2013, 2012 y 2011.</w:t>
            </w:r>
          </w:p>
        </w:tc>
        <w:tc>
          <w:tcPr>
            <w:tcW w:w="2179" w:type="dxa"/>
            <w:tcBorders>
              <w:top w:val="single" w:sz="4" w:space="0" w:color="000000"/>
              <w:left w:val="single" w:sz="4" w:space="0" w:color="000000"/>
              <w:bottom w:val="single" w:sz="4" w:space="0" w:color="000000"/>
              <w:right w:val="single" w:sz="4" w:space="0" w:color="000000"/>
            </w:tcBorders>
            <w:vAlign w:val="center"/>
          </w:tcPr>
          <w:p w14:paraId="1D0BE9BB"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lastRenderedPageBreak/>
              <w:t xml:space="preserve">El Tesorero Municipal, mediante el cual refiere que no existe obligación de generar documentos </w:t>
            </w:r>
            <w:r w:rsidRPr="004915DB">
              <w:rPr>
                <w:rFonts w:ascii="Palatino Linotype" w:eastAsia="Palatino Linotype" w:hAnsi="Palatino Linotype" w:cs="Palatino Linotype"/>
                <w:sz w:val="20"/>
                <w:szCs w:val="20"/>
              </w:rPr>
              <w:lastRenderedPageBreak/>
              <w:t>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6D126D2B" w14:textId="19B74ED0"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lastRenderedPageBreak/>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 xml:space="preserve">estados analíticos de ingresos presupuestarios enviados en respuesta, </w:t>
            </w:r>
            <w:r w:rsidRPr="004915DB">
              <w:rPr>
                <w:rFonts w:ascii="Palatino Linotype" w:eastAsia="Palatino Linotype" w:hAnsi="Palatino Linotype" w:cs="Palatino Linotype"/>
                <w:sz w:val="18"/>
                <w:szCs w:val="18"/>
              </w:rPr>
              <w:lastRenderedPageBreak/>
              <w:t xml:space="preserve">no se observan los ingresos requeridos. </w:t>
            </w:r>
          </w:p>
        </w:tc>
      </w:tr>
      <w:tr w:rsidR="004915DB" w:rsidRPr="004915DB" w14:paraId="4FF782FF" w14:textId="77777777">
        <w:tc>
          <w:tcPr>
            <w:tcW w:w="2291" w:type="dxa"/>
            <w:tcBorders>
              <w:top w:val="single" w:sz="4" w:space="0" w:color="000000"/>
              <w:left w:val="single" w:sz="4" w:space="0" w:color="000000"/>
              <w:bottom w:val="single" w:sz="4" w:space="0" w:color="000000"/>
              <w:right w:val="single" w:sz="4" w:space="0" w:color="000000"/>
            </w:tcBorders>
          </w:tcPr>
          <w:p w14:paraId="627AAED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¿Cuál fue la recaudación por los Ingresos por el pago de los Derechos establecidos en el artículo 143 y 144 por cada una de sus fracciones del Código Financiero del Estado de México y Municipios?, por cada uno de los años a partir del 2011 hasta el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1792B38B"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2012: $335,073.55</w:t>
            </w:r>
          </w:p>
          <w:p w14:paraId="71FEA6D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2013: $660,927.50</w:t>
            </w:r>
          </w:p>
          <w:p w14:paraId="5154AEE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2014: $517,430.00</w:t>
            </w:r>
          </w:p>
          <w:p w14:paraId="38C5969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2015: $404,466.54</w:t>
            </w:r>
          </w:p>
          <w:p w14:paraId="0F2E5F0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2016: $485, 546.44</w:t>
            </w:r>
          </w:p>
          <w:p w14:paraId="00FFFF9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2017: $568, 688. 10</w:t>
            </w:r>
          </w:p>
          <w:p w14:paraId="77FCDCE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2018: $322, 073. 55</w:t>
            </w:r>
          </w:p>
          <w:p w14:paraId="3AB2973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2019: $457, 465 .43</w:t>
            </w:r>
          </w:p>
          <w:p w14:paraId="705F87D2"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2020: $377. 553.09</w:t>
            </w:r>
          </w:p>
          <w:p w14:paraId="1BEA6CA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N/A</w:t>
            </w:r>
          </w:p>
        </w:tc>
        <w:tc>
          <w:tcPr>
            <w:tcW w:w="2179" w:type="dxa"/>
            <w:tcBorders>
              <w:top w:val="single" w:sz="4" w:space="0" w:color="000000"/>
              <w:left w:val="single" w:sz="4" w:space="0" w:color="000000"/>
              <w:bottom w:val="single" w:sz="4" w:space="0" w:color="000000"/>
              <w:right w:val="single" w:sz="4" w:space="0" w:color="000000"/>
            </w:tcBorders>
            <w:vAlign w:val="center"/>
          </w:tcPr>
          <w:p w14:paraId="0B56920B"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132D67E5"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Falta del año 2011 y del 2021.</w:t>
            </w:r>
          </w:p>
        </w:tc>
      </w:tr>
      <w:tr w:rsidR="004915DB" w:rsidRPr="004915DB" w14:paraId="63B9582C" w14:textId="77777777">
        <w:tc>
          <w:tcPr>
            <w:tcW w:w="2291" w:type="dxa"/>
            <w:tcBorders>
              <w:top w:val="single" w:sz="4" w:space="0" w:color="000000"/>
              <w:left w:val="single" w:sz="4" w:space="0" w:color="000000"/>
              <w:bottom w:val="single" w:sz="4" w:space="0" w:color="000000"/>
              <w:right w:val="single" w:sz="4" w:space="0" w:color="000000"/>
            </w:tcBorders>
          </w:tcPr>
          <w:p w14:paraId="6569636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w:t>
            </w:r>
            <w:r w:rsidRPr="004915DB">
              <w:rPr>
                <w:rFonts w:ascii="Palatino Linotype" w:eastAsia="Palatino Linotype" w:hAnsi="Palatino Linotype" w:cs="Palatino Linotype"/>
                <w:sz w:val="18"/>
                <w:szCs w:val="18"/>
              </w:rPr>
              <w:lastRenderedPageBreak/>
              <w:t>una orden judicial o administrativa, por ser estos derechos de competencia federal, en los ejercicios fiscales 2017-2018.</w:t>
            </w:r>
          </w:p>
        </w:tc>
        <w:tc>
          <w:tcPr>
            <w:tcW w:w="2179" w:type="dxa"/>
            <w:tcBorders>
              <w:top w:val="single" w:sz="4" w:space="0" w:color="000000"/>
              <w:left w:val="single" w:sz="4" w:space="0" w:color="000000"/>
              <w:bottom w:val="single" w:sz="4" w:space="0" w:color="000000"/>
              <w:right w:val="single" w:sz="4" w:space="0" w:color="000000"/>
            </w:tcBorders>
            <w:vAlign w:val="center"/>
          </w:tcPr>
          <w:p w14:paraId="171830E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Estado analítico de ingresos presupuestario del ejercicio fiscal 2021, 2020, 2019, 2018, 2017, 2016, 2015, 2014, 2013, 2012 y 2011.</w:t>
            </w:r>
          </w:p>
        </w:tc>
        <w:tc>
          <w:tcPr>
            <w:tcW w:w="2179" w:type="dxa"/>
            <w:tcBorders>
              <w:top w:val="single" w:sz="4" w:space="0" w:color="000000"/>
              <w:left w:val="single" w:sz="4" w:space="0" w:color="000000"/>
              <w:bottom w:val="single" w:sz="4" w:space="0" w:color="000000"/>
              <w:right w:val="single" w:sz="4" w:space="0" w:color="000000"/>
            </w:tcBorders>
            <w:vAlign w:val="center"/>
          </w:tcPr>
          <w:p w14:paraId="1619D642"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783D5380" w14:textId="4408810C"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tc>
      </w:tr>
      <w:tr w:rsidR="004915DB" w:rsidRPr="004915DB" w14:paraId="3B44C5C4" w14:textId="77777777">
        <w:tc>
          <w:tcPr>
            <w:tcW w:w="2291" w:type="dxa"/>
            <w:tcBorders>
              <w:top w:val="single" w:sz="4" w:space="0" w:color="000000"/>
              <w:left w:val="single" w:sz="4" w:space="0" w:color="000000"/>
              <w:bottom w:val="single" w:sz="4" w:space="0" w:color="000000"/>
              <w:right w:val="single" w:sz="4" w:space="0" w:color="000000"/>
            </w:tcBorders>
          </w:tcPr>
          <w:p w14:paraId="587887CB"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¿A cuánto ascienden los ingresos recaudados por lo establecido en el artículo 154 en cada una de sus fracciones del Código Financiero del Estado de México y Municipios de los años 2011 al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22FE619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2012: $243, 186.86</w:t>
            </w:r>
          </w:p>
          <w:p w14:paraId="13F2DEC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2013: $455, 570.00</w:t>
            </w:r>
          </w:p>
          <w:p w14:paraId="675A75D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2014: $471, 780.00</w:t>
            </w:r>
          </w:p>
          <w:p w14:paraId="14671C9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2015: $405, 203. 50</w:t>
            </w:r>
          </w:p>
          <w:p w14:paraId="52BF6BE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2016: $408,746. 50</w:t>
            </w:r>
          </w:p>
          <w:p w14:paraId="149C0BA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2017: $468, 183. 50</w:t>
            </w:r>
          </w:p>
          <w:p w14:paraId="417729F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2018: $335, 556. 50</w:t>
            </w:r>
          </w:p>
          <w:p w14:paraId="13916942"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2019: $1, 197, 067.07</w:t>
            </w:r>
          </w:p>
          <w:p w14:paraId="4C7FC6D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2020: $1, 010, 402. 38</w:t>
            </w:r>
          </w:p>
          <w:p w14:paraId="5CFD0DD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(del 1° de julio al 31 de diciembre: $0.00</w:t>
            </w:r>
          </w:p>
        </w:tc>
        <w:tc>
          <w:tcPr>
            <w:tcW w:w="2179" w:type="dxa"/>
            <w:tcBorders>
              <w:top w:val="single" w:sz="4" w:space="0" w:color="000000"/>
              <w:left w:val="single" w:sz="4" w:space="0" w:color="000000"/>
              <w:bottom w:val="single" w:sz="4" w:space="0" w:color="000000"/>
              <w:right w:val="single" w:sz="4" w:space="0" w:color="000000"/>
            </w:tcBorders>
            <w:vAlign w:val="center"/>
          </w:tcPr>
          <w:p w14:paraId="7308A6C0"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2DF2160D" w14:textId="55042AA2"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Falta del año 2011 y del </w:t>
            </w:r>
            <w:r w:rsidR="005F3E11" w:rsidRPr="004915DB">
              <w:rPr>
                <w:rFonts w:ascii="Palatino Linotype" w:eastAsia="Palatino Linotype" w:hAnsi="Palatino Linotype" w:cs="Palatino Linotype"/>
                <w:sz w:val="20"/>
                <w:szCs w:val="20"/>
              </w:rPr>
              <w:t xml:space="preserve">1ª de enero al 30 de junio de </w:t>
            </w:r>
            <w:r w:rsidRPr="004915DB">
              <w:rPr>
                <w:rFonts w:ascii="Palatino Linotype" w:eastAsia="Palatino Linotype" w:hAnsi="Palatino Linotype" w:cs="Palatino Linotype"/>
                <w:sz w:val="20"/>
                <w:szCs w:val="20"/>
              </w:rPr>
              <w:t>2021.</w:t>
            </w:r>
          </w:p>
        </w:tc>
      </w:tr>
      <w:tr w:rsidR="004915DB" w:rsidRPr="004915DB" w14:paraId="6AC14546" w14:textId="77777777">
        <w:tc>
          <w:tcPr>
            <w:tcW w:w="2291" w:type="dxa"/>
            <w:tcBorders>
              <w:top w:val="single" w:sz="4" w:space="0" w:color="000000"/>
              <w:left w:val="single" w:sz="4" w:space="0" w:color="000000"/>
              <w:bottom w:val="single" w:sz="4" w:space="0" w:color="000000"/>
              <w:right w:val="single" w:sz="4" w:space="0" w:color="000000"/>
            </w:tcBorders>
          </w:tcPr>
          <w:p w14:paraId="5863D04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¿Cuál fue la recaudación por los Derechos establecido en la fracción I? por cada una de los supuestos siguientes de cada uno de los años que comprenden del 2011 al 2021:</w:t>
            </w:r>
          </w:p>
          <w:p w14:paraId="08396EF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a. Puestos fijos</w:t>
            </w:r>
          </w:p>
          <w:p w14:paraId="1E61A37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b. Semi fijos</w:t>
            </w:r>
          </w:p>
          <w:p w14:paraId="22C7C6A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c. Comerciantes ambulantes</w:t>
            </w:r>
          </w:p>
        </w:tc>
        <w:tc>
          <w:tcPr>
            <w:tcW w:w="2179" w:type="dxa"/>
            <w:tcBorders>
              <w:top w:val="single" w:sz="4" w:space="0" w:color="000000"/>
              <w:left w:val="single" w:sz="4" w:space="0" w:color="000000"/>
              <w:bottom w:val="single" w:sz="4" w:space="0" w:color="000000"/>
              <w:right w:val="single" w:sz="4" w:space="0" w:color="000000"/>
            </w:tcBorders>
            <w:vAlign w:val="center"/>
          </w:tcPr>
          <w:p w14:paraId="651C824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Estado analítico de ingresos presupuestario del ejercicio fiscal 2021, 2020, 2019, 2018, 2017, 2016, 2015, 2014, 2013 y 2012.</w:t>
            </w:r>
          </w:p>
        </w:tc>
        <w:tc>
          <w:tcPr>
            <w:tcW w:w="2179" w:type="dxa"/>
            <w:tcBorders>
              <w:top w:val="single" w:sz="4" w:space="0" w:color="000000"/>
              <w:left w:val="single" w:sz="4" w:space="0" w:color="000000"/>
              <w:bottom w:val="single" w:sz="4" w:space="0" w:color="000000"/>
              <w:right w:val="single" w:sz="4" w:space="0" w:color="000000"/>
            </w:tcBorders>
            <w:vAlign w:val="center"/>
          </w:tcPr>
          <w:p w14:paraId="11BFC66D"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052C0025" w14:textId="2A76B0F1"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p w14:paraId="040E35EE" w14:textId="77777777" w:rsidR="008B38A1" w:rsidRPr="004915DB" w:rsidRDefault="008B38A1">
            <w:pPr>
              <w:spacing w:before="240" w:after="240"/>
              <w:jc w:val="both"/>
              <w:rPr>
                <w:rFonts w:ascii="Palatino Linotype" w:eastAsia="Palatino Linotype" w:hAnsi="Palatino Linotype" w:cs="Palatino Linotype"/>
                <w:sz w:val="20"/>
                <w:szCs w:val="20"/>
              </w:rPr>
            </w:pPr>
          </w:p>
          <w:p w14:paraId="30379E90" w14:textId="77777777" w:rsidR="008B38A1" w:rsidRPr="004915DB" w:rsidRDefault="008B38A1">
            <w:pPr>
              <w:spacing w:before="240" w:after="240"/>
              <w:jc w:val="both"/>
              <w:rPr>
                <w:rFonts w:ascii="Palatino Linotype" w:eastAsia="Palatino Linotype" w:hAnsi="Palatino Linotype" w:cs="Palatino Linotype"/>
                <w:sz w:val="20"/>
                <w:szCs w:val="20"/>
              </w:rPr>
            </w:pPr>
          </w:p>
          <w:p w14:paraId="60CACF81" w14:textId="77777777" w:rsidR="008B38A1" w:rsidRPr="004915DB" w:rsidRDefault="008B38A1">
            <w:pPr>
              <w:spacing w:before="240" w:after="240"/>
              <w:jc w:val="both"/>
              <w:rPr>
                <w:rFonts w:ascii="Palatino Linotype" w:eastAsia="Palatino Linotype" w:hAnsi="Palatino Linotype" w:cs="Palatino Linotype"/>
                <w:sz w:val="20"/>
                <w:szCs w:val="20"/>
              </w:rPr>
            </w:pPr>
          </w:p>
          <w:p w14:paraId="5F8775DB" w14:textId="77777777" w:rsidR="008B38A1" w:rsidRPr="004915DB" w:rsidRDefault="008B38A1">
            <w:pPr>
              <w:spacing w:before="240" w:after="240"/>
              <w:jc w:val="both"/>
              <w:rPr>
                <w:rFonts w:ascii="Palatino Linotype" w:eastAsia="Palatino Linotype" w:hAnsi="Palatino Linotype" w:cs="Palatino Linotype"/>
                <w:sz w:val="20"/>
                <w:szCs w:val="20"/>
              </w:rPr>
            </w:pPr>
          </w:p>
        </w:tc>
      </w:tr>
      <w:tr w:rsidR="004915DB" w:rsidRPr="004915DB" w14:paraId="735D97AF" w14:textId="77777777">
        <w:tc>
          <w:tcPr>
            <w:tcW w:w="2291" w:type="dxa"/>
            <w:tcBorders>
              <w:top w:val="single" w:sz="4" w:space="0" w:color="000000"/>
              <w:left w:val="single" w:sz="4" w:space="0" w:color="000000"/>
              <w:bottom w:val="single" w:sz="4" w:space="0" w:color="000000"/>
              <w:right w:val="single" w:sz="4" w:space="0" w:color="000000"/>
            </w:tcBorders>
          </w:tcPr>
          <w:p w14:paraId="138B6BCB"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Especificar el ingreso recaudado por lo establecido en la fracción I del artículo 154 del Código Financiero del Estado de México y Municipios por cada uno de los siguientes rubros:</w:t>
            </w:r>
          </w:p>
          <w:p w14:paraId="66B30AA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1. Tianguis</w:t>
            </w:r>
          </w:p>
          <w:p w14:paraId="7DACCCE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 Ferias, bazares o ferias de temporadas</w:t>
            </w:r>
          </w:p>
          <w:p w14:paraId="693DE67A"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Que se instalan periódicamente dentro del territorio municipal por cada uno de los años a partir del 2011 al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06BFBC7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2012 y 2011.</w:t>
            </w:r>
          </w:p>
          <w:p w14:paraId="04AD515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(del 1° de julio al 31 de diciembre: $91, 443. 00</w:t>
            </w:r>
          </w:p>
        </w:tc>
        <w:tc>
          <w:tcPr>
            <w:tcW w:w="2179" w:type="dxa"/>
            <w:tcBorders>
              <w:top w:val="single" w:sz="4" w:space="0" w:color="000000"/>
              <w:left w:val="single" w:sz="4" w:space="0" w:color="000000"/>
              <w:bottom w:val="single" w:sz="4" w:space="0" w:color="000000"/>
              <w:right w:val="single" w:sz="4" w:space="0" w:color="000000"/>
            </w:tcBorders>
            <w:vAlign w:val="center"/>
          </w:tcPr>
          <w:p w14:paraId="0816F823"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743A15A7"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Parcialmente, falta información del ejercicio fiscal del año 2011 y del 01 de enero al 30 de junio de dos mil veintiuno. </w:t>
            </w:r>
          </w:p>
        </w:tc>
      </w:tr>
      <w:tr w:rsidR="004915DB" w:rsidRPr="004915DB" w14:paraId="68BD95EF" w14:textId="77777777">
        <w:tc>
          <w:tcPr>
            <w:tcW w:w="2291" w:type="dxa"/>
            <w:tcBorders>
              <w:top w:val="single" w:sz="4" w:space="0" w:color="000000"/>
              <w:left w:val="single" w:sz="4" w:space="0" w:color="000000"/>
              <w:bottom w:val="single" w:sz="4" w:space="0" w:color="000000"/>
              <w:right w:val="single" w:sz="4" w:space="0" w:color="000000"/>
            </w:tcBorders>
          </w:tcPr>
          <w:p w14:paraId="689103B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tc>
        <w:tc>
          <w:tcPr>
            <w:tcW w:w="2179" w:type="dxa"/>
            <w:tcBorders>
              <w:top w:val="single" w:sz="4" w:space="0" w:color="000000"/>
              <w:left w:val="single" w:sz="4" w:space="0" w:color="000000"/>
              <w:bottom w:val="single" w:sz="4" w:space="0" w:color="000000"/>
              <w:right w:val="single" w:sz="4" w:space="0" w:color="000000"/>
            </w:tcBorders>
            <w:vAlign w:val="center"/>
          </w:tcPr>
          <w:p w14:paraId="1E47858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y 2012.</w:t>
            </w:r>
          </w:p>
        </w:tc>
        <w:tc>
          <w:tcPr>
            <w:tcW w:w="2179" w:type="dxa"/>
            <w:tcBorders>
              <w:top w:val="single" w:sz="4" w:space="0" w:color="000000"/>
              <w:left w:val="single" w:sz="4" w:space="0" w:color="000000"/>
              <w:bottom w:val="single" w:sz="4" w:space="0" w:color="000000"/>
              <w:right w:val="single" w:sz="4" w:space="0" w:color="000000"/>
            </w:tcBorders>
            <w:vAlign w:val="center"/>
          </w:tcPr>
          <w:p w14:paraId="38DA58EC"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2B921726" w14:textId="2760B3B8"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p w14:paraId="1E8ED63D" w14:textId="77777777" w:rsidR="008B38A1" w:rsidRPr="004915DB" w:rsidRDefault="008B38A1">
            <w:pPr>
              <w:spacing w:before="240" w:after="240"/>
              <w:jc w:val="both"/>
              <w:rPr>
                <w:rFonts w:ascii="Palatino Linotype" w:eastAsia="Palatino Linotype" w:hAnsi="Palatino Linotype" w:cs="Palatino Linotype"/>
                <w:sz w:val="20"/>
                <w:szCs w:val="20"/>
              </w:rPr>
            </w:pPr>
          </w:p>
        </w:tc>
      </w:tr>
      <w:tr w:rsidR="004915DB" w:rsidRPr="004915DB" w14:paraId="7DED15C7" w14:textId="77777777">
        <w:tc>
          <w:tcPr>
            <w:tcW w:w="2291" w:type="dxa"/>
            <w:tcBorders>
              <w:top w:val="single" w:sz="4" w:space="0" w:color="000000"/>
              <w:left w:val="single" w:sz="4" w:space="0" w:color="000000"/>
              <w:bottom w:val="single" w:sz="4" w:space="0" w:color="000000"/>
              <w:right w:val="single" w:sz="4" w:space="0" w:color="000000"/>
            </w:tcBorders>
          </w:tcPr>
          <w:p w14:paraId="4C2DDF5E" w14:textId="77777777" w:rsidR="008B38A1" w:rsidRPr="004915DB" w:rsidRDefault="00553CE8">
            <w:pPr>
              <w:jc w:val="both"/>
            </w:pPr>
            <w:r w:rsidRPr="004915DB">
              <w:rPr>
                <w:rFonts w:ascii="Palatino Linotype" w:eastAsia="Palatino Linotype" w:hAnsi="Palatino Linotype" w:cs="Palatino Linotype"/>
                <w:sz w:val="18"/>
                <w:szCs w:val="18"/>
              </w:rPr>
              <w:lastRenderedPageBreak/>
              <w:t>¿Cuál es el número de cajones autorizados para la prestación de servicios, de sitios de taxis o bases de servicio público de transporte de pasajeros?</w:t>
            </w:r>
          </w:p>
        </w:tc>
        <w:tc>
          <w:tcPr>
            <w:tcW w:w="2179" w:type="dxa"/>
            <w:tcBorders>
              <w:top w:val="single" w:sz="4" w:space="0" w:color="000000"/>
              <w:left w:val="single" w:sz="4" w:space="0" w:color="000000"/>
              <w:bottom w:val="single" w:sz="4" w:space="0" w:color="000000"/>
              <w:right w:val="single" w:sz="4" w:space="0" w:color="000000"/>
            </w:tcBorders>
            <w:vAlign w:val="center"/>
          </w:tcPr>
          <w:p w14:paraId="16DF086B" w14:textId="77777777" w:rsidR="008B38A1" w:rsidRPr="004915DB" w:rsidRDefault="00553CE8">
            <w:r w:rsidRPr="004915DB">
              <w:rPr>
                <w:rFonts w:ascii="Palatino Linotype" w:eastAsia="Palatino Linotype" w:hAnsi="Palatino Linotype" w:cs="Palatino Linotype"/>
                <w:sz w:val="18"/>
                <w:szCs w:val="18"/>
              </w:rPr>
              <w:t>2021 (del 1° de julio al 31 de diciembre: 0</w:t>
            </w:r>
          </w:p>
          <w:p w14:paraId="0552C099" w14:textId="77777777" w:rsidR="008B38A1" w:rsidRPr="004915DB" w:rsidRDefault="008B38A1">
            <w:pPr>
              <w:spacing w:before="240" w:after="240"/>
              <w:jc w:val="both"/>
              <w:rPr>
                <w:rFonts w:ascii="Palatino Linotype" w:eastAsia="Palatino Linotype" w:hAnsi="Palatino Linotype" w:cs="Palatino Linotype"/>
                <w:sz w:val="18"/>
                <w:szCs w:val="18"/>
              </w:rPr>
            </w:pPr>
          </w:p>
        </w:tc>
        <w:tc>
          <w:tcPr>
            <w:tcW w:w="2179" w:type="dxa"/>
            <w:tcBorders>
              <w:top w:val="single" w:sz="4" w:space="0" w:color="000000"/>
              <w:left w:val="single" w:sz="4" w:space="0" w:color="000000"/>
              <w:bottom w:val="single" w:sz="4" w:space="0" w:color="000000"/>
              <w:right w:val="single" w:sz="4" w:space="0" w:color="000000"/>
            </w:tcBorders>
            <w:vAlign w:val="center"/>
          </w:tcPr>
          <w:p w14:paraId="52B36B3F"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48263C88" w14:textId="1B4BAFAE"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Parcialmente,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 xml:space="preserve">estados analíticos de ingresos presupuestarios enviados en respuesta, no se observan los ingresos requeridos y </w:t>
            </w:r>
            <w:r w:rsidR="005F3E11" w:rsidRPr="004915DB">
              <w:rPr>
                <w:rFonts w:ascii="Palatino Linotype" w:eastAsia="Palatino Linotype" w:hAnsi="Palatino Linotype" w:cs="Palatino Linotype"/>
                <w:sz w:val="18"/>
                <w:szCs w:val="18"/>
              </w:rPr>
              <w:t>únicamente</w:t>
            </w:r>
            <w:r w:rsidRPr="004915DB">
              <w:rPr>
                <w:rFonts w:ascii="Palatino Linotype" w:eastAsia="Palatino Linotype" w:hAnsi="Palatino Linotype" w:cs="Palatino Linotype"/>
                <w:sz w:val="18"/>
                <w:szCs w:val="18"/>
              </w:rPr>
              <w:t xml:space="preserve"> se pronuncia de la información del 1ª de julio al 31 de diciembre de 2021</w:t>
            </w:r>
          </w:p>
        </w:tc>
      </w:tr>
      <w:tr w:rsidR="004915DB" w:rsidRPr="004915DB" w14:paraId="59AE3ABE" w14:textId="77777777">
        <w:tc>
          <w:tcPr>
            <w:tcW w:w="2291" w:type="dxa"/>
            <w:tcBorders>
              <w:top w:val="single" w:sz="4" w:space="0" w:color="000000"/>
              <w:left w:val="single" w:sz="4" w:space="0" w:color="000000"/>
              <w:bottom w:val="single" w:sz="4" w:space="0" w:color="000000"/>
              <w:right w:val="single" w:sz="4" w:space="0" w:color="000000"/>
            </w:tcBorders>
          </w:tcPr>
          <w:p w14:paraId="0B69747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w:t>
            </w:r>
          </w:p>
          <w:p w14:paraId="67A5FF20"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1. Comercio establecido pago de cajones para carga y descarga</w:t>
            </w:r>
          </w:p>
          <w:p w14:paraId="66395F2A"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 Empresas repartidoras pago de cajones para carga y descarga</w:t>
            </w:r>
          </w:p>
          <w:p w14:paraId="4204C7B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a. Padrón de las empresas Jurídicas colectivas (Morales) que pagan autorizaciones de carga y descarga en vía pública</w:t>
            </w:r>
            <w:r w:rsidRPr="004915DB">
              <w:rPr>
                <w:rFonts w:ascii="Palatino Linotype" w:eastAsia="Palatino Linotype" w:hAnsi="Palatino Linotype" w:cs="Palatino Linotype"/>
                <w:sz w:val="18"/>
                <w:szCs w:val="18"/>
              </w:rPr>
              <w:tab/>
            </w:r>
          </w:p>
        </w:tc>
        <w:tc>
          <w:tcPr>
            <w:tcW w:w="2179" w:type="dxa"/>
            <w:tcBorders>
              <w:top w:val="single" w:sz="4" w:space="0" w:color="000000"/>
              <w:left w:val="single" w:sz="4" w:space="0" w:color="000000"/>
              <w:bottom w:val="single" w:sz="4" w:space="0" w:color="000000"/>
              <w:right w:val="single" w:sz="4" w:space="0" w:color="000000"/>
            </w:tcBorders>
            <w:vAlign w:val="center"/>
          </w:tcPr>
          <w:p w14:paraId="4C6EA22E"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y 2012.</w:t>
            </w:r>
          </w:p>
          <w:p w14:paraId="4B508B5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(del 1° de julio al 31 de diciembre: $215, 597. 00</w:t>
            </w:r>
          </w:p>
        </w:tc>
        <w:tc>
          <w:tcPr>
            <w:tcW w:w="2179" w:type="dxa"/>
            <w:tcBorders>
              <w:top w:val="single" w:sz="4" w:space="0" w:color="000000"/>
              <w:left w:val="single" w:sz="4" w:space="0" w:color="000000"/>
              <w:bottom w:val="single" w:sz="4" w:space="0" w:color="000000"/>
              <w:right w:val="single" w:sz="4" w:space="0" w:color="000000"/>
            </w:tcBorders>
            <w:vAlign w:val="center"/>
          </w:tcPr>
          <w:p w14:paraId="6BFF41A7"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3A869FD3" w14:textId="3B4E1E8D"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Parcialmente,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 xml:space="preserve">estados analíticos de ingresos presupuestarios enviados en respuesta, no se observan los ingresos requeridos y </w:t>
            </w:r>
            <w:r w:rsidR="005F3E11" w:rsidRPr="004915DB">
              <w:rPr>
                <w:rFonts w:ascii="Palatino Linotype" w:eastAsia="Palatino Linotype" w:hAnsi="Palatino Linotype" w:cs="Palatino Linotype"/>
                <w:sz w:val="18"/>
                <w:szCs w:val="18"/>
              </w:rPr>
              <w:t>únicamente</w:t>
            </w:r>
            <w:r w:rsidRPr="004915DB">
              <w:rPr>
                <w:rFonts w:ascii="Palatino Linotype" w:eastAsia="Palatino Linotype" w:hAnsi="Palatino Linotype" w:cs="Palatino Linotype"/>
                <w:sz w:val="18"/>
                <w:szCs w:val="18"/>
              </w:rPr>
              <w:t xml:space="preserve"> se pronuncia de la información del 1ª de julio al 31 de diciembre de 2021</w:t>
            </w:r>
          </w:p>
        </w:tc>
      </w:tr>
      <w:tr w:rsidR="004915DB" w:rsidRPr="004915DB" w14:paraId="7104B354" w14:textId="77777777">
        <w:tc>
          <w:tcPr>
            <w:tcW w:w="2291" w:type="dxa"/>
            <w:tcBorders>
              <w:top w:val="single" w:sz="4" w:space="0" w:color="000000"/>
              <w:left w:val="single" w:sz="4" w:space="0" w:color="000000"/>
              <w:bottom w:val="single" w:sz="4" w:space="0" w:color="000000"/>
              <w:right w:val="single" w:sz="4" w:space="0" w:color="000000"/>
            </w:tcBorders>
          </w:tcPr>
          <w:p w14:paraId="0C1063BE" w14:textId="56071C12" w:rsidR="008B38A1" w:rsidRPr="004915DB" w:rsidRDefault="005F3E11">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¿Cuáles fueron los ingresos recaudados por los Derechos de estacionamientos en vía pública y de servicios públicos establecidos en el artículo 158 por cada una de sus fracciones del Código Financiero del Estado de México y Municipios?</w:t>
            </w:r>
            <w:r w:rsidR="00553CE8" w:rsidRPr="004915DB">
              <w:rPr>
                <w:rFonts w:ascii="Palatino Linotype" w:eastAsia="Palatino Linotype" w:hAnsi="Palatino Linotype" w:cs="Palatino Linotype"/>
                <w:sz w:val="18"/>
                <w:szCs w:val="18"/>
              </w:rPr>
              <w:t>, por cada uno de los años a partir del 2011 hasta el 2021.</w:t>
            </w:r>
            <w:r w:rsidR="00553CE8" w:rsidRPr="004915DB">
              <w:rPr>
                <w:rFonts w:ascii="Palatino Linotype" w:eastAsia="Palatino Linotype" w:hAnsi="Palatino Linotype" w:cs="Palatino Linotype"/>
                <w:sz w:val="18"/>
                <w:szCs w:val="18"/>
              </w:rPr>
              <w:tab/>
              <w:t>2021 (del 1° de julio al 31 de diciembre: $0.00</w:t>
            </w:r>
            <w:r w:rsidR="00553CE8" w:rsidRPr="004915DB">
              <w:rPr>
                <w:rFonts w:ascii="Palatino Linotype" w:eastAsia="Palatino Linotype" w:hAnsi="Palatino Linotype" w:cs="Palatino Linotype"/>
                <w:sz w:val="18"/>
                <w:szCs w:val="18"/>
              </w:rPr>
              <w:tab/>
            </w:r>
            <w:r w:rsidR="00553CE8" w:rsidRPr="004915DB">
              <w:rPr>
                <w:rFonts w:ascii="Palatino Linotype" w:eastAsia="Palatino Linotype" w:hAnsi="Palatino Linotype" w:cs="Palatino Linotype"/>
                <w:sz w:val="18"/>
                <w:szCs w:val="18"/>
              </w:rPr>
              <w:tab/>
            </w:r>
          </w:p>
        </w:tc>
        <w:tc>
          <w:tcPr>
            <w:tcW w:w="2179" w:type="dxa"/>
            <w:tcBorders>
              <w:top w:val="single" w:sz="4" w:space="0" w:color="000000"/>
              <w:left w:val="single" w:sz="4" w:space="0" w:color="000000"/>
              <w:bottom w:val="single" w:sz="4" w:space="0" w:color="000000"/>
              <w:right w:val="single" w:sz="4" w:space="0" w:color="000000"/>
            </w:tcBorders>
            <w:vAlign w:val="center"/>
          </w:tcPr>
          <w:p w14:paraId="6BCF25E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y 2012.</w:t>
            </w:r>
          </w:p>
        </w:tc>
        <w:tc>
          <w:tcPr>
            <w:tcW w:w="2179" w:type="dxa"/>
            <w:tcBorders>
              <w:top w:val="single" w:sz="4" w:space="0" w:color="000000"/>
              <w:left w:val="single" w:sz="4" w:space="0" w:color="000000"/>
              <w:bottom w:val="single" w:sz="4" w:space="0" w:color="000000"/>
              <w:right w:val="single" w:sz="4" w:space="0" w:color="000000"/>
            </w:tcBorders>
            <w:vAlign w:val="center"/>
          </w:tcPr>
          <w:p w14:paraId="04EDB30A"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2DFA2907" w14:textId="79D1B7A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tc>
      </w:tr>
      <w:tr w:rsidR="004915DB" w:rsidRPr="004915DB" w14:paraId="0E106A9C" w14:textId="77777777">
        <w:tc>
          <w:tcPr>
            <w:tcW w:w="2291" w:type="dxa"/>
            <w:tcBorders>
              <w:top w:val="single" w:sz="4" w:space="0" w:color="000000"/>
              <w:left w:val="single" w:sz="4" w:space="0" w:color="000000"/>
              <w:bottom w:val="single" w:sz="4" w:space="0" w:color="000000"/>
              <w:right w:val="single" w:sz="4" w:space="0" w:color="000000"/>
            </w:tcBorders>
          </w:tcPr>
          <w:p w14:paraId="5C6089C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r w:rsidRPr="004915DB">
              <w:rPr>
                <w:rFonts w:ascii="Palatino Linotype" w:eastAsia="Palatino Linotype" w:hAnsi="Palatino Linotype" w:cs="Palatino Linotype"/>
                <w:sz w:val="18"/>
                <w:szCs w:val="18"/>
              </w:rPr>
              <w:tab/>
            </w:r>
          </w:p>
        </w:tc>
        <w:tc>
          <w:tcPr>
            <w:tcW w:w="2179" w:type="dxa"/>
            <w:tcBorders>
              <w:top w:val="single" w:sz="4" w:space="0" w:color="000000"/>
              <w:left w:val="single" w:sz="4" w:space="0" w:color="000000"/>
              <w:bottom w:val="single" w:sz="4" w:space="0" w:color="000000"/>
              <w:right w:val="single" w:sz="4" w:space="0" w:color="000000"/>
            </w:tcBorders>
            <w:vAlign w:val="center"/>
          </w:tcPr>
          <w:p w14:paraId="7E92CFF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y 2012.</w:t>
            </w:r>
          </w:p>
          <w:p w14:paraId="6142134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2021 (del 1° de julio al 31 de diciembre: $0.00</w:t>
            </w:r>
          </w:p>
        </w:tc>
        <w:tc>
          <w:tcPr>
            <w:tcW w:w="2179" w:type="dxa"/>
            <w:tcBorders>
              <w:top w:val="single" w:sz="4" w:space="0" w:color="000000"/>
              <w:left w:val="single" w:sz="4" w:space="0" w:color="000000"/>
              <w:bottom w:val="single" w:sz="4" w:space="0" w:color="000000"/>
              <w:right w:val="single" w:sz="4" w:space="0" w:color="000000"/>
            </w:tcBorders>
            <w:vAlign w:val="center"/>
          </w:tcPr>
          <w:p w14:paraId="3EEB2426"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5DD6A1F7" w14:textId="66A26598"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Parcialmente,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 xml:space="preserve">estados analíticos de ingresos presupuestarios enviados en respuesta, no se observan los ingresos requeridos y </w:t>
            </w:r>
            <w:r w:rsidR="005F3E11" w:rsidRPr="004915DB">
              <w:rPr>
                <w:rFonts w:ascii="Palatino Linotype" w:eastAsia="Palatino Linotype" w:hAnsi="Palatino Linotype" w:cs="Palatino Linotype"/>
                <w:sz w:val="18"/>
                <w:szCs w:val="18"/>
              </w:rPr>
              <w:t>únicamente</w:t>
            </w:r>
            <w:r w:rsidRPr="004915DB">
              <w:rPr>
                <w:rFonts w:ascii="Palatino Linotype" w:eastAsia="Palatino Linotype" w:hAnsi="Palatino Linotype" w:cs="Palatino Linotype"/>
                <w:sz w:val="18"/>
                <w:szCs w:val="18"/>
              </w:rPr>
              <w:t xml:space="preserve"> se pronuncia de la información del 1ª de julio al 31 de diciembre de 2021</w:t>
            </w:r>
            <w:r w:rsidR="005F3E11" w:rsidRPr="004915DB">
              <w:rPr>
                <w:rFonts w:ascii="Palatino Linotype" w:eastAsia="Palatino Linotype" w:hAnsi="Palatino Linotype" w:cs="Palatino Linotype"/>
                <w:sz w:val="18"/>
                <w:szCs w:val="18"/>
              </w:rPr>
              <w:t>.</w:t>
            </w:r>
          </w:p>
        </w:tc>
      </w:tr>
      <w:tr w:rsidR="004915DB" w:rsidRPr="004915DB" w14:paraId="0BBAF427" w14:textId="77777777">
        <w:tc>
          <w:tcPr>
            <w:tcW w:w="2291" w:type="dxa"/>
            <w:tcBorders>
              <w:top w:val="single" w:sz="4" w:space="0" w:color="000000"/>
              <w:left w:val="single" w:sz="4" w:space="0" w:color="000000"/>
              <w:bottom w:val="single" w:sz="4" w:space="0" w:color="000000"/>
              <w:right w:val="single" w:sz="4" w:space="0" w:color="000000"/>
            </w:tcBorders>
          </w:tcPr>
          <w:p w14:paraId="26D68909" w14:textId="160F3F00"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¿cuántas personas Fiscas o Jurídicas Colectivas pagan el Derecho de refrendo por cada inciso del A) a la G)? y ¿cuántos pagan dos o más Derechos establecidos en </w:t>
            </w:r>
            <w:r w:rsidRPr="004915DB">
              <w:rPr>
                <w:rFonts w:ascii="Palatino Linotype" w:eastAsia="Palatino Linotype" w:hAnsi="Palatino Linotype" w:cs="Palatino Linotype"/>
                <w:sz w:val="18"/>
                <w:szCs w:val="18"/>
              </w:rPr>
              <w:lastRenderedPageBreak/>
              <w:t xml:space="preserve">el artículo 159 fracción I del Código Financiero del Estado de México y </w:t>
            </w:r>
            <w:r w:rsidR="005F3E11" w:rsidRPr="004915DB">
              <w:rPr>
                <w:rFonts w:ascii="Palatino Linotype" w:eastAsia="Palatino Linotype" w:hAnsi="Palatino Linotype" w:cs="Palatino Linotype"/>
                <w:sz w:val="18"/>
                <w:szCs w:val="18"/>
              </w:rPr>
              <w:t>Municipios?</w:t>
            </w:r>
          </w:p>
        </w:tc>
        <w:tc>
          <w:tcPr>
            <w:tcW w:w="2179" w:type="dxa"/>
            <w:tcBorders>
              <w:top w:val="single" w:sz="4" w:space="0" w:color="000000"/>
              <w:left w:val="single" w:sz="4" w:space="0" w:color="000000"/>
              <w:bottom w:val="single" w:sz="4" w:space="0" w:color="000000"/>
              <w:right w:val="single" w:sz="4" w:space="0" w:color="000000"/>
            </w:tcBorders>
            <w:vAlign w:val="center"/>
          </w:tcPr>
          <w:p w14:paraId="0F53F81D"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Estado analítico de ingresos presupuestario del ejercicio fiscal 2021, 2020, 2019, 2018, 2017, 2016, 2015, 2014, 2013 y 2012.</w:t>
            </w:r>
          </w:p>
        </w:tc>
        <w:tc>
          <w:tcPr>
            <w:tcW w:w="2179" w:type="dxa"/>
            <w:tcBorders>
              <w:top w:val="single" w:sz="4" w:space="0" w:color="000000"/>
              <w:left w:val="single" w:sz="4" w:space="0" w:color="000000"/>
              <w:bottom w:val="single" w:sz="4" w:space="0" w:color="000000"/>
              <w:right w:val="single" w:sz="4" w:space="0" w:color="000000"/>
            </w:tcBorders>
            <w:vAlign w:val="center"/>
          </w:tcPr>
          <w:p w14:paraId="23621BD9"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El Tesorero Municipal, mediante el cual refiere que no existe obligación de generar documentos ad hoc para atender </w:t>
            </w:r>
            <w:r w:rsidRPr="004915DB">
              <w:rPr>
                <w:rFonts w:ascii="Palatino Linotype" w:eastAsia="Palatino Linotype" w:hAnsi="Palatino Linotype" w:cs="Palatino Linotype"/>
                <w:sz w:val="20"/>
                <w:szCs w:val="20"/>
              </w:rPr>
              <w:lastRenderedPageBreak/>
              <w:t>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05D306DD" w14:textId="2FA671A3"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lastRenderedPageBreak/>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 xml:space="preserve">estados analíticos de ingresos presupuestarios enviados en respuesta, </w:t>
            </w:r>
            <w:r w:rsidRPr="004915DB">
              <w:rPr>
                <w:rFonts w:ascii="Palatino Linotype" w:eastAsia="Palatino Linotype" w:hAnsi="Palatino Linotype" w:cs="Palatino Linotype"/>
                <w:sz w:val="18"/>
                <w:szCs w:val="18"/>
              </w:rPr>
              <w:lastRenderedPageBreak/>
              <w:t>no se observan los ingresos requeridos.</w:t>
            </w:r>
          </w:p>
        </w:tc>
      </w:tr>
      <w:tr w:rsidR="004915DB" w:rsidRPr="004915DB" w14:paraId="10F04DE8" w14:textId="77777777">
        <w:tc>
          <w:tcPr>
            <w:tcW w:w="2291" w:type="dxa"/>
            <w:tcBorders>
              <w:top w:val="single" w:sz="4" w:space="0" w:color="000000"/>
              <w:left w:val="single" w:sz="4" w:space="0" w:color="000000"/>
              <w:bottom w:val="single" w:sz="4" w:space="0" w:color="000000"/>
              <w:right w:val="single" w:sz="4" w:space="0" w:color="000000"/>
            </w:tcBorders>
          </w:tcPr>
          <w:p w14:paraId="1E35218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tc>
        <w:tc>
          <w:tcPr>
            <w:tcW w:w="2179" w:type="dxa"/>
            <w:tcBorders>
              <w:top w:val="single" w:sz="4" w:space="0" w:color="000000"/>
              <w:left w:val="single" w:sz="4" w:space="0" w:color="000000"/>
              <w:bottom w:val="single" w:sz="4" w:space="0" w:color="000000"/>
              <w:right w:val="single" w:sz="4" w:space="0" w:color="000000"/>
            </w:tcBorders>
            <w:vAlign w:val="center"/>
          </w:tcPr>
          <w:p w14:paraId="775536EC"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Estado analítico de ingresos presupuestario del ejercicio fiscal 2021, 2020, 2019, 2018, 2017, 2016, 2015, 2014, 2013 y 2012.</w:t>
            </w:r>
          </w:p>
        </w:tc>
        <w:tc>
          <w:tcPr>
            <w:tcW w:w="2179" w:type="dxa"/>
            <w:tcBorders>
              <w:top w:val="single" w:sz="4" w:space="0" w:color="000000"/>
              <w:left w:val="single" w:sz="4" w:space="0" w:color="000000"/>
              <w:bottom w:val="single" w:sz="4" w:space="0" w:color="000000"/>
              <w:right w:val="single" w:sz="4" w:space="0" w:color="000000"/>
            </w:tcBorders>
            <w:vAlign w:val="center"/>
          </w:tcPr>
          <w:p w14:paraId="1B2902FC"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El Tesorero Municipal, mediante el cual refiere que no existe obligación de generar documentos ad hoc para atender las solicitudes de acceso a la información pública.</w:t>
            </w:r>
          </w:p>
        </w:tc>
        <w:tc>
          <w:tcPr>
            <w:tcW w:w="2179" w:type="dxa"/>
            <w:tcBorders>
              <w:top w:val="single" w:sz="4" w:space="0" w:color="000000"/>
              <w:left w:val="single" w:sz="4" w:space="0" w:color="000000"/>
              <w:bottom w:val="single" w:sz="4" w:space="0" w:color="000000"/>
              <w:right w:val="single" w:sz="4" w:space="0" w:color="000000"/>
            </w:tcBorders>
          </w:tcPr>
          <w:p w14:paraId="0F642BC8" w14:textId="7FD2C37D"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 xml:space="preserve">No, </w:t>
            </w:r>
            <w:r w:rsidR="005F3E11" w:rsidRPr="004915DB">
              <w:rPr>
                <w:rFonts w:ascii="Palatino Linotype" w:eastAsia="Palatino Linotype" w:hAnsi="Palatino Linotype" w:cs="Palatino Linotype"/>
                <w:sz w:val="20"/>
                <w:szCs w:val="20"/>
              </w:rPr>
              <w:t>ya que,</w:t>
            </w:r>
            <w:r w:rsidRPr="004915DB">
              <w:rPr>
                <w:rFonts w:ascii="Palatino Linotype" w:eastAsia="Palatino Linotype" w:hAnsi="Palatino Linotype" w:cs="Palatino Linotype"/>
                <w:sz w:val="20"/>
                <w:szCs w:val="20"/>
              </w:rPr>
              <w:t xml:space="preserve"> en los </w:t>
            </w:r>
            <w:r w:rsidRPr="004915DB">
              <w:rPr>
                <w:rFonts w:ascii="Palatino Linotype" w:eastAsia="Palatino Linotype" w:hAnsi="Palatino Linotype" w:cs="Palatino Linotype"/>
                <w:sz w:val="18"/>
                <w:szCs w:val="18"/>
              </w:rPr>
              <w:t>estados analíticos de ingresos presupuestarios enviados en respuesta, no se observan los ingresos requeridos.</w:t>
            </w:r>
          </w:p>
        </w:tc>
      </w:tr>
    </w:tbl>
    <w:p w14:paraId="6DE9843C" w14:textId="77777777" w:rsidR="008B38A1" w:rsidRPr="004915DB" w:rsidRDefault="00553CE8">
      <w:pPr>
        <w:tabs>
          <w:tab w:val="left" w:pos="3570"/>
        </w:tabs>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b/>
      </w:r>
    </w:p>
    <w:p w14:paraId="3282F286" w14:textId="77777777" w:rsidR="008B38A1" w:rsidRPr="004915DB" w:rsidRDefault="00553CE8">
      <w:pPr>
        <w:tabs>
          <w:tab w:val="left" w:pos="3570"/>
        </w:tabs>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Con relación a la información faltante, resulta oportuno mencionar la siguiente normatividad:</w:t>
      </w:r>
    </w:p>
    <w:p w14:paraId="019864B1" w14:textId="77777777" w:rsidR="008B38A1" w:rsidRPr="004915DB" w:rsidRDefault="00553CE8">
      <w:pPr>
        <w:shd w:val="clear" w:color="auto" w:fill="FFFFFF"/>
        <w:spacing w:after="0" w:line="360" w:lineRule="auto"/>
        <w:ind w:left="851" w:right="1183"/>
        <w:jc w:val="both"/>
        <w:rPr>
          <w:rFonts w:ascii="Palatino Linotype" w:eastAsia="Palatino Linotype" w:hAnsi="Palatino Linotype" w:cs="Palatino Linotype"/>
          <w:b/>
          <w:u w:val="single"/>
        </w:rPr>
      </w:pPr>
      <w:r w:rsidRPr="004915DB">
        <w:rPr>
          <w:rFonts w:ascii="Palatino Linotype" w:eastAsia="Palatino Linotype" w:hAnsi="Palatino Linotype" w:cs="Palatino Linotype"/>
          <w:b/>
          <w:u w:val="single"/>
        </w:rPr>
        <w:t>BANDO MUNICIPAL DE COYOTEPEC, ESTADO DE MÉXICO 2022</w:t>
      </w:r>
    </w:p>
    <w:p w14:paraId="4E5B8216" w14:textId="77777777" w:rsidR="008B38A1" w:rsidRPr="004915DB" w:rsidRDefault="00553CE8">
      <w:pPr>
        <w:shd w:val="clear" w:color="auto" w:fill="FFFFFF"/>
        <w:spacing w:after="0" w:line="276" w:lineRule="auto"/>
        <w:ind w:left="851" w:right="1183"/>
        <w:jc w:val="both"/>
        <w:rPr>
          <w:rFonts w:ascii="Palatino Linotype" w:eastAsia="Palatino Linotype" w:hAnsi="Palatino Linotype" w:cs="Palatino Linotype"/>
          <w:b/>
          <w:i/>
          <w:u w:val="single"/>
        </w:rPr>
      </w:pPr>
      <w:r w:rsidRPr="004915DB">
        <w:rPr>
          <w:rFonts w:ascii="Palatino Linotype" w:eastAsia="Palatino Linotype" w:hAnsi="Palatino Linotype" w:cs="Palatino Linotype"/>
          <w:i/>
        </w:rPr>
        <w:t xml:space="preserve">Artículo 52.- La Tesorería Municipal es la Unidad Administrativa encargada de la recaudación de los ingresos municipales y responsable de realizar las erogaciones y funciones que instruya el Ayuntamiento, </w:t>
      </w:r>
    </w:p>
    <w:p w14:paraId="279A7125" w14:textId="77777777" w:rsidR="008B38A1" w:rsidRPr="004915DB" w:rsidRDefault="008B38A1">
      <w:pPr>
        <w:rPr>
          <w:rFonts w:ascii="Palatino Linotype" w:eastAsia="Palatino Linotype" w:hAnsi="Palatino Linotype" w:cs="Palatino Linotype"/>
        </w:rPr>
      </w:pPr>
    </w:p>
    <w:p w14:paraId="6AF34DA3" w14:textId="77777777" w:rsidR="008B38A1" w:rsidRPr="004915DB" w:rsidRDefault="00553CE8">
      <w:pPr>
        <w:tabs>
          <w:tab w:val="left" w:pos="1140"/>
        </w:tabs>
        <w:spacing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De acuerdo a lo anterior, la Tesorería Municipal es la encargada de la recaudación de los ingresos municipales, por lo que la respuesta fue otorgada por el servidor público competente, sin embargo, su respuesta careció de los principios de congruencia y exhaustividad ya que no entregó respuesta de manera completa, en </w:t>
      </w:r>
      <w:r w:rsidRPr="004915DB">
        <w:rPr>
          <w:rFonts w:ascii="Palatino Linotype" w:eastAsia="Palatino Linotype" w:hAnsi="Palatino Linotype" w:cs="Palatino Linotype"/>
          <w:sz w:val="24"/>
          <w:szCs w:val="24"/>
        </w:rPr>
        <w:lastRenderedPageBreak/>
        <w:t>unos puntos de la solicitud,  en otros no se pronunció, como refuerzo de lo anterior, resulta crucial el Criterio 02/17, emitido por el Pleno del Instituto Nacional de Transparencia y Acceso a la Información y Protección de Datos Personales, de título y texto siguientes:</w:t>
      </w:r>
    </w:p>
    <w:p w14:paraId="12F66512" w14:textId="77777777" w:rsidR="008B38A1" w:rsidRPr="004915DB" w:rsidRDefault="00553CE8">
      <w:pPr>
        <w:spacing w:after="0" w:line="276" w:lineRule="auto"/>
        <w:ind w:left="851" w:right="900"/>
        <w:jc w:val="both"/>
        <w:rPr>
          <w:rFonts w:ascii="Palatino Linotype" w:eastAsia="Palatino Linotype" w:hAnsi="Palatino Linotype" w:cs="Palatino Linotype"/>
          <w:i/>
          <w:sz w:val="20"/>
          <w:szCs w:val="20"/>
        </w:rPr>
      </w:pPr>
      <w:r w:rsidRPr="004915DB">
        <w:rPr>
          <w:rFonts w:ascii="Palatino Linotype" w:eastAsia="Palatino Linotype" w:hAnsi="Palatino Linotype" w:cs="Palatino Linotype"/>
          <w:i/>
        </w:rPr>
        <w:t>“Congruencia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11902AF3" w14:textId="4021A56B" w:rsidR="008B38A1" w:rsidRPr="004915DB" w:rsidRDefault="008B38A1">
      <w:pPr>
        <w:spacing w:after="0" w:line="360" w:lineRule="auto"/>
        <w:jc w:val="both"/>
        <w:rPr>
          <w:rFonts w:ascii="Palatino Linotype" w:eastAsia="Palatino Linotype" w:hAnsi="Palatino Linotype" w:cs="Palatino Linotype"/>
          <w:sz w:val="24"/>
          <w:szCs w:val="24"/>
        </w:rPr>
      </w:pPr>
    </w:p>
    <w:p w14:paraId="49963979" w14:textId="47E3CF2F" w:rsidR="007C6079" w:rsidRPr="004915DB" w:rsidRDefault="007C6079" w:rsidP="007C6079">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Cabe resaltar que el documento que colmaría de manera enunciativa más no limitada, seria el estado analítico de ingresos detallado, de conformidad a las Políticas para la Integración del Informe Trimestral de los Sujetos de Fiscalización Municipales para el Ejercicio 2021, tal y como se observa en la siguientes imágenes:</w:t>
      </w:r>
    </w:p>
    <w:p w14:paraId="0990081B" w14:textId="2E0F158A" w:rsidR="007C6079" w:rsidRPr="004915DB" w:rsidRDefault="007C6079" w:rsidP="007C6079">
      <w:pPr>
        <w:spacing w:after="0" w:line="360" w:lineRule="auto"/>
        <w:jc w:val="center"/>
        <w:rPr>
          <w:rFonts w:ascii="Palatino Linotype" w:eastAsia="Palatino Linotype" w:hAnsi="Palatino Linotype" w:cs="Palatino Linotype"/>
          <w:sz w:val="24"/>
          <w:szCs w:val="24"/>
        </w:rPr>
      </w:pPr>
      <w:r w:rsidRPr="004915DB">
        <w:rPr>
          <w:noProof/>
        </w:rPr>
        <w:lastRenderedPageBreak/>
        <w:drawing>
          <wp:inline distT="0" distB="0" distL="0" distR="0" wp14:anchorId="47C2E4D8" wp14:editId="1BD74F6F">
            <wp:extent cx="4723661" cy="7189694"/>
            <wp:effectExtent l="0" t="0" r="127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9334" cy="7198328"/>
                    </a:xfrm>
                    <a:prstGeom prst="rect">
                      <a:avLst/>
                    </a:prstGeom>
                    <a:noFill/>
                    <a:ln>
                      <a:noFill/>
                    </a:ln>
                  </pic:spPr>
                </pic:pic>
              </a:graphicData>
            </a:graphic>
          </wp:inline>
        </w:drawing>
      </w:r>
    </w:p>
    <w:p w14:paraId="642BACE2" w14:textId="7237976E" w:rsidR="007C6079" w:rsidRPr="004915DB" w:rsidRDefault="007C6079" w:rsidP="007C6079">
      <w:pPr>
        <w:spacing w:after="0" w:line="360" w:lineRule="auto"/>
        <w:jc w:val="center"/>
        <w:rPr>
          <w:rFonts w:ascii="Palatino Linotype" w:eastAsia="Palatino Linotype" w:hAnsi="Palatino Linotype" w:cs="Palatino Linotype"/>
          <w:sz w:val="24"/>
          <w:szCs w:val="24"/>
        </w:rPr>
      </w:pPr>
      <w:r w:rsidRPr="004915DB">
        <w:rPr>
          <w:noProof/>
        </w:rPr>
        <w:lastRenderedPageBreak/>
        <w:drawing>
          <wp:inline distT="0" distB="0" distL="0" distR="0" wp14:anchorId="27FC14E3" wp14:editId="1A5CB926">
            <wp:extent cx="5612130" cy="2512695"/>
            <wp:effectExtent l="0" t="0" r="7620" b="1905"/>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scala de tiemp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512695"/>
                    </a:xfrm>
                    <a:prstGeom prst="rect">
                      <a:avLst/>
                    </a:prstGeom>
                    <a:noFill/>
                    <a:ln>
                      <a:noFill/>
                    </a:ln>
                  </pic:spPr>
                </pic:pic>
              </a:graphicData>
            </a:graphic>
          </wp:inline>
        </w:drawing>
      </w:r>
    </w:p>
    <w:p w14:paraId="62CC63B9" w14:textId="77777777" w:rsidR="008B38A1" w:rsidRPr="004915DB" w:rsidRDefault="00553CE8">
      <w:pPr>
        <w:spacing w:before="80" w:after="24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Razones por las cuales lo procedente es ordenar, la información faltante, de ser el caso en versión pública, en términos de lo señalado por el considerando quinto del presente fallo, no obstante derivado de la temporalidad, requerida por el particular (a partir del año 2011), es importante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561A99EE"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“Cuarto.</w:t>
      </w:r>
    </w:p>
    <w:p w14:paraId="5590249D"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15D97D1F"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II. Archivo: El conjunto orgánico de documentos en cualquier soporte, que son producidos o recibidos por los sujetos obligados o los particulares en el ejercicio de sus atribuciones o en el desarrollo de sus actividades;</w:t>
      </w:r>
    </w:p>
    <w:p w14:paraId="53A1B8D2"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III. Archivo de concentración: La unidad de la administración de documentos cuya consulta es esporádica y que permanecen en ella hasta su transferencia secundaria o baja documental;</w:t>
      </w:r>
    </w:p>
    <w:p w14:paraId="7E3C30B8"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IV. Archivo histórico. La unidad responsable de la administración de los documentos de conservación permanente y que son fuente de acceso público;</w:t>
      </w:r>
    </w:p>
    <w:p w14:paraId="6625FA47"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V. Archivo de trámite: La unidad responsable de la administración de documentos de uso cotidiano y necesario para el ejercicio de las atribuciones de una unidad administrativa, los cuales permanecen en ella hasta su transferencia primaria;</w:t>
      </w:r>
    </w:p>
    <w:p w14:paraId="59FF6450"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VIII. Baja documental. La eliminación de aquella documentación que haya prescrito en sus valores administrativos, legales, fiscales, contables, y que no contenga valores históricos;</w:t>
      </w:r>
    </w:p>
    <w:p w14:paraId="35B827D5"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4DCD6E4"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X. Ciclo vital del documento: La etapas de los documentos desde su producción o recepción hasta su baja o transferencia a un archivo histórico;</w:t>
      </w:r>
    </w:p>
    <w:p w14:paraId="572CD1BA"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6D76B1CC"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7D8FC828" w14:textId="77777777" w:rsidR="008B38A1" w:rsidRPr="004915DB" w:rsidRDefault="00553CE8">
      <w:pPr>
        <w:spacing w:before="240"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w:t>
      </w:r>
      <w:r w:rsidRPr="004915DB">
        <w:rPr>
          <w:rFonts w:ascii="Palatino Linotype" w:eastAsia="Palatino Linotype" w:hAnsi="Palatino Linotype" w:cs="Palatino Linotype"/>
          <w:sz w:val="24"/>
          <w:szCs w:val="24"/>
        </w:rPr>
        <w:lastRenderedPageBreak/>
        <w:t>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0FFE99D9" w14:textId="77777777" w:rsidR="008B38A1" w:rsidRPr="004915DB" w:rsidRDefault="008B38A1">
      <w:pPr>
        <w:spacing w:after="0" w:line="360" w:lineRule="auto"/>
        <w:ind w:right="51"/>
        <w:jc w:val="both"/>
        <w:rPr>
          <w:rFonts w:ascii="Palatino Linotype" w:eastAsia="Palatino Linotype" w:hAnsi="Palatino Linotype" w:cs="Palatino Linotype"/>
          <w:sz w:val="24"/>
          <w:szCs w:val="24"/>
        </w:rPr>
      </w:pPr>
    </w:p>
    <w:p w14:paraId="3560E24A" w14:textId="77777777" w:rsidR="008B38A1" w:rsidRPr="004915DB" w:rsidRDefault="00553CE8">
      <w:pPr>
        <w:spacing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su vez, los Lineamientos para la Valoración, Selección y Baja de los Documentos, Expedientes y Series de Trámite Concluido en los Archivos del Estado de México, que establece lo siguiente:</w:t>
      </w:r>
    </w:p>
    <w:p w14:paraId="60D5FD28" w14:textId="77777777" w:rsidR="008B38A1" w:rsidRPr="004915DB" w:rsidRDefault="008B38A1">
      <w:pPr>
        <w:spacing w:after="0" w:line="360" w:lineRule="auto"/>
        <w:ind w:right="51"/>
        <w:jc w:val="both"/>
        <w:rPr>
          <w:rFonts w:ascii="Palatino Linotype" w:eastAsia="Palatino Linotype" w:hAnsi="Palatino Linotype" w:cs="Palatino Linotype"/>
          <w:sz w:val="24"/>
          <w:szCs w:val="24"/>
        </w:rPr>
      </w:pPr>
    </w:p>
    <w:p w14:paraId="0C5DE44A" w14:textId="77777777" w:rsidR="008B38A1" w:rsidRPr="004915DB" w:rsidRDefault="00553CE8">
      <w:pPr>
        <w:spacing w:after="240"/>
        <w:ind w:left="567"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Artículo 20.</w:t>
      </w:r>
      <w:r w:rsidRPr="004915DB">
        <w:rPr>
          <w:rFonts w:ascii="Palatino Linotype" w:eastAsia="Palatino Linotype" w:hAnsi="Palatino Linotype" w:cs="Palatino Linotype"/>
          <w:i/>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090BAEEC"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El periodo señalado se computará a partir del día siguiente a la fecha del documento con el cual se dé por concluido el asunto por el que los expedientes fueron creados.</w:t>
      </w:r>
    </w:p>
    <w:p w14:paraId="20424484"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Artículo 27.- Las Unidades Administrativas al realizar la transferencia de los expedientes de trámite concluido, señalarán en el Inventario correspondiente los plazos de conservación precaucional de éstos en el Archivo de Concentración.</w:t>
      </w:r>
    </w:p>
    <w:p w14:paraId="294B38F2"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Para determinar el plazo de conservación precaucional deberán considerar el marco legal o administrativo bajo el cual se produjeron o recibieron los documentos y los siguientes períodos:</w:t>
      </w:r>
    </w:p>
    <w:p w14:paraId="45D47035"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I. 6 años para expedientes con información administrativa;</w:t>
      </w:r>
    </w:p>
    <w:p w14:paraId="01E1885C" w14:textId="77777777" w:rsidR="008B38A1" w:rsidRPr="004915DB" w:rsidRDefault="00553CE8">
      <w:pPr>
        <w:spacing w:before="240" w:after="240"/>
        <w:ind w:left="567" w:right="616"/>
        <w:jc w:val="both"/>
        <w:rPr>
          <w:rFonts w:ascii="Palatino Linotype" w:eastAsia="Palatino Linotype" w:hAnsi="Palatino Linotype" w:cs="Palatino Linotype"/>
          <w:b/>
          <w:i/>
          <w:u w:val="single"/>
        </w:rPr>
      </w:pPr>
      <w:r w:rsidRPr="004915DB">
        <w:rPr>
          <w:rFonts w:ascii="Palatino Linotype" w:eastAsia="Palatino Linotype" w:hAnsi="Palatino Linotype" w:cs="Palatino Linotype"/>
          <w:b/>
          <w:i/>
          <w:u w:val="single"/>
        </w:rPr>
        <w:t>II. 6 años como mínimo para expedientes con información fiscal y presupuestal contable;</w:t>
      </w:r>
    </w:p>
    <w:p w14:paraId="4438E280"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III. 12 años como mínimo para expedientes con información jurídico-legal, obra pública y activo fijo; y</w:t>
      </w:r>
    </w:p>
    <w:p w14:paraId="5556215E" w14:textId="77777777" w:rsidR="008B38A1" w:rsidRPr="004915DB" w:rsidRDefault="00553CE8">
      <w:pPr>
        <w:spacing w:before="240" w:after="240"/>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IV. Cuando en la legislación se establezcan períodos de conservación mayores a los señalados en las fracciones I, II y III, se considerarán los estipulados en dicha legislación para efectos de realización del proceso de selección final.</w:t>
      </w:r>
    </w:p>
    <w:p w14:paraId="644AEDF6" w14:textId="77777777" w:rsidR="008B38A1" w:rsidRPr="004915DB" w:rsidRDefault="00553CE8">
      <w:pPr>
        <w:spacing w:before="240" w:after="0" w:line="360" w:lineRule="auto"/>
        <w:ind w:left="567" w:right="616"/>
        <w:jc w:val="both"/>
        <w:rPr>
          <w:rFonts w:ascii="Palatino Linotype" w:eastAsia="Palatino Linotype" w:hAnsi="Palatino Linotype" w:cs="Palatino Linotype"/>
          <w:i/>
        </w:rPr>
      </w:pPr>
      <w:r w:rsidRPr="004915DB">
        <w:rPr>
          <w:rFonts w:ascii="Palatino Linotype" w:eastAsia="Palatino Linotype" w:hAnsi="Palatino Linotype" w:cs="Palatino Linotype"/>
          <w:i/>
        </w:rPr>
        <w:t>V. Cuando las Unidades Administrativas no indique el plazo de conservación precaucional de sus expedientes en el Inventario correspondiente, los Archivos de Concentración podrán rechazar la transferencia de los expedientes.”</w:t>
      </w:r>
    </w:p>
    <w:p w14:paraId="2997D5E7" w14:textId="77777777" w:rsidR="008B38A1" w:rsidRPr="004915DB" w:rsidRDefault="008B38A1">
      <w:pPr>
        <w:spacing w:after="0" w:line="360" w:lineRule="auto"/>
        <w:ind w:left="567" w:right="616"/>
        <w:jc w:val="both"/>
        <w:rPr>
          <w:rFonts w:ascii="Palatino Linotype" w:eastAsia="Palatino Linotype" w:hAnsi="Palatino Linotype" w:cs="Palatino Linotype"/>
          <w:i/>
        </w:rPr>
      </w:pPr>
    </w:p>
    <w:p w14:paraId="3030972E" w14:textId="7276095A"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4915DB">
        <w:rPr>
          <w:rFonts w:ascii="Palatino Linotype" w:eastAsia="Palatino Linotype" w:hAnsi="Palatino Linotype" w:cs="Palatino Linotype"/>
          <w:b/>
          <w:sz w:val="24"/>
          <w:szCs w:val="24"/>
        </w:rPr>
        <w:t xml:space="preserve">allí por seis años cuando los expedientes contengan información administrativa; y una vez que concluye dicho periodo, los documentos pueden causar baja documental </w:t>
      </w:r>
      <w:r w:rsidRPr="004915DB">
        <w:rPr>
          <w:rFonts w:ascii="Palatino Linotype" w:eastAsia="Palatino Linotype" w:hAnsi="Palatino Linotype" w:cs="Palatino Linotype"/>
          <w:sz w:val="24"/>
          <w:szCs w:val="24"/>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5324840B"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correspondiente, de acuerdo a los artículos 47 y 49, fracciones II y III, de la Ley de Transparencia y Acceso a la Información Pública del Estado de México y Municipios:</w:t>
      </w:r>
    </w:p>
    <w:p w14:paraId="3AEA8D03" w14:textId="77777777" w:rsidR="008B38A1" w:rsidRPr="004915DB" w:rsidRDefault="008B38A1">
      <w:pPr>
        <w:spacing w:line="360" w:lineRule="auto"/>
        <w:jc w:val="both"/>
        <w:rPr>
          <w:rFonts w:ascii="Palatino Linotype" w:eastAsia="Palatino Linotype" w:hAnsi="Palatino Linotype" w:cs="Palatino Linotype"/>
        </w:rPr>
      </w:pPr>
    </w:p>
    <w:p w14:paraId="53307EF6"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47.</w:t>
      </w:r>
      <w:r w:rsidRPr="004915DB">
        <w:rPr>
          <w:rFonts w:ascii="Palatino Linotype" w:eastAsia="Palatino Linotype" w:hAnsi="Palatino Linotype" w:cs="Palatino Linotype"/>
          <w:i/>
        </w:rPr>
        <w:t xml:space="preserve"> El Comité de Transparencia será la autoridad máxima al interior del sujeto obligado en materia del derecho de acceso a la información.</w:t>
      </w:r>
    </w:p>
    <w:p w14:paraId="0683792A" w14:textId="77777777" w:rsidR="008B38A1" w:rsidRPr="004915DB" w:rsidRDefault="008B38A1">
      <w:pPr>
        <w:ind w:left="567" w:right="567"/>
        <w:jc w:val="both"/>
        <w:rPr>
          <w:rFonts w:ascii="Palatino Linotype" w:eastAsia="Palatino Linotype" w:hAnsi="Palatino Linotype" w:cs="Palatino Linotype"/>
          <w:i/>
        </w:rPr>
      </w:pPr>
    </w:p>
    <w:p w14:paraId="7CCBF2E8"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732A664" w14:textId="77777777" w:rsidR="008B38A1" w:rsidRPr="004915DB" w:rsidRDefault="008B38A1">
      <w:pPr>
        <w:ind w:left="567" w:right="567"/>
        <w:jc w:val="both"/>
        <w:rPr>
          <w:rFonts w:ascii="Palatino Linotype" w:eastAsia="Palatino Linotype" w:hAnsi="Palatino Linotype" w:cs="Palatino Linotype"/>
          <w:i/>
        </w:rPr>
      </w:pPr>
    </w:p>
    <w:p w14:paraId="2D262AC3"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El Comité se reunirá en sesión ordinaria o extraordinaria las veces que estime necesario. El tipo de sesión se precisará en la convocatoria emitida.</w:t>
      </w:r>
    </w:p>
    <w:p w14:paraId="2C434BEA" w14:textId="77777777" w:rsidR="008B38A1" w:rsidRPr="004915DB" w:rsidRDefault="008B38A1">
      <w:pPr>
        <w:ind w:left="567" w:right="567"/>
        <w:jc w:val="both"/>
        <w:rPr>
          <w:rFonts w:ascii="Palatino Linotype" w:eastAsia="Palatino Linotype" w:hAnsi="Palatino Linotype" w:cs="Palatino Linotype"/>
          <w:i/>
        </w:rPr>
      </w:pPr>
    </w:p>
    <w:p w14:paraId="2CC41804"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9DA1A48" w14:textId="77777777" w:rsidR="008B38A1" w:rsidRPr="004915DB" w:rsidRDefault="008B38A1">
      <w:pPr>
        <w:ind w:left="567" w:right="567"/>
        <w:jc w:val="both"/>
        <w:rPr>
          <w:rFonts w:ascii="Palatino Linotype" w:eastAsia="Palatino Linotype" w:hAnsi="Palatino Linotype" w:cs="Palatino Linotype"/>
          <w:i/>
        </w:rPr>
      </w:pPr>
    </w:p>
    <w:p w14:paraId="3F2F2B46"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En las sesiones y trabajos del Comité, podrán participar como invitados permanentes, los representantes de las áreas que decida el Comité, y contará con derecho de voz, pero no voto.</w:t>
      </w:r>
    </w:p>
    <w:p w14:paraId="0F9C04A9" w14:textId="77777777" w:rsidR="008B38A1" w:rsidRPr="004915DB" w:rsidRDefault="008B38A1">
      <w:pPr>
        <w:ind w:left="567" w:right="567"/>
        <w:jc w:val="both"/>
        <w:rPr>
          <w:rFonts w:ascii="Palatino Linotype" w:eastAsia="Palatino Linotype" w:hAnsi="Palatino Linotype" w:cs="Palatino Linotype"/>
          <w:i/>
        </w:rPr>
      </w:pPr>
    </w:p>
    <w:p w14:paraId="6F6B6DE8"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Los titulares de las unidades administrativas que propongan la reserva, confidencialidad o declaren la </w:t>
      </w:r>
      <w:r w:rsidRPr="004915DB">
        <w:rPr>
          <w:rFonts w:ascii="Palatino Linotype" w:eastAsia="Palatino Linotype" w:hAnsi="Palatino Linotype" w:cs="Palatino Linotype"/>
          <w:i/>
          <w:u w:val="single"/>
        </w:rPr>
        <w:t>inexistencia</w:t>
      </w:r>
      <w:r w:rsidRPr="004915DB">
        <w:rPr>
          <w:rFonts w:ascii="Palatino Linotype" w:eastAsia="Palatino Linotype" w:hAnsi="Palatino Linotype" w:cs="Palatino Linotype"/>
          <w:i/>
        </w:rPr>
        <w:t xml:space="preserve"> de información, acudirán a las sesiones de dicho Comité donde se discuta la propuesta correspondiente.”</w:t>
      </w:r>
    </w:p>
    <w:p w14:paraId="07644510" w14:textId="77777777" w:rsidR="008B38A1" w:rsidRPr="004915DB" w:rsidRDefault="008B38A1">
      <w:pPr>
        <w:ind w:left="567" w:right="567"/>
        <w:jc w:val="both"/>
        <w:rPr>
          <w:rFonts w:ascii="Palatino Linotype" w:eastAsia="Palatino Linotype" w:hAnsi="Palatino Linotype" w:cs="Palatino Linotype"/>
          <w:i/>
        </w:rPr>
      </w:pPr>
    </w:p>
    <w:p w14:paraId="2CBA19F5"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Artículo 49.</w:t>
      </w:r>
      <w:r w:rsidRPr="004915DB">
        <w:rPr>
          <w:rFonts w:ascii="Palatino Linotype" w:eastAsia="Palatino Linotype" w:hAnsi="Palatino Linotype" w:cs="Palatino Linotype"/>
          <w:i/>
        </w:rPr>
        <w:t xml:space="preserve"> Los Comités de Transparencia tendrán las siguientes atribuciones:</w:t>
      </w:r>
    </w:p>
    <w:p w14:paraId="7A8286BF"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C7836CF"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II. Confirmar, modificar o revocar las determinaciones que en materia de ampliación del plazo de respuesta, clasificación de la información y </w:t>
      </w:r>
      <w:r w:rsidRPr="004915DB">
        <w:rPr>
          <w:rFonts w:ascii="Palatino Linotype" w:eastAsia="Palatino Linotype" w:hAnsi="Palatino Linotype" w:cs="Palatino Linotype"/>
          <w:i/>
          <w:u w:val="single"/>
        </w:rPr>
        <w:t xml:space="preserve">declaración de inexistencia </w:t>
      </w:r>
      <w:r w:rsidRPr="004915DB">
        <w:rPr>
          <w:rFonts w:ascii="Palatino Linotype" w:eastAsia="Palatino Linotype" w:hAnsi="Palatino Linotype" w:cs="Palatino Linotype"/>
          <w:i/>
        </w:rPr>
        <w:t>o de incompetencia realicen los titulares de las áreas de los sujetos obligados;</w:t>
      </w:r>
    </w:p>
    <w:p w14:paraId="2ADB92EB" w14:textId="77777777" w:rsidR="008B38A1" w:rsidRPr="004915DB" w:rsidRDefault="00553CE8">
      <w:pPr>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44A0149E" w14:textId="77777777" w:rsidR="008B38A1" w:rsidRPr="004915DB" w:rsidRDefault="00553CE8" w:rsidP="005F3E11">
      <w:pPr>
        <w:spacing w:line="360" w:lineRule="auto"/>
        <w:ind w:left="567" w:right="567"/>
        <w:contextualSpacing/>
        <w:jc w:val="both"/>
        <w:rPr>
          <w:rFonts w:ascii="Palatino Linotype" w:eastAsia="Palatino Linotype" w:hAnsi="Palatino Linotype" w:cs="Palatino Linotype"/>
          <w:i/>
        </w:rPr>
      </w:pPr>
      <w:r w:rsidRPr="004915DB">
        <w:rPr>
          <w:rFonts w:ascii="Palatino Linotype" w:eastAsia="Palatino Linotype" w:hAnsi="Palatino Linotype" w:cs="Palatino Linotype"/>
          <w:i/>
        </w:rPr>
        <w:t>XIII. Dictaminar las declaratorias de inexistencia de la información que les remitan las unidades administrativas y resolver en consecuencia;” (Sic)</w:t>
      </w:r>
    </w:p>
    <w:p w14:paraId="4C43C3AB" w14:textId="77777777" w:rsidR="008B38A1" w:rsidRPr="004915DB" w:rsidRDefault="008B38A1" w:rsidP="005F3E11">
      <w:pPr>
        <w:spacing w:line="360" w:lineRule="auto"/>
        <w:contextualSpacing/>
        <w:jc w:val="both"/>
        <w:rPr>
          <w:rFonts w:ascii="Palatino Linotype" w:eastAsia="Palatino Linotype" w:hAnsi="Palatino Linotype" w:cs="Palatino Linotype"/>
          <w:i/>
        </w:rPr>
      </w:pPr>
    </w:p>
    <w:p w14:paraId="15D661D0" w14:textId="59B952BE" w:rsidR="008B38A1" w:rsidRPr="004915DB" w:rsidRDefault="00553CE8" w:rsidP="005F3E11">
      <w:pPr>
        <w:spacing w:line="360" w:lineRule="auto"/>
        <w:contextualSpacing/>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Asimismo, el acuerdo de inexistencia deberá apegarse a lo dispuesto por los artículos 169 y 170, de la Ley de la materia que ordenan: </w:t>
      </w:r>
    </w:p>
    <w:p w14:paraId="5C733750" w14:textId="77777777" w:rsidR="008B38A1" w:rsidRPr="004915DB" w:rsidRDefault="00553CE8" w:rsidP="005F3E11">
      <w:pPr>
        <w:spacing w:line="276" w:lineRule="auto"/>
        <w:ind w:left="567" w:right="567"/>
        <w:contextualSpacing/>
        <w:jc w:val="both"/>
        <w:rPr>
          <w:rFonts w:ascii="Palatino Linotype" w:eastAsia="Palatino Linotype" w:hAnsi="Palatino Linotype" w:cs="Palatino Linotype"/>
          <w:i/>
        </w:rPr>
      </w:pPr>
      <w:r w:rsidRPr="004915DB">
        <w:rPr>
          <w:rFonts w:ascii="Palatino Linotype" w:eastAsia="Palatino Linotype" w:hAnsi="Palatino Linotype" w:cs="Palatino Linotype"/>
          <w:b/>
          <w:i/>
        </w:rPr>
        <w:lastRenderedPageBreak/>
        <w:t>“Artículo 169.</w:t>
      </w:r>
      <w:r w:rsidRPr="004915DB">
        <w:rPr>
          <w:rFonts w:ascii="Palatino Linotype" w:eastAsia="Palatino Linotype" w:hAnsi="Palatino Linotype" w:cs="Palatino Linotype"/>
          <w:i/>
        </w:rPr>
        <w:t xml:space="preserve"> Cuando la información no se encuentre en los archivos del sujeto obligado, el Comité de Transparencia:</w:t>
      </w:r>
    </w:p>
    <w:p w14:paraId="4B1DCE3B" w14:textId="77777777" w:rsidR="008B38A1" w:rsidRPr="004915DB" w:rsidRDefault="008B38A1" w:rsidP="005F3E11">
      <w:pPr>
        <w:spacing w:line="276" w:lineRule="auto"/>
        <w:ind w:left="567" w:right="567"/>
        <w:jc w:val="both"/>
        <w:rPr>
          <w:rFonts w:ascii="Palatino Linotype" w:eastAsia="Palatino Linotype" w:hAnsi="Palatino Linotype" w:cs="Palatino Linotype"/>
          <w:i/>
        </w:rPr>
      </w:pPr>
    </w:p>
    <w:p w14:paraId="5714A19A" w14:textId="4F284C92"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I. Analizará el caso y tomará las medidas necesarias para localizar la información;</w:t>
      </w:r>
    </w:p>
    <w:p w14:paraId="06B76436" w14:textId="3FCDA463"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II. Expedirá una resolución que confirme la inexistencia del documento;</w:t>
      </w:r>
    </w:p>
    <w:p w14:paraId="448C1D72" w14:textId="77777777"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52703C" w14:textId="77777777" w:rsidR="008B38A1" w:rsidRPr="004915DB" w:rsidRDefault="008B38A1" w:rsidP="005F3E11">
      <w:pPr>
        <w:spacing w:line="276" w:lineRule="auto"/>
        <w:ind w:left="567" w:right="567"/>
        <w:jc w:val="both"/>
        <w:rPr>
          <w:rFonts w:ascii="Palatino Linotype" w:eastAsia="Palatino Linotype" w:hAnsi="Palatino Linotype" w:cs="Palatino Linotype"/>
          <w:i/>
        </w:rPr>
      </w:pPr>
    </w:p>
    <w:p w14:paraId="1D6DB29C" w14:textId="1AFF0B94"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b/>
          <w:i/>
        </w:rPr>
        <w:t>IV. Notificará al órgano interno de control o equivalente del sujeto obligado quien, en su caso, deberá iniciar el procedimiento de responsabilidad administrativa que corresponda</w:t>
      </w:r>
      <w:r w:rsidRPr="004915DB">
        <w:rPr>
          <w:rFonts w:ascii="Palatino Linotype" w:eastAsia="Palatino Linotype" w:hAnsi="Palatino Linotype" w:cs="Palatino Linotype"/>
          <w:i/>
        </w:rPr>
        <w:t>.</w:t>
      </w:r>
    </w:p>
    <w:p w14:paraId="3B709E48" w14:textId="456BFAB1"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La Unidad de Transparencia deberá notificarlo al solicitante por escrito, en un plazo que no exceda de quince días hábiles contados a partir del día siguiente a la presentación de la solicitud.</w:t>
      </w:r>
    </w:p>
    <w:p w14:paraId="0F6F66F6" w14:textId="580E5860" w:rsidR="005F3E1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14:paraId="27AE4611" w14:textId="77777777" w:rsidR="008B38A1" w:rsidRPr="004915DB" w:rsidRDefault="00553CE8" w:rsidP="005F3E11">
      <w:pPr>
        <w:spacing w:line="276" w:lineRule="auto"/>
        <w:ind w:left="567" w:right="567"/>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170.</w:t>
      </w:r>
      <w:r w:rsidRPr="004915DB">
        <w:rPr>
          <w:rFonts w:ascii="Palatino Linotype" w:eastAsia="Palatino Linotype" w:hAnsi="Palatino Linotype" w:cs="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63C2D2F7" w14:textId="77777777" w:rsidR="008B38A1" w:rsidRPr="004915DB" w:rsidRDefault="008B38A1">
      <w:pPr>
        <w:spacing w:after="0" w:line="360" w:lineRule="auto"/>
        <w:ind w:left="567" w:right="567"/>
        <w:jc w:val="both"/>
        <w:rPr>
          <w:rFonts w:ascii="Palatino Linotype" w:eastAsia="Palatino Linotype" w:hAnsi="Palatino Linotype" w:cs="Palatino Linotype"/>
          <w:sz w:val="24"/>
          <w:szCs w:val="24"/>
        </w:rPr>
      </w:pPr>
    </w:p>
    <w:p w14:paraId="442430F0"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Conforme a lo anterior, para poder acreditar el carácter exhaustivo de la búsqueda realizada por los Sujetos Obligados, se deben motivar las razones por las que se </w:t>
      </w:r>
      <w:r w:rsidRPr="004915DB">
        <w:rPr>
          <w:rFonts w:ascii="Palatino Linotype" w:eastAsia="Palatino Linotype" w:hAnsi="Palatino Linotype" w:cs="Palatino Linotype"/>
          <w:sz w:val="24"/>
          <w:szCs w:val="24"/>
        </w:rPr>
        <w:lastRenderedPageBreak/>
        <w:t>buscó la información en determinadas áreas, los criterios de búsqueda utilizados y demás circunstancias que fueron tomadas en cuenta.</w:t>
      </w:r>
    </w:p>
    <w:p w14:paraId="3B762D8C"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B653ACB" w14:textId="3551AA39"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ese contexto, de conformidad con los </w:t>
      </w:r>
      <w:r w:rsidRPr="004915DB">
        <w:rPr>
          <w:rFonts w:ascii="Palatino Linotype" w:eastAsia="Palatino Linotype" w:hAnsi="Palatino Linotype" w:cs="Palatino Linotype"/>
          <w:b/>
          <w:sz w:val="24"/>
          <w:szCs w:val="24"/>
        </w:rPr>
        <w:t>criterios 12/10 y 04/19</w:t>
      </w:r>
      <w:r w:rsidRPr="004915DB">
        <w:rPr>
          <w:rFonts w:ascii="Palatino Linotype" w:eastAsia="Palatino Linotype" w:hAnsi="Palatino Linotype" w:cs="Palatino Linotype"/>
          <w:sz w:val="24"/>
          <w:szCs w:val="24"/>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8FC0F2C" w14:textId="77777777" w:rsidR="00434410" w:rsidRPr="004915DB" w:rsidRDefault="00434410">
      <w:pPr>
        <w:spacing w:after="0" w:line="360" w:lineRule="auto"/>
        <w:jc w:val="both"/>
        <w:rPr>
          <w:rFonts w:ascii="Palatino Linotype" w:eastAsia="Palatino Linotype" w:hAnsi="Palatino Linotype" w:cs="Palatino Linotype"/>
          <w:sz w:val="24"/>
          <w:szCs w:val="24"/>
        </w:rPr>
      </w:pPr>
    </w:p>
    <w:p w14:paraId="758D8404" w14:textId="77777777" w:rsidR="008B38A1" w:rsidRPr="004915DB" w:rsidRDefault="00553CE8">
      <w:pPr>
        <w:numPr>
          <w:ilvl w:val="0"/>
          <w:numId w:val="1"/>
        </w:numPr>
        <w:spacing w:after="0" w:line="360" w:lineRule="auto"/>
        <w:ind w:left="567" w:hanging="28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Motivación por las que se buscó la información, en determinadas unidades administrativas;</w:t>
      </w:r>
    </w:p>
    <w:p w14:paraId="510E7A79" w14:textId="77777777" w:rsidR="008B38A1" w:rsidRPr="004915DB" w:rsidRDefault="00553CE8">
      <w:pPr>
        <w:numPr>
          <w:ilvl w:val="0"/>
          <w:numId w:val="1"/>
        </w:numPr>
        <w:spacing w:after="0" w:line="360" w:lineRule="auto"/>
        <w:ind w:left="567" w:hanging="28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Los criterios de búsqueda utilizados, y</w:t>
      </w:r>
    </w:p>
    <w:p w14:paraId="337D58E3" w14:textId="77777777" w:rsidR="008B38A1" w:rsidRPr="004915DB" w:rsidRDefault="00553CE8">
      <w:pPr>
        <w:numPr>
          <w:ilvl w:val="0"/>
          <w:numId w:val="1"/>
        </w:numPr>
        <w:spacing w:after="0" w:line="360" w:lineRule="auto"/>
        <w:ind w:left="567" w:hanging="28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Las circunstancias que fueron tomadas en cuenta.</w:t>
      </w:r>
    </w:p>
    <w:p w14:paraId="6AC7C9A4" w14:textId="77777777" w:rsidR="008B38A1" w:rsidRPr="004915DB" w:rsidRDefault="008B38A1">
      <w:pPr>
        <w:pBdr>
          <w:top w:val="nil"/>
          <w:left w:val="nil"/>
          <w:bottom w:val="nil"/>
          <w:right w:val="nil"/>
          <w:between w:val="nil"/>
        </w:pBdr>
        <w:spacing w:after="0" w:line="360" w:lineRule="auto"/>
        <w:rPr>
          <w:sz w:val="24"/>
          <w:szCs w:val="24"/>
        </w:rPr>
      </w:pPr>
    </w:p>
    <w:p w14:paraId="0D8F75D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 tales circunstancias, se considera que para que los Sujetos Obligados justifiquen que realizaron una búsqueda exhaustiva y razonable, deben indicar de manera clara, lo siguiente:</w:t>
      </w:r>
    </w:p>
    <w:p w14:paraId="53A97EAB"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86D48BA" w14:textId="77777777" w:rsidR="008B38A1" w:rsidRPr="004915DB" w:rsidRDefault="00553CE8">
      <w:pPr>
        <w:numPr>
          <w:ilvl w:val="0"/>
          <w:numId w:val="6"/>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Las áreas donde se buscó la información;</w:t>
      </w:r>
    </w:p>
    <w:p w14:paraId="038BE2E9" w14:textId="77777777" w:rsidR="008B38A1" w:rsidRPr="004915DB" w:rsidRDefault="00553CE8">
      <w:pPr>
        <w:numPr>
          <w:ilvl w:val="0"/>
          <w:numId w:val="6"/>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Tipo de archivos buscados (físicos o electrónicos);</w:t>
      </w:r>
    </w:p>
    <w:p w14:paraId="288CC83B" w14:textId="77777777" w:rsidR="008B38A1" w:rsidRPr="004915DB" w:rsidRDefault="00553CE8">
      <w:pPr>
        <w:numPr>
          <w:ilvl w:val="0"/>
          <w:numId w:val="6"/>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Los criterios de búsqueda utilizados, y </w:t>
      </w:r>
    </w:p>
    <w:p w14:paraId="3BEA5321" w14:textId="77777777" w:rsidR="008B38A1" w:rsidRPr="004915DB" w:rsidRDefault="00553CE8">
      <w:pPr>
        <w:numPr>
          <w:ilvl w:val="0"/>
          <w:numId w:val="6"/>
        </w:num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Las circunstancias que fueron tomadas en cuenta.</w:t>
      </w:r>
    </w:p>
    <w:p w14:paraId="0B6967C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En ese sentido, es conveniente ordenar una nueva búsqueda dentro del archivo de concentración para efecto de que se localicen los documentos que den cuenta de la recaudación de impuestos y derechos referidos en la solicitud de información del 1 de enero del 2011 al 31 de diciembre de 2021, no obstante, de ser el caso en el que no se cuente con la información, deberá hacerse entrega del acuerdo en el que se declare la inexistencia.</w:t>
      </w:r>
    </w:p>
    <w:p w14:paraId="65BFF957"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31B2947B" w14:textId="18DEC2E2"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Ahora bien, es de precisar que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fue omiso en pronunciarse respecto de dos planteamientos:</w:t>
      </w:r>
    </w:p>
    <w:p w14:paraId="34E71EE9" w14:textId="77777777" w:rsidR="00434410" w:rsidRPr="004915DB" w:rsidRDefault="00434410">
      <w:pPr>
        <w:spacing w:after="0" w:line="360" w:lineRule="auto"/>
        <w:ind w:right="49"/>
        <w:jc w:val="both"/>
        <w:rPr>
          <w:rFonts w:ascii="Palatino Linotype" w:eastAsia="Palatino Linotype" w:hAnsi="Palatino Linotype" w:cs="Palatino Linotype"/>
          <w:sz w:val="24"/>
          <w:szCs w:val="24"/>
        </w:rPr>
      </w:pPr>
    </w:p>
    <w:p w14:paraId="2AF7136B" w14:textId="77777777" w:rsidR="008B38A1" w:rsidRPr="004915DB" w:rsidRDefault="00553CE8">
      <w:pPr>
        <w:spacing w:after="240" w:line="276" w:lineRule="auto"/>
        <w:ind w:left="567" w:right="99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iii. Indicar el número de anuncios que no pagan impuesto por estar en el supuesto del penúltimo párrafo del artículo 121 del Código Financiero del Estado de México y Municipios., por cada uno de los años a partir del 2011 hasta el 2021. </w:t>
      </w:r>
    </w:p>
    <w:p w14:paraId="63B0B674" w14:textId="77777777" w:rsidR="008B38A1" w:rsidRPr="004915DB" w:rsidRDefault="00553CE8">
      <w:pPr>
        <w:spacing w:before="240" w:after="0" w:line="276" w:lineRule="auto"/>
        <w:ind w:left="567" w:right="99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1. Especificar ¿cuántas personas Físicas o Jurídicas Colectivas pagan el Derecho de refrendo por cada inciso del A) a la G)? y ¿cuántos pagan dos o </w:t>
      </w:r>
      <w:r w:rsidRPr="004915DB">
        <w:rPr>
          <w:rFonts w:ascii="Palatino Linotype" w:eastAsia="Palatino Linotype" w:hAnsi="Palatino Linotype" w:cs="Palatino Linotype"/>
        </w:rPr>
        <w:t xml:space="preserve">más </w:t>
      </w:r>
      <w:r w:rsidRPr="004915DB">
        <w:rPr>
          <w:rFonts w:ascii="Palatino Linotype" w:eastAsia="Palatino Linotype" w:hAnsi="Palatino Linotype" w:cs="Palatino Linotype"/>
          <w:sz w:val="24"/>
          <w:szCs w:val="24"/>
        </w:rPr>
        <w:t>Derechos establecidos en el artículo 159 fracción I del Código Financiero del Estado de México y Municipios?</w:t>
      </w:r>
    </w:p>
    <w:p w14:paraId="0D545E07" w14:textId="77777777" w:rsidR="008B38A1" w:rsidRPr="004915DB" w:rsidRDefault="008B38A1">
      <w:pPr>
        <w:spacing w:after="0" w:line="360" w:lineRule="auto"/>
        <w:ind w:right="992"/>
        <w:jc w:val="both"/>
        <w:rPr>
          <w:rFonts w:ascii="Palatino Linotype" w:eastAsia="Palatino Linotype" w:hAnsi="Palatino Linotype" w:cs="Palatino Linotype"/>
          <w:sz w:val="24"/>
          <w:szCs w:val="24"/>
        </w:rPr>
      </w:pPr>
    </w:p>
    <w:p w14:paraId="78A7FCDE"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Asimismo, se pronuncia de forma parcial, ya que únicamente se pronunció del mes de julio al mes de diciembre del año 2021, del siguiente punto de la solicitud de información. </w:t>
      </w:r>
    </w:p>
    <w:p w14:paraId="5F9CD80B" w14:textId="77777777" w:rsidR="008B38A1" w:rsidRPr="004915DB" w:rsidRDefault="008B38A1">
      <w:pPr>
        <w:spacing w:after="0" w:line="360" w:lineRule="auto"/>
        <w:ind w:right="992"/>
        <w:jc w:val="both"/>
        <w:rPr>
          <w:rFonts w:ascii="Palatino Linotype" w:eastAsia="Palatino Linotype" w:hAnsi="Palatino Linotype" w:cs="Palatino Linotype"/>
          <w:sz w:val="24"/>
          <w:szCs w:val="24"/>
        </w:rPr>
      </w:pPr>
    </w:p>
    <w:p w14:paraId="1F190087" w14:textId="77777777" w:rsidR="008B38A1" w:rsidRPr="004915DB" w:rsidRDefault="00553CE8">
      <w:pPr>
        <w:spacing w:after="240" w:line="360" w:lineRule="auto"/>
        <w:ind w:left="567" w:right="993"/>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1. ¿Cuál es el Número de cajones autorizados para la prestación de servicios, de sitios de taxis o bases de servicio público de transporte de pasajeros? </w:t>
      </w:r>
    </w:p>
    <w:p w14:paraId="1D360F6A" w14:textId="77777777" w:rsidR="008B38A1" w:rsidRPr="004915DB" w:rsidRDefault="00553CE8">
      <w:pPr>
        <w:spacing w:before="240" w:after="24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tanto, se estima que dicha circunstancia contraviene a los principios de congruencia y exhaustividad, plasmados en </w:t>
      </w:r>
      <w:r w:rsidRPr="004915DB">
        <w:rPr>
          <w:rFonts w:ascii="Palatino Linotype" w:eastAsia="Palatino Linotype" w:hAnsi="Palatino Linotype" w:cs="Palatino Linotype"/>
          <w:sz w:val="24"/>
          <w:szCs w:val="24"/>
          <w:u w:val="single"/>
        </w:rPr>
        <w:t xml:space="preserve">el Criterio 02/17, emitido por el Pleno del </w:t>
      </w:r>
      <w:r w:rsidRPr="004915DB">
        <w:rPr>
          <w:rFonts w:ascii="Palatino Linotype" w:eastAsia="Palatino Linotype" w:hAnsi="Palatino Linotype" w:cs="Palatino Linotype"/>
          <w:sz w:val="24"/>
          <w:szCs w:val="24"/>
        </w:rPr>
        <w:t xml:space="preserve">Instituto Nacional de Transparencia y Acceso a la Información y Protección de Datos Personales, mismo que se insertó en su totalidad, en líneas anteriores, es por ello que se estima que </w:t>
      </w:r>
      <w:r w:rsidRPr="004915DB">
        <w:rPr>
          <w:rFonts w:ascii="Palatino Linotype" w:eastAsia="Palatino Linotype" w:hAnsi="Palatino Linotype" w:cs="Palatino Linotype"/>
          <w:b/>
          <w:sz w:val="24"/>
          <w:szCs w:val="24"/>
        </w:rPr>
        <w:t xml:space="preserve">EL SUJETO OBLIGADO </w:t>
      </w:r>
      <w:r w:rsidRPr="004915DB">
        <w:rPr>
          <w:rFonts w:ascii="Palatino Linotype" w:eastAsia="Palatino Linotype" w:hAnsi="Palatino Linotype" w:cs="Palatino Linotype"/>
          <w:sz w:val="24"/>
          <w:szCs w:val="24"/>
        </w:rPr>
        <w:t xml:space="preserve">no atendió el derecho de acceso el derecho de acceso a la información pública del ahora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xml:space="preserve">, toda vez que se reitera, incumplió con el principio de exhaustividad, ante la falta de atención de dichos requerimientos, los cuales debieron ser atendidos por la Tesorería Municipal, esto en virtud de que el Código Financiero del Estado de México, señala que es la instancia competente para recibir los pagos de impuestos y derechos por los conceptos señalados: </w:t>
      </w:r>
    </w:p>
    <w:p w14:paraId="3DFA1D37"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“Artículo 7.- </w:t>
      </w:r>
      <w:r w:rsidRPr="004915DB">
        <w:rPr>
          <w:rFonts w:ascii="Palatino Linotype" w:eastAsia="Palatino Linotype" w:hAnsi="Palatino Linotype" w:cs="Palatino Linotype"/>
          <w:b/>
          <w:i/>
        </w:rPr>
        <w:t>Para cubrir el gasto público y demás obligaciones a su cargo</w:t>
      </w:r>
      <w:r w:rsidRPr="004915DB">
        <w:rPr>
          <w:rFonts w:ascii="Palatino Linotype" w:eastAsia="Palatino Linotype" w:hAnsi="Palatino Linotype" w:cs="Palatino Linotype"/>
          <w:i/>
        </w:rPr>
        <w:t xml:space="preserve">, el Estado y </w:t>
      </w:r>
      <w:r w:rsidRPr="004915DB">
        <w:rPr>
          <w:rFonts w:ascii="Palatino Linotype" w:eastAsia="Palatino Linotype" w:hAnsi="Palatino Linotype" w:cs="Palatino Linotype"/>
          <w:b/>
          <w:i/>
          <w:u w:val="single"/>
        </w:rPr>
        <w:t>los Municipios percibirán en cada ejercicio fiscal los impuestos</w:t>
      </w:r>
      <w:r w:rsidRPr="004915DB">
        <w:rPr>
          <w:rFonts w:ascii="Palatino Linotype" w:eastAsia="Palatino Linotype" w:hAnsi="Palatino Linotype" w:cs="Palatino Linotype"/>
          <w:i/>
        </w:rPr>
        <w:t xml:space="preserve">, </w:t>
      </w:r>
      <w:r w:rsidRPr="004915DB">
        <w:rPr>
          <w:rFonts w:ascii="Palatino Linotype" w:eastAsia="Palatino Linotype" w:hAnsi="Palatino Linotype" w:cs="Palatino Linotype"/>
          <w:b/>
          <w:i/>
          <w:u w:val="single"/>
        </w:rPr>
        <w:t>derechos,</w:t>
      </w:r>
      <w:r w:rsidRPr="004915DB">
        <w:rPr>
          <w:rFonts w:ascii="Palatino Linotype" w:eastAsia="Palatino Linotype" w:hAnsi="Palatino Linotype" w:cs="Palatino Linotype"/>
          <w:i/>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14:paraId="3F3F9A4D"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060F5537"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Artículo 16.- </w:t>
      </w:r>
      <w:r w:rsidRPr="004915DB">
        <w:rPr>
          <w:rFonts w:ascii="Palatino Linotype" w:eastAsia="Palatino Linotype" w:hAnsi="Palatino Linotype" w:cs="Palatino Linotype"/>
          <w:b/>
          <w:i/>
        </w:rPr>
        <w:t>Son autoridades fiscales</w:t>
      </w:r>
      <w:r w:rsidRPr="004915DB">
        <w:rPr>
          <w:rFonts w:ascii="Palatino Linotype" w:eastAsia="Palatino Linotype" w:hAnsi="Palatino Linotype" w:cs="Palatino Linotype"/>
          <w:i/>
        </w:rPr>
        <w:t xml:space="preserve">, el Gobernador, los ayuntamientos, los presidentes, síndicos y </w:t>
      </w:r>
      <w:r w:rsidRPr="004915DB">
        <w:rPr>
          <w:rFonts w:ascii="Palatino Linotype" w:eastAsia="Palatino Linotype" w:hAnsi="Palatino Linotype" w:cs="Palatino Linotype"/>
          <w:b/>
          <w:i/>
          <w:u w:val="single"/>
        </w:rPr>
        <w:t>tesoreros municipales</w:t>
      </w:r>
      <w:r w:rsidRPr="004915DB">
        <w:rPr>
          <w:rFonts w:ascii="Palatino Linotype" w:eastAsia="Palatino Linotype" w:hAnsi="Palatino Linotype" w:cs="Palatino Linotype"/>
          <w:i/>
        </w:rPr>
        <w:t xml:space="preserve">, así como los servidores públicos de las dependencias o unidades administrativas, y de los organismos públicos </w:t>
      </w:r>
      <w:r w:rsidRPr="004915DB">
        <w:rPr>
          <w:rFonts w:ascii="Palatino Linotype" w:eastAsia="Palatino Linotype" w:hAnsi="Palatino Linotype" w:cs="Palatino Linotype"/>
          <w:i/>
        </w:rPr>
        <w:lastRenderedPageBreak/>
        <w:t>descentralizados, que en términos de las disposiciones legales y reglamentarias tengan atribuciones de esta naturaleza.</w:t>
      </w:r>
    </w:p>
    <w:p w14:paraId="1544DF46"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0E362E10"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TITULO CUARTO </w:t>
      </w:r>
    </w:p>
    <w:p w14:paraId="4F91E70A"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DE LOS INGRESOS DE LOS MUNICIPIOS</w:t>
      </w:r>
    </w:p>
    <w:p w14:paraId="2B59528F"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SECCION CUARTA </w:t>
      </w:r>
    </w:p>
    <w:p w14:paraId="1CC10F51"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DEL IMPUESTO SOBRE ANUNCIOS PUBLICITARIOS</w:t>
      </w:r>
    </w:p>
    <w:p w14:paraId="35756853"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Art. 121</w:t>
      </w:r>
    </w:p>
    <w:p w14:paraId="74300015"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0800DDA"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7BA05782"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w:t>
      </w:r>
    </w:p>
    <w:p w14:paraId="514A050B"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Artículo 157.- </w:t>
      </w:r>
      <w:r w:rsidRPr="004915DB">
        <w:rPr>
          <w:rFonts w:ascii="Palatino Linotype" w:eastAsia="Palatino Linotype" w:hAnsi="Palatino Linotype" w:cs="Palatino Linotype"/>
          <w:b/>
          <w:i/>
        </w:rPr>
        <w:t>Los conductores de vehículos automotores, que ocupen la vía pública y los lugares de uso común de los centros de población como estacionamiento, para base de taxis, en las calles y sitios que conforme a las disposiciones legales aplicables determine la autoridad; así como personas físicas y jurídicas colectivas propietarias de establecimientos comerciales o de servicios, que en beneficio de sí o de sus clientes aprovechen los lugares autorizados para estacionarse en la vía pública pagarán derechos de acuerdo a la siguiente</w:t>
      </w:r>
      <w:r w:rsidRPr="004915DB">
        <w:rPr>
          <w:rFonts w:ascii="Palatino Linotype" w:eastAsia="Palatino Linotype" w:hAnsi="Palatino Linotype" w:cs="Palatino Linotype"/>
          <w:i/>
        </w:rPr>
        <w:t>:</w:t>
      </w:r>
    </w:p>
    <w:p w14:paraId="1FB069B7" w14:textId="77777777" w:rsidR="008B38A1" w:rsidRPr="004915DB" w:rsidRDefault="00553CE8">
      <w:pPr>
        <w:spacing w:before="240" w:after="240" w:line="276" w:lineRule="auto"/>
        <w:jc w:val="both"/>
        <w:rPr>
          <w:rFonts w:ascii="Palatino Linotype" w:eastAsia="Palatino Linotype" w:hAnsi="Palatino Linotype" w:cs="Palatino Linotype"/>
          <w:i/>
        </w:rPr>
      </w:pPr>
      <w:r w:rsidRPr="004915DB">
        <w:rPr>
          <w:rFonts w:ascii="Palatino Linotype" w:eastAsia="Palatino Linotype" w:hAnsi="Palatino Linotype" w:cs="Palatino Linotype"/>
          <w:i/>
          <w:noProof/>
        </w:rPr>
        <w:lastRenderedPageBreak/>
        <w:drawing>
          <wp:inline distT="0" distB="0" distL="0" distR="0" wp14:anchorId="313FEEDA" wp14:editId="7CBAE9CC">
            <wp:extent cx="5345752" cy="3627880"/>
            <wp:effectExtent l="0" t="0" r="0" b="0"/>
            <wp:docPr id="121"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19"/>
                    <a:srcRect/>
                    <a:stretch>
                      <a:fillRect/>
                    </a:stretch>
                  </pic:blipFill>
                  <pic:spPr>
                    <a:xfrm>
                      <a:off x="0" y="0"/>
                      <a:ext cx="5345752" cy="3627880"/>
                    </a:xfrm>
                    <a:prstGeom prst="rect">
                      <a:avLst/>
                    </a:prstGeom>
                    <a:ln/>
                  </pic:spPr>
                </pic:pic>
              </a:graphicData>
            </a:graphic>
          </wp:inline>
        </w:drawing>
      </w:r>
      <w:r w:rsidRPr="004915DB">
        <w:rPr>
          <w:noProof/>
        </w:rPr>
        <mc:AlternateContent>
          <mc:Choice Requires="wps">
            <w:drawing>
              <wp:anchor distT="0" distB="0" distL="114300" distR="114300" simplePos="0" relativeHeight="251661312" behindDoc="0" locked="0" layoutInCell="1" hidden="0" allowOverlap="1" wp14:anchorId="29A837B0" wp14:editId="356D2917">
                <wp:simplePos x="0" y="0"/>
                <wp:positionH relativeFrom="column">
                  <wp:posOffset>63501</wp:posOffset>
                </wp:positionH>
                <wp:positionV relativeFrom="paragraph">
                  <wp:posOffset>2463800</wp:posOffset>
                </wp:positionV>
                <wp:extent cx="5314950" cy="1143000"/>
                <wp:effectExtent l="0" t="0" r="0" b="0"/>
                <wp:wrapNone/>
                <wp:docPr id="106" name="Rectángulo 106"/>
                <wp:cNvGraphicFramePr/>
                <a:graphic xmlns:a="http://schemas.openxmlformats.org/drawingml/2006/main">
                  <a:graphicData uri="http://schemas.microsoft.com/office/word/2010/wordprocessingShape">
                    <wps:wsp>
                      <wps:cNvSpPr/>
                      <wps:spPr>
                        <a:xfrm>
                          <a:off x="2745675" y="3265650"/>
                          <a:ext cx="5200650" cy="1028700"/>
                        </a:xfrm>
                        <a:prstGeom prst="rect">
                          <a:avLst/>
                        </a:prstGeom>
                        <a:noFill/>
                        <a:ln w="28575" cap="flat" cmpd="sng">
                          <a:solidFill>
                            <a:schemeClr val="dk2"/>
                          </a:solidFill>
                          <a:prstDash val="solid"/>
                          <a:round/>
                          <a:headEnd type="none" w="sm" len="sm"/>
                          <a:tailEnd type="none" w="sm" len="sm"/>
                        </a:ln>
                      </wps:spPr>
                      <wps:txbx>
                        <w:txbxContent>
                          <w:p w14:paraId="433608BD" w14:textId="77777777" w:rsidR="00866E0E" w:rsidRDefault="00866E0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06" o:spid="_x0000_s1028" style="position:absolute;left:0;text-align:left;margin-left:5pt;margin-top:194pt;width:418.5pt;height:9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" filled="f" strokecolor="#44546a [3202]" strokeweight="2.25pt">
                <v:stroke startarrowwidth="narrow" startarrowlength="short" endarrowwidth="narrow" endarrowlength="short" joinstyle="round"/>
                <v:textbox inset="2.53958mm,2.53958mm,2.53958mm,2.53958mm">
                  <w:txbxContent>
                    <w:p w:rsidR="00866E0E" w:rsidRDefault="00866E0E">
                      <w:pPr>
                        <w:spacing w:line="258" w:lineRule="auto"/>
                        <w:textDirection w:val="btLr"/>
                      </w:pPr>
                    </w:p>
                  </w:txbxContent>
                </v:textbox>
              </v:rect>
            </w:pict>
          </mc:Fallback>
        </mc:AlternateContent>
      </w:r>
      <w:r w:rsidRPr="004915DB">
        <w:rPr>
          <w:noProof/>
        </w:rPr>
        <mc:AlternateContent>
          <mc:Choice Requires="wps">
            <w:drawing>
              <wp:anchor distT="0" distB="0" distL="114300" distR="114300" simplePos="0" relativeHeight="251662336" behindDoc="0" locked="0" layoutInCell="1" hidden="0" allowOverlap="1" wp14:anchorId="37CE1C24" wp14:editId="791A612C">
                <wp:simplePos x="0" y="0"/>
                <wp:positionH relativeFrom="column">
                  <wp:posOffset>431800</wp:posOffset>
                </wp:positionH>
                <wp:positionV relativeFrom="paragraph">
                  <wp:posOffset>2832100</wp:posOffset>
                </wp:positionV>
                <wp:extent cx="9525" cy="25400"/>
                <wp:effectExtent l="0" t="0" r="0" b="0"/>
                <wp:wrapNone/>
                <wp:docPr id="105" name="Conector recto de flecha 105"/>
                <wp:cNvGraphicFramePr/>
                <a:graphic xmlns:a="http://schemas.openxmlformats.org/drawingml/2006/main">
                  <a:graphicData uri="http://schemas.microsoft.com/office/word/2010/wordprocessingShape">
                    <wps:wsp>
                      <wps:cNvCnPr/>
                      <wps:spPr>
                        <a:xfrm>
                          <a:off x="4203000" y="3775238"/>
                          <a:ext cx="2286000" cy="9525"/>
                        </a:xfrm>
                        <a:prstGeom prst="straightConnector1">
                          <a:avLst/>
                        </a:prstGeom>
                        <a:noFill/>
                        <a:ln w="25400" cap="flat" cmpd="sng">
                          <a:solidFill>
                            <a:schemeClr val="dk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2832100</wp:posOffset>
                </wp:positionV>
                <wp:extent cx="9525" cy="25400"/>
                <wp:effectExtent b="0" l="0" r="0" t="0"/>
                <wp:wrapNone/>
                <wp:docPr id="105"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9525" cy="25400"/>
                        </a:xfrm>
                        <a:prstGeom prst="rect"/>
                        <a:ln/>
                      </pic:spPr>
                    </pic:pic>
                  </a:graphicData>
                </a:graphic>
              </wp:anchor>
            </w:drawing>
          </mc:Fallback>
        </mc:AlternateContent>
      </w:r>
      <w:r w:rsidRPr="004915DB">
        <w:rPr>
          <w:noProof/>
        </w:rPr>
        <mc:AlternateContent>
          <mc:Choice Requires="wps">
            <w:drawing>
              <wp:anchor distT="0" distB="0" distL="114300" distR="114300" simplePos="0" relativeHeight="251663360" behindDoc="0" locked="0" layoutInCell="1" hidden="0" allowOverlap="1" wp14:anchorId="040EDBDC" wp14:editId="49153899">
                <wp:simplePos x="0" y="0"/>
                <wp:positionH relativeFrom="column">
                  <wp:posOffset>88901</wp:posOffset>
                </wp:positionH>
                <wp:positionV relativeFrom="paragraph">
                  <wp:posOffset>952500</wp:posOffset>
                </wp:positionV>
                <wp:extent cx="4419600" cy="504825"/>
                <wp:effectExtent l="0" t="0" r="0" b="0"/>
                <wp:wrapNone/>
                <wp:docPr id="108" name="Rectángulo 108"/>
                <wp:cNvGraphicFramePr/>
                <a:graphic xmlns:a="http://schemas.openxmlformats.org/drawingml/2006/main">
                  <a:graphicData uri="http://schemas.microsoft.com/office/word/2010/wordprocessingShape">
                    <wps:wsp>
                      <wps:cNvSpPr/>
                      <wps:spPr>
                        <a:xfrm>
                          <a:off x="3193350" y="3584738"/>
                          <a:ext cx="4305300" cy="390525"/>
                        </a:xfrm>
                        <a:prstGeom prst="rect">
                          <a:avLst/>
                        </a:prstGeom>
                        <a:noFill/>
                        <a:ln w="28575" cap="flat" cmpd="sng">
                          <a:solidFill>
                            <a:schemeClr val="dk2"/>
                          </a:solidFill>
                          <a:prstDash val="solid"/>
                          <a:round/>
                          <a:headEnd type="none" w="sm" len="sm"/>
                          <a:tailEnd type="none" w="sm" len="sm"/>
                        </a:ln>
                      </wps:spPr>
                      <wps:txbx>
                        <w:txbxContent>
                          <w:p w14:paraId="3710E2C0" w14:textId="77777777" w:rsidR="00866E0E" w:rsidRDefault="00866E0E">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08" o:spid="_x0000_s1029" style="position:absolute;left:0;text-align:left;margin-left:7pt;margin-top:75pt;width:348pt;height:3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" filled="f" strokecolor="#44546a [3202]" strokeweight="2.25pt">
                <v:stroke startarrowwidth="narrow" startarrowlength="short" endarrowwidth="narrow" endarrowlength="short" joinstyle="round"/>
                <v:textbox inset="2.53958mm,2.53958mm,2.53958mm,2.53958mm">
                  <w:txbxContent>
                    <w:p w:rsidR="00866E0E" w:rsidRDefault="00866E0E">
                      <w:pPr>
                        <w:spacing w:line="258" w:lineRule="auto"/>
                        <w:textDirection w:val="btLr"/>
                      </w:pPr>
                    </w:p>
                  </w:txbxContent>
                </v:textbox>
              </v:rect>
            </w:pict>
          </mc:Fallback>
        </mc:AlternateContent>
      </w:r>
    </w:p>
    <w:p w14:paraId="4DD4487A"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i/>
        </w:rPr>
        <w:t xml:space="preserve">Artículo 159. Por la expedición o refrendo de licencias para vender bebidas alcohólicas al público en botella cerrada, o al copeo en general, en establecimientos comerciales, de servicios o de diversión y espectáculos públicos, </w:t>
      </w:r>
      <w:r w:rsidRPr="004915DB">
        <w:rPr>
          <w:rFonts w:ascii="Palatino Linotype" w:eastAsia="Palatino Linotype" w:hAnsi="Palatino Linotype" w:cs="Palatino Linotype"/>
          <w:b/>
          <w:i/>
        </w:rPr>
        <w:t>se pagarán derechos conforme a la siguiente:</w:t>
      </w:r>
    </w:p>
    <w:p w14:paraId="63ED5698"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noProof/>
        </w:rPr>
        <w:lastRenderedPageBreak/>
        <w:drawing>
          <wp:inline distT="0" distB="0" distL="0" distR="0" wp14:anchorId="4E292FD4" wp14:editId="1D1CC796">
            <wp:extent cx="5034971" cy="4679236"/>
            <wp:effectExtent l="0" t="0" r="0" b="0"/>
            <wp:docPr id="120" name="image5.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abla&#10;&#10;Descripción generada automáticamente con confianza media"/>
                    <pic:cNvPicPr preferRelativeResize="0"/>
                  </pic:nvPicPr>
                  <pic:blipFill>
                    <a:blip r:embed="rId21"/>
                    <a:srcRect/>
                    <a:stretch>
                      <a:fillRect/>
                    </a:stretch>
                  </pic:blipFill>
                  <pic:spPr>
                    <a:xfrm>
                      <a:off x="0" y="0"/>
                      <a:ext cx="5034971" cy="4679236"/>
                    </a:xfrm>
                    <a:prstGeom prst="rect">
                      <a:avLst/>
                    </a:prstGeom>
                    <a:ln/>
                  </pic:spPr>
                </pic:pic>
              </a:graphicData>
            </a:graphic>
          </wp:inline>
        </w:drawing>
      </w:r>
    </w:p>
    <w:p w14:paraId="47293965" w14:textId="2A68DBD1" w:rsidR="00B32CEE" w:rsidRPr="004915DB" w:rsidRDefault="00553CE8">
      <w:pPr>
        <w:spacing w:before="240"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anterior, se concluye que dichos planteamientos formulados, se encuentran ligados con el pago de impuestos y derechos que el propio Código Financiero del Estado de México regula y se insiste, dicha información obra en poder de la Tesorería Municipal, es por ello que resulta pertinente ordenar la entrega del o los documentos que den cuenta del número de anuncios </w:t>
      </w:r>
      <w:r w:rsidRPr="004915DB">
        <w:rPr>
          <w:rFonts w:ascii="Palatino Linotype" w:hAnsi="Palatino Linotype"/>
          <w:sz w:val="24"/>
          <w:szCs w:val="24"/>
        </w:rPr>
        <w:t>que no pagan impuesto</w:t>
      </w:r>
      <w:r w:rsidRPr="004915DB">
        <w:rPr>
          <w:rFonts w:ascii="Palatino Linotype" w:eastAsia="Palatino Linotype" w:hAnsi="Palatino Linotype" w:cs="Palatino Linotype"/>
          <w:sz w:val="28"/>
          <w:szCs w:val="28"/>
        </w:rPr>
        <w:t xml:space="preserve"> </w:t>
      </w:r>
      <w:r w:rsidRPr="004915DB">
        <w:rPr>
          <w:rFonts w:ascii="Palatino Linotype" w:eastAsia="Palatino Linotype" w:hAnsi="Palatino Linotype" w:cs="Palatino Linotype"/>
          <w:sz w:val="24"/>
          <w:szCs w:val="24"/>
        </w:rPr>
        <w:t xml:space="preserve">por estar en el supuesto del penúltimo párrafo del artículo 121 del Código Financiero del Estado de México y Municipios, por cada uno de los años a partir del 2011 hasta el 2021, es de precisar que para el caso en el que la información ya no obre en los </w:t>
      </w:r>
      <w:r w:rsidRPr="004915DB">
        <w:rPr>
          <w:rFonts w:ascii="Palatino Linotype" w:eastAsia="Palatino Linotype" w:hAnsi="Palatino Linotype" w:cs="Palatino Linotype"/>
          <w:sz w:val="24"/>
          <w:szCs w:val="24"/>
        </w:rPr>
        <w:lastRenderedPageBreak/>
        <w:t>archivos del Sujeto Obligado,</w:t>
      </w:r>
      <w:r w:rsidR="00B32CEE" w:rsidRPr="004915DB">
        <w:rPr>
          <w:rFonts w:ascii="Palatino Linotype" w:eastAsia="Palatino Linotype" w:hAnsi="Palatino Linotype" w:cs="Palatino Linotype"/>
          <w:sz w:val="24"/>
          <w:szCs w:val="24"/>
        </w:rPr>
        <w:t xml:space="preserve"> cabe mencionar que el documento que podría colmar de manera enunciativa más no limitada, sería el diario de ingresos, de conformidad a las siguientes imágenes:</w:t>
      </w:r>
    </w:p>
    <w:p w14:paraId="268774F8" w14:textId="77777777" w:rsidR="00B32CEE" w:rsidRPr="004915DB" w:rsidRDefault="00B32CEE">
      <w:pPr>
        <w:spacing w:before="240" w:after="0" w:line="360" w:lineRule="auto"/>
        <w:ind w:right="51"/>
        <w:jc w:val="both"/>
        <w:rPr>
          <w:rFonts w:ascii="Palatino Linotype" w:eastAsia="Palatino Linotype" w:hAnsi="Palatino Linotype" w:cs="Palatino Linotype"/>
          <w:sz w:val="24"/>
          <w:szCs w:val="24"/>
        </w:rPr>
      </w:pPr>
      <w:r w:rsidRPr="004915DB">
        <w:rPr>
          <w:noProof/>
        </w:rPr>
        <w:drawing>
          <wp:inline distT="0" distB="0" distL="0" distR="0" wp14:anchorId="2BF9C985" wp14:editId="52AEDAA2">
            <wp:extent cx="5612130" cy="6028055"/>
            <wp:effectExtent l="0" t="0" r="762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6028055"/>
                    </a:xfrm>
                    <a:prstGeom prst="rect">
                      <a:avLst/>
                    </a:prstGeom>
                    <a:noFill/>
                    <a:ln>
                      <a:noFill/>
                    </a:ln>
                  </pic:spPr>
                </pic:pic>
              </a:graphicData>
            </a:graphic>
          </wp:inline>
        </w:drawing>
      </w:r>
    </w:p>
    <w:p w14:paraId="2320031A" w14:textId="1B5EDE4B" w:rsidR="008B38A1" w:rsidRPr="004915DB" w:rsidRDefault="00B32CEE">
      <w:pPr>
        <w:spacing w:before="240" w:after="0" w:line="360" w:lineRule="auto"/>
        <w:ind w:right="51"/>
        <w:jc w:val="both"/>
        <w:rPr>
          <w:rFonts w:ascii="Palatino Linotype" w:eastAsia="Palatino Linotype" w:hAnsi="Palatino Linotype" w:cs="Palatino Linotype"/>
          <w:sz w:val="24"/>
          <w:szCs w:val="24"/>
        </w:rPr>
      </w:pPr>
      <w:r w:rsidRPr="004915DB">
        <w:rPr>
          <w:noProof/>
        </w:rPr>
        <w:lastRenderedPageBreak/>
        <mc:AlternateContent>
          <mc:Choice Requires="wps">
            <w:drawing>
              <wp:anchor distT="0" distB="0" distL="114300" distR="114300" simplePos="0" relativeHeight="251664384" behindDoc="0" locked="0" layoutInCell="1" allowOverlap="1" wp14:anchorId="75E2A850" wp14:editId="24836ACB">
                <wp:simplePos x="0" y="0"/>
                <wp:positionH relativeFrom="margin">
                  <wp:align>right</wp:align>
                </wp:positionH>
                <wp:positionV relativeFrom="paragraph">
                  <wp:posOffset>3393440</wp:posOffset>
                </wp:positionV>
                <wp:extent cx="5238750" cy="1009650"/>
                <wp:effectExtent l="19050" t="19050" r="19050" b="19050"/>
                <wp:wrapNone/>
                <wp:docPr id="5" name="Rectángulo: esquinas redondeadas 5"/>
                <wp:cNvGraphicFramePr/>
                <a:graphic xmlns:a="http://schemas.openxmlformats.org/drawingml/2006/main">
                  <a:graphicData uri="http://schemas.microsoft.com/office/word/2010/wordprocessingShape">
                    <wps:wsp>
                      <wps:cNvSpPr/>
                      <wps:spPr>
                        <a:xfrm>
                          <a:off x="0" y="0"/>
                          <a:ext cx="5238750" cy="1009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EB352B" id="Rectángulo: esquinas redondeadas 5" o:spid="_x0000_s1026" style="position:absolute;margin-left:361.3pt;margin-top:267.2pt;width:412.5pt;height:79.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" filled="f" strokecolor="red" strokeweight="3pt">
                <v:stroke joinstyle="miter"/>
                <w10:wrap anchorx="margin"/>
              </v:roundrect>
            </w:pict>
          </mc:Fallback>
        </mc:AlternateContent>
      </w:r>
      <w:r w:rsidRPr="004915DB">
        <w:rPr>
          <w:noProof/>
        </w:rPr>
        <w:drawing>
          <wp:inline distT="0" distB="0" distL="0" distR="0" wp14:anchorId="3D41724F" wp14:editId="50A0E21C">
            <wp:extent cx="5612130" cy="5203190"/>
            <wp:effectExtent l="0" t="0" r="7620" b="0"/>
            <wp:docPr id="4" name="Imagen 4"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5203190"/>
                    </a:xfrm>
                    <a:prstGeom prst="rect">
                      <a:avLst/>
                    </a:prstGeom>
                    <a:noFill/>
                    <a:ln>
                      <a:noFill/>
                    </a:ln>
                  </pic:spPr>
                </pic:pic>
              </a:graphicData>
            </a:graphic>
          </wp:inline>
        </w:drawing>
      </w:r>
      <w:r w:rsidR="00553CE8" w:rsidRPr="004915DB">
        <w:rPr>
          <w:rFonts w:ascii="Palatino Linotype" w:eastAsia="Palatino Linotype" w:hAnsi="Palatino Linotype" w:cs="Palatino Linotype"/>
          <w:sz w:val="24"/>
          <w:szCs w:val="24"/>
        </w:rPr>
        <w:t xml:space="preserve"> </w:t>
      </w:r>
      <w:r w:rsidR="007E6EF2" w:rsidRPr="004915DB">
        <w:rPr>
          <w:rFonts w:ascii="Palatino Linotype" w:eastAsia="Palatino Linotype" w:hAnsi="Palatino Linotype" w:cs="Palatino Linotype"/>
          <w:sz w:val="24"/>
          <w:szCs w:val="24"/>
        </w:rPr>
        <w:t>D</w:t>
      </w:r>
      <w:r w:rsidR="00553CE8" w:rsidRPr="004915DB">
        <w:rPr>
          <w:rFonts w:ascii="Palatino Linotype" w:eastAsia="Palatino Linotype" w:hAnsi="Palatino Linotype" w:cs="Palatino Linotype"/>
          <w:sz w:val="24"/>
          <w:szCs w:val="24"/>
        </w:rPr>
        <w:t xml:space="preserve">erivado de la temporalidad 2011-2021, deberá atender lo planteado anteriormente respecto del archivo de concentración y en consecuencia, deberá 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w:t>
      </w:r>
      <w:r w:rsidR="00553CE8" w:rsidRPr="004915DB">
        <w:rPr>
          <w:rFonts w:ascii="Palatino Linotype" w:eastAsia="Palatino Linotype" w:hAnsi="Palatino Linotype" w:cs="Palatino Linotype"/>
          <w:sz w:val="24"/>
          <w:szCs w:val="24"/>
        </w:rPr>
        <w:lastRenderedPageBreak/>
        <w:t>artículo 19, párrafo segundo de la Ley de Transparencia y Acceso a la Información Pública del Estado de México y Municipios, que es del tenor literal siguiente:</w:t>
      </w:r>
    </w:p>
    <w:p w14:paraId="1E23B5EB" w14:textId="77777777" w:rsidR="008B38A1" w:rsidRPr="004915DB" w:rsidRDefault="008B38A1">
      <w:pPr>
        <w:spacing w:after="0" w:line="360" w:lineRule="auto"/>
        <w:ind w:right="51"/>
        <w:jc w:val="both"/>
        <w:rPr>
          <w:rFonts w:ascii="Palatino Linotype" w:eastAsia="Palatino Linotype" w:hAnsi="Palatino Linotype" w:cs="Palatino Linotype"/>
          <w:sz w:val="24"/>
          <w:szCs w:val="24"/>
        </w:rPr>
      </w:pPr>
    </w:p>
    <w:p w14:paraId="5B06B80F" w14:textId="77777777" w:rsidR="008B38A1" w:rsidRPr="004915DB" w:rsidRDefault="00553CE8">
      <w:pPr>
        <w:spacing w:after="120"/>
        <w:ind w:left="851" w:right="902"/>
        <w:jc w:val="both"/>
        <w:rPr>
          <w:rFonts w:ascii="Palatino Linotype" w:eastAsia="Palatino Linotype" w:hAnsi="Palatino Linotype" w:cs="Palatino Linotype"/>
          <w:b/>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Artículo 19</w:t>
      </w:r>
    </w:p>
    <w:p w14:paraId="2BD0006D"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65AD1B6E"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3D022FE4" w14:textId="77777777" w:rsidR="008B38A1" w:rsidRPr="004915DB" w:rsidRDefault="008B38A1">
      <w:pPr>
        <w:spacing w:before="120" w:after="120"/>
        <w:ind w:left="851" w:right="902"/>
        <w:jc w:val="both"/>
        <w:rPr>
          <w:rFonts w:ascii="Palatino Linotype" w:eastAsia="Palatino Linotype" w:hAnsi="Palatino Linotype" w:cs="Palatino Linotype"/>
          <w:i/>
        </w:rPr>
      </w:pPr>
    </w:p>
    <w:p w14:paraId="17F40B02" w14:textId="77777777" w:rsidR="008B38A1" w:rsidRPr="004915DB" w:rsidRDefault="00553CE8">
      <w:pPr>
        <w:spacing w:before="12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Asimismo, deberá señalar el número de cajones autorizados para la prestación de servicios, de sitios de taxis o bases de servicio público de transporte de pasajeros y número de personas Físicas o Jurídicas Colectivas pagan el Derecho de refrendo por cada inciso del A) a la G, al 25 de mayo de 2022, omitiendo la información del primero de julio al 31 de diciembre de dos mil veintiuno, ya que esta fue entregada mediante su respuesta inicial.</w:t>
      </w:r>
    </w:p>
    <w:p w14:paraId="085702A7"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w:t>
      </w:r>
    </w:p>
    <w:p w14:paraId="0D0D799E" w14:textId="77777777" w:rsidR="008B38A1" w:rsidRPr="004915DB" w:rsidRDefault="00553CE8">
      <w:pPr>
        <w:spacing w:after="0" w:line="360" w:lineRule="auto"/>
        <w:jc w:val="both"/>
        <w:rPr>
          <w:rFonts w:ascii="Palatino Linotype" w:eastAsia="Palatino Linotype" w:hAnsi="Palatino Linotype" w:cs="Palatino Linotype"/>
          <w:i/>
        </w:rPr>
      </w:pPr>
      <w:r w:rsidRPr="004915DB">
        <w:rPr>
          <w:rFonts w:ascii="Palatino Linotype" w:eastAsia="Palatino Linotype" w:hAnsi="Palatino Linotype" w:cs="Palatino Linotype"/>
          <w:sz w:val="24"/>
          <w:szCs w:val="24"/>
        </w:rPr>
        <w:t xml:space="preserve">Respecto al número de las personas físicas o jurídico colectivos que pagan dos o más Derechos establecidos en el artículo 159 fracción I del Código Financiero del Estado de México, se advierte que, para obtener el dato que específicamente requiere la parte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xml:space="preserve">, implicaría que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realice un procesamiento o investigación, para satisfacer los intereses del particular, por lo tanto, no podría atenderse, toda vez que se contravendría lo dispuesto por el artículo 12 de la Ley de Transparencia y Acceso a la Información Pública del Estado de México y Municipios, mismo que fue citado anteriormente. </w:t>
      </w:r>
    </w:p>
    <w:p w14:paraId="58FF57AC" w14:textId="77777777" w:rsidR="008B38A1" w:rsidRPr="004915DB" w:rsidRDefault="008B38A1">
      <w:pPr>
        <w:spacing w:line="360" w:lineRule="auto"/>
        <w:ind w:right="49"/>
        <w:jc w:val="both"/>
        <w:rPr>
          <w:rFonts w:ascii="Palatino Linotype" w:eastAsia="Palatino Linotype" w:hAnsi="Palatino Linotype" w:cs="Palatino Linotype"/>
          <w:sz w:val="24"/>
          <w:szCs w:val="24"/>
        </w:rPr>
      </w:pPr>
    </w:p>
    <w:tbl>
      <w:tblPr>
        <w:tblStyle w:val="a3"/>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4915DB" w:rsidRPr="004915DB" w14:paraId="4CA546A3" w14:textId="77777777">
        <w:tc>
          <w:tcPr>
            <w:tcW w:w="2291" w:type="dxa"/>
            <w:shd w:val="clear" w:color="auto" w:fill="BFBFBF"/>
          </w:tcPr>
          <w:p w14:paraId="56D340F1"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Información requerida.</w:t>
            </w:r>
          </w:p>
        </w:tc>
        <w:tc>
          <w:tcPr>
            <w:tcW w:w="2179" w:type="dxa"/>
            <w:shd w:val="clear" w:color="auto" w:fill="BFBFBF"/>
          </w:tcPr>
          <w:p w14:paraId="016F4721"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Respuesta</w:t>
            </w:r>
          </w:p>
        </w:tc>
        <w:tc>
          <w:tcPr>
            <w:tcW w:w="2179" w:type="dxa"/>
            <w:shd w:val="clear" w:color="auto" w:fill="BFBFBF"/>
          </w:tcPr>
          <w:p w14:paraId="25086DD8"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Informe Justificado</w:t>
            </w:r>
          </w:p>
        </w:tc>
        <w:tc>
          <w:tcPr>
            <w:tcW w:w="2179" w:type="dxa"/>
            <w:shd w:val="clear" w:color="auto" w:fill="BFBFBF"/>
          </w:tcPr>
          <w:p w14:paraId="4F6ABB6E" w14:textId="77777777" w:rsidR="008B38A1" w:rsidRPr="004915DB" w:rsidRDefault="00553CE8">
            <w:pPr>
              <w:spacing w:before="240" w:after="240"/>
              <w:ind w:firstLine="114"/>
              <w:jc w:val="center"/>
              <w:rPr>
                <w:rFonts w:ascii="Palatino Linotype" w:eastAsia="Palatino Linotype" w:hAnsi="Palatino Linotype" w:cs="Palatino Linotype"/>
                <w:b/>
                <w:i/>
                <w:sz w:val="18"/>
                <w:szCs w:val="18"/>
              </w:rPr>
            </w:pPr>
            <w:r w:rsidRPr="004915DB">
              <w:rPr>
                <w:rFonts w:ascii="Palatino Linotype" w:eastAsia="Palatino Linotype" w:hAnsi="Palatino Linotype" w:cs="Palatino Linotype"/>
                <w:b/>
                <w:i/>
                <w:sz w:val="18"/>
                <w:szCs w:val="18"/>
              </w:rPr>
              <w:t>¿Colma?</w:t>
            </w:r>
          </w:p>
        </w:tc>
      </w:tr>
      <w:tr w:rsidR="004915DB" w:rsidRPr="004915DB" w14:paraId="31D1A721" w14:textId="77777777">
        <w:tc>
          <w:tcPr>
            <w:tcW w:w="2291" w:type="dxa"/>
          </w:tcPr>
          <w:p w14:paraId="7B93AAEF"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23. ¿El municipio tiene Reglamentos, manuales de operación o lineamientos para la recaudación de los siguientes conceptos?:</w:t>
            </w:r>
          </w:p>
          <w:p w14:paraId="6B119D3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a. Impuestos Publicitarios </w:t>
            </w:r>
          </w:p>
          <w:p w14:paraId="1DC933B4"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 Lineamientos para el desarrollo de las actividades fracciones IV y VI del Artículo 121 del Código Financiero del Estado de México y Municipios</w:t>
            </w:r>
          </w:p>
          <w:p w14:paraId="4AD14972"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b. Impuestos sobre Diversiones, Juegos y Espectáculos</w:t>
            </w:r>
          </w:p>
          <w:p w14:paraId="59FB7813"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 Derechos de Desarrollo Urbano</w:t>
            </w:r>
          </w:p>
          <w:p w14:paraId="1F3A4CB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d. Derechos por el uso de las vías y áreas públicas para el ejercicio de actividades de </w:t>
            </w:r>
          </w:p>
          <w:p w14:paraId="1A9CE956"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comercio o de servicio</w:t>
            </w:r>
          </w:p>
          <w:p w14:paraId="10B04337"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 xml:space="preserve">i. Conforme a lo establecido en materia de salud y al artículo 1 Objeto de Ley </w:t>
            </w:r>
          </w:p>
          <w:p w14:paraId="550F4695"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de la Ley de Movilidad del Estado de México.</w:t>
            </w:r>
          </w:p>
          <w:p w14:paraId="4613A569"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ii. Conforme a lo establecido en el Artículo 154 bis del Código Financiero del Estado de México y Municipios</w:t>
            </w:r>
          </w:p>
          <w:p w14:paraId="7ABD7A78"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521038D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t>f. Derechos por la Expedición o Refrendo Anual de Bebidas Alcohólicas al Publico Alineados a lo que establece la Ley de Competitividad y Ordenamiento Comercial del Estado de México, El Catálogo Mexiquense de Actividades Industriales, Comerciales y de Servicios de Bajo Riesgo y en materia de salud (COPRISEM)</w:t>
            </w:r>
          </w:p>
        </w:tc>
        <w:tc>
          <w:tcPr>
            <w:tcW w:w="2179" w:type="dxa"/>
            <w:vAlign w:val="center"/>
          </w:tcPr>
          <w:p w14:paraId="53608111" w14:textId="77777777" w:rsidR="008B38A1" w:rsidRPr="004915DB" w:rsidRDefault="00553CE8">
            <w:pPr>
              <w:spacing w:before="240" w:after="240"/>
              <w:jc w:val="both"/>
              <w:rPr>
                <w:rFonts w:ascii="Palatino Linotype" w:eastAsia="Palatino Linotype" w:hAnsi="Palatino Linotype" w:cs="Palatino Linotype"/>
                <w:sz w:val="18"/>
                <w:szCs w:val="18"/>
              </w:rPr>
            </w:pPr>
            <w:r w:rsidRPr="004915DB">
              <w:rPr>
                <w:rFonts w:ascii="Palatino Linotype" w:eastAsia="Palatino Linotype" w:hAnsi="Palatino Linotype" w:cs="Palatino Linotype"/>
                <w:sz w:val="18"/>
                <w:szCs w:val="18"/>
              </w:rPr>
              <w:lastRenderedPageBreak/>
              <w:t>No se pronuncia.</w:t>
            </w:r>
          </w:p>
        </w:tc>
        <w:tc>
          <w:tcPr>
            <w:tcW w:w="2179" w:type="dxa"/>
            <w:vAlign w:val="center"/>
          </w:tcPr>
          <w:p w14:paraId="38444C88" w14:textId="77777777" w:rsidR="008B38A1" w:rsidRPr="004915DB" w:rsidRDefault="00553CE8">
            <w:pPr>
              <w:spacing w:before="240" w:after="240"/>
              <w:jc w:val="center"/>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N/a</w:t>
            </w:r>
          </w:p>
        </w:tc>
        <w:tc>
          <w:tcPr>
            <w:tcW w:w="2179" w:type="dxa"/>
          </w:tcPr>
          <w:p w14:paraId="2F38D1B4" w14:textId="77777777" w:rsidR="008B38A1" w:rsidRPr="004915DB" w:rsidRDefault="00553CE8">
            <w:pPr>
              <w:spacing w:before="240" w:after="240"/>
              <w:jc w:val="both"/>
              <w:rPr>
                <w:rFonts w:ascii="Palatino Linotype" w:eastAsia="Palatino Linotype" w:hAnsi="Palatino Linotype" w:cs="Palatino Linotype"/>
                <w:sz w:val="20"/>
                <w:szCs w:val="20"/>
              </w:rPr>
            </w:pPr>
            <w:r w:rsidRPr="004915DB">
              <w:rPr>
                <w:rFonts w:ascii="Palatino Linotype" w:eastAsia="Palatino Linotype" w:hAnsi="Palatino Linotype" w:cs="Palatino Linotype"/>
                <w:sz w:val="20"/>
                <w:szCs w:val="20"/>
              </w:rPr>
              <w:t>No</w:t>
            </w:r>
          </w:p>
        </w:tc>
      </w:tr>
    </w:tbl>
    <w:p w14:paraId="5305746E"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135078D4"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Resulta importante abordar este punto, señalando que al no pronunciarse respecto de este punto en particular,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contraviene a los principios </w:t>
      </w:r>
      <w:r w:rsidRPr="004915DB">
        <w:rPr>
          <w:rFonts w:ascii="Palatino Linotype" w:eastAsia="Palatino Linotype" w:hAnsi="Palatino Linotype" w:cs="Palatino Linotype"/>
          <w:sz w:val="24"/>
          <w:szCs w:val="24"/>
        </w:rPr>
        <w:lastRenderedPageBreak/>
        <w:t xml:space="preserve">de congruencia y exhaustividad, plasmados en </w:t>
      </w:r>
      <w:r w:rsidRPr="004915DB">
        <w:rPr>
          <w:rFonts w:ascii="Palatino Linotype" w:eastAsia="Palatino Linotype" w:hAnsi="Palatino Linotype" w:cs="Palatino Linotype"/>
          <w:sz w:val="24"/>
          <w:szCs w:val="24"/>
          <w:u w:val="single"/>
        </w:rPr>
        <w:t xml:space="preserve">el Criterio 02/17, emitido por el Pleno del </w:t>
      </w:r>
      <w:r w:rsidRPr="004915DB">
        <w:rPr>
          <w:rFonts w:ascii="Palatino Linotype" w:eastAsia="Palatino Linotype" w:hAnsi="Palatino Linotype" w:cs="Palatino Linotype"/>
          <w:sz w:val="24"/>
          <w:szCs w:val="24"/>
        </w:rPr>
        <w:t xml:space="preserve">Instituto Nacional de Transparencia y Acceso a la Información y Protección de Datos Personales, mismo que se reitera, fue insertado en su totalidad, en líneas anteriores. </w:t>
      </w:r>
    </w:p>
    <w:p w14:paraId="113820D4"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1502741" w14:textId="3BAA6E9E"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mérito de lo expuesto con antelación, se advierte que no se satisfizo en su totalidad el derecho de acceso el derecho de acceso a la información pública del ahora </w:t>
      </w:r>
      <w:r w:rsidRPr="004915DB">
        <w:rPr>
          <w:rFonts w:ascii="Palatino Linotype" w:eastAsia="Palatino Linotype" w:hAnsi="Palatino Linotype" w:cs="Palatino Linotype"/>
          <w:b/>
          <w:sz w:val="24"/>
          <w:szCs w:val="24"/>
        </w:rPr>
        <w:t>RECURRENTE</w:t>
      </w:r>
      <w:r w:rsidRPr="004915DB">
        <w:rPr>
          <w:rFonts w:ascii="Palatino Linotype" w:eastAsia="Palatino Linotype" w:hAnsi="Palatino Linotype" w:cs="Palatino Linotype"/>
          <w:sz w:val="24"/>
          <w:szCs w:val="24"/>
        </w:rPr>
        <w:t>,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w:t>
      </w:r>
      <w:r w:rsidR="002B2AF7" w:rsidRPr="004915DB">
        <w:rPr>
          <w:rFonts w:ascii="Palatino Linotype" w:eastAsia="Palatino Linotype" w:hAnsi="Palatino Linotype" w:cs="Palatino Linotype"/>
          <w:sz w:val="24"/>
          <w:szCs w:val="24"/>
        </w:rPr>
        <w:t>o</w:t>
      </w:r>
      <w:r w:rsidRPr="004915DB">
        <w:rPr>
          <w:rFonts w:ascii="Palatino Linotype" w:eastAsia="Palatino Linotype" w:hAnsi="Palatino Linotype" w:cs="Palatino Linotype"/>
          <w:sz w:val="24"/>
          <w:szCs w:val="24"/>
        </w:rPr>
        <w:t xml:space="preserve"> turnarse</w:t>
      </w:r>
      <w:r w:rsidR="002B2AF7" w:rsidRPr="004915DB">
        <w:rPr>
          <w:rFonts w:ascii="Palatino Linotype" w:eastAsia="Palatino Linotype" w:hAnsi="Palatino Linotype" w:cs="Palatino Linotype"/>
          <w:sz w:val="24"/>
          <w:szCs w:val="24"/>
        </w:rPr>
        <w:t xml:space="preserve"> de manera enunciativa más no limitada,</w:t>
      </w:r>
      <w:r w:rsidRPr="004915DB">
        <w:rPr>
          <w:rFonts w:ascii="Palatino Linotype" w:eastAsia="Palatino Linotype" w:hAnsi="Palatino Linotype" w:cs="Palatino Linotype"/>
          <w:sz w:val="24"/>
          <w:szCs w:val="24"/>
        </w:rPr>
        <w:t xml:space="preserve"> a la Secretaría del Ayuntamiento,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6AFEB1F7"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47FE4A44"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4915DB">
        <w:rPr>
          <w:rFonts w:ascii="Palatino Linotype" w:eastAsia="Palatino Linotype" w:hAnsi="Palatino Linotype" w:cs="Palatino Linotype"/>
          <w:sz w:val="24"/>
          <w:szCs w:val="24"/>
        </w:rPr>
        <w:lastRenderedPageBreak/>
        <w:t xml:space="preserve">notificaciones correspondientes, además de llevar a cabo todas las gestiones necesarias para facilitar el acceso de la información; </w:t>
      </w:r>
    </w:p>
    <w:p w14:paraId="0173DE29"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51E7AFF"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La respuesta a los requerimientos informativos, deberá notificarse al interesado en el menor tiempo posible, que no podrá exceder de quince días hábiles, contados a partir del día siguiente a la presentación de esta. </w:t>
      </w:r>
    </w:p>
    <w:p w14:paraId="0D617A02"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6F9256D8"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Excepcionalmente, el plazo referido podrá ampliarse por siete días hábiles más, cuando existan razones fundadas y motivadas, a través del Comité de Transparencia; </w:t>
      </w:r>
    </w:p>
    <w:p w14:paraId="5C1A9E8B"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044120ED"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198E330"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1508007"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84C7358"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67F1D8E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41AD8E7"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4FFFE98" w14:textId="77777777" w:rsidR="008B38A1" w:rsidRPr="004915DB" w:rsidRDefault="00553CE8">
      <w:pPr>
        <w:spacing w:after="0" w:line="360" w:lineRule="auto"/>
        <w:ind w:right="49"/>
        <w:jc w:val="both"/>
        <w:rPr>
          <w:rFonts w:ascii="Palatino Linotype" w:eastAsia="Palatino Linotype" w:hAnsi="Palatino Linotype" w:cs="Palatino Linotype"/>
          <w:sz w:val="24"/>
          <w:szCs w:val="24"/>
        </w:rPr>
      </w:pPr>
      <w:bookmarkStart w:id="3" w:name="_heading=h.1fob9te" w:colFirst="0" w:colLast="0"/>
      <w:bookmarkEnd w:id="3"/>
      <w:r w:rsidRPr="004915DB">
        <w:rPr>
          <w:rFonts w:ascii="Palatino Linotype" w:eastAsia="Palatino Linotype" w:hAnsi="Palatino Linotype" w:cs="Palatino Linotype"/>
          <w:sz w:val="24"/>
          <w:szCs w:val="24"/>
        </w:rPr>
        <w:t xml:space="preserve">En este orden de ideas, se reitera que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debió turnar la solicitud a las áreas competentes para conocer de la solicitud de información, como en el presente caso se advierte que pudieran contar con la información, la Coordinación Municipal de Mejora Regulatoria de la Administración Pública Municipal y la Secretaría del Ayuntamiento, ello de conformidad con lo previsto por el Bando Municipal 2022 del Municipio de Coyotepec y la Ley Orgánica Municipal del Estado de México:</w:t>
      </w:r>
    </w:p>
    <w:p w14:paraId="7BD6DD8A"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7CFDEC8B" w14:textId="77777777" w:rsidR="008B38A1" w:rsidRPr="004915DB" w:rsidRDefault="00553CE8">
      <w:pPr>
        <w:spacing w:after="0" w:line="276" w:lineRule="auto"/>
        <w:ind w:left="851"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BANDO MUNICIPAL 2022 DEL MUNICIPIO DE COYOTEPEC:</w:t>
      </w:r>
    </w:p>
    <w:p w14:paraId="3468829D" w14:textId="77777777" w:rsidR="008B38A1" w:rsidRPr="004915DB" w:rsidRDefault="008B38A1">
      <w:pPr>
        <w:spacing w:after="0" w:line="276" w:lineRule="auto"/>
        <w:ind w:left="851" w:right="993"/>
        <w:jc w:val="both"/>
        <w:rPr>
          <w:rFonts w:ascii="Palatino Linotype" w:eastAsia="Palatino Linotype" w:hAnsi="Palatino Linotype" w:cs="Palatino Linotype"/>
          <w:b/>
          <w:i/>
        </w:rPr>
      </w:pPr>
    </w:p>
    <w:p w14:paraId="28678D17" w14:textId="77777777" w:rsidR="008B38A1" w:rsidRPr="004915DB" w:rsidRDefault="00553CE8">
      <w:pPr>
        <w:spacing w:after="240" w:line="276" w:lineRule="auto"/>
        <w:ind w:left="851"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“Artículo 36.- Compete al Municipio en materia de Mejora Regulatoria de la Administración Pública Municipal, lo siguiente:</w:t>
      </w:r>
    </w:p>
    <w:p w14:paraId="279C6CD8" w14:textId="77777777" w:rsidR="008B38A1" w:rsidRPr="004915DB" w:rsidRDefault="00553CE8">
      <w:pPr>
        <w:spacing w:before="240" w:after="240" w:line="276" w:lineRule="auto"/>
        <w:ind w:left="851"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207709D4" w14:textId="2AE1B48F" w:rsidR="002B2AF7" w:rsidRPr="004915DB" w:rsidRDefault="00553CE8" w:rsidP="002B2AF7">
      <w:pPr>
        <w:spacing w:before="240" w:after="0" w:line="276" w:lineRule="auto"/>
        <w:ind w:left="851" w:right="993"/>
        <w:contextualSpacing/>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IV. Establecer Comités Internos en cada dependencia, los cuales se encargarán de elaborar y aprobar los programas anuales de mejora regulatoria municipal, así como las </w:t>
      </w:r>
      <w:r w:rsidRPr="004915DB">
        <w:rPr>
          <w:rFonts w:ascii="Palatino Linotype" w:eastAsia="Palatino Linotype" w:hAnsi="Palatino Linotype" w:cs="Palatino Linotype"/>
          <w:i/>
          <w:u w:val="single"/>
        </w:rPr>
        <w:t>propuestas de creación de regulaciones o de reforma específica</w:t>
      </w:r>
      <w:r w:rsidRPr="004915DB">
        <w:rPr>
          <w:rFonts w:ascii="Palatino Linotype" w:eastAsia="Palatino Linotype" w:hAnsi="Palatino Linotype" w:cs="Palatino Linotype"/>
          <w:i/>
        </w:rPr>
        <w:t xml:space="preserve">, con base en los objetivos, estrategias y líneas de acción de los programas sectoriales, especiales, regionales e institucionales derivados del Plan Municipal de </w:t>
      </w:r>
      <w:r w:rsidRPr="004915DB">
        <w:rPr>
          <w:rFonts w:ascii="Palatino Linotype" w:eastAsia="Palatino Linotype" w:hAnsi="Palatino Linotype" w:cs="Palatino Linotype"/>
          <w:i/>
        </w:rPr>
        <w:lastRenderedPageBreak/>
        <w:t>Desarrollo. Los titulares de las dependencias deberán designar un servidor público con nivel inferior jerárquico inmediato, quien será el enlace de la materia y el responsable de la Mejora Regulatoria del sujeto obligado, el cual tendrá estrecha comunicación con el Coordinador General de Mejora Regulatoria para dar cumplimiento de la Ley.”</w:t>
      </w:r>
    </w:p>
    <w:p w14:paraId="2FD89623" w14:textId="77777777" w:rsidR="002B2AF7" w:rsidRPr="004915DB" w:rsidRDefault="002B2AF7" w:rsidP="002B2AF7">
      <w:pPr>
        <w:spacing w:before="240" w:after="0" w:line="276" w:lineRule="auto"/>
        <w:ind w:left="851" w:right="993"/>
        <w:contextualSpacing/>
        <w:jc w:val="both"/>
        <w:rPr>
          <w:rFonts w:ascii="Palatino Linotype" w:eastAsia="Palatino Linotype" w:hAnsi="Palatino Linotype" w:cs="Palatino Linotype"/>
          <w:i/>
        </w:rPr>
      </w:pPr>
    </w:p>
    <w:p w14:paraId="549F13AD" w14:textId="77777777" w:rsidR="008B38A1" w:rsidRPr="004915DB" w:rsidRDefault="00553CE8">
      <w:pPr>
        <w:spacing w:after="0" w:line="276" w:lineRule="auto"/>
        <w:ind w:left="851"/>
        <w:contextualSpacing/>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LEY ORGÁNICA MUNICIPAL DEL ESTADO DE MÉXICO:</w:t>
      </w:r>
    </w:p>
    <w:p w14:paraId="75C2BF97" w14:textId="77777777" w:rsidR="008B38A1" w:rsidRPr="004915DB" w:rsidRDefault="00553CE8">
      <w:pPr>
        <w:spacing w:after="0" w:line="276" w:lineRule="auto"/>
        <w:ind w:left="851" w:right="993"/>
        <w:contextualSpacing/>
        <w:jc w:val="both"/>
        <w:rPr>
          <w:rFonts w:ascii="Palatino Linotype" w:eastAsia="Palatino Linotype" w:hAnsi="Palatino Linotype" w:cs="Palatino Linotype"/>
          <w:i/>
        </w:rPr>
      </w:pPr>
      <w:r w:rsidRPr="004915DB">
        <w:rPr>
          <w:rFonts w:ascii="Palatino Linotype" w:eastAsia="Palatino Linotype" w:hAnsi="Palatino Linotype" w:cs="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B3D0BB3" w14:textId="77777777" w:rsidR="008B38A1" w:rsidRPr="004915DB" w:rsidRDefault="008B38A1">
      <w:pPr>
        <w:spacing w:after="0" w:line="276" w:lineRule="auto"/>
        <w:ind w:left="851" w:right="993"/>
        <w:jc w:val="both"/>
        <w:rPr>
          <w:rFonts w:ascii="Palatino Linotype" w:eastAsia="Palatino Linotype" w:hAnsi="Palatino Linotype" w:cs="Palatino Linotype"/>
          <w:i/>
        </w:rPr>
      </w:pPr>
    </w:p>
    <w:p w14:paraId="7FF6B800" w14:textId="77777777" w:rsidR="008B38A1" w:rsidRPr="004915DB" w:rsidRDefault="00553CE8">
      <w:pPr>
        <w:spacing w:after="0" w:line="276" w:lineRule="auto"/>
        <w:ind w:left="851"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36FDE05F" w14:textId="77777777" w:rsidR="008B38A1" w:rsidRPr="004915DB" w:rsidRDefault="008B38A1">
      <w:pPr>
        <w:spacing w:after="0" w:line="276" w:lineRule="auto"/>
        <w:ind w:left="851" w:right="993"/>
        <w:jc w:val="both"/>
        <w:rPr>
          <w:rFonts w:ascii="Palatino Linotype" w:eastAsia="Palatino Linotype" w:hAnsi="Palatino Linotype" w:cs="Palatino Linotype"/>
          <w:i/>
        </w:rPr>
      </w:pPr>
    </w:p>
    <w:p w14:paraId="44956677" w14:textId="77777777" w:rsidR="008B38A1" w:rsidRPr="004915DB" w:rsidRDefault="00553CE8">
      <w:pPr>
        <w:spacing w:after="0" w:line="276" w:lineRule="auto"/>
        <w:ind w:left="851"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IX. </w:t>
      </w:r>
      <w:r w:rsidRPr="004915DB">
        <w:rPr>
          <w:rFonts w:ascii="Palatino Linotype" w:eastAsia="Palatino Linotype" w:hAnsi="Palatino Linotype" w:cs="Palatino Linotype"/>
          <w:b/>
          <w:i/>
          <w:u w:val="single"/>
        </w:rPr>
        <w:t>Compilar leyes, decretos, reglamentos</w:t>
      </w:r>
      <w:r w:rsidRPr="004915DB">
        <w:rPr>
          <w:rFonts w:ascii="Palatino Linotype" w:eastAsia="Palatino Linotype" w:hAnsi="Palatino Linotype" w:cs="Palatino Linotype"/>
          <w:b/>
          <w:i/>
        </w:rPr>
        <w:t>, periódicos oficiales del estado, circulares y órdenes r</w:t>
      </w:r>
      <w:r w:rsidRPr="004915DB">
        <w:rPr>
          <w:rFonts w:ascii="Palatino Linotype" w:eastAsia="Palatino Linotype" w:hAnsi="Palatino Linotype" w:cs="Palatino Linotype"/>
          <w:b/>
          <w:i/>
          <w:u w:val="single"/>
        </w:rPr>
        <w:t>elativas a los distintos sectores de la administración pública municipal</w:t>
      </w:r>
      <w:r w:rsidRPr="004915DB">
        <w:rPr>
          <w:rFonts w:ascii="Palatino Linotype" w:eastAsia="Palatino Linotype" w:hAnsi="Palatino Linotype" w:cs="Palatino Linotype"/>
          <w:i/>
        </w:rPr>
        <w:t>;”</w:t>
      </w:r>
    </w:p>
    <w:p w14:paraId="3288C7C9" w14:textId="77777777" w:rsidR="008B38A1" w:rsidRPr="004915DB" w:rsidRDefault="008B38A1">
      <w:pPr>
        <w:spacing w:after="0" w:line="360" w:lineRule="auto"/>
        <w:ind w:left="567" w:right="993"/>
        <w:jc w:val="both"/>
        <w:rPr>
          <w:rFonts w:ascii="Palatino Linotype" w:eastAsia="Palatino Linotype" w:hAnsi="Palatino Linotype" w:cs="Palatino Linotype"/>
          <w:i/>
        </w:rPr>
      </w:pPr>
    </w:p>
    <w:p w14:paraId="44653AB8" w14:textId="77777777" w:rsidR="008B38A1" w:rsidRPr="004915DB" w:rsidRDefault="00553CE8">
      <w:pPr>
        <w:spacing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Finalmente, resulta importante precisar que si bien es cierto, el Código Financiero del Estado de México y normatividades aplicables </w:t>
      </w:r>
      <w:r w:rsidRPr="004915DB">
        <w:rPr>
          <w:rFonts w:ascii="Palatino Linotype" w:eastAsia="Palatino Linotype" w:hAnsi="Palatino Linotype" w:cs="Palatino Linotype"/>
          <w:sz w:val="24"/>
          <w:szCs w:val="24"/>
          <w:u w:val="single"/>
        </w:rPr>
        <w:t>no contemplan fuente obligacional para generar disposiciones administrativas para el cobro de los impuestos y derechos, sin embargo, existe una excepción</w:t>
      </w:r>
      <w:r w:rsidRPr="004915DB">
        <w:rPr>
          <w:rFonts w:ascii="Palatino Linotype" w:eastAsia="Palatino Linotype" w:hAnsi="Palatino Linotype" w:cs="Palatino Linotype"/>
          <w:sz w:val="24"/>
          <w:szCs w:val="24"/>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 tal como se verá en la siguiente cita: </w:t>
      </w:r>
    </w:p>
    <w:p w14:paraId="7A8A705E" w14:textId="77777777" w:rsidR="008B38A1" w:rsidRPr="004915DB" w:rsidRDefault="008B38A1">
      <w:pPr>
        <w:spacing w:after="0" w:line="360" w:lineRule="auto"/>
        <w:ind w:right="51"/>
        <w:jc w:val="both"/>
        <w:rPr>
          <w:rFonts w:ascii="Palatino Linotype" w:eastAsia="Palatino Linotype" w:hAnsi="Palatino Linotype" w:cs="Palatino Linotype"/>
          <w:sz w:val="24"/>
          <w:szCs w:val="24"/>
        </w:rPr>
      </w:pPr>
    </w:p>
    <w:p w14:paraId="2C05C9F3" w14:textId="77777777" w:rsidR="008B38A1" w:rsidRPr="004915DB" w:rsidRDefault="00553CE8">
      <w:pPr>
        <w:spacing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“SECCIÓN SÉPTIMA </w:t>
      </w:r>
    </w:p>
    <w:p w14:paraId="7521363B"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DE LOS DERECHOS POR USO DE VÍAS Y ÁREAS PÚBLICAS PARA EL EJERCICIO DE ACTIVIDADES COMERCIALES O DE SERVICIOS</w:t>
      </w:r>
    </w:p>
    <w:p w14:paraId="162A762A"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603DF21"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Artículo 154 Bis.- </w:t>
      </w:r>
    </w:p>
    <w:p w14:paraId="0D93E5D5" w14:textId="77777777" w:rsidR="008B38A1" w:rsidRPr="004915DB" w:rsidRDefault="00553CE8">
      <w:pPr>
        <w:spacing w:before="240" w:after="24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DE4E521"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 xml:space="preserve">Para el cobro del derecho a que se refiere el presente artículo, la autoridad municipal </w:t>
      </w:r>
      <w:r w:rsidRPr="004915DB">
        <w:rPr>
          <w:rFonts w:ascii="Palatino Linotype" w:eastAsia="Palatino Linotype" w:hAnsi="Palatino Linotype" w:cs="Palatino Linotype"/>
          <w:b/>
          <w:i/>
          <w:u w:val="single"/>
        </w:rPr>
        <w:t>deberá emitir el reglamento</w:t>
      </w:r>
      <w:r w:rsidRPr="004915DB">
        <w:rPr>
          <w:rFonts w:ascii="Palatino Linotype" w:eastAsia="Palatino Linotype" w:hAnsi="Palatino Linotype" w:cs="Palatino Linotype"/>
          <w:b/>
          <w:i/>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51373180"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w:t>
      </w:r>
    </w:p>
    <w:p w14:paraId="4D72E7EC"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 xml:space="preserve">SECCIÓN NOVENA </w:t>
      </w:r>
    </w:p>
    <w:p w14:paraId="4C381C34"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DE LOS DERECHOS DE ESTACIONAMIENTO EN LA VÍA PÚBLICA Y DE SERVICIO PUBLICO</w:t>
      </w:r>
    </w:p>
    <w:p w14:paraId="1F9EDE12"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Artículo 157.-</w:t>
      </w:r>
    </w:p>
    <w:p w14:paraId="2CBA1096" w14:textId="77777777" w:rsidR="008B38A1" w:rsidRPr="004915DB" w:rsidRDefault="00553CE8">
      <w:pPr>
        <w:spacing w:before="240" w:after="240" w:line="276" w:lineRule="auto"/>
        <w:ind w:left="567" w:right="993"/>
        <w:jc w:val="both"/>
        <w:rPr>
          <w:rFonts w:ascii="Palatino Linotype" w:eastAsia="Palatino Linotype" w:hAnsi="Palatino Linotype" w:cs="Palatino Linotype"/>
          <w:b/>
          <w:i/>
        </w:rPr>
      </w:pPr>
      <w:r w:rsidRPr="004915DB">
        <w:rPr>
          <w:rFonts w:ascii="Palatino Linotype" w:eastAsia="Palatino Linotype" w:hAnsi="Palatino Linotype" w:cs="Palatino Linotype"/>
          <w:b/>
          <w:i/>
        </w:rPr>
        <w:t>…</w:t>
      </w:r>
    </w:p>
    <w:p w14:paraId="791B1F3C" w14:textId="77777777" w:rsidR="008B38A1" w:rsidRPr="004915DB" w:rsidRDefault="00553CE8">
      <w:pPr>
        <w:spacing w:before="240" w:after="0" w:line="276" w:lineRule="auto"/>
        <w:ind w:left="567" w:right="993"/>
        <w:jc w:val="both"/>
        <w:rPr>
          <w:rFonts w:ascii="Palatino Linotype" w:eastAsia="Palatino Linotype" w:hAnsi="Palatino Linotype" w:cs="Palatino Linotype"/>
          <w:i/>
        </w:rPr>
      </w:pPr>
      <w:r w:rsidRPr="004915DB">
        <w:rPr>
          <w:rFonts w:ascii="Palatino Linotype" w:eastAsia="Palatino Linotype" w:hAnsi="Palatino Linotype" w:cs="Palatino Linotype"/>
          <w:b/>
          <w:i/>
          <w:u w:val="single"/>
        </w:rPr>
        <w:t>Para proceder al cobro de este derecho la autoridad municipal deberá emitir las disposiciones administrativas que delimiten el uso de los cajones de estacionamiento</w:t>
      </w:r>
      <w:r w:rsidRPr="004915DB">
        <w:rPr>
          <w:rFonts w:ascii="Palatino Linotype" w:eastAsia="Palatino Linotype" w:hAnsi="Palatino Linotype" w:cs="Palatino Linotype"/>
          <w:b/>
          <w:i/>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4915DB">
        <w:rPr>
          <w:rFonts w:ascii="Palatino Linotype" w:eastAsia="Palatino Linotype" w:hAnsi="Palatino Linotype" w:cs="Palatino Linotype"/>
        </w:rPr>
        <w:t>(</w:t>
      </w:r>
      <w:r w:rsidRPr="004915DB">
        <w:rPr>
          <w:rFonts w:ascii="Palatino Linotype" w:eastAsia="Palatino Linotype" w:hAnsi="Palatino Linotype" w:cs="Palatino Linotype"/>
          <w:i/>
        </w:rPr>
        <w:t>Sic) (Énfasis añadido)</w:t>
      </w:r>
    </w:p>
    <w:p w14:paraId="208A2B59" w14:textId="77777777" w:rsidR="008B38A1" w:rsidRPr="004915DB" w:rsidRDefault="008B38A1">
      <w:pPr>
        <w:spacing w:after="0" w:line="360" w:lineRule="auto"/>
        <w:ind w:left="567" w:right="993"/>
        <w:jc w:val="both"/>
        <w:rPr>
          <w:rFonts w:ascii="Palatino Linotype" w:eastAsia="Palatino Linotype" w:hAnsi="Palatino Linotype" w:cs="Palatino Linotype"/>
        </w:rPr>
      </w:pPr>
    </w:p>
    <w:p w14:paraId="75E6CB36" w14:textId="548C62D2" w:rsidR="008B38A1" w:rsidRPr="004915DB" w:rsidRDefault="00553CE8">
      <w:pPr>
        <w:spacing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documentales vigentes al veinticinco de mayo de dos mil veintidós, deberá emitir el respectivo acuerdo de inexistencia con las formalidades que ya se abordaron anteriormente.</w:t>
      </w:r>
    </w:p>
    <w:p w14:paraId="28B7E529" w14:textId="77777777" w:rsidR="007C6079" w:rsidRPr="004915DB" w:rsidRDefault="007C6079">
      <w:pPr>
        <w:spacing w:after="0" w:line="360" w:lineRule="auto"/>
        <w:ind w:right="51"/>
        <w:jc w:val="both"/>
        <w:rPr>
          <w:rFonts w:ascii="Palatino Linotype" w:eastAsia="Palatino Linotype" w:hAnsi="Palatino Linotype" w:cs="Palatino Linotype"/>
          <w:sz w:val="24"/>
          <w:szCs w:val="24"/>
        </w:rPr>
      </w:pPr>
    </w:p>
    <w:p w14:paraId="320EC9EF" w14:textId="77777777" w:rsidR="008B38A1" w:rsidRPr="004915DB" w:rsidRDefault="00553CE8">
      <w:pPr>
        <w:spacing w:after="0" w:line="360" w:lineRule="auto"/>
        <w:ind w:right="5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Ahora bien, por cuanto hace a los reglamentos, manuales de operación o lineamientos para la recaudación de los impuestos y derechos referidos en la solicitud, vigentes al veintitrés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C659E47" w14:textId="77777777" w:rsidR="008B38A1" w:rsidRPr="004915DB" w:rsidRDefault="008B38A1">
      <w:pPr>
        <w:spacing w:after="0" w:line="360" w:lineRule="auto"/>
        <w:ind w:right="51"/>
        <w:jc w:val="both"/>
        <w:rPr>
          <w:rFonts w:ascii="Palatino Linotype" w:eastAsia="Palatino Linotype" w:hAnsi="Palatino Linotype" w:cs="Palatino Linotype"/>
          <w:sz w:val="24"/>
          <w:szCs w:val="24"/>
        </w:rPr>
      </w:pPr>
    </w:p>
    <w:p w14:paraId="6175FC6E" w14:textId="77777777" w:rsidR="008B38A1" w:rsidRPr="004915DB" w:rsidRDefault="00553CE8">
      <w:pPr>
        <w:spacing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Artículo 19</w:t>
      </w:r>
      <w:r w:rsidRPr="004915DB">
        <w:rPr>
          <w:rFonts w:ascii="Palatino Linotype" w:eastAsia="Palatino Linotype" w:hAnsi="Palatino Linotype" w:cs="Palatino Linotype"/>
          <w:i/>
        </w:rPr>
        <w:t>…</w:t>
      </w:r>
    </w:p>
    <w:p w14:paraId="066204DF" w14:textId="77777777" w:rsidR="008B38A1" w:rsidRPr="004915DB" w:rsidRDefault="00553CE8">
      <w:pPr>
        <w:spacing w:before="120" w:after="0" w:line="360" w:lineRule="auto"/>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lastRenderedPageBreak/>
        <w:t>En los casos en que ciertas facultades, competencias o funciones no se hayan ejercido, se debe motivar la respuesta en función de las causas que motiven tal circunstancia.”</w:t>
      </w:r>
    </w:p>
    <w:p w14:paraId="79618A9E" w14:textId="77777777" w:rsidR="008B38A1" w:rsidRPr="004915DB" w:rsidRDefault="008B38A1">
      <w:pPr>
        <w:spacing w:after="0" w:line="360" w:lineRule="auto"/>
        <w:ind w:left="851" w:right="902"/>
        <w:jc w:val="both"/>
        <w:rPr>
          <w:rFonts w:ascii="Palatino Linotype" w:eastAsia="Palatino Linotype" w:hAnsi="Palatino Linotype" w:cs="Palatino Linotype"/>
          <w:i/>
        </w:rPr>
      </w:pPr>
    </w:p>
    <w:p w14:paraId="2E0FC4AA" w14:textId="4AB87D63" w:rsidR="008B38A1" w:rsidRPr="004915DB" w:rsidRDefault="00553CE8">
      <w:pPr>
        <w:spacing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anteriormente expuesto, se estima </w:t>
      </w:r>
      <w:r w:rsidR="007C6079" w:rsidRPr="004915DB">
        <w:rPr>
          <w:rFonts w:ascii="Palatino Linotype" w:eastAsia="Palatino Linotype" w:hAnsi="Palatino Linotype" w:cs="Palatino Linotype"/>
          <w:sz w:val="24"/>
          <w:szCs w:val="24"/>
        </w:rPr>
        <w:t>que,</w:t>
      </w:r>
      <w:r w:rsidRPr="004915DB">
        <w:rPr>
          <w:rFonts w:ascii="Palatino Linotype" w:eastAsia="Palatino Linotype" w:hAnsi="Palatino Linotype" w:cs="Palatino Linotype"/>
          <w:sz w:val="24"/>
          <w:szCs w:val="24"/>
        </w:rPr>
        <w:t xml:space="preserve"> para satisfacer el derecho de acceso a la información pública del particular, resulta pertinente ordenar la entrega de lo siguiente, en versión pública de ser procedente, conforme a lo que disponga el considerando siguiente: </w:t>
      </w:r>
    </w:p>
    <w:p w14:paraId="2DF86B93" w14:textId="77777777" w:rsidR="008B38A1" w:rsidRPr="004915DB" w:rsidRDefault="008B38A1">
      <w:pPr>
        <w:spacing w:after="0" w:line="360" w:lineRule="auto"/>
        <w:ind w:right="49"/>
        <w:jc w:val="both"/>
        <w:rPr>
          <w:rFonts w:ascii="Palatino Linotype" w:eastAsia="Palatino Linotype" w:hAnsi="Palatino Linotype" w:cs="Palatino Linotype"/>
          <w:sz w:val="28"/>
          <w:szCs w:val="28"/>
        </w:rPr>
      </w:pPr>
    </w:p>
    <w:p w14:paraId="2E43BAA0" w14:textId="77777777" w:rsidR="008B38A1" w:rsidRPr="004915DB" w:rsidRDefault="00553CE8">
      <w:pPr>
        <w:spacing w:after="0" w:line="360" w:lineRule="auto"/>
        <w:ind w:left="567" w:right="11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1.- Presupuesto aprobado para el ejercicio fiscal 2022</w:t>
      </w:r>
    </w:p>
    <w:p w14:paraId="775B45E4" w14:textId="77777777" w:rsidR="008B38A1" w:rsidRPr="004915DB" w:rsidRDefault="008B38A1">
      <w:pPr>
        <w:spacing w:after="0" w:line="360" w:lineRule="auto"/>
        <w:ind w:left="567" w:right="1134"/>
        <w:jc w:val="both"/>
        <w:rPr>
          <w:rFonts w:ascii="Palatino Linotype" w:eastAsia="Palatino Linotype" w:hAnsi="Palatino Linotype" w:cs="Palatino Linotype"/>
          <w:sz w:val="24"/>
          <w:szCs w:val="24"/>
        </w:rPr>
      </w:pPr>
    </w:p>
    <w:p w14:paraId="0F6EEDC2" w14:textId="6486B91C" w:rsidR="008B38A1" w:rsidRPr="004915DB" w:rsidRDefault="00553CE8" w:rsidP="002B2AF7">
      <w:pPr>
        <w:tabs>
          <w:tab w:val="left" w:pos="7797"/>
        </w:tabs>
        <w:spacing w:after="0" w:line="360" w:lineRule="auto"/>
        <w:ind w:left="567" w:right="1134"/>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2. Estado Comparativo Presupuestal de Ingresos, generado del 1 de enero al</w:t>
      </w:r>
      <w:r w:rsidR="002B2AF7" w:rsidRPr="004915DB">
        <w:rPr>
          <w:rFonts w:ascii="Palatino Linotype" w:eastAsia="Palatino Linotype" w:hAnsi="Palatino Linotype" w:cs="Palatino Linotype"/>
          <w:sz w:val="24"/>
          <w:szCs w:val="24"/>
        </w:rPr>
        <w:t xml:space="preserve"> treinta de abril</w:t>
      </w:r>
      <w:r w:rsidRPr="004915DB">
        <w:rPr>
          <w:rFonts w:ascii="Palatino Linotype" w:eastAsia="Palatino Linotype" w:hAnsi="Palatino Linotype" w:cs="Palatino Linotype"/>
          <w:sz w:val="24"/>
          <w:szCs w:val="24"/>
        </w:rPr>
        <w:t xml:space="preserve"> de</w:t>
      </w:r>
      <w:r w:rsidR="002B2AF7" w:rsidRPr="004915DB">
        <w:rPr>
          <w:rFonts w:ascii="Palatino Linotype" w:eastAsia="Palatino Linotype" w:hAnsi="Palatino Linotype" w:cs="Palatino Linotype"/>
          <w:sz w:val="24"/>
          <w:szCs w:val="24"/>
        </w:rPr>
        <w:t>l</w:t>
      </w:r>
      <w:r w:rsidRPr="004915DB">
        <w:rPr>
          <w:rFonts w:ascii="Palatino Linotype" w:eastAsia="Palatino Linotype" w:hAnsi="Palatino Linotype" w:cs="Palatino Linotype"/>
          <w:sz w:val="24"/>
          <w:szCs w:val="24"/>
        </w:rPr>
        <w:t xml:space="preserve"> 2022. </w:t>
      </w:r>
      <w:bookmarkStart w:id="4" w:name="_heading=h.3znysh7" w:colFirst="0" w:colLast="0"/>
      <w:bookmarkEnd w:id="4"/>
    </w:p>
    <w:p w14:paraId="2DA3DA62" w14:textId="77777777" w:rsidR="008B38A1" w:rsidRPr="004915DB" w:rsidRDefault="00553CE8">
      <w:pPr>
        <w:spacing w:after="0" w:line="360"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i/>
          <w:sz w:val="24"/>
          <w:szCs w:val="24"/>
        </w:rPr>
        <w:t xml:space="preserve">3. </w:t>
      </w:r>
      <w:r w:rsidRPr="004915DB">
        <w:rPr>
          <w:rFonts w:ascii="Palatino Linotype" w:eastAsia="Palatino Linotype" w:hAnsi="Palatino Linotype" w:cs="Palatino Linotype"/>
          <w:sz w:val="24"/>
          <w:szCs w:val="24"/>
        </w:rPr>
        <w:t>Documentos que den cuenta de los ingresos recaudados por los siguientes conceptos:</w:t>
      </w:r>
    </w:p>
    <w:p w14:paraId="01FDB035"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De los años 2011 y 2021</w:t>
      </w:r>
      <w:r w:rsidRPr="004915DB">
        <w:rPr>
          <w:rFonts w:ascii="Palatino Linotype" w:eastAsia="Palatino Linotype" w:hAnsi="Palatino Linotype" w:cs="Palatino Linotype"/>
          <w:sz w:val="24"/>
          <w:szCs w:val="24"/>
        </w:rPr>
        <w:t>:</w:t>
      </w:r>
    </w:p>
    <w:p w14:paraId="7C5D831E"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Conjuntos urbanos.</w:t>
      </w:r>
    </w:p>
    <w:p w14:paraId="2A7C1A00"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Impuestos sobre diversiones, juegos y espectáculos públicos.</w:t>
      </w:r>
    </w:p>
    <w:p w14:paraId="75FE4564"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 Los Derechos establecidos en el artículo 143 y 144 por cada una de sus fracciones del Código Financiero del Estado de México y Municipios.</w:t>
      </w:r>
    </w:p>
    <w:p w14:paraId="36B913E6"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Por lo establecido en el artículo 154 en cada una de sus fracciones del Código Financiero del Estado de México y Municipios.</w:t>
      </w:r>
    </w:p>
    <w:p w14:paraId="753D4115" w14:textId="77777777" w:rsidR="008B38A1" w:rsidRPr="004915DB" w:rsidRDefault="00553CE8">
      <w:pPr>
        <w:spacing w:after="240" w:line="360" w:lineRule="auto"/>
        <w:ind w:left="567" w:right="900"/>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lastRenderedPageBreak/>
        <w:t>Del año 2011 y del primero de enero al treinta de junio del 2021:</w:t>
      </w:r>
    </w:p>
    <w:p w14:paraId="49F6BD5C"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De los Impuestos sobre anuncios publicitarios, el ingreso recaudado por lo establecido en la fracción I del artículo 154 del Código Financiero del Estado de México </w:t>
      </w:r>
    </w:p>
    <w:p w14:paraId="19CB60A5"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2A4754D6" w14:textId="77777777" w:rsidR="008B38A1" w:rsidRPr="004915DB" w:rsidRDefault="00553CE8">
      <w:pPr>
        <w:spacing w:after="240" w:line="360" w:lineRule="auto"/>
        <w:ind w:left="567" w:right="902"/>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Del 1 de enero del 2011 al 31 de diciembre de 2021:</w:t>
      </w:r>
    </w:p>
    <w:p w14:paraId="0D8E66BE" w14:textId="77777777" w:rsidR="008B38A1" w:rsidRPr="004915DB" w:rsidRDefault="00553CE8">
      <w:pPr>
        <w:numPr>
          <w:ilvl w:val="0"/>
          <w:numId w:val="3"/>
        </w:numPr>
        <w:pBdr>
          <w:top w:val="nil"/>
          <w:left w:val="nil"/>
          <w:bottom w:val="nil"/>
          <w:right w:val="nil"/>
          <w:between w:val="nil"/>
        </w:pBdr>
        <w:spacing w:after="0" w:line="360" w:lineRule="auto"/>
        <w:ind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Ingresos conforme a lo establecido en el último párrafo del artículo 123 del Código Financiero del Estado de México y Municipios, indicando el número de máquinas instaladas dentro del territorio municipal.</w:t>
      </w:r>
    </w:p>
    <w:p w14:paraId="2B084810" w14:textId="77777777" w:rsidR="008B38A1" w:rsidRPr="004915DB" w:rsidRDefault="008B38A1">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p>
    <w:p w14:paraId="77C15AC3" w14:textId="347F45C1" w:rsidR="008B38A1" w:rsidRPr="004915DB" w:rsidRDefault="002B2AF7">
      <w:pPr>
        <w:numPr>
          <w:ilvl w:val="0"/>
          <w:numId w:val="3"/>
        </w:numPr>
        <w:pBdr>
          <w:top w:val="nil"/>
          <w:left w:val="nil"/>
          <w:bottom w:val="nil"/>
          <w:right w:val="nil"/>
          <w:between w:val="nil"/>
        </w:pBdr>
        <w:spacing w:after="0" w:line="276" w:lineRule="auto"/>
        <w:ind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Derechos establecidos</w:t>
      </w:r>
      <w:r w:rsidR="00553CE8" w:rsidRPr="004915DB">
        <w:rPr>
          <w:rFonts w:ascii="Palatino Linotype" w:eastAsia="Palatino Linotype" w:hAnsi="Palatino Linotype" w:cs="Palatino Linotype"/>
          <w:sz w:val="24"/>
          <w:szCs w:val="24"/>
        </w:rPr>
        <w:t xml:space="preserve"> en la fracción I, por cada </w:t>
      </w:r>
      <w:r w:rsidRPr="004915DB">
        <w:rPr>
          <w:rFonts w:ascii="Palatino Linotype" w:eastAsia="Palatino Linotype" w:hAnsi="Palatino Linotype" w:cs="Palatino Linotype"/>
          <w:sz w:val="24"/>
          <w:szCs w:val="24"/>
        </w:rPr>
        <w:t>uno</w:t>
      </w:r>
      <w:r w:rsidR="00553CE8" w:rsidRPr="004915DB">
        <w:rPr>
          <w:rFonts w:ascii="Palatino Linotype" w:eastAsia="Palatino Linotype" w:hAnsi="Palatino Linotype" w:cs="Palatino Linotype"/>
          <w:sz w:val="24"/>
          <w:szCs w:val="24"/>
        </w:rPr>
        <w:t xml:space="preserve"> de los supuestos siguientes</w:t>
      </w:r>
      <w:r w:rsidRPr="004915DB">
        <w:rPr>
          <w:rFonts w:ascii="Palatino Linotype" w:eastAsia="Palatino Linotype" w:hAnsi="Palatino Linotype" w:cs="Palatino Linotype"/>
          <w:sz w:val="24"/>
          <w:szCs w:val="24"/>
        </w:rPr>
        <w:t>:</w:t>
      </w:r>
    </w:p>
    <w:p w14:paraId="4FC3D995" w14:textId="77777777" w:rsidR="008B38A1" w:rsidRPr="004915DB" w:rsidRDefault="008B38A1">
      <w:pPr>
        <w:pBdr>
          <w:top w:val="nil"/>
          <w:left w:val="nil"/>
          <w:bottom w:val="nil"/>
          <w:right w:val="nil"/>
          <w:between w:val="nil"/>
        </w:pBdr>
        <w:spacing w:after="0"/>
        <w:ind w:left="720"/>
        <w:jc w:val="both"/>
        <w:rPr>
          <w:rFonts w:ascii="Palatino Linotype" w:eastAsia="Palatino Linotype" w:hAnsi="Palatino Linotype" w:cs="Palatino Linotype"/>
          <w:sz w:val="24"/>
          <w:szCs w:val="24"/>
        </w:rPr>
      </w:pPr>
    </w:p>
    <w:p w14:paraId="277F14F4" w14:textId="77777777" w:rsidR="008B38A1" w:rsidRPr="004915DB" w:rsidRDefault="00553CE8">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Puestos fijos.</w:t>
      </w:r>
    </w:p>
    <w:p w14:paraId="515396BA" w14:textId="77777777" w:rsidR="008B38A1" w:rsidRPr="004915DB" w:rsidRDefault="00553CE8">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 Semi fijos.</w:t>
      </w:r>
    </w:p>
    <w:p w14:paraId="0ECA3F5B" w14:textId="77777777" w:rsidR="008B38A1" w:rsidRPr="004915DB" w:rsidRDefault="00553CE8">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 Comerciantes ambulantes.</w:t>
      </w:r>
    </w:p>
    <w:p w14:paraId="7FED3B1B" w14:textId="77777777" w:rsidR="008B38A1" w:rsidRPr="004915DB" w:rsidRDefault="008B38A1">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p>
    <w:p w14:paraId="4B016BBA" w14:textId="781A0AFE" w:rsidR="008B38A1" w:rsidRPr="004915DB" w:rsidRDefault="002B2AF7">
      <w:pPr>
        <w:numPr>
          <w:ilvl w:val="0"/>
          <w:numId w:val="3"/>
        </w:numPr>
        <w:pBdr>
          <w:top w:val="nil"/>
          <w:left w:val="nil"/>
          <w:bottom w:val="nil"/>
          <w:right w:val="nil"/>
          <w:between w:val="nil"/>
        </w:pBdr>
        <w:spacing w:after="0" w:line="276" w:lineRule="auto"/>
        <w:ind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Derechos de estacionamientos en vía pública y de servicios públicos establecidos en el artículo 157 fracción II del Código Financiero del Estado de México y Municipios, por cada uno de los siguientes años, ¿del 2011 al 2021?</w:t>
      </w:r>
      <w:r w:rsidR="00553CE8" w:rsidRPr="004915DB">
        <w:rPr>
          <w:rFonts w:ascii="Palatino Linotype" w:eastAsia="Palatino Linotype" w:hAnsi="Palatino Linotype" w:cs="Palatino Linotype"/>
          <w:sz w:val="24"/>
          <w:szCs w:val="24"/>
        </w:rPr>
        <w:t>, para la prestación de servicio de Taxis o base de transporte público (combis, microbuses o autobuses de pasajeros)</w:t>
      </w:r>
    </w:p>
    <w:p w14:paraId="108E8E39" w14:textId="77777777" w:rsidR="008B38A1" w:rsidRPr="004915DB" w:rsidRDefault="00553CE8">
      <w:pPr>
        <w:numPr>
          <w:ilvl w:val="0"/>
          <w:numId w:val="3"/>
        </w:numPr>
        <w:pBdr>
          <w:top w:val="nil"/>
          <w:left w:val="nil"/>
          <w:bottom w:val="nil"/>
          <w:right w:val="nil"/>
          <w:between w:val="nil"/>
        </w:pBdr>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Derechos por la expedición o refrendo de anual de licencias para la venta de bebidas alcohólicas al público, establecidos en el artículo 159 fracción II </w:t>
      </w:r>
      <w:r w:rsidRPr="004915DB">
        <w:rPr>
          <w:rFonts w:ascii="Palatino Linotype" w:eastAsia="Palatino Linotype" w:hAnsi="Palatino Linotype" w:cs="Palatino Linotype"/>
          <w:sz w:val="24"/>
          <w:szCs w:val="24"/>
        </w:rPr>
        <w:lastRenderedPageBreak/>
        <w:t>y III por cada una de sus incisos del Código Financiero del Estado de México y Municipios? por cada uno de los años a partir del 2011 hasta el 2021.</w:t>
      </w:r>
    </w:p>
    <w:p w14:paraId="47F2D768" w14:textId="77777777" w:rsidR="008B38A1" w:rsidRPr="004915DB" w:rsidRDefault="008B38A1">
      <w:pPr>
        <w:spacing w:after="240" w:line="276" w:lineRule="auto"/>
        <w:ind w:left="567" w:right="900"/>
        <w:jc w:val="both"/>
        <w:rPr>
          <w:rFonts w:ascii="Palatino Linotype" w:eastAsia="Palatino Linotype" w:hAnsi="Palatino Linotype" w:cs="Palatino Linotype"/>
        </w:rPr>
      </w:pPr>
    </w:p>
    <w:p w14:paraId="4A3E7B2F"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4. Documentos que den cuenta de la siguiente información:</w:t>
      </w:r>
    </w:p>
    <w:p w14:paraId="5A08A213" w14:textId="77777777" w:rsidR="008B38A1" w:rsidRPr="004915DB" w:rsidRDefault="00553CE8">
      <w:pPr>
        <w:numPr>
          <w:ilvl w:val="0"/>
          <w:numId w:val="2"/>
        </w:numPr>
        <w:pBdr>
          <w:top w:val="nil"/>
          <w:left w:val="nil"/>
          <w:bottom w:val="nil"/>
          <w:right w:val="nil"/>
          <w:between w:val="nil"/>
        </w:pBdr>
        <w:spacing w:after="0" w:line="276" w:lineRule="auto"/>
        <w:ind w:left="567" w:right="900" w:hanging="14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Número de anuncios que no pagan impuesto por estar en el supuesto del penúltimo párrafo del artículo 121 del Código Financiero del Estado de México y Municipios, del 1 de enero de 2011 hasta el 31 de diciembre 2021. </w:t>
      </w:r>
    </w:p>
    <w:p w14:paraId="183E913D" w14:textId="77777777" w:rsidR="008B38A1" w:rsidRPr="004915DB" w:rsidRDefault="00553CE8">
      <w:pPr>
        <w:numPr>
          <w:ilvl w:val="0"/>
          <w:numId w:val="2"/>
        </w:numPr>
        <w:pBdr>
          <w:top w:val="nil"/>
          <w:left w:val="nil"/>
          <w:bottom w:val="nil"/>
          <w:right w:val="nil"/>
          <w:between w:val="nil"/>
        </w:pBdr>
        <w:spacing w:after="0" w:line="276" w:lineRule="auto"/>
        <w:ind w:left="567" w:right="900" w:hanging="14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Número de cajones autorizados para la prestación de servicios, de sitios de taxis o bases de servicio público de transporte de pasajeros al veinticinco de mayo de dos mil veintidós, sin tomar en consideración el periodo del 1ª de julio al 31 de diciembre de 2021.</w:t>
      </w:r>
    </w:p>
    <w:p w14:paraId="33569EF0" w14:textId="77777777" w:rsidR="008B38A1" w:rsidRPr="004915DB" w:rsidRDefault="00553CE8">
      <w:pPr>
        <w:numPr>
          <w:ilvl w:val="0"/>
          <w:numId w:val="2"/>
        </w:numPr>
        <w:pBdr>
          <w:top w:val="nil"/>
          <w:left w:val="nil"/>
          <w:bottom w:val="nil"/>
          <w:right w:val="nil"/>
          <w:between w:val="nil"/>
        </w:pBdr>
        <w:spacing w:after="0" w:line="360" w:lineRule="auto"/>
        <w:ind w:left="567" w:right="993" w:hanging="141"/>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Número de personas Fiscas o Jurídicas Colectivas que pagan el Derecho de refrendo por los incisos del A) a la G) del artículo 159 fracción I del Código Financiero del Estado de México y Municipios, al veintitrés de mayo de dos mil veintidós.</w:t>
      </w:r>
    </w:p>
    <w:p w14:paraId="1D1C257F" w14:textId="77777777" w:rsidR="008B38A1" w:rsidRPr="004915DB" w:rsidRDefault="008B38A1">
      <w:pPr>
        <w:pBdr>
          <w:top w:val="nil"/>
          <w:left w:val="nil"/>
          <w:bottom w:val="nil"/>
          <w:right w:val="nil"/>
          <w:between w:val="nil"/>
        </w:pBdr>
        <w:spacing w:after="0" w:line="360" w:lineRule="auto"/>
        <w:ind w:left="567" w:right="993"/>
        <w:jc w:val="both"/>
        <w:rPr>
          <w:rFonts w:ascii="Palatino Linotype" w:eastAsia="Palatino Linotype" w:hAnsi="Palatino Linotype" w:cs="Palatino Linotype"/>
          <w:sz w:val="24"/>
          <w:szCs w:val="24"/>
        </w:rPr>
      </w:pPr>
    </w:p>
    <w:p w14:paraId="5BD7377A" w14:textId="77777777" w:rsidR="008B38A1" w:rsidRPr="004915DB" w:rsidRDefault="00553CE8">
      <w:pPr>
        <w:pBdr>
          <w:top w:val="nil"/>
          <w:left w:val="nil"/>
          <w:bottom w:val="nil"/>
          <w:right w:val="nil"/>
          <w:between w:val="nil"/>
        </w:pBdr>
        <w:spacing w:after="0" w:line="360" w:lineRule="auto"/>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5.- Reglamentos, manuales de operación o lineamientos para la recaudación de los siguientes conceptos, vigentes al veinticinco de mayo de dos mil veintidós:</w:t>
      </w:r>
    </w:p>
    <w:p w14:paraId="6A7821F4"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1DBB774B"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Impuestos Publicitarios</w:t>
      </w:r>
    </w:p>
    <w:p w14:paraId="3BDC3011"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092CE262"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i. Lineamientos para el desarrollo de las actividades fracciones IV y VI del Artículo 121 del Código Financiero del Estado de México y Municipios</w:t>
      </w:r>
    </w:p>
    <w:p w14:paraId="19F573CA"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 Impuestos sobre Diversiones, Juegos y Espectáculos.</w:t>
      </w:r>
    </w:p>
    <w:p w14:paraId="7867C9F9"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 Derechos de Desarrollo Urbano</w:t>
      </w:r>
    </w:p>
    <w:p w14:paraId="40BC3B23"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103573ED"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 Derechos por el uso de las vías y áreas públicas para el ejercicio de actividades de  comercio o de servicio</w:t>
      </w:r>
    </w:p>
    <w:p w14:paraId="6DAD0624"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21D17204"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 Conforme a lo establecido en materia de salud y al artículo 1 Objeto de Ley de la Ley de Movilidad del Estado de México.</w:t>
      </w:r>
    </w:p>
    <w:p w14:paraId="7B0FBC52"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3498AC05" w14:textId="11A3DE73" w:rsidR="008B38A1" w:rsidRPr="004915DB" w:rsidRDefault="00553CE8" w:rsidP="002B2AF7">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ii. Conforme a lo establecido en el Artículo 154 bis del Código Financiero del Estado de México y Municipios.</w:t>
      </w:r>
    </w:p>
    <w:p w14:paraId="600C0C96"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494BCF5A"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p>
    <w:p w14:paraId="7C5E8902"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f. Derechos por la Expedición o Refrendo Anual de Bebidas Alcohólicas al Publico, alineados a lo que establece la Ley de Competitividad y Ordenamiento Comercial del Estado de México, El Catálogo Mexiquense de Actividades</w:t>
      </w:r>
    </w:p>
    <w:p w14:paraId="51BAFF59" w14:textId="77777777" w:rsidR="008B38A1" w:rsidRPr="004915DB" w:rsidRDefault="00553CE8">
      <w:pPr>
        <w:pBdr>
          <w:top w:val="nil"/>
          <w:left w:val="nil"/>
          <w:bottom w:val="nil"/>
          <w:right w:val="nil"/>
          <w:between w:val="nil"/>
        </w:pBdr>
        <w:ind w:left="567" w:right="709" w:hanging="36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Industriales, Comerciales y de Servicios de Bajo Riesgo y en materia de salud (COPRISEM).</w:t>
      </w:r>
    </w:p>
    <w:p w14:paraId="0DE2C949" w14:textId="77777777" w:rsidR="008B38A1" w:rsidRPr="004915DB" w:rsidRDefault="008B38A1">
      <w:pPr>
        <w:pBdr>
          <w:top w:val="nil"/>
          <w:left w:val="nil"/>
          <w:bottom w:val="nil"/>
          <w:right w:val="nil"/>
          <w:between w:val="nil"/>
        </w:pBdr>
        <w:ind w:left="567" w:right="709" w:hanging="360"/>
        <w:jc w:val="both"/>
        <w:rPr>
          <w:rFonts w:ascii="Palatino Linotype" w:eastAsia="Palatino Linotype" w:hAnsi="Palatino Linotype" w:cs="Palatino Linotype"/>
          <w:b/>
          <w:i/>
        </w:rPr>
      </w:pPr>
    </w:p>
    <w:p w14:paraId="5050A1BA" w14:textId="77777777" w:rsidR="008B38A1" w:rsidRPr="004915DB" w:rsidRDefault="00553CE8">
      <w:pPr>
        <w:spacing w:before="160" w:after="0" w:line="360" w:lineRule="auto"/>
        <w:ind w:right="49"/>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lastRenderedPageBreak/>
        <w:t>QUINTO. VERSIÓN PÚBLICA.</w:t>
      </w:r>
      <w:r w:rsidRPr="004915DB">
        <w:rPr>
          <w:rFonts w:ascii="Palatino Linotype" w:eastAsia="Palatino Linotype" w:hAnsi="Palatino Linotype" w:cs="Palatino Linotype"/>
          <w:b/>
          <w:sz w:val="28"/>
          <w:szCs w:val="28"/>
        </w:rPr>
        <w:t xml:space="preserve"> </w:t>
      </w:r>
      <w:r w:rsidRPr="004915DB">
        <w:rPr>
          <w:rFonts w:ascii="Palatino Linotype" w:eastAsia="Palatino Linotype" w:hAnsi="Palatino Linotype" w:cs="Palatino Linotype"/>
          <w:sz w:val="24"/>
          <w:szCs w:val="24"/>
        </w:rPr>
        <w:t xml:space="preserve">Finalmente para la entrega de los soportes documentales que en todo caso deberá proporcionar </w:t>
      </w:r>
      <w:r w:rsidRPr="004915DB">
        <w:rPr>
          <w:rFonts w:ascii="Palatino Linotype" w:eastAsia="Palatino Linotype" w:hAnsi="Palatino Linotype" w:cs="Palatino Linotype"/>
          <w:b/>
          <w:sz w:val="24"/>
          <w:szCs w:val="24"/>
        </w:rPr>
        <w:t>EL SUJETO OBLIGADO</w:t>
      </w:r>
      <w:r w:rsidRPr="004915DB">
        <w:rPr>
          <w:rFonts w:ascii="Palatino Linotype" w:eastAsia="Palatino Linotype" w:hAnsi="Palatino Linotype" w:cs="Palatino Linotype"/>
          <w:sz w:val="24"/>
          <w:szCs w:val="24"/>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0593CDA" w14:textId="77777777" w:rsidR="008B38A1" w:rsidRPr="004915DB" w:rsidRDefault="008B38A1">
      <w:pPr>
        <w:spacing w:after="0" w:line="360" w:lineRule="auto"/>
        <w:ind w:right="49"/>
        <w:jc w:val="both"/>
        <w:rPr>
          <w:rFonts w:ascii="Palatino Linotype" w:eastAsia="Palatino Linotype" w:hAnsi="Palatino Linotype" w:cs="Palatino Linotype"/>
          <w:sz w:val="24"/>
          <w:szCs w:val="24"/>
        </w:rPr>
      </w:pPr>
    </w:p>
    <w:p w14:paraId="3A8060B2" w14:textId="77777777" w:rsidR="008B38A1" w:rsidRPr="004915DB" w:rsidRDefault="00553CE8">
      <w:pPr>
        <w:spacing w:after="0" w:line="360" w:lineRule="auto"/>
        <w:ind w:right="5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6A0A5CE9" w14:textId="77777777" w:rsidR="008B38A1" w:rsidRPr="004915DB" w:rsidRDefault="008B38A1">
      <w:pPr>
        <w:spacing w:after="0" w:line="360" w:lineRule="auto"/>
        <w:ind w:right="50"/>
        <w:jc w:val="both"/>
        <w:rPr>
          <w:rFonts w:ascii="Palatino Linotype" w:eastAsia="Palatino Linotype" w:hAnsi="Palatino Linotype" w:cs="Palatino Linotype"/>
          <w:sz w:val="24"/>
          <w:szCs w:val="24"/>
        </w:rPr>
      </w:pPr>
    </w:p>
    <w:p w14:paraId="2A9B4517" w14:textId="77777777" w:rsidR="008B38A1" w:rsidRPr="004915DB" w:rsidRDefault="00553CE8">
      <w:pPr>
        <w:spacing w:after="0" w:line="360" w:lineRule="auto"/>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Artículo 3</w:t>
      </w:r>
      <w:r w:rsidRPr="004915DB">
        <w:rPr>
          <w:rFonts w:ascii="Palatino Linotype" w:eastAsia="Palatino Linotype" w:hAnsi="Palatino Linotype" w:cs="Palatino Linotype"/>
          <w:i/>
        </w:rPr>
        <w:t>. Para los efectos de la presente Ley se entenderá por:</w:t>
      </w:r>
    </w:p>
    <w:p w14:paraId="21B65328" w14:textId="77777777" w:rsidR="008B38A1" w:rsidRPr="004915DB" w:rsidRDefault="00553CE8">
      <w:pPr>
        <w:spacing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6AA0EA2A"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IX. Datos personales:</w:t>
      </w:r>
      <w:r w:rsidRPr="004915D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3A4435C9"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XX. Información clasificada</w:t>
      </w:r>
      <w:r w:rsidRPr="004915DB">
        <w:rPr>
          <w:rFonts w:ascii="Palatino Linotype" w:eastAsia="Palatino Linotype" w:hAnsi="Palatino Linotype" w:cs="Palatino Linotype"/>
          <w:i/>
        </w:rPr>
        <w:t>: Aquella considerada por la presente Ley como reservada o confidencial;</w:t>
      </w:r>
    </w:p>
    <w:p w14:paraId="65D02267"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XXI. Información confidencial:</w:t>
      </w:r>
      <w:r w:rsidRPr="004915DB">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CC4C712"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lastRenderedPageBreak/>
        <w:t>XLV. Versión pública:</w:t>
      </w:r>
      <w:r w:rsidRPr="004915D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2415EED5"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78782D6E"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Artículo 91. </w:t>
      </w:r>
      <w:r w:rsidRPr="004915DB">
        <w:rPr>
          <w:rFonts w:ascii="Palatino Linotype" w:eastAsia="Palatino Linotype" w:hAnsi="Palatino Linotype" w:cs="Palatino Linotype"/>
          <w:i/>
        </w:rPr>
        <w:t>El acceso a la información pública será restringido excepcionalmente, cuando ésta sea clasificada como reservada o confidencial.</w:t>
      </w:r>
    </w:p>
    <w:p w14:paraId="3573BCD0"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 xml:space="preserve">Artículo 132. </w:t>
      </w:r>
      <w:r w:rsidRPr="004915DB">
        <w:rPr>
          <w:rFonts w:ascii="Palatino Linotype" w:eastAsia="Palatino Linotype" w:hAnsi="Palatino Linotype" w:cs="Palatino Linotype"/>
          <w:i/>
        </w:rPr>
        <w:t>La clasificación de la información se llevará a cabo en el momento en que:</w:t>
      </w:r>
    </w:p>
    <w:p w14:paraId="341F481D"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w:t>
      </w:r>
      <w:r w:rsidRPr="004915DB">
        <w:rPr>
          <w:rFonts w:ascii="Palatino Linotype" w:eastAsia="Palatino Linotype" w:hAnsi="Palatino Linotype" w:cs="Palatino Linotype"/>
          <w:i/>
        </w:rPr>
        <w:t>. Se reciba una solicitud de acceso a la información;</w:t>
      </w:r>
    </w:p>
    <w:p w14:paraId="2F1E3E21"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II</w:t>
      </w:r>
      <w:r w:rsidRPr="004915DB">
        <w:rPr>
          <w:rFonts w:ascii="Palatino Linotype" w:eastAsia="Palatino Linotype" w:hAnsi="Palatino Linotype" w:cs="Palatino Linotype"/>
          <w:i/>
        </w:rPr>
        <w:t>. Se determine mediante resolución de autoridad competente; o</w:t>
      </w:r>
    </w:p>
    <w:p w14:paraId="3642374E"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III</w:t>
      </w:r>
      <w:r w:rsidRPr="004915DB">
        <w:rPr>
          <w:rFonts w:ascii="Palatino Linotype" w:eastAsia="Palatino Linotype" w:hAnsi="Palatino Linotype" w:cs="Palatino Linotype"/>
          <w:i/>
        </w:rPr>
        <w:t>. Se generen versiones públicas para dar cumplimiento a las obligaciones de transparencia previstas en esta Ley.</w:t>
      </w:r>
    </w:p>
    <w:p w14:paraId="25507179"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p>
    <w:p w14:paraId="1A1DE309"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Artículo 143</w:t>
      </w:r>
      <w:r w:rsidRPr="004915D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79B8CF7"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w:t>
      </w:r>
      <w:r w:rsidRPr="004915D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57B9826"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II.</w:t>
      </w:r>
      <w:r w:rsidRPr="004915D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188E164"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III</w:t>
      </w:r>
      <w:r w:rsidRPr="004915DB">
        <w:rPr>
          <w:rFonts w:ascii="Palatino Linotype" w:eastAsia="Palatino Linotype" w:hAnsi="Palatino Linotype" w:cs="Palatino Linotype"/>
          <w:i/>
        </w:rPr>
        <w:t>. La que presenten los particulares a los sujetos obligados, de conformidad con lo dispuesto por las leyes o los tratados internacionales.</w:t>
      </w:r>
    </w:p>
    <w:p w14:paraId="1B3B8F46"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6F43104"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71095652" w14:textId="77777777" w:rsidR="008B38A1" w:rsidRPr="004915DB" w:rsidRDefault="008B38A1">
      <w:pPr>
        <w:spacing w:before="120" w:after="120"/>
        <w:ind w:left="851" w:right="902"/>
        <w:jc w:val="both"/>
        <w:rPr>
          <w:rFonts w:ascii="Palatino Linotype" w:eastAsia="Palatino Linotype" w:hAnsi="Palatino Linotype" w:cs="Palatino Linotype"/>
          <w:i/>
        </w:rPr>
      </w:pPr>
    </w:p>
    <w:p w14:paraId="0E4168E6" w14:textId="77777777" w:rsidR="008B38A1" w:rsidRPr="004915DB" w:rsidRDefault="00553CE8">
      <w:pPr>
        <w:spacing w:before="12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E62029D" w14:textId="77777777" w:rsidR="008B38A1" w:rsidRPr="004915DB" w:rsidRDefault="008B38A1">
      <w:pPr>
        <w:spacing w:after="0" w:line="360" w:lineRule="auto"/>
        <w:jc w:val="both"/>
        <w:rPr>
          <w:rFonts w:ascii="Palatino Linotype" w:eastAsia="Palatino Linotype" w:hAnsi="Palatino Linotype" w:cs="Palatino Linotype"/>
          <w:sz w:val="28"/>
          <w:szCs w:val="28"/>
        </w:rPr>
      </w:pPr>
    </w:p>
    <w:p w14:paraId="110B30AE"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75574F8F"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19424AD" w14:textId="77777777" w:rsidR="008B38A1" w:rsidRPr="004915DB" w:rsidRDefault="00553CE8">
      <w:pPr>
        <w:spacing w:after="0" w:line="360" w:lineRule="auto"/>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w:t>
      </w:r>
      <w:r w:rsidRPr="004915DB">
        <w:rPr>
          <w:rFonts w:ascii="Palatino Linotype" w:eastAsia="Palatino Linotype" w:hAnsi="Palatino Linotype" w:cs="Palatino Linotype"/>
          <w:b/>
          <w:i/>
        </w:rPr>
        <w:t>Quincuagésimo sexto</w:t>
      </w:r>
      <w:r w:rsidRPr="004915DB">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B4FC0EA" w14:textId="77777777" w:rsidR="008B38A1" w:rsidRPr="004915DB" w:rsidRDefault="00553CE8">
      <w:pPr>
        <w:spacing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Quincuagésimo séptimo</w:t>
      </w:r>
      <w:r w:rsidRPr="004915DB">
        <w:rPr>
          <w:rFonts w:ascii="Palatino Linotype" w:eastAsia="Palatino Linotype" w:hAnsi="Palatino Linotype" w:cs="Palatino Linotype"/>
          <w:i/>
        </w:rPr>
        <w:t xml:space="preserve">. Se considera, en principio, como información pública y no podrá omitirse de las versiones públicas la siguiente: </w:t>
      </w:r>
    </w:p>
    <w:p w14:paraId="5DA89019"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w:t>
      </w:r>
      <w:r w:rsidRPr="004915D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6ACE6AD"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II.</w:t>
      </w:r>
      <w:r w:rsidRPr="004915DB">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21A3B49" w14:textId="77777777" w:rsidR="008B38A1" w:rsidRPr="004915DB" w:rsidRDefault="00553CE8">
      <w:pPr>
        <w:spacing w:before="120" w:after="120"/>
        <w:ind w:left="993"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lastRenderedPageBreak/>
        <w:t>III.</w:t>
      </w:r>
      <w:r w:rsidRPr="004915D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3614173"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5518C220" w14:textId="77777777" w:rsidR="008B38A1" w:rsidRPr="004915DB" w:rsidRDefault="00553CE8">
      <w:pPr>
        <w:spacing w:before="120" w:after="120"/>
        <w:ind w:left="851" w:right="902"/>
        <w:jc w:val="both"/>
        <w:rPr>
          <w:rFonts w:ascii="Palatino Linotype" w:eastAsia="Palatino Linotype" w:hAnsi="Palatino Linotype" w:cs="Palatino Linotype"/>
          <w:i/>
        </w:rPr>
      </w:pPr>
      <w:r w:rsidRPr="004915DB">
        <w:rPr>
          <w:rFonts w:ascii="Palatino Linotype" w:eastAsia="Palatino Linotype" w:hAnsi="Palatino Linotype" w:cs="Palatino Linotype"/>
          <w:b/>
          <w:i/>
        </w:rPr>
        <w:t>Quincuagésimo octavo</w:t>
      </w:r>
      <w:r w:rsidRPr="004915DB">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31DC2E4D" w14:textId="77777777" w:rsidR="008B38A1" w:rsidRPr="004915DB" w:rsidRDefault="008B38A1">
      <w:pPr>
        <w:spacing w:before="120" w:after="120"/>
        <w:ind w:left="851" w:right="902"/>
        <w:jc w:val="both"/>
        <w:rPr>
          <w:rFonts w:ascii="Palatino Linotype" w:eastAsia="Palatino Linotype" w:hAnsi="Palatino Linotype" w:cs="Palatino Linotype"/>
          <w:i/>
        </w:rPr>
      </w:pPr>
    </w:p>
    <w:p w14:paraId="66E9104B" w14:textId="77777777" w:rsidR="008B38A1" w:rsidRPr="004915DB" w:rsidRDefault="00553CE8">
      <w:pPr>
        <w:spacing w:before="12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62302A9"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87972E9" w14:textId="56999361" w:rsidR="008B38A1" w:rsidRPr="004915DB" w:rsidRDefault="00553CE8" w:rsidP="002B2AF7">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4"/>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4915DB" w:rsidRPr="004915DB" w14:paraId="375439F1" w14:textId="77777777">
        <w:tc>
          <w:tcPr>
            <w:tcW w:w="4253" w:type="dxa"/>
            <w:gridSpan w:val="2"/>
            <w:tcBorders>
              <w:top w:val="nil"/>
              <w:left w:val="nil"/>
              <w:right w:val="nil"/>
            </w:tcBorders>
          </w:tcPr>
          <w:p w14:paraId="463A39A6"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42C26973"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Total</w:t>
            </w:r>
          </w:p>
        </w:tc>
      </w:tr>
      <w:tr w:rsidR="004915DB" w:rsidRPr="004915DB" w14:paraId="5B2DE71E" w14:textId="77777777">
        <w:tc>
          <w:tcPr>
            <w:tcW w:w="1134" w:type="dxa"/>
          </w:tcPr>
          <w:p w14:paraId="353FB23C"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Concepto</w:t>
            </w:r>
          </w:p>
        </w:tc>
        <w:tc>
          <w:tcPr>
            <w:tcW w:w="3119" w:type="dxa"/>
          </w:tcPr>
          <w:p w14:paraId="67A57FE9"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Dónde</w:t>
            </w:r>
          </w:p>
        </w:tc>
        <w:tc>
          <w:tcPr>
            <w:tcW w:w="1129" w:type="dxa"/>
          </w:tcPr>
          <w:p w14:paraId="5328FEDC"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Concepto</w:t>
            </w:r>
          </w:p>
        </w:tc>
        <w:tc>
          <w:tcPr>
            <w:tcW w:w="3446" w:type="dxa"/>
          </w:tcPr>
          <w:p w14:paraId="66C6295E"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Dónde</w:t>
            </w:r>
          </w:p>
        </w:tc>
      </w:tr>
      <w:tr w:rsidR="004915DB" w:rsidRPr="004915DB" w14:paraId="5B62AA0F" w14:textId="77777777">
        <w:tc>
          <w:tcPr>
            <w:tcW w:w="8828" w:type="dxa"/>
            <w:gridSpan w:val="4"/>
          </w:tcPr>
          <w:p w14:paraId="0B08604A" w14:textId="77777777" w:rsidR="008B38A1" w:rsidRPr="004915DB" w:rsidRDefault="00553CE8">
            <w:pPr>
              <w:jc w:val="center"/>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Sello oficial o logotipo del sujeto obligado</w:t>
            </w:r>
          </w:p>
        </w:tc>
      </w:tr>
      <w:tr w:rsidR="004915DB" w:rsidRPr="004915DB" w14:paraId="60049A71" w14:textId="77777777">
        <w:tc>
          <w:tcPr>
            <w:tcW w:w="1134" w:type="dxa"/>
          </w:tcPr>
          <w:p w14:paraId="7322DD9C"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lastRenderedPageBreak/>
              <w:t>Fecha de clasificación</w:t>
            </w:r>
          </w:p>
        </w:tc>
        <w:tc>
          <w:tcPr>
            <w:tcW w:w="3119" w:type="dxa"/>
          </w:tcPr>
          <w:p w14:paraId="1B9C938C"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0D52EA9"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Fecha de clasificación</w:t>
            </w:r>
          </w:p>
        </w:tc>
        <w:tc>
          <w:tcPr>
            <w:tcW w:w="3446" w:type="dxa"/>
          </w:tcPr>
          <w:p w14:paraId="6D6BEA33"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915DB" w:rsidRPr="004915DB" w14:paraId="1F539ED7" w14:textId="77777777">
        <w:tc>
          <w:tcPr>
            <w:tcW w:w="1134" w:type="dxa"/>
          </w:tcPr>
          <w:p w14:paraId="2BA5BAE4"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Área</w:t>
            </w:r>
          </w:p>
        </w:tc>
        <w:tc>
          <w:tcPr>
            <w:tcW w:w="3119" w:type="dxa"/>
          </w:tcPr>
          <w:p w14:paraId="0FFF8E81"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área del cual es titular quien clasifica.</w:t>
            </w:r>
          </w:p>
        </w:tc>
        <w:tc>
          <w:tcPr>
            <w:tcW w:w="1129" w:type="dxa"/>
          </w:tcPr>
          <w:p w14:paraId="5A0A9DE3"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Área</w:t>
            </w:r>
          </w:p>
        </w:tc>
        <w:tc>
          <w:tcPr>
            <w:tcW w:w="3446" w:type="dxa"/>
          </w:tcPr>
          <w:p w14:paraId="6458020D"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área de la cual es el titular quien clasifica.</w:t>
            </w:r>
          </w:p>
        </w:tc>
      </w:tr>
      <w:tr w:rsidR="004915DB" w:rsidRPr="004915DB" w14:paraId="5BCDF601" w14:textId="77777777">
        <w:tc>
          <w:tcPr>
            <w:tcW w:w="1134" w:type="dxa"/>
          </w:tcPr>
          <w:p w14:paraId="66016A15"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Información reservada</w:t>
            </w:r>
          </w:p>
        </w:tc>
        <w:tc>
          <w:tcPr>
            <w:tcW w:w="3119" w:type="dxa"/>
          </w:tcPr>
          <w:p w14:paraId="5F4F8882"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0934DE1D"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Reservado</w:t>
            </w:r>
          </w:p>
        </w:tc>
        <w:tc>
          <w:tcPr>
            <w:tcW w:w="3446" w:type="dxa"/>
          </w:tcPr>
          <w:p w14:paraId="4C39ADD1"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Leyenda de información RESERVADA.</w:t>
            </w:r>
          </w:p>
        </w:tc>
      </w:tr>
      <w:tr w:rsidR="004915DB" w:rsidRPr="004915DB" w14:paraId="711CD1E3" w14:textId="77777777">
        <w:tc>
          <w:tcPr>
            <w:tcW w:w="1134" w:type="dxa"/>
          </w:tcPr>
          <w:p w14:paraId="07635E5B"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Fundamento legal</w:t>
            </w:r>
          </w:p>
        </w:tc>
        <w:tc>
          <w:tcPr>
            <w:tcW w:w="3119" w:type="dxa"/>
          </w:tcPr>
          <w:p w14:paraId="0A27824F"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8BEBB7C"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Periodo de reserva</w:t>
            </w:r>
          </w:p>
        </w:tc>
        <w:tc>
          <w:tcPr>
            <w:tcW w:w="3446" w:type="dxa"/>
          </w:tcPr>
          <w:p w14:paraId="382B5306"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915DB" w:rsidRPr="004915DB" w14:paraId="46CF16C7" w14:textId="77777777">
        <w:tc>
          <w:tcPr>
            <w:tcW w:w="1134" w:type="dxa"/>
          </w:tcPr>
          <w:p w14:paraId="79ACE0F4"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Ampliación del periodo de reserva</w:t>
            </w:r>
          </w:p>
        </w:tc>
        <w:tc>
          <w:tcPr>
            <w:tcW w:w="3119" w:type="dxa"/>
          </w:tcPr>
          <w:p w14:paraId="783EFBA1"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3484D98"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Fundamento legal</w:t>
            </w:r>
          </w:p>
        </w:tc>
        <w:tc>
          <w:tcPr>
            <w:tcW w:w="3446" w:type="dxa"/>
          </w:tcPr>
          <w:p w14:paraId="27D58EAC"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915DB" w:rsidRPr="004915DB" w14:paraId="06542C3D" w14:textId="77777777">
        <w:tc>
          <w:tcPr>
            <w:tcW w:w="1134" w:type="dxa"/>
          </w:tcPr>
          <w:p w14:paraId="11A9B646"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Confidencial</w:t>
            </w:r>
          </w:p>
        </w:tc>
        <w:tc>
          <w:tcPr>
            <w:tcW w:w="3119" w:type="dxa"/>
          </w:tcPr>
          <w:p w14:paraId="36C25713"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8933DDB"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Ampliación del periodo de reserva</w:t>
            </w:r>
          </w:p>
        </w:tc>
        <w:tc>
          <w:tcPr>
            <w:tcW w:w="3446" w:type="dxa"/>
          </w:tcPr>
          <w:p w14:paraId="23B8DF1D"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915DB" w:rsidRPr="004915DB" w14:paraId="3707FC4B" w14:textId="77777777">
        <w:tc>
          <w:tcPr>
            <w:tcW w:w="1134" w:type="dxa"/>
          </w:tcPr>
          <w:p w14:paraId="6631C553"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Fundamento legal</w:t>
            </w:r>
          </w:p>
        </w:tc>
        <w:tc>
          <w:tcPr>
            <w:tcW w:w="3119" w:type="dxa"/>
          </w:tcPr>
          <w:p w14:paraId="1E6BDE97"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B470DBD"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Confidencial</w:t>
            </w:r>
          </w:p>
        </w:tc>
        <w:tc>
          <w:tcPr>
            <w:tcW w:w="3446" w:type="dxa"/>
          </w:tcPr>
          <w:p w14:paraId="5FE6DF0E"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Leyenda de información CONFIDENCIAL.</w:t>
            </w:r>
          </w:p>
        </w:tc>
      </w:tr>
      <w:tr w:rsidR="004915DB" w:rsidRPr="004915DB" w14:paraId="065EE477" w14:textId="77777777">
        <w:tc>
          <w:tcPr>
            <w:tcW w:w="1134" w:type="dxa"/>
          </w:tcPr>
          <w:p w14:paraId="4866ABC7"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Rúbrica del titular del área</w:t>
            </w:r>
          </w:p>
        </w:tc>
        <w:tc>
          <w:tcPr>
            <w:tcW w:w="3119" w:type="dxa"/>
          </w:tcPr>
          <w:p w14:paraId="25D8C5AA"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Rúbrica autógrafa de quien clasifica.</w:t>
            </w:r>
          </w:p>
        </w:tc>
        <w:tc>
          <w:tcPr>
            <w:tcW w:w="1129" w:type="dxa"/>
          </w:tcPr>
          <w:p w14:paraId="0823D278"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Fundamento legal</w:t>
            </w:r>
          </w:p>
        </w:tc>
        <w:tc>
          <w:tcPr>
            <w:tcW w:w="3446" w:type="dxa"/>
          </w:tcPr>
          <w:p w14:paraId="614DF28D"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915DB" w:rsidRPr="004915DB" w14:paraId="72D4E9B6" w14:textId="77777777">
        <w:tc>
          <w:tcPr>
            <w:tcW w:w="1134" w:type="dxa"/>
          </w:tcPr>
          <w:p w14:paraId="016F6986"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Fecha de desclasificación</w:t>
            </w:r>
          </w:p>
        </w:tc>
        <w:tc>
          <w:tcPr>
            <w:tcW w:w="3119" w:type="dxa"/>
          </w:tcPr>
          <w:p w14:paraId="2A2FE750"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anotará la fecha en que se desclasifica el documento.</w:t>
            </w:r>
          </w:p>
        </w:tc>
        <w:tc>
          <w:tcPr>
            <w:tcW w:w="1129" w:type="dxa"/>
          </w:tcPr>
          <w:p w14:paraId="0AC9B34C"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Rúbrica del titular del área</w:t>
            </w:r>
          </w:p>
        </w:tc>
        <w:tc>
          <w:tcPr>
            <w:tcW w:w="3446" w:type="dxa"/>
          </w:tcPr>
          <w:p w14:paraId="76F0114F"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Rúbrica autógrafa de quien clasifica.</w:t>
            </w:r>
          </w:p>
        </w:tc>
      </w:tr>
      <w:tr w:rsidR="004915DB" w:rsidRPr="004915DB" w14:paraId="06B703D8" w14:textId="77777777">
        <w:tc>
          <w:tcPr>
            <w:tcW w:w="1134" w:type="dxa"/>
          </w:tcPr>
          <w:p w14:paraId="6D16E3D3"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sz w:val="12"/>
                <w:szCs w:val="12"/>
              </w:rPr>
              <w:t>Rúbrica y cargo del servidor público</w:t>
            </w:r>
          </w:p>
        </w:tc>
        <w:tc>
          <w:tcPr>
            <w:tcW w:w="3119" w:type="dxa"/>
          </w:tcPr>
          <w:p w14:paraId="222F0778"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Rúbrica autógrafa de quien desclasifica.</w:t>
            </w:r>
          </w:p>
        </w:tc>
        <w:tc>
          <w:tcPr>
            <w:tcW w:w="1129" w:type="dxa"/>
          </w:tcPr>
          <w:p w14:paraId="013E5D24"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Fecha de desclasificación</w:t>
            </w:r>
          </w:p>
        </w:tc>
        <w:tc>
          <w:tcPr>
            <w:tcW w:w="3446" w:type="dxa"/>
          </w:tcPr>
          <w:p w14:paraId="5087D9B0"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Se anotará la fecha en que se desclasifica.</w:t>
            </w:r>
          </w:p>
        </w:tc>
      </w:tr>
      <w:tr w:rsidR="004915DB" w:rsidRPr="004915DB" w14:paraId="41BF565A" w14:textId="77777777">
        <w:tc>
          <w:tcPr>
            <w:tcW w:w="1134" w:type="dxa"/>
          </w:tcPr>
          <w:p w14:paraId="361B1850" w14:textId="77777777" w:rsidR="008B38A1" w:rsidRPr="004915DB" w:rsidRDefault="008B38A1">
            <w:pPr>
              <w:jc w:val="both"/>
              <w:rPr>
                <w:rFonts w:ascii="Palatino Linotype" w:eastAsia="Palatino Linotype" w:hAnsi="Palatino Linotype" w:cs="Palatino Linotype"/>
                <w:b/>
                <w:sz w:val="12"/>
                <w:szCs w:val="12"/>
              </w:rPr>
            </w:pPr>
          </w:p>
        </w:tc>
        <w:tc>
          <w:tcPr>
            <w:tcW w:w="3119" w:type="dxa"/>
          </w:tcPr>
          <w:p w14:paraId="48807A4C" w14:textId="77777777" w:rsidR="008B38A1" w:rsidRPr="004915DB" w:rsidRDefault="008B38A1">
            <w:pPr>
              <w:jc w:val="both"/>
              <w:rPr>
                <w:rFonts w:ascii="Palatino Linotype" w:eastAsia="Palatino Linotype" w:hAnsi="Palatino Linotype" w:cs="Palatino Linotype"/>
                <w:sz w:val="12"/>
                <w:szCs w:val="12"/>
              </w:rPr>
            </w:pPr>
          </w:p>
        </w:tc>
        <w:tc>
          <w:tcPr>
            <w:tcW w:w="1129" w:type="dxa"/>
          </w:tcPr>
          <w:p w14:paraId="03E08929"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Partes o secciones reservadas o confidenciales</w:t>
            </w:r>
          </w:p>
        </w:tc>
        <w:tc>
          <w:tcPr>
            <w:tcW w:w="3446" w:type="dxa"/>
          </w:tcPr>
          <w:p w14:paraId="57FA8B50"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8B38A1" w:rsidRPr="004915DB" w14:paraId="7AFBB14C" w14:textId="77777777">
        <w:tc>
          <w:tcPr>
            <w:tcW w:w="1134" w:type="dxa"/>
          </w:tcPr>
          <w:p w14:paraId="64608FD0" w14:textId="77777777" w:rsidR="008B38A1" w:rsidRPr="004915DB" w:rsidRDefault="008B38A1">
            <w:pPr>
              <w:jc w:val="both"/>
              <w:rPr>
                <w:rFonts w:ascii="Palatino Linotype" w:eastAsia="Palatino Linotype" w:hAnsi="Palatino Linotype" w:cs="Palatino Linotype"/>
                <w:b/>
                <w:sz w:val="12"/>
                <w:szCs w:val="12"/>
              </w:rPr>
            </w:pPr>
          </w:p>
        </w:tc>
        <w:tc>
          <w:tcPr>
            <w:tcW w:w="3119" w:type="dxa"/>
          </w:tcPr>
          <w:p w14:paraId="677A0596" w14:textId="77777777" w:rsidR="008B38A1" w:rsidRPr="004915DB" w:rsidRDefault="008B38A1">
            <w:pPr>
              <w:jc w:val="both"/>
              <w:rPr>
                <w:rFonts w:ascii="Palatino Linotype" w:eastAsia="Palatino Linotype" w:hAnsi="Palatino Linotype" w:cs="Palatino Linotype"/>
                <w:sz w:val="12"/>
                <w:szCs w:val="12"/>
              </w:rPr>
            </w:pPr>
          </w:p>
        </w:tc>
        <w:tc>
          <w:tcPr>
            <w:tcW w:w="1129" w:type="dxa"/>
          </w:tcPr>
          <w:p w14:paraId="4F354254" w14:textId="77777777" w:rsidR="008B38A1" w:rsidRPr="004915DB" w:rsidRDefault="00553CE8">
            <w:pPr>
              <w:jc w:val="both"/>
              <w:rPr>
                <w:rFonts w:ascii="Palatino Linotype" w:eastAsia="Palatino Linotype" w:hAnsi="Palatino Linotype" w:cs="Palatino Linotype"/>
                <w:b/>
                <w:sz w:val="12"/>
                <w:szCs w:val="12"/>
              </w:rPr>
            </w:pPr>
            <w:r w:rsidRPr="004915DB">
              <w:rPr>
                <w:rFonts w:ascii="Palatino Linotype" w:eastAsia="Palatino Linotype" w:hAnsi="Palatino Linotype" w:cs="Palatino Linotype"/>
                <w:b/>
                <w:sz w:val="12"/>
                <w:szCs w:val="12"/>
              </w:rPr>
              <w:t>Rúbrica y cargo del servidor público</w:t>
            </w:r>
          </w:p>
        </w:tc>
        <w:tc>
          <w:tcPr>
            <w:tcW w:w="3446" w:type="dxa"/>
          </w:tcPr>
          <w:p w14:paraId="493E6D80" w14:textId="77777777" w:rsidR="008B38A1" w:rsidRPr="004915DB" w:rsidRDefault="00553CE8">
            <w:pPr>
              <w:jc w:val="both"/>
              <w:rPr>
                <w:rFonts w:ascii="Palatino Linotype" w:eastAsia="Palatino Linotype" w:hAnsi="Palatino Linotype" w:cs="Palatino Linotype"/>
                <w:sz w:val="12"/>
                <w:szCs w:val="12"/>
              </w:rPr>
            </w:pPr>
            <w:r w:rsidRPr="004915DB">
              <w:rPr>
                <w:rFonts w:ascii="Palatino Linotype" w:eastAsia="Palatino Linotype" w:hAnsi="Palatino Linotype" w:cs="Palatino Linotype"/>
                <w:sz w:val="12"/>
                <w:szCs w:val="12"/>
              </w:rPr>
              <w:t>Rúbrica autógrafa de quien desclasifica.</w:t>
            </w:r>
          </w:p>
        </w:tc>
      </w:tr>
    </w:tbl>
    <w:p w14:paraId="24CD9CBC" w14:textId="77777777" w:rsidR="008B38A1" w:rsidRPr="004915DB" w:rsidRDefault="008B38A1">
      <w:pPr>
        <w:tabs>
          <w:tab w:val="left" w:pos="7938"/>
        </w:tabs>
        <w:spacing w:line="360" w:lineRule="auto"/>
        <w:jc w:val="both"/>
        <w:rPr>
          <w:rFonts w:ascii="Palatino Linotype" w:eastAsia="Palatino Linotype" w:hAnsi="Palatino Linotype" w:cs="Palatino Linotype"/>
        </w:rPr>
      </w:pPr>
    </w:p>
    <w:p w14:paraId="7F028FF7" w14:textId="77777777" w:rsidR="008B38A1" w:rsidRPr="004915DB" w:rsidRDefault="00553CE8">
      <w:pPr>
        <w:spacing w:before="16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En consecuencia, resulta procedente modificar la respuesta en términos de la fracción III del artículo 186 de la Ley de Transparencia y Acceso a la Información </w:t>
      </w:r>
      <w:r w:rsidRPr="004915DB">
        <w:rPr>
          <w:rFonts w:ascii="Palatino Linotype" w:eastAsia="Palatino Linotype" w:hAnsi="Palatino Linotype" w:cs="Palatino Linotype"/>
          <w:sz w:val="24"/>
          <w:szCs w:val="24"/>
        </w:rPr>
        <w:lastRenderedPageBreak/>
        <w:t xml:space="preserve">Pública del Estado de México y Municipios, a efectos de que </w:t>
      </w:r>
      <w:r w:rsidRPr="004915DB">
        <w:rPr>
          <w:rFonts w:ascii="Palatino Linotype" w:eastAsia="Palatino Linotype" w:hAnsi="Palatino Linotype" w:cs="Palatino Linotype"/>
          <w:b/>
          <w:sz w:val="24"/>
          <w:szCs w:val="24"/>
        </w:rPr>
        <w:t xml:space="preserve">EL SUJETO OBLIGADO </w:t>
      </w:r>
      <w:r w:rsidRPr="004915DB">
        <w:rPr>
          <w:rFonts w:ascii="Palatino Linotype" w:eastAsia="Palatino Linotype" w:hAnsi="Palatino Linotype" w:cs="Palatino Linotype"/>
          <w:sz w:val="24"/>
          <w:szCs w:val="24"/>
        </w:rPr>
        <w:t>entregue la información requerida.</w:t>
      </w:r>
    </w:p>
    <w:p w14:paraId="2059F55D"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3626A35D"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0355F191"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132105CB" w14:textId="77777777" w:rsidR="008B38A1" w:rsidRPr="004915DB" w:rsidRDefault="00553CE8">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R E S U E L V E</w:t>
      </w:r>
    </w:p>
    <w:p w14:paraId="74E80679" w14:textId="77777777" w:rsidR="008B38A1" w:rsidRPr="004915DB" w:rsidRDefault="008B38A1">
      <w:p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p>
    <w:p w14:paraId="044D45F9"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PRIMERO.</w:t>
      </w:r>
      <w:r w:rsidRPr="004915DB">
        <w:rPr>
          <w:rFonts w:ascii="Palatino Linotype" w:eastAsia="Palatino Linotype" w:hAnsi="Palatino Linotype" w:cs="Palatino Linotype"/>
          <w:sz w:val="24"/>
          <w:szCs w:val="24"/>
        </w:rPr>
        <w:t xml:space="preserve"> Resulta </w:t>
      </w:r>
      <w:r w:rsidRPr="004915DB">
        <w:rPr>
          <w:rFonts w:ascii="Palatino Linotype" w:eastAsia="Palatino Linotype" w:hAnsi="Palatino Linotype" w:cs="Palatino Linotype"/>
          <w:b/>
          <w:sz w:val="24"/>
          <w:szCs w:val="24"/>
        </w:rPr>
        <w:t>fundado</w:t>
      </w:r>
      <w:r w:rsidRPr="004915DB">
        <w:rPr>
          <w:rFonts w:ascii="Palatino Linotype" w:eastAsia="Palatino Linotype" w:hAnsi="Palatino Linotype" w:cs="Palatino Linotype"/>
          <w:sz w:val="24"/>
          <w:szCs w:val="24"/>
        </w:rPr>
        <w:t xml:space="preserve"> el motivo de inconformidad planteado por la parte</w:t>
      </w:r>
      <w:r w:rsidRPr="004915DB">
        <w:rPr>
          <w:rFonts w:ascii="Palatino Linotype" w:eastAsia="Palatino Linotype" w:hAnsi="Palatino Linotype" w:cs="Palatino Linotype"/>
          <w:b/>
          <w:sz w:val="24"/>
          <w:szCs w:val="24"/>
        </w:rPr>
        <w:t xml:space="preserve"> RECURRENTE</w:t>
      </w:r>
      <w:r w:rsidRPr="004915DB">
        <w:rPr>
          <w:rFonts w:ascii="Palatino Linotype" w:eastAsia="Palatino Linotype" w:hAnsi="Palatino Linotype" w:cs="Palatino Linotype"/>
          <w:b/>
          <w:i/>
          <w:sz w:val="24"/>
          <w:szCs w:val="24"/>
        </w:rPr>
        <w:t xml:space="preserve"> </w:t>
      </w:r>
      <w:r w:rsidRPr="004915DB">
        <w:rPr>
          <w:rFonts w:ascii="Palatino Linotype" w:eastAsia="Palatino Linotype" w:hAnsi="Palatino Linotype" w:cs="Palatino Linotype"/>
          <w:sz w:val="24"/>
          <w:szCs w:val="24"/>
        </w:rPr>
        <w:t xml:space="preserve">en el recurso de revisión </w:t>
      </w:r>
      <w:r w:rsidRPr="004915DB">
        <w:rPr>
          <w:rFonts w:ascii="Palatino Linotype" w:eastAsia="Palatino Linotype" w:hAnsi="Palatino Linotype" w:cs="Palatino Linotype"/>
          <w:b/>
          <w:sz w:val="24"/>
          <w:szCs w:val="24"/>
        </w:rPr>
        <w:t>12254/INFOEM/IP/RR/2022</w:t>
      </w:r>
      <w:r w:rsidRPr="004915DB">
        <w:rPr>
          <w:rFonts w:ascii="Palatino Linotype" w:eastAsia="Palatino Linotype" w:hAnsi="Palatino Linotype" w:cs="Palatino Linotype"/>
          <w:sz w:val="24"/>
          <w:szCs w:val="24"/>
        </w:rPr>
        <w:t xml:space="preserve">, por lo que, en términos del </w:t>
      </w:r>
      <w:r w:rsidRPr="004915DB">
        <w:rPr>
          <w:rFonts w:ascii="Palatino Linotype" w:eastAsia="Palatino Linotype" w:hAnsi="Palatino Linotype" w:cs="Palatino Linotype"/>
          <w:b/>
          <w:sz w:val="24"/>
          <w:szCs w:val="24"/>
        </w:rPr>
        <w:t>Considerando Cuarto</w:t>
      </w:r>
      <w:r w:rsidRPr="004915DB">
        <w:rPr>
          <w:rFonts w:ascii="Palatino Linotype" w:eastAsia="Palatino Linotype" w:hAnsi="Palatino Linotype" w:cs="Palatino Linotype"/>
          <w:sz w:val="24"/>
          <w:szCs w:val="24"/>
        </w:rPr>
        <w:t xml:space="preserve"> de la presente resolución, se </w:t>
      </w:r>
      <w:r w:rsidRPr="004915DB">
        <w:rPr>
          <w:rFonts w:ascii="Palatino Linotype" w:eastAsia="Palatino Linotype" w:hAnsi="Palatino Linotype" w:cs="Palatino Linotype"/>
          <w:b/>
          <w:sz w:val="24"/>
          <w:szCs w:val="24"/>
        </w:rPr>
        <w:t>MODIFICA</w:t>
      </w:r>
      <w:r w:rsidRPr="004915DB">
        <w:rPr>
          <w:rFonts w:ascii="Palatino Linotype" w:eastAsia="Palatino Linotype" w:hAnsi="Palatino Linotype" w:cs="Palatino Linotype"/>
          <w:sz w:val="24"/>
          <w:szCs w:val="24"/>
        </w:rPr>
        <w:t xml:space="preserve"> la respuesta emitida por el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w:t>
      </w:r>
    </w:p>
    <w:p w14:paraId="2382183B"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50E860CE" w14:textId="77777777" w:rsidR="008B38A1" w:rsidRPr="004915DB" w:rsidRDefault="00553CE8">
      <w:pPr>
        <w:spacing w:after="0" w:line="360" w:lineRule="auto"/>
        <w:ind w:right="49"/>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SEGUNDO.</w:t>
      </w:r>
      <w:r w:rsidRPr="004915DB">
        <w:rPr>
          <w:rFonts w:ascii="Palatino Linotype" w:eastAsia="Palatino Linotype" w:hAnsi="Palatino Linotype" w:cs="Palatino Linotype"/>
          <w:b/>
          <w:sz w:val="32"/>
          <w:szCs w:val="32"/>
        </w:rPr>
        <w:t xml:space="preserve"> </w:t>
      </w:r>
      <w:r w:rsidRPr="004915DB">
        <w:rPr>
          <w:rFonts w:ascii="Palatino Linotype" w:eastAsia="Palatino Linotype" w:hAnsi="Palatino Linotype" w:cs="Palatino Linotype"/>
          <w:sz w:val="24"/>
          <w:szCs w:val="24"/>
        </w:rPr>
        <w:t>Se</w:t>
      </w:r>
      <w:r w:rsidRPr="004915DB">
        <w:rPr>
          <w:rFonts w:ascii="Palatino Linotype" w:eastAsia="Palatino Linotype" w:hAnsi="Palatino Linotype" w:cs="Palatino Linotype"/>
          <w:b/>
          <w:sz w:val="24"/>
          <w:szCs w:val="24"/>
        </w:rPr>
        <w:t xml:space="preserve"> ORDENA </w:t>
      </w:r>
      <w:r w:rsidRPr="004915DB">
        <w:rPr>
          <w:rFonts w:ascii="Palatino Linotype" w:eastAsia="Palatino Linotype" w:hAnsi="Palatino Linotype" w:cs="Palatino Linotype"/>
          <w:sz w:val="24"/>
          <w:szCs w:val="24"/>
        </w:rPr>
        <w:t xml:space="preserve">al </w:t>
      </w:r>
      <w:r w:rsidRPr="004915DB">
        <w:rPr>
          <w:rFonts w:ascii="Palatino Linotype" w:eastAsia="Palatino Linotype" w:hAnsi="Palatino Linotype" w:cs="Palatino Linotype"/>
          <w:b/>
          <w:sz w:val="24"/>
          <w:szCs w:val="24"/>
        </w:rPr>
        <w:t>Sujeto Obligado</w:t>
      </w:r>
      <w:r w:rsidRPr="004915DB">
        <w:rPr>
          <w:rFonts w:ascii="Palatino Linotype" w:eastAsia="Palatino Linotype" w:hAnsi="Palatino Linotype" w:cs="Palatino Linotype"/>
          <w:sz w:val="24"/>
          <w:szCs w:val="24"/>
        </w:rPr>
        <w:t xml:space="preserve"> que en términos de los </w:t>
      </w:r>
      <w:r w:rsidRPr="004915DB">
        <w:rPr>
          <w:rFonts w:ascii="Palatino Linotype" w:eastAsia="Palatino Linotype" w:hAnsi="Palatino Linotype" w:cs="Palatino Linotype"/>
          <w:b/>
          <w:sz w:val="24"/>
          <w:szCs w:val="24"/>
        </w:rPr>
        <w:t xml:space="preserve">Considerandos Cuarto y Quinto </w:t>
      </w:r>
      <w:r w:rsidRPr="004915DB">
        <w:rPr>
          <w:rFonts w:ascii="Palatino Linotype" w:eastAsia="Palatino Linotype" w:hAnsi="Palatino Linotype" w:cs="Palatino Linotype"/>
          <w:sz w:val="24"/>
          <w:szCs w:val="24"/>
        </w:rPr>
        <w:t xml:space="preserve">de esta resolución </w:t>
      </w:r>
      <w:r w:rsidRPr="004915DB">
        <w:rPr>
          <w:rFonts w:ascii="Palatino Linotype" w:eastAsia="Palatino Linotype" w:hAnsi="Palatino Linotype" w:cs="Palatino Linotype"/>
          <w:b/>
          <w:sz w:val="24"/>
          <w:szCs w:val="24"/>
        </w:rPr>
        <w:t>haga entrega en versión pública</w:t>
      </w:r>
      <w:r w:rsidRPr="004915DB">
        <w:rPr>
          <w:rFonts w:ascii="Palatino Linotype" w:eastAsia="Palatino Linotype" w:hAnsi="Palatino Linotype" w:cs="Palatino Linotype"/>
          <w:sz w:val="24"/>
          <w:szCs w:val="24"/>
        </w:rPr>
        <w:t xml:space="preserve"> de ser procedente, previa búsqueda exhaustiva y razonable, a través del </w:t>
      </w:r>
      <w:r w:rsidRPr="004915DB">
        <w:rPr>
          <w:rFonts w:ascii="Palatino Linotype" w:eastAsia="Palatino Linotype" w:hAnsi="Palatino Linotype" w:cs="Palatino Linotype"/>
          <w:b/>
          <w:sz w:val="24"/>
          <w:szCs w:val="24"/>
        </w:rPr>
        <w:t xml:space="preserve">SAIMEX, de lo siguiente: </w:t>
      </w:r>
    </w:p>
    <w:p w14:paraId="7DD6A2B6" w14:textId="77777777" w:rsidR="008B38A1" w:rsidRPr="004915DB" w:rsidRDefault="008B38A1">
      <w:pPr>
        <w:spacing w:after="0" w:line="360" w:lineRule="auto"/>
        <w:ind w:right="49"/>
        <w:jc w:val="both"/>
        <w:rPr>
          <w:rFonts w:ascii="Palatino Linotype" w:eastAsia="Palatino Linotype" w:hAnsi="Palatino Linotype" w:cs="Palatino Linotype"/>
          <w:b/>
          <w:sz w:val="24"/>
          <w:szCs w:val="24"/>
        </w:rPr>
      </w:pPr>
    </w:p>
    <w:p w14:paraId="2E2D2531"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1.- Presupuesto aprobado para el ejercicio fiscal 2022;</w:t>
      </w:r>
    </w:p>
    <w:p w14:paraId="14F8930F"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1F2E5A27" w14:textId="7D6A1511"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 xml:space="preserve">2. Estado Comparativo Presupuestal de Ingresos, generado del 1 de enero al </w:t>
      </w:r>
      <w:r w:rsidR="007C6079" w:rsidRPr="004915DB">
        <w:rPr>
          <w:rFonts w:ascii="Palatino Linotype" w:eastAsia="Palatino Linotype" w:hAnsi="Palatino Linotype" w:cs="Palatino Linotype"/>
          <w:sz w:val="24"/>
          <w:szCs w:val="24"/>
        </w:rPr>
        <w:t xml:space="preserve">30 de abril </w:t>
      </w:r>
      <w:r w:rsidRPr="004915DB">
        <w:rPr>
          <w:rFonts w:ascii="Palatino Linotype" w:eastAsia="Palatino Linotype" w:hAnsi="Palatino Linotype" w:cs="Palatino Linotype"/>
          <w:sz w:val="24"/>
          <w:szCs w:val="24"/>
        </w:rPr>
        <w:t>de 2022:</w:t>
      </w:r>
    </w:p>
    <w:p w14:paraId="69B7389D" w14:textId="77777777" w:rsidR="00EA62A4" w:rsidRPr="004915DB" w:rsidRDefault="00EA62A4">
      <w:pPr>
        <w:spacing w:after="0" w:line="360" w:lineRule="auto"/>
        <w:ind w:left="567" w:right="902"/>
        <w:jc w:val="both"/>
        <w:rPr>
          <w:rFonts w:ascii="Palatino Linotype" w:eastAsia="Palatino Linotype" w:hAnsi="Palatino Linotype" w:cs="Palatino Linotype"/>
          <w:sz w:val="24"/>
          <w:szCs w:val="24"/>
        </w:rPr>
      </w:pPr>
    </w:p>
    <w:p w14:paraId="50454A61"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3. Documentos que den cuenta de la recaudación sobre:</w:t>
      </w:r>
    </w:p>
    <w:p w14:paraId="0D435EA2"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6C9215D6"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De los años 2011 y 2021</w:t>
      </w:r>
      <w:r w:rsidRPr="004915DB">
        <w:rPr>
          <w:rFonts w:ascii="Palatino Linotype" w:eastAsia="Palatino Linotype" w:hAnsi="Palatino Linotype" w:cs="Palatino Linotype"/>
          <w:sz w:val="24"/>
          <w:szCs w:val="24"/>
        </w:rPr>
        <w:t>:</w:t>
      </w:r>
    </w:p>
    <w:p w14:paraId="3B5C9A4B"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Conjuntos urbanos.</w:t>
      </w:r>
    </w:p>
    <w:p w14:paraId="6A980A48" w14:textId="77777777" w:rsidR="008B38A1" w:rsidRPr="004915DB" w:rsidRDefault="00553CE8">
      <w:pPr>
        <w:spacing w:after="240" w:line="276" w:lineRule="auto"/>
        <w:ind w:left="56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Impuestos sobre diversiones, juegos y espectáculos públicos.</w:t>
      </w:r>
    </w:p>
    <w:p w14:paraId="65CF6098"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 Los Derechos establecidos en el artículo 143 y 144 por cada una de sus fracciones del Código Financiero del Estado de México y Municipios.</w:t>
      </w:r>
    </w:p>
    <w:p w14:paraId="5FB98B65"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Por lo establecido en el artículo 154 en cada una de sus fracciones del Código Financiero del Estado de México y Municipios.</w:t>
      </w:r>
    </w:p>
    <w:p w14:paraId="6C259C46"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79E9098F" w14:textId="77777777" w:rsidR="008B38A1" w:rsidRPr="004915DB" w:rsidRDefault="00553CE8">
      <w:pPr>
        <w:spacing w:after="0" w:line="360" w:lineRule="auto"/>
        <w:ind w:left="567" w:right="902"/>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Del año 2011 y del primero de enero al treinta de junio del 2021:</w:t>
      </w:r>
    </w:p>
    <w:p w14:paraId="7C20B4F2"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 De los Impuestos sobre anuncios publicitarios, el ingreso recaudado por lo establecido en la fracción I del artículo 154 del Código Financiero del Estado de México </w:t>
      </w:r>
    </w:p>
    <w:p w14:paraId="0DCAADD0"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337ACED1" w14:textId="77777777" w:rsidR="008B38A1" w:rsidRPr="004915DB" w:rsidRDefault="00553CE8">
      <w:pPr>
        <w:spacing w:after="240" w:line="360" w:lineRule="auto"/>
        <w:ind w:left="567" w:right="902"/>
        <w:jc w:val="both"/>
        <w:rPr>
          <w:rFonts w:ascii="Palatino Linotype" w:eastAsia="Palatino Linotype" w:hAnsi="Palatino Linotype" w:cs="Palatino Linotype"/>
          <w:b/>
          <w:sz w:val="24"/>
          <w:szCs w:val="24"/>
        </w:rPr>
      </w:pPr>
      <w:r w:rsidRPr="004915DB">
        <w:rPr>
          <w:rFonts w:ascii="Palatino Linotype" w:eastAsia="Palatino Linotype" w:hAnsi="Palatino Linotype" w:cs="Palatino Linotype"/>
          <w:b/>
          <w:sz w:val="24"/>
          <w:szCs w:val="24"/>
        </w:rPr>
        <w:t>Del 1 de enero del 2011 al 31 de diciembre de 2021:</w:t>
      </w:r>
    </w:p>
    <w:p w14:paraId="095D01FE" w14:textId="77777777" w:rsidR="008B38A1" w:rsidRPr="004915DB" w:rsidRDefault="00553CE8">
      <w:pPr>
        <w:numPr>
          <w:ilvl w:val="0"/>
          <w:numId w:val="3"/>
        </w:numPr>
        <w:pBdr>
          <w:top w:val="nil"/>
          <w:left w:val="nil"/>
          <w:bottom w:val="nil"/>
          <w:right w:val="nil"/>
          <w:between w:val="nil"/>
        </w:pBdr>
        <w:spacing w:after="0" w:line="360" w:lineRule="auto"/>
        <w:ind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 xml:space="preserve">Ingresos conforme a lo establecido en el último párrafo del artículo 123 del Código Financiero del Estado de México y Municipios, </w:t>
      </w:r>
      <w:r w:rsidRPr="004915DB">
        <w:rPr>
          <w:rFonts w:ascii="Palatino Linotype" w:eastAsia="Palatino Linotype" w:hAnsi="Palatino Linotype" w:cs="Palatino Linotype"/>
          <w:sz w:val="24"/>
          <w:szCs w:val="24"/>
        </w:rPr>
        <w:lastRenderedPageBreak/>
        <w:t>indicando el número de máquinas instaladas dentro del territorio municipal.</w:t>
      </w:r>
    </w:p>
    <w:p w14:paraId="50222D7C" w14:textId="77777777" w:rsidR="008B38A1" w:rsidRPr="004915DB" w:rsidRDefault="008B38A1">
      <w:pPr>
        <w:pBdr>
          <w:top w:val="nil"/>
          <w:left w:val="nil"/>
          <w:bottom w:val="nil"/>
          <w:right w:val="nil"/>
          <w:between w:val="nil"/>
        </w:pBdr>
        <w:spacing w:after="0" w:line="276" w:lineRule="auto"/>
        <w:ind w:left="927" w:right="900"/>
        <w:jc w:val="both"/>
        <w:rPr>
          <w:rFonts w:ascii="Palatino Linotype" w:eastAsia="Palatino Linotype" w:hAnsi="Palatino Linotype" w:cs="Palatino Linotype"/>
          <w:sz w:val="24"/>
          <w:szCs w:val="24"/>
        </w:rPr>
      </w:pPr>
    </w:p>
    <w:p w14:paraId="4A37E170" w14:textId="77777777" w:rsidR="008B38A1" w:rsidRPr="004915DB" w:rsidRDefault="00553CE8">
      <w:pPr>
        <w:numPr>
          <w:ilvl w:val="0"/>
          <w:numId w:val="3"/>
        </w:num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Derechos establecido en la fracción I, por cada una de los supuestos siguientes</w:t>
      </w:r>
    </w:p>
    <w:p w14:paraId="5CD05509" w14:textId="77777777" w:rsidR="008B38A1" w:rsidRPr="004915DB" w:rsidRDefault="008B38A1">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3F5B21D2" w14:textId="77777777" w:rsidR="008B38A1" w:rsidRPr="004915DB" w:rsidRDefault="00553CE8">
      <w:pPr>
        <w:pBdr>
          <w:top w:val="nil"/>
          <w:left w:val="nil"/>
          <w:bottom w:val="nil"/>
          <w:right w:val="nil"/>
          <w:between w:val="nil"/>
        </w:pBdr>
        <w:spacing w:after="0" w:line="360"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Puestos fijos.</w:t>
      </w:r>
    </w:p>
    <w:p w14:paraId="262D502E" w14:textId="77777777" w:rsidR="008B38A1" w:rsidRPr="004915DB" w:rsidRDefault="00553CE8">
      <w:pPr>
        <w:pBdr>
          <w:top w:val="nil"/>
          <w:left w:val="nil"/>
          <w:bottom w:val="nil"/>
          <w:right w:val="nil"/>
          <w:between w:val="nil"/>
        </w:pBdr>
        <w:spacing w:after="0" w:line="360"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 Semi fijos.</w:t>
      </w:r>
    </w:p>
    <w:p w14:paraId="3369B4DA" w14:textId="77777777" w:rsidR="008B38A1" w:rsidRPr="004915DB" w:rsidRDefault="00553CE8">
      <w:pPr>
        <w:pBdr>
          <w:top w:val="nil"/>
          <w:left w:val="nil"/>
          <w:bottom w:val="nil"/>
          <w:right w:val="nil"/>
          <w:between w:val="nil"/>
        </w:pBdr>
        <w:spacing w:after="0" w:line="360" w:lineRule="auto"/>
        <w:ind w:left="927"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 Comerciantes ambulantes.</w:t>
      </w:r>
    </w:p>
    <w:p w14:paraId="794BD540" w14:textId="77777777" w:rsidR="008B38A1" w:rsidRPr="004915DB" w:rsidRDefault="008B38A1">
      <w:pPr>
        <w:pBdr>
          <w:top w:val="nil"/>
          <w:left w:val="nil"/>
          <w:bottom w:val="nil"/>
          <w:right w:val="nil"/>
          <w:between w:val="nil"/>
        </w:pBdr>
        <w:spacing w:after="0" w:line="360" w:lineRule="auto"/>
        <w:ind w:left="927" w:right="900"/>
        <w:jc w:val="both"/>
        <w:rPr>
          <w:rFonts w:ascii="Palatino Linotype" w:eastAsia="Palatino Linotype" w:hAnsi="Palatino Linotype" w:cs="Palatino Linotype"/>
          <w:sz w:val="24"/>
          <w:szCs w:val="24"/>
        </w:rPr>
      </w:pPr>
    </w:p>
    <w:p w14:paraId="6D40F215" w14:textId="77777777" w:rsidR="008B38A1" w:rsidRPr="004915DB" w:rsidRDefault="00553CE8">
      <w:pPr>
        <w:numPr>
          <w:ilvl w:val="0"/>
          <w:numId w:val="3"/>
        </w:num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w:t>
      </w:r>
    </w:p>
    <w:p w14:paraId="6F93F6F4" w14:textId="77777777" w:rsidR="008B38A1" w:rsidRPr="004915DB" w:rsidRDefault="008B38A1">
      <w:pPr>
        <w:pBdr>
          <w:top w:val="nil"/>
          <w:left w:val="nil"/>
          <w:bottom w:val="nil"/>
          <w:right w:val="nil"/>
          <w:between w:val="nil"/>
        </w:pBdr>
        <w:spacing w:after="0" w:line="360" w:lineRule="auto"/>
        <w:ind w:left="927" w:right="900"/>
        <w:jc w:val="both"/>
        <w:rPr>
          <w:rFonts w:ascii="Palatino Linotype" w:eastAsia="Palatino Linotype" w:hAnsi="Palatino Linotype" w:cs="Palatino Linotype"/>
          <w:sz w:val="24"/>
          <w:szCs w:val="24"/>
        </w:rPr>
      </w:pPr>
    </w:p>
    <w:p w14:paraId="1A75DB11" w14:textId="35A3CCBB" w:rsidR="008B38A1" w:rsidRPr="004915DB" w:rsidRDefault="00553CE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67F1E332" w14:textId="77777777" w:rsidR="007E6EF2" w:rsidRPr="004915DB" w:rsidRDefault="007E6EF2" w:rsidP="007E6EF2">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14:paraId="6B38F075" w14:textId="3CA779A3" w:rsidR="00316882" w:rsidRPr="004915DB" w:rsidRDefault="00316882">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4. Documentos en los que conste la siguiente información:</w:t>
      </w:r>
    </w:p>
    <w:p w14:paraId="5A53F088" w14:textId="77777777" w:rsidR="00316882" w:rsidRPr="004915DB" w:rsidRDefault="00316882" w:rsidP="00316882">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14:paraId="418B4098" w14:textId="58194C08" w:rsidR="00316882" w:rsidRPr="004915DB" w:rsidRDefault="00316882" w:rsidP="00316882">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5D86C332" w14:textId="77777777" w:rsidR="00316882" w:rsidRPr="004915DB" w:rsidRDefault="00316882" w:rsidP="00316882">
      <w:pPr>
        <w:spacing w:after="0" w:line="360" w:lineRule="auto"/>
        <w:ind w:left="567" w:right="902"/>
        <w:jc w:val="both"/>
        <w:rPr>
          <w:rFonts w:ascii="Palatino Linotype" w:eastAsia="Palatino Linotype" w:hAnsi="Palatino Linotype" w:cs="Palatino Linotype"/>
          <w:sz w:val="24"/>
          <w:szCs w:val="24"/>
        </w:rPr>
      </w:pPr>
    </w:p>
    <w:p w14:paraId="60503934" w14:textId="026D98CA" w:rsidR="008B38A1" w:rsidRPr="004915DB" w:rsidRDefault="00316882">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5</w:t>
      </w:r>
      <w:r w:rsidR="00553CE8" w:rsidRPr="004915DB">
        <w:rPr>
          <w:rFonts w:ascii="Palatino Linotype" w:eastAsia="Palatino Linotype" w:hAnsi="Palatino Linotype" w:cs="Palatino Linotype"/>
          <w:sz w:val="24"/>
          <w:szCs w:val="24"/>
        </w:rPr>
        <w:t>. Documentos que den cuenta de la siguiente información:</w:t>
      </w:r>
    </w:p>
    <w:p w14:paraId="00AF5A2F"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62236BD4"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w:t>
      </w:r>
      <w:r w:rsidRPr="004915DB">
        <w:rPr>
          <w:rFonts w:ascii="Palatino Linotype" w:eastAsia="Palatino Linotype" w:hAnsi="Palatino Linotype" w:cs="Palatino Linotype"/>
          <w:sz w:val="24"/>
          <w:szCs w:val="24"/>
        </w:rPr>
        <w:tab/>
        <w:t xml:space="preserve">Número de anuncios que no pagan impuesto por estar en el supuesto del penúltimo párrafo del artículo 121 del Código Financiero del Estado de México y Municipios, del 1 de enero de 2011 hasta el 31 de diciembre 2021. </w:t>
      </w:r>
    </w:p>
    <w:p w14:paraId="03EC8B0C"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w:t>
      </w:r>
      <w:r w:rsidRPr="004915DB">
        <w:rPr>
          <w:rFonts w:ascii="Palatino Linotype" w:eastAsia="Palatino Linotype" w:hAnsi="Palatino Linotype" w:cs="Palatino Linotype"/>
          <w:sz w:val="24"/>
          <w:szCs w:val="24"/>
        </w:rPr>
        <w:tab/>
        <w:t xml:space="preserve">Número de cajones autorizados para la prestación de servicios, de sitios de taxis o bases de servicio público de transporte </w:t>
      </w:r>
      <w:r w:rsidRPr="004915DB">
        <w:rPr>
          <w:rFonts w:ascii="Palatino Linotype" w:eastAsia="Palatino Linotype" w:hAnsi="Palatino Linotype" w:cs="Palatino Linotype"/>
          <w:sz w:val="24"/>
          <w:szCs w:val="24"/>
        </w:rPr>
        <w:lastRenderedPageBreak/>
        <w:t>de pasajeros al veinticinco de mayo de dos mil veintidós, sin tomar en consideración el periodo del 1ª de julio al 31 de diciembre de 2021.</w:t>
      </w:r>
    </w:p>
    <w:p w14:paraId="249F00EF"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w:t>
      </w:r>
      <w:r w:rsidRPr="004915DB">
        <w:rPr>
          <w:rFonts w:ascii="Palatino Linotype" w:eastAsia="Palatino Linotype" w:hAnsi="Palatino Linotype" w:cs="Palatino Linotype"/>
          <w:sz w:val="24"/>
          <w:szCs w:val="24"/>
        </w:rPr>
        <w:tab/>
        <w:t>Número de personas Fiscas o Jurídicas Colectivas que pagan el Derecho de refrendo por los incisos del A) a la G) del artículo 159 fracción I del Código Financiero del Estado de México y Municipios, al veintitrés de mayo de dos mil veintidós.</w:t>
      </w:r>
    </w:p>
    <w:p w14:paraId="02F3A5CC" w14:textId="77777777" w:rsidR="008B38A1" w:rsidRPr="004915DB" w:rsidRDefault="008B38A1">
      <w:pPr>
        <w:spacing w:after="0" w:line="360" w:lineRule="auto"/>
        <w:ind w:left="567" w:right="902"/>
        <w:jc w:val="both"/>
        <w:rPr>
          <w:rFonts w:ascii="Palatino Linotype" w:eastAsia="Palatino Linotype" w:hAnsi="Palatino Linotype" w:cs="Palatino Linotype"/>
          <w:sz w:val="24"/>
          <w:szCs w:val="24"/>
        </w:rPr>
      </w:pPr>
    </w:p>
    <w:p w14:paraId="582C35D6" w14:textId="19FC66A7" w:rsidR="008B38A1" w:rsidRPr="004915DB" w:rsidRDefault="00316882">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6</w:t>
      </w:r>
      <w:r w:rsidR="00553CE8" w:rsidRPr="004915DB">
        <w:rPr>
          <w:rFonts w:ascii="Palatino Linotype" w:eastAsia="Palatino Linotype" w:hAnsi="Palatino Linotype" w:cs="Palatino Linotype"/>
          <w:sz w:val="24"/>
          <w:szCs w:val="24"/>
        </w:rPr>
        <w:t>.- Reglamentos, manuales de operación o lineamientos para la recaudación de los siguientes conceptos, vigentes al veinticinco de mayo de dos mil veintidós:</w:t>
      </w:r>
    </w:p>
    <w:p w14:paraId="331A2B76"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a. Impuestos Publicitarios</w:t>
      </w:r>
    </w:p>
    <w:p w14:paraId="0E021ABF"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i.Lineamientos para el desarrollo de las actividades fracciones IV y VI del Artículo 121 del Código Financiero del Estado de México y Municipios</w:t>
      </w:r>
    </w:p>
    <w:p w14:paraId="01C8D2CE"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b. Impuestos sobre Diversiones, Juegos y Espectáculos</w:t>
      </w:r>
    </w:p>
    <w:p w14:paraId="104BCBE8"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c. Derechos de Desarrollo Urbano</w:t>
      </w:r>
    </w:p>
    <w:p w14:paraId="46DA370F"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d. Derechos por el uso de las vías y áreas públicas para el ejercicio de actividades de  comercio o de servicio.</w:t>
      </w:r>
    </w:p>
    <w:p w14:paraId="3C7F18A2"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 Conforme a lo establecido en materia de salud y al artículo 1 Objeto de Ley de la Ley de Movilidad del Estado de México.</w:t>
      </w:r>
    </w:p>
    <w:p w14:paraId="72E0E50D"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ii. Conforme a lo establecido en el Artículo 154 bis del Código Financiero del Estado de México y Municipios.</w:t>
      </w:r>
    </w:p>
    <w:p w14:paraId="38C01AA2"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lastRenderedPageBreak/>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3CCA9CE2"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f. Derechos por la Expedición o Refrendo Anual de Bebidas Alcohólicas al Publico, alineados a lo que establece la Ley de Competitividad y Ordenamiento Comercial del Estado de México, El Catálogo Mexiquense de Actividades</w:t>
      </w:r>
    </w:p>
    <w:p w14:paraId="43F15062" w14:textId="77777777" w:rsidR="008B38A1" w:rsidRPr="004915DB" w:rsidRDefault="00553CE8">
      <w:pPr>
        <w:spacing w:after="0" w:line="360" w:lineRule="auto"/>
        <w:ind w:left="567" w:right="902"/>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sz w:val="24"/>
          <w:szCs w:val="24"/>
        </w:rPr>
        <w:t>Industriales, Comerciales y de Servicios de Bajo Riesgo y en materia de salud (COPRISEM).</w:t>
      </w:r>
    </w:p>
    <w:p w14:paraId="1BA5A7FB" w14:textId="77777777" w:rsidR="008B38A1" w:rsidRPr="004915DB" w:rsidRDefault="008B38A1">
      <w:pPr>
        <w:spacing w:after="240" w:line="276" w:lineRule="auto"/>
        <w:ind w:left="567" w:right="900"/>
        <w:jc w:val="both"/>
        <w:rPr>
          <w:rFonts w:ascii="Palatino Linotype" w:eastAsia="Palatino Linotype" w:hAnsi="Palatino Linotype" w:cs="Palatino Linotype"/>
          <w:i/>
        </w:rPr>
      </w:pPr>
    </w:p>
    <w:p w14:paraId="3D29FCA2" w14:textId="77777777" w:rsidR="008B38A1" w:rsidRPr="004915DB" w:rsidRDefault="00553CE8">
      <w:pPr>
        <w:spacing w:after="240" w:line="276" w:lineRule="auto"/>
        <w:ind w:left="567"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4915DB">
        <w:rPr>
          <w:rFonts w:ascii="Palatino Linotype" w:eastAsia="Palatino Linotype" w:hAnsi="Palatino Linotype" w:cs="Palatino Linotype"/>
          <w:b/>
          <w:i/>
        </w:rPr>
        <w:t>la parte Recurrente</w:t>
      </w:r>
      <w:r w:rsidRPr="004915DB">
        <w:rPr>
          <w:rFonts w:ascii="Palatino Linotype" w:eastAsia="Palatino Linotype" w:hAnsi="Palatino Linotype" w:cs="Palatino Linotype"/>
          <w:i/>
        </w:rPr>
        <w:t>.</w:t>
      </w:r>
    </w:p>
    <w:p w14:paraId="0ECDB263" w14:textId="2E52EC1D" w:rsidR="008B38A1" w:rsidRPr="004915DB" w:rsidRDefault="00553CE8">
      <w:pPr>
        <w:tabs>
          <w:tab w:val="left" w:pos="720"/>
        </w:tabs>
        <w:ind w:left="567"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Para el caso de lo ordenado en el </w:t>
      </w:r>
      <w:r w:rsidRPr="004915DB">
        <w:rPr>
          <w:rFonts w:ascii="Palatino Linotype" w:eastAsia="Palatino Linotype" w:hAnsi="Palatino Linotype" w:cs="Palatino Linotype"/>
          <w:b/>
          <w:i/>
        </w:rPr>
        <w:t>punto número 3</w:t>
      </w:r>
      <w:r w:rsidRPr="004915DB">
        <w:rPr>
          <w:rFonts w:ascii="Palatino Linotype" w:eastAsia="Palatino Linotype" w:hAnsi="Palatino Linotype" w:cs="Palatino Linotype"/>
          <w:i/>
        </w:rPr>
        <w:t xml:space="preserve"> derivado de la temporalidad de la generación de la información, no obra en sus archivos en razón de que ya causó baja documental, deberá entregar el acuerdo de inexistencia de conformidad con lo establecido en los artículos 19, párrafo tercero y 169 de la Ley de Transparencia y Acceso a la Información Pública del Estado de México y Municipios.</w:t>
      </w:r>
    </w:p>
    <w:p w14:paraId="04414A26" w14:textId="6B9A9111" w:rsidR="008B38A1" w:rsidRPr="004915DB" w:rsidRDefault="00553CE8">
      <w:pPr>
        <w:tabs>
          <w:tab w:val="left" w:pos="720"/>
        </w:tabs>
        <w:ind w:left="567"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En el supuesto de que el Sujeto Obligado no cuente con los Reglamentos, manuales de operación o lineamientos </w:t>
      </w:r>
      <w:r w:rsidRPr="004915DB">
        <w:rPr>
          <w:rFonts w:ascii="Palatino Linotype" w:eastAsia="Palatino Linotype" w:hAnsi="Palatino Linotype" w:cs="Palatino Linotype"/>
          <w:b/>
          <w:i/>
          <w:u w:val="single"/>
        </w:rPr>
        <w:t xml:space="preserve">para la recaudación de los derechos por el uso de las vías y áreas públicas para el ejercicio de actividades de comercio o de servicios y los derechos que se les cobran a los sitios de Taxis y bases del </w:t>
      </w:r>
      <w:r w:rsidRPr="004915DB">
        <w:rPr>
          <w:rFonts w:ascii="Palatino Linotype" w:eastAsia="Palatino Linotype" w:hAnsi="Palatino Linotype" w:cs="Palatino Linotype"/>
          <w:b/>
          <w:i/>
          <w:u w:val="single"/>
        </w:rPr>
        <w:lastRenderedPageBreak/>
        <w:t>transporte públi</w:t>
      </w:r>
      <w:r w:rsidRPr="004915DB">
        <w:rPr>
          <w:rFonts w:ascii="Palatino Linotype" w:eastAsia="Palatino Linotype" w:hAnsi="Palatino Linotype" w:cs="Palatino Linotype"/>
          <w:i/>
          <w:u w:val="single"/>
        </w:rPr>
        <w:t>co</w:t>
      </w:r>
      <w:r w:rsidRPr="004915DB">
        <w:rPr>
          <w:rFonts w:ascii="Palatino Linotype" w:eastAsia="Palatino Linotype" w:hAnsi="Palatino Linotype" w:cs="Palatino Linotype"/>
          <w:i/>
        </w:rPr>
        <w:t xml:space="preserve">, que se ordenan en el </w:t>
      </w:r>
      <w:r w:rsidRPr="004915DB">
        <w:rPr>
          <w:rFonts w:ascii="Palatino Linotype" w:eastAsia="Palatino Linotype" w:hAnsi="Palatino Linotype" w:cs="Palatino Linotype"/>
          <w:b/>
          <w:i/>
        </w:rPr>
        <w:t xml:space="preserve">punto </w:t>
      </w:r>
      <w:r w:rsidR="00316882" w:rsidRPr="004915DB">
        <w:rPr>
          <w:rFonts w:ascii="Palatino Linotype" w:eastAsia="Palatino Linotype" w:hAnsi="Palatino Linotype" w:cs="Palatino Linotype"/>
          <w:b/>
          <w:i/>
        </w:rPr>
        <w:t>6</w:t>
      </w:r>
      <w:r w:rsidRPr="004915DB">
        <w:rPr>
          <w:rFonts w:ascii="Palatino Linotype" w:eastAsia="Palatino Linotype" w:hAnsi="Palatino Linotype" w:cs="Palatino Linotype"/>
          <w:i/>
        </w:rPr>
        <w:t xml:space="preserve">, deberá emitir el acuerdo de inexistencia correspondiente.  </w:t>
      </w:r>
    </w:p>
    <w:p w14:paraId="57C64089" w14:textId="77777777" w:rsidR="008B38A1" w:rsidRPr="004915DB" w:rsidRDefault="008B38A1">
      <w:pPr>
        <w:tabs>
          <w:tab w:val="left" w:pos="720"/>
        </w:tabs>
        <w:ind w:left="567" w:right="900"/>
        <w:jc w:val="both"/>
        <w:rPr>
          <w:rFonts w:ascii="Palatino Linotype" w:eastAsia="Palatino Linotype" w:hAnsi="Palatino Linotype" w:cs="Palatino Linotype"/>
          <w:i/>
        </w:rPr>
      </w:pPr>
    </w:p>
    <w:p w14:paraId="6BA6B277" w14:textId="35B56AF4" w:rsidR="008B38A1" w:rsidRPr="004915DB" w:rsidRDefault="00553CE8">
      <w:pPr>
        <w:tabs>
          <w:tab w:val="left" w:pos="720"/>
        </w:tabs>
        <w:ind w:left="567" w:right="900"/>
        <w:jc w:val="both"/>
        <w:rPr>
          <w:rFonts w:ascii="Palatino Linotype" w:eastAsia="Palatino Linotype" w:hAnsi="Palatino Linotype" w:cs="Palatino Linotype"/>
          <w:i/>
        </w:rPr>
      </w:pPr>
      <w:r w:rsidRPr="004915DB">
        <w:rPr>
          <w:rFonts w:ascii="Palatino Linotype" w:eastAsia="Palatino Linotype" w:hAnsi="Palatino Linotype" w:cs="Palatino Linotype"/>
          <w:i/>
        </w:rPr>
        <w:t xml:space="preserve">De ser el caso en el que derivado de una búsqueda exhaustiva y razonable, el Sujeto Obligado </w:t>
      </w:r>
      <w:r w:rsidRPr="004915DB">
        <w:rPr>
          <w:rFonts w:ascii="Palatino Linotype" w:eastAsia="Palatino Linotype" w:hAnsi="Palatino Linotype" w:cs="Palatino Linotype"/>
          <w:b/>
          <w:i/>
        </w:rPr>
        <w:t xml:space="preserve">no cuente con el resto de las disposiciones normativas que corresponden a los impuestos y derechos restantes que se ordenan en el punto </w:t>
      </w:r>
      <w:r w:rsidR="00316882" w:rsidRPr="004915DB">
        <w:rPr>
          <w:rFonts w:ascii="Palatino Linotype" w:eastAsia="Palatino Linotype" w:hAnsi="Palatino Linotype" w:cs="Palatino Linotype"/>
          <w:b/>
          <w:i/>
        </w:rPr>
        <w:t>6</w:t>
      </w:r>
      <w:r w:rsidRPr="004915DB">
        <w:rPr>
          <w:rFonts w:ascii="Palatino Linotype" w:eastAsia="Palatino Linotype" w:hAnsi="Palatino Linotype" w:cs="Palatino Linotype"/>
          <w:i/>
        </w:rPr>
        <w:t xml:space="preserve">, así como el documento que dé cuenta del número de anuncios que no pagan impuesto por estar en el supuesto del penúltimo párrafo del artículo 121 del Código Financiero del Estado de México y Municipios, del 1 de enero de 2011 hasta el 31 de diciembre 2021 que se ordena en </w:t>
      </w:r>
      <w:r w:rsidRPr="004915DB">
        <w:rPr>
          <w:rFonts w:ascii="Palatino Linotype" w:eastAsia="Palatino Linotype" w:hAnsi="Palatino Linotype" w:cs="Palatino Linotype"/>
          <w:b/>
          <w:i/>
        </w:rPr>
        <w:t xml:space="preserve">el punto </w:t>
      </w:r>
      <w:r w:rsidR="00316882" w:rsidRPr="004915DB">
        <w:rPr>
          <w:rFonts w:ascii="Palatino Linotype" w:eastAsia="Palatino Linotype" w:hAnsi="Palatino Linotype" w:cs="Palatino Linotype"/>
          <w:b/>
          <w:i/>
        </w:rPr>
        <w:t>5 y el punto 4</w:t>
      </w:r>
      <w:r w:rsidRPr="004915DB">
        <w:rPr>
          <w:rFonts w:ascii="Palatino Linotype" w:eastAsia="Palatino Linotype" w:hAnsi="Palatino Linotype" w:cs="Palatino Linotype"/>
          <w:i/>
        </w:rPr>
        <w:t>, por no haberse generado, bastará con que así lo haga del conocimiento de la parte Recurrente, de manera fundada y motivada, para tener por colmado el requerimiento de información.</w:t>
      </w:r>
    </w:p>
    <w:p w14:paraId="7519723E" w14:textId="77777777" w:rsidR="008B38A1" w:rsidRPr="004915DB" w:rsidRDefault="008B38A1">
      <w:pPr>
        <w:tabs>
          <w:tab w:val="left" w:pos="720"/>
        </w:tabs>
        <w:ind w:left="567" w:right="900"/>
        <w:jc w:val="both"/>
        <w:rPr>
          <w:rFonts w:ascii="Palatino Linotype" w:eastAsia="Palatino Linotype" w:hAnsi="Palatino Linotype" w:cs="Palatino Linotype"/>
          <w:i/>
        </w:rPr>
      </w:pPr>
    </w:p>
    <w:p w14:paraId="6C40ADD4" w14:textId="77777777" w:rsidR="008B38A1" w:rsidRPr="004915DB" w:rsidRDefault="00553CE8">
      <w:pPr>
        <w:spacing w:before="160"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TERCERO.</w:t>
      </w:r>
      <w:r w:rsidRPr="004915DB">
        <w:rPr>
          <w:rFonts w:ascii="Palatino Linotype" w:eastAsia="Palatino Linotype" w:hAnsi="Palatino Linotype" w:cs="Palatino Linotype"/>
          <w:b/>
          <w:sz w:val="32"/>
          <w:szCs w:val="32"/>
        </w:rPr>
        <w:t xml:space="preserve">  </w:t>
      </w:r>
      <w:r w:rsidRPr="004915DB">
        <w:rPr>
          <w:rFonts w:ascii="Palatino Linotype" w:eastAsia="Palatino Linotype" w:hAnsi="Palatino Linotype" w:cs="Palatino Linotype"/>
          <w:b/>
          <w:sz w:val="24"/>
          <w:szCs w:val="24"/>
        </w:rPr>
        <w:t>Notifíquese,</w:t>
      </w:r>
      <w:r w:rsidRPr="004915DB">
        <w:rPr>
          <w:rFonts w:ascii="Palatino Linotype" w:eastAsia="Palatino Linotype" w:hAnsi="Palatino Linotype" w:cs="Palatino Linotype"/>
          <w:b/>
          <w:sz w:val="32"/>
          <w:szCs w:val="32"/>
        </w:rPr>
        <w:t xml:space="preserve"> </w:t>
      </w:r>
      <w:r w:rsidRPr="004915DB">
        <w:rPr>
          <w:rFonts w:ascii="Palatino Linotype" w:eastAsia="Palatino Linotype" w:hAnsi="Palatino Linotype" w:cs="Palatino Linotype"/>
          <w:sz w:val="24"/>
          <w:szCs w:val="24"/>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859A138"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18A96EA"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CUARTO.</w:t>
      </w:r>
      <w:r w:rsidRPr="004915DB">
        <w:rPr>
          <w:rFonts w:ascii="Palatino Linotype" w:eastAsia="Palatino Linotype" w:hAnsi="Palatino Linotype" w:cs="Palatino Linotype"/>
          <w:b/>
          <w:sz w:val="32"/>
          <w:szCs w:val="32"/>
        </w:rPr>
        <w:t xml:space="preserve"> </w:t>
      </w:r>
      <w:r w:rsidRPr="004915DB">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CC8A56" w14:textId="77777777" w:rsidR="008B38A1" w:rsidRPr="004915DB" w:rsidRDefault="00553CE8">
      <w:pPr>
        <w:spacing w:after="0" w:line="360" w:lineRule="auto"/>
        <w:jc w:val="both"/>
        <w:rPr>
          <w:rFonts w:ascii="Palatino Linotype" w:eastAsia="Palatino Linotype" w:hAnsi="Palatino Linotype" w:cs="Palatino Linotype"/>
          <w:sz w:val="24"/>
          <w:szCs w:val="24"/>
        </w:rPr>
      </w:pPr>
      <w:r w:rsidRPr="004915DB">
        <w:rPr>
          <w:rFonts w:ascii="Palatino Linotype" w:eastAsia="Palatino Linotype" w:hAnsi="Palatino Linotype" w:cs="Palatino Linotype"/>
          <w:b/>
          <w:sz w:val="24"/>
          <w:szCs w:val="24"/>
        </w:rPr>
        <w:t xml:space="preserve">QUINTO. Notifíquese, </w:t>
      </w:r>
      <w:r w:rsidRPr="004915DB">
        <w:rPr>
          <w:rFonts w:ascii="Palatino Linotype" w:eastAsia="Palatino Linotype" w:hAnsi="Palatino Linotype" w:cs="Palatino Linotype"/>
          <w:sz w:val="24"/>
          <w:szCs w:val="24"/>
        </w:rPr>
        <w:t xml:space="preserve">al recurrente </w:t>
      </w:r>
      <w:r w:rsidRPr="004915DB">
        <w:rPr>
          <w:rFonts w:ascii="Palatino Linotype" w:eastAsia="Palatino Linotype" w:hAnsi="Palatino Linotype" w:cs="Palatino Linotype"/>
          <w:b/>
          <w:sz w:val="24"/>
          <w:szCs w:val="24"/>
        </w:rPr>
        <w:t xml:space="preserve">vía SAIMEX </w:t>
      </w:r>
      <w:r w:rsidRPr="004915DB">
        <w:rPr>
          <w:rFonts w:ascii="Palatino Linotype" w:eastAsia="Palatino Linotype" w:hAnsi="Palatino Linotype" w:cs="Palatino Linotype"/>
          <w:sz w:val="24"/>
          <w:szCs w:val="24"/>
        </w:rPr>
        <w:t xml:space="preserve">la presente resolución, así como que podrá impugnarla vía </w:t>
      </w:r>
      <w:r w:rsidRPr="004915DB">
        <w:rPr>
          <w:rFonts w:ascii="Palatino Linotype" w:eastAsia="Palatino Linotype" w:hAnsi="Palatino Linotype" w:cs="Palatino Linotype"/>
          <w:b/>
          <w:sz w:val="24"/>
          <w:szCs w:val="24"/>
        </w:rPr>
        <w:t>Juicio de Amparo</w:t>
      </w:r>
      <w:r w:rsidRPr="004915DB">
        <w:rPr>
          <w:rFonts w:ascii="Palatino Linotype" w:eastAsia="Palatino Linotype" w:hAnsi="Palatino Linotype" w:cs="Palatino Linotype"/>
          <w:sz w:val="24"/>
          <w:szCs w:val="24"/>
        </w:rPr>
        <w:t xml:space="preserve"> en los términos de las leyes aplicables, </w:t>
      </w:r>
      <w:r w:rsidRPr="004915DB">
        <w:rPr>
          <w:rFonts w:ascii="Palatino Linotype" w:eastAsia="Palatino Linotype" w:hAnsi="Palatino Linotype" w:cs="Palatino Linotype"/>
          <w:sz w:val="24"/>
          <w:szCs w:val="24"/>
        </w:rPr>
        <w:lastRenderedPageBreak/>
        <w:t>de conformidad con lo establecido en el artículo 196 de la Ley de Transparencia y Acceso a la Información Pública del Estado de México y Municipios.</w:t>
      </w:r>
    </w:p>
    <w:p w14:paraId="7DE404D7"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2F9AB932" w14:textId="2EF2E966" w:rsidR="008B38A1" w:rsidRPr="004915DB" w:rsidRDefault="00553CE8">
      <w:pPr>
        <w:spacing w:after="0" w:line="360" w:lineRule="auto"/>
        <w:jc w:val="both"/>
        <w:rPr>
          <w:rFonts w:ascii="Palatino Linotype" w:eastAsia="Palatino Linotype" w:hAnsi="Palatino Linotype" w:cs="Palatino Linotype"/>
          <w:sz w:val="28"/>
          <w:szCs w:val="28"/>
        </w:rPr>
      </w:pPr>
      <w:bookmarkStart w:id="5" w:name="_heading=h.2et92p0" w:colFirst="0" w:colLast="0"/>
      <w:bookmarkEnd w:id="5"/>
      <w:r w:rsidRPr="004915D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6E1C11" w:rsidRPr="004915DB">
        <w:rPr>
          <w:rFonts w:ascii="Palatino Linotype" w:eastAsia="Palatino Linotype" w:hAnsi="Palatino Linotype" w:cs="Palatino Linotype"/>
          <w:sz w:val="24"/>
          <w:szCs w:val="24"/>
        </w:rPr>
        <w:t xml:space="preserve">SHARON CRISTINA MORALES MARTÍNEZ, </w:t>
      </w:r>
      <w:r w:rsidRPr="004915DB">
        <w:rPr>
          <w:rFonts w:ascii="Palatino Linotype" w:eastAsia="Palatino Linotype" w:hAnsi="Palatino Linotype" w:cs="Palatino Linotype"/>
          <w:sz w:val="24"/>
          <w:szCs w:val="24"/>
        </w:rPr>
        <w:t>LUIS GUSTAVO PARRA NORIEGA Y GUADALUPE RAMÍREZ PEÑA; EN LA QUINTA SESIÓN ORDINARIA CELEBRADA EL NUEVE DE FEBRERO DEL DOS MIL VEINTITRÉS, ANTE EL SECRETARIO TÉCNICO DEL PLENO, ALEXIS TAPIA RAMÍREZ.</w:t>
      </w:r>
    </w:p>
    <w:p w14:paraId="5DBF8E33" w14:textId="77777777" w:rsidR="008B38A1" w:rsidRPr="004915DB" w:rsidRDefault="008B38A1">
      <w:pPr>
        <w:spacing w:after="0" w:line="360" w:lineRule="auto"/>
        <w:jc w:val="both"/>
        <w:rPr>
          <w:rFonts w:ascii="Palatino Linotype" w:eastAsia="Palatino Linotype" w:hAnsi="Palatino Linotype" w:cs="Palatino Linotype"/>
          <w:sz w:val="28"/>
          <w:szCs w:val="28"/>
        </w:rPr>
      </w:pPr>
    </w:p>
    <w:p w14:paraId="18BF2EF8" w14:textId="77777777" w:rsidR="008B38A1" w:rsidRPr="004915DB" w:rsidRDefault="008B38A1">
      <w:pPr>
        <w:spacing w:after="0" w:line="360" w:lineRule="auto"/>
        <w:jc w:val="both"/>
        <w:rPr>
          <w:rFonts w:ascii="Palatino Linotype" w:eastAsia="Palatino Linotype" w:hAnsi="Palatino Linotype" w:cs="Palatino Linotype"/>
          <w:sz w:val="24"/>
          <w:szCs w:val="24"/>
        </w:rPr>
      </w:pPr>
    </w:p>
    <w:p w14:paraId="79799DE8"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49ABC7DD"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5E1F496B"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7150696E" w14:textId="77777777" w:rsidR="008B38A1" w:rsidRPr="004915DB" w:rsidRDefault="008B38A1">
      <w:pPr>
        <w:spacing w:line="360" w:lineRule="auto"/>
        <w:jc w:val="both"/>
        <w:rPr>
          <w:rFonts w:ascii="Palatino Linotype" w:eastAsia="Palatino Linotype" w:hAnsi="Palatino Linotype" w:cs="Palatino Linotype"/>
          <w:sz w:val="24"/>
          <w:szCs w:val="24"/>
        </w:rPr>
      </w:pPr>
      <w:bookmarkStart w:id="6" w:name="_heading=h.tyjcwt" w:colFirst="0" w:colLast="0"/>
      <w:bookmarkEnd w:id="6"/>
    </w:p>
    <w:p w14:paraId="34E99FD1"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01A4DC56"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2CA586B1"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652CF7A9"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0925FF0E"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11B6600E"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1C8FB3C2"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4FEFD592"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3EE10F71"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5B1A2DE0"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165EE3B0" w14:textId="77777777" w:rsidR="008B38A1" w:rsidRPr="004915DB" w:rsidRDefault="008B38A1">
      <w:pPr>
        <w:spacing w:before="240" w:after="240" w:line="360" w:lineRule="auto"/>
        <w:ind w:right="49"/>
        <w:jc w:val="both"/>
        <w:rPr>
          <w:rFonts w:ascii="Palatino Linotype" w:eastAsia="Palatino Linotype" w:hAnsi="Palatino Linotype" w:cs="Palatino Linotype"/>
          <w:sz w:val="24"/>
          <w:szCs w:val="24"/>
        </w:rPr>
      </w:pPr>
    </w:p>
    <w:p w14:paraId="51518D56"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40A7F123"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05DA9DD7"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2EE5F794"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4757C4A1"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0D1F227E" w14:textId="77777777" w:rsidR="008B38A1" w:rsidRPr="004915DB" w:rsidRDefault="008B38A1">
      <w:pPr>
        <w:spacing w:line="360" w:lineRule="auto"/>
        <w:jc w:val="both"/>
        <w:rPr>
          <w:rFonts w:ascii="Palatino Linotype" w:eastAsia="Palatino Linotype" w:hAnsi="Palatino Linotype" w:cs="Palatino Linotype"/>
          <w:sz w:val="24"/>
          <w:szCs w:val="24"/>
        </w:rPr>
      </w:pPr>
    </w:p>
    <w:p w14:paraId="7E7AF29E" w14:textId="77777777" w:rsidR="008B38A1" w:rsidRPr="004915DB" w:rsidRDefault="008B38A1">
      <w:pPr>
        <w:spacing w:line="360" w:lineRule="auto"/>
        <w:jc w:val="both"/>
      </w:pPr>
    </w:p>
    <w:sectPr w:rsidR="008B38A1" w:rsidRPr="004915DB">
      <w:headerReference w:type="default" r:id="rId24"/>
      <w:footerReference w:type="default" r:id="rId2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7E465" w14:textId="77777777" w:rsidR="004E3EA0" w:rsidRDefault="004E3EA0">
      <w:pPr>
        <w:spacing w:after="0" w:line="240" w:lineRule="auto"/>
      </w:pPr>
      <w:r>
        <w:separator/>
      </w:r>
    </w:p>
  </w:endnote>
  <w:endnote w:type="continuationSeparator" w:id="0">
    <w:p w14:paraId="1316F9EA" w14:textId="77777777" w:rsidR="004E3EA0" w:rsidRDefault="004E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BDD0" w14:textId="723F1C78" w:rsidR="00866E0E" w:rsidRDefault="00866E0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E37C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E37C8">
      <w:rPr>
        <w:rFonts w:ascii="Palatino Linotype" w:eastAsia="Palatino Linotype" w:hAnsi="Palatino Linotype" w:cs="Palatino Linotype"/>
        <w:b/>
        <w:noProof/>
        <w:color w:val="000000"/>
        <w:sz w:val="20"/>
        <w:szCs w:val="20"/>
      </w:rPr>
      <w:t>100</w:t>
    </w:r>
    <w:r>
      <w:rPr>
        <w:rFonts w:ascii="Palatino Linotype" w:eastAsia="Palatino Linotype" w:hAnsi="Palatino Linotype" w:cs="Palatino Linotype"/>
        <w:b/>
        <w:color w:val="000000"/>
        <w:sz w:val="20"/>
        <w:szCs w:val="20"/>
      </w:rPr>
      <w:fldChar w:fldCharType="end"/>
    </w:r>
  </w:p>
  <w:p w14:paraId="64F5B392" w14:textId="77777777" w:rsidR="00866E0E" w:rsidRDefault="00866E0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65F35" w14:textId="77777777" w:rsidR="004E3EA0" w:rsidRDefault="004E3EA0">
      <w:pPr>
        <w:spacing w:after="0" w:line="240" w:lineRule="auto"/>
      </w:pPr>
      <w:r>
        <w:separator/>
      </w:r>
    </w:p>
  </w:footnote>
  <w:footnote w:type="continuationSeparator" w:id="0">
    <w:p w14:paraId="5179549F" w14:textId="77777777" w:rsidR="004E3EA0" w:rsidRDefault="004E3EA0">
      <w:pPr>
        <w:spacing w:after="0" w:line="240" w:lineRule="auto"/>
      </w:pPr>
      <w:r>
        <w:continuationSeparator/>
      </w:r>
    </w:p>
  </w:footnote>
  <w:footnote w:id="1">
    <w:p w14:paraId="757416E7" w14:textId="77777777" w:rsidR="00866E0E" w:rsidRDefault="00866E0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19F8AF7" w14:textId="77777777" w:rsidR="00866E0E" w:rsidRDefault="00866E0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696A2" w14:textId="77777777" w:rsidR="00866E0E" w:rsidRDefault="00866E0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5"/>
      <w:tblW w:w="10346" w:type="dxa"/>
      <w:tblInd w:w="-1303" w:type="dxa"/>
      <w:tblLayout w:type="fixed"/>
      <w:tblLook w:val="0400" w:firstRow="0" w:lastRow="0" w:firstColumn="0" w:lastColumn="0" w:noHBand="0" w:noVBand="1"/>
    </w:tblPr>
    <w:tblGrid>
      <w:gridCol w:w="5684"/>
      <w:gridCol w:w="4662"/>
    </w:tblGrid>
    <w:tr w:rsidR="00866E0E" w14:paraId="36278BDD" w14:textId="77777777">
      <w:trPr>
        <w:trHeight w:val="244"/>
      </w:trPr>
      <w:tc>
        <w:tcPr>
          <w:tcW w:w="5684" w:type="dxa"/>
        </w:tcPr>
        <w:p w14:paraId="647D9F5D" w14:textId="77777777" w:rsidR="00866E0E" w:rsidRDefault="00866E0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14:paraId="42579CCF" w14:textId="77777777" w:rsidR="00866E0E" w:rsidRDefault="00866E0E">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12254/INFOEM/IP/RR/2022.</w:t>
          </w:r>
        </w:p>
      </w:tc>
    </w:tr>
    <w:tr w:rsidR="00866E0E" w14:paraId="7F183506" w14:textId="77777777">
      <w:trPr>
        <w:trHeight w:val="210"/>
      </w:trPr>
      <w:tc>
        <w:tcPr>
          <w:tcW w:w="5684" w:type="dxa"/>
        </w:tcPr>
        <w:p w14:paraId="262D6EE2" w14:textId="77777777" w:rsidR="00866E0E" w:rsidRDefault="00866E0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14:paraId="3803A686" w14:textId="77777777" w:rsidR="00866E0E" w:rsidRDefault="00866E0E">
          <w:pPr>
            <w:spacing w:after="120"/>
            <w:ind w:left="-252" w:firstLine="567"/>
            <w:jc w:val="right"/>
            <w:rPr>
              <w:rFonts w:ascii="Palatino Linotype" w:eastAsia="Palatino Linotype" w:hAnsi="Palatino Linotype" w:cs="Palatino Linotype"/>
            </w:rPr>
          </w:pPr>
        </w:p>
      </w:tc>
    </w:tr>
    <w:tr w:rsidR="00866E0E" w14:paraId="14C3BDAA" w14:textId="77777777">
      <w:trPr>
        <w:trHeight w:val="261"/>
      </w:trPr>
      <w:tc>
        <w:tcPr>
          <w:tcW w:w="5684" w:type="dxa"/>
        </w:tcPr>
        <w:p w14:paraId="5EB718EB" w14:textId="77777777" w:rsidR="00866E0E" w:rsidRDefault="00866E0E">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14:paraId="3143E562" w14:textId="77777777" w:rsidR="00866E0E" w:rsidRDefault="00866E0E">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Coyotepec.</w:t>
          </w:r>
        </w:p>
      </w:tc>
    </w:tr>
    <w:tr w:rsidR="00866E0E" w14:paraId="2C9CA087" w14:textId="77777777">
      <w:trPr>
        <w:trHeight w:val="368"/>
      </w:trPr>
      <w:tc>
        <w:tcPr>
          <w:tcW w:w="5684" w:type="dxa"/>
        </w:tcPr>
        <w:p w14:paraId="344FED2A" w14:textId="77777777" w:rsidR="00866E0E" w:rsidRDefault="00866E0E">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14:paraId="794A25E4" w14:textId="77777777" w:rsidR="00866E0E" w:rsidRDefault="00866E0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FC728E6" w14:textId="77777777" w:rsidR="00866E0E" w:rsidRDefault="00866E0E">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35B0B99B" wp14:editId="57CD2E3F">
          <wp:simplePos x="0" y="0"/>
          <wp:positionH relativeFrom="column">
            <wp:posOffset>-674369</wp:posOffset>
          </wp:positionH>
          <wp:positionV relativeFrom="paragraph">
            <wp:posOffset>-1477644</wp:posOffset>
          </wp:positionV>
          <wp:extent cx="7809865" cy="10165715"/>
          <wp:effectExtent l="0" t="0" r="0" b="0"/>
          <wp:wrapNone/>
          <wp:docPr id="1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B052CD"/>
    <w:multiLevelType w:val="multilevel"/>
    <w:tmpl w:val="A18A94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6F5352"/>
    <w:multiLevelType w:val="multilevel"/>
    <w:tmpl w:val="88EC64B2"/>
    <w:lvl w:ilvl="0">
      <w:start w:val="1"/>
      <w:numFmt w:val="lowerLetter"/>
      <w:pStyle w:val="Listaconvietas3"/>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32CE50C9"/>
    <w:multiLevelType w:val="multilevel"/>
    <w:tmpl w:val="DDC68A4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8F00279"/>
    <w:multiLevelType w:val="multilevel"/>
    <w:tmpl w:val="0164DA6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nsid w:val="3B196AC3"/>
    <w:multiLevelType w:val="multilevel"/>
    <w:tmpl w:val="14CA0510"/>
    <w:lvl w:ilvl="0">
      <w:start w:val="2"/>
      <w:numFmt w:val="bullet"/>
      <w:lvlText w:val="-"/>
      <w:lvlJc w:val="left"/>
      <w:pPr>
        <w:ind w:left="927" w:hanging="360"/>
      </w:pPr>
      <w:rPr>
        <w:rFonts w:ascii="Palatino Linotype" w:eastAsia="Palatino Linotype" w:hAnsi="Palatino Linotype" w:cs="Palatino Linotype"/>
        <w:i w:val="0"/>
        <w:sz w:val="18"/>
        <w:szCs w:val="18"/>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nsid w:val="42B72205"/>
    <w:multiLevelType w:val="multilevel"/>
    <w:tmpl w:val="BE5667F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8A1"/>
    <w:rsid w:val="002B2AF7"/>
    <w:rsid w:val="00316882"/>
    <w:rsid w:val="00356162"/>
    <w:rsid w:val="00393373"/>
    <w:rsid w:val="00434410"/>
    <w:rsid w:val="004915DB"/>
    <w:rsid w:val="004E3EA0"/>
    <w:rsid w:val="004E6887"/>
    <w:rsid w:val="00553CE8"/>
    <w:rsid w:val="00573130"/>
    <w:rsid w:val="005F3E11"/>
    <w:rsid w:val="00635B0C"/>
    <w:rsid w:val="00686004"/>
    <w:rsid w:val="006E1C11"/>
    <w:rsid w:val="007A5768"/>
    <w:rsid w:val="007C6079"/>
    <w:rsid w:val="007E6EF2"/>
    <w:rsid w:val="00866E0E"/>
    <w:rsid w:val="00867072"/>
    <w:rsid w:val="008B38A1"/>
    <w:rsid w:val="00A031C6"/>
    <w:rsid w:val="00B32CEE"/>
    <w:rsid w:val="00BE756B"/>
    <w:rsid w:val="00CE37C8"/>
    <w:rsid w:val="00EA62A4"/>
    <w:rsid w:val="00FB6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3CFA0"/>
  <w15:docId w15:val="{E1C1E310-9975-45CE-A708-558A247B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0B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420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20B2"/>
  </w:style>
  <w:style w:type="paragraph" w:styleId="Piedepgina">
    <w:name w:val="footer"/>
    <w:basedOn w:val="Normal"/>
    <w:link w:val="PiedepginaCar"/>
    <w:uiPriority w:val="99"/>
    <w:unhideWhenUsed/>
    <w:rsid w:val="00B420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20B2"/>
  </w:style>
  <w:style w:type="paragraph" w:styleId="Listaconvietas3">
    <w:name w:val="List Bullet 3"/>
    <w:basedOn w:val="Normal"/>
    <w:uiPriority w:val="99"/>
    <w:unhideWhenUsed/>
    <w:rsid w:val="00494F5C"/>
    <w:pPr>
      <w:numPr>
        <w:numId w:val="2"/>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3A27F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xlKDw/P9jjd3KLFcDDfvBrNMjA==">AMUW2mUWjCduonO86WgMXjPINsAxuAXbP3i9O+ZPw1IbeX6l084/NVVuA97297j9NrjGuHMDmVfBJD6/oxv7GCuDEh2WyJ5CYF2QeO25VS4D2SSIqUbT1Yf8kB3uK7qGWEDs0fzRE7gsPuhqCNkYQ7IutbA2XRoREYUvGnSM6NZHWlyuxI3dyk5ORa/yLMkdVBMz3QyKft7nqktR6vjrZZP70EfgyRlkLA==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AC716D-202C-499F-827D-616EC15A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19715</Words>
  <Characters>108438</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2023-02-13T16:32:00Z</cp:lastPrinted>
  <dcterms:created xsi:type="dcterms:W3CDTF">2023-02-16T20:29:00Z</dcterms:created>
  <dcterms:modified xsi:type="dcterms:W3CDTF">2023-02-16T20:29:00Z</dcterms:modified>
</cp:coreProperties>
</file>