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98B" w:rsidRPr="002006D1" w:rsidRDefault="00FF54DF">
      <w:pPr>
        <w:spacing w:before="240" w:after="240"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tres de octubre del dos mil veintitrés.</w:t>
      </w:r>
    </w:p>
    <w:p w:rsidR="003E498B" w:rsidRPr="00F95439" w:rsidRDefault="00FF54DF">
      <w:pPr>
        <w:spacing w:before="240" w:after="240" w:line="360" w:lineRule="auto"/>
        <w:jc w:val="both"/>
        <w:rPr>
          <w:rFonts w:ascii="Palatino Linotype" w:eastAsia="Palatino Linotype" w:hAnsi="Palatino Linotype" w:cs="Palatino Linotype"/>
          <w:b/>
        </w:rPr>
      </w:pPr>
      <w:r w:rsidRPr="002006D1">
        <w:rPr>
          <w:rFonts w:ascii="Palatino Linotype" w:eastAsia="Palatino Linotype" w:hAnsi="Palatino Linotype" w:cs="Palatino Linotype"/>
          <w:b/>
          <w:sz w:val="28"/>
          <w:szCs w:val="28"/>
        </w:rPr>
        <w:t>Visto</w:t>
      </w:r>
      <w:r w:rsidRPr="002006D1">
        <w:rPr>
          <w:rFonts w:ascii="Palatino Linotype" w:eastAsia="Palatino Linotype" w:hAnsi="Palatino Linotype" w:cs="Palatino Linotype"/>
        </w:rPr>
        <w:t xml:space="preserve"> el expediente relativo al recurso de revisión </w:t>
      </w:r>
      <w:r w:rsidRPr="002006D1">
        <w:rPr>
          <w:rFonts w:ascii="Palatino Linotype" w:eastAsia="Palatino Linotype" w:hAnsi="Palatino Linotype" w:cs="Palatino Linotype"/>
          <w:b/>
          <w:sz w:val="22"/>
          <w:szCs w:val="22"/>
        </w:rPr>
        <w:t>15824/INFOEM/IP/RR/2022</w:t>
      </w:r>
      <w:r w:rsidRPr="002006D1">
        <w:rPr>
          <w:rFonts w:ascii="Palatino Linotype" w:eastAsia="Palatino Linotype" w:hAnsi="Palatino Linotype" w:cs="Palatino Linotype"/>
        </w:rPr>
        <w:t xml:space="preserve">, interpuesto por </w:t>
      </w:r>
      <w:r w:rsidR="003A1F80">
        <w:rPr>
          <w:rFonts w:ascii="Palatino Linotype" w:eastAsia="Palatino Linotype" w:hAnsi="Palatino Linotype" w:cs="Palatino Linotype"/>
          <w:b/>
        </w:rPr>
        <w:t>XXXXX XXXXXXX XXXX</w:t>
      </w:r>
      <w:r w:rsidRPr="002006D1">
        <w:rPr>
          <w:rFonts w:ascii="Palatino Linotype" w:eastAsia="Palatino Linotype" w:hAnsi="Palatino Linotype" w:cs="Palatino Linotype"/>
        </w:rPr>
        <w:t xml:space="preserve">, a quien en lo sucesivo se le denominará la parte </w:t>
      </w:r>
      <w:r w:rsidRPr="002006D1">
        <w:rPr>
          <w:rFonts w:ascii="Palatino Linotype" w:eastAsia="Palatino Linotype" w:hAnsi="Palatino Linotype" w:cs="Palatino Linotype"/>
          <w:b/>
        </w:rPr>
        <w:t>Recurrente</w:t>
      </w:r>
      <w:r w:rsidRPr="002006D1">
        <w:rPr>
          <w:rFonts w:ascii="Palatino Linotype" w:eastAsia="Palatino Linotype" w:hAnsi="Palatino Linotype" w:cs="Palatino Linotype"/>
        </w:rPr>
        <w:t xml:space="preserve"> en contra de la respuesta a la solicitud con número de folio </w:t>
      </w:r>
      <w:r w:rsidRPr="002006D1">
        <w:rPr>
          <w:rFonts w:ascii="Palatino Linotype" w:eastAsia="Palatino Linotype" w:hAnsi="Palatino Linotype" w:cs="Palatino Linotype"/>
          <w:b/>
        </w:rPr>
        <w:t>00114/IFR/IP/2022</w:t>
      </w:r>
      <w:r w:rsidRPr="002006D1">
        <w:rPr>
          <w:rFonts w:ascii="Palatino Linotype" w:eastAsia="Palatino Linotype" w:hAnsi="Palatino Linotype" w:cs="Palatino Linotype"/>
          <w:b/>
          <w:i/>
        </w:rPr>
        <w:t>,</w:t>
      </w:r>
      <w:r w:rsidRPr="002006D1">
        <w:rPr>
          <w:rFonts w:ascii="Palatino Linotype" w:eastAsia="Palatino Linotype" w:hAnsi="Palatino Linotype" w:cs="Palatino Linotype"/>
        </w:rPr>
        <w:t xml:space="preserve"> del </w:t>
      </w:r>
      <w:r w:rsidRPr="002006D1">
        <w:rPr>
          <w:rFonts w:ascii="Palatino Linotype" w:eastAsia="Palatino Linotype" w:hAnsi="Palatino Linotype" w:cs="Palatino Linotype"/>
          <w:b/>
        </w:rPr>
        <w:t>Instituto de la Función Registral del Estado de México</w:t>
      </w:r>
      <w:r w:rsidRPr="002006D1">
        <w:rPr>
          <w:rFonts w:ascii="Palatino Linotype" w:eastAsia="Palatino Linotype" w:hAnsi="Palatino Linotype" w:cs="Palatino Linotype"/>
        </w:rPr>
        <w:t xml:space="preserve">, en lo sucesivo el </w:t>
      </w:r>
      <w:r w:rsidRPr="002006D1">
        <w:rPr>
          <w:rFonts w:ascii="Palatino Linotype" w:eastAsia="Palatino Linotype" w:hAnsi="Palatino Linotype" w:cs="Palatino Linotype"/>
          <w:b/>
        </w:rPr>
        <w:t>Sujeto Obligado</w:t>
      </w:r>
      <w:r w:rsidRPr="002006D1">
        <w:rPr>
          <w:rFonts w:ascii="Palatino Linotype" w:eastAsia="Palatino Linotype" w:hAnsi="Palatino Linotype" w:cs="Palatino Linotype"/>
        </w:rPr>
        <w:t>;</w:t>
      </w:r>
      <w:r w:rsidRPr="002006D1">
        <w:rPr>
          <w:rFonts w:ascii="Palatino Linotype" w:eastAsia="Palatino Linotype" w:hAnsi="Palatino Linotype" w:cs="Palatino Linotype"/>
          <w:b/>
        </w:rPr>
        <w:t xml:space="preserve"> </w:t>
      </w:r>
      <w:r w:rsidRPr="002006D1">
        <w:rPr>
          <w:rFonts w:ascii="Palatino Linotype" w:eastAsia="Palatino Linotype" w:hAnsi="Palatino Linotype" w:cs="Palatino Linotype"/>
        </w:rPr>
        <w:t>se procede a dictar la presente resolución, con base en los siguientes.</w:t>
      </w:r>
    </w:p>
    <w:p w:rsidR="003E498B" w:rsidRPr="002006D1" w:rsidRDefault="00FF54DF">
      <w:pPr>
        <w:pStyle w:val="Ttulo2"/>
        <w:jc w:val="center"/>
        <w:rPr>
          <w:rFonts w:ascii="Palatino Linotype" w:eastAsia="Palatino Linotype" w:hAnsi="Palatino Linotype" w:cs="Palatino Linotype"/>
          <w:b/>
          <w:color w:val="000000"/>
          <w:sz w:val="24"/>
          <w:szCs w:val="24"/>
        </w:rPr>
      </w:pPr>
      <w:r w:rsidRPr="002006D1">
        <w:rPr>
          <w:rFonts w:ascii="Palatino Linotype" w:eastAsia="Palatino Linotype" w:hAnsi="Palatino Linotype" w:cs="Palatino Linotype"/>
          <w:b/>
          <w:color w:val="000000"/>
          <w:sz w:val="24"/>
          <w:szCs w:val="24"/>
        </w:rPr>
        <w:t>I. A N T E C E D E N T E S:</w:t>
      </w:r>
    </w:p>
    <w:p w:rsidR="003E498B" w:rsidRPr="002006D1" w:rsidRDefault="00FF54DF">
      <w:pPr>
        <w:spacing w:before="240" w:after="240" w:line="360" w:lineRule="auto"/>
        <w:jc w:val="both"/>
        <w:rPr>
          <w:rFonts w:ascii="Palatino Linotype" w:eastAsia="Palatino Linotype" w:hAnsi="Palatino Linotype" w:cs="Palatino Linotype"/>
          <w:b/>
        </w:rPr>
      </w:pPr>
      <w:r w:rsidRPr="002006D1">
        <w:rPr>
          <w:rFonts w:ascii="Palatino Linotype" w:eastAsia="Palatino Linotype" w:hAnsi="Palatino Linotype" w:cs="Palatino Linotype"/>
          <w:b/>
        </w:rPr>
        <w:t xml:space="preserve">1. Presentación de la Solicitud de información. </w:t>
      </w:r>
      <w:r w:rsidRPr="002006D1">
        <w:rPr>
          <w:rFonts w:ascii="Palatino Linotype" w:eastAsia="Palatino Linotype" w:hAnsi="Palatino Linotype" w:cs="Palatino Linotype"/>
        </w:rPr>
        <w:t>El cuatro de octubre</w:t>
      </w:r>
      <w:r w:rsidRPr="002006D1">
        <w:rPr>
          <w:rFonts w:ascii="Palatino Linotype" w:eastAsia="Palatino Linotype" w:hAnsi="Palatino Linotype" w:cs="Palatino Linotype"/>
          <w:color w:val="FF0000"/>
        </w:rPr>
        <w:t xml:space="preserve"> </w:t>
      </w:r>
      <w:r w:rsidRPr="002006D1">
        <w:rPr>
          <w:rFonts w:ascii="Palatino Linotype" w:eastAsia="Palatino Linotype" w:hAnsi="Palatino Linotype" w:cs="Palatino Linotype"/>
        </w:rPr>
        <w:t xml:space="preserve">de dos mil veintidós, la parte </w:t>
      </w:r>
      <w:r w:rsidRPr="002006D1">
        <w:rPr>
          <w:rFonts w:ascii="Palatino Linotype" w:eastAsia="Palatino Linotype" w:hAnsi="Palatino Linotype" w:cs="Palatino Linotype"/>
          <w:b/>
        </w:rPr>
        <w:t>Recurrente</w:t>
      </w:r>
      <w:r w:rsidRPr="002006D1">
        <w:rPr>
          <w:rFonts w:ascii="Palatino Linotype" w:eastAsia="Palatino Linotype" w:hAnsi="Palatino Linotype" w:cs="Palatino Linotype"/>
        </w:rPr>
        <w:t xml:space="preserve"> presentó la solicitud de acceso de datos personales a través del Sistema de Acceso a la Información Mexiquense, en adelante </w:t>
      </w:r>
      <w:r w:rsidRPr="002006D1">
        <w:rPr>
          <w:rFonts w:ascii="Palatino Linotype" w:eastAsia="Palatino Linotype" w:hAnsi="Palatino Linotype" w:cs="Palatino Linotype"/>
          <w:b/>
        </w:rPr>
        <w:t>SAIMEX,</w:t>
      </w:r>
      <w:r w:rsidRPr="002006D1">
        <w:rPr>
          <w:rFonts w:ascii="Palatino Linotype" w:eastAsia="Palatino Linotype" w:hAnsi="Palatino Linotype" w:cs="Palatino Linotype"/>
        </w:rPr>
        <w:t xml:space="preserve"> al </w:t>
      </w:r>
      <w:r w:rsidRPr="002006D1">
        <w:rPr>
          <w:rFonts w:ascii="Palatino Linotype" w:eastAsia="Palatino Linotype" w:hAnsi="Palatino Linotype" w:cs="Palatino Linotype"/>
          <w:b/>
        </w:rPr>
        <w:t>Sujeto Obligado</w:t>
      </w:r>
      <w:r w:rsidRPr="002006D1">
        <w:rPr>
          <w:rFonts w:ascii="Palatino Linotype" w:eastAsia="Palatino Linotype" w:hAnsi="Palatino Linotype" w:cs="Palatino Linotype"/>
        </w:rPr>
        <w:t xml:space="preserve"> requiriendo lo siguiente:</w:t>
      </w:r>
    </w:p>
    <w:p w:rsidR="003E498B" w:rsidRPr="002006D1" w:rsidRDefault="00FF54DF">
      <w:pPr>
        <w:pBdr>
          <w:top w:val="nil"/>
          <w:left w:val="nil"/>
          <w:bottom w:val="nil"/>
          <w:right w:val="nil"/>
          <w:between w:val="nil"/>
        </w:pBdr>
        <w:spacing w:before="240" w:after="360" w:line="276" w:lineRule="auto"/>
        <w:ind w:left="851" w:right="902"/>
        <w:jc w:val="both"/>
        <w:rPr>
          <w:rFonts w:ascii="Palatino Linotype" w:eastAsia="Palatino Linotype" w:hAnsi="Palatino Linotype" w:cs="Palatino Linotype"/>
          <w:i/>
          <w:color w:val="000000"/>
          <w:sz w:val="22"/>
          <w:szCs w:val="22"/>
        </w:rPr>
      </w:pPr>
      <w:r w:rsidRPr="002006D1">
        <w:rPr>
          <w:rFonts w:ascii="Palatino Linotype" w:eastAsia="Palatino Linotype" w:hAnsi="Palatino Linotype" w:cs="Palatino Linotype"/>
          <w:i/>
          <w:color w:val="000000"/>
          <w:sz w:val="22"/>
          <w:szCs w:val="22"/>
        </w:rPr>
        <w:t xml:space="preserve">“Solicitud de información relacionada con un procedimiento registral iniciado con motivo de la solicitud de inscripción de la sentencia deducida del Juicio Ordinario Civil sobre Usucapión identificado con número de expediente </w:t>
      </w:r>
      <w:r w:rsidR="00FA10FF">
        <w:rPr>
          <w:rFonts w:ascii="Palatino Linotype" w:eastAsia="Palatino Linotype" w:hAnsi="Palatino Linotype" w:cs="Palatino Linotype"/>
          <w:i/>
          <w:color w:val="000000"/>
          <w:sz w:val="22"/>
          <w:szCs w:val="22"/>
        </w:rPr>
        <w:t>000000000</w:t>
      </w:r>
      <w:r w:rsidRPr="002006D1">
        <w:rPr>
          <w:rFonts w:ascii="Palatino Linotype" w:eastAsia="Palatino Linotype" w:hAnsi="Palatino Linotype" w:cs="Palatino Linotype"/>
          <w:i/>
          <w:color w:val="000000"/>
          <w:sz w:val="22"/>
          <w:szCs w:val="22"/>
        </w:rPr>
        <w:t>, radicado en el Juzgado Civil del Distrito Judicial de Jilotepec, Estado de México, además, se solicita copia simple de la constancia que contiene la calificación registral que determinó la suspensión del aludido trámite registral.” (Sic)</w:t>
      </w:r>
    </w:p>
    <w:p w:rsidR="003E498B" w:rsidRPr="002006D1" w:rsidRDefault="00FF54DF">
      <w:pPr>
        <w:spacing w:before="240" w:after="240"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lastRenderedPageBreak/>
        <w:t>Solicitud a la que adjuntó el archivo electrónico denominado “</w:t>
      </w:r>
      <w:r w:rsidRPr="002006D1">
        <w:rPr>
          <w:rFonts w:ascii="Palatino Linotype" w:eastAsia="Palatino Linotype" w:hAnsi="Palatino Linotype" w:cs="Palatino Linotype"/>
          <w:b/>
          <w:i/>
        </w:rPr>
        <w:t>SOLICITUD DE INFORMACIÓN PÚBLICA-Flattened.pdf”</w:t>
      </w:r>
      <w:r w:rsidRPr="002006D1">
        <w:rPr>
          <w:rFonts w:ascii="Palatino Linotype" w:eastAsia="Palatino Linotype" w:hAnsi="Palatino Linotype" w:cs="Palatino Linotype"/>
          <w:b/>
        </w:rPr>
        <w:t xml:space="preserve"> </w:t>
      </w:r>
      <w:r w:rsidRPr="002006D1">
        <w:rPr>
          <w:rFonts w:ascii="Palatino Linotype" w:eastAsia="Palatino Linotype" w:hAnsi="Palatino Linotype" w:cs="Palatino Linotype"/>
        </w:rPr>
        <w:t xml:space="preserve">que contiene el escrito en el que en términos generales expuso lo siguiente: </w:t>
      </w:r>
    </w:p>
    <w:p w:rsidR="003E498B" w:rsidRPr="002006D1" w:rsidRDefault="009D1B20">
      <w:pPr>
        <w:spacing w:before="240" w:after="240" w:line="360" w:lineRule="auto"/>
        <w:jc w:val="both"/>
        <w:rPr>
          <w:rFonts w:ascii="Palatino Linotype" w:eastAsia="Palatino Linotype" w:hAnsi="Palatino Linotype" w:cs="Palatino Linotype"/>
        </w:rPr>
      </w:pPr>
      <w:r>
        <w:rPr>
          <w:noProof/>
          <w:lang w:val="es-MX"/>
        </w:rPr>
        <w:drawing>
          <wp:inline distT="0" distB="0" distL="0" distR="0" wp14:anchorId="2A4EAD1D" wp14:editId="5D7CA910">
            <wp:extent cx="5610225" cy="3782174"/>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454" t="22330" r="35336" b="41460"/>
                    <a:stretch/>
                  </pic:blipFill>
                  <pic:spPr bwMode="auto">
                    <a:xfrm>
                      <a:off x="0" y="0"/>
                      <a:ext cx="5626122" cy="3792891"/>
                    </a:xfrm>
                    <a:prstGeom prst="rect">
                      <a:avLst/>
                    </a:prstGeom>
                    <a:ln>
                      <a:noFill/>
                    </a:ln>
                    <a:extLst>
                      <a:ext uri="{53640926-AAD7-44D8-BBD7-CCE9431645EC}">
                        <a14:shadowObscured xmlns:a14="http://schemas.microsoft.com/office/drawing/2010/main"/>
                      </a:ext>
                    </a:extLst>
                  </pic:spPr>
                </pic:pic>
              </a:graphicData>
            </a:graphic>
          </wp:inline>
        </w:drawing>
      </w:r>
    </w:p>
    <w:p w:rsidR="003E498B" w:rsidRPr="002006D1" w:rsidRDefault="00FF54DF">
      <w:pPr>
        <w:spacing w:before="240" w:after="240"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b/>
        </w:rPr>
        <w:t xml:space="preserve">Modalidad elegida para la entrega de la información: </w:t>
      </w:r>
      <w:r w:rsidRPr="002006D1">
        <w:rPr>
          <w:rFonts w:ascii="Palatino Linotype" w:eastAsia="Palatino Linotype" w:hAnsi="Palatino Linotype" w:cs="Palatino Linotype"/>
        </w:rPr>
        <w:t xml:space="preserve">a través del SAIMEX y correo electrónico. </w:t>
      </w:r>
    </w:p>
    <w:p w:rsidR="003E498B" w:rsidRPr="002006D1" w:rsidRDefault="00FF54DF">
      <w:pPr>
        <w:spacing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b/>
        </w:rPr>
        <w:t xml:space="preserve">2. Respuesta a la solicitud: </w:t>
      </w:r>
      <w:r w:rsidRPr="002006D1">
        <w:rPr>
          <w:rFonts w:ascii="Palatino Linotype" w:eastAsia="Palatino Linotype" w:hAnsi="Palatino Linotype" w:cs="Palatino Linotype"/>
        </w:rPr>
        <w:t xml:space="preserve">El veinticinco de octubre de dos mil veintidós, el </w:t>
      </w:r>
      <w:r w:rsidRPr="002006D1">
        <w:rPr>
          <w:rFonts w:ascii="Palatino Linotype" w:eastAsia="Palatino Linotype" w:hAnsi="Palatino Linotype" w:cs="Palatino Linotype"/>
          <w:b/>
        </w:rPr>
        <w:t xml:space="preserve">Sujeto Obligado </w:t>
      </w:r>
      <w:r w:rsidRPr="002006D1">
        <w:rPr>
          <w:rFonts w:ascii="Palatino Linotype" w:eastAsia="Palatino Linotype" w:hAnsi="Palatino Linotype" w:cs="Palatino Linotype"/>
        </w:rPr>
        <w:t xml:space="preserve">respondió a la solicitud de acceso a datos personales en los siguientes términos: </w:t>
      </w:r>
    </w:p>
    <w:p w:rsidR="003E498B" w:rsidRPr="002006D1" w:rsidRDefault="00FF54DF">
      <w:pPr>
        <w:spacing w:line="276" w:lineRule="auto"/>
        <w:ind w:left="851" w:right="616"/>
        <w:jc w:val="both"/>
        <w:rPr>
          <w:rFonts w:ascii="Palatino Linotype" w:eastAsia="Palatino Linotype" w:hAnsi="Palatino Linotype" w:cs="Palatino Linotype"/>
          <w:i/>
          <w:color w:val="000000"/>
          <w:sz w:val="22"/>
          <w:szCs w:val="22"/>
        </w:rPr>
      </w:pPr>
      <w:r w:rsidRPr="002006D1">
        <w:rPr>
          <w:rFonts w:ascii="Palatino Linotype" w:eastAsia="Palatino Linotype" w:hAnsi="Palatino Linotype" w:cs="Palatino Linotype"/>
          <w:i/>
          <w:color w:val="000000"/>
          <w:sz w:val="22"/>
          <w:szCs w:val="22"/>
        </w:rPr>
        <w:t>“…Por este medio le remito en "ARCHIVOS ADJUNTOS" el oficio número 222C0101040202L/580/2022, mediante el cual se da respuesta a su solicitud de información.” (Sic)</w:t>
      </w:r>
    </w:p>
    <w:p w:rsidR="003E498B" w:rsidRPr="002006D1" w:rsidRDefault="003E498B">
      <w:pPr>
        <w:spacing w:line="360" w:lineRule="auto"/>
        <w:jc w:val="both"/>
        <w:rPr>
          <w:rFonts w:ascii="Palatino Linotype" w:eastAsia="Palatino Linotype" w:hAnsi="Palatino Linotype" w:cs="Palatino Linotype"/>
        </w:rPr>
      </w:pPr>
    </w:p>
    <w:p w:rsidR="003E498B" w:rsidRPr="002006D1" w:rsidRDefault="00FF54DF">
      <w:pPr>
        <w:spacing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 xml:space="preserve">Pronunciamiento al que el </w:t>
      </w:r>
      <w:r w:rsidRPr="002006D1">
        <w:rPr>
          <w:rFonts w:ascii="Palatino Linotype" w:eastAsia="Palatino Linotype" w:hAnsi="Palatino Linotype" w:cs="Palatino Linotype"/>
          <w:b/>
        </w:rPr>
        <w:t xml:space="preserve">Sujeto Obligado </w:t>
      </w:r>
      <w:r w:rsidRPr="002006D1">
        <w:rPr>
          <w:rFonts w:ascii="Palatino Linotype" w:eastAsia="Palatino Linotype" w:hAnsi="Palatino Linotype" w:cs="Palatino Linotype"/>
        </w:rPr>
        <w:t xml:space="preserve">adjuntó el archivo identificado como: </w:t>
      </w:r>
      <w:r w:rsidRPr="002006D1">
        <w:rPr>
          <w:rFonts w:ascii="Palatino Linotype" w:eastAsia="Palatino Linotype" w:hAnsi="Palatino Linotype" w:cs="Palatino Linotype"/>
          <w:b/>
          <w:i/>
        </w:rPr>
        <w:t xml:space="preserve">580 2022.PDF </w:t>
      </w:r>
      <w:r w:rsidRPr="002006D1">
        <w:rPr>
          <w:rFonts w:ascii="Palatino Linotype" w:eastAsia="Palatino Linotype" w:hAnsi="Palatino Linotype" w:cs="Palatino Linotype"/>
        </w:rPr>
        <w:t xml:space="preserve">cuyo contenido se trata del oficio 222C0101040202L/580/2022 de fecha veinticinco de octubre de dos mil veintidós, suscrito y signado por el Titular de la Unidad de Transparencia del Instituto de la Función Registral del Estado de México; por medio del cual respondió a cada uno de los planteamientos formulados por la parte </w:t>
      </w:r>
      <w:r w:rsidRPr="002006D1">
        <w:rPr>
          <w:rFonts w:ascii="Palatino Linotype" w:eastAsia="Palatino Linotype" w:hAnsi="Palatino Linotype" w:cs="Palatino Linotype"/>
          <w:b/>
        </w:rPr>
        <w:t xml:space="preserve">Recurrente, </w:t>
      </w:r>
      <w:r w:rsidRPr="002006D1">
        <w:rPr>
          <w:rFonts w:ascii="Palatino Linotype" w:eastAsia="Palatino Linotype" w:hAnsi="Palatino Linotype" w:cs="Palatino Linotype"/>
        </w:rPr>
        <w:t xml:space="preserve">en los términos siguientes: </w:t>
      </w:r>
    </w:p>
    <w:p w:rsidR="003E498B" w:rsidRPr="002006D1" w:rsidRDefault="003E498B">
      <w:pPr>
        <w:spacing w:line="360" w:lineRule="auto"/>
        <w:jc w:val="both"/>
        <w:rPr>
          <w:rFonts w:ascii="Palatino Linotype" w:eastAsia="Palatino Linotype" w:hAnsi="Palatino Linotype" w:cs="Palatino Linotype"/>
        </w:rPr>
      </w:pPr>
    </w:p>
    <w:p w:rsidR="003E498B" w:rsidRPr="002006D1" w:rsidRDefault="005D1861">
      <w:pPr>
        <w:spacing w:line="360" w:lineRule="auto"/>
        <w:jc w:val="both"/>
        <w:rPr>
          <w:rFonts w:ascii="Palatino Linotype" w:eastAsia="Palatino Linotype" w:hAnsi="Palatino Linotype" w:cs="Palatino Linotype"/>
        </w:rPr>
      </w:pPr>
      <w:r>
        <w:rPr>
          <w:noProof/>
          <w:lang w:val="es-MX"/>
        </w:rPr>
        <w:drawing>
          <wp:inline distT="0" distB="0" distL="0" distR="0" wp14:anchorId="19C0CCF3" wp14:editId="2115AEF9">
            <wp:extent cx="5458340" cy="44386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454" t="27761" r="34657" b="27580"/>
                    <a:stretch/>
                  </pic:blipFill>
                  <pic:spPr bwMode="auto">
                    <a:xfrm>
                      <a:off x="0" y="0"/>
                      <a:ext cx="5471473" cy="4449330"/>
                    </a:xfrm>
                    <a:prstGeom prst="rect">
                      <a:avLst/>
                    </a:prstGeom>
                    <a:ln>
                      <a:noFill/>
                    </a:ln>
                    <a:extLst>
                      <a:ext uri="{53640926-AAD7-44D8-BBD7-CCE9431645EC}">
                        <a14:shadowObscured xmlns:a14="http://schemas.microsoft.com/office/drawing/2010/main"/>
                      </a:ext>
                    </a:extLst>
                  </pic:spPr>
                </pic:pic>
              </a:graphicData>
            </a:graphic>
          </wp:inline>
        </w:drawing>
      </w:r>
    </w:p>
    <w:p w:rsidR="003E498B" w:rsidRPr="002006D1" w:rsidRDefault="00FF54DF">
      <w:pPr>
        <w:spacing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noProof/>
          <w:lang w:val="es-MX"/>
        </w:rPr>
        <w:lastRenderedPageBreak/>
        <w:drawing>
          <wp:inline distT="0" distB="0" distL="0" distR="0">
            <wp:extent cx="5694846" cy="7125713"/>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694846" cy="7125713"/>
                    </a:xfrm>
                    <a:prstGeom prst="rect">
                      <a:avLst/>
                    </a:prstGeom>
                    <a:ln/>
                  </pic:spPr>
                </pic:pic>
              </a:graphicData>
            </a:graphic>
          </wp:inline>
        </w:drawing>
      </w:r>
    </w:p>
    <w:p w:rsidR="003E498B" w:rsidRPr="002006D1" w:rsidRDefault="00FF54DF">
      <w:pPr>
        <w:spacing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noProof/>
          <w:lang w:val="es-MX"/>
        </w:rPr>
        <w:lastRenderedPageBreak/>
        <w:drawing>
          <wp:inline distT="0" distB="0" distL="0" distR="0">
            <wp:extent cx="5847454" cy="7140237"/>
            <wp:effectExtent l="0" t="0" r="0" b="0"/>
            <wp:docPr id="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847454" cy="7140237"/>
                    </a:xfrm>
                    <a:prstGeom prst="rect">
                      <a:avLst/>
                    </a:prstGeom>
                    <a:ln/>
                  </pic:spPr>
                </pic:pic>
              </a:graphicData>
            </a:graphic>
          </wp:inline>
        </w:drawing>
      </w:r>
    </w:p>
    <w:p w:rsidR="003E498B" w:rsidRPr="002006D1" w:rsidRDefault="00FF54DF">
      <w:pPr>
        <w:spacing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noProof/>
          <w:lang w:val="es-MX"/>
        </w:rPr>
        <w:lastRenderedPageBreak/>
        <w:drawing>
          <wp:inline distT="0" distB="0" distL="0" distR="0">
            <wp:extent cx="6039695" cy="2743584"/>
            <wp:effectExtent l="0" t="0" r="0" b="0"/>
            <wp:docPr id="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6039695" cy="2743584"/>
                    </a:xfrm>
                    <a:prstGeom prst="rect">
                      <a:avLst/>
                    </a:prstGeom>
                    <a:ln/>
                  </pic:spPr>
                </pic:pic>
              </a:graphicData>
            </a:graphic>
          </wp:inline>
        </w:drawing>
      </w:r>
    </w:p>
    <w:p w:rsidR="003E498B" w:rsidRPr="002006D1" w:rsidRDefault="003E498B">
      <w:pPr>
        <w:spacing w:line="360" w:lineRule="auto"/>
        <w:jc w:val="both"/>
        <w:rPr>
          <w:rFonts w:ascii="Palatino Linotype" w:eastAsia="Palatino Linotype" w:hAnsi="Palatino Linotype" w:cs="Palatino Linotype"/>
        </w:rPr>
      </w:pPr>
    </w:p>
    <w:p w:rsidR="003E498B" w:rsidRPr="002006D1" w:rsidRDefault="00FF54DF">
      <w:pPr>
        <w:spacing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b/>
        </w:rPr>
        <w:t xml:space="preserve">3. Recurso de revisión. </w:t>
      </w:r>
      <w:r w:rsidRPr="002006D1">
        <w:rPr>
          <w:rFonts w:ascii="Palatino Linotype" w:eastAsia="Palatino Linotype" w:hAnsi="Palatino Linotype" w:cs="Palatino Linotype"/>
        </w:rPr>
        <w:t>El recurso de revisión se interpuso a través del SAIMEX con fecha veintiséis de octubre del año dos mil veintidós, por parte del solicitante de información, quien expresó las siguientes manifestaciones:</w:t>
      </w:r>
    </w:p>
    <w:p w:rsidR="003E498B" w:rsidRPr="002006D1" w:rsidRDefault="00FF54DF">
      <w:pPr>
        <w:spacing w:before="240" w:after="240" w:line="360" w:lineRule="auto"/>
        <w:ind w:left="567"/>
        <w:rPr>
          <w:rFonts w:ascii="Palatino Linotype" w:eastAsia="Palatino Linotype" w:hAnsi="Palatino Linotype" w:cs="Palatino Linotype"/>
          <w:b/>
        </w:rPr>
      </w:pPr>
      <w:r w:rsidRPr="002006D1">
        <w:rPr>
          <w:rFonts w:ascii="Palatino Linotype" w:eastAsia="Palatino Linotype" w:hAnsi="Palatino Linotype" w:cs="Palatino Linotype"/>
          <w:b/>
        </w:rPr>
        <w:t>a) Acto impugnado.</w:t>
      </w:r>
    </w:p>
    <w:p w:rsidR="003E498B" w:rsidRPr="002006D1" w:rsidRDefault="00FF54DF">
      <w:pPr>
        <w:spacing w:line="276" w:lineRule="auto"/>
        <w:ind w:left="851" w:right="900"/>
        <w:jc w:val="both"/>
        <w:rPr>
          <w:rFonts w:ascii="Palatino Linotype" w:eastAsia="Palatino Linotype" w:hAnsi="Palatino Linotype" w:cs="Palatino Linotype"/>
          <w:i/>
          <w:sz w:val="22"/>
          <w:szCs w:val="22"/>
        </w:rPr>
      </w:pPr>
      <w:r w:rsidRPr="002006D1">
        <w:rPr>
          <w:rFonts w:ascii="Palatino Linotype" w:eastAsia="Palatino Linotype" w:hAnsi="Palatino Linotype" w:cs="Palatino Linotype"/>
          <w:i/>
          <w:sz w:val="22"/>
          <w:szCs w:val="22"/>
        </w:rPr>
        <w:t>“Oficio No. 222C0101040202L/580/2022, en el que consta la respuesta formulada por el sujeto obligado a mi solicitud de información, identificada con folio 00114/IFR/IP/2022, toda vez que el sujeto obligado me niega el acceso a la información solicitada..” (Sic)</w:t>
      </w:r>
    </w:p>
    <w:p w:rsidR="003E498B" w:rsidRPr="002006D1" w:rsidRDefault="00FF54DF">
      <w:pPr>
        <w:spacing w:before="240" w:after="240" w:line="360" w:lineRule="auto"/>
        <w:ind w:left="567"/>
        <w:jc w:val="both"/>
        <w:rPr>
          <w:rFonts w:ascii="Palatino Linotype" w:eastAsia="Palatino Linotype" w:hAnsi="Palatino Linotype" w:cs="Palatino Linotype"/>
          <w:b/>
        </w:rPr>
      </w:pPr>
      <w:r w:rsidRPr="002006D1">
        <w:rPr>
          <w:rFonts w:ascii="Palatino Linotype" w:eastAsia="Palatino Linotype" w:hAnsi="Palatino Linotype" w:cs="Palatino Linotype"/>
          <w:b/>
        </w:rPr>
        <w:t>b) Motivos de inconformidad.</w:t>
      </w:r>
    </w:p>
    <w:p w:rsidR="003E498B" w:rsidRPr="002006D1" w:rsidRDefault="00FF54DF" w:rsidP="00A716D1">
      <w:pPr>
        <w:ind w:left="851" w:right="900"/>
        <w:jc w:val="both"/>
        <w:rPr>
          <w:rFonts w:ascii="Palatino Linotype" w:eastAsia="Palatino Linotype" w:hAnsi="Palatino Linotype" w:cs="Palatino Linotype"/>
          <w:i/>
          <w:sz w:val="22"/>
          <w:szCs w:val="22"/>
        </w:rPr>
      </w:pPr>
      <w:r w:rsidRPr="002006D1">
        <w:rPr>
          <w:rFonts w:ascii="Palatino Linotype" w:eastAsia="Palatino Linotype" w:hAnsi="Palatino Linotype" w:cs="Palatino Linotype"/>
          <w:i/>
          <w:sz w:val="22"/>
          <w:szCs w:val="22"/>
        </w:rPr>
        <w:t xml:space="preserve">“La respuesta del sujeto obligado me causa agravio porque no me permite certeza jurídica a los particulares de que el Sujeto Obligado realizó una búsqueda dentro de sus archivos. Ahora bien, para el caso en el que derivado de una búsqueda exhaustiva y razonable dentro de los archivos del Sujeto Obligado no se localice la información referente a ● Número de trámite registral iniciado por el suscrito en la oficina registral de Jilotepec, respecto de la solicitud de inscripción de la sentencia deducida del Juicio Ordinario Civil sobre Usucapión, identificado con </w:t>
      </w:r>
      <w:r w:rsidRPr="002006D1">
        <w:rPr>
          <w:rFonts w:ascii="Palatino Linotype" w:eastAsia="Palatino Linotype" w:hAnsi="Palatino Linotype" w:cs="Palatino Linotype"/>
          <w:i/>
          <w:sz w:val="22"/>
          <w:szCs w:val="22"/>
        </w:rPr>
        <w:lastRenderedPageBreak/>
        <w:t xml:space="preserve">número de expediente: </w:t>
      </w:r>
      <w:r w:rsidR="00604F58">
        <w:rPr>
          <w:rFonts w:ascii="Palatino Linotype" w:eastAsia="Palatino Linotype" w:hAnsi="Palatino Linotype" w:cs="Palatino Linotype"/>
          <w:i/>
          <w:sz w:val="22"/>
          <w:szCs w:val="22"/>
        </w:rPr>
        <w:t>XXXXXXXXX</w:t>
      </w:r>
      <w:r w:rsidRPr="002006D1">
        <w:rPr>
          <w:rFonts w:ascii="Palatino Linotype" w:eastAsia="Palatino Linotype" w:hAnsi="Palatino Linotype" w:cs="Palatino Linotype"/>
          <w:i/>
          <w:sz w:val="22"/>
          <w:szCs w:val="22"/>
        </w:rPr>
        <w:t xml:space="preserve">, radicado en el Juzgado Civil del Distrito Judicial de Jilotepec, Estado de México. ● Si en el folio real electrónico </w:t>
      </w:r>
      <w:r w:rsidR="00604F58">
        <w:rPr>
          <w:rFonts w:ascii="Palatino Linotype" w:eastAsia="Palatino Linotype" w:hAnsi="Palatino Linotype" w:cs="Palatino Linotype"/>
          <w:i/>
          <w:sz w:val="22"/>
          <w:szCs w:val="22"/>
        </w:rPr>
        <w:t>XXXXXXXX</w:t>
      </w:r>
      <w:r w:rsidRPr="002006D1">
        <w:rPr>
          <w:rFonts w:ascii="Palatino Linotype" w:eastAsia="Palatino Linotype" w:hAnsi="Palatino Linotype" w:cs="Palatino Linotype"/>
          <w:i/>
          <w:sz w:val="22"/>
          <w:szCs w:val="22"/>
        </w:rPr>
        <w:t xml:space="preserve"> se encuentra una anotación preventiva en favor del suscrito y con motivo de la solicitud de inscripción de la sentencia referida en el punto anterior. ● Informarme sobre el estado actual del trámite registral del que se solicita información. ● De ser posible, solicito que se me remita copia simple de la constancia que contiene la calificación registral de la que se solicita información debía manifestarse a la parte solicitante de manera fundada y motivada, toda vez que así se brinda certeza jurídica a los particulares de que el Sujeto Obligado realizó una búsqueda dentro de sus archivos a fin de garantizar el debido acceso a la información pública al suscrito, lo que en la especie no sucedió, pues el sujeto obligado se limitó a indicar que el primer punto era localizable en el volante de trámite universal, que el segundo era atendible a través del servicio automatizado de consulta de folio real electrónico, que el tercero era inatendible por no tener a la vista número de trámite registral y que para el cuarto debía solicitar copias simples o certificadas, pero no fundó ni motivó su respuesta, por lo que no garantizó el derecho del suscrito de acceso a la información, como lo refiere en su respuesta, pues el derecho de acceso a la información solamente puede tenerse por satisfecho en el momento en que el particular tenga en su poder los soportes documentales con la información solicitada. En consideración del suscrito el acto reclamado está indebidamente fundado y motivado, pues no consta en el mismo fundamento que impida el acceso a la información solicitada, ni encuadra la situación del solicitante con los razonamientos plasmados en la respuesta del sujeto obligado, por lo que debe tenerse presente que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w:t>
      </w:r>
      <w:r w:rsidRPr="002006D1">
        <w:rPr>
          <w:rFonts w:ascii="Palatino Linotype" w:eastAsia="Palatino Linotype" w:hAnsi="Palatino Linotype" w:cs="Palatino Linotype"/>
          <w:i/>
          <w:sz w:val="22"/>
          <w:szCs w:val="22"/>
        </w:rPr>
        <w:lastRenderedPageBreak/>
        <w:t xml:space="preserve">los supuestos normativos en que se encuadra la conducta del gobernado para que esté obligado al pago, que serán señalados con toda exactitud, precisándose los incisos, </w:t>
      </w:r>
      <w:proofErr w:type="spellStart"/>
      <w:r w:rsidRPr="002006D1">
        <w:rPr>
          <w:rFonts w:ascii="Palatino Linotype" w:eastAsia="Palatino Linotype" w:hAnsi="Palatino Linotype" w:cs="Palatino Linotype"/>
          <w:i/>
          <w:sz w:val="22"/>
          <w:szCs w:val="22"/>
        </w:rPr>
        <w:t>subincisos</w:t>
      </w:r>
      <w:proofErr w:type="spellEnd"/>
      <w:r w:rsidRPr="002006D1">
        <w:rPr>
          <w:rFonts w:ascii="Palatino Linotype" w:eastAsia="Palatino Linotype" w:hAnsi="Palatino Linotype" w:cs="Palatino Linotype"/>
          <w:i/>
          <w:sz w:val="22"/>
          <w:szCs w:val="22"/>
        </w:rPr>
        <w:t>, fracciones y preceptos aplicable, y b).- Los cuerpos legales y preceptos que otorgan competencia o facultades a las autoridades para emitir el acto en agravio del gobernado.” A consideración del suscrito, el acto reclamado debía cubrir los requisitos de motivación y fundamentación, los cuales se satisfacen cuando se señalan los hechos, causas y circunstancias inmediatas que se tomaron en consideración para negar la información solicitada, así como los preceptos legales aplicables al caso, de manera que exista adecuación entre los hechos expresados y las normas que se aplicaron para negar la información solicitada. En términos de lo anterior, el sujeto obligado viola en mi perjuicio el derecho fundamental de legalidad implícita en el párrafo transcrito del artículo 16 constitucional, por virtud del cual se condiciona a todo acto de molestia a la reunión de los requisitos de fundamentación y motivación de la causa legal del procedimiento, por la que se entiende el acto o la serie de actos que provocan la molestia en la persona, familia, domicilio, papeles o posesiones de un gobernado realizados por la autoridad competente, y deben no sólo tener una causa o elemento determinante, sino que éste sea legal, es decir, fundado y motivado en una ley en su aspecto material, esto es, una disposición normativa general e impersonal, creadora y reguladora de situaciones abstractas. Y tal y como se advierte de la respuesta recurrida, el sujeto obligado no enuncia los fundamentos legales que lo llevaron a determinar negarme la información solicitada, ni motiva dicha determinación en hechos que encuadre en las hipótesis legales que amparan su negativa, pues en lo largo de la respuesta, no menciona un solo artículo rector de mi derecho de acceso a la información pública que impida que me sea enviada la solicitada información.” (Sic)</w:t>
      </w:r>
    </w:p>
    <w:p w:rsidR="003E498B" w:rsidRPr="002006D1" w:rsidRDefault="003E498B">
      <w:pPr>
        <w:ind w:right="900"/>
        <w:jc w:val="both"/>
        <w:rPr>
          <w:rFonts w:ascii="Palatino Linotype" w:eastAsia="Palatino Linotype" w:hAnsi="Palatino Linotype" w:cs="Palatino Linotype"/>
          <w:color w:val="000000"/>
        </w:rPr>
      </w:pPr>
    </w:p>
    <w:p w:rsidR="003E498B" w:rsidRPr="002006D1" w:rsidRDefault="00FF54DF">
      <w:pPr>
        <w:spacing w:line="360" w:lineRule="auto"/>
        <w:ind w:right="49"/>
        <w:jc w:val="both"/>
        <w:rPr>
          <w:rFonts w:ascii="Palatino Linotype" w:eastAsia="Palatino Linotype" w:hAnsi="Palatino Linotype" w:cs="Palatino Linotype"/>
          <w:b/>
          <w:color w:val="000000"/>
        </w:rPr>
      </w:pPr>
      <w:r w:rsidRPr="002006D1">
        <w:rPr>
          <w:rFonts w:ascii="Palatino Linotype" w:eastAsia="Palatino Linotype" w:hAnsi="Palatino Linotype" w:cs="Palatino Linotype"/>
          <w:color w:val="000000"/>
        </w:rPr>
        <w:t>Pronunciamiento al que adjuntó el archivo electrónico identificado como “</w:t>
      </w:r>
      <w:r w:rsidRPr="002006D1">
        <w:rPr>
          <w:rFonts w:ascii="Palatino Linotype" w:eastAsia="Palatino Linotype" w:hAnsi="Palatino Linotype" w:cs="Palatino Linotype"/>
          <w:b/>
          <w:i/>
          <w:color w:val="000000"/>
        </w:rPr>
        <w:t xml:space="preserve">Recurso de Revisión PGM-IFREM.pdf” </w:t>
      </w:r>
      <w:r w:rsidRPr="002006D1">
        <w:rPr>
          <w:rFonts w:ascii="Palatino Linotype" w:eastAsia="Palatino Linotype" w:hAnsi="Palatino Linotype" w:cs="Palatino Linotype"/>
          <w:color w:val="000000"/>
        </w:rPr>
        <w:t xml:space="preserve">que contiene el escrito de interposición del recurso de revisión en el que detalla y hace valer sus motivos de inconformidad; así como, el escrito de respuesta a la solicitud de información emitido por el </w:t>
      </w:r>
      <w:r w:rsidRPr="002006D1">
        <w:rPr>
          <w:rFonts w:ascii="Palatino Linotype" w:eastAsia="Palatino Linotype" w:hAnsi="Palatino Linotype" w:cs="Palatino Linotype"/>
          <w:b/>
          <w:color w:val="000000"/>
        </w:rPr>
        <w:t xml:space="preserve">Sujeto Obligado. </w:t>
      </w:r>
    </w:p>
    <w:p w:rsidR="003E498B" w:rsidRPr="002006D1" w:rsidRDefault="00FF54DF">
      <w:pPr>
        <w:spacing w:before="240" w:after="240"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b/>
        </w:rPr>
        <w:t>4. Turno</w:t>
      </w:r>
      <w:r w:rsidRPr="002006D1">
        <w:rPr>
          <w:rFonts w:ascii="Palatino Linotype" w:eastAsia="Palatino Linotype" w:hAnsi="Palatino Linotype" w:cs="Palatino Linotype"/>
          <w:b/>
          <w:sz w:val="22"/>
          <w:szCs w:val="22"/>
        </w:rPr>
        <w:t>.</w:t>
      </w:r>
      <w:r w:rsidRPr="002006D1">
        <w:rPr>
          <w:rFonts w:ascii="Palatino Linotype" w:eastAsia="Palatino Linotype" w:hAnsi="Palatino Linotype" w:cs="Palatino Linotype"/>
          <w:b/>
          <w:sz w:val="28"/>
          <w:szCs w:val="28"/>
        </w:rPr>
        <w:t xml:space="preserve"> </w:t>
      </w:r>
      <w:r w:rsidRPr="002006D1">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w:t>
      </w:r>
      <w:r w:rsidRPr="002006D1">
        <w:rPr>
          <w:rFonts w:ascii="Palatino Linotype" w:eastAsia="Palatino Linotype" w:hAnsi="Palatino Linotype" w:cs="Palatino Linotype"/>
        </w:rPr>
        <w:lastRenderedPageBreak/>
        <w:t xml:space="preserve">Acceso a la Información Pública y Protección de Datos Personales del Estado de México y Municipios, que por razón de turno fue asignado a la Comisionada </w:t>
      </w:r>
      <w:r w:rsidRPr="002006D1">
        <w:rPr>
          <w:rFonts w:ascii="Palatino Linotype" w:eastAsia="Palatino Linotype" w:hAnsi="Palatino Linotype" w:cs="Palatino Linotype"/>
          <w:b/>
        </w:rPr>
        <w:t>Guadalupe Ramírez Peña</w:t>
      </w:r>
      <w:r w:rsidRPr="002006D1">
        <w:rPr>
          <w:rFonts w:ascii="Palatino Linotype" w:eastAsia="Palatino Linotype" w:hAnsi="Palatino Linotype" w:cs="Palatino Linotype"/>
        </w:rPr>
        <w:t xml:space="preserve"> para su análisis, estudio, elaboración del proyecto y presentación ante el Pleno de este Instituto.</w:t>
      </w:r>
    </w:p>
    <w:p w:rsidR="003E498B" w:rsidRPr="002006D1" w:rsidRDefault="00FF54DF">
      <w:pPr>
        <w:tabs>
          <w:tab w:val="left" w:pos="4667"/>
        </w:tabs>
        <w:spacing w:line="360" w:lineRule="auto"/>
        <w:jc w:val="both"/>
      </w:pPr>
      <w:r w:rsidRPr="002006D1">
        <w:rPr>
          <w:rFonts w:ascii="Palatino Linotype" w:eastAsia="Palatino Linotype" w:hAnsi="Palatino Linotype" w:cs="Palatino Linotype"/>
          <w:b/>
        </w:rPr>
        <w:t>5. Admisión.</w:t>
      </w:r>
      <w:r w:rsidRPr="002006D1">
        <w:rPr>
          <w:rFonts w:ascii="Palatino Linotype" w:eastAsia="Palatino Linotype" w:hAnsi="Palatino Linotype" w:cs="Palatino Linotype"/>
          <w:b/>
          <w:sz w:val="28"/>
          <w:szCs w:val="28"/>
        </w:rPr>
        <w:t xml:space="preserve"> </w:t>
      </w:r>
      <w:r w:rsidRPr="002006D1">
        <w:rPr>
          <w:rFonts w:ascii="Palatino Linotype" w:eastAsia="Palatino Linotype" w:hAnsi="Palatino Linotype" w:cs="Palatino Linotype"/>
        </w:rPr>
        <w:t xml:space="preserve">Mediante auto de fecha treinta y uno de octubre del año dos mil veintidós, este Organismo Garante, admitió a trámite el recurso interpuesto por la parte </w:t>
      </w:r>
      <w:r w:rsidRPr="002006D1">
        <w:rPr>
          <w:rFonts w:ascii="Palatino Linotype" w:eastAsia="Palatino Linotype" w:hAnsi="Palatino Linotype" w:cs="Palatino Linotype"/>
          <w:b/>
        </w:rPr>
        <w:t>Recurrente</w:t>
      </w:r>
      <w:r w:rsidRPr="002006D1">
        <w:rPr>
          <w:rFonts w:ascii="Palatino Linotype" w:eastAsia="Palatino Linotype" w:hAnsi="Palatino Linotype" w:cs="Palatino Linotype"/>
        </w:rPr>
        <w:t xml:space="preserve"> en contra de la respuesta del </w:t>
      </w:r>
      <w:r w:rsidRPr="002006D1">
        <w:rPr>
          <w:rFonts w:ascii="Palatino Linotype" w:eastAsia="Palatino Linotype" w:hAnsi="Palatino Linotype" w:cs="Palatino Linotype"/>
          <w:b/>
        </w:rPr>
        <w:t>Sujeto Obligado</w:t>
      </w:r>
      <w:r w:rsidRPr="002006D1">
        <w:rPr>
          <w:rFonts w:ascii="Palatino Linotype" w:eastAsia="Palatino Linotype" w:hAnsi="Palatino Linotype" w:cs="Palatino Linotype"/>
        </w:rPr>
        <w:t>, en términos del 132, fracción I de la Ley de Protección de Datos Personales en Posesión de Sujeto Obligados del Estado de México y Municipios y del artículo 185, fracciones I, II y IV de la Ley de Transparencia y Acceso a la Información Pública del Estado de México y Municipios, supletoria a la Ley de Datos en mención, en el que se les otorgó un plazo de siete días hábiles posteriores a la misma, para expresar su intención de conciliar.</w:t>
      </w:r>
      <w:r w:rsidRPr="002006D1">
        <w:t xml:space="preserve"> </w:t>
      </w:r>
    </w:p>
    <w:p w:rsidR="003E498B" w:rsidRPr="002006D1" w:rsidRDefault="003E498B">
      <w:pPr>
        <w:tabs>
          <w:tab w:val="left" w:pos="4667"/>
        </w:tabs>
        <w:spacing w:line="360" w:lineRule="auto"/>
        <w:jc w:val="both"/>
      </w:pPr>
    </w:p>
    <w:p w:rsidR="003E498B" w:rsidRPr="002006D1" w:rsidRDefault="00FF54DF">
      <w:pPr>
        <w:tabs>
          <w:tab w:val="left" w:pos="4667"/>
        </w:tabs>
        <w:spacing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b/>
        </w:rPr>
        <w:t>6. Manifestaciones</w:t>
      </w:r>
      <w:r w:rsidRPr="002006D1">
        <w:rPr>
          <w:b/>
        </w:rPr>
        <w:t xml:space="preserve">. </w:t>
      </w:r>
      <w:r w:rsidRPr="002006D1">
        <w:rPr>
          <w:rFonts w:ascii="Palatino Linotype" w:eastAsia="Palatino Linotype" w:hAnsi="Palatino Linotype" w:cs="Palatino Linotype"/>
        </w:rPr>
        <w:t xml:space="preserve">De las constancias que integran el expediente del recurso de revisión que se resuelve, se tiene que el </w:t>
      </w:r>
      <w:r w:rsidRPr="002006D1">
        <w:rPr>
          <w:rFonts w:ascii="Palatino Linotype" w:eastAsia="Palatino Linotype" w:hAnsi="Palatino Linotype" w:cs="Palatino Linotype"/>
          <w:b/>
        </w:rPr>
        <w:t xml:space="preserve">Sujeto Obligado </w:t>
      </w:r>
      <w:r w:rsidRPr="002006D1">
        <w:rPr>
          <w:rFonts w:ascii="Palatino Linotype" w:eastAsia="Palatino Linotype" w:hAnsi="Palatino Linotype" w:cs="Palatino Linotype"/>
        </w:rPr>
        <w:t xml:space="preserve">no realizó declaraciones para manifestar lo que a su derecho asistiera y conviniera; por su parte, el </w:t>
      </w:r>
      <w:r w:rsidRPr="002006D1">
        <w:rPr>
          <w:rFonts w:ascii="Palatino Linotype" w:eastAsia="Palatino Linotype" w:hAnsi="Palatino Linotype" w:cs="Palatino Linotype"/>
          <w:b/>
        </w:rPr>
        <w:t xml:space="preserve">Recurrente </w:t>
      </w:r>
      <w:r w:rsidRPr="002006D1">
        <w:rPr>
          <w:rFonts w:ascii="Palatino Linotype" w:eastAsia="Palatino Linotype" w:hAnsi="Palatino Linotype" w:cs="Palatino Linotype"/>
        </w:rPr>
        <w:t xml:space="preserve">remitió dos siguientes documentos: </w:t>
      </w:r>
    </w:p>
    <w:p w:rsidR="003E498B" w:rsidRPr="002006D1" w:rsidRDefault="003E498B">
      <w:pPr>
        <w:tabs>
          <w:tab w:val="left" w:pos="4667"/>
        </w:tabs>
        <w:spacing w:line="360" w:lineRule="auto"/>
        <w:jc w:val="both"/>
        <w:rPr>
          <w:rFonts w:ascii="Palatino Linotype" w:eastAsia="Palatino Linotype" w:hAnsi="Palatino Linotype" w:cs="Palatino Linotype"/>
        </w:rPr>
      </w:pPr>
    </w:p>
    <w:p w:rsidR="003E498B" w:rsidRPr="002006D1" w:rsidRDefault="00FF54DF">
      <w:pPr>
        <w:tabs>
          <w:tab w:val="left" w:pos="4667"/>
        </w:tabs>
        <w:spacing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b/>
          <w:i/>
        </w:rPr>
        <w:t xml:space="preserve">Ofrecimiento de Pruebas.pdf: </w:t>
      </w:r>
      <w:r w:rsidRPr="002006D1">
        <w:rPr>
          <w:rFonts w:ascii="Palatino Linotype" w:eastAsia="Palatino Linotype" w:hAnsi="Palatino Linotype" w:cs="Palatino Linotype"/>
        </w:rPr>
        <w:t xml:space="preserve">Documento que de manera sustantiva contiene lo siguiente. </w:t>
      </w:r>
    </w:p>
    <w:p w:rsidR="003E498B" w:rsidRPr="002006D1" w:rsidRDefault="003E498B">
      <w:pPr>
        <w:tabs>
          <w:tab w:val="left" w:pos="4667"/>
        </w:tabs>
        <w:spacing w:line="360" w:lineRule="auto"/>
        <w:jc w:val="both"/>
        <w:rPr>
          <w:rFonts w:ascii="Palatino Linotype" w:eastAsia="Palatino Linotype" w:hAnsi="Palatino Linotype" w:cs="Palatino Linotype"/>
        </w:rPr>
      </w:pPr>
    </w:p>
    <w:p w:rsidR="003E498B" w:rsidRPr="002006D1" w:rsidRDefault="00DB34F3">
      <w:pPr>
        <w:tabs>
          <w:tab w:val="left" w:pos="4667"/>
        </w:tabs>
        <w:spacing w:line="360" w:lineRule="auto"/>
        <w:jc w:val="both"/>
        <w:rPr>
          <w:rFonts w:ascii="Palatino Linotype" w:eastAsia="Palatino Linotype" w:hAnsi="Palatino Linotype" w:cs="Palatino Linotype"/>
          <w:b/>
          <w:i/>
        </w:rPr>
      </w:pPr>
      <w:r>
        <w:rPr>
          <w:noProof/>
          <w:lang w:val="es-MX"/>
        </w:rPr>
        <w:lastRenderedPageBreak/>
        <w:drawing>
          <wp:inline distT="0" distB="0" distL="0" distR="0" wp14:anchorId="1844D595" wp14:editId="3FF4D36C">
            <wp:extent cx="5543550" cy="7009809"/>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775" t="22028" r="35336" b="11888"/>
                    <a:stretch/>
                  </pic:blipFill>
                  <pic:spPr bwMode="auto">
                    <a:xfrm>
                      <a:off x="0" y="0"/>
                      <a:ext cx="5564993" cy="7036923"/>
                    </a:xfrm>
                    <a:prstGeom prst="rect">
                      <a:avLst/>
                    </a:prstGeom>
                    <a:ln>
                      <a:noFill/>
                    </a:ln>
                    <a:extLst>
                      <a:ext uri="{53640926-AAD7-44D8-BBD7-CCE9431645EC}">
                        <a14:shadowObscured xmlns:a14="http://schemas.microsoft.com/office/drawing/2010/main"/>
                      </a:ext>
                    </a:extLst>
                  </pic:spPr>
                </pic:pic>
              </a:graphicData>
            </a:graphic>
          </wp:inline>
        </w:drawing>
      </w:r>
    </w:p>
    <w:p w:rsidR="003E498B" w:rsidRPr="002006D1" w:rsidRDefault="003E498B">
      <w:pPr>
        <w:tabs>
          <w:tab w:val="left" w:pos="4667"/>
        </w:tabs>
        <w:spacing w:line="360" w:lineRule="auto"/>
        <w:jc w:val="both"/>
        <w:rPr>
          <w:rFonts w:ascii="Palatino Linotype" w:eastAsia="Palatino Linotype" w:hAnsi="Palatino Linotype" w:cs="Palatino Linotype"/>
          <w:b/>
          <w:i/>
        </w:rPr>
      </w:pPr>
    </w:p>
    <w:p w:rsidR="003E498B" w:rsidRPr="002006D1" w:rsidRDefault="00FF54DF">
      <w:pPr>
        <w:tabs>
          <w:tab w:val="left" w:pos="4667"/>
        </w:tabs>
        <w:spacing w:line="360" w:lineRule="auto"/>
        <w:jc w:val="both"/>
        <w:rPr>
          <w:rFonts w:ascii="Palatino Linotype" w:eastAsia="Palatino Linotype" w:hAnsi="Palatino Linotype" w:cs="Palatino Linotype"/>
          <w:b/>
          <w:i/>
        </w:rPr>
      </w:pPr>
      <w:r w:rsidRPr="002006D1">
        <w:rPr>
          <w:rFonts w:ascii="Palatino Linotype" w:eastAsia="Palatino Linotype" w:hAnsi="Palatino Linotype" w:cs="Palatino Linotype"/>
          <w:b/>
          <w:i/>
        </w:rPr>
        <w:lastRenderedPageBreak/>
        <w:t xml:space="preserve">ALEGATOS.pdf: </w:t>
      </w:r>
    </w:p>
    <w:p w:rsidR="003E498B" w:rsidRPr="002006D1" w:rsidRDefault="00FF54DF">
      <w:pPr>
        <w:tabs>
          <w:tab w:val="left" w:pos="4667"/>
        </w:tabs>
        <w:spacing w:line="360" w:lineRule="auto"/>
        <w:jc w:val="both"/>
        <w:rPr>
          <w:rFonts w:ascii="Palatino Linotype" w:eastAsia="Palatino Linotype" w:hAnsi="Palatino Linotype" w:cs="Palatino Linotype"/>
          <w:b/>
          <w:i/>
        </w:rPr>
      </w:pPr>
      <w:r w:rsidRPr="002006D1">
        <w:rPr>
          <w:rFonts w:ascii="Palatino Linotype" w:eastAsia="Palatino Linotype" w:hAnsi="Palatino Linotype" w:cs="Palatino Linotype"/>
          <w:b/>
          <w:i/>
          <w:noProof/>
          <w:lang w:val="es-MX"/>
        </w:rPr>
        <w:drawing>
          <wp:inline distT="0" distB="0" distL="0" distR="0">
            <wp:extent cx="5711519" cy="4909231"/>
            <wp:effectExtent l="0" t="0" r="0" b="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711519" cy="4909231"/>
                    </a:xfrm>
                    <a:prstGeom prst="rect">
                      <a:avLst/>
                    </a:prstGeom>
                    <a:ln/>
                  </pic:spPr>
                </pic:pic>
              </a:graphicData>
            </a:graphic>
          </wp:inline>
        </w:drawing>
      </w:r>
    </w:p>
    <w:p w:rsidR="003E498B" w:rsidRPr="002006D1" w:rsidRDefault="003E498B">
      <w:pPr>
        <w:tabs>
          <w:tab w:val="left" w:pos="4667"/>
        </w:tabs>
        <w:spacing w:line="360" w:lineRule="auto"/>
        <w:rPr>
          <w:b/>
          <w:color w:val="FF0000"/>
        </w:rPr>
      </w:pPr>
    </w:p>
    <w:p w:rsidR="003E498B" w:rsidRPr="002006D1" w:rsidRDefault="00FF54DF">
      <w:pPr>
        <w:tabs>
          <w:tab w:val="left" w:pos="4667"/>
        </w:tabs>
        <w:spacing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b/>
        </w:rPr>
        <w:t xml:space="preserve">7. Reconducción de vía. </w:t>
      </w:r>
      <w:r w:rsidRPr="002006D1">
        <w:rPr>
          <w:rFonts w:ascii="Palatino Linotype" w:eastAsia="Palatino Linotype" w:hAnsi="Palatino Linotype" w:cs="Palatino Linotype"/>
        </w:rPr>
        <w:t xml:space="preserve">Una vez analizada la solicitud de información se advirtió que se trata del ejercicio del derecho de Acceso a Datos Personales por lo que, el </w:t>
      </w:r>
      <w:r w:rsidRPr="002006D1">
        <w:rPr>
          <w:rFonts w:ascii="Palatino Linotype" w:eastAsia="Palatino Linotype" w:hAnsi="Palatino Linotype" w:cs="Palatino Linotype"/>
          <w:b/>
        </w:rPr>
        <w:t xml:space="preserve">ocho de septiembre de dos mil veintitrés, </w:t>
      </w:r>
      <w:r w:rsidRPr="002006D1">
        <w:rPr>
          <w:rFonts w:ascii="Palatino Linotype" w:eastAsia="Palatino Linotype" w:hAnsi="Palatino Linotype" w:cs="Palatino Linotype"/>
        </w:rPr>
        <w:t xml:space="preserve">la Comisionada Ponente determinó que para la sustanciación del recurso de revisión de mérito se observaría el procedimiento dispuesto para tal efecto en la Ley de Protección de Datos Personales en Posesión de Sujeto Obligados del Estado de México y Municipios y en aplicación </w:t>
      </w:r>
      <w:r w:rsidRPr="002006D1">
        <w:rPr>
          <w:rFonts w:ascii="Palatino Linotype" w:eastAsia="Palatino Linotype" w:hAnsi="Palatino Linotype" w:cs="Palatino Linotype"/>
        </w:rPr>
        <w:lastRenderedPageBreak/>
        <w:t xml:space="preserve">supletoria la Ley de Transparencia y Acceso a la Información Pública del Estado de México y Municipios, motivo por el cual acordó, requerir a las partes para que un plazo no mayor a siete días hábiles manifestaran su voluntad para conciliar. </w:t>
      </w:r>
    </w:p>
    <w:p w:rsidR="003E498B" w:rsidRPr="002006D1" w:rsidRDefault="003E498B">
      <w:pPr>
        <w:tabs>
          <w:tab w:val="left" w:pos="4667"/>
        </w:tabs>
        <w:spacing w:line="360" w:lineRule="auto"/>
        <w:jc w:val="both"/>
        <w:rPr>
          <w:rFonts w:ascii="Palatino Linotype" w:eastAsia="Palatino Linotype" w:hAnsi="Palatino Linotype" w:cs="Palatino Linotype"/>
        </w:rPr>
      </w:pPr>
    </w:p>
    <w:p w:rsidR="003E498B" w:rsidRPr="002006D1" w:rsidRDefault="00FF54DF">
      <w:pPr>
        <w:tabs>
          <w:tab w:val="left" w:pos="4667"/>
        </w:tabs>
        <w:spacing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b/>
        </w:rPr>
        <w:t>8. Manifestaciones para conciliar.</w:t>
      </w:r>
      <w:r w:rsidRPr="002006D1">
        <w:t xml:space="preserve"> </w:t>
      </w:r>
      <w:r w:rsidRPr="002006D1">
        <w:rPr>
          <w:rFonts w:ascii="Palatino Linotype" w:eastAsia="Palatino Linotype" w:hAnsi="Palatino Linotype" w:cs="Palatino Linotype"/>
        </w:rPr>
        <w:t xml:space="preserve">De las constancias que integran el expediente en que se actúa se advierte que la </w:t>
      </w:r>
      <w:r w:rsidRPr="002006D1">
        <w:rPr>
          <w:rFonts w:ascii="Palatino Linotype" w:eastAsia="Palatino Linotype" w:hAnsi="Palatino Linotype" w:cs="Palatino Linotype"/>
          <w:b/>
        </w:rPr>
        <w:t xml:space="preserve">RECURRENTE </w:t>
      </w:r>
      <w:r w:rsidRPr="002006D1">
        <w:rPr>
          <w:rFonts w:ascii="Palatino Linotype" w:eastAsia="Palatino Linotype" w:hAnsi="Palatino Linotype" w:cs="Palatino Linotype"/>
        </w:rPr>
        <w:t xml:space="preserve">omitió manifestar su voluntad para conciliar en el presente asunto; por su parte el </w:t>
      </w:r>
      <w:r w:rsidRPr="002006D1">
        <w:rPr>
          <w:rFonts w:ascii="Palatino Linotype" w:eastAsia="Palatino Linotype" w:hAnsi="Palatino Linotype" w:cs="Palatino Linotype"/>
          <w:b/>
        </w:rPr>
        <w:t xml:space="preserve">Sujeto Obligado </w:t>
      </w:r>
      <w:r w:rsidRPr="002006D1">
        <w:rPr>
          <w:rFonts w:ascii="Palatino Linotype" w:eastAsia="Palatino Linotype" w:hAnsi="Palatino Linotype" w:cs="Palatino Linotype"/>
        </w:rPr>
        <w:t>en fecha diecinueve de septiembre de dos mil veintitrés remitió el archivo electrónico “</w:t>
      </w:r>
      <w:r w:rsidRPr="002006D1">
        <w:rPr>
          <w:rFonts w:ascii="Palatino Linotype" w:eastAsia="Palatino Linotype" w:hAnsi="Palatino Linotype" w:cs="Palatino Linotype"/>
          <w:b/>
          <w:i/>
        </w:rPr>
        <w:t>474-2023_0001.pdf”</w:t>
      </w:r>
      <w:r w:rsidRPr="002006D1">
        <w:rPr>
          <w:rFonts w:ascii="Palatino Linotype" w:eastAsia="Palatino Linotype" w:hAnsi="Palatino Linotype" w:cs="Palatino Linotype"/>
        </w:rPr>
        <w:t xml:space="preserve">, cuyo contenido se trata del oficio 222C0101040202L/474/2023, suscrito y signado por el Titular de la Unidad de Transparencia por medio del cual, en términos generales remitió el pronunciamiento de la Dirección de Control y Supervisión de Oficinas Registrales, quien manifestó que no está en aras de conciliar, ratificando el contenido de los informes rendidos por el Sujeto Obligado. </w:t>
      </w:r>
    </w:p>
    <w:p w:rsidR="003E498B" w:rsidRPr="002006D1" w:rsidRDefault="003E498B">
      <w:pPr>
        <w:tabs>
          <w:tab w:val="left" w:pos="4667"/>
        </w:tabs>
        <w:spacing w:line="360" w:lineRule="auto"/>
        <w:jc w:val="both"/>
        <w:rPr>
          <w:rFonts w:ascii="Palatino Linotype" w:eastAsia="Palatino Linotype" w:hAnsi="Palatino Linotype" w:cs="Palatino Linotype"/>
          <w:i/>
        </w:rPr>
      </w:pPr>
    </w:p>
    <w:p w:rsidR="003E498B" w:rsidRPr="002006D1" w:rsidRDefault="00FF54DF">
      <w:pPr>
        <w:tabs>
          <w:tab w:val="left" w:pos="4667"/>
        </w:tabs>
        <w:spacing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 xml:space="preserve">Documento que fue notificado a la parte </w:t>
      </w:r>
      <w:r w:rsidRPr="002006D1">
        <w:rPr>
          <w:rFonts w:ascii="Palatino Linotype" w:eastAsia="Palatino Linotype" w:hAnsi="Palatino Linotype" w:cs="Palatino Linotype"/>
          <w:b/>
        </w:rPr>
        <w:t xml:space="preserve">Recurrente </w:t>
      </w:r>
      <w:r w:rsidRPr="002006D1">
        <w:rPr>
          <w:rFonts w:ascii="Palatino Linotype" w:eastAsia="Palatino Linotype" w:hAnsi="Palatino Linotype" w:cs="Palatino Linotype"/>
        </w:rPr>
        <w:t xml:space="preserve">para su conocimiento quien no se pronunció al respecto, cesando su derecho a ejercer dicha prerrogativa; asimismo, no manifestó su voluntad de conciliar el presente asunto. </w:t>
      </w:r>
    </w:p>
    <w:p w:rsidR="003E498B" w:rsidRPr="002006D1" w:rsidRDefault="003E498B">
      <w:pPr>
        <w:tabs>
          <w:tab w:val="left" w:pos="4667"/>
        </w:tabs>
        <w:spacing w:line="360" w:lineRule="auto"/>
        <w:jc w:val="both"/>
        <w:rPr>
          <w:rFonts w:ascii="Palatino Linotype" w:eastAsia="Palatino Linotype" w:hAnsi="Palatino Linotype" w:cs="Palatino Linotype"/>
          <w:i/>
        </w:rPr>
      </w:pPr>
    </w:p>
    <w:p w:rsidR="003E498B" w:rsidRPr="002006D1" w:rsidRDefault="00FF54DF">
      <w:pPr>
        <w:spacing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b/>
        </w:rPr>
        <w:t xml:space="preserve">9. Acuerdo de prevención. </w:t>
      </w:r>
      <w:r w:rsidRPr="002006D1">
        <w:rPr>
          <w:rFonts w:ascii="Palatino Linotype" w:eastAsia="Palatino Linotype" w:hAnsi="Palatino Linotype" w:cs="Palatino Linotype"/>
        </w:rPr>
        <w:t xml:space="preserve">El ocho de septiembre de dos mil veintidós, la Comisionada Ponente emitió el acuerdo en el que previno a la parte </w:t>
      </w:r>
      <w:r w:rsidRPr="002006D1">
        <w:rPr>
          <w:rFonts w:ascii="Palatino Linotype" w:eastAsia="Palatino Linotype" w:hAnsi="Palatino Linotype" w:cs="Palatino Linotype"/>
          <w:b/>
        </w:rPr>
        <w:t xml:space="preserve">Recurrente </w:t>
      </w:r>
      <w:r w:rsidRPr="002006D1">
        <w:rPr>
          <w:rFonts w:ascii="Palatino Linotype" w:eastAsia="Palatino Linotype" w:hAnsi="Palatino Linotype" w:cs="Palatino Linotype"/>
        </w:rPr>
        <w:t xml:space="preserve">para que en un término de cinco días hábiles contados a partir del día siguiente a la notificación se  subsanara la omisión de acreditar su identidad; no obstante, trascurrido el plazo establecido, la parte </w:t>
      </w:r>
      <w:r w:rsidRPr="002006D1">
        <w:rPr>
          <w:rFonts w:ascii="Palatino Linotype" w:eastAsia="Palatino Linotype" w:hAnsi="Palatino Linotype" w:cs="Palatino Linotype"/>
          <w:b/>
        </w:rPr>
        <w:t xml:space="preserve">Recurrente </w:t>
      </w:r>
      <w:r w:rsidRPr="002006D1">
        <w:rPr>
          <w:rFonts w:ascii="Palatino Linotype" w:eastAsia="Palatino Linotype" w:hAnsi="Palatino Linotype" w:cs="Palatino Linotype"/>
        </w:rPr>
        <w:t xml:space="preserve">no atendió la prevención realizada por este Organismo Garante. </w:t>
      </w:r>
    </w:p>
    <w:p w:rsidR="003E498B" w:rsidRPr="002006D1" w:rsidRDefault="00FF54DF">
      <w:pPr>
        <w:spacing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b/>
        </w:rPr>
        <w:lastRenderedPageBreak/>
        <w:t>10. Ampliación del plazo para emitir resolución</w:t>
      </w:r>
      <w:r w:rsidRPr="002006D1">
        <w:rPr>
          <w:rFonts w:ascii="Palatino Linotype" w:eastAsia="Palatino Linotype" w:hAnsi="Palatino Linotype" w:cs="Palatino Linotype"/>
        </w:rPr>
        <w:t>. El veintiséis de septiembre de dos mil veintidós, este Instituto con fundamento en el artículo 133 de la Ley de Protección de Datos Personales en Posesión de Sujetos Obligados del Estado de México y Municipios, determinó mediante el acuerdo respectivo, ampliar el plazo para emitir la presente resolución.</w:t>
      </w:r>
    </w:p>
    <w:p w:rsidR="003E498B" w:rsidRPr="002006D1" w:rsidRDefault="00FF54DF">
      <w:pPr>
        <w:spacing w:before="240" w:after="240"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3E498B" w:rsidRPr="002006D1" w:rsidRDefault="00FF54DF">
      <w:pPr>
        <w:spacing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3E498B" w:rsidRPr="002006D1" w:rsidRDefault="003E498B">
      <w:pPr>
        <w:spacing w:line="360" w:lineRule="auto"/>
        <w:jc w:val="both"/>
        <w:rPr>
          <w:rFonts w:ascii="Palatino Linotype" w:eastAsia="Palatino Linotype" w:hAnsi="Palatino Linotype" w:cs="Palatino Linotype"/>
        </w:rPr>
      </w:pPr>
    </w:p>
    <w:p w:rsidR="003E498B" w:rsidRPr="002006D1" w:rsidRDefault="00FF54DF">
      <w:pPr>
        <w:spacing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3E498B" w:rsidRPr="002006D1" w:rsidRDefault="003E498B">
      <w:pPr>
        <w:spacing w:line="360" w:lineRule="auto"/>
        <w:jc w:val="both"/>
        <w:rPr>
          <w:rFonts w:ascii="Palatino Linotype" w:eastAsia="Palatino Linotype" w:hAnsi="Palatino Linotype" w:cs="Palatino Linotype"/>
        </w:rPr>
      </w:pPr>
    </w:p>
    <w:p w:rsidR="003E498B" w:rsidRPr="002006D1" w:rsidRDefault="00FF54DF">
      <w:pPr>
        <w:spacing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3E498B" w:rsidRPr="002006D1" w:rsidRDefault="003E498B">
      <w:pPr>
        <w:spacing w:line="360" w:lineRule="auto"/>
        <w:jc w:val="both"/>
        <w:rPr>
          <w:rFonts w:ascii="Palatino Linotype" w:eastAsia="Palatino Linotype" w:hAnsi="Palatino Linotype" w:cs="Palatino Linotype"/>
        </w:rPr>
      </w:pPr>
    </w:p>
    <w:p w:rsidR="003E498B" w:rsidRPr="002006D1" w:rsidRDefault="00FF54DF">
      <w:pPr>
        <w:spacing w:line="360" w:lineRule="auto"/>
        <w:jc w:val="both"/>
        <w:rPr>
          <w:rFonts w:ascii="Palatino Linotype" w:eastAsia="Palatino Linotype" w:hAnsi="Palatino Linotype" w:cs="Palatino Linotype"/>
          <w:strike/>
          <w:color w:val="FF0000"/>
        </w:rPr>
      </w:pPr>
      <w:r w:rsidRPr="002006D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w:t>
      </w:r>
      <w:proofErr w:type="gramStart"/>
      <w:r w:rsidRPr="002006D1">
        <w:rPr>
          <w:rFonts w:ascii="Palatino Linotype" w:eastAsia="Palatino Linotype" w:hAnsi="Palatino Linotype" w:cs="Palatino Linotype"/>
        </w:rPr>
        <w:t>su resolución atentos</w:t>
      </w:r>
      <w:proofErr w:type="gramEnd"/>
      <w:r w:rsidRPr="002006D1">
        <w:rPr>
          <w:rFonts w:ascii="Palatino Linotype" w:eastAsia="Palatino Linotype" w:hAnsi="Palatino Linotype" w:cs="Palatino Linotype"/>
        </w:rPr>
        <w:t xml:space="preserve"> a los siguientes criterios: </w:t>
      </w:r>
    </w:p>
    <w:p w:rsidR="003E498B" w:rsidRPr="002006D1" w:rsidRDefault="003E498B">
      <w:pPr>
        <w:spacing w:line="360" w:lineRule="auto"/>
        <w:jc w:val="both"/>
        <w:rPr>
          <w:rFonts w:ascii="Palatino Linotype" w:eastAsia="Palatino Linotype" w:hAnsi="Palatino Linotype" w:cs="Palatino Linotype"/>
        </w:rPr>
      </w:pPr>
    </w:p>
    <w:p w:rsidR="003E498B" w:rsidRPr="002006D1" w:rsidRDefault="00FF54DF">
      <w:pPr>
        <w:numPr>
          <w:ilvl w:val="0"/>
          <w:numId w:val="2"/>
        </w:numPr>
        <w:spacing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3E498B" w:rsidRPr="002006D1" w:rsidRDefault="003E498B">
      <w:pPr>
        <w:spacing w:line="360" w:lineRule="auto"/>
        <w:ind w:left="927"/>
        <w:jc w:val="both"/>
        <w:rPr>
          <w:rFonts w:ascii="Palatino Linotype" w:eastAsia="Palatino Linotype" w:hAnsi="Palatino Linotype" w:cs="Palatino Linotype"/>
        </w:rPr>
      </w:pPr>
    </w:p>
    <w:p w:rsidR="003E498B" w:rsidRPr="002006D1" w:rsidRDefault="00FF54DF">
      <w:pPr>
        <w:numPr>
          <w:ilvl w:val="0"/>
          <w:numId w:val="2"/>
        </w:numPr>
        <w:spacing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Actividad Procesal del interesado. Acciones u omisiones del interesado.</w:t>
      </w:r>
    </w:p>
    <w:p w:rsidR="003E498B" w:rsidRPr="002006D1" w:rsidRDefault="003E498B">
      <w:pPr>
        <w:spacing w:line="360" w:lineRule="auto"/>
        <w:jc w:val="both"/>
        <w:rPr>
          <w:rFonts w:ascii="Palatino Linotype" w:eastAsia="Palatino Linotype" w:hAnsi="Palatino Linotype" w:cs="Palatino Linotype"/>
        </w:rPr>
      </w:pPr>
    </w:p>
    <w:p w:rsidR="003E498B" w:rsidRPr="002006D1" w:rsidRDefault="00FF54DF">
      <w:pPr>
        <w:numPr>
          <w:ilvl w:val="0"/>
          <w:numId w:val="2"/>
        </w:numPr>
        <w:spacing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Conducta de la Autoridad: Las Acciones u omisiones realizadas en el procedimiento. Así como si la autoridad actuó con la debida diligencia.</w:t>
      </w:r>
    </w:p>
    <w:p w:rsidR="003E498B" w:rsidRPr="002006D1" w:rsidRDefault="003E498B">
      <w:pPr>
        <w:spacing w:line="360" w:lineRule="auto"/>
        <w:ind w:left="708"/>
        <w:rPr>
          <w:rFonts w:ascii="Palatino Linotype" w:eastAsia="Palatino Linotype" w:hAnsi="Palatino Linotype" w:cs="Palatino Linotype"/>
        </w:rPr>
      </w:pPr>
    </w:p>
    <w:p w:rsidR="003E498B" w:rsidRPr="002006D1" w:rsidRDefault="00FF54DF">
      <w:pPr>
        <w:spacing w:line="360" w:lineRule="auto"/>
        <w:ind w:left="567"/>
        <w:jc w:val="both"/>
        <w:rPr>
          <w:rFonts w:ascii="Palatino Linotype" w:eastAsia="Palatino Linotype" w:hAnsi="Palatino Linotype" w:cs="Palatino Linotype"/>
        </w:rPr>
      </w:pPr>
      <w:r w:rsidRPr="002006D1">
        <w:rPr>
          <w:rFonts w:ascii="Palatino Linotype" w:eastAsia="Palatino Linotype" w:hAnsi="Palatino Linotype" w:cs="Palatino Linotype"/>
        </w:rPr>
        <w:t>d) La afectación generada en la situación jurídica de la persona involucrada en el proceso: Violación a sus derechos humanos.</w:t>
      </w:r>
    </w:p>
    <w:p w:rsidR="003E498B" w:rsidRPr="002006D1" w:rsidRDefault="003E498B">
      <w:pPr>
        <w:spacing w:line="360" w:lineRule="auto"/>
        <w:jc w:val="both"/>
        <w:rPr>
          <w:rFonts w:ascii="Palatino Linotype" w:eastAsia="Palatino Linotype" w:hAnsi="Palatino Linotype" w:cs="Palatino Linotype"/>
        </w:rPr>
      </w:pPr>
    </w:p>
    <w:p w:rsidR="003E498B" w:rsidRPr="002006D1" w:rsidRDefault="00FF54DF">
      <w:pPr>
        <w:spacing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w:t>
      </w:r>
      <w:r w:rsidRPr="002006D1">
        <w:rPr>
          <w:rFonts w:ascii="Palatino Linotype" w:eastAsia="Palatino Linotype" w:hAnsi="Palatino Linotype" w:cs="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rsidR="003E498B" w:rsidRPr="002006D1" w:rsidRDefault="003E498B">
      <w:pPr>
        <w:spacing w:line="360" w:lineRule="auto"/>
        <w:jc w:val="both"/>
        <w:rPr>
          <w:rFonts w:ascii="Palatino Linotype" w:eastAsia="Palatino Linotype" w:hAnsi="Palatino Linotype" w:cs="Palatino Linotype"/>
        </w:rPr>
      </w:pPr>
    </w:p>
    <w:p w:rsidR="003E498B" w:rsidRPr="002006D1" w:rsidRDefault="00FF54DF">
      <w:pPr>
        <w:spacing w:line="360" w:lineRule="auto"/>
        <w:jc w:val="both"/>
        <w:rPr>
          <w:rFonts w:ascii="Palatino Linotype" w:eastAsia="Palatino Linotype" w:hAnsi="Palatino Linotype" w:cs="Palatino Linotype"/>
          <w:b/>
        </w:rPr>
      </w:pPr>
      <w:r w:rsidRPr="002006D1">
        <w:rPr>
          <w:rFonts w:ascii="Palatino Linotype" w:eastAsia="Palatino Linotype" w:hAnsi="Palatino Linotype" w:cs="Palatino Linotype"/>
        </w:rPr>
        <w:t>Argumento que encuentra sustento en la jurisprudencia P</w:t>
      </w:r>
      <w:proofErr w:type="gramStart"/>
      <w:r w:rsidRPr="002006D1">
        <w:rPr>
          <w:rFonts w:ascii="Palatino Linotype" w:eastAsia="Palatino Linotype" w:hAnsi="Palatino Linotype" w:cs="Palatino Linotype"/>
        </w:rPr>
        <w:t>./</w:t>
      </w:r>
      <w:proofErr w:type="gramEnd"/>
      <w:r w:rsidRPr="002006D1">
        <w:rPr>
          <w:rFonts w:ascii="Palatino Linotype" w:eastAsia="Palatino Linotype" w:hAnsi="Palatino Linotype" w:cs="Palatino Linotype"/>
        </w:rPr>
        <w:t xml:space="preserve">J. 32/92 emitida por el Pleno de la Suprema Corte de Justicia de la Nación de rubro </w:t>
      </w:r>
      <w:r w:rsidRPr="002006D1">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2006D1">
        <w:rPr>
          <w:rFonts w:ascii="Palatino Linotype" w:eastAsia="Palatino Linotype" w:hAnsi="Palatino Linotype" w:cs="Palatino Linotype"/>
        </w:rPr>
        <w:t>, visible en la Gaceta del Seminario Judicial de la Federación con el registro digital 205635.</w:t>
      </w:r>
    </w:p>
    <w:p w:rsidR="003E498B" w:rsidRPr="002006D1" w:rsidRDefault="003E498B">
      <w:pPr>
        <w:spacing w:line="360" w:lineRule="auto"/>
        <w:jc w:val="both"/>
        <w:rPr>
          <w:rFonts w:ascii="Palatino Linotype" w:eastAsia="Palatino Linotype" w:hAnsi="Palatino Linotype" w:cs="Palatino Linotype"/>
        </w:rPr>
      </w:pPr>
    </w:p>
    <w:p w:rsidR="003E498B" w:rsidRPr="002006D1" w:rsidRDefault="00FF54DF">
      <w:pPr>
        <w:spacing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3E498B" w:rsidRPr="002006D1" w:rsidRDefault="003E498B">
      <w:pPr>
        <w:spacing w:line="360" w:lineRule="auto"/>
        <w:jc w:val="both"/>
        <w:rPr>
          <w:rFonts w:ascii="Palatino Linotype" w:eastAsia="Palatino Linotype" w:hAnsi="Palatino Linotype" w:cs="Palatino Linotype"/>
        </w:rPr>
      </w:pPr>
    </w:p>
    <w:p w:rsidR="003E498B" w:rsidRPr="002006D1" w:rsidRDefault="00FF54DF">
      <w:pPr>
        <w:spacing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rsidR="003E498B" w:rsidRPr="002006D1" w:rsidRDefault="003E498B">
      <w:pPr>
        <w:spacing w:line="360" w:lineRule="auto"/>
        <w:jc w:val="both"/>
        <w:rPr>
          <w:rFonts w:ascii="Palatino Linotype" w:eastAsia="Palatino Linotype" w:hAnsi="Palatino Linotype" w:cs="Palatino Linotype"/>
        </w:rPr>
      </w:pPr>
    </w:p>
    <w:p w:rsidR="003E498B" w:rsidRPr="002006D1" w:rsidRDefault="00FF54DF">
      <w:pPr>
        <w:spacing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 xml:space="preserve"> </w:t>
      </w:r>
      <w:r w:rsidRPr="002006D1">
        <w:rPr>
          <w:rFonts w:ascii="Palatino Linotype" w:eastAsia="Palatino Linotype" w:hAnsi="Palatino Linotype" w:cs="Palatino Linotype"/>
          <w:i/>
        </w:rPr>
        <w:t>“PLAZO RAZONABLE PARA RESOLVER. DIMENSIÓN Y EFECTOS DE ESTE CONCEPTO CUANDO SE ADUCE EXCESIVA CARGA DE TRABAJO.”</w:t>
      </w:r>
      <w:r w:rsidRPr="002006D1">
        <w:rPr>
          <w:rFonts w:ascii="Palatino Linotype" w:eastAsia="Palatino Linotype" w:hAnsi="Palatino Linotype" w:cs="Palatino Linotype"/>
        </w:rPr>
        <w:t xml:space="preserve"> consultable en el Seminario Judicial de la Federación y su gaceta, con el registro digital 2002351.</w:t>
      </w:r>
    </w:p>
    <w:p w:rsidR="003E498B" w:rsidRPr="002006D1" w:rsidRDefault="003E498B">
      <w:pPr>
        <w:spacing w:line="360" w:lineRule="auto"/>
        <w:jc w:val="both"/>
        <w:rPr>
          <w:rFonts w:ascii="Palatino Linotype" w:eastAsia="Palatino Linotype" w:hAnsi="Palatino Linotype" w:cs="Palatino Linotype"/>
          <w:b/>
        </w:rPr>
      </w:pPr>
    </w:p>
    <w:p w:rsidR="003E498B" w:rsidRPr="002006D1" w:rsidRDefault="00FF54DF">
      <w:pPr>
        <w:spacing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i/>
        </w:rPr>
        <w:t>“PLAZO RAZONABLE PARA RESOLVER. CONCEPTO Y ELEMENTOS QUE LO INTEGRAN A LA LUZ DEL DERECHO INTERNACIONAL DE LOS DERECHOS HUMANOS.”</w:t>
      </w:r>
      <w:r w:rsidRPr="002006D1">
        <w:rPr>
          <w:rFonts w:ascii="Palatino Linotype" w:eastAsia="Palatino Linotype" w:hAnsi="Palatino Linotype" w:cs="Palatino Linotype"/>
        </w:rPr>
        <w:t>, visible en el Seminario Judicial de la Federación y su gaceta, con el registro digital 2002350.</w:t>
      </w:r>
    </w:p>
    <w:p w:rsidR="003E498B" w:rsidRPr="002006D1" w:rsidRDefault="003E498B">
      <w:pPr>
        <w:spacing w:line="360" w:lineRule="auto"/>
        <w:jc w:val="both"/>
        <w:rPr>
          <w:rFonts w:ascii="Palatino Linotype" w:eastAsia="Palatino Linotype" w:hAnsi="Palatino Linotype" w:cs="Palatino Linotype"/>
        </w:rPr>
      </w:pPr>
    </w:p>
    <w:p w:rsidR="003E498B" w:rsidRPr="002006D1" w:rsidRDefault="00FF54DF">
      <w:pPr>
        <w:spacing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3E498B" w:rsidRPr="002006D1" w:rsidRDefault="003E498B"/>
    <w:p w:rsidR="003E498B" w:rsidRPr="002006D1" w:rsidRDefault="00FF54DF">
      <w:pPr>
        <w:widowControl w:val="0"/>
        <w:spacing w:before="240"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b/>
        </w:rPr>
        <w:t>10.</w:t>
      </w:r>
      <w:r w:rsidRPr="002006D1">
        <w:rPr>
          <w:rFonts w:ascii="Palatino Linotype" w:eastAsia="Palatino Linotype" w:hAnsi="Palatino Linotype" w:cs="Palatino Linotype"/>
        </w:rPr>
        <w:t xml:space="preserve"> </w:t>
      </w:r>
      <w:r w:rsidRPr="002006D1">
        <w:rPr>
          <w:rFonts w:ascii="Palatino Linotype" w:eastAsia="Palatino Linotype" w:hAnsi="Palatino Linotype" w:cs="Palatino Linotype"/>
          <w:b/>
        </w:rPr>
        <w:t>Cierre de Instrucción</w:t>
      </w:r>
      <w:r w:rsidRPr="002006D1">
        <w:rPr>
          <w:rFonts w:ascii="Palatino Linotype" w:eastAsia="Palatino Linotype" w:hAnsi="Palatino Linotype" w:cs="Palatino Linotype"/>
          <w:b/>
          <w:sz w:val="28"/>
          <w:szCs w:val="28"/>
        </w:rPr>
        <w:t xml:space="preserve">. </w:t>
      </w:r>
      <w:r w:rsidRPr="002006D1">
        <w:rPr>
          <w:rFonts w:ascii="Palatino Linotype" w:eastAsia="Palatino Linotype" w:hAnsi="Palatino Linotype" w:cs="Palatino Linotype"/>
        </w:rPr>
        <w:t>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de aplicación supletoria, en relación con el artículo 127 de la Ley de Protección de Datos Personales en Posesión de Sujetos Obligados del Estad</w:t>
      </w:r>
      <w:r w:rsidR="00C74447" w:rsidRPr="002006D1">
        <w:rPr>
          <w:rFonts w:ascii="Palatino Linotype" w:eastAsia="Palatino Linotype" w:hAnsi="Palatino Linotype" w:cs="Palatino Linotype"/>
        </w:rPr>
        <w:t>o de México y Municipios, el tres</w:t>
      </w:r>
      <w:r w:rsidRPr="002006D1">
        <w:rPr>
          <w:rFonts w:ascii="Palatino Linotype" w:eastAsia="Palatino Linotype" w:hAnsi="Palatino Linotype" w:cs="Palatino Linotype"/>
        </w:rPr>
        <w:t xml:space="preserve"> de octubre del dos mil veintitrés se procedió a decretar el cierre </w:t>
      </w:r>
      <w:r w:rsidRPr="002006D1">
        <w:rPr>
          <w:rFonts w:ascii="Palatino Linotype" w:eastAsia="Palatino Linotype" w:hAnsi="Palatino Linotype" w:cs="Palatino Linotype"/>
        </w:rPr>
        <w:lastRenderedPageBreak/>
        <w:t xml:space="preserve">de instrucción respectivo. </w:t>
      </w:r>
    </w:p>
    <w:p w:rsidR="003E498B" w:rsidRPr="002006D1" w:rsidRDefault="003E498B">
      <w:pPr>
        <w:widowControl w:val="0"/>
        <w:spacing w:line="360" w:lineRule="auto"/>
        <w:jc w:val="both"/>
        <w:rPr>
          <w:rFonts w:ascii="Palatino Linotype" w:eastAsia="Palatino Linotype" w:hAnsi="Palatino Linotype" w:cs="Palatino Linotype"/>
        </w:rPr>
      </w:pPr>
    </w:p>
    <w:p w:rsidR="003E498B" w:rsidRPr="002006D1" w:rsidRDefault="00FF54DF">
      <w:pPr>
        <w:spacing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En razón de que fue debidamente substanciado el expediente y no existiendo diligencia pendiente de desahogo, se ordenó emitir la resolución que conforme a derecho proceda, de acuerdo a los siguientes:</w:t>
      </w:r>
    </w:p>
    <w:p w:rsidR="003E498B" w:rsidRPr="002006D1" w:rsidRDefault="003E498B">
      <w:pPr>
        <w:spacing w:line="360" w:lineRule="auto"/>
        <w:jc w:val="both"/>
        <w:rPr>
          <w:rFonts w:ascii="Palatino Linotype" w:eastAsia="Palatino Linotype" w:hAnsi="Palatino Linotype" w:cs="Palatino Linotype"/>
        </w:rPr>
      </w:pPr>
    </w:p>
    <w:p w:rsidR="003E498B" w:rsidRPr="002006D1" w:rsidRDefault="00FF54DF">
      <w:pPr>
        <w:pStyle w:val="Ttulo2"/>
        <w:jc w:val="center"/>
        <w:rPr>
          <w:rFonts w:ascii="Palatino Linotype" w:eastAsia="Palatino Linotype" w:hAnsi="Palatino Linotype" w:cs="Palatino Linotype"/>
          <w:b/>
          <w:color w:val="000000"/>
          <w:sz w:val="24"/>
          <w:szCs w:val="24"/>
        </w:rPr>
      </w:pPr>
      <w:r w:rsidRPr="002006D1">
        <w:rPr>
          <w:rFonts w:ascii="Palatino Linotype" w:eastAsia="Palatino Linotype" w:hAnsi="Palatino Linotype" w:cs="Palatino Linotype"/>
          <w:b/>
          <w:color w:val="000000"/>
          <w:sz w:val="24"/>
          <w:szCs w:val="24"/>
        </w:rPr>
        <w:t>II. C O N S I D E R A N D O S:</w:t>
      </w:r>
    </w:p>
    <w:p w:rsidR="003E498B" w:rsidRPr="002006D1" w:rsidRDefault="003E498B"/>
    <w:p w:rsidR="003E498B" w:rsidRPr="002006D1" w:rsidRDefault="00FF54DF">
      <w:pPr>
        <w:spacing w:line="360" w:lineRule="auto"/>
        <w:jc w:val="both"/>
      </w:pPr>
      <w:r w:rsidRPr="002006D1">
        <w:rPr>
          <w:rFonts w:ascii="Palatino Linotype" w:eastAsia="Palatino Linotype" w:hAnsi="Palatino Linotype" w:cs="Palatino Linotype"/>
          <w:b/>
        </w:rPr>
        <w:t xml:space="preserve">PRIMERO. Competencia. </w:t>
      </w:r>
      <w:r w:rsidRPr="002006D1">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w:t>
      </w:r>
      <w:r w:rsidRPr="002006D1">
        <w:rPr>
          <w:rFonts w:ascii="Palatino Linotype" w:eastAsia="Palatino Linotype" w:hAnsi="Palatino Linotype" w:cs="Palatino Linotype"/>
          <w:b/>
        </w:rPr>
        <w:t>Recurrente</w:t>
      </w:r>
      <w:r w:rsidRPr="002006D1">
        <w:rPr>
          <w:rFonts w:ascii="Palatino Linotype" w:eastAsia="Palatino Linotype" w:hAnsi="Palatino Linotype" w:cs="Palatino Linotype"/>
        </w:rPr>
        <w:t>, conforme a lo dispuesto por los artículos 6°, apartado A, de la Constitución Política de los Estados Unidos Mexicanos; 5°, párrafos trigésimo segundo, trigésimo tercero y trigésimo cuarto fracciones I, II, III, IV y V, de la Constitución Política del Estado Libre y Soberano de México; 1°, 3°, fracción XXIV, fracción I, 103 y 111, de la Ley General de Protección de Datos Personales en Posesión de Sujetos Obligados,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así como en lo dispuesto por los artículos 9°, fracciones I y XXIII y 11, del Reglamento Interior del Instituto de Transparencia, Acceso a la Información Pública y Protección de Datos Personales del Estado de México y Municipios</w:t>
      </w:r>
      <w:r w:rsidRPr="002006D1">
        <w:t>.</w:t>
      </w:r>
    </w:p>
    <w:p w:rsidR="003E498B" w:rsidRPr="002006D1" w:rsidRDefault="003E498B">
      <w:pPr>
        <w:spacing w:line="360" w:lineRule="auto"/>
        <w:jc w:val="both"/>
      </w:pPr>
    </w:p>
    <w:p w:rsidR="003E498B" w:rsidRPr="002006D1" w:rsidRDefault="00FF54DF">
      <w:pPr>
        <w:widowControl w:val="0"/>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sidRPr="002006D1">
        <w:rPr>
          <w:rFonts w:ascii="Palatino Linotype" w:eastAsia="Palatino Linotype" w:hAnsi="Palatino Linotype" w:cs="Palatino Linotype"/>
          <w:b/>
        </w:rPr>
        <w:t>SEGUNDO</w:t>
      </w:r>
      <w:r w:rsidRPr="002006D1">
        <w:rPr>
          <w:rFonts w:ascii="Palatino Linotype" w:eastAsia="Palatino Linotype" w:hAnsi="Palatino Linotype" w:cs="Palatino Linotype"/>
        </w:rPr>
        <w:t xml:space="preserve">. </w:t>
      </w:r>
      <w:r w:rsidRPr="002006D1">
        <w:rPr>
          <w:rFonts w:ascii="Palatino Linotype" w:eastAsia="Palatino Linotype" w:hAnsi="Palatino Linotype" w:cs="Palatino Linotype"/>
          <w:b/>
        </w:rPr>
        <w:t xml:space="preserve">Oportunidad y </w:t>
      </w:r>
      <w:proofErr w:type="spellStart"/>
      <w:r w:rsidRPr="002006D1">
        <w:rPr>
          <w:rFonts w:ascii="Palatino Linotype" w:eastAsia="Palatino Linotype" w:hAnsi="Palatino Linotype" w:cs="Palatino Linotype"/>
          <w:b/>
        </w:rPr>
        <w:t>Procedibilidad</w:t>
      </w:r>
      <w:proofErr w:type="spellEnd"/>
      <w:r w:rsidRPr="002006D1">
        <w:rPr>
          <w:rFonts w:ascii="Palatino Linotype" w:eastAsia="Palatino Linotype" w:hAnsi="Palatino Linotype" w:cs="Palatino Linotype"/>
          <w:b/>
        </w:rPr>
        <w:t xml:space="preserve">. </w:t>
      </w:r>
      <w:r w:rsidRPr="002006D1">
        <w:rPr>
          <w:rFonts w:ascii="Palatino Linotype" w:eastAsia="Palatino Linotype" w:hAnsi="Palatino Linotype" w:cs="Palatino Linotype"/>
          <w:b/>
          <w:sz w:val="28"/>
          <w:szCs w:val="28"/>
        </w:rPr>
        <w:t xml:space="preserve"> </w:t>
      </w:r>
      <w:r w:rsidRPr="002006D1">
        <w:rPr>
          <w:rFonts w:ascii="Palatino Linotype" w:eastAsia="Palatino Linotype" w:hAnsi="Palatino Linotype" w:cs="Palatino Linotype"/>
          <w:color w:val="000000"/>
        </w:rPr>
        <w:t xml:space="preserve">El recurso de revisión fue interpuesto </w:t>
      </w:r>
      <w:r w:rsidRPr="002006D1">
        <w:rPr>
          <w:rFonts w:ascii="Palatino Linotype" w:eastAsia="Palatino Linotype" w:hAnsi="Palatino Linotype" w:cs="Palatino Linotype"/>
          <w:color w:val="000000"/>
        </w:rPr>
        <w:lastRenderedPageBreak/>
        <w:t>dentro del plazo de quince días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rsidR="003E498B" w:rsidRPr="002006D1" w:rsidRDefault="00FF54DF">
      <w:pPr>
        <w:spacing w:before="120" w:after="120" w:line="276" w:lineRule="auto"/>
        <w:ind w:left="851" w:right="902"/>
        <w:jc w:val="both"/>
        <w:rPr>
          <w:rFonts w:ascii="Palatino Linotype" w:eastAsia="Palatino Linotype" w:hAnsi="Palatino Linotype" w:cs="Palatino Linotype"/>
          <w:i/>
          <w:sz w:val="22"/>
          <w:szCs w:val="22"/>
        </w:rPr>
      </w:pPr>
      <w:r w:rsidRPr="002006D1">
        <w:rPr>
          <w:rFonts w:ascii="Palatino Linotype" w:eastAsia="Palatino Linotype" w:hAnsi="Palatino Linotype" w:cs="Palatino Linotype"/>
          <w:i/>
          <w:sz w:val="22"/>
          <w:szCs w:val="22"/>
        </w:rPr>
        <w:t>“</w:t>
      </w:r>
      <w:r w:rsidRPr="002006D1">
        <w:rPr>
          <w:rFonts w:ascii="Palatino Linotype" w:eastAsia="Palatino Linotype" w:hAnsi="Palatino Linotype" w:cs="Palatino Linotype"/>
          <w:b/>
          <w:i/>
          <w:sz w:val="22"/>
          <w:szCs w:val="22"/>
        </w:rPr>
        <w:t xml:space="preserve">Artículo 128. </w:t>
      </w:r>
      <w:r w:rsidRPr="002006D1">
        <w:rPr>
          <w:rFonts w:ascii="Palatino Linotype" w:eastAsia="Palatino Linotype" w:hAnsi="Palatino Linotype" w:cs="Palatino Linotype"/>
          <w:i/>
          <w:sz w:val="22"/>
          <w:szCs w:val="22"/>
        </w:rPr>
        <w:t xml:space="preserve">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rsidR="003E498B" w:rsidRPr="002006D1" w:rsidRDefault="00FF54DF">
      <w:pPr>
        <w:spacing w:before="120" w:after="120" w:line="276" w:lineRule="auto"/>
        <w:ind w:left="851" w:right="902"/>
        <w:jc w:val="both"/>
        <w:rPr>
          <w:rFonts w:ascii="Palatino Linotype" w:eastAsia="Palatino Linotype" w:hAnsi="Palatino Linotype" w:cs="Palatino Linotype"/>
          <w:i/>
          <w:sz w:val="22"/>
          <w:szCs w:val="22"/>
        </w:rPr>
      </w:pPr>
      <w:r w:rsidRPr="002006D1">
        <w:rPr>
          <w:rFonts w:ascii="Palatino Linotype" w:eastAsia="Palatino Linotype" w:hAnsi="Palatino Linotype" w:cs="Palatino Linotype"/>
          <w:i/>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 (Sic)</w:t>
      </w:r>
    </w:p>
    <w:p w:rsidR="003E498B" w:rsidRPr="002006D1" w:rsidRDefault="00FF54DF">
      <w:pPr>
        <w:widowControl w:val="0"/>
        <w:spacing w:before="240" w:after="240"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En esa tesitura, atendiendo a que el</w:t>
      </w:r>
      <w:r w:rsidRPr="002006D1">
        <w:rPr>
          <w:rFonts w:ascii="Palatino Linotype" w:eastAsia="Palatino Linotype" w:hAnsi="Palatino Linotype" w:cs="Palatino Linotype"/>
          <w:b/>
        </w:rPr>
        <w:t xml:space="preserve"> Sujeto Obligado</w:t>
      </w:r>
      <w:r w:rsidRPr="002006D1">
        <w:rPr>
          <w:rFonts w:ascii="Palatino Linotype" w:eastAsia="Palatino Linotype" w:hAnsi="Palatino Linotype" w:cs="Palatino Linotype"/>
        </w:rPr>
        <w:t xml:space="preserve"> notificó la respuesta a la solicitud de acceso a datos personales el </w:t>
      </w:r>
      <w:r w:rsidRPr="002006D1">
        <w:rPr>
          <w:rFonts w:ascii="Palatino Linotype" w:eastAsia="Palatino Linotype" w:hAnsi="Palatino Linotype" w:cs="Palatino Linotype"/>
          <w:b/>
        </w:rPr>
        <w:t>veinticinco de octubre de dos mil veintidós</w:t>
      </w:r>
      <w:r w:rsidRPr="002006D1">
        <w:rPr>
          <w:rFonts w:ascii="Palatino Linotype" w:eastAsia="Palatino Linotype" w:hAnsi="Palatino Linotype" w:cs="Palatino Linotype"/>
        </w:rPr>
        <w:t xml:space="preserve">; así, el plazo de quince días hábiles que el artículo 128 de la Ley de Protección de Datos Personales en Posesión de Sujetos Obligados del Estado de México y Municipios, transcurrió del </w:t>
      </w:r>
      <w:r w:rsidRPr="002006D1">
        <w:rPr>
          <w:rFonts w:ascii="Palatino Linotype" w:eastAsia="Palatino Linotype" w:hAnsi="Palatino Linotype" w:cs="Palatino Linotype"/>
          <w:b/>
        </w:rPr>
        <w:t>veintiséis de octubre al dieciséis de noviembre de dos mil veintidós</w:t>
      </w:r>
      <w:r w:rsidRPr="002006D1">
        <w:rPr>
          <w:rFonts w:ascii="Palatino Linotype" w:eastAsia="Palatino Linotype" w:hAnsi="Palatino Linotype" w:cs="Palatino Linotype"/>
        </w:rPr>
        <w:t>; en términos de los artículos 4 fracción XV de la Ley de Protección de Datos Personales en Posesión de Sujetos Obligados del Estado de México y Municipios y 3 fracción X de la Ley de Transparencia y Acceso a la Información Pública del Estado de México y Municipios, de aplicación supletoria.</w:t>
      </w:r>
    </w:p>
    <w:p w:rsidR="003E498B" w:rsidRPr="002006D1" w:rsidRDefault="00FF54DF">
      <w:pPr>
        <w:widowControl w:val="0"/>
        <w:spacing w:before="240" w:after="240"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 xml:space="preserve">Con base a esta cronología, si el recurso de revisión que nos ocupa se interpuso el </w:t>
      </w:r>
      <w:r w:rsidRPr="002006D1">
        <w:rPr>
          <w:rFonts w:ascii="Palatino Linotype" w:eastAsia="Palatino Linotype" w:hAnsi="Palatino Linotype" w:cs="Palatino Linotype"/>
          <w:b/>
        </w:rPr>
        <w:t>veintiséis de  octubre dos mil veintidós</w:t>
      </w:r>
      <w:r w:rsidRPr="002006D1">
        <w:rPr>
          <w:rFonts w:ascii="Palatino Linotype" w:eastAsia="Palatino Linotype" w:hAnsi="Palatino Linotype" w:cs="Palatino Linotype"/>
        </w:rPr>
        <w:t xml:space="preserve">; es decir, el primer día hábil siguiente al que tuvo conocimiento de la respuesta, por lo que  se encuentra dentro de los </w:t>
      </w:r>
      <w:r w:rsidRPr="002006D1">
        <w:rPr>
          <w:rFonts w:ascii="Palatino Linotype" w:eastAsia="Palatino Linotype" w:hAnsi="Palatino Linotype" w:cs="Palatino Linotype"/>
        </w:rPr>
        <w:lastRenderedPageBreak/>
        <w:t xml:space="preserve">márgenes temporales previstos en el artículo 128 de la Ley de Protección de Datos Personales en Posesión de Sujetos Obligados del Estado de México y Municipios y, por tanto, </w:t>
      </w:r>
      <w:r w:rsidRPr="002006D1">
        <w:rPr>
          <w:rFonts w:ascii="Palatino Linotype" w:eastAsia="Palatino Linotype" w:hAnsi="Palatino Linotype" w:cs="Palatino Linotype"/>
          <w:b/>
          <w:u w:val="single"/>
        </w:rPr>
        <w:t>su interposición se considera oportuna</w:t>
      </w:r>
      <w:r w:rsidRPr="002006D1">
        <w:rPr>
          <w:rFonts w:ascii="Palatino Linotype" w:eastAsia="Palatino Linotype" w:hAnsi="Palatino Linotype" w:cs="Palatino Linotype"/>
        </w:rPr>
        <w:t>.</w:t>
      </w:r>
    </w:p>
    <w:p w:rsidR="003E498B" w:rsidRPr="002006D1" w:rsidRDefault="003E498B">
      <w:pPr>
        <w:spacing w:line="360" w:lineRule="auto"/>
        <w:jc w:val="both"/>
        <w:rPr>
          <w:rFonts w:ascii="Palatino Linotype" w:eastAsia="Palatino Linotype" w:hAnsi="Palatino Linotype" w:cs="Palatino Linotype"/>
        </w:rPr>
      </w:pPr>
    </w:p>
    <w:p w:rsidR="003E498B" w:rsidRPr="002006D1" w:rsidRDefault="00FF54DF">
      <w:pPr>
        <w:spacing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b/>
        </w:rPr>
        <w:t xml:space="preserve">TERCERO. Análisis de las causales de improcedencia y sobreseimiento del recurso de revisión. </w:t>
      </w:r>
      <w:r w:rsidRPr="002006D1">
        <w:rPr>
          <w:rFonts w:ascii="Palatino Linotype" w:eastAsia="Palatino Linotype" w:hAnsi="Palatino Linotype" w:cs="Palatino Linotype"/>
        </w:rPr>
        <w:t xml:space="preserve">En primer término, es importante establecer la materia de la solicitud, para determinar si se trata de una solicitud de acceso a la información como fue ingresada, o bien, si es de acceso a datos personales, en virtud de que la </w:t>
      </w:r>
      <w:r w:rsidRPr="002006D1">
        <w:rPr>
          <w:rFonts w:ascii="Palatino Linotype" w:eastAsia="Palatino Linotype" w:hAnsi="Palatino Linotype" w:cs="Palatino Linotype"/>
          <w:b/>
        </w:rPr>
        <w:t>RECURRENTE</w:t>
      </w:r>
      <w:r w:rsidRPr="002006D1">
        <w:rPr>
          <w:rFonts w:ascii="Palatino Linotype" w:eastAsia="Palatino Linotype" w:hAnsi="Palatino Linotype" w:cs="Palatino Linotype"/>
        </w:rPr>
        <w:t xml:space="preserve"> al momento de formular su solicitud lo realizó vía el Sistema de Acceso a la Información Mexiquense.</w:t>
      </w:r>
    </w:p>
    <w:p w:rsidR="003E498B" w:rsidRPr="002006D1" w:rsidRDefault="00FF54DF">
      <w:pPr>
        <w:spacing w:before="240" w:after="240"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Es importante precisar que el derecho de acceso a la información pública tiene su sustento en los artículos 6, apartado A, fracción IV de la Constitución Política de los Estados Unidos Mexicanos; 5, párrafos trigésimo segundo, trigésimo tercero y trigésimo cuarto fracciones I, II, III, IV y V de la Constitución Política del Estado Libre y Soberano de México, con relación en los artículos 1, 2 y 4 de la Ley de Transparencia y Acceso a la Información Pública del Estado de México y Municipios.</w:t>
      </w:r>
    </w:p>
    <w:p w:rsidR="003E498B" w:rsidRPr="002006D1" w:rsidRDefault="00FF54DF">
      <w:pPr>
        <w:spacing w:before="240" w:after="240"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 xml:space="preserve">El cual, implica transparentar el ejercicio de la función pública, facilitar el acceso de los particulares a la información pública que los Sujetos Obligados generen, posean o administren en ejercicio de sus atribuciones, mediante procedimientos sencillos y expeditos, de manera oportuna y gratuita, privilegiando el principio de máxima publicidad de la información. </w:t>
      </w:r>
    </w:p>
    <w:p w:rsidR="003E498B" w:rsidRPr="002006D1" w:rsidRDefault="00FF54DF">
      <w:pPr>
        <w:spacing w:before="240" w:after="240"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lastRenderedPageBreak/>
        <w:t>Por ello, los Sujetos Obligados deben poner en práctica, políticas y programas de acceso a la información que se apeguen a principios de simplicidad, rapidez, y gratuidad del procedimiento, de auxilio y orientación a los particulares, así como la atención adecuada a las personas con discapacidad y a los hablantes de la lengua indígena, a través del procedimiento previsto en los artículos 150, 152, 153 y 155 de la Ley de Transparencia y Acceso a la Información Pública del Estado de México y Municipios.</w:t>
      </w:r>
    </w:p>
    <w:p w:rsidR="003E498B" w:rsidRPr="002006D1" w:rsidRDefault="00FF54DF">
      <w:pPr>
        <w:spacing w:before="240" w:after="240"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En ese sentido debe quedar claro que una solicitud de información es un requerimiento formulado ante los sujetos obligados, a través de la cual se abre la posibilidad de consultar, sin necesidad de acreditar ningún tipo de interés, los documentos generados, administrados y resguardados por ellos, tal cual se encuentran en sus archivos. Por lo tanto, los sujetos obligados no tienen la responsabilidad de elaborar resúmenes, cálculos ni investigaciones que impliquen el procesamiento de los datos. En contraste, deben buscar y entregar la información requerida, de acuerdo con la Ley de Transparencia local.</w:t>
      </w:r>
    </w:p>
    <w:p w:rsidR="003E498B" w:rsidRPr="002006D1" w:rsidRDefault="00FF54DF">
      <w:pPr>
        <w:spacing w:before="240" w:after="240"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 xml:space="preserve">Ahora bien, por lo que respecta al procedimiento de acceso a los datos personales debe destacarse que, de igual forma que el derecho de acceso a la información pública tiene su sustento en los artículos 6, apartado A, fracción II  y 16 párrafo segundo de la Constitución Política de los Estados Unidos Mexicanos, los cuales establecen medularmente que la información que se refiere a la vida privada y los datos personales será protegida en los términos y con las excepciones que fijen las leyes, siendo que toda persona tiene derecho a la protección de sus datos personales, al acceso, rectificación y cancelación de los mismos, así como a manifestar su </w:t>
      </w:r>
      <w:r w:rsidRPr="002006D1">
        <w:rPr>
          <w:rFonts w:ascii="Palatino Linotype" w:eastAsia="Palatino Linotype" w:hAnsi="Palatino Linotype" w:cs="Palatino Linotype"/>
        </w:rPr>
        <w:lastRenderedPageBreak/>
        <w:t>oposición, en los términos que fije la ley, la cual establecerá los supuestos de excepción a los principios que rijan el tratamiento de los datos, por razones de seguridad nacional, disposiciones de orden público, seguridad y salud públicas o para proteger los derechos de terceros.</w:t>
      </w:r>
    </w:p>
    <w:p w:rsidR="003E498B" w:rsidRPr="002006D1" w:rsidRDefault="00FF54DF">
      <w:pPr>
        <w:spacing w:before="240" w:after="240"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Procedimiento que, además, está regulado en la Ley de Protección de Datos Personales del Estado de México en específico en los artículos 25 y 26 que establecen que el titular por sí o través de su representante legal que acrediten su identidad o representación, respectivamente; tiene derecho a solicitar y ser informado sobre sus datos personales que estén en posesión de los Sujetos Obligados, el origen de dichos datos, el tratamiento del cual sean objeto, las cesiones realizadas o que se pretendan realizar, así como a tener acceso al aviso de privacidad al que está sujeto dicho tratamiento; entendiéndose por dato personal cualquier información concerniente a una persona física o jurídica colectiva identificada o identificable, establecida en cualquier formato o modalidad y que esté almacenada en bases de datos, conforme a lo establecido en esta Ley.</w:t>
      </w:r>
    </w:p>
    <w:p w:rsidR="003E498B" w:rsidRPr="002006D1" w:rsidRDefault="00FF54DF">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2006D1">
        <w:rPr>
          <w:rFonts w:ascii="Palatino Linotype" w:eastAsia="Palatino Linotype" w:hAnsi="Palatino Linotype" w:cs="Palatino Linotype"/>
          <w:color w:val="000000"/>
        </w:rPr>
        <w:t xml:space="preserve">Así las cosas, tenemos que cuando hablamos de una solicitud de derechos ARCO se refiere a aquel derecho que tiene un titular de datos personales, para solicitar el acceso, rectificación, cancelación, oposición y portabilidad sobre el tratamiento de sus datos, ante el </w:t>
      </w:r>
      <w:r w:rsidRPr="002006D1">
        <w:rPr>
          <w:rFonts w:ascii="Palatino Linotype" w:eastAsia="Palatino Linotype" w:hAnsi="Palatino Linotype" w:cs="Palatino Linotype"/>
          <w:b/>
          <w:color w:val="000000"/>
        </w:rPr>
        <w:t>Sujeto Obligado</w:t>
      </w:r>
      <w:r w:rsidRPr="002006D1">
        <w:rPr>
          <w:rFonts w:ascii="Palatino Linotype" w:eastAsia="Palatino Linotype" w:hAnsi="Palatino Linotype" w:cs="Palatino Linotype"/>
          <w:color w:val="000000"/>
        </w:rPr>
        <w:t xml:space="preserve"> que esté en posesión de los mismos.</w:t>
      </w:r>
    </w:p>
    <w:p w:rsidR="003E498B" w:rsidRPr="002006D1" w:rsidRDefault="00FF54DF">
      <w:pPr>
        <w:spacing w:before="240" w:after="240"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 xml:space="preserve">Es así, que del análisis a la solicitud se advierte que la parte </w:t>
      </w:r>
      <w:r w:rsidRPr="002006D1">
        <w:rPr>
          <w:rFonts w:ascii="Palatino Linotype" w:eastAsia="Palatino Linotype" w:hAnsi="Palatino Linotype" w:cs="Palatino Linotype"/>
          <w:b/>
        </w:rPr>
        <w:t>Recurrente</w:t>
      </w:r>
      <w:r w:rsidRPr="002006D1">
        <w:rPr>
          <w:rFonts w:ascii="Palatino Linotype" w:eastAsia="Palatino Linotype" w:hAnsi="Palatino Linotype" w:cs="Palatino Linotype"/>
        </w:rPr>
        <w:t xml:space="preserve"> requiere acceder  los siguientes datos: </w:t>
      </w:r>
    </w:p>
    <w:p w:rsidR="003E498B" w:rsidRPr="002006D1" w:rsidRDefault="00FF54DF">
      <w:pPr>
        <w:numPr>
          <w:ilvl w:val="3"/>
          <w:numId w:val="2"/>
        </w:numPr>
        <w:pBdr>
          <w:top w:val="nil"/>
          <w:left w:val="nil"/>
          <w:bottom w:val="nil"/>
          <w:right w:val="nil"/>
          <w:between w:val="nil"/>
        </w:pBdr>
        <w:spacing w:before="280" w:after="280" w:line="360" w:lineRule="auto"/>
        <w:ind w:left="426" w:hanging="284"/>
        <w:jc w:val="both"/>
        <w:rPr>
          <w:rFonts w:ascii="Palatino Linotype" w:eastAsia="Palatino Linotype" w:hAnsi="Palatino Linotype" w:cs="Palatino Linotype"/>
          <w:color w:val="000000"/>
        </w:rPr>
      </w:pPr>
      <w:r w:rsidRPr="002006D1">
        <w:rPr>
          <w:rFonts w:ascii="Palatino Linotype" w:eastAsia="Palatino Linotype" w:hAnsi="Palatino Linotype" w:cs="Palatino Linotype"/>
          <w:color w:val="000000"/>
        </w:rPr>
        <w:lastRenderedPageBreak/>
        <w:t xml:space="preserve">Número de trámite registral iniciado por el solicitante en la oficina registral de Jilotepec, respecto de la solicitud de inscripción de la sentencia deducida del Juicio Ordinario Civil sobre Usucapión, identificado con número de expediente </w:t>
      </w:r>
      <w:r w:rsidR="00DB34F3">
        <w:rPr>
          <w:rFonts w:ascii="Palatino Linotype" w:eastAsia="Palatino Linotype" w:hAnsi="Palatino Linotype" w:cs="Palatino Linotype"/>
          <w:color w:val="000000"/>
        </w:rPr>
        <w:t>XXXXXXXXX</w:t>
      </w:r>
      <w:r w:rsidRPr="002006D1">
        <w:rPr>
          <w:rFonts w:ascii="Palatino Linotype" w:eastAsia="Palatino Linotype" w:hAnsi="Palatino Linotype" w:cs="Palatino Linotype"/>
          <w:color w:val="000000"/>
        </w:rPr>
        <w:t xml:space="preserve">, radicado en el Juzgado Civil del Distrito Judicial de Jilotepec, Estado de México; </w:t>
      </w:r>
    </w:p>
    <w:p w:rsidR="003E498B" w:rsidRPr="002006D1" w:rsidRDefault="00FF54DF">
      <w:pPr>
        <w:numPr>
          <w:ilvl w:val="3"/>
          <w:numId w:val="2"/>
        </w:numPr>
        <w:pBdr>
          <w:top w:val="nil"/>
          <w:left w:val="nil"/>
          <w:bottom w:val="nil"/>
          <w:right w:val="nil"/>
          <w:between w:val="nil"/>
        </w:pBdr>
        <w:spacing w:before="280" w:after="280" w:line="360" w:lineRule="auto"/>
        <w:ind w:left="426" w:hanging="284"/>
        <w:jc w:val="both"/>
        <w:rPr>
          <w:rFonts w:ascii="Palatino Linotype" w:eastAsia="Palatino Linotype" w:hAnsi="Palatino Linotype" w:cs="Palatino Linotype"/>
          <w:color w:val="000000"/>
        </w:rPr>
      </w:pPr>
      <w:r w:rsidRPr="002006D1">
        <w:rPr>
          <w:rFonts w:ascii="Palatino Linotype" w:eastAsia="Palatino Linotype" w:hAnsi="Palatino Linotype" w:cs="Palatino Linotype"/>
          <w:color w:val="000000"/>
        </w:rPr>
        <w:t>Si en el folio real el</w:t>
      </w:r>
      <w:r w:rsidR="00DB34F3">
        <w:rPr>
          <w:rFonts w:ascii="Palatino Linotype" w:eastAsia="Palatino Linotype" w:hAnsi="Palatino Linotype" w:cs="Palatino Linotype"/>
          <w:color w:val="000000"/>
        </w:rPr>
        <w:t>ectrónico XXXXXXXX</w:t>
      </w:r>
      <w:bookmarkStart w:id="0" w:name="_GoBack"/>
      <w:bookmarkEnd w:id="0"/>
      <w:r w:rsidRPr="002006D1">
        <w:rPr>
          <w:rFonts w:ascii="Palatino Linotype" w:eastAsia="Palatino Linotype" w:hAnsi="Palatino Linotype" w:cs="Palatino Linotype"/>
          <w:color w:val="000000"/>
        </w:rPr>
        <w:t xml:space="preserve"> se encuentra una anotación preventiva en favor del suscrito y con motivo de la solicitud de inscripción de la sentencia referida; </w:t>
      </w:r>
    </w:p>
    <w:p w:rsidR="003E498B" w:rsidRPr="002006D1" w:rsidRDefault="00FF54DF">
      <w:pPr>
        <w:numPr>
          <w:ilvl w:val="3"/>
          <w:numId w:val="2"/>
        </w:numPr>
        <w:pBdr>
          <w:top w:val="nil"/>
          <w:left w:val="nil"/>
          <w:bottom w:val="nil"/>
          <w:right w:val="nil"/>
          <w:between w:val="nil"/>
        </w:pBdr>
        <w:spacing w:before="280" w:after="280" w:line="360" w:lineRule="auto"/>
        <w:ind w:left="426" w:hanging="284"/>
        <w:jc w:val="both"/>
        <w:rPr>
          <w:rFonts w:ascii="Palatino Linotype" w:eastAsia="Palatino Linotype" w:hAnsi="Palatino Linotype" w:cs="Palatino Linotype"/>
          <w:color w:val="000000"/>
        </w:rPr>
      </w:pPr>
      <w:r w:rsidRPr="002006D1">
        <w:rPr>
          <w:rFonts w:ascii="Palatino Linotype" w:eastAsia="Palatino Linotype" w:hAnsi="Palatino Linotype" w:cs="Palatino Linotype"/>
          <w:color w:val="000000"/>
        </w:rPr>
        <w:t xml:space="preserve">Estado actual de trámite registral; y, </w:t>
      </w:r>
    </w:p>
    <w:p w:rsidR="003E498B" w:rsidRPr="002006D1" w:rsidRDefault="00FF54DF">
      <w:pPr>
        <w:numPr>
          <w:ilvl w:val="3"/>
          <w:numId w:val="2"/>
        </w:numPr>
        <w:pBdr>
          <w:top w:val="nil"/>
          <w:left w:val="nil"/>
          <w:bottom w:val="nil"/>
          <w:right w:val="nil"/>
          <w:between w:val="nil"/>
        </w:pBdr>
        <w:spacing w:before="280" w:after="280" w:line="360" w:lineRule="auto"/>
        <w:ind w:left="426" w:hanging="284"/>
        <w:jc w:val="both"/>
        <w:rPr>
          <w:rFonts w:ascii="Palatino Linotype" w:eastAsia="Palatino Linotype" w:hAnsi="Palatino Linotype" w:cs="Palatino Linotype"/>
          <w:color w:val="000000"/>
        </w:rPr>
      </w:pPr>
      <w:r w:rsidRPr="002006D1">
        <w:rPr>
          <w:rFonts w:ascii="Palatino Linotype" w:eastAsia="Palatino Linotype" w:hAnsi="Palatino Linotype" w:cs="Palatino Linotype"/>
          <w:color w:val="000000"/>
        </w:rPr>
        <w:t xml:space="preserve">Constancia que contiene la calificación registral de la que se solicita información. </w:t>
      </w:r>
    </w:p>
    <w:p w:rsidR="003E498B" w:rsidRPr="002006D1" w:rsidRDefault="00FF54DF">
      <w:pPr>
        <w:spacing w:before="280" w:after="280"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 xml:space="preserve">En este sentido cabe precisar, que al momento de presentar la solicitud, la parte </w:t>
      </w:r>
      <w:r w:rsidRPr="002006D1">
        <w:rPr>
          <w:rFonts w:ascii="Palatino Linotype" w:eastAsia="Palatino Linotype" w:hAnsi="Palatino Linotype" w:cs="Palatino Linotype"/>
          <w:b/>
        </w:rPr>
        <w:t xml:space="preserve">Recurrente </w:t>
      </w:r>
      <w:r w:rsidRPr="002006D1">
        <w:rPr>
          <w:rFonts w:ascii="Palatino Linotype" w:eastAsia="Palatino Linotype" w:hAnsi="Palatino Linotype" w:cs="Palatino Linotype"/>
        </w:rPr>
        <w:t>requirió de manera textual “</w:t>
      </w:r>
      <w:r w:rsidRPr="002006D1">
        <w:rPr>
          <w:rFonts w:ascii="Palatino Linotype" w:eastAsia="Palatino Linotype" w:hAnsi="Palatino Linotype" w:cs="Palatino Linotype"/>
          <w:i/>
        </w:rPr>
        <w:t xml:space="preserve">Número de trámite registral </w:t>
      </w:r>
      <w:r w:rsidRPr="002006D1">
        <w:rPr>
          <w:rFonts w:ascii="Palatino Linotype" w:eastAsia="Palatino Linotype" w:hAnsi="Palatino Linotype" w:cs="Palatino Linotype"/>
          <w:b/>
          <w:i/>
          <w:u w:val="single"/>
        </w:rPr>
        <w:t>iniciado por el suscrito</w:t>
      </w:r>
      <w:r w:rsidRPr="002006D1">
        <w:rPr>
          <w:rFonts w:ascii="Palatino Linotype" w:eastAsia="Palatino Linotype" w:hAnsi="Palatino Linotype" w:cs="Palatino Linotype"/>
          <w:i/>
        </w:rPr>
        <w:t xml:space="preserve"> en la oficina registral de Jilotepec…”;  </w:t>
      </w:r>
      <w:r w:rsidRPr="002006D1">
        <w:rPr>
          <w:rFonts w:ascii="Palatino Linotype" w:eastAsia="Palatino Linotype" w:hAnsi="Palatino Linotype" w:cs="Palatino Linotype"/>
        </w:rPr>
        <w:t xml:space="preserve">manifestación de la cual se deduce que el solicitante requiere acceder a información relacionada con el trámite que de manera personal inició en la oficina registral de Jilotepec, respecto a la solicitud de inscripción de la sentencia deducida de un Juicio Ordinario Civil sobre usucapión. </w:t>
      </w:r>
    </w:p>
    <w:p w:rsidR="003E498B" w:rsidRPr="002006D1" w:rsidRDefault="00FF54DF">
      <w:pPr>
        <w:spacing w:before="280" w:after="280"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Solicitud en la que hizo referencia al número de expediente y el juzgado en el que fue radicado.</w:t>
      </w:r>
    </w:p>
    <w:p w:rsidR="003E498B" w:rsidRPr="002006D1" w:rsidRDefault="00FF54DF">
      <w:pPr>
        <w:spacing w:before="280" w:after="280"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 xml:space="preserve">Asimismo requirió que se le informara si se encuentra una anotación preventiva en su favor en el folio electrónico del cual proporcionó el número y relacionado con la solicitud de inscripción de la sentencia. </w:t>
      </w:r>
    </w:p>
    <w:p w:rsidR="003E498B" w:rsidRPr="002006D1" w:rsidRDefault="00FF54DF">
      <w:pPr>
        <w:spacing w:before="280" w:after="280"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lastRenderedPageBreak/>
        <w:t xml:space="preserve">En respuesta a la solicitud de acceso a datos personales, el </w:t>
      </w:r>
      <w:r w:rsidRPr="002006D1">
        <w:rPr>
          <w:rFonts w:ascii="Palatino Linotype" w:eastAsia="Palatino Linotype" w:hAnsi="Palatino Linotype" w:cs="Palatino Linotype"/>
          <w:b/>
        </w:rPr>
        <w:t xml:space="preserve">Sujeto Obligado </w:t>
      </w:r>
      <w:r w:rsidRPr="002006D1">
        <w:rPr>
          <w:rFonts w:ascii="Palatino Linotype" w:eastAsia="Palatino Linotype" w:hAnsi="Palatino Linotype" w:cs="Palatino Linotype"/>
        </w:rPr>
        <w:t xml:space="preserve">a través de la Dirección de Control y Supervisión de Oficinas Registrales respondió a cada uno de los puntos requeridos en términos generales, en los siguientes términos. </w:t>
      </w:r>
    </w:p>
    <w:p w:rsidR="003E498B" w:rsidRPr="002006D1" w:rsidRDefault="00FF54DF">
      <w:pPr>
        <w:spacing w:before="280" w:after="280"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 xml:space="preserve">Respecto el numeral 1 relativo al número de trámite registral iniciado en la oficina registral de Jilotepec contestó que si el interesado ingreso la documentación, tal y como lo manifiesta, este debe contar con el volante de trámite universal, el cual contiene el número de trámite que le fue asignado.  </w:t>
      </w:r>
    </w:p>
    <w:p w:rsidR="003E498B" w:rsidRPr="002006D1" w:rsidRDefault="00FF54DF">
      <w:pPr>
        <w:spacing w:before="280" w:after="280"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 xml:space="preserve">Respecto a si se encuentra alguna anotación preventiva a favor del solicitante en el folio real electrónico, relacionado con la solicitud de inscripción informó que la institución ha implementado los llamados “tramites automatizados” que contempla el servicio “Consulta de Folio Real Electrónico”, en el que podrá consultar los datos que solicita previo pago de derechos. </w:t>
      </w:r>
    </w:p>
    <w:p w:rsidR="003E498B" w:rsidRPr="002006D1" w:rsidRDefault="00FF54DF">
      <w:pPr>
        <w:spacing w:before="280" w:after="280"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 xml:space="preserve">Por cuanto hace al estado actual del trámite registral, el </w:t>
      </w:r>
      <w:r w:rsidRPr="002006D1">
        <w:rPr>
          <w:rFonts w:ascii="Palatino Linotype" w:eastAsia="Palatino Linotype" w:hAnsi="Palatino Linotype" w:cs="Palatino Linotype"/>
          <w:b/>
        </w:rPr>
        <w:t xml:space="preserve">Sujeto Obligado  </w:t>
      </w:r>
      <w:r w:rsidRPr="002006D1">
        <w:rPr>
          <w:rFonts w:ascii="Palatino Linotype" w:eastAsia="Palatino Linotype" w:hAnsi="Palatino Linotype" w:cs="Palatino Linotype"/>
        </w:rPr>
        <w:t xml:space="preserve">comunicó que se encuentra imposibilitado para dar oportuna atención a lo requerido; toda vez que, dentro de la solicitud no hace mención del número de trámite de cualquier información. </w:t>
      </w:r>
    </w:p>
    <w:p w:rsidR="003E498B" w:rsidRPr="002006D1" w:rsidRDefault="00FF54DF">
      <w:pPr>
        <w:spacing w:before="280" w:after="280"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 xml:space="preserve">Finalmente, referente a la constancia que contiene la calificación registral, informó que si el documento obra inscrito en la oficina registral referida, puede solicitar “Copias Simples de Antecedentes Registrales”; trámite que se realiza de forma presencial, razón por la cual es necesario contar con la solicitud debidamente </w:t>
      </w:r>
      <w:proofErr w:type="spellStart"/>
      <w:r w:rsidRPr="002006D1">
        <w:rPr>
          <w:rFonts w:ascii="Palatino Linotype" w:eastAsia="Palatino Linotype" w:hAnsi="Palatino Linotype" w:cs="Palatino Linotype"/>
        </w:rPr>
        <w:t>requisitada</w:t>
      </w:r>
      <w:proofErr w:type="spellEnd"/>
      <w:r w:rsidRPr="002006D1">
        <w:rPr>
          <w:rFonts w:ascii="Palatino Linotype" w:eastAsia="Palatino Linotype" w:hAnsi="Palatino Linotype" w:cs="Palatino Linotype"/>
        </w:rPr>
        <w:t xml:space="preserve"> y que se encuentra a su disposición en la liga electrónica </w:t>
      </w:r>
      <w:hyperlink r:id="rId15">
        <w:r w:rsidRPr="002006D1">
          <w:rPr>
            <w:rFonts w:ascii="Palatino Linotype" w:eastAsia="Palatino Linotype" w:hAnsi="Palatino Linotype" w:cs="Palatino Linotype"/>
            <w:color w:val="0000FF"/>
            <w:u w:val="single"/>
          </w:rPr>
          <w:t>http://ifrem.edome.gob.mx/descarga_formatos</w:t>
        </w:r>
      </w:hyperlink>
      <w:r w:rsidRPr="002006D1">
        <w:rPr>
          <w:rFonts w:ascii="Palatino Linotype" w:eastAsia="Palatino Linotype" w:hAnsi="Palatino Linotype" w:cs="Palatino Linotype"/>
        </w:rPr>
        <w:t xml:space="preserve"> o bien en la Oficina Registral correspondiente. </w:t>
      </w:r>
    </w:p>
    <w:p w:rsidR="003E498B" w:rsidRPr="002006D1" w:rsidRDefault="00FF54DF">
      <w:pPr>
        <w:spacing w:before="280" w:after="280"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 xml:space="preserve">Acotado lo anterior, y tomando en consideración que la solicitud, el procedimiento de acceso a la información pública no es la vía para su tramitación; por lo que, presente recurso se deberá atender en términos del ejercicio del derecho de acceso a datos personales, toda vez que este Instituto, al igual que otros Órganos Garantes como es el Instituto Nacional de Acceso a la Información y Protección de Datos (INAI) se han pronunciado por la procedencia de los recursos de revisión según la materia de la solicitud. </w:t>
      </w:r>
    </w:p>
    <w:p w:rsidR="003E498B" w:rsidRPr="002006D1" w:rsidRDefault="00FF54DF">
      <w:pPr>
        <w:spacing w:before="280" w:after="280"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 xml:space="preserve">Discernimiento que encuentra apoyo en el criterio </w:t>
      </w:r>
      <w:r w:rsidRPr="002006D1">
        <w:rPr>
          <w:rFonts w:ascii="Palatino Linotype" w:eastAsia="Palatino Linotype" w:hAnsi="Palatino Linotype" w:cs="Palatino Linotype"/>
          <w:b/>
        </w:rPr>
        <w:t>008/2009</w:t>
      </w:r>
      <w:r w:rsidRPr="002006D1">
        <w:rPr>
          <w:rFonts w:ascii="Palatino Linotype" w:eastAsia="Palatino Linotype" w:hAnsi="Palatino Linotype" w:cs="Palatino Linotype"/>
        </w:rPr>
        <w:t xml:space="preserve"> del INAI, que a la letra dispone:</w:t>
      </w:r>
    </w:p>
    <w:p w:rsidR="003E498B" w:rsidRPr="002006D1" w:rsidRDefault="00FF54DF">
      <w:pPr>
        <w:tabs>
          <w:tab w:val="left" w:pos="7655"/>
        </w:tabs>
        <w:spacing w:after="120"/>
        <w:ind w:left="851" w:right="902"/>
        <w:jc w:val="both"/>
        <w:rPr>
          <w:rFonts w:ascii="Palatino Linotype" w:eastAsia="Palatino Linotype" w:hAnsi="Palatino Linotype" w:cs="Palatino Linotype"/>
          <w:b/>
          <w:i/>
          <w:sz w:val="20"/>
          <w:szCs w:val="20"/>
        </w:rPr>
      </w:pPr>
      <w:r w:rsidRPr="002006D1">
        <w:rPr>
          <w:rFonts w:ascii="Palatino Linotype" w:eastAsia="Palatino Linotype" w:hAnsi="Palatino Linotype" w:cs="Palatino Linotype"/>
          <w:i/>
          <w:sz w:val="20"/>
          <w:szCs w:val="20"/>
        </w:rPr>
        <w:t>“</w:t>
      </w:r>
      <w:r w:rsidRPr="002006D1">
        <w:rPr>
          <w:rFonts w:ascii="Palatino Linotype" w:eastAsia="Palatino Linotype" w:hAnsi="Palatino Linotype" w:cs="Palatino Linotype"/>
          <w:b/>
          <w:i/>
          <w:sz w:val="20"/>
          <w:szCs w:val="20"/>
        </w:rPr>
        <w:t>Las dependencias y entidades deberán dar trámite a las solicitudes aun cuando la vía en la que fueron presentadas -acceso a datos personales o información pública- no corresponda con la naturaleza de la materia de la misma.</w:t>
      </w:r>
      <w:r w:rsidRPr="002006D1">
        <w:rPr>
          <w:rFonts w:ascii="Palatino Linotype" w:eastAsia="Palatino Linotype" w:hAnsi="Palatino Linotype" w:cs="Palatino Linotype"/>
          <w:i/>
          <w:sz w:val="20"/>
          <w:szCs w:val="20"/>
        </w:rPr>
        <w:t xml:space="preserve"> </w:t>
      </w:r>
      <w:r w:rsidRPr="002006D1">
        <w:rPr>
          <w:rFonts w:ascii="Palatino Linotype" w:eastAsia="Palatino Linotype" w:hAnsi="Palatino Linotype" w:cs="Palatino Linotype"/>
          <w:b/>
          <w:i/>
          <w:sz w:val="20"/>
          <w:szCs w:val="20"/>
        </w:rPr>
        <w:t xml:space="preserve">Todas aquellas solicitudes cuyo objetivo sea allegarse de información pública y que sean ingresadas por la vía de acceso a datos personales, así como el caso contrario, </w:t>
      </w:r>
      <w:r w:rsidRPr="002006D1">
        <w:rPr>
          <w:rFonts w:ascii="Palatino Linotype" w:eastAsia="Palatino Linotype" w:hAnsi="Palatino Linotype" w:cs="Palatino Linotype"/>
          <w:b/>
          <w:i/>
          <w:sz w:val="20"/>
          <w:szCs w:val="20"/>
          <w:u w:val="single"/>
        </w:rPr>
        <w:t>deberán ser tramitadas por las dependencias y entidades de conformidad con la naturaleza de la información de que se trate</w:t>
      </w:r>
      <w:r w:rsidRPr="002006D1">
        <w:rPr>
          <w:rFonts w:ascii="Palatino Linotype" w:eastAsia="Palatino Linotype" w:hAnsi="Palatino Linotype" w:cs="Palatino Linotype"/>
          <w:b/>
          <w:i/>
          <w:sz w:val="20"/>
          <w:szCs w:val="20"/>
        </w:rPr>
        <w:t>, sin necesidad de que el particular requiera presentar una nueva solicitud.</w:t>
      </w:r>
    </w:p>
    <w:p w:rsidR="003E498B" w:rsidRPr="002006D1" w:rsidRDefault="00FF54DF">
      <w:pPr>
        <w:tabs>
          <w:tab w:val="left" w:pos="7655"/>
        </w:tabs>
        <w:spacing w:after="120"/>
        <w:ind w:left="851" w:right="902"/>
        <w:jc w:val="both"/>
        <w:rPr>
          <w:rFonts w:ascii="Palatino Linotype" w:eastAsia="Palatino Linotype" w:hAnsi="Palatino Linotype" w:cs="Palatino Linotype"/>
          <w:i/>
          <w:sz w:val="20"/>
          <w:szCs w:val="20"/>
        </w:rPr>
      </w:pPr>
      <w:r w:rsidRPr="002006D1">
        <w:rPr>
          <w:rFonts w:ascii="Palatino Linotype" w:eastAsia="Palatino Linotype" w:hAnsi="Palatino Linotype" w:cs="Palatino Linotype"/>
          <w:i/>
          <w:sz w:val="20"/>
          <w:szCs w:val="20"/>
        </w:rPr>
        <w:t xml:space="preserve">De conformidad con lo dispuesto en el artículo 1° de la Ley Federal de Transparencia y Acceso a la Información Pública Gubernamental, ésta tiene como finalidad proveer lo necesario para garantizar el 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w:t>
      </w:r>
      <w:r w:rsidRPr="002006D1">
        <w:rPr>
          <w:rFonts w:ascii="Palatino Linotype" w:eastAsia="Palatino Linotype" w:hAnsi="Palatino Linotype" w:cs="Palatino Linotype"/>
          <w:i/>
          <w:sz w:val="20"/>
          <w:szCs w:val="20"/>
        </w:rPr>
        <w:lastRenderedPageBreak/>
        <w:t xml:space="preserve">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w:t>
      </w:r>
      <w:r w:rsidRPr="002006D1">
        <w:rPr>
          <w:rFonts w:ascii="Palatino Linotype" w:eastAsia="Palatino Linotype" w:hAnsi="Palatino Linotype" w:cs="Palatino Linotype"/>
          <w:b/>
          <w:i/>
          <w:sz w:val="20"/>
          <w:szCs w:val="20"/>
        </w:rPr>
        <w:t>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r w:rsidRPr="002006D1">
        <w:rPr>
          <w:rFonts w:ascii="Palatino Linotype" w:eastAsia="Palatino Linotype" w:hAnsi="Palatino Linotype" w:cs="Palatino Linotype"/>
          <w:i/>
          <w:sz w:val="20"/>
          <w:szCs w:val="20"/>
        </w:rPr>
        <w:t>.”</w:t>
      </w:r>
    </w:p>
    <w:p w:rsidR="003E498B" w:rsidRPr="002006D1" w:rsidRDefault="00FF54DF">
      <w:pPr>
        <w:spacing w:before="280" w:after="280" w:line="360" w:lineRule="auto"/>
        <w:jc w:val="both"/>
        <w:rPr>
          <w:rFonts w:ascii="Palatino Linotype" w:eastAsia="Palatino Linotype" w:hAnsi="Palatino Linotype" w:cs="Palatino Linotype"/>
          <w:i/>
          <w:sz w:val="22"/>
          <w:szCs w:val="22"/>
        </w:rPr>
      </w:pPr>
      <w:r w:rsidRPr="002006D1">
        <w:rPr>
          <w:rFonts w:ascii="Palatino Linotype" w:eastAsia="Palatino Linotype" w:hAnsi="Palatino Linotype" w:cs="Palatino Linotype"/>
        </w:rPr>
        <w:t xml:space="preserve">Lo anterior, bajo el principio  de </w:t>
      </w:r>
      <w:proofErr w:type="spellStart"/>
      <w:r w:rsidRPr="002006D1">
        <w:rPr>
          <w:rFonts w:ascii="Palatino Linotype" w:eastAsia="Palatino Linotype" w:hAnsi="Palatino Linotype" w:cs="Palatino Linotype"/>
        </w:rPr>
        <w:t>expeditez</w:t>
      </w:r>
      <w:proofErr w:type="spellEnd"/>
      <w:r w:rsidRPr="002006D1">
        <w:rPr>
          <w:rFonts w:ascii="Palatino Linotype" w:eastAsia="Palatino Linotype" w:hAnsi="Palatino Linotype" w:cs="Palatino Linotype"/>
          <w:vertAlign w:val="superscript"/>
        </w:rPr>
        <w:footnoteReference w:id="1"/>
      </w:r>
      <w:r w:rsidRPr="002006D1">
        <w:rPr>
          <w:rFonts w:ascii="Palatino Linotype" w:eastAsia="Palatino Linotype" w:hAnsi="Palatino Linotype" w:cs="Palatino Linotype"/>
        </w:rPr>
        <w:t xml:space="preserve"> “</w:t>
      </w:r>
      <w:r w:rsidRPr="002006D1">
        <w:rPr>
          <w:rFonts w:ascii="Palatino Linotype" w:eastAsia="Palatino Linotype" w:hAnsi="Palatino Linotype" w:cs="Palatino Linotype"/>
          <w:i/>
        </w:rPr>
        <w:t xml:space="preserve">que consiste en que la impartición de justicia debe estar libre de estorbos, lo que significa que el poder público —en cualquiera de sus manifestaciones: Ejecutivo, Legislativo o Judicial— no puede supeditar el acceso a los tribunales a la satisfacción de condiciones innecesarias, excesivas y carentes de razonabilidad o proporcionalidad”, </w:t>
      </w:r>
      <w:r w:rsidRPr="002006D1">
        <w:rPr>
          <w:rFonts w:ascii="Palatino Linotype" w:eastAsia="Palatino Linotype" w:hAnsi="Palatino Linotype" w:cs="Palatino Linotype"/>
        </w:rPr>
        <w:t xml:space="preserve">determina  procedente dar trámite a la solicitud formulada por la parte </w:t>
      </w:r>
      <w:r w:rsidRPr="002006D1">
        <w:rPr>
          <w:rFonts w:ascii="Palatino Linotype" w:eastAsia="Palatino Linotype" w:hAnsi="Palatino Linotype" w:cs="Palatino Linotype"/>
          <w:b/>
        </w:rPr>
        <w:t>Recurrente</w:t>
      </w:r>
      <w:r w:rsidRPr="002006D1">
        <w:rPr>
          <w:rFonts w:ascii="Palatino Linotype" w:eastAsia="Palatino Linotype" w:hAnsi="Palatino Linotype" w:cs="Palatino Linotype"/>
        </w:rPr>
        <w:t xml:space="preserve"> bajo el procedimiento de acceso a los datos personales previsto en la Ley de Protección de Datos Personales en Posesión de Sujetos Obligados del Estado de México y Municipios, de conformidad con el artículo 1 de la Ley referida la misma tiene por objeto garantizar la protección de los datos personales que se encuentren en posesión de los sujetos obligados, de tal forma, en la resolución del presente asunto resulta aplicable la Ley de Protección de Datos Personales en Posesión de Sujetos Obligados del Estado de México y Municipios.</w:t>
      </w:r>
    </w:p>
    <w:p w:rsidR="003E498B" w:rsidRPr="002006D1" w:rsidRDefault="00FF54DF">
      <w:pPr>
        <w:spacing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 xml:space="preserve">Acotado lo anterior, cabe reiterar que en respuesta a la solicitud de acceso a datos personales, el </w:t>
      </w:r>
      <w:r w:rsidRPr="002006D1">
        <w:rPr>
          <w:rFonts w:ascii="Palatino Linotype" w:eastAsia="Palatino Linotype" w:hAnsi="Palatino Linotype" w:cs="Palatino Linotype"/>
          <w:b/>
        </w:rPr>
        <w:t xml:space="preserve">Sujeto Obligado </w:t>
      </w:r>
      <w:r w:rsidRPr="002006D1">
        <w:rPr>
          <w:rFonts w:ascii="Palatino Linotype" w:eastAsia="Palatino Linotype" w:hAnsi="Palatino Linotype" w:cs="Palatino Linotype"/>
        </w:rPr>
        <w:t>respon</w:t>
      </w:r>
      <w:r w:rsidR="00123CE5" w:rsidRPr="002006D1">
        <w:rPr>
          <w:rFonts w:ascii="Palatino Linotype" w:eastAsia="Palatino Linotype" w:hAnsi="Palatino Linotype" w:cs="Palatino Linotype"/>
        </w:rPr>
        <w:t xml:space="preserve">dió, en términos generales que </w:t>
      </w:r>
      <w:r w:rsidRPr="002006D1">
        <w:rPr>
          <w:rFonts w:ascii="Palatino Linotype" w:eastAsia="Palatino Linotype" w:hAnsi="Palatino Linotype" w:cs="Palatino Linotype"/>
        </w:rPr>
        <w:t xml:space="preserve">de acuerdo con lo comunicado por Dirección de Control y Supervisión de Oficinas Registrales para la obtención de la información requerida debe realizar los procedimientos precisados en respuesta.  </w:t>
      </w:r>
    </w:p>
    <w:p w:rsidR="003E498B" w:rsidRPr="002006D1" w:rsidRDefault="003E498B">
      <w:pPr>
        <w:spacing w:line="360" w:lineRule="auto"/>
        <w:jc w:val="both"/>
        <w:rPr>
          <w:rFonts w:ascii="Palatino Linotype" w:eastAsia="Palatino Linotype" w:hAnsi="Palatino Linotype" w:cs="Palatino Linotype"/>
        </w:rPr>
      </w:pPr>
    </w:p>
    <w:p w:rsidR="003E498B" w:rsidRPr="002006D1" w:rsidRDefault="00FF54D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006D1">
        <w:rPr>
          <w:rFonts w:ascii="Palatino Linotype" w:eastAsia="Palatino Linotype" w:hAnsi="Palatino Linotype" w:cs="Palatino Linotype"/>
          <w:color w:val="000000"/>
        </w:rPr>
        <w:t xml:space="preserve">En este sentido, es importante insistir que para el ejercicio del derecho de acceso a datos personales es necesario que el titular </w:t>
      </w:r>
      <w:r w:rsidR="00B476A3" w:rsidRPr="002006D1">
        <w:rPr>
          <w:rFonts w:ascii="Palatino Linotype" w:eastAsia="Palatino Linotype" w:hAnsi="Palatino Linotype" w:cs="Palatino Linotype"/>
          <w:color w:val="000000"/>
        </w:rPr>
        <w:t xml:space="preserve">de los mismos, </w:t>
      </w:r>
      <w:r w:rsidRPr="002006D1">
        <w:rPr>
          <w:rFonts w:ascii="Palatino Linotype" w:eastAsia="Palatino Linotype" w:hAnsi="Palatino Linotype" w:cs="Palatino Linotype"/>
          <w:color w:val="000000"/>
        </w:rPr>
        <w:t xml:space="preserve">acredite su identidad </w:t>
      </w:r>
      <w:r w:rsidR="0075208A" w:rsidRPr="002006D1">
        <w:rPr>
          <w:rFonts w:ascii="Palatino Linotype" w:eastAsia="Palatino Linotype" w:hAnsi="Palatino Linotype" w:cs="Palatino Linotype"/>
          <w:color w:val="000000"/>
        </w:rPr>
        <w:t>cuando pretende</w:t>
      </w:r>
      <w:r w:rsidRPr="002006D1">
        <w:rPr>
          <w:rFonts w:ascii="Palatino Linotype" w:eastAsia="Palatino Linotype" w:hAnsi="Palatino Linotype" w:cs="Palatino Linotype"/>
          <w:color w:val="000000"/>
        </w:rPr>
        <w:t xml:space="preserve"> acceder </w:t>
      </w:r>
      <w:r w:rsidR="0075208A" w:rsidRPr="002006D1">
        <w:rPr>
          <w:rFonts w:ascii="Palatino Linotype" w:eastAsia="Palatino Linotype" w:hAnsi="Palatino Linotype" w:cs="Palatino Linotype"/>
          <w:color w:val="000000"/>
        </w:rPr>
        <w:t>a ellos</w:t>
      </w:r>
      <w:r w:rsidRPr="002006D1">
        <w:rPr>
          <w:rFonts w:ascii="Palatino Linotype" w:eastAsia="Palatino Linotype" w:hAnsi="Palatino Linotype" w:cs="Palatino Linotype"/>
          <w:color w:val="000000"/>
        </w:rPr>
        <w:t xml:space="preserve">; requisito dispuesto en el artículo 106 de la </w:t>
      </w:r>
      <w:r w:rsidRPr="002006D1">
        <w:rPr>
          <w:rFonts w:ascii="Palatino Linotype" w:eastAsia="Palatino Linotype" w:hAnsi="Palatino Linotype" w:cs="Palatino Linotype"/>
          <w:b/>
          <w:color w:val="000000"/>
        </w:rPr>
        <w:t xml:space="preserve">Ley de Protección de Datos Personales en Posesión de Sujeto Obligados del Estado de México y Municipios, </w:t>
      </w:r>
      <w:r w:rsidRPr="002006D1">
        <w:rPr>
          <w:rFonts w:ascii="Palatino Linotype" w:eastAsia="Palatino Linotype" w:hAnsi="Palatino Linotype" w:cs="Palatino Linotype"/>
          <w:color w:val="000000"/>
        </w:rPr>
        <w:t xml:space="preserve">que es del texto literal siguiente. </w:t>
      </w:r>
    </w:p>
    <w:p w:rsidR="003E498B" w:rsidRPr="002006D1" w:rsidRDefault="003E498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3E498B" w:rsidRPr="002006D1" w:rsidRDefault="00FF54DF">
      <w:pPr>
        <w:pBdr>
          <w:top w:val="nil"/>
          <w:left w:val="nil"/>
          <w:bottom w:val="nil"/>
          <w:right w:val="nil"/>
          <w:between w:val="nil"/>
        </w:pBdr>
        <w:spacing w:line="276" w:lineRule="auto"/>
        <w:ind w:left="851" w:right="616"/>
        <w:jc w:val="both"/>
        <w:rPr>
          <w:rFonts w:ascii="Palatino Linotype" w:eastAsia="Palatino Linotype" w:hAnsi="Palatino Linotype" w:cs="Palatino Linotype"/>
          <w:i/>
          <w:color w:val="000000"/>
          <w:sz w:val="22"/>
          <w:szCs w:val="22"/>
        </w:rPr>
      </w:pPr>
      <w:r w:rsidRPr="002006D1">
        <w:rPr>
          <w:rFonts w:ascii="Palatino Linotype" w:eastAsia="Palatino Linotype" w:hAnsi="Palatino Linotype" w:cs="Palatino Linotype"/>
          <w:i/>
          <w:color w:val="000000"/>
          <w:sz w:val="22"/>
          <w:szCs w:val="22"/>
        </w:rPr>
        <w:t>“</w:t>
      </w:r>
      <w:r w:rsidRPr="002006D1">
        <w:rPr>
          <w:rFonts w:ascii="Palatino Linotype" w:eastAsia="Palatino Linotype" w:hAnsi="Palatino Linotype" w:cs="Palatino Linotype"/>
          <w:b/>
          <w:i/>
          <w:color w:val="000000"/>
          <w:sz w:val="22"/>
          <w:szCs w:val="22"/>
        </w:rPr>
        <w:t>Artículo 106</w:t>
      </w:r>
      <w:r w:rsidRPr="002006D1">
        <w:rPr>
          <w:rFonts w:ascii="Palatino Linotype" w:eastAsia="Palatino Linotype" w:hAnsi="Palatino Linotype" w:cs="Palatino Linotype"/>
          <w:i/>
          <w:color w:val="000000"/>
          <w:sz w:val="22"/>
          <w:szCs w:val="22"/>
        </w:rPr>
        <w:t xml:space="preserve">. La recepción y trámite de las solicitudes para el ejercicio de los derechos ARCO, de portabilidad de los datos y limitación del tratamiento, se sujetará al procedimiento establecido en el presente Título y demás disposiciones que resulten aplicables en la materia. </w:t>
      </w:r>
    </w:p>
    <w:p w:rsidR="003E498B" w:rsidRPr="002006D1" w:rsidRDefault="00FF54DF">
      <w:pPr>
        <w:pBdr>
          <w:top w:val="nil"/>
          <w:left w:val="nil"/>
          <w:bottom w:val="nil"/>
          <w:right w:val="nil"/>
          <w:between w:val="nil"/>
        </w:pBdr>
        <w:spacing w:line="276" w:lineRule="auto"/>
        <w:ind w:left="851" w:right="616"/>
        <w:jc w:val="both"/>
        <w:rPr>
          <w:rFonts w:ascii="Palatino Linotype" w:eastAsia="Palatino Linotype" w:hAnsi="Palatino Linotype" w:cs="Palatino Linotype"/>
          <w:i/>
          <w:color w:val="000000"/>
          <w:sz w:val="22"/>
          <w:szCs w:val="22"/>
        </w:rPr>
      </w:pPr>
      <w:r w:rsidRPr="002006D1">
        <w:rPr>
          <w:rFonts w:ascii="Palatino Linotype" w:eastAsia="Palatino Linotype" w:hAnsi="Palatino Linotype" w:cs="Palatino Linotype"/>
          <w:b/>
          <w:i/>
          <w:color w:val="000000"/>
          <w:sz w:val="22"/>
          <w:szCs w:val="22"/>
          <w:u w:val="single"/>
        </w:rPr>
        <w:t>Los titulares o sus representantes legales podrán solicitar</w:t>
      </w:r>
      <w:r w:rsidRPr="002006D1">
        <w:rPr>
          <w:rFonts w:ascii="Palatino Linotype" w:eastAsia="Palatino Linotype" w:hAnsi="Palatino Linotype" w:cs="Palatino Linotype"/>
          <w:i/>
          <w:color w:val="000000"/>
          <w:sz w:val="22"/>
          <w:szCs w:val="22"/>
        </w:rPr>
        <w:t xml:space="preserve"> a través de la Unidad de Transparencia, en términos de lo que establezca la presente Ley, que se </w:t>
      </w:r>
      <w:r w:rsidRPr="002006D1">
        <w:rPr>
          <w:rFonts w:ascii="Palatino Linotype" w:eastAsia="Palatino Linotype" w:hAnsi="Palatino Linotype" w:cs="Palatino Linotype"/>
          <w:b/>
          <w:i/>
          <w:color w:val="000000"/>
          <w:sz w:val="22"/>
          <w:szCs w:val="22"/>
          <w:u w:val="single"/>
        </w:rPr>
        <w:t>les otorgue acceso</w:t>
      </w:r>
      <w:r w:rsidRPr="002006D1">
        <w:rPr>
          <w:rFonts w:ascii="Palatino Linotype" w:eastAsia="Palatino Linotype" w:hAnsi="Palatino Linotype" w:cs="Palatino Linotype"/>
          <w:i/>
          <w:color w:val="000000"/>
          <w:sz w:val="22"/>
          <w:szCs w:val="22"/>
        </w:rPr>
        <w:t xml:space="preserve">, rectifique, cancele, o que haga efectivo su derecho de oposición, respecto de los datos personales que le conciernan y que obren en un sistema de datos personales y base de datos en posesión de los sujetos obligados. </w:t>
      </w:r>
    </w:p>
    <w:p w:rsidR="003E498B" w:rsidRPr="002006D1" w:rsidRDefault="00FF54DF">
      <w:pPr>
        <w:pBdr>
          <w:top w:val="nil"/>
          <w:left w:val="nil"/>
          <w:bottom w:val="nil"/>
          <w:right w:val="nil"/>
          <w:between w:val="nil"/>
        </w:pBdr>
        <w:spacing w:line="276" w:lineRule="auto"/>
        <w:ind w:left="851" w:right="616"/>
        <w:jc w:val="both"/>
        <w:rPr>
          <w:rFonts w:ascii="Palatino Linotype" w:eastAsia="Palatino Linotype" w:hAnsi="Palatino Linotype" w:cs="Palatino Linotype"/>
          <w:i/>
          <w:color w:val="000000"/>
          <w:sz w:val="22"/>
          <w:szCs w:val="22"/>
        </w:rPr>
      </w:pPr>
      <w:r w:rsidRPr="002006D1">
        <w:rPr>
          <w:rFonts w:ascii="Palatino Linotype" w:eastAsia="Palatino Linotype" w:hAnsi="Palatino Linotype" w:cs="Palatino Linotype"/>
          <w:b/>
          <w:i/>
          <w:color w:val="000000"/>
          <w:sz w:val="22"/>
          <w:szCs w:val="22"/>
          <w:u w:val="single"/>
        </w:rPr>
        <w:t>Para el ejercicio de los derechos ARCO solicitados será necesario acreditar la identidad de titular y en su caso la identidad y personalidad</w:t>
      </w:r>
      <w:r w:rsidRPr="002006D1">
        <w:rPr>
          <w:rFonts w:ascii="Palatino Linotype" w:eastAsia="Palatino Linotype" w:hAnsi="Palatino Linotype" w:cs="Palatino Linotype"/>
          <w:i/>
          <w:color w:val="000000"/>
          <w:sz w:val="22"/>
          <w:szCs w:val="22"/>
        </w:rPr>
        <w:t xml:space="preserve"> con la que actúe el representante.</w:t>
      </w:r>
    </w:p>
    <w:p w:rsidR="003E498B" w:rsidRPr="002006D1" w:rsidRDefault="00FF54DF">
      <w:pPr>
        <w:pBdr>
          <w:top w:val="nil"/>
          <w:left w:val="nil"/>
          <w:bottom w:val="nil"/>
          <w:right w:val="nil"/>
          <w:between w:val="nil"/>
        </w:pBdr>
        <w:spacing w:line="276" w:lineRule="auto"/>
        <w:ind w:left="851" w:right="616"/>
        <w:jc w:val="both"/>
        <w:rPr>
          <w:rFonts w:ascii="Palatino Linotype" w:eastAsia="Palatino Linotype" w:hAnsi="Palatino Linotype" w:cs="Palatino Linotype"/>
          <w:i/>
          <w:color w:val="000000"/>
          <w:sz w:val="22"/>
          <w:szCs w:val="22"/>
        </w:rPr>
      </w:pPr>
      <w:r w:rsidRPr="002006D1">
        <w:rPr>
          <w:rFonts w:ascii="Palatino Linotype" w:eastAsia="Palatino Linotype" w:hAnsi="Palatino Linotype" w:cs="Palatino Linotype"/>
          <w:i/>
          <w:color w:val="000000"/>
          <w:sz w:val="22"/>
          <w:szCs w:val="22"/>
        </w:rPr>
        <w:t xml:space="preserve">…” </w:t>
      </w:r>
    </w:p>
    <w:p w:rsidR="00130B13" w:rsidRPr="002006D1" w:rsidRDefault="00FF54D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006D1">
        <w:rPr>
          <w:rFonts w:ascii="Palatino Linotype" w:eastAsia="Palatino Linotype" w:hAnsi="Palatino Linotype" w:cs="Palatino Linotype"/>
          <w:color w:val="000000"/>
        </w:rPr>
        <w:t>Ordenamiento jurídico del que se desprende que para el ejercicio de cualquiera de los derechos ARCO, el titular deberán acreditar su identidad</w:t>
      </w:r>
      <w:r w:rsidR="00130B13" w:rsidRPr="002006D1">
        <w:rPr>
          <w:rFonts w:ascii="Palatino Linotype" w:eastAsia="Palatino Linotype" w:hAnsi="Palatino Linotype" w:cs="Palatino Linotype"/>
          <w:color w:val="000000"/>
        </w:rPr>
        <w:t>.</w:t>
      </w:r>
    </w:p>
    <w:p w:rsidR="00130B13" w:rsidRPr="002006D1" w:rsidRDefault="00FF54D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006D1">
        <w:rPr>
          <w:rFonts w:ascii="Palatino Linotype" w:eastAsia="Palatino Linotype" w:hAnsi="Palatino Linotype" w:cs="Palatino Linotype"/>
          <w:color w:val="000000"/>
        </w:rPr>
        <w:t xml:space="preserve"> </w:t>
      </w:r>
    </w:p>
    <w:p w:rsidR="003E498B" w:rsidRPr="002006D1" w:rsidRDefault="00FF54D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006D1">
        <w:rPr>
          <w:rFonts w:ascii="Palatino Linotype" w:eastAsia="Palatino Linotype" w:hAnsi="Palatino Linotype" w:cs="Palatino Linotype"/>
          <w:color w:val="000000"/>
        </w:rPr>
        <w:t xml:space="preserve">Es de señalar, que de las constancias que integran el expediente del recurso de revisión de mérito,  no se advierten documentos que acrediten que los datos a los que se presente acceder correspondan a la solicitante ya que no adjuntó algún documento que permitiera identificar si se trata del titular de los datos personales, por lo que, una vez admitido el recurso de revisión y al advertirse que la solicitud </w:t>
      </w:r>
      <w:r w:rsidRPr="002006D1">
        <w:rPr>
          <w:rFonts w:ascii="Palatino Linotype" w:eastAsia="Palatino Linotype" w:hAnsi="Palatino Linotype" w:cs="Palatino Linotype"/>
          <w:color w:val="000000"/>
        </w:rPr>
        <w:lastRenderedPageBreak/>
        <w:t>de trata del ejercicio del derecho de acceso a datos personales, se procedió a reconducir la vía para resolver el asunto, ya que no es posible darle el tratamiento de acceso a información pública, toda vez que se trata de información concerniente con la vida privada del titular, por lo que se exhortó a las partes para que manifestaran su voluntad de conciliar en el presente asunto, y por consiguiente  convocar a una audiencia de conciliación a efecto de poder tutelar en su manera más amplia los derechos del solicitante, y en ese acto subsanar el requisito indispensable que no fue atendido por la parte Recurrente al momento de interponer el recurso de revisión  consistente en la acreditación de su identidad como titular de los datos a los cuales pretende acceder, en el entendido de que frecuentemente los particulares que pretenden ejercer sus derechos ARCO, no son expertos en la materia, sumado a que mayoritariamente lo hacen sin apoyo de una asesoría jurídica.</w:t>
      </w:r>
    </w:p>
    <w:p w:rsidR="003E498B" w:rsidRPr="002006D1" w:rsidRDefault="003E498B">
      <w:pPr>
        <w:pBdr>
          <w:top w:val="nil"/>
          <w:left w:val="nil"/>
          <w:bottom w:val="nil"/>
          <w:right w:val="nil"/>
          <w:between w:val="nil"/>
        </w:pBdr>
        <w:spacing w:line="360" w:lineRule="auto"/>
        <w:ind w:left="708"/>
        <w:rPr>
          <w:rFonts w:ascii="Palatino Linotype" w:eastAsia="Palatino Linotype" w:hAnsi="Palatino Linotype" w:cs="Palatino Linotype"/>
          <w:color w:val="000000"/>
        </w:rPr>
      </w:pPr>
    </w:p>
    <w:p w:rsidR="003E498B" w:rsidRPr="002006D1" w:rsidRDefault="00FF54D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006D1">
        <w:rPr>
          <w:rFonts w:ascii="Palatino Linotype" w:eastAsia="Palatino Linotype" w:hAnsi="Palatino Linotype" w:cs="Palatino Linotype"/>
          <w:color w:val="000000"/>
        </w:rPr>
        <w:t xml:space="preserve">En ese contexto, cabe hacer un paréntesis y referir que si bien la ley de la materia establece de manera puntual que para el ejercicio de los derechos ARCO solicitados </w:t>
      </w:r>
      <w:r w:rsidRPr="002006D1">
        <w:rPr>
          <w:rFonts w:ascii="Palatino Linotype" w:eastAsia="Palatino Linotype" w:hAnsi="Palatino Linotype" w:cs="Palatino Linotype"/>
          <w:b/>
          <w:color w:val="000000"/>
          <w:u w:val="single"/>
        </w:rPr>
        <w:t>será necesario acreditar la identidad del titula</w:t>
      </w:r>
      <w:r w:rsidRPr="002006D1">
        <w:rPr>
          <w:rFonts w:ascii="Palatino Linotype" w:eastAsia="Palatino Linotype" w:hAnsi="Palatino Linotype" w:cs="Palatino Linotype"/>
          <w:color w:val="000000"/>
        </w:rPr>
        <w:t>r y que en</w:t>
      </w:r>
      <w:r w:rsidRPr="002006D1">
        <w:rPr>
          <w:rFonts w:ascii="Palatino Linotype" w:eastAsia="Palatino Linotype" w:hAnsi="Palatino Linotype" w:cs="Palatino Linotype"/>
          <w:b/>
          <w:color w:val="000000"/>
          <w:u w:val="single"/>
        </w:rPr>
        <w:t xml:space="preserve"> el caso concreto </w:t>
      </w:r>
      <w:r w:rsidR="009E3790" w:rsidRPr="002006D1">
        <w:rPr>
          <w:rFonts w:ascii="Palatino Linotype" w:eastAsia="Palatino Linotype" w:hAnsi="Palatino Linotype" w:cs="Palatino Linotype"/>
          <w:b/>
          <w:color w:val="000000"/>
          <w:u w:val="single"/>
        </w:rPr>
        <w:t xml:space="preserve">NO </w:t>
      </w:r>
      <w:r w:rsidRPr="002006D1">
        <w:rPr>
          <w:rFonts w:ascii="Palatino Linotype" w:eastAsia="Palatino Linotype" w:hAnsi="Palatino Linotype" w:cs="Palatino Linotype"/>
          <w:b/>
          <w:color w:val="000000"/>
          <w:u w:val="single"/>
        </w:rPr>
        <w:t>aconteció al momento de la interposición de la solicitud</w:t>
      </w:r>
      <w:r w:rsidRPr="002006D1">
        <w:rPr>
          <w:rFonts w:ascii="Palatino Linotype" w:eastAsia="Palatino Linotype" w:hAnsi="Palatino Linotype" w:cs="Palatino Linotype"/>
          <w:color w:val="000000"/>
        </w:rPr>
        <w:t>, por ello la Ley en la materia ha estableciendo para tal efecto lo siguiente:</w:t>
      </w:r>
    </w:p>
    <w:p w:rsidR="003E498B" w:rsidRPr="002006D1" w:rsidRDefault="003E498B">
      <w:pPr>
        <w:pBdr>
          <w:top w:val="nil"/>
          <w:left w:val="nil"/>
          <w:bottom w:val="nil"/>
          <w:right w:val="nil"/>
          <w:between w:val="nil"/>
        </w:pBdr>
        <w:spacing w:line="360" w:lineRule="auto"/>
        <w:ind w:left="708"/>
        <w:rPr>
          <w:rFonts w:ascii="Palatino Linotype" w:eastAsia="Palatino Linotype" w:hAnsi="Palatino Linotype" w:cs="Palatino Linotype"/>
          <w:color w:val="000000"/>
        </w:rPr>
      </w:pPr>
    </w:p>
    <w:p w:rsidR="003E498B" w:rsidRPr="002006D1" w:rsidRDefault="00FF54DF">
      <w:pPr>
        <w:pBdr>
          <w:top w:val="nil"/>
          <w:left w:val="nil"/>
          <w:bottom w:val="nil"/>
          <w:right w:val="nil"/>
          <w:between w:val="nil"/>
        </w:pBdr>
        <w:spacing w:line="276" w:lineRule="auto"/>
        <w:ind w:left="851" w:right="616"/>
        <w:jc w:val="both"/>
        <w:rPr>
          <w:rFonts w:ascii="Palatino Linotype" w:eastAsia="Palatino Linotype" w:hAnsi="Palatino Linotype" w:cs="Palatino Linotype"/>
          <w:i/>
          <w:color w:val="000000"/>
          <w:sz w:val="22"/>
          <w:szCs w:val="22"/>
        </w:rPr>
      </w:pPr>
      <w:r w:rsidRPr="002006D1">
        <w:rPr>
          <w:rFonts w:ascii="Palatino Linotype" w:eastAsia="Palatino Linotype" w:hAnsi="Palatino Linotype" w:cs="Palatino Linotype"/>
          <w:b/>
          <w:i/>
          <w:color w:val="000000"/>
          <w:sz w:val="22"/>
          <w:szCs w:val="22"/>
        </w:rPr>
        <w:t>“Prevención por la falta de requisitos en el escrito de interposición del recurso</w:t>
      </w:r>
      <w:r w:rsidRPr="002006D1">
        <w:rPr>
          <w:rFonts w:ascii="Palatino Linotype" w:eastAsia="Palatino Linotype" w:hAnsi="Palatino Linotype" w:cs="Palatino Linotype"/>
          <w:b/>
          <w:i/>
          <w:color w:val="000000"/>
          <w:sz w:val="22"/>
          <w:szCs w:val="22"/>
        </w:rPr>
        <w:br/>
      </w:r>
      <w:r w:rsidRPr="002006D1">
        <w:rPr>
          <w:rFonts w:ascii="Palatino Linotype" w:eastAsia="Palatino Linotype" w:hAnsi="Palatino Linotype" w:cs="Palatino Linotype"/>
          <w:i/>
          <w:color w:val="000000"/>
          <w:sz w:val="22"/>
          <w:szCs w:val="22"/>
        </w:rPr>
        <w:t xml:space="preserve">Artículo 136. Si en el escrito de interposición del recurso de revisión </w:t>
      </w:r>
      <w:r w:rsidRPr="002006D1">
        <w:rPr>
          <w:rFonts w:ascii="Palatino Linotype" w:eastAsia="Palatino Linotype" w:hAnsi="Palatino Linotype" w:cs="Palatino Linotype"/>
          <w:b/>
          <w:i/>
          <w:color w:val="000000"/>
          <w:sz w:val="22"/>
          <w:szCs w:val="22"/>
        </w:rPr>
        <w:t>el recurrente no cumple con alguno de los requisitos previstos en el artículo 130</w:t>
      </w:r>
      <w:r w:rsidRPr="002006D1">
        <w:rPr>
          <w:rFonts w:ascii="Palatino Linotype" w:eastAsia="Palatino Linotype" w:hAnsi="Palatino Linotype" w:cs="Palatino Linotype"/>
          <w:i/>
          <w:color w:val="000000"/>
          <w:sz w:val="22"/>
          <w:szCs w:val="22"/>
        </w:rPr>
        <w:t xml:space="preserve"> de la presente Ley y el </w:t>
      </w:r>
      <w:r w:rsidRPr="002006D1">
        <w:rPr>
          <w:rFonts w:ascii="Palatino Linotype" w:eastAsia="Palatino Linotype" w:hAnsi="Palatino Linotype" w:cs="Palatino Linotype"/>
          <w:b/>
          <w:i/>
          <w:color w:val="000000"/>
          <w:sz w:val="22"/>
          <w:szCs w:val="22"/>
          <w:u w:val="single"/>
        </w:rPr>
        <w:t>Instituto no cuente con elementos para subsanarlos</w:t>
      </w:r>
      <w:r w:rsidRPr="002006D1">
        <w:rPr>
          <w:rFonts w:ascii="Palatino Linotype" w:eastAsia="Palatino Linotype" w:hAnsi="Palatino Linotype" w:cs="Palatino Linotype"/>
          <w:i/>
          <w:color w:val="000000"/>
          <w:sz w:val="22"/>
          <w:szCs w:val="22"/>
        </w:rPr>
        <w:t xml:space="preserve">, deberá requerir al recurrente, por una sola ocasión, la información que subsane las </w:t>
      </w:r>
      <w:r w:rsidRPr="002006D1">
        <w:rPr>
          <w:rFonts w:ascii="Palatino Linotype" w:eastAsia="Palatino Linotype" w:hAnsi="Palatino Linotype" w:cs="Palatino Linotype"/>
          <w:i/>
          <w:color w:val="000000"/>
          <w:sz w:val="22"/>
          <w:szCs w:val="22"/>
        </w:rPr>
        <w:lastRenderedPageBreak/>
        <w:t>omisiones en un plazo que no podrá exceder de cinco días, contados a partir del día siguiente de la presentación del escrito.</w:t>
      </w:r>
    </w:p>
    <w:p w:rsidR="003E498B" w:rsidRPr="002006D1" w:rsidRDefault="00FF54DF">
      <w:pPr>
        <w:pBdr>
          <w:top w:val="nil"/>
          <w:left w:val="nil"/>
          <w:bottom w:val="nil"/>
          <w:right w:val="nil"/>
          <w:between w:val="nil"/>
        </w:pBdr>
        <w:spacing w:line="276" w:lineRule="auto"/>
        <w:ind w:left="851" w:right="616"/>
        <w:jc w:val="both"/>
        <w:rPr>
          <w:rFonts w:ascii="Palatino Linotype" w:eastAsia="Palatino Linotype" w:hAnsi="Palatino Linotype" w:cs="Palatino Linotype"/>
          <w:i/>
          <w:color w:val="000000"/>
          <w:sz w:val="22"/>
          <w:szCs w:val="22"/>
        </w:rPr>
      </w:pPr>
      <w:r w:rsidRPr="002006D1">
        <w:rPr>
          <w:rFonts w:ascii="Palatino Linotype" w:eastAsia="Palatino Linotype" w:hAnsi="Palatino Linotype" w:cs="Palatino Linotype"/>
          <w:i/>
          <w:color w:val="000000"/>
          <w:sz w:val="22"/>
          <w:szCs w:val="22"/>
        </w:rPr>
        <w:t>El recurrente contará con un plazo que no podrá exceder de cinco días, contados a partir del día siguiente al de la notificación de la prevención, para subsanar las omisiones, con el apercibimiento que en caso de no cumplir con el requerimiento, se desechará el recurso de revisión.</w:t>
      </w:r>
    </w:p>
    <w:p w:rsidR="003E498B" w:rsidRPr="002006D1" w:rsidRDefault="00FF54DF">
      <w:pPr>
        <w:pBdr>
          <w:top w:val="nil"/>
          <w:left w:val="nil"/>
          <w:bottom w:val="nil"/>
          <w:right w:val="nil"/>
          <w:between w:val="nil"/>
        </w:pBdr>
        <w:spacing w:line="276" w:lineRule="auto"/>
        <w:ind w:left="851" w:right="616"/>
        <w:jc w:val="both"/>
        <w:rPr>
          <w:rFonts w:ascii="Palatino Linotype" w:eastAsia="Palatino Linotype" w:hAnsi="Palatino Linotype" w:cs="Palatino Linotype"/>
          <w:color w:val="000000"/>
          <w:sz w:val="22"/>
          <w:szCs w:val="22"/>
        </w:rPr>
      </w:pPr>
      <w:r w:rsidRPr="002006D1">
        <w:rPr>
          <w:rFonts w:ascii="Palatino Linotype" w:eastAsia="Palatino Linotype" w:hAnsi="Palatino Linotype" w:cs="Palatino Linotype"/>
          <w:i/>
          <w:color w:val="000000"/>
          <w:sz w:val="22"/>
          <w:szCs w:val="22"/>
        </w:rPr>
        <w:t>La prevención tendrá el efecto de interrumpir el plazo que tiene el Instituto para resolver el recurso, por lo que comenzará a computarse a partir del día siguiente a su desahogo.”</w:t>
      </w:r>
    </w:p>
    <w:p w:rsidR="003E498B" w:rsidRPr="002006D1" w:rsidRDefault="003E498B">
      <w:pPr>
        <w:pBdr>
          <w:top w:val="nil"/>
          <w:left w:val="nil"/>
          <w:bottom w:val="nil"/>
          <w:right w:val="nil"/>
          <w:between w:val="nil"/>
        </w:pBdr>
        <w:spacing w:line="360" w:lineRule="auto"/>
        <w:ind w:left="426"/>
        <w:rPr>
          <w:rFonts w:ascii="Palatino Linotype" w:eastAsia="Palatino Linotype" w:hAnsi="Palatino Linotype" w:cs="Palatino Linotype"/>
          <w:color w:val="000000"/>
        </w:rPr>
      </w:pPr>
    </w:p>
    <w:p w:rsidR="003E498B" w:rsidRPr="002006D1" w:rsidRDefault="00BB108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006D1">
        <w:rPr>
          <w:rFonts w:ascii="Palatino Linotype" w:eastAsia="Palatino Linotype" w:hAnsi="Palatino Linotype" w:cs="Palatino Linotype"/>
          <w:color w:val="000000"/>
        </w:rPr>
        <w:t>Para efectos del presente asunto, d</w:t>
      </w:r>
      <w:r w:rsidR="00FF54DF" w:rsidRPr="002006D1">
        <w:rPr>
          <w:rFonts w:ascii="Palatino Linotype" w:eastAsia="Palatino Linotype" w:hAnsi="Palatino Linotype" w:cs="Palatino Linotype"/>
          <w:color w:val="000000"/>
        </w:rPr>
        <w:t xml:space="preserve">el  precepto jurídico de referencia, </w:t>
      </w:r>
      <w:r w:rsidR="00FF54DF" w:rsidRPr="002006D1">
        <w:rPr>
          <w:rFonts w:ascii="Palatino Linotype" w:eastAsia="Palatino Linotype" w:hAnsi="Palatino Linotype" w:cs="Palatino Linotype"/>
          <w:b/>
          <w:color w:val="000000"/>
        </w:rPr>
        <w:t xml:space="preserve">se advierte que si bien el particular no acreditó su </w:t>
      </w:r>
      <w:r w:rsidRPr="002006D1">
        <w:rPr>
          <w:rFonts w:ascii="Palatino Linotype" w:eastAsia="Palatino Linotype" w:hAnsi="Palatino Linotype" w:cs="Palatino Linotype"/>
          <w:b/>
          <w:color w:val="000000"/>
        </w:rPr>
        <w:t>identidad</w:t>
      </w:r>
      <w:r w:rsidR="00FF54DF" w:rsidRPr="002006D1">
        <w:rPr>
          <w:rFonts w:ascii="Palatino Linotype" w:eastAsia="Palatino Linotype" w:hAnsi="Palatino Linotype" w:cs="Palatino Linotype"/>
          <w:b/>
          <w:color w:val="000000"/>
        </w:rPr>
        <w:t xml:space="preserve"> al momento de interponer el recurso de revisión,</w:t>
      </w:r>
      <w:r w:rsidR="00FF54DF" w:rsidRPr="002006D1">
        <w:rPr>
          <w:rFonts w:ascii="Palatino Linotype" w:eastAsia="Palatino Linotype" w:hAnsi="Palatino Linotype" w:cs="Palatino Linotype"/>
          <w:color w:val="000000"/>
        </w:rPr>
        <w:t xml:space="preserve"> corresponde a un elemento subsanable, en virtud de que para el desahogo del recurso de revisión en el ejercicio de los derechos ARCO, la Ley de la materia establece la necesidad de convocar a una audiencia de conciliación, momento procesal en el cual se puede subsanar la omisión de la falta de ese requisito; por tanto se estima como un elemento subsanable por parte de este Organismo Garante, </w:t>
      </w:r>
      <w:r w:rsidR="00FF54DF" w:rsidRPr="002006D1">
        <w:rPr>
          <w:rFonts w:ascii="Palatino Linotype" w:eastAsia="Palatino Linotype" w:hAnsi="Palatino Linotype" w:cs="Palatino Linotype"/>
          <w:i/>
          <w:color w:val="000000"/>
        </w:rPr>
        <w:t>máxime</w:t>
      </w:r>
      <w:r w:rsidR="00FF54DF" w:rsidRPr="002006D1">
        <w:rPr>
          <w:rFonts w:ascii="Palatino Linotype" w:eastAsia="Palatino Linotype" w:hAnsi="Palatino Linotype" w:cs="Palatino Linotype"/>
          <w:color w:val="000000"/>
        </w:rPr>
        <w:t xml:space="preserve"> que independientemente de que en su caso hubiera cumplido dicho requisito de manera inicial, debía acreditar identidad para poder llevar acabo la conciliación. </w:t>
      </w:r>
    </w:p>
    <w:p w:rsidR="003E498B" w:rsidRPr="002006D1" w:rsidRDefault="003E498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3E498B" w:rsidRPr="002006D1" w:rsidRDefault="00FF54D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006D1">
        <w:rPr>
          <w:rFonts w:ascii="Palatino Linotype" w:eastAsia="Palatino Linotype" w:hAnsi="Palatino Linotype" w:cs="Palatino Linotype"/>
          <w:color w:val="000000"/>
        </w:rPr>
        <w:t xml:space="preserve">Por lo tanto, siendo un elemento subsanable, se admitió el recurso de revisión con el objeto de tutelar de manera más amplia el ejercicio del derecho de acceso a datos personales del solicitante, otorgado la posibilidad de que en la audiencia de conciliación el titular acreditara su identidad y así cumplir con el requisito de procedencia previsto en la Ley en la materia. </w:t>
      </w:r>
    </w:p>
    <w:p w:rsidR="003E498B" w:rsidRPr="002006D1" w:rsidRDefault="003E498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3E498B" w:rsidRPr="002006D1" w:rsidRDefault="00FF54D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006D1">
        <w:rPr>
          <w:rFonts w:ascii="Palatino Linotype" w:eastAsia="Palatino Linotype" w:hAnsi="Palatino Linotype" w:cs="Palatino Linotype"/>
          <w:color w:val="000000"/>
        </w:rPr>
        <w:lastRenderedPageBreak/>
        <w:t>No obstante lo anterior, dejaron de exist</w:t>
      </w:r>
      <w:r w:rsidR="009B7EBE" w:rsidRPr="002006D1">
        <w:rPr>
          <w:rFonts w:ascii="Palatino Linotype" w:eastAsia="Palatino Linotype" w:hAnsi="Palatino Linotype" w:cs="Palatino Linotype"/>
          <w:color w:val="000000"/>
        </w:rPr>
        <w:t xml:space="preserve">ir manifestaciones de la parte </w:t>
      </w:r>
      <w:r w:rsidRPr="002006D1">
        <w:rPr>
          <w:rFonts w:ascii="Palatino Linotype" w:eastAsia="Palatino Linotype" w:hAnsi="Palatino Linotype" w:cs="Palatino Linotype"/>
          <w:b/>
          <w:color w:val="000000"/>
        </w:rPr>
        <w:t xml:space="preserve">Recurrente </w:t>
      </w:r>
      <w:r w:rsidRPr="002006D1">
        <w:rPr>
          <w:rFonts w:ascii="Palatino Linotype" w:eastAsia="Palatino Linotype" w:hAnsi="Palatino Linotype" w:cs="Palatino Linotype"/>
          <w:color w:val="000000"/>
        </w:rPr>
        <w:t xml:space="preserve">subsistiendo la causal de improcedencia consistente en la acreditación de la identidad del titular. </w:t>
      </w:r>
    </w:p>
    <w:p w:rsidR="003E498B" w:rsidRPr="002006D1" w:rsidRDefault="003E498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3E498B" w:rsidRPr="002006D1" w:rsidRDefault="00FF54DF">
      <w:pPr>
        <w:pBdr>
          <w:top w:val="nil"/>
          <w:left w:val="nil"/>
          <w:bottom w:val="nil"/>
          <w:right w:val="nil"/>
          <w:between w:val="nil"/>
        </w:pBdr>
        <w:spacing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 xml:space="preserve">Asimismo, al no constar el manifestación de la voluntad de la parte </w:t>
      </w:r>
      <w:r w:rsidRPr="002006D1">
        <w:rPr>
          <w:rFonts w:ascii="Palatino Linotype" w:eastAsia="Palatino Linotype" w:hAnsi="Palatino Linotype" w:cs="Palatino Linotype"/>
          <w:b/>
        </w:rPr>
        <w:t xml:space="preserve">Recurrente </w:t>
      </w:r>
      <w:r w:rsidRPr="002006D1">
        <w:rPr>
          <w:rFonts w:ascii="Palatino Linotype" w:eastAsia="Palatino Linotype" w:hAnsi="Palatino Linotype" w:cs="Palatino Linotype"/>
        </w:rPr>
        <w:t xml:space="preserve">para conciliar el presente asunto, se hizo de su conocimiento el </w:t>
      </w:r>
      <w:r w:rsidRPr="002006D1">
        <w:rPr>
          <w:rFonts w:ascii="Palatino Linotype" w:eastAsia="Palatino Linotype" w:hAnsi="Palatino Linotype" w:cs="Palatino Linotype"/>
          <w:u w:val="single"/>
        </w:rPr>
        <w:t xml:space="preserve">acuerdo mediante el cual se le requirió </w:t>
      </w:r>
      <w:r w:rsidRPr="002006D1">
        <w:rPr>
          <w:rFonts w:ascii="Palatino Linotype" w:eastAsia="Palatino Linotype" w:hAnsi="Palatino Linotype" w:cs="Palatino Linotype"/>
        </w:rPr>
        <w:t xml:space="preserve">para que en plazo no mayor a cinco días hábiles exhibiera los documentos que acreditaran su identidad para efecto de que el Pleno de este Instituto contara con elementos exigidos para la Ley en la materia para garantizar el ejercicio del derecho de acceso a datos personales. </w:t>
      </w:r>
    </w:p>
    <w:p w:rsidR="003E498B" w:rsidRPr="002006D1" w:rsidRDefault="003E498B">
      <w:pPr>
        <w:pBdr>
          <w:top w:val="nil"/>
          <w:left w:val="nil"/>
          <w:bottom w:val="nil"/>
          <w:right w:val="nil"/>
          <w:between w:val="nil"/>
        </w:pBdr>
        <w:spacing w:line="360" w:lineRule="auto"/>
        <w:jc w:val="both"/>
        <w:rPr>
          <w:rFonts w:ascii="Palatino Linotype" w:eastAsia="Palatino Linotype" w:hAnsi="Palatino Linotype" w:cs="Palatino Linotype"/>
        </w:rPr>
      </w:pPr>
    </w:p>
    <w:p w:rsidR="003E498B" w:rsidRPr="002006D1" w:rsidRDefault="00FF54DF">
      <w:pPr>
        <w:pBdr>
          <w:top w:val="nil"/>
          <w:left w:val="nil"/>
          <w:bottom w:val="nil"/>
          <w:right w:val="nil"/>
          <w:between w:val="nil"/>
        </w:pBdr>
        <w:spacing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 xml:space="preserve">Es así que, de las constancias que integran el expediente electrónico del recurso de revisión de mérito, se tiene la parte  </w:t>
      </w:r>
      <w:r w:rsidRPr="002006D1">
        <w:rPr>
          <w:rFonts w:ascii="Palatino Linotype" w:eastAsia="Palatino Linotype" w:hAnsi="Palatino Linotype" w:cs="Palatino Linotype"/>
          <w:b/>
        </w:rPr>
        <w:t xml:space="preserve">Recurrente </w:t>
      </w:r>
      <w:r w:rsidRPr="002006D1">
        <w:rPr>
          <w:rFonts w:ascii="Palatino Linotype" w:eastAsia="Palatino Linotype" w:hAnsi="Palatino Linotype" w:cs="Palatino Linotype"/>
        </w:rPr>
        <w:t xml:space="preserve">no atendió el requerimiento en el plazo establecido y por lo tanto subsiste el incumplimiento al requisito establecido en el artículo 106 de </w:t>
      </w:r>
      <w:r w:rsidRPr="002006D1">
        <w:rPr>
          <w:rFonts w:ascii="Palatino Linotype" w:eastAsia="Palatino Linotype" w:hAnsi="Palatino Linotype" w:cs="Palatino Linotype"/>
          <w:b/>
        </w:rPr>
        <w:t xml:space="preserve">Ley de Protección de Datos Personales en Posesión de Sujeto Obligados del Estado de México y Municipios </w:t>
      </w:r>
      <w:r w:rsidRPr="002006D1">
        <w:rPr>
          <w:rFonts w:ascii="Palatino Linotype" w:eastAsia="Palatino Linotype" w:hAnsi="Palatino Linotype" w:cs="Palatino Linotype"/>
        </w:rPr>
        <w:t>que claramente establece que para el ejercicio de los derechos ARCO será necesario acreditar la identidad de</w:t>
      </w:r>
      <w:r w:rsidR="0074199A" w:rsidRPr="002006D1">
        <w:rPr>
          <w:rFonts w:ascii="Palatino Linotype" w:eastAsia="Palatino Linotype" w:hAnsi="Palatino Linotype" w:cs="Palatino Linotype"/>
        </w:rPr>
        <w:t>l</w:t>
      </w:r>
      <w:r w:rsidRPr="002006D1">
        <w:rPr>
          <w:rFonts w:ascii="Palatino Linotype" w:eastAsia="Palatino Linotype" w:hAnsi="Palatino Linotype" w:cs="Palatino Linotype"/>
        </w:rPr>
        <w:t xml:space="preserve"> titular </w:t>
      </w:r>
      <w:r w:rsidR="0074199A" w:rsidRPr="002006D1">
        <w:rPr>
          <w:rFonts w:ascii="Palatino Linotype" w:eastAsia="Palatino Linotype" w:hAnsi="Palatino Linotype" w:cs="Palatino Linotype"/>
        </w:rPr>
        <w:t xml:space="preserve">de los datos personales. </w:t>
      </w:r>
    </w:p>
    <w:p w:rsidR="003E498B" w:rsidRPr="002006D1" w:rsidRDefault="003E498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3E498B" w:rsidRPr="002006D1" w:rsidRDefault="00FF54D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006D1">
        <w:rPr>
          <w:rFonts w:ascii="Palatino Linotype" w:eastAsia="Palatino Linotype" w:hAnsi="Palatino Linotype" w:cs="Palatino Linotype"/>
          <w:color w:val="000000"/>
        </w:rPr>
        <w:t>En ese sentido</w:t>
      </w:r>
      <w:r w:rsidRPr="002006D1">
        <w:rPr>
          <w:rFonts w:ascii="Palatino Linotype" w:eastAsia="Palatino Linotype" w:hAnsi="Palatino Linotype" w:cs="Palatino Linotype"/>
          <w:b/>
          <w:color w:val="000000"/>
        </w:rPr>
        <w:t xml:space="preserve"> </w:t>
      </w:r>
      <w:r w:rsidRPr="002006D1">
        <w:rPr>
          <w:rFonts w:ascii="Palatino Linotype" w:eastAsia="Palatino Linotype" w:hAnsi="Palatino Linotype" w:cs="Palatino Linotype"/>
          <w:color w:val="000000"/>
        </w:rPr>
        <w:t xml:space="preserve">el </w:t>
      </w:r>
      <w:r w:rsidRPr="002006D1">
        <w:rPr>
          <w:rFonts w:ascii="Palatino Linotype" w:eastAsia="Palatino Linotype" w:hAnsi="Palatino Linotype" w:cs="Palatino Linotype"/>
          <w:b/>
          <w:color w:val="000000"/>
        </w:rPr>
        <w:t>artículo 139</w:t>
      </w:r>
      <w:r w:rsidRPr="002006D1">
        <w:rPr>
          <w:rFonts w:ascii="Palatino Linotype" w:eastAsia="Palatino Linotype" w:hAnsi="Palatino Linotype" w:cs="Palatino Linotype"/>
          <w:color w:val="000000"/>
        </w:rPr>
        <w:t xml:space="preserve"> de la Ley de Protección de Datos Personales en Posesión de Sujetos Obligados del Estado de México y Municipios, señala: </w:t>
      </w:r>
    </w:p>
    <w:p w:rsidR="003E498B" w:rsidRPr="002006D1" w:rsidRDefault="003E498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3E498B" w:rsidRPr="002006D1" w:rsidRDefault="00FF54DF">
      <w:pPr>
        <w:pBdr>
          <w:top w:val="nil"/>
          <w:left w:val="nil"/>
          <w:bottom w:val="nil"/>
          <w:right w:val="nil"/>
          <w:between w:val="nil"/>
        </w:pBdr>
        <w:spacing w:line="360" w:lineRule="auto"/>
        <w:ind w:left="851" w:right="616"/>
        <w:jc w:val="both"/>
        <w:rPr>
          <w:rFonts w:ascii="Palatino Linotype" w:eastAsia="Palatino Linotype" w:hAnsi="Palatino Linotype" w:cs="Palatino Linotype"/>
          <w:i/>
          <w:color w:val="000000"/>
          <w:sz w:val="22"/>
          <w:szCs w:val="22"/>
        </w:rPr>
      </w:pPr>
      <w:r w:rsidRPr="002006D1">
        <w:rPr>
          <w:i/>
          <w:color w:val="000000"/>
          <w:sz w:val="22"/>
          <w:szCs w:val="22"/>
        </w:rPr>
        <w:t>“</w:t>
      </w:r>
      <w:r w:rsidRPr="002006D1">
        <w:rPr>
          <w:rFonts w:ascii="Palatino Linotype" w:eastAsia="Palatino Linotype" w:hAnsi="Palatino Linotype" w:cs="Palatino Linotype"/>
          <w:b/>
          <w:i/>
          <w:color w:val="000000"/>
          <w:sz w:val="22"/>
          <w:szCs w:val="22"/>
        </w:rPr>
        <w:t>Artículo 139</w:t>
      </w:r>
      <w:r w:rsidRPr="002006D1">
        <w:rPr>
          <w:rFonts w:ascii="Palatino Linotype" w:eastAsia="Palatino Linotype" w:hAnsi="Palatino Linotype" w:cs="Palatino Linotype"/>
          <w:i/>
          <w:color w:val="000000"/>
          <w:sz w:val="22"/>
          <w:szCs w:val="22"/>
        </w:rPr>
        <w:t xml:space="preserve">. El recurso de revisión sólo podrá ser sobreseído cuando: </w:t>
      </w:r>
    </w:p>
    <w:p w:rsidR="003E498B" w:rsidRPr="002006D1" w:rsidRDefault="00FF54DF">
      <w:pPr>
        <w:pBdr>
          <w:top w:val="nil"/>
          <w:left w:val="nil"/>
          <w:bottom w:val="nil"/>
          <w:right w:val="nil"/>
          <w:between w:val="nil"/>
        </w:pBdr>
        <w:spacing w:line="360" w:lineRule="auto"/>
        <w:ind w:left="851" w:right="616"/>
        <w:jc w:val="both"/>
        <w:rPr>
          <w:rFonts w:ascii="Palatino Linotype" w:eastAsia="Palatino Linotype" w:hAnsi="Palatino Linotype" w:cs="Palatino Linotype"/>
          <w:i/>
          <w:color w:val="000000"/>
          <w:sz w:val="22"/>
          <w:szCs w:val="22"/>
        </w:rPr>
      </w:pPr>
      <w:r w:rsidRPr="002006D1">
        <w:rPr>
          <w:rFonts w:ascii="Palatino Linotype" w:eastAsia="Palatino Linotype" w:hAnsi="Palatino Linotype" w:cs="Palatino Linotype"/>
          <w:i/>
          <w:color w:val="000000"/>
          <w:sz w:val="22"/>
          <w:szCs w:val="22"/>
        </w:rPr>
        <w:t>I. El recurrente se desista expresamente. I</w:t>
      </w:r>
    </w:p>
    <w:p w:rsidR="003E498B" w:rsidRPr="002006D1" w:rsidRDefault="00FF54DF">
      <w:pPr>
        <w:pBdr>
          <w:top w:val="nil"/>
          <w:left w:val="nil"/>
          <w:bottom w:val="nil"/>
          <w:right w:val="nil"/>
          <w:between w:val="nil"/>
        </w:pBdr>
        <w:spacing w:line="360" w:lineRule="auto"/>
        <w:ind w:left="851" w:right="616"/>
        <w:jc w:val="both"/>
        <w:rPr>
          <w:rFonts w:ascii="Palatino Linotype" w:eastAsia="Palatino Linotype" w:hAnsi="Palatino Linotype" w:cs="Palatino Linotype"/>
          <w:i/>
          <w:color w:val="000000"/>
          <w:sz w:val="22"/>
          <w:szCs w:val="22"/>
        </w:rPr>
      </w:pPr>
      <w:r w:rsidRPr="002006D1">
        <w:rPr>
          <w:rFonts w:ascii="Palatino Linotype" w:eastAsia="Palatino Linotype" w:hAnsi="Palatino Linotype" w:cs="Palatino Linotype"/>
          <w:i/>
          <w:color w:val="000000"/>
          <w:sz w:val="22"/>
          <w:szCs w:val="22"/>
        </w:rPr>
        <w:lastRenderedPageBreak/>
        <w:t xml:space="preserve">I. El recurrente fallezca. </w:t>
      </w:r>
    </w:p>
    <w:p w:rsidR="003E498B" w:rsidRPr="002006D1" w:rsidRDefault="00FF54DF">
      <w:pPr>
        <w:pBdr>
          <w:top w:val="nil"/>
          <w:left w:val="nil"/>
          <w:bottom w:val="nil"/>
          <w:right w:val="nil"/>
          <w:between w:val="nil"/>
        </w:pBdr>
        <w:spacing w:line="360" w:lineRule="auto"/>
        <w:ind w:left="851" w:right="616"/>
        <w:jc w:val="both"/>
        <w:rPr>
          <w:rFonts w:ascii="Palatino Linotype" w:eastAsia="Palatino Linotype" w:hAnsi="Palatino Linotype" w:cs="Palatino Linotype"/>
          <w:i/>
          <w:color w:val="000000"/>
          <w:sz w:val="22"/>
          <w:szCs w:val="22"/>
        </w:rPr>
      </w:pPr>
      <w:r w:rsidRPr="002006D1">
        <w:rPr>
          <w:rFonts w:ascii="Palatino Linotype" w:eastAsia="Palatino Linotype" w:hAnsi="Palatino Linotype" w:cs="Palatino Linotype"/>
          <w:b/>
          <w:i/>
          <w:color w:val="000000"/>
          <w:sz w:val="22"/>
          <w:szCs w:val="22"/>
          <w:u w:val="single"/>
        </w:rPr>
        <w:t>III. Admitido el recurso de revisión, se actualice alguna causal de improcedencia en los términos de la presente Ley</w:t>
      </w:r>
      <w:r w:rsidRPr="002006D1">
        <w:rPr>
          <w:rFonts w:ascii="Palatino Linotype" w:eastAsia="Palatino Linotype" w:hAnsi="Palatino Linotype" w:cs="Palatino Linotype"/>
          <w:i/>
          <w:color w:val="000000"/>
          <w:sz w:val="22"/>
          <w:szCs w:val="22"/>
        </w:rPr>
        <w:t xml:space="preserve">. </w:t>
      </w:r>
    </w:p>
    <w:p w:rsidR="003E498B" w:rsidRPr="002006D1" w:rsidRDefault="00FF54DF">
      <w:pPr>
        <w:pBdr>
          <w:top w:val="nil"/>
          <w:left w:val="nil"/>
          <w:bottom w:val="nil"/>
          <w:right w:val="nil"/>
          <w:between w:val="nil"/>
        </w:pBdr>
        <w:spacing w:line="360" w:lineRule="auto"/>
        <w:ind w:left="851" w:right="616"/>
        <w:jc w:val="both"/>
        <w:rPr>
          <w:rFonts w:ascii="Palatino Linotype" w:eastAsia="Palatino Linotype" w:hAnsi="Palatino Linotype" w:cs="Palatino Linotype"/>
          <w:i/>
          <w:color w:val="000000"/>
          <w:sz w:val="22"/>
          <w:szCs w:val="22"/>
        </w:rPr>
      </w:pPr>
      <w:r w:rsidRPr="002006D1">
        <w:rPr>
          <w:rFonts w:ascii="Palatino Linotype" w:eastAsia="Palatino Linotype" w:hAnsi="Palatino Linotype" w:cs="Palatino Linotype"/>
          <w:i/>
          <w:color w:val="000000"/>
          <w:sz w:val="22"/>
          <w:szCs w:val="22"/>
        </w:rPr>
        <w:t xml:space="preserve">IV. El responsable modifique o revoque su respuesta de tal manera que el recurso de revisión quede sin materia. </w:t>
      </w:r>
    </w:p>
    <w:p w:rsidR="003E498B" w:rsidRPr="002006D1" w:rsidRDefault="00FF54DF">
      <w:pPr>
        <w:pBdr>
          <w:top w:val="nil"/>
          <w:left w:val="nil"/>
          <w:bottom w:val="nil"/>
          <w:right w:val="nil"/>
          <w:between w:val="nil"/>
        </w:pBdr>
        <w:spacing w:line="360" w:lineRule="auto"/>
        <w:ind w:left="851" w:right="616"/>
        <w:jc w:val="both"/>
        <w:rPr>
          <w:rFonts w:ascii="Palatino Linotype" w:eastAsia="Palatino Linotype" w:hAnsi="Palatino Linotype" w:cs="Palatino Linotype"/>
          <w:i/>
          <w:color w:val="000000"/>
          <w:sz w:val="22"/>
          <w:szCs w:val="22"/>
        </w:rPr>
      </w:pPr>
      <w:r w:rsidRPr="002006D1">
        <w:rPr>
          <w:rFonts w:ascii="Palatino Linotype" w:eastAsia="Palatino Linotype" w:hAnsi="Palatino Linotype" w:cs="Palatino Linotype"/>
          <w:i/>
          <w:color w:val="000000"/>
          <w:sz w:val="22"/>
          <w:szCs w:val="22"/>
        </w:rPr>
        <w:t>V. Quede sin materia el recurso de revisión.</w:t>
      </w:r>
    </w:p>
    <w:p w:rsidR="003E498B" w:rsidRPr="002006D1" w:rsidRDefault="003E498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3E498B" w:rsidRPr="002006D1" w:rsidRDefault="00FF54D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006D1">
        <w:rPr>
          <w:rFonts w:ascii="Palatino Linotype" w:eastAsia="Palatino Linotype" w:hAnsi="Palatino Linotype" w:cs="Palatino Linotype"/>
          <w:color w:val="000000"/>
        </w:rPr>
        <w:t xml:space="preserve">Por consiguiente, de las constancias que obran en el expediente electrónico en que se actúa, se advierte que se actualiza el supuesto de sobreseimiento previsto en la fracción III, del artículo en comento, el cual establece que admitido el recurso de revisión, se actualice alguna causal de improcedencia. </w:t>
      </w:r>
    </w:p>
    <w:p w:rsidR="003E498B" w:rsidRPr="002006D1" w:rsidRDefault="003E498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3E498B" w:rsidRPr="002006D1" w:rsidRDefault="00FF54D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006D1">
        <w:rPr>
          <w:rFonts w:ascii="Palatino Linotype" w:eastAsia="Palatino Linotype" w:hAnsi="Palatino Linotype" w:cs="Palatino Linotype"/>
          <w:color w:val="000000"/>
        </w:rPr>
        <w:t xml:space="preserve">En ese sentido, el </w:t>
      </w:r>
      <w:r w:rsidRPr="002006D1">
        <w:rPr>
          <w:rFonts w:ascii="Palatino Linotype" w:eastAsia="Palatino Linotype" w:hAnsi="Palatino Linotype" w:cs="Palatino Linotype"/>
          <w:b/>
          <w:color w:val="000000"/>
        </w:rPr>
        <w:t>artículo 138</w:t>
      </w:r>
      <w:r w:rsidRPr="002006D1">
        <w:rPr>
          <w:rFonts w:ascii="Palatino Linotype" w:eastAsia="Palatino Linotype" w:hAnsi="Palatino Linotype" w:cs="Palatino Linotype"/>
          <w:color w:val="000000"/>
        </w:rPr>
        <w:t xml:space="preserve"> de la Ley  la materia dispone: </w:t>
      </w:r>
    </w:p>
    <w:p w:rsidR="003E498B" w:rsidRPr="002006D1" w:rsidRDefault="00FF54DF">
      <w:pPr>
        <w:pBdr>
          <w:top w:val="nil"/>
          <w:left w:val="nil"/>
          <w:bottom w:val="nil"/>
          <w:right w:val="nil"/>
          <w:between w:val="nil"/>
        </w:pBdr>
        <w:spacing w:line="276" w:lineRule="auto"/>
        <w:ind w:left="851" w:right="616"/>
        <w:jc w:val="both"/>
        <w:rPr>
          <w:rFonts w:ascii="Palatino Linotype" w:eastAsia="Palatino Linotype" w:hAnsi="Palatino Linotype" w:cs="Palatino Linotype"/>
          <w:i/>
          <w:color w:val="000000"/>
          <w:sz w:val="22"/>
          <w:szCs w:val="22"/>
        </w:rPr>
      </w:pPr>
      <w:r w:rsidRPr="002006D1">
        <w:rPr>
          <w:rFonts w:ascii="Palatino Linotype" w:eastAsia="Palatino Linotype" w:hAnsi="Palatino Linotype" w:cs="Palatino Linotype"/>
          <w:b/>
          <w:i/>
          <w:color w:val="000000"/>
          <w:sz w:val="22"/>
          <w:szCs w:val="22"/>
        </w:rPr>
        <w:t>Artículo 138</w:t>
      </w:r>
      <w:r w:rsidRPr="002006D1">
        <w:rPr>
          <w:rFonts w:ascii="Palatino Linotype" w:eastAsia="Palatino Linotype" w:hAnsi="Palatino Linotype" w:cs="Palatino Linotype"/>
          <w:i/>
          <w:color w:val="000000"/>
          <w:sz w:val="22"/>
          <w:szCs w:val="22"/>
        </w:rPr>
        <w:t xml:space="preserve">. El recurso de revisión podrá ser desechado por improcedente cuando: I. Sea extemporáneo por haber transcurrido el plazo establecido en el artículo 128 de la presente Ley. </w:t>
      </w:r>
    </w:p>
    <w:p w:rsidR="003E498B" w:rsidRPr="002006D1" w:rsidRDefault="00FF54DF">
      <w:pPr>
        <w:pBdr>
          <w:top w:val="nil"/>
          <w:left w:val="nil"/>
          <w:bottom w:val="nil"/>
          <w:right w:val="nil"/>
          <w:between w:val="nil"/>
        </w:pBdr>
        <w:spacing w:line="276" w:lineRule="auto"/>
        <w:ind w:left="851" w:right="616"/>
        <w:jc w:val="both"/>
        <w:rPr>
          <w:rFonts w:ascii="Palatino Linotype" w:eastAsia="Palatino Linotype" w:hAnsi="Palatino Linotype" w:cs="Palatino Linotype"/>
          <w:b/>
          <w:i/>
          <w:color w:val="000000"/>
          <w:sz w:val="22"/>
          <w:szCs w:val="22"/>
          <w:u w:val="single"/>
        </w:rPr>
      </w:pPr>
      <w:r w:rsidRPr="002006D1">
        <w:rPr>
          <w:rFonts w:ascii="Palatino Linotype" w:eastAsia="Palatino Linotype" w:hAnsi="Palatino Linotype" w:cs="Palatino Linotype"/>
          <w:b/>
          <w:i/>
          <w:color w:val="000000"/>
          <w:sz w:val="22"/>
          <w:szCs w:val="22"/>
          <w:u w:val="single"/>
        </w:rPr>
        <w:t>II. El titular o su representante no acrediten debidamente su identidad y personalidad de este último.</w:t>
      </w:r>
    </w:p>
    <w:p w:rsidR="003E498B" w:rsidRPr="002006D1" w:rsidRDefault="00FF54DF">
      <w:pPr>
        <w:pBdr>
          <w:top w:val="nil"/>
          <w:left w:val="nil"/>
          <w:bottom w:val="nil"/>
          <w:right w:val="nil"/>
          <w:between w:val="nil"/>
        </w:pBdr>
        <w:spacing w:line="276" w:lineRule="auto"/>
        <w:ind w:left="851" w:right="616"/>
        <w:jc w:val="both"/>
        <w:rPr>
          <w:rFonts w:ascii="Palatino Linotype" w:eastAsia="Palatino Linotype" w:hAnsi="Palatino Linotype" w:cs="Palatino Linotype"/>
          <w:b/>
          <w:i/>
          <w:color w:val="000000"/>
          <w:sz w:val="22"/>
          <w:szCs w:val="22"/>
        </w:rPr>
      </w:pPr>
      <w:r w:rsidRPr="002006D1">
        <w:rPr>
          <w:rFonts w:ascii="Palatino Linotype" w:eastAsia="Palatino Linotype" w:hAnsi="Palatino Linotype" w:cs="Palatino Linotype"/>
          <w:b/>
          <w:i/>
          <w:color w:val="000000"/>
          <w:sz w:val="22"/>
          <w:szCs w:val="22"/>
        </w:rPr>
        <w:t>…”</w:t>
      </w:r>
    </w:p>
    <w:p w:rsidR="003E498B" w:rsidRPr="002006D1" w:rsidRDefault="003E498B">
      <w:pPr>
        <w:pBdr>
          <w:top w:val="nil"/>
          <w:left w:val="nil"/>
          <w:bottom w:val="nil"/>
          <w:right w:val="nil"/>
          <w:between w:val="nil"/>
        </w:pBdr>
        <w:spacing w:line="360" w:lineRule="auto"/>
        <w:ind w:left="851" w:right="616"/>
        <w:jc w:val="both"/>
        <w:rPr>
          <w:rFonts w:ascii="Palatino Linotype" w:eastAsia="Palatino Linotype" w:hAnsi="Palatino Linotype" w:cs="Palatino Linotype"/>
          <w:i/>
          <w:color w:val="000000"/>
          <w:sz w:val="22"/>
          <w:szCs w:val="22"/>
        </w:rPr>
      </w:pPr>
    </w:p>
    <w:p w:rsidR="003E498B" w:rsidRPr="002006D1" w:rsidRDefault="00FF54D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006D1">
        <w:rPr>
          <w:rFonts w:ascii="Palatino Linotype" w:eastAsia="Palatino Linotype" w:hAnsi="Palatino Linotype" w:cs="Palatino Linotype"/>
          <w:color w:val="000000"/>
        </w:rPr>
        <w:t xml:space="preserve">En este contexto, el artículo </w:t>
      </w:r>
      <w:r w:rsidRPr="002006D1">
        <w:rPr>
          <w:rFonts w:ascii="Palatino Linotype" w:eastAsia="Palatino Linotype" w:hAnsi="Palatino Linotype" w:cs="Palatino Linotype"/>
          <w:b/>
          <w:color w:val="000000"/>
        </w:rPr>
        <w:t xml:space="preserve">137 </w:t>
      </w:r>
      <w:proofErr w:type="gramStart"/>
      <w:r w:rsidRPr="002006D1">
        <w:rPr>
          <w:rFonts w:ascii="Palatino Linotype" w:eastAsia="Palatino Linotype" w:hAnsi="Palatino Linotype" w:cs="Palatino Linotype"/>
          <w:b/>
          <w:color w:val="000000"/>
        </w:rPr>
        <w:t>fracción</w:t>
      </w:r>
      <w:proofErr w:type="gramEnd"/>
      <w:r w:rsidRPr="002006D1">
        <w:rPr>
          <w:rFonts w:ascii="Palatino Linotype" w:eastAsia="Palatino Linotype" w:hAnsi="Palatino Linotype" w:cs="Palatino Linotype"/>
          <w:b/>
          <w:color w:val="000000"/>
        </w:rPr>
        <w:t xml:space="preserve"> I </w:t>
      </w:r>
      <w:r w:rsidRPr="002006D1">
        <w:rPr>
          <w:rFonts w:ascii="Palatino Linotype" w:eastAsia="Palatino Linotype" w:hAnsi="Palatino Linotype" w:cs="Palatino Linotype"/>
          <w:color w:val="000000"/>
        </w:rPr>
        <w:t xml:space="preserve">de la Ley de Protección de Datos Personales en Posesión de Sujetos Obligados del Estado de México y Municipios señala: </w:t>
      </w:r>
    </w:p>
    <w:p w:rsidR="003E498B" w:rsidRPr="002006D1" w:rsidRDefault="003E498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3E498B" w:rsidRPr="002006D1" w:rsidRDefault="00FF54DF">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r w:rsidRPr="002006D1">
        <w:rPr>
          <w:rFonts w:ascii="Palatino Linotype" w:eastAsia="Palatino Linotype" w:hAnsi="Palatino Linotype" w:cs="Palatino Linotype"/>
          <w:i/>
          <w:color w:val="000000"/>
          <w:sz w:val="22"/>
          <w:szCs w:val="22"/>
        </w:rPr>
        <w:t>“</w:t>
      </w:r>
      <w:r w:rsidRPr="002006D1">
        <w:rPr>
          <w:rFonts w:ascii="Palatino Linotype" w:eastAsia="Palatino Linotype" w:hAnsi="Palatino Linotype" w:cs="Palatino Linotype"/>
          <w:b/>
          <w:i/>
          <w:color w:val="000000"/>
          <w:sz w:val="22"/>
          <w:szCs w:val="22"/>
        </w:rPr>
        <w:t>Artículo 137</w:t>
      </w:r>
      <w:r w:rsidRPr="002006D1">
        <w:rPr>
          <w:rFonts w:ascii="Palatino Linotype" w:eastAsia="Palatino Linotype" w:hAnsi="Palatino Linotype" w:cs="Palatino Linotype"/>
          <w:i/>
          <w:color w:val="000000"/>
          <w:sz w:val="22"/>
          <w:szCs w:val="22"/>
        </w:rPr>
        <w:t xml:space="preserve">. Las resoluciones del Instituto podrán: </w:t>
      </w:r>
    </w:p>
    <w:p w:rsidR="003E498B" w:rsidRPr="002006D1" w:rsidRDefault="00FF54DF">
      <w:pPr>
        <w:numPr>
          <w:ilvl w:val="0"/>
          <w:numId w:val="1"/>
        </w:numPr>
        <w:pBdr>
          <w:top w:val="nil"/>
          <w:left w:val="nil"/>
          <w:bottom w:val="nil"/>
          <w:right w:val="nil"/>
          <w:between w:val="nil"/>
        </w:pBdr>
        <w:ind w:right="616"/>
        <w:jc w:val="both"/>
        <w:rPr>
          <w:rFonts w:ascii="Palatino Linotype" w:eastAsia="Palatino Linotype" w:hAnsi="Palatino Linotype" w:cs="Palatino Linotype"/>
          <w:b/>
          <w:i/>
          <w:color w:val="000000"/>
          <w:sz w:val="22"/>
          <w:szCs w:val="22"/>
          <w:u w:val="single"/>
        </w:rPr>
      </w:pPr>
      <w:r w:rsidRPr="002006D1">
        <w:rPr>
          <w:rFonts w:ascii="Palatino Linotype" w:eastAsia="Palatino Linotype" w:hAnsi="Palatino Linotype" w:cs="Palatino Linotype"/>
          <w:b/>
          <w:i/>
          <w:color w:val="000000"/>
          <w:sz w:val="22"/>
          <w:szCs w:val="22"/>
          <w:u w:val="single"/>
        </w:rPr>
        <w:t xml:space="preserve">Sobreseer o desechar el recurso de revisión por improcedente. </w:t>
      </w:r>
    </w:p>
    <w:p w:rsidR="003E498B" w:rsidRPr="002006D1" w:rsidRDefault="00FF54DF">
      <w:pPr>
        <w:numPr>
          <w:ilvl w:val="0"/>
          <w:numId w:val="1"/>
        </w:numPr>
        <w:pBdr>
          <w:top w:val="nil"/>
          <w:left w:val="nil"/>
          <w:bottom w:val="nil"/>
          <w:right w:val="nil"/>
          <w:between w:val="nil"/>
        </w:pBdr>
        <w:ind w:right="616"/>
        <w:jc w:val="both"/>
        <w:rPr>
          <w:rFonts w:ascii="Palatino Linotype" w:eastAsia="Palatino Linotype" w:hAnsi="Palatino Linotype" w:cs="Palatino Linotype"/>
          <w:i/>
          <w:color w:val="000000"/>
          <w:sz w:val="22"/>
          <w:szCs w:val="22"/>
        </w:rPr>
      </w:pPr>
      <w:r w:rsidRPr="002006D1">
        <w:rPr>
          <w:rFonts w:ascii="Palatino Linotype" w:eastAsia="Palatino Linotype" w:hAnsi="Palatino Linotype" w:cs="Palatino Linotype"/>
          <w:i/>
          <w:color w:val="000000"/>
          <w:sz w:val="22"/>
          <w:szCs w:val="22"/>
        </w:rPr>
        <w:t>…”</w:t>
      </w:r>
    </w:p>
    <w:p w:rsidR="003E498B" w:rsidRPr="002006D1" w:rsidRDefault="003E498B">
      <w:pPr>
        <w:pBdr>
          <w:top w:val="nil"/>
          <w:left w:val="nil"/>
          <w:bottom w:val="nil"/>
          <w:right w:val="nil"/>
          <w:between w:val="nil"/>
        </w:pBdr>
        <w:jc w:val="both"/>
        <w:rPr>
          <w:rFonts w:ascii="Palatino Linotype" w:eastAsia="Palatino Linotype" w:hAnsi="Palatino Linotype" w:cs="Palatino Linotype"/>
          <w:i/>
          <w:color w:val="000000"/>
          <w:sz w:val="22"/>
          <w:szCs w:val="22"/>
        </w:rPr>
      </w:pPr>
    </w:p>
    <w:p w:rsidR="003E498B" w:rsidRPr="002006D1" w:rsidRDefault="00FF54D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006D1">
        <w:rPr>
          <w:rFonts w:ascii="Palatino Linotype" w:eastAsia="Palatino Linotype" w:hAnsi="Palatino Linotype" w:cs="Palatino Linotype"/>
          <w:color w:val="000000"/>
        </w:rPr>
        <w:lastRenderedPageBreak/>
        <w:t xml:space="preserve">Por lo tanto, al prevalecer la causal de improcedencia inicial, lo procedente sobreseer o desechar el recurso de revisión por improcedente, </w:t>
      </w:r>
    </w:p>
    <w:p w:rsidR="003E498B" w:rsidRPr="002006D1" w:rsidRDefault="003E498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3E498B" w:rsidRPr="002006D1" w:rsidRDefault="00FF54D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006D1">
        <w:rPr>
          <w:rFonts w:ascii="Palatino Linotype" w:eastAsia="Palatino Linotype" w:hAnsi="Palatino Linotype" w:cs="Palatino Linotype"/>
          <w:color w:val="000000"/>
        </w:rPr>
        <w:t>Ahora bien, en virtud de que se insiste, no existen constancias tendientes a</w:t>
      </w:r>
      <w:r w:rsidR="00B476A3" w:rsidRPr="002006D1">
        <w:rPr>
          <w:rFonts w:ascii="Palatino Linotype" w:eastAsia="Palatino Linotype" w:hAnsi="Palatino Linotype" w:cs="Palatino Linotype"/>
          <w:color w:val="000000"/>
        </w:rPr>
        <w:t xml:space="preserve"> acreditar debidamente identidad d</w:t>
      </w:r>
      <w:r w:rsidRPr="002006D1">
        <w:rPr>
          <w:rFonts w:ascii="Palatino Linotype" w:eastAsia="Palatino Linotype" w:hAnsi="Palatino Linotype" w:cs="Palatino Linotype"/>
          <w:color w:val="000000"/>
        </w:rPr>
        <w:t xml:space="preserve">el titular de los datos, desde la presentación de la solicitud ni durante la sustanciación del recurso de revisión que nos ocupa, se concluye que se está ante la presencia de la causal de </w:t>
      </w:r>
      <w:proofErr w:type="spellStart"/>
      <w:r w:rsidRPr="002006D1">
        <w:rPr>
          <w:rFonts w:ascii="Palatino Linotype" w:eastAsia="Palatino Linotype" w:hAnsi="Palatino Linotype" w:cs="Palatino Linotype"/>
          <w:color w:val="000000"/>
        </w:rPr>
        <w:t>desechamiento</w:t>
      </w:r>
      <w:proofErr w:type="spellEnd"/>
      <w:r w:rsidRPr="002006D1">
        <w:rPr>
          <w:rFonts w:ascii="Palatino Linotype" w:eastAsia="Palatino Linotype" w:hAnsi="Palatino Linotype" w:cs="Palatino Linotype"/>
          <w:color w:val="000000"/>
        </w:rPr>
        <w:t xml:space="preserve"> establecida en el diverso 139, fracción III, de la Ley de la materia; sin embargo, toda vez que fue admitido el medio de impugnación,</w:t>
      </w:r>
      <w:r w:rsidRPr="002006D1">
        <w:rPr>
          <w:rFonts w:ascii="Palatino Linotype" w:eastAsia="Palatino Linotype" w:hAnsi="Palatino Linotype" w:cs="Palatino Linotype"/>
          <w:color w:val="0D0D0D"/>
        </w:rPr>
        <w:t xml:space="preserve"> y subsistió la causal de improcedencia consistente en la omisión de la</w:t>
      </w:r>
      <w:r w:rsidRPr="002006D1">
        <w:rPr>
          <w:rFonts w:ascii="Palatino Linotype" w:eastAsia="Palatino Linotype" w:hAnsi="Palatino Linotype" w:cs="Palatino Linotype"/>
          <w:b/>
          <w:color w:val="0D0D0D"/>
        </w:rPr>
        <w:t xml:space="preserve"> </w:t>
      </w:r>
      <w:r w:rsidRPr="002006D1">
        <w:rPr>
          <w:rFonts w:ascii="Palatino Linotype" w:eastAsia="Palatino Linotype" w:hAnsi="Palatino Linotype" w:cs="Palatino Linotype"/>
          <w:color w:val="0D0D0D"/>
        </w:rPr>
        <w:t xml:space="preserve">parte </w:t>
      </w:r>
      <w:r w:rsidRPr="002006D1">
        <w:rPr>
          <w:rFonts w:ascii="Palatino Linotype" w:eastAsia="Palatino Linotype" w:hAnsi="Palatino Linotype" w:cs="Palatino Linotype"/>
          <w:b/>
          <w:color w:val="0D0D0D"/>
        </w:rPr>
        <w:t xml:space="preserve">Recurrente, </w:t>
      </w:r>
      <w:r w:rsidRPr="002006D1">
        <w:rPr>
          <w:rFonts w:ascii="Palatino Linotype" w:eastAsia="Palatino Linotype" w:hAnsi="Palatino Linotype" w:cs="Palatino Linotype"/>
          <w:color w:val="0D0D0D"/>
        </w:rPr>
        <w:t xml:space="preserve">resulta procedente es </w:t>
      </w:r>
      <w:r w:rsidRPr="002006D1">
        <w:rPr>
          <w:rFonts w:ascii="Palatino Linotype" w:eastAsia="Palatino Linotype" w:hAnsi="Palatino Linotype" w:cs="Palatino Linotype"/>
          <w:b/>
          <w:color w:val="0D0D0D"/>
        </w:rPr>
        <w:t xml:space="preserve">SOBRESEER </w:t>
      </w:r>
      <w:r w:rsidRPr="002006D1">
        <w:rPr>
          <w:rFonts w:ascii="Palatino Linotype" w:eastAsia="Palatino Linotype" w:hAnsi="Palatino Linotype" w:cs="Palatino Linotype"/>
          <w:color w:val="0D0D0D"/>
        </w:rPr>
        <w:t xml:space="preserve">el presente recurso de revisión. </w:t>
      </w:r>
    </w:p>
    <w:p w:rsidR="003E498B" w:rsidRPr="002006D1" w:rsidRDefault="003E498B">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rsidR="003E498B" w:rsidRPr="002006D1" w:rsidRDefault="00FF54DF">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2006D1">
        <w:rPr>
          <w:rFonts w:ascii="Palatino Linotype" w:eastAsia="Palatino Linotype" w:hAnsi="Palatino Linotype" w:cs="Palatino Linotype"/>
          <w:color w:val="000000"/>
        </w:rPr>
        <w:t xml:space="preserve">En ese contexto, de acuerdo con el procesalista Niceto Alcalá-Zamora y Castillo en su obra </w:t>
      </w:r>
      <w:r w:rsidRPr="002006D1">
        <w:rPr>
          <w:rFonts w:ascii="Palatino Linotype" w:eastAsia="Palatino Linotype" w:hAnsi="Palatino Linotype" w:cs="Palatino Linotype"/>
          <w:i/>
          <w:color w:val="000000"/>
        </w:rPr>
        <w:t>“Cuestiones de Terminología Procesal”</w:t>
      </w:r>
      <w:r w:rsidRPr="002006D1">
        <w:rPr>
          <w:rFonts w:ascii="Palatino Linotype" w:eastAsia="Palatino Linotype" w:hAnsi="Palatino Linotype" w:cs="Palatino Linotype"/>
          <w:color w:val="000000"/>
        </w:rPr>
        <w:t xml:space="preserve">, el sobreseimiento es </w:t>
      </w:r>
      <w:r w:rsidRPr="002006D1">
        <w:rPr>
          <w:rFonts w:ascii="Palatino Linotype" w:eastAsia="Palatino Linotype" w:hAnsi="Palatino Linotype" w:cs="Palatino Linotype"/>
          <w:i/>
          <w:color w:val="000000"/>
        </w:rPr>
        <w:t>“... una resolución en forma de auto, que produce la suspensión indefinida del procedimiento penal, o que pone fin al proceso, impidiendo en ambos casos, mientras subsista, la apertura del plenario o que en él se pronuncie sentencia...”</w:t>
      </w:r>
    </w:p>
    <w:p w:rsidR="003E498B" w:rsidRPr="002006D1" w:rsidRDefault="003E498B">
      <w:pPr>
        <w:pBdr>
          <w:top w:val="nil"/>
          <w:left w:val="nil"/>
          <w:bottom w:val="nil"/>
          <w:right w:val="nil"/>
          <w:between w:val="nil"/>
        </w:pBdr>
        <w:spacing w:line="360" w:lineRule="auto"/>
        <w:ind w:left="708"/>
        <w:rPr>
          <w:rFonts w:ascii="Palatino Linotype" w:eastAsia="Palatino Linotype" w:hAnsi="Palatino Linotype" w:cs="Palatino Linotype"/>
          <w:color w:val="000000"/>
        </w:rPr>
      </w:pPr>
    </w:p>
    <w:p w:rsidR="003E498B" w:rsidRPr="002006D1" w:rsidRDefault="00FF54DF">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2006D1">
        <w:rPr>
          <w:rFonts w:ascii="Palatino Linotype" w:eastAsia="Palatino Linotype" w:hAnsi="Palatino Linotype" w:cs="Palatino Linotype"/>
          <w:color w:val="000000"/>
        </w:rPr>
        <w:t xml:space="preserve">Y por su parte, Eduardo Pallares, en su artículo </w:t>
      </w:r>
      <w:r w:rsidRPr="002006D1">
        <w:rPr>
          <w:rFonts w:ascii="Palatino Linotype" w:eastAsia="Palatino Linotype" w:hAnsi="Palatino Linotype" w:cs="Palatino Linotype"/>
          <w:i/>
          <w:color w:val="000000"/>
        </w:rPr>
        <w:t>“La caducidad y el sobreseimiento en el amparo”</w:t>
      </w:r>
      <w:r w:rsidRPr="002006D1">
        <w:rPr>
          <w:rFonts w:ascii="Palatino Linotype" w:eastAsia="Palatino Linotype" w:hAnsi="Palatino Linotype" w:cs="Palatino Linotype"/>
          <w:color w:val="000000"/>
        </w:rPr>
        <w:t xml:space="preserve">, cita la definición de Aguilera Paz, aduciendo que se </w:t>
      </w:r>
      <w:r w:rsidRPr="002006D1">
        <w:rPr>
          <w:rFonts w:ascii="Palatino Linotype" w:eastAsia="Palatino Linotype" w:hAnsi="Palatino Linotype" w:cs="Palatino Linotype"/>
          <w:i/>
          <w:color w:val="000000"/>
        </w:rPr>
        <w:t>“...entiende por sobreseimiento en el tecnicismo forense, el hecho de cesar en el procedimiento o curso de la causa, por no existir méritos bastantes para entrar en un juicio o para entablar la contienda judicial que debe ser objeto del mismo...”</w:t>
      </w:r>
      <w:r w:rsidRPr="002006D1">
        <w:rPr>
          <w:rFonts w:ascii="Palatino Linotype" w:eastAsia="Palatino Linotype" w:hAnsi="Palatino Linotype" w:cs="Palatino Linotype"/>
          <w:color w:val="000000"/>
        </w:rPr>
        <w:t>. Asimismo señala que existe el sobreseimiento provisional y el definitivo</w:t>
      </w:r>
      <w:r w:rsidRPr="002006D1">
        <w:rPr>
          <w:rFonts w:ascii="Palatino Linotype" w:eastAsia="Palatino Linotype" w:hAnsi="Palatino Linotype" w:cs="Palatino Linotype"/>
          <w:i/>
          <w:color w:val="000000"/>
        </w:rPr>
        <w:t xml:space="preserve">: “...el definitivo es una verdadera sentencia que pone fin al </w:t>
      </w:r>
      <w:r w:rsidRPr="002006D1">
        <w:rPr>
          <w:rFonts w:ascii="Palatino Linotype" w:eastAsia="Palatino Linotype" w:hAnsi="Palatino Linotype" w:cs="Palatino Linotype"/>
          <w:i/>
          <w:color w:val="000000"/>
        </w:rPr>
        <w:lastRenderedPageBreak/>
        <w:t>juicio, y que una vez dictada, produce cosa juzgada, mientras que el provisorio tiene por efectos suspender la prosecución de la causa...”</w:t>
      </w:r>
    </w:p>
    <w:p w:rsidR="003E498B" w:rsidRPr="002006D1" w:rsidRDefault="003E498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3E498B" w:rsidRPr="002006D1" w:rsidRDefault="00FF54DF">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2006D1">
        <w:rPr>
          <w:rFonts w:ascii="Palatino Linotype" w:eastAsia="Palatino Linotype" w:hAnsi="Palatino Linotype" w:cs="Palatino Linotype"/>
          <w:color w:val="000000"/>
        </w:rPr>
        <w:t xml:space="preserve">Así, para la doctrina el sobreseimiento provoca que un procedimiento se suspenda o se resuelva en definitiva </w:t>
      </w:r>
      <w:r w:rsidRPr="002006D1">
        <w:rPr>
          <w:rFonts w:ascii="Palatino Linotype" w:eastAsia="Palatino Linotype" w:hAnsi="Palatino Linotype" w:cs="Palatino Linotype"/>
          <w:b/>
          <w:color w:val="000000"/>
          <w:u w:val="single"/>
        </w:rPr>
        <w:t xml:space="preserve">sin que se entre al estudio de los agravios o motivos de inconformidad. </w:t>
      </w:r>
      <w:r w:rsidRPr="002006D1">
        <w:rPr>
          <w:rFonts w:ascii="Palatino Linotype" w:eastAsia="Palatino Linotype" w:hAnsi="Palatino Linotype" w:cs="Palatino Linotype"/>
          <w:color w:val="000000"/>
        </w:rPr>
        <w:t>Este mismo criterio es compartido por el más alto tribunal del país en múltiples jurisprudencias, por lo que a continuación se agrega una de ellas que sirve como orientador en esta resolución:</w:t>
      </w:r>
    </w:p>
    <w:p w:rsidR="003E498B" w:rsidRPr="002006D1" w:rsidRDefault="003E498B">
      <w:pPr>
        <w:pBdr>
          <w:top w:val="nil"/>
          <w:left w:val="nil"/>
          <w:bottom w:val="nil"/>
          <w:right w:val="nil"/>
          <w:between w:val="nil"/>
        </w:pBdr>
        <w:spacing w:line="360" w:lineRule="auto"/>
        <w:ind w:left="708"/>
        <w:rPr>
          <w:rFonts w:ascii="Palatino Linotype" w:eastAsia="Palatino Linotype" w:hAnsi="Palatino Linotype" w:cs="Palatino Linotype"/>
          <w:color w:val="000000"/>
        </w:rPr>
      </w:pPr>
    </w:p>
    <w:p w:rsidR="003E498B" w:rsidRPr="002006D1" w:rsidRDefault="00FF54DF">
      <w:pPr>
        <w:pBdr>
          <w:top w:val="nil"/>
          <w:left w:val="nil"/>
          <w:bottom w:val="nil"/>
          <w:right w:val="nil"/>
          <w:between w:val="nil"/>
        </w:pBdr>
        <w:spacing w:line="276" w:lineRule="auto"/>
        <w:ind w:left="567" w:right="616"/>
        <w:jc w:val="both"/>
        <w:rPr>
          <w:rFonts w:ascii="Palatino Linotype" w:eastAsia="Palatino Linotype" w:hAnsi="Palatino Linotype" w:cs="Palatino Linotype"/>
          <w:color w:val="000000"/>
          <w:sz w:val="22"/>
          <w:szCs w:val="22"/>
        </w:rPr>
      </w:pPr>
      <w:r w:rsidRPr="002006D1">
        <w:rPr>
          <w:rFonts w:ascii="Palatino Linotype" w:eastAsia="Palatino Linotype" w:hAnsi="Palatino Linotype" w:cs="Palatino Linotype"/>
          <w:b/>
          <w:i/>
          <w:color w:val="000000"/>
          <w:sz w:val="22"/>
          <w:szCs w:val="22"/>
        </w:rPr>
        <w:t>“SOBRESEIMIENTO EN EL JUICIO DE AMPARO DIRECTO. IMPIDE EL ESTUDIO DE LAS VIOLACIONES PROCESALES PLANTEADAS EN LOS CONCEPTOS DE VIOLACIÓN.</w:t>
      </w:r>
    </w:p>
    <w:p w:rsidR="003E498B" w:rsidRPr="002006D1" w:rsidRDefault="00FF54DF">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2006D1">
        <w:rPr>
          <w:rFonts w:ascii="Palatino Linotype" w:eastAsia="Palatino Linotype" w:hAnsi="Palatino Linotype" w:cs="Palatino Linotype"/>
          <w:b/>
          <w:i/>
          <w:color w:val="000000"/>
          <w:sz w:val="22"/>
          <w:szCs w:val="22"/>
        </w:rPr>
        <w:t>El sobreseimiento</w:t>
      </w:r>
      <w:r w:rsidRPr="002006D1">
        <w:rPr>
          <w:rFonts w:ascii="Palatino Linotype" w:eastAsia="Palatino Linotype" w:hAnsi="Palatino Linotype" w:cs="Palatino Linotype"/>
          <w:i/>
          <w:color w:val="000000"/>
          <w:sz w:val="22"/>
          <w:szCs w:val="22"/>
        </w:rPr>
        <w:t xml:space="preserve"> en el juicio de amparo directo </w:t>
      </w:r>
      <w:r w:rsidRPr="002006D1">
        <w:rPr>
          <w:rFonts w:ascii="Palatino Linotype" w:eastAsia="Palatino Linotype" w:hAnsi="Palatino Linotype" w:cs="Palatino Linotype"/>
          <w:b/>
          <w:i/>
          <w:color w:val="000000"/>
          <w:sz w:val="22"/>
          <w:szCs w:val="22"/>
        </w:rPr>
        <w:t>provoca la terminación de la controversia planteada</w:t>
      </w:r>
      <w:r w:rsidRPr="002006D1">
        <w:rPr>
          <w:rFonts w:ascii="Palatino Linotype" w:eastAsia="Palatino Linotype" w:hAnsi="Palatino Linotype" w:cs="Palatino Linotype"/>
          <w:i/>
          <w:color w:val="000000"/>
          <w:sz w:val="22"/>
          <w:szCs w:val="22"/>
        </w:rPr>
        <w:t xml:space="preserve"> por el quejoso en la demanda de amparo</w:t>
      </w:r>
      <w:r w:rsidRPr="002006D1">
        <w:rPr>
          <w:rFonts w:ascii="Palatino Linotype" w:eastAsia="Palatino Linotype" w:hAnsi="Palatino Linotype" w:cs="Palatino Linotype"/>
          <w:b/>
          <w:i/>
          <w:color w:val="000000"/>
          <w:sz w:val="22"/>
          <w:szCs w:val="22"/>
        </w:rPr>
        <w:t>, sin hacer un pronunciamiento de fondo sobre la legalidad o ilegalidad de la sentencia reclamada</w:t>
      </w:r>
      <w:r w:rsidRPr="002006D1">
        <w:rPr>
          <w:rFonts w:ascii="Palatino Linotype" w:eastAsia="Palatino Linotype" w:hAnsi="Palatino Linotype" w:cs="Palatino Linotype"/>
          <w:i/>
          <w:color w:val="000000"/>
          <w:sz w:val="22"/>
          <w:szCs w:val="22"/>
        </w:rPr>
        <w:t xml:space="preserve">. </w:t>
      </w:r>
      <w:r w:rsidRPr="002006D1">
        <w:rPr>
          <w:rFonts w:ascii="Palatino Linotype" w:eastAsia="Palatino Linotype" w:hAnsi="Palatino Linotype" w:cs="Palatino Linotype"/>
          <w:b/>
          <w:i/>
          <w:color w:val="000000"/>
          <w:sz w:val="22"/>
          <w:szCs w:val="22"/>
        </w:rPr>
        <w:t xml:space="preserve">Por consiguiente, si al sobreseerse en el juicio de amparo </w:t>
      </w:r>
      <w:r w:rsidRPr="002006D1">
        <w:rPr>
          <w:rFonts w:ascii="Palatino Linotype" w:eastAsia="Palatino Linotype" w:hAnsi="Palatino Linotype" w:cs="Palatino Linotype"/>
          <w:b/>
          <w:i/>
          <w:color w:val="000000"/>
          <w:sz w:val="22"/>
          <w:szCs w:val="22"/>
          <w:u w:val="single"/>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2006D1">
        <w:rPr>
          <w:rFonts w:ascii="Palatino Linotype" w:eastAsia="Palatino Linotype" w:hAnsi="Palatino Linotype" w:cs="Palatino Linotype"/>
          <w:i/>
          <w:color w:val="000000"/>
          <w:sz w:val="22"/>
          <w:szCs w:val="22"/>
        </w:rPr>
        <w:t>.</w:t>
      </w:r>
    </w:p>
    <w:p w:rsidR="003E498B" w:rsidRPr="002006D1" w:rsidRDefault="003E498B">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p>
    <w:p w:rsidR="003E498B" w:rsidRPr="002006D1" w:rsidRDefault="00FF54DF">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2006D1">
        <w:rPr>
          <w:rFonts w:ascii="Palatino Linotype" w:eastAsia="Palatino Linotype" w:hAnsi="Palatino Linotype" w:cs="Palatino Linotype"/>
          <w:i/>
          <w:color w:val="000000"/>
          <w:sz w:val="22"/>
          <w:szCs w:val="22"/>
        </w:rPr>
        <w:t>SÉPTIMO TRIBUNAL COLEGIADO EN MATERIA CIVIL DEL PRIMER CIRCUITO.</w:t>
      </w:r>
    </w:p>
    <w:p w:rsidR="003E498B" w:rsidRPr="002006D1" w:rsidRDefault="00FF54DF">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rPr>
      </w:pPr>
      <w:r w:rsidRPr="002006D1">
        <w:rPr>
          <w:rFonts w:ascii="Palatino Linotype" w:eastAsia="Palatino Linotype" w:hAnsi="Palatino Linotype" w:cs="Palatino Linotype"/>
          <w:i/>
          <w:color w:val="000000"/>
          <w:sz w:val="22"/>
          <w:szCs w:val="22"/>
        </w:rPr>
        <w:t xml:space="preserve">Amparo directo 699/2008. Mariana Leticia González </w:t>
      </w:r>
      <w:proofErr w:type="spellStart"/>
      <w:r w:rsidRPr="002006D1">
        <w:rPr>
          <w:rFonts w:ascii="Palatino Linotype" w:eastAsia="Palatino Linotype" w:hAnsi="Palatino Linotype" w:cs="Palatino Linotype"/>
          <w:i/>
          <w:color w:val="000000"/>
          <w:sz w:val="22"/>
          <w:szCs w:val="22"/>
        </w:rPr>
        <w:t>Steele</w:t>
      </w:r>
      <w:proofErr w:type="spellEnd"/>
      <w:r w:rsidRPr="002006D1">
        <w:rPr>
          <w:rFonts w:ascii="Palatino Linotype" w:eastAsia="Palatino Linotype" w:hAnsi="Palatino Linotype" w:cs="Palatino Linotype"/>
          <w:i/>
          <w:color w:val="000000"/>
          <w:sz w:val="22"/>
          <w:szCs w:val="22"/>
        </w:rPr>
        <w:t>. 13 de noviembre de 2008. Unanimidad de votos. Ponente: Sara Judith Montalvo Trejo. Secretario: Arnulfo Mateos García.”</w:t>
      </w:r>
    </w:p>
    <w:p w:rsidR="003E498B" w:rsidRPr="002006D1" w:rsidRDefault="003E498B">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p>
    <w:p w:rsidR="003E498B" w:rsidRPr="002006D1" w:rsidRDefault="00FF54D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006D1">
        <w:rPr>
          <w:rFonts w:ascii="Palatino Linotype" w:eastAsia="Palatino Linotype" w:hAnsi="Palatino Linotype" w:cs="Palatino Linotype"/>
          <w:color w:val="000000"/>
        </w:rPr>
        <w:t xml:space="preserve">No obstante, se dejan a salvo los derechos del particular para que presente nueva solicitud en caso de ser de su interés; asimismo, es importante hacer del </w:t>
      </w:r>
      <w:r w:rsidRPr="002006D1">
        <w:rPr>
          <w:rFonts w:ascii="Palatino Linotype" w:eastAsia="Palatino Linotype" w:hAnsi="Palatino Linotype" w:cs="Palatino Linotype"/>
          <w:color w:val="000000"/>
        </w:rPr>
        <w:lastRenderedPageBreak/>
        <w:t xml:space="preserve">conocimiento de la parte </w:t>
      </w:r>
      <w:r w:rsidRPr="002006D1">
        <w:rPr>
          <w:rFonts w:ascii="Palatino Linotype" w:eastAsia="Palatino Linotype" w:hAnsi="Palatino Linotype" w:cs="Palatino Linotype"/>
          <w:b/>
          <w:color w:val="000000"/>
        </w:rPr>
        <w:t>Recurrente</w:t>
      </w:r>
      <w:r w:rsidRPr="002006D1">
        <w:rPr>
          <w:rFonts w:ascii="Palatino Linotype" w:eastAsia="Palatino Linotype" w:hAnsi="Palatino Linotype" w:cs="Palatino Linotype"/>
          <w:color w:val="000000"/>
        </w:rPr>
        <w:t>, que la Ley otorga a los titulares de los datos personales el derecho a acceder, rectificar y cancelar su información personal en posesión de sujetos obligados, recordando que para ejercer esos derechos ante el responsable o el Instituto, deberá demostrar que es el titular de los datos o, en caso de que lo haga a través de un representante, deberá acreditar ésta situación. Esto está pensado para que NADIE más que el titular o el representante, puedan decidir el uso que se le dará a sus datos personales, como una medida de seguridad de la información.</w:t>
      </w:r>
    </w:p>
    <w:p w:rsidR="003E498B" w:rsidRPr="002006D1" w:rsidRDefault="003E498B">
      <w:pPr>
        <w:pBdr>
          <w:top w:val="nil"/>
          <w:left w:val="nil"/>
          <w:bottom w:val="nil"/>
          <w:right w:val="nil"/>
          <w:between w:val="nil"/>
        </w:pBdr>
        <w:spacing w:line="360" w:lineRule="auto"/>
        <w:ind w:left="708"/>
        <w:rPr>
          <w:rFonts w:ascii="Palatino Linotype" w:eastAsia="Palatino Linotype" w:hAnsi="Palatino Linotype" w:cs="Palatino Linotype"/>
          <w:color w:val="000000"/>
        </w:rPr>
      </w:pPr>
    </w:p>
    <w:p w:rsidR="003E498B" w:rsidRPr="002006D1" w:rsidRDefault="00FF54D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006D1">
        <w:rPr>
          <w:rFonts w:ascii="Palatino Linotype" w:eastAsia="Palatino Linotype" w:hAnsi="Palatino Linotype" w:cs="Palatino Linotype"/>
          <w:color w:val="000000"/>
        </w:rPr>
        <w:t>Para lo anterior pueden ser utilizadas diversas identificaciones, por ejemplo: la credencial para votar, pasaporte, o algunas más que puedan acreditar que es el titular de los datos personales y de ésta manera evitar el uso malintencionado que alguien pueda hacer de la información o documentación que le concierne.</w:t>
      </w:r>
    </w:p>
    <w:p w:rsidR="003E498B" w:rsidRPr="002006D1" w:rsidRDefault="00FF54DF">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 xml:space="preserve">Finalmente, se le hace saber a la parte </w:t>
      </w:r>
      <w:r w:rsidRPr="002006D1">
        <w:rPr>
          <w:rFonts w:ascii="Palatino Linotype" w:eastAsia="Palatino Linotype" w:hAnsi="Palatino Linotype" w:cs="Palatino Linotype"/>
          <w:b/>
        </w:rPr>
        <w:t>Recurrente</w:t>
      </w:r>
      <w:r w:rsidRPr="002006D1">
        <w:rPr>
          <w:rFonts w:ascii="Palatino Linotype" w:eastAsia="Palatino Linotype" w:hAnsi="Palatino Linotype" w:cs="Palatino Linotype"/>
        </w:rPr>
        <w:t xml:space="preserve">, que existe el sistema denominado Sistema de Acceso, Rectificación, Cancelación y Oposición de Datos Personales del Estado de México (SARCOEM); a través del cual, puede ejercer su derechos </w:t>
      </w:r>
      <w:r w:rsidRPr="002006D1">
        <w:rPr>
          <w:rFonts w:ascii="Palatino Linotype" w:eastAsia="Palatino Linotype" w:hAnsi="Palatino Linotype" w:cs="Palatino Linotype"/>
          <w:color w:val="000000"/>
        </w:rPr>
        <w:t xml:space="preserve">ARCO, que se refiere a aquel derecho que tiene un titular de datos personales, para solicitar el acceso, rectificación, cancelación, oposición y portabilidad sobre el tratamiento de sus datos, ante el </w:t>
      </w:r>
      <w:r w:rsidRPr="002006D1">
        <w:rPr>
          <w:rFonts w:ascii="Palatino Linotype" w:eastAsia="Palatino Linotype" w:hAnsi="Palatino Linotype" w:cs="Palatino Linotype"/>
          <w:b/>
        </w:rPr>
        <w:t>Sujeto Obligado</w:t>
      </w:r>
      <w:r w:rsidRPr="002006D1">
        <w:rPr>
          <w:rFonts w:ascii="Palatino Linotype" w:eastAsia="Palatino Linotype" w:hAnsi="Palatino Linotype" w:cs="Palatino Linotype"/>
        </w:rPr>
        <w:t xml:space="preserve"> </w:t>
      </w:r>
      <w:r w:rsidRPr="002006D1">
        <w:rPr>
          <w:rFonts w:ascii="Palatino Linotype" w:eastAsia="Palatino Linotype" w:hAnsi="Palatino Linotype" w:cs="Palatino Linotype"/>
          <w:color w:val="000000"/>
        </w:rPr>
        <w:t>que esté en posesión de los mismos.</w:t>
      </w:r>
    </w:p>
    <w:p w:rsidR="003E498B" w:rsidRPr="002006D1" w:rsidRDefault="00FF54DF">
      <w:pPr>
        <w:shd w:val="clear" w:color="auto" w:fill="FFFFFF"/>
        <w:spacing w:before="240" w:after="240"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rPr>
        <w:t xml:space="preserve">Así, con fundamento en lo prescrito en los artículos 5 párrafos trigésimo segundo trigésimo tercero y trigésimo cuarto,  fracciones IV y V de la Constitución Política del Estado Libre y Soberano de México; 2 fracción II, 29, 36 fracciones I y II, 176, 178, 179, 181, 185 fracción I, 186 y 188 de la Ley de Transparencia y Acceso a la </w:t>
      </w:r>
      <w:r w:rsidRPr="002006D1">
        <w:rPr>
          <w:rFonts w:ascii="Palatino Linotype" w:eastAsia="Palatino Linotype" w:hAnsi="Palatino Linotype" w:cs="Palatino Linotype"/>
        </w:rPr>
        <w:lastRenderedPageBreak/>
        <w:t>Información Pública del Estado de México y Municipios de aplicación supletoria, 1, 81, 82 fracciones I y III, 119, 127, 128, 129, 133, y 137 de la Ley de Protección de Datos Personales en Posesión de Sujetos Obligados del Estado de México y Municipios, este Pleno:</w:t>
      </w:r>
    </w:p>
    <w:p w:rsidR="003E498B" w:rsidRPr="002006D1" w:rsidRDefault="00FF54DF">
      <w:p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sidRPr="002006D1">
        <w:rPr>
          <w:rFonts w:ascii="Palatino Linotype" w:eastAsia="Palatino Linotype" w:hAnsi="Palatino Linotype" w:cs="Palatino Linotype"/>
          <w:b/>
          <w:color w:val="000000"/>
        </w:rPr>
        <w:t>R E S U E L V E</w:t>
      </w:r>
    </w:p>
    <w:p w:rsidR="003E498B" w:rsidRPr="002006D1" w:rsidRDefault="00FF54DF">
      <w:pPr>
        <w:spacing w:line="360" w:lineRule="auto"/>
        <w:jc w:val="both"/>
        <w:rPr>
          <w:rFonts w:ascii="Palatino Linotype" w:eastAsia="Palatino Linotype" w:hAnsi="Palatino Linotype" w:cs="Palatino Linotype"/>
          <w:color w:val="000000"/>
        </w:rPr>
      </w:pPr>
      <w:r w:rsidRPr="002006D1">
        <w:rPr>
          <w:rFonts w:ascii="Palatino Linotype" w:eastAsia="Palatino Linotype" w:hAnsi="Palatino Linotype" w:cs="Palatino Linotype"/>
          <w:b/>
          <w:color w:val="000000"/>
        </w:rPr>
        <w:t xml:space="preserve">PRIMERO. </w:t>
      </w:r>
      <w:r w:rsidRPr="002006D1">
        <w:rPr>
          <w:rFonts w:ascii="Palatino Linotype" w:eastAsia="Palatino Linotype" w:hAnsi="Palatino Linotype" w:cs="Palatino Linotype"/>
          <w:color w:val="000000"/>
        </w:rPr>
        <w:t xml:space="preserve">Se </w:t>
      </w:r>
      <w:r w:rsidRPr="002006D1">
        <w:rPr>
          <w:rFonts w:ascii="Palatino Linotype" w:eastAsia="Palatino Linotype" w:hAnsi="Palatino Linotype" w:cs="Palatino Linotype"/>
          <w:b/>
          <w:color w:val="000000"/>
        </w:rPr>
        <w:t>sobresee</w:t>
      </w:r>
      <w:r w:rsidRPr="002006D1">
        <w:rPr>
          <w:rFonts w:ascii="Palatino Linotype" w:eastAsia="Palatino Linotype" w:hAnsi="Palatino Linotype" w:cs="Palatino Linotype"/>
          <w:color w:val="000000"/>
        </w:rPr>
        <w:t xml:space="preserve"> por</w:t>
      </w:r>
      <w:r w:rsidRPr="002006D1">
        <w:rPr>
          <w:rFonts w:ascii="Palatino Linotype" w:eastAsia="Palatino Linotype" w:hAnsi="Palatino Linotype" w:cs="Palatino Linotype"/>
          <w:b/>
          <w:color w:val="000000"/>
        </w:rPr>
        <w:t xml:space="preserve"> improcedente </w:t>
      </w:r>
      <w:r w:rsidRPr="002006D1">
        <w:rPr>
          <w:rFonts w:ascii="Palatino Linotype" w:eastAsia="Palatino Linotype" w:hAnsi="Palatino Linotype" w:cs="Palatino Linotype"/>
          <w:color w:val="000000"/>
        </w:rPr>
        <w:t xml:space="preserve">el Recurso de Revisión número </w:t>
      </w:r>
      <w:r w:rsidRPr="002006D1">
        <w:rPr>
          <w:rFonts w:ascii="Palatino Linotype" w:eastAsia="Palatino Linotype" w:hAnsi="Palatino Linotype" w:cs="Palatino Linotype"/>
          <w:b/>
        </w:rPr>
        <w:t>15824/INFOEM/IP/RR/2022</w:t>
      </w:r>
      <w:r w:rsidRPr="002006D1">
        <w:rPr>
          <w:rFonts w:ascii="Palatino Linotype" w:eastAsia="Palatino Linotype" w:hAnsi="Palatino Linotype" w:cs="Palatino Linotype"/>
          <w:color w:val="000000"/>
        </w:rPr>
        <w:t xml:space="preserve"> de conformidad con lo dispuesto en el artículo 139 fracción III, en relación con el artículo 138 fracción II de la Ley de Protección de Datos Personales en Posesión de Sujetos Obligados del Estado de México y Municipios, en términos del Considerando Tercero de la presente Resolución.</w:t>
      </w:r>
    </w:p>
    <w:p w:rsidR="003E498B" w:rsidRPr="002006D1" w:rsidRDefault="003E498B">
      <w:pPr>
        <w:spacing w:line="360" w:lineRule="auto"/>
        <w:jc w:val="both"/>
        <w:rPr>
          <w:rFonts w:ascii="Palatino Linotype" w:eastAsia="Palatino Linotype" w:hAnsi="Palatino Linotype" w:cs="Palatino Linotype"/>
          <w:b/>
        </w:rPr>
      </w:pPr>
    </w:p>
    <w:p w:rsidR="003E498B" w:rsidRPr="002006D1" w:rsidRDefault="00FF54DF">
      <w:pPr>
        <w:spacing w:line="360" w:lineRule="auto"/>
        <w:jc w:val="both"/>
        <w:rPr>
          <w:rFonts w:ascii="Palatino Linotype" w:eastAsia="Palatino Linotype" w:hAnsi="Palatino Linotype" w:cs="Palatino Linotype"/>
        </w:rPr>
      </w:pPr>
      <w:bookmarkStart w:id="1" w:name="_heading=h.30j0zll" w:colFirst="0" w:colLast="0"/>
      <w:bookmarkEnd w:id="1"/>
      <w:r w:rsidRPr="002006D1">
        <w:rPr>
          <w:rFonts w:ascii="Palatino Linotype" w:eastAsia="Palatino Linotype" w:hAnsi="Palatino Linotype" w:cs="Palatino Linotype"/>
          <w:b/>
        </w:rPr>
        <w:t>SEGUNDO. Notifíquese vía SAIMEX,</w:t>
      </w:r>
      <w:r w:rsidRPr="002006D1">
        <w:rPr>
          <w:rFonts w:ascii="Palatino Linotype" w:eastAsia="Palatino Linotype" w:hAnsi="Palatino Linotype" w:cs="Palatino Linotype"/>
          <w:b/>
          <w:i/>
        </w:rPr>
        <w:t xml:space="preserve"> </w:t>
      </w:r>
      <w:r w:rsidRPr="002006D1">
        <w:rPr>
          <w:rFonts w:ascii="Palatino Linotype" w:eastAsia="Palatino Linotype" w:hAnsi="Palatino Linotype" w:cs="Palatino Linotype"/>
        </w:rPr>
        <w:t xml:space="preserve">al Responsable de la Unidad de Transparencia del </w:t>
      </w:r>
      <w:r w:rsidRPr="002006D1">
        <w:rPr>
          <w:rFonts w:ascii="Palatino Linotype" w:eastAsia="Palatino Linotype" w:hAnsi="Palatino Linotype" w:cs="Palatino Linotype"/>
          <w:b/>
        </w:rPr>
        <w:t>Sujeto Obligado</w:t>
      </w:r>
      <w:r w:rsidRPr="002006D1">
        <w:rPr>
          <w:rFonts w:ascii="Palatino Linotype" w:eastAsia="Palatino Linotype" w:hAnsi="Palatino Linotype" w:cs="Palatino Linotype"/>
        </w:rPr>
        <w:t xml:space="preserve"> la presente resolución, para su conocimiento.</w:t>
      </w:r>
    </w:p>
    <w:p w:rsidR="003E498B" w:rsidRPr="002006D1" w:rsidRDefault="003E498B">
      <w:pPr>
        <w:spacing w:line="360" w:lineRule="auto"/>
        <w:jc w:val="both"/>
        <w:rPr>
          <w:rFonts w:ascii="Palatino Linotype" w:eastAsia="Palatino Linotype" w:hAnsi="Palatino Linotype" w:cs="Palatino Linotype"/>
        </w:rPr>
      </w:pPr>
    </w:p>
    <w:p w:rsidR="003E498B" w:rsidRPr="002006D1" w:rsidRDefault="00FF54DF">
      <w:pPr>
        <w:tabs>
          <w:tab w:val="left" w:pos="4667"/>
        </w:tabs>
        <w:spacing w:line="360" w:lineRule="auto"/>
        <w:jc w:val="both"/>
        <w:rPr>
          <w:rFonts w:ascii="Palatino Linotype" w:eastAsia="Palatino Linotype" w:hAnsi="Palatino Linotype" w:cs="Palatino Linotype"/>
        </w:rPr>
      </w:pPr>
      <w:bookmarkStart w:id="2" w:name="_heading=h.gjdgxs" w:colFirst="0" w:colLast="0"/>
      <w:bookmarkEnd w:id="2"/>
      <w:r w:rsidRPr="002006D1">
        <w:rPr>
          <w:rFonts w:ascii="Palatino Linotype" w:eastAsia="Palatino Linotype" w:hAnsi="Palatino Linotype" w:cs="Palatino Linotype"/>
          <w:b/>
        </w:rPr>
        <w:t xml:space="preserve">TERCERO. Notifíquese vía SAIMEX </w:t>
      </w:r>
      <w:r w:rsidRPr="002006D1">
        <w:rPr>
          <w:rFonts w:ascii="Palatino Linotype" w:eastAsia="Palatino Linotype" w:hAnsi="Palatino Linotype" w:cs="Palatino Linotype"/>
        </w:rPr>
        <w:t>y correo electrónico</w:t>
      </w:r>
      <w:r w:rsidRPr="002006D1">
        <w:rPr>
          <w:rFonts w:ascii="Palatino Linotype" w:eastAsia="Palatino Linotype" w:hAnsi="Palatino Linotype" w:cs="Palatino Linotype"/>
          <w:b/>
        </w:rPr>
        <w:t>,</w:t>
      </w:r>
      <w:r w:rsidRPr="002006D1">
        <w:rPr>
          <w:rFonts w:ascii="Palatino Linotype" w:eastAsia="Palatino Linotype" w:hAnsi="Palatino Linotype" w:cs="Palatino Linotype"/>
          <w:b/>
          <w:i/>
        </w:rPr>
        <w:t xml:space="preserve"> </w:t>
      </w:r>
      <w:r w:rsidRPr="002006D1">
        <w:rPr>
          <w:rFonts w:ascii="Palatino Linotype" w:eastAsia="Palatino Linotype" w:hAnsi="Palatino Linotype" w:cs="Palatino Linotype"/>
        </w:rPr>
        <w:t xml:space="preserve">a la parte </w:t>
      </w:r>
      <w:r w:rsidRPr="002006D1">
        <w:rPr>
          <w:rFonts w:ascii="Palatino Linotype" w:eastAsia="Palatino Linotype" w:hAnsi="Palatino Linotype" w:cs="Palatino Linotype"/>
          <w:b/>
        </w:rPr>
        <w:t>Recurrente</w:t>
      </w:r>
      <w:r w:rsidRPr="002006D1">
        <w:rPr>
          <w:rFonts w:ascii="Palatino Linotype" w:eastAsia="Palatino Linotype" w:hAnsi="Palatino Linotype" w:cs="Palatino Linotype"/>
        </w:rPr>
        <w:t xml:space="preserve">, la presente resolución; asimismo, se hace de su conocimiento que de conformidad con lo establecido en el artículo 196 de la Ley de Transparencia y Acceso a la Información Pública del Estado de México y Municipios y 142 de la Ley de Protección de Datos Personales en Posesión de Sujetos Obligados del Estado de México y Municipios podrá promover el Juicio de Amparo en los términos de las leyes aplicables. </w:t>
      </w:r>
    </w:p>
    <w:p w:rsidR="003E498B" w:rsidRPr="002006D1" w:rsidRDefault="00FF54DF">
      <w:pPr>
        <w:spacing w:before="240" w:after="240" w:line="360" w:lineRule="auto"/>
        <w:jc w:val="both"/>
        <w:rPr>
          <w:rFonts w:ascii="Palatino Linotype" w:eastAsia="Palatino Linotype" w:hAnsi="Palatino Linotype" w:cs="Palatino Linotype"/>
        </w:rPr>
      </w:pPr>
      <w:r w:rsidRPr="002006D1">
        <w:rPr>
          <w:rFonts w:ascii="Palatino Linotype" w:eastAsia="Palatino Linotype" w:hAnsi="Palatino Linotype" w:cs="Palatino Linotype"/>
          <w:color w:val="222222"/>
        </w:rPr>
        <w:t xml:space="preserve">ASÍ LO RESUELVE, POR UNANIMIDAD DE VOTOS, EL PLENO DEL INSTITUTO DE TRANSPARENCIA, ACCESO A LA INFORMACIÓN PÚBLICA Y PROTECCIÓN DE DATOS PERSONALES DEL ESTADO DE MÉXICO Y </w:t>
      </w:r>
      <w:r w:rsidRPr="002006D1">
        <w:rPr>
          <w:rFonts w:ascii="Palatino Linotype" w:eastAsia="Palatino Linotype" w:hAnsi="Palatino Linotype" w:cs="Palatino Linotype"/>
          <w:color w:val="222222"/>
        </w:rPr>
        <w:lastRenderedPageBreak/>
        <w:t xml:space="preserve">MUNICIPIOS, CONFORMADO POR LOS COMISIONADOS JOSÉ MARTÍNEZ VILCHIS, MARÍA DEL ROSARIO MEJÍA AYALA, SHARON CRISTINA MORALES MARTÍNEZ, LUIS GUSTAVO PARRA NORIEGA Y GUADALUPE RAMÍREZ PEÑA; </w:t>
      </w:r>
      <w:r w:rsidRPr="002006D1">
        <w:rPr>
          <w:rFonts w:ascii="Palatino Linotype" w:eastAsia="Palatino Linotype" w:hAnsi="Palatino Linotype" w:cs="Palatino Linotype"/>
        </w:rPr>
        <w:t xml:space="preserve">EN LA TRIGÉSIMA SEXTA </w:t>
      </w:r>
      <w:r w:rsidRPr="002006D1">
        <w:rPr>
          <w:rFonts w:ascii="Palatino Linotype" w:eastAsia="Palatino Linotype" w:hAnsi="Palatino Linotype" w:cs="Palatino Linotype"/>
          <w:color w:val="222222"/>
        </w:rPr>
        <w:t>SESIÓN ORDINARIA CELEBRADA EL TRES</w:t>
      </w:r>
      <w:r w:rsidRPr="002006D1">
        <w:rPr>
          <w:rFonts w:ascii="Palatino Linotype" w:eastAsia="Palatino Linotype" w:hAnsi="Palatino Linotype" w:cs="Palatino Linotype"/>
        </w:rPr>
        <w:t xml:space="preserve"> DE OCTUBRE DE DOS MIL VEINTITRÉS, ANTE EL SECRETARIO TÉCNICO DEL PLENO ALEXIS TAPIA RAMÍREZ.</w:t>
      </w:r>
    </w:p>
    <w:p w:rsidR="003E498B" w:rsidRPr="002006D1" w:rsidRDefault="003E498B">
      <w:pPr>
        <w:spacing w:before="240" w:after="240" w:line="360" w:lineRule="auto"/>
        <w:jc w:val="both"/>
        <w:rPr>
          <w:rFonts w:ascii="Palatino Linotype" w:eastAsia="Palatino Linotype" w:hAnsi="Palatino Linotype" w:cs="Palatino Linotype"/>
          <w:color w:val="FF0000"/>
        </w:rPr>
      </w:pPr>
    </w:p>
    <w:p w:rsidR="003E498B" w:rsidRDefault="000948F9">
      <w:pPr>
        <w:spacing w:before="240" w:after="240" w:line="360" w:lineRule="auto"/>
        <w:jc w:val="both"/>
        <w:rPr>
          <w:rFonts w:ascii="Palatino Linotype" w:eastAsia="Palatino Linotype" w:hAnsi="Palatino Linotype" w:cs="Palatino Linotype"/>
          <w:color w:val="FF0000"/>
        </w:rPr>
      </w:pPr>
      <w:r w:rsidRPr="002006D1">
        <w:rPr>
          <w:rFonts w:ascii="Palatino Linotype" w:eastAsia="Palatino Linotype" w:hAnsi="Palatino Linotype" w:cs="Palatino Linotype"/>
          <w:noProof/>
          <w:color w:val="FF0000"/>
          <w:lang w:val="es-MX"/>
        </w:rPr>
        <mc:AlternateContent>
          <mc:Choice Requires="wps">
            <w:drawing>
              <wp:anchor distT="0" distB="0" distL="114300" distR="114300" simplePos="0" relativeHeight="251659264" behindDoc="0" locked="0" layoutInCell="1" allowOverlap="1">
                <wp:simplePos x="0" y="0"/>
                <wp:positionH relativeFrom="column">
                  <wp:posOffset>224790</wp:posOffset>
                </wp:positionH>
                <wp:positionV relativeFrom="paragraph">
                  <wp:posOffset>110489</wp:posOffset>
                </wp:positionV>
                <wp:extent cx="5410200" cy="418147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410200" cy="418147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0638230"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7pt,8.7pt" to="443.7pt,3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" strokecolor="#f68c36 [3049]"/>
            </w:pict>
          </mc:Fallback>
        </mc:AlternateContent>
      </w:r>
    </w:p>
    <w:p w:rsidR="003E498B" w:rsidRDefault="003E498B">
      <w:pPr>
        <w:spacing w:before="240" w:after="240" w:line="360" w:lineRule="auto"/>
        <w:jc w:val="both"/>
        <w:rPr>
          <w:rFonts w:ascii="Palatino Linotype" w:eastAsia="Palatino Linotype" w:hAnsi="Palatino Linotype" w:cs="Palatino Linotype"/>
          <w:color w:val="FF0000"/>
        </w:rPr>
      </w:pPr>
    </w:p>
    <w:p w:rsidR="003E498B" w:rsidRDefault="003E498B">
      <w:pPr>
        <w:spacing w:before="240" w:after="240" w:line="360" w:lineRule="auto"/>
        <w:jc w:val="both"/>
        <w:rPr>
          <w:rFonts w:ascii="Palatino Linotype" w:eastAsia="Palatino Linotype" w:hAnsi="Palatino Linotype" w:cs="Palatino Linotype"/>
          <w:color w:val="FF0000"/>
        </w:rPr>
      </w:pPr>
    </w:p>
    <w:p w:rsidR="00477D08" w:rsidRDefault="00477D08">
      <w:pPr>
        <w:spacing w:before="240" w:after="240" w:line="360" w:lineRule="auto"/>
        <w:jc w:val="both"/>
        <w:rPr>
          <w:rFonts w:ascii="Palatino Linotype" w:eastAsia="Palatino Linotype" w:hAnsi="Palatino Linotype" w:cs="Palatino Linotype"/>
          <w:color w:val="FF0000"/>
        </w:rPr>
      </w:pPr>
    </w:p>
    <w:p w:rsidR="00477D08" w:rsidRDefault="00477D08">
      <w:pPr>
        <w:spacing w:before="240" w:after="240" w:line="360" w:lineRule="auto"/>
        <w:jc w:val="both"/>
        <w:rPr>
          <w:rFonts w:ascii="Palatino Linotype" w:eastAsia="Palatino Linotype" w:hAnsi="Palatino Linotype" w:cs="Palatino Linotype"/>
          <w:color w:val="FF0000"/>
        </w:rPr>
      </w:pPr>
    </w:p>
    <w:p w:rsidR="00477D08" w:rsidRDefault="00477D08">
      <w:pPr>
        <w:spacing w:before="240" w:after="240" w:line="360" w:lineRule="auto"/>
        <w:jc w:val="both"/>
        <w:rPr>
          <w:rFonts w:ascii="Palatino Linotype" w:eastAsia="Palatino Linotype" w:hAnsi="Palatino Linotype" w:cs="Palatino Linotype"/>
          <w:color w:val="FF0000"/>
        </w:rPr>
      </w:pPr>
    </w:p>
    <w:p w:rsidR="00477D08" w:rsidRDefault="00477D08">
      <w:pPr>
        <w:spacing w:before="240" w:after="240" w:line="360" w:lineRule="auto"/>
        <w:jc w:val="both"/>
        <w:rPr>
          <w:rFonts w:ascii="Palatino Linotype" w:eastAsia="Palatino Linotype" w:hAnsi="Palatino Linotype" w:cs="Palatino Linotype"/>
          <w:color w:val="FF0000"/>
        </w:rPr>
      </w:pPr>
    </w:p>
    <w:p w:rsidR="00477D08" w:rsidRDefault="00477D08">
      <w:pPr>
        <w:spacing w:before="240" w:after="240" w:line="360" w:lineRule="auto"/>
        <w:jc w:val="both"/>
        <w:rPr>
          <w:rFonts w:ascii="Palatino Linotype" w:eastAsia="Palatino Linotype" w:hAnsi="Palatino Linotype" w:cs="Palatino Linotype"/>
          <w:color w:val="FF0000"/>
        </w:rPr>
      </w:pPr>
    </w:p>
    <w:p w:rsidR="00477D08" w:rsidRDefault="00477D08">
      <w:pPr>
        <w:spacing w:before="240" w:after="240" w:line="360" w:lineRule="auto"/>
        <w:jc w:val="both"/>
        <w:rPr>
          <w:rFonts w:ascii="Palatino Linotype" w:eastAsia="Palatino Linotype" w:hAnsi="Palatino Linotype" w:cs="Palatino Linotype"/>
          <w:color w:val="FF0000"/>
        </w:rPr>
      </w:pPr>
    </w:p>
    <w:p w:rsidR="00477D08" w:rsidRDefault="00477D08">
      <w:pPr>
        <w:spacing w:before="240" w:after="240" w:line="360" w:lineRule="auto"/>
        <w:jc w:val="both"/>
        <w:rPr>
          <w:rFonts w:ascii="Palatino Linotype" w:eastAsia="Palatino Linotype" w:hAnsi="Palatino Linotype" w:cs="Palatino Linotype"/>
          <w:color w:val="FF0000"/>
        </w:rPr>
      </w:pPr>
    </w:p>
    <w:p w:rsidR="00477D08" w:rsidRDefault="00477D08">
      <w:pPr>
        <w:spacing w:before="240" w:after="240" w:line="360" w:lineRule="auto"/>
        <w:jc w:val="both"/>
        <w:rPr>
          <w:rFonts w:ascii="Palatino Linotype" w:eastAsia="Palatino Linotype" w:hAnsi="Palatino Linotype" w:cs="Palatino Linotype"/>
          <w:color w:val="FF0000"/>
        </w:rPr>
      </w:pPr>
    </w:p>
    <w:p w:rsidR="00477D08" w:rsidRDefault="00477D08">
      <w:pPr>
        <w:spacing w:before="240" w:after="240" w:line="360" w:lineRule="auto"/>
        <w:jc w:val="both"/>
        <w:rPr>
          <w:rFonts w:ascii="Palatino Linotype" w:eastAsia="Palatino Linotype" w:hAnsi="Palatino Linotype" w:cs="Palatino Linotype"/>
          <w:color w:val="FF0000"/>
        </w:rPr>
      </w:pPr>
    </w:p>
    <w:p w:rsidR="00477D08" w:rsidRDefault="00477D08">
      <w:pPr>
        <w:spacing w:before="240" w:after="240" w:line="360" w:lineRule="auto"/>
        <w:jc w:val="both"/>
        <w:rPr>
          <w:rFonts w:ascii="Palatino Linotype" w:eastAsia="Palatino Linotype" w:hAnsi="Palatino Linotype" w:cs="Palatino Linotype"/>
          <w:color w:val="FF0000"/>
        </w:rPr>
      </w:pPr>
    </w:p>
    <w:p w:rsidR="00477D08" w:rsidRDefault="00477D08">
      <w:pPr>
        <w:spacing w:before="240" w:after="240" w:line="360" w:lineRule="auto"/>
        <w:jc w:val="both"/>
        <w:rPr>
          <w:rFonts w:ascii="Palatino Linotype" w:eastAsia="Palatino Linotype" w:hAnsi="Palatino Linotype" w:cs="Palatino Linotype"/>
          <w:color w:val="FF0000"/>
        </w:rPr>
      </w:pPr>
    </w:p>
    <w:p w:rsidR="003E498B" w:rsidRDefault="003E498B">
      <w:pPr>
        <w:spacing w:before="240" w:after="240" w:line="360" w:lineRule="auto"/>
        <w:jc w:val="both"/>
        <w:rPr>
          <w:rFonts w:ascii="Palatino Linotype" w:eastAsia="Palatino Linotype" w:hAnsi="Palatino Linotype" w:cs="Palatino Linotype"/>
          <w:color w:val="FF0000"/>
        </w:rPr>
      </w:pPr>
    </w:p>
    <w:p w:rsidR="003E498B" w:rsidRDefault="003E498B">
      <w:pPr>
        <w:spacing w:before="240" w:after="240" w:line="360" w:lineRule="auto"/>
        <w:jc w:val="both"/>
        <w:rPr>
          <w:rFonts w:ascii="Palatino Linotype" w:eastAsia="Palatino Linotype" w:hAnsi="Palatino Linotype" w:cs="Palatino Linotype"/>
          <w:color w:val="FF0000"/>
        </w:rPr>
      </w:pPr>
    </w:p>
    <w:p w:rsidR="003E498B" w:rsidRDefault="003E498B">
      <w:pPr>
        <w:spacing w:before="240" w:after="240" w:line="360" w:lineRule="auto"/>
        <w:jc w:val="both"/>
        <w:rPr>
          <w:rFonts w:ascii="Palatino Linotype" w:eastAsia="Palatino Linotype" w:hAnsi="Palatino Linotype" w:cs="Palatino Linotype"/>
          <w:color w:val="FF0000"/>
        </w:rPr>
      </w:pPr>
    </w:p>
    <w:p w:rsidR="003E498B" w:rsidRDefault="003E498B">
      <w:pPr>
        <w:spacing w:before="240" w:after="240" w:line="360" w:lineRule="auto"/>
        <w:jc w:val="both"/>
        <w:rPr>
          <w:rFonts w:ascii="Palatino Linotype" w:eastAsia="Palatino Linotype" w:hAnsi="Palatino Linotype" w:cs="Palatino Linotype"/>
          <w:color w:val="FF0000"/>
        </w:rPr>
      </w:pPr>
    </w:p>
    <w:p w:rsidR="003E498B" w:rsidRDefault="003E498B">
      <w:pPr>
        <w:spacing w:before="240" w:after="240" w:line="360" w:lineRule="auto"/>
        <w:jc w:val="both"/>
        <w:rPr>
          <w:rFonts w:ascii="Palatino Linotype" w:eastAsia="Palatino Linotype" w:hAnsi="Palatino Linotype" w:cs="Palatino Linotype"/>
          <w:color w:val="FF0000"/>
        </w:rPr>
      </w:pPr>
    </w:p>
    <w:p w:rsidR="003E498B" w:rsidRDefault="003E498B">
      <w:pPr>
        <w:spacing w:before="240" w:after="240" w:line="360" w:lineRule="auto"/>
        <w:jc w:val="both"/>
        <w:rPr>
          <w:rFonts w:ascii="Palatino Linotype" w:eastAsia="Palatino Linotype" w:hAnsi="Palatino Linotype" w:cs="Palatino Linotype"/>
          <w:color w:val="FF0000"/>
        </w:rPr>
      </w:pPr>
    </w:p>
    <w:p w:rsidR="003E498B" w:rsidRDefault="003E498B">
      <w:pPr>
        <w:spacing w:before="240" w:after="240" w:line="360" w:lineRule="auto"/>
        <w:jc w:val="both"/>
        <w:rPr>
          <w:rFonts w:ascii="Palatino Linotype" w:eastAsia="Palatino Linotype" w:hAnsi="Palatino Linotype" w:cs="Palatino Linotype"/>
          <w:color w:val="FF0000"/>
        </w:rPr>
      </w:pPr>
    </w:p>
    <w:p w:rsidR="003E498B" w:rsidRDefault="003E498B">
      <w:pPr>
        <w:spacing w:before="240" w:after="240" w:line="360" w:lineRule="auto"/>
        <w:jc w:val="both"/>
        <w:rPr>
          <w:rFonts w:ascii="Palatino Linotype" w:eastAsia="Palatino Linotype" w:hAnsi="Palatino Linotype" w:cs="Palatino Linotype"/>
          <w:color w:val="FF0000"/>
        </w:rPr>
      </w:pPr>
    </w:p>
    <w:sectPr w:rsidR="003E498B">
      <w:headerReference w:type="default" r:id="rId16"/>
      <w:footerReference w:type="default" r:id="rId17"/>
      <w:headerReference w:type="first" r:id="rId18"/>
      <w:footerReference w:type="first" r:id="rId19"/>
      <w:pgSz w:w="12240" w:h="15840"/>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FA8" w:rsidRDefault="00D74FA8">
      <w:r>
        <w:separator/>
      </w:r>
    </w:p>
  </w:endnote>
  <w:endnote w:type="continuationSeparator" w:id="0">
    <w:p w:rsidR="00D74FA8" w:rsidRDefault="00D74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B" w:rsidRDefault="00FF54D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711B8">
      <w:rPr>
        <w:rFonts w:ascii="Arial" w:eastAsia="Arial" w:hAnsi="Arial" w:cs="Arial"/>
        <w:b/>
        <w:noProof/>
        <w:color w:val="000000"/>
        <w:sz w:val="20"/>
        <w:szCs w:val="20"/>
      </w:rPr>
      <w:t>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711B8">
      <w:rPr>
        <w:rFonts w:ascii="Arial" w:eastAsia="Arial" w:hAnsi="Arial" w:cs="Arial"/>
        <w:b/>
        <w:noProof/>
        <w:color w:val="000000"/>
        <w:sz w:val="20"/>
        <w:szCs w:val="20"/>
      </w:rPr>
      <w:t>36</w:t>
    </w:r>
    <w:r>
      <w:rPr>
        <w:rFonts w:ascii="Arial" w:eastAsia="Arial" w:hAnsi="Arial" w:cs="Arial"/>
        <w:b/>
        <w:color w:val="000000"/>
        <w:sz w:val="20"/>
        <w:szCs w:val="20"/>
      </w:rPr>
      <w:fldChar w:fldCharType="end"/>
    </w:r>
  </w:p>
  <w:p w:rsidR="003E498B" w:rsidRDefault="003E498B">
    <w:pPr>
      <w:pBdr>
        <w:top w:val="nil"/>
        <w:left w:val="nil"/>
        <w:bottom w:val="nil"/>
        <w:right w:val="nil"/>
        <w:between w:val="nil"/>
      </w:pBdr>
      <w:tabs>
        <w:tab w:val="center" w:pos="4252"/>
        <w:tab w:val="right" w:pos="8504"/>
      </w:tabs>
      <w:rPr>
        <w:color w:val="000000"/>
      </w:rPr>
    </w:pPr>
  </w:p>
  <w:p w:rsidR="003E498B" w:rsidRDefault="003E498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B" w:rsidRDefault="00FF54D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711B8">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711B8">
      <w:rPr>
        <w:rFonts w:ascii="Arial" w:eastAsia="Arial" w:hAnsi="Arial" w:cs="Arial"/>
        <w:b/>
        <w:noProof/>
        <w:color w:val="000000"/>
        <w:sz w:val="20"/>
        <w:szCs w:val="20"/>
      </w:rPr>
      <w:t>36</w:t>
    </w:r>
    <w:r>
      <w:rPr>
        <w:rFonts w:ascii="Arial" w:eastAsia="Arial" w:hAnsi="Arial" w:cs="Arial"/>
        <w:b/>
        <w:color w:val="000000"/>
        <w:sz w:val="20"/>
        <w:szCs w:val="20"/>
      </w:rPr>
      <w:fldChar w:fldCharType="end"/>
    </w:r>
  </w:p>
  <w:p w:rsidR="003E498B" w:rsidRDefault="003E498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FA8" w:rsidRDefault="00D74FA8">
      <w:r>
        <w:separator/>
      </w:r>
    </w:p>
  </w:footnote>
  <w:footnote w:type="continuationSeparator" w:id="0">
    <w:p w:rsidR="00D74FA8" w:rsidRDefault="00D74FA8">
      <w:r>
        <w:continuationSeparator/>
      </w:r>
    </w:p>
  </w:footnote>
  <w:footnote w:id="1">
    <w:p w:rsidR="003E498B" w:rsidRDefault="00FF54DF">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BONILLLA LÓPEZ Miguel. </w:t>
      </w:r>
      <w:r>
        <w:rPr>
          <w:rFonts w:ascii="Palatino Linotype" w:eastAsia="Palatino Linotype" w:hAnsi="Palatino Linotype" w:cs="Palatino Linotype"/>
          <w:i/>
          <w:color w:val="000000"/>
          <w:sz w:val="20"/>
          <w:szCs w:val="20"/>
        </w:rPr>
        <w:t>Los principios Constitucionales del Juicio de Amparo II.</w:t>
      </w:r>
      <w:r>
        <w:rPr>
          <w:rFonts w:ascii="Palatino Linotype" w:eastAsia="Palatino Linotype" w:hAnsi="Palatino Linotype" w:cs="Palatino Linotype"/>
          <w:color w:val="000000"/>
          <w:sz w:val="20"/>
          <w:szCs w:val="20"/>
        </w:rPr>
        <w:t xml:space="preserve"> México. 2009. UNAM.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B" w:rsidRDefault="003E498B">
    <w:pPr>
      <w:widowControl w:val="0"/>
      <w:pBdr>
        <w:top w:val="nil"/>
        <w:left w:val="nil"/>
        <w:bottom w:val="nil"/>
        <w:right w:val="nil"/>
        <w:between w:val="nil"/>
      </w:pBdr>
      <w:spacing w:line="276" w:lineRule="auto"/>
      <w:rPr>
        <w:rFonts w:ascii="Cambria" w:eastAsia="Cambria" w:hAnsi="Cambria" w:cs="Cambria"/>
        <w:color w:val="000000"/>
      </w:rPr>
    </w:pPr>
  </w:p>
  <w:tbl>
    <w:tblPr>
      <w:tblStyle w:val="a0"/>
      <w:tblW w:w="6240" w:type="dxa"/>
      <w:tblInd w:w="3746" w:type="dxa"/>
      <w:tblLayout w:type="fixed"/>
      <w:tblLook w:val="0400" w:firstRow="0" w:lastRow="0" w:firstColumn="0" w:lastColumn="0" w:noHBand="0" w:noVBand="1"/>
    </w:tblPr>
    <w:tblGrid>
      <w:gridCol w:w="2553"/>
      <w:gridCol w:w="3687"/>
    </w:tblGrid>
    <w:tr w:rsidR="003E498B">
      <w:tc>
        <w:tcPr>
          <w:tcW w:w="2553" w:type="dxa"/>
          <w:vAlign w:val="center"/>
        </w:tcPr>
        <w:p w:rsidR="003E498B" w:rsidRDefault="00FF54D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r>
            <w:rPr>
              <w:noProof/>
              <w:lang w:val="es-MX"/>
            </w:rPr>
            <w:drawing>
              <wp:anchor distT="0" distB="0" distL="0" distR="0" simplePos="0" relativeHeight="251658240" behindDoc="1" locked="0" layoutInCell="1" hidden="0" allowOverlap="1">
                <wp:simplePos x="0" y="0"/>
                <wp:positionH relativeFrom="column">
                  <wp:posOffset>-3399789</wp:posOffset>
                </wp:positionH>
                <wp:positionV relativeFrom="paragraph">
                  <wp:posOffset>-551814</wp:posOffset>
                </wp:positionV>
                <wp:extent cx="7635240" cy="9942830"/>
                <wp:effectExtent l="0" t="0" r="0" b="0"/>
                <wp:wrapNone/>
                <wp:docPr id="4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c>
      <w:tc>
        <w:tcPr>
          <w:tcW w:w="3687" w:type="dxa"/>
          <w:vAlign w:val="center"/>
        </w:tcPr>
        <w:p w:rsidR="003E498B" w:rsidRDefault="00FF54D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15824/INFOEM/IP/RR/2022</w:t>
          </w:r>
        </w:p>
      </w:tc>
    </w:tr>
    <w:tr w:rsidR="003E498B">
      <w:trPr>
        <w:trHeight w:val="228"/>
      </w:trPr>
      <w:tc>
        <w:tcPr>
          <w:tcW w:w="2553" w:type="dxa"/>
          <w:vAlign w:val="center"/>
        </w:tcPr>
        <w:p w:rsidR="003E498B" w:rsidRDefault="00FF54D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3E498B" w:rsidRDefault="00FF54D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de la Función Registral del Estado de México.</w:t>
          </w:r>
        </w:p>
      </w:tc>
    </w:tr>
    <w:tr w:rsidR="003E498B">
      <w:tc>
        <w:tcPr>
          <w:tcW w:w="2553" w:type="dxa"/>
          <w:vAlign w:val="center"/>
        </w:tcPr>
        <w:p w:rsidR="003E498B" w:rsidRDefault="00FF54D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3E498B" w:rsidRDefault="00FF54DF">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3E498B" w:rsidRDefault="00FF54DF">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B" w:rsidRDefault="00FF54DF">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simplePos x="0" y="0"/>
          <wp:positionH relativeFrom="column">
            <wp:posOffset>-626744</wp:posOffset>
          </wp:positionH>
          <wp:positionV relativeFrom="paragraph">
            <wp:posOffset>-341629</wp:posOffset>
          </wp:positionV>
          <wp:extent cx="7635240" cy="9942830"/>
          <wp:effectExtent l="0" t="0" r="0" b="0"/>
          <wp:wrapNone/>
          <wp:docPr id="4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bl>
    <w:tblPr>
      <w:tblStyle w:val="a"/>
      <w:tblW w:w="6240" w:type="dxa"/>
      <w:tblInd w:w="3685" w:type="dxa"/>
      <w:tblLayout w:type="fixed"/>
      <w:tblLook w:val="0400" w:firstRow="0" w:lastRow="0" w:firstColumn="0" w:lastColumn="0" w:noHBand="0" w:noVBand="1"/>
    </w:tblPr>
    <w:tblGrid>
      <w:gridCol w:w="2553"/>
      <w:gridCol w:w="3687"/>
    </w:tblGrid>
    <w:tr w:rsidR="003E498B">
      <w:tc>
        <w:tcPr>
          <w:tcW w:w="2553" w:type="dxa"/>
          <w:vAlign w:val="center"/>
        </w:tcPr>
        <w:p w:rsidR="003E498B" w:rsidRDefault="00FF54D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3E498B" w:rsidRDefault="00FF54D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15824/INFOEM/IP/RR/2022</w:t>
          </w:r>
        </w:p>
      </w:tc>
    </w:tr>
    <w:tr w:rsidR="003E498B">
      <w:tc>
        <w:tcPr>
          <w:tcW w:w="2553" w:type="dxa"/>
          <w:vAlign w:val="center"/>
        </w:tcPr>
        <w:p w:rsidR="003E498B" w:rsidRDefault="00FF54D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3E498B" w:rsidRDefault="003A1F80" w:rsidP="003A1F8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XXXXXXX XXXX</w:t>
          </w:r>
          <w:r w:rsidR="00FF54DF">
            <w:rPr>
              <w:rFonts w:ascii="Palatino Linotype" w:eastAsia="Palatino Linotype" w:hAnsi="Palatino Linotype" w:cs="Palatino Linotype"/>
              <w:b/>
              <w:sz w:val="22"/>
              <w:szCs w:val="22"/>
            </w:rPr>
            <w:t>.</w:t>
          </w:r>
        </w:p>
      </w:tc>
    </w:tr>
    <w:tr w:rsidR="003E498B">
      <w:trPr>
        <w:trHeight w:val="228"/>
      </w:trPr>
      <w:tc>
        <w:tcPr>
          <w:tcW w:w="2553" w:type="dxa"/>
          <w:vAlign w:val="center"/>
        </w:tcPr>
        <w:p w:rsidR="003E498B" w:rsidRDefault="00FF54D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3E498B" w:rsidRDefault="00FF54D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de la Función Registral del Estado de México.</w:t>
          </w:r>
        </w:p>
      </w:tc>
    </w:tr>
    <w:tr w:rsidR="003E498B">
      <w:tc>
        <w:tcPr>
          <w:tcW w:w="2553" w:type="dxa"/>
          <w:vAlign w:val="center"/>
        </w:tcPr>
        <w:p w:rsidR="003E498B" w:rsidRDefault="00FF54D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3E498B" w:rsidRDefault="00FF54DF">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3E498B" w:rsidRDefault="003E498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ACC0814"/>
    <w:multiLevelType w:val="multilevel"/>
    <w:tmpl w:val="4696415C"/>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
    <w:nsid w:val="7D5F015B"/>
    <w:multiLevelType w:val="multilevel"/>
    <w:tmpl w:val="451E04D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1353" w:hanging="359"/>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98B"/>
    <w:rsid w:val="000948F9"/>
    <w:rsid w:val="00123CE5"/>
    <w:rsid w:val="00130B13"/>
    <w:rsid w:val="00136C22"/>
    <w:rsid w:val="0016250B"/>
    <w:rsid w:val="001A3F3B"/>
    <w:rsid w:val="001D4E28"/>
    <w:rsid w:val="002006D1"/>
    <w:rsid w:val="003A1F80"/>
    <w:rsid w:val="003E498B"/>
    <w:rsid w:val="00477D08"/>
    <w:rsid w:val="005478FB"/>
    <w:rsid w:val="005D1861"/>
    <w:rsid w:val="00604F58"/>
    <w:rsid w:val="0062677E"/>
    <w:rsid w:val="0074199A"/>
    <w:rsid w:val="0075208A"/>
    <w:rsid w:val="00850A6A"/>
    <w:rsid w:val="00946140"/>
    <w:rsid w:val="009B7EBE"/>
    <w:rsid w:val="009D1B20"/>
    <w:rsid w:val="009E3790"/>
    <w:rsid w:val="00A22794"/>
    <w:rsid w:val="00A711B8"/>
    <w:rsid w:val="00A716D1"/>
    <w:rsid w:val="00B476A3"/>
    <w:rsid w:val="00BB1080"/>
    <w:rsid w:val="00C74447"/>
    <w:rsid w:val="00D74FA8"/>
    <w:rsid w:val="00DB34F3"/>
    <w:rsid w:val="00E617F6"/>
    <w:rsid w:val="00ED26C8"/>
    <w:rsid w:val="00F95439"/>
    <w:rsid w:val="00FA0D28"/>
    <w:rsid w:val="00FA10FF"/>
    <w:rsid w:val="00FE0A9F"/>
    <w:rsid w:val="00FF54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5C1F73-F12C-435A-9804-C89F3C303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3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1E60A4"/>
    <w:pPr>
      <w:autoSpaceDE w:val="0"/>
      <w:autoSpaceDN w:val="0"/>
      <w:adjustRightInd w:val="0"/>
      <w:ind w:left="4"/>
    </w:pPr>
    <w:rPr>
      <w:rFonts w:ascii="Arial" w:eastAsiaTheme="minorEastAsia" w:hAnsi="Arial" w:cs="Arial"/>
      <w:sz w:val="23"/>
      <w:szCs w:val="23"/>
      <w:lang w:val="es-MX"/>
    </w:rPr>
  </w:style>
  <w:style w:type="character" w:customStyle="1" w:styleId="TextoindependienteCar">
    <w:name w:val="Texto independiente Car"/>
    <w:basedOn w:val="Fuentedeprrafopredeter"/>
    <w:link w:val="Textoindependiente"/>
    <w:uiPriority w:val="1"/>
    <w:rsid w:val="001E60A4"/>
    <w:rPr>
      <w:rFonts w:ascii="Arial" w:hAnsi="Arial" w:cs="Arial"/>
      <w:sz w:val="23"/>
      <w:szCs w:val="23"/>
      <w:lang w:val="es-MX"/>
    </w:rPr>
  </w:style>
  <w:style w:type="paragraph" w:styleId="Textosinformato">
    <w:name w:val="Plain Text"/>
    <w:basedOn w:val="Normal"/>
    <w:link w:val="TextosinformatoCar"/>
    <w:rsid w:val="007F69E3"/>
    <w:rPr>
      <w:rFonts w:ascii="Courier New" w:hAnsi="Courier New"/>
      <w:sz w:val="20"/>
      <w:szCs w:val="20"/>
    </w:rPr>
  </w:style>
  <w:style w:type="character" w:customStyle="1" w:styleId="TextosinformatoCar">
    <w:name w:val="Texto sin formato Car"/>
    <w:basedOn w:val="Fuentedeprrafopredeter"/>
    <w:link w:val="Textosinformato"/>
    <w:rsid w:val="007F69E3"/>
    <w:rPr>
      <w:rFonts w:ascii="Courier New" w:eastAsia="Times New Roman" w:hAnsi="Courier New" w:cs="Times New Roman"/>
      <w:sz w:val="20"/>
      <w:szCs w:val="20"/>
      <w:lang w:val="es-ES"/>
    </w:rPr>
  </w:style>
  <w:style w:type="paragraph" w:customStyle="1" w:styleId="Cuerpo">
    <w:name w:val="Cuerpo"/>
    <w:rsid w:val="0041342A"/>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inguno">
    <w:name w:val="Ninguno"/>
    <w:rsid w:val="0041342A"/>
    <w:rPr>
      <w:lang w:val="es-ES_tradnl"/>
    </w:rPr>
  </w:style>
  <w:style w:type="numbering" w:customStyle="1" w:styleId="Estiloimportado2">
    <w:name w:val="Estilo importado 2"/>
    <w:rsid w:val="0041342A"/>
  </w:style>
  <w:style w:type="table" w:styleId="Tabladelista1clara-nfasis1">
    <w:name w:val="List Table 1 Light Accent 1"/>
    <w:basedOn w:val="Tablanormal"/>
    <w:uiPriority w:val="46"/>
    <w:rsid w:val="00B11830"/>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ipervnculovisitado">
    <w:name w:val="FollowedHyperlink"/>
    <w:basedOn w:val="Fuentedeprrafopredeter"/>
    <w:uiPriority w:val="99"/>
    <w:semiHidden/>
    <w:unhideWhenUsed/>
    <w:rsid w:val="005D5B79"/>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0"/>
    <w:tblPr>
      <w:tblStyleRowBandSize w:val="1"/>
      <w:tblStyleColBandSize w:val="1"/>
      <w:tblCellMar>
        <w:top w:w="0" w:type="dxa"/>
        <w:left w:w="115" w:type="dxa"/>
        <w:bottom w:w="0" w:type="dxa"/>
        <w:right w:w="115" w:type="dxa"/>
      </w:tblCellMar>
    </w:tblPr>
  </w:style>
  <w:style w:type="table" w:customStyle="1" w:styleId="1">
    <w:name w:val="1"/>
    <w:basedOn w:val="TableNormal0"/>
    <w:tblPr>
      <w:tblStyleRowBandSize w:val="1"/>
      <w:tblStyleColBandSize w:val="1"/>
      <w:tblCellMar>
        <w:top w:w="0" w:type="dxa"/>
        <w:left w:w="115" w:type="dxa"/>
        <w:bottom w:w="0" w:type="dxa"/>
        <w:right w:w="115" w:type="dxa"/>
      </w:tblCellMar>
    </w:tbl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ifrem.edome.gob.mx/descarga_formatos"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l82lCEottlhZIq13/O3U/ZnUOg==">CgMxLjAyCWguMzBqMHpsbDIIaC5namRneHM4AHIhMWVKR24zS3F1VUIxZzdUZ3Z6bGhLb1piRERYSmJsSXhk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7553</Words>
  <Characters>41545</Characters>
  <Application>Microsoft Office Word</Application>
  <DocSecurity>0</DocSecurity>
  <Lines>346</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2023-10-04T20:25:00Z</cp:lastPrinted>
  <dcterms:created xsi:type="dcterms:W3CDTF">2023-10-25T18:57:00Z</dcterms:created>
  <dcterms:modified xsi:type="dcterms:W3CDTF">2023-10-25T18:57:00Z</dcterms:modified>
</cp:coreProperties>
</file>