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418" w:rsidRPr="007A50FE" w:rsidRDefault="00AC5BC7">
      <w:pPr>
        <w:spacing w:before="240" w:after="240" w:line="360" w:lineRule="auto"/>
        <w:jc w:val="both"/>
        <w:rPr>
          <w:rFonts w:ascii="Palatino Linotype" w:eastAsia="Palatino Linotype" w:hAnsi="Palatino Linotype" w:cs="Palatino Linotype"/>
        </w:rPr>
      </w:pPr>
      <w:bookmarkStart w:id="0" w:name="_GoBack"/>
      <w:bookmarkEnd w:id="0"/>
      <w:r w:rsidRPr="007A50F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CE49E6" w:rsidRPr="007A50FE">
        <w:rPr>
          <w:rFonts w:ascii="Palatino Linotype" w:eastAsia="Palatino Linotype" w:hAnsi="Palatino Linotype" w:cs="Palatino Linotype"/>
        </w:rPr>
        <w:t>quince de noviembre</w:t>
      </w:r>
      <w:r w:rsidRPr="007A50FE">
        <w:rPr>
          <w:rFonts w:ascii="Palatino Linotype" w:eastAsia="Palatino Linotype" w:hAnsi="Palatino Linotype" w:cs="Palatino Linotype"/>
        </w:rPr>
        <w:t xml:space="preserve"> de dos mil veintitrés. </w:t>
      </w:r>
    </w:p>
    <w:p w:rsidR="00223418" w:rsidRPr="007A50FE" w:rsidRDefault="00AC5BC7">
      <w:pPr>
        <w:spacing w:before="240" w:after="240" w:line="360" w:lineRule="auto"/>
        <w:jc w:val="both"/>
        <w:rPr>
          <w:rFonts w:ascii="Palatino Linotype" w:eastAsia="Palatino Linotype" w:hAnsi="Palatino Linotype" w:cs="Palatino Linotype"/>
          <w:b/>
        </w:rPr>
      </w:pPr>
      <w:r w:rsidRPr="007A50FE">
        <w:rPr>
          <w:rFonts w:ascii="Palatino Linotype" w:eastAsia="Palatino Linotype" w:hAnsi="Palatino Linotype" w:cs="Palatino Linotype"/>
          <w:b/>
        </w:rPr>
        <w:t>VISTO</w:t>
      </w:r>
      <w:r w:rsidRPr="007A50FE">
        <w:rPr>
          <w:rFonts w:ascii="Palatino Linotype" w:eastAsia="Palatino Linotype" w:hAnsi="Palatino Linotype" w:cs="Palatino Linotype"/>
        </w:rPr>
        <w:t xml:space="preserve"> el expediente formado con motivo del recurso de revisión</w:t>
      </w:r>
      <w:r w:rsidR="00CE49E6" w:rsidRPr="007A50FE">
        <w:rPr>
          <w:rFonts w:ascii="Palatino Linotype" w:eastAsia="Palatino Linotype" w:hAnsi="Palatino Linotype" w:cs="Palatino Linotype"/>
          <w:b/>
        </w:rPr>
        <w:t xml:space="preserve"> 06849</w:t>
      </w:r>
      <w:r w:rsidRPr="007A50FE">
        <w:rPr>
          <w:rFonts w:ascii="Palatino Linotype" w:eastAsia="Palatino Linotype" w:hAnsi="Palatino Linotype" w:cs="Palatino Linotype"/>
          <w:b/>
        </w:rPr>
        <w:t>/INFOEM/IP/RR/2023</w:t>
      </w:r>
      <w:r w:rsidRPr="007A50FE">
        <w:rPr>
          <w:rFonts w:ascii="Palatino Linotype" w:eastAsia="Palatino Linotype" w:hAnsi="Palatino Linotype" w:cs="Palatino Linotype"/>
        </w:rPr>
        <w:t>, interpuesto por</w:t>
      </w:r>
      <w:r w:rsidRPr="007A50FE">
        <w:rPr>
          <w:rFonts w:ascii="Palatino Linotype" w:eastAsia="Palatino Linotype" w:hAnsi="Palatino Linotype" w:cs="Palatino Linotype"/>
          <w:b/>
        </w:rPr>
        <w:t xml:space="preserve"> </w:t>
      </w:r>
      <w:r w:rsidR="00CE49E6" w:rsidRPr="007A50FE">
        <w:rPr>
          <w:rFonts w:ascii="Palatino Linotype" w:eastAsia="Palatino Linotype" w:hAnsi="Palatino Linotype" w:cs="Palatino Linotype"/>
          <w:b/>
        </w:rPr>
        <w:t>una persona que no proporcionó nombre o seudónimo,</w:t>
      </w:r>
      <w:r w:rsidRPr="007A50FE">
        <w:rPr>
          <w:rFonts w:ascii="Palatino Linotype" w:eastAsia="Palatino Linotype" w:hAnsi="Palatino Linotype" w:cs="Palatino Linotype"/>
        </w:rPr>
        <w:t xml:space="preserve"> en lo sucesivo</w:t>
      </w:r>
      <w:r w:rsidRPr="007A50FE">
        <w:rPr>
          <w:rFonts w:ascii="Palatino Linotype" w:eastAsia="Palatino Linotype" w:hAnsi="Palatino Linotype" w:cs="Palatino Linotype"/>
          <w:b/>
        </w:rPr>
        <w:t xml:space="preserve"> </w:t>
      </w:r>
      <w:r w:rsidRPr="007A50FE">
        <w:rPr>
          <w:rFonts w:ascii="Palatino Linotype" w:eastAsia="Palatino Linotype" w:hAnsi="Palatino Linotype" w:cs="Palatino Linotype"/>
        </w:rPr>
        <w:t xml:space="preserve">la parte </w:t>
      </w:r>
      <w:r w:rsidRPr="007A50FE">
        <w:rPr>
          <w:rFonts w:ascii="Palatino Linotype" w:eastAsia="Palatino Linotype" w:hAnsi="Palatino Linotype" w:cs="Palatino Linotype"/>
          <w:b/>
        </w:rPr>
        <w:t>Recurrente,</w:t>
      </w:r>
      <w:r w:rsidRPr="007A50FE">
        <w:rPr>
          <w:rFonts w:ascii="Palatino Linotype" w:eastAsia="Palatino Linotype" w:hAnsi="Palatino Linotype" w:cs="Palatino Linotype"/>
        </w:rPr>
        <w:t xml:space="preserve"> en contra de la respuesta a su solicitud por parte del </w:t>
      </w:r>
      <w:r w:rsidR="00CE49E6" w:rsidRPr="007A50FE">
        <w:rPr>
          <w:rFonts w:ascii="Palatino Linotype" w:eastAsia="Palatino Linotype" w:hAnsi="Palatino Linotype" w:cs="Palatino Linotype"/>
          <w:b/>
        </w:rPr>
        <w:t>Ayuntamiento de Melchor Ocampo</w:t>
      </w:r>
      <w:r w:rsidRPr="007A50FE">
        <w:rPr>
          <w:rFonts w:ascii="Palatino Linotype" w:eastAsia="Palatino Linotype" w:hAnsi="Palatino Linotype" w:cs="Palatino Linotype"/>
          <w:b/>
        </w:rPr>
        <w:t xml:space="preserve">, </w:t>
      </w:r>
      <w:r w:rsidRPr="007A50FE">
        <w:rPr>
          <w:rFonts w:ascii="Palatino Linotype" w:eastAsia="Palatino Linotype" w:hAnsi="Palatino Linotype" w:cs="Palatino Linotype"/>
        </w:rPr>
        <w:t xml:space="preserve">en lo sucesivo el </w:t>
      </w:r>
      <w:r w:rsidRPr="007A50FE">
        <w:rPr>
          <w:rFonts w:ascii="Palatino Linotype" w:eastAsia="Palatino Linotype" w:hAnsi="Palatino Linotype" w:cs="Palatino Linotype"/>
          <w:b/>
        </w:rPr>
        <w:t xml:space="preserve">Sujeto Obligado, </w:t>
      </w:r>
      <w:r w:rsidRPr="007A50FE">
        <w:rPr>
          <w:rFonts w:ascii="Palatino Linotype" w:eastAsia="Palatino Linotype" w:hAnsi="Palatino Linotype" w:cs="Palatino Linotype"/>
        </w:rPr>
        <w:t xml:space="preserve">se procede a dictar la presente resolución con base en los siguientes: </w:t>
      </w:r>
    </w:p>
    <w:p w:rsidR="00223418" w:rsidRPr="007A50FE" w:rsidRDefault="00AC5BC7">
      <w:pPr>
        <w:spacing w:before="240" w:after="240" w:line="360" w:lineRule="auto"/>
        <w:jc w:val="center"/>
        <w:rPr>
          <w:rFonts w:ascii="Palatino Linotype" w:eastAsia="Palatino Linotype" w:hAnsi="Palatino Linotype" w:cs="Palatino Linotype"/>
          <w:b/>
        </w:rPr>
      </w:pPr>
      <w:r w:rsidRPr="007A50FE">
        <w:rPr>
          <w:rFonts w:ascii="Palatino Linotype" w:eastAsia="Palatino Linotype" w:hAnsi="Palatino Linotype" w:cs="Palatino Linotype"/>
          <w:b/>
        </w:rPr>
        <w:t>I. A N T E C E D E N T E S</w:t>
      </w:r>
    </w:p>
    <w:p w:rsidR="00223418" w:rsidRPr="007A50FE" w:rsidRDefault="00AC5BC7">
      <w:pPr>
        <w:spacing w:before="240" w:after="24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b/>
        </w:rPr>
        <w:t>1. Solicitud de acceso a la información.</w:t>
      </w:r>
      <w:r w:rsidRPr="007A50FE">
        <w:rPr>
          <w:rFonts w:ascii="Palatino Linotype" w:eastAsia="Palatino Linotype" w:hAnsi="Palatino Linotype" w:cs="Palatino Linotype"/>
        </w:rPr>
        <w:t xml:space="preserve"> Con fecha </w:t>
      </w:r>
      <w:r w:rsidR="00CE49E6" w:rsidRPr="007A50FE">
        <w:rPr>
          <w:rFonts w:ascii="Palatino Linotype" w:eastAsia="Palatino Linotype" w:hAnsi="Palatino Linotype" w:cs="Palatino Linotype"/>
          <w:b/>
        </w:rPr>
        <w:t>veintinueve de agosto</w:t>
      </w:r>
      <w:r w:rsidRPr="007A50FE">
        <w:rPr>
          <w:rFonts w:ascii="Palatino Linotype" w:eastAsia="Palatino Linotype" w:hAnsi="Palatino Linotype" w:cs="Palatino Linotype"/>
          <w:b/>
        </w:rPr>
        <w:t xml:space="preserve"> de</w:t>
      </w:r>
      <w:r w:rsidRPr="007A50FE">
        <w:rPr>
          <w:rFonts w:ascii="Palatino Linotype" w:eastAsia="Palatino Linotype" w:hAnsi="Palatino Linotype" w:cs="Palatino Linotype"/>
        </w:rPr>
        <w:t xml:space="preserve"> </w:t>
      </w:r>
      <w:r w:rsidRPr="007A50FE">
        <w:rPr>
          <w:rFonts w:ascii="Palatino Linotype" w:eastAsia="Palatino Linotype" w:hAnsi="Palatino Linotype" w:cs="Palatino Linotype"/>
          <w:b/>
        </w:rPr>
        <w:t>dos mil veintitrés,</w:t>
      </w:r>
      <w:r w:rsidRPr="007A50FE">
        <w:rPr>
          <w:rFonts w:ascii="Palatino Linotype" w:eastAsia="Palatino Linotype" w:hAnsi="Palatino Linotype" w:cs="Palatino Linotype"/>
        </w:rPr>
        <w:t xml:space="preserve"> la parte </w:t>
      </w:r>
      <w:r w:rsidRPr="007A50FE">
        <w:rPr>
          <w:rFonts w:ascii="Palatino Linotype" w:eastAsia="Palatino Linotype" w:hAnsi="Palatino Linotype" w:cs="Palatino Linotype"/>
          <w:b/>
        </w:rPr>
        <w:t xml:space="preserve">Recurrente </w:t>
      </w:r>
      <w:r w:rsidRPr="007A50FE">
        <w:rPr>
          <w:rFonts w:ascii="Palatino Linotype" w:eastAsia="Palatino Linotype" w:hAnsi="Palatino Linotype" w:cs="Palatino Linotype"/>
        </w:rPr>
        <w:t xml:space="preserve">presentó, a través del Sistema de Acceso a la Información Mexiquense, en lo subsecuente el </w:t>
      </w:r>
      <w:r w:rsidRPr="007A50FE">
        <w:rPr>
          <w:rFonts w:ascii="Palatino Linotype" w:eastAsia="Palatino Linotype" w:hAnsi="Palatino Linotype" w:cs="Palatino Linotype"/>
          <w:b/>
        </w:rPr>
        <w:t>SAIMEX,</w:t>
      </w:r>
      <w:r w:rsidRPr="007A50FE">
        <w:rPr>
          <w:rFonts w:ascii="Palatino Linotype" w:eastAsia="Palatino Linotype" w:hAnsi="Palatino Linotype" w:cs="Palatino Linotype"/>
        </w:rPr>
        <w:t xml:space="preserve"> ante el </w:t>
      </w:r>
      <w:r w:rsidRPr="007A50FE">
        <w:rPr>
          <w:rFonts w:ascii="Palatino Linotype" w:eastAsia="Palatino Linotype" w:hAnsi="Palatino Linotype" w:cs="Palatino Linotype"/>
          <w:b/>
        </w:rPr>
        <w:t>Sujeto Obligado</w:t>
      </w:r>
      <w:r w:rsidRPr="007A50FE">
        <w:rPr>
          <w:rFonts w:ascii="Palatino Linotype" w:eastAsia="Palatino Linotype" w:hAnsi="Palatino Linotype" w:cs="Palatino Linotype"/>
        </w:rPr>
        <w:t>, la solicitud de acceso a la información pública, a la que se le asignó el número</w:t>
      </w:r>
      <w:r w:rsidRPr="007A50FE">
        <w:rPr>
          <w:rFonts w:ascii="Palatino Linotype" w:eastAsia="Palatino Linotype" w:hAnsi="Palatino Linotype" w:cs="Palatino Linotype"/>
          <w:b/>
        </w:rPr>
        <w:t xml:space="preserve"> </w:t>
      </w:r>
      <w:r w:rsidR="00CE49E6" w:rsidRPr="007A50FE">
        <w:rPr>
          <w:rFonts w:ascii="Palatino Linotype" w:eastAsia="Palatino Linotype" w:hAnsi="Palatino Linotype" w:cs="Palatino Linotype"/>
          <w:b/>
        </w:rPr>
        <w:t>00334/MELOCAM/IP/2023</w:t>
      </w:r>
      <w:r w:rsidRPr="007A50FE">
        <w:rPr>
          <w:rFonts w:ascii="Palatino Linotype" w:eastAsia="Palatino Linotype" w:hAnsi="Palatino Linotype" w:cs="Palatino Linotype"/>
          <w:b/>
        </w:rPr>
        <w:t xml:space="preserve">, </w:t>
      </w:r>
      <w:r w:rsidRPr="007A50FE">
        <w:rPr>
          <w:rFonts w:ascii="Palatino Linotype" w:eastAsia="Palatino Linotype" w:hAnsi="Palatino Linotype" w:cs="Palatino Linotype"/>
        </w:rPr>
        <w:t xml:space="preserve">mediante la cual requirió la información siguiente: </w:t>
      </w:r>
    </w:p>
    <w:p w:rsidR="00223418" w:rsidRPr="007A50FE" w:rsidRDefault="00AC5BC7">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7A50FE">
        <w:rPr>
          <w:rFonts w:ascii="Palatino Linotype" w:eastAsia="Palatino Linotype" w:hAnsi="Palatino Linotype" w:cs="Palatino Linotype"/>
          <w:i/>
          <w:sz w:val="22"/>
          <w:szCs w:val="22"/>
        </w:rPr>
        <w:t>“</w:t>
      </w:r>
      <w:r w:rsidR="00CE49E6" w:rsidRPr="007A50FE">
        <w:rPr>
          <w:rFonts w:ascii="Palatino Linotype" w:eastAsia="Palatino Linotype" w:hAnsi="Palatino Linotype" w:cs="Palatino Linotype"/>
          <w:i/>
          <w:sz w:val="22"/>
          <w:szCs w:val="22"/>
        </w:rPr>
        <w:t>Requiero saber el presupuesto ejercido al primer trimestre de 2019 en su entidad, clasificado por partida especifica de acuerdo al clasificador por objeto de gasto vigente.</w:t>
      </w:r>
      <w:r w:rsidRPr="007A50FE">
        <w:rPr>
          <w:rFonts w:ascii="Palatino Linotype" w:eastAsia="Palatino Linotype" w:hAnsi="Palatino Linotype" w:cs="Palatino Linotype"/>
          <w:b/>
          <w:i/>
          <w:sz w:val="22"/>
          <w:szCs w:val="22"/>
        </w:rPr>
        <w:t>”</w:t>
      </w:r>
      <w:r w:rsidRPr="007A50FE">
        <w:rPr>
          <w:rFonts w:ascii="Palatino Linotype" w:eastAsia="Palatino Linotype" w:hAnsi="Palatino Linotype" w:cs="Palatino Linotype"/>
          <w:i/>
          <w:sz w:val="22"/>
          <w:szCs w:val="22"/>
        </w:rPr>
        <w:t xml:space="preserve"> (sic) </w:t>
      </w:r>
    </w:p>
    <w:p w:rsidR="00223418" w:rsidRPr="007A50FE" w:rsidRDefault="00AC5BC7">
      <w:pPr>
        <w:spacing w:before="240" w:after="240" w:line="360" w:lineRule="auto"/>
        <w:ind w:right="49"/>
        <w:jc w:val="both"/>
        <w:rPr>
          <w:rFonts w:ascii="Palatino Linotype" w:eastAsia="Palatino Linotype" w:hAnsi="Palatino Linotype" w:cs="Palatino Linotype"/>
        </w:rPr>
      </w:pPr>
      <w:r w:rsidRPr="007A50FE">
        <w:rPr>
          <w:rFonts w:ascii="Palatino Linotype" w:eastAsia="Palatino Linotype" w:hAnsi="Palatino Linotype" w:cs="Palatino Linotype"/>
        </w:rPr>
        <w:t xml:space="preserve">La parte </w:t>
      </w:r>
      <w:r w:rsidRPr="007A50FE">
        <w:rPr>
          <w:rFonts w:ascii="Palatino Linotype" w:eastAsia="Palatino Linotype" w:hAnsi="Palatino Linotype" w:cs="Palatino Linotype"/>
          <w:b/>
        </w:rPr>
        <w:t>Recurrente</w:t>
      </w:r>
      <w:r w:rsidRPr="007A50FE">
        <w:rPr>
          <w:rFonts w:ascii="Palatino Linotype" w:eastAsia="Palatino Linotype" w:hAnsi="Palatino Linotype" w:cs="Palatino Linotype"/>
        </w:rPr>
        <w:t xml:space="preserve"> no adjuntó archivos:</w:t>
      </w:r>
    </w:p>
    <w:p w:rsidR="00223418" w:rsidRPr="007A50FE" w:rsidRDefault="00AC5BC7">
      <w:pPr>
        <w:spacing w:before="240" w:after="24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b/>
        </w:rPr>
        <w:t>Modalidad de Entrega:</w:t>
      </w:r>
      <w:r w:rsidRPr="007A50FE">
        <w:rPr>
          <w:rFonts w:ascii="Palatino Linotype" w:eastAsia="Palatino Linotype" w:hAnsi="Palatino Linotype" w:cs="Palatino Linotype"/>
        </w:rPr>
        <w:t xml:space="preserve"> a través </w:t>
      </w:r>
      <w:r w:rsidRPr="007A50FE">
        <w:rPr>
          <w:rFonts w:ascii="Palatino Linotype" w:eastAsia="Palatino Linotype" w:hAnsi="Palatino Linotype" w:cs="Palatino Linotype"/>
          <w:b/>
        </w:rPr>
        <w:t>de SAIMEX</w:t>
      </w:r>
    </w:p>
    <w:p w:rsidR="00223418" w:rsidRPr="007A50FE" w:rsidRDefault="00AC5BC7">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7A50FE">
        <w:rPr>
          <w:rFonts w:ascii="Palatino Linotype" w:eastAsia="Palatino Linotype" w:hAnsi="Palatino Linotype" w:cs="Palatino Linotype"/>
          <w:b/>
        </w:rPr>
        <w:lastRenderedPageBreak/>
        <w:t xml:space="preserve">2. Respuesta. </w:t>
      </w:r>
      <w:r w:rsidRPr="007A50FE">
        <w:rPr>
          <w:rFonts w:ascii="Palatino Linotype" w:eastAsia="Palatino Linotype" w:hAnsi="Palatino Linotype" w:cs="Palatino Linotype"/>
        </w:rPr>
        <w:t>Con fecha</w:t>
      </w:r>
      <w:r w:rsidRPr="007A50FE">
        <w:rPr>
          <w:rFonts w:ascii="Palatino Linotype" w:eastAsia="Palatino Linotype" w:hAnsi="Palatino Linotype" w:cs="Palatino Linotype"/>
          <w:b/>
        </w:rPr>
        <w:t xml:space="preserve"> </w:t>
      </w:r>
      <w:r w:rsidR="00761F63" w:rsidRPr="007A50FE">
        <w:rPr>
          <w:rFonts w:ascii="Palatino Linotype" w:eastAsia="Palatino Linotype" w:hAnsi="Palatino Linotype" w:cs="Palatino Linotype"/>
          <w:b/>
        </w:rPr>
        <w:t>diecinueve de septiembre</w:t>
      </w:r>
      <w:r w:rsidRPr="007A50FE">
        <w:rPr>
          <w:rFonts w:ascii="Palatino Linotype" w:eastAsia="Palatino Linotype" w:hAnsi="Palatino Linotype" w:cs="Palatino Linotype"/>
          <w:b/>
        </w:rPr>
        <w:t xml:space="preserve"> de dos mil veintitrés</w:t>
      </w:r>
      <w:r w:rsidRPr="007A50FE">
        <w:rPr>
          <w:rFonts w:ascii="Palatino Linotype" w:eastAsia="Palatino Linotype" w:hAnsi="Palatino Linotype" w:cs="Palatino Linotype"/>
        </w:rPr>
        <w:t xml:space="preserve">, el </w:t>
      </w:r>
      <w:r w:rsidRPr="007A50FE">
        <w:rPr>
          <w:rFonts w:ascii="Palatino Linotype" w:eastAsia="Palatino Linotype" w:hAnsi="Palatino Linotype" w:cs="Palatino Linotype"/>
          <w:b/>
        </w:rPr>
        <w:t xml:space="preserve">Sujeto Obligado </w:t>
      </w:r>
      <w:r w:rsidRPr="007A50FE">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223418" w:rsidRPr="007A50FE" w:rsidRDefault="00AC5BC7">
      <w:pPr>
        <w:spacing w:before="240" w:after="240"/>
        <w:ind w:left="851" w:right="902"/>
        <w:jc w:val="both"/>
        <w:rPr>
          <w:rFonts w:ascii="Palatino Linotype" w:eastAsia="Palatino Linotype" w:hAnsi="Palatino Linotype" w:cs="Palatino Linotype"/>
          <w:b/>
          <w:i/>
          <w:sz w:val="22"/>
          <w:szCs w:val="22"/>
        </w:rPr>
      </w:pPr>
      <w:r w:rsidRPr="007A50FE">
        <w:rPr>
          <w:rFonts w:ascii="Palatino Linotype" w:eastAsia="Palatino Linotype" w:hAnsi="Palatino Linotype" w:cs="Palatino Linotype"/>
          <w:i/>
          <w:sz w:val="22"/>
          <w:szCs w:val="22"/>
        </w:rPr>
        <w:t>“…</w:t>
      </w:r>
      <w:r w:rsidR="00761F63" w:rsidRPr="007A50FE">
        <w:rPr>
          <w:rFonts w:ascii="Palatino Linotype" w:eastAsia="Palatino Linotype" w:hAnsi="Palatino Linotype" w:cs="Palatino Linotype"/>
          <w:i/>
          <w:sz w:val="22"/>
          <w:szCs w:val="22"/>
        </w:rPr>
        <w:t>le informo que la respuesta dada a su solicitud de información pública, fue emitida por la TESORERÍA MUNICIPAL; por lo que se transcribe: “En repuesta a su solicitud y después de una búsqueda exhaustiva y minuciosa en los archivos de esta Tesorería Municipal, tengo a bien exhibir un documento en formato pdf., constante de 10 fojas útiles, en donde se encuentra contenida la información solicitada</w:t>
      </w:r>
      <w:r w:rsidRPr="007A50FE">
        <w:rPr>
          <w:rFonts w:ascii="Palatino Linotype" w:eastAsia="Palatino Linotype" w:hAnsi="Palatino Linotype" w:cs="Palatino Linotype"/>
          <w:i/>
          <w:sz w:val="22"/>
          <w:szCs w:val="22"/>
        </w:rPr>
        <w:t>...” (sic)</w:t>
      </w:r>
    </w:p>
    <w:p w:rsidR="00223418" w:rsidRPr="007A50FE" w:rsidRDefault="00AC5BC7">
      <w:pPr>
        <w:spacing w:before="240" w:after="240" w:line="360" w:lineRule="auto"/>
        <w:ind w:right="49"/>
        <w:jc w:val="both"/>
        <w:rPr>
          <w:rFonts w:ascii="Palatino Linotype" w:eastAsia="Palatino Linotype" w:hAnsi="Palatino Linotype" w:cs="Palatino Linotype"/>
        </w:rPr>
      </w:pPr>
      <w:r w:rsidRPr="007A50FE">
        <w:rPr>
          <w:rFonts w:ascii="Palatino Linotype" w:eastAsia="Palatino Linotype" w:hAnsi="Palatino Linotype" w:cs="Palatino Linotype"/>
        </w:rPr>
        <w:t xml:space="preserve">El </w:t>
      </w:r>
      <w:r w:rsidRPr="007A50FE">
        <w:rPr>
          <w:rFonts w:ascii="Palatino Linotype" w:eastAsia="Palatino Linotype" w:hAnsi="Palatino Linotype" w:cs="Palatino Linotype"/>
          <w:b/>
        </w:rPr>
        <w:t xml:space="preserve">Sujeto Obligado </w:t>
      </w:r>
      <w:r w:rsidRPr="007A50FE">
        <w:rPr>
          <w:rFonts w:ascii="Palatino Linotype" w:eastAsia="Palatino Linotype" w:hAnsi="Palatino Linotype" w:cs="Palatino Linotype"/>
        </w:rPr>
        <w:t>adjuntó lo siguiente:</w:t>
      </w:r>
    </w:p>
    <w:p w:rsidR="00761F63" w:rsidRPr="007A50FE" w:rsidRDefault="00AC5BC7">
      <w:pPr>
        <w:spacing w:before="240" w:after="240" w:line="360" w:lineRule="auto"/>
        <w:ind w:right="49"/>
        <w:jc w:val="both"/>
        <w:rPr>
          <w:rFonts w:ascii="Palatino Linotype" w:eastAsia="Palatino Linotype" w:hAnsi="Palatino Linotype" w:cs="Palatino Linotype"/>
        </w:rPr>
      </w:pPr>
      <w:r w:rsidRPr="007A50FE">
        <w:rPr>
          <w:rFonts w:ascii="Palatino Linotype" w:eastAsia="Palatino Linotype" w:hAnsi="Palatino Linotype" w:cs="Palatino Linotype"/>
        </w:rPr>
        <w:t xml:space="preserve">- Oficio número: </w:t>
      </w:r>
      <w:r w:rsidR="00761F63" w:rsidRPr="007A50FE">
        <w:rPr>
          <w:rFonts w:ascii="Palatino Linotype" w:eastAsia="Palatino Linotype" w:hAnsi="Palatino Linotype" w:cs="Palatino Linotype"/>
        </w:rPr>
        <w:t>TM/IN/511/2023</w:t>
      </w:r>
      <w:r w:rsidRPr="007A50FE">
        <w:rPr>
          <w:rFonts w:ascii="Palatino Linotype" w:eastAsia="Palatino Linotype" w:hAnsi="Palatino Linotype" w:cs="Palatino Linotype"/>
        </w:rPr>
        <w:t xml:space="preserve">, de fecha </w:t>
      </w:r>
      <w:r w:rsidR="00761F63" w:rsidRPr="007A50FE">
        <w:rPr>
          <w:rFonts w:ascii="Palatino Linotype" w:eastAsia="Palatino Linotype" w:hAnsi="Palatino Linotype" w:cs="Palatino Linotype"/>
        </w:rPr>
        <w:t xml:space="preserve">dieciocho de septiembre de </w:t>
      </w:r>
      <w:r w:rsidRPr="007A50FE">
        <w:rPr>
          <w:rFonts w:ascii="Palatino Linotype" w:eastAsia="Palatino Linotype" w:hAnsi="Palatino Linotype" w:cs="Palatino Linotype"/>
        </w:rPr>
        <w:t xml:space="preserve">dos mil veintitrés, signado por el </w:t>
      </w:r>
      <w:r w:rsidR="00761F63" w:rsidRPr="007A50FE">
        <w:rPr>
          <w:rFonts w:ascii="Palatino Linotype" w:eastAsia="Palatino Linotype" w:hAnsi="Palatino Linotype" w:cs="Palatino Linotype"/>
        </w:rPr>
        <w:t>Tesorero Municipal</w:t>
      </w:r>
      <w:r w:rsidRPr="007A50FE">
        <w:rPr>
          <w:rFonts w:ascii="Palatino Linotype" w:eastAsia="Palatino Linotype" w:hAnsi="Palatino Linotype" w:cs="Palatino Linotype"/>
        </w:rPr>
        <w:t>, mediante el cual, en atención a la solicitud de información, r</w:t>
      </w:r>
      <w:r w:rsidR="00761F63" w:rsidRPr="007A50FE">
        <w:rPr>
          <w:rFonts w:ascii="Palatino Linotype" w:eastAsia="Palatino Linotype" w:hAnsi="Palatino Linotype" w:cs="Palatino Linotype"/>
        </w:rPr>
        <w:t xml:space="preserve">efiere que </w:t>
      </w:r>
      <w:r w:rsidR="00F87502" w:rsidRPr="007A50FE">
        <w:rPr>
          <w:rFonts w:ascii="Palatino Linotype" w:eastAsia="Palatino Linotype" w:hAnsi="Palatino Linotype" w:cs="Palatino Linotype"/>
        </w:rPr>
        <w:t xml:space="preserve">después de una búsqueda </w:t>
      </w:r>
      <w:r w:rsidR="0085267F" w:rsidRPr="007A50FE">
        <w:rPr>
          <w:rFonts w:ascii="Palatino Linotype" w:eastAsia="Palatino Linotype" w:hAnsi="Palatino Linotype" w:cs="Palatino Linotype"/>
        </w:rPr>
        <w:t xml:space="preserve">exhaustiva y minuciosa en los archivos de la Tesorería Municipal, exhibe un documento </w:t>
      </w:r>
      <w:r w:rsidR="000468E4" w:rsidRPr="007A50FE">
        <w:rPr>
          <w:rFonts w:ascii="Palatino Linotype" w:eastAsia="Palatino Linotype" w:hAnsi="Palatino Linotype" w:cs="Palatino Linotype"/>
        </w:rPr>
        <w:t xml:space="preserve">en formato pdf, </w:t>
      </w:r>
      <w:r w:rsidR="0085267F" w:rsidRPr="007A50FE">
        <w:rPr>
          <w:rFonts w:ascii="Palatino Linotype" w:eastAsia="Palatino Linotype" w:hAnsi="Palatino Linotype" w:cs="Palatino Linotype"/>
        </w:rPr>
        <w:t>constante de 10 hojas donde se encuentra lo solicitado.</w:t>
      </w:r>
    </w:p>
    <w:p w:rsidR="00223418" w:rsidRPr="007A50FE" w:rsidRDefault="000468E4">
      <w:pPr>
        <w:spacing w:before="240" w:after="240" w:line="360" w:lineRule="auto"/>
        <w:ind w:right="49"/>
        <w:jc w:val="both"/>
        <w:rPr>
          <w:rFonts w:ascii="Palatino Linotype" w:eastAsia="Palatino Linotype" w:hAnsi="Palatino Linotype" w:cs="Palatino Linotype"/>
        </w:rPr>
      </w:pPr>
      <w:r w:rsidRPr="007A50FE">
        <w:rPr>
          <w:noProof/>
        </w:rPr>
        <w:t xml:space="preserve">- </w:t>
      </w:r>
      <w:r w:rsidRPr="007A50FE">
        <w:rPr>
          <w:rFonts w:ascii="Palatino Linotype" w:hAnsi="Palatino Linotype"/>
          <w:noProof/>
        </w:rPr>
        <w:t>Formato PbRM</w:t>
      </w:r>
      <w:r w:rsidRPr="007A50FE">
        <w:rPr>
          <w:rFonts w:ascii="Palatino Linotype" w:eastAsia="Palatino Linotype" w:hAnsi="Palatino Linotype" w:cs="Palatino Linotype"/>
        </w:rPr>
        <w:t xml:space="preserve">-10c Estado comparativo presupuestal de egresos del uno de enero al </w:t>
      </w:r>
      <w:r w:rsidR="00BA0CB0" w:rsidRPr="007A50FE">
        <w:rPr>
          <w:rFonts w:ascii="Palatino Linotype" w:eastAsia="Palatino Linotype" w:hAnsi="Palatino Linotype" w:cs="Palatino Linotype"/>
        </w:rPr>
        <w:t xml:space="preserve">treinta y uno </w:t>
      </w:r>
      <w:r w:rsidRPr="007A50FE">
        <w:rPr>
          <w:rFonts w:ascii="Palatino Linotype" w:eastAsia="Palatino Linotype" w:hAnsi="Palatino Linotype" w:cs="Palatino Linotype"/>
        </w:rPr>
        <w:t>de marzo de dos mil diecinueve.</w:t>
      </w:r>
    </w:p>
    <w:p w:rsidR="00223418" w:rsidRPr="007A50FE" w:rsidRDefault="00AC5BC7">
      <w:pPr>
        <w:spacing w:before="240" w:after="240" w:line="360" w:lineRule="auto"/>
        <w:ind w:right="49"/>
        <w:jc w:val="both"/>
        <w:rPr>
          <w:rFonts w:ascii="Palatino Linotype" w:eastAsia="Palatino Linotype" w:hAnsi="Palatino Linotype" w:cs="Palatino Linotype"/>
          <w:b/>
        </w:rPr>
      </w:pPr>
      <w:r w:rsidRPr="007A50FE">
        <w:rPr>
          <w:rFonts w:ascii="Palatino Linotype" w:eastAsia="Palatino Linotype" w:hAnsi="Palatino Linotype" w:cs="Palatino Linotype"/>
          <w:b/>
        </w:rPr>
        <w:t xml:space="preserve">3. Interposición del recurso de revisión. </w:t>
      </w:r>
      <w:r w:rsidRPr="007A50FE">
        <w:rPr>
          <w:rFonts w:ascii="Palatino Linotype" w:eastAsia="Palatino Linotype" w:hAnsi="Palatino Linotype" w:cs="Palatino Linotype"/>
        </w:rPr>
        <w:t xml:space="preserve">Inconforme con los términos de la respuesta emitida por parte del </w:t>
      </w:r>
      <w:r w:rsidRPr="007A50FE">
        <w:rPr>
          <w:rFonts w:ascii="Palatino Linotype" w:eastAsia="Palatino Linotype" w:hAnsi="Palatino Linotype" w:cs="Palatino Linotype"/>
          <w:b/>
        </w:rPr>
        <w:t>Sujeto Obligado</w:t>
      </w:r>
      <w:r w:rsidRPr="007A50FE">
        <w:rPr>
          <w:rFonts w:ascii="Palatino Linotype" w:eastAsia="Palatino Linotype" w:hAnsi="Palatino Linotype" w:cs="Palatino Linotype"/>
        </w:rPr>
        <w:t>, el</w:t>
      </w:r>
      <w:r w:rsidRPr="007A50FE">
        <w:rPr>
          <w:rFonts w:ascii="Palatino Linotype" w:eastAsia="Palatino Linotype" w:hAnsi="Palatino Linotype" w:cs="Palatino Linotype"/>
          <w:b/>
        </w:rPr>
        <w:t xml:space="preserve"> </w:t>
      </w:r>
      <w:r w:rsidR="00F775B6" w:rsidRPr="007A50FE">
        <w:rPr>
          <w:rFonts w:ascii="Palatino Linotype" w:eastAsia="Palatino Linotype" w:hAnsi="Palatino Linotype" w:cs="Palatino Linotype"/>
          <w:b/>
        </w:rPr>
        <w:t>cinco de octubre</w:t>
      </w:r>
      <w:r w:rsidRPr="007A50FE">
        <w:rPr>
          <w:rFonts w:ascii="Palatino Linotype" w:eastAsia="Palatino Linotype" w:hAnsi="Palatino Linotype" w:cs="Palatino Linotype"/>
          <w:b/>
        </w:rPr>
        <w:t xml:space="preserve"> de dos mil veintitrés,</w:t>
      </w:r>
      <w:r w:rsidRPr="007A50FE">
        <w:rPr>
          <w:rFonts w:ascii="Palatino Linotype" w:eastAsia="Palatino Linotype" w:hAnsi="Palatino Linotype" w:cs="Palatino Linotype"/>
        </w:rPr>
        <w:t xml:space="preserve"> la parte </w:t>
      </w:r>
      <w:r w:rsidRPr="007A50FE">
        <w:rPr>
          <w:rFonts w:ascii="Palatino Linotype" w:eastAsia="Palatino Linotype" w:hAnsi="Palatino Linotype" w:cs="Palatino Linotype"/>
          <w:b/>
        </w:rPr>
        <w:t>Recurrente</w:t>
      </w:r>
      <w:r w:rsidRPr="007A50FE">
        <w:rPr>
          <w:rFonts w:ascii="Palatino Linotype" w:eastAsia="Palatino Linotype" w:hAnsi="Palatino Linotype" w:cs="Palatino Linotype"/>
        </w:rPr>
        <w:t xml:space="preserve"> interpuso el recurso de revisión a través de </w:t>
      </w:r>
      <w:r w:rsidRPr="007A50FE">
        <w:rPr>
          <w:rFonts w:ascii="Palatino Linotype" w:eastAsia="Palatino Linotype" w:hAnsi="Palatino Linotype" w:cs="Palatino Linotype"/>
          <w:b/>
        </w:rPr>
        <w:t xml:space="preserve">SAIMEX, </w:t>
      </w:r>
      <w:r w:rsidRPr="007A50FE">
        <w:rPr>
          <w:rFonts w:ascii="Palatino Linotype" w:eastAsia="Palatino Linotype" w:hAnsi="Palatino Linotype" w:cs="Palatino Linotype"/>
        </w:rPr>
        <w:t>en donde se manifestó de la siguiente manera:</w:t>
      </w:r>
    </w:p>
    <w:p w:rsidR="00223418" w:rsidRPr="007A50FE" w:rsidRDefault="00AC5BC7">
      <w:pPr>
        <w:tabs>
          <w:tab w:val="left" w:pos="2745"/>
        </w:tabs>
        <w:spacing w:before="240" w:after="240" w:line="360" w:lineRule="auto"/>
        <w:jc w:val="both"/>
        <w:rPr>
          <w:rFonts w:ascii="Palatino Linotype" w:eastAsia="Palatino Linotype" w:hAnsi="Palatino Linotype" w:cs="Palatino Linotype"/>
          <w:b/>
        </w:rPr>
      </w:pPr>
      <w:r w:rsidRPr="007A50FE">
        <w:rPr>
          <w:rFonts w:ascii="Palatino Linotype" w:eastAsia="Palatino Linotype" w:hAnsi="Palatino Linotype" w:cs="Palatino Linotype"/>
          <w:b/>
        </w:rPr>
        <w:t xml:space="preserve">Acto impugnado: </w:t>
      </w:r>
    </w:p>
    <w:p w:rsidR="00223418" w:rsidRPr="007A50FE" w:rsidRDefault="00AC5BC7">
      <w:pPr>
        <w:tabs>
          <w:tab w:val="left" w:pos="2745"/>
        </w:tabs>
        <w:spacing w:before="240" w:after="240"/>
        <w:ind w:left="851" w:right="900"/>
        <w:jc w:val="both"/>
        <w:rPr>
          <w:rFonts w:ascii="Palatino Linotype" w:eastAsia="Palatino Linotype" w:hAnsi="Palatino Linotype" w:cs="Palatino Linotype"/>
          <w:i/>
          <w:sz w:val="22"/>
          <w:szCs w:val="22"/>
        </w:rPr>
      </w:pPr>
      <w:r w:rsidRPr="007A50FE">
        <w:rPr>
          <w:rFonts w:ascii="Palatino Linotype" w:eastAsia="Palatino Linotype" w:hAnsi="Palatino Linotype" w:cs="Palatino Linotype"/>
          <w:i/>
          <w:sz w:val="22"/>
          <w:szCs w:val="22"/>
        </w:rPr>
        <w:t>“</w:t>
      </w:r>
      <w:r w:rsidR="00F775B6" w:rsidRPr="007A50FE">
        <w:rPr>
          <w:rFonts w:ascii="Palatino Linotype" w:eastAsia="Palatino Linotype" w:hAnsi="Palatino Linotype" w:cs="Palatino Linotype"/>
          <w:i/>
          <w:sz w:val="22"/>
          <w:szCs w:val="22"/>
        </w:rPr>
        <w:t>Respuesta incompleta</w:t>
      </w:r>
      <w:r w:rsidRPr="007A50FE">
        <w:rPr>
          <w:rFonts w:ascii="Palatino Linotype" w:eastAsia="Palatino Linotype" w:hAnsi="Palatino Linotype" w:cs="Palatino Linotype"/>
          <w:i/>
          <w:sz w:val="22"/>
          <w:szCs w:val="22"/>
        </w:rPr>
        <w:t>” (sic)</w:t>
      </w:r>
    </w:p>
    <w:p w:rsidR="00223418" w:rsidRPr="007A50FE" w:rsidRDefault="00AC5BC7">
      <w:pPr>
        <w:spacing w:line="360" w:lineRule="auto"/>
        <w:jc w:val="both"/>
        <w:rPr>
          <w:rFonts w:ascii="Palatino Linotype" w:eastAsia="Palatino Linotype" w:hAnsi="Palatino Linotype" w:cs="Palatino Linotype"/>
        </w:rPr>
      </w:pPr>
      <w:bookmarkStart w:id="3" w:name="_heading=h.30j0zll" w:colFirst="0" w:colLast="0"/>
      <w:bookmarkEnd w:id="3"/>
      <w:r w:rsidRPr="007A50FE">
        <w:rPr>
          <w:rFonts w:ascii="Palatino Linotype" w:eastAsia="Palatino Linotype" w:hAnsi="Palatino Linotype" w:cs="Palatino Linotype"/>
          <w:b/>
        </w:rPr>
        <w:lastRenderedPageBreak/>
        <w:t>Y Razones o motivos de inconformidad</w:t>
      </w:r>
      <w:r w:rsidRPr="007A50FE">
        <w:rPr>
          <w:rFonts w:ascii="Palatino Linotype" w:eastAsia="Palatino Linotype" w:hAnsi="Palatino Linotype" w:cs="Palatino Linotype"/>
        </w:rPr>
        <w:t xml:space="preserve">: </w:t>
      </w:r>
    </w:p>
    <w:p w:rsidR="00223418" w:rsidRPr="007A50FE" w:rsidRDefault="00AC5BC7">
      <w:pPr>
        <w:tabs>
          <w:tab w:val="left" w:pos="2745"/>
        </w:tabs>
        <w:spacing w:before="240" w:after="240"/>
        <w:ind w:left="851" w:right="900"/>
        <w:jc w:val="both"/>
        <w:rPr>
          <w:rFonts w:ascii="Palatino Linotype" w:eastAsia="Palatino Linotype" w:hAnsi="Palatino Linotype" w:cs="Palatino Linotype"/>
          <w:i/>
          <w:sz w:val="22"/>
          <w:szCs w:val="22"/>
        </w:rPr>
      </w:pPr>
      <w:r w:rsidRPr="007A50FE">
        <w:rPr>
          <w:rFonts w:ascii="Palatino Linotype" w:eastAsia="Palatino Linotype" w:hAnsi="Palatino Linotype" w:cs="Palatino Linotype"/>
          <w:i/>
          <w:sz w:val="22"/>
          <w:szCs w:val="22"/>
        </w:rPr>
        <w:t>“</w:t>
      </w:r>
      <w:r w:rsidR="00F775B6" w:rsidRPr="007A50FE">
        <w:rPr>
          <w:rFonts w:ascii="Palatino Linotype" w:eastAsia="Palatino Linotype" w:hAnsi="Palatino Linotype" w:cs="Palatino Linotype"/>
          <w:i/>
          <w:sz w:val="22"/>
          <w:szCs w:val="22"/>
        </w:rPr>
        <w:t>Respuesta incompleta</w:t>
      </w:r>
      <w:r w:rsidRPr="007A50FE">
        <w:rPr>
          <w:rFonts w:ascii="Palatino Linotype" w:eastAsia="Palatino Linotype" w:hAnsi="Palatino Linotype" w:cs="Palatino Linotype"/>
          <w:i/>
          <w:sz w:val="22"/>
          <w:szCs w:val="22"/>
        </w:rPr>
        <w:t>" (sic)</w:t>
      </w:r>
    </w:p>
    <w:p w:rsidR="00223418" w:rsidRPr="007A50FE" w:rsidRDefault="00AC5BC7">
      <w:pPr>
        <w:spacing w:before="240" w:after="240" w:line="360" w:lineRule="auto"/>
        <w:ind w:right="51"/>
        <w:jc w:val="both"/>
        <w:rPr>
          <w:rFonts w:ascii="Palatino Linotype" w:eastAsia="Palatino Linotype" w:hAnsi="Palatino Linotype" w:cs="Palatino Linotype"/>
        </w:rPr>
      </w:pPr>
      <w:r w:rsidRPr="007A50FE">
        <w:rPr>
          <w:rFonts w:ascii="Palatino Linotype" w:eastAsia="Palatino Linotype" w:hAnsi="Palatino Linotype" w:cs="Palatino Linotype"/>
          <w:b/>
        </w:rPr>
        <w:t xml:space="preserve">4. Turno. </w:t>
      </w:r>
      <w:r w:rsidRPr="007A50F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A50FE">
        <w:rPr>
          <w:rFonts w:ascii="Palatino Linotype" w:eastAsia="Palatino Linotype" w:hAnsi="Palatino Linotype" w:cs="Palatino Linotype"/>
          <w:b/>
        </w:rPr>
        <w:t xml:space="preserve">Guadalupe Ramírez Peña, </w:t>
      </w:r>
      <w:r w:rsidRPr="007A50FE">
        <w:rPr>
          <w:rFonts w:ascii="Palatino Linotype" w:eastAsia="Palatino Linotype" w:hAnsi="Palatino Linotype" w:cs="Palatino Linotype"/>
        </w:rPr>
        <w:t>a efecto de que analizara sobre su admisión o su desechamiento.</w:t>
      </w:r>
    </w:p>
    <w:p w:rsidR="00223418" w:rsidRPr="007A50FE" w:rsidRDefault="00AC5BC7">
      <w:pPr>
        <w:spacing w:before="240" w:after="24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b/>
        </w:rPr>
        <w:t>5. Admisión del Recurso de revisión.</w:t>
      </w:r>
      <w:r w:rsidRPr="007A50FE">
        <w:rPr>
          <w:rFonts w:ascii="Palatino Linotype" w:eastAsia="Palatino Linotype" w:hAnsi="Palatino Linotype" w:cs="Palatino Linotype"/>
        </w:rPr>
        <w:t xml:space="preserve"> Con fecha</w:t>
      </w:r>
      <w:r w:rsidRPr="007A50FE">
        <w:rPr>
          <w:rFonts w:ascii="Palatino Linotype" w:eastAsia="Palatino Linotype" w:hAnsi="Palatino Linotype" w:cs="Palatino Linotype"/>
          <w:b/>
        </w:rPr>
        <w:t xml:space="preserve"> </w:t>
      </w:r>
      <w:r w:rsidR="00F775B6" w:rsidRPr="007A50FE">
        <w:rPr>
          <w:rFonts w:ascii="Palatino Linotype" w:eastAsia="Palatino Linotype" w:hAnsi="Palatino Linotype" w:cs="Palatino Linotype"/>
          <w:b/>
        </w:rPr>
        <w:t xml:space="preserve">diez de octubre </w:t>
      </w:r>
      <w:r w:rsidRPr="007A50FE">
        <w:rPr>
          <w:rFonts w:ascii="Palatino Linotype" w:eastAsia="Palatino Linotype" w:hAnsi="Palatino Linotype" w:cs="Palatino Linotype"/>
          <w:b/>
        </w:rPr>
        <w:t xml:space="preserve">de dos mil veintitrés, </w:t>
      </w:r>
      <w:r w:rsidRPr="007A50FE">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A50FE">
        <w:rPr>
          <w:rFonts w:ascii="Palatino Linotype" w:eastAsia="Palatino Linotype" w:hAnsi="Palatino Linotype" w:cs="Palatino Linotype"/>
          <w:b/>
        </w:rPr>
        <w:t xml:space="preserve">Sujeto Obligado </w:t>
      </w:r>
      <w:r w:rsidRPr="007A50FE">
        <w:rPr>
          <w:rFonts w:ascii="Palatino Linotype" w:eastAsia="Palatino Linotype" w:hAnsi="Palatino Linotype" w:cs="Palatino Linotype"/>
        </w:rPr>
        <w:t>presentara su informe justificado.</w:t>
      </w:r>
    </w:p>
    <w:p w:rsidR="007966EE" w:rsidRPr="007A50FE" w:rsidRDefault="00AC5BC7" w:rsidP="007966EE">
      <w:pPr>
        <w:spacing w:before="240" w:after="240" w:line="360" w:lineRule="auto"/>
        <w:ind w:right="49"/>
        <w:jc w:val="both"/>
        <w:rPr>
          <w:rFonts w:ascii="Palatino Linotype" w:eastAsia="Palatino Linotype" w:hAnsi="Palatino Linotype" w:cs="Palatino Linotype"/>
        </w:rPr>
      </w:pPr>
      <w:bookmarkStart w:id="4" w:name="_heading=h.2s8eyo1" w:colFirst="0" w:colLast="0"/>
      <w:bookmarkEnd w:id="4"/>
      <w:r w:rsidRPr="007A50FE">
        <w:rPr>
          <w:rFonts w:ascii="Palatino Linotype" w:eastAsia="Palatino Linotype" w:hAnsi="Palatino Linotype" w:cs="Palatino Linotype"/>
          <w:b/>
        </w:rPr>
        <w:t>6. Manifestaciones</w:t>
      </w:r>
      <w:r w:rsidRPr="007A50FE">
        <w:rPr>
          <w:rFonts w:ascii="Palatino Linotype" w:eastAsia="Palatino Linotype" w:hAnsi="Palatino Linotype" w:cs="Palatino Linotype"/>
        </w:rPr>
        <w:t xml:space="preserve">. En fecha </w:t>
      </w:r>
      <w:r w:rsidR="00F775B6" w:rsidRPr="007A50FE">
        <w:rPr>
          <w:rFonts w:ascii="Palatino Linotype" w:eastAsia="Palatino Linotype" w:hAnsi="Palatino Linotype" w:cs="Palatino Linotype"/>
          <w:b/>
        </w:rPr>
        <w:t>diecinueve de octubre de</w:t>
      </w:r>
      <w:r w:rsidRPr="007A50FE">
        <w:rPr>
          <w:rFonts w:ascii="Palatino Linotype" w:eastAsia="Palatino Linotype" w:hAnsi="Palatino Linotype" w:cs="Palatino Linotype"/>
          <w:b/>
        </w:rPr>
        <w:t xml:space="preserve"> dos mil veintitrés, </w:t>
      </w:r>
      <w:r w:rsidRPr="007A50FE">
        <w:rPr>
          <w:rFonts w:ascii="Palatino Linotype" w:eastAsia="Palatino Linotype" w:hAnsi="Palatino Linotype" w:cs="Palatino Linotype"/>
        </w:rPr>
        <w:t xml:space="preserve">el </w:t>
      </w:r>
      <w:r w:rsidRPr="007A50FE">
        <w:rPr>
          <w:rFonts w:ascii="Palatino Linotype" w:eastAsia="Palatino Linotype" w:hAnsi="Palatino Linotype" w:cs="Palatino Linotype"/>
          <w:b/>
        </w:rPr>
        <w:t xml:space="preserve">Sujeto Obligado, </w:t>
      </w:r>
      <w:r w:rsidRPr="007A50FE">
        <w:rPr>
          <w:rFonts w:ascii="Palatino Linotype" w:eastAsia="Palatino Linotype" w:hAnsi="Palatino Linotype" w:cs="Palatino Linotype"/>
        </w:rPr>
        <w:t xml:space="preserve">remitió, a través de SAIMEX, su informe justificado, </w:t>
      </w:r>
      <w:r w:rsidR="00F775B6" w:rsidRPr="007A50FE">
        <w:rPr>
          <w:rFonts w:ascii="Palatino Linotype" w:eastAsia="Palatino Linotype" w:hAnsi="Palatino Linotype" w:cs="Palatino Linotype"/>
        </w:rPr>
        <w:t xml:space="preserve">consistente en el oficio número TM/IN/646/2023, </w:t>
      </w:r>
      <w:r w:rsidR="009172B6" w:rsidRPr="007A50FE">
        <w:rPr>
          <w:rFonts w:ascii="Palatino Linotype" w:eastAsia="Palatino Linotype" w:hAnsi="Palatino Linotype" w:cs="Palatino Linotype"/>
        </w:rPr>
        <w:t>signado por el Tesorero Municipal, mediante el cual ratifica la respuesta otorgada en primera instancia, al señalar que verificó que la información cargada en el SAIMEX colma lo requerido, en virtud de que el documento entregado contiene l</w:t>
      </w:r>
      <w:r w:rsidR="00006B49" w:rsidRPr="007A50FE">
        <w:rPr>
          <w:rFonts w:ascii="Palatino Linotype" w:eastAsia="Palatino Linotype" w:hAnsi="Palatino Linotype" w:cs="Palatino Linotype"/>
        </w:rPr>
        <w:t>a partid</w:t>
      </w:r>
      <w:r w:rsidR="007966EE" w:rsidRPr="007A50FE">
        <w:rPr>
          <w:rFonts w:ascii="Palatino Linotype" w:eastAsia="Palatino Linotype" w:hAnsi="Palatino Linotype" w:cs="Palatino Linotype"/>
        </w:rPr>
        <w:t xml:space="preserve">a y el objeto del gasto, asimismo, adjuntó el </w:t>
      </w:r>
      <w:r w:rsidR="007966EE" w:rsidRPr="007A50FE">
        <w:rPr>
          <w:rFonts w:ascii="Palatino Linotype" w:hAnsi="Palatino Linotype"/>
          <w:noProof/>
        </w:rPr>
        <w:lastRenderedPageBreak/>
        <w:t>Formato PbRM</w:t>
      </w:r>
      <w:r w:rsidR="007966EE" w:rsidRPr="007A50FE">
        <w:rPr>
          <w:rFonts w:ascii="Palatino Linotype" w:eastAsia="Palatino Linotype" w:hAnsi="Palatino Linotype" w:cs="Palatino Linotype"/>
        </w:rPr>
        <w:t>-10c Estado comparativo presupuestal de egresos del uno de enero al 31 de marzo de dos mil diecinueve, remitido en respuesta.</w:t>
      </w:r>
    </w:p>
    <w:p w:rsidR="00871F9F" w:rsidRPr="007A50FE" w:rsidRDefault="00871F9F" w:rsidP="00871F9F">
      <w:pPr>
        <w:spacing w:before="240" w:after="24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t xml:space="preserve">Documentos que se hicieron del conocimiento de la parte </w:t>
      </w:r>
      <w:r w:rsidRPr="007A50FE">
        <w:rPr>
          <w:rFonts w:ascii="Palatino Linotype" w:eastAsia="Palatino Linotype" w:hAnsi="Palatino Linotype" w:cs="Palatino Linotype"/>
          <w:b/>
        </w:rPr>
        <w:t>Recurrente</w:t>
      </w:r>
      <w:r w:rsidRPr="007A50FE">
        <w:rPr>
          <w:rFonts w:ascii="Palatino Linotype" w:eastAsia="Palatino Linotype" w:hAnsi="Palatino Linotype" w:cs="Palatino Linotype"/>
        </w:rPr>
        <w:t>, una vez que fueron analizados, con la finalidad de que manifestara lo que a su derecho estimara conveniente, sin embargo, fue omisa en ejercer dicha prerrogativa.</w:t>
      </w:r>
    </w:p>
    <w:p w:rsidR="00223418" w:rsidRPr="007A50FE" w:rsidRDefault="00871F9F">
      <w:pPr>
        <w:spacing w:before="240" w:after="24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b/>
        </w:rPr>
        <w:t>7</w:t>
      </w:r>
      <w:r w:rsidR="00AC5BC7" w:rsidRPr="007A50FE">
        <w:rPr>
          <w:rFonts w:ascii="Palatino Linotype" w:eastAsia="Palatino Linotype" w:hAnsi="Palatino Linotype" w:cs="Palatino Linotype"/>
          <w:b/>
        </w:rPr>
        <w:t xml:space="preserve">. Cierre de instrucción. </w:t>
      </w:r>
      <w:r w:rsidR="00AC5BC7" w:rsidRPr="007A50FE">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7A50FE">
        <w:rPr>
          <w:rFonts w:ascii="Palatino Linotype" w:eastAsia="Palatino Linotype" w:hAnsi="Palatino Linotype" w:cs="Palatino Linotype"/>
          <w:b/>
        </w:rPr>
        <w:t>catorce de noviembre</w:t>
      </w:r>
      <w:r w:rsidR="00AC5BC7" w:rsidRPr="007A50FE">
        <w:rPr>
          <w:rFonts w:ascii="Palatino Linotype" w:eastAsia="Palatino Linotype" w:hAnsi="Palatino Linotype" w:cs="Palatino Linotype"/>
          <w:b/>
        </w:rPr>
        <w:t xml:space="preserve"> de dos mil veintitrés</w:t>
      </w:r>
      <w:r w:rsidR="00AC5BC7" w:rsidRPr="007A50FE">
        <w:rPr>
          <w:rFonts w:ascii="Palatino Linotype" w:eastAsia="Palatino Linotype" w:hAnsi="Palatino Linotype" w:cs="Palatino Linotype"/>
        </w:rPr>
        <w:t xml:space="preserve"> en términos de la fracción VI del artículo 185 de la Ley de Transparencia y Acceso a la Información Pública del Estado de México y Municipios</w:t>
      </w:r>
    </w:p>
    <w:p w:rsidR="00223418" w:rsidRPr="007A50FE" w:rsidRDefault="00AC5BC7">
      <w:pPr>
        <w:spacing w:before="240" w:after="24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223418" w:rsidRPr="007A50FE" w:rsidRDefault="00AC5BC7">
      <w:pPr>
        <w:widowControl w:val="0"/>
        <w:spacing w:before="240" w:after="240" w:line="360" w:lineRule="auto"/>
        <w:jc w:val="center"/>
        <w:rPr>
          <w:rFonts w:ascii="Palatino Linotype" w:eastAsia="Palatino Linotype" w:hAnsi="Palatino Linotype" w:cs="Palatino Linotype"/>
          <w:b/>
        </w:rPr>
      </w:pPr>
      <w:r w:rsidRPr="007A50FE">
        <w:rPr>
          <w:rFonts w:ascii="Palatino Linotype" w:eastAsia="Palatino Linotype" w:hAnsi="Palatino Linotype" w:cs="Palatino Linotype"/>
          <w:b/>
        </w:rPr>
        <w:t>II. C O N S I D E R A N D O S</w:t>
      </w:r>
    </w:p>
    <w:p w:rsidR="00223418" w:rsidRPr="007A50FE" w:rsidRDefault="00AC5BC7">
      <w:pPr>
        <w:spacing w:before="240" w:after="24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b/>
        </w:rPr>
        <w:t>Primero. Competencia.</w:t>
      </w:r>
      <w:r w:rsidRPr="007A50F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7A50FE">
        <w:rPr>
          <w:rFonts w:ascii="Palatino Linotype" w:eastAsia="Palatino Linotype" w:hAnsi="Palatino Linotype" w:cs="Palatino Linotype"/>
          <w:b/>
        </w:rPr>
        <w:t>Recurrente</w:t>
      </w:r>
      <w:r w:rsidRPr="007A50FE">
        <w:rPr>
          <w:rFonts w:ascii="Palatino Linotype" w:eastAsia="Palatino Linotype" w:hAnsi="Palatino Linotype" w:cs="Palatino Linotype"/>
        </w:rPr>
        <w:t xml:space="preserv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w:t>
      </w:r>
      <w:r w:rsidRPr="007A50FE">
        <w:rPr>
          <w:rFonts w:ascii="Palatino Linotype" w:eastAsia="Palatino Linotype" w:hAnsi="Palatino Linotype" w:cs="Palatino Linotype"/>
        </w:rPr>
        <w:lastRenderedPageBreak/>
        <w:t>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223418" w:rsidRPr="007A50FE" w:rsidRDefault="00AC5BC7">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7A50FE">
        <w:rPr>
          <w:rFonts w:ascii="Palatino Linotype" w:eastAsia="Palatino Linotype" w:hAnsi="Palatino Linotype" w:cs="Palatino Linotype"/>
          <w:b/>
        </w:rPr>
        <w:t>Segundo. Oportunidad y Procedibilidad del Recurso de Revisión</w:t>
      </w:r>
      <w:r w:rsidRPr="007A50FE">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223418" w:rsidRPr="007A50FE" w:rsidRDefault="00AC5BC7">
      <w:pPr>
        <w:spacing w:before="240" w:after="24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7A50FE">
        <w:rPr>
          <w:rFonts w:ascii="Palatino Linotype" w:eastAsia="Palatino Linotype" w:hAnsi="Palatino Linotype" w:cs="Palatino Linotype"/>
          <w:b/>
        </w:rPr>
        <w:t xml:space="preserve">Sujeto Obligado </w:t>
      </w:r>
      <w:r w:rsidRPr="007A50FE">
        <w:rPr>
          <w:rFonts w:ascii="Palatino Linotype" w:eastAsia="Palatino Linotype" w:hAnsi="Palatino Linotype" w:cs="Palatino Linotype"/>
        </w:rPr>
        <w:t xml:space="preserve">remitió la respuesta a la solicitud de información el día </w:t>
      </w:r>
      <w:r w:rsidR="00B80E5B" w:rsidRPr="007A50FE">
        <w:rPr>
          <w:rFonts w:ascii="Palatino Linotype" w:eastAsia="Palatino Linotype" w:hAnsi="Palatino Linotype" w:cs="Palatino Linotype"/>
          <w:b/>
        </w:rPr>
        <w:t xml:space="preserve">diecinueve de septiembre </w:t>
      </w:r>
      <w:r w:rsidRPr="007A50FE">
        <w:rPr>
          <w:rFonts w:ascii="Palatino Linotype" w:eastAsia="Palatino Linotype" w:hAnsi="Palatino Linotype" w:cs="Palatino Linotype"/>
          <w:b/>
        </w:rPr>
        <w:t xml:space="preserve">de dos mil veintitrés, </w:t>
      </w:r>
      <w:r w:rsidRPr="007A50FE">
        <w:rPr>
          <w:rFonts w:ascii="Palatino Linotype" w:eastAsia="Palatino Linotype" w:hAnsi="Palatino Linotype" w:cs="Palatino Linotype"/>
        </w:rPr>
        <w:t xml:space="preserve">mientras que el recurso de revisión interpuesto por la parte </w:t>
      </w:r>
      <w:r w:rsidRPr="007A50FE">
        <w:rPr>
          <w:rFonts w:ascii="Palatino Linotype" w:eastAsia="Palatino Linotype" w:hAnsi="Palatino Linotype" w:cs="Palatino Linotype"/>
          <w:b/>
        </w:rPr>
        <w:t>Recurrente</w:t>
      </w:r>
      <w:r w:rsidRPr="007A50FE">
        <w:rPr>
          <w:rFonts w:ascii="Palatino Linotype" w:eastAsia="Palatino Linotype" w:hAnsi="Palatino Linotype" w:cs="Palatino Linotype"/>
        </w:rPr>
        <w:t xml:space="preserve">, se tuvo por presentado el día </w:t>
      </w:r>
      <w:r w:rsidR="00B80E5B" w:rsidRPr="007A50FE">
        <w:rPr>
          <w:rFonts w:ascii="Palatino Linotype" w:eastAsia="Palatino Linotype" w:hAnsi="Palatino Linotype" w:cs="Palatino Linotype"/>
          <w:b/>
        </w:rPr>
        <w:t>cinco de octubre</w:t>
      </w:r>
      <w:r w:rsidRPr="007A50FE">
        <w:rPr>
          <w:rFonts w:ascii="Palatino Linotype" w:eastAsia="Palatino Linotype" w:hAnsi="Palatino Linotype" w:cs="Palatino Linotype"/>
          <w:b/>
        </w:rPr>
        <w:t xml:space="preserve"> de dos mil veintitrés, </w:t>
      </w:r>
      <w:r w:rsidRPr="007A50FE">
        <w:rPr>
          <w:rFonts w:ascii="Palatino Linotype" w:eastAsia="Palatino Linotype" w:hAnsi="Palatino Linotype" w:cs="Palatino Linotype"/>
        </w:rPr>
        <w:t xml:space="preserve">esto es, </w:t>
      </w:r>
      <w:r w:rsidR="00B80E5B" w:rsidRPr="007A50FE">
        <w:rPr>
          <w:rFonts w:ascii="Palatino Linotype" w:eastAsia="Palatino Linotype" w:hAnsi="Palatino Linotype" w:cs="Palatino Linotype"/>
        </w:rPr>
        <w:t>al décimo segundo</w:t>
      </w:r>
      <w:r w:rsidRPr="007A50FE">
        <w:rPr>
          <w:rFonts w:ascii="Palatino Linotype" w:eastAsia="Palatino Linotype" w:hAnsi="Palatino Linotype" w:cs="Palatino Linotype"/>
        </w:rPr>
        <w:t xml:space="preserve"> día</w:t>
      </w:r>
      <w:r w:rsidR="00B80E5B" w:rsidRPr="007A50FE">
        <w:rPr>
          <w:rFonts w:ascii="Palatino Linotype" w:eastAsia="Palatino Linotype" w:hAnsi="Palatino Linotype" w:cs="Palatino Linotype"/>
        </w:rPr>
        <w:t xml:space="preserve"> hábil posterior</w:t>
      </w:r>
      <w:r w:rsidRPr="007A50FE">
        <w:rPr>
          <w:rFonts w:ascii="Palatino Linotype" w:eastAsia="Palatino Linotype" w:hAnsi="Palatino Linotype" w:cs="Palatino Linotype"/>
        </w:rPr>
        <w:t xml:space="preserve"> en que tuvo conocimiento de la respuesta impugnada.</w:t>
      </w:r>
    </w:p>
    <w:p w:rsidR="00223418" w:rsidRPr="007A50FE" w:rsidRDefault="00AC5BC7">
      <w:pPr>
        <w:spacing w:before="240" w:after="24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t xml:space="preserve">Finalmente, se advierte que resulta procedente la interposición del recurso, según lo manifestado por la parte </w:t>
      </w:r>
      <w:r w:rsidRPr="007A50FE">
        <w:rPr>
          <w:rFonts w:ascii="Palatino Linotype" w:eastAsia="Palatino Linotype" w:hAnsi="Palatino Linotype" w:cs="Palatino Linotype"/>
          <w:b/>
        </w:rPr>
        <w:t>Recurrente</w:t>
      </w:r>
      <w:r w:rsidRPr="007A50FE">
        <w:rPr>
          <w:rFonts w:ascii="Palatino Linotype" w:eastAsia="Palatino Linotype" w:hAnsi="Palatino Linotype" w:cs="Palatino Linotype"/>
        </w:rPr>
        <w:t xml:space="preserve"> en sus motivos de inconformidad, de acu</w:t>
      </w:r>
      <w:r w:rsidR="00B80E5B" w:rsidRPr="007A50FE">
        <w:rPr>
          <w:rFonts w:ascii="Palatino Linotype" w:eastAsia="Palatino Linotype" w:hAnsi="Palatino Linotype" w:cs="Palatino Linotype"/>
        </w:rPr>
        <w:t>erdo al artículo 179, fracción V</w:t>
      </w:r>
      <w:r w:rsidRPr="007A50FE">
        <w:rPr>
          <w:rFonts w:ascii="Palatino Linotype" w:eastAsia="Palatino Linotype" w:hAnsi="Palatino Linotype" w:cs="Palatino Linotype"/>
        </w:rPr>
        <w:t xml:space="preserve"> del ordenamiento legal citado, que a la letra dice: </w:t>
      </w:r>
    </w:p>
    <w:p w:rsidR="00223418" w:rsidRPr="007A50FE" w:rsidRDefault="00AC5BC7">
      <w:pPr>
        <w:spacing w:before="120" w:after="120"/>
        <w:ind w:left="851" w:right="902"/>
        <w:jc w:val="both"/>
        <w:rPr>
          <w:rFonts w:ascii="Palatino Linotype" w:eastAsia="Palatino Linotype" w:hAnsi="Palatino Linotype" w:cs="Palatino Linotype"/>
          <w:i/>
          <w:sz w:val="22"/>
          <w:szCs w:val="22"/>
        </w:rPr>
      </w:pPr>
      <w:r w:rsidRPr="007A50FE">
        <w:rPr>
          <w:rFonts w:ascii="Palatino Linotype" w:eastAsia="Palatino Linotype" w:hAnsi="Palatino Linotype" w:cs="Palatino Linotype"/>
          <w:i/>
          <w:sz w:val="22"/>
          <w:szCs w:val="22"/>
        </w:rPr>
        <w:t>“</w:t>
      </w:r>
      <w:r w:rsidRPr="007A50FE">
        <w:rPr>
          <w:rFonts w:ascii="Palatino Linotype" w:eastAsia="Palatino Linotype" w:hAnsi="Palatino Linotype" w:cs="Palatino Linotype"/>
          <w:b/>
          <w:i/>
          <w:sz w:val="22"/>
          <w:szCs w:val="22"/>
        </w:rPr>
        <w:t>Artículo 179.</w:t>
      </w:r>
      <w:r w:rsidRPr="007A50F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B80E5B" w:rsidRPr="007A50FE" w:rsidRDefault="00B80E5B">
      <w:pPr>
        <w:spacing w:before="120" w:after="120"/>
        <w:ind w:left="1134"/>
        <w:rPr>
          <w:rFonts w:ascii="Palatino Linotype" w:eastAsia="Palatino Linotype" w:hAnsi="Palatino Linotype" w:cs="Palatino Linotype"/>
          <w:i/>
          <w:sz w:val="22"/>
          <w:szCs w:val="22"/>
        </w:rPr>
      </w:pPr>
      <w:r w:rsidRPr="007A50FE">
        <w:rPr>
          <w:rFonts w:ascii="Palatino Linotype" w:eastAsia="Palatino Linotype" w:hAnsi="Palatino Linotype" w:cs="Palatino Linotype"/>
          <w:i/>
          <w:sz w:val="22"/>
          <w:szCs w:val="22"/>
        </w:rPr>
        <w:lastRenderedPageBreak/>
        <w:t>…</w:t>
      </w:r>
    </w:p>
    <w:p w:rsidR="00223418" w:rsidRPr="007A50FE" w:rsidRDefault="00B80E5B">
      <w:pPr>
        <w:spacing w:before="120" w:after="120"/>
        <w:ind w:left="1134"/>
        <w:rPr>
          <w:rFonts w:ascii="Palatino Linotype" w:eastAsia="Palatino Linotype" w:hAnsi="Palatino Linotype" w:cs="Palatino Linotype"/>
          <w:i/>
          <w:sz w:val="22"/>
          <w:szCs w:val="22"/>
        </w:rPr>
      </w:pPr>
      <w:r w:rsidRPr="007A50FE">
        <w:rPr>
          <w:rFonts w:ascii="Palatino Linotype" w:eastAsia="Palatino Linotype" w:hAnsi="Palatino Linotype" w:cs="Palatino Linotype"/>
          <w:b/>
          <w:i/>
          <w:sz w:val="22"/>
          <w:szCs w:val="22"/>
        </w:rPr>
        <w:t xml:space="preserve">V. </w:t>
      </w:r>
      <w:r w:rsidRPr="007A50FE">
        <w:rPr>
          <w:rFonts w:ascii="Palatino Linotype" w:eastAsia="Palatino Linotype" w:hAnsi="Palatino Linotype" w:cs="Palatino Linotype"/>
          <w:i/>
          <w:sz w:val="22"/>
          <w:szCs w:val="22"/>
        </w:rPr>
        <w:t>La entrega de información incompleta;</w:t>
      </w:r>
      <w:r w:rsidR="00AC5BC7" w:rsidRPr="007A50FE">
        <w:rPr>
          <w:rFonts w:ascii="Palatino Linotype" w:eastAsia="Palatino Linotype" w:hAnsi="Palatino Linotype" w:cs="Palatino Linotype"/>
          <w:i/>
          <w:sz w:val="22"/>
          <w:szCs w:val="22"/>
        </w:rPr>
        <w:t>”</w:t>
      </w:r>
    </w:p>
    <w:p w:rsidR="00223418" w:rsidRPr="007A50FE" w:rsidRDefault="00AC5BC7">
      <w:pPr>
        <w:spacing w:before="240" w:after="240" w:line="360" w:lineRule="auto"/>
        <w:jc w:val="both"/>
        <w:rPr>
          <w:rFonts w:ascii="Palatino Linotype" w:eastAsia="Palatino Linotype" w:hAnsi="Palatino Linotype" w:cs="Palatino Linotype"/>
        </w:rPr>
      </w:pPr>
      <w:bookmarkStart w:id="6" w:name="_heading=h.2et92p0" w:colFirst="0" w:colLast="0"/>
      <w:bookmarkEnd w:id="6"/>
      <w:r w:rsidRPr="007A50FE">
        <w:rPr>
          <w:rFonts w:ascii="Palatino Linotype" w:eastAsia="Palatino Linotype" w:hAnsi="Palatino Linotype" w:cs="Palatino Linotype"/>
          <w:b/>
        </w:rPr>
        <w:t xml:space="preserve">Tercero. Materia de la revisión. </w:t>
      </w:r>
      <w:r w:rsidRPr="007A50FE">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7A50FE">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7A50FE">
        <w:rPr>
          <w:rFonts w:ascii="Palatino Linotype" w:eastAsia="Palatino Linotype" w:hAnsi="Palatino Linotype" w:cs="Palatino Linotype"/>
        </w:rPr>
        <w:t xml:space="preserve">de la parte </w:t>
      </w:r>
      <w:r w:rsidRPr="007A50FE">
        <w:rPr>
          <w:rFonts w:ascii="Palatino Linotype" w:eastAsia="Palatino Linotype" w:hAnsi="Palatino Linotype" w:cs="Palatino Linotype"/>
          <w:b/>
        </w:rPr>
        <w:t>Recurrente</w:t>
      </w:r>
      <w:r w:rsidRPr="007A50FE">
        <w:rPr>
          <w:rFonts w:ascii="Palatino Linotype" w:eastAsia="Palatino Linotype" w:hAnsi="Palatino Linotype" w:cs="Palatino Linotype"/>
        </w:rPr>
        <w:t>, o en su defecto, en caso de ser procedente, ordenar la entrega de información oportuna.</w:t>
      </w:r>
    </w:p>
    <w:p w:rsidR="00223418" w:rsidRPr="007A50FE" w:rsidRDefault="00AC5BC7">
      <w:pPr>
        <w:spacing w:before="240" w:after="240" w:line="360" w:lineRule="auto"/>
        <w:ind w:right="51"/>
        <w:jc w:val="both"/>
        <w:rPr>
          <w:rFonts w:ascii="Palatino Linotype" w:eastAsia="Palatino Linotype" w:hAnsi="Palatino Linotype" w:cs="Palatino Linotype"/>
        </w:rPr>
      </w:pPr>
      <w:r w:rsidRPr="007A50FE">
        <w:rPr>
          <w:rFonts w:ascii="Palatino Linotype" w:eastAsia="Palatino Linotype" w:hAnsi="Palatino Linotype" w:cs="Palatino Linotype"/>
          <w:b/>
        </w:rPr>
        <w:t xml:space="preserve">Cuarto. Estudio del asunto. </w:t>
      </w:r>
      <w:r w:rsidRPr="007A50FE">
        <w:rPr>
          <w:rFonts w:ascii="Palatino Linotype" w:eastAsia="Palatino Linotype" w:hAnsi="Palatino Linotype" w:cs="Palatino Linotype"/>
        </w:rPr>
        <w:t xml:space="preserve">Del análisis de la solicitud de información, motivo del recurso de revisión que ahora se resuelve se advierte que la parte </w:t>
      </w:r>
      <w:r w:rsidRPr="007A50FE">
        <w:rPr>
          <w:rFonts w:ascii="Palatino Linotype" w:eastAsia="Palatino Linotype" w:hAnsi="Palatino Linotype" w:cs="Palatino Linotype"/>
          <w:b/>
        </w:rPr>
        <w:t>Recurrente</w:t>
      </w:r>
      <w:r w:rsidRPr="007A50FE">
        <w:rPr>
          <w:rFonts w:ascii="Palatino Linotype" w:eastAsia="Palatino Linotype" w:hAnsi="Palatino Linotype" w:cs="Palatino Linotype"/>
        </w:rPr>
        <w:t xml:space="preserve"> requirió al </w:t>
      </w:r>
      <w:r w:rsidRPr="007A50FE">
        <w:rPr>
          <w:rFonts w:ascii="Palatino Linotype" w:eastAsia="Palatino Linotype" w:hAnsi="Palatino Linotype" w:cs="Palatino Linotype"/>
          <w:b/>
        </w:rPr>
        <w:t xml:space="preserve">Sujeto Obligado </w:t>
      </w:r>
      <w:r w:rsidRPr="007A50FE">
        <w:rPr>
          <w:rFonts w:ascii="Palatino Linotype" w:eastAsia="Palatino Linotype" w:hAnsi="Palatino Linotype" w:cs="Palatino Linotype"/>
        </w:rPr>
        <w:t>le proporcione, información consistente en lo siguiente:</w:t>
      </w:r>
    </w:p>
    <w:p w:rsidR="00223418" w:rsidRPr="007A50FE" w:rsidRDefault="006466D0" w:rsidP="00A211C8">
      <w:pPr>
        <w:spacing w:before="240" w:after="240" w:line="360" w:lineRule="auto"/>
        <w:ind w:left="426" w:right="49"/>
        <w:jc w:val="both"/>
        <w:rPr>
          <w:rFonts w:ascii="Palatino Linotype" w:eastAsia="Palatino Linotype" w:hAnsi="Palatino Linotype" w:cs="Palatino Linotype"/>
        </w:rPr>
      </w:pPr>
      <w:r w:rsidRPr="007A50FE">
        <w:rPr>
          <w:rFonts w:ascii="Palatino Linotype" w:eastAsia="Palatino Linotype" w:hAnsi="Palatino Linotype" w:cs="Palatino Linotype"/>
        </w:rPr>
        <w:t>1. Presupuesto ejercido al primer trimestre de 2019 en su entidad, clasificado por partida específica de acuerdo al Clasificador por Objeto de Gasto vigente.</w:t>
      </w:r>
    </w:p>
    <w:p w:rsidR="00734343" w:rsidRPr="007A50FE" w:rsidRDefault="00AC5BC7" w:rsidP="00734343">
      <w:pPr>
        <w:spacing w:before="240" w:after="240" w:line="360" w:lineRule="auto"/>
        <w:ind w:right="49"/>
        <w:jc w:val="both"/>
        <w:rPr>
          <w:rFonts w:ascii="Palatino Linotype" w:eastAsia="Palatino Linotype" w:hAnsi="Palatino Linotype" w:cs="Palatino Linotype"/>
        </w:rPr>
      </w:pPr>
      <w:r w:rsidRPr="007A50FE">
        <w:rPr>
          <w:rFonts w:ascii="Palatino Linotype" w:eastAsia="Palatino Linotype" w:hAnsi="Palatino Linotype" w:cs="Palatino Linotype"/>
        </w:rPr>
        <w:t xml:space="preserve">En respuesta, el </w:t>
      </w:r>
      <w:r w:rsidRPr="007A50FE">
        <w:rPr>
          <w:rFonts w:ascii="Palatino Linotype" w:eastAsia="Palatino Linotype" w:hAnsi="Palatino Linotype" w:cs="Palatino Linotype"/>
          <w:b/>
        </w:rPr>
        <w:t>Sujeto Obligado</w:t>
      </w:r>
      <w:r w:rsidRPr="007A50FE">
        <w:rPr>
          <w:rFonts w:ascii="Palatino Linotype" w:eastAsia="Palatino Linotype" w:hAnsi="Palatino Linotype" w:cs="Palatino Linotype"/>
        </w:rPr>
        <w:t xml:space="preserve">, a través de la Unidad de Transparencia, hizo del conocimiento de la persona solicitante el pronunciamiento emitido por </w:t>
      </w:r>
      <w:r w:rsidR="00A211C8" w:rsidRPr="007A50FE">
        <w:rPr>
          <w:rFonts w:ascii="Palatino Linotype" w:eastAsia="Palatino Linotype" w:hAnsi="Palatino Linotype" w:cs="Palatino Linotype"/>
        </w:rPr>
        <w:t>el Tesorero M</w:t>
      </w:r>
      <w:r w:rsidR="00734343" w:rsidRPr="007A50FE">
        <w:rPr>
          <w:rFonts w:ascii="Palatino Linotype" w:eastAsia="Palatino Linotype" w:hAnsi="Palatino Linotype" w:cs="Palatino Linotype"/>
        </w:rPr>
        <w:t>unicipal, quien en atención a la solicitud de información proporcionó el f</w:t>
      </w:r>
      <w:r w:rsidR="00734343" w:rsidRPr="007A50FE">
        <w:rPr>
          <w:rFonts w:ascii="Palatino Linotype" w:hAnsi="Palatino Linotype"/>
          <w:noProof/>
        </w:rPr>
        <w:t>ormato PbRM</w:t>
      </w:r>
      <w:r w:rsidR="00734343" w:rsidRPr="007A50FE">
        <w:rPr>
          <w:rFonts w:ascii="Palatino Linotype" w:eastAsia="Palatino Linotype" w:hAnsi="Palatino Linotype" w:cs="Palatino Linotype"/>
        </w:rPr>
        <w:t xml:space="preserve">-10c Estado comparativo presupuestal de </w:t>
      </w:r>
      <w:r w:rsidR="00BA0CB0" w:rsidRPr="007A50FE">
        <w:rPr>
          <w:rFonts w:ascii="Palatino Linotype" w:eastAsia="Palatino Linotype" w:hAnsi="Palatino Linotype" w:cs="Palatino Linotype"/>
        </w:rPr>
        <w:t>egresos del uno de enero al treinta y uno</w:t>
      </w:r>
      <w:r w:rsidR="00734343" w:rsidRPr="007A50FE">
        <w:rPr>
          <w:rFonts w:ascii="Palatino Linotype" w:eastAsia="Palatino Linotype" w:hAnsi="Palatino Linotype" w:cs="Palatino Linotype"/>
        </w:rPr>
        <w:t xml:space="preserve"> de marzo de dos mil diecinueve, como se muestra a continuación</w:t>
      </w:r>
      <w:r w:rsidR="00D37DE0" w:rsidRPr="007A50FE">
        <w:rPr>
          <w:rFonts w:ascii="Palatino Linotype" w:eastAsia="Palatino Linotype" w:hAnsi="Palatino Linotype" w:cs="Palatino Linotype"/>
        </w:rPr>
        <w:t>, para mejor referencia.</w:t>
      </w:r>
    </w:p>
    <w:p w:rsidR="00734343" w:rsidRPr="007A50FE" w:rsidRDefault="00734343" w:rsidP="00734343">
      <w:pPr>
        <w:spacing w:before="240" w:after="240" w:line="360" w:lineRule="auto"/>
        <w:ind w:right="49"/>
        <w:jc w:val="both"/>
        <w:rPr>
          <w:rFonts w:ascii="Palatino Linotype" w:eastAsia="Palatino Linotype" w:hAnsi="Palatino Linotype" w:cs="Palatino Linotype"/>
        </w:rPr>
      </w:pPr>
      <w:r w:rsidRPr="007A50FE">
        <w:rPr>
          <w:noProof/>
        </w:rPr>
        <w:lastRenderedPageBreak/>
        <w:drawing>
          <wp:inline distT="0" distB="0" distL="0" distR="0" wp14:anchorId="42C70E31" wp14:editId="697836DB">
            <wp:extent cx="5612130" cy="192786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927860"/>
                    </a:xfrm>
                    <a:prstGeom prst="rect">
                      <a:avLst/>
                    </a:prstGeom>
                  </pic:spPr>
                </pic:pic>
              </a:graphicData>
            </a:graphic>
          </wp:inline>
        </w:drawing>
      </w:r>
    </w:p>
    <w:p w:rsidR="001E2AD0" w:rsidRPr="007A50FE" w:rsidRDefault="00AC5BC7">
      <w:pPr>
        <w:spacing w:before="240" w:after="24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t>No obstante, al no estar conforme con los términos de dicha respuesta, la persona solicitante interpuso el recurso de revisión que nos ocupa, mediante el cual manifest</w:t>
      </w:r>
      <w:r w:rsidR="00124749" w:rsidRPr="007A50FE">
        <w:rPr>
          <w:rFonts w:ascii="Palatino Linotype" w:eastAsia="Palatino Linotype" w:hAnsi="Palatino Linotype" w:cs="Palatino Linotype"/>
        </w:rPr>
        <w:t xml:space="preserve">ó, como motivo de inconformidad, </w:t>
      </w:r>
      <w:r w:rsidRPr="007A50FE">
        <w:rPr>
          <w:rFonts w:ascii="Palatino Linotype" w:eastAsia="Palatino Linotype" w:hAnsi="Palatino Linotype" w:cs="Palatino Linotype"/>
        </w:rPr>
        <w:t xml:space="preserve">que </w:t>
      </w:r>
      <w:r w:rsidR="001E2AD0" w:rsidRPr="007A50FE">
        <w:rPr>
          <w:rFonts w:ascii="Palatino Linotype" w:eastAsia="Palatino Linotype" w:hAnsi="Palatino Linotype" w:cs="Palatino Linotype"/>
        </w:rPr>
        <w:t>la respuesta estaba incompleta.</w:t>
      </w:r>
    </w:p>
    <w:p w:rsidR="00223418" w:rsidRPr="007A50FE" w:rsidRDefault="00AC5BC7">
      <w:pPr>
        <w:spacing w:before="280" w:after="28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t>Una vez admitido el recurso de revisión, en términos del artículo 185 fracción II</w:t>
      </w:r>
      <w:r w:rsidRPr="007A50FE">
        <w:rPr>
          <w:rFonts w:ascii="Palatino Linotype" w:eastAsia="Palatino Linotype" w:hAnsi="Palatino Linotype" w:cs="Palatino Linotype"/>
          <w:vertAlign w:val="superscript"/>
        </w:rPr>
        <w:footnoteReference w:id="1"/>
      </w:r>
      <w:r w:rsidRPr="007A50FE">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933D3B" w:rsidRPr="007A50FE" w:rsidRDefault="00AC5BC7">
      <w:pPr>
        <w:spacing w:before="280" w:after="28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t xml:space="preserve">En tal sentido, el </w:t>
      </w:r>
      <w:r w:rsidR="00124749" w:rsidRPr="007A50FE">
        <w:rPr>
          <w:rFonts w:ascii="Palatino Linotype" w:eastAsia="Palatino Linotype" w:hAnsi="Palatino Linotype" w:cs="Palatino Linotype"/>
          <w:b/>
        </w:rPr>
        <w:t xml:space="preserve">Sujeto Obligado, </w:t>
      </w:r>
      <w:r w:rsidR="00124749" w:rsidRPr="007A50FE">
        <w:rPr>
          <w:rFonts w:ascii="Palatino Linotype" w:eastAsia="Palatino Linotype" w:hAnsi="Palatino Linotype" w:cs="Palatino Linotype"/>
        </w:rPr>
        <w:t xml:space="preserve">a través del Tesorero Municipal </w:t>
      </w:r>
      <w:r w:rsidR="00933D3B" w:rsidRPr="007A50FE">
        <w:rPr>
          <w:rFonts w:ascii="Palatino Linotype" w:eastAsia="Palatino Linotype" w:hAnsi="Palatino Linotype" w:cs="Palatino Linotype"/>
        </w:rPr>
        <w:t>ratificó en lo sustancial la respuesta emitida en primera instancia, al señalar que verificó que la información cargada en el SAIMEX colma lo requerido, en virtud de que el documento entregado contiene la partica y el objeto del gasto</w:t>
      </w:r>
    </w:p>
    <w:p w:rsidR="00223418" w:rsidRPr="007A50FE" w:rsidRDefault="00AC5BC7">
      <w:pPr>
        <w:spacing w:before="240" w:after="240" w:line="360" w:lineRule="auto"/>
        <w:ind w:right="49"/>
        <w:jc w:val="both"/>
        <w:rPr>
          <w:rFonts w:ascii="Palatino Linotype" w:eastAsia="Palatino Linotype" w:hAnsi="Palatino Linotype" w:cs="Palatino Linotype"/>
        </w:rPr>
      </w:pPr>
      <w:r w:rsidRPr="007A50FE">
        <w:rPr>
          <w:rFonts w:ascii="Palatino Linotype" w:eastAsia="Palatino Linotype" w:hAnsi="Palatino Linotype" w:cs="Palatino Linotype"/>
        </w:rPr>
        <w:lastRenderedPageBreak/>
        <w:t xml:space="preserve">En esta tesitura, de las constancias que integran el expediente electrónico  relacionado con el recurso de revisión materia de estudio, se colige que el </w:t>
      </w:r>
      <w:r w:rsidRPr="007A50FE">
        <w:rPr>
          <w:rFonts w:ascii="Palatino Linotype" w:eastAsia="Palatino Linotype" w:hAnsi="Palatino Linotype" w:cs="Palatino Linotype"/>
          <w:b/>
        </w:rPr>
        <w:t xml:space="preserve">Sujeto Obligado </w:t>
      </w:r>
      <w:r w:rsidRPr="007A50FE">
        <w:rPr>
          <w:rFonts w:ascii="Palatino Linotype" w:eastAsia="Palatino Linotype" w:hAnsi="Palatino Linotype" w:cs="Palatino Linotype"/>
        </w:rPr>
        <w:t>no niega la competencia para conocer de la información solicitada, sino por el contrario, con la respuesta pronunciada asevera que es competente para conocer de la solicitud de información</w:t>
      </w:r>
      <w:r w:rsidRPr="007A50FE">
        <w:rPr>
          <w:rFonts w:ascii="Palatino Linotype" w:eastAsia="Palatino Linotype" w:hAnsi="Palatino Linotype" w:cs="Palatino Linotype"/>
          <w:i/>
          <w:sz w:val="20"/>
          <w:szCs w:val="20"/>
        </w:rPr>
        <w:t xml:space="preserve">, </w:t>
      </w:r>
      <w:r w:rsidRPr="007A50FE">
        <w:rPr>
          <w:rFonts w:ascii="Palatino Linotype" w:eastAsia="Palatino Linotype" w:hAnsi="Palatino Linotype" w:cs="Palatino Linotype"/>
        </w:rPr>
        <w:t xml:space="preserve">lo anterior es así, ya que el estudio enunciado tiene por objeto determinar si </w:t>
      </w:r>
      <w:r w:rsidRPr="007A50FE">
        <w:t>los</w:t>
      </w:r>
      <w:r w:rsidRPr="007A50FE">
        <w:rPr>
          <w:rFonts w:ascii="Palatino Linotype" w:eastAsia="Palatino Linotype" w:hAnsi="Palatino Linotype" w:cs="Palatino Linotype"/>
        </w:rPr>
        <w:t xml:space="preserve"> Sujeto</w:t>
      </w:r>
      <w:r w:rsidRPr="007A50FE">
        <w:t>s</w:t>
      </w:r>
      <w:r w:rsidRPr="007A50FE">
        <w:rPr>
          <w:rFonts w:ascii="Palatino Linotype" w:eastAsia="Palatino Linotype" w:hAnsi="Palatino Linotype" w:cs="Palatino Linotype"/>
        </w:rPr>
        <w:t xml:space="preserve"> Obligado</w:t>
      </w:r>
      <w:r w:rsidRPr="007A50FE">
        <w:t>s</w:t>
      </w:r>
      <w:r w:rsidRPr="007A50FE">
        <w:rPr>
          <w:rFonts w:ascii="Palatino Linotype" w:eastAsia="Palatino Linotype" w:hAnsi="Palatino Linotype" w:cs="Palatino Linotype"/>
        </w:rPr>
        <w:t xml:space="preserve"> generan, poseen o administran  la información solicitada, sin embargo, en aquellos casos en que </w:t>
      </w:r>
      <w:r w:rsidRPr="007A50FE">
        <w:t>e</w:t>
      </w:r>
      <w:r w:rsidRPr="007A50FE">
        <w:rPr>
          <w:rFonts w:ascii="Palatino Linotype" w:eastAsia="Palatino Linotype" w:hAnsi="Palatino Linotype" w:cs="Palatino Linotype"/>
        </w:rPr>
        <w:t>st</w:t>
      </w:r>
      <w:r w:rsidRPr="007A50FE">
        <w:t xml:space="preserve">os </w:t>
      </w:r>
      <w:r w:rsidRPr="007A50FE">
        <w:rPr>
          <w:rFonts w:ascii="Palatino Linotype" w:eastAsia="Palatino Linotype" w:hAnsi="Palatino Linotype" w:cs="Palatino Linotype"/>
        </w:rPr>
        <w:t>ha</w:t>
      </w:r>
      <w:r w:rsidRPr="007A50FE">
        <w:t>n</w:t>
      </w:r>
      <w:r w:rsidRPr="007A50FE">
        <w:rPr>
          <w:rFonts w:ascii="Palatino Linotype" w:eastAsia="Palatino Linotype" w:hAnsi="Palatino Linotype" w:cs="Palatino Linotype"/>
        </w:rPr>
        <w:t xml:space="preserve"> asumido la competencia, sería ocioso y a nada práctico nos conduciría su estudio, ya que, se insiste, el ente obligado asumió la competencia referida, motivo por el cual se actualiza el supuesto previsto en el artículo 12 de la legislación aplicable en la materia. </w:t>
      </w:r>
    </w:p>
    <w:p w:rsidR="00223418" w:rsidRPr="007A50FE" w:rsidRDefault="00AC5BC7">
      <w:pPr>
        <w:spacing w:before="240" w:after="240"/>
        <w:ind w:left="851" w:right="902"/>
        <w:jc w:val="both"/>
        <w:rPr>
          <w:rFonts w:ascii="Palatino Linotype" w:eastAsia="Palatino Linotype" w:hAnsi="Palatino Linotype" w:cs="Palatino Linotype"/>
          <w:i/>
          <w:sz w:val="22"/>
          <w:szCs w:val="22"/>
        </w:rPr>
      </w:pPr>
      <w:r w:rsidRPr="007A50FE">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sidRPr="007A50FE">
        <w:rPr>
          <w:rFonts w:ascii="Palatino Linotype" w:eastAsia="Palatino Linotype" w:hAnsi="Palatino Linotype" w:cs="Palatino Linotype"/>
          <w:i/>
          <w:sz w:val="22"/>
          <w:szCs w:val="22"/>
        </w:rPr>
        <w:t xml:space="preserve"> en los términos de las disposiciones jurídicas aplicables. </w:t>
      </w:r>
    </w:p>
    <w:p w:rsidR="00223418" w:rsidRPr="007A50FE" w:rsidRDefault="00AC5BC7">
      <w:pPr>
        <w:spacing w:before="240" w:after="240"/>
        <w:ind w:left="851" w:right="902"/>
        <w:jc w:val="both"/>
        <w:rPr>
          <w:rFonts w:ascii="Palatino Linotype" w:eastAsia="Palatino Linotype" w:hAnsi="Palatino Linotype" w:cs="Palatino Linotype"/>
          <w:i/>
          <w:sz w:val="22"/>
          <w:szCs w:val="22"/>
        </w:rPr>
      </w:pPr>
      <w:r w:rsidRPr="007A50F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A50FE">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rsidR="00223418" w:rsidRPr="007A50FE" w:rsidRDefault="00AC5BC7">
      <w:pPr>
        <w:spacing w:before="280" w:after="28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t xml:space="preserve">Por consiguiente, se procede al análisis de los requerimientos planteados por la particular y la respuesta proporcionada por el </w:t>
      </w:r>
      <w:r w:rsidRPr="007A50FE">
        <w:rPr>
          <w:rFonts w:ascii="Palatino Linotype" w:eastAsia="Palatino Linotype" w:hAnsi="Palatino Linotype" w:cs="Palatino Linotype"/>
          <w:b/>
        </w:rPr>
        <w:t>Sujeto Obligado</w:t>
      </w:r>
      <w:r w:rsidRPr="007A50FE">
        <w:rPr>
          <w:rFonts w:ascii="Palatino Linotype" w:eastAsia="Palatino Linotype" w:hAnsi="Palatino Linotype" w:cs="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rsidR="00933D3B" w:rsidRPr="007A50FE" w:rsidRDefault="00AC5BC7" w:rsidP="00933D3B">
      <w:pPr>
        <w:spacing w:before="240" w:after="240" w:line="360" w:lineRule="auto"/>
        <w:ind w:right="49"/>
        <w:jc w:val="both"/>
        <w:rPr>
          <w:rFonts w:ascii="Palatino Linotype" w:eastAsia="Palatino Linotype" w:hAnsi="Palatino Linotype" w:cs="Palatino Linotype"/>
        </w:rPr>
      </w:pPr>
      <w:r w:rsidRPr="007A50FE">
        <w:rPr>
          <w:rFonts w:ascii="Palatino Linotype" w:eastAsia="Palatino Linotype" w:hAnsi="Palatino Linotype" w:cs="Palatino Linotype"/>
        </w:rPr>
        <w:lastRenderedPageBreak/>
        <w:t xml:space="preserve">En tal tesitura, recordemos que la persona solicitante, requirió se le informara </w:t>
      </w:r>
      <w:r w:rsidR="00933D3B" w:rsidRPr="007A50FE">
        <w:rPr>
          <w:rFonts w:ascii="Palatino Linotype" w:eastAsia="Palatino Linotype" w:hAnsi="Palatino Linotype" w:cs="Palatino Linotype"/>
        </w:rPr>
        <w:t>sobre el presupuesto ejercido al primer trimestre de 2019 en su entidad, clasificado por partida específica de acuerdo con el al clasificador por objeto de gasto vigente, por lo que es necesario señalar que de conformidad con el artículo 293 del Código Financiero del Estado de México</w:t>
      </w:r>
      <w:r w:rsidR="00933D3B" w:rsidRPr="007A50FE">
        <w:rPr>
          <w:rFonts w:ascii="Palatino Linotype" w:eastAsia="Palatino Linotype" w:hAnsi="Palatino Linotype" w:cs="Palatino Linotype"/>
          <w:i/>
        </w:rPr>
        <w:t xml:space="preserve">, </w:t>
      </w:r>
      <w:r w:rsidR="00933D3B" w:rsidRPr="007A50FE">
        <w:rPr>
          <w:rFonts w:ascii="Palatino Linotype" w:eastAsia="Palatino Linotype" w:hAnsi="Palatino Linotype" w:cs="Palatino Linotype"/>
        </w:rPr>
        <w:t xml:space="preserve">los capítulos de gasto se dividirán en </w:t>
      </w:r>
      <w:r w:rsidR="00933D3B" w:rsidRPr="007A50FE">
        <w:rPr>
          <w:rFonts w:ascii="Palatino Linotype" w:eastAsia="Palatino Linotype" w:hAnsi="Palatino Linotype" w:cs="Palatino Linotype"/>
          <w:b/>
        </w:rPr>
        <w:t>concepto, partida genérica y partida específica,</w:t>
      </w:r>
      <w:r w:rsidR="00933D3B" w:rsidRPr="007A50FE">
        <w:rPr>
          <w:rFonts w:ascii="Palatino Linotype" w:eastAsia="Palatino Linotype" w:hAnsi="Palatino Linotype" w:cs="Palatino Linotype"/>
        </w:rPr>
        <w:t xml:space="preserve"> que representarán las autorizaciones específicas del presupuesto, las cuales se encuentran contenidas en </w:t>
      </w:r>
      <w:r w:rsidR="00933D3B" w:rsidRPr="007A50FE">
        <w:rPr>
          <w:rFonts w:ascii="Palatino Linotype" w:eastAsia="Palatino Linotype" w:hAnsi="Palatino Linotype" w:cs="Palatino Linotype"/>
          <w:i/>
        </w:rPr>
        <w:t>el clasificador por objeto de gasto</w:t>
      </w:r>
      <w:r w:rsidR="00933D3B" w:rsidRPr="007A50FE">
        <w:rPr>
          <w:rFonts w:ascii="Palatino Linotype" w:eastAsia="Palatino Linotype" w:hAnsi="Palatino Linotype" w:cs="Palatino Linotype"/>
        </w:rPr>
        <w:t xml:space="preserve"> que debe emitir la Tesorería, mismo que debe guardar congruencia con el clasificador que emita el Consejo Nacional de Armonización Contable y el Consejo de Armonización Contable del Estado de México, a saber:</w:t>
      </w:r>
    </w:p>
    <w:p w:rsidR="00933D3B" w:rsidRPr="007A50FE" w:rsidRDefault="00933D3B" w:rsidP="00933D3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A50FE">
        <w:rPr>
          <w:rFonts w:ascii="Palatino Linotype" w:eastAsia="Palatino Linotype" w:hAnsi="Palatino Linotype" w:cs="Palatino Linotype"/>
          <w:i/>
          <w:sz w:val="22"/>
          <w:szCs w:val="22"/>
        </w:rPr>
        <w:t>“</w:t>
      </w:r>
      <w:r w:rsidRPr="007A50FE">
        <w:rPr>
          <w:rFonts w:ascii="Palatino Linotype" w:eastAsia="Palatino Linotype" w:hAnsi="Palatino Linotype" w:cs="Palatino Linotype"/>
          <w:b/>
          <w:i/>
          <w:sz w:val="22"/>
          <w:szCs w:val="22"/>
        </w:rPr>
        <w:t>Artículo 293</w:t>
      </w:r>
      <w:r w:rsidRPr="007A50FE">
        <w:rPr>
          <w:rFonts w:ascii="Palatino Linotype" w:eastAsia="Palatino Linotype" w:hAnsi="Palatino Linotype" w:cs="Palatino Linotype"/>
          <w:i/>
          <w:sz w:val="22"/>
          <w:szCs w:val="22"/>
        </w:rPr>
        <w:t xml:space="preserve">.- </w:t>
      </w:r>
      <w:r w:rsidRPr="007A50FE">
        <w:rPr>
          <w:rFonts w:ascii="Palatino Linotype" w:eastAsia="Palatino Linotype" w:hAnsi="Palatino Linotype" w:cs="Palatino Linotype"/>
          <w:b/>
          <w:i/>
          <w:sz w:val="22"/>
          <w:szCs w:val="22"/>
        </w:rPr>
        <w:t xml:space="preserve">Los capítulos de gasto se dividirán en </w:t>
      </w:r>
      <w:r w:rsidRPr="007A50FE">
        <w:rPr>
          <w:rFonts w:ascii="Palatino Linotype" w:eastAsia="Palatino Linotype" w:hAnsi="Palatino Linotype" w:cs="Palatino Linotype"/>
          <w:b/>
          <w:i/>
          <w:sz w:val="22"/>
          <w:szCs w:val="22"/>
          <w:u w:val="single"/>
        </w:rPr>
        <w:t>concepto, partida genérica y partida específica</w:t>
      </w:r>
      <w:r w:rsidRPr="007A50FE">
        <w:rPr>
          <w:rFonts w:ascii="Palatino Linotype" w:eastAsia="Palatino Linotype" w:hAnsi="Palatino Linotype" w:cs="Palatino Linotype"/>
          <w:i/>
          <w:sz w:val="22"/>
          <w:szCs w:val="22"/>
        </w:rPr>
        <w:t xml:space="preserve">, que representarán las autorizaciones específicas del presupuesto, las cuales se encuentran contenidas en el clasificador por objeto de gasto que emita el Consejo Nacional de Armonización Contable y el Consejo de Armonización Contable del Estado de México. </w:t>
      </w:r>
    </w:p>
    <w:p w:rsidR="00933D3B" w:rsidRPr="007A50FE" w:rsidRDefault="00933D3B" w:rsidP="00933D3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A50FE">
        <w:rPr>
          <w:rFonts w:ascii="Palatino Linotype" w:eastAsia="Palatino Linotype" w:hAnsi="Palatino Linotype" w:cs="Palatino Linotype"/>
          <w:i/>
          <w:sz w:val="22"/>
          <w:szCs w:val="22"/>
        </w:rPr>
        <w:t>En el caso de los municipios,</w:t>
      </w:r>
      <w:r w:rsidRPr="007A50FE">
        <w:rPr>
          <w:rFonts w:ascii="Palatino Linotype" w:eastAsia="Palatino Linotype" w:hAnsi="Palatino Linotype" w:cs="Palatino Linotype"/>
          <w:b/>
          <w:i/>
          <w:sz w:val="22"/>
          <w:szCs w:val="22"/>
        </w:rPr>
        <w:t xml:space="preserve"> corresponderá a su Tesorería emitir el Clasificador por Objeto del Gasto</w:t>
      </w:r>
      <w:r w:rsidRPr="007A50FE">
        <w:rPr>
          <w:rFonts w:ascii="Palatino Linotype" w:eastAsia="Palatino Linotype" w:hAnsi="Palatino Linotype" w:cs="Palatino Linotype"/>
          <w:i/>
          <w:sz w:val="22"/>
          <w:szCs w:val="22"/>
        </w:rPr>
        <w:t>, el cual deberá guardar congruencia y homogeneidad con el señalado en el párrafo anterior.”</w:t>
      </w:r>
    </w:p>
    <w:p w:rsidR="00933D3B" w:rsidRPr="007A50FE" w:rsidRDefault="00933D3B" w:rsidP="00933D3B">
      <w:pPr>
        <w:spacing w:before="280" w:after="28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t xml:space="preserve">Con base en lo anterior el </w:t>
      </w:r>
      <w:r w:rsidRPr="007A50FE">
        <w:rPr>
          <w:rFonts w:ascii="Palatino Linotype" w:eastAsia="Palatino Linotype" w:hAnsi="Palatino Linotype" w:cs="Palatino Linotype"/>
          <w:i/>
        </w:rPr>
        <w:t>Clasificador por objeto del gasto,</w:t>
      </w:r>
      <w:r w:rsidRPr="007A50FE">
        <w:rPr>
          <w:rFonts w:ascii="Palatino Linotype" w:eastAsia="Palatino Linotype" w:hAnsi="Palatino Linotype" w:cs="Palatino Linotype"/>
        </w:rPr>
        <w:t xml:space="preserve"> es el que se estableció en cumplimiento al artículo cuarto transitorio de la Ley General de Contabilidad Gubernamental, el Gobierno del Estado de México, ya que realiza las acciones pertinentes para armonizar los sistemas contables de las dependencias, los poderes Legislativo y Judicial; las entidades públicas, los órganos autónomos y los municipios de la entidad, </w:t>
      </w:r>
      <w:r w:rsidRPr="007A50FE">
        <w:rPr>
          <w:rFonts w:ascii="Palatino Linotype" w:eastAsia="Palatino Linotype" w:hAnsi="Palatino Linotype" w:cs="Palatino Linotype"/>
          <w:b/>
        </w:rPr>
        <w:t xml:space="preserve">para que éstos cuenten con un catálogo de partidas presupuestarias que se alinean al Clasificador por Objeto del Gasto autorizado </w:t>
      </w:r>
      <w:r w:rsidRPr="007A50FE">
        <w:rPr>
          <w:rFonts w:ascii="Palatino Linotype" w:eastAsia="Palatino Linotype" w:hAnsi="Palatino Linotype" w:cs="Palatino Linotype"/>
          <w:b/>
        </w:rPr>
        <w:lastRenderedPageBreak/>
        <w:t>por el CONAC,</w:t>
      </w:r>
      <w:r w:rsidRPr="007A50FE">
        <w:rPr>
          <w:rFonts w:ascii="Palatino Linotype" w:eastAsia="Palatino Linotype" w:hAnsi="Palatino Linotype" w:cs="Palatino Linotype"/>
        </w:rPr>
        <w:t xml:space="preserve"> en la reunión celebrada el 28 de mayo del 2010 y que fue publicado en Gaceta del Gobierno del estado de México No. 118 del 23 de junio de 2010.</w:t>
      </w:r>
    </w:p>
    <w:p w:rsidR="00933D3B" w:rsidRPr="007A50FE" w:rsidRDefault="00933D3B" w:rsidP="00933D3B">
      <w:pPr>
        <w:spacing w:before="280" w:after="28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t>Así, al ser un instrumento que permite la obtención de información para el análisis y seguimiento de la gestión financiera gubernamental, es considerado la clasificación operativa que permite conocer en qué se gasta, (base del registro de las transacciones económico – financieras) y a su vez permite cuantificar la demanda de bienes y servicios que realiza el Sector Público; teniendo como objetivos principales los siguientes:</w:t>
      </w:r>
    </w:p>
    <w:p w:rsidR="00933D3B" w:rsidRPr="007A50FE" w:rsidRDefault="00933D3B" w:rsidP="00933D3B">
      <w:pPr>
        <w:numPr>
          <w:ilvl w:val="0"/>
          <w:numId w:val="3"/>
        </w:numPr>
        <w:pBdr>
          <w:top w:val="nil"/>
          <w:left w:val="nil"/>
          <w:bottom w:val="nil"/>
          <w:right w:val="nil"/>
          <w:between w:val="nil"/>
        </w:pBdr>
        <w:spacing w:before="28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t>Ofrecer información valiosa de la demanda de bienes y servicios que realiza el Sector Público.</w:t>
      </w:r>
    </w:p>
    <w:p w:rsidR="00933D3B" w:rsidRPr="007A50FE" w:rsidRDefault="00933D3B" w:rsidP="00933D3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t>Permite identificar con claridad y transparencia los bienes y servicios que se adquieren, las transferencias que se realizan y las aplicaciones previstas en el presupuesto.</w:t>
      </w:r>
    </w:p>
    <w:p w:rsidR="00933D3B" w:rsidRPr="007A50FE" w:rsidRDefault="00933D3B" w:rsidP="00933D3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t>Facilitar la programación de las adquisiciones de bienes y servicios y otras acciones relacionadas con administración de bienes del Estado.</w:t>
      </w:r>
    </w:p>
    <w:p w:rsidR="00933D3B" w:rsidRPr="007A50FE" w:rsidRDefault="00933D3B" w:rsidP="00933D3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t>En el marco del sistema de cuentas gubernamentales, integradas e interrelacionadas, el Clasificador por Objeto del Gasto es uno de los principales elementos para obtener clasificaciones agregadas.</w:t>
      </w:r>
    </w:p>
    <w:p w:rsidR="00933D3B" w:rsidRPr="007A50FE" w:rsidRDefault="00933D3B" w:rsidP="00933D3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t>Facilitar el ejercicio del control interno y externo de las transacciones de los entes públicos.</w:t>
      </w:r>
    </w:p>
    <w:p w:rsidR="00933D3B" w:rsidRPr="007A50FE" w:rsidRDefault="00933D3B" w:rsidP="00933D3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t>Promover el desarrollo y aplicación de los sistemas de programación y gestión del gasto público.</w:t>
      </w:r>
    </w:p>
    <w:p w:rsidR="00933D3B" w:rsidRPr="007A50FE" w:rsidRDefault="00933D3B" w:rsidP="00933D3B">
      <w:pPr>
        <w:numPr>
          <w:ilvl w:val="0"/>
          <w:numId w:val="3"/>
        </w:numPr>
        <w:pBdr>
          <w:top w:val="nil"/>
          <w:left w:val="nil"/>
          <w:bottom w:val="nil"/>
          <w:right w:val="nil"/>
          <w:between w:val="nil"/>
        </w:pBdr>
        <w:spacing w:after="28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t>Permitir el análisis de los efectos del gasto público y la proyección del mismo.</w:t>
      </w:r>
    </w:p>
    <w:p w:rsidR="00933D3B" w:rsidRPr="007A50FE" w:rsidRDefault="00933D3B" w:rsidP="00933D3B">
      <w:pPr>
        <w:spacing w:before="240" w:after="24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lastRenderedPageBreak/>
        <w:t>Asimismo, cabe señalar que el Clasificador por Objeto del Gasto es el documento armonizado que ordena e identifica en forma genérica, homogénea y coherente el registro del gasto por los conceptos de servicios personales, materiales y suministros, servicios generales, transferencias, asignaciones subsidios y otras ayudas, bienes muebles, inmuebles e intangibles, inversión pública, inversiones financieras y otras provisiones, participaciones y aportaciones federales, y deuda pública, que requieren las dependencias, entidades públicas, así como los Municipios, para cumplir con los objetivos y programas señalados en el Plan de Desarrollo del Estado de México vigente y en el Plan de Desarrollo Municipal, respectivamente, es de observancia obligatoria para las dependencias, entidades públicas y los Municipios, por lo que para la integración de la clave presupuestaria debe considerarse el Clasificador.</w:t>
      </w:r>
    </w:p>
    <w:p w:rsidR="00933D3B" w:rsidRPr="007A50FE" w:rsidRDefault="00933D3B" w:rsidP="00933D3B">
      <w:pPr>
        <w:spacing w:before="240" w:after="24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t xml:space="preserve">Consecuentemente para identificar el gasto público por su naturaleza económica, durante el proceso de programación e integración del Anteproyecto de Presupuesto, así como para su ejercicio, </w:t>
      </w:r>
      <w:r w:rsidRPr="007A50FE">
        <w:rPr>
          <w:rFonts w:ascii="Palatino Linotype" w:eastAsia="Palatino Linotype" w:hAnsi="Palatino Linotype" w:cs="Palatino Linotype"/>
          <w:b/>
        </w:rPr>
        <w:t xml:space="preserve">las unidades ejecutoras deben </w:t>
      </w:r>
      <w:r w:rsidRPr="007A50FE">
        <w:rPr>
          <w:rFonts w:ascii="Palatino Linotype" w:eastAsia="Palatino Linotype" w:hAnsi="Palatino Linotype" w:cs="Palatino Linotype"/>
          <w:b/>
          <w:u w:val="single"/>
        </w:rPr>
        <w:t>establecer el vínculo</w:t>
      </w:r>
      <w:r w:rsidRPr="007A50FE">
        <w:rPr>
          <w:rFonts w:ascii="Palatino Linotype" w:eastAsia="Palatino Linotype" w:hAnsi="Palatino Linotype" w:cs="Palatino Linotype"/>
          <w:b/>
        </w:rPr>
        <w:t xml:space="preserve">, por capítulo, subcapítulo, partida de gasto genérica y </w:t>
      </w:r>
      <w:r w:rsidRPr="007A50FE">
        <w:rPr>
          <w:rFonts w:ascii="Palatino Linotype" w:eastAsia="Palatino Linotype" w:hAnsi="Palatino Linotype" w:cs="Palatino Linotype"/>
          <w:b/>
          <w:u w:val="single"/>
        </w:rPr>
        <w:t>partida de gasto específica</w:t>
      </w:r>
      <w:r w:rsidRPr="007A50FE">
        <w:rPr>
          <w:rFonts w:ascii="Palatino Linotype" w:eastAsia="Palatino Linotype" w:hAnsi="Palatino Linotype" w:cs="Palatino Linotype"/>
          <w:b/>
        </w:rPr>
        <w:t>,</w:t>
      </w:r>
      <w:r w:rsidRPr="007A50FE">
        <w:rPr>
          <w:rFonts w:ascii="Palatino Linotype" w:eastAsia="Palatino Linotype" w:hAnsi="Palatino Linotype" w:cs="Palatino Linotype"/>
        </w:rPr>
        <w:t xml:space="preserve"> con el componente de la </w:t>
      </w:r>
      <w:r w:rsidRPr="007A50FE">
        <w:rPr>
          <w:rFonts w:ascii="Palatino Linotype" w:eastAsia="Palatino Linotype" w:hAnsi="Palatino Linotype" w:cs="Palatino Linotype"/>
          <w:b/>
        </w:rPr>
        <w:t>clave presupuestaria</w:t>
      </w:r>
      <w:r w:rsidRPr="007A50FE">
        <w:rPr>
          <w:rFonts w:ascii="Palatino Linotype" w:eastAsia="Palatino Linotype" w:hAnsi="Palatino Linotype" w:cs="Palatino Linotype"/>
        </w:rPr>
        <w:t xml:space="preserve"> correspondiente.</w:t>
      </w:r>
    </w:p>
    <w:p w:rsidR="00933D3B" w:rsidRPr="007A50FE" w:rsidRDefault="00933D3B" w:rsidP="00933D3B">
      <w:pPr>
        <w:spacing w:before="240" w:after="24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t xml:space="preserve">Para tal efecto, el Manual para la Planeación, Programación y Presupuesto de Egresos Municipal para el Ejercicio Fiscal </w:t>
      </w:r>
      <w:r w:rsidRPr="007A50FE">
        <w:rPr>
          <w:rFonts w:ascii="Palatino Linotype" w:eastAsia="Palatino Linotype" w:hAnsi="Palatino Linotype" w:cs="Palatino Linotype"/>
          <w:b/>
        </w:rPr>
        <w:t>2019</w:t>
      </w:r>
      <w:r w:rsidR="00D6411E" w:rsidRPr="007A50FE">
        <w:rPr>
          <w:rStyle w:val="Refdenotaalpie"/>
          <w:rFonts w:ascii="Palatino Linotype" w:eastAsia="Palatino Linotype" w:hAnsi="Palatino Linotype" w:cs="Palatino Linotype"/>
          <w:b/>
        </w:rPr>
        <w:footnoteReference w:id="2"/>
      </w:r>
      <w:r w:rsidRPr="007A50FE">
        <w:rPr>
          <w:rFonts w:ascii="Palatino Linotype" w:eastAsia="Palatino Linotype" w:hAnsi="Palatino Linotype" w:cs="Palatino Linotype"/>
        </w:rPr>
        <w:t xml:space="preserve">, integra como anexo el “Clasificador por objeto del gasto”,  el cual se constituye un elemento fundamental del sistema general de cuentas donde cada componente destaca aspectos concretos del presupuesto y suministra información que atiende a necesidades diferentes pero </w:t>
      </w:r>
      <w:r w:rsidRPr="007A50FE">
        <w:rPr>
          <w:rFonts w:ascii="Palatino Linotype" w:eastAsia="Palatino Linotype" w:hAnsi="Palatino Linotype" w:cs="Palatino Linotype"/>
        </w:rPr>
        <w:lastRenderedPageBreak/>
        <w:t>enlazadas, permitiendo el vínculo con la contabilidad, es decir, que se trata de un instrumento que permite la obtención de información para el análisis y seguimiento de la gestión financiera gubernamental, por lo cual permite conocer en qué se gasta y cuantificar la demanda de bienes o servicios.</w:t>
      </w:r>
    </w:p>
    <w:p w:rsidR="00933D3B" w:rsidRPr="007A50FE" w:rsidRDefault="00933D3B" w:rsidP="00933D3B">
      <w:pPr>
        <w:spacing w:before="280" w:after="28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t>La estructura del Clasificador, según lo previsto en el anexo, fue diseñada con un nivel de desagregación que permite que sus cuentas faciliten el registro único de todas las transacciones con incidencia económica – financiera, es por ello que la armonización se realiza a tercer digito que corresponde a la partida genérica, dejando en poder de las entidades federativas la desagregación e identificación de la partida específica, dando origen a la siguiente estructura:</w:t>
      </w:r>
    </w:p>
    <w:p w:rsidR="00D6411E" w:rsidRPr="007A50FE" w:rsidRDefault="00D6411E" w:rsidP="00D6411E">
      <w:pPr>
        <w:spacing w:before="280" w:after="280" w:line="360" w:lineRule="auto"/>
        <w:jc w:val="center"/>
        <w:rPr>
          <w:rFonts w:ascii="Palatino Linotype" w:eastAsia="Palatino Linotype" w:hAnsi="Palatino Linotype" w:cs="Palatino Linotype"/>
        </w:rPr>
      </w:pPr>
      <w:r w:rsidRPr="007A50FE">
        <w:rPr>
          <w:noProof/>
        </w:rPr>
        <w:drawing>
          <wp:inline distT="0" distB="0" distL="0" distR="0" wp14:anchorId="1F316124" wp14:editId="160FF5BF">
            <wp:extent cx="5324475" cy="9620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24475" cy="962025"/>
                    </a:xfrm>
                    <a:prstGeom prst="rect">
                      <a:avLst/>
                    </a:prstGeom>
                  </pic:spPr>
                </pic:pic>
              </a:graphicData>
            </a:graphic>
          </wp:inline>
        </w:drawing>
      </w:r>
    </w:p>
    <w:p w:rsidR="00933D3B" w:rsidRPr="007A50FE" w:rsidRDefault="00933D3B" w:rsidP="00933D3B">
      <w:pPr>
        <w:spacing w:before="280" w:after="28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t>Debiendo definir cada una de las partes que lo integran como sigue:</w:t>
      </w:r>
    </w:p>
    <w:p w:rsidR="00933D3B" w:rsidRPr="007A50FE" w:rsidRDefault="00933D3B" w:rsidP="00933D3B">
      <w:pPr>
        <w:numPr>
          <w:ilvl w:val="0"/>
          <w:numId w:val="4"/>
        </w:numPr>
        <w:pBdr>
          <w:top w:val="nil"/>
          <w:left w:val="nil"/>
          <w:bottom w:val="nil"/>
          <w:right w:val="nil"/>
          <w:between w:val="nil"/>
        </w:pBdr>
        <w:spacing w:before="120" w:after="120" w:line="360" w:lineRule="auto"/>
        <w:ind w:hanging="357"/>
        <w:jc w:val="both"/>
        <w:rPr>
          <w:rFonts w:ascii="Palatino Linotype" w:eastAsia="Palatino Linotype" w:hAnsi="Palatino Linotype" w:cs="Palatino Linotype"/>
        </w:rPr>
      </w:pPr>
      <w:r w:rsidRPr="007A50FE">
        <w:rPr>
          <w:rFonts w:ascii="Palatino Linotype" w:eastAsia="Palatino Linotype" w:hAnsi="Palatino Linotype" w:cs="Palatino Linotype"/>
          <w:b/>
        </w:rPr>
        <w:t>Capítulo:</w:t>
      </w:r>
      <w:r w:rsidRPr="007A50FE">
        <w:rPr>
          <w:rFonts w:ascii="Palatino Linotype" w:eastAsia="Palatino Linotype" w:hAnsi="Palatino Linotype" w:cs="Palatino Linotype"/>
        </w:rPr>
        <w:t xml:space="preserve"> Es el mayor nivel de agregación que identifica el conjunto homogéneo y ordenado de los bienes y servicios requeridos por los entes públicos. </w:t>
      </w:r>
    </w:p>
    <w:p w:rsidR="00933D3B" w:rsidRPr="007A50FE" w:rsidRDefault="00933D3B" w:rsidP="00933D3B">
      <w:pPr>
        <w:numPr>
          <w:ilvl w:val="0"/>
          <w:numId w:val="4"/>
        </w:numPr>
        <w:pBdr>
          <w:top w:val="nil"/>
          <w:left w:val="nil"/>
          <w:bottom w:val="nil"/>
          <w:right w:val="nil"/>
          <w:between w:val="nil"/>
        </w:pBdr>
        <w:spacing w:before="120" w:after="120" w:line="360" w:lineRule="auto"/>
        <w:ind w:hanging="357"/>
        <w:jc w:val="both"/>
        <w:rPr>
          <w:rFonts w:ascii="Palatino Linotype" w:eastAsia="Palatino Linotype" w:hAnsi="Palatino Linotype" w:cs="Palatino Linotype"/>
        </w:rPr>
      </w:pPr>
      <w:r w:rsidRPr="007A50FE">
        <w:rPr>
          <w:rFonts w:ascii="Palatino Linotype" w:eastAsia="Palatino Linotype" w:hAnsi="Palatino Linotype" w:cs="Palatino Linotype"/>
          <w:b/>
        </w:rPr>
        <w:t>Concepto:</w:t>
      </w:r>
      <w:r w:rsidRPr="007A50FE">
        <w:rPr>
          <w:rFonts w:ascii="Palatino Linotype" w:eastAsia="Palatino Linotype" w:hAnsi="Palatino Linotype" w:cs="Palatino Linotype"/>
        </w:rPr>
        <w:t xml:space="preserve"> Son subconjuntos homogéneos y ordenados en forma específica, producto de la desagregación de los bienes y servicios, incluidos en cada capítulo. </w:t>
      </w:r>
    </w:p>
    <w:p w:rsidR="00933D3B" w:rsidRPr="007A50FE" w:rsidRDefault="00933D3B" w:rsidP="00933D3B">
      <w:pPr>
        <w:numPr>
          <w:ilvl w:val="0"/>
          <w:numId w:val="4"/>
        </w:numPr>
        <w:pBdr>
          <w:top w:val="nil"/>
          <w:left w:val="nil"/>
          <w:bottom w:val="nil"/>
          <w:right w:val="nil"/>
          <w:between w:val="nil"/>
        </w:pBdr>
        <w:spacing w:before="120" w:after="120" w:line="360" w:lineRule="auto"/>
        <w:ind w:hanging="357"/>
        <w:jc w:val="both"/>
        <w:rPr>
          <w:rFonts w:ascii="Palatino Linotype" w:eastAsia="Palatino Linotype" w:hAnsi="Palatino Linotype" w:cs="Palatino Linotype"/>
        </w:rPr>
      </w:pPr>
      <w:r w:rsidRPr="007A50FE">
        <w:rPr>
          <w:rFonts w:ascii="Palatino Linotype" w:eastAsia="Palatino Linotype" w:hAnsi="Palatino Linotype" w:cs="Palatino Linotype"/>
          <w:b/>
        </w:rPr>
        <w:lastRenderedPageBreak/>
        <w:t>Partida:</w:t>
      </w:r>
      <w:r w:rsidRPr="007A50FE">
        <w:rPr>
          <w:rFonts w:ascii="Palatino Linotype" w:eastAsia="Palatino Linotype" w:hAnsi="Palatino Linotype" w:cs="Palatino Linotype"/>
        </w:rPr>
        <w:t xml:space="preserve"> Es el nivel de agregación más específico en el cual se describen las expresiones concretas y detalladas de los bienes y servicios que se adquieren y se compone de: </w:t>
      </w:r>
    </w:p>
    <w:p w:rsidR="00933D3B" w:rsidRPr="007A50FE" w:rsidRDefault="00933D3B" w:rsidP="00933D3B">
      <w:pPr>
        <w:numPr>
          <w:ilvl w:val="0"/>
          <w:numId w:val="5"/>
        </w:numPr>
        <w:pBdr>
          <w:top w:val="nil"/>
          <w:left w:val="nil"/>
          <w:bottom w:val="nil"/>
          <w:right w:val="nil"/>
          <w:between w:val="nil"/>
        </w:pBdr>
        <w:spacing w:before="12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b/>
        </w:rPr>
        <w:t>La Partida Genérica</w:t>
      </w:r>
      <w:r w:rsidRPr="007A50FE">
        <w:rPr>
          <w:rFonts w:ascii="Palatino Linotype" w:eastAsia="Palatino Linotype" w:hAnsi="Palatino Linotype" w:cs="Palatino Linotype"/>
        </w:rPr>
        <w:t xml:space="preserve"> se refiere al tercer dígito, el cual logrará la armonización a todos los niveles de gobierno.</w:t>
      </w:r>
    </w:p>
    <w:p w:rsidR="00933D3B" w:rsidRPr="007A50FE" w:rsidRDefault="00933D3B" w:rsidP="00933D3B">
      <w:pPr>
        <w:numPr>
          <w:ilvl w:val="0"/>
          <w:numId w:val="5"/>
        </w:numPr>
        <w:pBdr>
          <w:top w:val="nil"/>
          <w:left w:val="nil"/>
          <w:bottom w:val="nil"/>
          <w:right w:val="nil"/>
          <w:between w:val="nil"/>
        </w:pBdr>
        <w:spacing w:after="120" w:line="360" w:lineRule="auto"/>
        <w:ind w:hanging="357"/>
        <w:jc w:val="both"/>
        <w:rPr>
          <w:rFonts w:ascii="Palatino Linotype" w:eastAsia="Palatino Linotype" w:hAnsi="Palatino Linotype" w:cs="Palatino Linotype"/>
        </w:rPr>
      </w:pPr>
      <w:r w:rsidRPr="007A50FE">
        <w:rPr>
          <w:rFonts w:ascii="Palatino Linotype" w:eastAsia="Palatino Linotype" w:hAnsi="Palatino Linotype" w:cs="Palatino Linotype"/>
          <w:b/>
        </w:rPr>
        <w:t>La Partida Específica</w:t>
      </w:r>
      <w:r w:rsidRPr="007A50FE">
        <w:rPr>
          <w:rFonts w:ascii="Palatino Linotype" w:eastAsia="Palatino Linotype" w:hAnsi="Palatino Linotype" w:cs="Palatino Linotype"/>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w:t>
      </w:r>
    </w:p>
    <w:p w:rsidR="00933D3B" w:rsidRPr="007A50FE" w:rsidRDefault="00933D3B" w:rsidP="00933D3B">
      <w:pPr>
        <w:spacing w:before="240" w:after="24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t xml:space="preserve">De acuerdo con este nivel de desagregación del Clasificador por Objeto del Gasto Estatal y Municipal, la definición de los Capítulos de gasto es la siguiente: </w:t>
      </w:r>
    </w:p>
    <w:p w:rsidR="00933D3B" w:rsidRPr="007A50FE" w:rsidRDefault="00933D3B" w:rsidP="00933D3B">
      <w:pPr>
        <w:spacing w:before="240" w:after="240"/>
        <w:ind w:left="426" w:right="49"/>
        <w:jc w:val="both"/>
        <w:rPr>
          <w:rFonts w:ascii="Palatino Linotype" w:eastAsia="Palatino Linotype" w:hAnsi="Palatino Linotype" w:cs="Palatino Linotype"/>
        </w:rPr>
      </w:pPr>
      <w:r w:rsidRPr="007A50FE">
        <w:rPr>
          <w:rFonts w:ascii="Palatino Linotype" w:eastAsia="Palatino Linotype" w:hAnsi="Palatino Linotype" w:cs="Palatino Linotype"/>
          <w:b/>
        </w:rPr>
        <w:t>1000 SERVICIOS PERSONALES.</w:t>
      </w:r>
      <w:r w:rsidRPr="007A50FE">
        <w:rPr>
          <w:rFonts w:ascii="Palatino Linotype" w:eastAsia="Palatino Linotype" w:hAnsi="Palatino Linotype" w:cs="Palatino Linotype"/>
        </w:rPr>
        <w:t xml:space="preserve"> 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w:t>
      </w:r>
    </w:p>
    <w:p w:rsidR="00933D3B" w:rsidRPr="007A50FE" w:rsidRDefault="00933D3B" w:rsidP="00933D3B">
      <w:pPr>
        <w:spacing w:before="240" w:after="240"/>
        <w:ind w:left="426" w:right="49"/>
        <w:jc w:val="both"/>
        <w:rPr>
          <w:rFonts w:ascii="Palatino Linotype" w:eastAsia="Palatino Linotype" w:hAnsi="Palatino Linotype" w:cs="Palatino Linotype"/>
        </w:rPr>
      </w:pPr>
      <w:r w:rsidRPr="007A50FE">
        <w:rPr>
          <w:rFonts w:ascii="Palatino Linotype" w:eastAsia="Palatino Linotype" w:hAnsi="Palatino Linotype" w:cs="Palatino Linotype"/>
          <w:b/>
        </w:rPr>
        <w:t>2000 MATERIALES Y SUMINISTROS</w:t>
      </w:r>
      <w:r w:rsidRPr="007A50FE">
        <w:rPr>
          <w:rFonts w:ascii="Palatino Linotype" w:eastAsia="Palatino Linotype" w:hAnsi="Palatino Linotype" w:cs="Palatino Linotype"/>
        </w:rPr>
        <w:t xml:space="preserve">. Agrupa las asignaciones destinadas a la adquisición de toda clase de insumos y suministros requeridos para la prestación de bienes y servicios públicos y para el desempeño de las actividades administrativas. </w:t>
      </w:r>
    </w:p>
    <w:p w:rsidR="00933D3B" w:rsidRPr="007A50FE" w:rsidRDefault="00933D3B" w:rsidP="00933D3B">
      <w:pPr>
        <w:spacing w:before="240" w:after="240"/>
        <w:ind w:left="426" w:right="49"/>
        <w:jc w:val="both"/>
        <w:rPr>
          <w:rFonts w:ascii="Palatino Linotype" w:eastAsia="Palatino Linotype" w:hAnsi="Palatino Linotype" w:cs="Palatino Linotype"/>
          <w:b/>
          <w:i/>
        </w:rPr>
      </w:pPr>
      <w:r w:rsidRPr="007A50FE">
        <w:rPr>
          <w:rFonts w:ascii="Palatino Linotype" w:eastAsia="Palatino Linotype" w:hAnsi="Palatino Linotype" w:cs="Palatino Linotype"/>
          <w:b/>
        </w:rPr>
        <w:t>3000 SERVICIOS GENERALES</w:t>
      </w:r>
      <w:r w:rsidRPr="007A50FE">
        <w:rPr>
          <w:rFonts w:ascii="Palatino Linotype" w:eastAsia="Palatino Linotype" w:hAnsi="Palatino Linotype" w:cs="Palatino Linotype"/>
          <w:b/>
          <w:i/>
        </w:rPr>
        <w:t xml:space="preserve">. </w:t>
      </w:r>
      <w:r w:rsidRPr="007A50FE">
        <w:rPr>
          <w:rFonts w:ascii="Palatino Linotype" w:eastAsia="Palatino Linotype" w:hAnsi="Palatino Linotype" w:cs="Palatino Linotype"/>
          <w:bCs/>
          <w:iCs/>
        </w:rPr>
        <w:t>Asignaciones destinadas a cubrir el costo de todo tipo de servicios que se contraten con particulares o instituciones del propio sector público; así como los servicios oficiales requeridos para el desempeño de actividades vinculadas con la función pública</w:t>
      </w:r>
      <w:r w:rsidRPr="007A50FE">
        <w:rPr>
          <w:rFonts w:ascii="Palatino Linotype" w:eastAsia="Palatino Linotype" w:hAnsi="Palatino Linotype" w:cs="Palatino Linotype"/>
          <w:b/>
          <w:i/>
        </w:rPr>
        <w:t xml:space="preserve">. </w:t>
      </w:r>
    </w:p>
    <w:p w:rsidR="00933D3B" w:rsidRPr="007A50FE" w:rsidRDefault="00933D3B" w:rsidP="00933D3B">
      <w:pPr>
        <w:spacing w:before="240" w:after="240"/>
        <w:ind w:left="426" w:right="49"/>
        <w:jc w:val="both"/>
        <w:rPr>
          <w:rFonts w:ascii="Palatino Linotype" w:eastAsia="Palatino Linotype" w:hAnsi="Palatino Linotype" w:cs="Palatino Linotype"/>
          <w:b/>
          <w:bCs/>
          <w:i/>
          <w:iCs/>
        </w:rPr>
      </w:pPr>
      <w:r w:rsidRPr="007A50FE">
        <w:rPr>
          <w:rFonts w:ascii="Palatino Linotype" w:eastAsia="Palatino Linotype" w:hAnsi="Palatino Linotype" w:cs="Palatino Linotype"/>
          <w:b/>
        </w:rPr>
        <w:lastRenderedPageBreak/>
        <w:t>4000 TRANSFERENCIAS, ASIGNACIONES, SUBSIDIOS Y OTRAS AYUDAS</w:t>
      </w:r>
      <w:r w:rsidRPr="007A50FE">
        <w:rPr>
          <w:rFonts w:ascii="Palatino Linotype" w:eastAsia="Palatino Linotype" w:hAnsi="Palatino Linotype" w:cs="Palatino Linotype"/>
        </w:rPr>
        <w:t xml:space="preserve">. </w:t>
      </w:r>
      <w:r w:rsidRPr="007A50FE">
        <w:rPr>
          <w:rFonts w:ascii="Palatino Linotype" w:eastAsia="Palatino Linotype" w:hAnsi="Palatino Linotype" w:cs="Palatino Linotype"/>
          <w:b/>
          <w:bCs/>
          <w:i/>
          <w:iCs/>
        </w:rPr>
        <w:t>Asignaciones destinadas en forma directa o indirecta a los sectores público, privado y externo, organismos y empresas paraestatales y apoyos como parte de su política económica y social, de acuerdo a las estrategias y prioridades de desarrollo para el sostenimiento y desempeño de sus actividades.</w:t>
      </w:r>
    </w:p>
    <w:p w:rsidR="00933D3B" w:rsidRPr="007A50FE" w:rsidRDefault="00933D3B" w:rsidP="00933D3B">
      <w:pPr>
        <w:spacing w:before="240" w:after="240"/>
        <w:ind w:left="426" w:right="49"/>
        <w:jc w:val="both"/>
        <w:rPr>
          <w:rFonts w:ascii="Palatino Linotype" w:eastAsia="Palatino Linotype" w:hAnsi="Palatino Linotype" w:cs="Palatino Linotype"/>
        </w:rPr>
      </w:pPr>
      <w:r w:rsidRPr="007A50FE">
        <w:rPr>
          <w:rFonts w:ascii="Palatino Linotype" w:eastAsia="Palatino Linotype" w:hAnsi="Palatino Linotype" w:cs="Palatino Linotype"/>
          <w:b/>
        </w:rPr>
        <w:t>5000 BIENES MUEBLES, INMUEBLES E INTANGIBLES</w:t>
      </w:r>
      <w:r w:rsidRPr="007A50FE">
        <w:rPr>
          <w:rFonts w:ascii="Palatino Linotype" w:eastAsia="Palatino Linotype" w:hAnsi="Palatino Linotype" w:cs="Palatino Linotype"/>
        </w:rPr>
        <w:t xml:space="preserve">. Agrupa las asignaciones destinadas a la adquisición de toda clase de bienes muebles e inmuebles requeridos en el desempeño de las actividades de los entes públicos. Incluye los pagos por adjudicación, expropiación e indemnización de bienes muebles e inmuebles a favor del Gobierno. </w:t>
      </w:r>
    </w:p>
    <w:p w:rsidR="00933D3B" w:rsidRPr="007A50FE" w:rsidRDefault="00933D3B" w:rsidP="00933D3B">
      <w:pPr>
        <w:spacing w:before="240" w:after="240"/>
        <w:ind w:left="426" w:right="49"/>
        <w:jc w:val="both"/>
        <w:rPr>
          <w:rFonts w:ascii="Palatino Linotype" w:eastAsia="Palatino Linotype" w:hAnsi="Palatino Linotype" w:cs="Palatino Linotype"/>
        </w:rPr>
      </w:pPr>
      <w:r w:rsidRPr="007A50FE">
        <w:rPr>
          <w:rFonts w:ascii="Palatino Linotype" w:eastAsia="Palatino Linotype" w:hAnsi="Palatino Linotype" w:cs="Palatino Linotype"/>
          <w:b/>
        </w:rPr>
        <w:t>6000 INVERSIÓN PÚBLICA.</w:t>
      </w:r>
      <w:r w:rsidRPr="007A50FE">
        <w:rPr>
          <w:rFonts w:ascii="Palatino Linotype" w:eastAsia="Palatino Linotype" w:hAnsi="Palatino Linotype" w:cs="Palatino Linotype"/>
        </w:rPr>
        <w:t xml:space="preserve"> Asignaciones destinadas a obras por contrato y proyectos productivos y acciones de fomento. Incluye los gastos en estudios de pre‐inversión y preparación del proyecto. </w:t>
      </w:r>
    </w:p>
    <w:p w:rsidR="00933D3B" w:rsidRPr="007A50FE" w:rsidRDefault="00933D3B" w:rsidP="00933D3B">
      <w:pPr>
        <w:spacing w:before="240" w:after="240"/>
        <w:ind w:left="426" w:right="49"/>
        <w:jc w:val="both"/>
        <w:rPr>
          <w:rFonts w:ascii="Palatino Linotype" w:eastAsia="Palatino Linotype" w:hAnsi="Palatino Linotype" w:cs="Palatino Linotype"/>
        </w:rPr>
      </w:pPr>
      <w:r w:rsidRPr="007A50FE">
        <w:rPr>
          <w:rFonts w:ascii="Palatino Linotype" w:eastAsia="Palatino Linotype" w:hAnsi="Palatino Linotype" w:cs="Palatino Linotype"/>
          <w:b/>
        </w:rPr>
        <w:t>7000 INVERSIONES FINANCIERAS Y OTRAS PROVISIONES</w:t>
      </w:r>
      <w:r w:rsidRPr="007A50FE">
        <w:rPr>
          <w:rFonts w:ascii="Palatino Linotype" w:eastAsia="Palatino Linotype" w:hAnsi="Palatino Linotype" w:cs="Palatino Linotype"/>
        </w:rPr>
        <w:t xml:space="preserve">. Erogaciones que realiza la administración pública en la adquisición de acciones, bonos y otros títulos y valores; así como en préstamos otorgados a diversos agentes económicos. Se incluyen las aportaciones de capital a las entidades públicas; así como las erogaciones contingentes e imprevistas para el cumplimiento de obligaciones del Gobierno. </w:t>
      </w:r>
    </w:p>
    <w:p w:rsidR="00933D3B" w:rsidRPr="007A50FE" w:rsidRDefault="00933D3B" w:rsidP="00933D3B">
      <w:pPr>
        <w:spacing w:before="240" w:after="240"/>
        <w:ind w:left="426" w:right="49"/>
        <w:jc w:val="both"/>
        <w:rPr>
          <w:rFonts w:ascii="Palatino Linotype" w:eastAsia="Palatino Linotype" w:hAnsi="Palatino Linotype" w:cs="Palatino Linotype"/>
        </w:rPr>
      </w:pPr>
      <w:r w:rsidRPr="007A50FE">
        <w:rPr>
          <w:rFonts w:ascii="Palatino Linotype" w:eastAsia="Palatino Linotype" w:hAnsi="Palatino Linotype" w:cs="Palatino Linotype"/>
          <w:b/>
        </w:rPr>
        <w:t>8000 PARTICIPACIONES Y APORTACIONES.</w:t>
      </w:r>
      <w:r w:rsidRPr="007A50FE">
        <w:rPr>
          <w:rFonts w:ascii="Palatino Linotype" w:eastAsia="Palatino Linotype" w:hAnsi="Palatino Linotype" w:cs="Palatino Linotype"/>
        </w:rPr>
        <w:t xml:space="preserve"> Agrupa el importe de los recursos federales y estatales para cubrir las participaciones en ingresos federales a Municipios provenientes de la recaudación federal, así como las asignaciones destinadas a los Municipios de acuerdo a los convenios de coordinación fiscal que celebre el Gobierno Federal con el Estado. Incluye las asignaciones a cubrir las aportaciones federales provenientes del Ramo General 33 Aportaciones Federales para Entidades Federativas y Municipios a favor de los Municipios. </w:t>
      </w:r>
    </w:p>
    <w:p w:rsidR="00933D3B" w:rsidRPr="007A50FE" w:rsidRDefault="00933D3B" w:rsidP="00933D3B">
      <w:pPr>
        <w:spacing w:before="240" w:after="240"/>
        <w:ind w:left="426" w:right="49"/>
        <w:jc w:val="both"/>
        <w:rPr>
          <w:rFonts w:ascii="Palatino Linotype" w:eastAsia="Palatino Linotype" w:hAnsi="Palatino Linotype" w:cs="Palatino Linotype"/>
        </w:rPr>
      </w:pPr>
      <w:r w:rsidRPr="007A50FE">
        <w:rPr>
          <w:rFonts w:ascii="Palatino Linotype" w:eastAsia="Palatino Linotype" w:hAnsi="Palatino Linotype" w:cs="Palatino Linotype"/>
          <w:b/>
        </w:rPr>
        <w:t>9000 DEUDA PÚBLICA</w:t>
      </w:r>
      <w:r w:rsidRPr="007A50FE">
        <w:rPr>
          <w:rFonts w:ascii="Palatino Linotype" w:eastAsia="Palatino Linotype" w:hAnsi="Palatino Linotype" w:cs="Palatino Linotype"/>
        </w:rPr>
        <w:t xml:space="preserve">. Asignaciones destinadas a cubrir obligaciones por concepto de deuda pública interna y externa derivada de la contratación de empréstitos; incluye la amortización, los intereses, gastos y comisiones de la deuda pública, así como las erogaciones relacionadas con la emisión y/o </w:t>
      </w:r>
      <w:r w:rsidRPr="007A50FE">
        <w:rPr>
          <w:rFonts w:ascii="Palatino Linotype" w:eastAsia="Palatino Linotype" w:hAnsi="Palatino Linotype" w:cs="Palatino Linotype"/>
        </w:rPr>
        <w:lastRenderedPageBreak/>
        <w:t xml:space="preserve">contratación de deuda. Asimismo, incluye los adeudos de ejercicios fiscales anteriores (ADEFAS). </w:t>
      </w:r>
    </w:p>
    <w:p w:rsidR="00933D3B" w:rsidRPr="007A50FE" w:rsidRDefault="00933D3B" w:rsidP="00933D3B">
      <w:pPr>
        <w:spacing w:before="240" w:after="24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t xml:space="preserve">De la estructura de codificación, se derivan subcapítulos, partidas genéricas y </w:t>
      </w:r>
      <w:r w:rsidRPr="007A50FE">
        <w:rPr>
          <w:rFonts w:ascii="Palatino Linotype" w:eastAsia="Palatino Linotype" w:hAnsi="Palatino Linotype" w:cs="Palatino Linotype"/>
          <w:b/>
          <w:u w:val="single"/>
        </w:rPr>
        <w:t>partidas específicas</w:t>
      </w:r>
      <w:r w:rsidRPr="007A50FE">
        <w:rPr>
          <w:rFonts w:ascii="Palatino Linotype" w:eastAsia="Palatino Linotype" w:hAnsi="Palatino Linotype" w:cs="Palatino Linotype"/>
        </w:rPr>
        <w:t xml:space="preserve"> como se ejemplifica a continuación</w:t>
      </w:r>
      <w:r w:rsidR="00D6411E" w:rsidRPr="007A50FE">
        <w:rPr>
          <w:rFonts w:ascii="Palatino Linotype" w:eastAsia="Palatino Linotype" w:hAnsi="Palatino Linotype" w:cs="Palatino Linotype"/>
        </w:rPr>
        <w:t>, para mejor referencia</w:t>
      </w:r>
      <w:r w:rsidRPr="007A50FE">
        <w:rPr>
          <w:rFonts w:ascii="Palatino Linotype" w:eastAsia="Palatino Linotype" w:hAnsi="Palatino Linotype" w:cs="Palatino Linotype"/>
        </w:rPr>
        <w:t>:</w:t>
      </w:r>
    </w:p>
    <w:p w:rsidR="00933D3B" w:rsidRPr="007A50FE" w:rsidRDefault="00D6411E" w:rsidP="00026789">
      <w:pPr>
        <w:spacing w:before="240" w:after="240" w:line="360" w:lineRule="auto"/>
        <w:jc w:val="center"/>
        <w:rPr>
          <w:rFonts w:ascii="Palatino Linotype" w:eastAsia="Palatino Linotype" w:hAnsi="Palatino Linotype" w:cs="Palatino Linotype"/>
        </w:rPr>
      </w:pPr>
      <w:r w:rsidRPr="007A50FE">
        <w:rPr>
          <w:noProof/>
        </w:rPr>
        <w:drawing>
          <wp:inline distT="0" distB="0" distL="0" distR="0" wp14:anchorId="148BA3D9" wp14:editId="5CD7EBFC">
            <wp:extent cx="5220000" cy="288600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13318"/>
                    <a:stretch/>
                  </pic:blipFill>
                  <pic:spPr bwMode="auto">
                    <a:xfrm>
                      <a:off x="0" y="0"/>
                      <a:ext cx="5220000" cy="2886002"/>
                    </a:xfrm>
                    <a:prstGeom prst="rect">
                      <a:avLst/>
                    </a:prstGeom>
                    <a:ln>
                      <a:noFill/>
                    </a:ln>
                    <a:extLst>
                      <a:ext uri="{53640926-AAD7-44D8-BBD7-CCE9431645EC}">
                        <a14:shadowObscured xmlns:a14="http://schemas.microsoft.com/office/drawing/2010/main"/>
                      </a:ext>
                    </a:extLst>
                  </pic:spPr>
                </pic:pic>
              </a:graphicData>
            </a:graphic>
          </wp:inline>
        </w:drawing>
      </w:r>
    </w:p>
    <w:p w:rsidR="00D6411E" w:rsidRPr="007A50FE" w:rsidRDefault="00D6411E" w:rsidP="00026789">
      <w:pPr>
        <w:spacing w:before="240" w:after="240" w:line="360" w:lineRule="auto"/>
        <w:jc w:val="center"/>
        <w:rPr>
          <w:noProof/>
        </w:rPr>
      </w:pPr>
      <w:r w:rsidRPr="007A50FE">
        <w:rPr>
          <w:noProof/>
        </w:rPr>
        <w:drawing>
          <wp:inline distT="0" distB="0" distL="0" distR="0" wp14:anchorId="08D0C8F5" wp14:editId="0433DD5A">
            <wp:extent cx="5220000" cy="291960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 b="46875"/>
                    <a:stretch/>
                  </pic:blipFill>
                  <pic:spPr bwMode="auto">
                    <a:xfrm>
                      <a:off x="0" y="0"/>
                      <a:ext cx="5220000" cy="2919605"/>
                    </a:xfrm>
                    <a:prstGeom prst="rect">
                      <a:avLst/>
                    </a:prstGeom>
                    <a:ln>
                      <a:noFill/>
                    </a:ln>
                    <a:extLst>
                      <a:ext uri="{53640926-AAD7-44D8-BBD7-CCE9431645EC}">
                        <a14:shadowObscured xmlns:a14="http://schemas.microsoft.com/office/drawing/2010/main"/>
                      </a:ext>
                    </a:extLst>
                  </pic:spPr>
                </pic:pic>
              </a:graphicData>
            </a:graphic>
          </wp:inline>
        </w:drawing>
      </w:r>
    </w:p>
    <w:p w:rsidR="00236150" w:rsidRPr="007A50FE" w:rsidRDefault="00236150" w:rsidP="00026789">
      <w:pPr>
        <w:spacing w:before="240" w:after="240" w:line="360" w:lineRule="auto"/>
        <w:jc w:val="center"/>
        <w:rPr>
          <w:rFonts w:ascii="Palatino Linotype" w:eastAsia="Palatino Linotype" w:hAnsi="Palatino Linotype" w:cs="Palatino Linotype"/>
        </w:rPr>
      </w:pPr>
      <w:r w:rsidRPr="007A50FE">
        <w:rPr>
          <w:noProof/>
        </w:rPr>
        <w:lastRenderedPageBreak/>
        <w:drawing>
          <wp:inline distT="0" distB="0" distL="0" distR="0" wp14:anchorId="5870143F" wp14:editId="01C796E1">
            <wp:extent cx="5220000" cy="2170499"/>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42553"/>
                    <a:stretch/>
                  </pic:blipFill>
                  <pic:spPr bwMode="auto">
                    <a:xfrm>
                      <a:off x="0" y="0"/>
                      <a:ext cx="5220000" cy="2170499"/>
                    </a:xfrm>
                    <a:prstGeom prst="rect">
                      <a:avLst/>
                    </a:prstGeom>
                    <a:ln>
                      <a:noFill/>
                    </a:ln>
                    <a:extLst>
                      <a:ext uri="{53640926-AAD7-44D8-BBD7-CCE9431645EC}">
                        <a14:shadowObscured xmlns:a14="http://schemas.microsoft.com/office/drawing/2010/main"/>
                      </a:ext>
                    </a:extLst>
                  </pic:spPr>
                </pic:pic>
              </a:graphicData>
            </a:graphic>
          </wp:inline>
        </w:drawing>
      </w:r>
    </w:p>
    <w:p w:rsidR="00933D3B" w:rsidRPr="007A50FE" w:rsidRDefault="00933D3B" w:rsidP="00933D3B">
      <w:pPr>
        <w:spacing w:before="240" w:after="24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t>De las imágenes anteriores podemos advertir,</w:t>
      </w:r>
      <w:r w:rsidR="00D6411E" w:rsidRPr="007A50FE">
        <w:rPr>
          <w:rFonts w:ascii="Palatino Linotype" w:eastAsia="Palatino Linotype" w:hAnsi="Palatino Linotype" w:cs="Palatino Linotype"/>
        </w:rPr>
        <w:t xml:space="preserve"> </w:t>
      </w:r>
      <w:r w:rsidR="00D6411E" w:rsidRPr="007A50FE">
        <w:rPr>
          <w:rFonts w:ascii="Palatino Linotype" w:eastAsia="Palatino Linotype" w:hAnsi="Palatino Linotype" w:cs="Palatino Linotype"/>
          <w:b/>
          <w:u w:val="single"/>
        </w:rPr>
        <w:t>por ejemplo</w:t>
      </w:r>
      <w:r w:rsidR="00D6411E" w:rsidRPr="007A50FE">
        <w:rPr>
          <w:rFonts w:ascii="Palatino Linotype" w:eastAsia="Palatino Linotype" w:hAnsi="Palatino Linotype" w:cs="Palatino Linotype"/>
        </w:rPr>
        <w:t>, que la</w:t>
      </w:r>
      <w:r w:rsidRPr="007A50FE">
        <w:rPr>
          <w:rFonts w:ascii="Palatino Linotype" w:eastAsia="Palatino Linotype" w:hAnsi="Palatino Linotype" w:cs="Palatino Linotype"/>
        </w:rPr>
        <w:t xml:space="preserve"> erogación por concepto de</w:t>
      </w:r>
      <w:r w:rsidR="00D6411E" w:rsidRPr="007A50FE">
        <w:rPr>
          <w:rFonts w:ascii="Palatino Linotype" w:eastAsia="Palatino Linotype" w:hAnsi="Palatino Linotype" w:cs="Palatino Linotype"/>
        </w:rPr>
        <w:t xml:space="preserve"> </w:t>
      </w:r>
      <w:r w:rsidR="00D6411E" w:rsidRPr="007A50FE">
        <w:rPr>
          <w:rFonts w:ascii="Palatino Linotype" w:eastAsia="Palatino Linotype" w:hAnsi="Palatino Linotype" w:cs="Palatino Linotype"/>
          <w:i/>
        </w:rPr>
        <w:t>Sueldos base</w:t>
      </w:r>
      <w:r w:rsidR="00236150" w:rsidRPr="007A50FE">
        <w:rPr>
          <w:rFonts w:ascii="Palatino Linotype" w:eastAsia="Palatino Linotype" w:hAnsi="Palatino Linotype" w:cs="Palatino Linotype"/>
        </w:rPr>
        <w:t>, se encuentra contemplado</w:t>
      </w:r>
      <w:r w:rsidRPr="007A50FE">
        <w:rPr>
          <w:rFonts w:ascii="Palatino Linotype" w:eastAsia="Palatino Linotype" w:hAnsi="Palatino Linotype" w:cs="Palatino Linotype"/>
        </w:rPr>
        <w:t xml:space="preserve"> en la </w:t>
      </w:r>
      <w:r w:rsidRPr="007A50FE">
        <w:rPr>
          <w:rFonts w:ascii="Palatino Linotype" w:eastAsia="Palatino Linotype" w:hAnsi="Palatino Linotype" w:cs="Palatino Linotype"/>
          <w:b/>
        </w:rPr>
        <w:t>partida específica</w:t>
      </w:r>
      <w:r w:rsidR="00D6411E" w:rsidRPr="007A50FE">
        <w:rPr>
          <w:rFonts w:ascii="Palatino Linotype" w:eastAsia="Palatino Linotype" w:hAnsi="Palatino Linotype" w:cs="Palatino Linotype"/>
        </w:rPr>
        <w:t xml:space="preserve"> </w:t>
      </w:r>
      <w:r w:rsidR="00D6411E" w:rsidRPr="007A50FE">
        <w:rPr>
          <w:rFonts w:ascii="Palatino Linotype" w:eastAsia="Palatino Linotype" w:hAnsi="Palatino Linotype" w:cs="Palatino Linotype"/>
          <w:b/>
        </w:rPr>
        <w:t>1131</w:t>
      </w:r>
      <w:r w:rsidRPr="007A50FE">
        <w:rPr>
          <w:rFonts w:ascii="Palatino Linotype" w:eastAsia="Palatino Linotype" w:hAnsi="Palatino Linotype" w:cs="Palatino Linotype"/>
        </w:rPr>
        <w:t xml:space="preserve">, que pertenece a la partida genérica </w:t>
      </w:r>
      <w:r w:rsidR="00D6411E" w:rsidRPr="007A50FE">
        <w:rPr>
          <w:rFonts w:ascii="Palatino Linotype" w:eastAsia="Palatino Linotype" w:hAnsi="Palatino Linotype" w:cs="Palatino Linotype"/>
        </w:rPr>
        <w:t>1130</w:t>
      </w:r>
      <w:r w:rsidRPr="007A50FE">
        <w:rPr>
          <w:rFonts w:ascii="Palatino Linotype" w:eastAsia="Palatino Linotype" w:hAnsi="Palatino Linotype" w:cs="Palatino Linotype"/>
        </w:rPr>
        <w:t xml:space="preserve"> </w:t>
      </w:r>
      <w:r w:rsidR="00D6411E" w:rsidRPr="007A50FE">
        <w:rPr>
          <w:rFonts w:ascii="Palatino Linotype" w:eastAsia="Palatino Linotype" w:hAnsi="Palatino Linotype" w:cs="Palatino Linotype"/>
          <w:i/>
        </w:rPr>
        <w:t>Sueldos base al personal permanente</w:t>
      </w:r>
      <w:r w:rsidRPr="007A50FE">
        <w:rPr>
          <w:rFonts w:ascii="Palatino Linotype" w:eastAsia="Palatino Linotype" w:hAnsi="Palatino Linotype" w:cs="Palatino Linotype"/>
        </w:rPr>
        <w:t xml:space="preserve">, del subcapítulo </w:t>
      </w:r>
      <w:r w:rsidR="002C0FD6" w:rsidRPr="007A50FE">
        <w:rPr>
          <w:rFonts w:ascii="Palatino Linotype" w:eastAsia="Palatino Linotype" w:hAnsi="Palatino Linotype" w:cs="Palatino Linotype"/>
        </w:rPr>
        <w:t>1100</w:t>
      </w:r>
      <w:r w:rsidRPr="007A50FE">
        <w:rPr>
          <w:rFonts w:ascii="Palatino Linotype" w:eastAsia="Palatino Linotype" w:hAnsi="Palatino Linotype" w:cs="Palatino Linotype"/>
        </w:rPr>
        <w:t xml:space="preserve"> </w:t>
      </w:r>
      <w:r w:rsidR="002C0FD6" w:rsidRPr="007A50FE">
        <w:rPr>
          <w:rFonts w:ascii="Palatino Linotype" w:eastAsia="Palatino Linotype" w:hAnsi="Palatino Linotype" w:cs="Palatino Linotype"/>
          <w:i/>
        </w:rPr>
        <w:t>Remuneraciones al Personal de Carácter Permanente</w:t>
      </w:r>
      <w:r w:rsidRPr="007A50FE">
        <w:rPr>
          <w:rFonts w:ascii="Palatino Linotype" w:eastAsia="Palatino Linotype" w:hAnsi="Palatino Linotype" w:cs="Palatino Linotype"/>
        </w:rPr>
        <w:t xml:space="preserve">, del capítulo </w:t>
      </w:r>
      <w:r w:rsidR="002C0FD6" w:rsidRPr="007A50FE">
        <w:rPr>
          <w:rFonts w:ascii="Palatino Linotype" w:eastAsia="Palatino Linotype" w:hAnsi="Palatino Linotype" w:cs="Palatino Linotype"/>
        </w:rPr>
        <w:t>1</w:t>
      </w:r>
      <w:r w:rsidRPr="007A50FE">
        <w:rPr>
          <w:rFonts w:ascii="Palatino Linotype" w:eastAsia="Palatino Linotype" w:hAnsi="Palatino Linotype" w:cs="Palatino Linotype"/>
        </w:rPr>
        <w:t xml:space="preserve">000 </w:t>
      </w:r>
      <w:r w:rsidR="002C0FD6" w:rsidRPr="007A50FE">
        <w:rPr>
          <w:rFonts w:ascii="Palatino Linotype" w:eastAsia="Palatino Linotype" w:hAnsi="Palatino Linotype" w:cs="Palatino Linotype"/>
          <w:i/>
        </w:rPr>
        <w:t>Servicios Personales</w:t>
      </w:r>
      <w:r w:rsidRPr="007A50FE">
        <w:rPr>
          <w:rFonts w:ascii="Palatino Linotype" w:eastAsia="Palatino Linotype" w:hAnsi="Palatino Linotype" w:cs="Palatino Linotype"/>
        </w:rPr>
        <w:t>.</w:t>
      </w:r>
    </w:p>
    <w:p w:rsidR="00236150" w:rsidRPr="007A50FE" w:rsidRDefault="00236150" w:rsidP="00933D3B">
      <w:pPr>
        <w:spacing w:before="240" w:after="24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t xml:space="preserve">Asimismo, que la erogación por concepto de </w:t>
      </w:r>
      <w:r w:rsidRPr="007A50FE">
        <w:rPr>
          <w:rFonts w:ascii="Palatino Linotype" w:eastAsia="Palatino Linotype" w:hAnsi="Palatino Linotype" w:cs="Palatino Linotype"/>
          <w:i/>
        </w:rPr>
        <w:t>Asignaciones presupuestarias al Poder Ejecutivo</w:t>
      </w:r>
      <w:r w:rsidRPr="007A50FE">
        <w:rPr>
          <w:rFonts w:ascii="Palatino Linotype" w:eastAsia="Palatino Linotype" w:hAnsi="Palatino Linotype" w:cs="Palatino Linotype"/>
        </w:rPr>
        <w:t xml:space="preserve">, se encuentra contemplado en la </w:t>
      </w:r>
      <w:r w:rsidRPr="007A50FE">
        <w:rPr>
          <w:rFonts w:ascii="Palatino Linotype" w:eastAsia="Palatino Linotype" w:hAnsi="Palatino Linotype" w:cs="Palatino Linotype"/>
          <w:b/>
        </w:rPr>
        <w:t>partida específica 4111</w:t>
      </w:r>
      <w:r w:rsidRPr="007A50FE">
        <w:rPr>
          <w:rFonts w:ascii="Palatino Linotype" w:eastAsia="Palatino Linotype" w:hAnsi="Palatino Linotype" w:cs="Palatino Linotype"/>
        </w:rPr>
        <w:t xml:space="preserve">, que pertenece a la partida genérica 4110 </w:t>
      </w:r>
      <w:r w:rsidRPr="007A50FE">
        <w:rPr>
          <w:rFonts w:ascii="Palatino Linotype" w:eastAsia="Palatino Linotype" w:hAnsi="Palatino Linotype" w:cs="Palatino Linotype"/>
          <w:i/>
        </w:rPr>
        <w:t>Asignaciones presupuestarias al Poder Ejecutivo</w:t>
      </w:r>
      <w:r w:rsidRPr="007A50FE">
        <w:rPr>
          <w:rFonts w:ascii="Palatino Linotype" w:eastAsia="Palatino Linotype" w:hAnsi="Palatino Linotype" w:cs="Palatino Linotype"/>
        </w:rPr>
        <w:t xml:space="preserve">, del subcapítulo 4100 </w:t>
      </w:r>
      <w:r w:rsidRPr="007A50FE">
        <w:rPr>
          <w:rFonts w:ascii="Palatino Linotype" w:eastAsia="Palatino Linotype" w:hAnsi="Palatino Linotype" w:cs="Palatino Linotype"/>
          <w:i/>
        </w:rPr>
        <w:t>Transferencias internas y asignaciones al sector público</w:t>
      </w:r>
      <w:r w:rsidRPr="007A50FE">
        <w:rPr>
          <w:rFonts w:ascii="Palatino Linotype" w:eastAsia="Palatino Linotype" w:hAnsi="Palatino Linotype" w:cs="Palatino Linotype"/>
        </w:rPr>
        <w:t xml:space="preserve">, del capítulo 4000 </w:t>
      </w:r>
      <w:r w:rsidRPr="007A50FE">
        <w:rPr>
          <w:rFonts w:ascii="Palatino Linotype" w:eastAsia="Palatino Linotype" w:hAnsi="Palatino Linotype" w:cs="Palatino Linotype"/>
          <w:i/>
        </w:rPr>
        <w:t>Transferencias, Asignaciones, Subsidios y Otras Ayudas.</w:t>
      </w:r>
    </w:p>
    <w:p w:rsidR="002C0FD6" w:rsidRPr="007A50FE" w:rsidRDefault="007B3A5E">
      <w:pPr>
        <w:spacing w:before="240" w:after="240" w:line="360" w:lineRule="auto"/>
        <w:ind w:right="49"/>
        <w:jc w:val="both"/>
        <w:rPr>
          <w:rFonts w:ascii="Palatino Linotype" w:eastAsia="Palatino Linotype" w:hAnsi="Palatino Linotype" w:cs="Palatino Linotype"/>
        </w:rPr>
      </w:pPr>
      <w:r w:rsidRPr="007A50FE">
        <w:rPr>
          <w:rFonts w:ascii="Palatino Linotype" w:eastAsia="Palatino Linotype" w:hAnsi="Palatino Linotype" w:cs="Palatino Linotype"/>
        </w:rPr>
        <w:t xml:space="preserve">Atento a lo anterior, se procedió al análisis del documento remitido por el </w:t>
      </w:r>
      <w:r w:rsidRPr="007A50FE">
        <w:rPr>
          <w:rFonts w:ascii="Palatino Linotype" w:eastAsia="Palatino Linotype" w:hAnsi="Palatino Linotype" w:cs="Palatino Linotype"/>
          <w:b/>
        </w:rPr>
        <w:t xml:space="preserve">Sujeto Obligado, </w:t>
      </w:r>
      <w:r w:rsidRPr="007A50FE">
        <w:rPr>
          <w:rFonts w:ascii="Palatino Linotype" w:eastAsia="Palatino Linotype" w:hAnsi="Palatino Linotype" w:cs="Palatino Linotype"/>
        </w:rPr>
        <w:t xml:space="preserve">en atención a la solicitud, </w:t>
      </w:r>
      <w:r w:rsidR="00421266" w:rsidRPr="007A50FE">
        <w:rPr>
          <w:rFonts w:ascii="Palatino Linotype" w:eastAsia="Palatino Linotype" w:hAnsi="Palatino Linotype" w:cs="Palatino Linotype"/>
        </w:rPr>
        <w:t xml:space="preserve">advirtiendo que el mismo, contiene información del capítulo, subcapítulo, partida genérica y </w:t>
      </w:r>
      <w:r w:rsidR="00421266" w:rsidRPr="007A50FE">
        <w:rPr>
          <w:rFonts w:ascii="Palatino Linotype" w:eastAsia="Palatino Linotype" w:hAnsi="Palatino Linotype" w:cs="Palatino Linotype"/>
          <w:b/>
        </w:rPr>
        <w:t>partida específica</w:t>
      </w:r>
      <w:r w:rsidR="00421266" w:rsidRPr="007A50FE">
        <w:rPr>
          <w:rFonts w:ascii="Palatino Linotype" w:eastAsia="Palatino Linotype" w:hAnsi="Palatino Linotype" w:cs="Palatino Linotype"/>
        </w:rPr>
        <w:t xml:space="preserve"> de las erogaciones efectuadas</w:t>
      </w:r>
      <w:r w:rsidR="008516DC" w:rsidRPr="007A50FE">
        <w:rPr>
          <w:rFonts w:ascii="Palatino Linotype" w:eastAsia="Palatino Linotype" w:hAnsi="Palatino Linotype" w:cs="Palatino Linotype"/>
        </w:rPr>
        <w:t xml:space="preserve"> del uno de enero al treinta y uno de marzo </w:t>
      </w:r>
      <w:r w:rsidR="00421266" w:rsidRPr="007A50FE">
        <w:rPr>
          <w:rFonts w:ascii="Palatino Linotype" w:eastAsia="Palatino Linotype" w:hAnsi="Palatino Linotype" w:cs="Palatino Linotype"/>
        </w:rPr>
        <w:t xml:space="preserve">de 2019, como se </w:t>
      </w:r>
      <w:r w:rsidR="00421266" w:rsidRPr="007A50FE">
        <w:rPr>
          <w:rFonts w:ascii="Palatino Linotype" w:eastAsia="Palatino Linotype" w:hAnsi="Palatino Linotype" w:cs="Palatino Linotype"/>
        </w:rPr>
        <w:lastRenderedPageBreak/>
        <w:t>muestra a continuación con los mismos ejemplos desglosados en líneas anteriores</w:t>
      </w:r>
      <w:r w:rsidR="00483761" w:rsidRPr="007A50FE">
        <w:rPr>
          <w:rFonts w:ascii="Palatino Linotype" w:eastAsia="Palatino Linotype" w:hAnsi="Palatino Linotype" w:cs="Palatino Linotype"/>
        </w:rPr>
        <w:t xml:space="preserve">, </w:t>
      </w:r>
      <w:r w:rsidR="0079111D" w:rsidRPr="007A50FE">
        <w:rPr>
          <w:noProof/>
        </w:rPr>
        <mc:AlternateContent>
          <mc:Choice Requires="wps">
            <w:drawing>
              <wp:anchor distT="0" distB="0" distL="114300" distR="114300" simplePos="0" relativeHeight="251679744" behindDoc="0" locked="0" layoutInCell="1" allowOverlap="1" wp14:anchorId="0E100093" wp14:editId="16F2BCD5">
                <wp:simplePos x="0" y="0"/>
                <wp:positionH relativeFrom="column">
                  <wp:posOffset>4072890</wp:posOffset>
                </wp:positionH>
                <wp:positionV relativeFrom="paragraph">
                  <wp:posOffset>750570</wp:posOffset>
                </wp:positionV>
                <wp:extent cx="200025" cy="92710"/>
                <wp:effectExtent l="38100" t="38100" r="85725" b="97790"/>
                <wp:wrapNone/>
                <wp:docPr id="4" name="Conector recto de flecha 4"/>
                <wp:cNvGraphicFramePr/>
                <a:graphic xmlns:a="http://schemas.openxmlformats.org/drawingml/2006/main">
                  <a:graphicData uri="http://schemas.microsoft.com/office/word/2010/wordprocessingShape">
                    <wps:wsp>
                      <wps:cNvCnPr/>
                      <wps:spPr>
                        <a:xfrm>
                          <a:off x="0" y="0"/>
                          <a:ext cx="200025" cy="92710"/>
                        </a:xfrm>
                        <a:prstGeom prst="straightConnector1">
                          <a:avLst/>
                        </a:prstGeom>
                        <a:ln>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3D007A8" id="_x0000_t32" coordsize="21600,21600" o:spt="32" o:oned="t" path="m,l21600,21600e" filled="f">
                <v:path arrowok="t" fillok="f" o:connecttype="none"/>
                <o:lock v:ext="edit" shapetype="t"/>
              </v:shapetype>
              <v:shape id="Conector recto de flecha 4" o:spid="_x0000_s1026" type="#_x0000_t32" style="position:absolute;margin-left:320.7pt;margin-top:59.1pt;width:15.75pt;height:7.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" strokecolor="#c00000" strokeweight="2pt">
                <v:stroke endarrow="block"/>
                <v:shadow on="t" color="black" opacity="24903f" origin=",.5" offset="0,.55556mm"/>
              </v:shape>
            </w:pict>
          </mc:Fallback>
        </mc:AlternateContent>
      </w:r>
      <w:r w:rsidR="00483761" w:rsidRPr="007A50FE">
        <w:rPr>
          <w:rFonts w:ascii="Palatino Linotype" w:eastAsia="Palatino Linotype" w:hAnsi="Palatino Linotype" w:cs="Palatino Linotype"/>
        </w:rPr>
        <w:t>para un mejor entendimiento</w:t>
      </w:r>
      <w:r w:rsidR="00421266" w:rsidRPr="007A50FE">
        <w:rPr>
          <w:rFonts w:ascii="Palatino Linotype" w:eastAsia="Palatino Linotype" w:hAnsi="Palatino Linotype" w:cs="Palatino Linotype"/>
        </w:rPr>
        <w:t>:</w:t>
      </w:r>
    </w:p>
    <w:p w:rsidR="00421266" w:rsidRPr="007A50FE" w:rsidRDefault="00422D28">
      <w:pPr>
        <w:spacing w:before="240" w:after="240" w:line="360" w:lineRule="auto"/>
        <w:ind w:right="49"/>
        <w:jc w:val="both"/>
        <w:rPr>
          <w:rFonts w:ascii="Palatino Linotype" w:eastAsia="Palatino Linotype" w:hAnsi="Palatino Linotype" w:cs="Palatino Linotype"/>
        </w:rPr>
      </w:pPr>
      <w:r w:rsidRPr="007A50FE">
        <w:rPr>
          <w:noProof/>
        </w:rPr>
        <mc:AlternateContent>
          <mc:Choice Requires="wps">
            <w:drawing>
              <wp:anchor distT="0" distB="0" distL="114300" distR="114300" simplePos="0" relativeHeight="251669504" behindDoc="0" locked="0" layoutInCell="1" allowOverlap="1">
                <wp:simplePos x="0" y="0"/>
                <wp:positionH relativeFrom="column">
                  <wp:posOffset>-58420</wp:posOffset>
                </wp:positionH>
                <wp:positionV relativeFrom="paragraph">
                  <wp:posOffset>712470</wp:posOffset>
                </wp:positionV>
                <wp:extent cx="106680" cy="555625"/>
                <wp:effectExtent l="57150" t="38100" r="64770" b="92075"/>
                <wp:wrapNone/>
                <wp:docPr id="10" name="Abrir llave 10"/>
                <wp:cNvGraphicFramePr/>
                <a:graphic xmlns:a="http://schemas.openxmlformats.org/drawingml/2006/main">
                  <a:graphicData uri="http://schemas.microsoft.com/office/word/2010/wordprocessingShape">
                    <wps:wsp>
                      <wps:cNvSpPr/>
                      <wps:spPr>
                        <a:xfrm>
                          <a:off x="0" y="0"/>
                          <a:ext cx="106680" cy="555625"/>
                        </a:xfrm>
                        <a:prstGeom prst="leftBrac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AD55FA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0" o:spid="_x0000_s1026" type="#_x0000_t87" style="position:absolute;margin-left:-4.6pt;margin-top:56.1pt;width:8.4pt;height:43.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" adj="346" strokecolor="#c00000" strokeweight="2pt">
                <v:shadow on="t" color="black" opacity="24903f" origin=",.5" offset="0,.55556mm"/>
              </v:shape>
            </w:pict>
          </mc:Fallback>
        </mc:AlternateContent>
      </w:r>
      <w:r w:rsidRPr="007A50FE">
        <w:rPr>
          <w:noProof/>
        </w:rPr>
        <mc:AlternateContent>
          <mc:Choice Requires="wps">
            <w:drawing>
              <wp:anchor distT="0" distB="0" distL="114300" distR="114300" simplePos="0" relativeHeight="251671552" behindDoc="0" locked="0" layoutInCell="1" allowOverlap="1" wp14:anchorId="7AC85D66" wp14:editId="73B3FC3A">
                <wp:simplePos x="0" y="0"/>
                <wp:positionH relativeFrom="column">
                  <wp:posOffset>-80010</wp:posOffset>
                </wp:positionH>
                <wp:positionV relativeFrom="paragraph">
                  <wp:posOffset>1333500</wp:posOffset>
                </wp:positionV>
                <wp:extent cx="132715" cy="508635"/>
                <wp:effectExtent l="57150" t="38100" r="57785" b="100965"/>
                <wp:wrapNone/>
                <wp:docPr id="11" name="Abrir llave 11"/>
                <wp:cNvGraphicFramePr/>
                <a:graphic xmlns:a="http://schemas.openxmlformats.org/drawingml/2006/main">
                  <a:graphicData uri="http://schemas.microsoft.com/office/word/2010/wordprocessingShape">
                    <wps:wsp>
                      <wps:cNvSpPr/>
                      <wps:spPr>
                        <a:xfrm>
                          <a:off x="0" y="0"/>
                          <a:ext cx="132715" cy="508635"/>
                        </a:xfrm>
                        <a:prstGeom prst="leftBrac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4F735" id="Abrir llave 11" o:spid="_x0000_s1026" type="#_x0000_t87" style="position:absolute;margin-left:-6.3pt;margin-top:105pt;width:10.45pt;height:4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" adj="470" strokecolor="#c00000" strokeweight="2pt">
                <v:shadow on="t" color="black" opacity="24903f" origin=",.5" offset="0,.55556mm"/>
              </v:shape>
            </w:pict>
          </mc:Fallback>
        </mc:AlternateContent>
      </w:r>
      <w:r w:rsidR="00421266" w:rsidRPr="007A50FE">
        <w:rPr>
          <w:noProof/>
        </w:rPr>
        <mc:AlternateContent>
          <mc:Choice Requires="wps">
            <w:drawing>
              <wp:anchor distT="0" distB="0" distL="114300" distR="114300" simplePos="0" relativeHeight="251677696" behindDoc="0" locked="0" layoutInCell="1" allowOverlap="1" wp14:anchorId="21571EED" wp14:editId="264A3374">
                <wp:simplePos x="0" y="0"/>
                <wp:positionH relativeFrom="column">
                  <wp:posOffset>4465673</wp:posOffset>
                </wp:positionH>
                <wp:positionV relativeFrom="paragraph">
                  <wp:posOffset>492298</wp:posOffset>
                </wp:positionV>
                <wp:extent cx="138761" cy="102628"/>
                <wp:effectExtent l="57150" t="19050" r="71120" b="88265"/>
                <wp:wrapNone/>
                <wp:docPr id="16" name="Conector recto de flecha 16"/>
                <wp:cNvGraphicFramePr/>
                <a:graphic xmlns:a="http://schemas.openxmlformats.org/drawingml/2006/main">
                  <a:graphicData uri="http://schemas.microsoft.com/office/word/2010/wordprocessingShape">
                    <wps:wsp>
                      <wps:cNvCnPr/>
                      <wps:spPr>
                        <a:xfrm flipH="1">
                          <a:off x="0" y="0"/>
                          <a:ext cx="138761" cy="102628"/>
                        </a:xfrm>
                        <a:prstGeom prst="straightConnector1">
                          <a:avLst/>
                        </a:prstGeom>
                        <a:ln>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685AE7" id="_x0000_t32" coordsize="21600,21600" o:spt="32" o:oned="t" path="m,l21600,21600e" filled="f">
                <v:path arrowok="t" fillok="f" o:connecttype="none"/>
                <o:lock v:ext="edit" shapetype="t"/>
              </v:shapetype>
              <v:shape id="Conector recto de flecha 16" o:spid="_x0000_s1026" type="#_x0000_t32" style="position:absolute;margin-left:351.65pt;margin-top:38.75pt;width:10.95pt;height:8.1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" strokecolor="#c00000" strokeweight="2pt">
                <v:stroke endarrow="block"/>
                <v:shadow on="t" color="black" opacity="24903f" origin=",.5" offset="0,.55556mm"/>
              </v:shape>
            </w:pict>
          </mc:Fallback>
        </mc:AlternateContent>
      </w:r>
      <w:r w:rsidR="00421266" w:rsidRPr="007A50FE">
        <w:rPr>
          <w:noProof/>
        </w:rPr>
        <mc:AlternateContent>
          <mc:Choice Requires="wps">
            <w:drawing>
              <wp:anchor distT="0" distB="0" distL="114300" distR="114300" simplePos="0" relativeHeight="251675648" behindDoc="0" locked="0" layoutInCell="1" allowOverlap="1">
                <wp:simplePos x="0" y="0"/>
                <wp:positionH relativeFrom="column">
                  <wp:posOffset>3449168</wp:posOffset>
                </wp:positionH>
                <wp:positionV relativeFrom="paragraph">
                  <wp:posOffset>486128</wp:posOffset>
                </wp:positionV>
                <wp:extent cx="138761" cy="102628"/>
                <wp:effectExtent l="57150" t="19050" r="71120" b="88265"/>
                <wp:wrapNone/>
                <wp:docPr id="15" name="Conector recto de flecha 15"/>
                <wp:cNvGraphicFramePr/>
                <a:graphic xmlns:a="http://schemas.openxmlformats.org/drawingml/2006/main">
                  <a:graphicData uri="http://schemas.microsoft.com/office/word/2010/wordprocessingShape">
                    <wps:wsp>
                      <wps:cNvCnPr/>
                      <wps:spPr>
                        <a:xfrm flipH="1">
                          <a:off x="0" y="0"/>
                          <a:ext cx="138761" cy="102628"/>
                        </a:xfrm>
                        <a:prstGeom prst="straightConnector1">
                          <a:avLst/>
                        </a:prstGeom>
                        <a:ln>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F70CAD" id="Conector recto de flecha 15" o:spid="_x0000_s1026" type="#_x0000_t32" style="position:absolute;margin-left:271.6pt;margin-top:38.3pt;width:10.95pt;height:8.1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" strokecolor="#c00000" strokeweight="2pt">
                <v:stroke endarrow="block"/>
                <v:shadow on="t" color="black" opacity="24903f" origin=",.5" offset="0,.55556mm"/>
              </v:shape>
            </w:pict>
          </mc:Fallback>
        </mc:AlternateContent>
      </w:r>
      <w:r w:rsidR="00421266" w:rsidRPr="007A50FE">
        <w:rPr>
          <w:noProof/>
        </w:rPr>
        <mc:AlternateContent>
          <mc:Choice Requires="wps">
            <w:drawing>
              <wp:anchor distT="0" distB="0" distL="114300" distR="114300" simplePos="0" relativeHeight="251674624" behindDoc="0" locked="0" layoutInCell="1" allowOverlap="1" wp14:anchorId="7A5EDF48" wp14:editId="24A8D05C">
                <wp:simplePos x="0" y="0"/>
                <wp:positionH relativeFrom="column">
                  <wp:posOffset>1416749</wp:posOffset>
                </wp:positionH>
                <wp:positionV relativeFrom="paragraph">
                  <wp:posOffset>1780637</wp:posOffset>
                </wp:positionV>
                <wp:extent cx="177899" cy="0"/>
                <wp:effectExtent l="57150" t="76200" r="0" b="133350"/>
                <wp:wrapNone/>
                <wp:docPr id="14" name="Conector recto de flecha 14"/>
                <wp:cNvGraphicFramePr/>
                <a:graphic xmlns:a="http://schemas.openxmlformats.org/drawingml/2006/main">
                  <a:graphicData uri="http://schemas.microsoft.com/office/word/2010/wordprocessingShape">
                    <wps:wsp>
                      <wps:cNvCnPr/>
                      <wps:spPr>
                        <a:xfrm flipH="1">
                          <a:off x="0" y="0"/>
                          <a:ext cx="177899" cy="0"/>
                        </a:xfrm>
                        <a:prstGeom prst="straightConnector1">
                          <a:avLst/>
                        </a:prstGeom>
                        <a:ln>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610192E" id="Conector recto de flecha 14" o:spid="_x0000_s1026" type="#_x0000_t32" style="position:absolute;margin-left:111.55pt;margin-top:140.2pt;width:14pt;height:0;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" strokecolor="#c00000" strokeweight="2pt">
                <v:stroke endarrow="block"/>
                <v:shadow on="t" color="black" opacity="24903f" origin=",.5" offset="0,.55556mm"/>
              </v:shape>
            </w:pict>
          </mc:Fallback>
        </mc:AlternateContent>
      </w:r>
      <w:r w:rsidR="00421266" w:rsidRPr="007A50FE">
        <w:rPr>
          <w:noProof/>
        </w:rPr>
        <mc:AlternateContent>
          <mc:Choice Requires="wps">
            <w:drawing>
              <wp:anchor distT="0" distB="0" distL="114300" distR="114300" simplePos="0" relativeHeight="251672576" behindDoc="0" locked="0" layoutInCell="1" allowOverlap="1">
                <wp:simplePos x="0" y="0"/>
                <wp:positionH relativeFrom="column">
                  <wp:posOffset>691737</wp:posOffset>
                </wp:positionH>
                <wp:positionV relativeFrom="paragraph">
                  <wp:posOffset>1229745</wp:posOffset>
                </wp:positionV>
                <wp:extent cx="177899" cy="0"/>
                <wp:effectExtent l="57150" t="76200" r="0" b="133350"/>
                <wp:wrapNone/>
                <wp:docPr id="13" name="Conector recto de flecha 13"/>
                <wp:cNvGraphicFramePr/>
                <a:graphic xmlns:a="http://schemas.openxmlformats.org/drawingml/2006/main">
                  <a:graphicData uri="http://schemas.microsoft.com/office/word/2010/wordprocessingShape">
                    <wps:wsp>
                      <wps:cNvCnPr/>
                      <wps:spPr>
                        <a:xfrm flipH="1">
                          <a:off x="0" y="0"/>
                          <a:ext cx="177899" cy="0"/>
                        </a:xfrm>
                        <a:prstGeom prst="straightConnector1">
                          <a:avLst/>
                        </a:prstGeom>
                        <a:ln>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054B297" id="Conector recto de flecha 13" o:spid="_x0000_s1026" type="#_x0000_t32" style="position:absolute;margin-left:54.45pt;margin-top:96.85pt;width:14pt;height: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" strokecolor="#c00000" strokeweight="2pt">
                <v:stroke endarrow="block"/>
                <v:shadow on="t" color="black" opacity="24903f" origin=",.5" offset="0,.55556mm"/>
              </v:shape>
            </w:pict>
          </mc:Fallback>
        </mc:AlternateContent>
      </w:r>
      <w:r w:rsidR="00421266" w:rsidRPr="007A50FE">
        <w:rPr>
          <w:noProof/>
        </w:rPr>
        <w:drawing>
          <wp:inline distT="0" distB="0" distL="0" distR="0" wp14:anchorId="010E8F24" wp14:editId="794D0127">
            <wp:extent cx="5612130" cy="1273810"/>
            <wp:effectExtent l="0" t="0" r="762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1273810"/>
                    </a:xfrm>
                    <a:prstGeom prst="rect">
                      <a:avLst/>
                    </a:prstGeom>
                  </pic:spPr>
                </pic:pic>
              </a:graphicData>
            </a:graphic>
          </wp:inline>
        </w:drawing>
      </w:r>
      <w:r w:rsidR="00421266" w:rsidRPr="007A50FE">
        <w:rPr>
          <w:noProof/>
        </w:rPr>
        <w:drawing>
          <wp:inline distT="0" distB="0" distL="0" distR="0" wp14:anchorId="0DD43E4C" wp14:editId="333674F5">
            <wp:extent cx="5612130" cy="46355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463550"/>
                    </a:xfrm>
                    <a:prstGeom prst="rect">
                      <a:avLst/>
                    </a:prstGeom>
                  </pic:spPr>
                </pic:pic>
              </a:graphicData>
            </a:graphic>
          </wp:inline>
        </w:drawing>
      </w:r>
    </w:p>
    <w:p w:rsidR="00421266" w:rsidRPr="007A50FE" w:rsidRDefault="00421266">
      <w:pPr>
        <w:spacing w:before="240" w:after="240" w:line="360" w:lineRule="auto"/>
        <w:ind w:right="49"/>
        <w:jc w:val="both"/>
        <w:rPr>
          <w:rFonts w:ascii="Palatino Linotype" w:eastAsia="Palatino Linotype" w:hAnsi="Palatino Linotype" w:cs="Palatino Linotype"/>
        </w:rPr>
      </w:pPr>
      <w:r w:rsidRPr="007A50FE">
        <w:rPr>
          <w:rFonts w:ascii="Palatino Linotype" w:eastAsia="Palatino Linotype" w:hAnsi="Palatino Linotype" w:cs="Palatino Linotype"/>
        </w:rPr>
        <w:t>En este tenor,</w:t>
      </w:r>
      <w:r w:rsidR="003C50B6" w:rsidRPr="007A50FE">
        <w:rPr>
          <w:rFonts w:ascii="Palatino Linotype" w:eastAsia="Palatino Linotype" w:hAnsi="Palatino Linotype" w:cs="Palatino Linotype"/>
        </w:rPr>
        <w:t xml:space="preserve"> es claro que el documento proporcionado por el </w:t>
      </w:r>
      <w:r w:rsidR="003C50B6" w:rsidRPr="007A50FE">
        <w:rPr>
          <w:rFonts w:ascii="Palatino Linotype" w:eastAsia="Palatino Linotype" w:hAnsi="Palatino Linotype" w:cs="Palatino Linotype"/>
          <w:b/>
        </w:rPr>
        <w:t xml:space="preserve">Sujeto Obligado </w:t>
      </w:r>
      <w:r w:rsidR="003C50B6" w:rsidRPr="007A50FE">
        <w:rPr>
          <w:rFonts w:ascii="Palatino Linotype" w:eastAsia="Palatino Linotype" w:hAnsi="Palatino Linotype" w:cs="Palatino Linotype"/>
        </w:rPr>
        <w:t>contiene la información que es del interés de la persona solicitante, en virtud de que da cuenta del presupuesto ejercido al primer trimestre del ejercicio 2019, y contiene la partida específica de conformidad con el Clasificador por Objeto de Gasto vi</w:t>
      </w:r>
      <w:r w:rsidR="00483761" w:rsidRPr="007A50FE">
        <w:rPr>
          <w:rFonts w:ascii="Palatino Linotype" w:eastAsia="Palatino Linotype" w:hAnsi="Palatino Linotype" w:cs="Palatino Linotype"/>
        </w:rPr>
        <w:t>gente en dicho ejercicio fiscal</w:t>
      </w:r>
      <w:r w:rsidR="008516DC" w:rsidRPr="007A50FE">
        <w:rPr>
          <w:rFonts w:ascii="Palatino Linotype" w:eastAsia="Palatino Linotype" w:hAnsi="Palatino Linotype" w:cs="Palatino Linotype"/>
        </w:rPr>
        <w:t>.</w:t>
      </w:r>
    </w:p>
    <w:p w:rsidR="00223418" w:rsidRPr="007A50FE" w:rsidRDefault="00483761" w:rsidP="007363E9">
      <w:pPr>
        <w:spacing w:before="240" w:after="240" w:line="360" w:lineRule="auto"/>
        <w:ind w:right="49"/>
        <w:jc w:val="both"/>
        <w:rPr>
          <w:rFonts w:ascii="Palatino Linotype" w:eastAsia="Palatino Linotype" w:hAnsi="Palatino Linotype" w:cs="Palatino Linotype"/>
        </w:rPr>
      </w:pPr>
      <w:r w:rsidRPr="007A50FE">
        <w:rPr>
          <w:rFonts w:ascii="Palatino Linotype" w:eastAsia="Palatino Linotype" w:hAnsi="Palatino Linotype" w:cs="Palatino Linotype"/>
        </w:rPr>
        <w:t xml:space="preserve">Bajo tales consideraciones, </w:t>
      </w:r>
      <w:r w:rsidR="007363E9" w:rsidRPr="007A50FE">
        <w:rPr>
          <w:rFonts w:ascii="Palatino Linotype" w:eastAsia="Palatino Linotype" w:hAnsi="Palatino Linotype" w:cs="Palatino Linotype"/>
        </w:rPr>
        <w:t xml:space="preserve">toda vez que </w:t>
      </w:r>
      <w:r w:rsidR="00F145AE" w:rsidRPr="007A50FE">
        <w:rPr>
          <w:rFonts w:ascii="Palatino Linotype" w:eastAsia="Palatino Linotype" w:hAnsi="Palatino Linotype" w:cs="Palatino Linotype"/>
        </w:rPr>
        <w:t xml:space="preserve">la información fue proporcionada por la Tesorería Municipal, que de conformidad con los artículos artículo 93 y 95, fracciones I y IV de la Ley Orgánica Municipal del Estado de México, es el órgano de la administración pública municipal autorizado para la recaudación de los impuestos, derechos municipales y demás contribuciones de los particulares, así mismo es </w:t>
      </w:r>
      <w:r w:rsidR="00F145AE" w:rsidRPr="007A50FE">
        <w:rPr>
          <w:rFonts w:ascii="Palatino Linotype" w:eastAsia="Palatino Linotype" w:hAnsi="Palatino Linotype" w:cs="Palatino Linotype"/>
          <w:b/>
        </w:rPr>
        <w:t>responsable de efectuar las erogaciones</w:t>
      </w:r>
      <w:r w:rsidR="00F145AE" w:rsidRPr="007A50FE">
        <w:rPr>
          <w:rFonts w:ascii="Palatino Linotype" w:eastAsia="Palatino Linotype" w:hAnsi="Palatino Linotype" w:cs="Palatino Linotype"/>
        </w:rPr>
        <w:t xml:space="preserve"> que realice con cargo al presupuesto aprobado por el Ayuntamiento</w:t>
      </w:r>
      <w:r w:rsidR="007363E9" w:rsidRPr="007A50FE">
        <w:rPr>
          <w:rFonts w:ascii="Palatino Linotype" w:eastAsia="Palatino Linotype" w:hAnsi="Palatino Linotype" w:cs="Palatino Linotype"/>
        </w:rPr>
        <w:t>, se estima que el Derecho de acceso a la información de la persona solicitante ha quedado satisfecho,</w:t>
      </w:r>
      <w:r w:rsidR="00AC5BC7" w:rsidRPr="007A50FE">
        <w:rPr>
          <w:rFonts w:ascii="Palatino Linotype" w:eastAsia="Palatino Linotype" w:hAnsi="Palatino Linotype" w:cs="Palatino Linotype"/>
        </w:rPr>
        <w:t xml:space="preserve"> tomando en consideración que este Organismo Garante no está facultado para manifestarse </w:t>
      </w:r>
      <w:r w:rsidR="00AC5BC7" w:rsidRPr="007A50FE">
        <w:rPr>
          <w:rFonts w:ascii="Palatino Linotype" w:eastAsia="Palatino Linotype" w:hAnsi="Palatino Linotype" w:cs="Palatino Linotype"/>
        </w:rPr>
        <w:lastRenderedPageBreak/>
        <w:t xml:space="preserve">sobre la veracidad de lo expresado por parte de éste, pues no existe precepto legal alguno en la Ley de la materia que lo faculte para ello. </w:t>
      </w:r>
    </w:p>
    <w:p w:rsidR="00223418" w:rsidRPr="007A50FE" w:rsidRDefault="00AC5BC7">
      <w:pPr>
        <w:spacing w:before="240" w:after="24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00223418" w:rsidRPr="007A50FE" w:rsidRDefault="00AC5BC7">
      <w:pPr>
        <w:spacing w:before="240" w:after="240"/>
        <w:ind w:left="851" w:right="900"/>
        <w:jc w:val="both"/>
        <w:rPr>
          <w:rFonts w:ascii="Palatino Linotype" w:eastAsia="Palatino Linotype" w:hAnsi="Palatino Linotype" w:cs="Palatino Linotype"/>
          <w:i/>
          <w:sz w:val="22"/>
          <w:szCs w:val="22"/>
        </w:rPr>
      </w:pPr>
      <w:r w:rsidRPr="007A50FE">
        <w:rPr>
          <w:rFonts w:ascii="Palatino Linotype" w:eastAsia="Palatino Linotype" w:hAnsi="Palatino Linotype" w:cs="Palatino Linotype"/>
          <w:i/>
          <w:sz w:val="22"/>
          <w:szCs w:val="22"/>
        </w:rPr>
        <w:t>“</w:t>
      </w:r>
      <w:r w:rsidRPr="007A50FE">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7A50FE">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23418" w:rsidRPr="007A50FE" w:rsidRDefault="00AC5BC7">
      <w:pPr>
        <w:spacing w:before="240" w:after="240" w:line="360" w:lineRule="auto"/>
        <w:ind w:right="51"/>
        <w:jc w:val="both"/>
        <w:rPr>
          <w:rFonts w:ascii="Palatino Linotype" w:eastAsia="Palatino Linotype" w:hAnsi="Palatino Linotype" w:cs="Palatino Linotype"/>
        </w:rPr>
      </w:pPr>
      <w:r w:rsidRPr="007A50FE">
        <w:rPr>
          <w:rFonts w:ascii="Palatino Linotype" w:eastAsia="Palatino Linotype" w:hAnsi="Palatino Linotype" w:cs="Palatino Linotype"/>
        </w:rPr>
        <w:t xml:space="preserve">Derivado de lo expuesto, se concluye que los motivos de inconformidad de la parte </w:t>
      </w:r>
      <w:r w:rsidRPr="007A50FE">
        <w:rPr>
          <w:rFonts w:ascii="Palatino Linotype" w:eastAsia="Palatino Linotype" w:hAnsi="Palatino Linotype" w:cs="Palatino Linotype"/>
          <w:b/>
        </w:rPr>
        <w:t xml:space="preserve">Recurrente </w:t>
      </w:r>
      <w:r w:rsidRPr="007A50FE">
        <w:rPr>
          <w:rFonts w:ascii="Palatino Linotype" w:eastAsia="Palatino Linotype" w:hAnsi="Palatino Linotype" w:cs="Palatino Linotype"/>
        </w:rPr>
        <w:t xml:space="preserve">devienen infundados, siendo procedente </w:t>
      </w:r>
      <w:r w:rsidRPr="007A50FE">
        <w:rPr>
          <w:rFonts w:ascii="Palatino Linotype" w:eastAsia="Palatino Linotype" w:hAnsi="Palatino Linotype" w:cs="Palatino Linotype"/>
          <w:i/>
        </w:rPr>
        <w:t xml:space="preserve">Confirmar </w:t>
      </w:r>
      <w:r w:rsidRPr="007A50FE">
        <w:rPr>
          <w:rFonts w:ascii="Palatino Linotype" w:eastAsia="Palatino Linotype" w:hAnsi="Palatino Linotype" w:cs="Palatino Linotype"/>
        </w:rPr>
        <w:t xml:space="preserve">la respuesta proporcionada por el </w:t>
      </w:r>
      <w:r w:rsidRPr="007A50FE">
        <w:rPr>
          <w:rFonts w:ascii="Palatino Linotype" w:eastAsia="Palatino Linotype" w:hAnsi="Palatino Linotype" w:cs="Palatino Linotype"/>
          <w:b/>
        </w:rPr>
        <w:t xml:space="preserve">Sujeto Obligado </w:t>
      </w:r>
      <w:r w:rsidRPr="007A50FE">
        <w:rPr>
          <w:rFonts w:ascii="Palatino Linotype" w:eastAsia="Palatino Linotype" w:hAnsi="Palatino Linotype" w:cs="Palatino Linotype"/>
        </w:rPr>
        <w:t>en términos del artículo 186, fracción II de la Ley de Transparencia y Acceso a la Información Pública del Estado de México y Municipios.</w:t>
      </w:r>
    </w:p>
    <w:p w:rsidR="00223418" w:rsidRPr="007A50FE" w:rsidRDefault="00AC5BC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t xml:space="preserve">Así, con fundamento en lo prescrito en los artículos 5 párrafos trigésimo segundo, trigésimo tercero y trigésimo cuarto de la Constitución Política del Estado Libre y </w:t>
      </w:r>
      <w:r w:rsidRPr="007A50FE">
        <w:rPr>
          <w:rFonts w:ascii="Palatino Linotype" w:eastAsia="Palatino Linotype" w:hAnsi="Palatino Linotype" w:cs="Palatino Linotype"/>
        </w:rPr>
        <w:lastRenderedPageBreak/>
        <w:t>Soberano de México; 2, fracción II; 29, 36 fracciones I y II; 176, 178, 181, 185 y 186 fracción II de la Ley de Transparencia y Acceso a la Información Pública del Estado de México y Municipios, este Pleno:</w:t>
      </w:r>
    </w:p>
    <w:p w:rsidR="00223418" w:rsidRPr="007A50FE" w:rsidRDefault="00AC5BC7">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7A50FE">
        <w:rPr>
          <w:rFonts w:ascii="Palatino Linotype" w:eastAsia="Palatino Linotype" w:hAnsi="Palatino Linotype" w:cs="Palatino Linotype"/>
          <w:b/>
        </w:rPr>
        <w:t>III. R E S U E L V E</w:t>
      </w:r>
    </w:p>
    <w:p w:rsidR="00223418" w:rsidRPr="007A50FE" w:rsidRDefault="00AC5BC7">
      <w:pPr>
        <w:spacing w:before="240" w:after="240" w:line="360" w:lineRule="auto"/>
        <w:jc w:val="both"/>
        <w:rPr>
          <w:rFonts w:ascii="Palatino Linotype" w:eastAsia="Palatino Linotype" w:hAnsi="Palatino Linotype" w:cs="Palatino Linotype"/>
        </w:rPr>
      </w:pPr>
      <w:bookmarkStart w:id="7" w:name="_heading=h.26in1rg" w:colFirst="0" w:colLast="0"/>
      <w:bookmarkEnd w:id="7"/>
      <w:r w:rsidRPr="007A50FE">
        <w:rPr>
          <w:rFonts w:ascii="Palatino Linotype" w:eastAsia="Palatino Linotype" w:hAnsi="Palatino Linotype" w:cs="Palatino Linotype"/>
          <w:b/>
        </w:rPr>
        <w:t xml:space="preserve">Primero. </w:t>
      </w:r>
      <w:r w:rsidRPr="007A50FE">
        <w:rPr>
          <w:rFonts w:ascii="Palatino Linotype" w:eastAsia="Palatino Linotype" w:hAnsi="Palatino Linotype" w:cs="Palatino Linotype"/>
        </w:rPr>
        <w:t xml:space="preserve">Son </w:t>
      </w:r>
      <w:r w:rsidRPr="007A50FE">
        <w:rPr>
          <w:rFonts w:ascii="Palatino Linotype" w:eastAsia="Palatino Linotype" w:hAnsi="Palatino Linotype" w:cs="Palatino Linotype"/>
          <w:b/>
        </w:rPr>
        <w:t>infundadas</w:t>
      </w:r>
      <w:r w:rsidRPr="007A50FE">
        <w:rPr>
          <w:rFonts w:ascii="Palatino Linotype" w:eastAsia="Palatino Linotype" w:hAnsi="Palatino Linotype" w:cs="Palatino Linotype"/>
        </w:rPr>
        <w:t xml:space="preserve"> las razones o motivos de inconformidad hechos valer por la parte </w:t>
      </w:r>
      <w:r w:rsidRPr="007A50FE">
        <w:rPr>
          <w:rFonts w:ascii="Palatino Linotype" w:eastAsia="Palatino Linotype" w:hAnsi="Palatino Linotype" w:cs="Palatino Linotype"/>
          <w:b/>
        </w:rPr>
        <w:t>Recurrente</w:t>
      </w:r>
      <w:r w:rsidRPr="007A50FE">
        <w:rPr>
          <w:rFonts w:ascii="Palatino Linotype" w:eastAsia="Palatino Linotype" w:hAnsi="Palatino Linotype" w:cs="Palatino Linotype"/>
        </w:rPr>
        <w:t xml:space="preserve"> en el recurso de revisión </w:t>
      </w:r>
      <w:r w:rsidR="007363E9" w:rsidRPr="007A50FE">
        <w:rPr>
          <w:rFonts w:ascii="Palatino Linotype" w:eastAsia="Palatino Linotype" w:hAnsi="Palatino Linotype" w:cs="Palatino Linotype"/>
          <w:b/>
        </w:rPr>
        <w:t>06849</w:t>
      </w:r>
      <w:r w:rsidRPr="007A50FE">
        <w:rPr>
          <w:rFonts w:ascii="Palatino Linotype" w:eastAsia="Palatino Linotype" w:hAnsi="Palatino Linotype" w:cs="Palatino Linotype"/>
          <w:b/>
        </w:rPr>
        <w:t>/INFOEM/IP/RR/2023</w:t>
      </w:r>
      <w:r w:rsidRPr="007A50FE">
        <w:rPr>
          <w:rFonts w:ascii="Palatino Linotype" w:eastAsia="Palatino Linotype" w:hAnsi="Palatino Linotype" w:cs="Palatino Linotype"/>
        </w:rPr>
        <w:t xml:space="preserve">, por lo que, en términos de los argumentos de derecho señalados en el considerando </w:t>
      </w:r>
      <w:r w:rsidRPr="007A50FE">
        <w:rPr>
          <w:rFonts w:ascii="Palatino Linotype" w:eastAsia="Palatino Linotype" w:hAnsi="Palatino Linotype" w:cs="Palatino Linotype"/>
          <w:b/>
        </w:rPr>
        <w:t>Cuarto</w:t>
      </w:r>
      <w:r w:rsidRPr="007A50FE">
        <w:rPr>
          <w:rFonts w:ascii="Palatino Linotype" w:eastAsia="Palatino Linotype" w:hAnsi="Palatino Linotype" w:cs="Palatino Linotype"/>
        </w:rPr>
        <w:t>, se</w:t>
      </w:r>
      <w:r w:rsidRPr="007A50FE">
        <w:rPr>
          <w:rFonts w:ascii="Palatino Linotype" w:eastAsia="Palatino Linotype" w:hAnsi="Palatino Linotype" w:cs="Palatino Linotype"/>
          <w:b/>
        </w:rPr>
        <w:t xml:space="preserve"> Confirma </w:t>
      </w:r>
      <w:r w:rsidRPr="007A50FE">
        <w:rPr>
          <w:rFonts w:ascii="Palatino Linotype" w:eastAsia="Palatino Linotype" w:hAnsi="Palatino Linotype" w:cs="Palatino Linotype"/>
        </w:rPr>
        <w:t xml:space="preserve">la respuesta del </w:t>
      </w:r>
      <w:r w:rsidRPr="007A50FE">
        <w:rPr>
          <w:rFonts w:ascii="Palatino Linotype" w:eastAsia="Palatino Linotype" w:hAnsi="Palatino Linotype" w:cs="Palatino Linotype"/>
          <w:b/>
        </w:rPr>
        <w:t>Sujeto Obligado</w:t>
      </w:r>
      <w:r w:rsidRPr="007A50FE">
        <w:rPr>
          <w:rFonts w:ascii="Palatino Linotype" w:eastAsia="Palatino Linotype" w:hAnsi="Palatino Linotype" w:cs="Palatino Linotype"/>
        </w:rPr>
        <w:t>.</w:t>
      </w:r>
    </w:p>
    <w:p w:rsidR="00223418" w:rsidRPr="007A50FE" w:rsidRDefault="00AC5BC7">
      <w:pPr>
        <w:spacing w:before="240" w:after="240"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b/>
        </w:rPr>
        <w:t xml:space="preserve">Segundo. Notifíquese, </w:t>
      </w:r>
      <w:r w:rsidRPr="007A50FE">
        <w:rPr>
          <w:rFonts w:ascii="Palatino Linotype" w:eastAsia="Palatino Linotype" w:hAnsi="Palatino Linotype" w:cs="Palatino Linotype"/>
        </w:rPr>
        <w:t xml:space="preserve">al Responsable de la Unidad de Transparencia del </w:t>
      </w:r>
      <w:r w:rsidRPr="007A50FE">
        <w:rPr>
          <w:rFonts w:ascii="Palatino Linotype" w:eastAsia="Palatino Linotype" w:hAnsi="Palatino Linotype" w:cs="Palatino Linotype"/>
          <w:b/>
        </w:rPr>
        <w:t>Sujeto Obligado</w:t>
      </w:r>
      <w:r w:rsidRPr="007A50FE">
        <w:rPr>
          <w:rFonts w:ascii="Palatino Linotype" w:eastAsia="Palatino Linotype" w:hAnsi="Palatino Linotype" w:cs="Palatino Linotype"/>
        </w:rPr>
        <w:t xml:space="preserve"> para su conocimiento, la presente resolución.</w:t>
      </w:r>
    </w:p>
    <w:p w:rsidR="00223418" w:rsidRPr="007A50FE" w:rsidRDefault="00AC5BC7">
      <w:pPr>
        <w:spacing w:before="240" w:after="240" w:line="360" w:lineRule="auto"/>
        <w:jc w:val="both"/>
        <w:rPr>
          <w:rFonts w:ascii="Palatino Linotype" w:eastAsia="Palatino Linotype" w:hAnsi="Palatino Linotype" w:cs="Palatino Linotype"/>
        </w:rPr>
      </w:pPr>
      <w:bookmarkStart w:id="8" w:name="_heading=h.4d34og8" w:colFirst="0" w:colLast="0"/>
      <w:bookmarkEnd w:id="8"/>
      <w:r w:rsidRPr="007A50FE">
        <w:rPr>
          <w:rFonts w:ascii="Palatino Linotype" w:eastAsia="Palatino Linotype" w:hAnsi="Palatino Linotype" w:cs="Palatino Linotype"/>
          <w:b/>
        </w:rPr>
        <w:t xml:space="preserve"> Tercero.  Notifíquese, a</w:t>
      </w:r>
      <w:r w:rsidRPr="007A50FE">
        <w:rPr>
          <w:rFonts w:ascii="Palatino Linotype" w:eastAsia="Palatino Linotype" w:hAnsi="Palatino Linotype" w:cs="Palatino Linotype"/>
        </w:rPr>
        <w:t xml:space="preserve"> la parte </w:t>
      </w:r>
      <w:r w:rsidRPr="007A50FE">
        <w:rPr>
          <w:rFonts w:ascii="Palatino Linotype" w:eastAsia="Palatino Linotype" w:hAnsi="Palatino Linotype" w:cs="Palatino Linotype"/>
          <w:b/>
        </w:rPr>
        <w:t>Recurrente</w:t>
      </w:r>
      <w:r w:rsidRPr="007A50FE">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223418" w:rsidRPr="007A50FE" w:rsidRDefault="00AC5BC7">
      <w:pPr>
        <w:spacing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w:t>
      </w:r>
      <w:r w:rsidR="00DA328D" w:rsidRPr="007A50FE">
        <w:rPr>
          <w:rFonts w:ascii="Palatino Linotype" w:eastAsia="Palatino Linotype" w:hAnsi="Palatino Linotype" w:cs="Palatino Linotype"/>
        </w:rPr>
        <w:t>ÍNEZ; LUIS GUSTAVO PARRA NORIEGA</w:t>
      </w:r>
      <w:r w:rsidRPr="007A50FE">
        <w:rPr>
          <w:rFonts w:ascii="Palatino Linotype" w:eastAsia="Palatino Linotype" w:hAnsi="Palatino Linotype" w:cs="Palatino Linotype"/>
        </w:rPr>
        <w:t xml:space="preserve">; Y GUADALUPE </w:t>
      </w:r>
      <w:r w:rsidRPr="007A50FE">
        <w:rPr>
          <w:rFonts w:ascii="Palatino Linotype" w:eastAsia="Palatino Linotype" w:hAnsi="Palatino Linotype" w:cs="Palatino Linotype"/>
        </w:rPr>
        <w:lastRenderedPageBreak/>
        <w:t>RAMÍREZ PEÑA;</w:t>
      </w:r>
      <w:r w:rsidR="00DA328D" w:rsidRPr="007A50FE">
        <w:rPr>
          <w:rFonts w:ascii="Palatino Linotype" w:eastAsia="Palatino Linotype" w:hAnsi="Palatino Linotype" w:cs="Palatino Linotype"/>
        </w:rPr>
        <w:t xml:space="preserve"> EN LA </w:t>
      </w:r>
      <w:r w:rsidR="007363E9" w:rsidRPr="007A50FE">
        <w:rPr>
          <w:rFonts w:ascii="Palatino Linotype" w:eastAsia="Palatino Linotype" w:hAnsi="Palatino Linotype" w:cs="Palatino Linotype"/>
        </w:rPr>
        <w:t>CUADRAGÉSIM</w:t>
      </w:r>
      <w:r w:rsidR="00C51CA7">
        <w:rPr>
          <w:rFonts w:ascii="Palatino Linotype" w:eastAsia="Palatino Linotype" w:hAnsi="Palatino Linotype" w:cs="Palatino Linotype"/>
        </w:rPr>
        <w:t>A</w:t>
      </w:r>
      <w:r w:rsidR="007363E9" w:rsidRPr="007A50FE">
        <w:rPr>
          <w:rFonts w:ascii="Palatino Linotype" w:eastAsia="Palatino Linotype" w:hAnsi="Palatino Linotype" w:cs="Palatino Linotype"/>
        </w:rPr>
        <w:t xml:space="preserve"> PRIMERA</w:t>
      </w:r>
      <w:r w:rsidR="00DA328D" w:rsidRPr="007A50FE">
        <w:rPr>
          <w:rFonts w:ascii="Palatino Linotype" w:eastAsia="Palatino Linotype" w:hAnsi="Palatino Linotype" w:cs="Palatino Linotype"/>
        </w:rPr>
        <w:t xml:space="preserve"> SESIÓN ORDINARIA CELEBRADA</w:t>
      </w:r>
      <w:r w:rsidRPr="007A50FE">
        <w:rPr>
          <w:rFonts w:ascii="Palatino Linotype" w:eastAsia="Palatino Linotype" w:hAnsi="Palatino Linotype" w:cs="Palatino Linotype"/>
        </w:rPr>
        <w:t xml:space="preserve"> </w:t>
      </w:r>
      <w:r w:rsidR="00DA328D" w:rsidRPr="007A50FE">
        <w:rPr>
          <w:rFonts w:ascii="Palatino Linotype" w:eastAsia="Palatino Linotype" w:hAnsi="Palatino Linotype" w:cs="Palatino Linotype"/>
        </w:rPr>
        <w:t>EL</w:t>
      </w:r>
      <w:r w:rsidRPr="007A50FE">
        <w:rPr>
          <w:rFonts w:ascii="Palatino Linotype" w:eastAsia="Palatino Linotype" w:hAnsi="Palatino Linotype" w:cs="Palatino Linotype"/>
        </w:rPr>
        <w:t xml:space="preserve"> </w:t>
      </w:r>
      <w:r w:rsidR="007363E9" w:rsidRPr="007A50FE">
        <w:rPr>
          <w:rFonts w:ascii="Palatino Linotype" w:eastAsia="Palatino Linotype" w:hAnsi="Palatino Linotype" w:cs="Palatino Linotype"/>
        </w:rPr>
        <w:t>QUINCE DE NOVIEMBRE</w:t>
      </w:r>
      <w:r w:rsidRPr="007A50FE">
        <w:rPr>
          <w:rFonts w:ascii="Palatino Linotype" w:eastAsia="Palatino Linotype" w:hAnsi="Palatino Linotype" w:cs="Palatino Linotype"/>
        </w:rPr>
        <w:t xml:space="preserve"> DE DOS MIL VEINTITRÉS, ANTE EL SECRETARIO TÉCNICO DEL PLENO ALEXIS TAPIA RAMÍREZ.</w:t>
      </w:r>
    </w:p>
    <w:bookmarkStart w:id="9" w:name="_heading=h.1fob9te" w:colFirst="0" w:colLast="0"/>
    <w:bookmarkEnd w:id="9"/>
    <w:p w:rsidR="00223418" w:rsidRPr="007A50FE" w:rsidRDefault="00842071">
      <w:pPr>
        <w:spacing w:line="360" w:lineRule="auto"/>
        <w:jc w:val="both"/>
        <w:rPr>
          <w:rFonts w:ascii="Palatino Linotype" w:eastAsia="Palatino Linotype" w:hAnsi="Palatino Linotype" w:cs="Palatino Linotype"/>
        </w:rPr>
      </w:pPr>
      <w:r w:rsidRPr="007A50FE">
        <w:rPr>
          <w:rFonts w:ascii="Palatino Linotype" w:eastAsia="Palatino Linotype" w:hAnsi="Palatino Linotype" w:cs="Palatino Linotype"/>
          <w:noProof/>
        </w:rPr>
        <mc:AlternateContent>
          <mc:Choice Requires="wps">
            <w:drawing>
              <wp:anchor distT="0" distB="0" distL="114300" distR="114300" simplePos="0" relativeHeight="251680768" behindDoc="0" locked="0" layoutInCell="1" allowOverlap="1">
                <wp:simplePos x="0" y="0"/>
                <wp:positionH relativeFrom="margin">
                  <wp:align>right</wp:align>
                </wp:positionH>
                <wp:positionV relativeFrom="paragraph">
                  <wp:posOffset>27940</wp:posOffset>
                </wp:positionV>
                <wp:extent cx="5514975" cy="6353175"/>
                <wp:effectExtent l="38100" t="19050" r="66675" b="85725"/>
                <wp:wrapNone/>
                <wp:docPr id="5" name="Conector recto 5"/>
                <wp:cNvGraphicFramePr/>
                <a:graphic xmlns:a="http://schemas.openxmlformats.org/drawingml/2006/main">
                  <a:graphicData uri="http://schemas.microsoft.com/office/word/2010/wordprocessingShape">
                    <wps:wsp>
                      <wps:cNvCnPr/>
                      <wps:spPr>
                        <a:xfrm>
                          <a:off x="0" y="0"/>
                          <a:ext cx="5514975" cy="63531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63F89" id="Conector recto 5" o:spid="_x0000_s1026" style="position:absolute;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2pt" to="817.3pt,5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" strokecolor="black [3200]" strokeweight="2pt">
                <v:shadow on="t" color="black" opacity="24903f" origin=",.5" offset="0,.55556mm"/>
                <w10:wrap anchorx="margin"/>
              </v:line>
            </w:pict>
          </mc:Fallback>
        </mc:AlternateContent>
      </w:r>
    </w:p>
    <w:p w:rsidR="00223418" w:rsidRPr="007A50FE" w:rsidRDefault="00223418">
      <w:pPr>
        <w:rPr>
          <w:rFonts w:ascii="Palatino Linotype" w:eastAsia="Palatino Linotype" w:hAnsi="Palatino Linotype" w:cs="Palatino Linotype"/>
        </w:rPr>
      </w:pPr>
    </w:p>
    <w:p w:rsidR="00223418" w:rsidRPr="007A50FE" w:rsidRDefault="00223418">
      <w:pPr>
        <w:rPr>
          <w:rFonts w:ascii="Palatino Linotype" w:eastAsia="Palatino Linotype" w:hAnsi="Palatino Linotype" w:cs="Palatino Linotype"/>
        </w:rPr>
      </w:pPr>
    </w:p>
    <w:p w:rsidR="00223418" w:rsidRPr="007A50FE" w:rsidRDefault="00223418">
      <w:pPr>
        <w:rPr>
          <w:rFonts w:ascii="Palatino Linotype" w:eastAsia="Palatino Linotype" w:hAnsi="Palatino Linotype" w:cs="Palatino Linotype"/>
        </w:rPr>
      </w:pPr>
    </w:p>
    <w:p w:rsidR="00223418" w:rsidRPr="007A50FE" w:rsidRDefault="00223418">
      <w:pPr>
        <w:rPr>
          <w:rFonts w:ascii="Palatino Linotype" w:eastAsia="Palatino Linotype" w:hAnsi="Palatino Linotype" w:cs="Palatino Linotype"/>
        </w:rPr>
      </w:pPr>
    </w:p>
    <w:p w:rsidR="00223418" w:rsidRPr="007A50FE" w:rsidRDefault="00223418">
      <w:pPr>
        <w:rPr>
          <w:rFonts w:ascii="Palatino Linotype" w:eastAsia="Palatino Linotype" w:hAnsi="Palatino Linotype" w:cs="Palatino Linotype"/>
        </w:rPr>
      </w:pPr>
    </w:p>
    <w:p w:rsidR="00223418" w:rsidRPr="007A50FE" w:rsidRDefault="00223418">
      <w:pPr>
        <w:rPr>
          <w:rFonts w:ascii="Palatino Linotype" w:eastAsia="Palatino Linotype" w:hAnsi="Palatino Linotype" w:cs="Palatino Linotype"/>
        </w:rPr>
      </w:pPr>
    </w:p>
    <w:p w:rsidR="00223418" w:rsidRPr="007A50FE" w:rsidRDefault="00223418">
      <w:pPr>
        <w:rPr>
          <w:rFonts w:ascii="Palatino Linotype" w:eastAsia="Palatino Linotype" w:hAnsi="Palatino Linotype" w:cs="Palatino Linotype"/>
        </w:rPr>
      </w:pPr>
    </w:p>
    <w:p w:rsidR="00223418" w:rsidRPr="007A50FE" w:rsidRDefault="00223418">
      <w:pPr>
        <w:rPr>
          <w:rFonts w:ascii="Palatino Linotype" w:eastAsia="Palatino Linotype" w:hAnsi="Palatino Linotype" w:cs="Palatino Linotype"/>
        </w:rPr>
      </w:pPr>
    </w:p>
    <w:p w:rsidR="00223418" w:rsidRPr="007A50FE" w:rsidRDefault="00223418">
      <w:pPr>
        <w:rPr>
          <w:rFonts w:ascii="Palatino Linotype" w:eastAsia="Palatino Linotype" w:hAnsi="Palatino Linotype" w:cs="Palatino Linotype"/>
        </w:rPr>
      </w:pPr>
    </w:p>
    <w:p w:rsidR="00223418" w:rsidRPr="007A50FE" w:rsidRDefault="00223418">
      <w:pPr>
        <w:rPr>
          <w:rFonts w:ascii="Palatino Linotype" w:eastAsia="Palatino Linotype" w:hAnsi="Palatino Linotype" w:cs="Palatino Linotype"/>
        </w:rPr>
      </w:pPr>
    </w:p>
    <w:p w:rsidR="00223418" w:rsidRPr="007A50FE" w:rsidRDefault="00223418">
      <w:pPr>
        <w:rPr>
          <w:rFonts w:ascii="Palatino Linotype" w:eastAsia="Palatino Linotype" w:hAnsi="Palatino Linotype" w:cs="Palatino Linotype"/>
        </w:rPr>
      </w:pPr>
    </w:p>
    <w:p w:rsidR="00223418" w:rsidRPr="007A50FE" w:rsidRDefault="00223418">
      <w:pPr>
        <w:spacing w:line="360" w:lineRule="auto"/>
        <w:jc w:val="both"/>
        <w:rPr>
          <w:rFonts w:ascii="Palatino Linotype" w:eastAsia="Palatino Linotype" w:hAnsi="Palatino Linotype" w:cs="Palatino Linotype"/>
        </w:rPr>
      </w:pPr>
      <w:bookmarkStart w:id="10" w:name="_heading=h.3rdcrjn" w:colFirst="0" w:colLast="0"/>
      <w:bookmarkEnd w:id="10"/>
    </w:p>
    <w:p w:rsidR="00223418" w:rsidRPr="007A50FE" w:rsidRDefault="00223418">
      <w:pPr>
        <w:spacing w:line="360" w:lineRule="auto"/>
        <w:jc w:val="both"/>
        <w:rPr>
          <w:rFonts w:ascii="Palatino Linotype" w:eastAsia="Palatino Linotype" w:hAnsi="Palatino Linotype" w:cs="Palatino Linotype"/>
        </w:rPr>
      </w:pPr>
    </w:p>
    <w:p w:rsidR="00223418" w:rsidRPr="007A50FE" w:rsidRDefault="00223418">
      <w:pPr>
        <w:spacing w:line="360" w:lineRule="auto"/>
        <w:jc w:val="both"/>
        <w:rPr>
          <w:rFonts w:ascii="Palatino Linotype" w:eastAsia="Palatino Linotype" w:hAnsi="Palatino Linotype" w:cs="Palatino Linotype"/>
        </w:rPr>
      </w:pPr>
    </w:p>
    <w:p w:rsidR="00223418" w:rsidRPr="007A50FE" w:rsidRDefault="00223418">
      <w:pPr>
        <w:spacing w:line="360" w:lineRule="auto"/>
        <w:jc w:val="both"/>
        <w:rPr>
          <w:rFonts w:ascii="Palatino Linotype" w:eastAsia="Palatino Linotype" w:hAnsi="Palatino Linotype" w:cs="Palatino Linotype"/>
        </w:rPr>
      </w:pPr>
      <w:bookmarkStart w:id="11" w:name="_heading=h.1t3h5sf" w:colFirst="0" w:colLast="0"/>
      <w:bookmarkEnd w:id="11"/>
    </w:p>
    <w:p w:rsidR="00223418" w:rsidRPr="007A50FE" w:rsidRDefault="00223418">
      <w:pPr>
        <w:spacing w:line="360" w:lineRule="auto"/>
        <w:jc w:val="both"/>
        <w:rPr>
          <w:rFonts w:ascii="Palatino Linotype" w:eastAsia="Palatino Linotype" w:hAnsi="Palatino Linotype" w:cs="Palatino Linotype"/>
        </w:rPr>
      </w:pPr>
    </w:p>
    <w:p w:rsidR="00223418" w:rsidRPr="007A50FE" w:rsidRDefault="00223418">
      <w:pPr>
        <w:spacing w:line="360" w:lineRule="auto"/>
        <w:jc w:val="both"/>
        <w:rPr>
          <w:rFonts w:ascii="Palatino Linotype" w:eastAsia="Palatino Linotype" w:hAnsi="Palatino Linotype" w:cs="Palatino Linotype"/>
        </w:rPr>
      </w:pPr>
    </w:p>
    <w:p w:rsidR="00223418" w:rsidRPr="007A50FE" w:rsidRDefault="00223418">
      <w:pPr>
        <w:spacing w:line="360" w:lineRule="auto"/>
        <w:jc w:val="both"/>
        <w:rPr>
          <w:rFonts w:ascii="Palatino Linotype" w:eastAsia="Palatino Linotype" w:hAnsi="Palatino Linotype" w:cs="Palatino Linotype"/>
        </w:rPr>
      </w:pPr>
    </w:p>
    <w:p w:rsidR="00223418" w:rsidRPr="007A50FE" w:rsidRDefault="00223418">
      <w:pPr>
        <w:spacing w:line="360" w:lineRule="auto"/>
        <w:jc w:val="both"/>
        <w:rPr>
          <w:rFonts w:ascii="Palatino Linotype" w:eastAsia="Palatino Linotype" w:hAnsi="Palatino Linotype" w:cs="Palatino Linotype"/>
        </w:rPr>
      </w:pPr>
    </w:p>
    <w:p w:rsidR="00223418" w:rsidRPr="007A50FE" w:rsidRDefault="00223418">
      <w:pPr>
        <w:spacing w:line="360" w:lineRule="auto"/>
        <w:jc w:val="both"/>
        <w:rPr>
          <w:rFonts w:ascii="Palatino Linotype" w:eastAsia="Palatino Linotype" w:hAnsi="Palatino Linotype" w:cs="Palatino Linotype"/>
        </w:rPr>
      </w:pPr>
    </w:p>
    <w:p w:rsidR="00223418" w:rsidRPr="007A50FE" w:rsidRDefault="00223418">
      <w:pPr>
        <w:spacing w:line="360" w:lineRule="auto"/>
        <w:jc w:val="both"/>
        <w:rPr>
          <w:rFonts w:ascii="Palatino Linotype" w:eastAsia="Palatino Linotype" w:hAnsi="Palatino Linotype" w:cs="Palatino Linotype"/>
        </w:rPr>
      </w:pPr>
    </w:p>
    <w:p w:rsidR="00223418" w:rsidRPr="007A50FE" w:rsidRDefault="00223418">
      <w:pPr>
        <w:spacing w:line="360" w:lineRule="auto"/>
        <w:jc w:val="both"/>
        <w:rPr>
          <w:rFonts w:ascii="Palatino Linotype" w:eastAsia="Palatino Linotype" w:hAnsi="Palatino Linotype" w:cs="Palatino Linotype"/>
        </w:rPr>
      </w:pPr>
    </w:p>
    <w:p w:rsidR="00223418" w:rsidRPr="007A50FE" w:rsidRDefault="00223418">
      <w:pPr>
        <w:spacing w:line="360" w:lineRule="auto"/>
        <w:jc w:val="both"/>
        <w:rPr>
          <w:rFonts w:ascii="Palatino Linotype" w:eastAsia="Palatino Linotype" w:hAnsi="Palatino Linotype" w:cs="Palatino Linotype"/>
        </w:rPr>
      </w:pPr>
    </w:p>
    <w:p w:rsidR="00223418" w:rsidRPr="007A50FE" w:rsidRDefault="00223418">
      <w:pPr>
        <w:spacing w:line="360" w:lineRule="auto"/>
        <w:jc w:val="both"/>
        <w:rPr>
          <w:rFonts w:ascii="Palatino Linotype" w:eastAsia="Palatino Linotype" w:hAnsi="Palatino Linotype" w:cs="Palatino Linotype"/>
        </w:rPr>
      </w:pPr>
    </w:p>
    <w:p w:rsidR="00223418" w:rsidRPr="007A50FE" w:rsidRDefault="00223418">
      <w:pPr>
        <w:spacing w:line="360" w:lineRule="auto"/>
        <w:jc w:val="both"/>
        <w:rPr>
          <w:rFonts w:ascii="Palatino Linotype" w:eastAsia="Palatino Linotype" w:hAnsi="Palatino Linotype" w:cs="Palatino Linotype"/>
        </w:rPr>
      </w:pPr>
    </w:p>
    <w:p w:rsidR="00223418" w:rsidRPr="007A50FE" w:rsidRDefault="00223418">
      <w:pPr>
        <w:spacing w:line="360" w:lineRule="auto"/>
        <w:jc w:val="both"/>
        <w:rPr>
          <w:rFonts w:ascii="Palatino Linotype" w:eastAsia="Palatino Linotype" w:hAnsi="Palatino Linotype" w:cs="Palatino Linotype"/>
        </w:rPr>
      </w:pPr>
    </w:p>
    <w:sectPr w:rsidR="00223418" w:rsidRPr="007A50FE">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0FD" w:rsidRDefault="007A00FD">
      <w:r>
        <w:separator/>
      </w:r>
    </w:p>
  </w:endnote>
  <w:endnote w:type="continuationSeparator" w:id="0">
    <w:p w:rsidR="007A00FD" w:rsidRDefault="007A0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18" w:rsidRDefault="00AC5B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C5338">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C5338">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rsidR="00223418" w:rsidRDefault="0022341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18" w:rsidRDefault="00AC5B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C533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C5338">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rsidR="00223418" w:rsidRDefault="0022341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0FD" w:rsidRDefault="007A00FD">
      <w:r>
        <w:separator/>
      </w:r>
    </w:p>
  </w:footnote>
  <w:footnote w:type="continuationSeparator" w:id="0">
    <w:p w:rsidR="007A00FD" w:rsidRDefault="007A00FD">
      <w:r>
        <w:continuationSeparator/>
      </w:r>
    </w:p>
  </w:footnote>
  <w:footnote w:id="1">
    <w:p w:rsidR="00223418" w:rsidRPr="00D6411E" w:rsidRDefault="00AC5BC7">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D6411E">
        <w:rPr>
          <w:rFonts w:ascii="Palatino Linotype" w:hAnsi="Palatino Linotype"/>
          <w:sz w:val="16"/>
          <w:szCs w:val="16"/>
          <w:vertAlign w:val="superscript"/>
        </w:rPr>
        <w:footnoteRef/>
      </w:r>
      <w:r w:rsidRPr="00D6411E">
        <w:rPr>
          <w:rFonts w:ascii="Palatino Linotype" w:eastAsia="Palatino Linotype" w:hAnsi="Palatino Linotype" w:cs="Palatino Linotype"/>
          <w:color w:val="000000"/>
          <w:sz w:val="16"/>
          <w:szCs w:val="16"/>
        </w:rPr>
        <w:t xml:space="preserve"> “</w:t>
      </w:r>
      <w:r w:rsidRPr="00D6411E">
        <w:rPr>
          <w:rFonts w:ascii="Palatino Linotype" w:eastAsia="Palatino Linotype" w:hAnsi="Palatino Linotype" w:cs="Palatino Linotype"/>
          <w:b/>
          <w:color w:val="000000"/>
          <w:sz w:val="16"/>
          <w:szCs w:val="16"/>
        </w:rPr>
        <w:t>Artículo 185.</w:t>
      </w:r>
      <w:r w:rsidRPr="00D6411E">
        <w:rPr>
          <w:rFonts w:ascii="Palatino Linotype" w:eastAsia="Palatino Linotype" w:hAnsi="Palatino Linotype" w:cs="Palatino Linotype"/>
          <w:color w:val="000000"/>
          <w:sz w:val="16"/>
          <w:szCs w:val="16"/>
        </w:rPr>
        <w:t xml:space="preserve"> El Instituto resolverá el recurso de revisión conforme a lo siguiente: (…)</w:t>
      </w:r>
    </w:p>
    <w:p w:rsidR="00223418" w:rsidRPr="00D6411E" w:rsidRDefault="00AC5BC7">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D6411E">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D6411E" w:rsidRPr="00D6411E" w:rsidRDefault="00D6411E">
      <w:pPr>
        <w:pStyle w:val="Textonotapie"/>
        <w:rPr>
          <w:rFonts w:ascii="Palatino Linotype" w:hAnsi="Palatino Linotype"/>
          <w:sz w:val="16"/>
          <w:szCs w:val="16"/>
        </w:rPr>
      </w:pPr>
      <w:r w:rsidRPr="00D6411E">
        <w:rPr>
          <w:rStyle w:val="Refdenotaalpie"/>
          <w:rFonts w:ascii="Palatino Linotype" w:hAnsi="Palatino Linotype"/>
          <w:sz w:val="16"/>
          <w:szCs w:val="16"/>
        </w:rPr>
        <w:footnoteRef/>
      </w:r>
      <w:r w:rsidRPr="00D6411E">
        <w:rPr>
          <w:rFonts w:ascii="Palatino Linotype" w:hAnsi="Palatino Linotype"/>
          <w:sz w:val="16"/>
          <w:szCs w:val="16"/>
        </w:rPr>
        <w:t xml:space="preserve"> https://legislacion.edomex.gob.mx/sites/legislacion.edomex.gob.mx/files/files/pdf/gct/2018/nov065.pdf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18" w:rsidRDefault="00AC5BC7">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-1080119</wp:posOffset>
          </wp:positionH>
          <wp:positionV relativeFrom="paragraph">
            <wp:posOffset>-488297</wp:posOffset>
          </wp:positionV>
          <wp:extent cx="7809865" cy="10165715"/>
          <wp:effectExtent l="0" t="0" r="0" b="0"/>
          <wp:wrapNone/>
          <wp:docPr id="20569010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6"/>
      <w:tblW w:w="5953" w:type="dxa"/>
      <w:tblInd w:w="3261" w:type="dxa"/>
      <w:tblLayout w:type="fixed"/>
      <w:tblLook w:val="0400" w:firstRow="0" w:lastRow="0" w:firstColumn="0" w:lastColumn="0" w:noHBand="0" w:noVBand="1"/>
    </w:tblPr>
    <w:tblGrid>
      <w:gridCol w:w="2489"/>
      <w:gridCol w:w="3464"/>
    </w:tblGrid>
    <w:tr w:rsidR="00223418">
      <w:tc>
        <w:tcPr>
          <w:tcW w:w="2489" w:type="dxa"/>
          <w:shd w:val="clear" w:color="auto" w:fill="auto"/>
        </w:tcPr>
        <w:p w:rsidR="00223418" w:rsidRDefault="00AC5B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223418" w:rsidRDefault="00CE49E6" w:rsidP="00CE49E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06849</w:t>
          </w:r>
          <w:r w:rsidR="00AC5BC7">
            <w:rPr>
              <w:rFonts w:ascii="Palatino Linotype" w:eastAsia="Palatino Linotype" w:hAnsi="Palatino Linotype" w:cs="Palatino Linotype"/>
              <w:b/>
              <w:sz w:val="22"/>
              <w:szCs w:val="22"/>
            </w:rPr>
            <w:t>/INFOEM/IP/RR/2023</w:t>
          </w:r>
        </w:p>
      </w:tc>
    </w:tr>
    <w:tr w:rsidR="00223418">
      <w:trPr>
        <w:trHeight w:val="228"/>
      </w:trPr>
      <w:tc>
        <w:tcPr>
          <w:tcW w:w="2489" w:type="dxa"/>
          <w:shd w:val="clear" w:color="auto" w:fill="auto"/>
          <w:vAlign w:val="center"/>
        </w:tcPr>
        <w:p w:rsidR="00223418" w:rsidRDefault="00AC5B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223418" w:rsidRDefault="00CE49E6">
          <w:pPr>
            <w:ind w:left="-45" w:right="176"/>
            <w:jc w:val="both"/>
            <w:rPr>
              <w:rFonts w:ascii="Palatino Linotype" w:eastAsia="Palatino Linotype" w:hAnsi="Palatino Linotype" w:cs="Palatino Linotype"/>
              <w:b/>
              <w:sz w:val="22"/>
              <w:szCs w:val="22"/>
            </w:rPr>
          </w:pPr>
          <w:r w:rsidRPr="00CE49E6">
            <w:rPr>
              <w:rFonts w:ascii="Palatino Linotype" w:eastAsia="Palatino Linotype" w:hAnsi="Palatino Linotype" w:cs="Palatino Linotype"/>
              <w:b/>
              <w:sz w:val="22"/>
              <w:szCs w:val="22"/>
            </w:rPr>
            <w:t>Ayuntamiento de Melchor Ocampo</w:t>
          </w:r>
        </w:p>
      </w:tc>
    </w:tr>
    <w:tr w:rsidR="00223418">
      <w:tc>
        <w:tcPr>
          <w:tcW w:w="2489" w:type="dxa"/>
          <w:shd w:val="clear" w:color="auto" w:fill="auto"/>
          <w:vAlign w:val="center"/>
        </w:tcPr>
        <w:p w:rsidR="00223418" w:rsidRDefault="00AC5BC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223418" w:rsidRDefault="00AC5BC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23418" w:rsidRDefault="00AC5BC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18" w:rsidRDefault="00AC5BC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-1079497</wp:posOffset>
          </wp:positionH>
          <wp:positionV relativeFrom="paragraph">
            <wp:posOffset>-328927</wp:posOffset>
          </wp:positionV>
          <wp:extent cx="7809865" cy="10165715"/>
          <wp:effectExtent l="0" t="0" r="0" b="0"/>
          <wp:wrapNone/>
          <wp:docPr id="20569010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670" w:type="dxa"/>
      <w:tblInd w:w="3261" w:type="dxa"/>
      <w:tblLayout w:type="fixed"/>
      <w:tblLook w:val="0400" w:firstRow="0" w:lastRow="0" w:firstColumn="0" w:lastColumn="0" w:noHBand="0" w:noVBand="1"/>
    </w:tblPr>
    <w:tblGrid>
      <w:gridCol w:w="2551"/>
      <w:gridCol w:w="3119"/>
    </w:tblGrid>
    <w:tr w:rsidR="00223418">
      <w:tc>
        <w:tcPr>
          <w:tcW w:w="2551" w:type="dxa"/>
          <w:shd w:val="clear" w:color="auto" w:fill="auto"/>
          <w:vAlign w:val="center"/>
        </w:tcPr>
        <w:p w:rsidR="00223418" w:rsidRDefault="00AC5B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223418" w:rsidRDefault="00CE49E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06849</w:t>
          </w:r>
          <w:r w:rsidR="00AC5BC7">
            <w:rPr>
              <w:rFonts w:ascii="Palatino Linotype" w:eastAsia="Palatino Linotype" w:hAnsi="Palatino Linotype" w:cs="Palatino Linotype"/>
              <w:b/>
              <w:sz w:val="22"/>
              <w:szCs w:val="22"/>
            </w:rPr>
            <w:t>/INFOEM/IP/RR/2023</w:t>
          </w:r>
        </w:p>
      </w:tc>
    </w:tr>
    <w:tr w:rsidR="00223418">
      <w:trPr>
        <w:trHeight w:val="130"/>
      </w:trPr>
      <w:tc>
        <w:tcPr>
          <w:tcW w:w="2551" w:type="dxa"/>
          <w:shd w:val="clear" w:color="auto" w:fill="auto"/>
          <w:vAlign w:val="center"/>
        </w:tcPr>
        <w:p w:rsidR="00223418" w:rsidRDefault="00AC5B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223418" w:rsidRDefault="00223418">
          <w:pPr>
            <w:ind w:left="-45"/>
            <w:jc w:val="both"/>
            <w:rPr>
              <w:rFonts w:ascii="Palatino Linotype" w:eastAsia="Palatino Linotype" w:hAnsi="Palatino Linotype" w:cs="Palatino Linotype"/>
              <w:b/>
              <w:sz w:val="22"/>
              <w:szCs w:val="22"/>
            </w:rPr>
          </w:pPr>
        </w:p>
      </w:tc>
    </w:tr>
    <w:tr w:rsidR="00223418">
      <w:trPr>
        <w:trHeight w:val="228"/>
      </w:trPr>
      <w:tc>
        <w:tcPr>
          <w:tcW w:w="2551" w:type="dxa"/>
          <w:shd w:val="clear" w:color="auto" w:fill="auto"/>
          <w:vAlign w:val="center"/>
        </w:tcPr>
        <w:p w:rsidR="00223418" w:rsidRDefault="00AC5B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223418" w:rsidRDefault="00CE49E6">
          <w:pPr>
            <w:ind w:left="-45" w:right="176"/>
            <w:jc w:val="both"/>
            <w:rPr>
              <w:rFonts w:ascii="Palatino Linotype" w:eastAsia="Palatino Linotype" w:hAnsi="Palatino Linotype" w:cs="Palatino Linotype"/>
              <w:b/>
              <w:sz w:val="22"/>
              <w:szCs w:val="22"/>
            </w:rPr>
          </w:pPr>
          <w:r w:rsidRPr="00CE49E6">
            <w:rPr>
              <w:rFonts w:ascii="Palatino Linotype" w:eastAsia="Palatino Linotype" w:hAnsi="Palatino Linotype" w:cs="Palatino Linotype"/>
              <w:b/>
              <w:sz w:val="22"/>
              <w:szCs w:val="22"/>
            </w:rPr>
            <w:t>Ayuntamiento de Melchor Ocampo</w:t>
          </w:r>
        </w:p>
      </w:tc>
    </w:tr>
    <w:tr w:rsidR="00223418">
      <w:tc>
        <w:tcPr>
          <w:tcW w:w="2551" w:type="dxa"/>
          <w:shd w:val="clear" w:color="auto" w:fill="auto"/>
          <w:vAlign w:val="center"/>
        </w:tcPr>
        <w:p w:rsidR="00223418" w:rsidRDefault="00AC5B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223418" w:rsidRDefault="00AC5BC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23418" w:rsidRDefault="00223418">
    <w:pPr>
      <w:pBdr>
        <w:top w:val="nil"/>
        <w:left w:val="nil"/>
        <w:bottom w:val="nil"/>
        <w:right w:val="nil"/>
        <w:between w:val="nil"/>
      </w:pBdr>
      <w:tabs>
        <w:tab w:val="center" w:pos="4252"/>
        <w:tab w:val="right" w:pos="8504"/>
      </w:tabs>
      <w:rPr>
        <w:rFonts w:ascii="Cambria" w:eastAsia="Cambria" w:hAnsi="Cambria" w:cs="Cambria"/>
        <w:color w:val="000000"/>
      </w:rPr>
    </w:pPr>
  </w:p>
  <w:p w:rsidR="00223418" w:rsidRDefault="002234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81A5B"/>
    <w:multiLevelType w:val="multilevel"/>
    <w:tmpl w:val="A868223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237A2973"/>
    <w:multiLevelType w:val="multilevel"/>
    <w:tmpl w:val="CE1CC0C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4EE1296"/>
    <w:multiLevelType w:val="multilevel"/>
    <w:tmpl w:val="4F06203C"/>
    <w:lvl w:ilvl="0">
      <w:start w:val="1"/>
      <w:numFmt w:val="lowerLetter"/>
      <w:lvlText w:val="%1)"/>
      <w:lvlJc w:val="left"/>
      <w:pPr>
        <w:ind w:left="1068" w:hanging="360"/>
      </w:pPr>
      <w:rPr>
        <w:rFonts w:ascii="Palatino Linotype" w:eastAsia="Palatino Linotype" w:hAnsi="Palatino Linotype" w:cs="Palatino Linotype"/>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nsid w:val="5D0550D2"/>
    <w:multiLevelType w:val="multilevel"/>
    <w:tmpl w:val="88664776"/>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
    <w:nsid w:val="6B086ED3"/>
    <w:multiLevelType w:val="multilevel"/>
    <w:tmpl w:val="DD8C03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8C33608"/>
    <w:multiLevelType w:val="multilevel"/>
    <w:tmpl w:val="0BECBD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CC85B7F"/>
    <w:multiLevelType w:val="multilevel"/>
    <w:tmpl w:val="D604E1C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6"/>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418"/>
    <w:rsid w:val="000013F9"/>
    <w:rsid w:val="00006B49"/>
    <w:rsid w:val="00026010"/>
    <w:rsid w:val="00026789"/>
    <w:rsid w:val="00042B2C"/>
    <w:rsid w:val="000468E4"/>
    <w:rsid w:val="000926C8"/>
    <w:rsid w:val="000A0DE3"/>
    <w:rsid w:val="000C5338"/>
    <w:rsid w:val="00124749"/>
    <w:rsid w:val="0016373E"/>
    <w:rsid w:val="001B3A80"/>
    <w:rsid w:val="001D02DB"/>
    <w:rsid w:val="001E2AD0"/>
    <w:rsid w:val="00223418"/>
    <w:rsid w:val="00236150"/>
    <w:rsid w:val="002C0FD6"/>
    <w:rsid w:val="0034613C"/>
    <w:rsid w:val="003761F1"/>
    <w:rsid w:val="003770AF"/>
    <w:rsid w:val="00397425"/>
    <w:rsid w:val="003C50B6"/>
    <w:rsid w:val="00415EC0"/>
    <w:rsid w:val="00421266"/>
    <w:rsid w:val="00422D28"/>
    <w:rsid w:val="0043360A"/>
    <w:rsid w:val="00483761"/>
    <w:rsid w:val="004B516C"/>
    <w:rsid w:val="004D5165"/>
    <w:rsid w:val="0055348A"/>
    <w:rsid w:val="005800FC"/>
    <w:rsid w:val="006466D0"/>
    <w:rsid w:val="00660D52"/>
    <w:rsid w:val="00686840"/>
    <w:rsid w:val="006D2783"/>
    <w:rsid w:val="00734343"/>
    <w:rsid w:val="007363E9"/>
    <w:rsid w:val="00761F63"/>
    <w:rsid w:val="0079111D"/>
    <w:rsid w:val="007966EE"/>
    <w:rsid w:val="007A00FD"/>
    <w:rsid w:val="007A3814"/>
    <w:rsid w:val="007A50FE"/>
    <w:rsid w:val="007B0F72"/>
    <w:rsid w:val="007B3A5E"/>
    <w:rsid w:val="00842071"/>
    <w:rsid w:val="008516DC"/>
    <w:rsid w:val="0085267F"/>
    <w:rsid w:val="00871F9F"/>
    <w:rsid w:val="00884DC7"/>
    <w:rsid w:val="008D715B"/>
    <w:rsid w:val="009172B6"/>
    <w:rsid w:val="00924BCD"/>
    <w:rsid w:val="00933D3B"/>
    <w:rsid w:val="00A211C8"/>
    <w:rsid w:val="00A57AD7"/>
    <w:rsid w:val="00A76F9A"/>
    <w:rsid w:val="00A8143F"/>
    <w:rsid w:val="00A90D03"/>
    <w:rsid w:val="00AC5BC7"/>
    <w:rsid w:val="00B202AE"/>
    <w:rsid w:val="00B80E5B"/>
    <w:rsid w:val="00B94AF1"/>
    <w:rsid w:val="00BA0CB0"/>
    <w:rsid w:val="00BB23E6"/>
    <w:rsid w:val="00BB7F77"/>
    <w:rsid w:val="00BE37E4"/>
    <w:rsid w:val="00BF4F5E"/>
    <w:rsid w:val="00C51CA7"/>
    <w:rsid w:val="00C71038"/>
    <w:rsid w:val="00CA576C"/>
    <w:rsid w:val="00CE49E6"/>
    <w:rsid w:val="00D35EC3"/>
    <w:rsid w:val="00D37DE0"/>
    <w:rsid w:val="00D6411E"/>
    <w:rsid w:val="00D8274C"/>
    <w:rsid w:val="00D871E2"/>
    <w:rsid w:val="00D939C5"/>
    <w:rsid w:val="00DA328D"/>
    <w:rsid w:val="00DD4AEC"/>
    <w:rsid w:val="00DE1924"/>
    <w:rsid w:val="00E032DD"/>
    <w:rsid w:val="00E75333"/>
    <w:rsid w:val="00ED7DFC"/>
    <w:rsid w:val="00F145AE"/>
    <w:rsid w:val="00F775B6"/>
    <w:rsid w:val="00F875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308117-19B8-4805-B594-3D14A09E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634"/>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3">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3"/>
    <w:tblPr>
      <w:tblStyleRowBandSize w:val="1"/>
      <w:tblStyleColBandSize w:val="1"/>
      <w:tblCellMar>
        <w:top w:w="0" w:type="dxa"/>
        <w:left w:w="115" w:type="dxa"/>
        <w:bottom w:w="0" w:type="dxa"/>
        <w:right w:w="115" w:type="dxa"/>
      </w:tblCellMar>
    </w:tblPr>
  </w:style>
  <w:style w:type="table" w:customStyle="1" w:styleId="3">
    <w:name w:val="3"/>
    <w:basedOn w:val="TableNormal13"/>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3"/>
    <w:tblPr>
      <w:tblStyleRowBandSize w:val="1"/>
      <w:tblStyleColBandSize w:val="1"/>
      <w:tblCellMar>
        <w:top w:w="0" w:type="dxa"/>
        <w:left w:w="115" w:type="dxa"/>
        <w:bottom w:w="0" w:type="dxa"/>
        <w:right w:w="115" w:type="dxa"/>
      </w:tblCellMar>
    </w:tblPr>
  </w:style>
  <w:style w:type="table" w:customStyle="1" w:styleId="1">
    <w:name w:val="1"/>
    <w:basedOn w:val="TableNormal13"/>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
    <w:tblPr>
      <w:tblStyleRowBandSize w:val="1"/>
      <w:tblStyleColBandSize w:val="1"/>
      <w:tblCellMar>
        <w:top w:w="0" w:type="dxa"/>
        <w:left w:w="115" w:type="dxa"/>
        <w:bottom w:w="0" w:type="dxa"/>
        <w:right w:w="115" w:type="dxa"/>
      </w:tblCellMar>
    </w:tblPr>
  </w:style>
  <w:style w:type="table" w:customStyle="1" w:styleId="6">
    <w:name w:val="6"/>
    <w:basedOn w:val="TableNormal3"/>
    <w:tblPr>
      <w:tblStyleRowBandSize w:val="1"/>
      <w:tblStyleColBandSize w:val="1"/>
      <w:tblCellMar>
        <w:top w:w="0" w:type="dxa"/>
        <w:left w:w="115" w:type="dxa"/>
        <w:bottom w:w="0" w:type="dxa"/>
        <w:right w:w="115" w:type="dxa"/>
      </w:tblCellMar>
    </w:tblPr>
  </w:style>
  <w:style w:type="table" w:customStyle="1" w:styleId="20">
    <w:name w:val="20"/>
    <w:basedOn w:val="TableNormal4"/>
    <w:tblPr>
      <w:tblStyleRowBandSize w:val="1"/>
      <w:tblStyleColBandSize w:val="1"/>
      <w:tblCellMar>
        <w:top w:w="0" w:type="dxa"/>
        <w:left w:w="115" w:type="dxa"/>
        <w:bottom w:w="0" w:type="dxa"/>
        <w:right w:w="115" w:type="dxa"/>
      </w:tblCellMar>
    </w:tblPr>
  </w:style>
  <w:style w:type="table" w:customStyle="1" w:styleId="19">
    <w:name w:val="19"/>
    <w:basedOn w:val="TableNormal4"/>
    <w:tblPr>
      <w:tblStyleRowBandSize w:val="1"/>
      <w:tblStyleColBandSize w:val="1"/>
      <w:tblCellMar>
        <w:top w:w="0" w:type="dxa"/>
        <w:left w:w="115" w:type="dxa"/>
        <w:bottom w:w="0" w:type="dxa"/>
        <w:right w:w="115" w:type="dxa"/>
      </w:tblCellMar>
    </w:tblPr>
  </w:style>
  <w:style w:type="table" w:customStyle="1" w:styleId="18">
    <w:name w:val="18"/>
    <w:basedOn w:val="TableNormal5"/>
    <w:tblPr>
      <w:tblStyleRowBandSize w:val="1"/>
      <w:tblStyleColBandSize w:val="1"/>
      <w:tblCellMar>
        <w:top w:w="0" w:type="dxa"/>
        <w:left w:w="115" w:type="dxa"/>
        <w:bottom w:w="0" w:type="dxa"/>
        <w:right w:w="115" w:type="dxa"/>
      </w:tblCellMar>
    </w:tblPr>
  </w:style>
  <w:style w:type="table" w:customStyle="1" w:styleId="17">
    <w:name w:val="17"/>
    <w:basedOn w:val="TableNormal5"/>
    <w:tblPr>
      <w:tblStyleRowBandSize w:val="1"/>
      <w:tblStyleColBandSize w:val="1"/>
      <w:tblCellMar>
        <w:top w:w="0" w:type="dxa"/>
        <w:left w:w="115" w:type="dxa"/>
        <w:bottom w:w="0" w:type="dxa"/>
        <w:right w:w="115" w:type="dxa"/>
      </w:tblCellMar>
    </w:tblPr>
  </w:style>
  <w:style w:type="table" w:customStyle="1" w:styleId="16">
    <w:name w:val="16"/>
    <w:basedOn w:val="TableNormal6"/>
    <w:tblPr>
      <w:tblStyleRowBandSize w:val="1"/>
      <w:tblStyleColBandSize w:val="1"/>
      <w:tblCellMar>
        <w:top w:w="0" w:type="dxa"/>
        <w:left w:w="115" w:type="dxa"/>
        <w:bottom w:w="0" w:type="dxa"/>
        <w:right w:w="115" w:type="dxa"/>
      </w:tblCellMar>
    </w:tblPr>
  </w:style>
  <w:style w:type="table" w:customStyle="1" w:styleId="15">
    <w:name w:val="15"/>
    <w:basedOn w:val="TableNormal6"/>
    <w:tblPr>
      <w:tblStyleRowBandSize w:val="1"/>
      <w:tblStyleColBandSize w:val="1"/>
      <w:tblCellMar>
        <w:top w:w="0" w:type="dxa"/>
        <w:left w:w="115" w:type="dxa"/>
        <w:bottom w:w="0" w:type="dxa"/>
        <w:right w:w="115" w:type="dxa"/>
      </w:tblCellMar>
    </w:tblPr>
  </w:style>
  <w:style w:type="table" w:customStyle="1" w:styleId="14">
    <w:name w:val="14"/>
    <w:basedOn w:val="TableNormal7"/>
    <w:tblPr>
      <w:tblStyleRowBandSize w:val="1"/>
      <w:tblStyleColBandSize w:val="1"/>
      <w:tblCellMar>
        <w:top w:w="0" w:type="dxa"/>
        <w:left w:w="115" w:type="dxa"/>
        <w:bottom w:w="0" w:type="dxa"/>
        <w:right w:w="115" w:type="dxa"/>
      </w:tblCellMar>
    </w:tblPr>
  </w:style>
  <w:style w:type="table" w:customStyle="1" w:styleId="13">
    <w:name w:val="13"/>
    <w:basedOn w:val="TableNormal7"/>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top w:w="0" w:type="dxa"/>
        <w:left w:w="115" w:type="dxa"/>
        <w:bottom w:w="0" w:type="dxa"/>
        <w:right w:w="115" w:type="dxa"/>
      </w:tblCellMar>
    </w:tblPr>
  </w:style>
  <w:style w:type="table" w:customStyle="1" w:styleId="10">
    <w:name w:val="10"/>
    <w:basedOn w:val="TableNormal8"/>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33">
    <w:name w:val="33"/>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2">
    <w:name w:val="32"/>
    <w:basedOn w:val="TableNormal10"/>
    <w:tblPr>
      <w:tblStyleRowBandSize w:val="1"/>
      <w:tblStyleColBandSize w:val="1"/>
      <w:tblCellMar>
        <w:top w:w="0" w:type="dxa"/>
        <w:left w:w="115" w:type="dxa"/>
        <w:bottom w:w="0" w:type="dxa"/>
        <w:right w:w="115" w:type="dxa"/>
      </w:tblCellMar>
    </w:tblPr>
  </w:style>
  <w:style w:type="table" w:customStyle="1" w:styleId="31">
    <w:name w:val="31"/>
    <w:basedOn w:val="TableNormal10"/>
    <w:tblPr>
      <w:tblStyleRowBandSize w:val="1"/>
      <w:tblStyleColBandSize w:val="1"/>
      <w:tblCellMar>
        <w:top w:w="0" w:type="dxa"/>
        <w:left w:w="115" w:type="dxa"/>
        <w:bottom w:w="0" w:type="dxa"/>
        <w:right w:w="115" w:type="dxa"/>
      </w:tblCellMar>
    </w:tblPr>
  </w:style>
  <w:style w:type="table" w:customStyle="1" w:styleId="30">
    <w:name w:val="30"/>
    <w:basedOn w:val="TableNormal11"/>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9">
    <w:name w:val="29"/>
    <w:basedOn w:val="TableNormal11"/>
    <w:tblPr>
      <w:tblStyleRowBandSize w:val="1"/>
      <w:tblStyleColBandSize w:val="1"/>
      <w:tblCellMar>
        <w:top w:w="0" w:type="dxa"/>
        <w:left w:w="115" w:type="dxa"/>
        <w:bottom w:w="0" w:type="dxa"/>
        <w:right w:w="115" w:type="dxa"/>
      </w:tblCellMar>
    </w:tblPr>
  </w:style>
  <w:style w:type="table" w:customStyle="1" w:styleId="28">
    <w:name w:val="28"/>
    <w:basedOn w:val="TableNormal11"/>
    <w:tblPr>
      <w:tblStyleRowBandSize w:val="1"/>
      <w:tblStyleColBandSize w:val="1"/>
      <w:tblCellMar>
        <w:top w:w="0" w:type="dxa"/>
        <w:left w:w="115" w:type="dxa"/>
        <w:bottom w:w="0" w:type="dxa"/>
        <w:right w:w="115" w:type="dxa"/>
      </w:tblCellMar>
    </w:tblPr>
  </w:style>
  <w:style w:type="table" w:customStyle="1" w:styleId="27">
    <w:name w:val="27"/>
    <w:basedOn w:val="TableNormal1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6">
    <w:name w:val="26"/>
    <w:basedOn w:val="TableNormal12"/>
    <w:tblPr>
      <w:tblStyleRowBandSize w:val="1"/>
      <w:tblStyleColBandSize w:val="1"/>
      <w:tblCellMar>
        <w:top w:w="0" w:type="dxa"/>
        <w:left w:w="115" w:type="dxa"/>
        <w:bottom w:w="0" w:type="dxa"/>
        <w:right w:w="115" w:type="dxa"/>
      </w:tblCellMar>
    </w:tblPr>
  </w:style>
  <w:style w:type="table" w:customStyle="1" w:styleId="25">
    <w:name w:val="25"/>
    <w:basedOn w:val="TableNormal12"/>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character" w:customStyle="1" w:styleId="Mencinsinresolver5">
    <w:name w:val="Mención sin resolver5"/>
    <w:basedOn w:val="Fuentedeprrafopredeter"/>
    <w:uiPriority w:val="99"/>
    <w:semiHidden/>
    <w:unhideWhenUsed/>
    <w:rsid w:val="0038382C"/>
    <w:rPr>
      <w:color w:val="605E5C"/>
      <w:shd w:val="clear" w:color="auto" w:fill="E1DFDD"/>
    </w:rPr>
  </w:style>
  <w:style w:type="paragraph" w:styleId="Saludo">
    <w:name w:val="Salutation"/>
    <w:basedOn w:val="Normal"/>
    <w:next w:val="Normal"/>
    <w:link w:val="SaludoCar"/>
    <w:uiPriority w:val="99"/>
    <w:unhideWhenUsed/>
    <w:rsid w:val="00A3256F"/>
  </w:style>
  <w:style w:type="character" w:customStyle="1" w:styleId="SaludoCar">
    <w:name w:val="Saludo Car"/>
    <w:basedOn w:val="Fuentedeprrafopredeter"/>
    <w:link w:val="Saludo"/>
    <w:uiPriority w:val="99"/>
    <w:rsid w:val="00A3256F"/>
  </w:style>
  <w:style w:type="paragraph" w:styleId="Listaconvietas2">
    <w:name w:val="List Bullet 2"/>
    <w:basedOn w:val="Normal"/>
    <w:uiPriority w:val="99"/>
    <w:unhideWhenUsed/>
    <w:rsid w:val="00A3256F"/>
    <w:pPr>
      <w:tabs>
        <w:tab w:val="num" w:pos="720"/>
      </w:tabs>
      <w:ind w:left="720" w:hanging="720"/>
      <w:contextualSpacing/>
    </w:p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079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mIyF3w6SlGKpOX87oVSjUYm3jw==">CgMxLjAyCGguZ2pkZ3hzMgloLjNkeTZ2a20yCWguMzBqMHpsbDIJaC4yczhleW8xMghoLnR5amN3dDIJaC4zem55c2g3MgloLjJldDkycDAyCWguMjZpbjFyZzIJaC40ZDM0b2c4MgloLjFmb2I5dGUyCWguM3JkY3JqbjIJaC4xdDNoNXNmOAByITFHOFA2eHdSOEo1VUFKdmNyZTkzX19IWTR1Znl5Q2tnUg==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64BA76-1F02-4FAD-9009-D2BDD2128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4285</Words>
  <Characters>23570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INFOEM563</cp:lastModifiedBy>
  <cp:revision>2</cp:revision>
  <cp:lastPrinted>2023-11-17T16:11:00Z</cp:lastPrinted>
  <dcterms:created xsi:type="dcterms:W3CDTF">2023-12-05T19:10:00Z</dcterms:created>
  <dcterms:modified xsi:type="dcterms:W3CDTF">2023-12-05T19:10:00Z</dcterms:modified>
</cp:coreProperties>
</file>