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1CA879" w14:textId="58F160E3" w:rsidR="006168E4" w:rsidRPr="00A66EEC" w:rsidRDefault="006168E4" w:rsidP="006F5F55">
      <w:pPr>
        <w:spacing w:before="240" w:line="360" w:lineRule="auto"/>
        <w:jc w:val="both"/>
        <w:rPr>
          <w:rFonts w:ascii="Palatino Linotype" w:eastAsia="Times New Roman" w:hAnsi="Palatino Linotype" w:cs="Arial"/>
          <w:color w:val="000000"/>
          <w:sz w:val="24"/>
          <w:szCs w:val="24"/>
          <w:lang w:eastAsia="es-MX"/>
        </w:rPr>
      </w:pPr>
      <w:r w:rsidRPr="00A66EEC">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34B07" w:rsidRPr="00A66EEC">
        <w:rPr>
          <w:rFonts w:ascii="Palatino Linotype" w:eastAsia="Times New Roman" w:hAnsi="Palatino Linotype" w:cs="Arial"/>
          <w:color w:val="000000"/>
          <w:sz w:val="24"/>
          <w:szCs w:val="24"/>
          <w:lang w:eastAsia="es-MX"/>
        </w:rPr>
        <w:t xml:space="preserve">trece de septiembre de dos mil veintitrés. </w:t>
      </w:r>
      <w:r w:rsidR="00A162CE" w:rsidRPr="00A66EEC">
        <w:rPr>
          <w:rFonts w:ascii="Palatino Linotype" w:eastAsia="Times New Roman" w:hAnsi="Palatino Linotype" w:cs="Arial"/>
          <w:color w:val="000000"/>
          <w:sz w:val="24"/>
          <w:szCs w:val="24"/>
          <w:lang w:eastAsia="es-MX"/>
        </w:rPr>
        <w:t xml:space="preserve"> </w:t>
      </w:r>
      <w:r w:rsidR="00E17E73" w:rsidRPr="00A66EEC">
        <w:rPr>
          <w:rFonts w:ascii="Palatino Linotype" w:eastAsia="Times New Roman" w:hAnsi="Palatino Linotype" w:cs="Arial"/>
          <w:color w:val="000000"/>
          <w:sz w:val="24"/>
          <w:szCs w:val="24"/>
          <w:lang w:eastAsia="es-MX"/>
        </w:rPr>
        <w:t xml:space="preserve"> </w:t>
      </w:r>
      <w:r w:rsidR="00C52141" w:rsidRPr="00A66EEC">
        <w:rPr>
          <w:rFonts w:ascii="Palatino Linotype" w:eastAsia="Times New Roman" w:hAnsi="Palatino Linotype" w:cs="Arial"/>
          <w:color w:val="000000"/>
          <w:sz w:val="24"/>
          <w:szCs w:val="24"/>
          <w:lang w:eastAsia="es-MX"/>
        </w:rPr>
        <w:t xml:space="preserve"> </w:t>
      </w:r>
      <w:r w:rsidR="003D5CFF" w:rsidRPr="00A66EEC">
        <w:rPr>
          <w:rFonts w:ascii="Palatino Linotype" w:eastAsia="Times New Roman" w:hAnsi="Palatino Linotype" w:cs="Arial"/>
          <w:color w:val="000000"/>
          <w:sz w:val="24"/>
          <w:szCs w:val="24"/>
          <w:lang w:eastAsia="es-MX"/>
        </w:rPr>
        <w:t xml:space="preserve"> </w:t>
      </w:r>
      <w:r w:rsidR="00D22411" w:rsidRPr="00A66EEC">
        <w:rPr>
          <w:rFonts w:ascii="Palatino Linotype" w:eastAsia="Times New Roman" w:hAnsi="Palatino Linotype" w:cs="Arial"/>
          <w:color w:val="000000"/>
          <w:sz w:val="24"/>
          <w:szCs w:val="24"/>
          <w:lang w:eastAsia="es-MX"/>
        </w:rPr>
        <w:t xml:space="preserve"> </w:t>
      </w:r>
      <w:r w:rsidR="00BE673B" w:rsidRPr="00A66EEC">
        <w:rPr>
          <w:rFonts w:ascii="Palatino Linotype" w:eastAsia="Times New Roman" w:hAnsi="Palatino Linotype" w:cs="Arial"/>
          <w:color w:val="000000"/>
          <w:sz w:val="24"/>
          <w:szCs w:val="24"/>
          <w:lang w:eastAsia="es-MX"/>
        </w:rPr>
        <w:t xml:space="preserve"> </w:t>
      </w:r>
      <w:r w:rsidR="00FB6049" w:rsidRPr="00A66EEC">
        <w:rPr>
          <w:rFonts w:ascii="Palatino Linotype" w:eastAsia="Times New Roman" w:hAnsi="Palatino Linotype" w:cs="Arial"/>
          <w:color w:val="000000"/>
          <w:sz w:val="24"/>
          <w:szCs w:val="24"/>
          <w:lang w:eastAsia="es-MX"/>
        </w:rPr>
        <w:t xml:space="preserve"> </w:t>
      </w:r>
      <w:r w:rsidR="00817A08" w:rsidRPr="00A66EEC">
        <w:rPr>
          <w:rFonts w:ascii="Palatino Linotype" w:eastAsia="Times New Roman" w:hAnsi="Palatino Linotype" w:cs="Arial"/>
          <w:color w:val="000000"/>
          <w:sz w:val="24"/>
          <w:szCs w:val="24"/>
          <w:lang w:eastAsia="es-MX"/>
        </w:rPr>
        <w:t xml:space="preserve"> </w:t>
      </w:r>
    </w:p>
    <w:p w14:paraId="3437B2F9" w14:textId="5D0F1FDC" w:rsidR="00834B07" w:rsidRPr="00A66EEC" w:rsidRDefault="006168E4" w:rsidP="006F5F55">
      <w:pPr>
        <w:tabs>
          <w:tab w:val="left" w:pos="1701"/>
        </w:tabs>
        <w:spacing w:before="240" w:line="360" w:lineRule="auto"/>
        <w:jc w:val="both"/>
        <w:rPr>
          <w:rFonts w:ascii="Palatino Linotype" w:hAnsi="Palatino Linotype" w:cs="Arial"/>
          <w:sz w:val="24"/>
          <w:szCs w:val="24"/>
        </w:rPr>
      </w:pPr>
      <w:r w:rsidRPr="00A66EEC">
        <w:rPr>
          <w:rFonts w:ascii="Palatino Linotype" w:hAnsi="Palatino Linotype" w:cs="Arial"/>
          <w:b/>
          <w:sz w:val="24"/>
        </w:rPr>
        <w:t>VISTO</w:t>
      </w:r>
      <w:r w:rsidRPr="00A66EEC">
        <w:rPr>
          <w:rFonts w:ascii="Palatino Linotype" w:hAnsi="Palatino Linotype" w:cs="Arial"/>
          <w:sz w:val="24"/>
        </w:rPr>
        <w:t xml:space="preserve"> el expediente electrónico formado con motivo del recurso de revisión número </w:t>
      </w:r>
      <w:r w:rsidR="00C52141" w:rsidRPr="00A66EEC">
        <w:rPr>
          <w:rFonts w:ascii="Palatino Linotype" w:hAnsi="Palatino Linotype" w:cs="Arial"/>
          <w:b/>
          <w:bCs/>
          <w:sz w:val="24"/>
          <w:lang w:eastAsia="es-MX"/>
        </w:rPr>
        <w:t>0</w:t>
      </w:r>
      <w:r w:rsidR="00834B07" w:rsidRPr="00A66EEC">
        <w:rPr>
          <w:rFonts w:ascii="Palatino Linotype" w:hAnsi="Palatino Linotype" w:cs="Arial"/>
          <w:b/>
          <w:bCs/>
          <w:sz w:val="24"/>
          <w:lang w:eastAsia="es-MX"/>
        </w:rPr>
        <w:t>4600</w:t>
      </w:r>
      <w:r w:rsidR="00F403EA" w:rsidRPr="00A66EEC">
        <w:rPr>
          <w:rFonts w:ascii="Palatino Linotype" w:hAnsi="Palatino Linotype" w:cs="Arial"/>
          <w:b/>
          <w:bCs/>
          <w:sz w:val="24"/>
          <w:lang w:eastAsia="es-MX"/>
        </w:rPr>
        <w:t>/</w:t>
      </w:r>
      <w:r w:rsidR="00D06CA0" w:rsidRPr="00A66EEC">
        <w:rPr>
          <w:rFonts w:ascii="Palatino Linotype" w:hAnsi="Palatino Linotype" w:cs="Arial"/>
          <w:b/>
          <w:bCs/>
          <w:sz w:val="24"/>
          <w:lang w:eastAsia="es-MX"/>
        </w:rPr>
        <w:t>INFOEM/IP/RR/20</w:t>
      </w:r>
      <w:r w:rsidR="00EC3C36" w:rsidRPr="00A66EEC">
        <w:rPr>
          <w:rFonts w:ascii="Palatino Linotype" w:hAnsi="Palatino Linotype" w:cs="Arial"/>
          <w:b/>
          <w:bCs/>
          <w:sz w:val="24"/>
          <w:lang w:eastAsia="es-MX"/>
        </w:rPr>
        <w:t>2</w:t>
      </w:r>
      <w:r w:rsidR="00BE673B" w:rsidRPr="00A66EEC">
        <w:rPr>
          <w:rFonts w:ascii="Palatino Linotype" w:hAnsi="Palatino Linotype" w:cs="Arial"/>
          <w:b/>
          <w:bCs/>
          <w:sz w:val="24"/>
          <w:lang w:eastAsia="es-MX"/>
        </w:rPr>
        <w:t>3</w:t>
      </w:r>
      <w:r w:rsidRPr="00A66EEC">
        <w:rPr>
          <w:rFonts w:ascii="Palatino Linotype" w:hAnsi="Palatino Linotype" w:cs="Arial"/>
          <w:sz w:val="24"/>
        </w:rPr>
        <w:t xml:space="preserve">, </w:t>
      </w:r>
      <w:r w:rsidRPr="00A66EEC">
        <w:rPr>
          <w:rFonts w:ascii="Palatino Linotype" w:hAnsi="Palatino Linotype" w:cs="Arial"/>
          <w:sz w:val="24"/>
          <w:szCs w:val="24"/>
        </w:rPr>
        <w:t>interpuesto por</w:t>
      </w:r>
      <w:r w:rsidR="00FB6049" w:rsidRPr="00A66EEC">
        <w:rPr>
          <w:rFonts w:ascii="Palatino Linotype" w:hAnsi="Palatino Linotype" w:cs="Arial"/>
          <w:sz w:val="24"/>
          <w:szCs w:val="24"/>
        </w:rPr>
        <w:t xml:space="preserve"> </w:t>
      </w:r>
      <w:r w:rsidR="00834B07" w:rsidRPr="00A66EEC">
        <w:rPr>
          <w:rFonts w:ascii="Palatino Linotype" w:hAnsi="Palatino Linotype" w:cs="Arial"/>
          <w:sz w:val="24"/>
          <w:szCs w:val="24"/>
        </w:rPr>
        <w:t xml:space="preserve">un particular, en lo sucesivo </w:t>
      </w:r>
      <w:r w:rsidR="00834B07" w:rsidRPr="00A66EEC">
        <w:rPr>
          <w:rFonts w:ascii="Palatino Linotype" w:hAnsi="Palatino Linotype" w:cs="Arial"/>
          <w:b/>
          <w:bCs/>
          <w:sz w:val="24"/>
          <w:szCs w:val="24"/>
        </w:rPr>
        <w:t xml:space="preserve">El Recurrente, </w:t>
      </w:r>
      <w:r w:rsidR="00834B07" w:rsidRPr="00A66EEC">
        <w:rPr>
          <w:rFonts w:ascii="Palatino Linotype" w:hAnsi="Palatino Linotype" w:cs="Arial"/>
          <w:sz w:val="24"/>
          <w:szCs w:val="24"/>
        </w:rPr>
        <w:t xml:space="preserve">en contra de la respuesta del </w:t>
      </w:r>
      <w:r w:rsidR="00834B07" w:rsidRPr="00A66EEC">
        <w:rPr>
          <w:rFonts w:ascii="Palatino Linotype" w:hAnsi="Palatino Linotype" w:cs="Arial"/>
          <w:b/>
          <w:bCs/>
          <w:sz w:val="24"/>
          <w:szCs w:val="24"/>
        </w:rPr>
        <w:t xml:space="preserve">Ayuntamiento de Tonanitla, </w:t>
      </w:r>
      <w:r w:rsidR="00834B07" w:rsidRPr="00A66EEC">
        <w:rPr>
          <w:rFonts w:ascii="Palatino Linotype" w:hAnsi="Palatino Linotype" w:cs="Arial"/>
          <w:sz w:val="24"/>
          <w:szCs w:val="24"/>
        </w:rPr>
        <w:t xml:space="preserve">en lo subsecuente </w:t>
      </w:r>
      <w:r w:rsidR="00834B07" w:rsidRPr="00A66EEC">
        <w:rPr>
          <w:rFonts w:ascii="Palatino Linotype" w:hAnsi="Palatino Linotype" w:cs="Arial"/>
          <w:b/>
          <w:bCs/>
          <w:sz w:val="24"/>
          <w:szCs w:val="24"/>
        </w:rPr>
        <w:t xml:space="preserve">El Sujeto Obligado, </w:t>
      </w:r>
      <w:r w:rsidR="00834B07" w:rsidRPr="00A66EEC">
        <w:rPr>
          <w:rFonts w:ascii="Palatino Linotype" w:hAnsi="Palatino Linotype" w:cs="Arial"/>
          <w:sz w:val="24"/>
          <w:szCs w:val="24"/>
        </w:rPr>
        <w:t xml:space="preserve">se procede a dictar la presente resolución. </w:t>
      </w:r>
    </w:p>
    <w:p w14:paraId="5895D198" w14:textId="77777777" w:rsidR="00834B07" w:rsidRPr="00A66EEC" w:rsidRDefault="00834B07" w:rsidP="006F5F55">
      <w:pPr>
        <w:tabs>
          <w:tab w:val="left" w:pos="1701"/>
        </w:tabs>
        <w:spacing w:before="240" w:line="360" w:lineRule="auto"/>
        <w:jc w:val="both"/>
        <w:rPr>
          <w:rFonts w:ascii="Palatino Linotype" w:hAnsi="Palatino Linotype" w:cs="Arial"/>
          <w:sz w:val="24"/>
          <w:szCs w:val="24"/>
        </w:rPr>
      </w:pPr>
    </w:p>
    <w:p w14:paraId="39A8E1A3" w14:textId="7B30AA56" w:rsidR="006168E4" w:rsidRPr="00A66EEC" w:rsidRDefault="006168E4" w:rsidP="00844569">
      <w:pPr>
        <w:spacing w:before="240" w:after="240" w:line="360" w:lineRule="auto"/>
        <w:jc w:val="center"/>
        <w:rPr>
          <w:rFonts w:ascii="Palatino Linotype" w:hAnsi="Palatino Linotype"/>
          <w:b/>
          <w:sz w:val="28"/>
        </w:rPr>
      </w:pPr>
      <w:r w:rsidRPr="00A66EEC">
        <w:rPr>
          <w:rFonts w:ascii="Palatino Linotype" w:hAnsi="Palatino Linotype"/>
          <w:b/>
          <w:sz w:val="28"/>
        </w:rPr>
        <w:t>A N T E C E D E N T E S   D E L   A S U N T O</w:t>
      </w:r>
    </w:p>
    <w:p w14:paraId="1EE5021C" w14:textId="77777777" w:rsidR="006168E4" w:rsidRPr="00A66EEC" w:rsidRDefault="006168E4" w:rsidP="00844569">
      <w:pPr>
        <w:spacing w:before="240" w:after="240" w:line="360" w:lineRule="auto"/>
        <w:jc w:val="both"/>
        <w:rPr>
          <w:rFonts w:ascii="Palatino Linotype" w:hAnsi="Palatino Linotype"/>
        </w:rPr>
      </w:pPr>
      <w:r w:rsidRPr="00A66EEC">
        <w:rPr>
          <w:rFonts w:ascii="Palatino Linotype" w:hAnsi="Palatino Linotype" w:cs="Arial"/>
          <w:b/>
          <w:sz w:val="28"/>
        </w:rPr>
        <w:t>PRIMERO.</w:t>
      </w:r>
      <w:r w:rsidRPr="00A66EEC">
        <w:rPr>
          <w:rFonts w:ascii="Palatino Linotype" w:hAnsi="Palatino Linotype" w:cs="Arial"/>
        </w:rPr>
        <w:t xml:space="preserve"> </w:t>
      </w:r>
      <w:r w:rsidRPr="00A66EEC">
        <w:rPr>
          <w:rFonts w:ascii="Palatino Linotype" w:hAnsi="Palatino Linotype"/>
          <w:b/>
          <w:sz w:val="28"/>
          <w:szCs w:val="28"/>
        </w:rPr>
        <w:t>De la Solicitud de Información.</w:t>
      </w:r>
    </w:p>
    <w:p w14:paraId="26716DAA" w14:textId="5B0A0058" w:rsidR="00834B07" w:rsidRPr="00A66EEC" w:rsidRDefault="006168E4" w:rsidP="00844569">
      <w:pPr>
        <w:spacing w:before="240" w:line="360" w:lineRule="auto"/>
        <w:jc w:val="both"/>
        <w:rPr>
          <w:rFonts w:ascii="Palatino Linotype" w:hAnsi="Palatino Linotype" w:cs="Arial"/>
          <w:sz w:val="24"/>
        </w:rPr>
      </w:pPr>
      <w:r w:rsidRPr="00A66EEC">
        <w:rPr>
          <w:rFonts w:ascii="Palatino Linotype" w:hAnsi="Palatino Linotype" w:cs="Arial"/>
          <w:sz w:val="24"/>
        </w:rPr>
        <w:t xml:space="preserve">Con </w:t>
      </w:r>
      <w:r w:rsidR="00C03F20" w:rsidRPr="00A66EEC">
        <w:rPr>
          <w:rFonts w:ascii="Palatino Linotype" w:hAnsi="Palatino Linotype" w:cs="Arial"/>
          <w:sz w:val="24"/>
        </w:rPr>
        <w:t>fecha</w:t>
      </w:r>
      <w:r w:rsidR="00D22411" w:rsidRPr="00A66EEC">
        <w:rPr>
          <w:rFonts w:ascii="Palatino Linotype" w:hAnsi="Palatino Linotype" w:cs="Arial"/>
          <w:sz w:val="24"/>
        </w:rPr>
        <w:t xml:space="preserve"> </w:t>
      </w:r>
      <w:r w:rsidR="00834B07" w:rsidRPr="00A66EEC">
        <w:rPr>
          <w:rFonts w:ascii="Palatino Linotype" w:hAnsi="Palatino Linotype" w:cs="Arial"/>
          <w:sz w:val="24"/>
        </w:rPr>
        <w:t xml:space="preserve">trece de julio de dos mil veintitrés, </w:t>
      </w:r>
      <w:r w:rsidR="00834B07" w:rsidRPr="00A66EEC">
        <w:rPr>
          <w:rFonts w:ascii="Palatino Linotype" w:hAnsi="Palatino Linotype" w:cs="Arial"/>
          <w:b/>
          <w:bCs/>
          <w:sz w:val="24"/>
        </w:rPr>
        <w:t xml:space="preserve">El Recurrente, </w:t>
      </w:r>
      <w:r w:rsidR="00834B07" w:rsidRPr="00A66EEC">
        <w:rPr>
          <w:rFonts w:ascii="Palatino Linotype" w:hAnsi="Palatino Linotype" w:cs="Arial"/>
          <w:sz w:val="24"/>
        </w:rPr>
        <w:t>presentó a través del Sistema de Acceso a la Información Mexiquense (</w:t>
      </w:r>
      <w:r w:rsidR="00834B07" w:rsidRPr="00A66EEC">
        <w:rPr>
          <w:rFonts w:ascii="Palatino Linotype" w:hAnsi="Palatino Linotype" w:cs="Arial"/>
          <w:b/>
          <w:sz w:val="24"/>
        </w:rPr>
        <w:t>SAIMEX)</w:t>
      </w:r>
      <w:r w:rsidR="00834B07" w:rsidRPr="00A66EEC">
        <w:rPr>
          <w:rFonts w:ascii="Palatino Linotype" w:hAnsi="Palatino Linotype" w:cs="Arial"/>
          <w:sz w:val="24"/>
        </w:rPr>
        <w:t xml:space="preserve"> ante </w:t>
      </w:r>
      <w:r w:rsidR="00834B07" w:rsidRPr="00A66EEC">
        <w:rPr>
          <w:rFonts w:ascii="Palatino Linotype" w:hAnsi="Palatino Linotype" w:cs="Arial"/>
          <w:b/>
          <w:sz w:val="24"/>
        </w:rPr>
        <w:t>El Sujeto Obligado</w:t>
      </w:r>
      <w:r w:rsidR="00834B07" w:rsidRPr="00A66EEC">
        <w:rPr>
          <w:rFonts w:ascii="Palatino Linotype" w:hAnsi="Palatino Linotype" w:cs="Arial"/>
          <w:sz w:val="24"/>
        </w:rPr>
        <w:t xml:space="preserve">, solicitud de acceso a la información pública, registrada bajo el número de expediente </w:t>
      </w:r>
      <w:r w:rsidR="00834B07" w:rsidRPr="00A66EEC">
        <w:rPr>
          <w:rFonts w:ascii="Palatino Linotype" w:hAnsi="Palatino Linotype" w:cs="Arial"/>
          <w:b/>
          <w:bCs/>
          <w:sz w:val="24"/>
        </w:rPr>
        <w:t xml:space="preserve">00084/TONANI/IP/2023, </w:t>
      </w:r>
      <w:r w:rsidR="00834B07" w:rsidRPr="00A66EEC">
        <w:rPr>
          <w:rFonts w:ascii="Palatino Linotype" w:hAnsi="Palatino Linotype" w:cs="Arial"/>
          <w:sz w:val="24"/>
        </w:rPr>
        <w:t xml:space="preserve">mediante la cual solicitó información en el tenor siguiente: </w:t>
      </w:r>
    </w:p>
    <w:p w14:paraId="313DD46E" w14:textId="06A55687" w:rsidR="00834B07" w:rsidRPr="00A66EEC" w:rsidRDefault="00834B07" w:rsidP="00834B07">
      <w:pPr>
        <w:pStyle w:val="Citas"/>
        <w:rPr>
          <w:b/>
          <w:bCs/>
          <w:sz w:val="24"/>
        </w:rPr>
      </w:pPr>
      <w:r w:rsidRPr="00A66EEC">
        <w:t xml:space="preserve">“CUALES SON LAS FUNCIONES DE CADA UNO DEL PERSONAL DE ADMINISTRACION, YA QUE SIEMPRE QUE VENGO AL PALACIO HACER TRAMITES SIEMPRE ESTAN PLATICANDO EN SU ÁREA O TOMANDO CAFE EN OTRA AREAS, YA QUE HASTA LA FECHA NO SE QUE LOGRO A TENIDO EL AREA CON LA REGULARIZACION DE TODOS LOS ESTABLECIMIENTOS COMERCIALES DEL AREA, QUIERO QUE ME DESCRIBAN DETALLADAMENTE CADA UNA DE SUS FUNCIONES QUE </w:t>
      </w:r>
      <w:r w:rsidRPr="00A66EEC">
        <w:lastRenderedPageBreak/>
        <w:t xml:space="preserve">HACE CADA UNO DE LLOS Y CUANTOS ESTABLECIMIENTOS YA REGULARIZACIN HASTA JUNIO DEL 2023” </w:t>
      </w:r>
      <w:r w:rsidRPr="00A66EEC">
        <w:rPr>
          <w:b/>
          <w:bCs/>
        </w:rPr>
        <w:t>(Sic)</w:t>
      </w:r>
    </w:p>
    <w:p w14:paraId="73DDF68A" w14:textId="5E7DB1EA" w:rsidR="00F4623D" w:rsidRPr="00A66EEC" w:rsidRDefault="006168E4" w:rsidP="00F4623D">
      <w:pPr>
        <w:spacing w:before="240" w:line="360" w:lineRule="auto"/>
        <w:ind w:right="850"/>
        <w:jc w:val="both"/>
        <w:rPr>
          <w:rFonts w:ascii="Palatino Linotype" w:eastAsia="Times New Roman" w:hAnsi="Palatino Linotype" w:cs="Times New Roman"/>
          <w:sz w:val="24"/>
          <w:szCs w:val="24"/>
          <w:lang w:val="es-ES_tradnl" w:eastAsia="es-ES"/>
        </w:rPr>
      </w:pPr>
      <w:r w:rsidRPr="00A66EEC">
        <w:rPr>
          <w:rFonts w:ascii="Palatino Linotype" w:eastAsia="Times New Roman" w:hAnsi="Palatino Linotype" w:cs="Times New Roman"/>
          <w:b/>
          <w:sz w:val="24"/>
          <w:szCs w:val="24"/>
          <w:lang w:val="es-ES_tradnl" w:eastAsia="es-ES"/>
        </w:rPr>
        <w:t>Modalidad de entrega:</w:t>
      </w:r>
      <w:r w:rsidRPr="00A66EEC">
        <w:rPr>
          <w:rFonts w:ascii="Palatino Linotype" w:eastAsia="Times New Roman" w:hAnsi="Palatino Linotype" w:cs="Times New Roman"/>
          <w:sz w:val="24"/>
          <w:szCs w:val="24"/>
          <w:lang w:val="es-ES_tradnl" w:eastAsia="es-ES"/>
        </w:rPr>
        <w:t xml:space="preserve"> </w:t>
      </w:r>
      <w:r w:rsidR="0018726A" w:rsidRPr="00A66EEC">
        <w:rPr>
          <w:rFonts w:ascii="Palatino Linotype" w:eastAsia="Times New Roman" w:hAnsi="Palatino Linotype" w:cs="Times New Roman"/>
          <w:sz w:val="24"/>
          <w:szCs w:val="24"/>
          <w:lang w:val="es-ES_tradnl" w:eastAsia="es-ES"/>
        </w:rPr>
        <w:t xml:space="preserve">A </w:t>
      </w:r>
      <w:r w:rsidR="00F4623D" w:rsidRPr="00A66EEC">
        <w:rPr>
          <w:rFonts w:ascii="Palatino Linotype" w:eastAsia="Times New Roman" w:hAnsi="Palatino Linotype" w:cs="Times New Roman"/>
          <w:sz w:val="24"/>
          <w:szCs w:val="24"/>
          <w:lang w:val="es-ES_tradnl" w:eastAsia="es-ES"/>
        </w:rPr>
        <w:t xml:space="preserve">través del SAIMEX. </w:t>
      </w:r>
    </w:p>
    <w:p w14:paraId="70264167" w14:textId="77777777" w:rsidR="00A162CE" w:rsidRPr="00A66EEC" w:rsidRDefault="00A162CE" w:rsidP="00F4623D">
      <w:pPr>
        <w:spacing w:before="240" w:line="360" w:lineRule="auto"/>
        <w:ind w:right="850"/>
        <w:jc w:val="both"/>
        <w:rPr>
          <w:rFonts w:ascii="Palatino Linotype" w:eastAsia="Times New Roman" w:hAnsi="Palatino Linotype" w:cs="Times New Roman"/>
          <w:sz w:val="24"/>
          <w:szCs w:val="24"/>
          <w:lang w:val="es-ES_tradnl" w:eastAsia="es-ES"/>
        </w:rPr>
      </w:pPr>
    </w:p>
    <w:p w14:paraId="1B7C3267" w14:textId="49DFACBA" w:rsidR="006168E4" w:rsidRPr="00A66EEC" w:rsidRDefault="00D42688" w:rsidP="00844569">
      <w:pPr>
        <w:spacing w:before="240" w:line="360" w:lineRule="auto"/>
        <w:jc w:val="both"/>
        <w:rPr>
          <w:rFonts w:ascii="Palatino Linotype" w:hAnsi="Palatino Linotype" w:cs="Arial"/>
          <w:b/>
          <w:sz w:val="28"/>
        </w:rPr>
      </w:pPr>
      <w:r w:rsidRPr="00A66EEC">
        <w:rPr>
          <w:rFonts w:ascii="Palatino Linotype" w:hAnsi="Palatino Linotype" w:cs="Arial"/>
          <w:b/>
          <w:sz w:val="28"/>
        </w:rPr>
        <w:t>SEGUNDO</w:t>
      </w:r>
      <w:r w:rsidR="006168E4" w:rsidRPr="00A66EEC">
        <w:rPr>
          <w:rFonts w:ascii="Palatino Linotype" w:hAnsi="Palatino Linotype" w:cs="Arial"/>
          <w:b/>
          <w:sz w:val="28"/>
        </w:rPr>
        <w:t xml:space="preserve">. </w:t>
      </w:r>
      <w:r w:rsidR="006168E4" w:rsidRPr="00A66EEC">
        <w:rPr>
          <w:rFonts w:ascii="Palatino Linotype" w:hAnsi="Palatino Linotype" w:cs="Arial"/>
          <w:b/>
          <w:sz w:val="28"/>
          <w:szCs w:val="20"/>
        </w:rPr>
        <w:t>De la respuesta del Sujeto Obligado.</w:t>
      </w:r>
    </w:p>
    <w:p w14:paraId="4A04CFA5" w14:textId="44849FBD" w:rsidR="00834B07" w:rsidRPr="00A66EEC" w:rsidRDefault="006168E4" w:rsidP="00045379">
      <w:pPr>
        <w:spacing w:before="240" w:line="360" w:lineRule="auto"/>
        <w:jc w:val="both"/>
        <w:rPr>
          <w:rFonts w:ascii="Palatino Linotype" w:hAnsi="Palatino Linotype" w:cs="Arial"/>
          <w:sz w:val="24"/>
          <w:szCs w:val="24"/>
        </w:rPr>
      </w:pPr>
      <w:r w:rsidRPr="00A66EEC">
        <w:rPr>
          <w:rFonts w:ascii="Palatino Linotype" w:hAnsi="Palatino Linotype" w:cs="Arial"/>
          <w:sz w:val="24"/>
          <w:szCs w:val="24"/>
        </w:rPr>
        <w:t xml:space="preserve">En el expediente electrónico </w:t>
      </w:r>
      <w:r w:rsidRPr="00A66EEC">
        <w:rPr>
          <w:rFonts w:ascii="Palatino Linotype" w:hAnsi="Palatino Linotype" w:cs="Arial"/>
          <w:b/>
          <w:sz w:val="24"/>
          <w:szCs w:val="24"/>
        </w:rPr>
        <w:t>SAIMEX</w:t>
      </w:r>
      <w:r w:rsidRPr="00A66EEC">
        <w:rPr>
          <w:rFonts w:ascii="Palatino Linotype" w:hAnsi="Palatino Linotype" w:cs="Arial"/>
          <w:sz w:val="24"/>
          <w:szCs w:val="24"/>
        </w:rPr>
        <w:t xml:space="preserve">, se aprecia que el </w:t>
      </w:r>
      <w:r w:rsidR="00834B07" w:rsidRPr="00A66EEC">
        <w:rPr>
          <w:rFonts w:ascii="Palatino Linotype" w:hAnsi="Palatino Linotype" w:cs="Arial"/>
          <w:sz w:val="24"/>
          <w:szCs w:val="24"/>
        </w:rPr>
        <w:t xml:space="preserve">diecisiete de agosto de dos mil veintitrés, </w:t>
      </w:r>
      <w:r w:rsidR="00834B07" w:rsidRPr="00A66EEC">
        <w:rPr>
          <w:rFonts w:ascii="Palatino Linotype" w:hAnsi="Palatino Linotype" w:cs="Arial"/>
          <w:b/>
          <w:bCs/>
          <w:sz w:val="24"/>
          <w:szCs w:val="24"/>
        </w:rPr>
        <w:t xml:space="preserve">El Sujeto Obligado </w:t>
      </w:r>
      <w:r w:rsidR="00834B07" w:rsidRPr="00A66EEC">
        <w:rPr>
          <w:rFonts w:ascii="Palatino Linotype" w:hAnsi="Palatino Linotype" w:cs="Arial"/>
          <w:sz w:val="24"/>
          <w:szCs w:val="24"/>
        </w:rPr>
        <w:t xml:space="preserve">dio respuesta a la solicitud de información </w:t>
      </w:r>
      <w:r w:rsidR="00834B07" w:rsidRPr="00A66EEC">
        <w:rPr>
          <w:rFonts w:ascii="Palatino Linotype" w:hAnsi="Palatino Linotype" w:cs="Arial"/>
          <w:b/>
          <w:bCs/>
          <w:sz w:val="24"/>
          <w:szCs w:val="24"/>
        </w:rPr>
        <w:t xml:space="preserve">00084/TONANI/IP/2023, </w:t>
      </w:r>
      <w:r w:rsidR="00834B07" w:rsidRPr="00A66EEC">
        <w:rPr>
          <w:rFonts w:ascii="Palatino Linotype" w:hAnsi="Palatino Linotype" w:cs="Arial"/>
          <w:sz w:val="24"/>
          <w:szCs w:val="24"/>
        </w:rPr>
        <w:t xml:space="preserve">resulta de nuestro interés lo siguiente: </w:t>
      </w:r>
    </w:p>
    <w:p w14:paraId="6C4071BF" w14:textId="5481135F" w:rsidR="00834B07" w:rsidRPr="00A66EEC" w:rsidRDefault="00834B07" w:rsidP="00834B07">
      <w:pPr>
        <w:pStyle w:val="Citas"/>
      </w:pPr>
      <w:r w:rsidRPr="00A66EEC">
        <w:t>“En respuesta a la solicitud recibida, nos permitimos hacer de su conocimiento que con fundamento en el artículo 53, Fracciones: II, V y VI de la Ley de Transparencia y Acceso a la Información Pública del Estado de México y Municipios, le contestamos que:</w:t>
      </w:r>
    </w:p>
    <w:p w14:paraId="6FCF25AF" w14:textId="21B67FA4" w:rsidR="00834B07" w:rsidRPr="00A66EEC" w:rsidRDefault="00834B07" w:rsidP="00834B07">
      <w:pPr>
        <w:pStyle w:val="Citas"/>
        <w:rPr>
          <w:b/>
          <w:bCs/>
          <w:sz w:val="24"/>
          <w:szCs w:val="24"/>
        </w:rPr>
      </w:pPr>
      <w:r w:rsidRPr="00A66EEC">
        <w:t xml:space="preserve">SE ADJUNTA RESPUESTA AL PRESENTE, LA RESPUESTA PROPORCIONADA POR EL ÁREA DE FOMENTO Y DESARROLLO ECONOMICO, ADMINISTRACIÓN Y REGLAMENTOS ASÍ COMO LA RESPUESTA INTEGRADORA” </w:t>
      </w:r>
      <w:r w:rsidRPr="00A66EEC">
        <w:rPr>
          <w:b/>
          <w:bCs/>
        </w:rPr>
        <w:t>(Sic)</w:t>
      </w:r>
    </w:p>
    <w:p w14:paraId="23171D62" w14:textId="6324FC52" w:rsidR="00D42688" w:rsidRPr="00A66EEC" w:rsidRDefault="00D42688" w:rsidP="00045379">
      <w:pPr>
        <w:spacing w:before="240" w:line="360" w:lineRule="auto"/>
        <w:jc w:val="both"/>
        <w:rPr>
          <w:rFonts w:ascii="Palatino Linotype" w:hAnsi="Palatino Linotype" w:cs="Arial"/>
          <w:sz w:val="24"/>
          <w:szCs w:val="24"/>
        </w:rPr>
      </w:pPr>
      <w:r w:rsidRPr="00A66EEC">
        <w:rPr>
          <w:rFonts w:ascii="Palatino Linotype" w:hAnsi="Palatino Linotype" w:cs="Arial"/>
          <w:sz w:val="24"/>
          <w:szCs w:val="24"/>
        </w:rPr>
        <w:t xml:space="preserve">De forma complementaria, </w:t>
      </w:r>
      <w:r w:rsidRPr="00A66EEC">
        <w:rPr>
          <w:rFonts w:ascii="Palatino Linotype" w:hAnsi="Palatino Linotype" w:cs="Arial"/>
          <w:b/>
          <w:bCs/>
          <w:sz w:val="24"/>
          <w:szCs w:val="24"/>
        </w:rPr>
        <w:t xml:space="preserve">El Sujeto Obligado </w:t>
      </w:r>
      <w:r w:rsidRPr="00A66EEC">
        <w:rPr>
          <w:rFonts w:ascii="Palatino Linotype" w:hAnsi="Palatino Linotype" w:cs="Arial"/>
          <w:sz w:val="24"/>
          <w:szCs w:val="24"/>
        </w:rPr>
        <w:t xml:space="preserve">adjuntó </w:t>
      </w:r>
      <w:r w:rsidR="00A162CE" w:rsidRPr="00A66EEC">
        <w:rPr>
          <w:rFonts w:ascii="Palatino Linotype" w:hAnsi="Palatino Linotype" w:cs="Arial"/>
          <w:sz w:val="24"/>
          <w:szCs w:val="24"/>
        </w:rPr>
        <w:t xml:space="preserve">los documentos electrónicos </w:t>
      </w:r>
      <w:r w:rsidR="00A162CE" w:rsidRPr="00A66EEC">
        <w:rPr>
          <w:rFonts w:ascii="Palatino Linotype" w:hAnsi="Palatino Linotype" w:cs="Arial"/>
          <w:b/>
          <w:bCs/>
          <w:sz w:val="24"/>
          <w:szCs w:val="24"/>
        </w:rPr>
        <w:t>“</w:t>
      </w:r>
      <w:r w:rsidR="00834B07" w:rsidRPr="00A66EEC">
        <w:rPr>
          <w:rFonts w:ascii="Palatino Linotype" w:hAnsi="Palatino Linotype" w:cs="Arial"/>
          <w:b/>
          <w:bCs/>
          <w:sz w:val="24"/>
          <w:szCs w:val="24"/>
        </w:rPr>
        <w:t xml:space="preserve">resp 84 v2.pdf” </w:t>
      </w:r>
      <w:r w:rsidR="00834B07" w:rsidRPr="00A66EEC">
        <w:rPr>
          <w:rFonts w:ascii="Palatino Linotype" w:hAnsi="Palatino Linotype" w:cs="Arial"/>
          <w:sz w:val="24"/>
          <w:szCs w:val="24"/>
        </w:rPr>
        <w:t xml:space="preserve">y </w:t>
      </w:r>
      <w:r w:rsidR="00834B07" w:rsidRPr="00A66EEC">
        <w:rPr>
          <w:rFonts w:ascii="Palatino Linotype" w:hAnsi="Palatino Linotype" w:cs="Arial"/>
          <w:b/>
          <w:bCs/>
          <w:sz w:val="24"/>
          <w:szCs w:val="24"/>
        </w:rPr>
        <w:t>“RESPUESTA INTEGRADORA 0084.pdf”</w:t>
      </w:r>
      <w:r w:rsidR="00834B07" w:rsidRPr="00A66EEC">
        <w:rPr>
          <w:rFonts w:ascii="Palatino Linotype" w:hAnsi="Palatino Linotype" w:cs="Arial"/>
          <w:sz w:val="24"/>
          <w:szCs w:val="24"/>
        </w:rPr>
        <w:t xml:space="preserve">, cuyo contenido se tiene por reproducido </w:t>
      </w:r>
      <w:r w:rsidR="00A162CE" w:rsidRPr="00A66EEC">
        <w:rPr>
          <w:rFonts w:ascii="Palatino Linotype" w:hAnsi="Palatino Linotype" w:cs="Arial"/>
          <w:sz w:val="24"/>
          <w:szCs w:val="24"/>
        </w:rPr>
        <w:t xml:space="preserve">como si </w:t>
      </w:r>
      <w:r w:rsidRPr="00A66EEC">
        <w:rPr>
          <w:rFonts w:ascii="Palatino Linotype" w:hAnsi="Palatino Linotype" w:cs="Arial"/>
          <w:sz w:val="24"/>
          <w:szCs w:val="24"/>
        </w:rPr>
        <w:t xml:space="preserve">a la letra se insertase en virtud de que será materia de análisis en el considerando respectivo. </w:t>
      </w:r>
    </w:p>
    <w:p w14:paraId="1BEC5F4A" w14:textId="77777777" w:rsidR="00D42688" w:rsidRPr="00A66EEC" w:rsidRDefault="00D42688" w:rsidP="00844569">
      <w:pPr>
        <w:spacing w:before="240" w:line="360" w:lineRule="auto"/>
        <w:jc w:val="both"/>
        <w:rPr>
          <w:rFonts w:ascii="Palatino Linotype" w:hAnsi="Palatino Linotype" w:cs="Arial"/>
          <w:b/>
          <w:sz w:val="28"/>
        </w:rPr>
      </w:pPr>
    </w:p>
    <w:p w14:paraId="37F573AF" w14:textId="08F1CB44" w:rsidR="006168E4" w:rsidRPr="00A66EEC" w:rsidRDefault="00D42688" w:rsidP="00844569">
      <w:pPr>
        <w:spacing w:before="240" w:line="360" w:lineRule="auto"/>
        <w:jc w:val="both"/>
        <w:rPr>
          <w:rFonts w:ascii="Palatino Linotype" w:hAnsi="Palatino Linotype" w:cs="Arial"/>
          <w:b/>
          <w:sz w:val="28"/>
        </w:rPr>
      </w:pPr>
      <w:r w:rsidRPr="00A66EEC">
        <w:rPr>
          <w:rFonts w:ascii="Palatino Linotype" w:hAnsi="Palatino Linotype" w:cs="Arial"/>
          <w:b/>
          <w:sz w:val="28"/>
        </w:rPr>
        <w:lastRenderedPageBreak/>
        <w:t>TERCERO</w:t>
      </w:r>
      <w:r w:rsidR="006168E4" w:rsidRPr="00A66EEC">
        <w:rPr>
          <w:rFonts w:ascii="Palatino Linotype" w:hAnsi="Palatino Linotype" w:cs="Arial"/>
          <w:b/>
          <w:sz w:val="28"/>
        </w:rPr>
        <w:t xml:space="preserve">. </w:t>
      </w:r>
      <w:r w:rsidR="006168E4" w:rsidRPr="00A66EEC">
        <w:rPr>
          <w:rFonts w:ascii="Palatino Linotype" w:hAnsi="Palatino Linotype"/>
          <w:b/>
          <w:sz w:val="28"/>
        </w:rPr>
        <w:t>Del recurso de revisión.</w:t>
      </w:r>
    </w:p>
    <w:p w14:paraId="7A7C27A9" w14:textId="7EC8295C" w:rsidR="00A162CE" w:rsidRPr="00A66EEC" w:rsidRDefault="006168E4" w:rsidP="00844569">
      <w:pPr>
        <w:spacing w:before="240" w:line="360" w:lineRule="auto"/>
        <w:jc w:val="both"/>
        <w:rPr>
          <w:rFonts w:ascii="Palatino Linotype" w:hAnsi="Palatino Linotype" w:cs="Arial"/>
          <w:bCs/>
          <w:sz w:val="24"/>
          <w:szCs w:val="24"/>
        </w:rPr>
      </w:pPr>
      <w:r w:rsidRPr="00A66EEC">
        <w:rPr>
          <w:rFonts w:ascii="Palatino Linotype" w:hAnsi="Palatino Linotype" w:cs="Arial"/>
          <w:sz w:val="24"/>
          <w:szCs w:val="24"/>
        </w:rPr>
        <w:t xml:space="preserve">Inconforme con la respuesta notificada por </w:t>
      </w:r>
      <w:r w:rsidR="008B42B1" w:rsidRPr="00A66EEC">
        <w:rPr>
          <w:rFonts w:ascii="Palatino Linotype" w:hAnsi="Palatino Linotype" w:cs="Arial"/>
          <w:b/>
          <w:sz w:val="24"/>
          <w:szCs w:val="24"/>
        </w:rPr>
        <w:t>E</w:t>
      </w:r>
      <w:r w:rsidRPr="00A66EEC">
        <w:rPr>
          <w:rFonts w:ascii="Palatino Linotype" w:hAnsi="Palatino Linotype" w:cs="Arial"/>
          <w:b/>
          <w:sz w:val="24"/>
          <w:szCs w:val="24"/>
        </w:rPr>
        <w:t xml:space="preserve">l </w:t>
      </w:r>
      <w:r w:rsidR="008B42B1" w:rsidRPr="00A66EEC">
        <w:rPr>
          <w:rFonts w:ascii="Palatino Linotype" w:hAnsi="Palatino Linotype" w:cs="Arial"/>
          <w:b/>
          <w:sz w:val="24"/>
          <w:szCs w:val="24"/>
        </w:rPr>
        <w:t>S</w:t>
      </w:r>
      <w:r w:rsidRPr="00A66EEC">
        <w:rPr>
          <w:rFonts w:ascii="Palatino Linotype" w:hAnsi="Palatino Linotype" w:cs="Arial"/>
          <w:b/>
          <w:sz w:val="24"/>
          <w:szCs w:val="24"/>
        </w:rPr>
        <w:t xml:space="preserve">ujeto </w:t>
      </w:r>
      <w:r w:rsidR="008B42B1" w:rsidRPr="00A66EEC">
        <w:rPr>
          <w:rFonts w:ascii="Palatino Linotype" w:hAnsi="Palatino Linotype" w:cs="Arial"/>
          <w:b/>
          <w:sz w:val="24"/>
          <w:szCs w:val="24"/>
        </w:rPr>
        <w:t>O</w:t>
      </w:r>
      <w:r w:rsidRPr="00A66EEC">
        <w:rPr>
          <w:rFonts w:ascii="Palatino Linotype" w:hAnsi="Palatino Linotype" w:cs="Arial"/>
          <w:b/>
          <w:sz w:val="24"/>
          <w:szCs w:val="24"/>
        </w:rPr>
        <w:t xml:space="preserve">bligado, </w:t>
      </w:r>
      <w:r w:rsidR="00834B07" w:rsidRPr="00A66EEC">
        <w:rPr>
          <w:rFonts w:ascii="Palatino Linotype" w:hAnsi="Palatino Linotype" w:cs="Arial"/>
          <w:b/>
          <w:sz w:val="24"/>
          <w:szCs w:val="24"/>
        </w:rPr>
        <w:t>El</w:t>
      </w:r>
      <w:r w:rsidR="00817A08" w:rsidRPr="00A66EEC">
        <w:rPr>
          <w:rFonts w:ascii="Palatino Linotype" w:hAnsi="Palatino Linotype" w:cs="Arial"/>
          <w:b/>
          <w:sz w:val="24"/>
          <w:szCs w:val="24"/>
        </w:rPr>
        <w:t xml:space="preserve"> Recurrente </w:t>
      </w:r>
      <w:r w:rsidR="00817A08" w:rsidRPr="00A66EEC">
        <w:rPr>
          <w:rFonts w:ascii="Palatino Linotype" w:hAnsi="Palatino Linotype" w:cs="Arial"/>
          <w:bCs/>
          <w:sz w:val="24"/>
          <w:szCs w:val="24"/>
        </w:rPr>
        <w:t xml:space="preserve">interpuso el recurso de revisión, en fecha </w:t>
      </w:r>
      <w:r w:rsidR="004C4D9F" w:rsidRPr="00A66EEC">
        <w:rPr>
          <w:rFonts w:ascii="Palatino Linotype" w:hAnsi="Palatino Linotype" w:cs="Arial"/>
          <w:bCs/>
          <w:sz w:val="24"/>
          <w:szCs w:val="24"/>
        </w:rPr>
        <w:t xml:space="preserve">dieciocho de agosto de dos mil veintitrés, el cual fue registrado en el sistema electrónico con el expediente </w:t>
      </w:r>
      <w:r w:rsidR="004C4D9F" w:rsidRPr="00A66EEC">
        <w:rPr>
          <w:rFonts w:ascii="Palatino Linotype" w:hAnsi="Palatino Linotype" w:cs="Arial"/>
          <w:b/>
          <w:sz w:val="24"/>
          <w:szCs w:val="24"/>
        </w:rPr>
        <w:t xml:space="preserve">04600/INFOEM/IP/RR/2023, </w:t>
      </w:r>
      <w:r w:rsidR="00A162CE" w:rsidRPr="00A66EEC">
        <w:rPr>
          <w:rFonts w:ascii="Palatino Linotype" w:hAnsi="Palatino Linotype" w:cs="Arial"/>
          <w:bCs/>
          <w:sz w:val="24"/>
          <w:szCs w:val="24"/>
        </w:rPr>
        <w:t xml:space="preserve">en el cual arguye las siguientes manifestaciones: </w:t>
      </w:r>
    </w:p>
    <w:p w14:paraId="3774298B" w14:textId="77777777" w:rsidR="006168E4" w:rsidRPr="00A66EEC" w:rsidRDefault="006168E4" w:rsidP="00844569">
      <w:pPr>
        <w:spacing w:before="240" w:line="360" w:lineRule="auto"/>
        <w:jc w:val="both"/>
        <w:rPr>
          <w:rFonts w:ascii="Palatino Linotype" w:hAnsi="Palatino Linotype" w:cs="Arial"/>
          <w:b/>
          <w:sz w:val="24"/>
        </w:rPr>
      </w:pPr>
      <w:r w:rsidRPr="00A66EEC">
        <w:rPr>
          <w:rFonts w:ascii="Palatino Linotype" w:hAnsi="Palatino Linotype" w:cs="Arial"/>
          <w:b/>
          <w:sz w:val="24"/>
        </w:rPr>
        <w:t>Acto Impugnado:</w:t>
      </w:r>
    </w:p>
    <w:p w14:paraId="40CA7A53" w14:textId="7658E818" w:rsidR="003406C5" w:rsidRPr="00A66EEC" w:rsidRDefault="003406C5" w:rsidP="003406C5">
      <w:pPr>
        <w:pStyle w:val="Citas"/>
        <w:rPr>
          <w:b/>
          <w:bCs/>
          <w:sz w:val="24"/>
        </w:rPr>
      </w:pPr>
      <w:r w:rsidRPr="00A66EEC">
        <w:t>“</w:t>
      </w:r>
      <w:r w:rsidR="004C4D9F" w:rsidRPr="00A66EEC">
        <w:t>LA RESPUESTA NO ESPECIFICA LAS ACTRIVIDADES QUE REALIZA CADA UNA DE LAS PERSONAS DEL AREA</w:t>
      </w:r>
      <w:r w:rsidRPr="00A66EEC">
        <w:t xml:space="preserve">” </w:t>
      </w:r>
      <w:r w:rsidRPr="00A66EEC">
        <w:rPr>
          <w:b/>
          <w:bCs/>
        </w:rPr>
        <w:t>(Sic)</w:t>
      </w:r>
    </w:p>
    <w:p w14:paraId="22A465CC" w14:textId="77777777" w:rsidR="006168E4" w:rsidRPr="00A66EEC" w:rsidRDefault="006168E4" w:rsidP="00844569">
      <w:pPr>
        <w:spacing w:before="240" w:line="360" w:lineRule="auto"/>
        <w:jc w:val="both"/>
        <w:rPr>
          <w:rFonts w:ascii="Palatino Linotype" w:hAnsi="Palatino Linotype" w:cs="Arial"/>
          <w:sz w:val="24"/>
        </w:rPr>
      </w:pPr>
      <w:r w:rsidRPr="00A66EEC">
        <w:rPr>
          <w:rFonts w:ascii="Palatino Linotype" w:hAnsi="Palatino Linotype" w:cs="Arial"/>
          <w:b/>
          <w:sz w:val="24"/>
        </w:rPr>
        <w:t>Razones o Motivos de Inconformidad</w:t>
      </w:r>
      <w:r w:rsidRPr="00A66EEC">
        <w:rPr>
          <w:rFonts w:ascii="Palatino Linotype" w:hAnsi="Palatino Linotype" w:cs="Arial"/>
          <w:sz w:val="24"/>
        </w:rPr>
        <w:t xml:space="preserve">: </w:t>
      </w:r>
    </w:p>
    <w:p w14:paraId="0F651FB8" w14:textId="52BED5BC" w:rsidR="005202C4" w:rsidRPr="00A66EEC" w:rsidRDefault="003406C5" w:rsidP="003406C5">
      <w:pPr>
        <w:pStyle w:val="Citas"/>
        <w:rPr>
          <w:b/>
          <w:bCs/>
        </w:rPr>
      </w:pPr>
      <w:r w:rsidRPr="00A66EEC">
        <w:t>“</w:t>
      </w:r>
      <w:r w:rsidR="004C4D9F" w:rsidRPr="00A66EEC">
        <w:t>LA RESPUESTA NO ESPECIFICA LAS ACTRIVIDADES QUE REALIZA CADA UNA DE LAS PERSONAS DEL AREA</w:t>
      </w:r>
      <w:r w:rsidRPr="00A66EEC">
        <w:t xml:space="preserve">” </w:t>
      </w:r>
      <w:r w:rsidRPr="00A66EEC">
        <w:rPr>
          <w:b/>
          <w:bCs/>
        </w:rPr>
        <w:t>(Sic)</w:t>
      </w:r>
    </w:p>
    <w:p w14:paraId="5B263052" w14:textId="77777777" w:rsidR="003406C5" w:rsidRPr="00A66EEC" w:rsidRDefault="003406C5" w:rsidP="00AA207C">
      <w:pPr>
        <w:pStyle w:val="Citas"/>
        <w:rPr>
          <w:b/>
        </w:rPr>
      </w:pPr>
    </w:p>
    <w:p w14:paraId="7E88DE81" w14:textId="6ACD1E44" w:rsidR="006168E4" w:rsidRPr="00A66EEC" w:rsidRDefault="00D42688" w:rsidP="00844569">
      <w:pPr>
        <w:spacing w:before="240" w:line="360" w:lineRule="auto"/>
        <w:jc w:val="both"/>
        <w:rPr>
          <w:rFonts w:ascii="Palatino Linotype" w:hAnsi="Palatino Linotype" w:cs="Arial"/>
          <w:b/>
          <w:sz w:val="24"/>
          <w:szCs w:val="24"/>
        </w:rPr>
      </w:pPr>
      <w:r w:rsidRPr="00A66EEC">
        <w:rPr>
          <w:rFonts w:ascii="Palatino Linotype" w:hAnsi="Palatino Linotype" w:cs="Arial"/>
          <w:b/>
          <w:sz w:val="28"/>
        </w:rPr>
        <w:t>CUARTO</w:t>
      </w:r>
      <w:r w:rsidR="006168E4" w:rsidRPr="00A66EEC">
        <w:rPr>
          <w:rFonts w:ascii="Palatino Linotype" w:hAnsi="Palatino Linotype" w:cs="Arial"/>
          <w:b/>
          <w:sz w:val="24"/>
          <w:szCs w:val="24"/>
        </w:rPr>
        <w:t xml:space="preserve">. </w:t>
      </w:r>
      <w:r w:rsidR="006168E4" w:rsidRPr="00A66EEC">
        <w:rPr>
          <w:rFonts w:ascii="Palatino Linotype" w:hAnsi="Palatino Linotype" w:cs="Arial"/>
          <w:b/>
          <w:sz w:val="28"/>
          <w:szCs w:val="28"/>
        </w:rPr>
        <w:t>Del turno del recurso de revisión.</w:t>
      </w:r>
    </w:p>
    <w:p w14:paraId="63CCE915" w14:textId="1B3EDA6F" w:rsidR="006168E4" w:rsidRPr="00A66EEC" w:rsidRDefault="006168E4" w:rsidP="00844569">
      <w:pPr>
        <w:spacing w:before="240" w:line="360" w:lineRule="auto"/>
        <w:jc w:val="both"/>
        <w:rPr>
          <w:rFonts w:ascii="Palatino Linotype" w:hAnsi="Palatino Linotype" w:cs="Arial"/>
          <w:sz w:val="24"/>
          <w:szCs w:val="24"/>
        </w:rPr>
      </w:pPr>
      <w:r w:rsidRPr="00A66EEC">
        <w:rPr>
          <w:rFonts w:ascii="Palatino Linotype" w:hAnsi="Palatino Linotype" w:cs="Arial"/>
          <w:sz w:val="24"/>
          <w:szCs w:val="24"/>
        </w:rPr>
        <w:t xml:space="preserve">Medio de impugnación que le fue turnado </w:t>
      </w:r>
      <w:r w:rsidR="0018726A" w:rsidRPr="00A66EEC">
        <w:rPr>
          <w:rFonts w:ascii="Palatino Linotype" w:hAnsi="Palatino Linotype" w:cs="Arial"/>
          <w:sz w:val="24"/>
          <w:szCs w:val="24"/>
        </w:rPr>
        <w:t>al Comisionado</w:t>
      </w:r>
      <w:r w:rsidR="003E11E6" w:rsidRPr="00A66EEC">
        <w:rPr>
          <w:rFonts w:ascii="Palatino Linotype" w:hAnsi="Palatino Linotype" w:cs="Arial"/>
          <w:sz w:val="24"/>
          <w:szCs w:val="24"/>
        </w:rPr>
        <w:t xml:space="preserve"> Presidente</w:t>
      </w:r>
      <w:r w:rsidRPr="00A66EEC">
        <w:rPr>
          <w:rFonts w:ascii="Palatino Linotype" w:hAnsi="Palatino Linotype" w:cs="Arial"/>
          <w:sz w:val="24"/>
          <w:szCs w:val="24"/>
        </w:rPr>
        <w:t xml:space="preserve"> </w:t>
      </w:r>
      <w:r w:rsidR="000E5F05" w:rsidRPr="00A66EEC">
        <w:rPr>
          <w:rFonts w:ascii="Palatino Linotype" w:hAnsi="Palatino Linotype" w:cs="Arial"/>
          <w:b/>
          <w:sz w:val="24"/>
          <w:szCs w:val="24"/>
        </w:rPr>
        <w:t>José Martínez Vilchis</w:t>
      </w:r>
      <w:r w:rsidRPr="00A66EEC">
        <w:rPr>
          <w:rFonts w:ascii="Palatino Linotype" w:hAnsi="Palatino Linotype" w:cs="Arial"/>
          <w:sz w:val="24"/>
          <w:szCs w:val="24"/>
        </w:rPr>
        <w:t>, por medio del sistema electrónico en términos del arábigo 185 fracción I de la Ley de Transparencia y Acceso a la información Pública del Estado de México y Municipios, del cual recayó acuerdo de admisión en fecha</w:t>
      </w:r>
      <w:r w:rsidR="000E5F05" w:rsidRPr="00A66EEC">
        <w:rPr>
          <w:rFonts w:ascii="Palatino Linotype" w:hAnsi="Palatino Linotype" w:cs="Arial"/>
          <w:sz w:val="24"/>
          <w:szCs w:val="24"/>
        </w:rPr>
        <w:t xml:space="preserve"> </w:t>
      </w:r>
      <w:r w:rsidR="004C4D9F" w:rsidRPr="00A66EEC">
        <w:rPr>
          <w:rFonts w:ascii="Palatino Linotype" w:hAnsi="Palatino Linotype" w:cs="Arial"/>
          <w:b/>
          <w:bCs/>
          <w:sz w:val="24"/>
          <w:szCs w:val="24"/>
        </w:rPr>
        <w:t xml:space="preserve">veintidós de agosto del presente, </w:t>
      </w:r>
      <w:r w:rsidRPr="00A66EEC">
        <w:rPr>
          <w:rFonts w:ascii="Palatino Linotype" w:hAnsi="Palatino Linotype" w:cs="Arial"/>
          <w:sz w:val="24"/>
          <w:szCs w:val="24"/>
        </w:rPr>
        <w:t>determinándose en él, un plazo de siete días para que las partes manifestaran lo que a su derecho corresponda en términos del numeral ya citado.</w:t>
      </w:r>
    </w:p>
    <w:p w14:paraId="4FCAD254" w14:textId="77777777" w:rsidR="005E46D0" w:rsidRPr="00A66EEC" w:rsidRDefault="005E46D0" w:rsidP="00844569">
      <w:pPr>
        <w:spacing w:before="240" w:line="360" w:lineRule="auto"/>
        <w:jc w:val="both"/>
        <w:rPr>
          <w:rFonts w:ascii="Palatino Linotype" w:hAnsi="Palatino Linotype" w:cs="Arial"/>
          <w:sz w:val="24"/>
          <w:szCs w:val="24"/>
        </w:rPr>
      </w:pPr>
    </w:p>
    <w:p w14:paraId="4BCFD455" w14:textId="2920CEC1" w:rsidR="006168E4" w:rsidRPr="00A66EEC" w:rsidRDefault="00D42688" w:rsidP="00844569">
      <w:pPr>
        <w:spacing w:before="240" w:line="360" w:lineRule="auto"/>
        <w:jc w:val="both"/>
        <w:rPr>
          <w:rFonts w:ascii="Palatino Linotype" w:hAnsi="Palatino Linotype" w:cs="Arial"/>
          <w:b/>
          <w:sz w:val="24"/>
          <w:szCs w:val="24"/>
        </w:rPr>
      </w:pPr>
      <w:r w:rsidRPr="00A66EEC">
        <w:rPr>
          <w:rFonts w:ascii="Palatino Linotype" w:hAnsi="Palatino Linotype" w:cs="Arial"/>
          <w:b/>
          <w:sz w:val="28"/>
        </w:rPr>
        <w:lastRenderedPageBreak/>
        <w:t>QUINTO</w:t>
      </w:r>
      <w:r w:rsidR="006168E4" w:rsidRPr="00A66EEC">
        <w:rPr>
          <w:rFonts w:ascii="Palatino Linotype" w:hAnsi="Palatino Linotype" w:cs="Arial"/>
          <w:b/>
          <w:sz w:val="24"/>
          <w:szCs w:val="24"/>
        </w:rPr>
        <w:t xml:space="preserve">. </w:t>
      </w:r>
      <w:r w:rsidR="006168E4" w:rsidRPr="00A66EEC">
        <w:rPr>
          <w:rFonts w:ascii="Palatino Linotype" w:hAnsi="Palatino Linotype" w:cs="Arial"/>
          <w:b/>
          <w:sz w:val="28"/>
          <w:szCs w:val="28"/>
        </w:rPr>
        <w:t>De la etapa de instrucción.</w:t>
      </w:r>
    </w:p>
    <w:p w14:paraId="2138B46E" w14:textId="45A81432" w:rsidR="004C4D9F" w:rsidRPr="00A66EEC" w:rsidRDefault="005E46D0" w:rsidP="005E46D0">
      <w:pPr>
        <w:spacing w:before="240" w:line="360" w:lineRule="auto"/>
        <w:jc w:val="both"/>
        <w:rPr>
          <w:rFonts w:ascii="Palatino Linotype" w:hAnsi="Palatino Linotype" w:cs="Arial"/>
          <w:b/>
          <w:sz w:val="24"/>
          <w:szCs w:val="24"/>
        </w:rPr>
      </w:pPr>
      <w:r w:rsidRPr="00A66EEC">
        <w:rPr>
          <w:rFonts w:ascii="Palatino Linotype" w:hAnsi="Palatino Linotype" w:cs="Arial"/>
          <w:sz w:val="24"/>
          <w:szCs w:val="24"/>
        </w:rPr>
        <w:t xml:space="preserve">Así, una vez transcurrido el término legal referido, se advierte que </w:t>
      </w:r>
      <w:r w:rsidRPr="00A66EEC">
        <w:rPr>
          <w:rFonts w:ascii="Palatino Linotype" w:hAnsi="Palatino Linotype" w:cs="Arial"/>
          <w:b/>
          <w:sz w:val="24"/>
          <w:szCs w:val="24"/>
        </w:rPr>
        <w:t xml:space="preserve">El Sujeto Obligado </w:t>
      </w:r>
      <w:r w:rsidR="00D233C6" w:rsidRPr="00A66EEC">
        <w:rPr>
          <w:rFonts w:ascii="Palatino Linotype" w:hAnsi="Palatino Linotype" w:cs="Arial"/>
          <w:bCs/>
          <w:sz w:val="24"/>
          <w:szCs w:val="24"/>
        </w:rPr>
        <w:t>presentó su informe justificado en fecha</w:t>
      </w:r>
      <w:r w:rsidR="004C4D9F" w:rsidRPr="00A66EEC">
        <w:rPr>
          <w:rFonts w:ascii="Palatino Linotype" w:hAnsi="Palatino Linotype" w:cs="Arial"/>
          <w:bCs/>
          <w:sz w:val="24"/>
          <w:szCs w:val="24"/>
        </w:rPr>
        <w:t xml:space="preserve"> </w:t>
      </w:r>
      <w:r w:rsidR="004C4D9F" w:rsidRPr="00A66EEC">
        <w:rPr>
          <w:rFonts w:ascii="Palatino Linotype" w:hAnsi="Palatino Linotype" w:cs="Arial"/>
          <w:b/>
          <w:sz w:val="24"/>
          <w:szCs w:val="24"/>
        </w:rPr>
        <w:t xml:space="preserve">treinta y uno de agosto, </w:t>
      </w:r>
      <w:r w:rsidR="004C4D9F" w:rsidRPr="00A66EEC">
        <w:rPr>
          <w:rFonts w:ascii="Palatino Linotype" w:hAnsi="Palatino Linotype" w:cs="Arial"/>
          <w:bCs/>
          <w:sz w:val="24"/>
          <w:szCs w:val="24"/>
        </w:rPr>
        <w:t xml:space="preserve">mismo que fue puesto a la vista el </w:t>
      </w:r>
      <w:r w:rsidR="004C4D9F" w:rsidRPr="00A66EEC">
        <w:rPr>
          <w:rFonts w:ascii="Palatino Linotype" w:hAnsi="Palatino Linotype" w:cs="Arial"/>
          <w:b/>
          <w:sz w:val="24"/>
          <w:szCs w:val="24"/>
        </w:rPr>
        <w:t xml:space="preserve">cuatro de septiembre, ambos de dos mil veintitrés. </w:t>
      </w:r>
    </w:p>
    <w:p w14:paraId="272A398B" w14:textId="71A21B98" w:rsidR="00D233C6" w:rsidRPr="00A66EEC" w:rsidRDefault="004C4D9F" w:rsidP="00D233C6">
      <w:pPr>
        <w:spacing w:before="240" w:line="360" w:lineRule="auto"/>
        <w:jc w:val="both"/>
        <w:rPr>
          <w:rFonts w:ascii="Palatino Linotype" w:hAnsi="Palatino Linotype" w:cs="Arial"/>
          <w:sz w:val="24"/>
          <w:szCs w:val="24"/>
        </w:rPr>
      </w:pPr>
      <w:r w:rsidRPr="00A66EEC">
        <w:rPr>
          <w:rFonts w:ascii="Palatino Linotype" w:hAnsi="Palatino Linotype" w:cs="Arial"/>
          <w:bCs/>
          <w:sz w:val="24"/>
          <w:szCs w:val="24"/>
        </w:rPr>
        <w:t xml:space="preserve">Por lo cual se decretó el cierre de instrucción con fecha </w:t>
      </w:r>
      <w:r w:rsidRPr="00A66EEC">
        <w:rPr>
          <w:rFonts w:ascii="Palatino Linotype" w:hAnsi="Palatino Linotype" w:cs="Arial"/>
          <w:b/>
          <w:sz w:val="24"/>
          <w:szCs w:val="24"/>
        </w:rPr>
        <w:t xml:space="preserve">ocho de septiembre del año en curso, </w:t>
      </w:r>
      <w:r w:rsidR="00D233C6" w:rsidRPr="00A66EEC">
        <w:rPr>
          <w:rFonts w:ascii="Palatino Linotype" w:hAnsi="Palatino Linotype" w:cs="Arial"/>
          <w:b/>
          <w:sz w:val="24"/>
          <w:szCs w:val="24"/>
        </w:rPr>
        <w:t>e</w:t>
      </w:r>
      <w:r w:rsidR="00D233C6" w:rsidRPr="00A66EEC">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3A215A94" w14:textId="2C9CC2F9" w:rsidR="005202C4" w:rsidRPr="00A66EEC" w:rsidRDefault="005202C4" w:rsidP="005E46D0">
      <w:pPr>
        <w:spacing w:before="240" w:line="360" w:lineRule="auto"/>
        <w:jc w:val="both"/>
        <w:rPr>
          <w:rFonts w:ascii="Palatino Linotype" w:hAnsi="Palatino Linotype" w:cs="Arial"/>
          <w:sz w:val="24"/>
          <w:szCs w:val="24"/>
        </w:rPr>
      </w:pPr>
    </w:p>
    <w:p w14:paraId="67D0FD90" w14:textId="77777777" w:rsidR="006168E4" w:rsidRPr="00A66EEC" w:rsidRDefault="006168E4" w:rsidP="00844569">
      <w:pPr>
        <w:spacing w:before="240" w:line="360" w:lineRule="auto"/>
        <w:jc w:val="center"/>
        <w:rPr>
          <w:rFonts w:ascii="Palatino Linotype" w:hAnsi="Palatino Linotype" w:cs="Arial"/>
          <w:b/>
          <w:sz w:val="24"/>
        </w:rPr>
      </w:pPr>
      <w:r w:rsidRPr="00A66EEC">
        <w:rPr>
          <w:rFonts w:ascii="Palatino Linotype" w:hAnsi="Palatino Linotype" w:cs="Arial"/>
          <w:b/>
          <w:sz w:val="24"/>
        </w:rPr>
        <w:t xml:space="preserve">C O N S I D E R A N D O </w:t>
      </w:r>
    </w:p>
    <w:p w14:paraId="579C7ABE" w14:textId="77777777" w:rsidR="006168E4" w:rsidRPr="00A66EEC" w:rsidRDefault="006168E4" w:rsidP="00844569">
      <w:pPr>
        <w:spacing w:before="240" w:line="360" w:lineRule="auto"/>
        <w:jc w:val="both"/>
        <w:rPr>
          <w:rFonts w:ascii="Palatino Linotype" w:hAnsi="Palatino Linotype" w:cs="Arial"/>
          <w:sz w:val="24"/>
        </w:rPr>
      </w:pPr>
      <w:r w:rsidRPr="00A66EEC">
        <w:rPr>
          <w:rFonts w:ascii="Palatino Linotype" w:hAnsi="Palatino Linotype" w:cs="Arial"/>
          <w:b/>
          <w:sz w:val="28"/>
        </w:rPr>
        <w:t>PRIMERO.</w:t>
      </w:r>
      <w:r w:rsidRPr="00A66EEC">
        <w:rPr>
          <w:rFonts w:ascii="Palatino Linotype" w:hAnsi="Palatino Linotype" w:cs="Arial"/>
          <w:b/>
        </w:rPr>
        <w:t xml:space="preserve"> </w:t>
      </w:r>
      <w:r w:rsidRPr="00A66EEC">
        <w:rPr>
          <w:rFonts w:ascii="Palatino Linotype" w:hAnsi="Palatino Linotype" w:cs="Arial"/>
          <w:b/>
          <w:sz w:val="28"/>
          <w:szCs w:val="28"/>
        </w:rPr>
        <w:t>De la competencia</w:t>
      </w:r>
      <w:r w:rsidRPr="00A66EEC">
        <w:rPr>
          <w:rFonts w:ascii="Palatino Linotype" w:hAnsi="Palatino Linotype" w:cs="Arial"/>
          <w:sz w:val="28"/>
          <w:szCs w:val="28"/>
        </w:rPr>
        <w:t>.</w:t>
      </w:r>
    </w:p>
    <w:p w14:paraId="28017DA6" w14:textId="77777777" w:rsidR="00D233C6" w:rsidRPr="00A66EEC" w:rsidRDefault="00D233C6" w:rsidP="00D233C6">
      <w:pPr>
        <w:pStyle w:val="Prrafodelista"/>
        <w:autoSpaceDE w:val="0"/>
        <w:autoSpaceDN w:val="0"/>
        <w:adjustRightInd w:val="0"/>
        <w:spacing w:before="240" w:after="160" w:line="360" w:lineRule="auto"/>
        <w:ind w:left="0"/>
        <w:jc w:val="both"/>
        <w:rPr>
          <w:rFonts w:ascii="Palatino Linotype" w:eastAsia="Calibri" w:hAnsi="Palatino Linotype" w:cs="Calibri"/>
          <w:lang w:val="es-MX" w:eastAsia="es-MX"/>
        </w:rPr>
      </w:pPr>
      <w:r w:rsidRPr="00A66EEC">
        <w:rPr>
          <w:rFonts w:ascii="Palatino Linotype" w:eastAsia="Calibri" w:hAnsi="Palatino Linotype" w:cs="Calibri"/>
          <w:lang w:val="es-MX" w:eastAsia="es-MX"/>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w:t>
      </w:r>
      <w:r w:rsidRPr="00A66EEC">
        <w:rPr>
          <w:rFonts w:ascii="Palatino Linotype" w:eastAsia="Calibri" w:hAnsi="Palatino Linotype" w:cs="Calibri"/>
          <w:lang w:val="es-MX" w:eastAsia="es-MX"/>
        </w:rPr>
        <w:lastRenderedPageBreak/>
        <w:t>Transparencia, Acceso a la Información Pública y Protección de Datos Personales del Estado de México y Municipios.</w:t>
      </w:r>
    </w:p>
    <w:p w14:paraId="0FB8A089" w14:textId="77777777" w:rsidR="00C623BC" w:rsidRPr="00A66EEC" w:rsidRDefault="00C623BC" w:rsidP="00844569">
      <w:pPr>
        <w:pStyle w:val="Prrafodelista"/>
        <w:autoSpaceDE w:val="0"/>
        <w:autoSpaceDN w:val="0"/>
        <w:adjustRightInd w:val="0"/>
        <w:spacing w:before="240" w:after="160" w:line="360" w:lineRule="auto"/>
        <w:ind w:left="0"/>
        <w:jc w:val="both"/>
        <w:rPr>
          <w:rFonts w:ascii="Palatino Linotype" w:hAnsi="Palatino Linotype" w:cs="Arial"/>
          <w:b/>
          <w:sz w:val="28"/>
          <w:lang w:val="es-MX"/>
        </w:rPr>
      </w:pPr>
    </w:p>
    <w:p w14:paraId="71AC3F8F" w14:textId="4A0768A9" w:rsidR="006168E4" w:rsidRPr="00A66EEC" w:rsidRDefault="006168E4" w:rsidP="00844569">
      <w:pPr>
        <w:pStyle w:val="Prrafodelista"/>
        <w:autoSpaceDE w:val="0"/>
        <w:autoSpaceDN w:val="0"/>
        <w:adjustRightInd w:val="0"/>
        <w:spacing w:before="240" w:after="160" w:line="360" w:lineRule="auto"/>
        <w:ind w:left="0"/>
        <w:jc w:val="both"/>
        <w:rPr>
          <w:rFonts w:ascii="Palatino Linotype" w:hAnsi="Palatino Linotype" w:cs="Arial"/>
          <w:b/>
        </w:rPr>
      </w:pPr>
      <w:r w:rsidRPr="00A66EEC">
        <w:rPr>
          <w:rFonts w:ascii="Palatino Linotype" w:hAnsi="Palatino Linotype" w:cs="Arial"/>
          <w:b/>
          <w:sz w:val="28"/>
        </w:rPr>
        <w:t>SEGUNDO</w:t>
      </w:r>
      <w:r w:rsidRPr="00A66EEC">
        <w:rPr>
          <w:rFonts w:ascii="Palatino Linotype" w:hAnsi="Palatino Linotype" w:cs="Arial"/>
          <w:b/>
        </w:rPr>
        <w:t xml:space="preserve">. </w:t>
      </w:r>
      <w:r w:rsidRPr="00A66EEC">
        <w:rPr>
          <w:rFonts w:ascii="Palatino Linotype" w:hAnsi="Palatino Linotype" w:cs="Arial"/>
          <w:b/>
          <w:sz w:val="28"/>
          <w:szCs w:val="28"/>
        </w:rPr>
        <w:t>Sobre los alcances del recurso de revisión.</w:t>
      </w:r>
      <w:r w:rsidRPr="00A66EEC">
        <w:rPr>
          <w:rFonts w:ascii="Palatino Linotype" w:hAnsi="Palatino Linotype" w:cs="Arial"/>
          <w:b/>
        </w:rPr>
        <w:t xml:space="preserve"> </w:t>
      </w:r>
    </w:p>
    <w:p w14:paraId="780F37AC" w14:textId="77777777" w:rsidR="006168E4" w:rsidRPr="00A66EEC"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sidRPr="00A66EE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B33F41B" w14:textId="77777777" w:rsidR="00F27706" w:rsidRPr="00A66EEC" w:rsidRDefault="00F27706" w:rsidP="0069414F">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6EB0CF4" w14:textId="77777777" w:rsidR="004C4D9F" w:rsidRPr="00A66EEC" w:rsidRDefault="004C4D9F" w:rsidP="004C4D9F">
      <w:pPr>
        <w:autoSpaceDE w:val="0"/>
        <w:autoSpaceDN w:val="0"/>
        <w:adjustRightInd w:val="0"/>
        <w:spacing w:after="0" w:line="360" w:lineRule="auto"/>
        <w:jc w:val="both"/>
        <w:rPr>
          <w:rFonts w:ascii="Palatino Linotype" w:hAnsi="Palatino Linotype" w:cs="Arial"/>
          <w:b/>
        </w:rPr>
      </w:pPr>
      <w:r w:rsidRPr="00A66EEC">
        <w:rPr>
          <w:rFonts w:ascii="Palatino Linotype" w:hAnsi="Palatino Linotype" w:cs="Arial"/>
          <w:b/>
          <w:sz w:val="28"/>
        </w:rPr>
        <w:t>TERCERO. Cuestiones de previo y especial pronunciamiento</w:t>
      </w:r>
      <w:r w:rsidRPr="00A66EEC">
        <w:rPr>
          <w:rFonts w:ascii="Palatino Linotype" w:hAnsi="Palatino Linotype" w:cs="Arial"/>
          <w:b/>
        </w:rPr>
        <w:t>.</w:t>
      </w:r>
    </w:p>
    <w:p w14:paraId="025C988D" w14:textId="77777777" w:rsidR="004C4D9F" w:rsidRPr="00A66EEC" w:rsidRDefault="004C4D9F" w:rsidP="004C4D9F">
      <w:pPr>
        <w:spacing w:after="0" w:line="360" w:lineRule="auto"/>
        <w:jc w:val="both"/>
        <w:rPr>
          <w:rFonts w:ascii="Palatino Linotype" w:eastAsia="Times New Roman" w:hAnsi="Palatino Linotype" w:cs="Times New Roman"/>
          <w:sz w:val="24"/>
          <w:szCs w:val="24"/>
          <w:lang w:eastAsia="es-ES"/>
        </w:rPr>
      </w:pPr>
      <w:r w:rsidRPr="00A66EEC">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A66EEC">
        <w:rPr>
          <w:rFonts w:ascii="Palatino Linotype" w:eastAsia="Times New Roman" w:hAnsi="Palatino Linotype" w:cs="Times New Roman"/>
          <w:sz w:val="24"/>
          <w:szCs w:val="24"/>
          <w:lang w:val="es-ES_tradnl" w:eastAsia="es-ES"/>
        </w:rPr>
        <w:t>Acceso a la Información Pública del Estado de México y Municipios</w:t>
      </w:r>
      <w:r w:rsidRPr="00A66EEC">
        <w:rPr>
          <w:rFonts w:ascii="Palatino Linotype" w:eastAsia="Times New Roman" w:hAnsi="Palatino Linotype" w:cs="Times New Roman"/>
          <w:sz w:val="24"/>
          <w:szCs w:val="24"/>
          <w:lang w:eastAsia="es-ES"/>
        </w:rPr>
        <w:t>, establecidos en el artículo 180 que enuncia:</w:t>
      </w:r>
    </w:p>
    <w:p w14:paraId="35551DA2" w14:textId="77777777" w:rsidR="004C4D9F" w:rsidRPr="00A66EEC" w:rsidRDefault="004C4D9F" w:rsidP="004C4D9F">
      <w:pPr>
        <w:spacing w:before="240" w:line="360" w:lineRule="auto"/>
        <w:ind w:left="851" w:right="851"/>
        <w:jc w:val="both"/>
        <w:rPr>
          <w:rFonts w:ascii="Palatino Linotype" w:eastAsia="Times New Roman" w:hAnsi="Palatino Linotype" w:cs="Arial"/>
          <w:i/>
          <w:lang w:eastAsia="es-ES"/>
        </w:rPr>
      </w:pPr>
      <w:r w:rsidRPr="00A66EEC">
        <w:rPr>
          <w:rFonts w:ascii="Palatino Linotype" w:eastAsia="Times New Roman" w:hAnsi="Palatino Linotype" w:cs="Arial"/>
          <w:b/>
          <w:i/>
          <w:lang w:eastAsia="es-ES"/>
        </w:rPr>
        <w:t xml:space="preserve">“Artículo 180. </w:t>
      </w:r>
      <w:r w:rsidRPr="00A66EEC">
        <w:rPr>
          <w:rFonts w:ascii="Palatino Linotype" w:eastAsia="Times New Roman" w:hAnsi="Palatino Linotype" w:cs="Arial"/>
          <w:i/>
          <w:lang w:eastAsia="es-ES"/>
        </w:rPr>
        <w:t>El recurso de revisión contendrá:</w:t>
      </w:r>
    </w:p>
    <w:p w14:paraId="1D5EA37A" w14:textId="77777777" w:rsidR="004C4D9F" w:rsidRPr="00A66EEC" w:rsidRDefault="004C4D9F" w:rsidP="004C4D9F">
      <w:pPr>
        <w:spacing w:before="240" w:line="360" w:lineRule="auto"/>
        <w:ind w:left="851" w:right="851"/>
        <w:jc w:val="both"/>
        <w:rPr>
          <w:rFonts w:ascii="Palatino Linotype" w:eastAsia="Times New Roman" w:hAnsi="Palatino Linotype" w:cs="Arial"/>
          <w:i/>
          <w:lang w:eastAsia="es-ES"/>
        </w:rPr>
      </w:pPr>
      <w:r w:rsidRPr="00A66EEC">
        <w:rPr>
          <w:rFonts w:ascii="Palatino Linotype" w:eastAsia="Times New Roman" w:hAnsi="Palatino Linotype" w:cs="Arial"/>
          <w:i/>
          <w:lang w:eastAsia="es-ES"/>
        </w:rPr>
        <w:t>I. El sujeto obligado ante la cual se presentó la solicitud;</w:t>
      </w:r>
    </w:p>
    <w:p w14:paraId="52B23EB5" w14:textId="77777777" w:rsidR="004C4D9F" w:rsidRPr="00A66EEC" w:rsidRDefault="004C4D9F" w:rsidP="004C4D9F">
      <w:pPr>
        <w:spacing w:before="240" w:line="360" w:lineRule="auto"/>
        <w:ind w:left="851" w:right="851"/>
        <w:jc w:val="both"/>
        <w:rPr>
          <w:rFonts w:ascii="Palatino Linotype" w:eastAsia="Times New Roman" w:hAnsi="Palatino Linotype" w:cs="Arial"/>
          <w:i/>
          <w:lang w:eastAsia="es-ES"/>
        </w:rPr>
      </w:pPr>
      <w:r w:rsidRPr="00A66EEC">
        <w:rPr>
          <w:rFonts w:ascii="Palatino Linotype" w:eastAsia="Times New Roman" w:hAnsi="Palatino Linotype" w:cs="Arial"/>
          <w:b/>
          <w:i/>
          <w:u w:val="single"/>
          <w:lang w:eastAsia="es-ES"/>
        </w:rPr>
        <w:lastRenderedPageBreak/>
        <w:t>II. El nombre del solicitante que recurre</w:t>
      </w:r>
      <w:r w:rsidRPr="00A66EEC">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1B1C9939" w14:textId="77777777" w:rsidR="004C4D9F" w:rsidRPr="00A66EEC" w:rsidRDefault="004C4D9F" w:rsidP="004C4D9F">
      <w:pPr>
        <w:spacing w:before="240" w:line="360" w:lineRule="auto"/>
        <w:ind w:left="851" w:right="851"/>
        <w:jc w:val="both"/>
        <w:rPr>
          <w:rFonts w:ascii="Palatino Linotype" w:eastAsia="Times New Roman" w:hAnsi="Palatino Linotype" w:cs="Arial"/>
          <w:i/>
          <w:lang w:eastAsia="es-ES"/>
        </w:rPr>
      </w:pPr>
      <w:r w:rsidRPr="00A66EEC">
        <w:rPr>
          <w:rFonts w:ascii="Palatino Linotype" w:eastAsia="Times New Roman" w:hAnsi="Palatino Linotype" w:cs="Arial"/>
          <w:i/>
          <w:lang w:eastAsia="es-ES"/>
        </w:rPr>
        <w:t>III. El número de folio de respuesta de la solicitud de acceso;</w:t>
      </w:r>
    </w:p>
    <w:p w14:paraId="332ECFAA" w14:textId="77777777" w:rsidR="004C4D9F" w:rsidRPr="00A66EEC" w:rsidRDefault="004C4D9F" w:rsidP="004C4D9F">
      <w:pPr>
        <w:spacing w:before="240" w:line="360" w:lineRule="auto"/>
        <w:ind w:left="851" w:right="851"/>
        <w:jc w:val="both"/>
        <w:rPr>
          <w:rFonts w:ascii="Palatino Linotype" w:eastAsia="Times New Roman" w:hAnsi="Palatino Linotype" w:cs="Arial"/>
          <w:i/>
          <w:lang w:eastAsia="es-ES"/>
        </w:rPr>
      </w:pPr>
      <w:r w:rsidRPr="00A66EEC">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25E169D4" w14:textId="77777777" w:rsidR="004C4D9F" w:rsidRPr="00A66EEC" w:rsidRDefault="004C4D9F" w:rsidP="004C4D9F">
      <w:pPr>
        <w:spacing w:before="240" w:line="360" w:lineRule="auto"/>
        <w:ind w:left="851" w:right="851"/>
        <w:jc w:val="both"/>
        <w:rPr>
          <w:rFonts w:ascii="Palatino Linotype" w:eastAsia="Times New Roman" w:hAnsi="Palatino Linotype" w:cs="Arial"/>
          <w:i/>
          <w:lang w:eastAsia="es-ES"/>
        </w:rPr>
      </w:pPr>
      <w:r w:rsidRPr="00A66EEC">
        <w:rPr>
          <w:rFonts w:ascii="Palatino Linotype" w:eastAsia="Times New Roman" w:hAnsi="Palatino Linotype" w:cs="Arial"/>
          <w:i/>
          <w:lang w:eastAsia="es-ES"/>
        </w:rPr>
        <w:t>V. El acto que se recurre;</w:t>
      </w:r>
    </w:p>
    <w:p w14:paraId="53A59EEA" w14:textId="77777777" w:rsidR="004C4D9F" w:rsidRPr="00A66EEC" w:rsidRDefault="004C4D9F" w:rsidP="004C4D9F">
      <w:pPr>
        <w:spacing w:before="240" w:line="360" w:lineRule="auto"/>
        <w:ind w:left="851" w:right="851"/>
        <w:jc w:val="both"/>
        <w:rPr>
          <w:rFonts w:ascii="Palatino Linotype" w:eastAsia="Times New Roman" w:hAnsi="Palatino Linotype" w:cs="Arial"/>
          <w:i/>
          <w:lang w:eastAsia="es-ES"/>
        </w:rPr>
      </w:pPr>
      <w:r w:rsidRPr="00A66EEC">
        <w:rPr>
          <w:rFonts w:ascii="Palatino Linotype" w:eastAsia="Times New Roman" w:hAnsi="Palatino Linotype" w:cs="Arial"/>
          <w:i/>
          <w:lang w:eastAsia="es-ES"/>
        </w:rPr>
        <w:t>VI. Las razones o motivos de inconformidad;</w:t>
      </w:r>
    </w:p>
    <w:p w14:paraId="13CE59FE" w14:textId="77777777" w:rsidR="004C4D9F" w:rsidRPr="00A66EEC" w:rsidRDefault="004C4D9F" w:rsidP="004C4D9F">
      <w:pPr>
        <w:spacing w:before="240" w:line="360" w:lineRule="auto"/>
        <w:ind w:left="851" w:right="851"/>
        <w:jc w:val="both"/>
        <w:rPr>
          <w:rFonts w:ascii="Palatino Linotype" w:eastAsia="Times New Roman" w:hAnsi="Palatino Linotype" w:cs="Arial"/>
          <w:i/>
          <w:lang w:eastAsia="es-ES"/>
        </w:rPr>
      </w:pPr>
      <w:r w:rsidRPr="00A66EEC">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6E5F16B9" w14:textId="77777777" w:rsidR="004C4D9F" w:rsidRPr="00A66EEC" w:rsidRDefault="004C4D9F" w:rsidP="004C4D9F">
      <w:pPr>
        <w:spacing w:before="240" w:line="360" w:lineRule="auto"/>
        <w:ind w:left="851" w:right="851"/>
        <w:jc w:val="both"/>
        <w:rPr>
          <w:rFonts w:ascii="Palatino Linotype" w:eastAsia="Times New Roman" w:hAnsi="Palatino Linotype" w:cs="Arial"/>
          <w:i/>
          <w:lang w:eastAsia="es-ES"/>
        </w:rPr>
      </w:pPr>
      <w:r w:rsidRPr="00A66EEC">
        <w:rPr>
          <w:rFonts w:ascii="Palatino Linotype" w:eastAsia="Times New Roman" w:hAnsi="Palatino Linotype" w:cs="Arial"/>
          <w:i/>
          <w:lang w:eastAsia="es-ES"/>
        </w:rPr>
        <w:t>VIII. Firma del recurrente, en su caso, cuando se presente por escrito, requisito sin el cual se dará trámite al recurso.</w:t>
      </w:r>
    </w:p>
    <w:p w14:paraId="50F7B2EA" w14:textId="77777777" w:rsidR="004C4D9F" w:rsidRPr="00A66EEC" w:rsidRDefault="004C4D9F" w:rsidP="004C4D9F">
      <w:pPr>
        <w:spacing w:before="240" w:line="360" w:lineRule="auto"/>
        <w:ind w:left="851" w:right="851"/>
        <w:jc w:val="both"/>
        <w:rPr>
          <w:rFonts w:ascii="Palatino Linotype" w:eastAsia="Times New Roman" w:hAnsi="Palatino Linotype" w:cs="Arial"/>
          <w:i/>
          <w:lang w:eastAsia="es-ES"/>
        </w:rPr>
      </w:pPr>
      <w:r w:rsidRPr="00A66EEC">
        <w:rPr>
          <w:rFonts w:ascii="Palatino Linotype" w:eastAsia="Times New Roman" w:hAnsi="Palatino Linotype" w:cs="Arial"/>
          <w:i/>
          <w:lang w:eastAsia="es-ES"/>
        </w:rPr>
        <w:t>Adicionalmente, se podrán anexar las pruebas y demás elementos que considere procedentes someter a juicio del Instituto.</w:t>
      </w:r>
    </w:p>
    <w:p w14:paraId="499790A7" w14:textId="77777777" w:rsidR="004C4D9F" w:rsidRPr="00A66EEC" w:rsidRDefault="004C4D9F" w:rsidP="004C4D9F">
      <w:pPr>
        <w:spacing w:before="240" w:line="360" w:lineRule="auto"/>
        <w:ind w:left="851" w:right="851"/>
        <w:jc w:val="both"/>
        <w:rPr>
          <w:rFonts w:ascii="Palatino Linotype" w:eastAsia="Times New Roman" w:hAnsi="Palatino Linotype" w:cs="Arial"/>
          <w:i/>
          <w:lang w:eastAsia="es-ES"/>
        </w:rPr>
      </w:pPr>
      <w:r w:rsidRPr="00A66EEC">
        <w:rPr>
          <w:rFonts w:ascii="Palatino Linotype" w:eastAsia="Times New Roman" w:hAnsi="Palatino Linotype" w:cs="Arial"/>
          <w:i/>
          <w:lang w:eastAsia="es-ES"/>
        </w:rPr>
        <w:t>En ningún caso será necesario que el particular ratifique el recurso de revisión interpuesto.</w:t>
      </w:r>
    </w:p>
    <w:p w14:paraId="569521BF" w14:textId="77777777" w:rsidR="004C4D9F" w:rsidRPr="00A66EEC" w:rsidRDefault="004C4D9F" w:rsidP="004C4D9F">
      <w:pPr>
        <w:spacing w:before="240" w:line="360" w:lineRule="auto"/>
        <w:ind w:left="851" w:right="851"/>
        <w:jc w:val="both"/>
        <w:rPr>
          <w:rFonts w:ascii="Palatino Linotype" w:eastAsia="Times New Roman" w:hAnsi="Palatino Linotype" w:cs="Arial"/>
          <w:i/>
          <w:sz w:val="24"/>
          <w:szCs w:val="24"/>
          <w:lang w:eastAsia="es-ES"/>
        </w:rPr>
      </w:pPr>
      <w:r w:rsidRPr="00A66EEC">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sidRPr="00A66EEC">
        <w:rPr>
          <w:rFonts w:ascii="Palatino Linotype" w:eastAsia="Times New Roman" w:hAnsi="Palatino Linotype" w:cs="Arial"/>
          <w:b/>
          <w:i/>
          <w:lang w:eastAsia="es-ES"/>
        </w:rPr>
        <w:t xml:space="preserve"> [Sic] </w:t>
      </w:r>
    </w:p>
    <w:p w14:paraId="323C7660" w14:textId="77777777" w:rsidR="004C4D9F" w:rsidRPr="00A66EEC" w:rsidRDefault="004C4D9F" w:rsidP="004C4D9F">
      <w:pPr>
        <w:spacing w:after="0" w:line="360" w:lineRule="auto"/>
        <w:jc w:val="both"/>
        <w:rPr>
          <w:rFonts w:ascii="Palatino Linotype" w:eastAsia="Times New Roman" w:hAnsi="Palatino Linotype" w:cs="Arial"/>
          <w:b/>
          <w:i/>
          <w:sz w:val="24"/>
          <w:szCs w:val="24"/>
          <w:lang w:eastAsia="es-ES"/>
        </w:rPr>
      </w:pPr>
    </w:p>
    <w:p w14:paraId="5496207C" w14:textId="77777777" w:rsidR="004C4D9F" w:rsidRPr="00A66EEC" w:rsidRDefault="004C4D9F" w:rsidP="004C4D9F">
      <w:pPr>
        <w:spacing w:after="0" w:line="360" w:lineRule="auto"/>
        <w:jc w:val="both"/>
        <w:rPr>
          <w:rFonts w:ascii="Palatino Linotype" w:hAnsi="Palatino Linotype" w:cs="Arial"/>
          <w:sz w:val="24"/>
          <w:szCs w:val="24"/>
          <w:lang w:val="es-ES" w:eastAsia="es-ES"/>
        </w:rPr>
      </w:pPr>
      <w:r w:rsidRPr="00A66EEC">
        <w:rPr>
          <w:rFonts w:ascii="Palatino Linotype" w:hAnsi="Palatino Linotype" w:cs="Segoe UI"/>
          <w:sz w:val="24"/>
          <w:szCs w:val="24"/>
          <w:lang w:val="es-ES" w:eastAsia="es-ES"/>
        </w:rPr>
        <w:lastRenderedPageBreak/>
        <w:t xml:space="preserve">Cabe señalar que </w:t>
      </w:r>
      <w:r w:rsidRPr="00A66EEC">
        <w:rPr>
          <w:rFonts w:ascii="Palatino Linotype" w:hAnsi="Palatino Linotype" w:cs="Segoe UI"/>
          <w:b/>
          <w:sz w:val="24"/>
          <w:szCs w:val="24"/>
          <w:lang w:val="es-ES" w:eastAsia="es-ES"/>
        </w:rPr>
        <w:t>El Recurrente</w:t>
      </w:r>
      <w:r w:rsidRPr="00A66EEC">
        <w:rPr>
          <w:rFonts w:ascii="Palatino Linotype" w:hAnsi="Palatino Linotype" w:cs="Segoe UI"/>
          <w:sz w:val="24"/>
          <w:szCs w:val="24"/>
          <w:lang w:val="es-ES" w:eastAsia="es-ES"/>
        </w:rPr>
        <w:t xml:space="preserve"> ejerció de manera anónima su derecho de acceso a la información pública</w:t>
      </w:r>
      <w:r w:rsidRPr="00A66EEC">
        <w:rPr>
          <w:rFonts w:ascii="Palatino Linotype" w:hAnsi="Palatino Linotype" w:cs="Times New Roman"/>
          <w:sz w:val="24"/>
          <w:szCs w:val="24"/>
          <w:lang w:val="es-ES" w:eastAsia="es-ES"/>
        </w:rPr>
        <w:t xml:space="preserve">, sin embargo, no es motivo para desechar las </w:t>
      </w:r>
      <w:r w:rsidRPr="00A66EEC">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1E690632" w14:textId="77777777" w:rsidR="004C4D9F" w:rsidRPr="00A66EEC" w:rsidRDefault="004C4D9F" w:rsidP="004C4D9F">
      <w:pPr>
        <w:spacing w:before="240" w:line="360" w:lineRule="auto"/>
        <w:ind w:left="851" w:right="851"/>
        <w:jc w:val="both"/>
        <w:rPr>
          <w:rFonts w:ascii="Palatino Linotype" w:hAnsi="Palatino Linotype" w:cs="Arial"/>
          <w:b/>
          <w:i/>
          <w:lang w:val="es-ES" w:eastAsia="es-ES"/>
        </w:rPr>
      </w:pPr>
      <w:r w:rsidRPr="00A66EEC">
        <w:rPr>
          <w:rFonts w:ascii="Palatino Linotype" w:hAnsi="Palatino Linotype" w:cs="Arial"/>
          <w:i/>
          <w:lang w:val="es-ES" w:eastAsia="es-ES"/>
        </w:rPr>
        <w:t xml:space="preserve">“Las solicitudes anónimas, con nombre incompleto o seudónimo serán procedentes para su trámite por parte del sujeto obligado ante quien se presente. No podrá requerirse información adicional con motivo del nombre proporcionado por el solicitante.” </w:t>
      </w:r>
      <w:r w:rsidRPr="00A66EEC">
        <w:rPr>
          <w:rFonts w:ascii="Palatino Linotype" w:hAnsi="Palatino Linotype" w:cs="Arial"/>
          <w:b/>
          <w:i/>
          <w:lang w:val="es-ES" w:eastAsia="es-ES"/>
        </w:rPr>
        <w:t>[Sic]</w:t>
      </w:r>
    </w:p>
    <w:p w14:paraId="01559B20" w14:textId="77777777" w:rsidR="008B14A3" w:rsidRPr="00A66EEC" w:rsidRDefault="008B14A3" w:rsidP="004C4D9F">
      <w:pPr>
        <w:spacing w:after="0" w:line="360" w:lineRule="auto"/>
        <w:jc w:val="both"/>
        <w:rPr>
          <w:rFonts w:ascii="Palatino Linotype" w:hAnsi="Palatino Linotype" w:cs="Times New Roman"/>
          <w:sz w:val="24"/>
          <w:szCs w:val="24"/>
          <w:lang w:val="es-ES" w:eastAsia="es-ES"/>
        </w:rPr>
      </w:pPr>
    </w:p>
    <w:p w14:paraId="3E1F7B24" w14:textId="64FAB744" w:rsidR="004C4D9F" w:rsidRPr="00A66EEC" w:rsidRDefault="004C4D9F" w:rsidP="004C4D9F">
      <w:pPr>
        <w:spacing w:after="0" w:line="360" w:lineRule="auto"/>
        <w:jc w:val="both"/>
        <w:rPr>
          <w:rFonts w:ascii="Palatino Linotype" w:hAnsi="Palatino Linotype" w:cs="Times New Roman"/>
          <w:sz w:val="24"/>
          <w:szCs w:val="24"/>
          <w:lang w:val="es-ES" w:eastAsia="es-ES"/>
        </w:rPr>
      </w:pPr>
      <w:r w:rsidRPr="00A66EEC">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A66EEC">
        <w:rPr>
          <w:rFonts w:ascii="Palatino Linotype" w:hAnsi="Palatino Linotype" w:cs="Arial"/>
          <w:sz w:val="24"/>
          <w:szCs w:val="24"/>
          <w:lang w:val="es-ES" w:eastAsia="es-ES"/>
        </w:rPr>
        <w:t>vigésimo, vigésimo primero</w:t>
      </w:r>
      <w:r w:rsidRPr="00A66EEC">
        <w:rPr>
          <w:rFonts w:ascii="Palatino Linotype" w:eastAsia="Times New Roman" w:hAnsi="Palatino Linotype" w:cs="Arial"/>
          <w:sz w:val="24"/>
          <w:szCs w:val="24"/>
          <w:lang w:eastAsia="es-ES"/>
        </w:rPr>
        <w:t xml:space="preserve"> y vigésimo segundo</w:t>
      </w:r>
      <w:r w:rsidRPr="00A66EEC">
        <w:rPr>
          <w:rFonts w:ascii="Palatino Linotype" w:hAnsi="Palatino Linotype" w:cs="Times New Roman"/>
          <w:sz w:val="24"/>
          <w:szCs w:val="24"/>
          <w:lang w:val="es-ES" w:eastAsia="es-ES"/>
        </w:rPr>
        <w:t>, de la Constitución Política del Estado Libre y Soberano de México, se establece lo siguiente:</w:t>
      </w:r>
    </w:p>
    <w:p w14:paraId="58C3D8C9" w14:textId="77777777" w:rsidR="004C4D9F" w:rsidRPr="00A66EEC" w:rsidRDefault="004C4D9F" w:rsidP="004C4D9F">
      <w:pPr>
        <w:spacing w:before="240" w:line="360" w:lineRule="auto"/>
        <w:ind w:left="851" w:right="851"/>
        <w:jc w:val="center"/>
        <w:rPr>
          <w:rFonts w:ascii="Palatino Linotype" w:eastAsia="Times New Roman" w:hAnsi="Palatino Linotype" w:cs="Times New Roman"/>
          <w:b/>
          <w:i/>
          <w:u w:val="single"/>
          <w:lang w:val="es-ES" w:eastAsia="es-ES"/>
        </w:rPr>
      </w:pPr>
      <w:r w:rsidRPr="00A66EEC">
        <w:rPr>
          <w:rFonts w:ascii="Palatino Linotype" w:eastAsia="Times New Roman" w:hAnsi="Palatino Linotype" w:cs="Times New Roman"/>
          <w:b/>
          <w:i/>
          <w:u w:val="single"/>
          <w:lang w:val="es-ES" w:eastAsia="es-ES"/>
        </w:rPr>
        <w:t>Constitución Política de los Estados Unidos Mexicanos</w:t>
      </w:r>
    </w:p>
    <w:p w14:paraId="6C608683"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b/>
          <w:i/>
          <w:lang w:val="es-ES" w:eastAsia="es-ES"/>
        </w:rPr>
        <w:t>“Artículo 6</w:t>
      </w:r>
      <w:r w:rsidRPr="00A66EEC">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E153438"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w:t>
      </w:r>
    </w:p>
    <w:p w14:paraId="1E812016"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 xml:space="preserve">Para efectos de lo dispuesto en el presente artículo se observará lo siguiente: </w:t>
      </w:r>
    </w:p>
    <w:p w14:paraId="5AB8BA5E"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7BD281D6"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w:t>
      </w:r>
    </w:p>
    <w:p w14:paraId="55CBD8D7"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084A91BE" w14:textId="77777777" w:rsidR="004C4D9F" w:rsidRPr="00A66EEC" w:rsidRDefault="004C4D9F" w:rsidP="004C4D9F">
      <w:pPr>
        <w:spacing w:before="240" w:line="360" w:lineRule="auto"/>
        <w:ind w:left="851" w:right="851"/>
        <w:jc w:val="both"/>
        <w:rPr>
          <w:rFonts w:ascii="Palatino Linotype" w:eastAsia="Times New Roman" w:hAnsi="Palatino Linotype" w:cs="Times New Roman"/>
          <w:b/>
          <w:i/>
          <w:lang w:val="es-ES" w:eastAsia="es-ES"/>
        </w:rPr>
      </w:pPr>
      <w:r w:rsidRPr="00A66EEC">
        <w:rPr>
          <w:rFonts w:ascii="Palatino Linotype" w:eastAsia="Times New Roman" w:hAnsi="Palatino Linotype" w:cs="Times New Roman"/>
          <w:i/>
          <w:lang w:val="es-ES" w:eastAsia="es-ES"/>
        </w:rPr>
        <w:t xml:space="preserve">IV. Se establecerán mecanismos de acceso a la información y procedimientos de revisión expeditos que se sustanciarán ante los organismos autónomos especializados e imparciales que establece esta Constitución.” </w:t>
      </w:r>
      <w:r w:rsidRPr="00A66EEC">
        <w:rPr>
          <w:rFonts w:ascii="Palatino Linotype" w:eastAsia="Times New Roman" w:hAnsi="Palatino Linotype" w:cs="Times New Roman"/>
          <w:b/>
          <w:i/>
          <w:lang w:val="es-ES" w:eastAsia="es-ES"/>
        </w:rPr>
        <w:t>[Sic]</w:t>
      </w:r>
    </w:p>
    <w:p w14:paraId="2FC5CD23" w14:textId="77777777" w:rsidR="004C4D9F" w:rsidRPr="00A66EEC" w:rsidRDefault="004C4D9F" w:rsidP="004C4D9F">
      <w:pPr>
        <w:spacing w:before="240" w:line="360" w:lineRule="auto"/>
        <w:ind w:left="851" w:right="851"/>
        <w:jc w:val="both"/>
        <w:rPr>
          <w:rFonts w:ascii="Palatino Linotype" w:eastAsia="Times New Roman" w:hAnsi="Palatino Linotype" w:cs="Times New Roman"/>
          <w:b/>
          <w:i/>
          <w:lang w:val="es-ES" w:eastAsia="es-ES"/>
        </w:rPr>
      </w:pPr>
    </w:p>
    <w:p w14:paraId="525B8A83" w14:textId="77777777" w:rsidR="004C4D9F" w:rsidRPr="00A66EEC" w:rsidRDefault="004C4D9F" w:rsidP="004C4D9F">
      <w:pPr>
        <w:spacing w:before="240" w:line="360" w:lineRule="auto"/>
        <w:ind w:left="851" w:right="851"/>
        <w:jc w:val="center"/>
        <w:rPr>
          <w:rFonts w:ascii="Palatino Linotype" w:eastAsia="Times New Roman" w:hAnsi="Palatino Linotype" w:cs="Times New Roman"/>
          <w:b/>
          <w:i/>
          <w:u w:val="single"/>
          <w:lang w:val="es-ES" w:eastAsia="es-ES"/>
        </w:rPr>
      </w:pPr>
      <w:r w:rsidRPr="00A66EEC">
        <w:rPr>
          <w:rFonts w:ascii="Palatino Linotype" w:eastAsia="Times New Roman" w:hAnsi="Palatino Linotype" w:cs="Times New Roman"/>
          <w:b/>
          <w:i/>
          <w:u w:val="single"/>
          <w:lang w:val="es-ES" w:eastAsia="es-ES"/>
        </w:rPr>
        <w:t>Constitución Política del Estado Libre y Soberano de México</w:t>
      </w:r>
    </w:p>
    <w:p w14:paraId="1CDD926B"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w:t>
      </w:r>
      <w:r w:rsidRPr="00A66EEC">
        <w:rPr>
          <w:rFonts w:ascii="Palatino Linotype" w:eastAsia="Times New Roman" w:hAnsi="Palatino Linotype" w:cs="Times New Roman"/>
          <w:b/>
          <w:i/>
          <w:lang w:val="es-ES" w:eastAsia="es-ES"/>
        </w:rPr>
        <w:t>Artículo 5</w:t>
      </w:r>
      <w:r w:rsidRPr="00A66EEC">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B46C9A4"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w:t>
      </w:r>
    </w:p>
    <w:p w14:paraId="65B29050"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0E573118"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 xml:space="preserve"> (…)</w:t>
      </w:r>
    </w:p>
    <w:p w14:paraId="42032C00"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0EBBE461"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593511B0"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w:t>
      </w:r>
    </w:p>
    <w:p w14:paraId="63F46C78"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2F22823"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0EFA99D0" w14:textId="77777777" w:rsidR="004C4D9F" w:rsidRPr="00A66EEC" w:rsidRDefault="004C4D9F" w:rsidP="004C4D9F">
      <w:pPr>
        <w:spacing w:before="240" w:line="360" w:lineRule="auto"/>
        <w:ind w:left="851" w:right="851"/>
        <w:jc w:val="both"/>
        <w:rPr>
          <w:rFonts w:ascii="Palatino Linotype" w:eastAsia="Times New Roman" w:hAnsi="Palatino Linotype" w:cs="Times New Roman"/>
          <w:i/>
          <w:lang w:val="es-ES" w:eastAsia="es-ES"/>
        </w:rPr>
      </w:pPr>
      <w:r w:rsidRPr="00A66EEC">
        <w:rPr>
          <w:rFonts w:ascii="Palatino Linotype" w:eastAsia="Times New Roman" w:hAnsi="Palatino Linotype" w:cs="Times New Roman"/>
          <w:i/>
          <w:lang w:val="es-ES" w:eastAsia="es-ES"/>
        </w:rPr>
        <w:t>(…)</w:t>
      </w:r>
    </w:p>
    <w:p w14:paraId="3EEB84E6" w14:textId="77777777" w:rsidR="004C4D9F" w:rsidRPr="00A66EEC" w:rsidRDefault="004C4D9F" w:rsidP="004C4D9F">
      <w:pPr>
        <w:spacing w:before="240" w:line="360" w:lineRule="auto"/>
        <w:ind w:left="851" w:right="851"/>
        <w:jc w:val="both"/>
        <w:rPr>
          <w:rFonts w:ascii="Palatino Linotype" w:eastAsia="Times New Roman" w:hAnsi="Palatino Linotype" w:cs="Times New Roman"/>
          <w:b/>
          <w:i/>
          <w:lang w:val="es-ES" w:eastAsia="es-ES"/>
        </w:rPr>
      </w:pPr>
      <w:r w:rsidRPr="00A66EEC">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w:t>
      </w:r>
      <w:r w:rsidRPr="00A66EEC">
        <w:rPr>
          <w:rFonts w:ascii="Palatino Linotype" w:eastAsia="Times New Roman" w:hAnsi="Palatino Linotype" w:cs="Times New Roman"/>
          <w:i/>
          <w:lang w:val="es-ES" w:eastAsia="es-ES"/>
        </w:rPr>
        <w:lastRenderedPageBreak/>
        <w:t xml:space="preserve">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sidRPr="00A66EEC">
        <w:rPr>
          <w:rFonts w:ascii="Palatino Linotype" w:eastAsia="Times New Roman" w:hAnsi="Palatino Linotype" w:cs="Times New Roman"/>
          <w:b/>
          <w:i/>
          <w:lang w:val="es-ES" w:eastAsia="es-ES"/>
        </w:rPr>
        <w:t>[Sic]</w:t>
      </w:r>
    </w:p>
    <w:p w14:paraId="6C563834" w14:textId="77777777" w:rsidR="004C4D9F" w:rsidRPr="00A66EEC" w:rsidRDefault="004C4D9F" w:rsidP="004C4D9F">
      <w:pPr>
        <w:spacing w:after="0" w:line="360" w:lineRule="auto"/>
        <w:jc w:val="both"/>
        <w:rPr>
          <w:rFonts w:ascii="Palatino Linotype" w:eastAsia="Times New Roman" w:hAnsi="Palatino Linotype" w:cs="Times New Roman"/>
          <w:sz w:val="24"/>
          <w:szCs w:val="24"/>
          <w:lang w:val="es-ES" w:eastAsia="es-ES"/>
        </w:rPr>
      </w:pPr>
    </w:p>
    <w:p w14:paraId="42B71C20" w14:textId="77777777" w:rsidR="004C4D9F" w:rsidRPr="00A66EEC" w:rsidRDefault="004C4D9F" w:rsidP="004C4D9F">
      <w:pPr>
        <w:spacing w:after="0" w:line="360" w:lineRule="auto"/>
        <w:jc w:val="both"/>
        <w:rPr>
          <w:rFonts w:ascii="Palatino Linotype" w:eastAsia="Times New Roman" w:hAnsi="Palatino Linotype" w:cs="Times New Roman"/>
          <w:sz w:val="24"/>
          <w:szCs w:val="24"/>
          <w:lang w:val="es-ES" w:eastAsia="es-ES"/>
        </w:rPr>
      </w:pPr>
      <w:r w:rsidRPr="00A66EEC">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05BECD92" w14:textId="77777777" w:rsidR="004C4D9F" w:rsidRPr="00A66EEC" w:rsidRDefault="004C4D9F" w:rsidP="004C4D9F">
      <w:pPr>
        <w:spacing w:before="240" w:line="360" w:lineRule="auto"/>
        <w:ind w:left="851" w:right="851"/>
        <w:jc w:val="both"/>
        <w:rPr>
          <w:rFonts w:ascii="Palatino Linotype" w:hAnsi="Palatino Linotype" w:cs="Times New Roman"/>
          <w:i/>
          <w:lang w:val="es-ES" w:eastAsia="es-ES"/>
        </w:rPr>
      </w:pPr>
      <w:r w:rsidRPr="00A66EEC">
        <w:rPr>
          <w:rFonts w:ascii="Palatino Linotype" w:hAnsi="Palatino Linotype" w:cs="Times New Roman"/>
          <w:i/>
          <w:lang w:val="es-ES" w:eastAsia="es-ES"/>
        </w:rPr>
        <w:t>“</w:t>
      </w:r>
      <w:r w:rsidRPr="00A66EEC">
        <w:rPr>
          <w:rFonts w:ascii="Palatino Linotype" w:hAnsi="Palatino Linotype" w:cs="Times New Roman"/>
          <w:b/>
          <w:i/>
          <w:lang w:val="es-ES" w:eastAsia="es-ES"/>
        </w:rPr>
        <w:t>Artículo 1o</w:t>
      </w:r>
      <w:r w:rsidRPr="00A66EEC">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03E11AA2" w14:textId="77777777" w:rsidR="004C4D9F" w:rsidRPr="00A66EEC" w:rsidRDefault="004C4D9F" w:rsidP="004C4D9F">
      <w:pPr>
        <w:spacing w:before="240" w:line="360" w:lineRule="auto"/>
        <w:ind w:left="851" w:right="851"/>
        <w:jc w:val="both"/>
        <w:rPr>
          <w:rFonts w:ascii="Palatino Linotype" w:hAnsi="Palatino Linotype" w:cs="Times New Roman"/>
          <w:i/>
          <w:lang w:val="es-ES" w:eastAsia="es-ES"/>
        </w:rPr>
      </w:pPr>
      <w:r w:rsidRPr="00A66EEC">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6DC75BFE" w14:textId="77777777" w:rsidR="004C4D9F" w:rsidRPr="00A66EEC" w:rsidRDefault="004C4D9F" w:rsidP="004C4D9F">
      <w:pPr>
        <w:spacing w:before="240" w:line="360" w:lineRule="auto"/>
        <w:ind w:left="851" w:right="851"/>
        <w:jc w:val="both"/>
        <w:rPr>
          <w:rFonts w:ascii="Palatino Linotype" w:hAnsi="Palatino Linotype" w:cs="Times New Roman"/>
          <w:b/>
          <w:i/>
          <w:lang w:val="es-ES" w:eastAsia="es-ES"/>
        </w:rPr>
      </w:pPr>
      <w:r w:rsidRPr="00A66EEC">
        <w:rPr>
          <w:rFonts w:ascii="Palatino Linotype" w:hAnsi="Palatino Linotype" w:cs="Times New Roman"/>
          <w:i/>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w:t>
      </w:r>
      <w:r w:rsidRPr="00A66EEC">
        <w:rPr>
          <w:rFonts w:ascii="Palatino Linotype" w:hAnsi="Palatino Linotype" w:cs="Times New Roman"/>
          <w:b/>
          <w:i/>
          <w:lang w:val="es-ES" w:eastAsia="es-ES"/>
        </w:rPr>
        <w:t>[Sic]</w:t>
      </w:r>
    </w:p>
    <w:p w14:paraId="14210062" w14:textId="77777777" w:rsidR="004C4D9F" w:rsidRPr="00A66EEC" w:rsidRDefault="004C4D9F" w:rsidP="004C4D9F">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511872A9" w14:textId="77777777" w:rsidR="004C4D9F" w:rsidRPr="00A66EEC" w:rsidRDefault="004C4D9F" w:rsidP="004C4D9F">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A66EEC">
        <w:rPr>
          <w:rFonts w:ascii="Palatino Linotype" w:eastAsia="Times New Roman" w:hAnsi="Palatino Linotype" w:cs="Times New Roman"/>
          <w:sz w:val="24"/>
          <w:szCs w:val="24"/>
          <w:lang w:val="es-ES" w:eastAsia="es-ES"/>
        </w:rPr>
        <w:lastRenderedPageBreak/>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A66EEC">
        <w:rPr>
          <w:rFonts w:ascii="Palatino Linotype" w:eastAsia="Times New Roman" w:hAnsi="Palatino Linotype" w:cs="Times New Roman"/>
          <w:b/>
          <w:sz w:val="24"/>
          <w:szCs w:val="24"/>
          <w:u w:val="single"/>
          <w:lang w:val="es-ES" w:eastAsia="es-ES"/>
        </w:rPr>
        <w:t>incluso, la solicitud de acceso a la información pueda ser anónima</w:t>
      </w:r>
      <w:r w:rsidRPr="00A66EEC">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 </w:t>
      </w:r>
      <w:r w:rsidRPr="00A66EEC">
        <w:rPr>
          <w:rFonts w:ascii="Palatino Linotype" w:hAnsi="Palatino Linotype" w:cs="Arial"/>
          <w:sz w:val="24"/>
          <w:szCs w:val="24"/>
          <w:lang w:val="es-ES"/>
        </w:rPr>
        <w:t>En conclusión, se cubrieron los requisitos de procedencia y procedibilidad y conforme a las constancias que obran en el expediente.</w:t>
      </w:r>
    </w:p>
    <w:p w14:paraId="26B19D44" w14:textId="77777777" w:rsidR="004C4D9F" w:rsidRPr="00A66EEC" w:rsidRDefault="004C4D9F" w:rsidP="0069414F">
      <w:pPr>
        <w:pStyle w:val="Prrafodelista"/>
        <w:autoSpaceDE w:val="0"/>
        <w:autoSpaceDN w:val="0"/>
        <w:adjustRightInd w:val="0"/>
        <w:spacing w:before="240" w:after="160" w:line="360" w:lineRule="auto"/>
        <w:ind w:left="0"/>
        <w:jc w:val="both"/>
        <w:rPr>
          <w:rFonts w:ascii="Palatino Linotype" w:hAnsi="Palatino Linotype" w:cs="Arial"/>
          <w:b/>
          <w:sz w:val="28"/>
        </w:rPr>
      </w:pPr>
    </w:p>
    <w:p w14:paraId="0A578F8C" w14:textId="6C14B3EC" w:rsidR="00DD6F1E" w:rsidRPr="00A66EEC" w:rsidRDefault="004C4D9F" w:rsidP="00DD6F1E">
      <w:pPr>
        <w:tabs>
          <w:tab w:val="left" w:pos="709"/>
        </w:tabs>
        <w:spacing w:before="240" w:line="360" w:lineRule="auto"/>
        <w:ind w:right="51"/>
        <w:jc w:val="both"/>
        <w:rPr>
          <w:rFonts w:ascii="Palatino Linotype" w:hAnsi="Palatino Linotype"/>
          <w:b/>
          <w:sz w:val="28"/>
          <w:szCs w:val="28"/>
        </w:rPr>
      </w:pPr>
      <w:r w:rsidRPr="00A66EEC">
        <w:rPr>
          <w:rFonts w:ascii="Palatino Linotype" w:hAnsi="Palatino Linotype"/>
          <w:b/>
          <w:sz w:val="28"/>
          <w:szCs w:val="28"/>
        </w:rPr>
        <w:t>CUARTO</w:t>
      </w:r>
      <w:r w:rsidR="00DD6F1E" w:rsidRPr="00A66EEC">
        <w:rPr>
          <w:rFonts w:ascii="Palatino Linotype" w:hAnsi="Palatino Linotype"/>
          <w:b/>
          <w:sz w:val="28"/>
          <w:szCs w:val="28"/>
        </w:rPr>
        <w:t xml:space="preserve">. </w:t>
      </w:r>
      <w:r w:rsidR="00DD6F1E" w:rsidRPr="00A66EEC">
        <w:rPr>
          <w:rFonts w:ascii="Palatino Linotype" w:hAnsi="Palatino Linotype" w:cs="Arial"/>
          <w:b/>
          <w:sz w:val="28"/>
          <w:szCs w:val="28"/>
        </w:rPr>
        <w:t>Del estudio de las causas de improcedencia y sobreseimiento</w:t>
      </w:r>
    </w:p>
    <w:p w14:paraId="5C2AA3F5" w14:textId="77777777" w:rsidR="00DD6F1E" w:rsidRPr="00A66EEC" w:rsidRDefault="00DD6F1E" w:rsidP="00DD6F1E">
      <w:pPr>
        <w:pStyle w:val="Prrafodelista"/>
        <w:autoSpaceDE w:val="0"/>
        <w:autoSpaceDN w:val="0"/>
        <w:adjustRightInd w:val="0"/>
        <w:spacing w:line="360" w:lineRule="auto"/>
        <w:ind w:left="0"/>
        <w:jc w:val="both"/>
        <w:rPr>
          <w:rFonts w:ascii="Palatino Linotype" w:hAnsi="Palatino Linotype" w:cs="Arial"/>
        </w:rPr>
      </w:pPr>
      <w:r w:rsidRPr="00A66EEC">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AE0CD63" w14:textId="77777777" w:rsidR="00DD6F1E" w:rsidRPr="00A66EEC" w:rsidRDefault="00DD6F1E" w:rsidP="00DD6F1E">
      <w:pPr>
        <w:pStyle w:val="Prrafodelista"/>
        <w:autoSpaceDE w:val="0"/>
        <w:autoSpaceDN w:val="0"/>
        <w:adjustRightInd w:val="0"/>
        <w:spacing w:line="360" w:lineRule="auto"/>
        <w:ind w:left="0"/>
        <w:jc w:val="both"/>
        <w:rPr>
          <w:rFonts w:ascii="Palatino Linotype" w:hAnsi="Palatino Linotype" w:cs="Arial"/>
        </w:rPr>
      </w:pPr>
      <w:r w:rsidRPr="00A66EEC">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w:t>
      </w:r>
      <w:r w:rsidRPr="00A66EEC">
        <w:rPr>
          <w:rFonts w:ascii="Palatino Linotype" w:hAnsi="Palatino Linotype" w:cs="Arial"/>
        </w:rPr>
        <w:lastRenderedPageBreak/>
        <w:t>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r w:rsidRPr="00A66EEC">
        <w:rPr>
          <w:rStyle w:val="Refdenotaalpie"/>
          <w:rFonts w:ascii="Palatino Linotype" w:hAnsi="Palatino Linotype" w:cs="Arial"/>
        </w:rPr>
        <w:footnoteReference w:id="1"/>
      </w:r>
      <w:r w:rsidRPr="00A66EEC">
        <w:rPr>
          <w:rFonts w:ascii="Palatino Linotype" w:hAnsi="Palatino Linotype" w:cs="Arial"/>
        </w:rPr>
        <w:t>.</w:t>
      </w:r>
    </w:p>
    <w:p w14:paraId="4D343192" w14:textId="77777777" w:rsidR="00DD6F1E" w:rsidRPr="00A66EEC" w:rsidRDefault="00DD6F1E" w:rsidP="00DD6F1E">
      <w:pPr>
        <w:autoSpaceDE w:val="0"/>
        <w:autoSpaceDN w:val="0"/>
        <w:adjustRightInd w:val="0"/>
        <w:spacing w:line="360" w:lineRule="auto"/>
        <w:jc w:val="both"/>
        <w:rPr>
          <w:rFonts w:ascii="Palatino Linotype" w:hAnsi="Palatino Linotype" w:cs="Arial"/>
          <w:sz w:val="24"/>
          <w:szCs w:val="24"/>
        </w:rPr>
      </w:pPr>
      <w:r w:rsidRPr="00A66EEC">
        <w:rPr>
          <w:rFonts w:ascii="Palatino Linotype" w:hAnsi="Palatino Linotype" w:cs="Arial"/>
          <w:sz w:val="24"/>
          <w:szCs w:val="24"/>
        </w:rPr>
        <w:t xml:space="preserve">En primer término es necesario hacer alusión a la solicitud de información ya que de ella deriva por un lado el procedimiento de acceso a la información ante </w:t>
      </w:r>
      <w:r w:rsidRPr="00A66EEC">
        <w:rPr>
          <w:rFonts w:ascii="Palatino Linotype" w:hAnsi="Palatino Linotype" w:cs="Arial"/>
          <w:b/>
          <w:sz w:val="24"/>
          <w:szCs w:val="24"/>
        </w:rPr>
        <w:t>El Sujeto Obligado</w:t>
      </w:r>
      <w:r w:rsidRPr="00A66EEC">
        <w:rPr>
          <w:rFonts w:ascii="Palatino Linotype" w:hAnsi="Palatino Linotype" w:cs="Arial"/>
          <w:sz w:val="24"/>
          <w:szCs w:val="24"/>
        </w:rPr>
        <w:t xml:space="preserve">, y por otro lado la materia sobre la que versara el recurso de revisión ante este Órgano Garante; se resalta la innegable necesidad de interpretar el texto de las solicitud,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A66EEC">
        <w:rPr>
          <w:rFonts w:ascii="Palatino Linotype" w:hAnsi="Palatino Linotype" w:cs="Arial"/>
          <w:sz w:val="24"/>
          <w:szCs w:val="24"/>
        </w:rPr>
        <w:lastRenderedPageBreak/>
        <w:t>se le dé a las solicitudes de información, ya que el sujeto obligado puede considerar una circunstancia en particular diversa a la que el particular objetivamente requiere.</w:t>
      </w:r>
    </w:p>
    <w:p w14:paraId="665E8960" w14:textId="156B58BD" w:rsidR="00DD6F1E" w:rsidRPr="00A66EEC" w:rsidRDefault="00DD6F1E" w:rsidP="00DD6F1E">
      <w:pPr>
        <w:autoSpaceDE w:val="0"/>
        <w:autoSpaceDN w:val="0"/>
        <w:adjustRightInd w:val="0"/>
        <w:spacing w:line="360" w:lineRule="auto"/>
        <w:jc w:val="both"/>
        <w:rPr>
          <w:rFonts w:ascii="Palatino Linotype" w:hAnsi="Palatino Linotype" w:cs="Arial"/>
          <w:sz w:val="24"/>
          <w:szCs w:val="24"/>
        </w:rPr>
      </w:pPr>
      <w:r w:rsidRPr="00A66EEC">
        <w:rPr>
          <w:rFonts w:ascii="Palatino Linotype" w:hAnsi="Palatino Linotype" w:cs="Arial"/>
          <w:sz w:val="24"/>
          <w:szCs w:val="24"/>
        </w:rPr>
        <w:t xml:space="preserve">Ya que el planteamiento del problema es de toral importancia, a efecto de determinar la intención o voluntad </w:t>
      </w:r>
      <w:r w:rsidR="008B14A3" w:rsidRPr="00A66EEC">
        <w:rPr>
          <w:rFonts w:ascii="Palatino Linotype" w:hAnsi="Palatino Linotype" w:cs="Arial"/>
          <w:sz w:val="24"/>
          <w:szCs w:val="24"/>
        </w:rPr>
        <w:t>del</w:t>
      </w:r>
      <w:r w:rsidRPr="00A66EEC">
        <w:rPr>
          <w:rFonts w:ascii="Palatino Linotype" w:hAnsi="Palatino Linotype" w:cs="Arial"/>
          <w:b/>
          <w:sz w:val="24"/>
          <w:szCs w:val="24"/>
        </w:rPr>
        <w:t xml:space="preserve"> Recurrente</w:t>
      </w:r>
      <w:r w:rsidRPr="00A66EEC">
        <w:rPr>
          <w:rFonts w:ascii="Palatino Linotype" w:hAnsi="Palatino Linotype" w:cs="Arial"/>
          <w:sz w:val="24"/>
          <w:szCs w:val="24"/>
        </w:rPr>
        <w:t xml:space="preserve"> a la luz de la interpretación de la solicitud de información, y que puede generar de forma objetiva y material </w:t>
      </w:r>
      <w:r w:rsidRPr="00A66EEC">
        <w:rPr>
          <w:rFonts w:ascii="Palatino Linotype" w:hAnsi="Palatino Linotype" w:cs="Arial"/>
          <w:b/>
          <w:sz w:val="24"/>
          <w:szCs w:val="24"/>
        </w:rPr>
        <w:t>El Sujeto Obligado</w:t>
      </w:r>
      <w:r w:rsidRPr="00A66EEC">
        <w:rPr>
          <w:rFonts w:ascii="Palatino Linotype" w:hAnsi="Palatino Linotype" w:cs="Arial"/>
          <w:sz w:val="24"/>
          <w:szCs w:val="24"/>
        </w:rPr>
        <w:t xml:space="preserve"> que se relacione con esa intención, respecto del presente asunto se realiza a continuación.</w:t>
      </w:r>
    </w:p>
    <w:p w14:paraId="5ACCFECC" w14:textId="7C2B338A" w:rsidR="004C4D9F" w:rsidRPr="00A66EEC" w:rsidRDefault="000E5F05" w:rsidP="000E5F05">
      <w:pPr>
        <w:autoSpaceDE w:val="0"/>
        <w:autoSpaceDN w:val="0"/>
        <w:adjustRightInd w:val="0"/>
        <w:spacing w:line="360" w:lineRule="auto"/>
        <w:jc w:val="both"/>
        <w:rPr>
          <w:rFonts w:ascii="Palatino Linotype" w:hAnsi="Palatino Linotype" w:cs="Arial"/>
          <w:sz w:val="24"/>
          <w:szCs w:val="24"/>
        </w:rPr>
      </w:pPr>
      <w:r w:rsidRPr="00A66EEC">
        <w:rPr>
          <w:rFonts w:ascii="Palatino Linotype" w:hAnsi="Palatino Linotype" w:cs="Arial"/>
          <w:sz w:val="24"/>
          <w:szCs w:val="24"/>
        </w:rPr>
        <w:t xml:space="preserve">Una vez sentado lo anterior, de una interpretación armónica a la solicitud de información </w:t>
      </w:r>
      <w:r w:rsidR="004C4D9F" w:rsidRPr="00A66EEC">
        <w:rPr>
          <w:rFonts w:ascii="Palatino Linotype" w:hAnsi="Palatino Linotype" w:cs="Arial"/>
          <w:b/>
          <w:bCs/>
          <w:sz w:val="24"/>
          <w:szCs w:val="24"/>
        </w:rPr>
        <w:t xml:space="preserve">00084/TONANI/IP/2023, </w:t>
      </w:r>
      <w:r w:rsidR="004C4D9F" w:rsidRPr="00A66EEC">
        <w:rPr>
          <w:rFonts w:ascii="Palatino Linotype" w:hAnsi="Palatino Linotype" w:cs="Arial"/>
          <w:sz w:val="24"/>
          <w:szCs w:val="24"/>
        </w:rPr>
        <w:t xml:space="preserve">se desprenden las siguientes consideraciones: </w:t>
      </w:r>
    </w:p>
    <w:p w14:paraId="043D4B3C" w14:textId="4EB30EB4" w:rsidR="00690743" w:rsidRPr="00A66EEC" w:rsidRDefault="00690743" w:rsidP="003E11E6">
      <w:pPr>
        <w:pStyle w:val="Prrafodelista"/>
        <w:numPr>
          <w:ilvl w:val="0"/>
          <w:numId w:val="2"/>
        </w:numPr>
        <w:autoSpaceDE w:val="0"/>
        <w:autoSpaceDN w:val="0"/>
        <w:adjustRightInd w:val="0"/>
        <w:spacing w:line="360" w:lineRule="auto"/>
        <w:jc w:val="both"/>
        <w:rPr>
          <w:rFonts w:ascii="Palatino Linotype" w:hAnsi="Palatino Linotype" w:cs="Arial"/>
        </w:rPr>
      </w:pPr>
      <w:r w:rsidRPr="00A66EEC">
        <w:rPr>
          <w:rFonts w:ascii="Palatino Linotype" w:hAnsi="Palatino Linotype" w:cs="Arial"/>
        </w:rPr>
        <w:t xml:space="preserve">Que el derecho de acceso a la información </w:t>
      </w:r>
      <w:r w:rsidR="00F85D92" w:rsidRPr="00A66EEC">
        <w:rPr>
          <w:rFonts w:ascii="Palatino Linotype" w:hAnsi="Palatino Linotype" w:cs="Arial"/>
        </w:rPr>
        <w:t>pública</w:t>
      </w:r>
      <w:r w:rsidRPr="00A66EEC">
        <w:rPr>
          <w:rFonts w:ascii="Palatino Linotype" w:hAnsi="Palatino Linotype" w:cs="Arial"/>
        </w:rPr>
        <w:t xml:space="preserve"> estriba en la prerrogativa de carácter constitucional que reconoce la potestad de los ciudadanos para solicitar soportes documentales generados, poseídos o administrados por los </w:t>
      </w:r>
      <w:r w:rsidRPr="00A66EEC">
        <w:rPr>
          <w:rFonts w:ascii="Palatino Linotype" w:hAnsi="Palatino Linotype" w:cs="Arial"/>
          <w:b/>
          <w:bCs/>
        </w:rPr>
        <w:t>Sujetos Obligados.</w:t>
      </w:r>
    </w:p>
    <w:p w14:paraId="2AAE6933" w14:textId="77777777" w:rsidR="0097702D" w:rsidRPr="00A66EEC" w:rsidRDefault="00690743" w:rsidP="003E11E6">
      <w:pPr>
        <w:pStyle w:val="Prrafodelista"/>
        <w:numPr>
          <w:ilvl w:val="0"/>
          <w:numId w:val="2"/>
        </w:numPr>
        <w:autoSpaceDE w:val="0"/>
        <w:autoSpaceDN w:val="0"/>
        <w:adjustRightInd w:val="0"/>
        <w:spacing w:line="360" w:lineRule="auto"/>
        <w:jc w:val="both"/>
        <w:rPr>
          <w:rFonts w:ascii="Palatino Linotype" w:hAnsi="Palatino Linotype" w:cs="Arial"/>
        </w:rPr>
      </w:pPr>
      <w:r w:rsidRPr="00A66EEC">
        <w:rPr>
          <w:rFonts w:ascii="Palatino Linotype" w:hAnsi="Palatino Linotype" w:cs="Arial"/>
        </w:rPr>
        <w:t xml:space="preserve">Que </w:t>
      </w:r>
      <w:r w:rsidR="003E1E60" w:rsidRPr="00A66EEC">
        <w:rPr>
          <w:rFonts w:ascii="Palatino Linotype" w:hAnsi="Palatino Linotype" w:cs="Arial"/>
        </w:rPr>
        <w:t>fue</w:t>
      </w:r>
      <w:r w:rsidR="00D233C6" w:rsidRPr="00A66EEC">
        <w:rPr>
          <w:rFonts w:ascii="Palatino Linotype" w:hAnsi="Palatino Linotype" w:cs="Arial"/>
        </w:rPr>
        <w:t>ron</w:t>
      </w:r>
      <w:r w:rsidR="00D42688" w:rsidRPr="00A66EEC">
        <w:rPr>
          <w:rFonts w:ascii="Palatino Linotype" w:hAnsi="Palatino Linotype" w:cs="Arial"/>
        </w:rPr>
        <w:t xml:space="preserve"> formulado</w:t>
      </w:r>
      <w:r w:rsidR="00D233C6" w:rsidRPr="00A66EEC">
        <w:rPr>
          <w:rFonts w:ascii="Palatino Linotype" w:hAnsi="Palatino Linotype" w:cs="Arial"/>
        </w:rPr>
        <w:t xml:space="preserve">s </w:t>
      </w:r>
      <w:r w:rsidR="004C4D9F" w:rsidRPr="00A66EEC">
        <w:rPr>
          <w:rFonts w:ascii="Palatino Linotype" w:hAnsi="Palatino Linotype" w:cs="Arial"/>
          <w:b/>
          <w:bCs/>
        </w:rPr>
        <w:t xml:space="preserve">2 -dos- </w:t>
      </w:r>
      <w:r w:rsidR="004C4D9F" w:rsidRPr="00A66EEC">
        <w:rPr>
          <w:rFonts w:ascii="Palatino Linotype" w:hAnsi="Palatino Linotype" w:cs="Arial"/>
        </w:rPr>
        <w:t xml:space="preserve">requerimientos, precisando que con relación al primero de ellos no fue delimitado elemento temporal, debiendo de ser fijado a la fecha en que se ejerció el derecho de acceso a la información pública, es decir, al trece de julio de dos mil veintitrés. </w:t>
      </w:r>
    </w:p>
    <w:p w14:paraId="5FCCE63F" w14:textId="77777777" w:rsidR="0097702D" w:rsidRPr="00A66EEC" w:rsidRDefault="0097702D" w:rsidP="003E11E6">
      <w:pPr>
        <w:pStyle w:val="Prrafodelista"/>
        <w:numPr>
          <w:ilvl w:val="0"/>
          <w:numId w:val="3"/>
        </w:numPr>
        <w:autoSpaceDE w:val="0"/>
        <w:autoSpaceDN w:val="0"/>
        <w:adjustRightInd w:val="0"/>
        <w:spacing w:before="240" w:line="360" w:lineRule="auto"/>
        <w:jc w:val="both"/>
        <w:rPr>
          <w:rFonts w:ascii="Palatino Linotype" w:hAnsi="Palatino Linotype"/>
        </w:rPr>
      </w:pPr>
      <w:r w:rsidRPr="00A66EEC">
        <w:rPr>
          <w:rFonts w:ascii="Palatino Linotype" w:hAnsi="Palatino Linotype" w:cs="Arial"/>
        </w:rPr>
        <w:t xml:space="preserve">Que cuando los particulares no identifican de forma precisa los documentos requeridos, </w:t>
      </w:r>
      <w:r w:rsidRPr="00A66EEC">
        <w:rPr>
          <w:rFonts w:ascii="Palatino Linotype" w:hAnsi="Palatino Linotype"/>
        </w:rPr>
        <w:t xml:space="preserve">bastará con que se remita cualquiera que refleje la información requerida. Al respecto cobra relevancia el criterio emitido por el Órgano Garante Nacional con número </w:t>
      </w:r>
      <w:r w:rsidRPr="00A66EEC">
        <w:rPr>
          <w:rFonts w:ascii="Palatino Linotype" w:hAnsi="Palatino Linotype"/>
          <w:b/>
          <w:bCs/>
        </w:rPr>
        <w:t xml:space="preserve">16/17 </w:t>
      </w:r>
      <w:r w:rsidRPr="00A66EEC">
        <w:rPr>
          <w:rFonts w:ascii="Palatino Linotype" w:hAnsi="Palatino Linotype"/>
        </w:rPr>
        <w:t>cuyo rubro y texto disponen a la literalidad lo siguiente:</w:t>
      </w:r>
    </w:p>
    <w:p w14:paraId="52A9E46A" w14:textId="77777777" w:rsidR="0097702D" w:rsidRPr="00A66EEC" w:rsidRDefault="0097702D" w:rsidP="0097702D">
      <w:pPr>
        <w:pStyle w:val="Citas"/>
        <w:jc w:val="center"/>
        <w:rPr>
          <w:b/>
          <w:bCs/>
          <w:sz w:val="24"/>
          <w:szCs w:val="24"/>
        </w:rPr>
      </w:pPr>
      <w:r w:rsidRPr="00A66EEC">
        <w:rPr>
          <w:b/>
          <w:bCs/>
          <w:sz w:val="24"/>
          <w:szCs w:val="24"/>
        </w:rPr>
        <w:lastRenderedPageBreak/>
        <w:t>“EXPRESIÓN DOCUMENTAL.</w:t>
      </w:r>
    </w:p>
    <w:p w14:paraId="5AAC9511" w14:textId="77777777" w:rsidR="0097702D" w:rsidRPr="00A66EEC" w:rsidRDefault="0097702D" w:rsidP="0097702D">
      <w:pPr>
        <w:pStyle w:val="Citas"/>
        <w:rPr>
          <w:szCs w:val="24"/>
        </w:rPr>
      </w:pPr>
      <w:r w:rsidRPr="00A66EEC">
        <w:rPr>
          <w:bCs/>
          <w:szCs w:val="24"/>
        </w:rPr>
        <w:t>Cuando</w:t>
      </w:r>
      <w:r w:rsidRPr="00A66EEC">
        <w:rPr>
          <w:lang w:val="es-ES"/>
        </w:rPr>
        <w:t xml:space="preserve"> los particulares presenten solicitudes de acceso a la información sin identificar de forma precisa la documentación que pudiera contener la información de su interés, </w:t>
      </w:r>
      <w:r w:rsidRPr="00A66EEC">
        <w:rPr>
          <w:szCs w:val="24"/>
        </w:rPr>
        <w:t>o bien, la solicitud constituya una consulta,</w:t>
      </w:r>
      <w:r w:rsidRPr="00A66EEC">
        <w:rPr>
          <w:lang w:val="es-ES"/>
        </w:rPr>
        <w:t xml:space="preserve"> pero la respuesta pudiera obrar en algún documento en poder de los sujetos obligados, éstos deben dar a dichas solicitudes una interpretación que les otorgue una expresión documental. </w:t>
      </w:r>
    </w:p>
    <w:p w14:paraId="29DF8FDC" w14:textId="77777777" w:rsidR="0097702D" w:rsidRPr="00A66EEC" w:rsidRDefault="0097702D" w:rsidP="0097702D">
      <w:pPr>
        <w:pStyle w:val="Citas"/>
        <w:rPr>
          <w:b/>
        </w:rPr>
      </w:pPr>
      <w:r w:rsidRPr="00A66EEC">
        <w:rPr>
          <w:b/>
        </w:rPr>
        <w:t>Precedentes:</w:t>
      </w:r>
    </w:p>
    <w:p w14:paraId="009EA6DE" w14:textId="77777777" w:rsidR="0097702D" w:rsidRPr="00A66EEC" w:rsidRDefault="0097702D" w:rsidP="003E11E6">
      <w:pPr>
        <w:pStyle w:val="Citas"/>
        <w:numPr>
          <w:ilvl w:val="0"/>
          <w:numId w:val="4"/>
        </w:numPr>
        <w:rPr>
          <w:color w:val="000000"/>
        </w:rPr>
      </w:pPr>
      <w:r w:rsidRPr="00A66EEC">
        <w:t xml:space="preserve">Acceso a la información pública. RRA 0774/16. Sesión del 31 de agosto de 2016. Votación por unanimidad. </w:t>
      </w:r>
      <w:r w:rsidRPr="00A66EEC">
        <w:rPr>
          <w:rFonts w:eastAsia="Arial"/>
        </w:rPr>
        <w:t>Sin votos disidentes o particulares.</w:t>
      </w:r>
      <w:r w:rsidRPr="00A66EEC">
        <w:t xml:space="preserve"> Secretaría de Salud. Comisionada Ponente María Patricia Kurczyn Villalobos.</w:t>
      </w:r>
    </w:p>
    <w:p w14:paraId="6174521C" w14:textId="77777777" w:rsidR="0097702D" w:rsidRPr="00A66EEC" w:rsidRDefault="0097702D" w:rsidP="003E11E6">
      <w:pPr>
        <w:pStyle w:val="Citas"/>
        <w:numPr>
          <w:ilvl w:val="0"/>
          <w:numId w:val="4"/>
        </w:numPr>
        <w:rPr>
          <w:color w:val="000000"/>
        </w:rPr>
      </w:pPr>
      <w:r w:rsidRPr="00A66EEC">
        <w:t xml:space="preserve">Acceso a la información pública. RRA 0143/17. Sesión del 22 de febrero de 2017. Votación por unanimidad. </w:t>
      </w:r>
      <w:r w:rsidRPr="00A66EEC">
        <w:rPr>
          <w:rFonts w:eastAsia="Arial"/>
        </w:rPr>
        <w:t>Sin votos disidentes o particulares.</w:t>
      </w:r>
      <w:r w:rsidRPr="00A66EEC">
        <w:t xml:space="preserve"> Universidad Autónoma Agraria Antonio Narro. Comisionado Ponente Oscar Mauricio Guerra Ford. </w:t>
      </w:r>
    </w:p>
    <w:p w14:paraId="467EF69B" w14:textId="77777777" w:rsidR="0097702D" w:rsidRPr="00A66EEC" w:rsidRDefault="0097702D" w:rsidP="003E11E6">
      <w:pPr>
        <w:pStyle w:val="Citas"/>
        <w:numPr>
          <w:ilvl w:val="0"/>
          <w:numId w:val="4"/>
        </w:numPr>
        <w:rPr>
          <w:color w:val="000000"/>
        </w:rPr>
      </w:pPr>
      <w:r w:rsidRPr="00A66EEC">
        <w:t xml:space="preserve">Acceso a la información pública. RRA 0540/17. Sesión del 08 de marzo del 2017. Votación por unanimidad. </w:t>
      </w:r>
      <w:r w:rsidRPr="00A66EEC">
        <w:rPr>
          <w:rFonts w:eastAsia="Arial"/>
        </w:rPr>
        <w:t>Sin votos disidentes o particulares.</w:t>
      </w:r>
      <w:r w:rsidRPr="00A66EEC">
        <w:t xml:space="preserve"> Secretaría de Economía. Comisionado Ponente Francisco Javier Acuña Llamas. “ </w:t>
      </w:r>
      <w:r w:rsidRPr="00A66EEC">
        <w:rPr>
          <w:b/>
          <w:bCs/>
        </w:rPr>
        <w:t>(Sic)</w:t>
      </w:r>
    </w:p>
    <w:p w14:paraId="5F09134F" w14:textId="77777777" w:rsidR="0097702D" w:rsidRPr="00A66EEC" w:rsidRDefault="0097702D" w:rsidP="0097702D">
      <w:pPr>
        <w:autoSpaceDE w:val="0"/>
        <w:autoSpaceDN w:val="0"/>
        <w:adjustRightInd w:val="0"/>
        <w:spacing w:line="360" w:lineRule="auto"/>
        <w:jc w:val="both"/>
        <w:rPr>
          <w:rFonts w:ascii="Palatino Linotype" w:hAnsi="Palatino Linotype" w:cs="Arial"/>
          <w:sz w:val="24"/>
          <w:szCs w:val="24"/>
        </w:rPr>
      </w:pPr>
    </w:p>
    <w:p w14:paraId="003F9E11" w14:textId="60F62C29" w:rsidR="0097702D" w:rsidRPr="00A66EEC" w:rsidRDefault="0097702D" w:rsidP="0097702D">
      <w:pPr>
        <w:autoSpaceDE w:val="0"/>
        <w:autoSpaceDN w:val="0"/>
        <w:adjustRightInd w:val="0"/>
        <w:spacing w:line="360" w:lineRule="auto"/>
        <w:jc w:val="both"/>
        <w:rPr>
          <w:rFonts w:ascii="Palatino Linotype" w:hAnsi="Palatino Linotype"/>
          <w:sz w:val="24"/>
          <w:szCs w:val="24"/>
        </w:rPr>
      </w:pPr>
      <w:r w:rsidRPr="00A66EEC">
        <w:rPr>
          <w:rFonts w:ascii="Palatino Linotype" w:hAnsi="Palatino Linotype" w:cs="Arial"/>
          <w:sz w:val="24"/>
          <w:szCs w:val="24"/>
        </w:rPr>
        <w:t xml:space="preserve">Dichas precisiones en </w:t>
      </w:r>
      <w:r w:rsidRPr="00A66EEC">
        <w:rPr>
          <w:rFonts w:ascii="Palatino Linotype" w:hAnsi="Palatino Linotype"/>
          <w:sz w:val="24"/>
          <w:szCs w:val="24"/>
        </w:rPr>
        <w:t xml:space="preserve">términos de los artículos 13 y 181 cuarto párrafo de la Ley en materia, los cuales a la letra rezan: </w:t>
      </w:r>
    </w:p>
    <w:p w14:paraId="239F9B50" w14:textId="77777777" w:rsidR="0097702D" w:rsidRPr="00A66EEC" w:rsidRDefault="0097702D" w:rsidP="0097702D">
      <w:pPr>
        <w:pStyle w:val="Citas"/>
      </w:pPr>
      <w:r w:rsidRPr="00A66EEC">
        <w:rPr>
          <w:b/>
          <w:bCs/>
        </w:rPr>
        <w:lastRenderedPageBreak/>
        <w:t xml:space="preserve">“Artículo 13. </w:t>
      </w:r>
      <w:r w:rsidRPr="00A66EEC">
        <w:t>El Instituto, en el ámbito de sus atribuciones, deberá suplir cualquier deficiencia para garantizar el ejercicio del derecho de acceso a la información.</w:t>
      </w:r>
    </w:p>
    <w:p w14:paraId="3D161B30" w14:textId="77777777" w:rsidR="0097702D" w:rsidRPr="00A66EEC" w:rsidRDefault="0097702D" w:rsidP="0097702D">
      <w:pPr>
        <w:pStyle w:val="Citas"/>
        <w:rPr>
          <w:b/>
        </w:rPr>
      </w:pPr>
      <w:r w:rsidRPr="00A66EEC">
        <w:rPr>
          <w:b/>
        </w:rPr>
        <w:t xml:space="preserve">Artículo 181. … </w:t>
      </w:r>
    </w:p>
    <w:p w14:paraId="141DE179" w14:textId="77777777" w:rsidR="0097702D" w:rsidRPr="00A66EEC" w:rsidRDefault="0097702D" w:rsidP="0097702D">
      <w:pPr>
        <w:pStyle w:val="Citas"/>
        <w:rPr>
          <w:b/>
        </w:rPr>
      </w:pPr>
      <w:r w:rsidRPr="00A66EEC">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A66EEC">
        <w:rPr>
          <w:b/>
        </w:rPr>
        <w:t>[Sic]</w:t>
      </w:r>
    </w:p>
    <w:p w14:paraId="7F29C38B" w14:textId="77777777" w:rsidR="0097702D" w:rsidRPr="00A66EEC" w:rsidRDefault="0097702D" w:rsidP="0097702D">
      <w:pPr>
        <w:autoSpaceDE w:val="0"/>
        <w:autoSpaceDN w:val="0"/>
        <w:adjustRightInd w:val="0"/>
        <w:spacing w:line="360" w:lineRule="auto"/>
        <w:jc w:val="both"/>
        <w:rPr>
          <w:rFonts w:ascii="Palatino Linotype" w:hAnsi="Palatino Linotype" w:cs="Arial"/>
        </w:rPr>
      </w:pPr>
    </w:p>
    <w:p w14:paraId="66436AA7" w14:textId="4D226816" w:rsidR="0097702D" w:rsidRPr="00A66EEC" w:rsidRDefault="0097702D" w:rsidP="0097702D">
      <w:pPr>
        <w:autoSpaceDE w:val="0"/>
        <w:autoSpaceDN w:val="0"/>
        <w:adjustRightInd w:val="0"/>
        <w:spacing w:line="360" w:lineRule="auto"/>
        <w:jc w:val="both"/>
        <w:rPr>
          <w:rFonts w:ascii="Palatino Linotype" w:hAnsi="Palatino Linotype" w:cs="Arial"/>
          <w:sz w:val="24"/>
          <w:szCs w:val="24"/>
        </w:rPr>
      </w:pPr>
      <w:r w:rsidRPr="00A66EEC">
        <w:rPr>
          <w:rFonts w:ascii="Palatino Linotype" w:hAnsi="Palatino Linotype" w:cs="Arial"/>
          <w:sz w:val="24"/>
          <w:szCs w:val="24"/>
        </w:rPr>
        <w:t>Ahora bien, en alusión al segundo requerimiento</w:t>
      </w:r>
      <w:r w:rsidR="004C4D9F" w:rsidRPr="00A66EEC">
        <w:rPr>
          <w:rFonts w:ascii="Palatino Linotype" w:hAnsi="Palatino Linotype" w:cs="Arial"/>
          <w:sz w:val="24"/>
          <w:szCs w:val="24"/>
        </w:rPr>
        <w:t xml:space="preserve"> fue señalado </w:t>
      </w:r>
      <w:r w:rsidR="004C4D9F" w:rsidRPr="00A66EEC">
        <w:rPr>
          <w:rFonts w:ascii="Palatino Linotype" w:hAnsi="Palatino Linotype" w:cs="Arial"/>
          <w:i/>
          <w:iCs/>
          <w:sz w:val="24"/>
          <w:szCs w:val="24"/>
        </w:rPr>
        <w:t xml:space="preserve">“HASTA JUNIO DEL 2023”, </w:t>
      </w:r>
      <w:r w:rsidRPr="00A66EEC">
        <w:rPr>
          <w:rFonts w:ascii="Palatino Linotype" w:hAnsi="Palatino Linotype" w:cs="Arial"/>
          <w:sz w:val="24"/>
          <w:szCs w:val="24"/>
        </w:rPr>
        <w:t>en efecto,</w:t>
      </w:r>
      <w:r w:rsidR="004C4D9F" w:rsidRPr="00A66EEC">
        <w:rPr>
          <w:rFonts w:ascii="Palatino Linotype" w:hAnsi="Palatino Linotype" w:cs="Arial"/>
          <w:sz w:val="24"/>
          <w:szCs w:val="24"/>
        </w:rPr>
        <w:t xml:space="preserve"> </w:t>
      </w:r>
      <w:r w:rsidRPr="00A66EEC">
        <w:rPr>
          <w:rFonts w:ascii="Palatino Linotype" w:hAnsi="Palatino Linotype" w:cs="Arial"/>
          <w:sz w:val="24"/>
          <w:szCs w:val="24"/>
        </w:rPr>
        <w:t xml:space="preserve">es posible advertir que únicamente fue señalado un parámetro de conclusión de búsqueda de la información, omitiendo señalar un parámetro de inicio de búsqueda de </w:t>
      </w:r>
      <w:r w:rsidR="008B14A3" w:rsidRPr="00A66EEC">
        <w:rPr>
          <w:rFonts w:ascii="Palatino Linotype" w:hAnsi="Palatino Linotype" w:cs="Arial"/>
          <w:sz w:val="24"/>
          <w:szCs w:val="24"/>
        </w:rPr>
        <w:t>esta</w:t>
      </w:r>
      <w:r w:rsidRPr="00A66EEC">
        <w:rPr>
          <w:rFonts w:ascii="Palatino Linotype" w:hAnsi="Palatino Linotype" w:cs="Arial"/>
          <w:sz w:val="24"/>
          <w:szCs w:val="24"/>
        </w:rPr>
        <w:t xml:space="preserve">.  </w:t>
      </w:r>
    </w:p>
    <w:p w14:paraId="014E449F" w14:textId="40F0873E" w:rsidR="0097702D" w:rsidRPr="00A66EEC" w:rsidRDefault="0097702D" w:rsidP="0097702D">
      <w:pPr>
        <w:autoSpaceDE w:val="0"/>
        <w:autoSpaceDN w:val="0"/>
        <w:adjustRightInd w:val="0"/>
        <w:spacing w:line="360" w:lineRule="auto"/>
        <w:jc w:val="both"/>
        <w:rPr>
          <w:rFonts w:ascii="Palatino Linotype" w:hAnsi="Palatino Linotype"/>
          <w:sz w:val="24"/>
          <w:szCs w:val="24"/>
        </w:rPr>
      </w:pPr>
      <w:r w:rsidRPr="00A66EEC">
        <w:rPr>
          <w:rFonts w:ascii="Palatino Linotype" w:hAnsi="Palatino Linotype" w:cs="Arial"/>
          <w:sz w:val="24"/>
          <w:szCs w:val="24"/>
        </w:rPr>
        <w:t xml:space="preserve"> Luego entonces, la temporalidad del requerimiento en cita debe de ser delimitado del treinta de ju</w:t>
      </w:r>
      <w:r w:rsidR="008B14A3" w:rsidRPr="00A66EEC">
        <w:rPr>
          <w:rFonts w:ascii="Palatino Linotype" w:hAnsi="Palatino Linotype" w:cs="Arial"/>
          <w:sz w:val="24"/>
          <w:szCs w:val="24"/>
        </w:rPr>
        <w:t>n</w:t>
      </w:r>
      <w:r w:rsidRPr="00A66EEC">
        <w:rPr>
          <w:rFonts w:ascii="Palatino Linotype" w:hAnsi="Palatino Linotype" w:cs="Arial"/>
          <w:sz w:val="24"/>
          <w:szCs w:val="24"/>
        </w:rPr>
        <w:t xml:space="preserve">io de dos mil veintidós al </w:t>
      </w:r>
      <w:r w:rsidR="008B14A3" w:rsidRPr="00A66EEC">
        <w:rPr>
          <w:rFonts w:ascii="Palatino Linotype" w:hAnsi="Palatino Linotype" w:cs="Arial"/>
          <w:sz w:val="24"/>
          <w:szCs w:val="24"/>
        </w:rPr>
        <w:t>treinta de junio</w:t>
      </w:r>
      <w:r w:rsidRPr="00A66EEC">
        <w:rPr>
          <w:rFonts w:ascii="Palatino Linotype" w:hAnsi="Palatino Linotype" w:cs="Arial"/>
          <w:sz w:val="24"/>
          <w:szCs w:val="24"/>
        </w:rPr>
        <w:t xml:space="preserve"> de dos mil veintitrés. Robustece lo anterior el criterio </w:t>
      </w:r>
      <w:r w:rsidRPr="00A66EEC">
        <w:rPr>
          <w:rFonts w:ascii="Palatino Linotype" w:hAnsi="Palatino Linotype"/>
          <w:b/>
          <w:sz w:val="24"/>
          <w:szCs w:val="24"/>
        </w:rPr>
        <w:t xml:space="preserve">3/19 </w:t>
      </w:r>
      <w:r w:rsidRPr="00A66EEC">
        <w:rPr>
          <w:rFonts w:ascii="Palatino Linotype" w:hAnsi="Palatino Linotype"/>
          <w:sz w:val="24"/>
          <w:szCs w:val="24"/>
        </w:rPr>
        <w:t xml:space="preserve">emitido por el Instituto Nacional de Transparencia, Acceso a la Información y Protección de Datos Personales, que dispone a la literalidad lo siguiente: </w:t>
      </w:r>
    </w:p>
    <w:p w14:paraId="32AB3F83" w14:textId="77777777" w:rsidR="0097702D" w:rsidRPr="00A66EEC" w:rsidRDefault="0097702D" w:rsidP="0097702D">
      <w:pPr>
        <w:pStyle w:val="Citas"/>
        <w:jc w:val="center"/>
        <w:rPr>
          <w:b/>
        </w:rPr>
      </w:pPr>
      <w:r w:rsidRPr="00A66EEC">
        <w:rPr>
          <w:b/>
        </w:rPr>
        <w:t>“PERIODO DE BÚSQUEDA DE LA INFORMACIÓN.</w:t>
      </w:r>
    </w:p>
    <w:p w14:paraId="6EB048F5" w14:textId="77777777" w:rsidR="0097702D" w:rsidRPr="00A66EEC" w:rsidRDefault="0097702D" w:rsidP="0097702D">
      <w:pPr>
        <w:pStyle w:val="Citas"/>
      </w:pPr>
      <w:r w:rsidRPr="00A66EEC">
        <w:t xml:space="preserve">En el supuesto de que el particular no haya señalado el periodo respecto del cual requiere la información, o bien, de la solicitud presentada no se adviertan elementos que permitan identificarlo, deberá considerarse, para efectos de la búsqueda de la </w:t>
      </w:r>
      <w:r w:rsidRPr="00A66EEC">
        <w:lastRenderedPageBreak/>
        <w:t>información, que el requerimiento se refiere al año inmediato anterior, contado a partir de la fecha en que se presentó la solicitud.</w:t>
      </w:r>
    </w:p>
    <w:p w14:paraId="7BEBD1AE" w14:textId="77777777" w:rsidR="0097702D" w:rsidRPr="00A66EEC" w:rsidRDefault="0097702D" w:rsidP="0097702D">
      <w:pPr>
        <w:pStyle w:val="Citas"/>
      </w:pPr>
      <w:r w:rsidRPr="00A66EEC">
        <w:rPr>
          <w:b/>
          <w:spacing w:val="-1"/>
        </w:rPr>
        <w:t>R</w:t>
      </w:r>
      <w:r w:rsidRPr="00A66EEC">
        <w:rPr>
          <w:b/>
        </w:rPr>
        <w:t>e</w:t>
      </w:r>
      <w:r w:rsidRPr="00A66EEC">
        <w:rPr>
          <w:b/>
          <w:spacing w:val="-1"/>
        </w:rPr>
        <w:t>s</w:t>
      </w:r>
      <w:r w:rsidRPr="00A66EEC">
        <w:rPr>
          <w:b/>
        </w:rPr>
        <w:t>olucion</w:t>
      </w:r>
      <w:r w:rsidRPr="00A66EEC">
        <w:rPr>
          <w:b/>
          <w:spacing w:val="-1"/>
        </w:rPr>
        <w:t>es</w:t>
      </w:r>
    </w:p>
    <w:p w14:paraId="20D7ED62" w14:textId="77777777" w:rsidR="0097702D" w:rsidRPr="00A66EEC" w:rsidRDefault="0097702D" w:rsidP="0097702D">
      <w:pPr>
        <w:pStyle w:val="Citas"/>
        <w:rPr>
          <w:rFonts w:eastAsia="Symbol"/>
        </w:rPr>
      </w:pPr>
      <w:r w:rsidRPr="00A66EEC">
        <w:rPr>
          <w:b/>
          <w:spacing w:val="-1"/>
        </w:rPr>
        <w:t>R</w:t>
      </w:r>
      <w:r w:rsidRPr="00A66EEC">
        <w:rPr>
          <w:b/>
          <w:spacing w:val="3"/>
        </w:rPr>
        <w:t>R</w:t>
      </w:r>
      <w:r w:rsidRPr="00A66EEC">
        <w:rPr>
          <w:b/>
        </w:rPr>
        <w:t>A</w:t>
      </w:r>
      <w:r w:rsidRPr="00A66EEC">
        <w:rPr>
          <w:b/>
          <w:spacing w:val="5"/>
        </w:rPr>
        <w:t xml:space="preserve"> 0022</w:t>
      </w:r>
      <w:r w:rsidRPr="00A66EEC">
        <w:rPr>
          <w:b/>
          <w:spacing w:val="-1"/>
        </w:rPr>
        <w:t>/17</w:t>
      </w:r>
      <w:r w:rsidRPr="00A66EEC">
        <w:rPr>
          <w:b/>
        </w:rPr>
        <w:t>.</w:t>
      </w:r>
      <w:r w:rsidRPr="00A66EEC">
        <w:rPr>
          <w:b/>
          <w:spacing w:val="15"/>
        </w:rPr>
        <w:t xml:space="preserve"> </w:t>
      </w:r>
      <w:r w:rsidRPr="00A66EEC">
        <w:rPr>
          <w:spacing w:val="-1"/>
        </w:rPr>
        <w:t>Instituto Mexicano de la Propiedad Industrial</w:t>
      </w:r>
      <w:r w:rsidRPr="00A66EEC">
        <w:t>.</w:t>
      </w:r>
      <w:r w:rsidRPr="00A66EEC">
        <w:rPr>
          <w:spacing w:val="4"/>
        </w:rPr>
        <w:t xml:space="preserve"> 16 de febrero de 2017. Por unanimidad. </w:t>
      </w:r>
      <w:r w:rsidRPr="00A66EEC">
        <w:rPr>
          <w:spacing w:val="-1"/>
        </w:rPr>
        <w:t>C</w:t>
      </w:r>
      <w:r w:rsidRPr="00A66EEC">
        <w:t>omis</w:t>
      </w:r>
      <w:r w:rsidRPr="00A66EEC">
        <w:rPr>
          <w:spacing w:val="-2"/>
        </w:rPr>
        <w:t>i</w:t>
      </w:r>
      <w:r w:rsidRPr="00A66EEC">
        <w:t>o</w:t>
      </w:r>
      <w:r w:rsidRPr="00A66EEC">
        <w:rPr>
          <w:spacing w:val="1"/>
        </w:rPr>
        <w:t>n</w:t>
      </w:r>
      <w:r w:rsidRPr="00A66EEC">
        <w:t>a</w:t>
      </w:r>
      <w:r w:rsidRPr="00A66EEC">
        <w:rPr>
          <w:spacing w:val="-1"/>
        </w:rPr>
        <w:t>d</w:t>
      </w:r>
      <w:r w:rsidRPr="00A66EEC">
        <w:t>o</w:t>
      </w:r>
      <w:r w:rsidRPr="00A66EEC">
        <w:rPr>
          <w:spacing w:val="3"/>
        </w:rPr>
        <w:t xml:space="preserve"> </w:t>
      </w:r>
      <w:r w:rsidRPr="00A66EEC">
        <w:rPr>
          <w:spacing w:val="-1"/>
        </w:rPr>
        <w:t>P</w:t>
      </w:r>
      <w:r w:rsidRPr="00A66EEC">
        <w:t>o</w:t>
      </w:r>
      <w:r w:rsidRPr="00A66EEC">
        <w:rPr>
          <w:spacing w:val="-1"/>
        </w:rPr>
        <w:t>n</w:t>
      </w:r>
      <w:r w:rsidRPr="00A66EEC">
        <w:t>e</w:t>
      </w:r>
      <w:r w:rsidRPr="00A66EEC">
        <w:rPr>
          <w:spacing w:val="-1"/>
        </w:rPr>
        <w:t>n</w:t>
      </w:r>
      <w:r w:rsidRPr="00A66EEC">
        <w:rPr>
          <w:spacing w:val="1"/>
        </w:rPr>
        <w:t>t</w:t>
      </w:r>
      <w:r w:rsidRPr="00A66EEC">
        <w:t>e Francisco Javier Acuña Llamas.</w:t>
      </w:r>
    </w:p>
    <w:p w14:paraId="16BA951B" w14:textId="77777777" w:rsidR="0097702D" w:rsidRPr="00A66EEC" w:rsidRDefault="00A66EEC" w:rsidP="0097702D">
      <w:pPr>
        <w:pStyle w:val="Citas"/>
        <w:rPr>
          <w:rFonts w:eastAsia="Symbol"/>
        </w:rPr>
      </w:pPr>
      <w:hyperlink r:id="rId8" w:history="1">
        <w:r w:rsidR="0097702D" w:rsidRPr="00A66EEC">
          <w:rPr>
            <w:rStyle w:val="Hipervnculo"/>
            <w:rFonts w:eastAsia="Symbol"/>
          </w:rPr>
          <w:t>http://consultas.ifai.org.mx/descargar.php?r=./pdf/resoluciones/2017/&amp;a=RRA%2022.pdf</w:t>
        </w:r>
      </w:hyperlink>
      <w:r w:rsidR="0097702D" w:rsidRPr="00A66EEC">
        <w:rPr>
          <w:rFonts w:eastAsia="Symbol"/>
        </w:rPr>
        <w:t xml:space="preserve"> </w:t>
      </w:r>
    </w:p>
    <w:p w14:paraId="0EF6F1BF" w14:textId="77777777" w:rsidR="0097702D" w:rsidRPr="00A66EEC" w:rsidRDefault="0097702D" w:rsidP="0097702D">
      <w:pPr>
        <w:pStyle w:val="Citas"/>
        <w:rPr>
          <w:b/>
          <w:spacing w:val="-1"/>
        </w:rPr>
      </w:pPr>
      <w:r w:rsidRPr="00A66EEC">
        <w:rPr>
          <w:b/>
          <w:spacing w:val="-1"/>
        </w:rPr>
        <w:t>R</w:t>
      </w:r>
      <w:r w:rsidRPr="00A66EEC">
        <w:rPr>
          <w:b/>
          <w:spacing w:val="3"/>
        </w:rPr>
        <w:t>R</w:t>
      </w:r>
      <w:r w:rsidRPr="00A66EEC">
        <w:rPr>
          <w:b/>
        </w:rPr>
        <w:t>A</w:t>
      </w:r>
      <w:r w:rsidRPr="00A66EEC">
        <w:rPr>
          <w:b/>
          <w:spacing w:val="43"/>
        </w:rPr>
        <w:t xml:space="preserve"> </w:t>
      </w:r>
      <w:r w:rsidRPr="00A66EEC">
        <w:rPr>
          <w:b/>
          <w:spacing w:val="5"/>
        </w:rPr>
        <w:t>2536</w:t>
      </w:r>
      <w:r w:rsidRPr="00A66EEC">
        <w:rPr>
          <w:b/>
          <w:spacing w:val="1"/>
        </w:rPr>
        <w:t>/</w:t>
      </w:r>
      <w:r w:rsidRPr="00A66EEC">
        <w:rPr>
          <w:b/>
        </w:rPr>
        <w:t xml:space="preserve">17. </w:t>
      </w:r>
      <w:r w:rsidRPr="00A66EEC">
        <w:rPr>
          <w:spacing w:val="-1"/>
        </w:rPr>
        <w:t>Secretaría de Gobernación</w:t>
      </w:r>
      <w:r w:rsidRPr="00A66EEC">
        <w:t>. 07 de junio de 2017. Por unanimidad. Comisionada Ponente Areli Cano Guadiana.</w:t>
      </w:r>
      <w:r w:rsidRPr="00A66EEC">
        <w:rPr>
          <w:spacing w:val="-1"/>
          <w:position w:val="5"/>
        </w:rPr>
        <w:t xml:space="preserve"> </w:t>
      </w:r>
    </w:p>
    <w:p w14:paraId="32A4E40F" w14:textId="77777777" w:rsidR="0097702D" w:rsidRPr="00A66EEC" w:rsidRDefault="00A66EEC" w:rsidP="0097702D">
      <w:pPr>
        <w:pStyle w:val="Citas"/>
        <w:rPr>
          <w:spacing w:val="-1"/>
        </w:rPr>
      </w:pPr>
      <w:hyperlink r:id="rId9" w:history="1">
        <w:r w:rsidR="0097702D" w:rsidRPr="00A66EEC">
          <w:rPr>
            <w:rStyle w:val="Hipervnculo"/>
            <w:rFonts w:eastAsia="Arial"/>
            <w:spacing w:val="-1"/>
          </w:rPr>
          <w:t>http://consultas.ifai.org.mx/descargar.php?r=./pdf/resoluciones/2017/&amp;a=RRA%202536.pdf</w:t>
        </w:r>
      </w:hyperlink>
      <w:r w:rsidR="0097702D" w:rsidRPr="00A66EEC">
        <w:rPr>
          <w:spacing w:val="-1"/>
        </w:rPr>
        <w:t xml:space="preserve"> </w:t>
      </w:r>
    </w:p>
    <w:p w14:paraId="7ACDEBB6" w14:textId="77777777" w:rsidR="0097702D" w:rsidRPr="00A66EEC" w:rsidRDefault="0097702D" w:rsidP="0097702D">
      <w:pPr>
        <w:pStyle w:val="Citas"/>
        <w:rPr>
          <w:bCs/>
        </w:rPr>
      </w:pPr>
      <w:r w:rsidRPr="00A66EEC">
        <w:rPr>
          <w:b/>
          <w:spacing w:val="-1"/>
          <w:position w:val="-1"/>
        </w:rPr>
        <w:t>R</w:t>
      </w:r>
      <w:r w:rsidRPr="00A66EEC">
        <w:rPr>
          <w:b/>
          <w:spacing w:val="3"/>
          <w:position w:val="-1"/>
        </w:rPr>
        <w:t>R</w:t>
      </w:r>
      <w:r w:rsidRPr="00A66EEC">
        <w:rPr>
          <w:b/>
          <w:position w:val="-1"/>
        </w:rPr>
        <w:t xml:space="preserve">A </w:t>
      </w:r>
      <w:r w:rsidRPr="00A66EEC">
        <w:rPr>
          <w:b/>
          <w:spacing w:val="-1"/>
          <w:position w:val="-1"/>
        </w:rPr>
        <w:t>3482/17</w:t>
      </w:r>
      <w:r w:rsidRPr="00A66EEC">
        <w:rPr>
          <w:b/>
          <w:position w:val="-1"/>
        </w:rPr>
        <w:t xml:space="preserve">. </w:t>
      </w:r>
      <w:r w:rsidRPr="00A66EEC">
        <w:rPr>
          <w:spacing w:val="-1"/>
          <w:position w:val="-1"/>
        </w:rPr>
        <w:t>Secretaría de Comunicaciones y Transportes</w:t>
      </w:r>
      <w:r w:rsidRPr="00A66EEC">
        <w:rPr>
          <w:position w:val="-1"/>
        </w:rPr>
        <w:t>. 02 de agosto de 2017. Por unanimidad. Comisionado Ponente Oscar Mauricio Guerra Ford</w:t>
      </w:r>
      <w:r w:rsidRPr="00A66EEC">
        <w:rPr>
          <w:bCs/>
        </w:rPr>
        <w:t>.</w:t>
      </w:r>
    </w:p>
    <w:p w14:paraId="48D8A445" w14:textId="77777777" w:rsidR="0097702D" w:rsidRPr="00A66EEC" w:rsidRDefault="00A66EEC" w:rsidP="0097702D">
      <w:pPr>
        <w:pStyle w:val="Citas"/>
        <w:rPr>
          <w:lang w:val="en-US"/>
        </w:rPr>
      </w:pPr>
      <w:hyperlink r:id="rId10" w:history="1">
        <w:r w:rsidR="0097702D" w:rsidRPr="00A66EEC">
          <w:rPr>
            <w:rStyle w:val="Hipervnculo"/>
            <w:bCs/>
            <w:lang w:val="en-US"/>
          </w:rPr>
          <w:t>http://consultas.ifai.org.mx/descargar.php?r=./pdf/resoluciones/2017/&amp;a=RRA%203482.pdf</w:t>
        </w:r>
      </w:hyperlink>
      <w:r w:rsidR="0097702D" w:rsidRPr="00A66EEC">
        <w:rPr>
          <w:rStyle w:val="Hipervnculo"/>
          <w:bCs/>
          <w:lang w:val="en-US"/>
        </w:rPr>
        <w:t xml:space="preserve">” </w:t>
      </w:r>
      <w:r w:rsidR="0097702D" w:rsidRPr="00A66EEC">
        <w:rPr>
          <w:rStyle w:val="Hipervnculo"/>
          <w:b/>
          <w:bCs/>
          <w:color w:val="auto"/>
          <w:u w:val="none"/>
          <w:lang w:val="en-US"/>
        </w:rPr>
        <w:t>[Sic]</w:t>
      </w:r>
    </w:p>
    <w:p w14:paraId="6B24E7B8" w14:textId="3A22CE59" w:rsidR="0097702D" w:rsidRPr="00A66EEC" w:rsidRDefault="0097702D" w:rsidP="0097702D">
      <w:pPr>
        <w:pStyle w:val="Prrafodelista"/>
        <w:autoSpaceDE w:val="0"/>
        <w:autoSpaceDN w:val="0"/>
        <w:adjustRightInd w:val="0"/>
        <w:spacing w:line="360" w:lineRule="auto"/>
        <w:ind w:left="780"/>
        <w:jc w:val="both"/>
        <w:rPr>
          <w:rFonts w:ascii="Palatino Linotype" w:hAnsi="Palatino Linotype" w:cs="Arial"/>
          <w:lang w:val="en-US"/>
        </w:rPr>
      </w:pPr>
    </w:p>
    <w:p w14:paraId="7F37749B" w14:textId="631090F9" w:rsidR="003D5CFF" w:rsidRPr="00A66EEC" w:rsidRDefault="003D5CFF" w:rsidP="003D5CFF">
      <w:pPr>
        <w:spacing w:before="240" w:line="360" w:lineRule="auto"/>
        <w:jc w:val="both"/>
        <w:rPr>
          <w:rFonts w:ascii="Palatino Linotype" w:hAnsi="Palatino Linotype"/>
          <w:sz w:val="24"/>
          <w:szCs w:val="24"/>
        </w:rPr>
      </w:pPr>
      <w:r w:rsidRPr="00A66EEC">
        <w:rPr>
          <w:rFonts w:ascii="Palatino Linotype" w:hAnsi="Palatino Linotype"/>
          <w:sz w:val="24"/>
          <w:szCs w:val="24"/>
        </w:rPr>
        <w:t xml:space="preserve">Bajo estas líneas argumentativas, al retomar y delimitar los requerimientos formulados por </w:t>
      </w:r>
      <w:r w:rsidR="00684375" w:rsidRPr="00A66EEC">
        <w:rPr>
          <w:rFonts w:ascii="Palatino Linotype" w:hAnsi="Palatino Linotype"/>
          <w:sz w:val="24"/>
          <w:szCs w:val="24"/>
        </w:rPr>
        <w:t>el</w:t>
      </w:r>
      <w:r w:rsidRPr="00A66EEC">
        <w:rPr>
          <w:rFonts w:ascii="Palatino Linotype" w:hAnsi="Palatino Linotype"/>
          <w:sz w:val="24"/>
          <w:szCs w:val="24"/>
        </w:rPr>
        <w:t xml:space="preserve"> ahora </w:t>
      </w:r>
      <w:r w:rsidRPr="00A66EEC">
        <w:rPr>
          <w:rFonts w:ascii="Palatino Linotype" w:hAnsi="Palatino Linotype"/>
          <w:b/>
          <w:bCs/>
          <w:sz w:val="24"/>
          <w:szCs w:val="24"/>
        </w:rPr>
        <w:t xml:space="preserve">Recurrente, </w:t>
      </w:r>
      <w:r w:rsidRPr="00A66EEC">
        <w:rPr>
          <w:rFonts w:ascii="Palatino Linotype" w:hAnsi="Palatino Linotype"/>
          <w:sz w:val="24"/>
          <w:szCs w:val="24"/>
        </w:rPr>
        <w:t xml:space="preserve">de manera objetiva se precisa que versa en conocer la siguiente información: </w:t>
      </w:r>
    </w:p>
    <w:p w14:paraId="27DFA31E" w14:textId="42EC2B46" w:rsidR="005D71E5" w:rsidRPr="00A66EEC" w:rsidRDefault="0097702D" w:rsidP="003E11E6">
      <w:pPr>
        <w:pStyle w:val="Prrafodelista"/>
        <w:numPr>
          <w:ilvl w:val="0"/>
          <w:numId w:val="1"/>
        </w:numPr>
        <w:autoSpaceDE w:val="0"/>
        <w:autoSpaceDN w:val="0"/>
        <w:adjustRightInd w:val="0"/>
        <w:spacing w:line="360" w:lineRule="auto"/>
        <w:jc w:val="both"/>
        <w:rPr>
          <w:rFonts w:ascii="Palatino Linotype" w:hAnsi="Palatino Linotype" w:cs="Arial"/>
        </w:rPr>
      </w:pPr>
      <w:r w:rsidRPr="00A66EEC">
        <w:rPr>
          <w:rFonts w:ascii="Palatino Linotype" w:hAnsi="Palatino Linotype" w:cs="Arial"/>
        </w:rPr>
        <w:lastRenderedPageBreak/>
        <w:t xml:space="preserve">El o los documentos donde consten las funciones del personal adscrito a la Dirección de </w:t>
      </w:r>
      <w:r w:rsidR="008C3DC0" w:rsidRPr="00A66EEC">
        <w:rPr>
          <w:rFonts w:ascii="Palatino Linotype" w:hAnsi="Palatino Linotype" w:cs="Arial"/>
        </w:rPr>
        <w:t xml:space="preserve">Fomento y Desarrollo Económico, Administración y Reglamentos, al trece de julio de dos mil veintitrés. </w:t>
      </w:r>
    </w:p>
    <w:p w14:paraId="6449D684" w14:textId="0A0F4698" w:rsidR="008C3DC0" w:rsidRPr="00A66EEC" w:rsidRDefault="008C3DC0" w:rsidP="003E11E6">
      <w:pPr>
        <w:pStyle w:val="Prrafodelista"/>
        <w:numPr>
          <w:ilvl w:val="0"/>
          <w:numId w:val="1"/>
        </w:numPr>
        <w:autoSpaceDE w:val="0"/>
        <w:autoSpaceDN w:val="0"/>
        <w:adjustRightInd w:val="0"/>
        <w:spacing w:line="360" w:lineRule="auto"/>
        <w:jc w:val="both"/>
        <w:rPr>
          <w:rFonts w:ascii="Palatino Linotype" w:hAnsi="Palatino Linotype" w:cs="Arial"/>
        </w:rPr>
      </w:pPr>
      <w:r w:rsidRPr="00A66EEC">
        <w:rPr>
          <w:rFonts w:ascii="Palatino Linotype" w:hAnsi="Palatino Linotype" w:cs="Arial"/>
        </w:rPr>
        <w:t xml:space="preserve">El o los documentos donde consten los establecimientos regularizados por la Dirección de Fomento y Desarrollo Económico, Administración y Reglamentos, del periodo comprendido del </w:t>
      </w:r>
      <w:r w:rsidR="008B14A3" w:rsidRPr="00A66EEC">
        <w:rPr>
          <w:rFonts w:ascii="Palatino Linotype" w:hAnsi="Palatino Linotype" w:cs="Arial"/>
        </w:rPr>
        <w:t>treinta de junio</w:t>
      </w:r>
      <w:r w:rsidRPr="00A66EEC">
        <w:rPr>
          <w:rFonts w:ascii="Palatino Linotype" w:hAnsi="Palatino Linotype" w:cs="Arial"/>
        </w:rPr>
        <w:t xml:space="preserve"> de dos mil veintidós al </w:t>
      </w:r>
      <w:r w:rsidR="008B14A3" w:rsidRPr="00A66EEC">
        <w:rPr>
          <w:rFonts w:ascii="Palatino Linotype" w:hAnsi="Palatino Linotype" w:cs="Arial"/>
        </w:rPr>
        <w:t>treinta de junio</w:t>
      </w:r>
      <w:r w:rsidRPr="00A66EEC">
        <w:rPr>
          <w:rFonts w:ascii="Palatino Linotype" w:hAnsi="Palatino Linotype" w:cs="Arial"/>
        </w:rPr>
        <w:t xml:space="preserve"> de dos mil veintitrés. </w:t>
      </w:r>
    </w:p>
    <w:p w14:paraId="082C20B1" w14:textId="66E945B1" w:rsidR="003E1E60" w:rsidRPr="00A66EEC" w:rsidRDefault="003E1E60" w:rsidP="003E1E60">
      <w:pPr>
        <w:pStyle w:val="Prrafodelista"/>
        <w:autoSpaceDE w:val="0"/>
        <w:autoSpaceDN w:val="0"/>
        <w:adjustRightInd w:val="0"/>
        <w:spacing w:line="360" w:lineRule="auto"/>
        <w:ind w:left="720"/>
        <w:jc w:val="both"/>
        <w:rPr>
          <w:rFonts w:ascii="Palatino Linotype" w:hAnsi="Palatino Linotype" w:cs="Arial"/>
        </w:rPr>
      </w:pPr>
    </w:p>
    <w:p w14:paraId="3CD6CB4A" w14:textId="77777777" w:rsidR="00907F0B" w:rsidRPr="00A66EEC" w:rsidRDefault="00907F0B" w:rsidP="00907F0B">
      <w:pPr>
        <w:spacing w:after="0" w:line="360" w:lineRule="auto"/>
        <w:jc w:val="both"/>
        <w:rPr>
          <w:rFonts w:ascii="Palatino Linotype" w:hAnsi="Palatino Linotype" w:cs="Arial"/>
          <w:noProof/>
          <w:color w:val="000000"/>
          <w:sz w:val="24"/>
          <w:lang w:eastAsia="es-MX"/>
        </w:rPr>
      </w:pPr>
      <w:r w:rsidRPr="00A66EEC">
        <w:rPr>
          <w:rFonts w:ascii="Palatino Linotype" w:hAnsi="Palatino Linotype" w:cs="Arial"/>
          <w:sz w:val="24"/>
          <w:szCs w:val="24"/>
        </w:rPr>
        <w:t xml:space="preserve">Bajo este contexto, a efecto de identificar las unidades administrativas competentes se traen a colación los </w:t>
      </w:r>
      <w:r w:rsidRPr="00A66EEC">
        <w:rPr>
          <w:rFonts w:ascii="Palatino Linotype" w:hAnsi="Palatino Linotype" w:cs="Arial"/>
          <w:noProof/>
          <w:color w:val="000000"/>
          <w:sz w:val="24"/>
          <w:lang w:eastAsia="es-MX"/>
        </w:rPr>
        <w:t xml:space="preserve">artículos 24, fracción XII, y 92, fracción II de la Ley de Transparencia local, porciones normativas cuyo contenido literal es el siguiente: </w:t>
      </w:r>
    </w:p>
    <w:p w14:paraId="1741A5C2" w14:textId="77777777" w:rsidR="00907F0B" w:rsidRPr="00A66EEC" w:rsidRDefault="00907F0B" w:rsidP="00907F0B">
      <w:pPr>
        <w:tabs>
          <w:tab w:val="left" w:pos="709"/>
        </w:tabs>
        <w:spacing w:before="240" w:line="360" w:lineRule="auto"/>
        <w:ind w:left="851" w:right="851"/>
        <w:jc w:val="both"/>
        <w:rPr>
          <w:rFonts w:ascii="Palatino Linotype" w:hAnsi="Palatino Linotype"/>
          <w:i/>
        </w:rPr>
      </w:pPr>
      <w:r w:rsidRPr="00A66EEC">
        <w:rPr>
          <w:rFonts w:ascii="Palatino Linotype" w:hAnsi="Palatino Linotype"/>
          <w:i/>
        </w:rPr>
        <w:t>“Artículo 24. Para el cumplimiento de los objetivos de esta Ley, los sujetos obligados deberán cumplir con las siguientes obligaciones, según corresponda, de acuerdo a su naturaleza:</w:t>
      </w:r>
    </w:p>
    <w:p w14:paraId="4C80CF14" w14:textId="77777777" w:rsidR="00907F0B" w:rsidRPr="00A66EEC" w:rsidRDefault="00907F0B" w:rsidP="00907F0B">
      <w:pPr>
        <w:tabs>
          <w:tab w:val="left" w:pos="709"/>
        </w:tabs>
        <w:spacing w:before="240" w:line="360" w:lineRule="auto"/>
        <w:ind w:left="851" w:right="851"/>
        <w:jc w:val="both"/>
        <w:rPr>
          <w:rFonts w:ascii="Palatino Linotype" w:hAnsi="Palatino Linotype"/>
          <w:i/>
        </w:rPr>
      </w:pPr>
      <w:r w:rsidRPr="00A66EEC">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049516AC" w14:textId="77777777" w:rsidR="00907F0B" w:rsidRPr="00A66EEC" w:rsidRDefault="00907F0B" w:rsidP="00907F0B">
      <w:pPr>
        <w:tabs>
          <w:tab w:val="left" w:pos="709"/>
        </w:tabs>
        <w:spacing w:before="240" w:line="360" w:lineRule="auto"/>
        <w:ind w:left="851" w:right="851"/>
        <w:jc w:val="both"/>
        <w:rPr>
          <w:rFonts w:ascii="Palatino Linotype" w:hAnsi="Palatino Linotype"/>
          <w:b/>
          <w:i/>
        </w:rPr>
      </w:pPr>
      <w:r w:rsidRPr="00A66EEC">
        <w:rPr>
          <w:rFonts w:ascii="Palatino Linotype" w:hAnsi="Palatino Linotype"/>
          <w:b/>
          <w:i/>
        </w:rPr>
        <w:t>(…)</w:t>
      </w:r>
    </w:p>
    <w:p w14:paraId="6693873E" w14:textId="77777777" w:rsidR="00907F0B" w:rsidRPr="00A66EEC" w:rsidRDefault="00907F0B" w:rsidP="00907F0B">
      <w:pPr>
        <w:tabs>
          <w:tab w:val="left" w:pos="709"/>
        </w:tabs>
        <w:spacing w:before="240" w:line="360" w:lineRule="auto"/>
        <w:ind w:left="851" w:right="851"/>
        <w:jc w:val="both"/>
        <w:rPr>
          <w:rFonts w:ascii="Palatino Linotype" w:hAnsi="Palatino Linotype"/>
          <w:i/>
        </w:rPr>
      </w:pPr>
      <w:r w:rsidRPr="00A66EEC">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4B84FA8" w14:textId="77777777" w:rsidR="00907F0B" w:rsidRPr="00A66EEC" w:rsidRDefault="00907F0B" w:rsidP="00907F0B">
      <w:pPr>
        <w:pStyle w:val="INFOEM"/>
      </w:pPr>
      <w:r w:rsidRPr="00A66EEC">
        <w:lastRenderedPageBreak/>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6DD4BCB7" w14:textId="77777777" w:rsidR="00907F0B" w:rsidRPr="00A66EEC" w:rsidRDefault="00907F0B" w:rsidP="00907F0B">
      <w:pPr>
        <w:pStyle w:val="INFOEM"/>
        <w:rPr>
          <w:b/>
        </w:rPr>
      </w:pPr>
      <w:r w:rsidRPr="00A66EEC">
        <w:t xml:space="preserve"> (…)” </w:t>
      </w:r>
      <w:r w:rsidRPr="00A66EEC">
        <w:rPr>
          <w:b/>
        </w:rPr>
        <w:t xml:space="preserve">[Sic] </w:t>
      </w:r>
    </w:p>
    <w:p w14:paraId="456A79B7" w14:textId="77777777" w:rsidR="0069414F" w:rsidRPr="00A66EEC" w:rsidRDefault="0069414F" w:rsidP="000E5F05">
      <w:pPr>
        <w:autoSpaceDE w:val="0"/>
        <w:autoSpaceDN w:val="0"/>
        <w:adjustRightInd w:val="0"/>
        <w:spacing w:line="360" w:lineRule="auto"/>
        <w:jc w:val="both"/>
        <w:rPr>
          <w:rFonts w:ascii="Palatino Linotype" w:hAnsi="Palatino Linotype" w:cs="Arial"/>
          <w:sz w:val="24"/>
          <w:szCs w:val="24"/>
        </w:rPr>
      </w:pPr>
    </w:p>
    <w:p w14:paraId="098B07F2" w14:textId="05E7F0A2" w:rsidR="00907F0B" w:rsidRPr="00A66EEC" w:rsidRDefault="00907F0B" w:rsidP="00907F0B">
      <w:pPr>
        <w:pStyle w:val="Sinespaciado"/>
        <w:spacing w:line="360" w:lineRule="auto"/>
        <w:jc w:val="both"/>
        <w:rPr>
          <w:rFonts w:ascii="Palatino Linotype" w:hAnsi="Palatino Linotype"/>
        </w:rPr>
      </w:pPr>
      <w:r w:rsidRPr="00A66EEC">
        <w:rPr>
          <w:rFonts w:ascii="Palatino Linotype" w:hAnsi="Palatino Linotype"/>
        </w:rPr>
        <w:t xml:space="preserve">Resulta oportuno traer a colación las siguientes imágenes ilustrativas, correspondientes al organigrama del </w:t>
      </w:r>
      <w:r w:rsidRPr="00A66EEC">
        <w:rPr>
          <w:rFonts w:ascii="Palatino Linotype" w:hAnsi="Palatino Linotype"/>
          <w:b/>
          <w:bCs/>
        </w:rPr>
        <w:t xml:space="preserve">Sujeto Obligado: </w:t>
      </w:r>
    </w:p>
    <w:p w14:paraId="0DA4CFC1" w14:textId="757AF543" w:rsidR="00907F0B" w:rsidRPr="00A66EEC" w:rsidRDefault="008C3DC0" w:rsidP="000E5F05">
      <w:pPr>
        <w:autoSpaceDE w:val="0"/>
        <w:autoSpaceDN w:val="0"/>
        <w:adjustRightInd w:val="0"/>
        <w:spacing w:line="360" w:lineRule="auto"/>
        <w:jc w:val="both"/>
        <w:rPr>
          <w:rFonts w:ascii="Palatino Linotype" w:hAnsi="Palatino Linotype" w:cs="Arial"/>
          <w:noProof/>
        </w:rPr>
      </w:pPr>
      <w:r w:rsidRPr="00A66EEC">
        <w:rPr>
          <w:rFonts w:ascii="Palatino Linotype" w:hAnsi="Palatino Linotype" w:cs="Arial"/>
          <w:noProof/>
          <w:lang w:eastAsia="es-MX"/>
        </w:rPr>
        <mc:AlternateContent>
          <mc:Choice Requires="wps">
            <w:drawing>
              <wp:anchor distT="0" distB="0" distL="114300" distR="114300" simplePos="0" relativeHeight="251800566" behindDoc="0" locked="0" layoutInCell="1" allowOverlap="1" wp14:anchorId="0920027B" wp14:editId="1B957CF0">
                <wp:simplePos x="0" y="0"/>
                <wp:positionH relativeFrom="column">
                  <wp:posOffset>-142875</wp:posOffset>
                </wp:positionH>
                <wp:positionV relativeFrom="paragraph">
                  <wp:posOffset>240030</wp:posOffset>
                </wp:positionV>
                <wp:extent cx="6416040" cy="4617720"/>
                <wp:effectExtent l="0" t="0" r="22860" b="30480"/>
                <wp:wrapNone/>
                <wp:docPr id="1863548155" name="Straight Connector 2"/>
                <wp:cNvGraphicFramePr/>
                <a:graphic xmlns:a="http://schemas.openxmlformats.org/drawingml/2006/main">
                  <a:graphicData uri="http://schemas.microsoft.com/office/word/2010/wordprocessingShape">
                    <wps:wsp>
                      <wps:cNvCnPr/>
                      <wps:spPr>
                        <a:xfrm>
                          <a:off x="0" y="0"/>
                          <a:ext cx="6416040" cy="4617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DFB853" id="Straight Connector 2" o:spid="_x0000_s1026" style="position:absolute;z-index:251800566;visibility:visible;mso-wrap-style:square;mso-wrap-distance-left:9pt;mso-wrap-distance-top:0;mso-wrap-distance-right:9pt;mso-wrap-distance-bottom:0;mso-position-horizontal:absolute;mso-position-horizontal-relative:text;mso-position-vertical:absolute;mso-position-vertical-relative:text" from="-11.25pt,18.9pt" to="493.95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" strokecolor="#5b9bd5 [3204]" strokeweight=".5pt">
                <v:stroke joinstyle="miter"/>
              </v:line>
            </w:pict>
          </mc:Fallback>
        </mc:AlternateContent>
      </w:r>
    </w:p>
    <w:p w14:paraId="0A26316D" w14:textId="77777777"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3AFBFE06" w14:textId="77777777"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5603BE74" w14:textId="77777777"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00E98311" w14:textId="77777777"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0B46EB4C" w14:textId="77777777"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0FA0602A" w14:textId="77777777"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1182A1F6" w14:textId="77777777"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2577DA9A" w14:textId="77777777"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5683F572" w14:textId="77777777"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0B12349C" w14:textId="77777777"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41DFC3F0" w14:textId="77777777"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25FAC93F" w14:textId="0F2FEB74" w:rsidR="008C3DC0" w:rsidRPr="00A66EEC" w:rsidRDefault="00B31806" w:rsidP="000E5F05">
      <w:pPr>
        <w:autoSpaceDE w:val="0"/>
        <w:autoSpaceDN w:val="0"/>
        <w:adjustRightInd w:val="0"/>
        <w:spacing w:line="360" w:lineRule="auto"/>
        <w:jc w:val="both"/>
        <w:rPr>
          <w:rFonts w:ascii="Palatino Linotype" w:hAnsi="Palatino Linotype" w:cs="Arial"/>
          <w:noProof/>
        </w:rPr>
      </w:pPr>
      <w:r w:rsidRPr="00A66EEC">
        <w:rPr>
          <w:rFonts w:ascii="Palatino Linotype" w:hAnsi="Palatino Linotype" w:cs="Arial"/>
          <w:noProof/>
          <w:sz w:val="24"/>
          <w:szCs w:val="24"/>
          <w:lang w:eastAsia="es-MX"/>
        </w:rPr>
        <w:lastRenderedPageBreak/>
        <w:drawing>
          <wp:anchor distT="0" distB="0" distL="114300" distR="114300" simplePos="0" relativeHeight="251801590" behindDoc="0" locked="0" layoutInCell="1" allowOverlap="1" wp14:anchorId="1BA49966" wp14:editId="27DA1313">
            <wp:simplePos x="0" y="0"/>
            <wp:positionH relativeFrom="margin">
              <wp:posOffset>424815</wp:posOffset>
            </wp:positionH>
            <wp:positionV relativeFrom="paragraph">
              <wp:posOffset>6778625</wp:posOffset>
            </wp:positionV>
            <wp:extent cx="2076450" cy="672465"/>
            <wp:effectExtent l="19050" t="19050" r="19050" b="13335"/>
            <wp:wrapThrough wrapText="bothSides">
              <wp:wrapPolygon edited="0">
                <wp:start x="-198" y="-612"/>
                <wp:lineTo x="-198" y="21416"/>
                <wp:lineTo x="21600" y="21416"/>
                <wp:lineTo x="21600" y="-612"/>
                <wp:lineTo x="-198" y="-612"/>
              </wp:wrapPolygon>
            </wp:wrapThrough>
            <wp:docPr id="15754345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6450" cy="6724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66EEC">
        <w:rPr>
          <w:rFonts w:ascii="Palatino Linotype" w:hAnsi="Palatino Linotype" w:cs="Arial"/>
          <w:noProof/>
          <w:lang w:eastAsia="es-MX"/>
        </w:rPr>
        <w:drawing>
          <wp:anchor distT="0" distB="0" distL="114300" distR="114300" simplePos="0" relativeHeight="251803638" behindDoc="0" locked="0" layoutInCell="1" allowOverlap="1" wp14:anchorId="703265D1" wp14:editId="29A7DD1B">
            <wp:simplePos x="0" y="0"/>
            <wp:positionH relativeFrom="column">
              <wp:posOffset>2718435</wp:posOffset>
            </wp:positionH>
            <wp:positionV relativeFrom="paragraph">
              <wp:posOffset>6782435</wp:posOffset>
            </wp:positionV>
            <wp:extent cx="2457450" cy="640080"/>
            <wp:effectExtent l="19050" t="19050" r="19050" b="26670"/>
            <wp:wrapThrough wrapText="bothSides">
              <wp:wrapPolygon edited="0">
                <wp:start x="-167" y="-643"/>
                <wp:lineTo x="-167" y="21857"/>
                <wp:lineTo x="21600" y="21857"/>
                <wp:lineTo x="21600" y="-643"/>
                <wp:lineTo x="-167" y="-643"/>
              </wp:wrapPolygon>
            </wp:wrapThrough>
            <wp:docPr id="1155693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6400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66EEC">
        <w:rPr>
          <w:rFonts w:ascii="Palatino Linotype" w:hAnsi="Palatino Linotype" w:cs="Arial"/>
          <w:noProof/>
          <w:lang w:eastAsia="es-MX"/>
        </w:rPr>
        <mc:AlternateContent>
          <mc:Choice Requires="wps">
            <w:drawing>
              <wp:anchor distT="0" distB="0" distL="114300" distR="114300" simplePos="0" relativeHeight="251802614" behindDoc="0" locked="0" layoutInCell="1" allowOverlap="1" wp14:anchorId="00A4B3D3" wp14:editId="15FB01AC">
                <wp:simplePos x="0" y="0"/>
                <wp:positionH relativeFrom="column">
                  <wp:posOffset>1984798</wp:posOffset>
                </wp:positionH>
                <wp:positionV relativeFrom="paragraph">
                  <wp:posOffset>4907068</wp:posOffset>
                </wp:positionV>
                <wp:extent cx="922867" cy="143934"/>
                <wp:effectExtent l="0" t="0" r="10795" b="27940"/>
                <wp:wrapNone/>
                <wp:docPr id="2028436021" name="Rectangle 4"/>
                <wp:cNvGraphicFramePr/>
                <a:graphic xmlns:a="http://schemas.openxmlformats.org/drawingml/2006/main">
                  <a:graphicData uri="http://schemas.microsoft.com/office/word/2010/wordprocessingShape">
                    <wps:wsp>
                      <wps:cNvSpPr/>
                      <wps:spPr>
                        <a:xfrm>
                          <a:off x="0" y="0"/>
                          <a:ext cx="922867" cy="14393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A2BC686" id="Rectangle 4" o:spid="_x0000_s1026" style="position:absolute;margin-left:156.3pt;margin-top:386.4pt;width:72.65pt;height:11.35pt;z-index:2518026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" filled="f" strokecolor="red" strokeweight="1pt"/>
            </w:pict>
          </mc:Fallback>
        </mc:AlternateContent>
      </w:r>
      <w:r w:rsidR="008C3DC0" w:rsidRPr="00A66EEC">
        <w:rPr>
          <w:rFonts w:ascii="Palatino Linotype" w:hAnsi="Palatino Linotype" w:cs="Arial"/>
          <w:noProof/>
          <w:lang w:eastAsia="es-MX"/>
        </w:rPr>
        <w:drawing>
          <wp:anchor distT="0" distB="0" distL="114300" distR="114300" simplePos="0" relativeHeight="251799542" behindDoc="0" locked="0" layoutInCell="1" allowOverlap="1" wp14:anchorId="457CCE94" wp14:editId="1BCA4810">
            <wp:simplePos x="0" y="0"/>
            <wp:positionH relativeFrom="page">
              <wp:align>center</wp:align>
            </wp:positionH>
            <wp:positionV relativeFrom="paragraph">
              <wp:posOffset>19050</wp:posOffset>
            </wp:positionV>
            <wp:extent cx="5269230" cy="6374130"/>
            <wp:effectExtent l="19050" t="19050" r="26670" b="26670"/>
            <wp:wrapThrough wrapText="bothSides">
              <wp:wrapPolygon edited="0">
                <wp:start x="-78" y="-65"/>
                <wp:lineTo x="-78" y="21626"/>
                <wp:lineTo x="21631" y="21626"/>
                <wp:lineTo x="21631" y="-65"/>
                <wp:lineTo x="-78" y="-65"/>
              </wp:wrapPolygon>
            </wp:wrapThrough>
            <wp:docPr id="191967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69230" cy="6374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01D2928" w14:textId="722CF320"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22953288" w14:textId="5B5BE401" w:rsidR="008C3DC0" w:rsidRPr="00A66EEC" w:rsidRDefault="008C3DC0" w:rsidP="000E5F05">
      <w:pPr>
        <w:autoSpaceDE w:val="0"/>
        <w:autoSpaceDN w:val="0"/>
        <w:adjustRightInd w:val="0"/>
        <w:spacing w:line="360" w:lineRule="auto"/>
        <w:jc w:val="both"/>
        <w:rPr>
          <w:rFonts w:ascii="Palatino Linotype" w:hAnsi="Palatino Linotype" w:cs="Arial"/>
          <w:noProof/>
        </w:rPr>
      </w:pPr>
    </w:p>
    <w:p w14:paraId="5324F3D2" w14:textId="2B303BAD" w:rsidR="008C3DC0" w:rsidRPr="00A66EEC" w:rsidRDefault="00907F0B" w:rsidP="00907F0B">
      <w:pPr>
        <w:autoSpaceDE w:val="0"/>
        <w:autoSpaceDN w:val="0"/>
        <w:adjustRightInd w:val="0"/>
        <w:spacing w:before="240" w:line="360" w:lineRule="auto"/>
        <w:jc w:val="both"/>
        <w:rPr>
          <w:rFonts w:ascii="Palatino Linotype" w:hAnsi="Palatino Linotype"/>
          <w:sz w:val="24"/>
          <w:szCs w:val="24"/>
        </w:rPr>
      </w:pPr>
      <w:r w:rsidRPr="00A66EEC">
        <w:rPr>
          <w:rFonts w:ascii="Palatino Linotype" w:hAnsi="Palatino Linotype" w:cs="Arial"/>
          <w:noProof/>
          <w:sz w:val="24"/>
          <w:szCs w:val="24"/>
        </w:rPr>
        <w:lastRenderedPageBreak/>
        <w:t>D</w:t>
      </w:r>
      <w:r w:rsidRPr="00A66EEC">
        <w:rPr>
          <w:rFonts w:ascii="Palatino Linotype" w:hAnsi="Palatino Linotype"/>
          <w:sz w:val="24"/>
          <w:szCs w:val="24"/>
        </w:rPr>
        <w:t xml:space="preserve">e lo expuesto con anterioridad, se desprende que </w:t>
      </w:r>
      <w:r w:rsidRPr="00A66EEC">
        <w:rPr>
          <w:rFonts w:ascii="Palatino Linotype" w:hAnsi="Palatino Linotype"/>
          <w:b/>
          <w:bCs/>
          <w:sz w:val="24"/>
          <w:szCs w:val="24"/>
        </w:rPr>
        <w:t xml:space="preserve">El Sujeto Obligado </w:t>
      </w:r>
      <w:r w:rsidRPr="00A66EEC">
        <w:rPr>
          <w:rFonts w:ascii="Palatino Linotype" w:hAnsi="Palatino Linotype"/>
          <w:sz w:val="24"/>
          <w:szCs w:val="24"/>
        </w:rPr>
        <w:t xml:space="preserve">se auxilia de </w:t>
      </w:r>
      <w:r w:rsidR="00126ED9" w:rsidRPr="00A66EEC">
        <w:rPr>
          <w:rFonts w:ascii="Palatino Linotype" w:hAnsi="Palatino Linotype"/>
          <w:sz w:val="24"/>
          <w:szCs w:val="24"/>
        </w:rPr>
        <w:t xml:space="preserve">diversas direcciones, departamentos y unidades administrativas, resultando de nuestro más amplio interés la </w:t>
      </w:r>
      <w:r w:rsidR="008C3DC0" w:rsidRPr="00A66EEC">
        <w:rPr>
          <w:rFonts w:ascii="Palatino Linotype" w:hAnsi="Palatino Linotype"/>
          <w:sz w:val="24"/>
          <w:szCs w:val="24"/>
        </w:rPr>
        <w:t>Dirección de Fomento y Desarrollo Económico, Administración y Reglamentos</w:t>
      </w:r>
      <w:r w:rsidR="00B31806" w:rsidRPr="00A66EEC">
        <w:rPr>
          <w:rFonts w:ascii="Palatino Linotype" w:hAnsi="Palatino Linotype"/>
          <w:sz w:val="24"/>
          <w:szCs w:val="24"/>
        </w:rPr>
        <w:t xml:space="preserve">; así como la Dirección Jurídica. </w:t>
      </w:r>
    </w:p>
    <w:p w14:paraId="299E9F88" w14:textId="70EFD689" w:rsidR="00B36EA3" w:rsidRPr="00A66EEC" w:rsidRDefault="008C3DC0" w:rsidP="00907F0B">
      <w:pPr>
        <w:autoSpaceDE w:val="0"/>
        <w:autoSpaceDN w:val="0"/>
        <w:adjustRightInd w:val="0"/>
        <w:spacing w:before="240" w:line="360" w:lineRule="auto"/>
        <w:jc w:val="both"/>
        <w:rPr>
          <w:rFonts w:ascii="Palatino Linotype" w:hAnsi="Palatino Linotype"/>
          <w:sz w:val="24"/>
          <w:szCs w:val="24"/>
        </w:rPr>
      </w:pPr>
      <w:r w:rsidRPr="00A66EEC">
        <w:rPr>
          <w:rFonts w:ascii="Palatino Linotype" w:hAnsi="Palatino Linotype"/>
          <w:sz w:val="24"/>
          <w:szCs w:val="24"/>
        </w:rPr>
        <w:t xml:space="preserve">En este tenor, para delimitar las fronteras competenciales de la unidad administrativa en cita, resulta oportuno traer a colación </w:t>
      </w:r>
      <w:r w:rsidR="00B36EA3" w:rsidRPr="00A66EEC">
        <w:rPr>
          <w:rFonts w:ascii="Palatino Linotype" w:hAnsi="Palatino Linotype"/>
          <w:sz w:val="24"/>
          <w:szCs w:val="24"/>
        </w:rPr>
        <w:t xml:space="preserve">el artículo 96 quáter fracción XIX de la Ley Orgánica Municipal del Estado de México; así como los numerales 70, 72, 192 y 193 del Bando municipal de Tonanitla, porciones normativas que disponen a la literalidad lo siguiente: </w:t>
      </w:r>
    </w:p>
    <w:p w14:paraId="338A3835" w14:textId="57F58BCF" w:rsidR="00B36EA3" w:rsidRPr="00A66EEC" w:rsidRDefault="00B36EA3" w:rsidP="00B36EA3">
      <w:pPr>
        <w:pStyle w:val="Citas"/>
        <w:jc w:val="center"/>
        <w:rPr>
          <w:b/>
          <w:bCs/>
        </w:rPr>
      </w:pPr>
      <w:r w:rsidRPr="00A66EEC">
        <w:rPr>
          <w:b/>
          <w:bCs/>
        </w:rPr>
        <w:t>LEY ORGÁNICA MUNICIPAL DEL ESTADO DE MÉXICO</w:t>
      </w:r>
    </w:p>
    <w:p w14:paraId="4E62ADDC" w14:textId="56259170" w:rsidR="00B36EA3" w:rsidRPr="00A66EEC" w:rsidRDefault="00B36EA3" w:rsidP="00B36EA3">
      <w:pPr>
        <w:pStyle w:val="Citas"/>
      </w:pPr>
      <w:r w:rsidRPr="00A66EEC">
        <w:t>“Artículo 96 Quáter.- El Titular de la Dirección de Desarrollo Económico Municipal o el Titular de la Unidad Administrativa equivalente, tiene las siguientes atribuciones:</w:t>
      </w:r>
    </w:p>
    <w:p w14:paraId="2E8FB8F5" w14:textId="2EFA4508" w:rsidR="00B36EA3" w:rsidRPr="00A66EEC" w:rsidRDefault="00B36EA3" w:rsidP="00B36EA3">
      <w:pPr>
        <w:pStyle w:val="Citas"/>
      </w:pPr>
      <w:r w:rsidRPr="00A66EEC">
        <w:t>(…)</w:t>
      </w:r>
    </w:p>
    <w:p w14:paraId="263828AD" w14:textId="49799C48" w:rsidR="00B36EA3" w:rsidRPr="00A66EEC" w:rsidRDefault="00B36EA3" w:rsidP="00B36EA3">
      <w:pPr>
        <w:pStyle w:val="Citas"/>
      </w:pPr>
      <w:r w:rsidRPr="00A66EEC">
        <w:t>XIX. Operar y actualizar el Registro Municipal de Unidades Económicas de los permisos o licencias de funcionamiento otorgadas a las unidades económicas respectivas, así como remitir dentro de los cinco días hábiles siguientes los datos generados al Sistema que al efecto integre la Secretaría de Desarrollo Económico, a la Secretaría de Seguridad y a la Fiscalía General de Justicia del Estado de México, la información respectiva;</w:t>
      </w:r>
    </w:p>
    <w:p w14:paraId="6ACA30B6" w14:textId="292ACDA3" w:rsidR="00B36EA3" w:rsidRPr="00A66EEC" w:rsidRDefault="00B36EA3" w:rsidP="00B36EA3">
      <w:pPr>
        <w:pStyle w:val="Citas"/>
        <w:rPr>
          <w:b/>
          <w:bCs/>
          <w:sz w:val="24"/>
          <w:szCs w:val="24"/>
        </w:rPr>
      </w:pPr>
      <w:r w:rsidRPr="00A66EEC">
        <w:t xml:space="preserve">(…)” </w:t>
      </w:r>
      <w:r w:rsidRPr="00A66EEC">
        <w:rPr>
          <w:b/>
          <w:bCs/>
        </w:rPr>
        <w:t>(Sic)</w:t>
      </w:r>
    </w:p>
    <w:p w14:paraId="42499284" w14:textId="77777777" w:rsidR="00B36EA3" w:rsidRPr="00A66EEC" w:rsidRDefault="00B36EA3" w:rsidP="00907F0B">
      <w:pPr>
        <w:autoSpaceDE w:val="0"/>
        <w:autoSpaceDN w:val="0"/>
        <w:adjustRightInd w:val="0"/>
        <w:spacing w:before="240" w:line="360" w:lineRule="auto"/>
        <w:jc w:val="both"/>
        <w:rPr>
          <w:rFonts w:ascii="Palatino Linotype" w:hAnsi="Palatino Linotype"/>
          <w:sz w:val="24"/>
          <w:szCs w:val="24"/>
        </w:rPr>
      </w:pPr>
    </w:p>
    <w:p w14:paraId="2629212C" w14:textId="1AB8B713" w:rsidR="008C3DC0" w:rsidRPr="00A66EEC" w:rsidRDefault="00B36EA3" w:rsidP="00B36EA3">
      <w:pPr>
        <w:pStyle w:val="Citas"/>
        <w:jc w:val="center"/>
        <w:rPr>
          <w:b/>
          <w:bCs/>
        </w:rPr>
      </w:pPr>
      <w:r w:rsidRPr="00A66EEC">
        <w:rPr>
          <w:b/>
          <w:bCs/>
        </w:rPr>
        <w:lastRenderedPageBreak/>
        <w:t>BANDO MUNICIPAL DE TONANITLA</w:t>
      </w:r>
    </w:p>
    <w:p w14:paraId="0A9D34C2" w14:textId="273AF9AA" w:rsidR="000F3DC9" w:rsidRPr="00A66EEC" w:rsidRDefault="00B36EA3" w:rsidP="00B36EA3">
      <w:pPr>
        <w:pStyle w:val="Citas"/>
      </w:pPr>
      <w:r w:rsidRPr="00A66EEC">
        <w:t>“</w:t>
      </w:r>
      <w:r w:rsidR="000F3DC9" w:rsidRPr="00A66EEC">
        <w:t xml:space="preserve">Artículo 70.- La Dirección de Fomento y Desarrollo Económico, Administración y Reglamentos es el área administrativa encargada de fomentar la economía del Municipio con proyectos detonadores de empleo y que generen riqueza, implementará programas y acciones para promover la oferta y creación de fuentes de empleo, orientar a emprendedores y canalizarlos con las instancias correspondientes en materia de creación de empresas, con la aprobación y capacitación laboral, fuentes de financiamiento y participará en la elaboración y seguimiento del Plan de Desarrollo Municipal. </w:t>
      </w:r>
    </w:p>
    <w:p w14:paraId="3F3D40CD" w14:textId="5E15B4A0" w:rsidR="000F3DC9" w:rsidRPr="00A66EEC" w:rsidRDefault="000F3DC9" w:rsidP="00B36EA3">
      <w:pPr>
        <w:pStyle w:val="Citas"/>
      </w:pPr>
      <w:r w:rsidRPr="00A66EEC">
        <w:t xml:space="preserve">Artículo 72.- En materia de Fomento y Desarrollo Económico, Administración y Reglamentos asumirá las siguientes atribuciones: </w:t>
      </w:r>
    </w:p>
    <w:p w14:paraId="1FF54EDA" w14:textId="21A7CA82" w:rsidR="000F3DC9" w:rsidRPr="00A66EEC" w:rsidRDefault="000F3DC9" w:rsidP="00B36EA3">
      <w:pPr>
        <w:pStyle w:val="Citas"/>
      </w:pPr>
      <w:r w:rsidRPr="00A66EEC">
        <w:t>(…)</w:t>
      </w:r>
    </w:p>
    <w:p w14:paraId="42AE2DFC" w14:textId="2ADEB4CE" w:rsidR="000F3DC9" w:rsidRPr="00A66EEC" w:rsidRDefault="000F3DC9" w:rsidP="00B36EA3">
      <w:pPr>
        <w:pStyle w:val="Citas"/>
      </w:pPr>
      <w:r w:rsidRPr="00A66EEC">
        <w:t>XIV. Conducir la coordinación interinstitucional de las dependencias municipales a las que corresponda conocer sobre el otorgamiento de permisos y licencias de acuerdo a la apertura y funcionamiento de unidades económicas; para tal efecto, deberá garantizar que el otorgamiento de la licencia no sujeto al pago de contribución, ni a donación alguna; la exigencia de cargas tributarias, dádivas o cualquier otro concepto que condicione su expedición será sancionada en términos de la Ley de responsabilidades de los Servidores Públicos del Estado y Municipios;</w:t>
      </w:r>
    </w:p>
    <w:p w14:paraId="55F87773" w14:textId="658AE513" w:rsidR="000F3DC9" w:rsidRPr="00A66EEC" w:rsidRDefault="000F3DC9" w:rsidP="00B36EA3">
      <w:pPr>
        <w:pStyle w:val="Citas"/>
      </w:pPr>
      <w:r w:rsidRPr="00A66EEC">
        <w:t xml:space="preserve">XV. Operar y actualizar el Registro Municipal de Unidades Económicas de los permisos o licencias de funcionamiento otorgadas a las unidades económicas respectivas, así como remitir dentro de los cinco días hábiles siguientes los datos generados al Sistema que al efecto integre a la Secretaría de Desarrollo Económico, a </w:t>
      </w:r>
      <w:r w:rsidRPr="00A66EEC">
        <w:lastRenderedPageBreak/>
        <w:t>la Secretaría de Seguridad Pública y a la procuraduría General de Justicia del Estado de México, la información respectiva;</w:t>
      </w:r>
    </w:p>
    <w:p w14:paraId="66D4A5C2" w14:textId="2CECCB64" w:rsidR="000F3DC9" w:rsidRPr="00A66EEC" w:rsidRDefault="000F3DC9" w:rsidP="00B36EA3">
      <w:pPr>
        <w:pStyle w:val="Citas"/>
        <w:rPr>
          <w:b/>
          <w:bCs/>
          <w:u w:val="single"/>
        </w:rPr>
      </w:pPr>
      <w:r w:rsidRPr="00A66EEC">
        <w:rPr>
          <w:b/>
          <w:bCs/>
          <w:u w:val="single"/>
        </w:rPr>
        <w:t xml:space="preserve">XVI. Realizar el Padrón de Comercio y regularización de los mismos, así como el otorgamiento de la licencia de funcionamiento de los establecimientos comerciales de bajo impacto, y en su caso realizar la suspensión de actividades correspondiente; y previo procedimiento </w:t>
      </w:r>
      <w:r w:rsidR="00EF1D1D" w:rsidRPr="00A66EEC">
        <w:rPr>
          <w:b/>
          <w:bCs/>
          <w:u w:val="single"/>
        </w:rPr>
        <w:t xml:space="preserve">administrativo, de los establecimientos mercantiles con venta o suministro de bebida alcohólica que no cuenten con la correspondiente licencia de funcionamiento del establecimiento, se procederá a la clausura definitiva; </w:t>
      </w:r>
    </w:p>
    <w:p w14:paraId="21DE2E62" w14:textId="725DA35D" w:rsidR="00EF1D1D" w:rsidRPr="00A66EEC" w:rsidRDefault="00EF1D1D" w:rsidP="00B36EA3">
      <w:pPr>
        <w:pStyle w:val="Citas"/>
      </w:pPr>
      <w:r w:rsidRPr="00A66EEC">
        <w:t>XVII. Crear el Comité de Dictámenes de Giro</w:t>
      </w:r>
    </w:p>
    <w:p w14:paraId="7E782C5C" w14:textId="57A3C4E4" w:rsidR="00EF1D1D" w:rsidRPr="00A66EEC" w:rsidRDefault="00EF1D1D" w:rsidP="00B36EA3">
      <w:pPr>
        <w:pStyle w:val="Citas"/>
      </w:pPr>
      <w:r w:rsidRPr="00A66EEC">
        <w:t xml:space="preserve">XVIII. Las demás que señalen las disposiciones legales aplicables. </w:t>
      </w:r>
    </w:p>
    <w:p w14:paraId="6D6018A6" w14:textId="6E18F9C9" w:rsidR="00EF1D1D" w:rsidRPr="00A66EEC" w:rsidRDefault="00EF1D1D" w:rsidP="00B36EA3">
      <w:pPr>
        <w:pStyle w:val="Citas"/>
      </w:pPr>
      <w:r w:rsidRPr="00A66EEC">
        <w:t>Artículo 192.- La Dirección Jurídica es el órgano consultivo del municipio, responsable de brindar asesoría y orientación jurídica a las dependencias y entidades de la Administración Pública Municipal, a fin de brindar certeza y legalidad a los procedimientos administrativos y los actos generados por éstos; tramitar la defensa de los intereses de la autoridad municipal ante los órganos administrativos y jurisdiccionales en los que se desarrollen</w:t>
      </w:r>
      <w:r w:rsidR="00B31806" w:rsidRPr="00A66EEC">
        <w:t xml:space="preserve"> los conflictos de intereses en los que el municipio sea parte. </w:t>
      </w:r>
    </w:p>
    <w:p w14:paraId="062C5EAA" w14:textId="6010DC72" w:rsidR="00B31806" w:rsidRPr="00A66EEC" w:rsidRDefault="00B31806" w:rsidP="00B36EA3">
      <w:pPr>
        <w:pStyle w:val="Citas"/>
      </w:pPr>
      <w:r w:rsidRPr="00A66EEC">
        <w:t xml:space="preserve">Artículo 193.- Corresponde a la Dirección Jurídica, el ejercicio de las siguientes atribuciones: </w:t>
      </w:r>
    </w:p>
    <w:p w14:paraId="6B55500F" w14:textId="29EEED52" w:rsidR="00B31806" w:rsidRPr="00A66EEC" w:rsidRDefault="00B31806" w:rsidP="00B36EA3">
      <w:pPr>
        <w:pStyle w:val="Citas"/>
      </w:pPr>
      <w:r w:rsidRPr="00A66EEC">
        <w:t>I. Analizar los proyectos de acuerdos, reglamentos y demás disposiciones que surtan efectos contra terceros o sean de observancia general, que se sometan a consideración del Ayuntamiento o del Presidente Municipal;</w:t>
      </w:r>
    </w:p>
    <w:p w14:paraId="67F83779" w14:textId="102B105F" w:rsidR="00B36EA3" w:rsidRPr="00A66EEC" w:rsidRDefault="00B36EA3" w:rsidP="00B36EA3">
      <w:pPr>
        <w:pStyle w:val="Citas"/>
        <w:rPr>
          <w:b/>
          <w:bCs/>
        </w:rPr>
      </w:pPr>
      <w:r w:rsidRPr="00A66EEC">
        <w:lastRenderedPageBreak/>
        <w:t xml:space="preserve">(…)” </w:t>
      </w:r>
      <w:r w:rsidRPr="00A66EEC">
        <w:rPr>
          <w:b/>
          <w:bCs/>
        </w:rPr>
        <w:t>(Sic)</w:t>
      </w:r>
    </w:p>
    <w:p w14:paraId="65E1FAD2" w14:textId="77777777" w:rsidR="00696702" w:rsidRPr="00A66EEC" w:rsidRDefault="00696702" w:rsidP="00907F0B">
      <w:pPr>
        <w:autoSpaceDE w:val="0"/>
        <w:autoSpaceDN w:val="0"/>
        <w:adjustRightInd w:val="0"/>
        <w:spacing w:before="240" w:line="360" w:lineRule="auto"/>
        <w:jc w:val="both"/>
        <w:rPr>
          <w:rFonts w:ascii="Palatino Linotype" w:hAnsi="Palatino Linotype"/>
          <w:sz w:val="24"/>
          <w:szCs w:val="24"/>
        </w:rPr>
      </w:pPr>
    </w:p>
    <w:p w14:paraId="11595C1E" w14:textId="6654FFB0" w:rsidR="00EE6083" w:rsidRPr="00A66EEC" w:rsidRDefault="00AF233D" w:rsidP="00907F0B">
      <w:pPr>
        <w:autoSpaceDE w:val="0"/>
        <w:autoSpaceDN w:val="0"/>
        <w:adjustRightInd w:val="0"/>
        <w:spacing w:before="240" w:line="360" w:lineRule="auto"/>
        <w:jc w:val="both"/>
        <w:rPr>
          <w:rFonts w:ascii="Palatino Linotype" w:hAnsi="Palatino Linotype"/>
          <w:sz w:val="24"/>
          <w:szCs w:val="24"/>
        </w:rPr>
      </w:pPr>
      <w:r w:rsidRPr="00A66EEC">
        <w:rPr>
          <w:rFonts w:ascii="Palatino Linotype" w:hAnsi="Palatino Linotype"/>
          <w:sz w:val="24"/>
          <w:szCs w:val="24"/>
        </w:rPr>
        <w:t>De ahí que deba arribarse a las siguientes premisas:</w:t>
      </w:r>
    </w:p>
    <w:p w14:paraId="2B6467E1" w14:textId="784E27E1" w:rsidR="00DD546F" w:rsidRPr="00A66EEC" w:rsidRDefault="00F27706" w:rsidP="003E11E6">
      <w:pPr>
        <w:pStyle w:val="Prrafodelista"/>
        <w:numPr>
          <w:ilvl w:val="0"/>
          <w:numId w:val="6"/>
        </w:numPr>
        <w:autoSpaceDE w:val="0"/>
        <w:autoSpaceDN w:val="0"/>
        <w:adjustRightInd w:val="0"/>
        <w:spacing w:before="240" w:line="360" w:lineRule="auto"/>
        <w:jc w:val="both"/>
        <w:rPr>
          <w:b/>
          <w:bCs/>
          <w:u w:val="single"/>
        </w:rPr>
      </w:pPr>
      <w:r w:rsidRPr="00A66EEC">
        <w:rPr>
          <w:rFonts w:ascii="Palatino Linotype" w:hAnsi="Palatino Linotype"/>
        </w:rPr>
        <w:t xml:space="preserve">Que </w:t>
      </w:r>
      <w:r w:rsidR="00B36EA3" w:rsidRPr="00A66EEC">
        <w:rPr>
          <w:rFonts w:ascii="Palatino Linotype" w:hAnsi="Palatino Linotype"/>
        </w:rPr>
        <w:t xml:space="preserve">la Dirección Jurídica corresponde el ejercicio de diversas atribuciones, entre las cuales se engloba la relativa a analizar proyectos de acuerdos, reglamentos y demás disposiciones jurídicas, entre las cuales puede obrar </w:t>
      </w:r>
      <w:r w:rsidR="0043614A" w:rsidRPr="00A66EEC">
        <w:rPr>
          <w:rFonts w:ascii="Palatino Linotype" w:hAnsi="Palatino Linotype"/>
        </w:rPr>
        <w:t xml:space="preserve">aquella que analice y delimite las funciones del personal adscrito a la Dirección de Fomento y Desarrollo Económico, Administración y Reglamentos. </w:t>
      </w:r>
    </w:p>
    <w:p w14:paraId="1DDED678" w14:textId="502EEAE0" w:rsidR="0043614A" w:rsidRPr="00A66EEC" w:rsidRDefault="0043614A" w:rsidP="003E11E6">
      <w:pPr>
        <w:pStyle w:val="Prrafodelista"/>
        <w:numPr>
          <w:ilvl w:val="0"/>
          <w:numId w:val="6"/>
        </w:numPr>
        <w:autoSpaceDE w:val="0"/>
        <w:autoSpaceDN w:val="0"/>
        <w:adjustRightInd w:val="0"/>
        <w:spacing w:before="240" w:line="360" w:lineRule="auto"/>
        <w:jc w:val="both"/>
        <w:rPr>
          <w:b/>
          <w:bCs/>
          <w:u w:val="single"/>
        </w:rPr>
      </w:pPr>
      <w:r w:rsidRPr="00A66EEC">
        <w:rPr>
          <w:rFonts w:ascii="Palatino Linotype" w:hAnsi="Palatino Linotype"/>
        </w:rPr>
        <w:t xml:space="preserve">Que la Dirección de Fomento y Desarrollo Económico, Administración y Reglamentos es la unidad administrativa competente para realizar el padrón de comercio y regularización de unidades económicas e incluso expedir las licencias respectivas, entre otras funciones. </w:t>
      </w:r>
    </w:p>
    <w:p w14:paraId="02EEA336" w14:textId="77777777" w:rsidR="0043614A" w:rsidRPr="00A66EEC" w:rsidRDefault="0043614A" w:rsidP="00907F0B">
      <w:pPr>
        <w:autoSpaceDE w:val="0"/>
        <w:autoSpaceDN w:val="0"/>
        <w:adjustRightInd w:val="0"/>
        <w:spacing w:before="240" w:line="360" w:lineRule="auto"/>
        <w:jc w:val="both"/>
        <w:rPr>
          <w:rFonts w:ascii="Palatino Linotype" w:hAnsi="Palatino Linotype"/>
          <w:sz w:val="24"/>
          <w:szCs w:val="24"/>
          <w:lang w:val="es-ES"/>
        </w:rPr>
      </w:pPr>
    </w:p>
    <w:p w14:paraId="04E94FED" w14:textId="2ABB85E9" w:rsidR="0043614A" w:rsidRPr="00A66EEC" w:rsidRDefault="0043614A" w:rsidP="0043614A">
      <w:pPr>
        <w:autoSpaceDE w:val="0"/>
        <w:autoSpaceDN w:val="0"/>
        <w:adjustRightInd w:val="0"/>
        <w:spacing w:before="240" w:line="360" w:lineRule="auto"/>
        <w:jc w:val="both"/>
        <w:rPr>
          <w:rFonts w:ascii="Palatino Linotype" w:hAnsi="Palatino Linotype" w:cs="Arial"/>
          <w:sz w:val="24"/>
          <w:szCs w:val="24"/>
        </w:rPr>
      </w:pPr>
      <w:r w:rsidRPr="00A66EEC">
        <w:rPr>
          <w:rFonts w:ascii="Palatino Linotype" w:hAnsi="Palatino Linotype" w:cs="Arial"/>
          <w:sz w:val="24"/>
          <w:szCs w:val="24"/>
        </w:rPr>
        <w:t xml:space="preserve">De manera complementaria, resulta oportuno traer a colación los artículos 24 fracción XII y 92 fracción XII de la Ley de Transparencia y Acceso a la Información Pública del Estado de México y Municipios, cuyo contenido literal es el siguiente: </w:t>
      </w:r>
    </w:p>
    <w:p w14:paraId="6D4C2169" w14:textId="77777777" w:rsidR="0043614A" w:rsidRPr="00A66EEC" w:rsidRDefault="0043614A" w:rsidP="0043614A">
      <w:pPr>
        <w:pStyle w:val="Default"/>
        <w:spacing w:before="240" w:after="160" w:line="360" w:lineRule="auto"/>
        <w:ind w:left="851" w:right="851"/>
        <w:jc w:val="both"/>
        <w:rPr>
          <w:rFonts w:ascii="Palatino Linotype" w:hAnsi="Palatino Linotype"/>
          <w:b/>
          <w:bCs/>
          <w:i/>
          <w:sz w:val="22"/>
          <w:szCs w:val="22"/>
        </w:rPr>
      </w:pPr>
      <w:r w:rsidRPr="00A66EEC">
        <w:rPr>
          <w:rFonts w:ascii="Palatino Linotype" w:hAnsi="Palatino Linotype"/>
          <w:b/>
          <w:bCs/>
          <w:i/>
          <w:sz w:val="22"/>
          <w:szCs w:val="22"/>
        </w:rPr>
        <w:t xml:space="preserve">“Artículo 24. </w:t>
      </w:r>
      <w:r w:rsidRPr="00A66EE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1CAAABCA" w14:textId="77777777" w:rsidR="0043614A" w:rsidRPr="00A66EEC" w:rsidRDefault="0043614A" w:rsidP="0043614A">
      <w:pPr>
        <w:pStyle w:val="Default"/>
        <w:spacing w:before="240" w:after="160" w:line="360" w:lineRule="auto"/>
        <w:ind w:left="851" w:right="851"/>
        <w:jc w:val="both"/>
        <w:rPr>
          <w:rFonts w:ascii="Palatino Linotype" w:hAnsi="Palatino Linotype"/>
          <w:b/>
          <w:bCs/>
          <w:i/>
          <w:sz w:val="22"/>
          <w:szCs w:val="22"/>
        </w:rPr>
      </w:pPr>
      <w:r w:rsidRPr="00A66EEC">
        <w:rPr>
          <w:rFonts w:ascii="Palatino Linotype" w:hAnsi="Palatino Linotype"/>
          <w:b/>
          <w:bCs/>
          <w:i/>
          <w:sz w:val="22"/>
          <w:szCs w:val="22"/>
        </w:rPr>
        <w:lastRenderedPageBreak/>
        <w:t xml:space="preserve">XII. </w:t>
      </w:r>
      <w:r w:rsidRPr="00A66EEC">
        <w:rPr>
          <w:rFonts w:ascii="Palatino Linotype" w:hAnsi="Palatino Linotype"/>
          <w:b/>
          <w:i/>
          <w:sz w:val="22"/>
          <w:szCs w:val="22"/>
          <w:u w:val="single"/>
        </w:rPr>
        <w:t>Publicar y mantener actualizada la información relativa a las obligaciones generales de transparencia</w:t>
      </w:r>
      <w:r w:rsidRPr="00A66EEC">
        <w:rPr>
          <w:rFonts w:ascii="Palatino Linotype" w:hAnsi="Palatino Linotype"/>
          <w:i/>
          <w:sz w:val="22"/>
          <w:szCs w:val="22"/>
        </w:rPr>
        <w:t xml:space="preserve"> previstas en la presente Ley o determinadas así por el Instituto, y en general aquella que sea de interés público;</w:t>
      </w:r>
    </w:p>
    <w:p w14:paraId="5A8D148F" w14:textId="77777777" w:rsidR="0043614A" w:rsidRPr="00A66EEC" w:rsidRDefault="0043614A" w:rsidP="0043614A">
      <w:pPr>
        <w:pStyle w:val="Default"/>
        <w:spacing w:before="240" w:after="160" w:line="360" w:lineRule="auto"/>
        <w:ind w:left="851" w:right="851"/>
        <w:jc w:val="both"/>
        <w:rPr>
          <w:rFonts w:ascii="Palatino Linotype" w:hAnsi="Palatino Linotype"/>
          <w:i/>
          <w:sz w:val="22"/>
          <w:szCs w:val="22"/>
        </w:rPr>
      </w:pPr>
      <w:r w:rsidRPr="00A66EEC">
        <w:rPr>
          <w:rFonts w:ascii="Palatino Linotype" w:hAnsi="Palatino Linotype"/>
          <w:b/>
          <w:bCs/>
          <w:i/>
          <w:sz w:val="22"/>
          <w:szCs w:val="22"/>
        </w:rPr>
        <w:t xml:space="preserve">Artículo 92. </w:t>
      </w:r>
      <w:r w:rsidRPr="00A66EE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715AAA48" w14:textId="77777777" w:rsidR="0043614A" w:rsidRPr="00A66EEC" w:rsidRDefault="0043614A" w:rsidP="0043614A">
      <w:pPr>
        <w:pStyle w:val="Default"/>
        <w:spacing w:before="240" w:after="160" w:line="360" w:lineRule="auto"/>
        <w:ind w:left="851" w:right="851"/>
        <w:jc w:val="both"/>
        <w:rPr>
          <w:rFonts w:ascii="Palatino Linotype" w:hAnsi="Palatino Linotype"/>
          <w:i/>
          <w:sz w:val="22"/>
          <w:szCs w:val="22"/>
        </w:rPr>
      </w:pPr>
      <w:r w:rsidRPr="00A66EEC">
        <w:rPr>
          <w:rFonts w:ascii="Palatino Linotype" w:hAnsi="Palatino Linotype"/>
          <w:b/>
          <w:bCs/>
          <w:i/>
          <w:sz w:val="22"/>
          <w:szCs w:val="22"/>
        </w:rPr>
        <w:t>(…</w:t>
      </w:r>
      <w:r w:rsidRPr="00A66EEC">
        <w:rPr>
          <w:rFonts w:ascii="Palatino Linotype" w:hAnsi="Palatino Linotype"/>
          <w:i/>
          <w:sz w:val="22"/>
          <w:szCs w:val="22"/>
        </w:rPr>
        <w:t>)</w:t>
      </w:r>
    </w:p>
    <w:p w14:paraId="4FE504D6" w14:textId="66A2B24A" w:rsidR="0043614A" w:rsidRPr="00A66EEC" w:rsidRDefault="0043614A" w:rsidP="0043614A">
      <w:pPr>
        <w:pStyle w:val="Citas"/>
      </w:pPr>
      <w:r w:rsidRPr="00A66EEC">
        <w:t>XII. El perfil de los puestos de los servidores públicos a su servicio en los casos que aplique;</w:t>
      </w:r>
    </w:p>
    <w:p w14:paraId="0D39937C" w14:textId="71E183B5" w:rsidR="0043614A" w:rsidRPr="00A66EEC" w:rsidRDefault="0043614A" w:rsidP="0043614A">
      <w:pPr>
        <w:pStyle w:val="Citas"/>
        <w:rPr>
          <w:b/>
          <w:bCs/>
        </w:rPr>
      </w:pPr>
      <w:r w:rsidRPr="00A66EEC">
        <w:t xml:space="preserve">(…)” </w:t>
      </w:r>
      <w:r w:rsidRPr="00A66EEC">
        <w:rPr>
          <w:b/>
          <w:bCs/>
        </w:rPr>
        <w:t>(Sic)</w:t>
      </w:r>
    </w:p>
    <w:p w14:paraId="20E81F39" w14:textId="77777777" w:rsidR="0043614A" w:rsidRPr="00A66EEC" w:rsidRDefault="0043614A" w:rsidP="00907F0B">
      <w:pPr>
        <w:autoSpaceDE w:val="0"/>
        <w:autoSpaceDN w:val="0"/>
        <w:adjustRightInd w:val="0"/>
        <w:spacing w:before="240" w:line="360" w:lineRule="auto"/>
        <w:jc w:val="both"/>
        <w:rPr>
          <w:rFonts w:ascii="Palatino Linotype" w:hAnsi="Palatino Linotype"/>
          <w:sz w:val="24"/>
          <w:szCs w:val="24"/>
        </w:rPr>
      </w:pPr>
    </w:p>
    <w:p w14:paraId="3ACBA7D0" w14:textId="44731A68" w:rsidR="0043614A" w:rsidRPr="00A66EEC" w:rsidRDefault="0043614A" w:rsidP="0043614A">
      <w:pPr>
        <w:spacing w:line="360" w:lineRule="auto"/>
        <w:contextualSpacing/>
        <w:jc w:val="both"/>
        <w:rPr>
          <w:rFonts w:ascii="Palatino Linotype" w:eastAsia="MS Mincho" w:hAnsi="Palatino Linotype" w:cs="Times New Roman"/>
          <w:sz w:val="24"/>
          <w:szCs w:val="24"/>
        </w:rPr>
      </w:pPr>
      <w:r w:rsidRPr="00A66EEC">
        <w:rPr>
          <w:rFonts w:ascii="Palatino Linotype" w:eastAsia="MS Mincho" w:hAnsi="Palatino Linotype" w:cs="Tahoma"/>
          <w:sz w:val="24"/>
          <w:szCs w:val="24"/>
        </w:rPr>
        <w:t xml:space="preserve">Así la Ley de Transparencia y Acceso a la Información Pública del Estado de México y Municipios </w:t>
      </w:r>
      <w:r w:rsidRPr="00A66EEC">
        <w:rPr>
          <w:rFonts w:ascii="Palatino Linotype" w:eastAsia="Arial Unicode MS" w:hAnsi="Palatino Linotype" w:cs="Arial"/>
          <w:sz w:val="24"/>
          <w:szCs w:val="24"/>
        </w:rPr>
        <w:t xml:space="preserve">en el artículo 92 </w:t>
      </w:r>
      <w:r w:rsidRPr="00A66EEC">
        <w:rPr>
          <w:rFonts w:ascii="Palatino Linotype" w:eastAsia="Arial Unicode MS" w:hAnsi="Palatino Linotype" w:cs="Times New Roman"/>
          <w:sz w:val="24"/>
          <w:szCs w:val="24"/>
        </w:rPr>
        <w:t>fracción XII, señala que</w:t>
      </w:r>
      <w:r w:rsidRPr="00A66EEC">
        <w:rPr>
          <w:rFonts w:ascii="Palatino Linotype" w:eastAsia="MS Mincho" w:hAnsi="Palatino Linotype" w:cs="Tahoma"/>
          <w:sz w:val="24"/>
          <w:szCs w:val="24"/>
        </w:rPr>
        <w:t xml:space="preserve"> la </w:t>
      </w:r>
      <w:r w:rsidRPr="00A66EEC">
        <w:rPr>
          <w:rFonts w:ascii="Palatino Linotype" w:eastAsia="Times New Roman" w:hAnsi="Palatino Linotype" w:cs="Arial"/>
          <w:sz w:val="24"/>
          <w:szCs w:val="24"/>
        </w:rPr>
        <w:t xml:space="preserve">información solicitada respecto de perfil de puestos respecto de servidores públicos adscritos a unidad administrativa determinada, se trata de una obligación de transparencia común, esto es, </w:t>
      </w:r>
      <w:r w:rsidRPr="00A66EEC">
        <w:rPr>
          <w:rFonts w:ascii="Palatino Linotype" w:eastAsia="Arial Unicode MS" w:hAnsi="Palatino Linotype" w:cs="Arial"/>
          <w:sz w:val="24"/>
          <w:szCs w:val="24"/>
        </w:rPr>
        <w:t xml:space="preserve">información que por su naturaleza es pública y que los </w:t>
      </w:r>
      <w:r w:rsidRPr="00A66EEC">
        <w:rPr>
          <w:rFonts w:ascii="Palatino Linotype" w:eastAsia="MS Mincho" w:hAnsi="Palatino Linotype" w:cs="Times New Roman"/>
          <w:sz w:val="24"/>
          <w:szCs w:val="24"/>
        </w:rPr>
        <w:t xml:space="preserve">sujetos obligados deben poner a disposición del público de manera permanente y por tanto deberán mantenerla actualizada, en los respectivos medios electrónicos, de acuerdo con sus facultades, atribuciones, funciones u objeto social. </w:t>
      </w:r>
    </w:p>
    <w:p w14:paraId="7E1BC6DA" w14:textId="38559142" w:rsidR="0043614A" w:rsidRPr="00A66EEC" w:rsidRDefault="0043614A" w:rsidP="0043614A">
      <w:pPr>
        <w:spacing w:after="0" w:line="360" w:lineRule="auto"/>
        <w:jc w:val="both"/>
        <w:rPr>
          <w:rFonts w:ascii="Palatino Linotype" w:hAnsi="Palatino Linotype" w:cs="Arial"/>
          <w:b/>
          <w:bCs/>
          <w:sz w:val="24"/>
          <w:szCs w:val="24"/>
        </w:rPr>
      </w:pPr>
      <w:r w:rsidRPr="00A66EEC">
        <w:rPr>
          <w:rFonts w:ascii="Palatino Linotype" w:hAnsi="Palatino Linotype" w:cs="Arial"/>
          <w:sz w:val="24"/>
          <w:szCs w:val="24"/>
        </w:rPr>
        <w:lastRenderedPageBreak/>
        <w:t xml:space="preserve">Atento a lo anterior, resulta claro que existe la obligación del </w:t>
      </w:r>
      <w:r w:rsidRPr="00A66EEC">
        <w:rPr>
          <w:rFonts w:ascii="Palatino Linotype" w:hAnsi="Palatino Linotype" w:cs="Arial"/>
          <w:b/>
          <w:sz w:val="24"/>
          <w:szCs w:val="24"/>
        </w:rPr>
        <w:t>Sujeto Obligado</w:t>
      </w:r>
      <w:r w:rsidRPr="00A66EEC">
        <w:rPr>
          <w:rFonts w:ascii="Palatino Linotype" w:hAnsi="Palatino Linotype" w:cs="Arial"/>
          <w:sz w:val="24"/>
          <w:szCs w:val="24"/>
        </w:rPr>
        <w:t xml:space="preserve">, de publicar oficiosamente la información relativa a remuneraciones, robustece lo anterior las siguientes imágenes ilustrativas, correspondientes a la tabla de aplicabilidad del </w:t>
      </w:r>
      <w:r w:rsidRPr="00A66EEC">
        <w:rPr>
          <w:rFonts w:ascii="Palatino Linotype" w:hAnsi="Palatino Linotype" w:cs="Arial"/>
          <w:b/>
          <w:bCs/>
          <w:sz w:val="24"/>
          <w:szCs w:val="24"/>
        </w:rPr>
        <w:t>Sujeto Obligado:</w:t>
      </w:r>
    </w:p>
    <w:p w14:paraId="6900825D" w14:textId="77777777" w:rsidR="0043614A" w:rsidRPr="00A66EEC" w:rsidRDefault="0043614A" w:rsidP="0043614A">
      <w:pPr>
        <w:spacing w:after="0" w:line="360" w:lineRule="auto"/>
        <w:jc w:val="both"/>
        <w:rPr>
          <w:rFonts w:ascii="Palatino Linotype" w:hAnsi="Palatino Linotype" w:cs="Arial"/>
          <w:b/>
          <w:bCs/>
          <w:sz w:val="24"/>
          <w:szCs w:val="24"/>
        </w:rPr>
      </w:pPr>
    </w:p>
    <w:p w14:paraId="3ED36EC0" w14:textId="1F54B5FD" w:rsidR="0043614A" w:rsidRPr="00A66EEC" w:rsidRDefault="00696702" w:rsidP="0043614A">
      <w:pPr>
        <w:spacing w:after="0" w:line="360" w:lineRule="auto"/>
        <w:jc w:val="both"/>
        <w:rPr>
          <w:rFonts w:ascii="Palatino Linotype" w:hAnsi="Palatino Linotype" w:cs="Arial"/>
          <w:b/>
          <w:bCs/>
          <w:sz w:val="24"/>
          <w:szCs w:val="24"/>
        </w:rPr>
      </w:pPr>
      <w:r w:rsidRPr="00A66EEC">
        <w:rPr>
          <w:rFonts w:ascii="Palatino Linotype" w:hAnsi="Palatino Linotype" w:cs="Arial"/>
          <w:b/>
          <w:bCs/>
          <w:noProof/>
          <w:sz w:val="24"/>
          <w:szCs w:val="24"/>
          <w:lang w:eastAsia="es-MX"/>
        </w:rPr>
        <w:drawing>
          <wp:anchor distT="0" distB="0" distL="114300" distR="114300" simplePos="0" relativeHeight="251804662" behindDoc="0" locked="0" layoutInCell="1" allowOverlap="1" wp14:anchorId="0943DC54" wp14:editId="0FD669DA">
            <wp:simplePos x="0" y="0"/>
            <wp:positionH relativeFrom="page">
              <wp:align>center</wp:align>
            </wp:positionH>
            <wp:positionV relativeFrom="paragraph">
              <wp:posOffset>306705</wp:posOffset>
            </wp:positionV>
            <wp:extent cx="5749925" cy="3364230"/>
            <wp:effectExtent l="19050" t="19050" r="22225" b="26670"/>
            <wp:wrapThrough wrapText="bothSides">
              <wp:wrapPolygon edited="0">
                <wp:start x="-72" y="-122"/>
                <wp:lineTo x="-72" y="21649"/>
                <wp:lineTo x="21612" y="21649"/>
                <wp:lineTo x="21612" y="-122"/>
                <wp:lineTo x="-72" y="-122"/>
              </wp:wrapPolygon>
            </wp:wrapThrough>
            <wp:docPr id="203893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9925" cy="3364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40003D5" w14:textId="682D4446" w:rsidR="00D62BF4" w:rsidRPr="00A66EEC" w:rsidRDefault="00D62BF4" w:rsidP="0043614A">
      <w:pPr>
        <w:spacing w:after="0" w:line="360" w:lineRule="auto"/>
        <w:jc w:val="both"/>
        <w:rPr>
          <w:rFonts w:ascii="Palatino Linotype" w:hAnsi="Palatino Linotype" w:cs="Arial"/>
          <w:sz w:val="24"/>
          <w:szCs w:val="24"/>
        </w:rPr>
      </w:pPr>
    </w:p>
    <w:p w14:paraId="7E88F349" w14:textId="71DCC117" w:rsidR="00D62BF4" w:rsidRPr="00A66EEC" w:rsidRDefault="00696702" w:rsidP="0043614A">
      <w:pPr>
        <w:spacing w:after="0" w:line="360" w:lineRule="auto"/>
        <w:jc w:val="both"/>
        <w:rPr>
          <w:rFonts w:ascii="Palatino Linotype" w:hAnsi="Palatino Linotype" w:cs="Arial"/>
          <w:sz w:val="24"/>
          <w:szCs w:val="24"/>
        </w:rPr>
      </w:pPr>
      <w:r w:rsidRPr="00A66EEC">
        <w:rPr>
          <w:rFonts w:ascii="Palatino Linotype" w:hAnsi="Palatino Linotype" w:cs="Arial"/>
          <w:noProof/>
          <w:sz w:val="24"/>
          <w:szCs w:val="24"/>
          <w:lang w:eastAsia="es-MX"/>
        </w:rPr>
        <mc:AlternateContent>
          <mc:Choice Requires="wps">
            <w:drawing>
              <wp:anchor distT="0" distB="0" distL="114300" distR="114300" simplePos="0" relativeHeight="251807734" behindDoc="0" locked="0" layoutInCell="1" allowOverlap="1" wp14:anchorId="3CE88AC3" wp14:editId="686A8407">
                <wp:simplePos x="0" y="0"/>
                <wp:positionH relativeFrom="column">
                  <wp:posOffset>-102235</wp:posOffset>
                </wp:positionH>
                <wp:positionV relativeFrom="paragraph">
                  <wp:posOffset>150495</wp:posOffset>
                </wp:positionV>
                <wp:extent cx="5651500" cy="1866900"/>
                <wp:effectExtent l="0" t="0" r="25400" b="19050"/>
                <wp:wrapNone/>
                <wp:docPr id="909277871" name="Straight Connector 9"/>
                <wp:cNvGraphicFramePr/>
                <a:graphic xmlns:a="http://schemas.openxmlformats.org/drawingml/2006/main">
                  <a:graphicData uri="http://schemas.microsoft.com/office/word/2010/wordprocessingShape">
                    <wps:wsp>
                      <wps:cNvCnPr/>
                      <wps:spPr>
                        <a:xfrm>
                          <a:off x="0" y="0"/>
                          <a:ext cx="5651500" cy="1866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E9FE5A" id="Straight Connector 9" o:spid="_x0000_s1026" style="position:absolute;z-index:251807734;visibility:visible;mso-wrap-style:square;mso-wrap-distance-left:9pt;mso-wrap-distance-top:0;mso-wrap-distance-right:9pt;mso-wrap-distance-bottom:0;mso-position-horizontal:absolute;mso-position-horizontal-relative:text;mso-position-vertical:absolute;mso-position-vertical-relative:text" from="-8.05pt,11.85pt" to="436.9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" strokecolor="#5b9bd5 [3204]" strokeweight=".5pt">
                <v:stroke joinstyle="miter"/>
              </v:line>
            </w:pict>
          </mc:Fallback>
        </mc:AlternateContent>
      </w:r>
    </w:p>
    <w:p w14:paraId="279F3E73" w14:textId="77777777" w:rsidR="00696702" w:rsidRPr="00A66EEC" w:rsidRDefault="00696702" w:rsidP="00D62BF4">
      <w:pPr>
        <w:spacing w:line="360" w:lineRule="auto"/>
        <w:jc w:val="both"/>
        <w:rPr>
          <w:rFonts w:ascii="Palatino Linotype" w:hAnsi="Palatino Linotype" w:cs="Arial"/>
          <w:sz w:val="24"/>
          <w:szCs w:val="24"/>
        </w:rPr>
      </w:pPr>
    </w:p>
    <w:p w14:paraId="5604675C" w14:textId="77777777" w:rsidR="00696702" w:rsidRPr="00A66EEC" w:rsidRDefault="00696702" w:rsidP="00D62BF4">
      <w:pPr>
        <w:spacing w:line="360" w:lineRule="auto"/>
        <w:jc w:val="both"/>
        <w:rPr>
          <w:rFonts w:ascii="Palatino Linotype" w:hAnsi="Palatino Linotype" w:cs="Arial"/>
          <w:sz w:val="24"/>
          <w:szCs w:val="24"/>
        </w:rPr>
      </w:pPr>
    </w:p>
    <w:p w14:paraId="0DC5EBDD" w14:textId="77777777" w:rsidR="00696702" w:rsidRPr="00A66EEC" w:rsidRDefault="00696702" w:rsidP="00D62BF4">
      <w:pPr>
        <w:spacing w:line="360" w:lineRule="auto"/>
        <w:jc w:val="both"/>
        <w:rPr>
          <w:rFonts w:ascii="Palatino Linotype" w:hAnsi="Palatino Linotype" w:cs="Arial"/>
          <w:sz w:val="24"/>
          <w:szCs w:val="24"/>
        </w:rPr>
      </w:pPr>
    </w:p>
    <w:p w14:paraId="0D715DBB" w14:textId="77777777" w:rsidR="00696702" w:rsidRPr="00A66EEC" w:rsidRDefault="00696702" w:rsidP="00D62BF4">
      <w:pPr>
        <w:spacing w:line="360" w:lineRule="auto"/>
        <w:jc w:val="both"/>
        <w:rPr>
          <w:rFonts w:ascii="Palatino Linotype" w:hAnsi="Palatino Linotype" w:cs="Arial"/>
          <w:sz w:val="24"/>
          <w:szCs w:val="24"/>
        </w:rPr>
      </w:pPr>
    </w:p>
    <w:p w14:paraId="28E0329C" w14:textId="69214770" w:rsidR="00696702" w:rsidRPr="00A66EEC" w:rsidRDefault="00696702" w:rsidP="00D62BF4">
      <w:pPr>
        <w:spacing w:line="360" w:lineRule="auto"/>
        <w:jc w:val="both"/>
        <w:rPr>
          <w:rFonts w:ascii="Palatino Linotype" w:hAnsi="Palatino Linotype" w:cs="Arial"/>
          <w:sz w:val="24"/>
          <w:szCs w:val="24"/>
        </w:rPr>
      </w:pPr>
      <w:r w:rsidRPr="00A66EEC">
        <w:rPr>
          <w:rFonts w:ascii="Palatino Linotype" w:hAnsi="Palatino Linotype" w:cs="Arial"/>
          <w:noProof/>
          <w:sz w:val="24"/>
          <w:szCs w:val="24"/>
          <w:lang w:eastAsia="es-MX"/>
        </w:rPr>
        <w:lastRenderedPageBreak/>
        <w:drawing>
          <wp:anchor distT="0" distB="0" distL="114300" distR="114300" simplePos="0" relativeHeight="251806710" behindDoc="0" locked="0" layoutInCell="1" allowOverlap="1" wp14:anchorId="6EAEAED3" wp14:editId="5117977F">
            <wp:simplePos x="0" y="0"/>
            <wp:positionH relativeFrom="page">
              <wp:align>center</wp:align>
            </wp:positionH>
            <wp:positionV relativeFrom="paragraph">
              <wp:posOffset>4057015</wp:posOffset>
            </wp:positionV>
            <wp:extent cx="5753100" cy="3387090"/>
            <wp:effectExtent l="19050" t="19050" r="19050" b="22860"/>
            <wp:wrapThrough wrapText="bothSides">
              <wp:wrapPolygon edited="0">
                <wp:start x="-72" y="-121"/>
                <wp:lineTo x="-72" y="21624"/>
                <wp:lineTo x="21600" y="21624"/>
                <wp:lineTo x="21600" y="-121"/>
                <wp:lineTo x="-72" y="-121"/>
              </wp:wrapPolygon>
            </wp:wrapThrough>
            <wp:docPr id="19138906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33870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66EEC">
        <w:rPr>
          <w:rFonts w:ascii="Palatino Linotype" w:eastAsia="MS Mincho" w:hAnsi="Palatino Linotype" w:cs="Times New Roman"/>
          <w:noProof/>
          <w:sz w:val="24"/>
          <w:szCs w:val="24"/>
          <w:lang w:eastAsia="es-MX"/>
        </w:rPr>
        <w:drawing>
          <wp:anchor distT="0" distB="0" distL="114300" distR="114300" simplePos="0" relativeHeight="251805686" behindDoc="0" locked="0" layoutInCell="1" allowOverlap="1" wp14:anchorId="74C4E9E2" wp14:editId="251BD2EA">
            <wp:simplePos x="0" y="0"/>
            <wp:positionH relativeFrom="page">
              <wp:align>center</wp:align>
            </wp:positionH>
            <wp:positionV relativeFrom="paragraph">
              <wp:posOffset>19050</wp:posOffset>
            </wp:positionV>
            <wp:extent cx="5753100" cy="3356610"/>
            <wp:effectExtent l="19050" t="19050" r="19050" b="15240"/>
            <wp:wrapThrough wrapText="bothSides">
              <wp:wrapPolygon edited="0">
                <wp:start x="-72" y="-123"/>
                <wp:lineTo x="-72" y="21575"/>
                <wp:lineTo x="21600" y="21575"/>
                <wp:lineTo x="21600" y="-123"/>
                <wp:lineTo x="-72" y="-123"/>
              </wp:wrapPolygon>
            </wp:wrapThrough>
            <wp:docPr id="16367003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3356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4100CB1" w14:textId="72EF288D" w:rsidR="00D62BF4" w:rsidRPr="00A66EEC" w:rsidRDefault="00D62BF4" w:rsidP="00D62BF4">
      <w:pPr>
        <w:spacing w:line="360" w:lineRule="auto"/>
        <w:jc w:val="both"/>
        <w:rPr>
          <w:rFonts w:ascii="Palatino Linotype" w:hAnsi="Palatino Linotype" w:cs="Arial"/>
          <w:sz w:val="24"/>
          <w:szCs w:val="24"/>
        </w:rPr>
      </w:pPr>
      <w:r w:rsidRPr="00A66EEC">
        <w:rPr>
          <w:rFonts w:ascii="Palatino Linotype" w:hAnsi="Palatino Linotype" w:cs="Arial"/>
          <w:sz w:val="24"/>
          <w:szCs w:val="24"/>
        </w:rPr>
        <w:lastRenderedPageBreak/>
        <w:t xml:space="preserve">Bajo este contexto, en términos de los numerales 18 y 19 de la Ley de Transparencia local existe obligación de documentar actos de autoridad, así como una presunción de existencia de la información cuando se refiera a las atribuciones de los sujetos obligados, porciones normativas que disponen a la literalidad lo siguiente: </w:t>
      </w:r>
    </w:p>
    <w:p w14:paraId="16C3B0E7" w14:textId="58E3AE6A" w:rsidR="00D62BF4" w:rsidRPr="00A66EEC" w:rsidRDefault="00D62BF4" w:rsidP="00D62BF4">
      <w:pPr>
        <w:pStyle w:val="Citas"/>
      </w:pPr>
      <w:r w:rsidRPr="00A66EEC">
        <w:t xml:space="preserve">“Artículo 18. Los sujetos obligados deberán documentar todo acto que derive del ejercicio de sus facultades, competencias o funciones, considerando desde su origen la eventual publicidad y reutilización de la información que generen. </w:t>
      </w:r>
    </w:p>
    <w:p w14:paraId="6C665625" w14:textId="77777777" w:rsidR="00D62BF4" w:rsidRPr="00A66EEC" w:rsidRDefault="00D62BF4" w:rsidP="00D62BF4">
      <w:pPr>
        <w:pStyle w:val="Citas"/>
      </w:pPr>
      <w:r w:rsidRPr="00A66EEC">
        <w:t xml:space="preserve">Artículo 19. Se presume que la información debe existir si se refiere a las facultades, competencias y funciones que los ordenamientos jurídicos aplicables otorgan a los sujetos obligados. </w:t>
      </w:r>
    </w:p>
    <w:p w14:paraId="2D03CD8B" w14:textId="49DF3F57" w:rsidR="00D62BF4" w:rsidRPr="00A66EEC" w:rsidRDefault="00D62BF4" w:rsidP="00D62BF4">
      <w:pPr>
        <w:pStyle w:val="Citas"/>
      </w:pPr>
      <w:r w:rsidRPr="00A66EEC">
        <w:t xml:space="preserve">En los casos en que ciertas facultades, competencias o funciones no se hayan ejercido, se debe motivar la respuesta en función de las causas que motiven tal circunstancia. </w:t>
      </w:r>
    </w:p>
    <w:p w14:paraId="05F109F8" w14:textId="77777777" w:rsidR="00D62BF4" w:rsidRPr="00A66EEC" w:rsidRDefault="00D62BF4" w:rsidP="00D62BF4">
      <w:pPr>
        <w:pStyle w:val="Citas"/>
        <w:rPr>
          <w:b/>
          <w:bCs/>
          <w:sz w:val="24"/>
          <w:szCs w:val="24"/>
        </w:rPr>
      </w:pPr>
      <w:r w:rsidRPr="00A66EEC">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A66EEC">
        <w:rPr>
          <w:b/>
          <w:bCs/>
        </w:rPr>
        <w:t>(Sic)</w:t>
      </w:r>
    </w:p>
    <w:p w14:paraId="41ECEB71" w14:textId="77777777" w:rsidR="00D62BF4" w:rsidRPr="00A66EEC" w:rsidRDefault="00D62BF4" w:rsidP="0043614A">
      <w:pPr>
        <w:spacing w:after="0" w:line="360" w:lineRule="auto"/>
        <w:jc w:val="both"/>
        <w:rPr>
          <w:rFonts w:ascii="Palatino Linotype" w:hAnsi="Palatino Linotype" w:cs="Arial"/>
          <w:sz w:val="24"/>
          <w:szCs w:val="24"/>
        </w:rPr>
      </w:pPr>
    </w:p>
    <w:p w14:paraId="1F9A5EB4" w14:textId="6DFEF399" w:rsidR="00B37C9C" w:rsidRPr="00A66EEC" w:rsidRDefault="00B37C9C" w:rsidP="00B37C9C">
      <w:pPr>
        <w:pStyle w:val="Prrafodelista"/>
        <w:autoSpaceDE w:val="0"/>
        <w:autoSpaceDN w:val="0"/>
        <w:adjustRightInd w:val="0"/>
        <w:spacing w:before="240" w:line="360" w:lineRule="auto"/>
        <w:ind w:left="1080"/>
        <w:jc w:val="both"/>
        <w:rPr>
          <w:rFonts w:ascii="Palatino Linotype" w:hAnsi="Palatino Linotype" w:cs="Arial"/>
          <w:lang w:val="es-MX"/>
        </w:rPr>
      </w:pPr>
    </w:p>
    <w:p w14:paraId="508C638A" w14:textId="3FD3B314" w:rsidR="00D62BF4" w:rsidRPr="00A66EEC" w:rsidRDefault="00D62BF4" w:rsidP="00D62BF4">
      <w:pPr>
        <w:spacing w:after="0" w:line="360" w:lineRule="auto"/>
        <w:jc w:val="both"/>
        <w:rPr>
          <w:rFonts w:ascii="Palatino Linotype" w:hAnsi="Palatino Linotype" w:cs="Arial"/>
          <w:noProof/>
          <w:color w:val="000000"/>
          <w:sz w:val="24"/>
          <w:lang w:eastAsia="es-MX"/>
        </w:rPr>
      </w:pPr>
      <w:r w:rsidRPr="00A66EEC">
        <w:rPr>
          <w:rFonts w:ascii="Palatino Linotype" w:hAnsi="Palatino Linotype" w:cs="Arial"/>
          <w:noProof/>
          <w:color w:val="000000"/>
          <w:sz w:val="24"/>
          <w:lang w:eastAsia="es-MX"/>
        </w:rPr>
        <w:t xml:space="preserve">Una vez sentado lo anterior, como se mencionó en el antecedente segundo, </w:t>
      </w:r>
      <w:r w:rsidRPr="00A66EEC">
        <w:rPr>
          <w:rFonts w:ascii="Palatino Linotype" w:hAnsi="Palatino Linotype" w:cs="Arial"/>
          <w:b/>
          <w:bCs/>
          <w:noProof/>
          <w:color w:val="000000"/>
          <w:sz w:val="24"/>
          <w:lang w:eastAsia="es-MX"/>
        </w:rPr>
        <w:t xml:space="preserve">El Sujeto Obligado </w:t>
      </w:r>
      <w:r w:rsidRPr="00A66EEC">
        <w:rPr>
          <w:rFonts w:ascii="Palatino Linotype" w:hAnsi="Palatino Linotype" w:cs="Arial"/>
          <w:noProof/>
          <w:color w:val="000000"/>
          <w:sz w:val="24"/>
          <w:lang w:eastAsia="es-MX"/>
        </w:rPr>
        <w:t xml:space="preserve">en fecha </w:t>
      </w:r>
      <w:r w:rsidRPr="00A66EEC">
        <w:rPr>
          <w:rFonts w:ascii="Palatino Linotype" w:hAnsi="Palatino Linotype" w:cs="Arial"/>
          <w:b/>
          <w:bCs/>
          <w:noProof/>
          <w:color w:val="000000"/>
          <w:sz w:val="24"/>
          <w:lang w:eastAsia="es-MX"/>
        </w:rPr>
        <w:t xml:space="preserve">diecisiete de agosto de dos mil veintitrés, </w:t>
      </w:r>
      <w:r w:rsidRPr="00A66EEC">
        <w:rPr>
          <w:rFonts w:ascii="Palatino Linotype" w:hAnsi="Palatino Linotype" w:cs="Arial"/>
          <w:noProof/>
          <w:color w:val="000000"/>
          <w:sz w:val="24"/>
          <w:lang w:eastAsia="es-MX"/>
        </w:rPr>
        <w:t xml:space="preserve">rindió su respuesta en los siguientes términos: </w:t>
      </w:r>
    </w:p>
    <w:p w14:paraId="420CC8D4" w14:textId="3675F8CA" w:rsidR="00D62BF4" w:rsidRPr="00A66EEC" w:rsidRDefault="00D62BF4" w:rsidP="003E11E6">
      <w:pPr>
        <w:pStyle w:val="Prrafodelista"/>
        <w:numPr>
          <w:ilvl w:val="0"/>
          <w:numId w:val="8"/>
        </w:numPr>
        <w:spacing w:line="360" w:lineRule="auto"/>
        <w:jc w:val="both"/>
        <w:rPr>
          <w:rFonts w:ascii="Palatino Linotype" w:hAnsi="Palatino Linotype" w:cs="Arial"/>
          <w:b/>
          <w:bCs/>
          <w:noProof/>
          <w:color w:val="000000"/>
          <w:lang w:eastAsia="es-MX"/>
        </w:rPr>
      </w:pPr>
      <w:r w:rsidRPr="00A66EEC">
        <w:rPr>
          <w:rFonts w:ascii="Palatino Linotype" w:hAnsi="Palatino Linotype" w:cs="Arial"/>
          <w:b/>
          <w:bCs/>
          <w:noProof/>
          <w:color w:val="000000"/>
          <w:lang w:eastAsia="es-MX"/>
        </w:rPr>
        <w:lastRenderedPageBreak/>
        <w:t xml:space="preserve">“resp 84 v2.pdf”: </w:t>
      </w:r>
      <w:r w:rsidRPr="00A66EEC">
        <w:rPr>
          <w:rFonts w:ascii="Palatino Linotype" w:hAnsi="Palatino Linotype" w:cs="Arial"/>
          <w:noProof/>
          <w:color w:val="000000"/>
          <w:lang w:eastAsia="es-MX"/>
        </w:rPr>
        <w:t xml:space="preserve">Oficio número </w:t>
      </w:r>
      <w:r w:rsidRPr="00A66EEC">
        <w:rPr>
          <w:rFonts w:ascii="Palatino Linotype" w:hAnsi="Palatino Linotype" w:cs="Arial"/>
          <w:b/>
          <w:bCs/>
          <w:noProof/>
          <w:color w:val="000000"/>
          <w:lang w:eastAsia="es-MX"/>
        </w:rPr>
        <w:t xml:space="preserve">DFDEAR/0560/2023 </w:t>
      </w:r>
      <w:r w:rsidRPr="00A66EEC">
        <w:rPr>
          <w:rFonts w:ascii="Palatino Linotype" w:hAnsi="Palatino Linotype" w:cs="Arial"/>
          <w:noProof/>
          <w:color w:val="000000"/>
          <w:lang w:eastAsia="es-MX"/>
        </w:rPr>
        <w:t>rubricado por el Encargado de despacho de la Dirección de Fomento y Desarrollo Económico, Administración y Reglamentos de Tonanitla, de fecha diecisiete de agosto de dos mil veintitrés, en síntesis expone las siguientes premisas argumentativas:</w:t>
      </w:r>
    </w:p>
    <w:p w14:paraId="3264FC01" w14:textId="61FD864B" w:rsidR="00D62BF4" w:rsidRPr="00A66EEC" w:rsidRDefault="00D62BF4" w:rsidP="003E11E6">
      <w:pPr>
        <w:pStyle w:val="Prrafodelista"/>
        <w:numPr>
          <w:ilvl w:val="0"/>
          <w:numId w:val="9"/>
        </w:numPr>
        <w:spacing w:line="360" w:lineRule="auto"/>
        <w:jc w:val="both"/>
        <w:rPr>
          <w:rFonts w:ascii="Palatino Linotype" w:hAnsi="Palatino Linotype" w:cs="Arial"/>
          <w:b/>
          <w:bCs/>
          <w:noProof/>
          <w:color w:val="000000"/>
          <w:lang w:eastAsia="es-MX"/>
        </w:rPr>
      </w:pPr>
      <w:r w:rsidRPr="00A66EEC">
        <w:rPr>
          <w:rFonts w:ascii="Palatino Linotype" w:hAnsi="Palatino Linotype" w:cs="Arial"/>
          <w:noProof/>
          <w:color w:val="000000"/>
          <w:lang w:eastAsia="es-MX"/>
        </w:rPr>
        <w:t xml:space="preserve">Que el personal adscrito a su dirección labora y ejecuta acciones conforme a lo establecido en los numerales 70 y 102 del Bando Municipal. </w:t>
      </w:r>
    </w:p>
    <w:p w14:paraId="1C702C14" w14:textId="0AEE21EF" w:rsidR="00D62BF4" w:rsidRPr="00A66EEC" w:rsidRDefault="00696702" w:rsidP="003E11E6">
      <w:pPr>
        <w:pStyle w:val="Prrafodelista"/>
        <w:numPr>
          <w:ilvl w:val="0"/>
          <w:numId w:val="9"/>
        </w:numPr>
        <w:spacing w:line="360" w:lineRule="auto"/>
        <w:jc w:val="both"/>
        <w:rPr>
          <w:rFonts w:ascii="Palatino Linotype" w:hAnsi="Palatino Linotype" w:cs="Arial"/>
          <w:b/>
          <w:bCs/>
          <w:noProof/>
          <w:color w:val="000000"/>
          <w:u w:val="single"/>
          <w:lang w:eastAsia="es-MX"/>
        </w:rPr>
      </w:pPr>
      <w:r w:rsidRPr="00A66EEC">
        <w:rPr>
          <w:rFonts w:ascii="Palatino Linotype" w:hAnsi="Palatino Linotype" w:cs="Arial"/>
          <w:b/>
          <w:bCs/>
          <w:noProof/>
          <w:color w:val="000000"/>
          <w:u w:val="single"/>
          <w:lang w:eastAsia="es-MX"/>
        </w:rPr>
        <w:t xml:space="preserve">Que hasta junio de 2023, 37 unidades administrativas se encuentran actualmente regularizadas.  </w:t>
      </w:r>
    </w:p>
    <w:p w14:paraId="48ADC96F" w14:textId="458ED7CA" w:rsidR="00D62BF4" w:rsidRPr="00A66EEC" w:rsidRDefault="00D62BF4" w:rsidP="003E11E6">
      <w:pPr>
        <w:pStyle w:val="Prrafodelista"/>
        <w:numPr>
          <w:ilvl w:val="0"/>
          <w:numId w:val="8"/>
        </w:numPr>
        <w:spacing w:line="360" w:lineRule="auto"/>
        <w:jc w:val="both"/>
        <w:rPr>
          <w:rFonts w:ascii="Palatino Linotype" w:hAnsi="Palatino Linotype" w:cs="Arial"/>
          <w:b/>
          <w:bCs/>
          <w:noProof/>
          <w:color w:val="000000"/>
          <w:lang w:eastAsia="es-MX"/>
        </w:rPr>
      </w:pPr>
      <w:r w:rsidRPr="00A66EEC">
        <w:rPr>
          <w:rFonts w:ascii="Palatino Linotype" w:hAnsi="Palatino Linotype" w:cs="Arial"/>
          <w:b/>
          <w:bCs/>
          <w:noProof/>
          <w:color w:val="000000"/>
          <w:lang w:eastAsia="es-MX"/>
        </w:rPr>
        <w:t xml:space="preserve">“RESPUESTA INTEGRADORA 0084.pdf”: </w:t>
      </w:r>
      <w:r w:rsidR="00696702" w:rsidRPr="00A66EEC">
        <w:rPr>
          <w:rFonts w:ascii="Palatino Linotype" w:hAnsi="Palatino Linotype" w:cs="Arial"/>
          <w:noProof/>
          <w:color w:val="000000"/>
          <w:lang w:eastAsia="es-MX"/>
        </w:rPr>
        <w:t xml:space="preserve">Oficio número </w:t>
      </w:r>
      <w:r w:rsidR="00696702" w:rsidRPr="00A66EEC">
        <w:rPr>
          <w:rFonts w:ascii="Palatino Linotype" w:hAnsi="Palatino Linotype" w:cs="Arial"/>
          <w:b/>
          <w:bCs/>
          <w:noProof/>
          <w:color w:val="000000"/>
          <w:lang w:eastAsia="es-MX"/>
        </w:rPr>
        <w:t xml:space="preserve">TRANS/PDP/004/2023 </w:t>
      </w:r>
      <w:r w:rsidR="00696702" w:rsidRPr="00A66EEC">
        <w:rPr>
          <w:rFonts w:ascii="Palatino Linotype" w:hAnsi="Palatino Linotype" w:cs="Arial"/>
          <w:noProof/>
          <w:color w:val="000000"/>
          <w:lang w:eastAsia="es-MX"/>
        </w:rPr>
        <w:t xml:space="preserve">rubricado por la Encargada de despacho de la unidad de transparencia, acceso a la información pública y protección de datos personales y dirigido al solicitante, de fecha diecisiete de agosto de dos mil veintitrés, en síntesis refiere adjuntar respuesta emitida por servidor público habilitado. </w:t>
      </w:r>
    </w:p>
    <w:p w14:paraId="1D6592C9" w14:textId="77777777" w:rsidR="00D62BF4" w:rsidRPr="00A66EEC" w:rsidRDefault="00D62BF4" w:rsidP="00D62BF4">
      <w:pPr>
        <w:spacing w:after="0" w:line="360" w:lineRule="auto"/>
        <w:jc w:val="both"/>
        <w:rPr>
          <w:rFonts w:ascii="Palatino Linotype" w:hAnsi="Palatino Linotype" w:cs="Arial"/>
          <w:noProof/>
          <w:color w:val="000000"/>
          <w:sz w:val="24"/>
          <w:lang w:eastAsia="es-MX"/>
        </w:rPr>
      </w:pPr>
    </w:p>
    <w:p w14:paraId="5601B32F" w14:textId="77777777" w:rsidR="00D62BF4" w:rsidRPr="00A66EEC" w:rsidRDefault="00D62BF4" w:rsidP="00D62BF4">
      <w:pPr>
        <w:spacing w:after="0" w:line="360" w:lineRule="auto"/>
        <w:jc w:val="both"/>
        <w:rPr>
          <w:rFonts w:ascii="Palatino Linotype" w:hAnsi="Palatino Linotype" w:cs="Arial"/>
          <w:noProof/>
          <w:color w:val="000000"/>
          <w:sz w:val="24"/>
          <w:lang w:eastAsia="es-MX"/>
        </w:rPr>
      </w:pPr>
    </w:p>
    <w:p w14:paraId="53B96BF9" w14:textId="77777777" w:rsidR="00696702" w:rsidRPr="00A66EEC" w:rsidRDefault="00696702" w:rsidP="00696702">
      <w:pPr>
        <w:spacing w:before="100" w:beforeAutospacing="1" w:after="100" w:afterAutospacing="1" w:line="360" w:lineRule="auto"/>
        <w:jc w:val="both"/>
        <w:rPr>
          <w:rFonts w:ascii="Palatino Linotype" w:hAnsi="Palatino Linotype"/>
          <w:sz w:val="24"/>
          <w:szCs w:val="24"/>
        </w:rPr>
      </w:pPr>
      <w:r w:rsidRPr="00A66EEC">
        <w:rPr>
          <w:rFonts w:ascii="Palatino Linotype" w:hAnsi="Palatino Linotype"/>
          <w:sz w:val="24"/>
          <w:szCs w:val="24"/>
        </w:rPr>
        <w:t xml:space="preserve">No se omite comentar que, al haber existido un pronunciamiento por parte del </w:t>
      </w:r>
      <w:r w:rsidRPr="00A66EEC">
        <w:rPr>
          <w:rFonts w:ascii="Palatino Linotype" w:hAnsi="Palatino Linotype"/>
          <w:b/>
          <w:sz w:val="24"/>
          <w:szCs w:val="24"/>
        </w:rPr>
        <w:t>Sujeto Obligado</w:t>
      </w:r>
      <w:r w:rsidRPr="00A66EEC">
        <w:rPr>
          <w:rFonts w:ascii="Palatino Linotype" w:hAnsi="Palatino Linotype"/>
          <w:sz w:val="24"/>
          <w:szCs w:val="24"/>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autenticidad de dicho pronunciamiento.</w:t>
      </w:r>
    </w:p>
    <w:p w14:paraId="0B70180F" w14:textId="77777777" w:rsidR="00696702" w:rsidRPr="00A66EEC" w:rsidRDefault="00696702" w:rsidP="00696702">
      <w:pPr>
        <w:spacing w:before="100" w:beforeAutospacing="1" w:after="100" w:afterAutospacing="1" w:line="360" w:lineRule="auto"/>
        <w:jc w:val="both"/>
        <w:rPr>
          <w:rFonts w:ascii="Palatino Linotype" w:hAnsi="Palatino Linotype" w:cs="Arial"/>
          <w:sz w:val="24"/>
          <w:szCs w:val="24"/>
        </w:rPr>
      </w:pPr>
      <w:r w:rsidRPr="00A66EEC">
        <w:rPr>
          <w:rFonts w:ascii="Palatino Linotype" w:hAnsi="Palatino Linotype" w:cs="Arial"/>
          <w:sz w:val="24"/>
          <w:szCs w:val="24"/>
        </w:rPr>
        <w:t xml:space="preserve">Sirve de sustento a lo anterior, el criterio </w:t>
      </w:r>
      <w:r w:rsidRPr="00A66EEC">
        <w:rPr>
          <w:rFonts w:ascii="Palatino Linotype" w:hAnsi="Palatino Linotype" w:cs="Arial"/>
          <w:b/>
          <w:bCs/>
          <w:sz w:val="24"/>
          <w:szCs w:val="24"/>
        </w:rPr>
        <w:t>31/10</w:t>
      </w:r>
      <w:r w:rsidRPr="00A66EEC">
        <w:rPr>
          <w:rFonts w:ascii="Palatino Linotype" w:hAnsi="Palatino Linotype" w:cs="Arial"/>
          <w:sz w:val="24"/>
          <w:szCs w:val="24"/>
        </w:rPr>
        <w:t xml:space="preserve"> emitido por el entonces Instituto Federal de Acceso a la Información y Protección de Datos, ahora Instituto Nacional de </w:t>
      </w:r>
      <w:r w:rsidRPr="00A66EEC">
        <w:rPr>
          <w:rFonts w:ascii="Palatino Linotype" w:hAnsi="Palatino Linotype" w:cs="Arial"/>
          <w:sz w:val="24"/>
          <w:szCs w:val="24"/>
        </w:rPr>
        <w:lastRenderedPageBreak/>
        <w:t xml:space="preserve">Transparencia, Acceso a la Información y Protección de Datos Personales (INAI), el cual refiere: </w:t>
      </w:r>
    </w:p>
    <w:p w14:paraId="6657C0CD" w14:textId="77777777" w:rsidR="00696702" w:rsidRPr="00A66EEC" w:rsidRDefault="00696702" w:rsidP="00696702">
      <w:pPr>
        <w:pStyle w:val="Citas"/>
        <w:rPr>
          <w:b/>
        </w:rPr>
      </w:pPr>
      <w:r w:rsidRPr="00A66EEC">
        <w:rPr>
          <w:b/>
        </w:rPr>
        <w:t xml:space="preserve">“EL INSTITUTO FEDERAL DE ACCESO A LA INFORMACIÓN Y PROTECCIÓN DE DATOS NO CUENTA CON FACULTADES PARA PRONUNCIARSE RESPECTO DE LA VERACIDAD DE LOS DOCUMENTOS PROPORCIONADOS POR LOS SUJETOS OBLIGADOS. </w:t>
      </w:r>
    </w:p>
    <w:p w14:paraId="4F8C7201" w14:textId="77777777" w:rsidR="00696702" w:rsidRPr="00A66EEC" w:rsidRDefault="00696702" w:rsidP="00696702">
      <w:pPr>
        <w:pStyle w:val="Citas"/>
      </w:pPr>
      <w:r w:rsidRPr="00A66EEC">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59FE8207" w14:textId="77777777" w:rsidR="00696702" w:rsidRPr="00A66EEC" w:rsidRDefault="00696702" w:rsidP="00696702">
      <w:pPr>
        <w:pStyle w:val="Citas"/>
      </w:pPr>
      <w:r w:rsidRPr="00A66EEC">
        <w:t xml:space="preserve">Expedientes: </w:t>
      </w:r>
    </w:p>
    <w:p w14:paraId="13CF3571" w14:textId="77777777" w:rsidR="00696702" w:rsidRPr="00A66EEC" w:rsidRDefault="00696702" w:rsidP="003E11E6">
      <w:pPr>
        <w:pStyle w:val="Citas"/>
        <w:numPr>
          <w:ilvl w:val="0"/>
          <w:numId w:val="5"/>
        </w:numPr>
      </w:pPr>
      <w:r w:rsidRPr="00A66EEC">
        <w:t xml:space="preserve">2440/07 Comisión Federal de Electricidad - Alonso Lujambio Irazábal </w:t>
      </w:r>
    </w:p>
    <w:p w14:paraId="0F41DCF0" w14:textId="77777777" w:rsidR="00696702" w:rsidRPr="00A66EEC" w:rsidRDefault="00696702" w:rsidP="003E11E6">
      <w:pPr>
        <w:pStyle w:val="Citas"/>
        <w:numPr>
          <w:ilvl w:val="0"/>
          <w:numId w:val="5"/>
        </w:numPr>
      </w:pPr>
      <w:r w:rsidRPr="00A66EEC">
        <w:t xml:space="preserve">0113/09 Instituto de Seguridad y Servicios Sociales de los Trabajadores del Estado – Alonso Lujambio Irazábal </w:t>
      </w:r>
    </w:p>
    <w:p w14:paraId="6CC58F18" w14:textId="77777777" w:rsidR="00696702" w:rsidRPr="00A66EEC" w:rsidRDefault="00696702" w:rsidP="003E11E6">
      <w:pPr>
        <w:pStyle w:val="Citas"/>
        <w:numPr>
          <w:ilvl w:val="0"/>
          <w:numId w:val="5"/>
        </w:numPr>
      </w:pPr>
      <w:r w:rsidRPr="00A66EEC">
        <w:t xml:space="preserve">1624/09 Instituto Nacional para la Educación de los Adultos - María Marván Laborde </w:t>
      </w:r>
    </w:p>
    <w:p w14:paraId="720F767D" w14:textId="77777777" w:rsidR="00696702" w:rsidRPr="00A66EEC" w:rsidRDefault="00696702" w:rsidP="003E11E6">
      <w:pPr>
        <w:pStyle w:val="Citas"/>
        <w:numPr>
          <w:ilvl w:val="0"/>
          <w:numId w:val="5"/>
        </w:numPr>
      </w:pPr>
      <w:r w:rsidRPr="00A66EEC">
        <w:lastRenderedPageBreak/>
        <w:t xml:space="preserve">2395/09 Secretaría de Economía - María Marván Laborde </w:t>
      </w:r>
    </w:p>
    <w:p w14:paraId="56419378" w14:textId="77777777" w:rsidR="00696702" w:rsidRPr="00A66EEC" w:rsidRDefault="00696702" w:rsidP="003E11E6">
      <w:pPr>
        <w:pStyle w:val="Citas"/>
        <w:numPr>
          <w:ilvl w:val="0"/>
          <w:numId w:val="5"/>
        </w:numPr>
      </w:pPr>
      <w:r w:rsidRPr="00A66EEC">
        <w:t xml:space="preserve">0837/10 Administración Portuaria Integral de Veracruz, S.A. de C.V. – María Marván Laborde” </w:t>
      </w:r>
      <w:r w:rsidRPr="00A66EEC">
        <w:rPr>
          <w:b/>
        </w:rPr>
        <w:t>[Sic]</w:t>
      </w:r>
    </w:p>
    <w:p w14:paraId="780B04EC" w14:textId="77777777" w:rsidR="00D62BF4" w:rsidRPr="00A66EEC" w:rsidRDefault="00D62BF4" w:rsidP="00B37C9C">
      <w:pPr>
        <w:pStyle w:val="Prrafodelista"/>
        <w:autoSpaceDE w:val="0"/>
        <w:autoSpaceDN w:val="0"/>
        <w:adjustRightInd w:val="0"/>
        <w:spacing w:before="240" w:line="360" w:lineRule="auto"/>
        <w:ind w:left="1080"/>
        <w:jc w:val="both"/>
        <w:rPr>
          <w:rFonts w:ascii="Palatino Linotype" w:hAnsi="Palatino Linotype" w:cs="Arial"/>
          <w:lang w:val="es-MX"/>
        </w:rPr>
      </w:pPr>
    </w:p>
    <w:p w14:paraId="6EF83E23" w14:textId="46A40852" w:rsidR="00696702" w:rsidRPr="00A66EEC" w:rsidRDefault="009D4C29" w:rsidP="009D4C29">
      <w:pPr>
        <w:spacing w:before="240" w:line="360" w:lineRule="auto"/>
        <w:jc w:val="both"/>
        <w:rPr>
          <w:rFonts w:ascii="Palatino Linotype" w:hAnsi="Palatino Linotype"/>
          <w:sz w:val="24"/>
          <w:szCs w:val="24"/>
        </w:rPr>
      </w:pPr>
      <w:r w:rsidRPr="00A66EEC">
        <w:rPr>
          <w:rFonts w:ascii="Palatino Linotype" w:hAnsi="Palatino Linotype" w:cs="Arial"/>
          <w:noProof/>
          <w:color w:val="000000"/>
          <w:sz w:val="24"/>
          <w:lang w:val="es-ES" w:eastAsia="es-MX"/>
        </w:rPr>
        <w:t xml:space="preserve">Inconforme con la respuesta del </w:t>
      </w:r>
      <w:r w:rsidRPr="00A66EEC">
        <w:rPr>
          <w:rFonts w:ascii="Palatino Linotype" w:hAnsi="Palatino Linotype"/>
          <w:b/>
          <w:bCs/>
          <w:sz w:val="24"/>
          <w:szCs w:val="24"/>
        </w:rPr>
        <w:t xml:space="preserve">Sujeto Obligado, </w:t>
      </w:r>
      <w:r w:rsidR="00696702" w:rsidRPr="00A66EEC">
        <w:rPr>
          <w:rFonts w:ascii="Palatino Linotype" w:hAnsi="Palatino Linotype"/>
          <w:b/>
          <w:bCs/>
          <w:sz w:val="24"/>
          <w:szCs w:val="24"/>
        </w:rPr>
        <w:t>El</w:t>
      </w:r>
      <w:r w:rsidR="00B37C9C" w:rsidRPr="00A66EEC">
        <w:rPr>
          <w:rFonts w:ascii="Palatino Linotype" w:hAnsi="Palatino Linotype"/>
          <w:b/>
          <w:bCs/>
          <w:sz w:val="24"/>
          <w:szCs w:val="24"/>
        </w:rPr>
        <w:t xml:space="preserve"> Recurrente </w:t>
      </w:r>
      <w:r w:rsidR="00CC33CA" w:rsidRPr="00A66EEC">
        <w:rPr>
          <w:rFonts w:ascii="Palatino Linotype" w:hAnsi="Palatino Linotype"/>
          <w:sz w:val="24"/>
          <w:szCs w:val="24"/>
        </w:rPr>
        <w:t xml:space="preserve">interpuso recurso de revisión en fecha </w:t>
      </w:r>
      <w:r w:rsidR="00696702" w:rsidRPr="00A66EEC">
        <w:rPr>
          <w:rFonts w:ascii="Palatino Linotype" w:hAnsi="Palatino Linotype"/>
          <w:b/>
          <w:bCs/>
          <w:sz w:val="24"/>
          <w:szCs w:val="24"/>
        </w:rPr>
        <w:t xml:space="preserve">dieciocho de agosto, </w:t>
      </w:r>
      <w:r w:rsidR="00696702" w:rsidRPr="00A66EEC">
        <w:rPr>
          <w:rFonts w:ascii="Palatino Linotype" w:hAnsi="Palatino Linotype"/>
          <w:sz w:val="24"/>
          <w:szCs w:val="24"/>
        </w:rPr>
        <w:t xml:space="preserve">admitiéndose el </w:t>
      </w:r>
      <w:r w:rsidR="00696702" w:rsidRPr="00A66EEC">
        <w:rPr>
          <w:rFonts w:ascii="Palatino Linotype" w:hAnsi="Palatino Linotype"/>
          <w:b/>
          <w:bCs/>
          <w:sz w:val="24"/>
          <w:szCs w:val="24"/>
        </w:rPr>
        <w:t xml:space="preserve">veintidós de agosto, ambos de dos mil veintitrés. </w:t>
      </w:r>
      <w:r w:rsidR="00696702" w:rsidRPr="00A66EEC">
        <w:rPr>
          <w:rFonts w:ascii="Palatino Linotype" w:hAnsi="Palatino Linotype"/>
          <w:sz w:val="24"/>
          <w:szCs w:val="24"/>
        </w:rPr>
        <w:t>Señalando como razones o motivos de inconformidad:</w:t>
      </w:r>
    </w:p>
    <w:p w14:paraId="39053BD2" w14:textId="0FDAA643" w:rsidR="00696702" w:rsidRPr="00A66EEC" w:rsidRDefault="00696702" w:rsidP="00696702">
      <w:pPr>
        <w:pStyle w:val="Citas"/>
        <w:rPr>
          <w:b/>
          <w:bCs/>
          <w:sz w:val="24"/>
          <w:szCs w:val="24"/>
        </w:rPr>
      </w:pPr>
      <w:r w:rsidRPr="00A66EEC">
        <w:t xml:space="preserve">“LA RESPUESTA NO ESPECIFICA LAS ACTRIVIDADES QUE REALIZA CADA UNA DE LAS PERSONAS DEL AREA” </w:t>
      </w:r>
      <w:r w:rsidRPr="00A66EEC">
        <w:rPr>
          <w:b/>
          <w:bCs/>
        </w:rPr>
        <w:t>(Sic)</w:t>
      </w:r>
    </w:p>
    <w:p w14:paraId="1FAE763C" w14:textId="77777777" w:rsidR="00696702" w:rsidRPr="00A66EEC" w:rsidRDefault="00696702" w:rsidP="00696702">
      <w:pPr>
        <w:spacing w:before="240" w:line="360" w:lineRule="auto"/>
        <w:jc w:val="both"/>
        <w:rPr>
          <w:rFonts w:ascii="Palatino Linotype" w:hAnsi="Palatino Linotype"/>
          <w:sz w:val="24"/>
          <w:szCs w:val="24"/>
        </w:rPr>
      </w:pPr>
    </w:p>
    <w:p w14:paraId="62FAEF38" w14:textId="75152FBD" w:rsidR="00696702" w:rsidRPr="00A66EEC" w:rsidRDefault="00696702" w:rsidP="00696702">
      <w:pPr>
        <w:spacing w:before="240" w:line="360" w:lineRule="auto"/>
        <w:jc w:val="both"/>
        <w:rPr>
          <w:rFonts w:ascii="Palatino Linotype" w:hAnsi="Palatino Linotype"/>
          <w:sz w:val="24"/>
          <w:szCs w:val="24"/>
        </w:rPr>
      </w:pPr>
      <w:r w:rsidRPr="00A66EEC">
        <w:rPr>
          <w:rFonts w:ascii="Palatino Linotype" w:hAnsi="Palatino Linotype"/>
          <w:sz w:val="24"/>
          <w:szCs w:val="24"/>
        </w:rPr>
        <w:t xml:space="preserve">Bajo estas líneas argumentativas, de una interpretación literal y gramatical a los motivos de inconformidad aducidos por el particular se advierte que consiente el requerimiento identificado con el numeral </w:t>
      </w:r>
      <w:r w:rsidRPr="00A66EEC">
        <w:rPr>
          <w:rFonts w:ascii="Palatino Linotype" w:hAnsi="Palatino Linotype"/>
          <w:b/>
          <w:bCs/>
          <w:sz w:val="24"/>
          <w:szCs w:val="24"/>
        </w:rPr>
        <w:t xml:space="preserve">2 -dos- </w:t>
      </w:r>
      <w:r w:rsidRPr="00A66EEC">
        <w:rPr>
          <w:rFonts w:ascii="Palatino Linotype" w:hAnsi="Palatino Linotype"/>
          <w:sz w:val="24"/>
          <w:szCs w:val="24"/>
        </w:rPr>
        <w:t xml:space="preserve">al no inconformarse del contenido de la respuesta. </w:t>
      </w:r>
    </w:p>
    <w:p w14:paraId="32FC43B5" w14:textId="77777777" w:rsidR="00696702" w:rsidRPr="00A66EEC" w:rsidRDefault="00696702" w:rsidP="00696702">
      <w:pPr>
        <w:tabs>
          <w:tab w:val="left" w:pos="709"/>
        </w:tabs>
        <w:spacing w:before="240" w:line="360" w:lineRule="auto"/>
        <w:ind w:right="51"/>
        <w:jc w:val="both"/>
        <w:rPr>
          <w:rFonts w:ascii="Palatino Linotype" w:hAnsi="Palatino Linotype" w:cs="Arial"/>
          <w:sz w:val="24"/>
          <w:szCs w:val="24"/>
        </w:rPr>
      </w:pPr>
      <w:r w:rsidRPr="00A66EEC">
        <w:rPr>
          <w:rFonts w:ascii="Palatino Linotype" w:hAnsi="Palatino Linotype"/>
          <w:sz w:val="24"/>
          <w:szCs w:val="24"/>
        </w:rPr>
        <w:t xml:space="preserve">Luego entonces, la parte de la solicitud sobre la que no se expresó inconformidad </w:t>
      </w:r>
      <w:r w:rsidRPr="00A66EEC">
        <w:rPr>
          <w:rFonts w:ascii="Palatino Linotype" w:hAnsi="Palatino Linotype"/>
          <w:sz w:val="24"/>
          <w:szCs w:val="24"/>
          <w:lang w:eastAsia="es-MX"/>
        </w:rPr>
        <w:t xml:space="preserve">debe declararse consentida por el hoy </w:t>
      </w:r>
      <w:r w:rsidRPr="00A66EEC">
        <w:rPr>
          <w:rFonts w:ascii="Palatino Linotype" w:hAnsi="Palatino Linotype"/>
          <w:b/>
          <w:sz w:val="24"/>
          <w:szCs w:val="24"/>
          <w:lang w:eastAsia="es-MX"/>
        </w:rPr>
        <w:t xml:space="preserve">Recurrente, </w:t>
      </w:r>
      <w:r w:rsidRPr="00A66EEC">
        <w:rPr>
          <w:rFonts w:ascii="Palatino Linotype" w:hAnsi="Palatino Linotype"/>
          <w:sz w:val="24"/>
          <w:szCs w:val="24"/>
          <w:lang w:eastAsia="es-MX"/>
        </w:rPr>
        <w:t xml:space="preserve">ya que </w:t>
      </w:r>
      <w:r w:rsidRPr="00A66EEC">
        <w:rPr>
          <w:rFonts w:ascii="Palatino Linotype" w:hAnsi="Palatino Linotype" w:cs="Arial"/>
          <w:sz w:val="24"/>
          <w:szCs w:val="24"/>
          <w:lang w:eastAsia="es-MX"/>
        </w:rPr>
        <w:t xml:space="preserve">no pueden producirse efectos jurídicos tendentes a revocar, confirmar o modificar la parte de la respuesta con relación a la parte de la solicitud que no fue motivo de disenso ya que se infiere un consentimiento de </w:t>
      </w:r>
      <w:r w:rsidRPr="00A66EEC">
        <w:rPr>
          <w:rFonts w:ascii="Palatino Linotype" w:hAnsi="Palatino Linotype" w:cs="Arial"/>
          <w:b/>
          <w:bCs/>
          <w:sz w:val="24"/>
          <w:szCs w:val="24"/>
          <w:lang w:eastAsia="es-MX"/>
        </w:rPr>
        <w:t>El</w:t>
      </w:r>
      <w:r w:rsidRPr="00A66EEC">
        <w:rPr>
          <w:rFonts w:ascii="Palatino Linotype" w:hAnsi="Palatino Linotype" w:cs="Arial"/>
          <w:sz w:val="24"/>
          <w:szCs w:val="24"/>
          <w:lang w:eastAsia="es-MX"/>
        </w:rPr>
        <w:t xml:space="preserve"> </w:t>
      </w:r>
      <w:r w:rsidRPr="00A66EEC">
        <w:rPr>
          <w:rFonts w:ascii="Palatino Linotype" w:hAnsi="Palatino Linotype" w:cs="Arial"/>
          <w:b/>
          <w:sz w:val="24"/>
          <w:szCs w:val="24"/>
          <w:lang w:eastAsia="es-MX"/>
        </w:rPr>
        <w:t>Recurrente</w:t>
      </w:r>
      <w:r w:rsidRPr="00A66EEC">
        <w:rPr>
          <w:rFonts w:ascii="Palatino Linotype" w:hAnsi="Palatino Linotype" w:cs="Arial"/>
          <w:sz w:val="24"/>
          <w:szCs w:val="24"/>
          <w:lang w:eastAsia="es-MX"/>
        </w:rPr>
        <w:t xml:space="preserve"> ante la falta de impugnación eficaz. </w:t>
      </w:r>
      <w:r w:rsidRPr="00A66EEC">
        <w:rPr>
          <w:rFonts w:ascii="Palatino Linotype" w:hAnsi="Palatino Linotype" w:cs="Arial"/>
          <w:sz w:val="24"/>
          <w:szCs w:val="24"/>
        </w:rPr>
        <w:t xml:space="preserve">Sirve de sustento a lo anterior, por analogía, la tesis jurisprudencial, que a la letra dice: </w:t>
      </w:r>
    </w:p>
    <w:p w14:paraId="12BE38D8" w14:textId="77777777" w:rsidR="00696702" w:rsidRPr="00A66EEC" w:rsidRDefault="00696702" w:rsidP="00696702">
      <w:pPr>
        <w:pStyle w:val="Prrafodelista"/>
        <w:spacing w:before="240" w:after="160" w:line="360" w:lineRule="auto"/>
        <w:ind w:left="851" w:right="851"/>
        <w:jc w:val="both"/>
        <w:rPr>
          <w:rFonts w:ascii="Palatino Linotype" w:hAnsi="Palatino Linotype"/>
          <w:i/>
          <w:sz w:val="22"/>
          <w:szCs w:val="22"/>
        </w:rPr>
      </w:pPr>
      <w:r w:rsidRPr="00A66EEC">
        <w:rPr>
          <w:rFonts w:ascii="Palatino Linotype" w:hAnsi="Palatino Linotype"/>
          <w:i/>
          <w:sz w:val="22"/>
          <w:szCs w:val="22"/>
        </w:rPr>
        <w:t>“Época: Novena</w:t>
      </w:r>
    </w:p>
    <w:p w14:paraId="269771E4" w14:textId="77777777" w:rsidR="00696702" w:rsidRPr="00A66EEC" w:rsidRDefault="00696702" w:rsidP="00696702">
      <w:pPr>
        <w:pStyle w:val="Prrafodelista"/>
        <w:spacing w:before="240" w:after="160" w:line="360" w:lineRule="auto"/>
        <w:ind w:left="851" w:right="851"/>
        <w:jc w:val="both"/>
        <w:rPr>
          <w:rFonts w:ascii="Palatino Linotype" w:hAnsi="Palatino Linotype"/>
          <w:i/>
          <w:sz w:val="22"/>
          <w:szCs w:val="22"/>
        </w:rPr>
      </w:pPr>
      <w:r w:rsidRPr="00A66EEC">
        <w:rPr>
          <w:rFonts w:ascii="Palatino Linotype" w:hAnsi="Palatino Linotype"/>
          <w:i/>
          <w:sz w:val="22"/>
          <w:szCs w:val="22"/>
        </w:rPr>
        <w:lastRenderedPageBreak/>
        <w:t>Registro: 176608</w:t>
      </w:r>
    </w:p>
    <w:p w14:paraId="1AF8ECE1" w14:textId="77777777" w:rsidR="00696702" w:rsidRPr="00A66EEC" w:rsidRDefault="00696702" w:rsidP="00696702">
      <w:pPr>
        <w:pStyle w:val="Prrafodelista"/>
        <w:spacing w:before="240" w:after="160" w:line="360" w:lineRule="auto"/>
        <w:ind w:left="851" w:right="851"/>
        <w:jc w:val="both"/>
        <w:rPr>
          <w:rFonts w:ascii="Palatino Linotype" w:hAnsi="Palatino Linotype"/>
          <w:i/>
          <w:sz w:val="22"/>
          <w:szCs w:val="22"/>
        </w:rPr>
      </w:pPr>
      <w:r w:rsidRPr="00A66EEC">
        <w:rPr>
          <w:rFonts w:ascii="Palatino Linotype" w:hAnsi="Palatino Linotype"/>
          <w:i/>
          <w:sz w:val="22"/>
          <w:szCs w:val="22"/>
        </w:rPr>
        <w:t>Tipo de tesis: Jurisprudencia</w:t>
      </w:r>
    </w:p>
    <w:p w14:paraId="5AA43E4A" w14:textId="77777777" w:rsidR="00696702" w:rsidRPr="00A66EEC" w:rsidRDefault="00696702" w:rsidP="00696702">
      <w:pPr>
        <w:pStyle w:val="Prrafodelista"/>
        <w:spacing w:before="240" w:after="160" w:line="360" w:lineRule="auto"/>
        <w:ind w:left="851" w:right="851"/>
        <w:jc w:val="both"/>
        <w:rPr>
          <w:rFonts w:ascii="Palatino Linotype" w:hAnsi="Palatino Linotype"/>
          <w:i/>
          <w:sz w:val="22"/>
          <w:szCs w:val="22"/>
        </w:rPr>
      </w:pPr>
      <w:r w:rsidRPr="00A66EEC">
        <w:rPr>
          <w:rFonts w:ascii="Palatino Linotype" w:hAnsi="Palatino Linotype"/>
          <w:i/>
          <w:sz w:val="22"/>
          <w:szCs w:val="22"/>
        </w:rPr>
        <w:t>Fuente: Semanario Judicial de la Federación y su Gaceta</w:t>
      </w:r>
    </w:p>
    <w:p w14:paraId="69F692D1" w14:textId="77777777" w:rsidR="00696702" w:rsidRPr="00A66EEC" w:rsidRDefault="00696702" w:rsidP="00696702">
      <w:pPr>
        <w:pStyle w:val="Prrafodelista"/>
        <w:spacing w:before="240" w:after="160" w:line="360" w:lineRule="auto"/>
        <w:ind w:left="851" w:right="851"/>
        <w:jc w:val="both"/>
        <w:rPr>
          <w:rFonts w:ascii="Palatino Linotype" w:hAnsi="Palatino Linotype"/>
          <w:i/>
          <w:sz w:val="22"/>
          <w:szCs w:val="22"/>
        </w:rPr>
      </w:pPr>
      <w:r w:rsidRPr="00A66EEC">
        <w:rPr>
          <w:rFonts w:ascii="Palatino Linotype" w:hAnsi="Palatino Linotype"/>
          <w:i/>
          <w:sz w:val="22"/>
          <w:szCs w:val="22"/>
        </w:rPr>
        <w:t>Diciembre de 2005, Tomo XXII</w:t>
      </w:r>
    </w:p>
    <w:p w14:paraId="336B5862" w14:textId="77777777" w:rsidR="00696702" w:rsidRPr="00A66EEC" w:rsidRDefault="00696702" w:rsidP="00696702">
      <w:pPr>
        <w:pStyle w:val="Prrafodelista"/>
        <w:spacing w:before="240" w:after="160" w:line="360" w:lineRule="auto"/>
        <w:ind w:left="851" w:right="851"/>
        <w:jc w:val="both"/>
        <w:rPr>
          <w:rFonts w:ascii="Palatino Linotype" w:hAnsi="Palatino Linotype"/>
          <w:i/>
          <w:sz w:val="22"/>
          <w:szCs w:val="22"/>
        </w:rPr>
      </w:pPr>
      <w:r w:rsidRPr="00A66EEC">
        <w:rPr>
          <w:rFonts w:ascii="Palatino Linotype" w:hAnsi="Palatino Linotype"/>
          <w:i/>
          <w:sz w:val="22"/>
          <w:szCs w:val="22"/>
        </w:rPr>
        <w:t>Materia (s): Común</w:t>
      </w:r>
    </w:p>
    <w:p w14:paraId="382A7621" w14:textId="77777777" w:rsidR="00696702" w:rsidRPr="00A66EEC" w:rsidRDefault="00696702" w:rsidP="00696702">
      <w:pPr>
        <w:pStyle w:val="Prrafodelista"/>
        <w:spacing w:before="240" w:after="160" w:line="360" w:lineRule="auto"/>
        <w:ind w:left="851" w:right="851"/>
        <w:jc w:val="both"/>
        <w:rPr>
          <w:rFonts w:ascii="Palatino Linotype" w:hAnsi="Palatino Linotype"/>
          <w:i/>
          <w:sz w:val="22"/>
          <w:szCs w:val="22"/>
        </w:rPr>
      </w:pPr>
      <w:r w:rsidRPr="00A66EEC">
        <w:rPr>
          <w:rFonts w:ascii="Palatino Linotype" w:hAnsi="Palatino Linotype"/>
          <w:i/>
          <w:sz w:val="22"/>
          <w:szCs w:val="22"/>
        </w:rPr>
        <w:t>Tesis: VI. 3o.C. J/60</w:t>
      </w:r>
    </w:p>
    <w:p w14:paraId="50029140" w14:textId="77777777" w:rsidR="00696702" w:rsidRPr="00A66EEC" w:rsidRDefault="00696702" w:rsidP="00696702">
      <w:pPr>
        <w:pStyle w:val="Prrafodelista"/>
        <w:spacing w:before="240" w:after="160" w:line="360" w:lineRule="auto"/>
        <w:ind w:left="851" w:right="851"/>
        <w:jc w:val="both"/>
        <w:rPr>
          <w:rFonts w:ascii="Palatino Linotype" w:hAnsi="Palatino Linotype"/>
          <w:i/>
          <w:sz w:val="22"/>
          <w:szCs w:val="22"/>
        </w:rPr>
      </w:pPr>
      <w:r w:rsidRPr="00A66EEC">
        <w:rPr>
          <w:rFonts w:ascii="Palatino Linotype" w:hAnsi="Palatino Linotype"/>
          <w:i/>
          <w:sz w:val="22"/>
          <w:szCs w:val="22"/>
        </w:rPr>
        <w:t>Página: 2365</w:t>
      </w:r>
    </w:p>
    <w:p w14:paraId="0D8B261C" w14:textId="77777777" w:rsidR="00696702" w:rsidRPr="00A66EEC" w:rsidRDefault="00696702" w:rsidP="00696702">
      <w:pPr>
        <w:spacing w:before="240" w:line="360" w:lineRule="auto"/>
        <w:ind w:left="851" w:right="851"/>
        <w:jc w:val="both"/>
        <w:rPr>
          <w:rFonts w:ascii="Palatino Linotype" w:hAnsi="Palatino Linotype" w:cs="Arial"/>
          <w:i/>
          <w:lang w:eastAsia="es-MX"/>
        </w:rPr>
      </w:pPr>
      <w:r w:rsidRPr="00A66EEC">
        <w:rPr>
          <w:rFonts w:ascii="Palatino Linotype" w:hAnsi="Palatino Linotype" w:cs="Arial"/>
          <w:i/>
          <w:lang w:eastAsia="es-MX"/>
        </w:rPr>
        <w:t xml:space="preserve"> </w:t>
      </w:r>
      <w:r w:rsidRPr="00A66EEC">
        <w:rPr>
          <w:rFonts w:ascii="Palatino Linotype" w:hAnsi="Palatino Linotype" w:cs="Arial"/>
          <w:b/>
          <w:i/>
          <w:lang w:eastAsia="es-MX"/>
        </w:rPr>
        <w:t>ACTOS CONSENTIDOS. SON LOS QUE NO SE IMPUGNAN MEDIANTE EL RECURSO IDÓNEO</w:t>
      </w:r>
      <w:r w:rsidRPr="00A66EEC">
        <w:rPr>
          <w:rFonts w:ascii="Palatino Linotype" w:hAnsi="Palatino Linotype" w:cs="Arial"/>
          <w:i/>
          <w:lang w:eastAsia="es-MX"/>
        </w:rPr>
        <w:t xml:space="preserve">. </w:t>
      </w:r>
    </w:p>
    <w:p w14:paraId="2E41BC31" w14:textId="77777777" w:rsidR="00696702" w:rsidRPr="00A66EEC" w:rsidRDefault="00696702" w:rsidP="00696702">
      <w:pPr>
        <w:spacing w:before="240" w:line="360" w:lineRule="auto"/>
        <w:ind w:left="851" w:right="851"/>
        <w:jc w:val="both"/>
        <w:rPr>
          <w:rFonts w:ascii="Palatino Linotype" w:hAnsi="Palatino Linotype" w:cs="Arial"/>
          <w:i/>
          <w:lang w:eastAsia="es-MX"/>
        </w:rPr>
      </w:pPr>
      <w:r w:rsidRPr="00A66EEC">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ADD6A3C" w14:textId="77777777" w:rsidR="00696702" w:rsidRPr="00A66EEC" w:rsidRDefault="00696702" w:rsidP="00696702">
      <w:pPr>
        <w:spacing w:before="240" w:line="360" w:lineRule="auto"/>
        <w:ind w:left="851" w:right="851"/>
        <w:jc w:val="both"/>
        <w:rPr>
          <w:rFonts w:ascii="Palatino Linotype" w:eastAsia="Times New Roman" w:hAnsi="Palatino Linotype" w:cs="Calibri"/>
          <w:i/>
          <w:color w:val="000000"/>
          <w:lang w:eastAsia="es-MX"/>
        </w:rPr>
      </w:pPr>
      <w:r w:rsidRPr="00A66EEC">
        <w:rPr>
          <w:rFonts w:ascii="Palatino Linotype" w:eastAsia="Times New Roman" w:hAnsi="Palatino Linotype" w:cs="Calibri"/>
          <w:i/>
          <w:color w:val="000000"/>
          <w:lang w:eastAsia="es-MX"/>
        </w:rPr>
        <w:t>TERCER TRIBUNAL COLEGIADO EN MATERIA CIVIL DEL SEXTO CIRCUITO.</w:t>
      </w:r>
    </w:p>
    <w:p w14:paraId="0B414FC0" w14:textId="77777777" w:rsidR="00696702" w:rsidRPr="00A66EEC" w:rsidRDefault="00696702" w:rsidP="00696702">
      <w:pPr>
        <w:spacing w:before="240" w:line="360" w:lineRule="auto"/>
        <w:ind w:left="851" w:right="851"/>
        <w:jc w:val="both"/>
        <w:rPr>
          <w:rFonts w:ascii="Palatino Linotype" w:eastAsia="Times New Roman" w:hAnsi="Palatino Linotype" w:cs="Calibri"/>
          <w:i/>
          <w:color w:val="444444"/>
          <w:lang w:eastAsia="es-MX"/>
        </w:rPr>
      </w:pPr>
      <w:r w:rsidRPr="00A66EEC">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639D24F5" w14:textId="77777777" w:rsidR="00696702" w:rsidRPr="00A66EEC" w:rsidRDefault="00696702" w:rsidP="00696702">
      <w:pPr>
        <w:spacing w:before="240" w:line="360" w:lineRule="auto"/>
        <w:ind w:left="851" w:right="851"/>
        <w:jc w:val="both"/>
        <w:rPr>
          <w:rFonts w:ascii="Palatino Linotype" w:eastAsia="Times New Roman" w:hAnsi="Palatino Linotype" w:cs="Calibri"/>
          <w:i/>
          <w:color w:val="444444"/>
          <w:lang w:eastAsia="es-MX"/>
        </w:rPr>
      </w:pPr>
      <w:r w:rsidRPr="00A66EEC">
        <w:rPr>
          <w:rFonts w:ascii="Palatino Linotype" w:eastAsia="Times New Roman" w:hAnsi="Palatino Linotype" w:cs="Calibri"/>
          <w:i/>
          <w:color w:val="444444"/>
          <w:lang w:eastAsia="es-MX"/>
        </w:rPr>
        <w:lastRenderedPageBreak/>
        <w:t>Amparo en revisión 393/90. Amparo Naylor Hernández y otros. 6 de diciembre de 1990. Unanimidad de votos. Ponente: Juan Manuel Brito Velázquez. Secretaria: María Dolores Olarte Ruvalcaba.</w:t>
      </w:r>
    </w:p>
    <w:p w14:paraId="1E9FAB4A" w14:textId="77777777" w:rsidR="00696702" w:rsidRPr="00A66EEC" w:rsidRDefault="00696702" w:rsidP="00696702">
      <w:pPr>
        <w:spacing w:before="240" w:line="360" w:lineRule="auto"/>
        <w:ind w:left="851" w:right="851"/>
        <w:jc w:val="both"/>
        <w:rPr>
          <w:rFonts w:ascii="Palatino Linotype" w:eastAsia="Times New Roman" w:hAnsi="Palatino Linotype" w:cs="Calibri"/>
          <w:i/>
          <w:color w:val="444444"/>
          <w:lang w:eastAsia="es-MX"/>
        </w:rPr>
      </w:pPr>
      <w:r w:rsidRPr="00A66EEC">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6E7AF904" w14:textId="77777777" w:rsidR="00696702" w:rsidRPr="00A66EEC" w:rsidRDefault="00696702" w:rsidP="00696702">
      <w:pPr>
        <w:spacing w:before="240" w:line="360" w:lineRule="auto"/>
        <w:ind w:left="851" w:right="851"/>
        <w:jc w:val="both"/>
        <w:rPr>
          <w:rFonts w:ascii="Palatino Linotype" w:eastAsia="Times New Roman" w:hAnsi="Palatino Linotype" w:cs="Calibri"/>
          <w:i/>
          <w:color w:val="444444"/>
          <w:lang w:eastAsia="es-MX"/>
        </w:rPr>
      </w:pPr>
      <w:r w:rsidRPr="00A66EEC">
        <w:rPr>
          <w:rFonts w:ascii="Palatino Linotype" w:eastAsia="Times New Roman" w:hAnsi="Palatino Linotype" w:cs="Calibri"/>
          <w:i/>
          <w:color w:val="444444"/>
          <w:lang w:eastAsia="es-MX"/>
        </w:rPr>
        <w:t>Amparo directo 366/2005. Virginia Quixihuitl Burgos y otra. 14 de octubre de 2005. Unanimidad de votos. Ponente: Norma Fiallega Sánchez. Secretario: Horacio Óscar Rosete Mentado.</w:t>
      </w:r>
    </w:p>
    <w:p w14:paraId="7EB00510" w14:textId="77777777" w:rsidR="00696702" w:rsidRPr="00A66EEC" w:rsidRDefault="00696702" w:rsidP="00696702">
      <w:pPr>
        <w:spacing w:before="240" w:line="360" w:lineRule="auto"/>
        <w:ind w:left="851" w:right="851"/>
        <w:jc w:val="both"/>
        <w:rPr>
          <w:rFonts w:ascii="Palatino Linotype" w:eastAsia="Times New Roman" w:hAnsi="Palatino Linotype" w:cs="Calibri"/>
          <w:b/>
          <w:i/>
          <w:color w:val="444444"/>
          <w:lang w:eastAsia="es-MX"/>
        </w:rPr>
      </w:pPr>
      <w:r w:rsidRPr="00A66EEC">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Isselín Talavera.” </w:t>
      </w:r>
      <w:r w:rsidRPr="00A66EEC">
        <w:rPr>
          <w:rFonts w:ascii="Palatino Linotype" w:eastAsia="Times New Roman" w:hAnsi="Palatino Linotype" w:cs="Calibri"/>
          <w:b/>
          <w:i/>
          <w:color w:val="444444"/>
          <w:lang w:eastAsia="es-MX"/>
        </w:rPr>
        <w:t>[Sic]</w:t>
      </w:r>
    </w:p>
    <w:p w14:paraId="41BF2555" w14:textId="77777777" w:rsidR="00696702" w:rsidRPr="00A66EEC" w:rsidRDefault="00696702" w:rsidP="00696702">
      <w:pPr>
        <w:spacing w:after="0" w:line="360" w:lineRule="auto"/>
        <w:jc w:val="both"/>
        <w:rPr>
          <w:rFonts w:ascii="Palatino Linotype" w:hAnsi="Palatino Linotype" w:cs="Arial"/>
          <w:noProof/>
          <w:color w:val="000000"/>
          <w:sz w:val="24"/>
          <w:lang w:eastAsia="es-MX"/>
        </w:rPr>
      </w:pPr>
    </w:p>
    <w:p w14:paraId="5D0804B8" w14:textId="77777777" w:rsidR="00696702" w:rsidRPr="00A66EEC" w:rsidRDefault="00696702" w:rsidP="00696702">
      <w:pPr>
        <w:spacing w:after="0" w:line="360" w:lineRule="auto"/>
        <w:jc w:val="both"/>
        <w:rPr>
          <w:rFonts w:ascii="Palatino Linotype" w:hAnsi="Palatino Linotype" w:cs="Arial"/>
          <w:noProof/>
          <w:color w:val="000000"/>
          <w:sz w:val="24"/>
          <w:lang w:eastAsia="es-MX"/>
        </w:rPr>
      </w:pPr>
      <w:r w:rsidRPr="00A66EEC">
        <w:rPr>
          <w:rFonts w:ascii="Palatino Linotype" w:hAnsi="Palatino Linotype" w:cs="Arial"/>
          <w:noProof/>
          <w:color w:val="000000"/>
          <w:sz w:val="24"/>
          <w:lang w:eastAsia="es-MX"/>
        </w:rPr>
        <w:t xml:space="preserve">De forma complementaria, robustece lo anterior el criterio </w:t>
      </w:r>
      <w:r w:rsidRPr="00A66EEC">
        <w:rPr>
          <w:rFonts w:ascii="Palatino Linotype" w:hAnsi="Palatino Linotype" w:cs="Arial"/>
          <w:b/>
          <w:bCs/>
          <w:noProof/>
          <w:color w:val="000000"/>
          <w:sz w:val="24"/>
          <w:lang w:eastAsia="es-MX"/>
        </w:rPr>
        <w:t xml:space="preserve">01/20 </w:t>
      </w:r>
      <w:r w:rsidRPr="00A66EEC">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17A9F4B1" w14:textId="77777777" w:rsidR="00696702" w:rsidRPr="00A66EEC" w:rsidRDefault="00696702" w:rsidP="00696702">
      <w:pPr>
        <w:pStyle w:val="Citas"/>
        <w:rPr>
          <w:b/>
        </w:rPr>
      </w:pPr>
      <w:r w:rsidRPr="00A66EEC">
        <w:rPr>
          <w:b/>
        </w:rPr>
        <w:t xml:space="preserve">“ACTOS CONSENTIDOS TÁCITAMENTE. IMPROCEDENCIA DE SU ANÁLISIS. </w:t>
      </w:r>
    </w:p>
    <w:p w14:paraId="6E1CE8B7" w14:textId="77777777" w:rsidR="00696702" w:rsidRPr="00A66EEC" w:rsidRDefault="00696702" w:rsidP="00696702">
      <w:pPr>
        <w:pStyle w:val="Citas"/>
        <w:rPr>
          <w:strike/>
        </w:rPr>
      </w:pPr>
      <w:r w:rsidRPr="00A66EEC">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66189A15" w14:textId="77777777" w:rsidR="00696702" w:rsidRPr="00A66EEC" w:rsidRDefault="00696702" w:rsidP="00696702">
      <w:pPr>
        <w:pStyle w:val="Citas"/>
        <w:rPr>
          <w:b/>
          <w:bCs/>
        </w:rPr>
      </w:pPr>
      <w:r w:rsidRPr="00A66EEC">
        <w:rPr>
          <w:b/>
          <w:bCs/>
        </w:rPr>
        <w:lastRenderedPageBreak/>
        <w:t>Resoluciones:</w:t>
      </w:r>
    </w:p>
    <w:p w14:paraId="58DBFD28" w14:textId="77777777" w:rsidR="00696702" w:rsidRPr="00A66EEC" w:rsidRDefault="00696702" w:rsidP="00696702">
      <w:pPr>
        <w:pStyle w:val="Citas"/>
      </w:pPr>
      <w:r w:rsidRPr="00A66EEC">
        <w:rPr>
          <w:b/>
        </w:rPr>
        <w:t xml:space="preserve">RRA 4548/18. </w:t>
      </w:r>
      <w:r w:rsidRPr="00A66EEC">
        <w:t>Instituto de Seguridad y Servicios Sociales de los Trabajadores del Estado. 12 de septiembre de 2018. Por unanimidad. Comisionado Ponente Oscar Mauricio Guerra Ford.</w:t>
      </w:r>
    </w:p>
    <w:p w14:paraId="0A8BC618" w14:textId="77777777" w:rsidR="00696702" w:rsidRPr="00A66EEC" w:rsidRDefault="00A66EEC" w:rsidP="00696702">
      <w:pPr>
        <w:pStyle w:val="Citas"/>
        <w:rPr>
          <w:sz w:val="20"/>
        </w:rPr>
      </w:pPr>
      <w:hyperlink r:id="rId17" w:history="1">
        <w:r w:rsidR="00696702" w:rsidRPr="00A66EEC">
          <w:rPr>
            <w:rStyle w:val="Hipervnculo"/>
          </w:rPr>
          <w:t>http://consultas.ifai.org.mx/descargar.php?r=./pdf/resoluciones/2018/&amp;a=RRA%204548.pdf</w:t>
        </w:r>
      </w:hyperlink>
    </w:p>
    <w:p w14:paraId="2F3B430A" w14:textId="77777777" w:rsidR="00696702" w:rsidRPr="00A66EEC" w:rsidRDefault="00696702" w:rsidP="00696702">
      <w:pPr>
        <w:pStyle w:val="Citas"/>
        <w:rPr>
          <w:b/>
        </w:rPr>
      </w:pPr>
      <w:r w:rsidRPr="00A66EEC">
        <w:rPr>
          <w:b/>
        </w:rPr>
        <w:t xml:space="preserve">RRA 5097/18. </w:t>
      </w:r>
      <w:r w:rsidRPr="00A66EEC">
        <w:t>Secretaría de Hacienda y Crédito Público. 05 de septiembre de 2018. Por unanimidad. Comisionado Ponente Joel Salas Suárez.</w:t>
      </w:r>
    </w:p>
    <w:p w14:paraId="0F879294" w14:textId="77777777" w:rsidR="00696702" w:rsidRPr="00A66EEC" w:rsidRDefault="00A66EEC" w:rsidP="00696702">
      <w:pPr>
        <w:pStyle w:val="Citas"/>
        <w:rPr>
          <w:sz w:val="20"/>
        </w:rPr>
      </w:pPr>
      <w:hyperlink r:id="rId18" w:history="1">
        <w:r w:rsidR="00696702" w:rsidRPr="00A66EEC">
          <w:rPr>
            <w:rStyle w:val="Hipervnculo"/>
          </w:rPr>
          <w:t>http://consultas.ifai.org.mx/descargar.php?r=./pdf/resoluciones/2018/&amp;a=RRA%205097.pdf</w:t>
        </w:r>
      </w:hyperlink>
    </w:p>
    <w:p w14:paraId="5F0EF73A" w14:textId="77777777" w:rsidR="00696702" w:rsidRPr="00A66EEC" w:rsidRDefault="00696702" w:rsidP="00696702">
      <w:pPr>
        <w:pStyle w:val="Citas"/>
        <w:rPr>
          <w:b/>
        </w:rPr>
      </w:pPr>
      <w:r w:rsidRPr="00A66EEC">
        <w:rPr>
          <w:b/>
        </w:rPr>
        <w:t xml:space="preserve">RRA 14270/19. </w:t>
      </w:r>
      <w:r w:rsidRPr="00A66EEC">
        <w:t>Registro Agrario Nacional. 22 de enero de 2020. Por unanimidad. Comisionado Ponente Francisco Javier Acuña Llamas.</w:t>
      </w:r>
    </w:p>
    <w:p w14:paraId="5C2F6680" w14:textId="77777777" w:rsidR="00696702" w:rsidRPr="00A66EEC" w:rsidRDefault="00A66EEC" w:rsidP="00696702">
      <w:pPr>
        <w:pStyle w:val="Citas"/>
        <w:rPr>
          <w:rStyle w:val="Hipervnculo"/>
          <w:b/>
          <w:bCs/>
          <w:color w:val="auto"/>
          <w:sz w:val="24"/>
          <w:szCs w:val="24"/>
          <w:u w:val="none"/>
          <w:lang w:val="en-US"/>
        </w:rPr>
      </w:pPr>
      <w:hyperlink r:id="rId19" w:history="1">
        <w:r w:rsidR="00696702" w:rsidRPr="00A66EEC">
          <w:rPr>
            <w:rStyle w:val="Hipervnculo"/>
            <w:lang w:val="en-US"/>
          </w:rPr>
          <w:t>http://consultas.ifai.org.mx/descargar.php?r=./pdf/resoluciones/2019/&amp;a=RRA%2014270.pdf</w:t>
        </w:r>
      </w:hyperlink>
      <w:r w:rsidR="00696702" w:rsidRPr="00A66EEC">
        <w:rPr>
          <w:rStyle w:val="Hipervnculo"/>
          <w:sz w:val="20"/>
          <w:lang w:val="en-US"/>
        </w:rPr>
        <w:t xml:space="preserve">” </w:t>
      </w:r>
      <w:r w:rsidR="00696702" w:rsidRPr="00A66EEC">
        <w:rPr>
          <w:rStyle w:val="Hipervnculo"/>
          <w:i w:val="0"/>
          <w:iCs/>
          <w:sz w:val="24"/>
          <w:szCs w:val="24"/>
          <w:u w:val="none"/>
          <w:lang w:val="en-US"/>
        </w:rPr>
        <w:t xml:space="preserve"> </w:t>
      </w:r>
      <w:r w:rsidR="00696702" w:rsidRPr="00A66EEC">
        <w:rPr>
          <w:rStyle w:val="Hipervnculo"/>
          <w:b/>
          <w:bCs/>
          <w:color w:val="auto"/>
          <w:sz w:val="24"/>
          <w:szCs w:val="24"/>
          <w:u w:val="none"/>
          <w:lang w:val="en-US"/>
        </w:rPr>
        <w:t xml:space="preserve">[Sic] </w:t>
      </w:r>
    </w:p>
    <w:p w14:paraId="217C3510" w14:textId="77777777" w:rsidR="00696702" w:rsidRPr="00A66EEC" w:rsidRDefault="00696702" w:rsidP="00696702">
      <w:pPr>
        <w:spacing w:before="240" w:line="360" w:lineRule="auto"/>
        <w:jc w:val="both"/>
        <w:rPr>
          <w:rFonts w:ascii="Palatino Linotype" w:hAnsi="Palatino Linotype"/>
          <w:sz w:val="24"/>
          <w:szCs w:val="24"/>
          <w:lang w:val="en-US"/>
        </w:rPr>
      </w:pPr>
    </w:p>
    <w:p w14:paraId="350C6441" w14:textId="48D55D18" w:rsidR="00696702" w:rsidRPr="00A66EEC" w:rsidRDefault="00696702" w:rsidP="00696702">
      <w:pPr>
        <w:pStyle w:val="infoemcitas"/>
        <w:tabs>
          <w:tab w:val="left" w:pos="7655"/>
        </w:tabs>
        <w:ind w:left="0" w:right="0"/>
        <w:rPr>
          <w:rFonts w:cs="Arial"/>
          <w:i w:val="0"/>
          <w:noProof/>
          <w:color w:val="000000"/>
          <w:sz w:val="24"/>
          <w:lang w:eastAsia="es-MX"/>
        </w:rPr>
      </w:pPr>
      <w:r w:rsidRPr="00A66EEC">
        <w:rPr>
          <w:i w:val="0"/>
          <w:sz w:val="24"/>
          <w:szCs w:val="24"/>
        </w:rPr>
        <w:t xml:space="preserve">Así las cosas, hasta aquí lo expuesto, resulta inconcuso que </w:t>
      </w:r>
      <w:r w:rsidRPr="00A66EEC">
        <w:rPr>
          <w:b/>
          <w:i w:val="0"/>
          <w:sz w:val="24"/>
          <w:szCs w:val="24"/>
        </w:rPr>
        <w:t xml:space="preserve">El Sujeto Obligado </w:t>
      </w:r>
      <w:r w:rsidRPr="00A66EEC">
        <w:rPr>
          <w:rFonts w:cs="Arial"/>
          <w:i w:val="0"/>
          <w:noProof/>
          <w:color w:val="000000"/>
          <w:sz w:val="24"/>
          <w:lang w:eastAsia="es-MX"/>
        </w:rPr>
        <w:t xml:space="preserve">no satisfizo el derecho de acceso a la información pública ejercido por </w:t>
      </w:r>
      <w:r w:rsidRPr="00A66EEC">
        <w:rPr>
          <w:rFonts w:cs="Arial"/>
          <w:b/>
          <w:i w:val="0"/>
          <w:noProof/>
          <w:color w:val="000000"/>
          <w:sz w:val="24"/>
          <w:lang w:eastAsia="es-MX"/>
        </w:rPr>
        <w:t xml:space="preserve">El Recurrente, </w:t>
      </w:r>
      <w:r w:rsidRPr="00A66EEC">
        <w:rPr>
          <w:rFonts w:cs="Arial"/>
          <w:i w:val="0"/>
          <w:noProof/>
          <w:color w:val="000000"/>
          <w:sz w:val="24"/>
          <w:lang w:eastAsia="es-MX"/>
        </w:rPr>
        <w:t xml:space="preserve">al tenerse por actualizadas las hipotesis normativas previstas en el artículo 179, fracciones I y V de la Ley de Transparencia y Acceso a la Información Pública del Estado de Mexico y Municipios, cuyo contenido literal es el siguiente: </w:t>
      </w:r>
    </w:p>
    <w:p w14:paraId="376EE95B" w14:textId="77777777" w:rsidR="00696702" w:rsidRPr="00A66EEC" w:rsidRDefault="00696702" w:rsidP="00696702">
      <w:pPr>
        <w:pStyle w:val="Citas"/>
      </w:pPr>
      <w:r w:rsidRPr="00A66EEC">
        <w:lastRenderedPageBreak/>
        <w:t xml:space="preserve"> “Artículo 179. El recurso de revisión es un medio de protección que la Ley otorga a los particulares, para hacer valer su derecho de acceso a la información pública, y procederá en contra de las siguientes causas:</w:t>
      </w:r>
    </w:p>
    <w:p w14:paraId="34FB166F" w14:textId="77777777" w:rsidR="00696702" w:rsidRPr="00A66EEC" w:rsidRDefault="00696702" w:rsidP="00696702">
      <w:pPr>
        <w:pStyle w:val="Citas"/>
      </w:pPr>
      <w:r w:rsidRPr="00A66EEC">
        <w:t>I. La negativa a la información solicitada;</w:t>
      </w:r>
    </w:p>
    <w:p w14:paraId="1F987A04" w14:textId="77777777" w:rsidR="00696702" w:rsidRPr="00A66EEC" w:rsidRDefault="00696702" w:rsidP="00696702">
      <w:pPr>
        <w:pStyle w:val="Citas"/>
      </w:pPr>
      <w:r w:rsidRPr="00A66EEC">
        <w:t>(…)</w:t>
      </w:r>
    </w:p>
    <w:p w14:paraId="5186A611" w14:textId="77777777" w:rsidR="00696702" w:rsidRPr="00A66EEC" w:rsidRDefault="00696702" w:rsidP="00696702">
      <w:pPr>
        <w:pStyle w:val="Citas"/>
      </w:pPr>
      <w:r w:rsidRPr="00A66EEC">
        <w:t xml:space="preserve">V. La entrega de información incompleta; </w:t>
      </w:r>
    </w:p>
    <w:p w14:paraId="359DCE04" w14:textId="77777777" w:rsidR="00696702" w:rsidRPr="00A66EEC" w:rsidRDefault="00696702" w:rsidP="00696702">
      <w:pPr>
        <w:pStyle w:val="Citas"/>
        <w:rPr>
          <w:b/>
          <w:bCs/>
          <w:noProof/>
          <w:color w:val="000000"/>
          <w:sz w:val="24"/>
          <w:lang w:eastAsia="es-MX"/>
        </w:rPr>
      </w:pPr>
      <w:r w:rsidRPr="00A66EEC">
        <w:rPr>
          <w:noProof/>
          <w:color w:val="000000"/>
          <w:sz w:val="24"/>
          <w:lang w:eastAsia="es-MX"/>
        </w:rPr>
        <w:t xml:space="preserve">(…)” </w:t>
      </w:r>
      <w:r w:rsidRPr="00A66EEC">
        <w:rPr>
          <w:b/>
          <w:bCs/>
          <w:noProof/>
          <w:color w:val="000000"/>
          <w:sz w:val="24"/>
          <w:lang w:eastAsia="es-MX"/>
        </w:rPr>
        <w:t>[Sic]</w:t>
      </w:r>
    </w:p>
    <w:p w14:paraId="4F5CD590" w14:textId="77777777" w:rsidR="00696702" w:rsidRPr="00A66EEC" w:rsidRDefault="00696702" w:rsidP="009D4C29">
      <w:pPr>
        <w:spacing w:before="240" w:line="360" w:lineRule="auto"/>
        <w:jc w:val="both"/>
        <w:rPr>
          <w:rFonts w:ascii="Palatino Linotype" w:hAnsi="Palatino Linotype"/>
          <w:sz w:val="24"/>
          <w:szCs w:val="24"/>
        </w:rPr>
      </w:pPr>
    </w:p>
    <w:p w14:paraId="25C00CFA" w14:textId="358731FE" w:rsidR="00696702" w:rsidRPr="00A66EEC" w:rsidRDefault="00696702" w:rsidP="00696702">
      <w:pPr>
        <w:spacing w:before="240" w:line="360" w:lineRule="auto"/>
        <w:jc w:val="both"/>
        <w:rPr>
          <w:rFonts w:ascii="Palatino Linotype" w:hAnsi="Palatino Linotype"/>
          <w:sz w:val="24"/>
          <w:szCs w:val="24"/>
        </w:rPr>
      </w:pPr>
      <w:r w:rsidRPr="00A66EEC">
        <w:rPr>
          <w:rFonts w:ascii="Palatino Linotype" w:hAnsi="Palatino Linotype"/>
          <w:sz w:val="24"/>
          <w:szCs w:val="24"/>
        </w:rPr>
        <w:t xml:space="preserve">Por otra parte, como fue referido en el antecedente quinto, </w:t>
      </w:r>
      <w:r w:rsidRPr="00A66EEC">
        <w:rPr>
          <w:rFonts w:ascii="Palatino Linotype" w:hAnsi="Palatino Linotype"/>
          <w:b/>
          <w:bCs/>
          <w:sz w:val="24"/>
          <w:szCs w:val="24"/>
        </w:rPr>
        <w:t xml:space="preserve">El Sujeto Obligado </w:t>
      </w:r>
      <w:r w:rsidRPr="00A66EEC">
        <w:rPr>
          <w:rFonts w:ascii="Palatino Linotype" w:hAnsi="Palatino Linotype"/>
          <w:sz w:val="24"/>
          <w:szCs w:val="24"/>
        </w:rPr>
        <w:t xml:space="preserve">rindió su informe justificado en los siguientes términos: </w:t>
      </w:r>
    </w:p>
    <w:p w14:paraId="711FFF62" w14:textId="4D2A8F3D" w:rsidR="00696702" w:rsidRPr="00A66EEC" w:rsidRDefault="00696702" w:rsidP="003E11E6">
      <w:pPr>
        <w:pStyle w:val="Prrafodelista"/>
        <w:numPr>
          <w:ilvl w:val="0"/>
          <w:numId w:val="10"/>
        </w:numPr>
        <w:spacing w:before="240" w:line="360" w:lineRule="auto"/>
        <w:jc w:val="both"/>
        <w:rPr>
          <w:rFonts w:ascii="Palatino Linotype" w:hAnsi="Palatino Linotype"/>
          <w:b/>
          <w:bCs/>
        </w:rPr>
      </w:pPr>
      <w:r w:rsidRPr="00A66EEC">
        <w:rPr>
          <w:rFonts w:ascii="Palatino Linotype" w:hAnsi="Palatino Linotype"/>
          <w:b/>
          <w:bCs/>
        </w:rPr>
        <w:t xml:space="preserve">“RESPUESTA ADMINISTRACIÓN 4600.pdf”: </w:t>
      </w:r>
      <w:r w:rsidRPr="00A66EEC">
        <w:rPr>
          <w:rFonts w:ascii="Palatino Linotype" w:hAnsi="Palatino Linotype"/>
        </w:rPr>
        <w:t>Compila lo siguiente:</w:t>
      </w:r>
    </w:p>
    <w:p w14:paraId="68A73F93" w14:textId="614F3BAF" w:rsidR="00696702" w:rsidRPr="00A66EEC" w:rsidRDefault="00696702" w:rsidP="003E11E6">
      <w:pPr>
        <w:pStyle w:val="Prrafodelista"/>
        <w:numPr>
          <w:ilvl w:val="0"/>
          <w:numId w:val="11"/>
        </w:numPr>
        <w:spacing w:before="240" w:line="360" w:lineRule="auto"/>
        <w:jc w:val="both"/>
        <w:rPr>
          <w:rFonts w:ascii="Palatino Linotype" w:hAnsi="Palatino Linotype"/>
          <w:b/>
          <w:bCs/>
        </w:rPr>
      </w:pPr>
      <w:r w:rsidRPr="00A66EEC">
        <w:rPr>
          <w:rFonts w:ascii="Palatino Linotype" w:hAnsi="Palatino Linotype"/>
        </w:rPr>
        <w:t xml:space="preserve">Oficio número </w:t>
      </w:r>
      <w:r w:rsidRPr="00A66EEC">
        <w:rPr>
          <w:rFonts w:ascii="Palatino Linotype" w:hAnsi="Palatino Linotype"/>
          <w:b/>
          <w:bCs/>
        </w:rPr>
        <w:t>FDEAR/00591/</w:t>
      </w:r>
      <w:r w:rsidR="000D502E" w:rsidRPr="00A66EEC">
        <w:rPr>
          <w:rFonts w:ascii="Palatino Linotype" w:hAnsi="Palatino Linotype"/>
          <w:b/>
          <w:bCs/>
        </w:rPr>
        <w:t xml:space="preserve">2023 </w:t>
      </w:r>
      <w:r w:rsidR="000D502E" w:rsidRPr="00A66EEC">
        <w:rPr>
          <w:rFonts w:ascii="Palatino Linotype" w:hAnsi="Palatino Linotype"/>
        </w:rPr>
        <w:t xml:space="preserve">signado por el Encargado de despacho de la dirección de fomento y desarrollo económico, administración y reglamentos de Tonanitla y dirigido a la Encargada de Despacho de la Unidad de Transparencia y Acceso a la Información Pública y Protección de Datos Personales, de fecha veintinueve de agosto de dos mil veintitrés, refiere adjuntar Manual de organización vigente, mismo que describe las actividades del personal de su dirección. De igual forma, precisa que su dirección se encuentra trabajando en la actualización de dicho manual. </w:t>
      </w:r>
    </w:p>
    <w:p w14:paraId="34A20E9C" w14:textId="4BF1632F" w:rsidR="000D502E" w:rsidRPr="00A66EEC" w:rsidRDefault="000D502E" w:rsidP="003E11E6">
      <w:pPr>
        <w:pStyle w:val="Prrafodelista"/>
        <w:numPr>
          <w:ilvl w:val="0"/>
          <w:numId w:val="11"/>
        </w:numPr>
        <w:spacing w:before="240" w:line="360" w:lineRule="auto"/>
        <w:jc w:val="both"/>
        <w:rPr>
          <w:rFonts w:ascii="Palatino Linotype" w:hAnsi="Palatino Linotype"/>
          <w:b/>
          <w:bCs/>
          <w:u w:val="single"/>
        </w:rPr>
      </w:pPr>
      <w:r w:rsidRPr="00A66EEC">
        <w:rPr>
          <w:rFonts w:ascii="Palatino Linotype" w:hAnsi="Palatino Linotype"/>
          <w:b/>
          <w:bCs/>
          <w:noProof/>
          <w:u w:val="single"/>
          <w:lang w:val="es-MX" w:eastAsia="es-MX"/>
        </w:rPr>
        <w:lastRenderedPageBreak/>
        <w:drawing>
          <wp:anchor distT="0" distB="0" distL="114300" distR="114300" simplePos="0" relativeHeight="251808758" behindDoc="0" locked="0" layoutInCell="1" allowOverlap="1" wp14:anchorId="6B619823" wp14:editId="01470F52">
            <wp:simplePos x="0" y="0"/>
            <wp:positionH relativeFrom="margin">
              <wp:posOffset>77470</wp:posOffset>
            </wp:positionH>
            <wp:positionV relativeFrom="paragraph">
              <wp:posOffset>1764665</wp:posOffset>
            </wp:positionV>
            <wp:extent cx="5759450" cy="5689600"/>
            <wp:effectExtent l="19050" t="19050" r="12700" b="25400"/>
            <wp:wrapThrough wrapText="bothSides">
              <wp:wrapPolygon edited="0">
                <wp:start x="-71" y="-72"/>
                <wp:lineTo x="-71" y="21624"/>
                <wp:lineTo x="21576" y="21624"/>
                <wp:lineTo x="21576" y="-72"/>
                <wp:lineTo x="-71" y="-72"/>
              </wp:wrapPolygon>
            </wp:wrapThrough>
            <wp:docPr id="18659266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5689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A66EEC">
        <w:rPr>
          <w:rFonts w:ascii="Palatino Linotype" w:hAnsi="Palatino Linotype"/>
        </w:rPr>
        <w:t xml:space="preserve">Manual de Organización de la Dirección de Desarrollo y Fomento Económico, Administración y Reglamentos, refleja apartados de antecedentes, base legal, atribuciones, estructura orgánica, organigrama, </w:t>
      </w:r>
      <w:r w:rsidRPr="00A66EEC">
        <w:rPr>
          <w:rFonts w:ascii="Palatino Linotype" w:hAnsi="Palatino Linotype"/>
          <w:b/>
          <w:bCs/>
          <w:u w:val="single"/>
        </w:rPr>
        <w:t xml:space="preserve">así como objetivos y funciones por servidor público. </w:t>
      </w:r>
      <w:r w:rsidRPr="00A66EEC">
        <w:rPr>
          <w:rFonts w:ascii="Palatino Linotype" w:hAnsi="Palatino Linotype"/>
        </w:rPr>
        <w:t>Como efecto meramente ilustrativo, sirve de sustento la siguiente imagen:</w:t>
      </w:r>
    </w:p>
    <w:p w14:paraId="2D9D0659" w14:textId="3A8E4ECC" w:rsidR="00696702" w:rsidRPr="00A66EEC" w:rsidRDefault="00696702" w:rsidP="003E11E6">
      <w:pPr>
        <w:pStyle w:val="Prrafodelista"/>
        <w:numPr>
          <w:ilvl w:val="0"/>
          <w:numId w:val="10"/>
        </w:numPr>
        <w:spacing w:before="240" w:line="360" w:lineRule="auto"/>
        <w:jc w:val="both"/>
        <w:rPr>
          <w:rFonts w:ascii="Palatino Linotype" w:hAnsi="Palatino Linotype"/>
          <w:b/>
          <w:bCs/>
        </w:rPr>
      </w:pPr>
      <w:r w:rsidRPr="00A66EEC">
        <w:rPr>
          <w:rFonts w:ascii="Palatino Linotype" w:hAnsi="Palatino Linotype"/>
          <w:b/>
          <w:bCs/>
        </w:rPr>
        <w:lastRenderedPageBreak/>
        <w:t xml:space="preserve">“INFORME JUSTIFICADO RR 4600.pdf”: </w:t>
      </w:r>
      <w:r w:rsidR="000D502E" w:rsidRPr="00A66EEC">
        <w:rPr>
          <w:rFonts w:ascii="Palatino Linotype" w:hAnsi="Palatino Linotype"/>
        </w:rPr>
        <w:t xml:space="preserve">Oficio número </w:t>
      </w:r>
      <w:r w:rsidR="000D502E" w:rsidRPr="00A66EEC">
        <w:rPr>
          <w:rFonts w:ascii="Palatino Linotype" w:hAnsi="Palatino Linotype"/>
          <w:b/>
          <w:bCs/>
        </w:rPr>
        <w:t xml:space="preserve">TRANS/PDP/027/2023 </w:t>
      </w:r>
      <w:r w:rsidR="000D502E" w:rsidRPr="00A66EEC">
        <w:rPr>
          <w:rFonts w:ascii="Palatino Linotype" w:hAnsi="Palatino Linotype"/>
        </w:rPr>
        <w:t>signado por la Encargada de la Dirección de la Unidad de Transparencia y Acceso a la Información Pública del Ayuntamiento de Tonanitla y dirigido al comisionado presidente, de fecha treinta y uno de agosto de dos mil veintitrés, en síntesis, refiere diversos antecedentes y puntualiza que el servidor público habilitado modificó su respuesta, resultando de nuestro interés el siguiente extracto:</w:t>
      </w:r>
    </w:p>
    <w:p w14:paraId="7178313E" w14:textId="11ECF1D6" w:rsidR="000D502E" w:rsidRPr="00A66EEC" w:rsidRDefault="000D502E" w:rsidP="000D502E">
      <w:pPr>
        <w:pStyle w:val="Citas"/>
        <w:ind w:right="0"/>
        <w:rPr>
          <w:b/>
          <w:bCs/>
          <w:sz w:val="24"/>
          <w:szCs w:val="24"/>
        </w:rPr>
      </w:pPr>
      <w:r w:rsidRPr="00A66EEC">
        <w:t xml:space="preserve">“El 29 de agosto de 2023 se recibió el oficio FDEAR/00591/2023, suscrito por el Encargado de Despacho de la Dirección de Fomento y Desarrollo Económico, Administración y Reglamentos, en donde anexa el Manual de Organización Vigente del área antes descrita, Y en el cual se puede visualizar el organigrama interno y la descripción de las actividades del personal correspondiente y hace referencia que se encuentra trabajando en la actualización del mismo” </w:t>
      </w:r>
      <w:r w:rsidRPr="00A66EEC">
        <w:rPr>
          <w:b/>
          <w:bCs/>
        </w:rPr>
        <w:t>(Sic)</w:t>
      </w:r>
    </w:p>
    <w:p w14:paraId="0B38A84B" w14:textId="1AA5AAF4" w:rsidR="00696702" w:rsidRPr="00A66EEC" w:rsidRDefault="00696702" w:rsidP="009D4C29">
      <w:pPr>
        <w:spacing w:before="240" w:line="360" w:lineRule="auto"/>
        <w:jc w:val="both"/>
        <w:rPr>
          <w:rFonts w:ascii="Palatino Linotype" w:hAnsi="Palatino Linotype"/>
          <w:sz w:val="24"/>
          <w:szCs w:val="24"/>
        </w:rPr>
      </w:pPr>
    </w:p>
    <w:p w14:paraId="7A5AF5C2" w14:textId="13643862" w:rsidR="00696702" w:rsidRPr="00A66EEC" w:rsidRDefault="000D502E" w:rsidP="009D4C29">
      <w:pPr>
        <w:spacing w:before="240" w:line="360" w:lineRule="auto"/>
        <w:jc w:val="both"/>
        <w:rPr>
          <w:rFonts w:ascii="Palatino Linotype" w:hAnsi="Palatino Linotype"/>
          <w:sz w:val="24"/>
          <w:szCs w:val="24"/>
        </w:rPr>
      </w:pPr>
      <w:r w:rsidRPr="00A66EEC">
        <w:rPr>
          <w:rFonts w:ascii="Palatino Linotype" w:hAnsi="Palatino Linotype"/>
          <w:sz w:val="24"/>
          <w:szCs w:val="24"/>
        </w:rPr>
        <w:t xml:space="preserve">De ahí que deba arribarse a la premisa de que mediante informe justificado, </w:t>
      </w:r>
      <w:r w:rsidRPr="00A66EEC">
        <w:rPr>
          <w:rFonts w:ascii="Palatino Linotype" w:hAnsi="Palatino Linotype"/>
          <w:b/>
          <w:bCs/>
          <w:sz w:val="24"/>
          <w:szCs w:val="24"/>
        </w:rPr>
        <w:t xml:space="preserve">El Sujeto Obligado </w:t>
      </w:r>
      <w:r w:rsidRPr="00A66EEC">
        <w:rPr>
          <w:rFonts w:ascii="Palatino Linotype" w:hAnsi="Palatino Linotype"/>
          <w:sz w:val="24"/>
          <w:szCs w:val="24"/>
        </w:rPr>
        <w:t>a través del servidor público habilitado competente realizó una nueva búsqueda exhaustiva y razonable, remitiendo el Manual de Organización de la Dirección de Desarrollo y Fomento Económico, Administración y Reglamentos</w:t>
      </w:r>
      <w:r w:rsidR="00C94BC0" w:rsidRPr="00A66EEC">
        <w:rPr>
          <w:rFonts w:ascii="Palatino Linotype" w:hAnsi="Palatino Linotype"/>
          <w:sz w:val="24"/>
          <w:szCs w:val="24"/>
        </w:rPr>
        <w:t xml:space="preserve">, soporte documental que da cuenta de forma abstracta respecto de las atribuciones y competencias reservadas a los servidores públicos adscritos al interior de la multicitada unidad administrativa. </w:t>
      </w:r>
    </w:p>
    <w:p w14:paraId="18D86CD7" w14:textId="77777777" w:rsidR="00C94BC0" w:rsidRPr="00A66EEC" w:rsidRDefault="00C94BC0" w:rsidP="00C94BC0">
      <w:pPr>
        <w:pBdr>
          <w:top w:val="nil"/>
          <w:left w:val="nil"/>
          <w:bottom w:val="nil"/>
          <w:right w:val="nil"/>
          <w:between w:val="nil"/>
        </w:pBdr>
        <w:spacing w:line="360" w:lineRule="auto"/>
        <w:contextualSpacing/>
        <w:jc w:val="both"/>
        <w:rPr>
          <w:sz w:val="24"/>
          <w:szCs w:val="24"/>
          <w:lang w:val="es-ES_tradnl"/>
        </w:rPr>
      </w:pPr>
      <w:r w:rsidRPr="00A66EEC">
        <w:rPr>
          <w:rFonts w:ascii="Palatino Linotype" w:hAnsi="Palatino Linotype"/>
          <w:sz w:val="24"/>
          <w:szCs w:val="24"/>
        </w:rPr>
        <w:t>Por otra parte, con relación a “</w:t>
      </w:r>
      <w:r w:rsidRPr="00A66EEC">
        <w:rPr>
          <w:rFonts w:ascii="Palatino Linotype" w:hAnsi="Palatino Linotype"/>
          <w:i/>
          <w:iCs/>
          <w:sz w:val="24"/>
          <w:szCs w:val="24"/>
        </w:rPr>
        <w:t xml:space="preserve">hace referencia que se encuentra trabajando en la actualización del mismo” </w:t>
      </w:r>
      <w:r w:rsidRPr="00A66EEC">
        <w:rPr>
          <w:rFonts w:ascii="Palatino Linotype" w:hAnsi="Palatino Linotype"/>
          <w:sz w:val="24"/>
          <w:szCs w:val="24"/>
        </w:rPr>
        <w:t xml:space="preserve">resulta óbice señalar que el derecho de acceso a la información excluye </w:t>
      </w:r>
      <w:r w:rsidRPr="00A66EEC">
        <w:rPr>
          <w:rFonts w:ascii="Palatino Linotype" w:hAnsi="Palatino Linotype"/>
          <w:iCs/>
          <w:sz w:val="24"/>
          <w:szCs w:val="24"/>
        </w:rPr>
        <w:t xml:space="preserve">la </w:t>
      </w:r>
      <w:r w:rsidRPr="00A66EEC">
        <w:rPr>
          <w:rFonts w:ascii="Palatino Linotype" w:hAnsi="Palatino Linotype"/>
          <w:iCs/>
          <w:sz w:val="24"/>
          <w:szCs w:val="24"/>
        </w:rPr>
        <w:lastRenderedPageBreak/>
        <w:t xml:space="preserve">obligación de generar, documentos, procesar información o incluso generar soportes documentales encauzados a atender la pretensión de los particulares. Robustece lo anterior, el criterio </w:t>
      </w:r>
      <w:r w:rsidRPr="00A66EEC">
        <w:rPr>
          <w:rFonts w:ascii="Palatino Linotype" w:hAnsi="Palatino Linotype" w:cs="Arial"/>
          <w:color w:val="000000"/>
          <w:sz w:val="24"/>
          <w:szCs w:val="24"/>
          <w:lang w:val="es-ES_tradnl"/>
        </w:rPr>
        <w:t xml:space="preserve">03-17, emitido por </w:t>
      </w:r>
      <w:r w:rsidRPr="00A66EEC">
        <w:rPr>
          <w:rFonts w:ascii="Palatino Linotype" w:eastAsia="Arial Unicode MS" w:hAnsi="Palatino Linotype" w:cs="Arial"/>
          <w:color w:val="000000"/>
          <w:sz w:val="24"/>
          <w:szCs w:val="24"/>
          <w:lang w:val="es-ES_tradnl"/>
        </w:rPr>
        <w:t xml:space="preserve">el Instituto Nacional de Transparencia, Acceso a la Información y Protección de Datos Personales cuyo rubro y texto dispone a la literalidad los siguiente: </w:t>
      </w:r>
    </w:p>
    <w:p w14:paraId="42C47922" w14:textId="77777777" w:rsidR="00C94BC0" w:rsidRPr="00A66EEC" w:rsidRDefault="00C94BC0" w:rsidP="00C94BC0">
      <w:pPr>
        <w:pStyle w:val="Citas"/>
        <w:rPr>
          <w:b/>
          <w:spacing w:val="18"/>
        </w:rPr>
      </w:pPr>
      <w:r w:rsidRPr="00A66EEC">
        <w:rPr>
          <w:b/>
        </w:rPr>
        <w:t xml:space="preserve">“NO EXISTE OBLIGACIÓN DE ELABORAR </w:t>
      </w:r>
      <w:r w:rsidRPr="00A66EEC">
        <w:rPr>
          <w:b/>
          <w:spacing w:val="-3"/>
        </w:rPr>
        <w:t>D</w:t>
      </w:r>
      <w:r w:rsidRPr="00A66EEC">
        <w:rPr>
          <w:b/>
        </w:rPr>
        <w:t>OCUM</w:t>
      </w:r>
      <w:r w:rsidRPr="00A66EEC">
        <w:rPr>
          <w:b/>
          <w:spacing w:val="1"/>
        </w:rPr>
        <w:t>E</w:t>
      </w:r>
      <w:r w:rsidRPr="00A66EEC">
        <w:rPr>
          <w:b/>
        </w:rPr>
        <w:t>N</w:t>
      </w:r>
      <w:r w:rsidRPr="00A66EEC">
        <w:rPr>
          <w:b/>
          <w:spacing w:val="-1"/>
        </w:rPr>
        <w:t>T</w:t>
      </w:r>
      <w:r w:rsidRPr="00A66EEC">
        <w:rPr>
          <w:b/>
        </w:rPr>
        <w:t>OS</w:t>
      </w:r>
      <w:r w:rsidRPr="00A66EEC">
        <w:rPr>
          <w:b/>
          <w:spacing w:val="14"/>
        </w:rPr>
        <w:t xml:space="preserve"> </w:t>
      </w:r>
      <w:r w:rsidRPr="00A66EEC">
        <w:rPr>
          <w:b/>
          <w:spacing w:val="-1"/>
        </w:rPr>
        <w:t xml:space="preserve">AD </w:t>
      </w:r>
      <w:r w:rsidRPr="00A66EEC">
        <w:rPr>
          <w:b/>
        </w:rPr>
        <w:t>HOC</w:t>
      </w:r>
      <w:r w:rsidRPr="00A66EEC">
        <w:rPr>
          <w:b/>
          <w:spacing w:val="11"/>
        </w:rPr>
        <w:t xml:space="preserve"> </w:t>
      </w:r>
      <w:r w:rsidRPr="00A66EEC">
        <w:rPr>
          <w:b/>
        </w:rPr>
        <w:t>PARA</w:t>
      </w:r>
      <w:r w:rsidRPr="00A66EEC">
        <w:rPr>
          <w:b/>
          <w:spacing w:val="10"/>
        </w:rPr>
        <w:t xml:space="preserve"> </w:t>
      </w:r>
      <w:r w:rsidRPr="00A66EEC">
        <w:rPr>
          <w:b/>
        </w:rPr>
        <w:t>ATENDER LAS SOL</w:t>
      </w:r>
      <w:r w:rsidRPr="00A66EEC">
        <w:rPr>
          <w:b/>
          <w:spacing w:val="-2"/>
        </w:rPr>
        <w:t>I</w:t>
      </w:r>
      <w:r w:rsidRPr="00A66EEC">
        <w:rPr>
          <w:b/>
          <w:spacing w:val="1"/>
        </w:rPr>
        <w:t>C</w:t>
      </w:r>
      <w:r w:rsidRPr="00A66EEC">
        <w:rPr>
          <w:b/>
        </w:rPr>
        <w:t>ITUDES</w:t>
      </w:r>
      <w:r w:rsidRPr="00A66EEC">
        <w:rPr>
          <w:b/>
          <w:spacing w:val="10"/>
        </w:rPr>
        <w:t xml:space="preserve"> </w:t>
      </w:r>
      <w:r w:rsidRPr="00A66EEC">
        <w:rPr>
          <w:b/>
        </w:rPr>
        <w:t>DE</w:t>
      </w:r>
      <w:r w:rsidRPr="00A66EEC">
        <w:rPr>
          <w:b/>
          <w:spacing w:val="9"/>
        </w:rPr>
        <w:t xml:space="preserve"> </w:t>
      </w:r>
      <w:r w:rsidRPr="00A66EEC">
        <w:rPr>
          <w:b/>
          <w:spacing w:val="1"/>
        </w:rPr>
        <w:t>AC</w:t>
      </w:r>
      <w:r w:rsidRPr="00A66EEC">
        <w:rPr>
          <w:b/>
          <w:spacing w:val="-1"/>
        </w:rPr>
        <w:t>C</w:t>
      </w:r>
      <w:r w:rsidRPr="00A66EEC">
        <w:rPr>
          <w:b/>
          <w:spacing w:val="1"/>
        </w:rPr>
        <w:t>ES</w:t>
      </w:r>
      <w:r w:rsidRPr="00A66EEC">
        <w:rPr>
          <w:b/>
        </w:rPr>
        <w:t>O</w:t>
      </w:r>
      <w:r w:rsidRPr="00A66EEC">
        <w:rPr>
          <w:b/>
          <w:spacing w:val="11"/>
        </w:rPr>
        <w:t xml:space="preserve"> </w:t>
      </w:r>
      <w:r w:rsidRPr="00A66EEC">
        <w:rPr>
          <w:b/>
        </w:rPr>
        <w:t>A</w:t>
      </w:r>
      <w:r w:rsidRPr="00A66EEC">
        <w:rPr>
          <w:b/>
          <w:spacing w:val="9"/>
        </w:rPr>
        <w:t xml:space="preserve"> </w:t>
      </w:r>
      <w:r w:rsidRPr="00A66EEC">
        <w:rPr>
          <w:b/>
        </w:rPr>
        <w:t>LA</w:t>
      </w:r>
      <w:r w:rsidRPr="00A66EEC">
        <w:rPr>
          <w:b/>
          <w:spacing w:val="10"/>
        </w:rPr>
        <w:t xml:space="preserve"> </w:t>
      </w:r>
      <w:r w:rsidRPr="00A66EEC">
        <w:rPr>
          <w:b/>
        </w:rPr>
        <w:t>INFORMA</w:t>
      </w:r>
      <w:r w:rsidRPr="00A66EEC">
        <w:rPr>
          <w:b/>
          <w:spacing w:val="1"/>
        </w:rPr>
        <w:t>C</w:t>
      </w:r>
      <w:r w:rsidRPr="00A66EEC">
        <w:rPr>
          <w:b/>
        </w:rPr>
        <w:t>IÓ</w:t>
      </w:r>
      <w:r w:rsidRPr="00A66EEC">
        <w:rPr>
          <w:b/>
          <w:spacing w:val="-2"/>
        </w:rPr>
        <w:t>N</w:t>
      </w:r>
      <w:r w:rsidRPr="00A66EEC">
        <w:rPr>
          <w:b/>
        </w:rPr>
        <w:t>.</w:t>
      </w:r>
      <w:r w:rsidRPr="00A66EEC">
        <w:rPr>
          <w:b/>
          <w:spacing w:val="18"/>
        </w:rPr>
        <w:t xml:space="preserve"> </w:t>
      </w:r>
    </w:p>
    <w:p w14:paraId="0667F3A2" w14:textId="77777777" w:rsidR="00C94BC0" w:rsidRPr="00A66EEC" w:rsidRDefault="00C94BC0" w:rsidP="00C94BC0">
      <w:pPr>
        <w:pStyle w:val="Citas"/>
      </w:pPr>
      <w:r w:rsidRPr="00A66EEC">
        <w:rPr>
          <w:spacing w:val="18"/>
        </w:rPr>
        <w:t>L</w:t>
      </w:r>
      <w:r w:rsidRPr="00A66EEC">
        <w:rPr>
          <w:spacing w:val="-1"/>
        </w:rPr>
        <w:t xml:space="preserve">os </w:t>
      </w:r>
      <w:r w:rsidRPr="00A66EEC">
        <w:rPr>
          <w:spacing w:val="1"/>
        </w:rPr>
        <w:t>a</w:t>
      </w:r>
      <w:r w:rsidRPr="00A66EEC">
        <w:t>rt</w:t>
      </w:r>
      <w:r w:rsidRPr="00A66EEC">
        <w:rPr>
          <w:spacing w:val="-2"/>
        </w:rPr>
        <w:t>í</w:t>
      </w:r>
      <w:r w:rsidRPr="00A66EEC">
        <w:t>c</w:t>
      </w:r>
      <w:r w:rsidRPr="00A66EEC">
        <w:rPr>
          <w:spacing w:val="1"/>
        </w:rPr>
        <w:t>u</w:t>
      </w:r>
      <w:r w:rsidRPr="00A66EEC">
        <w:t>los</w:t>
      </w:r>
      <w:r w:rsidRPr="00A66EEC">
        <w:rPr>
          <w:spacing w:val="8"/>
        </w:rPr>
        <w:t xml:space="preserve"> 129 </w:t>
      </w:r>
      <w:r w:rsidRPr="00A66EEC">
        <w:rPr>
          <w:spacing w:val="1"/>
        </w:rPr>
        <w:t>d</w:t>
      </w:r>
      <w:r w:rsidRPr="00A66EEC">
        <w:t>e</w:t>
      </w:r>
      <w:r w:rsidRPr="00A66EEC">
        <w:rPr>
          <w:spacing w:val="9"/>
        </w:rPr>
        <w:t xml:space="preserve"> </w:t>
      </w:r>
      <w:r w:rsidRPr="00A66EEC">
        <w:t>la</w:t>
      </w:r>
      <w:r w:rsidRPr="00A66EEC">
        <w:rPr>
          <w:spacing w:val="10"/>
        </w:rPr>
        <w:t xml:space="preserve"> </w:t>
      </w:r>
      <w:r w:rsidRPr="00A66EEC">
        <w:rPr>
          <w:spacing w:val="-1"/>
        </w:rPr>
        <w:t>L</w:t>
      </w:r>
      <w:r w:rsidRPr="00A66EEC">
        <w:rPr>
          <w:spacing w:val="1"/>
        </w:rPr>
        <w:t>e</w:t>
      </w:r>
      <w:r w:rsidRPr="00A66EEC">
        <w:t>y</w:t>
      </w:r>
      <w:r w:rsidRPr="00A66EEC">
        <w:rPr>
          <w:spacing w:val="8"/>
        </w:rPr>
        <w:t xml:space="preserve"> </w:t>
      </w:r>
      <w:r w:rsidRPr="00A66EEC">
        <w:t>General</w:t>
      </w:r>
      <w:r w:rsidRPr="00A66EEC">
        <w:rPr>
          <w:spacing w:val="10"/>
        </w:rPr>
        <w:t xml:space="preserve"> </w:t>
      </w:r>
      <w:r w:rsidRPr="00A66EEC">
        <w:rPr>
          <w:spacing w:val="-1"/>
        </w:rPr>
        <w:t>d</w:t>
      </w:r>
      <w:r w:rsidRPr="00A66EEC">
        <w:t>e</w:t>
      </w:r>
      <w:r w:rsidRPr="00A66EEC">
        <w:rPr>
          <w:spacing w:val="9"/>
        </w:rPr>
        <w:t xml:space="preserve"> </w:t>
      </w:r>
      <w:r w:rsidRPr="00A66EEC">
        <w:rPr>
          <w:spacing w:val="2"/>
        </w:rPr>
        <w:t>T</w:t>
      </w:r>
      <w:r w:rsidRPr="00A66EEC">
        <w:t>r</w:t>
      </w:r>
      <w:r w:rsidRPr="00A66EEC">
        <w:rPr>
          <w:spacing w:val="-2"/>
        </w:rPr>
        <w:t>a</w:t>
      </w:r>
      <w:r w:rsidRPr="00A66EEC">
        <w:rPr>
          <w:spacing w:val="1"/>
        </w:rPr>
        <w:t>n</w:t>
      </w:r>
      <w:r w:rsidRPr="00A66EEC">
        <w:t>s</w:t>
      </w:r>
      <w:r w:rsidRPr="00A66EEC">
        <w:rPr>
          <w:spacing w:val="1"/>
        </w:rPr>
        <w:t>pa</w:t>
      </w:r>
      <w:r w:rsidRPr="00A66EEC">
        <w:t>r</w:t>
      </w:r>
      <w:r w:rsidRPr="00A66EEC">
        <w:rPr>
          <w:spacing w:val="-2"/>
        </w:rPr>
        <w:t>e</w:t>
      </w:r>
      <w:r w:rsidRPr="00A66EEC">
        <w:rPr>
          <w:spacing w:val="1"/>
        </w:rPr>
        <w:t>n</w:t>
      </w:r>
      <w:r w:rsidRPr="00A66EEC">
        <w:t>cia y Acc</w:t>
      </w:r>
      <w:r w:rsidRPr="00A66EEC">
        <w:rPr>
          <w:spacing w:val="1"/>
        </w:rPr>
        <w:t>e</w:t>
      </w:r>
      <w:r w:rsidRPr="00A66EEC">
        <w:t>so</w:t>
      </w:r>
      <w:r w:rsidRPr="00A66EEC">
        <w:rPr>
          <w:spacing w:val="3"/>
        </w:rPr>
        <w:t xml:space="preserve"> </w:t>
      </w:r>
      <w:r w:rsidRPr="00A66EEC">
        <w:t>a</w:t>
      </w:r>
      <w:r w:rsidRPr="00A66EEC">
        <w:rPr>
          <w:spacing w:val="1"/>
        </w:rPr>
        <w:t xml:space="preserve"> </w:t>
      </w:r>
      <w:r w:rsidRPr="00A66EEC">
        <w:t>la I</w:t>
      </w:r>
      <w:r w:rsidRPr="00A66EEC">
        <w:rPr>
          <w:spacing w:val="-1"/>
        </w:rPr>
        <w:t>n</w:t>
      </w:r>
      <w:r w:rsidRPr="00A66EEC">
        <w:t>f</w:t>
      </w:r>
      <w:r w:rsidRPr="00A66EEC">
        <w:rPr>
          <w:spacing w:val="1"/>
        </w:rPr>
        <w:t>o</w:t>
      </w:r>
      <w:r w:rsidRPr="00A66EEC">
        <w:rPr>
          <w:spacing w:val="-3"/>
        </w:rPr>
        <w:t>r</w:t>
      </w:r>
      <w:r w:rsidRPr="00A66EEC">
        <w:rPr>
          <w:spacing w:val="1"/>
        </w:rPr>
        <w:t>ma</w:t>
      </w:r>
      <w:r w:rsidRPr="00A66EEC">
        <w:t>ci</w:t>
      </w:r>
      <w:r w:rsidRPr="00A66EEC">
        <w:rPr>
          <w:spacing w:val="-2"/>
        </w:rPr>
        <w:t>ó</w:t>
      </w:r>
      <w:r w:rsidRPr="00A66EEC">
        <w:t>n</w:t>
      </w:r>
      <w:r w:rsidRPr="00A66EEC">
        <w:rPr>
          <w:spacing w:val="6"/>
        </w:rPr>
        <w:t xml:space="preserve"> </w:t>
      </w:r>
      <w:r w:rsidRPr="00A66EEC">
        <w:rPr>
          <w:spacing w:val="-2"/>
        </w:rPr>
        <w:t>P</w:t>
      </w:r>
      <w:r w:rsidRPr="00A66EEC">
        <w:rPr>
          <w:spacing w:val="1"/>
        </w:rPr>
        <w:t>úb</w:t>
      </w:r>
      <w:r w:rsidRPr="00A66EEC">
        <w:t>l</w:t>
      </w:r>
      <w:r w:rsidRPr="00A66EEC">
        <w:rPr>
          <w:spacing w:val="-1"/>
        </w:rPr>
        <w:t>i</w:t>
      </w:r>
      <w:r w:rsidRPr="00A66EEC">
        <w:t xml:space="preserve">ca y </w:t>
      </w:r>
      <w:r w:rsidRPr="00A66EEC">
        <w:rPr>
          <w:spacing w:val="8"/>
        </w:rPr>
        <w:t xml:space="preserve">130, párrafo cuarto, </w:t>
      </w:r>
      <w:r w:rsidRPr="00A66EEC">
        <w:rPr>
          <w:spacing w:val="1"/>
        </w:rPr>
        <w:t>d</w:t>
      </w:r>
      <w:r w:rsidRPr="00A66EEC">
        <w:t>e</w:t>
      </w:r>
      <w:r w:rsidRPr="00A66EEC">
        <w:rPr>
          <w:spacing w:val="9"/>
        </w:rPr>
        <w:t xml:space="preserve"> </w:t>
      </w:r>
      <w:r w:rsidRPr="00A66EEC">
        <w:t>la</w:t>
      </w:r>
      <w:r w:rsidRPr="00A66EEC">
        <w:rPr>
          <w:spacing w:val="10"/>
        </w:rPr>
        <w:t xml:space="preserve"> </w:t>
      </w:r>
      <w:r w:rsidRPr="00A66EEC">
        <w:rPr>
          <w:spacing w:val="-1"/>
        </w:rPr>
        <w:t>L</w:t>
      </w:r>
      <w:r w:rsidRPr="00A66EEC">
        <w:rPr>
          <w:spacing w:val="1"/>
        </w:rPr>
        <w:t>e</w:t>
      </w:r>
      <w:r w:rsidRPr="00A66EEC">
        <w:t>y</w:t>
      </w:r>
      <w:r w:rsidRPr="00A66EEC">
        <w:rPr>
          <w:spacing w:val="8"/>
        </w:rPr>
        <w:t xml:space="preserve"> </w:t>
      </w:r>
      <w:r w:rsidRPr="00A66EEC">
        <w:t>Fe</w:t>
      </w:r>
      <w:r w:rsidRPr="00A66EEC">
        <w:rPr>
          <w:spacing w:val="1"/>
        </w:rPr>
        <w:t>de</w:t>
      </w:r>
      <w:r w:rsidRPr="00A66EEC">
        <w:t>ral</w:t>
      </w:r>
      <w:r w:rsidRPr="00A66EEC">
        <w:rPr>
          <w:spacing w:val="10"/>
        </w:rPr>
        <w:t xml:space="preserve"> </w:t>
      </w:r>
      <w:r w:rsidRPr="00A66EEC">
        <w:rPr>
          <w:spacing w:val="-1"/>
        </w:rPr>
        <w:t>d</w:t>
      </w:r>
      <w:r w:rsidRPr="00A66EEC">
        <w:t>e</w:t>
      </w:r>
      <w:r w:rsidRPr="00A66EEC">
        <w:rPr>
          <w:spacing w:val="9"/>
        </w:rPr>
        <w:t xml:space="preserve"> </w:t>
      </w:r>
      <w:r w:rsidRPr="00A66EEC">
        <w:rPr>
          <w:spacing w:val="2"/>
        </w:rPr>
        <w:t>T</w:t>
      </w:r>
      <w:r w:rsidRPr="00A66EEC">
        <w:t>r</w:t>
      </w:r>
      <w:r w:rsidRPr="00A66EEC">
        <w:rPr>
          <w:spacing w:val="-2"/>
        </w:rPr>
        <w:t>a</w:t>
      </w:r>
      <w:r w:rsidRPr="00A66EEC">
        <w:rPr>
          <w:spacing w:val="1"/>
        </w:rPr>
        <w:t>n</w:t>
      </w:r>
      <w:r w:rsidRPr="00A66EEC">
        <w:t>s</w:t>
      </w:r>
      <w:r w:rsidRPr="00A66EEC">
        <w:rPr>
          <w:spacing w:val="1"/>
        </w:rPr>
        <w:t>pa</w:t>
      </w:r>
      <w:r w:rsidRPr="00A66EEC">
        <w:t>r</w:t>
      </w:r>
      <w:r w:rsidRPr="00A66EEC">
        <w:rPr>
          <w:spacing w:val="-2"/>
        </w:rPr>
        <w:t>e</w:t>
      </w:r>
      <w:r w:rsidRPr="00A66EEC">
        <w:rPr>
          <w:spacing w:val="1"/>
        </w:rPr>
        <w:t>n</w:t>
      </w:r>
      <w:r w:rsidRPr="00A66EEC">
        <w:t>cia y Acc</w:t>
      </w:r>
      <w:r w:rsidRPr="00A66EEC">
        <w:rPr>
          <w:spacing w:val="1"/>
        </w:rPr>
        <w:t>e</w:t>
      </w:r>
      <w:r w:rsidRPr="00A66EEC">
        <w:t>so</w:t>
      </w:r>
      <w:r w:rsidRPr="00A66EEC">
        <w:rPr>
          <w:spacing w:val="3"/>
        </w:rPr>
        <w:t xml:space="preserve"> </w:t>
      </w:r>
      <w:r w:rsidRPr="00A66EEC">
        <w:t>a</w:t>
      </w:r>
      <w:r w:rsidRPr="00A66EEC">
        <w:rPr>
          <w:spacing w:val="1"/>
        </w:rPr>
        <w:t xml:space="preserve"> </w:t>
      </w:r>
      <w:r w:rsidRPr="00A66EEC">
        <w:t>la I</w:t>
      </w:r>
      <w:r w:rsidRPr="00A66EEC">
        <w:rPr>
          <w:spacing w:val="-1"/>
        </w:rPr>
        <w:t>n</w:t>
      </w:r>
      <w:r w:rsidRPr="00A66EEC">
        <w:t>f</w:t>
      </w:r>
      <w:r w:rsidRPr="00A66EEC">
        <w:rPr>
          <w:spacing w:val="1"/>
        </w:rPr>
        <w:t>o</w:t>
      </w:r>
      <w:r w:rsidRPr="00A66EEC">
        <w:rPr>
          <w:spacing w:val="-3"/>
        </w:rPr>
        <w:t>r</w:t>
      </w:r>
      <w:r w:rsidRPr="00A66EEC">
        <w:rPr>
          <w:spacing w:val="1"/>
        </w:rPr>
        <w:t>ma</w:t>
      </w:r>
      <w:r w:rsidRPr="00A66EEC">
        <w:t>ci</w:t>
      </w:r>
      <w:r w:rsidRPr="00A66EEC">
        <w:rPr>
          <w:spacing w:val="-2"/>
        </w:rPr>
        <w:t>ó</w:t>
      </w:r>
      <w:r w:rsidRPr="00A66EEC">
        <w:t>n</w:t>
      </w:r>
      <w:r w:rsidRPr="00A66EEC">
        <w:rPr>
          <w:spacing w:val="6"/>
        </w:rPr>
        <w:t xml:space="preserve"> </w:t>
      </w:r>
      <w:r w:rsidRPr="00A66EEC">
        <w:rPr>
          <w:spacing w:val="-2"/>
        </w:rPr>
        <w:t>P</w:t>
      </w:r>
      <w:r w:rsidRPr="00A66EEC">
        <w:rPr>
          <w:spacing w:val="1"/>
        </w:rPr>
        <w:t>úb</w:t>
      </w:r>
      <w:r w:rsidRPr="00A66EEC">
        <w:t>l</w:t>
      </w:r>
      <w:r w:rsidRPr="00A66EEC">
        <w:rPr>
          <w:spacing w:val="-1"/>
        </w:rPr>
        <w:t>i</w:t>
      </w:r>
      <w:r w:rsidRPr="00A66EEC">
        <w:t xml:space="preserve">ca, </w:t>
      </w:r>
      <w:r w:rsidRPr="00A66EEC">
        <w:rPr>
          <w:spacing w:val="-1"/>
        </w:rPr>
        <w:t>señalan</w:t>
      </w:r>
      <w:r w:rsidRPr="00A66EEC">
        <w:rPr>
          <w:spacing w:val="1"/>
        </w:rPr>
        <w:t xml:space="preserve"> </w:t>
      </w:r>
      <w:r w:rsidRPr="00A66EEC">
        <w:rPr>
          <w:spacing w:val="-1"/>
        </w:rPr>
        <w:t>q</w:t>
      </w:r>
      <w:r w:rsidRPr="00A66EEC">
        <w:rPr>
          <w:spacing w:val="1"/>
        </w:rPr>
        <w:t>u</w:t>
      </w:r>
      <w:r w:rsidRPr="00A66EEC">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66EEC">
        <w:rPr>
          <w:spacing w:val="-1"/>
        </w:rPr>
        <w:t xml:space="preserve"> sin necesidad de</w:t>
      </w:r>
      <w:r w:rsidRPr="00A66EEC">
        <w:rPr>
          <w:spacing w:val="1"/>
        </w:rPr>
        <w:t xml:space="preserve"> e</w:t>
      </w:r>
      <w:r w:rsidRPr="00A66EEC">
        <w:t>la</w:t>
      </w:r>
      <w:r w:rsidRPr="00A66EEC">
        <w:rPr>
          <w:spacing w:val="1"/>
        </w:rPr>
        <w:t>bo</w:t>
      </w:r>
      <w:r w:rsidRPr="00A66EEC">
        <w:t xml:space="preserve">rar </w:t>
      </w:r>
      <w:r w:rsidRPr="00A66EEC">
        <w:rPr>
          <w:spacing w:val="1"/>
        </w:rPr>
        <w:t>do</w:t>
      </w:r>
      <w:r w:rsidRPr="00A66EEC">
        <w:rPr>
          <w:spacing w:val="-2"/>
        </w:rPr>
        <w:t>c</w:t>
      </w:r>
      <w:r w:rsidRPr="00A66EEC">
        <w:rPr>
          <w:spacing w:val="1"/>
        </w:rPr>
        <w:t>u</w:t>
      </w:r>
      <w:r w:rsidRPr="00A66EEC">
        <w:rPr>
          <w:spacing w:val="-1"/>
        </w:rPr>
        <w:t>m</w:t>
      </w:r>
      <w:r w:rsidRPr="00A66EEC">
        <w:rPr>
          <w:spacing w:val="1"/>
        </w:rPr>
        <w:t>en</w:t>
      </w:r>
      <w:r w:rsidRPr="00A66EEC">
        <w:rPr>
          <w:spacing w:val="-2"/>
        </w:rPr>
        <w:t>t</w:t>
      </w:r>
      <w:r w:rsidRPr="00A66EEC">
        <w:rPr>
          <w:spacing w:val="1"/>
        </w:rPr>
        <w:t>o</w:t>
      </w:r>
      <w:r w:rsidRPr="00A66EEC">
        <w:t>s</w:t>
      </w:r>
      <w:r w:rsidRPr="00A66EEC">
        <w:rPr>
          <w:spacing w:val="3"/>
        </w:rPr>
        <w:t xml:space="preserve"> </w:t>
      </w:r>
      <w:r w:rsidRPr="00A66EEC">
        <w:rPr>
          <w:spacing w:val="1"/>
        </w:rPr>
        <w:t>a</w:t>
      </w:r>
      <w:r w:rsidRPr="00A66EEC">
        <w:t>d</w:t>
      </w:r>
      <w:r w:rsidRPr="00A66EEC">
        <w:rPr>
          <w:spacing w:val="1"/>
        </w:rPr>
        <w:t xml:space="preserve"> ho</w:t>
      </w:r>
      <w:r w:rsidRPr="00A66EEC">
        <w:t>c</w:t>
      </w:r>
      <w:r w:rsidRPr="00A66EEC">
        <w:rPr>
          <w:spacing w:val="2"/>
        </w:rPr>
        <w:t xml:space="preserve"> </w:t>
      </w:r>
      <w:r w:rsidRPr="00A66EEC">
        <w:rPr>
          <w:spacing w:val="1"/>
        </w:rPr>
        <w:t>pa</w:t>
      </w:r>
      <w:r w:rsidRPr="00A66EEC">
        <w:t xml:space="preserve">ra </w:t>
      </w:r>
      <w:r w:rsidRPr="00A66EEC">
        <w:rPr>
          <w:spacing w:val="1"/>
        </w:rPr>
        <w:t>a</w:t>
      </w:r>
      <w:r w:rsidRPr="00A66EEC">
        <w:t>t</w:t>
      </w:r>
      <w:r w:rsidRPr="00A66EEC">
        <w:rPr>
          <w:spacing w:val="-1"/>
        </w:rPr>
        <w:t>e</w:t>
      </w:r>
      <w:r w:rsidRPr="00A66EEC">
        <w:rPr>
          <w:spacing w:val="1"/>
        </w:rPr>
        <w:t>n</w:t>
      </w:r>
      <w:r w:rsidRPr="00A66EEC">
        <w:rPr>
          <w:spacing w:val="-1"/>
        </w:rPr>
        <w:t>d</w:t>
      </w:r>
      <w:r w:rsidRPr="00A66EEC">
        <w:rPr>
          <w:spacing w:val="1"/>
        </w:rPr>
        <w:t>e</w:t>
      </w:r>
      <w:r w:rsidRPr="00A66EEC">
        <w:t>r</w:t>
      </w:r>
      <w:r w:rsidRPr="00A66EEC">
        <w:rPr>
          <w:spacing w:val="2"/>
        </w:rPr>
        <w:t xml:space="preserve"> </w:t>
      </w:r>
      <w:r w:rsidRPr="00A66EEC">
        <w:t>l</w:t>
      </w:r>
      <w:r w:rsidRPr="00A66EEC">
        <w:rPr>
          <w:spacing w:val="-2"/>
        </w:rPr>
        <w:t>a</w:t>
      </w:r>
      <w:r w:rsidRPr="00A66EEC">
        <w:t>s</w:t>
      </w:r>
      <w:r w:rsidRPr="00A66EEC">
        <w:rPr>
          <w:spacing w:val="2"/>
        </w:rPr>
        <w:t xml:space="preserve"> </w:t>
      </w:r>
      <w:r w:rsidRPr="00A66EEC">
        <w:t>s</w:t>
      </w:r>
      <w:r w:rsidRPr="00A66EEC">
        <w:rPr>
          <w:spacing w:val="1"/>
        </w:rPr>
        <w:t>o</w:t>
      </w:r>
      <w:r w:rsidRPr="00A66EEC">
        <w:t>l</w:t>
      </w:r>
      <w:r w:rsidRPr="00A66EEC">
        <w:rPr>
          <w:spacing w:val="-1"/>
        </w:rPr>
        <w:t>i</w:t>
      </w:r>
      <w:r w:rsidRPr="00A66EEC">
        <w:t>cit</w:t>
      </w:r>
      <w:r w:rsidRPr="00A66EEC">
        <w:rPr>
          <w:spacing w:val="1"/>
        </w:rPr>
        <w:t>ude</w:t>
      </w:r>
      <w:r w:rsidRPr="00A66EEC">
        <w:t>s</w:t>
      </w:r>
      <w:r w:rsidRPr="00A66EEC">
        <w:rPr>
          <w:spacing w:val="4"/>
        </w:rPr>
        <w:t xml:space="preserve"> </w:t>
      </w:r>
      <w:r w:rsidRPr="00A66EEC">
        <w:rPr>
          <w:spacing w:val="-1"/>
        </w:rPr>
        <w:t>d</w:t>
      </w:r>
      <w:r w:rsidRPr="00A66EEC">
        <w:t>e</w:t>
      </w:r>
      <w:r w:rsidRPr="00A66EEC">
        <w:rPr>
          <w:spacing w:val="3"/>
        </w:rPr>
        <w:t xml:space="preserve"> </w:t>
      </w:r>
      <w:r w:rsidRPr="00A66EEC">
        <w:t>i</w:t>
      </w:r>
      <w:r w:rsidRPr="00A66EEC">
        <w:rPr>
          <w:spacing w:val="-2"/>
        </w:rPr>
        <w:t>n</w:t>
      </w:r>
      <w:r w:rsidRPr="00A66EEC">
        <w:t>f</w:t>
      </w:r>
      <w:r w:rsidRPr="00A66EEC">
        <w:rPr>
          <w:spacing w:val="1"/>
        </w:rPr>
        <w:t>o</w:t>
      </w:r>
      <w:r w:rsidRPr="00A66EEC">
        <w:t>r</w:t>
      </w:r>
      <w:r w:rsidRPr="00A66EEC">
        <w:rPr>
          <w:spacing w:val="-1"/>
        </w:rPr>
        <w:t>m</w:t>
      </w:r>
      <w:r w:rsidRPr="00A66EEC">
        <w:rPr>
          <w:spacing w:val="1"/>
        </w:rPr>
        <w:t>a</w:t>
      </w:r>
      <w:r w:rsidRPr="00A66EEC">
        <w:t>ció</w:t>
      </w:r>
      <w:r w:rsidRPr="00A66EEC">
        <w:rPr>
          <w:spacing w:val="1"/>
        </w:rPr>
        <w:t>n</w:t>
      </w:r>
      <w:r w:rsidRPr="00A66EEC">
        <w:t>.</w:t>
      </w:r>
    </w:p>
    <w:p w14:paraId="5CFA3F01" w14:textId="77777777" w:rsidR="00C94BC0" w:rsidRPr="00A66EEC" w:rsidRDefault="00C94BC0" w:rsidP="00C94BC0">
      <w:pPr>
        <w:pStyle w:val="Citas"/>
        <w:rPr>
          <w:b/>
        </w:rPr>
      </w:pPr>
      <w:r w:rsidRPr="00A66EEC">
        <w:rPr>
          <w:b/>
        </w:rPr>
        <w:t>Resoluciones:</w:t>
      </w:r>
    </w:p>
    <w:p w14:paraId="074FE933" w14:textId="77777777" w:rsidR="00C94BC0" w:rsidRPr="00A66EEC" w:rsidRDefault="00C94BC0" w:rsidP="00C94BC0">
      <w:pPr>
        <w:pStyle w:val="Citas"/>
      </w:pPr>
      <w:r w:rsidRPr="00A66EEC">
        <w:rPr>
          <w:b/>
        </w:rPr>
        <w:t>RRA 0050/16.</w:t>
      </w:r>
      <w:r w:rsidRPr="00A66EEC">
        <w:t xml:space="preserve"> Instituto Nacional para la Evaluación de la Educación. 13 julio de 2016. Por unanimidad. Comisionado Ponente: Francisco Javier Acuña Llamas.</w:t>
      </w:r>
    </w:p>
    <w:p w14:paraId="1FB20938" w14:textId="77777777" w:rsidR="00C94BC0" w:rsidRPr="00A66EEC" w:rsidRDefault="00C94BC0" w:rsidP="00C94BC0">
      <w:pPr>
        <w:pStyle w:val="Citas"/>
        <w:rPr>
          <w:rFonts w:ascii="Times New Roman" w:hAnsi="Times New Roman" w:cs="Times New Roman"/>
        </w:rPr>
      </w:pPr>
      <w:r w:rsidRPr="00A66EEC">
        <w:rPr>
          <w:b/>
        </w:rPr>
        <w:t xml:space="preserve">RRA 0310/16. </w:t>
      </w:r>
      <w:r w:rsidRPr="00A66EEC">
        <w:t>Instituto Nacional de Transparencia, Acceso a la Información y Protección de Datos Personales. 10 de agosto de 2016. Por unanimidad. Comisionada Ponente. Areli Cano Guadiana.</w:t>
      </w:r>
    </w:p>
    <w:p w14:paraId="0C186BF5" w14:textId="77777777" w:rsidR="00C94BC0" w:rsidRPr="00A66EEC" w:rsidRDefault="00C94BC0" w:rsidP="00C94BC0">
      <w:pPr>
        <w:pStyle w:val="Citas"/>
        <w:rPr>
          <w:b/>
        </w:rPr>
      </w:pPr>
      <w:r w:rsidRPr="00A66EEC">
        <w:rPr>
          <w:b/>
        </w:rPr>
        <w:lastRenderedPageBreak/>
        <w:t xml:space="preserve">RRA 1889/16. </w:t>
      </w:r>
      <w:r w:rsidRPr="00A66EEC">
        <w:t xml:space="preserve">Secretaría de Hacienda y Crédito Público. 05 de octubre de 2016. Por unanimidad. Comisionada Ponente. Ximena Puente de la Mora” </w:t>
      </w:r>
      <w:r w:rsidRPr="00A66EEC">
        <w:rPr>
          <w:b/>
        </w:rPr>
        <w:t>[Sic]</w:t>
      </w:r>
    </w:p>
    <w:p w14:paraId="061584EA" w14:textId="199368D2" w:rsidR="00C94BC0" w:rsidRPr="00A66EEC" w:rsidRDefault="00C94BC0" w:rsidP="009D4C29">
      <w:pPr>
        <w:spacing w:before="240" w:line="360" w:lineRule="auto"/>
        <w:jc w:val="both"/>
        <w:rPr>
          <w:rFonts w:ascii="Palatino Linotype" w:hAnsi="Palatino Linotype"/>
          <w:sz w:val="24"/>
          <w:szCs w:val="24"/>
        </w:rPr>
      </w:pPr>
    </w:p>
    <w:p w14:paraId="32A492CA" w14:textId="08F1F166" w:rsidR="00C94BC0" w:rsidRPr="00A66EEC" w:rsidRDefault="00C94BC0" w:rsidP="00C94BC0">
      <w:pPr>
        <w:spacing w:before="240" w:line="360" w:lineRule="auto"/>
        <w:jc w:val="both"/>
        <w:rPr>
          <w:rFonts w:ascii="Palatino Linotype" w:hAnsi="Palatino Linotype" w:cs="Arial"/>
          <w:sz w:val="24"/>
          <w:szCs w:val="24"/>
        </w:rPr>
      </w:pPr>
      <w:r w:rsidRPr="00A66EEC">
        <w:rPr>
          <w:rFonts w:ascii="Palatino Linotype" w:hAnsi="Palatino Linotype"/>
          <w:sz w:val="24"/>
          <w:szCs w:val="24"/>
        </w:rPr>
        <w:t xml:space="preserve">Luego entonces, se arriba a la conclusión de que el informe justificado rendido por </w:t>
      </w:r>
      <w:r w:rsidRPr="00A66EEC">
        <w:rPr>
          <w:rFonts w:ascii="Palatino Linotype" w:hAnsi="Palatino Linotype"/>
          <w:b/>
          <w:bCs/>
          <w:sz w:val="24"/>
          <w:szCs w:val="24"/>
        </w:rPr>
        <w:t xml:space="preserve">El Sujeto Obligado </w:t>
      </w:r>
      <w:r w:rsidRPr="00A66EEC">
        <w:rPr>
          <w:rFonts w:ascii="Palatino Linotype" w:hAnsi="Palatino Linotype"/>
          <w:sz w:val="24"/>
          <w:szCs w:val="24"/>
        </w:rPr>
        <w:t xml:space="preserve">es susceptible de colmar el derecho de acceso a la información pública. </w:t>
      </w:r>
      <w:r w:rsidRPr="00A66EEC">
        <w:rPr>
          <w:rFonts w:ascii="Palatino Linotype" w:hAnsi="Palatino Linotype" w:cs="Arial"/>
          <w:sz w:val="24"/>
          <w:szCs w:val="24"/>
        </w:rPr>
        <w:t>En este sentido, por lo que hace a las causas de sobreseimiento contenidas en el artículo 192 de la Ley de Transparencia y Acceso a la Información Pública del Estado de México y Municipios, es oportuno señalar que estos requisitos privilegian la existencia de elementos de fondo, tales como el desistimiento o fallecimiento del</w:t>
      </w:r>
      <w:r w:rsidRPr="00A66EEC">
        <w:rPr>
          <w:rFonts w:ascii="Palatino Linotype" w:hAnsi="Palatino Linotype" w:cs="Arial"/>
          <w:b/>
          <w:sz w:val="24"/>
          <w:szCs w:val="24"/>
        </w:rPr>
        <w:t xml:space="preserve"> Recurrente </w:t>
      </w:r>
      <w:r w:rsidRPr="00A66EEC">
        <w:rPr>
          <w:rFonts w:ascii="Palatino Linotype" w:hAnsi="Palatino Linotype" w:cs="Arial"/>
          <w:sz w:val="24"/>
          <w:szCs w:val="24"/>
        </w:rPr>
        <w:t xml:space="preserve">o que el </w:t>
      </w:r>
      <w:r w:rsidRPr="00A66EEC">
        <w:rPr>
          <w:rFonts w:ascii="Palatino Linotype" w:hAnsi="Palatino Linotype" w:cs="Arial"/>
          <w:b/>
          <w:sz w:val="24"/>
          <w:szCs w:val="24"/>
        </w:rPr>
        <w:t xml:space="preserve">Sujeto Obligado </w:t>
      </w:r>
      <w:r w:rsidRPr="00A66EEC">
        <w:rPr>
          <w:rFonts w:ascii="Palatino Linotype" w:hAnsi="Palatino Linotype" w:cs="Arial"/>
          <w:b/>
          <w:sz w:val="24"/>
          <w:szCs w:val="24"/>
          <w:u w:val="single"/>
        </w:rPr>
        <w:t xml:space="preserve">modifique el acto; </w:t>
      </w:r>
      <w:r w:rsidRPr="00A66EEC">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6EA0295F" w14:textId="77777777" w:rsidR="00C94BC0" w:rsidRPr="00A66EEC" w:rsidRDefault="00C94BC0" w:rsidP="00C94BC0">
      <w:pPr>
        <w:spacing w:line="360" w:lineRule="auto"/>
        <w:jc w:val="both"/>
        <w:rPr>
          <w:rFonts w:ascii="Palatino Linotype" w:hAnsi="Palatino Linotype" w:cs="Arial"/>
          <w:sz w:val="24"/>
          <w:szCs w:val="24"/>
        </w:rPr>
      </w:pPr>
      <w:r w:rsidRPr="00A66EEC">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11600120" w14:textId="77777777" w:rsidR="00C94BC0" w:rsidRPr="00A66EEC" w:rsidRDefault="00C94BC0" w:rsidP="00C94BC0">
      <w:pPr>
        <w:spacing w:line="360" w:lineRule="auto"/>
        <w:ind w:left="851" w:right="851"/>
        <w:jc w:val="both"/>
        <w:rPr>
          <w:rFonts w:ascii="Palatino Linotype" w:hAnsi="Palatino Linotype" w:cs="Arial"/>
          <w:b/>
          <w:i/>
        </w:rPr>
      </w:pPr>
      <w:r w:rsidRPr="00A66EEC">
        <w:rPr>
          <w:rFonts w:ascii="Palatino Linotype" w:hAnsi="Palatino Linotype" w:cs="Arial"/>
          <w:b/>
          <w:i/>
        </w:rPr>
        <w:t>“SOBRESEIMIENTO EN EL JUICIO DE AMPARO DIRECTO. IMPIDE EL ESTUDIO DE LAS VIOLACIONES PROCESALES PLANTEADAS EN LOS CONCEPTOS DE VIOLACIÓN.</w:t>
      </w:r>
    </w:p>
    <w:p w14:paraId="2B17D369" w14:textId="77777777" w:rsidR="00C94BC0" w:rsidRPr="00A66EEC" w:rsidRDefault="00C94BC0" w:rsidP="00C94BC0">
      <w:pPr>
        <w:spacing w:line="360" w:lineRule="auto"/>
        <w:ind w:left="851" w:right="851"/>
        <w:jc w:val="both"/>
        <w:rPr>
          <w:rFonts w:ascii="Palatino Linotype" w:hAnsi="Palatino Linotype"/>
          <w:i/>
          <w:color w:val="000000"/>
        </w:rPr>
      </w:pPr>
      <w:r w:rsidRPr="00A66EEC">
        <w:rPr>
          <w:rFonts w:ascii="Palatino Linotype" w:hAnsi="Palatino Linotype" w:cs="Arial"/>
          <w:b/>
          <w:i/>
          <w:u w:val="single"/>
        </w:rPr>
        <w:t>El sobreseimiento</w:t>
      </w:r>
      <w:r w:rsidRPr="00A66EEC">
        <w:rPr>
          <w:rFonts w:ascii="Palatino Linotype" w:hAnsi="Palatino Linotype" w:cs="Arial"/>
          <w:b/>
          <w:i/>
        </w:rPr>
        <w:t xml:space="preserve"> </w:t>
      </w:r>
      <w:r w:rsidRPr="00A66EEC">
        <w:rPr>
          <w:rFonts w:ascii="Palatino Linotype" w:hAnsi="Palatino Linotype" w:cs="Arial"/>
          <w:i/>
        </w:rPr>
        <w:t xml:space="preserve">en el juicio de amparo directo </w:t>
      </w:r>
      <w:r w:rsidRPr="00A66EEC">
        <w:rPr>
          <w:rFonts w:ascii="Palatino Linotype" w:hAnsi="Palatino Linotype" w:cs="Arial"/>
          <w:b/>
          <w:i/>
          <w:u w:val="single"/>
        </w:rPr>
        <w:t>provoca la terminación de la controversia planteada</w:t>
      </w:r>
      <w:r w:rsidRPr="00A66EEC">
        <w:rPr>
          <w:rFonts w:ascii="Palatino Linotype" w:hAnsi="Palatino Linotype" w:cs="Arial"/>
          <w:b/>
          <w:i/>
        </w:rPr>
        <w:t xml:space="preserve"> </w:t>
      </w:r>
      <w:r w:rsidRPr="00A66EEC">
        <w:rPr>
          <w:rFonts w:ascii="Palatino Linotype" w:hAnsi="Palatino Linotype" w:cs="Arial"/>
          <w:i/>
        </w:rPr>
        <w:t>por el quejoso en la demanda de amparo</w:t>
      </w:r>
      <w:r w:rsidRPr="00A66EEC">
        <w:rPr>
          <w:rFonts w:ascii="Calibri" w:hAnsi="Calibri"/>
          <w:color w:val="000000"/>
          <w:sz w:val="26"/>
          <w:szCs w:val="26"/>
        </w:rPr>
        <w:t xml:space="preserve"> </w:t>
      </w:r>
      <w:r w:rsidRPr="00A66EEC">
        <w:rPr>
          <w:rFonts w:ascii="Palatino Linotype" w:hAnsi="Palatino Linotype"/>
          <w:i/>
          <w:color w:val="000000"/>
        </w:rPr>
        <w:t xml:space="preserve">provoca la terminación de la controversia planteada por el quejoso en la demanda de </w:t>
      </w:r>
      <w:r w:rsidRPr="00A66EEC">
        <w:rPr>
          <w:rFonts w:ascii="Palatino Linotype" w:hAnsi="Palatino Linotype"/>
          <w:b/>
          <w:i/>
          <w:color w:val="000000"/>
        </w:rPr>
        <w:t>amparo</w:t>
      </w:r>
      <w:r w:rsidRPr="00A66EEC">
        <w:rPr>
          <w:rFonts w:ascii="Palatino Linotype" w:hAnsi="Palatino Linotype"/>
          <w:i/>
          <w:color w:val="000000"/>
        </w:rPr>
        <w:t xml:space="preserve">, </w:t>
      </w:r>
      <w:r w:rsidRPr="00A66EEC">
        <w:rPr>
          <w:rFonts w:ascii="Palatino Linotype" w:hAnsi="Palatino Linotype"/>
          <w:i/>
          <w:color w:val="000000"/>
        </w:rPr>
        <w:lastRenderedPageBreak/>
        <w:t>sin hacer un pronunciamiento de fondo sobre la legalidad o ilegalidad de la sentencia reclamada. Por consiguiente, si al sobreseerse en el</w:t>
      </w:r>
      <w:r w:rsidRPr="00A66EEC">
        <w:rPr>
          <w:rFonts w:ascii="Palatino Linotype" w:hAnsi="Palatino Linotype"/>
          <w:b/>
          <w:i/>
          <w:color w:val="000000"/>
        </w:rPr>
        <w:t xml:space="preserve"> juicio </w:t>
      </w:r>
      <w:r w:rsidRPr="00A66EEC">
        <w:rPr>
          <w:rFonts w:ascii="Palatino Linotype" w:hAnsi="Palatino Linotype"/>
          <w:i/>
          <w:color w:val="000000"/>
        </w:rPr>
        <w:t xml:space="preserve">de </w:t>
      </w:r>
      <w:r w:rsidRPr="00A66EEC">
        <w:rPr>
          <w:rFonts w:ascii="Palatino Linotype" w:hAnsi="Palatino Linotype"/>
          <w:b/>
          <w:i/>
          <w:color w:val="000000"/>
        </w:rPr>
        <w:t>amparo</w:t>
      </w:r>
      <w:r w:rsidRPr="00A66EEC">
        <w:rPr>
          <w:rFonts w:ascii="Palatino Linotype" w:hAnsi="Palatino Linotype"/>
          <w:i/>
          <w:color w:val="000000"/>
        </w:rPr>
        <w:t xml:space="preserve"> no se pueden estudiar los planteamientos que se hacen valer en contra del fallo reclamado, tampoco se deben analizar las</w:t>
      </w:r>
      <w:r w:rsidRPr="00A66EEC">
        <w:rPr>
          <w:rFonts w:ascii="Palatino Linotype" w:hAnsi="Palatino Linotype"/>
          <w:b/>
          <w:i/>
          <w:color w:val="000000"/>
        </w:rPr>
        <w:t xml:space="preserve"> violaciones procesales</w:t>
      </w:r>
      <w:r w:rsidRPr="00A66EEC">
        <w:rPr>
          <w:rFonts w:ascii="Palatino Linotype" w:hAnsi="Palatino Linotype"/>
          <w:i/>
          <w:color w:val="000000"/>
        </w:rPr>
        <w:t xml:space="preserve"> propuestas en los </w:t>
      </w:r>
      <w:r w:rsidRPr="00A66EEC">
        <w:rPr>
          <w:rFonts w:ascii="Palatino Linotype" w:hAnsi="Palatino Linotype"/>
          <w:b/>
          <w:i/>
          <w:color w:val="000000"/>
        </w:rPr>
        <w:t xml:space="preserve">conceptos </w:t>
      </w:r>
      <w:r w:rsidRPr="00A66EEC">
        <w:rPr>
          <w:rFonts w:ascii="Palatino Linotype" w:hAnsi="Palatino Linotype"/>
          <w:i/>
          <w:color w:val="000000"/>
        </w:rPr>
        <w:t xml:space="preserve">de </w:t>
      </w:r>
      <w:r w:rsidRPr="00A66EEC">
        <w:rPr>
          <w:rFonts w:ascii="Palatino Linotype" w:hAnsi="Palatino Linotype"/>
          <w:b/>
          <w:i/>
          <w:color w:val="000000"/>
        </w:rPr>
        <w:t>violación</w:t>
      </w:r>
      <w:r w:rsidRPr="00A66EEC">
        <w:rPr>
          <w:rFonts w:ascii="Palatino Linotype" w:hAnsi="Palatino Linotype"/>
          <w:i/>
          <w:color w:val="000000"/>
        </w:rPr>
        <w:t xml:space="preserve">, dado que, la principal consecuencia del </w:t>
      </w:r>
      <w:r w:rsidRPr="00A66EEC">
        <w:rPr>
          <w:rFonts w:ascii="Palatino Linotype" w:hAnsi="Palatino Linotype"/>
          <w:b/>
          <w:i/>
          <w:color w:val="000000"/>
        </w:rPr>
        <w:t>sobreseimiento</w:t>
      </w:r>
      <w:r w:rsidRPr="00A66EEC">
        <w:rPr>
          <w:rFonts w:ascii="Palatino Linotype" w:hAnsi="Palatino Linotype"/>
          <w:i/>
          <w:color w:val="000000"/>
        </w:rPr>
        <w:t xml:space="preserve"> es poner fin al </w:t>
      </w:r>
      <w:r w:rsidRPr="00A66EEC">
        <w:rPr>
          <w:rFonts w:ascii="Palatino Linotype" w:hAnsi="Palatino Linotype"/>
          <w:b/>
          <w:i/>
          <w:color w:val="000000"/>
        </w:rPr>
        <w:t xml:space="preserve">juicio </w:t>
      </w:r>
      <w:r w:rsidRPr="00A66EEC">
        <w:rPr>
          <w:rFonts w:ascii="Palatino Linotype" w:hAnsi="Palatino Linotype"/>
          <w:i/>
          <w:color w:val="000000"/>
        </w:rPr>
        <w:t xml:space="preserve">de </w:t>
      </w:r>
      <w:r w:rsidRPr="00A66EEC">
        <w:rPr>
          <w:rFonts w:ascii="Palatino Linotype" w:hAnsi="Palatino Linotype"/>
          <w:b/>
          <w:i/>
          <w:color w:val="000000"/>
        </w:rPr>
        <w:t xml:space="preserve">amparo </w:t>
      </w:r>
      <w:r w:rsidRPr="00A66EEC">
        <w:rPr>
          <w:rFonts w:ascii="Palatino Linotype" w:hAnsi="Palatino Linotype"/>
          <w:i/>
          <w:color w:val="000000"/>
        </w:rPr>
        <w:t>sin resolver la controversia en sus méritos.  </w:t>
      </w:r>
    </w:p>
    <w:p w14:paraId="4C16321E" w14:textId="77777777" w:rsidR="00C94BC0" w:rsidRPr="00A66EEC" w:rsidRDefault="00C94BC0" w:rsidP="00C94BC0">
      <w:pPr>
        <w:spacing w:line="360" w:lineRule="auto"/>
        <w:ind w:left="851" w:right="851"/>
        <w:jc w:val="both"/>
        <w:rPr>
          <w:rFonts w:ascii="Palatino Linotype" w:hAnsi="Palatino Linotype" w:cs="Arial"/>
          <w:b/>
          <w:i/>
        </w:rPr>
      </w:pPr>
      <w:r w:rsidRPr="00A66EEC">
        <w:rPr>
          <w:rFonts w:ascii="Palatino Linotype" w:hAnsi="Palatino Linotype" w:cs="Arial"/>
          <w:b/>
          <w:i/>
        </w:rPr>
        <w:t>SÉPTIMO TRIBUNAL COLEGIADO EN MATERIA CIVIL DEL PRIMER CIRCUITO.</w:t>
      </w:r>
    </w:p>
    <w:p w14:paraId="0A8D93F9" w14:textId="77777777" w:rsidR="00C94BC0" w:rsidRPr="00A66EEC" w:rsidRDefault="00C94BC0" w:rsidP="00C94BC0">
      <w:pPr>
        <w:spacing w:line="360" w:lineRule="auto"/>
        <w:ind w:left="851" w:right="851"/>
        <w:jc w:val="both"/>
        <w:rPr>
          <w:rFonts w:ascii="Palatino Linotype" w:hAnsi="Palatino Linotype" w:cs="Arial"/>
          <w:i/>
        </w:rPr>
      </w:pPr>
      <w:r w:rsidRPr="00A66EEC">
        <w:rPr>
          <w:rFonts w:ascii="Palatino Linotype" w:hAnsi="Palatino Linotype" w:cs="Arial"/>
          <w:i/>
        </w:rPr>
        <w:t>Amparo directo 699/2008. Mariana Leticia González Steele. 13 de noviembre de 2008. Unanimidad de votos. Ponente: Sara Judith Montalvo Trejo. Secretario: Arnulfo Mateos García.”</w:t>
      </w:r>
      <w:r w:rsidRPr="00A66EEC">
        <w:rPr>
          <w:rFonts w:ascii="Palatino Linotype" w:eastAsia="Times New Roman" w:hAnsi="Palatino Linotype" w:cs="Times New Roman"/>
          <w:b/>
          <w:i/>
          <w:lang w:val="es-ES_tradnl" w:eastAsia="es-ES"/>
        </w:rPr>
        <w:t xml:space="preserve"> [Sic]</w:t>
      </w:r>
    </w:p>
    <w:p w14:paraId="74728096" w14:textId="77777777" w:rsidR="00C94BC0" w:rsidRPr="00A66EEC" w:rsidRDefault="00C94BC0" w:rsidP="00C94BC0">
      <w:pPr>
        <w:ind w:right="141"/>
        <w:jc w:val="both"/>
        <w:rPr>
          <w:rFonts w:ascii="Palatino Linotype" w:hAnsi="Palatino Linotype" w:cs="Arial"/>
        </w:rPr>
      </w:pPr>
    </w:p>
    <w:p w14:paraId="67BBDF1E" w14:textId="77777777" w:rsidR="00C94BC0" w:rsidRPr="00A66EEC" w:rsidRDefault="00C94BC0" w:rsidP="00C94BC0">
      <w:pPr>
        <w:spacing w:line="360" w:lineRule="auto"/>
        <w:jc w:val="both"/>
        <w:rPr>
          <w:rFonts w:ascii="Palatino Linotype" w:hAnsi="Palatino Linotype" w:cs="Arial"/>
          <w:sz w:val="24"/>
          <w:szCs w:val="24"/>
        </w:rPr>
      </w:pPr>
      <w:r w:rsidRPr="00A66EEC">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A66EEC">
        <w:rPr>
          <w:rFonts w:ascii="Palatino Linotype" w:hAnsi="Palatino Linotype" w:cs="Arial"/>
          <w:b/>
          <w:sz w:val="24"/>
          <w:szCs w:val="24"/>
        </w:rPr>
        <w:t xml:space="preserve">artículo 192 </w:t>
      </w:r>
      <w:r w:rsidRPr="00A66EEC">
        <w:rPr>
          <w:rFonts w:ascii="Palatino Linotype" w:hAnsi="Palatino Linotype" w:cs="Arial"/>
          <w:sz w:val="24"/>
          <w:szCs w:val="24"/>
        </w:rPr>
        <w:t xml:space="preserve">de la </w:t>
      </w:r>
      <w:r w:rsidRPr="00A66EEC">
        <w:rPr>
          <w:rFonts w:ascii="Palatino Linotype" w:hAnsi="Palatino Linotype" w:cs="Arial"/>
          <w:b/>
          <w:sz w:val="24"/>
          <w:szCs w:val="24"/>
        </w:rPr>
        <w:t xml:space="preserve">Ley de Transparencia y Acceso a la Información Pública del Estado de México y Municipios, </w:t>
      </w:r>
      <w:r w:rsidRPr="00A66EEC">
        <w:rPr>
          <w:rFonts w:ascii="Palatino Linotype" w:hAnsi="Palatino Linotype" w:cs="Arial"/>
          <w:sz w:val="24"/>
          <w:szCs w:val="24"/>
        </w:rPr>
        <w:t xml:space="preserve">nos encontramos ante un sobreseimiento definitivo toda vez que pone fin al procedimiento sin entrar al estudio de fondo del mismo. </w:t>
      </w:r>
    </w:p>
    <w:p w14:paraId="2D6B8001" w14:textId="77777777" w:rsidR="00C94BC0" w:rsidRPr="00A66EEC" w:rsidRDefault="00C94BC0" w:rsidP="00C94BC0">
      <w:pPr>
        <w:spacing w:line="360" w:lineRule="auto"/>
        <w:jc w:val="both"/>
        <w:rPr>
          <w:rFonts w:ascii="Palatino Linotype" w:hAnsi="Palatino Linotype" w:cs="Arial"/>
          <w:b/>
          <w:sz w:val="24"/>
          <w:szCs w:val="24"/>
        </w:rPr>
      </w:pPr>
      <w:r w:rsidRPr="00A66EEC">
        <w:rPr>
          <w:rFonts w:ascii="Palatino Linotype" w:hAnsi="Palatino Linotype" w:cs="Arial"/>
          <w:sz w:val="24"/>
          <w:szCs w:val="24"/>
        </w:rPr>
        <w:t xml:space="preserve">Para los efectos de esta resolución, resulta oportuno precisar los alcances jurídicos de la </w:t>
      </w:r>
      <w:r w:rsidRPr="00A66EEC">
        <w:rPr>
          <w:rFonts w:ascii="Palatino Linotype" w:hAnsi="Palatino Linotype" w:cs="Arial"/>
          <w:b/>
          <w:sz w:val="24"/>
          <w:szCs w:val="24"/>
        </w:rPr>
        <w:t xml:space="preserve">fracción III </w:t>
      </w:r>
      <w:r w:rsidRPr="00A66EEC">
        <w:rPr>
          <w:rFonts w:ascii="Palatino Linotype" w:hAnsi="Palatino Linotype" w:cs="Arial"/>
          <w:sz w:val="24"/>
          <w:szCs w:val="24"/>
        </w:rPr>
        <w:t xml:space="preserve">de la disposición legal transcrita. Así, procede el sobreseimiento del recurso de revisión cuando el </w:t>
      </w:r>
      <w:r w:rsidRPr="00A66EEC">
        <w:rPr>
          <w:rFonts w:ascii="Palatino Linotype" w:hAnsi="Palatino Linotype" w:cs="Arial"/>
          <w:b/>
          <w:sz w:val="24"/>
          <w:szCs w:val="24"/>
        </w:rPr>
        <w:t xml:space="preserve">Sujeto Obligado: </w:t>
      </w:r>
    </w:p>
    <w:p w14:paraId="101A74BE" w14:textId="77777777" w:rsidR="00C94BC0" w:rsidRPr="00A66EEC" w:rsidRDefault="00C94BC0" w:rsidP="003E11E6">
      <w:pPr>
        <w:pStyle w:val="Prrafodelista"/>
        <w:numPr>
          <w:ilvl w:val="0"/>
          <w:numId w:val="7"/>
        </w:numPr>
        <w:spacing w:line="360" w:lineRule="auto"/>
        <w:ind w:right="851"/>
        <w:jc w:val="both"/>
        <w:rPr>
          <w:rFonts w:ascii="Palatino Linotype" w:hAnsi="Palatino Linotype" w:cs="Arial"/>
          <w:b/>
        </w:rPr>
      </w:pPr>
      <w:r w:rsidRPr="00A66EEC">
        <w:rPr>
          <w:rFonts w:ascii="Palatino Linotype" w:hAnsi="Palatino Linotype" w:cs="Arial"/>
          <w:b/>
        </w:rPr>
        <w:t xml:space="preserve">Modifique el acto impugnado: </w:t>
      </w:r>
      <w:r w:rsidRPr="00A66EEC">
        <w:rPr>
          <w:rFonts w:ascii="Palatino Linotype" w:hAnsi="Palatino Linotype" w:cs="Arial"/>
        </w:rPr>
        <w:t xml:space="preserve">Se actualiza cuando el </w:t>
      </w:r>
      <w:r w:rsidRPr="00A66EEC">
        <w:rPr>
          <w:rFonts w:ascii="Palatino Linotype" w:hAnsi="Palatino Linotype" w:cs="Arial"/>
          <w:b/>
        </w:rPr>
        <w:t xml:space="preserve">Sujeto Obligado </w:t>
      </w:r>
      <w:r w:rsidRPr="00A66EEC">
        <w:rPr>
          <w:rFonts w:ascii="Palatino Linotype" w:hAnsi="Palatino Linotype" w:cs="Arial"/>
        </w:rPr>
        <w:t xml:space="preserve">después de haber otorgado una respuesta y hasta antes de dictada la </w:t>
      </w:r>
      <w:r w:rsidRPr="00A66EEC">
        <w:rPr>
          <w:rFonts w:ascii="Palatino Linotype" w:hAnsi="Palatino Linotype" w:cs="Arial"/>
        </w:rPr>
        <w:lastRenderedPageBreak/>
        <w:t xml:space="preserve">resolución del recurso de revisión, emite una diversa en la que subsane las deficiencias que hubiere tenido. </w:t>
      </w:r>
    </w:p>
    <w:p w14:paraId="61FD5059" w14:textId="77777777" w:rsidR="00C94BC0" w:rsidRPr="00A66EEC" w:rsidRDefault="00C94BC0" w:rsidP="00C94BC0">
      <w:pPr>
        <w:pStyle w:val="Prrafodelista"/>
        <w:spacing w:line="360" w:lineRule="auto"/>
        <w:ind w:left="720" w:right="851"/>
        <w:jc w:val="both"/>
        <w:rPr>
          <w:rFonts w:ascii="Palatino Linotype" w:hAnsi="Palatino Linotype" w:cs="Arial"/>
          <w:b/>
        </w:rPr>
      </w:pPr>
    </w:p>
    <w:p w14:paraId="4E00506E" w14:textId="77777777" w:rsidR="00C94BC0" w:rsidRPr="00A66EEC" w:rsidRDefault="00C94BC0" w:rsidP="00C94BC0">
      <w:pPr>
        <w:spacing w:line="360" w:lineRule="auto"/>
        <w:jc w:val="both"/>
        <w:rPr>
          <w:rFonts w:ascii="Palatino Linotype" w:hAnsi="Palatino Linotype" w:cs="Arial"/>
          <w:sz w:val="24"/>
          <w:szCs w:val="24"/>
          <w:u w:val="single"/>
        </w:rPr>
      </w:pPr>
      <w:r w:rsidRPr="00A66EEC">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A66EEC">
        <w:rPr>
          <w:rFonts w:ascii="Palatino Linotype" w:hAnsi="Palatino Linotype" w:cs="Arial"/>
          <w:b/>
          <w:sz w:val="24"/>
          <w:szCs w:val="24"/>
          <w:u w:val="single"/>
        </w:rPr>
        <w:t xml:space="preserve">cuando ha sido satisfecha la pretensión del particular, </w:t>
      </w:r>
      <w:r w:rsidRPr="00A66EEC">
        <w:rPr>
          <w:rFonts w:ascii="Palatino Linotype" w:hAnsi="Palatino Linotype" w:cs="Arial"/>
          <w:sz w:val="24"/>
          <w:szCs w:val="24"/>
        </w:rPr>
        <w:t>ya sea porque se hizo la entrega de la información solicitada o porque se completó la misma.</w:t>
      </w:r>
      <w:r w:rsidRPr="00A66EEC">
        <w:rPr>
          <w:rFonts w:ascii="Palatino Linotype" w:hAnsi="Palatino Linotype" w:cs="Arial"/>
          <w:sz w:val="24"/>
          <w:szCs w:val="24"/>
          <w:u w:val="single"/>
        </w:rPr>
        <w:t xml:space="preserve"> </w:t>
      </w:r>
    </w:p>
    <w:p w14:paraId="7D1A6D97" w14:textId="77777777" w:rsidR="00C94BC0" w:rsidRPr="00A66EEC" w:rsidRDefault="00C94BC0" w:rsidP="00C94BC0">
      <w:pPr>
        <w:spacing w:line="360" w:lineRule="auto"/>
        <w:jc w:val="both"/>
        <w:rPr>
          <w:rFonts w:ascii="Palatino Linotype" w:hAnsi="Palatino Linotype" w:cs="Arial"/>
          <w:sz w:val="24"/>
          <w:szCs w:val="24"/>
        </w:rPr>
      </w:pPr>
      <w:r w:rsidRPr="00A66EEC">
        <w:rPr>
          <w:rFonts w:ascii="Palatino Linotype" w:hAnsi="Palatino Linotype" w:cs="Arial"/>
          <w:sz w:val="24"/>
          <w:szCs w:val="24"/>
        </w:rPr>
        <w:t xml:space="preserve">En este tenor, se advierte que </w:t>
      </w:r>
      <w:r w:rsidRPr="00A66EEC">
        <w:rPr>
          <w:rFonts w:ascii="Palatino Linotype" w:hAnsi="Palatino Linotype" w:cs="Arial"/>
          <w:b/>
          <w:sz w:val="24"/>
          <w:szCs w:val="24"/>
        </w:rPr>
        <w:t>El</w:t>
      </w:r>
      <w:r w:rsidRPr="00A66EEC">
        <w:rPr>
          <w:rFonts w:ascii="Palatino Linotype" w:hAnsi="Palatino Linotype" w:cs="Arial"/>
          <w:sz w:val="24"/>
          <w:szCs w:val="24"/>
        </w:rPr>
        <w:t xml:space="preserve"> </w:t>
      </w:r>
      <w:r w:rsidRPr="00A66EEC">
        <w:rPr>
          <w:rFonts w:ascii="Palatino Linotype" w:hAnsi="Palatino Linotype" w:cs="Arial"/>
          <w:b/>
          <w:sz w:val="24"/>
          <w:szCs w:val="24"/>
        </w:rPr>
        <w:t xml:space="preserve">Sujeto Obligado </w:t>
      </w:r>
      <w:r w:rsidRPr="00A66EEC">
        <w:rPr>
          <w:rFonts w:ascii="Palatino Linotype" w:hAnsi="Palatino Linotype" w:cs="Arial"/>
          <w:sz w:val="24"/>
          <w:szCs w:val="24"/>
        </w:rPr>
        <w:t xml:space="preserve">con la información enviada a este Órgano Garante, </w:t>
      </w:r>
      <w:r w:rsidRPr="00A66EEC">
        <w:rPr>
          <w:rFonts w:ascii="Palatino Linotype" w:hAnsi="Palatino Linotype" w:cs="Arial"/>
          <w:b/>
          <w:sz w:val="24"/>
          <w:szCs w:val="24"/>
        </w:rPr>
        <w:t xml:space="preserve">modifica </w:t>
      </w:r>
      <w:r w:rsidRPr="00A66EEC">
        <w:rPr>
          <w:rFonts w:ascii="Palatino Linotype" w:hAnsi="Palatino Linotype" w:cs="Arial"/>
          <w:sz w:val="24"/>
          <w:szCs w:val="24"/>
        </w:rPr>
        <w:t xml:space="preserve">el acto que le dio origen al recurso de revisión, </w:t>
      </w:r>
      <w:r w:rsidRPr="00A66EEC">
        <w:rPr>
          <w:rFonts w:ascii="Palatino Linotype" w:hAnsi="Palatino Linotype" w:cs="Arial"/>
          <w:b/>
          <w:sz w:val="24"/>
          <w:szCs w:val="24"/>
        </w:rPr>
        <w:t xml:space="preserve">por lo que trae como consecuencia que el mismo quede sin materia, </w:t>
      </w:r>
      <w:r w:rsidRPr="00A66EEC">
        <w:rPr>
          <w:rFonts w:ascii="Palatino Linotype" w:hAnsi="Palatino Linotype" w:cs="Arial"/>
          <w:sz w:val="24"/>
          <w:szCs w:val="24"/>
        </w:rPr>
        <w:t xml:space="preserve">actualizándose de este modo, la hipótesis jurídica contenida en la fracción III del artículo 192. </w:t>
      </w:r>
    </w:p>
    <w:p w14:paraId="79EB2DB1" w14:textId="77777777" w:rsidR="00C94BC0" w:rsidRPr="00A66EEC" w:rsidRDefault="00C94BC0" w:rsidP="00C94BC0">
      <w:pPr>
        <w:spacing w:line="360" w:lineRule="auto"/>
        <w:jc w:val="both"/>
        <w:rPr>
          <w:rFonts w:ascii="Palatino Linotype" w:hAnsi="Palatino Linotype" w:cs="Arial"/>
          <w:sz w:val="24"/>
          <w:szCs w:val="24"/>
        </w:rPr>
      </w:pPr>
      <w:r w:rsidRPr="00A66EEC">
        <w:rPr>
          <w:rFonts w:ascii="Palatino Linotype" w:hAnsi="Palatino Linotype" w:cs="Arial"/>
          <w:sz w:val="24"/>
          <w:szCs w:val="24"/>
        </w:rPr>
        <w:t xml:space="preserve">De este modo, cuando </w:t>
      </w:r>
      <w:r w:rsidRPr="00A66EEC">
        <w:rPr>
          <w:rFonts w:ascii="Palatino Linotype" w:hAnsi="Palatino Linotype" w:cs="Arial"/>
          <w:b/>
          <w:sz w:val="24"/>
          <w:szCs w:val="24"/>
        </w:rPr>
        <w:t>El</w:t>
      </w:r>
      <w:r w:rsidRPr="00A66EEC">
        <w:rPr>
          <w:rFonts w:ascii="Palatino Linotype" w:hAnsi="Palatino Linotype" w:cs="Arial"/>
          <w:sz w:val="24"/>
          <w:szCs w:val="24"/>
        </w:rPr>
        <w:t xml:space="preserve"> </w:t>
      </w:r>
      <w:r w:rsidRPr="00A66EEC">
        <w:rPr>
          <w:rFonts w:ascii="Palatino Linotype" w:hAnsi="Palatino Linotype" w:cs="Arial"/>
          <w:b/>
          <w:sz w:val="24"/>
          <w:szCs w:val="24"/>
        </w:rPr>
        <w:t>Sujeto Obligado</w:t>
      </w:r>
      <w:r w:rsidRPr="00A66EEC">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r w:rsidRPr="00A66EEC">
        <w:rPr>
          <w:rFonts w:ascii="Palatino Linotype" w:hAnsi="Palatino Linotype" w:cs="Arial"/>
          <w:b/>
          <w:i/>
          <w:sz w:val="24"/>
          <w:szCs w:val="24"/>
        </w:rPr>
        <w:t xml:space="preserve">litis </w:t>
      </w:r>
      <w:r w:rsidRPr="00A66EEC">
        <w:rPr>
          <w:rFonts w:ascii="Palatino Linotype" w:hAnsi="Palatino Linotype" w:cs="Arial"/>
          <w:sz w:val="24"/>
          <w:szCs w:val="24"/>
        </w:rPr>
        <w:t xml:space="preserve">planteada, debido a que la afectación en su esfera de derechos fue restituida por la propia autoridad que emitió el acto de impugnación. </w:t>
      </w:r>
    </w:p>
    <w:p w14:paraId="4E44D89C" w14:textId="77777777" w:rsidR="00C94BC0" w:rsidRPr="00A66EEC" w:rsidRDefault="00C94BC0" w:rsidP="00C94BC0">
      <w:pPr>
        <w:tabs>
          <w:tab w:val="left" w:pos="7797"/>
        </w:tabs>
        <w:spacing w:line="360" w:lineRule="auto"/>
        <w:jc w:val="both"/>
        <w:rPr>
          <w:rFonts w:ascii="Palatino Linotype" w:hAnsi="Palatino Linotype" w:cs="Arial"/>
          <w:sz w:val="24"/>
          <w:szCs w:val="24"/>
        </w:rPr>
      </w:pPr>
      <w:r w:rsidRPr="00A66EEC">
        <w:rPr>
          <w:rFonts w:ascii="Palatino Linotype" w:hAnsi="Palatino Linotype" w:cs="Arial"/>
          <w:sz w:val="24"/>
          <w:szCs w:val="24"/>
        </w:rPr>
        <w:t xml:space="preserve">Por lo tanto, para que se actualice el sobreseimiento de un recurso de revisión, </w:t>
      </w:r>
      <w:r w:rsidRPr="00A66EEC">
        <w:rPr>
          <w:rFonts w:ascii="Palatino Linotype" w:hAnsi="Palatino Linotype" w:cs="Arial"/>
          <w:b/>
          <w:sz w:val="24"/>
          <w:szCs w:val="24"/>
        </w:rPr>
        <w:t>El</w:t>
      </w:r>
      <w:r w:rsidRPr="00A66EEC">
        <w:rPr>
          <w:rFonts w:ascii="Palatino Linotype" w:hAnsi="Palatino Linotype" w:cs="Arial"/>
          <w:sz w:val="24"/>
          <w:szCs w:val="24"/>
        </w:rPr>
        <w:t xml:space="preserve"> </w:t>
      </w:r>
      <w:r w:rsidRPr="00A66EEC">
        <w:rPr>
          <w:rFonts w:ascii="Palatino Linotype" w:hAnsi="Palatino Linotype" w:cs="Arial"/>
          <w:b/>
          <w:sz w:val="24"/>
          <w:szCs w:val="24"/>
        </w:rPr>
        <w:t xml:space="preserve">Sujeto Obligado </w:t>
      </w:r>
      <w:r w:rsidRPr="00A66EEC">
        <w:rPr>
          <w:rFonts w:ascii="Palatino Linotype" w:hAnsi="Palatino Linotype" w:cs="Arial"/>
          <w:sz w:val="24"/>
          <w:szCs w:val="24"/>
        </w:rPr>
        <w:t xml:space="preserve">puede entregar o completar la información al momento de rendir su </w:t>
      </w:r>
      <w:r w:rsidRPr="00A66EEC">
        <w:rPr>
          <w:rFonts w:ascii="Palatino Linotype" w:hAnsi="Palatino Linotype" w:cs="Arial"/>
          <w:b/>
          <w:sz w:val="24"/>
          <w:szCs w:val="24"/>
          <w:u w:val="single"/>
        </w:rPr>
        <w:t>informe de justificación dentro de los siete días</w:t>
      </w:r>
      <w:r w:rsidRPr="00A66EEC">
        <w:rPr>
          <w:rFonts w:ascii="Palatino Linotype" w:hAnsi="Palatino Linotype" w:cs="Arial"/>
          <w:b/>
          <w:sz w:val="24"/>
          <w:szCs w:val="24"/>
        </w:rPr>
        <w:t xml:space="preserve"> </w:t>
      </w:r>
      <w:r w:rsidRPr="00A66EEC">
        <w:rPr>
          <w:rFonts w:ascii="Palatino Linotype" w:hAnsi="Palatino Linotype" w:cs="Arial"/>
          <w:sz w:val="24"/>
          <w:szCs w:val="24"/>
        </w:rPr>
        <w:t>previstos para manifestar lo que a su derecho convenga.</w:t>
      </w:r>
    </w:p>
    <w:p w14:paraId="4236B582" w14:textId="6649C571" w:rsidR="00C94BC0" w:rsidRPr="00A66EEC" w:rsidRDefault="00C94BC0" w:rsidP="00C94BC0">
      <w:pPr>
        <w:tabs>
          <w:tab w:val="left" w:pos="8080"/>
        </w:tabs>
        <w:spacing w:line="360" w:lineRule="auto"/>
        <w:jc w:val="both"/>
        <w:rPr>
          <w:rFonts w:ascii="Palatino Linotype" w:hAnsi="Palatino Linotype" w:cs="Arial"/>
          <w:sz w:val="24"/>
          <w:szCs w:val="24"/>
        </w:rPr>
      </w:pPr>
      <w:r w:rsidRPr="00A66EEC">
        <w:rPr>
          <w:rFonts w:ascii="Palatino Linotype" w:hAnsi="Palatino Linotype" w:cs="Arial"/>
          <w:sz w:val="24"/>
          <w:szCs w:val="24"/>
        </w:rPr>
        <w:lastRenderedPageBreak/>
        <w:t xml:space="preserve">En mérito de lo expuesto en líneas anteriores, resultan fundados los motivos de inconformidad que arguye </w:t>
      </w:r>
      <w:r w:rsidRPr="00A66EEC">
        <w:rPr>
          <w:rFonts w:ascii="Palatino Linotype" w:hAnsi="Palatino Linotype" w:cs="Arial"/>
          <w:b/>
          <w:sz w:val="24"/>
          <w:szCs w:val="24"/>
        </w:rPr>
        <w:t xml:space="preserve">El Recurrente </w:t>
      </w:r>
      <w:r w:rsidRPr="00A66EEC">
        <w:rPr>
          <w:rFonts w:ascii="Palatino Linotype" w:hAnsi="Palatino Linotype" w:cs="Arial"/>
          <w:sz w:val="24"/>
          <w:szCs w:val="24"/>
        </w:rPr>
        <w:t xml:space="preserve">en su medio de impugnación que fue materia de estudio, por ello </w:t>
      </w:r>
      <w:r w:rsidRPr="00A66EEC">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sidRPr="00A66EEC">
        <w:rPr>
          <w:rFonts w:ascii="Palatino Linotype" w:hAnsi="Palatino Linotype" w:cs="Arial"/>
          <w:sz w:val="24"/>
          <w:szCs w:val="24"/>
        </w:rPr>
        <w:t xml:space="preserve">se </w:t>
      </w:r>
      <w:r w:rsidRPr="00A66EEC">
        <w:rPr>
          <w:rFonts w:ascii="Palatino Linotype" w:hAnsi="Palatino Linotype" w:cs="Arial"/>
          <w:b/>
          <w:sz w:val="24"/>
          <w:szCs w:val="24"/>
        </w:rPr>
        <w:t xml:space="preserve">SOBRESEE </w:t>
      </w:r>
      <w:r w:rsidRPr="00A66EEC">
        <w:rPr>
          <w:rFonts w:ascii="Palatino Linotype" w:hAnsi="Palatino Linotype" w:cs="Arial"/>
          <w:sz w:val="24"/>
          <w:szCs w:val="24"/>
        </w:rPr>
        <w:t xml:space="preserve">el recurso de revisión </w:t>
      </w:r>
      <w:r w:rsidRPr="00A66EEC">
        <w:rPr>
          <w:rFonts w:ascii="Palatino Linotype" w:hAnsi="Palatino Linotype" w:cs="Arial"/>
          <w:b/>
          <w:sz w:val="24"/>
          <w:szCs w:val="24"/>
        </w:rPr>
        <w:t>04600/INFOEM/IP/RR/2023</w:t>
      </w:r>
      <w:r w:rsidRPr="00A66EEC">
        <w:rPr>
          <w:rFonts w:ascii="Palatino Linotype" w:hAnsi="Palatino Linotype" w:cs="Arial"/>
          <w:b/>
          <w:sz w:val="24"/>
          <w:szCs w:val="24"/>
          <w:lang w:val="es-ES_tradnl"/>
        </w:rPr>
        <w:t xml:space="preserve">, </w:t>
      </w:r>
      <w:r w:rsidRPr="00A66EEC">
        <w:rPr>
          <w:rFonts w:ascii="Palatino Linotype" w:hAnsi="Palatino Linotype" w:cs="Arial"/>
          <w:sz w:val="24"/>
          <w:szCs w:val="24"/>
          <w:lang w:val="es-ES_tradnl"/>
        </w:rPr>
        <w:t xml:space="preserve">que ha sido materia del presente fallo. </w:t>
      </w:r>
    </w:p>
    <w:p w14:paraId="47DE1817" w14:textId="77777777" w:rsidR="00C94BC0" w:rsidRPr="00A66EEC" w:rsidRDefault="00C94BC0" w:rsidP="00C94BC0">
      <w:pPr>
        <w:tabs>
          <w:tab w:val="left" w:pos="8080"/>
        </w:tabs>
        <w:spacing w:line="360" w:lineRule="auto"/>
        <w:jc w:val="both"/>
        <w:rPr>
          <w:rFonts w:ascii="Palatino Linotype" w:hAnsi="Palatino Linotype" w:cs="Arial"/>
          <w:bCs/>
          <w:sz w:val="24"/>
          <w:szCs w:val="24"/>
        </w:rPr>
      </w:pPr>
      <w:r w:rsidRPr="00A66EEC">
        <w:rPr>
          <w:rFonts w:ascii="Palatino Linotype" w:hAnsi="Palatino Linotype" w:cs="Arial"/>
          <w:bCs/>
          <w:sz w:val="24"/>
          <w:szCs w:val="24"/>
        </w:rPr>
        <w:t>Por lo antes expuesto y fundado es de resolverse y,</w:t>
      </w:r>
    </w:p>
    <w:p w14:paraId="13D06769" w14:textId="77777777" w:rsidR="00C94BC0" w:rsidRPr="00A66EEC" w:rsidRDefault="00C94BC0" w:rsidP="00C94BC0">
      <w:pPr>
        <w:spacing w:after="0" w:line="360" w:lineRule="auto"/>
        <w:jc w:val="center"/>
        <w:rPr>
          <w:rFonts w:ascii="Palatino Linotype" w:eastAsia="Times New Roman" w:hAnsi="Palatino Linotype" w:cs="Times New Roman"/>
          <w:b/>
          <w:bCs/>
          <w:spacing w:val="60"/>
          <w:sz w:val="28"/>
          <w:szCs w:val="24"/>
          <w:lang w:val="es-ES_tradnl" w:eastAsia="es-ES"/>
        </w:rPr>
      </w:pPr>
    </w:p>
    <w:p w14:paraId="3D1BE08A" w14:textId="77777777" w:rsidR="00C94BC0" w:rsidRPr="00A66EEC" w:rsidRDefault="00C94BC0" w:rsidP="00C94BC0">
      <w:pPr>
        <w:spacing w:after="0" w:line="360" w:lineRule="auto"/>
        <w:jc w:val="center"/>
        <w:rPr>
          <w:rFonts w:ascii="Palatino Linotype" w:eastAsia="Times New Roman" w:hAnsi="Palatino Linotype" w:cs="Times New Roman"/>
          <w:b/>
          <w:bCs/>
          <w:spacing w:val="60"/>
          <w:sz w:val="28"/>
          <w:szCs w:val="24"/>
          <w:lang w:val="es-ES_tradnl" w:eastAsia="es-ES"/>
        </w:rPr>
      </w:pPr>
    </w:p>
    <w:p w14:paraId="7181ED37" w14:textId="77777777" w:rsidR="00C94BC0" w:rsidRPr="00A66EEC" w:rsidRDefault="00C94BC0" w:rsidP="00C94BC0">
      <w:pPr>
        <w:spacing w:after="0" w:line="360" w:lineRule="auto"/>
        <w:jc w:val="center"/>
        <w:rPr>
          <w:rFonts w:ascii="Palatino Linotype" w:eastAsia="Times New Roman" w:hAnsi="Palatino Linotype" w:cs="Times New Roman"/>
          <w:b/>
          <w:bCs/>
          <w:spacing w:val="60"/>
          <w:sz w:val="28"/>
          <w:szCs w:val="24"/>
          <w:lang w:val="es-ES_tradnl" w:eastAsia="es-ES"/>
        </w:rPr>
      </w:pPr>
      <w:r w:rsidRPr="00A66EEC">
        <w:rPr>
          <w:rFonts w:ascii="Palatino Linotype" w:eastAsia="Times New Roman" w:hAnsi="Palatino Linotype" w:cs="Times New Roman"/>
          <w:b/>
          <w:bCs/>
          <w:spacing w:val="60"/>
          <w:sz w:val="28"/>
          <w:szCs w:val="24"/>
          <w:lang w:val="es-ES_tradnl" w:eastAsia="es-ES"/>
        </w:rPr>
        <w:t>SE    RESUELVE</w:t>
      </w:r>
    </w:p>
    <w:p w14:paraId="20764414" w14:textId="77777777" w:rsidR="00C94BC0" w:rsidRPr="00A66EEC" w:rsidRDefault="00C94BC0" w:rsidP="00C94BC0">
      <w:pPr>
        <w:spacing w:after="0" w:line="360" w:lineRule="auto"/>
        <w:jc w:val="center"/>
        <w:rPr>
          <w:rFonts w:ascii="Palatino Linotype" w:eastAsia="Times New Roman" w:hAnsi="Palatino Linotype" w:cs="Times New Roman"/>
          <w:bCs/>
          <w:spacing w:val="60"/>
          <w:sz w:val="24"/>
          <w:szCs w:val="24"/>
          <w:lang w:val="es-ES_tradnl" w:eastAsia="es-ES"/>
        </w:rPr>
      </w:pPr>
    </w:p>
    <w:p w14:paraId="741E78B9" w14:textId="767F15D6" w:rsidR="00C94BC0" w:rsidRPr="00A66EEC" w:rsidRDefault="00C94BC0" w:rsidP="00C94BC0">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A66EEC">
        <w:rPr>
          <w:rFonts w:ascii="Palatino Linotype" w:eastAsiaTheme="minorEastAsia" w:hAnsi="Palatino Linotype" w:cs="Arial"/>
          <w:b/>
          <w:sz w:val="28"/>
          <w:szCs w:val="24"/>
          <w:lang w:val="es-ES_tradnl" w:eastAsia="es-ES"/>
        </w:rPr>
        <w:t>PRIMERO.</w:t>
      </w:r>
      <w:r w:rsidRPr="00A66EEC">
        <w:rPr>
          <w:rFonts w:ascii="Palatino Linotype" w:eastAsiaTheme="minorEastAsia" w:hAnsi="Palatino Linotype" w:cs="Arial"/>
          <w:sz w:val="24"/>
          <w:szCs w:val="24"/>
          <w:lang w:val="es-ES_tradnl" w:eastAsia="es-ES"/>
        </w:rPr>
        <w:t xml:space="preserve"> Se </w:t>
      </w:r>
      <w:r w:rsidRPr="00A66EEC">
        <w:rPr>
          <w:rFonts w:ascii="Palatino Linotype" w:eastAsiaTheme="minorEastAsia" w:hAnsi="Palatino Linotype" w:cs="Arial"/>
          <w:b/>
          <w:sz w:val="24"/>
          <w:szCs w:val="24"/>
          <w:lang w:val="es-ES_tradnl" w:eastAsia="es-ES"/>
        </w:rPr>
        <w:t>SOBRESEE</w:t>
      </w:r>
      <w:r w:rsidRPr="00A66EEC">
        <w:rPr>
          <w:rFonts w:ascii="Palatino Linotype" w:eastAsiaTheme="minorEastAsia" w:hAnsi="Palatino Linotype" w:cs="Arial"/>
          <w:sz w:val="24"/>
          <w:szCs w:val="24"/>
          <w:lang w:val="es-ES_tradnl" w:eastAsia="es-ES"/>
        </w:rPr>
        <w:t xml:space="preserve"> el recurso de revisión número </w:t>
      </w:r>
      <w:r w:rsidRPr="00A66EEC">
        <w:rPr>
          <w:rFonts w:ascii="Palatino Linotype" w:hAnsi="Palatino Linotype" w:cs="Arial"/>
          <w:b/>
          <w:sz w:val="24"/>
          <w:szCs w:val="24"/>
        </w:rPr>
        <w:t>04600/INFOEM/IP/RR/2023</w:t>
      </w:r>
      <w:r w:rsidRPr="00A66EEC">
        <w:rPr>
          <w:rFonts w:ascii="Palatino Linotype" w:eastAsiaTheme="minorEastAsia" w:hAnsi="Palatino Linotype" w:cs="Arial"/>
          <w:sz w:val="24"/>
          <w:szCs w:val="24"/>
          <w:lang w:val="es-ES_tradnl" w:eastAsia="es-ES"/>
        </w:rPr>
        <w:t xml:space="preserve">, porque </w:t>
      </w:r>
      <w:r w:rsidRPr="00A66EEC">
        <w:rPr>
          <w:rFonts w:ascii="Palatino Linotype" w:eastAsiaTheme="minorEastAsia" w:hAnsi="Palatino Linotype" w:cs="Arial"/>
          <w:b/>
          <w:bCs/>
          <w:sz w:val="24"/>
          <w:szCs w:val="24"/>
          <w:lang w:val="es-ES_tradnl" w:eastAsia="es-ES"/>
        </w:rPr>
        <w:t>EL SUJETO OBLIGADO</w:t>
      </w:r>
      <w:r w:rsidRPr="00A66EEC">
        <w:rPr>
          <w:rFonts w:ascii="Palatino Linotype" w:eastAsiaTheme="minorEastAsia" w:hAnsi="Palatino Linotype" w:cs="Arial"/>
          <w:sz w:val="24"/>
          <w:szCs w:val="24"/>
          <w:lang w:val="es-ES_tradnl" w:eastAsia="es-ES"/>
        </w:rPr>
        <w:t xml:space="preserve"> al modificar su respuesta, el recurso de revisión quedó sin materia, en términos del artículo 192 fracción III de la Ley de Transparencia y Acceso a la Información Pública del Estado de México y Municipios, en términos del Considerando </w:t>
      </w:r>
      <w:r w:rsidRPr="00A66EEC">
        <w:rPr>
          <w:rFonts w:ascii="Palatino Linotype" w:eastAsiaTheme="minorEastAsia" w:hAnsi="Palatino Linotype" w:cs="Arial"/>
          <w:b/>
          <w:sz w:val="24"/>
          <w:szCs w:val="24"/>
          <w:lang w:val="es-ES_tradnl" w:eastAsia="es-ES"/>
        </w:rPr>
        <w:t>CUARTO</w:t>
      </w:r>
      <w:r w:rsidRPr="00A66EEC">
        <w:rPr>
          <w:rFonts w:ascii="Palatino Linotype" w:eastAsiaTheme="minorEastAsia" w:hAnsi="Palatino Linotype" w:cs="Arial"/>
          <w:sz w:val="24"/>
          <w:szCs w:val="24"/>
          <w:lang w:val="es-ES_tradnl" w:eastAsia="es-ES"/>
        </w:rPr>
        <w:t xml:space="preserve"> de la presente resolución.</w:t>
      </w:r>
    </w:p>
    <w:p w14:paraId="500A39A8" w14:textId="77777777" w:rsidR="00C94BC0" w:rsidRPr="00A66EEC" w:rsidRDefault="00C94BC0" w:rsidP="00C94BC0">
      <w:pPr>
        <w:tabs>
          <w:tab w:val="left" w:pos="8647"/>
        </w:tabs>
        <w:spacing w:after="0" w:line="360" w:lineRule="auto"/>
        <w:ind w:right="51"/>
        <w:jc w:val="both"/>
        <w:rPr>
          <w:rFonts w:ascii="Palatino Linotype" w:eastAsiaTheme="minorEastAsia" w:hAnsi="Palatino Linotype" w:cs="Arial"/>
          <w:sz w:val="24"/>
          <w:szCs w:val="24"/>
          <w:lang w:eastAsia="es-ES"/>
        </w:rPr>
      </w:pPr>
    </w:p>
    <w:p w14:paraId="3352C3F7" w14:textId="77777777" w:rsidR="00C94BC0" w:rsidRPr="00A66EEC" w:rsidRDefault="00C94BC0" w:rsidP="00C94BC0">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A66EEC">
        <w:rPr>
          <w:rFonts w:ascii="Palatino Linotype" w:eastAsiaTheme="minorEastAsia" w:hAnsi="Palatino Linotype" w:cs="Arial"/>
          <w:b/>
          <w:sz w:val="28"/>
          <w:szCs w:val="24"/>
          <w:lang w:val="es-ES_tradnl" w:eastAsia="es-ES"/>
        </w:rPr>
        <w:t>SEGUNDO</w:t>
      </w:r>
      <w:r w:rsidRPr="00A66EEC">
        <w:rPr>
          <w:rFonts w:ascii="Palatino Linotype" w:eastAsiaTheme="minorEastAsia" w:hAnsi="Palatino Linotype" w:cs="Arial"/>
          <w:b/>
          <w:sz w:val="24"/>
          <w:szCs w:val="24"/>
          <w:lang w:val="es-ES_tradnl" w:eastAsia="es-ES"/>
        </w:rPr>
        <w:t>.</w:t>
      </w:r>
      <w:r w:rsidRPr="00A66EEC">
        <w:rPr>
          <w:rFonts w:ascii="Palatino Linotype" w:eastAsiaTheme="minorEastAsia" w:hAnsi="Palatino Linotype" w:cs="Arial"/>
          <w:sz w:val="24"/>
          <w:szCs w:val="24"/>
          <w:lang w:val="es-ES_tradnl" w:eastAsia="es-ES"/>
        </w:rPr>
        <w:t xml:space="preserve"> </w:t>
      </w:r>
      <w:r w:rsidRPr="00A66EEC">
        <w:rPr>
          <w:rFonts w:ascii="Palatino Linotype" w:eastAsiaTheme="minorEastAsia" w:hAnsi="Palatino Linotype" w:cs="Arial"/>
          <w:b/>
          <w:sz w:val="24"/>
          <w:szCs w:val="24"/>
          <w:lang w:val="es-ES_tradnl" w:eastAsia="es-ES"/>
        </w:rPr>
        <w:t>NOTIFÍQUESE</w:t>
      </w:r>
      <w:r w:rsidRPr="00A66EEC">
        <w:rPr>
          <w:rFonts w:ascii="Palatino Linotype" w:eastAsiaTheme="minorEastAsia" w:hAnsi="Palatino Linotype" w:cs="Arial"/>
          <w:sz w:val="24"/>
          <w:szCs w:val="24"/>
          <w:lang w:val="es-ES_tradnl" w:eastAsia="es-ES"/>
        </w:rPr>
        <w:t xml:space="preserve"> vía </w:t>
      </w:r>
      <w:r w:rsidRPr="00A66EEC">
        <w:rPr>
          <w:rFonts w:ascii="Palatino Linotype" w:eastAsia="Times New Roman" w:hAnsi="Palatino Linotype" w:cs="Times New Roman"/>
          <w:sz w:val="24"/>
          <w:szCs w:val="24"/>
          <w:lang w:val="es-ES" w:eastAsia="es-ES"/>
        </w:rPr>
        <w:t>Sistema de Acceso a la Información Mexiquense</w:t>
      </w:r>
      <w:r w:rsidRPr="00A66EEC">
        <w:rPr>
          <w:rFonts w:ascii="Palatino Linotype" w:eastAsiaTheme="minorEastAsia" w:hAnsi="Palatino Linotype" w:cs="Arial"/>
          <w:b/>
          <w:bCs/>
          <w:sz w:val="24"/>
          <w:szCs w:val="24"/>
          <w:lang w:val="es-ES_tradnl" w:eastAsia="es-ES"/>
        </w:rPr>
        <w:t xml:space="preserve"> (SAIMEX)</w:t>
      </w:r>
      <w:r w:rsidRPr="00A66EEC">
        <w:rPr>
          <w:rFonts w:ascii="Palatino Linotype" w:eastAsiaTheme="minorEastAsia" w:hAnsi="Palatino Linotype" w:cs="Arial"/>
          <w:sz w:val="24"/>
          <w:szCs w:val="24"/>
          <w:lang w:val="es-ES_tradnl" w:eastAsia="es-ES"/>
        </w:rPr>
        <w:t xml:space="preserve"> la presente resolución al Titular de la Unidad de Transparencia del </w:t>
      </w:r>
      <w:r w:rsidRPr="00A66EEC">
        <w:rPr>
          <w:rFonts w:ascii="Palatino Linotype" w:eastAsiaTheme="minorEastAsia" w:hAnsi="Palatino Linotype" w:cs="Arial"/>
          <w:b/>
          <w:sz w:val="24"/>
          <w:szCs w:val="24"/>
          <w:lang w:val="es-ES_tradnl" w:eastAsia="es-ES"/>
        </w:rPr>
        <w:t>Sujeto Obligado</w:t>
      </w:r>
      <w:r w:rsidRPr="00A66EEC">
        <w:rPr>
          <w:rFonts w:ascii="Palatino Linotype" w:eastAsiaTheme="minorEastAsia" w:hAnsi="Palatino Linotype" w:cs="Arial"/>
          <w:sz w:val="24"/>
          <w:szCs w:val="24"/>
          <w:lang w:val="es-ES_tradnl" w:eastAsia="es-ES"/>
        </w:rPr>
        <w:t>.</w:t>
      </w:r>
    </w:p>
    <w:p w14:paraId="09349DB8" w14:textId="77777777" w:rsidR="00C94BC0" w:rsidRPr="00A66EEC" w:rsidRDefault="00C94BC0" w:rsidP="00C94BC0">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42935E28" w14:textId="77777777" w:rsidR="00C94BC0" w:rsidRPr="00A66EEC" w:rsidRDefault="00C94BC0" w:rsidP="00C94BC0">
      <w:pPr>
        <w:spacing w:after="0" w:line="360" w:lineRule="auto"/>
        <w:jc w:val="both"/>
        <w:rPr>
          <w:rFonts w:ascii="Palatino Linotype" w:eastAsia="Times New Roman" w:hAnsi="Palatino Linotype" w:cs="Arial"/>
          <w:sz w:val="24"/>
          <w:szCs w:val="24"/>
          <w:lang w:val="es-ES" w:eastAsia="es-ES"/>
        </w:rPr>
      </w:pPr>
      <w:r w:rsidRPr="00A66EEC">
        <w:rPr>
          <w:rFonts w:ascii="Palatino Linotype" w:eastAsia="Times New Roman" w:hAnsi="Palatino Linotype" w:cs="Arial"/>
          <w:b/>
          <w:sz w:val="28"/>
          <w:szCs w:val="24"/>
          <w:lang w:val="es-ES" w:eastAsia="es-ES"/>
        </w:rPr>
        <w:lastRenderedPageBreak/>
        <w:t>TERCERO</w:t>
      </w:r>
      <w:r w:rsidRPr="00A66EEC">
        <w:rPr>
          <w:rFonts w:ascii="Palatino Linotype" w:eastAsia="Times New Roman" w:hAnsi="Palatino Linotype" w:cs="Arial"/>
          <w:b/>
          <w:sz w:val="24"/>
          <w:szCs w:val="24"/>
          <w:lang w:val="es-ES" w:eastAsia="es-ES"/>
        </w:rPr>
        <w:t>.</w:t>
      </w:r>
      <w:r w:rsidRPr="00A66EEC">
        <w:rPr>
          <w:rFonts w:ascii="Palatino Linotype" w:eastAsia="Times New Roman" w:hAnsi="Palatino Linotype" w:cs="Arial"/>
          <w:sz w:val="24"/>
          <w:szCs w:val="24"/>
          <w:lang w:val="es-ES" w:eastAsia="es-ES"/>
        </w:rPr>
        <w:t xml:space="preserve"> </w:t>
      </w:r>
      <w:r w:rsidRPr="00A66EEC">
        <w:rPr>
          <w:rFonts w:ascii="Palatino Linotype" w:eastAsia="Times New Roman" w:hAnsi="Palatino Linotype" w:cs="Arial"/>
          <w:b/>
          <w:sz w:val="24"/>
          <w:szCs w:val="24"/>
          <w:lang w:val="es-ES" w:eastAsia="es-ES"/>
        </w:rPr>
        <w:t>NOTIFÍQUESE</w:t>
      </w:r>
      <w:r w:rsidRPr="00A66EEC">
        <w:rPr>
          <w:rFonts w:ascii="Palatino Linotype" w:eastAsia="Times New Roman" w:hAnsi="Palatino Linotype" w:cs="Arial"/>
          <w:sz w:val="24"/>
          <w:szCs w:val="24"/>
          <w:lang w:val="es-ES" w:eastAsia="es-ES"/>
        </w:rPr>
        <w:t xml:space="preserve"> a través del</w:t>
      </w:r>
      <w:r w:rsidRPr="00A66EEC">
        <w:rPr>
          <w:rFonts w:ascii="Palatino Linotype" w:eastAsia="Times New Roman" w:hAnsi="Palatino Linotype" w:cs="Times New Roman"/>
          <w:sz w:val="24"/>
          <w:szCs w:val="24"/>
          <w:lang w:val="es-ES" w:eastAsia="es-ES"/>
        </w:rPr>
        <w:t xml:space="preserve"> Sistema de Acceso a la Información Mexiquense </w:t>
      </w:r>
      <w:r w:rsidRPr="00A66EEC">
        <w:rPr>
          <w:rFonts w:ascii="Palatino Linotype" w:eastAsia="Times New Roman" w:hAnsi="Palatino Linotype" w:cs="Times New Roman"/>
          <w:b/>
          <w:bCs/>
          <w:sz w:val="24"/>
          <w:szCs w:val="24"/>
          <w:lang w:val="es-ES" w:eastAsia="es-ES"/>
        </w:rPr>
        <w:t>(SAIMEX)</w:t>
      </w:r>
      <w:r w:rsidRPr="00A66EEC">
        <w:rPr>
          <w:rFonts w:ascii="Palatino Linotype" w:eastAsia="Times New Roman" w:hAnsi="Palatino Linotype" w:cs="Arial"/>
          <w:b/>
          <w:bCs/>
          <w:sz w:val="24"/>
          <w:szCs w:val="24"/>
          <w:lang w:val="es-ES" w:eastAsia="es-ES"/>
        </w:rPr>
        <w:t>,</w:t>
      </w:r>
      <w:r w:rsidRPr="00A66EEC">
        <w:rPr>
          <w:rFonts w:ascii="Palatino Linotype" w:eastAsia="Times New Roman" w:hAnsi="Palatino Linotype" w:cs="Arial"/>
          <w:sz w:val="24"/>
          <w:szCs w:val="24"/>
          <w:lang w:val="es-ES" w:eastAsia="es-ES"/>
        </w:rPr>
        <w:t xml:space="preserve"> al </w:t>
      </w:r>
      <w:r w:rsidRPr="00A66EEC">
        <w:rPr>
          <w:rFonts w:ascii="Palatino Linotype" w:eastAsia="Times New Roman" w:hAnsi="Palatino Linotype" w:cs="Arial"/>
          <w:b/>
          <w:sz w:val="24"/>
          <w:szCs w:val="24"/>
          <w:lang w:val="es-ES" w:eastAsia="es-ES"/>
        </w:rPr>
        <w:t xml:space="preserve">RECURRENTE </w:t>
      </w:r>
      <w:r w:rsidRPr="00A66EEC">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332BDF1F" w14:textId="77777777" w:rsidR="00C94BC0" w:rsidRPr="00A66EEC" w:rsidRDefault="00C94BC0" w:rsidP="009D4C29">
      <w:pPr>
        <w:spacing w:before="240" w:line="360" w:lineRule="auto"/>
        <w:jc w:val="both"/>
        <w:rPr>
          <w:rFonts w:ascii="Palatino Linotype" w:hAnsi="Palatino Linotype"/>
          <w:sz w:val="24"/>
          <w:szCs w:val="24"/>
          <w:lang w:val="es-ES"/>
        </w:rPr>
      </w:pPr>
    </w:p>
    <w:p w14:paraId="6D666297" w14:textId="27544EFA" w:rsidR="00DD6F1E" w:rsidRPr="00A66EEC" w:rsidRDefault="00DD6F1E" w:rsidP="00DD6F1E">
      <w:pPr>
        <w:pStyle w:val="Prrafodelista"/>
        <w:autoSpaceDE w:val="0"/>
        <w:autoSpaceDN w:val="0"/>
        <w:adjustRightInd w:val="0"/>
        <w:spacing w:before="240" w:after="160" w:line="360" w:lineRule="auto"/>
        <w:ind w:left="0"/>
        <w:jc w:val="both"/>
        <w:rPr>
          <w:rFonts w:ascii="Palatino Linotype" w:hAnsi="Palatino Linotype" w:cs="Arial"/>
        </w:rPr>
      </w:pPr>
      <w:r w:rsidRPr="00A66EEC">
        <w:rPr>
          <w:rFonts w:ascii="Palatino Linotype" w:hAnsi="Palatino Linotype" w:cs="Arial"/>
        </w:rPr>
        <w:t>ASÍ LO ACORDÓ, POR UNANIMIDAD DE VOTOS, EL PLENO DEL</w:t>
      </w:r>
      <w:r w:rsidRPr="00A66EEC">
        <w:rPr>
          <w:rFonts w:ascii="Palatino Linotype" w:eastAsia="Arial Unicode MS" w:hAnsi="Palatino Linotype" w:cs="Arial"/>
        </w:rPr>
        <w:t xml:space="preserve"> INSTITUTO DE TRANSPARENCIA, ACCESO A LA INFORMACIÓN PÚBLICA Y PROTECCIÓN DE DATOS PERSONALES DEL ESTADO DE MÉXICO Y MUNICIPIOS</w:t>
      </w:r>
      <w:r w:rsidRPr="00A66EEC">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C94BC0" w:rsidRPr="00A66EEC">
        <w:rPr>
          <w:rFonts w:ascii="Palatino Linotype" w:hAnsi="Palatino Linotype" w:cs="Arial"/>
        </w:rPr>
        <w:t xml:space="preserve">TRIGÉSIMA TERCERA </w:t>
      </w:r>
      <w:r w:rsidRPr="00A66EEC">
        <w:rPr>
          <w:rFonts w:ascii="Palatino Linotype" w:hAnsi="Palatino Linotype" w:cs="Arial"/>
        </w:rPr>
        <w:t xml:space="preserve">SESIÓN ORDINARIA CELEBRADA EL </w:t>
      </w:r>
      <w:r w:rsidR="00C94BC0" w:rsidRPr="00A66EEC">
        <w:rPr>
          <w:rFonts w:ascii="Palatino Linotype" w:hAnsi="Palatino Linotype" w:cs="Arial"/>
        </w:rPr>
        <w:t>TRECE DE SEPTIEMBRE</w:t>
      </w:r>
      <w:r w:rsidRPr="00A66EEC">
        <w:rPr>
          <w:rFonts w:ascii="Palatino Linotype" w:hAnsi="Palatino Linotype" w:cs="Arial"/>
        </w:rPr>
        <w:t xml:space="preserve"> DE DOS MIL VEINTITRÉS, ANTE EL   SECRETARIO TÉCNICO DEL PLENO, ALEXIS TAPIA RAMÍREZ. </w:t>
      </w:r>
    </w:p>
    <w:p w14:paraId="0BE13990" w14:textId="77777777" w:rsidR="00DD6F1E" w:rsidRPr="00A66EEC" w:rsidRDefault="00DD6F1E" w:rsidP="00DD6F1E">
      <w:pPr>
        <w:pStyle w:val="Prrafodelista"/>
        <w:autoSpaceDE w:val="0"/>
        <w:autoSpaceDN w:val="0"/>
        <w:adjustRightInd w:val="0"/>
        <w:spacing w:before="240" w:after="160" w:line="360" w:lineRule="auto"/>
        <w:ind w:left="0"/>
        <w:jc w:val="both"/>
        <w:rPr>
          <w:rFonts w:ascii="Palatino Linotype" w:hAnsi="Palatino Linotype"/>
          <w:bCs/>
          <w:sz w:val="20"/>
          <w:szCs w:val="20"/>
        </w:rPr>
      </w:pPr>
      <w:r w:rsidRPr="00A66EEC">
        <w:rPr>
          <w:rFonts w:ascii="Palatino Linotype" w:hAnsi="Palatino Linotype"/>
          <w:bCs/>
          <w:sz w:val="20"/>
          <w:szCs w:val="20"/>
        </w:rPr>
        <w:t>CCR/JCMA</w:t>
      </w:r>
    </w:p>
    <w:p w14:paraId="5A6A02C8" w14:textId="6BE82598" w:rsidR="00DD6F1E" w:rsidRDefault="00C94BC0" w:rsidP="00DD6F1E">
      <w:pPr>
        <w:pStyle w:val="Prrafodelista"/>
        <w:autoSpaceDE w:val="0"/>
        <w:autoSpaceDN w:val="0"/>
        <w:adjustRightInd w:val="0"/>
        <w:spacing w:before="240" w:after="160" w:line="360" w:lineRule="auto"/>
        <w:ind w:left="0"/>
        <w:jc w:val="both"/>
        <w:rPr>
          <w:rFonts w:ascii="Palatino Linotype" w:hAnsi="Palatino Linotype"/>
          <w:bCs/>
          <w:sz w:val="22"/>
          <w:szCs w:val="22"/>
        </w:rPr>
      </w:pPr>
      <w:r w:rsidRPr="00A66EEC">
        <w:rPr>
          <w:rFonts w:ascii="Palatino Linotype" w:hAnsi="Palatino Linotype"/>
          <w:bCs/>
          <w:noProof/>
          <w:sz w:val="22"/>
          <w:szCs w:val="22"/>
          <w:lang w:val="es-MX" w:eastAsia="es-MX"/>
        </w:rPr>
        <mc:AlternateContent>
          <mc:Choice Requires="wps">
            <w:drawing>
              <wp:anchor distT="0" distB="0" distL="114300" distR="114300" simplePos="0" relativeHeight="251809782" behindDoc="0" locked="0" layoutInCell="1" allowOverlap="1" wp14:anchorId="43F71B93" wp14:editId="07174DF5">
                <wp:simplePos x="0" y="0"/>
                <wp:positionH relativeFrom="column">
                  <wp:posOffset>-57785</wp:posOffset>
                </wp:positionH>
                <wp:positionV relativeFrom="paragraph">
                  <wp:posOffset>111125</wp:posOffset>
                </wp:positionV>
                <wp:extent cx="5784850" cy="1739900"/>
                <wp:effectExtent l="0" t="0" r="25400" b="31750"/>
                <wp:wrapNone/>
                <wp:docPr id="282356099" name="Straight Connector 12"/>
                <wp:cNvGraphicFramePr/>
                <a:graphic xmlns:a="http://schemas.openxmlformats.org/drawingml/2006/main">
                  <a:graphicData uri="http://schemas.microsoft.com/office/word/2010/wordprocessingShape">
                    <wps:wsp>
                      <wps:cNvCnPr/>
                      <wps:spPr>
                        <a:xfrm>
                          <a:off x="0" y="0"/>
                          <a:ext cx="5784850" cy="1739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5151F93" id="Straight Connector 12" o:spid="_x0000_s1026" style="position:absolute;z-index:251809782;visibility:visible;mso-wrap-style:square;mso-wrap-distance-left:9pt;mso-wrap-distance-top:0;mso-wrap-distance-right:9pt;mso-wrap-distance-bottom:0;mso-position-horizontal:absolute;mso-position-horizontal-relative:text;mso-position-vertical:absolute;mso-position-vertical-relative:text" from="-4.55pt,8.75pt" to="450.95pt,1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" strokecolor="#5b9bd5 [3204]" strokeweight=".5pt">
                <v:stroke joinstyle="miter"/>
              </v:line>
            </w:pict>
          </mc:Fallback>
        </mc:AlternateContent>
      </w:r>
      <w:bookmarkStart w:id="0" w:name="_GoBack"/>
      <w:bookmarkEnd w:id="0"/>
    </w:p>
    <w:p w14:paraId="2FF998B6" w14:textId="77777777" w:rsidR="00DD6F1E" w:rsidRDefault="00DD6F1E" w:rsidP="00DD6F1E">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C629FE0" w14:textId="77777777" w:rsidR="00E71497" w:rsidRPr="006E5585" w:rsidRDefault="00E71497" w:rsidP="009D4C29">
      <w:pPr>
        <w:spacing w:before="240" w:line="360" w:lineRule="auto"/>
        <w:jc w:val="both"/>
        <w:rPr>
          <w:rFonts w:ascii="Palatino Linotype" w:hAnsi="Palatino Linotype"/>
          <w:sz w:val="24"/>
          <w:szCs w:val="24"/>
          <w:lang w:val="es-ES"/>
        </w:rPr>
      </w:pPr>
    </w:p>
    <w:p w14:paraId="00CBDD3D" w14:textId="1103BB83" w:rsidR="009A7DBA" w:rsidRDefault="009A7DBA" w:rsidP="00866F25">
      <w:pPr>
        <w:pStyle w:val="Prrafodelista"/>
        <w:tabs>
          <w:tab w:val="left" w:pos="1800"/>
        </w:tabs>
        <w:autoSpaceDE w:val="0"/>
        <w:autoSpaceDN w:val="0"/>
        <w:adjustRightInd w:val="0"/>
        <w:spacing w:before="240" w:after="160" w:line="360" w:lineRule="auto"/>
        <w:ind w:left="0"/>
        <w:jc w:val="both"/>
        <w:rPr>
          <w:rFonts w:ascii="Palatino Linotype" w:hAnsi="Palatino Linotype"/>
          <w:bCs/>
        </w:rPr>
      </w:pPr>
    </w:p>
    <w:p w14:paraId="07AF086E"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0E316E9" w14:textId="77777777" w:rsidR="008B3A59" w:rsidRDefault="008B3A59" w:rsidP="008B3A59">
      <w:pPr>
        <w:pStyle w:val="Prrafodelista"/>
        <w:autoSpaceDE w:val="0"/>
        <w:autoSpaceDN w:val="0"/>
        <w:adjustRightInd w:val="0"/>
        <w:spacing w:before="240" w:after="160" w:line="360" w:lineRule="auto"/>
        <w:ind w:left="0"/>
        <w:jc w:val="both"/>
        <w:rPr>
          <w:rFonts w:ascii="Palatino Linotype" w:hAnsi="Palatino Linotype"/>
          <w:bCs/>
          <w:sz w:val="18"/>
          <w:szCs w:val="18"/>
        </w:rPr>
      </w:pPr>
    </w:p>
    <w:p w14:paraId="63DD2238" w14:textId="77777777" w:rsidR="008B3A59" w:rsidRDefault="008B3A59" w:rsidP="00787D06">
      <w:pPr>
        <w:spacing w:line="360" w:lineRule="auto"/>
        <w:contextualSpacing/>
        <w:jc w:val="both"/>
        <w:rPr>
          <w:rFonts w:ascii="Palatino Linotype" w:eastAsia="MS Mincho" w:hAnsi="Palatino Linotype"/>
        </w:rPr>
      </w:pPr>
    </w:p>
    <w:p w14:paraId="7A7DB574" w14:textId="77777777" w:rsidR="006329AB" w:rsidRDefault="006329AB" w:rsidP="00787D06">
      <w:pPr>
        <w:spacing w:line="360" w:lineRule="auto"/>
        <w:contextualSpacing/>
        <w:jc w:val="both"/>
        <w:rPr>
          <w:rFonts w:ascii="Palatino Linotype" w:eastAsia="MS Mincho" w:hAnsi="Palatino Linotype"/>
        </w:rPr>
      </w:pPr>
    </w:p>
    <w:p w14:paraId="43A714A8" w14:textId="77777777" w:rsidR="006329AB" w:rsidRDefault="006329AB" w:rsidP="00787D06">
      <w:pPr>
        <w:spacing w:line="360" w:lineRule="auto"/>
        <w:contextualSpacing/>
        <w:jc w:val="both"/>
        <w:rPr>
          <w:rFonts w:ascii="Palatino Linotype" w:eastAsia="MS Mincho" w:hAnsi="Palatino Linotype"/>
        </w:rPr>
      </w:pPr>
    </w:p>
    <w:p w14:paraId="7BD0520F" w14:textId="77777777" w:rsidR="006329AB" w:rsidRDefault="006329AB" w:rsidP="00787D06">
      <w:pPr>
        <w:spacing w:line="360" w:lineRule="auto"/>
        <w:contextualSpacing/>
        <w:jc w:val="both"/>
        <w:rPr>
          <w:rFonts w:ascii="Palatino Linotype" w:eastAsia="MS Mincho" w:hAnsi="Palatino Linotype"/>
        </w:rPr>
      </w:pPr>
    </w:p>
    <w:p w14:paraId="01E91246" w14:textId="77777777" w:rsidR="006329AB" w:rsidRDefault="006329AB" w:rsidP="00787D06">
      <w:pPr>
        <w:spacing w:line="360" w:lineRule="auto"/>
        <w:contextualSpacing/>
        <w:jc w:val="both"/>
        <w:rPr>
          <w:rFonts w:ascii="Palatino Linotype" w:eastAsia="MS Mincho" w:hAnsi="Palatino Linotype"/>
        </w:rPr>
      </w:pPr>
    </w:p>
    <w:p w14:paraId="656EAE9D" w14:textId="77777777" w:rsidR="006329AB" w:rsidRDefault="006329AB" w:rsidP="00787D06">
      <w:pPr>
        <w:spacing w:line="360" w:lineRule="auto"/>
        <w:contextualSpacing/>
        <w:jc w:val="both"/>
        <w:rPr>
          <w:rFonts w:ascii="Palatino Linotype" w:eastAsia="MS Mincho" w:hAnsi="Palatino Linotype"/>
        </w:rPr>
      </w:pPr>
    </w:p>
    <w:p w14:paraId="622DBD2A" w14:textId="77777777" w:rsidR="006329AB" w:rsidRDefault="006329AB" w:rsidP="00787D06">
      <w:pPr>
        <w:spacing w:line="360" w:lineRule="auto"/>
        <w:contextualSpacing/>
        <w:jc w:val="both"/>
        <w:rPr>
          <w:rFonts w:ascii="Palatino Linotype" w:eastAsia="MS Mincho" w:hAnsi="Palatino Linotype"/>
        </w:rPr>
      </w:pPr>
    </w:p>
    <w:p w14:paraId="0FBED5F8" w14:textId="77777777" w:rsidR="006329AB" w:rsidRDefault="006329AB" w:rsidP="00787D06">
      <w:pPr>
        <w:spacing w:line="360" w:lineRule="auto"/>
        <w:contextualSpacing/>
        <w:jc w:val="both"/>
        <w:rPr>
          <w:rFonts w:ascii="Palatino Linotype" w:eastAsia="MS Mincho" w:hAnsi="Palatino Linotype"/>
        </w:rPr>
      </w:pPr>
    </w:p>
    <w:p w14:paraId="2723392D" w14:textId="77777777" w:rsidR="006329AB" w:rsidRDefault="006329AB" w:rsidP="00787D06">
      <w:pPr>
        <w:spacing w:line="360" w:lineRule="auto"/>
        <w:contextualSpacing/>
        <w:jc w:val="both"/>
        <w:rPr>
          <w:rFonts w:ascii="Palatino Linotype" w:eastAsia="MS Mincho" w:hAnsi="Palatino Linotype"/>
        </w:rPr>
      </w:pPr>
    </w:p>
    <w:p w14:paraId="0D554207" w14:textId="77777777" w:rsidR="006329AB" w:rsidRDefault="006329AB" w:rsidP="00787D06">
      <w:pPr>
        <w:spacing w:line="360" w:lineRule="auto"/>
        <w:contextualSpacing/>
        <w:jc w:val="both"/>
        <w:rPr>
          <w:rFonts w:ascii="Palatino Linotype" w:eastAsia="MS Mincho" w:hAnsi="Palatino Linotype"/>
        </w:rPr>
      </w:pPr>
    </w:p>
    <w:p w14:paraId="1AD2AF62" w14:textId="77777777" w:rsidR="006329AB" w:rsidRDefault="006329AB" w:rsidP="00787D06">
      <w:pPr>
        <w:spacing w:line="360" w:lineRule="auto"/>
        <w:contextualSpacing/>
        <w:jc w:val="both"/>
        <w:rPr>
          <w:rFonts w:ascii="Palatino Linotype" w:eastAsia="MS Mincho" w:hAnsi="Palatino Linotype"/>
        </w:rPr>
      </w:pPr>
    </w:p>
    <w:p w14:paraId="4E7A3EC8" w14:textId="77777777" w:rsidR="00292975" w:rsidRDefault="00292975" w:rsidP="00787D06">
      <w:pPr>
        <w:spacing w:line="360" w:lineRule="auto"/>
        <w:contextualSpacing/>
        <w:jc w:val="both"/>
        <w:rPr>
          <w:rFonts w:ascii="Palatino Linotype" w:eastAsia="MS Mincho" w:hAnsi="Palatino Linotype"/>
        </w:rPr>
      </w:pPr>
    </w:p>
    <w:p w14:paraId="77D0ECD1" w14:textId="77777777" w:rsidR="00292975" w:rsidRDefault="00292975" w:rsidP="00787D06">
      <w:pPr>
        <w:spacing w:line="360" w:lineRule="auto"/>
        <w:contextualSpacing/>
        <w:jc w:val="both"/>
        <w:rPr>
          <w:rFonts w:ascii="Palatino Linotype" w:eastAsia="MS Mincho" w:hAnsi="Palatino Linotype"/>
        </w:rPr>
      </w:pPr>
    </w:p>
    <w:p w14:paraId="7523C825" w14:textId="77777777" w:rsidR="00292975" w:rsidRDefault="00292975" w:rsidP="00787D06">
      <w:pPr>
        <w:spacing w:line="360" w:lineRule="auto"/>
        <w:contextualSpacing/>
        <w:jc w:val="both"/>
        <w:rPr>
          <w:rFonts w:ascii="Palatino Linotype" w:eastAsia="MS Mincho" w:hAnsi="Palatino Linotype"/>
        </w:rPr>
      </w:pPr>
    </w:p>
    <w:p w14:paraId="4ABD4FDC" w14:textId="77777777" w:rsidR="00292975" w:rsidRDefault="00292975" w:rsidP="00787D06">
      <w:pPr>
        <w:spacing w:line="360" w:lineRule="auto"/>
        <w:contextualSpacing/>
        <w:jc w:val="both"/>
        <w:rPr>
          <w:rFonts w:ascii="Palatino Linotype" w:eastAsia="MS Mincho" w:hAnsi="Palatino Linotype"/>
        </w:rPr>
      </w:pPr>
    </w:p>
    <w:p w14:paraId="2DCD5BDB" w14:textId="77777777" w:rsidR="00292975" w:rsidRDefault="00292975" w:rsidP="00787D06">
      <w:pPr>
        <w:spacing w:line="360" w:lineRule="auto"/>
        <w:contextualSpacing/>
        <w:jc w:val="both"/>
        <w:rPr>
          <w:rFonts w:ascii="Palatino Linotype" w:eastAsia="MS Mincho" w:hAnsi="Palatino Linotype"/>
        </w:rPr>
      </w:pPr>
    </w:p>
    <w:p w14:paraId="0061F441" w14:textId="77777777" w:rsidR="009950AD" w:rsidRDefault="009950AD" w:rsidP="00787D06">
      <w:pPr>
        <w:spacing w:line="360" w:lineRule="auto"/>
        <w:contextualSpacing/>
        <w:jc w:val="both"/>
        <w:rPr>
          <w:rFonts w:ascii="Palatino Linotype" w:eastAsia="MS Mincho" w:hAnsi="Palatino Linotype"/>
        </w:rPr>
      </w:pPr>
    </w:p>
    <w:p w14:paraId="1F9EF5DB" w14:textId="77777777" w:rsidR="006329AB" w:rsidRDefault="006329AB" w:rsidP="00787D06">
      <w:pPr>
        <w:spacing w:line="360" w:lineRule="auto"/>
        <w:contextualSpacing/>
        <w:jc w:val="both"/>
        <w:rPr>
          <w:rFonts w:ascii="Palatino Linotype" w:eastAsia="MS Mincho" w:hAnsi="Palatino Linotype"/>
        </w:rPr>
      </w:pPr>
    </w:p>
    <w:p w14:paraId="304A8F54" w14:textId="77777777" w:rsidR="006329AB" w:rsidRDefault="006329AB" w:rsidP="00787D06">
      <w:pPr>
        <w:spacing w:line="360" w:lineRule="auto"/>
        <w:contextualSpacing/>
        <w:jc w:val="both"/>
        <w:rPr>
          <w:rFonts w:ascii="Palatino Linotype" w:eastAsia="MS Mincho" w:hAnsi="Palatino Linotype"/>
        </w:rPr>
      </w:pPr>
    </w:p>
    <w:sectPr w:rsidR="006329AB" w:rsidSect="00FB4AAD">
      <w:headerReference w:type="default" r:id="rId21"/>
      <w:footerReference w:type="default" r:id="rId22"/>
      <w:headerReference w:type="first" r:id="rId23"/>
      <w:footerReference w:type="first" r:id="rId2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BCF5C" w14:textId="77777777" w:rsidR="00D45CFB" w:rsidRDefault="00D45CFB" w:rsidP="006168E4">
      <w:pPr>
        <w:spacing w:after="0" w:line="240" w:lineRule="auto"/>
      </w:pPr>
      <w:r>
        <w:separator/>
      </w:r>
    </w:p>
  </w:endnote>
  <w:endnote w:type="continuationSeparator" w:id="0">
    <w:p w14:paraId="02307F4E" w14:textId="77777777" w:rsidR="00D45CFB" w:rsidRDefault="00D45CFB"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2E2BC"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6EEC">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6EEC">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D5FBE9" w14:textId="77777777" w:rsidR="00D338F0" w:rsidRPr="000B69FA" w:rsidRDefault="00D338F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A66EE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A66EEC">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EDCB0B" w14:textId="77777777" w:rsidR="00D45CFB" w:rsidRDefault="00D45CFB" w:rsidP="006168E4">
      <w:pPr>
        <w:spacing w:after="0" w:line="240" w:lineRule="auto"/>
      </w:pPr>
      <w:r>
        <w:separator/>
      </w:r>
    </w:p>
  </w:footnote>
  <w:footnote w:type="continuationSeparator" w:id="0">
    <w:p w14:paraId="5B854D6C" w14:textId="77777777" w:rsidR="00D45CFB" w:rsidRDefault="00D45CFB" w:rsidP="006168E4">
      <w:pPr>
        <w:spacing w:after="0" w:line="240" w:lineRule="auto"/>
      </w:pPr>
      <w:r>
        <w:continuationSeparator/>
      </w:r>
    </w:p>
  </w:footnote>
  <w:footnote w:id="1">
    <w:p w14:paraId="53C911D3" w14:textId="77777777" w:rsidR="00DD6F1E" w:rsidRPr="00911081" w:rsidRDefault="00DD6F1E" w:rsidP="00DD6F1E">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63BD9F58" w14:textId="77777777" w:rsidR="00DD6F1E" w:rsidRPr="00911081" w:rsidRDefault="00DD6F1E" w:rsidP="00DD6F1E">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88AE9" w14:textId="2523050D"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B20C00A" wp14:editId="1CC8AE94">
          <wp:simplePos x="0" y="0"/>
          <wp:positionH relativeFrom="page">
            <wp:posOffset>635</wp:posOffset>
          </wp:positionH>
          <wp:positionV relativeFrom="page">
            <wp:posOffset>48260</wp:posOffset>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D338F0" w14:paraId="46A8AAF9" w14:textId="77777777" w:rsidTr="0065263E">
      <w:trPr>
        <w:trHeight w:val="227"/>
      </w:trPr>
      <w:tc>
        <w:tcPr>
          <w:tcW w:w="5529" w:type="dxa"/>
          <w:hideMark/>
        </w:tcPr>
        <w:p w14:paraId="26B5EE34" w14:textId="3BF445B5"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C800766" w14:textId="3697C384" w:rsidR="00D338F0" w:rsidRPr="00B4142F" w:rsidRDefault="00834B07"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04600</w:t>
          </w:r>
          <w:r w:rsidR="00D338F0">
            <w:rPr>
              <w:rFonts w:ascii="Palatino Linotype" w:hAnsi="Palatino Linotype" w:cs="Arial"/>
              <w:bCs/>
              <w:sz w:val="24"/>
              <w:lang w:eastAsia="es-MX"/>
            </w:rPr>
            <w:t>/INFOEM/IP/RR/202</w:t>
          </w:r>
          <w:r w:rsidR="003D5CFF">
            <w:rPr>
              <w:rFonts w:ascii="Palatino Linotype" w:hAnsi="Palatino Linotype" w:cs="Arial"/>
              <w:bCs/>
              <w:sz w:val="24"/>
              <w:lang w:eastAsia="es-MX"/>
            </w:rPr>
            <w:t>3</w:t>
          </w:r>
        </w:p>
      </w:tc>
    </w:tr>
    <w:tr w:rsidR="00D338F0" w14:paraId="0E72512B" w14:textId="77777777" w:rsidTr="0065263E">
      <w:trPr>
        <w:trHeight w:val="242"/>
      </w:trPr>
      <w:tc>
        <w:tcPr>
          <w:tcW w:w="5529" w:type="dxa"/>
          <w:hideMark/>
        </w:tcPr>
        <w:p w14:paraId="4FB3E0E8" w14:textId="77777777" w:rsidR="00D338F0" w:rsidRDefault="00D338F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2C804F0" w14:textId="73AD7251" w:rsidR="00D338F0" w:rsidRPr="00F06FED" w:rsidRDefault="00834B07" w:rsidP="00F4623D">
          <w:pPr>
            <w:spacing w:after="120" w:line="256" w:lineRule="auto"/>
            <w:ind w:left="639" w:right="214"/>
            <w:jc w:val="both"/>
            <w:rPr>
              <w:rFonts w:ascii="Palatino Linotype" w:hAnsi="Palatino Linotype" w:cs="Arial"/>
            </w:rPr>
          </w:pPr>
          <w:r>
            <w:rPr>
              <w:rFonts w:ascii="Palatino Linotype" w:hAnsi="Palatino Linotype" w:cs="Arial"/>
            </w:rPr>
            <w:t>Ayuntamiento de Tonanitla</w:t>
          </w:r>
        </w:p>
      </w:tc>
    </w:tr>
    <w:tr w:rsidR="00D338F0" w14:paraId="3365CD96" w14:textId="77777777" w:rsidTr="0065263E">
      <w:trPr>
        <w:trHeight w:val="342"/>
      </w:trPr>
      <w:tc>
        <w:tcPr>
          <w:tcW w:w="5529" w:type="dxa"/>
          <w:hideMark/>
        </w:tcPr>
        <w:p w14:paraId="52A09A43" w14:textId="77777777" w:rsidR="00D338F0" w:rsidRDefault="00D338F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64AECA8" w14:textId="70DC65D6" w:rsidR="00D338F0" w:rsidRDefault="00D338F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638CC457" w14:textId="77777777" w:rsidR="00D338F0" w:rsidRDefault="00D338F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D338F0" w14:paraId="02D9F2E3" w14:textId="77777777" w:rsidTr="0065263E">
      <w:trPr>
        <w:trHeight w:val="227"/>
      </w:trPr>
      <w:tc>
        <w:tcPr>
          <w:tcW w:w="5529" w:type="dxa"/>
          <w:hideMark/>
        </w:tcPr>
        <w:p w14:paraId="3EA02FD0" w14:textId="3139CF90"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22571C00" w14:textId="6C64104C" w:rsidR="00D338F0" w:rsidRPr="00B4142F" w:rsidRDefault="00BE673B"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834B07">
            <w:rPr>
              <w:rFonts w:ascii="Palatino Linotype" w:hAnsi="Palatino Linotype" w:cs="Arial"/>
              <w:bCs/>
              <w:sz w:val="24"/>
              <w:lang w:eastAsia="es-MX"/>
            </w:rPr>
            <w:t>4600</w:t>
          </w:r>
          <w:r w:rsidR="00D338F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D338F0" w14:paraId="5AC92493" w14:textId="77777777" w:rsidTr="0065263E">
      <w:trPr>
        <w:trHeight w:val="196"/>
      </w:trPr>
      <w:tc>
        <w:tcPr>
          <w:tcW w:w="5529" w:type="dxa"/>
          <w:hideMark/>
        </w:tcPr>
        <w:p w14:paraId="7E479B7E"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1C253759" w14:textId="675812AF" w:rsidR="00D338F0" w:rsidRPr="00F06FED" w:rsidRDefault="00BB68F5" w:rsidP="00CC0C5F">
          <w:pPr>
            <w:spacing w:after="120" w:line="256" w:lineRule="auto"/>
            <w:ind w:left="639" w:right="214"/>
            <w:jc w:val="both"/>
            <w:rPr>
              <w:rFonts w:ascii="Palatino Linotype" w:hAnsi="Palatino Linotype" w:cs="Arial"/>
            </w:rPr>
          </w:pPr>
          <w:r>
            <w:rPr>
              <w:rFonts w:ascii="Palatino Linotype" w:hAnsi="Palatino Linotype" w:cs="Arial"/>
            </w:rPr>
            <w:t>XXXX</w:t>
          </w:r>
        </w:p>
      </w:tc>
    </w:tr>
    <w:tr w:rsidR="00D338F0" w14:paraId="48DDE1B1" w14:textId="77777777" w:rsidTr="0065263E">
      <w:trPr>
        <w:trHeight w:val="242"/>
      </w:trPr>
      <w:tc>
        <w:tcPr>
          <w:tcW w:w="5529" w:type="dxa"/>
          <w:hideMark/>
        </w:tcPr>
        <w:p w14:paraId="718D1409" w14:textId="77777777" w:rsidR="00D338F0" w:rsidRDefault="00D338F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C46880B" w14:textId="5107E412" w:rsidR="00D338F0" w:rsidRDefault="00834B07" w:rsidP="00F4623D">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Tonanitla</w:t>
          </w:r>
        </w:p>
      </w:tc>
    </w:tr>
    <w:tr w:rsidR="00D338F0" w14:paraId="2E924228" w14:textId="77777777" w:rsidTr="0065263E">
      <w:trPr>
        <w:trHeight w:val="342"/>
      </w:trPr>
      <w:tc>
        <w:tcPr>
          <w:tcW w:w="5529" w:type="dxa"/>
          <w:hideMark/>
        </w:tcPr>
        <w:p w14:paraId="03281906" w14:textId="77777777" w:rsidR="00D338F0" w:rsidRDefault="00D338F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3454A6DD" w14:textId="2B5A7C0F" w:rsidR="00D338F0" w:rsidRDefault="00D338F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3C00C928" w14:textId="0FC045F3" w:rsidR="00D338F0" w:rsidRDefault="00D338F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14759219" wp14:editId="17B9B680">
          <wp:simplePos x="0" y="0"/>
          <wp:positionH relativeFrom="page">
            <wp:posOffset>19685</wp:posOffset>
          </wp:positionH>
          <wp:positionV relativeFrom="page">
            <wp:posOffset>25400</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521B53"/>
    <w:multiLevelType w:val="hybridMultilevel"/>
    <w:tmpl w:val="66CABCE0"/>
    <w:lvl w:ilvl="0" w:tplc="B8CCFDE8">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200A628D"/>
    <w:multiLevelType w:val="hybridMultilevel"/>
    <w:tmpl w:val="00AE6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C1A3F39"/>
    <w:multiLevelType w:val="hybridMultilevel"/>
    <w:tmpl w:val="79D6701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4C466E65"/>
    <w:multiLevelType w:val="hybridMultilevel"/>
    <w:tmpl w:val="0D3644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C15CF1"/>
    <w:multiLevelType w:val="hybridMultilevel"/>
    <w:tmpl w:val="9AC647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 w15:restartNumberingAfterBreak="0">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6C151EFA"/>
    <w:multiLevelType w:val="hybridMultilevel"/>
    <w:tmpl w:val="1BB0712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8"/>
  </w:num>
  <w:num w:numId="3">
    <w:abstractNumId w:val="10"/>
  </w:num>
  <w:num w:numId="4">
    <w:abstractNumId w:val="1"/>
  </w:num>
  <w:num w:numId="5">
    <w:abstractNumId w:val="7"/>
  </w:num>
  <w:num w:numId="6">
    <w:abstractNumId w:val="6"/>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
  </w:num>
  <w:num w:numId="10">
    <w:abstractNumId w:val="9"/>
  </w:num>
  <w:num w:numId="11">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1AB0"/>
    <w:rsid w:val="000026CF"/>
    <w:rsid w:val="00002B15"/>
    <w:rsid w:val="00003C82"/>
    <w:rsid w:val="00006FB9"/>
    <w:rsid w:val="000114DC"/>
    <w:rsid w:val="00012201"/>
    <w:rsid w:val="00012220"/>
    <w:rsid w:val="00014FD1"/>
    <w:rsid w:val="00015D83"/>
    <w:rsid w:val="000213BA"/>
    <w:rsid w:val="00022EAF"/>
    <w:rsid w:val="00023875"/>
    <w:rsid w:val="00027C33"/>
    <w:rsid w:val="000306A7"/>
    <w:rsid w:val="00031605"/>
    <w:rsid w:val="00032CE7"/>
    <w:rsid w:val="0004190A"/>
    <w:rsid w:val="00041F04"/>
    <w:rsid w:val="000426E3"/>
    <w:rsid w:val="00045379"/>
    <w:rsid w:val="00045B3C"/>
    <w:rsid w:val="0004682D"/>
    <w:rsid w:val="00047EAF"/>
    <w:rsid w:val="00055224"/>
    <w:rsid w:val="00057685"/>
    <w:rsid w:val="00061821"/>
    <w:rsid w:val="000623F9"/>
    <w:rsid w:val="00063A10"/>
    <w:rsid w:val="00063AE3"/>
    <w:rsid w:val="000662F8"/>
    <w:rsid w:val="00066B01"/>
    <w:rsid w:val="00071571"/>
    <w:rsid w:val="00073CC6"/>
    <w:rsid w:val="00073E78"/>
    <w:rsid w:val="00090501"/>
    <w:rsid w:val="00090745"/>
    <w:rsid w:val="00091552"/>
    <w:rsid w:val="00091C3A"/>
    <w:rsid w:val="00092586"/>
    <w:rsid w:val="00094155"/>
    <w:rsid w:val="00094C05"/>
    <w:rsid w:val="00096CA4"/>
    <w:rsid w:val="000A03E0"/>
    <w:rsid w:val="000A04D9"/>
    <w:rsid w:val="000A3486"/>
    <w:rsid w:val="000A378C"/>
    <w:rsid w:val="000A79DA"/>
    <w:rsid w:val="000B3E98"/>
    <w:rsid w:val="000B426F"/>
    <w:rsid w:val="000B4B51"/>
    <w:rsid w:val="000B6D7D"/>
    <w:rsid w:val="000B7158"/>
    <w:rsid w:val="000B7D23"/>
    <w:rsid w:val="000C06C3"/>
    <w:rsid w:val="000C0F57"/>
    <w:rsid w:val="000C4AB1"/>
    <w:rsid w:val="000C51A0"/>
    <w:rsid w:val="000C5B8B"/>
    <w:rsid w:val="000D1B34"/>
    <w:rsid w:val="000D1B55"/>
    <w:rsid w:val="000D3C75"/>
    <w:rsid w:val="000D502E"/>
    <w:rsid w:val="000D6422"/>
    <w:rsid w:val="000E0F23"/>
    <w:rsid w:val="000E2252"/>
    <w:rsid w:val="000E365E"/>
    <w:rsid w:val="000E5F05"/>
    <w:rsid w:val="000E686B"/>
    <w:rsid w:val="000F1FAB"/>
    <w:rsid w:val="000F2554"/>
    <w:rsid w:val="000F3DC9"/>
    <w:rsid w:val="000F4793"/>
    <w:rsid w:val="001022E8"/>
    <w:rsid w:val="0010372C"/>
    <w:rsid w:val="00105C41"/>
    <w:rsid w:val="00111DCD"/>
    <w:rsid w:val="00113D3E"/>
    <w:rsid w:val="00114CF9"/>
    <w:rsid w:val="00115F16"/>
    <w:rsid w:val="001164A1"/>
    <w:rsid w:val="001179DB"/>
    <w:rsid w:val="00121ED7"/>
    <w:rsid w:val="00122EC2"/>
    <w:rsid w:val="00124855"/>
    <w:rsid w:val="001254F5"/>
    <w:rsid w:val="00126ED9"/>
    <w:rsid w:val="00136264"/>
    <w:rsid w:val="00136FAD"/>
    <w:rsid w:val="0014029B"/>
    <w:rsid w:val="00142EB5"/>
    <w:rsid w:val="00146C08"/>
    <w:rsid w:val="00146C8C"/>
    <w:rsid w:val="00146F0A"/>
    <w:rsid w:val="00152C2B"/>
    <w:rsid w:val="0015319B"/>
    <w:rsid w:val="00156EC9"/>
    <w:rsid w:val="001611CC"/>
    <w:rsid w:val="001612E6"/>
    <w:rsid w:val="00161D54"/>
    <w:rsid w:val="00162A4D"/>
    <w:rsid w:val="001649A0"/>
    <w:rsid w:val="001678DF"/>
    <w:rsid w:val="00172C77"/>
    <w:rsid w:val="00172CEE"/>
    <w:rsid w:val="00173E45"/>
    <w:rsid w:val="00175897"/>
    <w:rsid w:val="00176157"/>
    <w:rsid w:val="00180B9F"/>
    <w:rsid w:val="00181CC5"/>
    <w:rsid w:val="00182911"/>
    <w:rsid w:val="00183207"/>
    <w:rsid w:val="0018726A"/>
    <w:rsid w:val="00193784"/>
    <w:rsid w:val="0019396C"/>
    <w:rsid w:val="001957D7"/>
    <w:rsid w:val="001A02EC"/>
    <w:rsid w:val="001A1D9B"/>
    <w:rsid w:val="001A1FF5"/>
    <w:rsid w:val="001A318E"/>
    <w:rsid w:val="001A577E"/>
    <w:rsid w:val="001A7C9B"/>
    <w:rsid w:val="001B05B9"/>
    <w:rsid w:val="001B48E2"/>
    <w:rsid w:val="001B7B88"/>
    <w:rsid w:val="001C01B7"/>
    <w:rsid w:val="001C1363"/>
    <w:rsid w:val="001C2D1E"/>
    <w:rsid w:val="001C3E7E"/>
    <w:rsid w:val="001C5B3C"/>
    <w:rsid w:val="001C7319"/>
    <w:rsid w:val="001C7D87"/>
    <w:rsid w:val="001D3DE9"/>
    <w:rsid w:val="001D3E87"/>
    <w:rsid w:val="001D4438"/>
    <w:rsid w:val="001D4669"/>
    <w:rsid w:val="001D7575"/>
    <w:rsid w:val="001E249B"/>
    <w:rsid w:val="001E456C"/>
    <w:rsid w:val="001E4809"/>
    <w:rsid w:val="001F2281"/>
    <w:rsid w:val="001F3F3C"/>
    <w:rsid w:val="001F4025"/>
    <w:rsid w:val="00211C66"/>
    <w:rsid w:val="0021296D"/>
    <w:rsid w:val="00212CB5"/>
    <w:rsid w:val="0021501E"/>
    <w:rsid w:val="00215A83"/>
    <w:rsid w:val="00216ABF"/>
    <w:rsid w:val="00217852"/>
    <w:rsid w:val="00220339"/>
    <w:rsid w:val="002205C0"/>
    <w:rsid w:val="0022589E"/>
    <w:rsid w:val="00226760"/>
    <w:rsid w:val="002303A7"/>
    <w:rsid w:val="00231D77"/>
    <w:rsid w:val="002324F1"/>
    <w:rsid w:val="0023373D"/>
    <w:rsid w:val="0023423C"/>
    <w:rsid w:val="00236C82"/>
    <w:rsid w:val="0024638F"/>
    <w:rsid w:val="00246807"/>
    <w:rsid w:val="00247537"/>
    <w:rsid w:val="00247D10"/>
    <w:rsid w:val="00250470"/>
    <w:rsid w:val="00252985"/>
    <w:rsid w:val="00254534"/>
    <w:rsid w:val="002577FE"/>
    <w:rsid w:val="00266E00"/>
    <w:rsid w:val="002674C9"/>
    <w:rsid w:val="00271EED"/>
    <w:rsid w:val="002725E3"/>
    <w:rsid w:val="00273D0E"/>
    <w:rsid w:val="00282628"/>
    <w:rsid w:val="0028788A"/>
    <w:rsid w:val="002915F2"/>
    <w:rsid w:val="00292885"/>
    <w:rsid w:val="00292975"/>
    <w:rsid w:val="002938A3"/>
    <w:rsid w:val="002942AD"/>
    <w:rsid w:val="00297140"/>
    <w:rsid w:val="00297368"/>
    <w:rsid w:val="002A0104"/>
    <w:rsid w:val="002A2034"/>
    <w:rsid w:val="002A24F4"/>
    <w:rsid w:val="002A38BF"/>
    <w:rsid w:val="002A51EA"/>
    <w:rsid w:val="002A597E"/>
    <w:rsid w:val="002B1410"/>
    <w:rsid w:val="002B1C1D"/>
    <w:rsid w:val="002B5069"/>
    <w:rsid w:val="002B5DBD"/>
    <w:rsid w:val="002B70DD"/>
    <w:rsid w:val="002C51F7"/>
    <w:rsid w:val="002C72D2"/>
    <w:rsid w:val="002D29D7"/>
    <w:rsid w:val="002D4C5A"/>
    <w:rsid w:val="002D64A8"/>
    <w:rsid w:val="002D662C"/>
    <w:rsid w:val="002E0725"/>
    <w:rsid w:val="002E0A1A"/>
    <w:rsid w:val="002E1E52"/>
    <w:rsid w:val="002E2D7B"/>
    <w:rsid w:val="002E3488"/>
    <w:rsid w:val="002E5721"/>
    <w:rsid w:val="002E5E6A"/>
    <w:rsid w:val="002F0D76"/>
    <w:rsid w:val="002F37BE"/>
    <w:rsid w:val="002F5A7C"/>
    <w:rsid w:val="002F5BA9"/>
    <w:rsid w:val="002F700B"/>
    <w:rsid w:val="00300D0B"/>
    <w:rsid w:val="0030471E"/>
    <w:rsid w:val="00305FF7"/>
    <w:rsid w:val="00306096"/>
    <w:rsid w:val="00306848"/>
    <w:rsid w:val="00311566"/>
    <w:rsid w:val="0031645D"/>
    <w:rsid w:val="00320A67"/>
    <w:rsid w:val="0032220E"/>
    <w:rsid w:val="003266DA"/>
    <w:rsid w:val="003272FB"/>
    <w:rsid w:val="00330F3C"/>
    <w:rsid w:val="003349F3"/>
    <w:rsid w:val="003406C5"/>
    <w:rsid w:val="003410F2"/>
    <w:rsid w:val="00346233"/>
    <w:rsid w:val="003507D3"/>
    <w:rsid w:val="00353C25"/>
    <w:rsid w:val="00356E3E"/>
    <w:rsid w:val="00357457"/>
    <w:rsid w:val="00361B9C"/>
    <w:rsid w:val="0036339F"/>
    <w:rsid w:val="00364209"/>
    <w:rsid w:val="00365DA0"/>
    <w:rsid w:val="00367CC7"/>
    <w:rsid w:val="003733F5"/>
    <w:rsid w:val="003749D9"/>
    <w:rsid w:val="00375BBA"/>
    <w:rsid w:val="00376CEC"/>
    <w:rsid w:val="00377486"/>
    <w:rsid w:val="00380010"/>
    <w:rsid w:val="00380758"/>
    <w:rsid w:val="003812E0"/>
    <w:rsid w:val="003869DF"/>
    <w:rsid w:val="00394A1E"/>
    <w:rsid w:val="00397C0C"/>
    <w:rsid w:val="003A378D"/>
    <w:rsid w:val="003A61F9"/>
    <w:rsid w:val="003B1E88"/>
    <w:rsid w:val="003B4030"/>
    <w:rsid w:val="003B5FD0"/>
    <w:rsid w:val="003C4F65"/>
    <w:rsid w:val="003C5DEB"/>
    <w:rsid w:val="003D08E9"/>
    <w:rsid w:val="003D2D99"/>
    <w:rsid w:val="003D5CFF"/>
    <w:rsid w:val="003D78A3"/>
    <w:rsid w:val="003E05A5"/>
    <w:rsid w:val="003E11E6"/>
    <w:rsid w:val="003E128A"/>
    <w:rsid w:val="003E16E1"/>
    <w:rsid w:val="003E1E60"/>
    <w:rsid w:val="003E5144"/>
    <w:rsid w:val="003F3A54"/>
    <w:rsid w:val="004012CF"/>
    <w:rsid w:val="00402A46"/>
    <w:rsid w:val="00402FF3"/>
    <w:rsid w:val="00403A1E"/>
    <w:rsid w:val="004069EB"/>
    <w:rsid w:val="004071A7"/>
    <w:rsid w:val="00407A07"/>
    <w:rsid w:val="00410097"/>
    <w:rsid w:val="00412901"/>
    <w:rsid w:val="00417E4F"/>
    <w:rsid w:val="004215B3"/>
    <w:rsid w:val="00423213"/>
    <w:rsid w:val="00423ECD"/>
    <w:rsid w:val="0042416D"/>
    <w:rsid w:val="00426B98"/>
    <w:rsid w:val="0042798A"/>
    <w:rsid w:val="00433D7C"/>
    <w:rsid w:val="00433E61"/>
    <w:rsid w:val="00433F2D"/>
    <w:rsid w:val="0043614A"/>
    <w:rsid w:val="00442582"/>
    <w:rsid w:val="00442C1A"/>
    <w:rsid w:val="004469CB"/>
    <w:rsid w:val="004512DF"/>
    <w:rsid w:val="004516EB"/>
    <w:rsid w:val="004529B6"/>
    <w:rsid w:val="00453DBD"/>
    <w:rsid w:val="00454CE6"/>
    <w:rsid w:val="00455C30"/>
    <w:rsid w:val="00462530"/>
    <w:rsid w:val="00462881"/>
    <w:rsid w:val="004639CF"/>
    <w:rsid w:val="004668C1"/>
    <w:rsid w:val="00472678"/>
    <w:rsid w:val="00473342"/>
    <w:rsid w:val="00475F48"/>
    <w:rsid w:val="00477CC2"/>
    <w:rsid w:val="0048180A"/>
    <w:rsid w:val="00481C7A"/>
    <w:rsid w:val="004855D1"/>
    <w:rsid w:val="004857CF"/>
    <w:rsid w:val="0049054A"/>
    <w:rsid w:val="004906C8"/>
    <w:rsid w:val="004924B8"/>
    <w:rsid w:val="004967E2"/>
    <w:rsid w:val="004A290F"/>
    <w:rsid w:val="004A5FFD"/>
    <w:rsid w:val="004A7CE2"/>
    <w:rsid w:val="004B15D1"/>
    <w:rsid w:val="004B38AC"/>
    <w:rsid w:val="004B7109"/>
    <w:rsid w:val="004C4D9F"/>
    <w:rsid w:val="004D08EB"/>
    <w:rsid w:val="004D0C64"/>
    <w:rsid w:val="004D2B23"/>
    <w:rsid w:val="004D2C8F"/>
    <w:rsid w:val="004D2D18"/>
    <w:rsid w:val="004E0136"/>
    <w:rsid w:val="004E1318"/>
    <w:rsid w:val="004E2371"/>
    <w:rsid w:val="004E6BE9"/>
    <w:rsid w:val="004F17FE"/>
    <w:rsid w:val="00503655"/>
    <w:rsid w:val="005037B3"/>
    <w:rsid w:val="005039A0"/>
    <w:rsid w:val="00504FB2"/>
    <w:rsid w:val="00506846"/>
    <w:rsid w:val="00512DA7"/>
    <w:rsid w:val="00515090"/>
    <w:rsid w:val="005202C4"/>
    <w:rsid w:val="00520D7E"/>
    <w:rsid w:val="005211D9"/>
    <w:rsid w:val="00521E57"/>
    <w:rsid w:val="00522FD2"/>
    <w:rsid w:val="005245A9"/>
    <w:rsid w:val="00524E8D"/>
    <w:rsid w:val="005305C0"/>
    <w:rsid w:val="005305EA"/>
    <w:rsid w:val="00530F74"/>
    <w:rsid w:val="00531170"/>
    <w:rsid w:val="00531E18"/>
    <w:rsid w:val="00534EBF"/>
    <w:rsid w:val="00535F50"/>
    <w:rsid w:val="005371E7"/>
    <w:rsid w:val="005404AB"/>
    <w:rsid w:val="00540538"/>
    <w:rsid w:val="00540ACB"/>
    <w:rsid w:val="00545E93"/>
    <w:rsid w:val="005472FB"/>
    <w:rsid w:val="0054773D"/>
    <w:rsid w:val="00547D93"/>
    <w:rsid w:val="005520FE"/>
    <w:rsid w:val="005523D5"/>
    <w:rsid w:val="00556513"/>
    <w:rsid w:val="005575CB"/>
    <w:rsid w:val="0056015B"/>
    <w:rsid w:val="0056134C"/>
    <w:rsid w:val="00562653"/>
    <w:rsid w:val="00567998"/>
    <w:rsid w:val="00572979"/>
    <w:rsid w:val="005733EB"/>
    <w:rsid w:val="00575651"/>
    <w:rsid w:val="005759BB"/>
    <w:rsid w:val="00576BCC"/>
    <w:rsid w:val="00577C61"/>
    <w:rsid w:val="005803A1"/>
    <w:rsid w:val="00580802"/>
    <w:rsid w:val="00581A22"/>
    <w:rsid w:val="00582A33"/>
    <w:rsid w:val="0058671A"/>
    <w:rsid w:val="00593E91"/>
    <w:rsid w:val="005A0B49"/>
    <w:rsid w:val="005A5930"/>
    <w:rsid w:val="005A6D57"/>
    <w:rsid w:val="005B36D5"/>
    <w:rsid w:val="005B5B70"/>
    <w:rsid w:val="005B5F05"/>
    <w:rsid w:val="005B60F0"/>
    <w:rsid w:val="005C04BB"/>
    <w:rsid w:val="005C123F"/>
    <w:rsid w:val="005C1954"/>
    <w:rsid w:val="005C6605"/>
    <w:rsid w:val="005C6867"/>
    <w:rsid w:val="005C6982"/>
    <w:rsid w:val="005D15A3"/>
    <w:rsid w:val="005D1602"/>
    <w:rsid w:val="005D2B59"/>
    <w:rsid w:val="005D362F"/>
    <w:rsid w:val="005D370F"/>
    <w:rsid w:val="005D56E2"/>
    <w:rsid w:val="005D71E5"/>
    <w:rsid w:val="005E2749"/>
    <w:rsid w:val="005E46D0"/>
    <w:rsid w:val="005E48E4"/>
    <w:rsid w:val="005E4D7C"/>
    <w:rsid w:val="005E5834"/>
    <w:rsid w:val="005F048E"/>
    <w:rsid w:val="005F4734"/>
    <w:rsid w:val="005F57F0"/>
    <w:rsid w:val="005F7598"/>
    <w:rsid w:val="005F764F"/>
    <w:rsid w:val="00607168"/>
    <w:rsid w:val="0061042F"/>
    <w:rsid w:val="00610C37"/>
    <w:rsid w:val="006114BA"/>
    <w:rsid w:val="006165F4"/>
    <w:rsid w:val="006168E4"/>
    <w:rsid w:val="00621725"/>
    <w:rsid w:val="00624EB5"/>
    <w:rsid w:val="00626A70"/>
    <w:rsid w:val="006323CA"/>
    <w:rsid w:val="006324EA"/>
    <w:rsid w:val="006329AB"/>
    <w:rsid w:val="00633DE8"/>
    <w:rsid w:val="006360F3"/>
    <w:rsid w:val="00636327"/>
    <w:rsid w:val="006369B4"/>
    <w:rsid w:val="00637512"/>
    <w:rsid w:val="00640EE4"/>
    <w:rsid w:val="006466F5"/>
    <w:rsid w:val="0064761A"/>
    <w:rsid w:val="00650C5E"/>
    <w:rsid w:val="0065263E"/>
    <w:rsid w:val="00652A6B"/>
    <w:rsid w:val="00654718"/>
    <w:rsid w:val="00657DAD"/>
    <w:rsid w:val="00660A6A"/>
    <w:rsid w:val="00660C59"/>
    <w:rsid w:val="00661753"/>
    <w:rsid w:val="006620AC"/>
    <w:rsid w:val="00662B51"/>
    <w:rsid w:val="00667DD9"/>
    <w:rsid w:val="00677379"/>
    <w:rsid w:val="00684375"/>
    <w:rsid w:val="006848B7"/>
    <w:rsid w:val="00686FD5"/>
    <w:rsid w:val="00690743"/>
    <w:rsid w:val="0069414F"/>
    <w:rsid w:val="00696702"/>
    <w:rsid w:val="00697278"/>
    <w:rsid w:val="006A04CA"/>
    <w:rsid w:val="006A2BEC"/>
    <w:rsid w:val="006A4785"/>
    <w:rsid w:val="006B10D7"/>
    <w:rsid w:val="006B1312"/>
    <w:rsid w:val="006B1953"/>
    <w:rsid w:val="006B1BF1"/>
    <w:rsid w:val="006B26E3"/>
    <w:rsid w:val="006B34A6"/>
    <w:rsid w:val="006B4B63"/>
    <w:rsid w:val="006B5DDC"/>
    <w:rsid w:val="006B68FC"/>
    <w:rsid w:val="006B7294"/>
    <w:rsid w:val="006B7444"/>
    <w:rsid w:val="006C698B"/>
    <w:rsid w:val="006D1F6B"/>
    <w:rsid w:val="006D23FC"/>
    <w:rsid w:val="006D4745"/>
    <w:rsid w:val="006D7FD9"/>
    <w:rsid w:val="006E5585"/>
    <w:rsid w:val="006E7563"/>
    <w:rsid w:val="006F3452"/>
    <w:rsid w:val="006F3C14"/>
    <w:rsid w:val="006F5F55"/>
    <w:rsid w:val="00701033"/>
    <w:rsid w:val="00701B61"/>
    <w:rsid w:val="00702C82"/>
    <w:rsid w:val="00703614"/>
    <w:rsid w:val="007164CD"/>
    <w:rsid w:val="007172F5"/>
    <w:rsid w:val="00717E41"/>
    <w:rsid w:val="0072689F"/>
    <w:rsid w:val="007316B6"/>
    <w:rsid w:val="00732104"/>
    <w:rsid w:val="00736D41"/>
    <w:rsid w:val="00741327"/>
    <w:rsid w:val="00742EAF"/>
    <w:rsid w:val="00744EEF"/>
    <w:rsid w:val="007456B7"/>
    <w:rsid w:val="00754CAE"/>
    <w:rsid w:val="007568AD"/>
    <w:rsid w:val="00763C1A"/>
    <w:rsid w:val="00770CD1"/>
    <w:rsid w:val="00770FCE"/>
    <w:rsid w:val="00771AC2"/>
    <w:rsid w:val="00772E31"/>
    <w:rsid w:val="007748C4"/>
    <w:rsid w:val="00774A9C"/>
    <w:rsid w:val="00777164"/>
    <w:rsid w:val="00780B57"/>
    <w:rsid w:val="00781530"/>
    <w:rsid w:val="007830E9"/>
    <w:rsid w:val="007835B9"/>
    <w:rsid w:val="00783A07"/>
    <w:rsid w:val="007851D5"/>
    <w:rsid w:val="00787D06"/>
    <w:rsid w:val="0079486A"/>
    <w:rsid w:val="00794F80"/>
    <w:rsid w:val="0079735D"/>
    <w:rsid w:val="007A1C9E"/>
    <w:rsid w:val="007A3206"/>
    <w:rsid w:val="007A4692"/>
    <w:rsid w:val="007B0046"/>
    <w:rsid w:val="007B2303"/>
    <w:rsid w:val="007B2C77"/>
    <w:rsid w:val="007B3414"/>
    <w:rsid w:val="007B403C"/>
    <w:rsid w:val="007B68F7"/>
    <w:rsid w:val="007C4168"/>
    <w:rsid w:val="007C45D8"/>
    <w:rsid w:val="007D1A27"/>
    <w:rsid w:val="007D1B24"/>
    <w:rsid w:val="007D1F15"/>
    <w:rsid w:val="007D25B1"/>
    <w:rsid w:val="007D2878"/>
    <w:rsid w:val="007D3203"/>
    <w:rsid w:val="007D4303"/>
    <w:rsid w:val="007E6161"/>
    <w:rsid w:val="007E7BAB"/>
    <w:rsid w:val="007E7DCE"/>
    <w:rsid w:val="007F1441"/>
    <w:rsid w:val="007F20AC"/>
    <w:rsid w:val="007F53A0"/>
    <w:rsid w:val="007F7A92"/>
    <w:rsid w:val="0080158F"/>
    <w:rsid w:val="008024BA"/>
    <w:rsid w:val="00802C56"/>
    <w:rsid w:val="008079C6"/>
    <w:rsid w:val="00807A3D"/>
    <w:rsid w:val="00811205"/>
    <w:rsid w:val="00812C48"/>
    <w:rsid w:val="008146F9"/>
    <w:rsid w:val="00817A08"/>
    <w:rsid w:val="00822215"/>
    <w:rsid w:val="00824DCD"/>
    <w:rsid w:val="00833011"/>
    <w:rsid w:val="00834B07"/>
    <w:rsid w:val="00836B8D"/>
    <w:rsid w:val="008427E4"/>
    <w:rsid w:val="00843314"/>
    <w:rsid w:val="00844569"/>
    <w:rsid w:val="008466EC"/>
    <w:rsid w:val="008474E1"/>
    <w:rsid w:val="00847D23"/>
    <w:rsid w:val="008511E3"/>
    <w:rsid w:val="0085196B"/>
    <w:rsid w:val="00853BED"/>
    <w:rsid w:val="00863327"/>
    <w:rsid w:val="00866F25"/>
    <w:rsid w:val="00870F44"/>
    <w:rsid w:val="00871DC1"/>
    <w:rsid w:val="008724F6"/>
    <w:rsid w:val="008838E2"/>
    <w:rsid w:val="00884054"/>
    <w:rsid w:val="00885DF7"/>
    <w:rsid w:val="00887CDA"/>
    <w:rsid w:val="00891C7A"/>
    <w:rsid w:val="008936E7"/>
    <w:rsid w:val="00895089"/>
    <w:rsid w:val="008951ED"/>
    <w:rsid w:val="008A0A23"/>
    <w:rsid w:val="008A68CA"/>
    <w:rsid w:val="008A75BE"/>
    <w:rsid w:val="008B02FB"/>
    <w:rsid w:val="008B0679"/>
    <w:rsid w:val="008B14A3"/>
    <w:rsid w:val="008B3A59"/>
    <w:rsid w:val="008B42B1"/>
    <w:rsid w:val="008B5224"/>
    <w:rsid w:val="008B7382"/>
    <w:rsid w:val="008C0375"/>
    <w:rsid w:val="008C2908"/>
    <w:rsid w:val="008C32A8"/>
    <w:rsid w:val="008C3DC0"/>
    <w:rsid w:val="008C55A3"/>
    <w:rsid w:val="008C5A03"/>
    <w:rsid w:val="008C5E94"/>
    <w:rsid w:val="008C70C9"/>
    <w:rsid w:val="008D038F"/>
    <w:rsid w:val="008D1D2A"/>
    <w:rsid w:val="008D4154"/>
    <w:rsid w:val="008D4EB7"/>
    <w:rsid w:val="008D6297"/>
    <w:rsid w:val="008D6D04"/>
    <w:rsid w:val="008E3791"/>
    <w:rsid w:val="008E46CA"/>
    <w:rsid w:val="008E6375"/>
    <w:rsid w:val="008F0117"/>
    <w:rsid w:val="008F4C65"/>
    <w:rsid w:val="00905422"/>
    <w:rsid w:val="00907F0B"/>
    <w:rsid w:val="00913133"/>
    <w:rsid w:val="00913221"/>
    <w:rsid w:val="00920128"/>
    <w:rsid w:val="00921DB9"/>
    <w:rsid w:val="00922172"/>
    <w:rsid w:val="00923D11"/>
    <w:rsid w:val="0092403D"/>
    <w:rsid w:val="009268BB"/>
    <w:rsid w:val="00926D4D"/>
    <w:rsid w:val="009309D1"/>
    <w:rsid w:val="00935D2F"/>
    <w:rsid w:val="00936B04"/>
    <w:rsid w:val="00940116"/>
    <w:rsid w:val="009402DB"/>
    <w:rsid w:val="009449B8"/>
    <w:rsid w:val="00944DC9"/>
    <w:rsid w:val="00945479"/>
    <w:rsid w:val="00946380"/>
    <w:rsid w:val="009464B0"/>
    <w:rsid w:val="00947A9B"/>
    <w:rsid w:val="009502C8"/>
    <w:rsid w:val="009517DA"/>
    <w:rsid w:val="0095731A"/>
    <w:rsid w:val="009611E0"/>
    <w:rsid w:val="00961369"/>
    <w:rsid w:val="00964DA7"/>
    <w:rsid w:val="00965B02"/>
    <w:rsid w:val="00965FEE"/>
    <w:rsid w:val="0096643B"/>
    <w:rsid w:val="009706B5"/>
    <w:rsid w:val="00970CB5"/>
    <w:rsid w:val="00972BDF"/>
    <w:rsid w:val="0097702D"/>
    <w:rsid w:val="0098182D"/>
    <w:rsid w:val="00990C92"/>
    <w:rsid w:val="00991F20"/>
    <w:rsid w:val="009923E0"/>
    <w:rsid w:val="009929A0"/>
    <w:rsid w:val="009950AD"/>
    <w:rsid w:val="00997E87"/>
    <w:rsid w:val="009A0AF8"/>
    <w:rsid w:val="009A1139"/>
    <w:rsid w:val="009A3D4D"/>
    <w:rsid w:val="009A49FE"/>
    <w:rsid w:val="009A686F"/>
    <w:rsid w:val="009A77EC"/>
    <w:rsid w:val="009A7DBA"/>
    <w:rsid w:val="009B33A8"/>
    <w:rsid w:val="009B3487"/>
    <w:rsid w:val="009B5FB5"/>
    <w:rsid w:val="009B7C61"/>
    <w:rsid w:val="009C2422"/>
    <w:rsid w:val="009C2AE5"/>
    <w:rsid w:val="009C3793"/>
    <w:rsid w:val="009C5799"/>
    <w:rsid w:val="009C5DB9"/>
    <w:rsid w:val="009C7074"/>
    <w:rsid w:val="009D0A4B"/>
    <w:rsid w:val="009D25FE"/>
    <w:rsid w:val="009D4C29"/>
    <w:rsid w:val="009D55E3"/>
    <w:rsid w:val="009E0867"/>
    <w:rsid w:val="009E1411"/>
    <w:rsid w:val="009E45A0"/>
    <w:rsid w:val="009E49A3"/>
    <w:rsid w:val="009E52F2"/>
    <w:rsid w:val="009F0515"/>
    <w:rsid w:val="009F1A4C"/>
    <w:rsid w:val="009F3C1F"/>
    <w:rsid w:val="009F614E"/>
    <w:rsid w:val="009F6571"/>
    <w:rsid w:val="009F762B"/>
    <w:rsid w:val="00A00E96"/>
    <w:rsid w:val="00A02047"/>
    <w:rsid w:val="00A036BE"/>
    <w:rsid w:val="00A06A6F"/>
    <w:rsid w:val="00A07282"/>
    <w:rsid w:val="00A12205"/>
    <w:rsid w:val="00A155B9"/>
    <w:rsid w:val="00A162CE"/>
    <w:rsid w:val="00A214B4"/>
    <w:rsid w:val="00A32D63"/>
    <w:rsid w:val="00A345F6"/>
    <w:rsid w:val="00A348B5"/>
    <w:rsid w:val="00A34DDD"/>
    <w:rsid w:val="00A4436A"/>
    <w:rsid w:val="00A453DC"/>
    <w:rsid w:val="00A45721"/>
    <w:rsid w:val="00A457D1"/>
    <w:rsid w:val="00A47E87"/>
    <w:rsid w:val="00A516E8"/>
    <w:rsid w:val="00A520C9"/>
    <w:rsid w:val="00A525D9"/>
    <w:rsid w:val="00A565E7"/>
    <w:rsid w:val="00A6185A"/>
    <w:rsid w:val="00A625E2"/>
    <w:rsid w:val="00A66EEC"/>
    <w:rsid w:val="00A67B13"/>
    <w:rsid w:val="00A71080"/>
    <w:rsid w:val="00A72465"/>
    <w:rsid w:val="00A72DCB"/>
    <w:rsid w:val="00A75001"/>
    <w:rsid w:val="00A80C92"/>
    <w:rsid w:val="00A82461"/>
    <w:rsid w:val="00A83323"/>
    <w:rsid w:val="00A840E9"/>
    <w:rsid w:val="00A85006"/>
    <w:rsid w:val="00A851D8"/>
    <w:rsid w:val="00A86352"/>
    <w:rsid w:val="00A90295"/>
    <w:rsid w:val="00A9227B"/>
    <w:rsid w:val="00A93540"/>
    <w:rsid w:val="00A953BA"/>
    <w:rsid w:val="00AA1A2C"/>
    <w:rsid w:val="00AA207C"/>
    <w:rsid w:val="00AA5D62"/>
    <w:rsid w:val="00AB3710"/>
    <w:rsid w:val="00AB37EB"/>
    <w:rsid w:val="00AB4B0F"/>
    <w:rsid w:val="00AB6C3B"/>
    <w:rsid w:val="00AC1971"/>
    <w:rsid w:val="00AC5848"/>
    <w:rsid w:val="00AD15A7"/>
    <w:rsid w:val="00AD6BEE"/>
    <w:rsid w:val="00AE008F"/>
    <w:rsid w:val="00AE1EF2"/>
    <w:rsid w:val="00AE33FE"/>
    <w:rsid w:val="00AF1248"/>
    <w:rsid w:val="00AF233D"/>
    <w:rsid w:val="00AF55AC"/>
    <w:rsid w:val="00AF7008"/>
    <w:rsid w:val="00B012D1"/>
    <w:rsid w:val="00B07D6D"/>
    <w:rsid w:val="00B1003A"/>
    <w:rsid w:val="00B11E08"/>
    <w:rsid w:val="00B12E48"/>
    <w:rsid w:val="00B12FA5"/>
    <w:rsid w:val="00B13C33"/>
    <w:rsid w:val="00B26C37"/>
    <w:rsid w:val="00B31806"/>
    <w:rsid w:val="00B32CD3"/>
    <w:rsid w:val="00B35A93"/>
    <w:rsid w:val="00B3635B"/>
    <w:rsid w:val="00B3672D"/>
    <w:rsid w:val="00B36D2B"/>
    <w:rsid w:val="00B36EA3"/>
    <w:rsid w:val="00B37C9C"/>
    <w:rsid w:val="00B47192"/>
    <w:rsid w:val="00B4745C"/>
    <w:rsid w:val="00B477AC"/>
    <w:rsid w:val="00B60DFD"/>
    <w:rsid w:val="00B61D75"/>
    <w:rsid w:val="00B62F0D"/>
    <w:rsid w:val="00B650CF"/>
    <w:rsid w:val="00B66DB3"/>
    <w:rsid w:val="00B7258D"/>
    <w:rsid w:val="00B72B0F"/>
    <w:rsid w:val="00B72D1B"/>
    <w:rsid w:val="00B741B2"/>
    <w:rsid w:val="00B75A86"/>
    <w:rsid w:val="00B80028"/>
    <w:rsid w:val="00B833EA"/>
    <w:rsid w:val="00B85271"/>
    <w:rsid w:val="00B85EF3"/>
    <w:rsid w:val="00B9223B"/>
    <w:rsid w:val="00B97604"/>
    <w:rsid w:val="00BA11EC"/>
    <w:rsid w:val="00BA4D1F"/>
    <w:rsid w:val="00BA7AD1"/>
    <w:rsid w:val="00BB04EC"/>
    <w:rsid w:val="00BB2250"/>
    <w:rsid w:val="00BB4A68"/>
    <w:rsid w:val="00BB68F5"/>
    <w:rsid w:val="00BB739A"/>
    <w:rsid w:val="00BC0FDD"/>
    <w:rsid w:val="00BC14E6"/>
    <w:rsid w:val="00BC22E0"/>
    <w:rsid w:val="00BC2E99"/>
    <w:rsid w:val="00BD30FE"/>
    <w:rsid w:val="00BD65B1"/>
    <w:rsid w:val="00BE0F79"/>
    <w:rsid w:val="00BE21EF"/>
    <w:rsid w:val="00BE28ED"/>
    <w:rsid w:val="00BE3E18"/>
    <w:rsid w:val="00BE673B"/>
    <w:rsid w:val="00BE688D"/>
    <w:rsid w:val="00BE7C9B"/>
    <w:rsid w:val="00BF01A7"/>
    <w:rsid w:val="00BF0686"/>
    <w:rsid w:val="00BF0A4C"/>
    <w:rsid w:val="00BF0D34"/>
    <w:rsid w:val="00BF1ECA"/>
    <w:rsid w:val="00BF3F7C"/>
    <w:rsid w:val="00C00463"/>
    <w:rsid w:val="00C0147E"/>
    <w:rsid w:val="00C03F20"/>
    <w:rsid w:val="00C04FE4"/>
    <w:rsid w:val="00C219E6"/>
    <w:rsid w:val="00C22B21"/>
    <w:rsid w:val="00C25084"/>
    <w:rsid w:val="00C30A4F"/>
    <w:rsid w:val="00C31401"/>
    <w:rsid w:val="00C41665"/>
    <w:rsid w:val="00C41758"/>
    <w:rsid w:val="00C429E1"/>
    <w:rsid w:val="00C462F8"/>
    <w:rsid w:val="00C5061C"/>
    <w:rsid w:val="00C52141"/>
    <w:rsid w:val="00C606A8"/>
    <w:rsid w:val="00C623BC"/>
    <w:rsid w:val="00C70B66"/>
    <w:rsid w:val="00C71CD1"/>
    <w:rsid w:val="00C73143"/>
    <w:rsid w:val="00C77685"/>
    <w:rsid w:val="00C77815"/>
    <w:rsid w:val="00C80100"/>
    <w:rsid w:val="00C8239D"/>
    <w:rsid w:val="00C84901"/>
    <w:rsid w:val="00C8491D"/>
    <w:rsid w:val="00C85378"/>
    <w:rsid w:val="00C928F1"/>
    <w:rsid w:val="00C9297C"/>
    <w:rsid w:val="00C94BC0"/>
    <w:rsid w:val="00C9700F"/>
    <w:rsid w:val="00CA201A"/>
    <w:rsid w:val="00CA621B"/>
    <w:rsid w:val="00CA6FDA"/>
    <w:rsid w:val="00CB0AFB"/>
    <w:rsid w:val="00CB266D"/>
    <w:rsid w:val="00CB3B6F"/>
    <w:rsid w:val="00CC0C5F"/>
    <w:rsid w:val="00CC14B6"/>
    <w:rsid w:val="00CC2F3D"/>
    <w:rsid w:val="00CC33CA"/>
    <w:rsid w:val="00CC3508"/>
    <w:rsid w:val="00CC5144"/>
    <w:rsid w:val="00CC548B"/>
    <w:rsid w:val="00CC5FF3"/>
    <w:rsid w:val="00CD08E2"/>
    <w:rsid w:val="00CD422C"/>
    <w:rsid w:val="00CD783C"/>
    <w:rsid w:val="00CE2ADF"/>
    <w:rsid w:val="00CE3713"/>
    <w:rsid w:val="00CF0807"/>
    <w:rsid w:val="00CF1976"/>
    <w:rsid w:val="00CF1D7D"/>
    <w:rsid w:val="00CF45D3"/>
    <w:rsid w:val="00CF5787"/>
    <w:rsid w:val="00CF6B6C"/>
    <w:rsid w:val="00D01197"/>
    <w:rsid w:val="00D042BB"/>
    <w:rsid w:val="00D058B0"/>
    <w:rsid w:val="00D05C8E"/>
    <w:rsid w:val="00D06CA0"/>
    <w:rsid w:val="00D11F7D"/>
    <w:rsid w:val="00D11FC3"/>
    <w:rsid w:val="00D13098"/>
    <w:rsid w:val="00D17789"/>
    <w:rsid w:val="00D1789C"/>
    <w:rsid w:val="00D179FC"/>
    <w:rsid w:val="00D17B5C"/>
    <w:rsid w:val="00D17EDC"/>
    <w:rsid w:val="00D20AC2"/>
    <w:rsid w:val="00D21565"/>
    <w:rsid w:val="00D22411"/>
    <w:rsid w:val="00D226BE"/>
    <w:rsid w:val="00D233C6"/>
    <w:rsid w:val="00D25860"/>
    <w:rsid w:val="00D2737E"/>
    <w:rsid w:val="00D274A9"/>
    <w:rsid w:val="00D32347"/>
    <w:rsid w:val="00D32644"/>
    <w:rsid w:val="00D33229"/>
    <w:rsid w:val="00D33619"/>
    <w:rsid w:val="00D338F0"/>
    <w:rsid w:val="00D405BE"/>
    <w:rsid w:val="00D40FD4"/>
    <w:rsid w:val="00D42688"/>
    <w:rsid w:val="00D45CFB"/>
    <w:rsid w:val="00D52AC7"/>
    <w:rsid w:val="00D53772"/>
    <w:rsid w:val="00D54CA9"/>
    <w:rsid w:val="00D556EC"/>
    <w:rsid w:val="00D56D67"/>
    <w:rsid w:val="00D62BF4"/>
    <w:rsid w:val="00D6340F"/>
    <w:rsid w:val="00D72D16"/>
    <w:rsid w:val="00D74213"/>
    <w:rsid w:val="00D763C9"/>
    <w:rsid w:val="00D7792E"/>
    <w:rsid w:val="00D8049E"/>
    <w:rsid w:val="00D804D4"/>
    <w:rsid w:val="00D81032"/>
    <w:rsid w:val="00D81914"/>
    <w:rsid w:val="00D8195B"/>
    <w:rsid w:val="00D8561C"/>
    <w:rsid w:val="00D8619F"/>
    <w:rsid w:val="00D86764"/>
    <w:rsid w:val="00D90DA7"/>
    <w:rsid w:val="00D924C9"/>
    <w:rsid w:val="00D957E3"/>
    <w:rsid w:val="00D970E2"/>
    <w:rsid w:val="00DA5ABC"/>
    <w:rsid w:val="00DB0873"/>
    <w:rsid w:val="00DB235D"/>
    <w:rsid w:val="00DB2772"/>
    <w:rsid w:val="00DB5528"/>
    <w:rsid w:val="00DB5C0A"/>
    <w:rsid w:val="00DB5E40"/>
    <w:rsid w:val="00DB7B65"/>
    <w:rsid w:val="00DC0C93"/>
    <w:rsid w:val="00DC0E09"/>
    <w:rsid w:val="00DC168A"/>
    <w:rsid w:val="00DC68EB"/>
    <w:rsid w:val="00DD13E2"/>
    <w:rsid w:val="00DD546F"/>
    <w:rsid w:val="00DD6F1E"/>
    <w:rsid w:val="00DE153B"/>
    <w:rsid w:val="00DE3B70"/>
    <w:rsid w:val="00DF003C"/>
    <w:rsid w:val="00DF4501"/>
    <w:rsid w:val="00DF723C"/>
    <w:rsid w:val="00DF783E"/>
    <w:rsid w:val="00DF78AE"/>
    <w:rsid w:val="00E029A8"/>
    <w:rsid w:val="00E117EC"/>
    <w:rsid w:val="00E11E2E"/>
    <w:rsid w:val="00E17E73"/>
    <w:rsid w:val="00E2092E"/>
    <w:rsid w:val="00E24CF4"/>
    <w:rsid w:val="00E26A43"/>
    <w:rsid w:val="00E27279"/>
    <w:rsid w:val="00E31699"/>
    <w:rsid w:val="00E316D8"/>
    <w:rsid w:val="00E32707"/>
    <w:rsid w:val="00E348A5"/>
    <w:rsid w:val="00E371EC"/>
    <w:rsid w:val="00E422D7"/>
    <w:rsid w:val="00E47348"/>
    <w:rsid w:val="00E6063A"/>
    <w:rsid w:val="00E62A59"/>
    <w:rsid w:val="00E62E86"/>
    <w:rsid w:val="00E63011"/>
    <w:rsid w:val="00E64A3C"/>
    <w:rsid w:val="00E65AC5"/>
    <w:rsid w:val="00E679CA"/>
    <w:rsid w:val="00E703E8"/>
    <w:rsid w:val="00E71497"/>
    <w:rsid w:val="00E71E1C"/>
    <w:rsid w:val="00E72AE3"/>
    <w:rsid w:val="00E73B0B"/>
    <w:rsid w:val="00E73B51"/>
    <w:rsid w:val="00E743B7"/>
    <w:rsid w:val="00E75CF5"/>
    <w:rsid w:val="00E76D3D"/>
    <w:rsid w:val="00E81B17"/>
    <w:rsid w:val="00E8308B"/>
    <w:rsid w:val="00E83125"/>
    <w:rsid w:val="00E83F26"/>
    <w:rsid w:val="00E86A13"/>
    <w:rsid w:val="00E86CA7"/>
    <w:rsid w:val="00E94B28"/>
    <w:rsid w:val="00EA1F89"/>
    <w:rsid w:val="00EA5BCC"/>
    <w:rsid w:val="00EB117B"/>
    <w:rsid w:val="00EB15E0"/>
    <w:rsid w:val="00EB39C0"/>
    <w:rsid w:val="00EB40D6"/>
    <w:rsid w:val="00EB4BCD"/>
    <w:rsid w:val="00EB5F75"/>
    <w:rsid w:val="00EB79CD"/>
    <w:rsid w:val="00EB7F18"/>
    <w:rsid w:val="00EC305D"/>
    <w:rsid w:val="00EC3BF2"/>
    <w:rsid w:val="00EC3C36"/>
    <w:rsid w:val="00ED6131"/>
    <w:rsid w:val="00EE0578"/>
    <w:rsid w:val="00EE0F2E"/>
    <w:rsid w:val="00EE1454"/>
    <w:rsid w:val="00EE2A41"/>
    <w:rsid w:val="00EE2C8C"/>
    <w:rsid w:val="00EE3054"/>
    <w:rsid w:val="00EE3257"/>
    <w:rsid w:val="00EE575D"/>
    <w:rsid w:val="00EE5F8D"/>
    <w:rsid w:val="00EE6083"/>
    <w:rsid w:val="00EF09FB"/>
    <w:rsid w:val="00EF1C2A"/>
    <w:rsid w:val="00EF1D1D"/>
    <w:rsid w:val="00EF22EE"/>
    <w:rsid w:val="00EF5956"/>
    <w:rsid w:val="00F02923"/>
    <w:rsid w:val="00F029BA"/>
    <w:rsid w:val="00F02B2C"/>
    <w:rsid w:val="00F0351B"/>
    <w:rsid w:val="00F04E34"/>
    <w:rsid w:val="00F06472"/>
    <w:rsid w:val="00F06F04"/>
    <w:rsid w:val="00F0721E"/>
    <w:rsid w:val="00F0754E"/>
    <w:rsid w:val="00F110DB"/>
    <w:rsid w:val="00F13693"/>
    <w:rsid w:val="00F16026"/>
    <w:rsid w:val="00F22566"/>
    <w:rsid w:val="00F22963"/>
    <w:rsid w:val="00F23124"/>
    <w:rsid w:val="00F25D50"/>
    <w:rsid w:val="00F2654F"/>
    <w:rsid w:val="00F27706"/>
    <w:rsid w:val="00F32B23"/>
    <w:rsid w:val="00F37993"/>
    <w:rsid w:val="00F403EA"/>
    <w:rsid w:val="00F42753"/>
    <w:rsid w:val="00F4623D"/>
    <w:rsid w:val="00F47DEC"/>
    <w:rsid w:val="00F510DB"/>
    <w:rsid w:val="00F54525"/>
    <w:rsid w:val="00F56B30"/>
    <w:rsid w:val="00F62C8C"/>
    <w:rsid w:val="00F64643"/>
    <w:rsid w:val="00F71986"/>
    <w:rsid w:val="00F7260C"/>
    <w:rsid w:val="00F727B0"/>
    <w:rsid w:val="00F72B5D"/>
    <w:rsid w:val="00F750BE"/>
    <w:rsid w:val="00F7581F"/>
    <w:rsid w:val="00F82DE4"/>
    <w:rsid w:val="00F84FFF"/>
    <w:rsid w:val="00F85D92"/>
    <w:rsid w:val="00F90E93"/>
    <w:rsid w:val="00F91F36"/>
    <w:rsid w:val="00F946D3"/>
    <w:rsid w:val="00F94BD5"/>
    <w:rsid w:val="00F95A73"/>
    <w:rsid w:val="00F97F52"/>
    <w:rsid w:val="00FA2545"/>
    <w:rsid w:val="00FA5036"/>
    <w:rsid w:val="00FA5363"/>
    <w:rsid w:val="00FB2CFE"/>
    <w:rsid w:val="00FB4AAD"/>
    <w:rsid w:val="00FB4E3D"/>
    <w:rsid w:val="00FB5348"/>
    <w:rsid w:val="00FB5F2A"/>
    <w:rsid w:val="00FB6049"/>
    <w:rsid w:val="00FC02ED"/>
    <w:rsid w:val="00FC4E89"/>
    <w:rsid w:val="00FC4F9B"/>
    <w:rsid w:val="00FC59F0"/>
    <w:rsid w:val="00FC5E56"/>
    <w:rsid w:val="00FD2899"/>
    <w:rsid w:val="00FD4599"/>
    <w:rsid w:val="00FD4784"/>
    <w:rsid w:val="00FD65FE"/>
    <w:rsid w:val="00FD68C0"/>
    <w:rsid w:val="00FD6B1B"/>
    <w:rsid w:val="00FE3D5E"/>
    <w:rsid w:val="00FE4640"/>
    <w:rsid w:val="00FE62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057C1D"/>
  <w15:chartTrackingRefBased/>
  <w15:docId w15:val="{6391A97A-2FE7-4525-83FC-FAD562D86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770FCE"/>
    <w:rPr>
      <w:color w:val="605E5C"/>
      <w:shd w:val="clear" w:color="auto" w:fill="E1DFDD"/>
    </w:rPr>
  </w:style>
  <w:style w:type="character" w:styleId="Hipervnculovisitado">
    <w:name w:val="FollowedHyperlink"/>
    <w:basedOn w:val="Fuentedeprrafopredeter"/>
    <w:uiPriority w:val="99"/>
    <w:semiHidden/>
    <w:unhideWhenUsed/>
    <w:rsid w:val="00770FCE"/>
    <w:rPr>
      <w:color w:val="954F72" w:themeColor="followedHyperlink"/>
      <w:u w:val="single"/>
    </w:rPr>
  </w:style>
  <w:style w:type="paragraph" w:customStyle="1" w:styleId="INFOEM">
    <w:name w:val="INFOEM"/>
    <w:basedOn w:val="Normal"/>
    <w:qFormat/>
    <w:rsid w:val="00217852"/>
    <w:pPr>
      <w:spacing w:before="240" w:line="360" w:lineRule="auto"/>
      <w:ind w:left="851" w:right="851"/>
      <w:jc w:val="both"/>
    </w:pPr>
    <w:rPr>
      <w:rFonts w:ascii="Palatino Linotype" w:hAnsi="Palatino Linotype"/>
      <w:i/>
      <w:szCs w:val="14"/>
    </w:rPr>
  </w:style>
  <w:style w:type="character" w:customStyle="1" w:styleId="Mencinsinresolver2">
    <w:name w:val="Mención sin resolver2"/>
    <w:basedOn w:val="Fuentedeprrafopredeter"/>
    <w:uiPriority w:val="99"/>
    <w:semiHidden/>
    <w:unhideWhenUsed/>
    <w:rsid w:val="007B2303"/>
    <w:rPr>
      <w:color w:val="605E5C"/>
      <w:shd w:val="clear" w:color="auto" w:fill="E1DFDD"/>
    </w:rPr>
  </w:style>
  <w:style w:type="character" w:customStyle="1" w:styleId="highlight">
    <w:name w:val="highlight"/>
    <w:basedOn w:val="Fuentedeprrafopredeter"/>
    <w:rsid w:val="005E48E4"/>
  </w:style>
  <w:style w:type="table" w:styleId="Tablaconcuadrcula">
    <w:name w:val="Table Grid"/>
    <w:basedOn w:val="Tablanormal"/>
    <w:uiPriority w:val="39"/>
    <w:rsid w:val="00DB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247D10"/>
    <w:pPr>
      <w:spacing w:before="240" w:line="360" w:lineRule="auto"/>
      <w:ind w:left="851" w:right="851"/>
      <w:jc w:val="both"/>
    </w:pPr>
    <w:rPr>
      <w:rFonts w:ascii="Palatino Linotype" w:hAnsi="Palatino Linotype" w:cs="Arial"/>
      <w:i/>
    </w:rPr>
  </w:style>
  <w:style w:type="character" w:styleId="Refdecomentario">
    <w:name w:val="annotation reference"/>
    <w:basedOn w:val="Fuentedeprrafopredeter"/>
    <w:uiPriority w:val="99"/>
    <w:semiHidden/>
    <w:unhideWhenUsed/>
    <w:rsid w:val="00C8239D"/>
    <w:rPr>
      <w:sz w:val="16"/>
      <w:szCs w:val="16"/>
    </w:rPr>
  </w:style>
  <w:style w:type="paragraph" w:styleId="Textocomentario">
    <w:name w:val="annotation text"/>
    <w:basedOn w:val="Normal"/>
    <w:link w:val="TextocomentarioCar"/>
    <w:uiPriority w:val="99"/>
    <w:semiHidden/>
    <w:unhideWhenUsed/>
    <w:rsid w:val="00C8239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8239D"/>
    <w:rPr>
      <w:sz w:val="20"/>
      <w:szCs w:val="20"/>
    </w:rPr>
  </w:style>
  <w:style w:type="paragraph" w:styleId="Asuntodelcomentario">
    <w:name w:val="annotation subject"/>
    <w:basedOn w:val="Textocomentario"/>
    <w:next w:val="Textocomentario"/>
    <w:link w:val="AsuntodelcomentarioCar"/>
    <w:uiPriority w:val="99"/>
    <w:semiHidden/>
    <w:unhideWhenUsed/>
    <w:rsid w:val="00C8239D"/>
    <w:rPr>
      <w:b/>
      <w:bCs/>
    </w:rPr>
  </w:style>
  <w:style w:type="character" w:customStyle="1" w:styleId="AsuntodelcomentarioCar">
    <w:name w:val="Asunto del comentario Car"/>
    <w:basedOn w:val="TextocomentarioCar"/>
    <w:link w:val="Asuntodelcomentario"/>
    <w:uiPriority w:val="99"/>
    <w:semiHidden/>
    <w:rsid w:val="00C8239D"/>
    <w:rPr>
      <w:b/>
      <w:bCs/>
      <w:sz w:val="20"/>
      <w:szCs w:val="20"/>
    </w:rPr>
  </w:style>
  <w:style w:type="character" w:styleId="nfasis">
    <w:name w:val="Emphasis"/>
    <w:basedOn w:val="Fuentedeprrafopredeter"/>
    <w:uiPriority w:val="20"/>
    <w:qFormat/>
    <w:rsid w:val="00E703E8"/>
    <w:rPr>
      <w:i/>
      <w:iCs/>
    </w:rPr>
  </w:style>
  <w:style w:type="paragraph" w:customStyle="1" w:styleId="infoem0">
    <w:name w:val="infoem"/>
    <w:basedOn w:val="Sinespaciado"/>
    <w:qFormat/>
    <w:rsid w:val="00EF22EE"/>
    <w:pPr>
      <w:spacing w:before="240" w:after="160" w:line="360" w:lineRule="auto"/>
      <w:ind w:left="851" w:right="851"/>
      <w:jc w:val="both"/>
    </w:pPr>
    <w:rPr>
      <w:rFonts w:ascii="Palatino Linotype" w:eastAsiaTheme="minorHAnsi" w:hAnsi="Palatino Linotype" w:cs="Arial"/>
      <w:i/>
      <w:sz w:val="22"/>
      <w:lang w:eastAsia="en-US"/>
    </w:rPr>
  </w:style>
  <w:style w:type="paragraph" w:styleId="NormalWeb">
    <w:name w:val="Normal (Web)"/>
    <w:basedOn w:val="Normal"/>
    <w:uiPriority w:val="99"/>
    <w:semiHidden/>
    <w:unhideWhenUsed/>
    <w:rsid w:val="00096CA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
    <w:name w:val="j"/>
    <w:basedOn w:val="Normal"/>
    <w:rsid w:val="005523D5"/>
    <w:pPr>
      <w:spacing w:before="100" w:beforeAutospacing="1" w:after="100" w:afterAutospacing="1" w:line="240" w:lineRule="auto"/>
    </w:pPr>
    <w:rPr>
      <w:rFonts w:ascii="Times New Roman" w:hAnsi="Times New Roman" w:cs="Times New Roman"/>
      <w:sz w:val="24"/>
      <w:szCs w:val="24"/>
      <w:lang w:val="es-ES_tradnl" w:eastAsia="es-ES_tradnl"/>
    </w:rPr>
  </w:style>
  <w:style w:type="character" w:customStyle="1" w:styleId="Mencinsinresolver3">
    <w:name w:val="Mención sin resolver3"/>
    <w:basedOn w:val="Fuentedeprrafopredeter"/>
    <w:uiPriority w:val="99"/>
    <w:semiHidden/>
    <w:unhideWhenUsed/>
    <w:rsid w:val="0056134C"/>
    <w:rPr>
      <w:color w:val="605E5C"/>
      <w:shd w:val="clear" w:color="auto" w:fill="E1DFDD"/>
    </w:rPr>
  </w:style>
  <w:style w:type="character" w:customStyle="1" w:styleId="markedcontent">
    <w:name w:val="markedcontent"/>
    <w:basedOn w:val="Fuentedeprrafopredeter"/>
    <w:rsid w:val="000F2554"/>
  </w:style>
  <w:style w:type="paragraph" w:customStyle="1" w:styleId="infoemcitas">
    <w:name w:val="infoem citas"/>
    <w:basedOn w:val="Normal"/>
    <w:qFormat/>
    <w:rsid w:val="00BE0F79"/>
    <w:pPr>
      <w:spacing w:before="240" w:line="360" w:lineRule="auto"/>
      <w:ind w:left="851" w:right="851"/>
      <w:jc w:val="both"/>
    </w:pPr>
    <w:rPr>
      <w:rFonts w:ascii="Palatino Linotype" w:hAnsi="Palatino Linotype"/>
      <w:i/>
    </w:rPr>
  </w:style>
  <w:style w:type="paragraph" w:styleId="Textoindependiente">
    <w:name w:val="Body Text"/>
    <w:basedOn w:val="Normal"/>
    <w:link w:val="TextoindependienteCar"/>
    <w:uiPriority w:val="1"/>
    <w:qFormat/>
    <w:rsid w:val="00AF7008"/>
    <w:pPr>
      <w:widowControl w:val="0"/>
      <w:spacing w:after="0" w:line="240" w:lineRule="auto"/>
      <w:ind w:left="109"/>
    </w:pPr>
    <w:rPr>
      <w:rFonts w:ascii="Palatino Linotype" w:eastAsia="Palatino Linotype" w:hAnsi="Palatino Linotype"/>
      <w:sz w:val="23"/>
      <w:szCs w:val="23"/>
    </w:rPr>
  </w:style>
  <w:style w:type="character" w:customStyle="1" w:styleId="TextoindependienteCar">
    <w:name w:val="Texto independiente Car"/>
    <w:basedOn w:val="Fuentedeprrafopredeter"/>
    <w:link w:val="Textoindependiente"/>
    <w:uiPriority w:val="1"/>
    <w:rsid w:val="00AF7008"/>
    <w:rPr>
      <w:rFonts w:ascii="Palatino Linotype" w:eastAsia="Palatino Linotype" w:hAnsi="Palatino Linotype"/>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5758327">
      <w:bodyDiv w:val="1"/>
      <w:marLeft w:val="0"/>
      <w:marRight w:val="0"/>
      <w:marTop w:val="0"/>
      <w:marBottom w:val="0"/>
      <w:divBdr>
        <w:top w:val="none" w:sz="0" w:space="0" w:color="auto"/>
        <w:left w:val="none" w:sz="0" w:space="0" w:color="auto"/>
        <w:bottom w:val="none" w:sz="0" w:space="0" w:color="auto"/>
        <w:right w:val="none" w:sz="0" w:space="0" w:color="auto"/>
      </w:divBdr>
    </w:div>
    <w:div w:id="483010731">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07137243">
      <w:bodyDiv w:val="1"/>
      <w:marLeft w:val="0"/>
      <w:marRight w:val="0"/>
      <w:marTop w:val="0"/>
      <w:marBottom w:val="0"/>
      <w:divBdr>
        <w:top w:val="none" w:sz="0" w:space="0" w:color="auto"/>
        <w:left w:val="none" w:sz="0" w:space="0" w:color="auto"/>
        <w:bottom w:val="none" w:sz="0" w:space="0" w:color="auto"/>
        <w:right w:val="none" w:sz="0" w:space="0" w:color="auto"/>
      </w:divBdr>
    </w:div>
    <w:div w:id="518932729">
      <w:bodyDiv w:val="1"/>
      <w:marLeft w:val="0"/>
      <w:marRight w:val="0"/>
      <w:marTop w:val="0"/>
      <w:marBottom w:val="0"/>
      <w:divBdr>
        <w:top w:val="none" w:sz="0" w:space="0" w:color="auto"/>
        <w:left w:val="none" w:sz="0" w:space="0" w:color="auto"/>
        <w:bottom w:val="none" w:sz="0" w:space="0" w:color="auto"/>
        <w:right w:val="none" w:sz="0" w:space="0" w:color="auto"/>
      </w:divBdr>
    </w:div>
    <w:div w:id="532428847">
      <w:bodyDiv w:val="1"/>
      <w:marLeft w:val="0"/>
      <w:marRight w:val="0"/>
      <w:marTop w:val="0"/>
      <w:marBottom w:val="0"/>
      <w:divBdr>
        <w:top w:val="none" w:sz="0" w:space="0" w:color="auto"/>
        <w:left w:val="none" w:sz="0" w:space="0" w:color="auto"/>
        <w:bottom w:val="none" w:sz="0" w:space="0" w:color="auto"/>
        <w:right w:val="none" w:sz="0" w:space="0" w:color="auto"/>
      </w:divBdr>
    </w:div>
    <w:div w:id="554245668">
      <w:bodyDiv w:val="1"/>
      <w:marLeft w:val="0"/>
      <w:marRight w:val="0"/>
      <w:marTop w:val="0"/>
      <w:marBottom w:val="0"/>
      <w:divBdr>
        <w:top w:val="none" w:sz="0" w:space="0" w:color="auto"/>
        <w:left w:val="none" w:sz="0" w:space="0" w:color="auto"/>
        <w:bottom w:val="none" w:sz="0" w:space="0" w:color="auto"/>
        <w:right w:val="none" w:sz="0" w:space="0" w:color="auto"/>
      </w:divBdr>
    </w:div>
    <w:div w:id="623273245">
      <w:bodyDiv w:val="1"/>
      <w:marLeft w:val="0"/>
      <w:marRight w:val="0"/>
      <w:marTop w:val="0"/>
      <w:marBottom w:val="0"/>
      <w:divBdr>
        <w:top w:val="none" w:sz="0" w:space="0" w:color="auto"/>
        <w:left w:val="none" w:sz="0" w:space="0" w:color="auto"/>
        <w:bottom w:val="none" w:sz="0" w:space="0" w:color="auto"/>
        <w:right w:val="none" w:sz="0" w:space="0" w:color="auto"/>
      </w:divBdr>
    </w:div>
    <w:div w:id="642465649">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4670175">
      <w:bodyDiv w:val="1"/>
      <w:marLeft w:val="0"/>
      <w:marRight w:val="0"/>
      <w:marTop w:val="0"/>
      <w:marBottom w:val="0"/>
      <w:divBdr>
        <w:top w:val="none" w:sz="0" w:space="0" w:color="auto"/>
        <w:left w:val="none" w:sz="0" w:space="0" w:color="auto"/>
        <w:bottom w:val="none" w:sz="0" w:space="0" w:color="auto"/>
        <w:right w:val="none" w:sz="0" w:space="0" w:color="auto"/>
      </w:divBdr>
    </w:div>
    <w:div w:id="755592802">
      <w:bodyDiv w:val="1"/>
      <w:marLeft w:val="0"/>
      <w:marRight w:val="0"/>
      <w:marTop w:val="0"/>
      <w:marBottom w:val="0"/>
      <w:divBdr>
        <w:top w:val="none" w:sz="0" w:space="0" w:color="auto"/>
        <w:left w:val="none" w:sz="0" w:space="0" w:color="auto"/>
        <w:bottom w:val="none" w:sz="0" w:space="0" w:color="auto"/>
        <w:right w:val="none" w:sz="0" w:space="0" w:color="auto"/>
      </w:divBdr>
    </w:div>
    <w:div w:id="780732998">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791435863">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11411869">
      <w:bodyDiv w:val="1"/>
      <w:marLeft w:val="0"/>
      <w:marRight w:val="0"/>
      <w:marTop w:val="0"/>
      <w:marBottom w:val="0"/>
      <w:divBdr>
        <w:top w:val="none" w:sz="0" w:space="0" w:color="auto"/>
        <w:left w:val="none" w:sz="0" w:space="0" w:color="auto"/>
        <w:bottom w:val="none" w:sz="0" w:space="0" w:color="auto"/>
        <w:right w:val="none" w:sz="0" w:space="0" w:color="auto"/>
      </w:divBdr>
    </w:div>
    <w:div w:id="833648718">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0870464">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02928978">
      <w:bodyDiv w:val="1"/>
      <w:marLeft w:val="0"/>
      <w:marRight w:val="0"/>
      <w:marTop w:val="0"/>
      <w:marBottom w:val="0"/>
      <w:divBdr>
        <w:top w:val="none" w:sz="0" w:space="0" w:color="auto"/>
        <w:left w:val="none" w:sz="0" w:space="0" w:color="auto"/>
        <w:bottom w:val="none" w:sz="0" w:space="0" w:color="auto"/>
        <w:right w:val="none" w:sz="0" w:space="0" w:color="auto"/>
      </w:divBdr>
    </w:div>
    <w:div w:id="1107895878">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76841482">
      <w:bodyDiv w:val="1"/>
      <w:marLeft w:val="0"/>
      <w:marRight w:val="0"/>
      <w:marTop w:val="0"/>
      <w:marBottom w:val="0"/>
      <w:divBdr>
        <w:top w:val="none" w:sz="0" w:space="0" w:color="auto"/>
        <w:left w:val="none" w:sz="0" w:space="0" w:color="auto"/>
        <w:bottom w:val="none" w:sz="0" w:space="0" w:color="auto"/>
        <w:right w:val="none" w:sz="0" w:space="0" w:color="auto"/>
      </w:divBdr>
    </w:div>
    <w:div w:id="1196774695">
      <w:bodyDiv w:val="1"/>
      <w:marLeft w:val="0"/>
      <w:marRight w:val="0"/>
      <w:marTop w:val="0"/>
      <w:marBottom w:val="0"/>
      <w:divBdr>
        <w:top w:val="none" w:sz="0" w:space="0" w:color="auto"/>
        <w:left w:val="none" w:sz="0" w:space="0" w:color="auto"/>
        <w:bottom w:val="none" w:sz="0" w:space="0" w:color="auto"/>
        <w:right w:val="none" w:sz="0" w:space="0" w:color="auto"/>
      </w:divBdr>
    </w:div>
    <w:div w:id="1212613041">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345286716">
      <w:bodyDiv w:val="1"/>
      <w:marLeft w:val="0"/>
      <w:marRight w:val="0"/>
      <w:marTop w:val="0"/>
      <w:marBottom w:val="0"/>
      <w:divBdr>
        <w:top w:val="none" w:sz="0" w:space="0" w:color="auto"/>
        <w:left w:val="none" w:sz="0" w:space="0" w:color="auto"/>
        <w:bottom w:val="none" w:sz="0" w:space="0" w:color="auto"/>
        <w:right w:val="none" w:sz="0" w:space="0" w:color="auto"/>
      </w:divBdr>
    </w:div>
    <w:div w:id="1426148782">
      <w:bodyDiv w:val="1"/>
      <w:marLeft w:val="0"/>
      <w:marRight w:val="0"/>
      <w:marTop w:val="0"/>
      <w:marBottom w:val="0"/>
      <w:divBdr>
        <w:top w:val="none" w:sz="0" w:space="0" w:color="auto"/>
        <w:left w:val="none" w:sz="0" w:space="0" w:color="auto"/>
        <w:bottom w:val="none" w:sz="0" w:space="0" w:color="auto"/>
        <w:right w:val="none" w:sz="0" w:space="0" w:color="auto"/>
      </w:divBdr>
    </w:div>
    <w:div w:id="1483280349">
      <w:bodyDiv w:val="1"/>
      <w:marLeft w:val="0"/>
      <w:marRight w:val="0"/>
      <w:marTop w:val="0"/>
      <w:marBottom w:val="0"/>
      <w:divBdr>
        <w:top w:val="none" w:sz="0" w:space="0" w:color="auto"/>
        <w:left w:val="none" w:sz="0" w:space="0" w:color="auto"/>
        <w:bottom w:val="none" w:sz="0" w:space="0" w:color="auto"/>
        <w:right w:val="none" w:sz="0" w:space="0" w:color="auto"/>
      </w:divBdr>
    </w:div>
    <w:div w:id="1486050785">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897793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3112882">
      <w:bodyDiv w:val="1"/>
      <w:marLeft w:val="0"/>
      <w:marRight w:val="0"/>
      <w:marTop w:val="0"/>
      <w:marBottom w:val="0"/>
      <w:divBdr>
        <w:top w:val="none" w:sz="0" w:space="0" w:color="auto"/>
        <w:left w:val="none" w:sz="0" w:space="0" w:color="auto"/>
        <w:bottom w:val="none" w:sz="0" w:space="0" w:color="auto"/>
        <w:right w:val="none" w:sz="0" w:space="0" w:color="auto"/>
      </w:divBdr>
    </w:div>
    <w:div w:id="188640827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00964888">
      <w:bodyDiv w:val="1"/>
      <w:marLeft w:val="0"/>
      <w:marRight w:val="0"/>
      <w:marTop w:val="0"/>
      <w:marBottom w:val="0"/>
      <w:divBdr>
        <w:top w:val="none" w:sz="0" w:space="0" w:color="auto"/>
        <w:left w:val="none" w:sz="0" w:space="0" w:color="auto"/>
        <w:bottom w:val="none" w:sz="0" w:space="0" w:color="auto"/>
        <w:right w:val="none" w:sz="0" w:space="0" w:color="auto"/>
      </w:divBdr>
    </w:div>
    <w:div w:id="2028870846">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79593076">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as.ifai.org.mx/descargar.php?r=./pdf/resoluciones/2017/&amp;a=RRA%2022.pdf" TargetMode="External"/><Relationship Id="rId13" Type="http://schemas.openxmlformats.org/officeDocument/2006/relationships/image" Target="media/image3.png"/><Relationship Id="rId18" Type="http://schemas.openxmlformats.org/officeDocument/2006/relationships/hyperlink" Target="http://consultas.ifai.org.mx/descargar.php?r=./pdf/resoluciones/2018/&amp;a=RRA%205097.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consultas.ifai.org.mx/descargar.php?r=./pdf/resoluciones/2018/&amp;a=RRA%204548.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hyperlink" Target="http://consultas.ifai.org.mx/descargar.php?r=./pdf/resoluciones/2017/&amp;a=RRA%203482.pdf" TargetMode="External"/><Relationship Id="rId19" Type="http://schemas.openxmlformats.org/officeDocument/2006/relationships/hyperlink" Target="http://consultas.ifai.org.mx/descargar.php?r=./pdf/resoluciones/2019/&amp;a=RRA%2014270.pdf" TargetMode="External"/><Relationship Id="rId4" Type="http://schemas.openxmlformats.org/officeDocument/2006/relationships/settings" Target="settings.xml"/><Relationship Id="rId9" Type="http://schemas.openxmlformats.org/officeDocument/2006/relationships/hyperlink" Target="http://consultas.ifai.org.mx/descargar.php?r=./pdf/resoluciones/2017/&amp;a=RRA%202536.pdf" TargetMode="External"/><Relationship Id="rId14" Type="http://schemas.openxmlformats.org/officeDocument/2006/relationships/image" Target="media/image4.png"/><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1ED50-533D-46DF-8286-93E4ECE94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1831</TotalTime>
  <Pages>43</Pages>
  <Words>7891</Words>
  <Characters>43405</Characters>
  <Application>Microsoft Office Word</Application>
  <DocSecurity>0</DocSecurity>
  <Lines>361</Lines>
  <Paragraphs>102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67</cp:revision>
  <cp:lastPrinted>2020-01-30T23:10:00Z</cp:lastPrinted>
  <dcterms:created xsi:type="dcterms:W3CDTF">2023-02-21T16:47:00Z</dcterms:created>
  <dcterms:modified xsi:type="dcterms:W3CDTF">2023-10-10T20:48:00Z</dcterms:modified>
</cp:coreProperties>
</file>