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C55" w:rsidRPr="00AB4F12" w:rsidRDefault="00966F64">
      <w:pPr>
        <w:spacing w:before="120"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diez de mayo de dos mil veintitrés.</w:t>
      </w:r>
    </w:p>
    <w:p w:rsidR="004E2C55" w:rsidRPr="00AB4F12" w:rsidRDefault="004E2C55"/>
    <w:p w:rsidR="004E2C55" w:rsidRPr="00AB4F12" w:rsidRDefault="00966F64">
      <w:pPr>
        <w:spacing w:before="120"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Visto </w:t>
      </w:r>
      <w:r w:rsidRPr="00AB4F12">
        <w:rPr>
          <w:rFonts w:ascii="Palatino Linotype" w:eastAsia="Palatino Linotype" w:hAnsi="Palatino Linotype" w:cs="Palatino Linotype"/>
          <w:sz w:val="24"/>
          <w:szCs w:val="24"/>
        </w:rPr>
        <w:t xml:space="preserve">el expediente relativo al recurso de revisión </w:t>
      </w:r>
      <w:r w:rsidRPr="00AB4F12">
        <w:rPr>
          <w:rFonts w:ascii="Palatino Linotype" w:eastAsia="Palatino Linotype" w:hAnsi="Palatino Linotype" w:cs="Palatino Linotype"/>
          <w:b/>
          <w:sz w:val="24"/>
          <w:szCs w:val="24"/>
        </w:rPr>
        <w:t>15659/INFOEM/IP/RR/2022</w:t>
      </w:r>
      <w:r w:rsidRPr="00AB4F12">
        <w:rPr>
          <w:rFonts w:ascii="Palatino Linotype" w:eastAsia="Palatino Linotype" w:hAnsi="Palatino Linotype" w:cs="Palatino Linotype"/>
          <w:sz w:val="24"/>
          <w:szCs w:val="24"/>
        </w:rPr>
        <w:t>, interpuesto por</w:t>
      </w:r>
      <w:r w:rsidR="00AB1A01">
        <w:rPr>
          <w:rFonts w:ascii="Palatino Linotype" w:eastAsia="Palatino Linotype" w:hAnsi="Palatino Linotype" w:cs="Palatino Linotype"/>
          <w:b/>
          <w:sz w:val="24"/>
          <w:szCs w:val="24"/>
        </w:rPr>
        <w:t xml:space="preserve"> XXXXXXX XXXXX</w:t>
      </w:r>
      <w:bookmarkStart w:id="0" w:name="_GoBack"/>
      <w:bookmarkEnd w:id="0"/>
      <w:r w:rsidRPr="00AB4F12">
        <w:rPr>
          <w:rFonts w:ascii="Palatino Linotype" w:eastAsia="Palatino Linotype" w:hAnsi="Palatino Linotype" w:cs="Palatino Linotype"/>
          <w:sz w:val="24"/>
          <w:szCs w:val="24"/>
        </w:rPr>
        <w:t xml:space="preserve">, en lo sucesivo se le denominara </w:t>
      </w:r>
      <w:r w:rsidRPr="00AB4F12">
        <w:rPr>
          <w:rFonts w:ascii="Palatino Linotype" w:eastAsia="Palatino Linotype" w:hAnsi="Palatino Linotype" w:cs="Palatino Linotype"/>
          <w:b/>
          <w:sz w:val="24"/>
          <w:szCs w:val="24"/>
        </w:rPr>
        <w:t>LA RECURRENTE</w:t>
      </w:r>
      <w:r w:rsidRPr="00AB4F12">
        <w:rPr>
          <w:rFonts w:ascii="Palatino Linotype" w:eastAsia="Palatino Linotype" w:hAnsi="Palatino Linotype" w:cs="Palatino Linotype"/>
          <w:sz w:val="24"/>
          <w:szCs w:val="24"/>
        </w:rPr>
        <w:t xml:space="preserve">, en contra de la respuesta a la solicitud de información con número de folio </w:t>
      </w:r>
      <w:r w:rsidRPr="00AB4F12">
        <w:rPr>
          <w:rFonts w:ascii="Palatino Linotype" w:eastAsia="Palatino Linotype" w:hAnsi="Palatino Linotype" w:cs="Palatino Linotype"/>
          <w:b/>
          <w:sz w:val="24"/>
          <w:szCs w:val="24"/>
        </w:rPr>
        <w:t>00053/DIFLERMA/IP/2022</w:t>
      </w:r>
      <w:r w:rsidRPr="00AB4F12">
        <w:rPr>
          <w:rFonts w:ascii="Palatino Linotype" w:eastAsia="Palatino Linotype" w:hAnsi="Palatino Linotype" w:cs="Palatino Linotype"/>
          <w:sz w:val="24"/>
          <w:szCs w:val="24"/>
        </w:rPr>
        <w:t>, por parte del</w:t>
      </w:r>
      <w:r w:rsidRPr="00AB4F12">
        <w:rPr>
          <w:rFonts w:ascii="Palatino Linotype" w:eastAsia="Palatino Linotype" w:hAnsi="Palatino Linotype" w:cs="Palatino Linotype"/>
          <w:b/>
          <w:sz w:val="24"/>
          <w:szCs w:val="24"/>
        </w:rPr>
        <w:t xml:space="preserve"> Sistema Municipal Para el Desarrollo Integral de la Familia de Lerma</w:t>
      </w:r>
      <w:r w:rsidRPr="00AB4F12">
        <w:rPr>
          <w:rFonts w:ascii="Palatino Linotype" w:eastAsia="Palatino Linotype" w:hAnsi="Palatino Linotype" w:cs="Palatino Linotype"/>
          <w:sz w:val="24"/>
          <w:szCs w:val="24"/>
        </w:rPr>
        <w:t>, en lo sucesivo</w:t>
      </w:r>
      <w:r w:rsidRPr="00AB4F12">
        <w:rPr>
          <w:rFonts w:ascii="Palatino Linotype" w:eastAsia="Palatino Linotype" w:hAnsi="Palatino Linotype" w:cs="Palatino Linotype"/>
          <w:b/>
          <w:sz w:val="24"/>
          <w:szCs w:val="24"/>
        </w:rPr>
        <w:t xml:space="preserve"> EL SUJETO OBLIGADO; </w:t>
      </w:r>
      <w:r w:rsidRPr="00AB4F12">
        <w:rPr>
          <w:rFonts w:ascii="Palatino Linotype" w:eastAsia="Palatino Linotype" w:hAnsi="Palatino Linotype" w:cs="Palatino Linotype"/>
          <w:sz w:val="24"/>
          <w:szCs w:val="24"/>
        </w:rPr>
        <w:t xml:space="preserve">se procede a dictar la presente resolución, con base en lo siguiente. </w:t>
      </w:r>
    </w:p>
    <w:p w:rsidR="004E2C55" w:rsidRPr="00AB4F12" w:rsidRDefault="004E2C55"/>
    <w:p w:rsidR="004E2C55" w:rsidRPr="00AB4F12" w:rsidRDefault="00966F64">
      <w:pPr>
        <w:spacing w:after="0" w:line="360" w:lineRule="auto"/>
        <w:ind w:right="49"/>
        <w:jc w:val="center"/>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A N T E C E D E N T E 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1.</w:t>
      </w:r>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b/>
          <w:sz w:val="24"/>
          <w:szCs w:val="24"/>
        </w:rPr>
        <w:t xml:space="preserve">SOLICITUD DE INFORMACIÓN. </w:t>
      </w:r>
      <w:r w:rsidRPr="00AB4F12">
        <w:rPr>
          <w:rFonts w:ascii="Palatino Linotype" w:eastAsia="Palatino Linotype" w:hAnsi="Palatino Linotype" w:cs="Palatino Linotype"/>
          <w:sz w:val="24"/>
          <w:szCs w:val="24"/>
        </w:rPr>
        <w:t xml:space="preserve">Con fecha veintisiete de septiembre de dos mil veintidós, </w:t>
      </w:r>
      <w:r w:rsidRPr="00AB4F12">
        <w:rPr>
          <w:rFonts w:ascii="Palatino Linotype" w:eastAsia="Palatino Linotype" w:hAnsi="Palatino Linotype" w:cs="Palatino Linotype"/>
          <w:b/>
          <w:sz w:val="24"/>
          <w:szCs w:val="24"/>
        </w:rPr>
        <w:t>LA RECURRENTE</w:t>
      </w:r>
      <w:r w:rsidRPr="00AB4F12">
        <w:rPr>
          <w:rFonts w:ascii="Palatino Linotype" w:eastAsia="Palatino Linotype" w:hAnsi="Palatino Linotype" w:cs="Palatino Linotype"/>
          <w:sz w:val="24"/>
          <w:szCs w:val="24"/>
        </w:rPr>
        <w:t>, presentó a través del Sistema de Acceso a la Información Mexiquense (</w:t>
      </w:r>
      <w:r w:rsidRPr="00AB4F12">
        <w:rPr>
          <w:rFonts w:ascii="Palatino Linotype" w:eastAsia="Palatino Linotype" w:hAnsi="Palatino Linotype" w:cs="Palatino Linotype"/>
          <w:b/>
          <w:sz w:val="24"/>
          <w:szCs w:val="24"/>
        </w:rPr>
        <w:t>SAIMEX)</w:t>
      </w:r>
      <w:r w:rsidRPr="00AB4F12">
        <w:rPr>
          <w:rFonts w:ascii="Palatino Linotype" w:eastAsia="Palatino Linotype" w:hAnsi="Palatino Linotype" w:cs="Palatino Linotype"/>
          <w:sz w:val="24"/>
          <w:szCs w:val="24"/>
        </w:rPr>
        <w:t xml:space="preserve"> ante </w:t>
      </w:r>
      <w:r w:rsidRPr="00AB4F12">
        <w:rPr>
          <w:rFonts w:ascii="Palatino Linotype" w:eastAsia="Palatino Linotype" w:hAnsi="Palatino Linotype" w:cs="Palatino Linotype"/>
          <w:b/>
          <w:sz w:val="24"/>
          <w:szCs w:val="24"/>
        </w:rPr>
        <w:t>EL SUJETO OBLIGADO</w:t>
      </w:r>
      <w:r w:rsidRPr="00AB4F12">
        <w:rPr>
          <w:rFonts w:ascii="Palatino Linotype" w:eastAsia="Palatino Linotype" w:hAnsi="Palatino Linotype" w:cs="Palatino Linotype"/>
          <w:sz w:val="24"/>
          <w:szCs w:val="24"/>
        </w:rPr>
        <w:t>, solicitud de acceso a la información pública, registrada bajo el número de expediente</w:t>
      </w:r>
      <w:r w:rsidRPr="00AB4F12">
        <w:rPr>
          <w:rFonts w:ascii="Verdana" w:eastAsia="Verdana" w:hAnsi="Verdana" w:cs="Verdana"/>
          <w:b/>
          <w:color w:val="FF0000"/>
        </w:rPr>
        <w:t> </w:t>
      </w:r>
      <w:r w:rsidRPr="00AB4F12">
        <w:rPr>
          <w:rFonts w:ascii="Palatino Linotype" w:eastAsia="Palatino Linotype" w:hAnsi="Palatino Linotype" w:cs="Palatino Linotype"/>
          <w:b/>
          <w:sz w:val="24"/>
          <w:szCs w:val="24"/>
        </w:rPr>
        <w:t>00053/DIFLERMA/IP/2022</w:t>
      </w:r>
      <w:r w:rsidRPr="00AB4F12">
        <w:rPr>
          <w:rFonts w:ascii="Palatino Linotype" w:eastAsia="Palatino Linotype" w:hAnsi="Palatino Linotype" w:cs="Palatino Linotype"/>
          <w:sz w:val="24"/>
          <w:szCs w:val="24"/>
        </w:rPr>
        <w:t>,</w:t>
      </w:r>
      <w:r w:rsidRPr="00AB4F12">
        <w:rPr>
          <w:rFonts w:ascii="Palatino Linotype" w:eastAsia="Palatino Linotype" w:hAnsi="Palatino Linotype" w:cs="Palatino Linotype"/>
          <w:b/>
          <w:sz w:val="24"/>
          <w:szCs w:val="24"/>
        </w:rPr>
        <w:t xml:space="preserve"> </w:t>
      </w:r>
      <w:r w:rsidRPr="00AB4F12">
        <w:rPr>
          <w:rFonts w:ascii="Palatino Linotype" w:eastAsia="Palatino Linotype" w:hAnsi="Palatino Linotype" w:cs="Palatino Linotype"/>
          <w:sz w:val="24"/>
          <w:szCs w:val="24"/>
        </w:rPr>
        <w:t>mediante la cual solicitó la siguiente información:</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spacing w:after="0" w:line="276" w:lineRule="auto"/>
        <w:ind w:left="709" w:right="758"/>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 xml:space="preserve">“Documento en el consten sus acciones </w:t>
      </w:r>
      <w:proofErr w:type="spellStart"/>
      <w:r w:rsidRPr="00AB4F12">
        <w:rPr>
          <w:rFonts w:ascii="Palatino Linotype" w:eastAsia="Palatino Linotype" w:hAnsi="Palatino Linotype" w:cs="Palatino Linotype"/>
          <w:i/>
          <w:color w:val="000000"/>
        </w:rPr>
        <w:t>archivisticas</w:t>
      </w:r>
      <w:proofErr w:type="spellEnd"/>
      <w:r w:rsidRPr="00AB4F12">
        <w:rPr>
          <w:rFonts w:ascii="Palatino Linotype" w:eastAsia="Palatino Linotype" w:hAnsi="Palatino Linotype" w:cs="Palatino Linotype"/>
          <w:i/>
          <w:color w:val="000000"/>
        </w:rPr>
        <w:t xml:space="preserve">. Dónde se puede encontrar la validación de su PADA. En qué portal se publican sus actas. Cuántas sesiones tienen hasta ahora en su SIA y donde las puedo consultar. Cuentan con CGCA y CADIDO? (de ser el caso donde podemos consultarlos). Qué acciones han </w:t>
      </w:r>
      <w:r w:rsidRPr="00AB4F12">
        <w:rPr>
          <w:rFonts w:ascii="Palatino Linotype" w:eastAsia="Palatino Linotype" w:hAnsi="Palatino Linotype" w:cs="Palatino Linotype"/>
          <w:i/>
          <w:color w:val="000000"/>
        </w:rPr>
        <w:lastRenderedPageBreak/>
        <w:t>implementado a sus archivos desde la entrada en vigor de la LGA. Dónde podemos consultar a los responsables de AT y al responsable del ACA. Qué acciones han implementado para documentos electrónicos. Cuentan los documentos electrónicos con algún Código Seguro de Verificación. Documento en el que conste el plan para la preservación de documentos electrónicos y físicos y donde se puede encontrar su información.” (Sic)</w:t>
      </w:r>
    </w:p>
    <w:p w:rsidR="004E2C55" w:rsidRPr="00AB4F12" w:rsidRDefault="004E2C55">
      <w:pPr>
        <w:spacing w:after="0" w:line="276" w:lineRule="auto"/>
        <w:ind w:left="709" w:right="758"/>
        <w:jc w:val="both"/>
        <w:rPr>
          <w:rFonts w:ascii="Palatino Linotype" w:eastAsia="Palatino Linotype" w:hAnsi="Palatino Linotype" w:cs="Palatino Linotype"/>
          <w:i/>
          <w:color w:val="000000"/>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Modalidad de entrega: A través del </w:t>
      </w:r>
      <w:r w:rsidRPr="00AB4F12">
        <w:rPr>
          <w:rFonts w:ascii="Palatino Linotype" w:eastAsia="Palatino Linotype" w:hAnsi="Palatino Linotype" w:cs="Palatino Linotype"/>
          <w:b/>
          <w:sz w:val="24"/>
          <w:szCs w:val="24"/>
        </w:rPr>
        <w:t>SAIMEX</w:t>
      </w:r>
      <w:r w:rsidRPr="00AB4F12">
        <w:rPr>
          <w:rFonts w:ascii="Palatino Linotype" w:eastAsia="Palatino Linotype" w:hAnsi="Palatino Linotype" w:cs="Palatino Linotype"/>
          <w:sz w:val="24"/>
          <w:szCs w:val="24"/>
        </w:rPr>
        <w:t>.</w:t>
      </w:r>
    </w:p>
    <w:p w:rsidR="004E2C55" w:rsidRPr="00AB4F12" w:rsidRDefault="004E2C55"/>
    <w:p w:rsidR="004E2C55" w:rsidRPr="00AB4F12" w:rsidRDefault="00966F64">
      <w:pPr>
        <w:spacing w:after="0" w:line="360" w:lineRule="auto"/>
        <w:jc w:val="both"/>
      </w:pPr>
      <w:r w:rsidRPr="00AB4F12">
        <w:rPr>
          <w:rFonts w:ascii="Palatino Linotype" w:eastAsia="Palatino Linotype" w:hAnsi="Palatino Linotype" w:cs="Palatino Linotype"/>
          <w:b/>
          <w:sz w:val="24"/>
          <w:szCs w:val="24"/>
        </w:rPr>
        <w:t xml:space="preserve">2. RESPUESTA.  </w:t>
      </w:r>
      <w:r w:rsidRPr="00AB4F12">
        <w:rPr>
          <w:rFonts w:ascii="Palatino Linotype" w:eastAsia="Palatino Linotype" w:hAnsi="Palatino Linotype" w:cs="Palatino Linotype"/>
          <w:sz w:val="24"/>
          <w:szCs w:val="24"/>
        </w:rPr>
        <w:t xml:space="preserve">Con fecha dieciocho de octubre del dos mil veintidós, </w:t>
      </w:r>
      <w:r w:rsidRPr="00AB4F12">
        <w:rPr>
          <w:rFonts w:ascii="Palatino Linotype" w:eastAsia="Palatino Linotype" w:hAnsi="Palatino Linotype" w:cs="Palatino Linotype"/>
          <w:b/>
          <w:sz w:val="24"/>
          <w:szCs w:val="24"/>
        </w:rPr>
        <w:t>EL SUJETO OBLIGADO</w:t>
      </w:r>
      <w:r w:rsidRPr="00AB4F12">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AB4F12">
        <w:t xml:space="preserve"> </w:t>
      </w:r>
    </w:p>
    <w:p w:rsidR="004E2C55" w:rsidRPr="00AB4F12" w:rsidRDefault="004E2C55">
      <w:pPr>
        <w:spacing w:after="0" w:line="360" w:lineRule="auto"/>
        <w:jc w:val="both"/>
      </w:pP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“Por este medio reciba un cordial saludo y al mismo tiempo se envía respuesta a su solicitud de información en archivo adjunto. Sin </w:t>
      </w:r>
      <w:proofErr w:type="spellStart"/>
      <w:proofErr w:type="gramStart"/>
      <w:r w:rsidRPr="00AB4F12">
        <w:rPr>
          <w:rFonts w:ascii="Palatino Linotype" w:eastAsia="Palatino Linotype" w:hAnsi="Palatino Linotype" w:cs="Palatino Linotype"/>
          <w:i/>
        </w:rPr>
        <w:t>mas</w:t>
      </w:r>
      <w:proofErr w:type="spellEnd"/>
      <w:proofErr w:type="gramEnd"/>
      <w:r w:rsidRPr="00AB4F12">
        <w:rPr>
          <w:rFonts w:ascii="Palatino Linotype" w:eastAsia="Palatino Linotype" w:hAnsi="Palatino Linotype" w:cs="Palatino Linotype"/>
          <w:i/>
        </w:rPr>
        <w:t xml:space="preserve"> por el momento quedo de Usted.</w:t>
      </w: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ATENTAMENTE</w:t>
      </w: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YAZMÍN VÁZQUEZ COLÍN”</w:t>
      </w:r>
    </w:p>
    <w:p w:rsidR="004E2C55" w:rsidRPr="00AB4F12" w:rsidRDefault="004E2C55">
      <w:pPr>
        <w:spacing w:after="0" w:line="360" w:lineRule="auto"/>
        <w:jc w:val="both"/>
        <w:rPr>
          <w:rFonts w:ascii="Palatino Linotype" w:eastAsia="Palatino Linotype" w:hAnsi="Palatino Linotype" w:cs="Palatino Linotype"/>
          <w:b/>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EL SUJETO OBLIGADO</w:t>
      </w:r>
      <w:r w:rsidRPr="00AB4F12">
        <w:rPr>
          <w:rFonts w:ascii="Palatino Linotype" w:eastAsia="Palatino Linotype" w:hAnsi="Palatino Linotype" w:cs="Palatino Linotype"/>
          <w:sz w:val="24"/>
          <w:szCs w:val="24"/>
        </w:rPr>
        <w:t xml:space="preserve"> adjuntó a su respuesta el siguiente archivo electrónico: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i/>
          <w:sz w:val="24"/>
          <w:szCs w:val="24"/>
          <w:u w:val="single"/>
        </w:rPr>
        <w:t>“RESPUESTA solicitud 53 2022.pdf”</w:t>
      </w:r>
      <w:r w:rsidRPr="00AB4F12">
        <w:rPr>
          <w:rFonts w:ascii="Palatino Linotype" w:eastAsia="Palatino Linotype" w:hAnsi="Palatino Linotype" w:cs="Palatino Linotype"/>
          <w:sz w:val="24"/>
          <w:szCs w:val="24"/>
        </w:rPr>
        <w:t xml:space="preserve">: Oficio de fecha diez de octubre de dos mil veintidós, signado por la Titular del Área Coordinadora de Archivos, mediante el cual menciona lo siguiente: </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 xml:space="preserve">Documento en el consten sus acciones archivísticas: El Área Coordinadora de Archivos está tomando los cursos de capacitación sobre los temas de archivo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Dónde se puede encontrar la validación de su PADA: El Área Coordinadora de Archivos está en proceso de capacitación por la Subdirección de Bibliotecas y Documentación del Estado de México. </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En qué portal se publican sus actas. El Área Coordinadora de Archivos no cuenta con actas. </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Cuántas sesiones tienen hasta ahora en su SIA y donde las puedo consultar: El Área Coordinadora de Archivos no cuenta con actas del Sistema Institucional de Archivos por estar en proceso de capacitación por la Subdirección de Bibliotecas y Documentación del Estado de México. </w:t>
      </w:r>
    </w:p>
    <w:p w:rsidR="004E2C55" w:rsidRPr="00AB4F12" w:rsidRDefault="004E2C55">
      <w:pPr>
        <w:pBdr>
          <w:top w:val="nil"/>
          <w:left w:val="nil"/>
          <w:bottom w:val="nil"/>
          <w:right w:val="nil"/>
          <w:between w:val="nil"/>
        </w:pBdr>
        <w:spacing w:after="0"/>
        <w:ind w:left="720"/>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Cuentan con CGCA y CADIDO? (de ser el caso donde podemos consultarlos): El Área Coordinadora de Archivos no cuenta con Cuadro General de Clasificación Archivística y Catálogo de disposición Documental por estar en proceso de capacitación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 xml:space="preserve"> Qué acciones han implementado a sus archivos desde la entrada en vigor de la LGA: El Área Coordinadora de Archivos está tomando los cursos de capacitación sobre los temas de archivo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Dónde podemos consultar a los responsables de AT y al responsable del ACA: Adjunta una liga electrónica en donde menciona que podrá consultar al Titular del Área de Archivos.</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Qué acciones han implementado para documentos electrónicos: El Área Coordinadora de Archivos está tomando los cursos de capacitación sobre los temas de archivo por la Subdirección de Bibliotecas y Documentación del Estado de México. </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Cuentan los documentos electrónicos con algún Código Seguro de Verificación: No cuentan con algún código de seguridad de verificación.</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Documento en el que conste el plan para la preservación de documentos electrónicos y físicos y donde se puede encontrar su información. Anexa un link en donde se puede encontrar la Ley General de Archivos en el Estado de México.  </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spacing w:after="0" w:line="360" w:lineRule="auto"/>
        <w:ind w:right="-234"/>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lastRenderedPageBreak/>
        <w:t xml:space="preserve">3. DEL RECURSO DE REVISIÓN. </w:t>
      </w:r>
      <w:r w:rsidRPr="00AB4F12">
        <w:rPr>
          <w:rFonts w:ascii="Palatino Linotype" w:eastAsia="Palatino Linotype" w:hAnsi="Palatino Linotype" w:cs="Palatino Linotype"/>
          <w:sz w:val="24"/>
          <w:szCs w:val="24"/>
        </w:rPr>
        <w:t>Inconforme con la respuesta del</w:t>
      </w:r>
      <w:r w:rsidRPr="00AB4F12">
        <w:rPr>
          <w:rFonts w:ascii="Palatino Linotype" w:eastAsia="Palatino Linotype" w:hAnsi="Palatino Linotype" w:cs="Palatino Linotype"/>
          <w:b/>
          <w:sz w:val="24"/>
          <w:szCs w:val="24"/>
        </w:rPr>
        <w:t xml:space="preserve"> SUJETO OBLIGADO, </w:t>
      </w:r>
      <w:r w:rsidRPr="00AB4F12">
        <w:rPr>
          <w:rFonts w:ascii="Palatino Linotype" w:eastAsia="Palatino Linotype" w:hAnsi="Palatino Linotype" w:cs="Palatino Linotype"/>
          <w:sz w:val="24"/>
          <w:szCs w:val="24"/>
        </w:rPr>
        <w:t>en fecha dieciocho de octubre de dos mil veintidós,</w:t>
      </w:r>
      <w:r w:rsidRPr="00AB4F12">
        <w:rPr>
          <w:rFonts w:ascii="Palatino Linotype" w:eastAsia="Palatino Linotype" w:hAnsi="Palatino Linotype" w:cs="Palatino Linotype"/>
          <w:b/>
          <w:sz w:val="24"/>
          <w:szCs w:val="24"/>
        </w:rPr>
        <w:t xml:space="preserve"> EL RECURRENTE </w:t>
      </w:r>
      <w:r w:rsidRPr="00AB4F12">
        <w:rPr>
          <w:rFonts w:ascii="Palatino Linotype" w:eastAsia="Palatino Linotype" w:hAnsi="Palatino Linotype" w:cs="Palatino Linotype"/>
          <w:sz w:val="24"/>
          <w:szCs w:val="24"/>
        </w:rPr>
        <w:t>interpuso el recurso de revisión, el cual fue registrado</w:t>
      </w:r>
      <w:r w:rsidRPr="00AB4F12">
        <w:rPr>
          <w:rFonts w:ascii="Palatino Linotype" w:eastAsia="Palatino Linotype" w:hAnsi="Palatino Linotype" w:cs="Palatino Linotype"/>
          <w:b/>
          <w:sz w:val="24"/>
          <w:szCs w:val="24"/>
        </w:rPr>
        <w:t xml:space="preserve"> </w:t>
      </w:r>
      <w:r w:rsidRPr="00AB4F12">
        <w:rPr>
          <w:rFonts w:ascii="Palatino Linotype" w:eastAsia="Palatino Linotype" w:hAnsi="Palatino Linotype" w:cs="Palatino Linotype"/>
          <w:sz w:val="24"/>
          <w:szCs w:val="24"/>
        </w:rPr>
        <w:t xml:space="preserve">en el sistema electrónico con el expediente número </w:t>
      </w:r>
      <w:r w:rsidRPr="00AB4F12">
        <w:rPr>
          <w:rFonts w:ascii="Palatino Linotype" w:eastAsia="Palatino Linotype" w:hAnsi="Palatino Linotype" w:cs="Palatino Linotype"/>
          <w:b/>
          <w:color w:val="000000"/>
          <w:sz w:val="24"/>
          <w:szCs w:val="24"/>
        </w:rPr>
        <w:t>15659/INFOEM/IP/RR/2022</w:t>
      </w:r>
      <w:r w:rsidRPr="00AB4F12">
        <w:rPr>
          <w:rFonts w:ascii="Palatino Linotype" w:eastAsia="Palatino Linotype" w:hAnsi="Palatino Linotype" w:cs="Palatino Linotype"/>
          <w:sz w:val="24"/>
          <w:szCs w:val="24"/>
        </w:rPr>
        <w:t>, en el cual manifestó, lo siguiente:</w:t>
      </w:r>
    </w:p>
    <w:p w:rsidR="004E2C55" w:rsidRPr="00AB4F12" w:rsidRDefault="004E2C55">
      <w:pPr>
        <w:spacing w:after="0" w:line="360" w:lineRule="auto"/>
        <w:ind w:right="-234"/>
        <w:jc w:val="both"/>
        <w:rPr>
          <w:rFonts w:ascii="Palatino Linotype" w:eastAsia="Palatino Linotype" w:hAnsi="Palatino Linotype" w:cs="Palatino Linotype"/>
          <w:sz w:val="24"/>
          <w:szCs w:val="24"/>
        </w:rPr>
      </w:pPr>
    </w:p>
    <w:p w:rsidR="004E2C55" w:rsidRPr="00AB4F12" w:rsidRDefault="00966F64">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AB4F12">
        <w:rPr>
          <w:rFonts w:ascii="Palatino Linotype" w:eastAsia="Palatino Linotype" w:hAnsi="Palatino Linotype" w:cs="Palatino Linotype"/>
          <w:b/>
          <w:i/>
          <w:color w:val="000000"/>
          <w:sz w:val="24"/>
          <w:szCs w:val="24"/>
        </w:rPr>
        <w:t>Acto Impugnado:</w:t>
      </w:r>
    </w:p>
    <w:p w:rsidR="004E2C55" w:rsidRPr="00AB4F12" w:rsidRDefault="00966F64">
      <w:pPr>
        <w:spacing w:before="240" w:after="240" w:line="276" w:lineRule="auto"/>
        <w:ind w:left="851"/>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i/>
          <w:color w:val="000000"/>
        </w:rPr>
        <w:t>Respuesta a la solicitud Folio: 00053/DIFLERMA/IP/2022</w:t>
      </w:r>
      <w:r w:rsidRPr="00AB4F12">
        <w:rPr>
          <w:rFonts w:ascii="Palatino Linotype" w:eastAsia="Palatino Linotype" w:hAnsi="Palatino Linotype" w:cs="Palatino Linotype"/>
          <w:i/>
        </w:rPr>
        <w:t>” [sic]</w:t>
      </w:r>
    </w:p>
    <w:p w:rsidR="004E2C55" w:rsidRPr="00AB4F12" w:rsidRDefault="00966F64">
      <w:pPr>
        <w:numPr>
          <w:ilvl w:val="0"/>
          <w:numId w:val="5"/>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AB4F12">
        <w:rPr>
          <w:rFonts w:ascii="Palatino Linotype" w:eastAsia="Palatino Linotype" w:hAnsi="Palatino Linotype" w:cs="Palatino Linotype"/>
          <w:b/>
          <w:i/>
          <w:color w:val="000000"/>
          <w:sz w:val="24"/>
          <w:szCs w:val="24"/>
        </w:rPr>
        <w:t>Razones o Motivos de Inconformidad</w:t>
      </w:r>
      <w:r w:rsidRPr="00AB4F12">
        <w:rPr>
          <w:rFonts w:ascii="Palatino Linotype" w:eastAsia="Palatino Linotype" w:hAnsi="Palatino Linotype" w:cs="Palatino Linotype"/>
          <w:i/>
          <w:color w:val="000000"/>
          <w:sz w:val="24"/>
          <w:szCs w:val="24"/>
        </w:rPr>
        <w:t>:</w:t>
      </w:r>
    </w:p>
    <w:p w:rsidR="004E2C55" w:rsidRPr="00AB4F12" w:rsidRDefault="00966F64">
      <w:pPr>
        <w:spacing w:before="240" w:after="0" w:line="276" w:lineRule="auto"/>
        <w:ind w:left="851"/>
        <w:jc w:val="both"/>
        <w:rPr>
          <w:rFonts w:ascii="Palatino Linotype" w:eastAsia="Palatino Linotype" w:hAnsi="Palatino Linotype" w:cs="Palatino Linotype"/>
          <w:i/>
        </w:rPr>
      </w:pPr>
      <w:r w:rsidRPr="00AB4F12">
        <w:rPr>
          <w:rFonts w:ascii="Palatino Linotype" w:eastAsia="Palatino Linotype" w:hAnsi="Palatino Linotype" w:cs="Palatino Linotype"/>
          <w:i/>
          <w:color w:val="000000"/>
          <w:sz w:val="24"/>
          <w:szCs w:val="24"/>
        </w:rPr>
        <w:t>“</w:t>
      </w:r>
      <w:r w:rsidRPr="00AB4F12">
        <w:rPr>
          <w:rFonts w:ascii="Palatino Linotype" w:eastAsia="Palatino Linotype" w:hAnsi="Palatino Linotype" w:cs="Palatino Linotype"/>
          <w:i/>
          <w:color w:val="000000"/>
        </w:rPr>
        <w:t xml:space="preserve">Entrega de información incompleta. Deficientes conocimientos en la materia.” </w:t>
      </w:r>
      <w:r w:rsidRPr="00AB4F12">
        <w:rPr>
          <w:rFonts w:ascii="Palatino Linotype" w:eastAsia="Palatino Linotype" w:hAnsi="Palatino Linotype" w:cs="Palatino Linotype"/>
          <w:i/>
        </w:rPr>
        <w:t>[</w:t>
      </w:r>
      <w:proofErr w:type="gramStart"/>
      <w:r w:rsidRPr="00AB4F12">
        <w:rPr>
          <w:rFonts w:ascii="Palatino Linotype" w:eastAsia="Palatino Linotype" w:hAnsi="Palatino Linotype" w:cs="Palatino Linotype"/>
          <w:i/>
        </w:rPr>
        <w:t>sic</w:t>
      </w:r>
      <w:proofErr w:type="gramEnd"/>
      <w:r w:rsidRPr="00AB4F12">
        <w:rPr>
          <w:rFonts w:ascii="Palatino Linotype" w:eastAsia="Palatino Linotype" w:hAnsi="Palatino Linotype" w:cs="Palatino Linotype"/>
          <w:i/>
        </w:rPr>
        <w:t>]</w:t>
      </w:r>
    </w:p>
    <w:p w:rsidR="004E2C55" w:rsidRPr="00AB4F12" w:rsidRDefault="004E2C55"/>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4. TURNO. </w:t>
      </w:r>
      <w:r w:rsidRPr="00AB4F1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B4F12">
        <w:rPr>
          <w:rFonts w:ascii="Palatino Linotype" w:eastAsia="Palatino Linotype" w:hAnsi="Palatino Linotype" w:cs="Palatino Linotype"/>
          <w:b/>
          <w:sz w:val="24"/>
          <w:szCs w:val="24"/>
        </w:rPr>
        <w:t xml:space="preserve">Guadalupe Ramírez Peña, </w:t>
      </w:r>
      <w:r w:rsidRPr="00AB4F12">
        <w:rPr>
          <w:rFonts w:ascii="Palatino Linotype" w:eastAsia="Palatino Linotype" w:hAnsi="Palatino Linotype" w:cs="Palatino Linotype"/>
          <w:sz w:val="24"/>
          <w:szCs w:val="24"/>
        </w:rPr>
        <w:t xml:space="preserve">a efecto de que analizara sobre su admisión o su </w:t>
      </w:r>
      <w:proofErr w:type="spellStart"/>
      <w:r w:rsidRPr="00AB4F12">
        <w:rPr>
          <w:rFonts w:ascii="Palatino Linotype" w:eastAsia="Palatino Linotype" w:hAnsi="Palatino Linotype" w:cs="Palatino Linotype"/>
          <w:sz w:val="24"/>
          <w:szCs w:val="24"/>
        </w:rPr>
        <w:t>desechamiento</w:t>
      </w:r>
      <w:proofErr w:type="spellEnd"/>
      <w:r w:rsidRPr="00AB4F12">
        <w:rPr>
          <w:rFonts w:ascii="Palatino Linotype" w:eastAsia="Palatino Linotype" w:hAnsi="Palatino Linotype" w:cs="Palatino Linotype"/>
          <w:sz w:val="24"/>
          <w:szCs w:val="24"/>
        </w:rPr>
        <w:t>.</w:t>
      </w:r>
    </w:p>
    <w:p w:rsidR="004E2C55" w:rsidRPr="00AB4F12" w:rsidRDefault="004E2C55"/>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5. ADMISIÓN DEL RECURSO DE REVISIÓN.</w:t>
      </w:r>
      <w:r w:rsidRPr="00AB4F12">
        <w:rPr>
          <w:rFonts w:ascii="Palatino Linotype" w:eastAsia="Palatino Linotype" w:hAnsi="Palatino Linotype" w:cs="Palatino Linotype"/>
          <w:sz w:val="24"/>
          <w:szCs w:val="24"/>
        </w:rPr>
        <w:t xml:space="preserve"> Con fecha</w:t>
      </w:r>
      <w:r w:rsidRPr="00AB4F12">
        <w:rPr>
          <w:rFonts w:ascii="Palatino Linotype" w:eastAsia="Palatino Linotype" w:hAnsi="Palatino Linotype" w:cs="Palatino Linotype"/>
          <w:b/>
          <w:sz w:val="24"/>
          <w:szCs w:val="24"/>
        </w:rPr>
        <w:t xml:space="preserve"> veintiuno de octubre de dos mil veintidós, </w:t>
      </w:r>
      <w:r w:rsidRPr="00AB4F1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AB4F12">
        <w:rPr>
          <w:rFonts w:ascii="Palatino Linotype" w:eastAsia="Palatino Linotype" w:hAnsi="Palatino Linotype" w:cs="Palatino Linotype"/>
          <w:sz w:val="24"/>
          <w:szCs w:val="24"/>
        </w:rPr>
        <w:lastRenderedPageBreak/>
        <w:t xml:space="preserve">conveniente, ofrecieran pruebas, formularan alegatos y el </w:t>
      </w:r>
      <w:r w:rsidRPr="00AB4F12">
        <w:rPr>
          <w:rFonts w:ascii="Palatino Linotype" w:eastAsia="Palatino Linotype" w:hAnsi="Palatino Linotype" w:cs="Palatino Linotype"/>
          <w:b/>
          <w:sz w:val="24"/>
          <w:szCs w:val="24"/>
        </w:rPr>
        <w:t xml:space="preserve">SUJETO OBLIGADO </w:t>
      </w:r>
      <w:r w:rsidRPr="00AB4F12">
        <w:rPr>
          <w:rFonts w:ascii="Palatino Linotype" w:eastAsia="Palatino Linotype" w:hAnsi="Palatino Linotype" w:cs="Palatino Linotype"/>
          <w:sz w:val="24"/>
          <w:szCs w:val="24"/>
        </w:rPr>
        <w:t>presentará su informe justificado.</w:t>
      </w:r>
    </w:p>
    <w:p w:rsidR="004E2C55" w:rsidRPr="00AB4F12" w:rsidRDefault="004E2C55"/>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color w:val="000000"/>
          <w:sz w:val="24"/>
          <w:szCs w:val="24"/>
        </w:rPr>
        <w:t xml:space="preserve">6. MANIFESTACIONES. </w:t>
      </w:r>
      <w:r w:rsidRPr="00AB4F12">
        <w:rPr>
          <w:rFonts w:ascii="Palatino Linotype" w:eastAsia="Palatino Linotype" w:hAnsi="Palatino Linotype" w:cs="Palatino Linotype"/>
          <w:color w:val="000000"/>
          <w:sz w:val="24"/>
          <w:szCs w:val="24"/>
        </w:rPr>
        <w:t xml:space="preserve">De las constancias que obran en el expediente electrónico del SAIMEX se desprende que el </w:t>
      </w:r>
      <w:r w:rsidRPr="00AB4F12">
        <w:rPr>
          <w:rFonts w:ascii="Palatino Linotype" w:eastAsia="Palatino Linotype" w:hAnsi="Palatino Linotype" w:cs="Palatino Linotype"/>
          <w:b/>
          <w:color w:val="000000"/>
          <w:sz w:val="24"/>
          <w:szCs w:val="24"/>
        </w:rPr>
        <w:t>SUJETO OBLIGADO</w:t>
      </w:r>
      <w:r w:rsidRPr="00AB4F12">
        <w:rPr>
          <w:rFonts w:ascii="Palatino Linotype" w:eastAsia="Palatino Linotype" w:hAnsi="Palatino Linotype" w:cs="Palatino Linotype"/>
          <w:color w:val="000000"/>
          <w:sz w:val="24"/>
          <w:szCs w:val="24"/>
        </w:rPr>
        <w:t xml:space="preserve"> no rindió su informe justificado, del mismo modo el ahora </w:t>
      </w:r>
      <w:r w:rsidRPr="00AB4F12">
        <w:rPr>
          <w:rFonts w:ascii="Palatino Linotype" w:eastAsia="Palatino Linotype" w:hAnsi="Palatino Linotype" w:cs="Palatino Linotype"/>
          <w:b/>
          <w:color w:val="000000"/>
          <w:sz w:val="24"/>
          <w:szCs w:val="24"/>
        </w:rPr>
        <w:t>RECURRENTE</w:t>
      </w:r>
      <w:r w:rsidRPr="00AB4F12">
        <w:rPr>
          <w:rFonts w:ascii="Palatino Linotype" w:eastAsia="Palatino Linotype" w:hAnsi="Palatino Linotype" w:cs="Palatino Linotype"/>
          <w:color w:val="000000"/>
          <w:sz w:val="24"/>
          <w:szCs w:val="24"/>
        </w:rPr>
        <w:t xml:space="preserve"> omitió realizar manifestaciones, como se observa a continuación:</w:t>
      </w:r>
    </w:p>
    <w:p w:rsidR="004E2C55" w:rsidRPr="00AB4F12" w:rsidRDefault="00966F64">
      <w:r w:rsidRPr="00AB4F12">
        <w:rPr>
          <w:noProof/>
        </w:rPr>
        <w:drawing>
          <wp:inline distT="0" distB="0" distL="0" distR="0">
            <wp:extent cx="5672601" cy="148905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940" t="25949" r="53326" b="55040"/>
                    <a:stretch>
                      <a:fillRect/>
                    </a:stretch>
                  </pic:blipFill>
                  <pic:spPr>
                    <a:xfrm>
                      <a:off x="0" y="0"/>
                      <a:ext cx="5672601" cy="1489058"/>
                    </a:xfrm>
                    <a:prstGeom prst="rect">
                      <a:avLst/>
                    </a:prstGeom>
                    <a:ln/>
                  </pic:spPr>
                </pic:pic>
              </a:graphicData>
            </a:graphic>
          </wp:inline>
        </w:drawing>
      </w:r>
    </w:p>
    <w:p w:rsidR="004E2C55" w:rsidRPr="00AB4F12" w:rsidRDefault="004E2C55">
      <w:pPr>
        <w:spacing w:after="0" w:line="360" w:lineRule="auto"/>
        <w:jc w:val="both"/>
        <w:rPr>
          <w:rFonts w:ascii="Palatino Linotype" w:eastAsia="Palatino Linotype" w:hAnsi="Palatino Linotype" w:cs="Palatino Linotype"/>
          <w:b/>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7. AMPLIACIÓN DEL TÉRMINO PARA RESOLVER</w:t>
      </w:r>
      <w:r w:rsidRPr="00AB4F12">
        <w:rPr>
          <w:rFonts w:ascii="Palatino Linotype" w:eastAsia="Palatino Linotype" w:hAnsi="Palatino Linotype" w:cs="Palatino Linotype"/>
          <w:sz w:val="24"/>
          <w:szCs w:val="24"/>
        </w:rPr>
        <w:t>.</w:t>
      </w:r>
      <w:r w:rsidRPr="00AB4F12">
        <w:rPr>
          <w:rFonts w:ascii="Palatino Linotype" w:eastAsia="Palatino Linotype" w:hAnsi="Palatino Linotype" w:cs="Palatino Linotype"/>
        </w:rPr>
        <w:t xml:space="preserve"> </w:t>
      </w:r>
      <w:r w:rsidRPr="00AB4F12">
        <w:rPr>
          <w:rFonts w:ascii="Palatino Linotype" w:eastAsia="Palatino Linotype" w:hAnsi="Palatino Linotype" w:cs="Palatino Linotype"/>
          <w:sz w:val="24"/>
          <w:szCs w:val="24"/>
        </w:rPr>
        <w:t xml:space="preserve">En </w:t>
      </w:r>
      <w:r w:rsidRPr="00AB4F12">
        <w:rPr>
          <w:rFonts w:ascii="Palatino Linotype" w:eastAsia="Palatino Linotype" w:hAnsi="Palatino Linotype" w:cs="Palatino Linotype"/>
          <w:color w:val="000000"/>
          <w:sz w:val="24"/>
          <w:szCs w:val="24"/>
        </w:rPr>
        <w:t>fecha</w:t>
      </w:r>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color w:val="000000"/>
          <w:sz w:val="24"/>
          <w:szCs w:val="24"/>
        </w:rPr>
        <w:t>veinticinco de abril de dos mil veintitrés</w:t>
      </w:r>
      <w:r w:rsidRPr="00AB4F12">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4E2C55" w:rsidRPr="00AB4F12" w:rsidRDefault="004E2C55"/>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AB4F12">
        <w:rPr>
          <w:rFonts w:ascii="Palatino Linotype" w:eastAsia="Palatino Linotype" w:hAnsi="Palatino Linotype" w:cs="Palatino Linotype"/>
          <w:sz w:val="24"/>
          <w:szCs w:val="24"/>
        </w:rPr>
        <w:lastRenderedPageBreak/>
        <w:t>personal encargado de la proyección de las resoluciones a dichos medios de impugnación.</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trike/>
          <w:color w:val="FF0000"/>
          <w:sz w:val="24"/>
          <w:szCs w:val="24"/>
        </w:rPr>
      </w:pPr>
      <w:r w:rsidRPr="00AB4F1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numPr>
          <w:ilvl w:val="0"/>
          <w:numId w:val="6"/>
        </w:num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4E2C55" w:rsidRPr="00AB4F12" w:rsidRDefault="00966F64">
      <w:pPr>
        <w:numPr>
          <w:ilvl w:val="0"/>
          <w:numId w:val="6"/>
        </w:num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Actividad Procesal del interesado. Acciones u omisiones del interesado.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numPr>
          <w:ilvl w:val="0"/>
          <w:numId w:val="6"/>
        </w:num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4E2C55" w:rsidRPr="00AB4F12" w:rsidRDefault="00966F64">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rsidR="004E2C55" w:rsidRPr="00AB4F12" w:rsidRDefault="004E2C55">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Argumento que encuentra sustento en la jurisprudencia P</w:t>
      </w:r>
      <w:proofErr w:type="gramStart"/>
      <w:r w:rsidRPr="00AB4F12">
        <w:rPr>
          <w:rFonts w:ascii="Palatino Linotype" w:eastAsia="Palatino Linotype" w:hAnsi="Palatino Linotype" w:cs="Palatino Linotype"/>
          <w:sz w:val="24"/>
          <w:szCs w:val="24"/>
        </w:rPr>
        <w:t>./</w:t>
      </w:r>
      <w:proofErr w:type="gramEnd"/>
      <w:r w:rsidRPr="00AB4F12">
        <w:rPr>
          <w:rFonts w:ascii="Palatino Linotype" w:eastAsia="Palatino Linotype" w:hAnsi="Palatino Linotype" w:cs="Palatino Linotype"/>
          <w:sz w:val="24"/>
          <w:szCs w:val="24"/>
        </w:rPr>
        <w:t xml:space="preserve">J. 32/92 emitida por el Pleno de la Suprema Corte de Justicia de la Nación de rubro </w:t>
      </w:r>
      <w:r w:rsidRPr="00AB4F12">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AB4F12">
        <w:rPr>
          <w:rFonts w:ascii="Palatino Linotype" w:eastAsia="Palatino Linotype" w:hAnsi="Palatino Linotype" w:cs="Palatino Linotype"/>
          <w:i/>
          <w:sz w:val="24"/>
          <w:szCs w:val="24"/>
        </w:rPr>
        <w:lastRenderedPageBreak/>
        <w:t>CARACTERÍSTICAS DEL CASO.”</w:t>
      </w:r>
      <w:r w:rsidRPr="00AB4F12">
        <w:rPr>
          <w:rFonts w:ascii="Palatino Linotype" w:eastAsia="Palatino Linotype" w:hAnsi="Palatino Linotype" w:cs="Palatino Linotype"/>
          <w:sz w:val="24"/>
          <w:szCs w:val="24"/>
        </w:rPr>
        <w:t>, visible en la Gaceta del Seminario Judicial de la Federación con el registro digital 205635.</w:t>
      </w:r>
    </w:p>
    <w:p w:rsidR="004E2C55" w:rsidRPr="00AB4F12" w:rsidRDefault="004E2C55">
      <w:pPr>
        <w:spacing w:after="0" w:line="360" w:lineRule="auto"/>
        <w:jc w:val="both"/>
        <w:rPr>
          <w:rFonts w:ascii="Palatino Linotype" w:eastAsia="Palatino Linotype" w:hAnsi="Palatino Linotype" w:cs="Palatino Linotype"/>
          <w:b/>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i/>
          <w:sz w:val="24"/>
          <w:szCs w:val="24"/>
        </w:rPr>
        <w:t>“PLAZO RAZONABLE PARA RESOLVER. DIMENSIÓN Y EFECTOS DE ESTE CONCEPTO CUANDO SE ADUCE EXCESIVA CARGA DE TRABAJO.”</w:t>
      </w:r>
      <w:r w:rsidRPr="00AB4F12">
        <w:rPr>
          <w:rFonts w:ascii="Palatino Linotype" w:eastAsia="Palatino Linotype" w:hAnsi="Palatino Linotype" w:cs="Palatino Linotype"/>
          <w:sz w:val="24"/>
          <w:szCs w:val="24"/>
        </w:rPr>
        <w:t xml:space="preserve"> consultable en el Seminario Judicial de la Federación y su gaceta, con el registro digital 2002351.</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AB4F12">
        <w:rPr>
          <w:rFonts w:ascii="Palatino Linotype" w:eastAsia="Palatino Linotype" w:hAnsi="Palatino Linotype" w:cs="Palatino Linotype"/>
          <w:i/>
          <w:sz w:val="24"/>
          <w:szCs w:val="24"/>
        </w:rPr>
        <w:lastRenderedPageBreak/>
        <w:t>HUMANOS.”</w:t>
      </w:r>
      <w:r w:rsidRPr="00AB4F12">
        <w:rPr>
          <w:rFonts w:ascii="Palatino Linotype" w:eastAsia="Palatino Linotype" w:hAnsi="Palatino Linotype" w:cs="Palatino Linotype"/>
          <w:sz w:val="24"/>
          <w:szCs w:val="24"/>
        </w:rPr>
        <w:t>, visible en el Seminario Judicial de la Federación y su gaceta, con el registro digital 2002350.</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4E2C55" w:rsidRPr="00AB4F12" w:rsidRDefault="004E2C55"/>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b/>
          <w:sz w:val="24"/>
          <w:szCs w:val="24"/>
        </w:rPr>
        <w:t xml:space="preserve">8. CIERRE DE INSTRUCCIÓN. </w:t>
      </w:r>
      <w:r w:rsidRPr="00AB4F12">
        <w:rPr>
          <w:rFonts w:ascii="Palatino Linotype" w:eastAsia="Palatino Linotype" w:hAnsi="Palatino Linotype" w:cs="Palatino Linotype"/>
          <w:color w:val="000000"/>
          <w:sz w:val="24"/>
          <w:szCs w:val="24"/>
        </w:rPr>
        <w:t>El veinticinco de abril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widowControl w:val="0"/>
        <w:spacing w:after="0" w:line="360" w:lineRule="auto"/>
        <w:jc w:val="center"/>
        <w:rPr>
          <w:rFonts w:ascii="Palatino Linotype" w:eastAsia="Palatino Linotype" w:hAnsi="Palatino Linotype" w:cs="Palatino Linotype"/>
          <w:b/>
          <w:sz w:val="24"/>
          <w:szCs w:val="24"/>
        </w:rPr>
      </w:pPr>
      <w:r w:rsidRPr="00AB4F12">
        <w:rPr>
          <w:rFonts w:ascii="Palatino Linotype" w:eastAsia="Palatino Linotype" w:hAnsi="Palatino Linotype" w:cs="Palatino Linotype"/>
          <w:b/>
          <w:sz w:val="24"/>
          <w:szCs w:val="24"/>
        </w:rPr>
        <w:t>C O N S I D E R A N D O S</w:t>
      </w:r>
    </w:p>
    <w:p w:rsidR="004E2C55" w:rsidRPr="00AB4F12" w:rsidRDefault="004E2C55">
      <w:pPr>
        <w:spacing w:after="0" w:line="360" w:lineRule="auto"/>
        <w:jc w:val="both"/>
        <w:rPr>
          <w:rFonts w:ascii="Palatino Linotype" w:eastAsia="Palatino Linotype" w:hAnsi="Palatino Linotype" w:cs="Palatino Linotype"/>
          <w:b/>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PRIMERO. COMPETENCIA.</w:t>
      </w:r>
      <w:r w:rsidRPr="00AB4F1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w:t>
      </w:r>
      <w:r w:rsidRPr="00AB4F12">
        <w:rPr>
          <w:rFonts w:ascii="Palatino Linotype" w:eastAsia="Palatino Linotype" w:hAnsi="Palatino Linotype" w:cs="Palatino Linotype"/>
          <w:sz w:val="24"/>
          <w:szCs w:val="24"/>
        </w:rPr>
        <w:lastRenderedPageBreak/>
        <w:t>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E2C55" w:rsidRPr="00AB4F12" w:rsidRDefault="004E2C55">
      <w:pPr>
        <w:spacing w:after="0" w:line="360" w:lineRule="auto"/>
        <w:rPr>
          <w:rFonts w:ascii="Palatino Linotype" w:eastAsia="Palatino Linotype" w:hAnsi="Palatino Linotype" w:cs="Palatino Linotype"/>
          <w:sz w:val="24"/>
          <w:szCs w:val="24"/>
        </w:rPr>
      </w:pPr>
    </w:p>
    <w:p w:rsidR="004E2C55" w:rsidRPr="00AB4F12" w:rsidRDefault="00966F64">
      <w:pPr>
        <w:spacing w:after="0" w:line="360" w:lineRule="auto"/>
        <w:ind w:right="-234"/>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SEGUNDO. OPORTUNIDAD Y PROCEDIBILIDAD DEL RECURSO DE REVISIÓN.  </w:t>
      </w:r>
      <w:r w:rsidRPr="00AB4F12">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AB4F12">
        <w:rPr>
          <w:rFonts w:ascii="Palatino Linotype" w:eastAsia="Palatino Linotype" w:hAnsi="Palatino Linotype" w:cs="Palatino Linotype"/>
          <w:sz w:val="24"/>
          <w:szCs w:val="24"/>
        </w:rPr>
        <w:t>procedibilidad</w:t>
      </w:r>
      <w:proofErr w:type="spellEnd"/>
      <w:r w:rsidRPr="00AB4F12">
        <w:rPr>
          <w:rFonts w:ascii="Palatino Linotype" w:eastAsia="Palatino Linotype" w:hAnsi="Palatino Linotype" w:cs="Palatino Linotype"/>
          <w:sz w:val="24"/>
          <w:szCs w:val="24"/>
        </w:rPr>
        <w:t xml:space="preserve"> que debe reunir </w:t>
      </w:r>
      <w:r w:rsidRPr="00AB4F12">
        <w:rPr>
          <w:rFonts w:ascii="Palatino Linotype" w:eastAsia="Palatino Linotype" w:hAnsi="Palatino Linotype" w:cs="Palatino Linotype"/>
          <w:color w:val="000000"/>
          <w:sz w:val="24"/>
          <w:szCs w:val="24"/>
        </w:rPr>
        <w:t xml:space="preserve">el recurso de revisión </w:t>
      </w:r>
      <w:r w:rsidRPr="00AB4F12">
        <w:rPr>
          <w:rFonts w:ascii="Palatino Linotype" w:eastAsia="Palatino Linotype" w:hAnsi="Palatino Linotype" w:cs="Palatino Linotype"/>
          <w:sz w:val="24"/>
          <w:szCs w:val="24"/>
        </w:rPr>
        <w:t>interpuesto, previsto en el artículo 178 y 180 de la Ley de Transparencia y Acceso a la Información Pública del Estado de México y Municipios.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right="-234"/>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AB4F12">
        <w:rPr>
          <w:rFonts w:ascii="Palatino Linotype" w:eastAsia="Palatino Linotype" w:hAnsi="Palatino Linotype" w:cs="Palatino Linotype"/>
          <w:b/>
          <w:sz w:val="24"/>
          <w:szCs w:val="24"/>
        </w:rPr>
        <w:t xml:space="preserve"> EL SUJETO OBLIGADO </w:t>
      </w:r>
      <w:r w:rsidRPr="00AB4F12">
        <w:rPr>
          <w:rFonts w:ascii="Palatino Linotype" w:eastAsia="Palatino Linotype" w:hAnsi="Palatino Linotype" w:cs="Palatino Linotype"/>
          <w:sz w:val="24"/>
          <w:szCs w:val="24"/>
        </w:rPr>
        <w:t xml:space="preserve">emitió la respuesta, toda vez que esta fue pronunciada el día dieciocho de octubre de dos mil veintidós, mientras que la </w:t>
      </w:r>
      <w:r w:rsidRPr="00AB4F12">
        <w:rPr>
          <w:rFonts w:ascii="Palatino Linotype" w:eastAsia="Palatino Linotype" w:hAnsi="Palatino Linotype" w:cs="Palatino Linotype"/>
          <w:b/>
          <w:sz w:val="24"/>
          <w:szCs w:val="24"/>
        </w:rPr>
        <w:t>RECURRENTE</w:t>
      </w:r>
      <w:r w:rsidRPr="00AB4F12">
        <w:rPr>
          <w:rFonts w:ascii="Palatino Linotype" w:eastAsia="Palatino Linotype" w:hAnsi="Palatino Linotype" w:cs="Palatino Linotype"/>
          <w:sz w:val="24"/>
          <w:szCs w:val="24"/>
        </w:rPr>
        <w:t xml:space="preserve"> interpuso el recurso de revisión en la misma fecha que se pronunció la respuesta, </w:t>
      </w:r>
      <w:r w:rsidRPr="00AB4F12">
        <w:rPr>
          <w:rFonts w:ascii="Palatino Linotype" w:eastAsia="Palatino Linotype" w:hAnsi="Palatino Linotype" w:cs="Palatino Linotype"/>
          <w:color w:val="000000"/>
          <w:sz w:val="24"/>
          <w:szCs w:val="24"/>
        </w:rPr>
        <w:t xml:space="preserve">circunstancia que no es determinante para declararlo extemporáneo, toda vez que el tiempo concedido es para </w:t>
      </w:r>
      <w:r w:rsidRPr="00AB4F12">
        <w:rPr>
          <w:rFonts w:ascii="Palatino Linotype" w:eastAsia="Palatino Linotype" w:hAnsi="Palatino Linotype" w:cs="Palatino Linotype"/>
          <w:color w:val="000000"/>
          <w:sz w:val="24"/>
          <w:szCs w:val="24"/>
        </w:rPr>
        <w:lastRenderedPageBreak/>
        <w:t>delimitar el término en que puede impugnarse la respuesta, lo cual no impide que se presente antes de iniciado el plazo previsto, una vez conocida la respuesta.</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right="-234"/>
        <w:jc w:val="both"/>
        <w:rPr>
          <w:color w:val="000000"/>
          <w:sz w:val="24"/>
          <w:szCs w:val="24"/>
        </w:rPr>
      </w:pPr>
      <w:r w:rsidRPr="00AB4F12">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AB4F12">
        <w:rPr>
          <w:i/>
          <w:color w:val="000000"/>
          <w:sz w:val="24"/>
          <w:szCs w:val="24"/>
        </w:rPr>
        <w:t> </w:t>
      </w:r>
    </w:p>
    <w:p w:rsidR="004E2C55" w:rsidRPr="00AB4F12" w:rsidRDefault="004E2C55">
      <w:pPr>
        <w:shd w:val="clear" w:color="auto" w:fill="FFFFFF"/>
        <w:spacing w:after="0" w:line="360" w:lineRule="auto"/>
        <w:ind w:left="567" w:right="760"/>
        <w:jc w:val="both"/>
        <w:rPr>
          <w:rFonts w:ascii="Palatino Linotype" w:eastAsia="Palatino Linotype" w:hAnsi="Palatino Linotype" w:cs="Palatino Linotype"/>
          <w:color w:val="000000"/>
        </w:rPr>
      </w:pPr>
    </w:p>
    <w:p w:rsidR="004E2C55" w:rsidRPr="00AB4F12" w:rsidRDefault="00966F64">
      <w:pPr>
        <w:shd w:val="clear" w:color="auto" w:fill="FFFFFF"/>
        <w:spacing w:after="0" w:line="276" w:lineRule="auto"/>
        <w:ind w:left="567" w:right="760"/>
        <w:jc w:val="both"/>
        <w:rPr>
          <w:color w:val="000000"/>
        </w:rPr>
      </w:pPr>
      <w:r w:rsidRPr="00AB4F12">
        <w:rPr>
          <w:rFonts w:ascii="Palatino Linotype" w:eastAsia="Palatino Linotype" w:hAnsi="Palatino Linotype" w:cs="Palatino Linotype"/>
          <w:color w:val="000000"/>
        </w:rPr>
        <w:t>"</w:t>
      </w:r>
      <w:r w:rsidRPr="00AB4F12">
        <w:rPr>
          <w:rFonts w:ascii="Palatino Linotype" w:eastAsia="Palatino Linotype" w:hAnsi="Palatino Linotype" w:cs="Palatino Linotype"/>
          <w:i/>
          <w:color w:val="000000"/>
        </w:rPr>
        <w:t>RECURSO DE RECLAMACIÓN. SU INTERPOSICIÓN NO ES EXTEMPORÁNEA SI SE REALIZA ANTES DE QUE INICIE EL PLAZO PARA HACERLO.</w:t>
      </w:r>
    </w:p>
    <w:p w:rsidR="004E2C55" w:rsidRPr="00AB4F12" w:rsidRDefault="00966F64">
      <w:pPr>
        <w:shd w:val="clear" w:color="auto" w:fill="FFFFFF"/>
        <w:spacing w:after="240" w:line="276" w:lineRule="auto"/>
        <w:ind w:left="567" w:right="760"/>
        <w:jc w:val="both"/>
        <w:rPr>
          <w:color w:val="000000"/>
        </w:rPr>
      </w:pPr>
      <w:r w:rsidRPr="00AB4F12">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4E2C55" w:rsidRPr="00AB4F12" w:rsidRDefault="00966F64">
      <w:pPr>
        <w:shd w:val="clear" w:color="auto" w:fill="FFFFFF"/>
        <w:spacing w:before="240" w:after="0" w:line="276" w:lineRule="auto"/>
        <w:ind w:left="567" w:right="760"/>
        <w:jc w:val="both"/>
        <w:rPr>
          <w:color w:val="000000"/>
        </w:rPr>
      </w:pPr>
      <w:r w:rsidRPr="00AB4F12">
        <w:rPr>
          <w:rFonts w:ascii="Palatino Linotype" w:eastAsia="Palatino Linotype" w:hAnsi="Palatino Linotype" w:cs="Palatino Linotype"/>
          <w:i/>
          <w:color w:val="000000"/>
        </w:rPr>
        <w:t>De ahí que si dicho recurso se interpone antes de que inicie el plazo para hacerlo, su presentación no es extemporánea…</w:t>
      </w:r>
      <w:r w:rsidRPr="00AB4F12">
        <w:rPr>
          <w:rFonts w:ascii="Palatino Linotype" w:eastAsia="Palatino Linotype" w:hAnsi="Palatino Linotype" w:cs="Palatino Linotype"/>
          <w:color w:val="000000"/>
        </w:rPr>
        <w:t>"(Sic)</w:t>
      </w:r>
    </w:p>
    <w:p w:rsidR="004E2C55" w:rsidRPr="00AB4F12" w:rsidRDefault="004E2C55"/>
    <w:p w:rsidR="004E2C55" w:rsidRPr="00AB4F12" w:rsidRDefault="00966F64">
      <w:pPr>
        <w:spacing w:before="120"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 xml:space="preserve">Además, por cuanto hace a la </w:t>
      </w:r>
      <w:proofErr w:type="spellStart"/>
      <w:r w:rsidRPr="00AB4F12">
        <w:rPr>
          <w:rFonts w:ascii="Palatino Linotype" w:eastAsia="Palatino Linotype" w:hAnsi="Palatino Linotype" w:cs="Palatino Linotype"/>
          <w:sz w:val="24"/>
          <w:szCs w:val="24"/>
        </w:rPr>
        <w:t>procedibilidad</w:t>
      </w:r>
      <w:proofErr w:type="spellEnd"/>
      <w:r w:rsidRPr="00AB4F12">
        <w:rPr>
          <w:rFonts w:ascii="Palatino Linotype" w:eastAsia="Palatino Linotype" w:hAnsi="Palatino Linotype" w:cs="Palatino Linotype"/>
          <w:sz w:val="24"/>
          <w:szCs w:val="24"/>
        </w:rPr>
        <w:t xml:space="preserve"> del recurso de revisión, es de suma importancia señalar que la parte </w:t>
      </w:r>
      <w:r w:rsidRPr="00AB4F12">
        <w:rPr>
          <w:rFonts w:ascii="Palatino Linotype" w:eastAsia="Palatino Linotype" w:hAnsi="Palatino Linotype" w:cs="Palatino Linotype"/>
          <w:b/>
          <w:sz w:val="24"/>
          <w:szCs w:val="24"/>
        </w:rPr>
        <w:t>RECURRENTE</w:t>
      </w:r>
      <w:r w:rsidRPr="00AB4F12">
        <w:rPr>
          <w:rFonts w:ascii="Palatino Linotype" w:eastAsia="Palatino Linotype" w:hAnsi="Palatino Linotype" w:cs="Palatino Linotype"/>
          <w:sz w:val="24"/>
          <w:szCs w:val="24"/>
        </w:rPr>
        <w:t>, no señaló un nombre completo con el cual desea ser identificada,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40"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"Las solicitudes anónimas, con </w:t>
      </w:r>
      <w:r w:rsidRPr="00AB4F12">
        <w:rPr>
          <w:rFonts w:ascii="Palatino Linotype" w:eastAsia="Palatino Linotype" w:hAnsi="Palatino Linotype" w:cs="Palatino Linotype"/>
          <w:b/>
          <w:i/>
        </w:rPr>
        <w:t>nombre incompleto</w:t>
      </w:r>
      <w:r w:rsidRPr="00AB4F12">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rsidR="004E2C55" w:rsidRPr="00AB4F12" w:rsidRDefault="004E2C55">
      <w:pPr>
        <w:spacing w:after="0" w:line="240" w:lineRule="auto"/>
        <w:ind w:left="851" w:right="902"/>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b/>
          <w:sz w:val="24"/>
          <w:szCs w:val="24"/>
        </w:rPr>
      </w:pPr>
      <w:r w:rsidRPr="00AB4F12">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B4F12">
        <w:rPr>
          <w:rFonts w:ascii="Palatino Linotype" w:eastAsia="Palatino Linotype" w:hAnsi="Palatino Linotype" w:cs="Palatino Linotype"/>
          <w:b/>
          <w:sz w:val="24"/>
          <w:szCs w:val="24"/>
        </w:rPr>
        <w:t xml:space="preserve">EL SAIMEX.  </w:t>
      </w:r>
    </w:p>
    <w:p w:rsidR="004E2C55" w:rsidRPr="00AB4F12" w:rsidRDefault="00966F64">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Finalmente, resulta procedente la interposición del recurso, según lo aducido por </w:t>
      </w:r>
      <w:r w:rsidRPr="00AB4F12">
        <w:rPr>
          <w:rFonts w:ascii="Palatino Linotype" w:eastAsia="Palatino Linotype" w:hAnsi="Palatino Linotype" w:cs="Palatino Linotype"/>
          <w:b/>
          <w:sz w:val="24"/>
          <w:szCs w:val="24"/>
        </w:rPr>
        <w:t>LA RECURRENTE</w:t>
      </w:r>
      <w:r w:rsidRPr="00AB4F12">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4E2C55" w:rsidRPr="00AB4F12" w:rsidRDefault="004E2C55">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4E2C55" w:rsidRPr="00AB4F12" w:rsidRDefault="00966F6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B4F12">
        <w:rPr>
          <w:rFonts w:ascii="Palatino Linotype" w:eastAsia="Palatino Linotype" w:hAnsi="Palatino Linotype" w:cs="Palatino Linotype"/>
          <w:b/>
          <w:i/>
        </w:rPr>
        <w:lastRenderedPageBreak/>
        <w:t>“Artículo 179</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El recurso de revisión</w:t>
      </w:r>
      <w:r w:rsidRPr="00AB4F1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B4F12">
        <w:rPr>
          <w:rFonts w:ascii="Palatino Linotype" w:eastAsia="Palatino Linotype" w:hAnsi="Palatino Linotype" w:cs="Palatino Linotype"/>
          <w:b/>
          <w:i/>
        </w:rPr>
        <w:t>, y procederá en contra de las siguientes causas</w:t>
      </w:r>
      <w:r w:rsidRPr="00AB4F12">
        <w:rPr>
          <w:rFonts w:ascii="Palatino Linotype" w:eastAsia="Palatino Linotype" w:hAnsi="Palatino Linotype" w:cs="Palatino Linotype"/>
          <w:i/>
        </w:rPr>
        <w:t>:</w:t>
      </w:r>
    </w:p>
    <w:p w:rsidR="004E2C55" w:rsidRPr="00AB4F12" w:rsidRDefault="00966F6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B4F12">
        <w:rPr>
          <w:rFonts w:ascii="Palatino Linotype" w:eastAsia="Palatino Linotype" w:hAnsi="Palatino Linotype" w:cs="Palatino Linotype"/>
          <w:b/>
          <w:i/>
        </w:rPr>
        <w:t>(</w:t>
      </w:r>
      <w:r w:rsidRPr="00AB4F12">
        <w:rPr>
          <w:rFonts w:ascii="Palatino Linotype" w:eastAsia="Palatino Linotype" w:hAnsi="Palatino Linotype" w:cs="Palatino Linotype"/>
          <w:i/>
        </w:rPr>
        <w:t>…)</w:t>
      </w:r>
    </w:p>
    <w:p w:rsidR="004E2C55" w:rsidRPr="00AB4F12" w:rsidRDefault="00966F6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V. La entrega de información incompleta;” </w:t>
      </w:r>
    </w:p>
    <w:p w:rsidR="004E2C55" w:rsidRPr="00AB4F12" w:rsidRDefault="004E2C55"/>
    <w:p w:rsidR="004E2C55" w:rsidRPr="00AB4F12" w:rsidRDefault="00966F64">
      <w:pPr>
        <w:spacing w:after="0" w:line="360" w:lineRule="auto"/>
        <w:ind w:right="-234"/>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TERCERO. MATERIA DE LA REVISIÓN. </w:t>
      </w:r>
      <w:r w:rsidRPr="00AB4F12">
        <w:rPr>
          <w:rFonts w:ascii="Palatino Linotype" w:eastAsia="Palatino Linotype" w:hAnsi="Palatino Linotype" w:cs="Palatino Linotype"/>
          <w:sz w:val="24"/>
          <w:szCs w:val="24"/>
        </w:rPr>
        <w:t>De la revisión a las constancias y documentos que obran en el expediente</w:t>
      </w:r>
      <w:r w:rsidRPr="00AB4F12">
        <w:rPr>
          <w:rFonts w:ascii="Palatino Linotype" w:eastAsia="Palatino Linotype" w:hAnsi="Palatino Linotype" w:cs="Palatino Linotype"/>
          <w:color w:val="000000"/>
          <w:sz w:val="24"/>
          <w:szCs w:val="24"/>
        </w:rPr>
        <w:t xml:space="preserve"> electrónico </w:t>
      </w:r>
      <w:r w:rsidRPr="00AB4F12">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AB4F12">
        <w:rPr>
          <w:rFonts w:ascii="Palatino Linotype" w:eastAsia="Palatino Linotype" w:hAnsi="Palatino Linotype" w:cs="Palatino Linotype"/>
          <w:color w:val="000000"/>
          <w:sz w:val="24"/>
          <w:szCs w:val="24"/>
        </w:rPr>
        <w:t xml:space="preserve">la respuesta otorgada </w:t>
      </w:r>
      <w:r w:rsidRPr="00AB4F12">
        <w:rPr>
          <w:rFonts w:ascii="Palatino Linotype" w:eastAsia="Palatino Linotype" w:hAnsi="Palatino Linotype" w:cs="Palatino Linotype"/>
          <w:sz w:val="24"/>
          <w:szCs w:val="24"/>
        </w:rPr>
        <w:t>por</w:t>
      </w:r>
      <w:r w:rsidRPr="00AB4F12">
        <w:rPr>
          <w:rFonts w:ascii="Palatino Linotype" w:eastAsia="Palatino Linotype" w:hAnsi="Palatino Linotype" w:cs="Palatino Linotype"/>
          <w:b/>
          <w:sz w:val="24"/>
          <w:szCs w:val="24"/>
        </w:rPr>
        <w:t xml:space="preserve"> EL</w:t>
      </w:r>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es adecuada y suficiente para satisfacer el derecho de acceso a la información pública de la parte </w:t>
      </w:r>
      <w:r w:rsidRPr="00AB4F12">
        <w:rPr>
          <w:rFonts w:ascii="Palatino Linotype" w:eastAsia="Palatino Linotype" w:hAnsi="Palatino Linotype" w:cs="Palatino Linotype"/>
          <w:b/>
          <w:sz w:val="24"/>
          <w:szCs w:val="24"/>
        </w:rPr>
        <w:t>RECURRENTE</w:t>
      </w:r>
      <w:r w:rsidRPr="00AB4F12">
        <w:rPr>
          <w:rFonts w:ascii="Palatino Linotype" w:eastAsia="Palatino Linotype" w:hAnsi="Palatino Linotype" w:cs="Palatino Linotype"/>
          <w:sz w:val="24"/>
          <w:szCs w:val="24"/>
        </w:rPr>
        <w:t>, o en su defecto, en caso de ser procedente, ordenar la entrega de información oportuna.</w:t>
      </w:r>
    </w:p>
    <w:p w:rsidR="004E2C55" w:rsidRPr="00AB4F12" w:rsidRDefault="004E2C55">
      <w:pPr>
        <w:spacing w:after="0" w:line="360" w:lineRule="auto"/>
        <w:ind w:right="-234"/>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color w:val="000000"/>
          <w:sz w:val="24"/>
          <w:szCs w:val="24"/>
        </w:rPr>
        <w:t xml:space="preserve">CUARTO. ESTUDIO Y RESOLUCIÓN DEL ASUNTO.  </w:t>
      </w:r>
      <w:r w:rsidRPr="00AB4F12">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tabs>
          <w:tab w:val="left" w:pos="709"/>
        </w:tabs>
        <w:spacing w:line="276" w:lineRule="auto"/>
        <w:ind w:left="851" w:right="850"/>
        <w:jc w:val="both"/>
        <w:rPr>
          <w:rFonts w:ascii="Palatino Linotype" w:eastAsia="Palatino Linotype" w:hAnsi="Palatino Linotype" w:cs="Palatino Linotype"/>
          <w:i/>
        </w:rPr>
      </w:pPr>
      <w:r w:rsidRPr="00AB4F1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B4F12">
        <w:rPr>
          <w:rFonts w:ascii="Palatino Linotype" w:eastAsia="Palatino Linotype" w:hAnsi="Palatino Linotype" w:cs="Palatino Linotype"/>
          <w:i/>
        </w:rPr>
        <w:t xml:space="preserve">, así como </w:t>
      </w:r>
      <w:r w:rsidRPr="00AB4F12">
        <w:rPr>
          <w:rFonts w:ascii="Palatino Linotype" w:eastAsia="Palatino Linotype" w:hAnsi="Palatino Linotype" w:cs="Palatino Linotype"/>
          <w:i/>
        </w:rPr>
        <w:lastRenderedPageBreak/>
        <w:t>de las garantías para su protección, cuyo ejercicio no podrá restringirse ni suspenderse, salvo en los casos y bajo las condiciones que esta Constitución establece.</w:t>
      </w:r>
    </w:p>
    <w:p w:rsidR="004E2C55" w:rsidRPr="00AB4F12" w:rsidRDefault="00966F64">
      <w:pPr>
        <w:tabs>
          <w:tab w:val="left" w:pos="709"/>
        </w:tabs>
        <w:spacing w:line="276" w:lineRule="auto"/>
        <w:ind w:left="851" w:right="850"/>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E2C55" w:rsidRPr="00AB4F12" w:rsidRDefault="00966F64">
      <w:pPr>
        <w:tabs>
          <w:tab w:val="left" w:pos="709"/>
        </w:tabs>
        <w:spacing w:line="276" w:lineRule="auto"/>
        <w:ind w:left="851" w:right="850"/>
        <w:jc w:val="both"/>
        <w:rPr>
          <w:rFonts w:ascii="Palatino Linotype" w:eastAsia="Palatino Linotype" w:hAnsi="Palatino Linotype" w:cs="Palatino Linotype"/>
          <w:i/>
        </w:rPr>
      </w:pPr>
      <w:r w:rsidRPr="00AB4F1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B4F1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E2C55" w:rsidRPr="00AB4F12" w:rsidRDefault="00966F64">
      <w:pPr>
        <w:tabs>
          <w:tab w:val="left" w:pos="709"/>
        </w:tabs>
        <w:ind w:left="851" w:right="850"/>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ind w:left="851" w:right="901"/>
        <w:jc w:val="both"/>
        <w:rPr>
          <w:rFonts w:ascii="Palatino Linotype" w:eastAsia="Palatino Linotype" w:hAnsi="Palatino Linotype" w:cs="Palatino Linotype"/>
          <w:i/>
        </w:rPr>
      </w:pPr>
      <w:r w:rsidRPr="00AB4F12">
        <w:rPr>
          <w:rFonts w:ascii="Palatino Linotype" w:eastAsia="Palatino Linotype" w:hAnsi="Palatino Linotype" w:cs="Palatino Linotype"/>
          <w:b/>
          <w:i/>
        </w:rPr>
        <w:t>“Artículo 6o.</w:t>
      </w:r>
    </w:p>
    <w:p w:rsidR="004E2C55" w:rsidRPr="00AB4F12" w:rsidRDefault="00966F64">
      <w:pPr>
        <w:ind w:left="851" w:right="901"/>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b/>
          <w:i/>
        </w:rPr>
        <w:t xml:space="preserve">A. Para el ejercicio del derecho de acceso a la información, la Federación y </w:t>
      </w:r>
      <w:r w:rsidRPr="00AB4F12">
        <w:rPr>
          <w:rFonts w:ascii="Palatino Linotype" w:eastAsia="Palatino Linotype" w:hAnsi="Palatino Linotype" w:cs="Palatino Linotype"/>
          <w:b/>
          <w:i/>
          <w:u w:val="single"/>
        </w:rPr>
        <w:t>las entidades federativas</w:t>
      </w:r>
      <w:r w:rsidRPr="00AB4F12">
        <w:rPr>
          <w:rFonts w:ascii="Palatino Linotype" w:eastAsia="Palatino Linotype" w:hAnsi="Palatino Linotype" w:cs="Palatino Linotype"/>
          <w:b/>
          <w:i/>
        </w:rPr>
        <w:t>,</w:t>
      </w:r>
      <w:r w:rsidRPr="00AB4F12">
        <w:rPr>
          <w:rFonts w:ascii="Palatino Linotype" w:eastAsia="Palatino Linotype" w:hAnsi="Palatino Linotype" w:cs="Palatino Linotype"/>
          <w:i/>
        </w:rPr>
        <w:t xml:space="preserve"> en el ámbito de sus respectivas competencias, se regirán por los siguientes principios y bases:</w:t>
      </w:r>
    </w:p>
    <w:p w:rsidR="004E2C55" w:rsidRPr="00AB4F12" w:rsidRDefault="00966F64">
      <w:pPr>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w:t>
      </w:r>
      <w:r w:rsidRPr="00AB4F12">
        <w:rPr>
          <w:rFonts w:ascii="Palatino Linotype" w:eastAsia="Palatino Linotype" w:hAnsi="Palatino Linotype" w:cs="Palatino Linotype"/>
          <w:b/>
          <w:i/>
        </w:rPr>
        <w:t xml:space="preserve">I. </w:t>
      </w:r>
      <w:r w:rsidRPr="00AB4F12">
        <w:rPr>
          <w:rFonts w:ascii="Palatino Linotype" w:eastAsia="Palatino Linotype" w:hAnsi="Palatino Linotype" w:cs="Palatino Linotype"/>
          <w:b/>
          <w:i/>
          <w:u w:val="single"/>
        </w:rPr>
        <w:t>Toda la información en posesión de cualquier autoridad, entidad, órgano y organismo de los Poderes</w:t>
      </w:r>
      <w:r w:rsidRPr="00AB4F12">
        <w:rPr>
          <w:rFonts w:ascii="Palatino Linotype" w:eastAsia="Palatino Linotype" w:hAnsi="Palatino Linotype" w:cs="Palatino Linotype"/>
          <w:i/>
        </w:rPr>
        <w:t xml:space="preserve"> Ejecutivo, Legislativo </w:t>
      </w:r>
      <w:r w:rsidRPr="00AB4F12">
        <w:rPr>
          <w:rFonts w:ascii="Palatino Linotype" w:eastAsia="Palatino Linotype" w:hAnsi="Palatino Linotype" w:cs="Palatino Linotype"/>
          <w:b/>
          <w:i/>
          <w:u w:val="single"/>
        </w:rPr>
        <w:t>y Judicial</w:t>
      </w:r>
      <w:r w:rsidRPr="00AB4F1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B4F12">
        <w:rPr>
          <w:rFonts w:ascii="Palatino Linotype" w:eastAsia="Palatino Linotype" w:hAnsi="Palatino Linotype" w:cs="Palatino Linotype"/>
          <w:b/>
          <w:i/>
        </w:rPr>
        <w:t>es pública y sólo podrá ser reservada temporalmente por razones de interés público y seguridad nacional,</w:t>
      </w:r>
      <w:r w:rsidRPr="00AB4F1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E2C55" w:rsidRPr="00AB4F12" w:rsidRDefault="00966F64">
      <w:pPr>
        <w:spacing w:line="276" w:lineRule="auto"/>
        <w:ind w:left="851" w:right="851"/>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lastRenderedPageBreak/>
        <w:t>II. La información que se refiere a la vida privada y los datos personales será protegida en los términos y con las excepciones que fijen las leyes.</w:t>
      </w:r>
    </w:p>
    <w:p w:rsidR="004E2C55" w:rsidRPr="00AB4F12" w:rsidRDefault="00966F64">
      <w:pPr>
        <w:spacing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w:t>
      </w:r>
      <w:r w:rsidRPr="00AB4F12">
        <w:rPr>
          <w:rFonts w:ascii="Palatino Linotype" w:eastAsia="Palatino Linotype" w:hAnsi="Palatino Linotype" w:cs="Palatino Linotype"/>
          <w:b/>
          <w:i/>
        </w:rPr>
        <w:t xml:space="preserve">III. </w:t>
      </w:r>
      <w:r w:rsidRPr="00AB4F1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B4F12">
        <w:rPr>
          <w:rFonts w:ascii="Palatino Linotype" w:eastAsia="Palatino Linotype" w:hAnsi="Palatino Linotype" w:cs="Palatino Linotype"/>
          <w:i/>
        </w:rPr>
        <w:t xml:space="preserve"> a sus datos personales o a la rectificación de éstos.</w:t>
      </w:r>
    </w:p>
    <w:p w:rsidR="004E2C55" w:rsidRPr="00AB4F12" w:rsidRDefault="00966F64">
      <w:pPr>
        <w:spacing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w:t>
      </w:r>
      <w:r w:rsidRPr="00AB4F12">
        <w:rPr>
          <w:rFonts w:ascii="Palatino Linotype" w:eastAsia="Palatino Linotype" w:hAnsi="Palatino Linotype" w:cs="Palatino Linotype"/>
          <w:b/>
          <w:i/>
        </w:rPr>
        <w:t xml:space="preserve">IV. </w:t>
      </w:r>
      <w:r w:rsidRPr="00AB4F1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E2C55" w:rsidRPr="00AB4F12" w:rsidRDefault="00966F64">
      <w:pPr>
        <w:spacing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b/>
          <w:i/>
        </w:rPr>
        <w:t xml:space="preserve">V. </w:t>
      </w:r>
      <w:r w:rsidRPr="00AB4F1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E2C55" w:rsidRPr="00AB4F12" w:rsidRDefault="00966F64">
      <w:pPr>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w:t>
      </w:r>
    </w:p>
    <w:p w:rsidR="004E2C55" w:rsidRPr="00AB4F12" w:rsidRDefault="00966F64">
      <w:pPr>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b/>
          <w:i/>
        </w:rPr>
        <w:t xml:space="preserve">VI. </w:t>
      </w:r>
      <w:r w:rsidRPr="00AB4F1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E2C55" w:rsidRPr="00AB4F12" w:rsidRDefault="00966F64">
      <w:pPr>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w:t>
      </w:r>
      <w:r w:rsidRPr="00AB4F12">
        <w:rPr>
          <w:rFonts w:ascii="Palatino Linotype" w:eastAsia="Palatino Linotype" w:hAnsi="Palatino Linotype" w:cs="Palatino Linotype"/>
          <w:b/>
          <w:i/>
        </w:rPr>
        <w:t xml:space="preserve">VII. </w:t>
      </w:r>
      <w:r w:rsidRPr="00AB4F12">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E2C55" w:rsidRPr="00AB4F12" w:rsidRDefault="004E2C55">
      <w:pPr>
        <w:ind w:right="851"/>
        <w:jc w:val="both"/>
        <w:rPr>
          <w:rFonts w:ascii="Palatino Linotype" w:eastAsia="Palatino Linotype" w:hAnsi="Palatino Linotype" w:cs="Palatino Linotype"/>
          <w:i/>
        </w:rPr>
      </w:pPr>
    </w:p>
    <w:p w:rsidR="004E2C55" w:rsidRPr="00AB4F12" w:rsidRDefault="00966F64">
      <w:pPr>
        <w:tabs>
          <w:tab w:val="left" w:pos="709"/>
        </w:tabs>
        <w:spacing w:before="160"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AB4F12">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primer lugar, es conveniente analizar si la respuesta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709" w:right="760"/>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 4.</w:t>
      </w:r>
      <w:r w:rsidRPr="00AB4F1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E2C55" w:rsidRPr="00AB4F12" w:rsidRDefault="00966F64">
      <w:pPr>
        <w:spacing w:line="276" w:lineRule="auto"/>
        <w:ind w:left="709" w:right="760"/>
        <w:jc w:val="both"/>
        <w:rPr>
          <w:rFonts w:ascii="Palatino Linotype" w:eastAsia="Palatino Linotype" w:hAnsi="Palatino Linotype" w:cs="Palatino Linotype"/>
          <w:i/>
        </w:rPr>
      </w:pPr>
      <w:r w:rsidRPr="00AB4F1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B4F1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E2C55" w:rsidRPr="00AB4F12" w:rsidRDefault="00966F64">
      <w:pPr>
        <w:spacing w:after="0" w:line="276" w:lineRule="auto"/>
        <w:ind w:left="709" w:right="760"/>
        <w:jc w:val="both"/>
        <w:rPr>
          <w:rFonts w:ascii="Palatino Linotype" w:eastAsia="Palatino Linotype" w:hAnsi="Palatino Linotype" w:cs="Palatino Linotype"/>
          <w:i/>
        </w:rPr>
      </w:pPr>
      <w:r w:rsidRPr="00AB4F12">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AB4F12">
        <w:rPr>
          <w:rFonts w:ascii="Palatino Linotype" w:eastAsia="Palatino Linotype" w:hAnsi="Palatino Linotype" w:cs="Palatino Linotype"/>
          <w:i/>
        </w:rPr>
        <w:t>.”(Sic)</w:t>
      </w:r>
    </w:p>
    <w:p w:rsidR="004E2C55" w:rsidRPr="00AB4F12" w:rsidRDefault="004E2C55">
      <w:pPr>
        <w:spacing w:after="0" w:line="360" w:lineRule="auto"/>
        <w:ind w:left="709" w:right="760"/>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567" w:right="758"/>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Artículo12.-</w:t>
      </w:r>
      <w:r w:rsidRPr="00AB4F1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E2C55" w:rsidRPr="00AB4F12" w:rsidRDefault="00966F64">
      <w:pPr>
        <w:spacing w:after="0" w:line="276" w:lineRule="auto"/>
        <w:ind w:left="567" w:right="758"/>
        <w:jc w:val="both"/>
        <w:rPr>
          <w:rFonts w:ascii="Palatino Linotype" w:eastAsia="Palatino Linotype" w:hAnsi="Palatino Linotype" w:cs="Palatino Linotype"/>
          <w:i/>
        </w:rPr>
      </w:pPr>
      <w:r w:rsidRPr="00AB4F1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AB4F12">
        <w:rPr>
          <w:rFonts w:ascii="Palatino Linotype" w:eastAsia="Palatino Linotype" w:hAnsi="Palatino Linotype" w:cs="Palatino Linotype"/>
          <w:sz w:val="24"/>
          <w:szCs w:val="24"/>
        </w:rPr>
        <w:lastRenderedPageBreak/>
        <w:t>que es deber de los Sujetos Obligados, garantizar el Derecho de Acceso a la Información Pública, lo que no sucedió en el presente caso.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E2C55" w:rsidRPr="00AB4F12" w:rsidRDefault="004E2C55">
      <w:pPr>
        <w:spacing w:after="0" w:line="360" w:lineRule="auto"/>
        <w:ind w:right="49"/>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b/>
          <w:i/>
        </w:rPr>
        <w:t>“Artículo 18.</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B4F12">
        <w:rPr>
          <w:rFonts w:ascii="Palatino Linotype" w:eastAsia="Palatino Linotype" w:hAnsi="Palatino Linotype" w:cs="Palatino Linotype"/>
          <w:i/>
        </w:rPr>
        <w:t xml:space="preserve"> y reutilización de la información que generen.</w:t>
      </w:r>
    </w:p>
    <w:p w:rsidR="004E2C55" w:rsidRPr="00AB4F12" w:rsidRDefault="00966F64">
      <w:pPr>
        <w:spacing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b/>
          <w:i/>
        </w:rPr>
        <w:t xml:space="preserve">Artículo 19. </w:t>
      </w:r>
      <w:r w:rsidRPr="00AB4F1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B4F12">
        <w:rPr>
          <w:rFonts w:ascii="Palatino Linotype" w:eastAsia="Palatino Linotype" w:hAnsi="Palatino Linotype" w:cs="Palatino Linotype"/>
          <w:i/>
        </w:rPr>
        <w:t>.</w:t>
      </w:r>
    </w:p>
    <w:p w:rsidR="004E2C55" w:rsidRPr="00AB4F12" w:rsidRDefault="00966F64">
      <w:pPr>
        <w:spacing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4E2C55" w:rsidRPr="00AB4F12" w:rsidRDefault="00966F64">
      <w:pPr>
        <w:spacing w:after="0" w:line="276" w:lineRule="auto"/>
        <w:ind w:left="851" w:right="851"/>
        <w:jc w:val="both"/>
        <w:rPr>
          <w:rFonts w:ascii="Palatino Linotype" w:eastAsia="Palatino Linotype" w:hAnsi="Palatino Linotype" w:cs="Palatino Linotype"/>
          <w:i/>
        </w:rPr>
      </w:pPr>
      <w:r w:rsidRPr="00AB4F12">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E2C55" w:rsidRPr="00AB4F12" w:rsidRDefault="004E2C55">
      <w:pPr>
        <w:spacing w:after="0" w:line="360" w:lineRule="auto"/>
        <w:ind w:left="851" w:right="851"/>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 xml:space="preserve">Artículo 3. </w:t>
      </w:r>
      <w:r w:rsidRPr="00AB4F12">
        <w:rPr>
          <w:rFonts w:ascii="Palatino Linotype" w:eastAsia="Palatino Linotype" w:hAnsi="Palatino Linotype" w:cs="Palatino Linotype"/>
          <w:i/>
        </w:rPr>
        <w:t>Para los efectos de la presente Ley se entenderá por:</w:t>
      </w: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spacing w:after="0"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b/>
          <w:i/>
        </w:rPr>
        <w:t>XI. Documento:</w:t>
      </w:r>
      <w:r w:rsidRPr="00AB4F12">
        <w:rPr>
          <w:rFonts w:ascii="Palatino Linotype" w:eastAsia="Palatino Linotype" w:hAnsi="Palatino Linotype" w:cs="Palatino Linotype"/>
          <w:i/>
        </w:rPr>
        <w:t xml:space="preserve"> Los expedientes, reportes, estudios, actas</w:t>
      </w:r>
      <w:r w:rsidRPr="00AB4F12">
        <w:rPr>
          <w:rFonts w:ascii="Palatino Linotype" w:eastAsia="Palatino Linotype" w:hAnsi="Palatino Linotype" w:cs="Palatino Linotype"/>
          <w:b/>
          <w:i/>
        </w:rPr>
        <w:t>,</w:t>
      </w:r>
      <w:r w:rsidRPr="00AB4F1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E2C55" w:rsidRPr="00AB4F12" w:rsidRDefault="004E2C55">
      <w:pPr>
        <w:spacing w:after="0" w:line="360" w:lineRule="auto"/>
        <w:ind w:left="851" w:right="899"/>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851" w:right="899"/>
        <w:jc w:val="both"/>
        <w:rPr>
          <w:rFonts w:ascii="Palatino Linotype" w:eastAsia="Palatino Linotype" w:hAnsi="Palatino Linotype" w:cs="Palatino Linotype"/>
          <w:b/>
          <w:i/>
        </w:rPr>
      </w:pPr>
      <w:r w:rsidRPr="00AB4F12">
        <w:rPr>
          <w:rFonts w:ascii="Palatino Linotype" w:eastAsia="Palatino Linotype" w:hAnsi="Palatino Linotype" w:cs="Palatino Linotype"/>
          <w:b/>
        </w:rPr>
        <w:t>“</w:t>
      </w:r>
      <w:r w:rsidRPr="00AB4F12">
        <w:rPr>
          <w:rFonts w:ascii="Palatino Linotype" w:eastAsia="Palatino Linotype" w:hAnsi="Palatino Linotype" w:cs="Palatino Linotype"/>
          <w:b/>
          <w:i/>
        </w:rPr>
        <w:t>CRITERIO 0002-11</w:t>
      </w: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B4F1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lastRenderedPageBreak/>
        <w:t>En consecuencia el acceso a la información se refiere a que se cumplan cualquiera de los siguientes tres supuestos:</w:t>
      </w: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4E2C55" w:rsidRPr="00AB4F12" w:rsidRDefault="00966F64">
      <w:pPr>
        <w:spacing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E2C55" w:rsidRPr="00AB4F12" w:rsidRDefault="00966F64">
      <w:pPr>
        <w:spacing w:after="0" w:line="276" w:lineRule="auto"/>
        <w:ind w:left="851" w:right="899"/>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4E2C55" w:rsidRPr="00AB4F12" w:rsidRDefault="004E2C55">
      <w:pPr>
        <w:spacing w:after="0" w:line="360" w:lineRule="auto"/>
        <w:ind w:left="851" w:right="899"/>
        <w:jc w:val="both"/>
        <w:rPr>
          <w:rFonts w:ascii="Palatino Linotype" w:eastAsia="Palatino Linotype" w:hAnsi="Palatino Linotype" w:cs="Palatino Linotype"/>
          <w:i/>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De ahí que 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B4F12">
        <w:rPr>
          <w:rFonts w:ascii="Palatino Linotype" w:eastAsia="Palatino Linotype" w:hAnsi="Palatino Linotype" w:cs="Palatino Linotype"/>
          <w:sz w:val="24"/>
          <w:szCs w:val="24"/>
          <w:vertAlign w:val="superscript"/>
        </w:rPr>
        <w:footnoteReference w:id="1"/>
      </w:r>
      <w:r w:rsidRPr="00AB4F12">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AB4F12">
        <w:rPr>
          <w:rFonts w:ascii="Palatino Linotype" w:eastAsia="Palatino Linotype" w:hAnsi="Palatino Linotype" w:cs="Palatino Linotype"/>
          <w:sz w:val="24"/>
          <w:szCs w:val="24"/>
        </w:rPr>
        <w:lastRenderedPageBreak/>
        <w:t>actividades que llevan a cabo los Sujetos Obligados</w:t>
      </w:r>
      <w:r w:rsidRPr="00AB4F12">
        <w:rPr>
          <w:rFonts w:ascii="Palatino Linotype" w:eastAsia="Palatino Linotype" w:hAnsi="Palatino Linotype" w:cs="Palatino Linotype"/>
          <w:sz w:val="24"/>
          <w:szCs w:val="24"/>
          <w:vertAlign w:val="superscript"/>
        </w:rPr>
        <w:footnoteReference w:id="2"/>
      </w:r>
      <w:r w:rsidRPr="00AB4F12">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En este sentido, cabe reiterar que el particular solicitó al </w:t>
      </w:r>
      <w:r w:rsidRPr="00AB4F12">
        <w:rPr>
          <w:rFonts w:ascii="Palatino Linotype" w:eastAsia="Palatino Linotype" w:hAnsi="Palatino Linotype" w:cs="Palatino Linotype"/>
          <w:b/>
          <w:color w:val="000000"/>
          <w:sz w:val="24"/>
          <w:szCs w:val="24"/>
        </w:rPr>
        <w:t xml:space="preserve">SUJETO OBLIGADO </w:t>
      </w:r>
      <w:r w:rsidRPr="00AB4F12">
        <w:rPr>
          <w:rFonts w:ascii="Palatino Linotype" w:eastAsia="Palatino Linotype" w:hAnsi="Palatino Linotype" w:cs="Palatino Linotype"/>
          <w:color w:val="000000"/>
          <w:sz w:val="24"/>
          <w:szCs w:val="24"/>
        </w:rPr>
        <w:t>lo siguiente:</w:t>
      </w:r>
    </w:p>
    <w:p w:rsidR="004E2C55" w:rsidRPr="00AB4F12" w:rsidRDefault="004E2C55">
      <w:pPr>
        <w:spacing w:after="0" w:line="360" w:lineRule="auto"/>
        <w:rPr>
          <w:rFonts w:ascii="Palatino Linotype" w:eastAsia="Palatino Linotype" w:hAnsi="Palatino Linotype" w:cs="Palatino Linotype"/>
          <w:color w:val="000000"/>
          <w:sz w:val="24"/>
          <w:szCs w:val="24"/>
        </w:rPr>
      </w:pPr>
    </w:p>
    <w:p w:rsidR="004E2C55" w:rsidRPr="00AB4F12" w:rsidRDefault="00966F64">
      <w:pP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Documento en el consten sus acciones archivísticas:</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Dónde se puede encontrar la validación de su PADA. </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¿En qué portal se publican sus actas?</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¿Cuántas sesiones tienen hasta ahora en su SIA y donde las puedo consultar?</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¿Cuentan con CGCA y CADIDO? (de ser el caso donde podemos consultarlos). </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¿Qué acciones han implementado a sus archivos desde la entrada en vigor de la LGA?</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¿Dónde podemos consultar a los responsables de AT y al responsable del ACA.?</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¿Qué acciones han implementado para documentos electrónicos?</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¿Cuentan los documentos electrónicos con algún Código Seguro de Verificación?</w:t>
      </w:r>
    </w:p>
    <w:p w:rsidR="004E2C55" w:rsidRPr="00AB4F12" w:rsidRDefault="00966F6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¿Documento en el que conste el plan para la preservación de documentos electrónicos y físicos y donde se puede encontrar su información?</w:t>
      </w:r>
    </w:p>
    <w:p w:rsidR="004E2C55" w:rsidRPr="00AB4F12" w:rsidRDefault="00966F64">
      <w:pP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En respuesta, </w:t>
      </w:r>
      <w:r w:rsidRPr="00AB4F12">
        <w:rPr>
          <w:rFonts w:ascii="Palatino Linotype" w:eastAsia="Palatino Linotype" w:hAnsi="Palatino Linotype" w:cs="Palatino Linotype"/>
          <w:b/>
          <w:color w:val="000000"/>
          <w:sz w:val="24"/>
          <w:szCs w:val="24"/>
        </w:rPr>
        <w:t xml:space="preserve">EL SUJETO OBLIGADO </w:t>
      </w:r>
      <w:r w:rsidRPr="00AB4F12">
        <w:rPr>
          <w:rFonts w:ascii="Palatino Linotype" w:eastAsia="Palatino Linotype" w:hAnsi="Palatino Linotype" w:cs="Palatino Linotype"/>
          <w:color w:val="000000"/>
          <w:sz w:val="24"/>
          <w:szCs w:val="24"/>
        </w:rPr>
        <w:t>refiere lo siguiente:</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¿Dónde se puede encontrar la validación de su PADA? </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El Área Coordinadora de Archivos está tomando los cursos de capacitación sobre los temas de archivo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¿En qué portal se publican sus actas?</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El Área Coordinadora de Archivos no cuenta con Actas. </w:t>
      </w:r>
    </w:p>
    <w:p w:rsidR="004E2C55" w:rsidRPr="00AB4F12" w:rsidRDefault="004E2C5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¿Cuántas sesiones tienen hasta ahora en su SIA y donde las puedo consultar?</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El Área Coordinadora de Archivos no cuenta con actas del Sistema Institucional de Archivos por estar en proceso de capacitación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¿Cuentan con CGCA y CADIDO? (de ser el caso donde podemos consultarlos). </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El Área Coordinadora de Archivos no cuenta con Cuadro General de Clasificación Archivística y Catálogo de Disposición Documental por estar en proceso de capacitación por la Subdirección de Bibliotecas y Documentación del Estado de México. </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¿Qué acciones han implementado a sus archivos desde la entrada en vigor de la LGA?</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Se le informa que el Área Coordinadora de Archivos no cuenta con Cuadro General de Clasificación Archivística y Catálogo de Disposición Documental por estar en proceso de capacitación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¿Dónde podemos consultar a los responsables de AT y al responsable del ACA.?</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Hace entrega de una liga electrónica en el que refiere que puede encontrar al responsable del Área de Archivo. </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¿Qué acciones han implementado para documentos electrónicos?</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Se le informa que el Área Coordinadora de Archivos no cuenta con Cuadro General de Clasificación Archivística y Catálogo de Disposición Documental por estar en proceso de capacitación por la Subdirección de Bibliotecas y Documentación del Estado de México. </w:t>
      </w:r>
    </w:p>
    <w:p w:rsidR="004E2C55" w:rsidRPr="00AB4F12" w:rsidRDefault="004E2C5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¿Cuentan los documentos electrónicos con algún Código Seguro de Verificación?</w:t>
      </w:r>
    </w:p>
    <w:p w:rsidR="004E2C55" w:rsidRPr="00AB4F12" w:rsidRDefault="00966F64">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Por el momento no cuentan con algún código de seguridad de verificación.</w:t>
      </w:r>
    </w:p>
    <w:p w:rsidR="004E2C55" w:rsidRPr="00AB4F12" w:rsidRDefault="00966F64">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¿Documento en el que conste el plan para la preservación de documentos electrónicos y físicos y donde se puede encontrar su información?</w:t>
      </w:r>
    </w:p>
    <w:p w:rsidR="004E2C55" w:rsidRPr="00AB4F12" w:rsidRDefault="00966F6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 xml:space="preserve">Hace entrega una liga electrónica en donde precisa que se puede encontrar la Ley de Archivos y Administración de Documentos del Estado de México y Municipios. </w:t>
      </w: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AB4F12">
        <w:rPr>
          <w:rFonts w:ascii="Palatino Linotype" w:eastAsia="Palatino Linotype" w:hAnsi="Palatino Linotype" w:cs="Palatino Linotype"/>
          <w:sz w:val="24"/>
          <w:szCs w:val="24"/>
          <w:u w:val="single"/>
        </w:rPr>
        <w:t xml:space="preserve">porque se le entrega la información incompleta. </w:t>
      </w:r>
    </w:p>
    <w:p w:rsidR="004E2C55" w:rsidRPr="00AB4F12" w:rsidRDefault="004E2C55">
      <w:pPr>
        <w:spacing w:after="0" w:line="360" w:lineRule="auto"/>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rsidR="004E2C55" w:rsidRPr="00AB4F12" w:rsidRDefault="004E2C55">
      <w:pPr>
        <w:spacing w:after="0" w:line="360" w:lineRule="auto"/>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De esta manera, se procede al análisis de la respuesta proporcionada por </w:t>
      </w:r>
      <w:r w:rsidRPr="00AB4F12">
        <w:rPr>
          <w:rFonts w:ascii="Palatino Linotype" w:eastAsia="Palatino Linotype" w:hAnsi="Palatino Linotype" w:cs="Palatino Linotype"/>
          <w:b/>
          <w:color w:val="000000"/>
          <w:sz w:val="24"/>
          <w:szCs w:val="24"/>
        </w:rPr>
        <w:t>EL</w:t>
      </w:r>
      <w:r w:rsidRPr="00AB4F12">
        <w:rPr>
          <w:rFonts w:ascii="Palatino Linotype" w:eastAsia="Palatino Linotype" w:hAnsi="Palatino Linotype" w:cs="Palatino Linotype"/>
          <w:color w:val="000000"/>
          <w:sz w:val="24"/>
          <w:szCs w:val="24"/>
        </w:rPr>
        <w:t xml:space="preserve"> </w:t>
      </w:r>
      <w:r w:rsidRPr="00AB4F12">
        <w:rPr>
          <w:rFonts w:ascii="Palatino Linotype" w:eastAsia="Palatino Linotype" w:hAnsi="Palatino Linotype" w:cs="Palatino Linotype"/>
          <w:b/>
          <w:color w:val="000000"/>
          <w:sz w:val="24"/>
          <w:szCs w:val="24"/>
        </w:rPr>
        <w:t>SUJETO OBLIGADO,</w:t>
      </w:r>
      <w:r w:rsidRPr="00AB4F12">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la </w:t>
      </w:r>
      <w:r w:rsidRPr="00AB4F12">
        <w:rPr>
          <w:rFonts w:ascii="Palatino Linotype" w:eastAsia="Palatino Linotype" w:hAnsi="Palatino Linotype" w:cs="Palatino Linotype"/>
          <w:b/>
          <w:color w:val="000000"/>
          <w:sz w:val="24"/>
          <w:szCs w:val="24"/>
        </w:rPr>
        <w:t>RECURRENTE</w:t>
      </w:r>
      <w:r w:rsidRPr="00AB4F12">
        <w:rPr>
          <w:rFonts w:ascii="Palatino Linotype" w:eastAsia="Palatino Linotype" w:hAnsi="Palatino Linotype" w:cs="Palatino Linotype"/>
          <w:color w:val="000000"/>
          <w:sz w:val="24"/>
          <w:szCs w:val="24"/>
        </w:rPr>
        <w:t>, o en su defecto ordenar la entrega del o los documentos que lo satisfagan.</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En primer lugar destacar que la respuesta fue proporcionada por la Titular del Área Coordinadora de Archivos, misma que cuenta con las siguientes atribuciones:</w:t>
      </w:r>
    </w:p>
    <w:p w:rsidR="004E2C55" w:rsidRPr="00AB4F12" w:rsidRDefault="004E2C55">
      <w:pPr>
        <w:spacing w:after="0" w:line="360" w:lineRule="auto"/>
        <w:jc w:val="both"/>
        <w:rPr>
          <w:rFonts w:ascii="Palatino Linotype" w:eastAsia="Palatino Linotype" w:hAnsi="Palatino Linotype" w:cs="Palatino Linotype"/>
          <w:color w:val="FF0000"/>
          <w:sz w:val="24"/>
          <w:szCs w:val="24"/>
        </w:rPr>
      </w:pPr>
    </w:p>
    <w:p w:rsidR="004E2C55" w:rsidRPr="00AB4F12" w:rsidRDefault="00966F64">
      <w:pPr>
        <w:spacing w:after="0" w:line="276" w:lineRule="auto"/>
        <w:ind w:left="851" w:right="900"/>
        <w:jc w:val="both"/>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t>LEY DE ARCHIVOS Y ADMINISTRACIÓN DE DOCUMENTOS DEL ESTADO DE MÉXICO Y MUNICIPIOS.</w:t>
      </w:r>
    </w:p>
    <w:p w:rsidR="004E2C55" w:rsidRPr="00AB4F12" w:rsidRDefault="004E2C55">
      <w:pPr>
        <w:spacing w:after="0" w:line="276" w:lineRule="auto"/>
        <w:ind w:left="851" w:right="900"/>
        <w:jc w:val="both"/>
        <w:rPr>
          <w:rFonts w:ascii="Palatino Linotype" w:eastAsia="Palatino Linotype" w:hAnsi="Palatino Linotype" w:cs="Palatino Linotype"/>
          <w:i/>
          <w:color w:val="000000"/>
        </w:rPr>
      </w:pPr>
    </w:p>
    <w:p w:rsidR="004E2C55" w:rsidRPr="00AB4F12" w:rsidRDefault="00966F64">
      <w:pPr>
        <w:spacing w:after="0" w:line="276" w:lineRule="auto"/>
        <w:ind w:left="851" w:right="90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Artículo 27. El Área Coordinadora de Archivos promoverá que las Áreas Operativas lleven a cabo las acciones de Gestión Documental y Administración de Archivos, de manera conjunta con las unidades administrativas o áreas competentes de cada Sujeto Obligado.</w:t>
      </w: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De acuerdo a lo anterior, el Área Coordinadora de Archivos</w:t>
      </w:r>
      <w:r w:rsidRPr="00AB4F12">
        <w:rPr>
          <w:sz w:val="24"/>
          <w:szCs w:val="24"/>
        </w:rPr>
        <w:t xml:space="preserve"> </w:t>
      </w:r>
      <w:r w:rsidRPr="00AB4F12">
        <w:rPr>
          <w:rFonts w:ascii="Palatino Linotype" w:eastAsia="Palatino Linotype" w:hAnsi="Palatino Linotype" w:cs="Palatino Linotype"/>
          <w:color w:val="000000"/>
          <w:sz w:val="24"/>
          <w:szCs w:val="24"/>
        </w:rPr>
        <w:t>promoverá  las acciones de Gestión Documental y Administración de Archivos.</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4E2C55">
      <w:pPr>
        <w:spacing w:after="240" w:line="360" w:lineRule="auto"/>
        <w:jc w:val="both"/>
        <w:rPr>
          <w:rFonts w:ascii="Palatino Linotype" w:eastAsia="Palatino Linotype" w:hAnsi="Palatino Linotype" w:cs="Palatino Linotype"/>
          <w:color w:val="000000"/>
          <w:sz w:val="24"/>
          <w:szCs w:val="24"/>
        </w:rPr>
      </w:pPr>
    </w:p>
    <w:tbl>
      <w:tblPr>
        <w:tblStyle w:val="a"/>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Documento en el consten sus acciones archivísticas.</w:t>
            </w: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El Área Coordinadora de Archivos está en proceso de capacitación por la Subdirección de Bibliotecas y Documentación del Estado de México.</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¿Qué acciones han implementado a sus archivos desde la entrada en vigor de la LGA?</w:t>
            </w: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El Área Coordinadora de Archivos está en proceso de capacitación por la Subdirección de Bibliotecas y Documentación del Estado de México.</w:t>
            </w:r>
          </w:p>
        </w:tc>
      </w:tr>
    </w:tbl>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Como se advierte el servidor público habilitado no se pronunció de manera clara y precisa sobre este punto de la solicitud ya que sólo señaló que “El Área </w:t>
      </w:r>
      <w:r w:rsidRPr="00AB4F12">
        <w:rPr>
          <w:rFonts w:ascii="Palatino Linotype" w:eastAsia="Palatino Linotype" w:hAnsi="Palatino Linotype" w:cs="Palatino Linotype"/>
          <w:color w:val="000000"/>
          <w:sz w:val="24"/>
          <w:szCs w:val="24"/>
        </w:rPr>
        <w:lastRenderedPageBreak/>
        <w:t xml:space="preserve">Coordinadora de Archivos está tomando los cursos de capacitación sobre los temas de archivo por la Subdirección de Bibliotecas y Documentación del Estado de México.” </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color w:val="000000"/>
          <w:sz w:val="24"/>
          <w:szCs w:val="24"/>
        </w:rPr>
        <w:t xml:space="preserve">Por lo que su respuesta careció de los principios de congruencia y exhaustividad, </w:t>
      </w:r>
      <w:r w:rsidRPr="00AB4F12">
        <w:rPr>
          <w:rFonts w:ascii="Palatino Linotype" w:eastAsia="Palatino Linotype" w:hAnsi="Palatino Linotype" w:cs="Palatino Linotype"/>
          <w:sz w:val="24"/>
          <w:szCs w:val="24"/>
        </w:rPr>
        <w:t>como refuerzo de lo anterior, resulta crucial el Criterio 02/17, emitido por el Pleno del Instituto Nacional de Transparencia y Acceso a la Información y Protección de Datos Personales, de título y texto siguientes:</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276" w:lineRule="auto"/>
        <w:ind w:left="851" w:right="900"/>
        <w:jc w:val="both"/>
        <w:rPr>
          <w:rFonts w:ascii="Palatino Linotype" w:eastAsia="Palatino Linotype" w:hAnsi="Palatino Linotype" w:cs="Palatino Linotype"/>
          <w:i/>
          <w:sz w:val="20"/>
          <w:szCs w:val="20"/>
        </w:rPr>
      </w:pPr>
      <w:r w:rsidRPr="00AB4F12">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Por lo que corresponde a este punto de la solicitud, es oportuno señalar que la siguiente normatividad: </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ind w:left="851" w:right="900"/>
        <w:jc w:val="both"/>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lastRenderedPageBreak/>
        <w:t xml:space="preserve">LEY DE ARCHIVOS Y ADMINISTRACIÓN DE DOCUMENTOS DEL ESTADO DE MÉXICO Y MUNICIPIOS ESTABLECE LO SIGUIENTE: </w:t>
      </w:r>
    </w:p>
    <w:p w:rsidR="004E2C55" w:rsidRPr="00AB4F12" w:rsidRDefault="00966F64">
      <w:pPr>
        <w:spacing w:line="360" w:lineRule="auto"/>
        <w:ind w:left="851" w:right="90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Artículo 27. El Área Coordinadora de Archivos promoverá que las Áreas Operativas lleven a cabo las acciones de Gestión Documental y Administración de Archivos, de manera conjunta con las unidades administrativas o áreas competentes de cada Sujeto Obligado.</w:t>
      </w:r>
    </w:p>
    <w:p w:rsidR="004E2C55" w:rsidRPr="00AB4F12" w:rsidRDefault="00966F64">
      <w:pPr>
        <w:spacing w:line="360" w:lineRule="auto"/>
        <w:ind w:left="851" w:right="900"/>
        <w:jc w:val="both"/>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t>REGLAMENTO INTERNO DEL SISTEMA INTERNO DEL SISTEMA MUNICIPAL PARA EL DESARROLLO INTEGRAL DE LA FAMILIA DE LERMA.</w:t>
      </w:r>
    </w:p>
    <w:p w:rsidR="004E2C55" w:rsidRPr="00AB4F12" w:rsidRDefault="00966F64">
      <w:pPr>
        <w:spacing w:line="360" w:lineRule="auto"/>
        <w:ind w:left="851" w:right="90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Artículo 49. La Dirección General del SMDIF, quien tendrá además de las señaladas en la Ley, las siguientes atribuciones:</w:t>
      </w:r>
    </w:p>
    <w:p w:rsidR="004E2C55" w:rsidRPr="00AB4F12" w:rsidRDefault="00966F64">
      <w:pPr>
        <w:spacing w:line="276" w:lineRule="auto"/>
        <w:ind w:left="851" w:right="90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w:t>
      </w:r>
    </w:p>
    <w:p w:rsidR="004E2C55" w:rsidRPr="00AB4F12" w:rsidRDefault="00966F64">
      <w:pPr>
        <w:spacing w:after="0" w:line="276" w:lineRule="auto"/>
        <w:ind w:left="851" w:right="90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 xml:space="preserve">XXVIII. Coordinar técnicamente las acciones de los archivos de trámite, concentración e históricos, con el propósito de que los responsables de estos cumplan con las disposiciones en materia de archivos se emitan, así como aquellos de aplicación general. </w:t>
      </w:r>
    </w:p>
    <w:p w:rsidR="004E2C55" w:rsidRPr="00AB4F12" w:rsidRDefault="004E2C55">
      <w:pPr>
        <w:spacing w:after="0" w:line="360" w:lineRule="auto"/>
        <w:ind w:left="851" w:right="900"/>
        <w:jc w:val="both"/>
        <w:rPr>
          <w:rFonts w:ascii="Palatino Linotype" w:eastAsia="Palatino Linotype" w:hAnsi="Palatino Linotype" w:cs="Palatino Linotype"/>
          <w:i/>
          <w:color w:val="000000"/>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De acuerdo a lo anterior, el Área Coordinadora de Archivos promoverá que las áreas operativas lleven a cabo las acciones de gestión documental y administración de archivos, por lo que dichas acciones deben coordinar técnicamente los archivos de trámite, concentración e históricos, motivo por el que se ordena el documento en el que consten las acciones implementadas en los archivos. </w:t>
      </w:r>
    </w:p>
    <w:p w:rsidR="004E2C55" w:rsidRPr="00AB4F12" w:rsidRDefault="004E2C55">
      <w:pPr>
        <w:spacing w:after="240" w:line="360" w:lineRule="auto"/>
        <w:jc w:val="both"/>
        <w:rPr>
          <w:rFonts w:ascii="Palatino Linotype" w:eastAsia="Palatino Linotype" w:hAnsi="Palatino Linotype" w:cs="Palatino Linotype"/>
          <w:color w:val="000000"/>
          <w:sz w:val="24"/>
          <w:szCs w:val="24"/>
        </w:rPr>
      </w:pPr>
    </w:p>
    <w:tbl>
      <w:tblPr>
        <w:tblStyle w:val="a0"/>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lastRenderedPageBreak/>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 xml:space="preserve">¿Dónde se puede encontrar la validación de su PADA? </w:t>
            </w:r>
          </w:p>
          <w:p w:rsidR="004E2C55" w:rsidRPr="00AB4F12" w:rsidRDefault="004E2C55">
            <w:pPr>
              <w:spacing w:before="240" w:after="240"/>
              <w:jc w:val="both"/>
              <w:rPr>
                <w:rFonts w:ascii="Palatino Linotype" w:eastAsia="Palatino Linotype" w:hAnsi="Palatino Linotype" w:cs="Palatino Linotype"/>
                <w:color w:val="000000"/>
                <w:sz w:val="18"/>
                <w:szCs w:val="18"/>
              </w:rPr>
            </w:pP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El Área Coordinadora de Archivos está tomando los cursos de capacitación sobre los temas de archivo por la Subdirección de Bibliotecas y Documentación del Estado de México.</w:t>
            </w:r>
          </w:p>
        </w:tc>
      </w:tr>
    </w:tbl>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Ahora bien, con relación a este punto de la solicitud, es importante señalar que PADA es el Programa Anual de Desarrollo Archivístico,  por lo que es importante mencionar lo siguiente:</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276" w:lineRule="auto"/>
        <w:ind w:left="851" w:right="900"/>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t>LEY DE ARCHIVOS Y ADMINISTRACIÓN DE DOCUMENTOS DEL ESTADO DE MÉXICO Y MUNICIPIOS</w:t>
      </w: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23. Los Sujetos Obligados que cuenten con un Sistema Institucional, deberán elaborar un Programa Anual y publicarlo en su portal electrónico, informativo </w:t>
      </w:r>
      <w:proofErr w:type="spellStart"/>
      <w:r w:rsidRPr="00AB4F12">
        <w:rPr>
          <w:rFonts w:ascii="Palatino Linotype" w:eastAsia="Palatino Linotype" w:hAnsi="Palatino Linotype" w:cs="Palatino Linotype"/>
          <w:i/>
        </w:rPr>
        <w:t>u</w:t>
      </w:r>
      <w:proofErr w:type="spellEnd"/>
      <w:r w:rsidRPr="00AB4F12">
        <w:rPr>
          <w:rFonts w:ascii="Palatino Linotype" w:eastAsia="Palatino Linotype" w:hAnsi="Palatino Linotype" w:cs="Palatino Linotype"/>
          <w:i/>
        </w:rPr>
        <w:t xml:space="preserve"> homólogo en los primeros treinta días naturales del ejercicio fiscal correspondiente. </w:t>
      </w:r>
    </w:p>
    <w:p w:rsidR="004E2C55" w:rsidRPr="00AB4F12" w:rsidRDefault="004E2C55">
      <w:pPr>
        <w:spacing w:after="0" w:line="360" w:lineRule="auto"/>
        <w:ind w:left="851" w:right="900"/>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color w:val="000000"/>
          <w:sz w:val="24"/>
          <w:szCs w:val="24"/>
        </w:rPr>
        <w:t xml:space="preserve">De acuerdo a lo anterior, los Sujetos Obligados deberán elaborar un Programa Anual y deberán publicarlo en su portal electrónico, informativo </w:t>
      </w:r>
      <w:proofErr w:type="spellStart"/>
      <w:r w:rsidRPr="00AB4F12">
        <w:rPr>
          <w:rFonts w:ascii="Palatino Linotype" w:eastAsia="Palatino Linotype" w:hAnsi="Palatino Linotype" w:cs="Palatino Linotype"/>
          <w:color w:val="000000"/>
          <w:sz w:val="24"/>
          <w:szCs w:val="24"/>
        </w:rPr>
        <w:t>u</w:t>
      </w:r>
      <w:proofErr w:type="spellEnd"/>
      <w:r w:rsidRPr="00AB4F12">
        <w:rPr>
          <w:rFonts w:ascii="Palatino Linotype" w:eastAsia="Palatino Linotype" w:hAnsi="Palatino Linotype" w:cs="Palatino Linotype"/>
          <w:color w:val="000000"/>
          <w:sz w:val="24"/>
          <w:szCs w:val="24"/>
        </w:rPr>
        <w:t xml:space="preserve"> homólogo en los primeros treinta días naturales del ejercicio fiscal correspondiente, por lo que a la fecha de la solicitud, ya se tuvo que haber generado y publicado en el portal electrónico del </w:t>
      </w:r>
      <w:r w:rsidRPr="00AB4F12">
        <w:rPr>
          <w:rFonts w:ascii="Palatino Linotype" w:eastAsia="Palatino Linotype" w:hAnsi="Palatino Linotype" w:cs="Palatino Linotype"/>
          <w:b/>
          <w:color w:val="000000"/>
          <w:sz w:val="24"/>
          <w:szCs w:val="24"/>
        </w:rPr>
        <w:t>SUJETO OBLIGADO</w:t>
      </w:r>
      <w:r w:rsidRPr="00AB4F12">
        <w:rPr>
          <w:rFonts w:ascii="Palatino Linotype" w:eastAsia="Palatino Linotype" w:hAnsi="Palatino Linotype" w:cs="Palatino Linotype"/>
          <w:color w:val="000000"/>
          <w:sz w:val="24"/>
          <w:szCs w:val="24"/>
        </w:rPr>
        <w:t xml:space="preserve">, motivo por el que se ordena el documento en el que conste la validación del Programa Anual de Desarrollo Archivístico, </w:t>
      </w:r>
      <w:r w:rsidRPr="00AB4F12">
        <w:rPr>
          <w:rFonts w:ascii="Palatino Linotype" w:eastAsia="Palatino Linotype" w:hAnsi="Palatino Linotype" w:cs="Palatino Linotype"/>
          <w:sz w:val="24"/>
          <w:szCs w:val="24"/>
        </w:rPr>
        <w:t xml:space="preserve">sin embargo, de ser el caso en el que la información ordenada no obre dentro de los </w:t>
      </w:r>
      <w:r w:rsidRPr="00AB4F12">
        <w:rPr>
          <w:rFonts w:ascii="Palatino Linotype" w:eastAsia="Palatino Linotype" w:hAnsi="Palatino Linotype" w:cs="Palatino Linotype"/>
          <w:sz w:val="24"/>
          <w:szCs w:val="24"/>
        </w:rPr>
        <w:lastRenderedPageBreak/>
        <w:t xml:space="preserve">archivos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color w:val="000000"/>
          <w:sz w:val="24"/>
          <w:szCs w:val="24"/>
        </w:rPr>
        <w:t>,</w:t>
      </w:r>
      <w:r w:rsidRPr="00AB4F12">
        <w:rPr>
          <w:rFonts w:ascii="Palatino Linotype" w:eastAsia="Palatino Linotype" w:hAnsi="Palatino Linotype" w:cs="Palatino Linotype"/>
          <w:sz w:val="24"/>
          <w:szCs w:val="24"/>
        </w:rPr>
        <w:t xml:space="preserve">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 19.</w:t>
      </w:r>
      <w:r w:rsidRPr="00AB4F12">
        <w:rPr>
          <w:rFonts w:ascii="Palatino Linotype" w:eastAsia="Palatino Linotype" w:hAnsi="Palatino Linotype" w:cs="Palatino Linotype"/>
          <w:i/>
        </w:rPr>
        <w:t xml:space="preserve">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AB4F12">
        <w:rPr>
          <w:rFonts w:ascii="Palatino Linotype" w:eastAsia="Palatino Linotype" w:hAnsi="Palatino Linotype" w:cs="Palatino Linotype"/>
          <w:i/>
        </w:rPr>
        <w:t>, debidamente fundado y motivado, en el que detalle las razones del por qué no obra en sus archivos.”</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 49.</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Los Comités de Transparencia</w:t>
      </w:r>
      <w:r w:rsidRPr="00AB4F12">
        <w:rPr>
          <w:rFonts w:ascii="Palatino Linotype" w:eastAsia="Palatino Linotype" w:hAnsi="Palatino Linotype" w:cs="Palatino Linotype"/>
          <w:i/>
        </w:rPr>
        <w:t xml:space="preserve"> tendrán las siguientes </w:t>
      </w:r>
      <w:r w:rsidRPr="00AB4F12">
        <w:rPr>
          <w:rFonts w:ascii="Palatino Linotype" w:eastAsia="Palatino Linotype" w:hAnsi="Palatino Linotype" w:cs="Palatino Linotype"/>
          <w:b/>
          <w:i/>
        </w:rPr>
        <w:t>atribuciones</w:t>
      </w:r>
      <w:r w:rsidRPr="00AB4F12">
        <w:rPr>
          <w:rFonts w:ascii="Palatino Linotype" w:eastAsia="Palatino Linotype" w:hAnsi="Palatino Linotype" w:cs="Palatino Linotype"/>
          <w:i/>
        </w:rPr>
        <w:t>:</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Confirmar, modificar o revocar las determinaciones que en materia de</w:t>
      </w:r>
      <w:r w:rsidRPr="00AB4F12">
        <w:rPr>
          <w:rFonts w:ascii="Palatino Linotype" w:eastAsia="Palatino Linotype" w:hAnsi="Palatino Linotype" w:cs="Palatino Linotype"/>
          <w:i/>
        </w:rPr>
        <w:t xml:space="preserve"> ampliación del plazo de respuesta, clasificación de la información y </w:t>
      </w:r>
      <w:r w:rsidRPr="00AB4F12">
        <w:rPr>
          <w:rFonts w:ascii="Palatino Linotype" w:eastAsia="Palatino Linotype" w:hAnsi="Palatino Linotype" w:cs="Palatino Linotype"/>
          <w:b/>
          <w:i/>
        </w:rPr>
        <w:t>declaración de inexistencia</w:t>
      </w:r>
      <w:r w:rsidRPr="00AB4F12">
        <w:rPr>
          <w:rFonts w:ascii="Palatino Linotype" w:eastAsia="Palatino Linotype" w:hAnsi="Palatino Linotype" w:cs="Palatino Linotype"/>
          <w:i/>
        </w:rPr>
        <w:t xml:space="preserve"> o de incompetencia realicen los titulares de las áreas de los sujetos obligados;</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XIII</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Dictaminar las declaratorias de inexistencia de la información</w:t>
      </w:r>
      <w:r w:rsidRPr="00AB4F12">
        <w:rPr>
          <w:rFonts w:ascii="Palatino Linotype" w:eastAsia="Palatino Linotype" w:hAnsi="Palatino Linotype" w:cs="Palatino Linotype"/>
          <w:i/>
        </w:rPr>
        <w:t xml:space="preserve"> que les remitan las unidades administrativas y resolver en consecuencia…”</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 169</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Cuando la información no se encuentre en los archivos del sujeto obligado, el Comité de Transparencia</w:t>
      </w:r>
      <w:r w:rsidRPr="00AB4F12">
        <w:rPr>
          <w:rFonts w:ascii="Palatino Linotype" w:eastAsia="Palatino Linotype" w:hAnsi="Palatino Linotype" w:cs="Palatino Linotype"/>
          <w:i/>
        </w:rPr>
        <w:t xml:space="preserve">: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w:t>
      </w:r>
      <w:r w:rsidRPr="00AB4F12">
        <w:rPr>
          <w:rFonts w:ascii="Palatino Linotype" w:eastAsia="Palatino Linotype" w:hAnsi="Palatino Linotype" w:cs="Palatino Linotype"/>
          <w:i/>
        </w:rPr>
        <w:t xml:space="preserve"> Analizará el caso y tomará las medidas necesarias para localizar la información;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Expedirá una resolución que confirme la inexistencia del documento</w:t>
      </w:r>
      <w:r w:rsidRPr="00AB4F12">
        <w:rPr>
          <w:rFonts w:ascii="Palatino Linotype" w:eastAsia="Palatino Linotype" w:hAnsi="Palatino Linotype" w:cs="Palatino Linotype"/>
          <w:i/>
        </w:rPr>
        <w:t xml:space="preserve">;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III.</w:t>
      </w:r>
      <w:r w:rsidRPr="00AB4F12">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w:t>
      </w:r>
      <w:r w:rsidRPr="00AB4F12">
        <w:rPr>
          <w:rFonts w:ascii="Palatino Linotype" w:eastAsia="Palatino Linotype" w:hAnsi="Palatino Linotype" w:cs="Palatino Linotype"/>
          <w:i/>
        </w:rPr>
        <w:lastRenderedPageBreak/>
        <w:t xml:space="preserve">la imposibilidad de su generación, exponga de forma fundada y motivada, las razones por las cuales en el caso particular no ejerció dichas facultades, competencias o funciones, lo cual notificará al solicitante a través de la Unidad de Transparencia; y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IV.</w:t>
      </w:r>
      <w:r w:rsidRPr="00AB4F12">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4E2C55" w:rsidRPr="00AB4F12" w:rsidRDefault="00966F64">
      <w:pPr>
        <w:spacing w:after="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Artículo 170.</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La resolución del Comité de Transparencia que confirme la inexistencia de la información solicitada contendrá los elementos mínimos</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que permitan al solicitante tener la certeza de que se utilizó un criterio de búsqueda exhaustivo</w:t>
      </w:r>
      <w:r w:rsidRPr="00AB4F12">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rsidR="004E2C55" w:rsidRPr="00AB4F12" w:rsidRDefault="004E2C55">
      <w:pPr>
        <w:spacing w:after="0" w:line="360" w:lineRule="auto"/>
        <w:ind w:left="851" w:right="902"/>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AB4F12">
        <w:rPr>
          <w:rFonts w:ascii="Palatino Linotype" w:eastAsia="Palatino Linotype" w:hAnsi="Palatino Linotype" w:cs="Palatino Linotype"/>
          <w:b/>
          <w:sz w:val="24"/>
          <w:szCs w:val="24"/>
        </w:rPr>
        <w:t>RECURRENTE</w:t>
      </w:r>
      <w:r w:rsidRPr="00AB4F12">
        <w:rPr>
          <w:rFonts w:ascii="Palatino Linotype" w:eastAsia="Palatino Linotype" w:hAnsi="Palatino Linotype" w:cs="Palatino Linotype"/>
          <w:sz w:val="24"/>
          <w:szCs w:val="24"/>
        </w:rPr>
        <w:t xml:space="preserve"> y comprobar la inexistencia de la información.</w:t>
      </w: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Tiene aplicación al respecto el criterio de interpretación en el orden administrativo número 0004-11 emitido por este Instituto, cuyo contenido es del tenor literal siguiente</w:t>
      </w:r>
      <w:r w:rsidRPr="00AB4F12">
        <w:rPr>
          <w:rFonts w:ascii="Palatino Linotype" w:eastAsia="Palatino Linotype" w:hAnsi="Palatino Linotype" w:cs="Palatino Linotype"/>
        </w:rPr>
        <w:t>:</w:t>
      </w:r>
    </w:p>
    <w:p w:rsidR="004E2C55" w:rsidRPr="00AB4F12" w:rsidRDefault="004E2C55">
      <w:pPr>
        <w:spacing w:after="0" w:line="276" w:lineRule="auto"/>
        <w:jc w:val="both"/>
        <w:rPr>
          <w:rFonts w:ascii="Palatino Linotype" w:eastAsia="Palatino Linotype" w:hAnsi="Palatino Linotype" w:cs="Palatino Linotype"/>
        </w:rPr>
      </w:pP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INEXISTENCIA. DECLARATORIA DE LA. ALCANCES Y PROCEDIMIENTOS</w:t>
      </w:r>
      <w:r w:rsidRPr="00AB4F12">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4E2C55" w:rsidRPr="00AB4F12" w:rsidRDefault="00966F64">
      <w:pPr>
        <w:spacing w:before="240" w:after="24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Bajo el entendido de que dicha búsqueda exhaustiva permitirá dos determinaciones: </w:t>
      </w:r>
    </w:p>
    <w:p w:rsidR="004E2C55" w:rsidRPr="00AB4F12" w:rsidRDefault="00966F64">
      <w:pPr>
        <w:spacing w:before="240" w:after="24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1ª)</w:t>
      </w:r>
      <w:r w:rsidRPr="00AB4F12">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rsidR="004E2C55" w:rsidRPr="00AB4F12" w:rsidRDefault="00966F64">
      <w:pPr>
        <w:spacing w:before="240" w:after="24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lastRenderedPageBreak/>
        <w:t>2ª)</w:t>
      </w:r>
      <w:r w:rsidRPr="00AB4F12">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E2C55" w:rsidRPr="00AB4F12" w:rsidRDefault="004E2C55">
      <w:pPr>
        <w:spacing w:after="0" w:line="360" w:lineRule="auto"/>
        <w:ind w:left="851" w:right="900"/>
        <w:jc w:val="both"/>
        <w:rPr>
          <w:rFonts w:ascii="Palatino Linotype" w:eastAsia="Palatino Linotype" w:hAnsi="Palatino Linotype" w:cs="Palatino Linotype"/>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AB4F12">
        <w:rPr>
          <w:rFonts w:ascii="Palatino Linotype" w:eastAsia="Palatino Linotype" w:hAnsi="Palatino Linotype" w:cs="Palatino Linotype"/>
          <w:b/>
          <w:sz w:val="24"/>
          <w:szCs w:val="24"/>
        </w:rPr>
        <w:t>EL SUJETO OBLIGADO</w:t>
      </w:r>
      <w:r w:rsidRPr="00AB4F12">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before="80" w:after="24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INEXISTENCIA, CONCEPTO DE, EN MATERIA DE TRANSPARENCIA</w:t>
      </w:r>
      <w:r w:rsidRPr="00AB4F12">
        <w:rPr>
          <w:rFonts w:ascii="Palatino Linotype" w:eastAsia="Palatino Linotype" w:hAnsi="Palatino Linotype" w:cs="Palatino Linotype"/>
          <w:i/>
        </w:rPr>
        <w:t xml:space="preserve">. La interpretación sistemática de los artículos 29 y 30, fracción VIII, de la Ley de Transparencia y Acceso a la Información Pública del </w:t>
      </w:r>
      <w:r w:rsidRPr="00AB4F12">
        <w:rPr>
          <w:rFonts w:ascii="Palatino Linotype" w:eastAsia="Palatino Linotype" w:hAnsi="Palatino Linotype" w:cs="Palatino Linotype"/>
          <w:i/>
        </w:rPr>
        <w:lastRenderedPageBreak/>
        <w:t xml:space="preserve">Estado de México y Municipios, permite concluir que la inexistencia de la información en el derecho de acceso a la información pública conlleva necesariamente a los siguientes </w:t>
      </w:r>
      <w:r w:rsidRPr="00AB4F12">
        <w:rPr>
          <w:rFonts w:ascii="Palatino Linotype" w:eastAsia="Palatino Linotype" w:hAnsi="Palatino Linotype" w:cs="Palatino Linotype"/>
          <w:b/>
          <w:i/>
        </w:rPr>
        <w:t>supuestos:</w:t>
      </w:r>
      <w:r w:rsidRPr="00AB4F12">
        <w:rPr>
          <w:rFonts w:ascii="Palatino Linotype" w:eastAsia="Palatino Linotype" w:hAnsi="Palatino Linotype" w:cs="Palatino Linotype"/>
          <w:i/>
        </w:rPr>
        <w:t xml:space="preserve"> </w:t>
      </w:r>
    </w:p>
    <w:p w:rsidR="004E2C55" w:rsidRPr="00AB4F12" w:rsidRDefault="00966F64">
      <w:pPr>
        <w:numPr>
          <w:ilvl w:val="0"/>
          <w:numId w:val="1"/>
        </w:numPr>
        <w:tabs>
          <w:tab w:val="left" w:pos="1276"/>
        </w:tabs>
        <w:spacing w:before="240" w:after="0" w:line="276" w:lineRule="auto"/>
        <w:ind w:left="993" w:right="900" w:firstLine="0"/>
        <w:jc w:val="both"/>
        <w:rPr>
          <w:rFonts w:ascii="Palatino Linotype" w:eastAsia="Palatino Linotype" w:hAnsi="Palatino Linotype" w:cs="Palatino Linotype"/>
          <w:i/>
          <w:color w:val="000000"/>
        </w:rPr>
      </w:pPr>
      <w:r w:rsidRPr="00AB4F12">
        <w:rPr>
          <w:rFonts w:ascii="Palatino Linotype" w:eastAsia="Palatino Linotype" w:hAnsi="Palatino Linotype" w:cs="Palatino Linotype"/>
          <w:i/>
          <w:color w:val="00000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4E2C55" w:rsidRPr="00AB4F12" w:rsidRDefault="00966F64">
      <w:pPr>
        <w:numPr>
          <w:ilvl w:val="0"/>
          <w:numId w:val="1"/>
        </w:numPr>
        <w:tabs>
          <w:tab w:val="left" w:pos="1276"/>
        </w:tabs>
        <w:spacing w:after="240" w:line="276" w:lineRule="auto"/>
        <w:ind w:left="993" w:right="900" w:firstLine="0"/>
        <w:jc w:val="both"/>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t xml:space="preserve">En los casos en que por las atribuciones conferidas al Sujeto Obligado éste debió generar, administrar o poseer la información, pero en incumplimiento a la normatividad respectiva no llevó a cabo </w:t>
      </w:r>
      <w:proofErr w:type="gramStart"/>
      <w:r w:rsidRPr="00AB4F12">
        <w:rPr>
          <w:rFonts w:ascii="Palatino Linotype" w:eastAsia="Palatino Linotype" w:hAnsi="Palatino Linotype" w:cs="Palatino Linotype"/>
          <w:b/>
          <w:i/>
          <w:color w:val="000000"/>
        </w:rPr>
        <w:t>ninguna</w:t>
      </w:r>
      <w:proofErr w:type="gramEnd"/>
      <w:r w:rsidRPr="00AB4F12">
        <w:rPr>
          <w:rFonts w:ascii="Palatino Linotype" w:eastAsia="Palatino Linotype" w:hAnsi="Palatino Linotype" w:cs="Palatino Linotype"/>
          <w:b/>
          <w:i/>
          <w:color w:val="000000"/>
        </w:rPr>
        <w:t xml:space="preserve"> de esas acciones. </w:t>
      </w:r>
    </w:p>
    <w:p w:rsidR="004E2C55" w:rsidRPr="00AB4F12" w:rsidRDefault="00966F64">
      <w:pPr>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E2C55" w:rsidRPr="00AB4F12" w:rsidRDefault="004E2C55">
      <w:pPr>
        <w:spacing w:after="0" w:line="276" w:lineRule="auto"/>
        <w:ind w:left="851" w:right="900"/>
        <w:jc w:val="both"/>
        <w:rPr>
          <w:rFonts w:ascii="Palatino Linotype" w:eastAsia="Palatino Linotype" w:hAnsi="Palatino Linotype" w:cs="Palatino Linotype"/>
          <w:i/>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AB4F12">
        <w:rPr>
          <w:rFonts w:ascii="Palatino Linotype" w:eastAsia="Palatino Linotype" w:hAnsi="Palatino Linotype" w:cs="Palatino Linotype"/>
          <w:b/>
          <w:sz w:val="24"/>
          <w:szCs w:val="24"/>
        </w:rPr>
        <w:t xml:space="preserve">, </w:t>
      </w:r>
      <w:r w:rsidRPr="00AB4F12">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w:t>
      </w:r>
      <w:r w:rsidRPr="00AB4F12">
        <w:rPr>
          <w:rFonts w:ascii="Palatino Linotype" w:eastAsia="Palatino Linotype" w:hAnsi="Palatino Linotype" w:cs="Palatino Linotype"/>
          <w:b/>
          <w:sz w:val="24"/>
          <w:szCs w:val="24"/>
        </w:rPr>
        <w:t xml:space="preserve"> </w:t>
      </w:r>
      <w:r w:rsidRPr="00AB4F12">
        <w:rPr>
          <w:rFonts w:ascii="Palatino Linotype" w:eastAsia="Palatino Linotype" w:hAnsi="Palatino Linotype" w:cs="Palatino Linotype"/>
          <w:sz w:val="24"/>
          <w:szCs w:val="24"/>
        </w:rPr>
        <w:t>de instruir una búsqueda exhaustiva a todas y cada una de las áreas administrativas de las que se compone, que permitirá:</w:t>
      </w:r>
    </w:p>
    <w:p w:rsidR="004E2C55" w:rsidRPr="00AB4F12" w:rsidRDefault="004E2C55">
      <w:pPr>
        <w:spacing w:after="80" w:line="360" w:lineRule="auto"/>
        <w:jc w:val="both"/>
        <w:rPr>
          <w:rFonts w:ascii="Palatino Linotype" w:eastAsia="Palatino Linotype" w:hAnsi="Palatino Linotype" w:cs="Palatino Linotype"/>
          <w:sz w:val="24"/>
          <w:szCs w:val="24"/>
        </w:rPr>
      </w:pPr>
    </w:p>
    <w:p w:rsidR="004E2C55" w:rsidRPr="00AB4F12" w:rsidRDefault="00966F64">
      <w:pPr>
        <w:numPr>
          <w:ilvl w:val="0"/>
          <w:numId w:val="2"/>
        </w:numPr>
        <w:spacing w:before="80" w:after="24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Que se localice la documentación que contenga la información solicitada. En este caso habrá que señalar que de acuerdo con las disposiciones transcritas, </w:t>
      </w:r>
      <w:r w:rsidRPr="00AB4F12">
        <w:rPr>
          <w:rFonts w:ascii="Palatino Linotype" w:eastAsia="Palatino Linotype" w:hAnsi="Palatino Linotype" w:cs="Palatino Linotype"/>
          <w:color w:val="000000"/>
          <w:sz w:val="24"/>
          <w:szCs w:val="24"/>
        </w:rPr>
        <w:lastRenderedPageBreak/>
        <w:t>la información puede obrar en sus archivos ya sea porque la genera, la administra o simplemente la posee.</w:t>
      </w:r>
    </w:p>
    <w:p w:rsidR="004E2C55" w:rsidRPr="00AB4F12" w:rsidRDefault="00966F64">
      <w:pPr>
        <w:spacing w:before="240"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De actualizarse esta primera hipótesis, la información debe entregarse al </w:t>
      </w:r>
      <w:r w:rsidRPr="00AB4F12">
        <w:rPr>
          <w:rFonts w:ascii="Palatino Linotype" w:eastAsia="Palatino Linotype" w:hAnsi="Palatino Linotype" w:cs="Palatino Linotype"/>
          <w:b/>
          <w:i/>
          <w:sz w:val="24"/>
          <w:szCs w:val="24"/>
        </w:rPr>
        <w:t xml:space="preserve">Recurrente </w:t>
      </w:r>
      <w:r w:rsidRPr="00AB4F12">
        <w:rPr>
          <w:rFonts w:ascii="Palatino Linotype" w:eastAsia="Palatino Linotype" w:hAnsi="Palatino Linotype" w:cs="Palatino Linotype"/>
          <w:sz w:val="24"/>
          <w:szCs w:val="24"/>
        </w:rPr>
        <w:t>a través del o los documentos fuente.</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numPr>
          <w:ilvl w:val="0"/>
          <w:numId w:val="2"/>
        </w:num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Que no se localice documento alguno que contenga la información requerida, en este supuesto, el Comité de Transparencia deberá resolver la declaratoria de inexistencia de la información y notificarla al recurrente</w:t>
      </w:r>
      <w:r w:rsidRPr="00AB4F12">
        <w:rPr>
          <w:rFonts w:ascii="Palatino Linotype" w:eastAsia="Palatino Linotype" w:hAnsi="Palatino Linotype" w:cs="Palatino Linotype"/>
          <w:b/>
          <w:i/>
          <w:color w:val="000000"/>
          <w:sz w:val="24"/>
          <w:szCs w:val="24"/>
        </w:rPr>
        <w:t xml:space="preserve"> </w:t>
      </w:r>
      <w:r w:rsidRPr="00AB4F12">
        <w:rPr>
          <w:rFonts w:ascii="Palatino Linotype" w:eastAsia="Palatino Linotype" w:hAnsi="Palatino Linotype" w:cs="Palatino Linotype"/>
          <w:color w:val="000000"/>
          <w:sz w:val="24"/>
          <w:szCs w:val="24"/>
        </w:rPr>
        <w:t>y a este Pleno.</w:t>
      </w:r>
    </w:p>
    <w:p w:rsidR="004E2C55" w:rsidRPr="00AB4F12" w:rsidRDefault="00966F64">
      <w:pPr>
        <w:numPr>
          <w:ilvl w:val="0"/>
          <w:numId w:val="2"/>
        </w:numPr>
        <w:spacing w:after="0" w:line="360" w:lineRule="auto"/>
        <w:ind w:left="714" w:hanging="357"/>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Que se ordene siempre que sea materialmente posible, que se genere o reponga la información en caso de que ésta tuviera que existir, derivado del ejercicio de sus facultades.</w:t>
      </w:r>
    </w:p>
    <w:p w:rsidR="004E2C55" w:rsidRPr="00AB4F12" w:rsidRDefault="004E2C55">
      <w:pPr>
        <w:spacing w:after="0" w:line="360" w:lineRule="auto"/>
        <w:ind w:left="714"/>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4E2C55" w:rsidRPr="00AB4F12" w:rsidRDefault="004E2C55">
      <w:pPr>
        <w:spacing w:after="0" w:line="360" w:lineRule="auto"/>
        <w:jc w:val="both"/>
        <w:rPr>
          <w:rFonts w:ascii="Palatino Linotype" w:eastAsia="Palatino Linotype" w:hAnsi="Palatino Linotype" w:cs="Palatino Linotype"/>
          <w:sz w:val="24"/>
          <w:szCs w:val="24"/>
        </w:rPr>
      </w:pPr>
    </w:p>
    <w:tbl>
      <w:tblPr>
        <w:tblStyle w:val="a1"/>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-¿En qué portal se publican sus actas?</w:t>
            </w: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El Área Coordinadora de Archivos no cuenta con Actas.</w:t>
            </w:r>
          </w:p>
        </w:tc>
      </w:tr>
      <w:tr w:rsidR="004E2C55" w:rsidRPr="00AB4F12">
        <w:tc>
          <w:tcPr>
            <w:tcW w:w="5751" w:type="dxa"/>
            <w:tcBorders>
              <w:top w:val="single" w:sz="4" w:space="0" w:color="000000"/>
              <w:left w:val="single" w:sz="4" w:space="0" w:color="000000"/>
              <w:bottom w:val="single" w:sz="4" w:space="0" w:color="000000"/>
              <w:right w:val="single" w:sz="4" w:space="0" w:color="000000"/>
            </w:tcBorders>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lastRenderedPageBreak/>
              <w:t>¿Cuántas sesiones tienen hasta ahora en su SIA y donde las puedo consultar?</w:t>
            </w:r>
          </w:p>
        </w:tc>
        <w:tc>
          <w:tcPr>
            <w:tcW w:w="3077" w:type="dxa"/>
            <w:tcBorders>
              <w:top w:val="single" w:sz="4" w:space="0" w:color="000000"/>
              <w:left w:val="single" w:sz="4" w:space="0" w:color="000000"/>
              <w:bottom w:val="single" w:sz="4" w:space="0" w:color="000000"/>
              <w:right w:val="single" w:sz="4" w:space="0" w:color="000000"/>
            </w:tcBorders>
            <w:vAlign w:val="center"/>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El Área Coordinadora de Archivos no cuenta con actas del Sistema Institucional de Archivos por estar en proceso de capacitación por la Subdirección de Bibliotecas y Documentación del Estado de México.</w:t>
            </w:r>
          </w:p>
        </w:tc>
      </w:tr>
    </w:tbl>
    <w:p w:rsidR="004E2C55" w:rsidRPr="00AB4F12" w:rsidRDefault="004E2C55">
      <w:pPr>
        <w:spacing w:before="240"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lastRenderedPageBreak/>
        <w:t xml:space="preserve"> “</w:t>
      </w:r>
      <w:r w:rsidRPr="00AB4F12">
        <w:rPr>
          <w:rFonts w:ascii="Palatino Linotype" w:eastAsia="Palatino Linotype" w:hAnsi="Palatino Linotype" w:cs="Palatino Linotype"/>
          <w:b/>
          <w:i/>
        </w:rPr>
        <w:t>Artículo 11</w:t>
      </w:r>
      <w:r w:rsidRPr="00AB4F12">
        <w:rPr>
          <w:rFonts w:ascii="Palatino Linotype" w:eastAsia="Palatino Linotype" w:hAnsi="Palatino Linotype" w:cs="Palatino Linotype"/>
          <w:i/>
        </w:rPr>
        <w:t xml:space="preserve">. Los Sujetos Obligados </w:t>
      </w:r>
      <w:r w:rsidRPr="00AB4F12">
        <w:rPr>
          <w:rFonts w:ascii="Palatino Linotype" w:eastAsia="Palatino Linotype" w:hAnsi="Palatino Linotype" w:cs="Palatino Linotype"/>
          <w:b/>
          <w:i/>
          <w:u w:val="single"/>
        </w:rPr>
        <w:t>deberán:</w:t>
      </w:r>
    </w:p>
    <w:p w:rsidR="004E2C55" w:rsidRPr="00AB4F12" w:rsidRDefault="00966F64">
      <w:pPr>
        <w:spacing w:after="12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spacing w:before="120" w:after="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w:t>
      </w:r>
      <w:r w:rsidRPr="00AB4F12">
        <w:rPr>
          <w:rFonts w:ascii="Palatino Linotype" w:eastAsia="Palatino Linotype" w:hAnsi="Palatino Linotype" w:cs="Palatino Linotype"/>
          <w:i/>
        </w:rPr>
        <w:t>. Establecer un Sistema Institucional para la administración de sus Archivos y llevar a cabo los procesos de Gestión Documental;”</w:t>
      </w:r>
    </w:p>
    <w:p w:rsidR="004E2C55" w:rsidRPr="00AB4F12" w:rsidRDefault="004E2C55">
      <w:pPr>
        <w:spacing w:after="0" w:line="360" w:lineRule="auto"/>
        <w:ind w:left="1134" w:right="902"/>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rsidR="004E2C55" w:rsidRPr="00AB4F12" w:rsidRDefault="004E2C55">
      <w:pPr>
        <w:spacing w:after="0" w:line="360" w:lineRule="auto"/>
        <w:jc w:val="both"/>
        <w:rPr>
          <w:sz w:val="24"/>
          <w:szCs w:val="24"/>
        </w:rPr>
      </w:pPr>
    </w:p>
    <w:p w:rsidR="004E2C55" w:rsidRPr="00AB4F12" w:rsidRDefault="00966F64">
      <w:pPr>
        <w:spacing w:after="120"/>
        <w:ind w:left="1134"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I.</w:t>
      </w:r>
      <w:r w:rsidRPr="00AB4F12">
        <w:rPr>
          <w:rFonts w:ascii="Palatino Linotype" w:eastAsia="Palatino Linotype" w:hAnsi="Palatino Linotype" w:cs="Palatino Linotype"/>
          <w:i/>
        </w:rPr>
        <w:t xml:space="preserve"> Un Área Coordinadora de Archivos, y</w:t>
      </w:r>
    </w:p>
    <w:p w:rsidR="004E2C55" w:rsidRPr="00AB4F12" w:rsidRDefault="00966F64">
      <w:pPr>
        <w:spacing w:before="120" w:after="120"/>
        <w:ind w:left="1134"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w:t>
      </w:r>
      <w:r w:rsidRPr="00AB4F12">
        <w:rPr>
          <w:rFonts w:ascii="Palatino Linotype" w:eastAsia="Palatino Linotype" w:hAnsi="Palatino Linotype" w:cs="Palatino Linotype"/>
          <w:i/>
        </w:rPr>
        <w:t xml:space="preserve"> Las Áreas Operativas siguientes:</w:t>
      </w:r>
    </w:p>
    <w:p w:rsidR="004E2C55" w:rsidRPr="00AB4F12" w:rsidRDefault="00966F64">
      <w:pPr>
        <w:spacing w:before="120" w:after="120"/>
        <w:ind w:left="1418"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a)</w:t>
      </w:r>
      <w:r w:rsidRPr="00AB4F12">
        <w:rPr>
          <w:rFonts w:ascii="Palatino Linotype" w:eastAsia="Palatino Linotype" w:hAnsi="Palatino Linotype" w:cs="Palatino Linotype"/>
          <w:i/>
        </w:rPr>
        <w:t xml:space="preserve"> De correspondencia; </w:t>
      </w:r>
    </w:p>
    <w:p w:rsidR="004E2C55" w:rsidRPr="00AB4F12" w:rsidRDefault="00966F64">
      <w:pPr>
        <w:spacing w:before="120" w:after="120"/>
        <w:ind w:left="1418"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b)</w:t>
      </w:r>
      <w:r w:rsidRPr="00AB4F12">
        <w:rPr>
          <w:rFonts w:ascii="Palatino Linotype" w:eastAsia="Palatino Linotype" w:hAnsi="Palatino Linotype" w:cs="Palatino Linotype"/>
          <w:i/>
        </w:rPr>
        <w:t xml:space="preserve"> Archivo de Trámite, por área o unidad administrativa; </w:t>
      </w:r>
    </w:p>
    <w:p w:rsidR="004E2C55" w:rsidRPr="00AB4F12" w:rsidRDefault="00966F64">
      <w:pPr>
        <w:spacing w:before="120" w:after="120"/>
        <w:ind w:left="1418"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c)</w:t>
      </w:r>
      <w:r w:rsidRPr="00AB4F12">
        <w:rPr>
          <w:rFonts w:ascii="Palatino Linotype" w:eastAsia="Palatino Linotype" w:hAnsi="Palatino Linotype" w:cs="Palatino Linotype"/>
          <w:i/>
        </w:rPr>
        <w:t xml:space="preserve"> Archivo de Concentración, y </w:t>
      </w:r>
    </w:p>
    <w:p w:rsidR="004E2C55" w:rsidRPr="00AB4F12" w:rsidRDefault="00966F64">
      <w:pPr>
        <w:spacing w:before="120" w:after="0"/>
        <w:ind w:left="1418" w:right="900"/>
        <w:jc w:val="both"/>
        <w:rPr>
          <w:rFonts w:ascii="Palatino Linotype" w:eastAsia="Palatino Linotype" w:hAnsi="Palatino Linotype" w:cs="Palatino Linotype"/>
          <w:i/>
        </w:rPr>
      </w:pPr>
      <w:r w:rsidRPr="00AB4F12">
        <w:rPr>
          <w:rFonts w:ascii="Palatino Linotype" w:eastAsia="Palatino Linotype" w:hAnsi="Palatino Linotype" w:cs="Palatino Linotype"/>
          <w:b/>
          <w:i/>
        </w:rPr>
        <w:t>d)</w:t>
      </w:r>
      <w:r w:rsidRPr="00AB4F12">
        <w:rPr>
          <w:rFonts w:ascii="Palatino Linotype" w:eastAsia="Palatino Linotype" w:hAnsi="Palatino Linotype" w:cs="Palatino Linotype"/>
          <w:i/>
        </w:rPr>
        <w:t xml:space="preserve"> Archivo Histórico, en su caso, </w:t>
      </w:r>
      <w:r w:rsidRPr="00AB4F12">
        <w:rPr>
          <w:rFonts w:ascii="Palatino Linotype" w:eastAsia="Palatino Linotype" w:hAnsi="Palatino Linotype" w:cs="Palatino Linotype"/>
          <w:i/>
          <w:u w:val="single"/>
        </w:rPr>
        <w:t>sujeto a la capacidad presupuestal</w:t>
      </w:r>
      <w:r w:rsidRPr="00AB4F12">
        <w:rPr>
          <w:rFonts w:ascii="Palatino Linotype" w:eastAsia="Palatino Linotype" w:hAnsi="Palatino Linotype" w:cs="Palatino Linotype"/>
          <w:i/>
        </w:rPr>
        <w:t xml:space="preserve"> y técnica del Sujeto Obligado.</w:t>
      </w:r>
    </w:p>
    <w:p w:rsidR="004E2C55" w:rsidRPr="00AB4F12" w:rsidRDefault="004E2C55">
      <w:pPr>
        <w:spacing w:after="0" w:line="360" w:lineRule="auto"/>
        <w:ind w:right="900"/>
        <w:jc w:val="both"/>
        <w:rPr>
          <w:rFonts w:ascii="Palatino Linotype" w:eastAsia="Palatino Linotype" w:hAnsi="Palatino Linotype" w:cs="Palatino Linotype"/>
          <w:i/>
        </w:rPr>
      </w:pPr>
    </w:p>
    <w:p w:rsidR="004E2C55" w:rsidRPr="00AB4F12" w:rsidRDefault="00966F64">
      <w:pPr>
        <w:spacing w:after="0" w:line="360" w:lineRule="auto"/>
        <w:ind w:right="49"/>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sz w:val="24"/>
          <w:szCs w:val="24"/>
        </w:rPr>
        <w:t xml:space="preserve">Además de que el Sistema Institucional de Archivos se debió implementar el veintiséis de mayo de dos mil veintiuno, ya que a los seis meses de la entrada en vigor de Ley de Archivos y Administración de Documentos del Estado de México y Municipios (veintiséis de noviembre de dos mil veinte, este se debió generar, tal como se observa a continuación. </w:t>
      </w:r>
    </w:p>
    <w:p w:rsidR="004E2C55" w:rsidRPr="00AB4F12" w:rsidRDefault="004E2C55">
      <w:pPr>
        <w:spacing w:after="0" w:line="360" w:lineRule="auto"/>
        <w:ind w:left="1134" w:right="900"/>
        <w:jc w:val="both"/>
        <w:rPr>
          <w:rFonts w:ascii="Palatino Linotype" w:eastAsia="Palatino Linotype" w:hAnsi="Palatino Linotype" w:cs="Palatino Linotype"/>
          <w:i/>
          <w:color w:val="000000"/>
        </w:rPr>
      </w:pPr>
    </w:p>
    <w:p w:rsidR="004E2C55" w:rsidRPr="00AB4F12" w:rsidRDefault="00966F64">
      <w:pPr>
        <w:spacing w:after="0" w:line="360" w:lineRule="auto"/>
        <w:ind w:left="1134" w:right="900"/>
        <w:jc w:val="both"/>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lastRenderedPageBreak/>
        <w:t>LEY DE ARCHIVOS Y ADMINISTRACIÓN DE DOCUMENTOS DEL ESTADO DE MÉXICO Y MUNICIPIOS</w:t>
      </w:r>
    </w:p>
    <w:p w:rsidR="004E2C55" w:rsidRPr="00AB4F12" w:rsidRDefault="00966F64">
      <w:pPr>
        <w:spacing w:after="0" w:line="360" w:lineRule="auto"/>
        <w:ind w:left="1134" w:right="900"/>
        <w:jc w:val="both"/>
        <w:rPr>
          <w:rFonts w:ascii="Palatino Linotype" w:eastAsia="Palatino Linotype" w:hAnsi="Palatino Linotype" w:cs="Palatino Linotype"/>
          <w:sz w:val="24"/>
          <w:szCs w:val="24"/>
          <w:vertAlign w:val="superscript"/>
        </w:rPr>
      </w:pPr>
      <w:r w:rsidRPr="00AB4F12">
        <w:rPr>
          <w:rFonts w:ascii="Palatino Linotype" w:eastAsia="Palatino Linotype" w:hAnsi="Palatino Linotype" w:cs="Palatino Linotype"/>
          <w:i/>
          <w:color w:val="000000"/>
        </w:rPr>
        <w:t>OCTAVO. Los Sujetos Obligados deberán implementar su Sistema Institucional, dentro de los seis meses posteriores a la entrada en vigor de la presente Ley.</w:t>
      </w:r>
      <w:r w:rsidRPr="00AB4F12">
        <w:rPr>
          <w:rFonts w:ascii="Palatino Linotype" w:eastAsia="Palatino Linotype" w:hAnsi="Palatino Linotype" w:cs="Palatino Linotype"/>
          <w:sz w:val="24"/>
          <w:szCs w:val="24"/>
          <w:vertAlign w:val="superscript"/>
        </w:rPr>
        <w:t xml:space="preserve"> </w:t>
      </w:r>
      <w:r w:rsidRPr="00AB4F12">
        <w:rPr>
          <w:rFonts w:ascii="Palatino Linotype" w:eastAsia="Palatino Linotype" w:hAnsi="Palatino Linotype" w:cs="Palatino Linotype"/>
          <w:sz w:val="24"/>
          <w:szCs w:val="24"/>
          <w:vertAlign w:val="superscript"/>
        </w:rPr>
        <w:footnoteReference w:id="3"/>
      </w: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Sin embargo, en respuesta menciona que no ha generado actas, por lo que se deduce que no cuenta con acta mediante la cual se implementó el Sistema Institucional de Archivos y las demás que se pudieron haber generado por su integración, por el que se ordena el acuerdo de inexistencia bajo las consideraciones antes señaladas de las actas que se generan por el Sistema Institucional de Archivos. </w:t>
      </w:r>
    </w:p>
    <w:p w:rsidR="004E2C55" w:rsidRPr="00AB4F12" w:rsidRDefault="004E2C55">
      <w:pPr>
        <w:spacing w:after="240" w:line="360" w:lineRule="auto"/>
        <w:jc w:val="both"/>
        <w:rPr>
          <w:rFonts w:ascii="Palatino Linotype" w:eastAsia="Palatino Linotype" w:hAnsi="Palatino Linotype" w:cs="Palatino Linotype"/>
          <w:sz w:val="24"/>
          <w:szCs w:val="24"/>
        </w:rPr>
      </w:pPr>
    </w:p>
    <w:tbl>
      <w:tblPr>
        <w:tblStyle w:val="a2"/>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¿Cuentan con CGCA y CADIDO? (de ser el caso donde podemos consultarlos).</w:t>
            </w: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El Área Coordinadora de Archivos no cuenta con Cuadro General de Clasificación Archivística y Catálogo de Disposición Documental por estar en proceso de capacitación por la Subdirección de Bibliotecas y Documentación del Estado de México.</w:t>
            </w:r>
          </w:p>
        </w:tc>
      </w:tr>
    </w:tbl>
    <w:p w:rsidR="004E2C55" w:rsidRPr="00AB4F12" w:rsidRDefault="004E2C55">
      <w:pPr>
        <w:spacing w:before="240"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el mismo orden de ideas, el artículo 13 de la Ley General de Archivos y su homólogo de la Ley de Archivos y Administración de Documentos del Estado de 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w:t>
      </w:r>
      <w:r w:rsidRPr="00AB4F12">
        <w:rPr>
          <w:rFonts w:ascii="Palatino Linotype" w:eastAsia="Palatino Linotype" w:hAnsi="Palatino Linotype" w:cs="Palatino Linotype"/>
          <w:sz w:val="24"/>
          <w:szCs w:val="24"/>
        </w:rPr>
        <w:lastRenderedPageBreak/>
        <w:t>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b/>
          <w:sz w:val="24"/>
          <w:szCs w:val="24"/>
        </w:rPr>
        <w:t>Fondo:</w:t>
      </w:r>
      <w:r w:rsidRPr="00AB4F12">
        <w:rPr>
          <w:rFonts w:ascii="Palatino Linotype" w:eastAsia="Palatino Linotype" w:hAnsi="Palatino Linotype" w:cs="Palatino Linotype"/>
          <w:sz w:val="24"/>
          <w:szCs w:val="24"/>
        </w:rPr>
        <w:t xml:space="preserve"> Es definido como el conjunto de documentos producidos orgánicamente por un sujeto obligado que se identifica con el nombre de este último (artículo 4, fracción XXXIII de la Ley General de Archivos), es decir; Fondo: Sistema Municipal Para el Desarrollo Integral de la Familia de Lerma.</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 xml:space="preserve">∙ </w:t>
      </w:r>
      <w:r w:rsidRPr="00AB4F12">
        <w:rPr>
          <w:rFonts w:ascii="Palatino Linotype" w:eastAsia="Palatino Linotype" w:hAnsi="Palatino Linotype" w:cs="Palatino Linotype"/>
          <w:b/>
          <w:sz w:val="24"/>
          <w:szCs w:val="24"/>
        </w:rPr>
        <w:t>Sección:</w:t>
      </w:r>
      <w:r w:rsidRPr="00AB4F12">
        <w:rPr>
          <w:rFonts w:ascii="Palatino Linotype" w:eastAsia="Palatino Linotype" w:hAnsi="Palatino Linotype" w:cs="Palatino Linotype"/>
          <w:sz w:val="24"/>
          <w:szCs w:val="24"/>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Área Coordinadora de Archivos.</w:t>
      </w: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b/>
          <w:sz w:val="24"/>
          <w:szCs w:val="24"/>
        </w:rPr>
        <w:t>Serie:</w:t>
      </w:r>
      <w:r w:rsidRPr="00AB4F12">
        <w:rPr>
          <w:rFonts w:ascii="Palatino Linotype" w:eastAsia="Palatino Linotype" w:hAnsi="Palatino Linotype" w:cs="Palatino Linotype"/>
          <w:sz w:val="24"/>
          <w:szCs w:val="24"/>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 ∙ </w:t>
      </w:r>
      <w:r w:rsidRPr="00AB4F12">
        <w:rPr>
          <w:rFonts w:ascii="Palatino Linotype" w:eastAsia="Palatino Linotype" w:hAnsi="Palatino Linotype" w:cs="Palatino Linotype"/>
          <w:b/>
          <w:sz w:val="24"/>
          <w:szCs w:val="24"/>
        </w:rPr>
        <w:t>Expediente:</w:t>
      </w:r>
      <w:r w:rsidRPr="00AB4F12">
        <w:rPr>
          <w:rFonts w:ascii="Palatino Linotype" w:eastAsia="Palatino Linotype" w:hAnsi="Palatino Linotype" w:cs="Palatino Linotype"/>
          <w:sz w:val="24"/>
          <w:szCs w:val="24"/>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Ahora bien </w:t>
      </w:r>
      <w:r w:rsidRPr="00AB4F12">
        <w:rPr>
          <w:rFonts w:ascii="Palatino Linotype" w:eastAsia="Palatino Linotype" w:hAnsi="Palatino Linotype" w:cs="Palatino Linotype"/>
          <w:color w:val="000000"/>
          <w:sz w:val="24"/>
          <w:szCs w:val="24"/>
        </w:rPr>
        <w:t xml:space="preserve">los Lineamientos  para la Organización y Conservación de Archivos del Sistema Nacional de Transparencia, Acceso a la Información Pública y Protección de Datos Personales </w:t>
      </w:r>
      <w:r w:rsidRPr="00AB4F12">
        <w:rPr>
          <w:rFonts w:ascii="Palatino Linotype" w:eastAsia="Palatino Linotype" w:hAnsi="Palatino Linotype" w:cs="Palatino Linotype"/>
          <w:sz w:val="24"/>
          <w:szCs w:val="24"/>
        </w:rPr>
        <w:t xml:space="preserve">, los cuales se insertan a continuación: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24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“Décimo tercero. </w:t>
      </w:r>
      <w:r w:rsidRPr="00AB4F12">
        <w:rPr>
          <w:rFonts w:ascii="Palatino Linotype" w:eastAsia="Palatino Linotype" w:hAnsi="Palatino Linotype" w:cs="Palatino Linotype"/>
          <w:b/>
          <w:i/>
          <w:u w:val="single"/>
        </w:rPr>
        <w:t>Los Sujetos obligados, a través de sus áreas coordinadoras de archivos, deberán elaborar los Instrumentos de control y consulta archivísticos</w:t>
      </w:r>
      <w:r w:rsidRPr="00AB4F12">
        <w:rPr>
          <w:rFonts w:ascii="Palatino Linotype" w:eastAsia="Palatino Linotype" w:hAnsi="Palatino Linotype" w:cs="Palatino Linotype"/>
          <w:i/>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rsidR="004E2C55" w:rsidRPr="00AB4F12" w:rsidRDefault="00966F64">
      <w:pPr>
        <w:spacing w:before="240" w:after="240" w:line="240" w:lineRule="auto"/>
        <w:ind w:left="567" w:right="709"/>
        <w:jc w:val="both"/>
        <w:rPr>
          <w:rFonts w:ascii="Palatino Linotype" w:eastAsia="Palatino Linotype" w:hAnsi="Palatino Linotype" w:cs="Palatino Linotype"/>
          <w:b/>
          <w:i/>
          <w:u w:val="single"/>
        </w:rPr>
      </w:pPr>
      <w:r w:rsidRPr="00AB4F12">
        <w:rPr>
          <w:rFonts w:ascii="Palatino Linotype" w:eastAsia="Palatino Linotype" w:hAnsi="Palatino Linotype" w:cs="Palatino Linotype"/>
          <w:b/>
          <w:i/>
        </w:rPr>
        <w:t>I.</w:t>
      </w:r>
      <w:r w:rsidRPr="00AB4F12">
        <w:rPr>
          <w:rFonts w:ascii="Palatino Linotype" w:eastAsia="Palatino Linotype" w:hAnsi="Palatino Linotype" w:cs="Palatino Linotype"/>
          <w:i/>
        </w:rPr>
        <w:t>  </w:t>
      </w:r>
      <w:r w:rsidRPr="00AB4F12">
        <w:rPr>
          <w:rFonts w:ascii="Palatino Linotype" w:eastAsia="Palatino Linotype" w:hAnsi="Palatino Linotype" w:cs="Palatino Linotype"/>
          <w:b/>
          <w:i/>
          <w:u w:val="single"/>
        </w:rPr>
        <w:t>Cuadro general de clasificación archivística;</w:t>
      </w:r>
    </w:p>
    <w:p w:rsidR="004E2C55" w:rsidRPr="00AB4F12" w:rsidRDefault="00966F64">
      <w:pPr>
        <w:spacing w:before="240" w:after="240" w:line="240" w:lineRule="auto"/>
        <w:ind w:left="567" w:right="709"/>
        <w:jc w:val="both"/>
        <w:rPr>
          <w:rFonts w:ascii="Palatino Linotype" w:eastAsia="Palatino Linotype" w:hAnsi="Palatino Linotype" w:cs="Palatino Linotype"/>
          <w:b/>
          <w:i/>
          <w:u w:val="single"/>
        </w:rPr>
      </w:pPr>
      <w:r w:rsidRPr="00AB4F12">
        <w:rPr>
          <w:rFonts w:ascii="Palatino Linotype" w:eastAsia="Palatino Linotype" w:hAnsi="Palatino Linotype" w:cs="Palatino Linotype"/>
          <w:b/>
          <w:i/>
          <w:u w:val="single"/>
        </w:rPr>
        <w:t>II. Catálogo de disposición documental, y</w:t>
      </w:r>
    </w:p>
    <w:p w:rsidR="004E2C55" w:rsidRPr="00AB4F12" w:rsidRDefault="00966F64">
      <w:pPr>
        <w:spacing w:before="240" w:after="24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III.</w:t>
      </w:r>
      <w:r w:rsidRPr="00AB4F12">
        <w:rPr>
          <w:rFonts w:ascii="Palatino Linotype" w:eastAsia="Palatino Linotype" w:hAnsi="Palatino Linotype" w:cs="Palatino Linotype"/>
          <w:i/>
        </w:rPr>
        <w:t>  Inventarios documentales:</w:t>
      </w:r>
    </w:p>
    <w:p w:rsidR="004E2C55" w:rsidRPr="00AB4F12" w:rsidRDefault="00966F64">
      <w:pPr>
        <w:spacing w:before="240" w:after="24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a)</w:t>
      </w:r>
      <w:r w:rsidRPr="00AB4F12">
        <w:rPr>
          <w:rFonts w:ascii="Palatino Linotype" w:eastAsia="Palatino Linotype" w:hAnsi="Palatino Linotype" w:cs="Palatino Linotype"/>
          <w:i/>
        </w:rPr>
        <w:t> General;</w:t>
      </w:r>
    </w:p>
    <w:p w:rsidR="004E2C55" w:rsidRPr="00AB4F12" w:rsidRDefault="00966F64">
      <w:pPr>
        <w:spacing w:before="240" w:after="240"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b)</w:t>
      </w:r>
      <w:r w:rsidRPr="00AB4F12">
        <w:rPr>
          <w:rFonts w:ascii="Palatino Linotype" w:eastAsia="Palatino Linotype" w:hAnsi="Palatino Linotype" w:cs="Palatino Linotype"/>
          <w:i/>
        </w:rPr>
        <w:t> De transferencia, y</w:t>
      </w:r>
    </w:p>
    <w:p w:rsidR="004E2C55" w:rsidRPr="00AB4F12" w:rsidRDefault="00966F64">
      <w:pPr>
        <w:spacing w:before="240" w:after="24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c)</w:t>
      </w:r>
      <w:r w:rsidRPr="00AB4F12">
        <w:rPr>
          <w:rFonts w:ascii="Palatino Linotype" w:eastAsia="Palatino Linotype" w:hAnsi="Palatino Linotype" w:cs="Palatino Linotype"/>
          <w:i/>
        </w:rPr>
        <w:t> De baja.</w:t>
      </w:r>
    </w:p>
    <w:p w:rsidR="004E2C55" w:rsidRPr="00AB4F12" w:rsidRDefault="00966F64">
      <w:pPr>
        <w:spacing w:before="240" w:after="240" w:line="240" w:lineRule="auto"/>
        <w:ind w:left="567" w:right="709"/>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t>…</w:t>
      </w:r>
    </w:p>
    <w:p w:rsidR="004E2C55" w:rsidRPr="00AB4F12" w:rsidRDefault="00966F64">
      <w:pPr>
        <w:spacing w:before="240" w:after="24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Décimo. </w:t>
      </w:r>
      <w:r w:rsidRPr="00AB4F12">
        <w:rPr>
          <w:rFonts w:ascii="Palatino Linotype" w:eastAsia="Palatino Linotype" w:hAnsi="Palatino Linotype" w:cs="Palatino Linotype"/>
          <w:i/>
        </w:rPr>
        <w:t>Las funciones de las áreas normativas son las siguientes:</w:t>
      </w:r>
    </w:p>
    <w:p w:rsidR="004E2C55" w:rsidRPr="00AB4F12" w:rsidRDefault="00966F64">
      <w:pPr>
        <w:spacing w:before="240" w:after="240" w:line="240" w:lineRule="auto"/>
        <w:ind w:left="567" w:right="709"/>
        <w:jc w:val="both"/>
        <w:rPr>
          <w:rFonts w:ascii="Palatino Linotype" w:eastAsia="Palatino Linotype" w:hAnsi="Palatino Linotype" w:cs="Palatino Linotype"/>
          <w:b/>
          <w:i/>
          <w:u w:val="single"/>
        </w:rPr>
      </w:pPr>
      <w:r w:rsidRPr="00AB4F12">
        <w:rPr>
          <w:rFonts w:ascii="Palatino Linotype" w:eastAsia="Palatino Linotype" w:hAnsi="Palatino Linotype" w:cs="Palatino Linotype"/>
          <w:b/>
          <w:i/>
          <w:u w:val="single"/>
        </w:rPr>
        <w:t>II. Comité de transparencia:</w:t>
      </w:r>
    </w:p>
    <w:p w:rsidR="004E2C55" w:rsidRPr="00AB4F12" w:rsidRDefault="00966F64">
      <w:pPr>
        <w:spacing w:before="240" w:after="0" w:line="240"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u w:val="single"/>
        </w:rPr>
        <w:t>a) Aprobar</w:t>
      </w:r>
      <w:r w:rsidRPr="00AB4F12">
        <w:rPr>
          <w:rFonts w:ascii="Palatino Linotype" w:eastAsia="Palatino Linotype" w:hAnsi="Palatino Linotype" w:cs="Palatino Linotype"/>
          <w:i/>
        </w:rPr>
        <w:t xml:space="preserve"> las políticas, manuales e </w:t>
      </w:r>
      <w:r w:rsidRPr="00AB4F12">
        <w:rPr>
          <w:rFonts w:ascii="Palatino Linotype" w:eastAsia="Palatino Linotype" w:hAnsi="Palatino Linotype" w:cs="Palatino Linotype"/>
          <w:b/>
          <w:i/>
          <w:u w:val="single"/>
        </w:rPr>
        <w:t xml:space="preserve">instrumentos archivísticos formulados por el área coordinadora de archivos;” </w:t>
      </w:r>
      <w:r w:rsidRPr="00AB4F12">
        <w:rPr>
          <w:rFonts w:ascii="Palatino Linotype" w:eastAsia="Palatino Linotype" w:hAnsi="Palatino Linotype" w:cs="Palatino Linotype"/>
          <w:i/>
        </w:rPr>
        <w:t>(Sic) (Énfasis añadido)</w:t>
      </w:r>
    </w:p>
    <w:p w:rsidR="004E2C55" w:rsidRPr="00AB4F12" w:rsidRDefault="004E2C55">
      <w:pPr>
        <w:spacing w:after="0" w:line="276" w:lineRule="auto"/>
        <w:ind w:left="567" w:right="709"/>
        <w:jc w:val="both"/>
        <w:rPr>
          <w:rFonts w:ascii="Palatino Linotype" w:eastAsia="Palatino Linotype" w:hAnsi="Palatino Linotype" w:cs="Palatino Linotype"/>
          <w:i/>
          <w:sz w:val="24"/>
          <w:szCs w:val="24"/>
        </w:rPr>
      </w:pPr>
    </w:p>
    <w:p w:rsidR="004E2C55" w:rsidRPr="00AB4F12" w:rsidRDefault="00966F64">
      <w:pPr>
        <w:spacing w:after="0"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b/>
          <w:i/>
        </w:rPr>
        <w:t>Quinto.</w:t>
      </w:r>
      <w:r w:rsidRPr="00AB4F12">
        <w:rPr>
          <w:rFonts w:ascii="Palatino Linotype" w:eastAsia="Palatino Linotype" w:hAnsi="Palatino Linotype" w:cs="Palatino Linotype"/>
          <w:i/>
        </w:rPr>
        <w:t xml:space="preserve"> Los Sujetos obligados que no cuenten con los instrumentos de control y consulta archivísticos deberán elaborarlos a más tardar a los 12 meses posteriores a la entrada en vigor de los presentes Lineamientos.</w:t>
      </w:r>
      <w:r w:rsidRPr="00AB4F12">
        <w:rPr>
          <w:rFonts w:ascii="Palatino Linotype" w:eastAsia="Palatino Linotype" w:hAnsi="Palatino Linotype" w:cs="Palatino Linotype"/>
          <w:sz w:val="24"/>
          <w:szCs w:val="24"/>
          <w:vertAlign w:val="superscript"/>
        </w:rPr>
        <w:t xml:space="preserve"> </w:t>
      </w:r>
      <w:r w:rsidRPr="00AB4F12">
        <w:rPr>
          <w:rFonts w:ascii="Palatino Linotype" w:eastAsia="Palatino Linotype" w:hAnsi="Palatino Linotype" w:cs="Palatino Linotype"/>
          <w:sz w:val="24"/>
          <w:szCs w:val="24"/>
          <w:vertAlign w:val="superscript"/>
        </w:rPr>
        <w:footnoteReference w:id="4"/>
      </w:r>
    </w:p>
    <w:p w:rsidR="004E2C55" w:rsidRPr="00AB4F12" w:rsidRDefault="004E2C55">
      <w:pPr>
        <w:spacing w:after="0" w:line="360" w:lineRule="auto"/>
        <w:ind w:left="567" w:right="709"/>
        <w:jc w:val="both"/>
        <w:rPr>
          <w:rFonts w:ascii="Palatino Linotype" w:eastAsia="Palatino Linotype" w:hAnsi="Palatino Linotype" w:cs="Palatino Linotype"/>
          <w:i/>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 xml:space="preserve">Es por lo anterior que se considera que si 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ya cuenta con un cuadro general de clasificación archivística, este debió aprobarse por el Comité de Transparencia, sin embargo, en su respuesta argumento que no cuenta con un Cuadro General de Clasificación Archivística motivo por el que se ordena declaratoria formal de la inexistencia de la información, bajo las consideraciones antes mencionadas. </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u w:val="single"/>
        </w:rPr>
      </w:pPr>
      <w:r w:rsidRPr="00AB4F12">
        <w:rPr>
          <w:rFonts w:ascii="Palatino Linotype" w:eastAsia="Palatino Linotype" w:hAnsi="Palatino Linotype" w:cs="Palatino Linotype"/>
          <w:color w:val="000000"/>
          <w:sz w:val="24"/>
          <w:szCs w:val="24"/>
        </w:rPr>
        <w:t xml:space="preserve">Por lo que corresponde al </w:t>
      </w:r>
      <w:r w:rsidRPr="00AB4F12">
        <w:rPr>
          <w:rFonts w:ascii="Palatino Linotype" w:eastAsia="Palatino Linotype" w:hAnsi="Palatino Linotype" w:cs="Palatino Linotype"/>
          <w:color w:val="000000"/>
          <w:sz w:val="24"/>
          <w:szCs w:val="24"/>
          <w:u w:val="single"/>
        </w:rPr>
        <w:t>catálogo de disposición documental</w:t>
      </w:r>
      <w:r w:rsidRPr="00AB4F12">
        <w:rPr>
          <w:rFonts w:ascii="Palatino Linotype" w:eastAsia="Palatino Linotype" w:hAnsi="Palatino Linotype" w:cs="Palatino Linotype"/>
          <w:color w:val="000000"/>
          <w:sz w:val="24"/>
          <w:szCs w:val="24"/>
        </w:rPr>
        <w:t xml:space="preserve"> </w:t>
      </w:r>
      <w:r w:rsidRPr="00AB4F12">
        <w:rPr>
          <w:rFonts w:ascii="Palatino Linotype" w:eastAsia="Palatino Linotype" w:hAnsi="Palatino Linotype" w:cs="Palatino Linotype"/>
          <w:sz w:val="24"/>
          <w:szCs w:val="24"/>
        </w:rPr>
        <w:t xml:space="preserve">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RPr="00AB4F12">
        <w:rPr>
          <w:rFonts w:ascii="Palatino Linotype" w:eastAsia="Palatino Linotype" w:hAnsi="Palatino Linotype" w:cs="Palatino Linotype"/>
          <w:sz w:val="24"/>
          <w:szCs w:val="24"/>
          <w:u w:val="single"/>
        </w:rPr>
        <w:t>Catálogo de Disposición Documental.</w:t>
      </w:r>
    </w:p>
    <w:p w:rsidR="004E2C55" w:rsidRPr="00AB4F12" w:rsidRDefault="004E2C55">
      <w:pPr>
        <w:spacing w:after="0" w:line="360" w:lineRule="auto"/>
        <w:jc w:val="both"/>
        <w:rPr>
          <w:rFonts w:ascii="Palatino Linotype" w:eastAsia="Palatino Linotype" w:hAnsi="Palatino Linotype" w:cs="Palatino Linotype"/>
          <w:sz w:val="24"/>
          <w:szCs w:val="24"/>
          <w:u w:val="single"/>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 </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“Artículo 92.</w:t>
      </w:r>
      <w:r w:rsidRPr="00AB4F12">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w:t>
      </w:r>
      <w:r w:rsidRPr="00AB4F12">
        <w:rPr>
          <w:rFonts w:ascii="Palatino Linotype" w:eastAsia="Palatino Linotype" w:hAnsi="Palatino Linotype" w:cs="Palatino Linotype"/>
          <w:i/>
        </w:rPr>
        <w:lastRenderedPageBreak/>
        <w:t>funciones u objeto social, según corresponda, la información, por lo menos, de los temas, documentos y políticas que a continuación se señalan:</w:t>
      </w:r>
    </w:p>
    <w:p w:rsidR="004E2C55" w:rsidRPr="00AB4F12" w:rsidRDefault="00966F64">
      <w:pPr>
        <w:spacing w:before="120" w:after="12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spacing w:before="120" w:after="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XLIX.</w:t>
      </w:r>
      <w:r w:rsidRPr="00AB4F12">
        <w:rPr>
          <w:rFonts w:ascii="Palatino Linotype" w:eastAsia="Palatino Linotype" w:hAnsi="Palatino Linotype" w:cs="Palatino Linotype"/>
          <w:i/>
        </w:rPr>
        <w:t xml:space="preserve"> El catálogo de disposición y guía de archivo documental;”</w:t>
      </w:r>
    </w:p>
    <w:p w:rsidR="004E2C55" w:rsidRPr="00AB4F12" w:rsidRDefault="004E2C55">
      <w:pPr>
        <w:spacing w:after="0" w:line="360" w:lineRule="auto"/>
        <w:ind w:left="1134" w:right="902"/>
        <w:jc w:val="both"/>
        <w:rPr>
          <w:rFonts w:ascii="Palatino Linotype" w:eastAsia="Palatino Linotype" w:hAnsi="Palatino Linotype" w:cs="Palatino Linotype"/>
          <w:i/>
        </w:rPr>
      </w:pPr>
    </w:p>
    <w:p w:rsidR="004E2C55" w:rsidRPr="00AB4F12" w:rsidRDefault="00966F64">
      <w:pPr>
        <w:spacing w:after="0" w:line="360" w:lineRule="auto"/>
        <w:jc w:val="both"/>
        <w:rPr>
          <w:rFonts w:ascii="Palatino Linotype" w:eastAsia="Palatino Linotype" w:hAnsi="Palatino Linotype" w:cs="Palatino Linotype"/>
          <w:sz w:val="24"/>
          <w:szCs w:val="24"/>
        </w:rPr>
      </w:pPr>
      <w:bookmarkStart w:id="1" w:name="_heading=h.2xcytpi" w:colFirst="0" w:colLast="0"/>
      <w:bookmarkEnd w:id="1"/>
      <w:r w:rsidRPr="00AB4F12">
        <w:rPr>
          <w:rFonts w:ascii="Palatino Linotype" w:eastAsia="Palatino Linotype" w:hAnsi="Palatino Linotype" w:cs="Palatino Linotype"/>
          <w:sz w:val="24"/>
          <w:szCs w:val="24"/>
        </w:rPr>
        <w:t xml:space="preserve">Siendo evidente que 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debe contar con el catálogo de disposición documental.</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Es de resaltar que en caso de que no se cuenten con los instrumentos de control y consulta archivísticos como es el Cuadro General de Clasificación Archivística y el Catálogo de Disposición Documental deberán elaborarlos a más tardar a los 12 meses posteriores a la entrada en vigor de los Lineamientos referidos, siendo que la entrada en vigor fue el cuatro de mayo de dos mil dieciséis, teniendo como fecha límite el cuatro de mayo de dos mil diecisiete para contar con su Cuadro General de Clasificación Archivística y el Catálogo de Disposición Documental, sin embargo en respuesta refiere que no cuenta con el catálogo de disposición documental, por lo que, se deberá emitir la declaratoria formal de inexistencia, en los términos precisados en líneas anteriores.</w:t>
      </w:r>
    </w:p>
    <w:p w:rsidR="004E2C55" w:rsidRPr="00AB4F12" w:rsidRDefault="004E2C55">
      <w:pPr>
        <w:spacing w:line="360" w:lineRule="auto"/>
        <w:jc w:val="both"/>
        <w:rPr>
          <w:rFonts w:ascii="Palatino Linotype" w:eastAsia="Palatino Linotype" w:hAnsi="Palatino Linotype" w:cs="Palatino Linotype"/>
          <w:color w:val="000000"/>
          <w:sz w:val="24"/>
          <w:szCs w:val="24"/>
        </w:rPr>
      </w:pPr>
    </w:p>
    <w:tbl>
      <w:tblPr>
        <w:tblStyle w:val="a3"/>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¿Dónde podemos consultar a los responsables de AT y al responsable del ACA.??</w:t>
            </w:r>
          </w:p>
          <w:p w:rsidR="004E2C55" w:rsidRPr="00AB4F12" w:rsidRDefault="004E2C55">
            <w:pPr>
              <w:spacing w:before="240" w:after="240"/>
              <w:jc w:val="both"/>
              <w:rPr>
                <w:rFonts w:ascii="Palatino Linotype" w:eastAsia="Palatino Linotype" w:hAnsi="Palatino Linotype" w:cs="Palatino Linotype"/>
                <w:color w:val="000000"/>
                <w:sz w:val="18"/>
                <w:szCs w:val="18"/>
              </w:rPr>
            </w:pP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lastRenderedPageBreak/>
              <w:t xml:space="preserve">Hace entrega de una liga electrónica en el que refiere que puede </w:t>
            </w:r>
            <w:r w:rsidRPr="00AB4F12">
              <w:rPr>
                <w:rFonts w:ascii="Palatino Linotype" w:eastAsia="Palatino Linotype" w:hAnsi="Palatino Linotype" w:cs="Palatino Linotype"/>
                <w:sz w:val="18"/>
                <w:szCs w:val="18"/>
              </w:rPr>
              <w:lastRenderedPageBreak/>
              <w:t>encontrar al responsable del Área de Archivo.</w:t>
            </w:r>
          </w:p>
        </w:tc>
      </w:tr>
    </w:tbl>
    <w:p w:rsidR="004E2C55" w:rsidRPr="00AB4F12" w:rsidRDefault="004E2C55">
      <w:pPr>
        <w:spacing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En primera instancia es de señalar que se logra interpretar que AT y ACA es el Archivo de Trámite y Área Coordinadora de Archivos, por lo que </w:t>
      </w:r>
      <w:r w:rsidRPr="00AB4F12">
        <w:rPr>
          <w:rFonts w:ascii="Palatino Linotype" w:eastAsia="Palatino Linotype" w:hAnsi="Palatino Linotype" w:cs="Palatino Linotype"/>
          <w:b/>
          <w:color w:val="000000"/>
          <w:sz w:val="24"/>
          <w:szCs w:val="24"/>
        </w:rPr>
        <w:t xml:space="preserve">EL RECURRENTE </w:t>
      </w:r>
      <w:r w:rsidRPr="00AB4F12">
        <w:rPr>
          <w:rFonts w:ascii="Palatino Linotype" w:eastAsia="Palatino Linotype" w:hAnsi="Palatino Linotype" w:cs="Palatino Linotype"/>
          <w:color w:val="000000"/>
          <w:sz w:val="24"/>
          <w:szCs w:val="24"/>
        </w:rPr>
        <w:t>requiere saber el nombre de los responsables del Archivo de Trámite y Área Coordinadora de Archivos.</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Por lo que es de precisar que en este apartado de la solicitud, hace entrega de una liga electrónica, e</w:t>
      </w:r>
      <w:r w:rsidRPr="00AB4F12">
        <w:rPr>
          <w:rFonts w:ascii="Palatino Linotype" w:eastAsia="Palatino Linotype" w:hAnsi="Palatino Linotype" w:cs="Palatino Linotype"/>
          <w:sz w:val="24"/>
          <w:szCs w:val="24"/>
        </w:rPr>
        <w:t>n tal contexto, en primer lugar, debemos traer a colación el artículo 161</w:t>
      </w:r>
      <w:r w:rsidRPr="00AB4F12">
        <w:rPr>
          <w:rFonts w:ascii="Palatino Linotype" w:eastAsia="Palatino Linotype" w:hAnsi="Palatino Linotype" w:cs="Palatino Linotype"/>
          <w:sz w:val="24"/>
          <w:szCs w:val="24"/>
          <w:vertAlign w:val="superscript"/>
        </w:rPr>
        <w:footnoteReference w:id="5"/>
      </w:r>
      <w:r w:rsidRPr="00AB4F12">
        <w:rPr>
          <w:rFonts w:ascii="Palatino Linotype" w:eastAsia="Palatino Linotype" w:hAnsi="Palatino Linotype" w:cs="Palatino Linotype"/>
          <w:sz w:val="24"/>
          <w:szCs w:val="24"/>
        </w:rPr>
        <w:t xml:space="preserve"> de la Ley de Transparencia y Acceso a la Información Pública del Estado de México y Municipios</w:t>
      </w:r>
      <w:r w:rsidRPr="00AB4F12">
        <w:rPr>
          <w:rFonts w:ascii="Palatino Linotype" w:eastAsia="Palatino Linotype" w:hAnsi="Palatino Linotype" w:cs="Palatino Linotype"/>
          <w:i/>
          <w:sz w:val="24"/>
          <w:szCs w:val="24"/>
        </w:rPr>
        <w:t xml:space="preserve">, </w:t>
      </w:r>
      <w:r w:rsidRPr="00AB4F12">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4E2C55" w:rsidRPr="00AB4F12" w:rsidRDefault="00966F64">
      <w:pPr>
        <w:spacing w:before="160"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 La fuente</w:t>
      </w:r>
    </w:p>
    <w:p w:rsidR="004E2C55" w:rsidRPr="00AB4F12" w:rsidRDefault="00966F64">
      <w:pPr>
        <w:spacing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lastRenderedPageBreak/>
        <w:t>b) El lugar y</w:t>
      </w:r>
    </w:p>
    <w:p w:rsidR="004E2C55" w:rsidRPr="00AB4F12" w:rsidRDefault="00966F64">
      <w:pPr>
        <w:spacing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c) La forma</w:t>
      </w:r>
    </w:p>
    <w:p w:rsidR="004E2C55" w:rsidRPr="00AB4F12" w:rsidRDefault="004E2C55">
      <w:pPr>
        <w:spacing w:after="0" w:line="360" w:lineRule="auto"/>
        <w:ind w:left="284" w:right="49"/>
        <w:jc w:val="both"/>
        <w:rPr>
          <w:rFonts w:ascii="Palatino Linotype" w:eastAsia="Palatino Linotype" w:hAnsi="Palatino Linotype" w:cs="Palatino Linotype"/>
          <w:sz w:val="24"/>
          <w:szCs w:val="24"/>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Asimismo, se establece que la fuente de la información deberá ser:</w:t>
      </w:r>
    </w:p>
    <w:p w:rsidR="004E2C55" w:rsidRPr="00AB4F12" w:rsidRDefault="00966F64">
      <w:pPr>
        <w:spacing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 Precisa</w:t>
      </w:r>
    </w:p>
    <w:p w:rsidR="004E2C55" w:rsidRPr="00AB4F12" w:rsidRDefault="00966F64">
      <w:pPr>
        <w:spacing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b) Concreta</w:t>
      </w:r>
    </w:p>
    <w:p w:rsidR="004E2C55" w:rsidRPr="00AB4F12" w:rsidRDefault="00966F64">
      <w:pPr>
        <w:spacing w:after="0" w:line="360" w:lineRule="auto"/>
        <w:ind w:left="284"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c) Y no debe implicar que el solicitante realice una búsqueda en toda la información que se encuentre disponible.</w:t>
      </w:r>
    </w:p>
    <w:p w:rsidR="004E2C55" w:rsidRPr="00AB4F12" w:rsidRDefault="004E2C55">
      <w:pPr>
        <w:spacing w:after="0" w:line="360" w:lineRule="auto"/>
        <w:ind w:left="284" w:right="49"/>
        <w:jc w:val="both"/>
        <w:rPr>
          <w:rFonts w:ascii="Palatino Linotype" w:eastAsia="Palatino Linotype" w:hAnsi="Palatino Linotype" w:cs="Palatino Linotype"/>
          <w:sz w:val="24"/>
          <w:szCs w:val="24"/>
        </w:rPr>
      </w:pPr>
    </w:p>
    <w:p w:rsidR="004E2C55" w:rsidRPr="00AB4F12" w:rsidRDefault="00966F64">
      <w:pPr>
        <w:spacing w:after="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Imperativos legales que establecen el procedimiento que debe seguir </w:t>
      </w:r>
      <w:r w:rsidRPr="00AB4F12">
        <w:rPr>
          <w:rFonts w:ascii="Palatino Linotype" w:eastAsia="Palatino Linotype" w:hAnsi="Palatino Linotype" w:cs="Palatino Linotype"/>
          <w:b/>
          <w:sz w:val="24"/>
          <w:szCs w:val="24"/>
        </w:rPr>
        <w:t>EL SUJETO OBLIGADO</w:t>
      </w:r>
      <w:r w:rsidRPr="00AB4F12">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4E2C55" w:rsidRPr="00AB4F12" w:rsidRDefault="004E2C55">
      <w:pPr>
        <w:spacing w:line="360" w:lineRule="auto"/>
        <w:jc w:val="both"/>
        <w:rPr>
          <w:rFonts w:ascii="Palatino Linotype" w:eastAsia="Palatino Linotype" w:hAnsi="Palatino Linotype" w:cs="Palatino Linotype"/>
          <w:color w:val="000000"/>
          <w:sz w:val="24"/>
          <w:szCs w:val="24"/>
        </w:rPr>
      </w:pPr>
    </w:p>
    <w:p w:rsidR="004E2C55" w:rsidRPr="00AB4F12" w:rsidRDefault="00966F64">
      <w:pPr>
        <w:spacing w:before="120" w:after="120" w:line="360" w:lineRule="auto"/>
        <w:ind w:right="49"/>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Así, en el presente caso, </w:t>
      </w:r>
      <w:r w:rsidRPr="00AB4F12">
        <w:rPr>
          <w:rFonts w:ascii="Palatino Linotype" w:eastAsia="Palatino Linotype" w:hAnsi="Palatino Linotype" w:cs="Palatino Linotype"/>
          <w:color w:val="000000"/>
          <w:sz w:val="24"/>
          <w:szCs w:val="24"/>
        </w:rPr>
        <w:t xml:space="preserve">el </w:t>
      </w:r>
      <w:r w:rsidRPr="00AB4F12">
        <w:rPr>
          <w:rFonts w:ascii="Palatino Linotype" w:eastAsia="Palatino Linotype" w:hAnsi="Palatino Linotype" w:cs="Palatino Linotype"/>
          <w:b/>
          <w:color w:val="000000"/>
          <w:sz w:val="24"/>
          <w:szCs w:val="24"/>
        </w:rPr>
        <w:t xml:space="preserve">SUJETO OBLIGADO </w:t>
      </w:r>
      <w:r w:rsidRPr="00AB4F12">
        <w:rPr>
          <w:rFonts w:ascii="Palatino Linotype" w:eastAsia="Palatino Linotype" w:hAnsi="Palatino Linotype" w:cs="Palatino Linotype"/>
          <w:color w:val="000000"/>
          <w:sz w:val="24"/>
          <w:szCs w:val="24"/>
        </w:rPr>
        <w:t xml:space="preserve">señala que la información está disponible en la siguiente liga electrónica </w:t>
      </w:r>
      <w:hyperlink r:id="rId9">
        <w:r w:rsidRPr="00AB4F12">
          <w:rPr>
            <w:rFonts w:ascii="Palatino Linotype" w:eastAsia="Palatino Linotype" w:hAnsi="Palatino Linotype" w:cs="Palatino Linotype"/>
            <w:color w:val="0563C1"/>
            <w:sz w:val="24"/>
            <w:szCs w:val="24"/>
            <w:u w:val="single"/>
          </w:rPr>
          <w:t>https://ipomex.org.mx/ipo3/lgt/indice/DIFLERMA/art_92_vii/4.web?token=03Allukzhi1zRYwn8FGHH-hmvD3g4MJkrWlsP2XLveYikVxfbToYD3mFzghn-RyrwNPWDKvB6BpebvlCo9JoRln64gTGAPXGpTKbixt5d_NWUDh05-6HM363Pl5Lwd_lkT772EpUEowomEQBaC0V5qWvN5OpzaMS2D-WSp-rGmWUEQ8PldprOsoj-6waN6Yil1XvhRFaPn0_uWL8PA6eB6K9aw9FTVsqHuXg5S0xQDZtqTimNaYhl3B</w:t>
        </w:r>
      </w:hyperlink>
      <w:r w:rsidRPr="00AB4F12">
        <w:rPr>
          <w:rFonts w:ascii="Palatino Linotype" w:eastAsia="Palatino Linotype" w:hAnsi="Palatino Linotype" w:cs="Palatino Linotype"/>
          <w:sz w:val="24"/>
          <w:szCs w:val="24"/>
        </w:rPr>
        <w:t xml:space="preserve">, </w:t>
      </w:r>
      <w:r w:rsidRPr="00AB4F12">
        <w:rPr>
          <w:rFonts w:ascii="Palatino Linotype" w:eastAsia="Palatino Linotype" w:hAnsi="Palatino Linotype" w:cs="Palatino Linotype"/>
          <w:sz w:val="24"/>
          <w:szCs w:val="24"/>
        </w:rPr>
        <w:lastRenderedPageBreak/>
        <w:t>por lo que este Organismo Garante procedió a consultar la información disponible en dicho portal, en el cual se observa lo siguiente:</w:t>
      </w:r>
    </w:p>
    <w:p w:rsidR="004E2C55" w:rsidRPr="00AB4F12" w:rsidRDefault="00966F64">
      <w:pPr>
        <w:spacing w:line="360" w:lineRule="auto"/>
        <w:jc w:val="center"/>
        <w:rPr>
          <w:rFonts w:ascii="Palatino Linotype" w:eastAsia="Palatino Linotype" w:hAnsi="Palatino Linotype" w:cs="Palatino Linotype"/>
          <w:color w:val="000000"/>
          <w:sz w:val="24"/>
          <w:szCs w:val="24"/>
        </w:rPr>
      </w:pPr>
      <w:r w:rsidRPr="00AB4F12">
        <w:rPr>
          <w:noProof/>
        </w:rPr>
        <w:drawing>
          <wp:inline distT="0" distB="0" distL="0" distR="0">
            <wp:extent cx="4121313" cy="465155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4297" t="20547" r="35569" b="3969"/>
                    <a:stretch>
                      <a:fillRect/>
                    </a:stretch>
                  </pic:blipFill>
                  <pic:spPr>
                    <a:xfrm>
                      <a:off x="0" y="0"/>
                      <a:ext cx="4121313" cy="4651552"/>
                    </a:xfrm>
                    <a:prstGeom prst="rect">
                      <a:avLst/>
                    </a:prstGeom>
                    <a:ln/>
                  </pic:spPr>
                </pic:pic>
              </a:graphicData>
            </a:graphic>
          </wp:inline>
        </w:drawing>
      </w: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Como se advierte, la dirección electrónica proporcionada dirige al portal de Información Pública de Oficio Mexiquense, IPOMEX, del </w:t>
      </w:r>
      <w:r w:rsidRPr="00AB4F12">
        <w:rPr>
          <w:rFonts w:ascii="Palatino Linotype" w:eastAsia="Palatino Linotype" w:hAnsi="Palatino Linotype" w:cs="Palatino Linotype"/>
          <w:b/>
          <w:color w:val="000000"/>
          <w:sz w:val="24"/>
          <w:szCs w:val="24"/>
        </w:rPr>
        <w:t xml:space="preserve">SUJETO OBLIGADO </w:t>
      </w:r>
      <w:r w:rsidRPr="00AB4F12">
        <w:rPr>
          <w:rFonts w:ascii="Palatino Linotype" w:eastAsia="Palatino Linotype" w:hAnsi="Palatino Linotype" w:cs="Palatino Linotype"/>
          <w:color w:val="000000"/>
          <w:sz w:val="24"/>
          <w:szCs w:val="24"/>
        </w:rPr>
        <w:t xml:space="preserve">específicamente al cumplimiento de la obligación de transparencia establecida en la fracción VII del artículo 92 de la Ley de Transparencia y Acceso a la Información </w:t>
      </w:r>
      <w:r w:rsidRPr="00AB4F12">
        <w:rPr>
          <w:rFonts w:ascii="Palatino Linotype" w:eastAsia="Palatino Linotype" w:hAnsi="Palatino Linotype" w:cs="Palatino Linotype"/>
          <w:color w:val="000000"/>
          <w:sz w:val="24"/>
          <w:szCs w:val="24"/>
        </w:rPr>
        <w:lastRenderedPageBreak/>
        <w:t>pública del Estado de México y Municipios, de manera particular al particular de los servidores públicos.</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Es así que de una revisión a la página electrónica no se logran observar el nombre  de los responsables del Archivo de Trámite y Área Coordinadora de Archivos, si no que únicamente se observa el nombre de servidores públicos sin que se obtenga la información solicitada, ya que de conformidad a Ley de Archivos y Administración de Documentos del Estado de México y Municipios, cada área o unidad administrativa que componen al </w:t>
      </w:r>
      <w:r w:rsidRPr="00AB4F12">
        <w:rPr>
          <w:rFonts w:ascii="Palatino Linotype" w:eastAsia="Palatino Linotype" w:hAnsi="Palatino Linotype" w:cs="Palatino Linotype"/>
          <w:b/>
          <w:sz w:val="24"/>
          <w:szCs w:val="24"/>
        </w:rPr>
        <w:t xml:space="preserve">SUJETO OBLIGADO </w:t>
      </w:r>
      <w:r w:rsidRPr="00AB4F12">
        <w:rPr>
          <w:rFonts w:ascii="Palatino Linotype" w:eastAsia="Palatino Linotype" w:hAnsi="Palatino Linotype" w:cs="Palatino Linotype"/>
          <w:sz w:val="24"/>
          <w:szCs w:val="24"/>
        </w:rPr>
        <w:t>debe contar con un archivo de trámite, por lo que las personas responsables de los Archivos de Trámite deben contar con los conocimientos, habilidades, competencias y experiencia archivísticos acordes a su responsabilidad; de no ser así, las y los titulares de las unidades administrativas tienen la obligación de establecer las condiciones que permitan la capacitación de los responsables para el buen funcionamiento de sus Archivos, tal y como se aprecia a continuación:</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left="851" w:right="900"/>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t xml:space="preserve">LEY DE ARCHIVOS Y ADMINISTRACIÓN DE DOCUMENTOS DEL ESTADO DE MÉXICO Y MUNICIPIOS. </w:t>
      </w:r>
    </w:p>
    <w:p w:rsidR="004E2C55" w:rsidRPr="00AB4F12" w:rsidRDefault="00966F64">
      <w:pPr>
        <w:spacing w:after="0" w:line="360"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Artículo 30. Cada área o unidad administrativa debe contar con un Archivo de Trámite que tendrá las siguientes funciones:</w:t>
      </w:r>
    </w:p>
    <w:p w:rsidR="004E2C55" w:rsidRPr="00AB4F12" w:rsidRDefault="00966F64">
      <w:pPr>
        <w:spacing w:after="0" w:line="360"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p>
    <w:p w:rsidR="004E2C55" w:rsidRPr="00AB4F12" w:rsidRDefault="00966F64">
      <w:pPr>
        <w:spacing w:after="0" w:line="360" w:lineRule="auto"/>
        <w:ind w:left="851" w:right="900"/>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i/>
        </w:rPr>
        <w:t xml:space="preserve">Las personas responsables de los Archivos de Trámite deben contar con los conocimientos, habilidades, competencias y experiencia archivísticos acordes a su </w:t>
      </w:r>
      <w:r w:rsidRPr="00AB4F12">
        <w:rPr>
          <w:rFonts w:ascii="Palatino Linotype" w:eastAsia="Palatino Linotype" w:hAnsi="Palatino Linotype" w:cs="Palatino Linotype"/>
          <w:i/>
        </w:rPr>
        <w:lastRenderedPageBreak/>
        <w:t>responsabilidad; de no ser así, las y los titulares de las unidades administrativas tienen la obligación de establecer las condiciones que permitan la capacitación de los responsables para el buen funcionamiento de sus Archivos.</w:t>
      </w: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sz w:val="24"/>
          <w:szCs w:val="24"/>
        </w:rPr>
        <w:t xml:space="preserve">Por lo que se estima que </w:t>
      </w:r>
      <w:r w:rsidRPr="00AB4F12">
        <w:rPr>
          <w:rFonts w:ascii="Palatino Linotype" w:eastAsia="Palatino Linotype" w:hAnsi="Palatino Linotype" w:cs="Palatino Linotype"/>
          <w:color w:val="000000"/>
          <w:sz w:val="24"/>
          <w:szCs w:val="24"/>
        </w:rPr>
        <w:t>la fuente proporcionada no cumple con lo señalado en el artículo 161</w:t>
      </w:r>
      <w:r w:rsidRPr="00AB4F12">
        <w:rPr>
          <w:sz w:val="24"/>
          <w:szCs w:val="24"/>
        </w:rPr>
        <w:t xml:space="preserve"> </w:t>
      </w:r>
      <w:r w:rsidRPr="00AB4F12">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solicitada,  aunado al hecho de que el nombre de los responsables del Archivo de Trámite y Área Coordinadora de Archivos. </w:t>
      </w:r>
    </w:p>
    <w:p w:rsidR="004E2C55" w:rsidRPr="00AB4F12" w:rsidRDefault="004E2C55">
      <w:pPr>
        <w:spacing w:after="0" w:line="360" w:lineRule="auto"/>
        <w:jc w:val="both"/>
        <w:rPr>
          <w:rFonts w:ascii="Palatino Linotype" w:eastAsia="Palatino Linotype" w:hAnsi="Palatino Linotype" w:cs="Palatino Linotype"/>
          <w:color w:val="000000"/>
          <w:sz w:val="24"/>
          <w:szCs w:val="24"/>
        </w:rPr>
      </w:pPr>
    </w:p>
    <w:p w:rsidR="004E2C55" w:rsidRPr="00AB4F12" w:rsidRDefault="00966F64">
      <w:pP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Motivo por el que se ordena el nombre de los responsables del Archivo de Trámite y del Área Coordinadora de Archivos. </w:t>
      </w:r>
    </w:p>
    <w:tbl>
      <w:tblPr>
        <w:tblStyle w:val="a4"/>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 xml:space="preserve">-¿Qué acciones han implementado para documentos electrónicos? </w:t>
            </w:r>
          </w:p>
          <w:p w:rsidR="004E2C55" w:rsidRPr="00AB4F12" w:rsidRDefault="004E2C55">
            <w:pPr>
              <w:spacing w:before="240" w:after="240"/>
              <w:jc w:val="both"/>
              <w:rPr>
                <w:rFonts w:ascii="Palatino Linotype" w:eastAsia="Palatino Linotype" w:hAnsi="Palatino Linotype" w:cs="Palatino Linotype"/>
                <w:color w:val="000000"/>
                <w:sz w:val="18"/>
                <w:szCs w:val="18"/>
              </w:rPr>
            </w:pPr>
          </w:p>
        </w:tc>
        <w:tc>
          <w:tcPr>
            <w:tcW w:w="3077" w:type="dxa"/>
            <w:vAlign w:val="center"/>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sz w:val="18"/>
                <w:szCs w:val="18"/>
              </w:rPr>
              <w:t>Se le informa que el Área Coordinadora de Archivos está tomando los cursos de capacitación por la Subdirección de Bibliotecas y Documentación del Estado de México.</w:t>
            </w:r>
          </w:p>
        </w:tc>
      </w:tr>
    </w:tbl>
    <w:p w:rsidR="004E2C55" w:rsidRPr="00AB4F12" w:rsidRDefault="004E2C55">
      <w:pPr>
        <w:spacing w:line="360" w:lineRule="auto"/>
        <w:jc w:val="both"/>
        <w:rPr>
          <w:rFonts w:ascii="Palatino Linotype" w:eastAsia="Palatino Linotype" w:hAnsi="Palatino Linotype" w:cs="Palatino Linotype"/>
          <w:color w:val="000000"/>
          <w:sz w:val="24"/>
          <w:szCs w:val="24"/>
        </w:rPr>
      </w:pPr>
    </w:p>
    <w:p w:rsidR="004E2C55" w:rsidRPr="00AB4F12" w:rsidRDefault="00966F64">
      <w:pPr>
        <w:spacing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Respecto a este punto, conviene </w:t>
      </w:r>
      <w:proofErr w:type="spellStart"/>
      <w:r w:rsidRPr="00AB4F12">
        <w:rPr>
          <w:rFonts w:ascii="Palatino Linotype" w:eastAsia="Palatino Linotype" w:hAnsi="Palatino Linotype" w:cs="Palatino Linotype"/>
          <w:sz w:val="24"/>
          <w:szCs w:val="24"/>
        </w:rPr>
        <w:t>textualizar</w:t>
      </w:r>
      <w:proofErr w:type="spellEnd"/>
      <w:r w:rsidRPr="00AB4F12">
        <w:rPr>
          <w:rFonts w:ascii="Palatino Linotype" w:eastAsia="Palatino Linotype" w:hAnsi="Palatino Linotype" w:cs="Palatino Linotype"/>
          <w:sz w:val="24"/>
          <w:szCs w:val="24"/>
        </w:rPr>
        <w:t xml:space="preserve"> lo que dictan los numerales antes citados, a fin de determinar la naturaleza jurídica de lo requerido, y con ello, definir los alcances de las atribuciones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para atender la pretensión de la </w:t>
      </w:r>
      <w:r w:rsidRPr="00AB4F12">
        <w:rPr>
          <w:rFonts w:ascii="Palatino Linotype" w:eastAsia="Palatino Linotype" w:hAnsi="Palatino Linotype" w:cs="Palatino Linotype"/>
          <w:b/>
          <w:sz w:val="24"/>
          <w:szCs w:val="24"/>
        </w:rPr>
        <w:t>RECURRENTE</w:t>
      </w:r>
      <w:r w:rsidRPr="00AB4F12">
        <w:rPr>
          <w:rFonts w:ascii="Palatino Linotype" w:eastAsia="Palatino Linotype" w:hAnsi="Palatino Linotype" w:cs="Palatino Linotype"/>
          <w:sz w:val="24"/>
          <w:szCs w:val="24"/>
        </w:rPr>
        <w:t>, por lo tanto, se reproduce lo siguiente:</w:t>
      </w:r>
    </w:p>
    <w:p w:rsidR="004E2C55" w:rsidRPr="00AB4F12" w:rsidRDefault="00966F64">
      <w:pPr>
        <w:spacing w:line="276" w:lineRule="auto"/>
        <w:ind w:left="567" w:right="709"/>
        <w:jc w:val="center"/>
        <w:rPr>
          <w:rFonts w:ascii="Palatino Linotype" w:eastAsia="Palatino Linotype" w:hAnsi="Palatino Linotype" w:cs="Palatino Linotype"/>
          <w:b/>
          <w:i/>
        </w:rPr>
      </w:pPr>
      <w:r w:rsidRPr="00AB4F12">
        <w:rPr>
          <w:rFonts w:ascii="Palatino Linotype" w:eastAsia="Palatino Linotype" w:hAnsi="Palatino Linotype" w:cs="Palatino Linotype"/>
          <w:b/>
          <w:i/>
        </w:rPr>
        <w:lastRenderedPageBreak/>
        <w:t xml:space="preserve">CAPÍTULO IX </w:t>
      </w:r>
    </w:p>
    <w:p w:rsidR="004E2C55" w:rsidRPr="00AB4F12" w:rsidRDefault="00966F64">
      <w:pPr>
        <w:spacing w:line="276" w:lineRule="auto"/>
        <w:ind w:left="567" w:right="709"/>
        <w:jc w:val="center"/>
        <w:rPr>
          <w:rFonts w:ascii="Palatino Linotype" w:eastAsia="Palatino Linotype" w:hAnsi="Palatino Linotype" w:cs="Palatino Linotype"/>
          <w:b/>
          <w:i/>
        </w:rPr>
      </w:pPr>
      <w:r w:rsidRPr="00AB4F12">
        <w:rPr>
          <w:rFonts w:ascii="Palatino Linotype" w:eastAsia="Palatino Linotype" w:hAnsi="Palatino Linotype" w:cs="Palatino Linotype"/>
          <w:b/>
          <w:i/>
        </w:rPr>
        <w:t>DE LOS DOCUMENTOS DE ARCHIVO ELECTRÓNICOS</w:t>
      </w:r>
    </w:p>
    <w:p w:rsidR="004E2C55" w:rsidRPr="00AB4F12" w:rsidRDefault="004E2C55">
      <w:pPr>
        <w:spacing w:line="276" w:lineRule="auto"/>
        <w:ind w:left="567" w:right="709"/>
        <w:jc w:val="center"/>
        <w:rPr>
          <w:rFonts w:ascii="Palatino Linotype" w:eastAsia="Palatino Linotype" w:hAnsi="Palatino Linotype" w:cs="Palatino Linotype"/>
          <w:b/>
        </w:rPr>
      </w:pPr>
    </w:p>
    <w:p w:rsidR="004E2C55" w:rsidRPr="00AB4F12" w:rsidRDefault="00966F64">
      <w:pPr>
        <w:spacing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41. Además de los procesos de gestión previstos en el artículo 12 de esta Ley, </w:t>
      </w:r>
      <w:r w:rsidRPr="00AB4F12">
        <w:rPr>
          <w:rFonts w:ascii="Palatino Linotype" w:eastAsia="Palatino Linotype" w:hAnsi="Palatino Linotype" w:cs="Palatino Linotype"/>
          <w:b/>
          <w:i/>
        </w:rPr>
        <w:t>se deberá contemplar para la gestión documental electrónica la incorporación, asignación de acceso, seguridad, almacenamiento, uso y trazabilidad.</w:t>
      </w:r>
      <w:r w:rsidRPr="00AB4F12">
        <w:rPr>
          <w:rFonts w:ascii="Palatino Linotype" w:eastAsia="Palatino Linotype" w:hAnsi="Palatino Linotype" w:cs="Palatino Linotype"/>
          <w:i/>
        </w:rPr>
        <w:t xml:space="preserve"> </w:t>
      </w:r>
    </w:p>
    <w:p w:rsidR="004E2C55" w:rsidRPr="00AB4F12" w:rsidRDefault="00966F64">
      <w:pPr>
        <w:spacing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42. Los sujetos obligados establecerán </w:t>
      </w:r>
      <w:r w:rsidRPr="00AB4F12">
        <w:rPr>
          <w:rFonts w:ascii="Palatino Linotype" w:eastAsia="Palatino Linotype" w:hAnsi="Palatino Linotype" w:cs="Palatino Linotype"/>
          <w:b/>
          <w:i/>
          <w:u w:val="single"/>
        </w:rPr>
        <w:t>en su programa anual los procedimientos para la generación, administración, uso, control y migración de formatos electrónicos</w:t>
      </w:r>
      <w:r w:rsidRPr="00AB4F12">
        <w:rPr>
          <w:rFonts w:ascii="Palatino Linotype" w:eastAsia="Palatino Linotype" w:hAnsi="Palatino Linotype" w:cs="Palatino Linotype"/>
          <w:i/>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rsidR="004E2C55" w:rsidRPr="00AB4F12" w:rsidRDefault="00966F64">
      <w:pPr>
        <w:spacing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43. </w:t>
      </w:r>
      <w:r w:rsidRPr="00AB4F12">
        <w:rPr>
          <w:rFonts w:ascii="Palatino Linotype" w:eastAsia="Palatino Linotype" w:hAnsi="Palatino Linotype" w:cs="Palatino Linotype"/>
          <w:b/>
          <w:i/>
          <w:u w:val="single"/>
        </w:rPr>
        <w:t>Los sujetos</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u w:val="single"/>
        </w:rPr>
        <w:t>obligados establecerán en el programa anual la estrategia de preservación a largo plazo de los documentos de archivo electrónico y las acciones que garanticen los procesos de gestión documental electrónica.</w:t>
      </w:r>
      <w:r w:rsidRPr="00AB4F12">
        <w:rPr>
          <w:rFonts w:ascii="Palatino Linotype" w:eastAsia="Palatino Linotype" w:hAnsi="Palatino Linotype" w:cs="Palatino Linotype"/>
          <w:i/>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rsidR="004E2C55" w:rsidRPr="00AB4F12" w:rsidRDefault="00966F64">
      <w:pPr>
        <w:spacing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44. Los sujetos obligados </w:t>
      </w:r>
      <w:r w:rsidRPr="00AB4F12">
        <w:rPr>
          <w:rFonts w:ascii="Palatino Linotype" w:eastAsia="Palatino Linotype" w:hAnsi="Palatino Linotype" w:cs="Palatino Linotype"/>
          <w:b/>
          <w:i/>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AB4F12">
        <w:rPr>
          <w:rFonts w:ascii="Palatino Linotype" w:eastAsia="Palatino Linotype" w:hAnsi="Palatino Linotype" w:cs="Palatino Linotype"/>
          <w:i/>
        </w:rPr>
        <w:t xml:space="preserve">bases de datos y correos electrónicos a lo largo de su ciclo vital. </w:t>
      </w:r>
    </w:p>
    <w:p w:rsidR="004E2C55" w:rsidRPr="00AB4F12" w:rsidRDefault="00966F64">
      <w:pPr>
        <w:spacing w:line="276" w:lineRule="auto"/>
        <w:ind w:left="567" w:right="709"/>
        <w:jc w:val="both"/>
        <w:rPr>
          <w:rFonts w:ascii="Palatino Linotype" w:eastAsia="Palatino Linotype" w:hAnsi="Palatino Linotype" w:cs="Palatino Linotype"/>
          <w:i/>
        </w:rPr>
      </w:pPr>
      <w:r w:rsidRPr="00AB4F12">
        <w:rPr>
          <w:rFonts w:ascii="Palatino Linotype" w:eastAsia="Palatino Linotype" w:hAnsi="Palatino Linotype" w:cs="Palatino Linotype"/>
          <w:i/>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rsidR="004E2C55" w:rsidRPr="00AB4F12" w:rsidRDefault="004E2C55">
      <w:pPr>
        <w:spacing w:line="276" w:lineRule="auto"/>
        <w:ind w:left="567" w:right="709"/>
        <w:jc w:val="both"/>
        <w:rPr>
          <w:rFonts w:ascii="Palatino Linotype" w:eastAsia="Palatino Linotype" w:hAnsi="Palatino Linotype" w:cs="Palatino Linotype"/>
          <w:i/>
        </w:rPr>
      </w:pPr>
    </w:p>
    <w:p w:rsidR="004E2C55" w:rsidRPr="00AB4F12" w:rsidRDefault="00966F64">
      <w:pPr>
        <w:spacing w:line="276" w:lineRule="auto"/>
        <w:ind w:left="567" w:right="709"/>
        <w:jc w:val="center"/>
        <w:rPr>
          <w:rFonts w:ascii="Palatino Linotype" w:eastAsia="Palatino Linotype" w:hAnsi="Palatino Linotype" w:cs="Palatino Linotype"/>
          <w:b/>
          <w:i/>
          <w:color w:val="000000"/>
        </w:rPr>
      </w:pPr>
      <w:r w:rsidRPr="00AB4F12">
        <w:rPr>
          <w:rFonts w:ascii="Palatino Linotype" w:eastAsia="Palatino Linotype" w:hAnsi="Palatino Linotype" w:cs="Palatino Linotype"/>
          <w:b/>
          <w:i/>
          <w:color w:val="000000"/>
        </w:rPr>
        <w:t>LINEAMIENTOS PARA LA ORGANIZACIÓN Y CONSERVACIÓN DE ARCHIVOS DEL SISTEMA NACIONAL DE TRANSPARENCIA, ACCESO A LA INFORMACIÓN PÚBLICA Y PROTECCIÓN DE DATOS PERSONALES</w:t>
      </w:r>
    </w:p>
    <w:p w:rsidR="004E2C55" w:rsidRPr="00AB4F12" w:rsidRDefault="00966F64">
      <w:pPr>
        <w:spacing w:line="276" w:lineRule="auto"/>
        <w:ind w:left="567" w:right="709"/>
        <w:jc w:val="center"/>
        <w:rPr>
          <w:rFonts w:ascii="Palatino Linotype" w:eastAsia="Palatino Linotype" w:hAnsi="Palatino Linotype" w:cs="Palatino Linotype"/>
          <w:i/>
          <w:color w:val="2F2F2F"/>
        </w:rPr>
      </w:pPr>
      <w:r w:rsidRPr="00AB4F12">
        <w:rPr>
          <w:rFonts w:ascii="Palatino Linotype" w:eastAsia="Palatino Linotype" w:hAnsi="Palatino Linotype" w:cs="Palatino Linotype"/>
          <w:b/>
          <w:i/>
          <w:color w:val="2F2F2F"/>
        </w:rPr>
        <w:t>CAPÍTULO IV</w:t>
      </w:r>
    </w:p>
    <w:p w:rsidR="004E2C55" w:rsidRPr="00AB4F12" w:rsidRDefault="00966F64">
      <w:pPr>
        <w:spacing w:line="276" w:lineRule="auto"/>
        <w:ind w:left="567" w:right="709"/>
        <w:jc w:val="center"/>
        <w:rPr>
          <w:rFonts w:ascii="Palatino Linotype" w:eastAsia="Palatino Linotype" w:hAnsi="Palatino Linotype" w:cs="Palatino Linotype"/>
          <w:b/>
          <w:i/>
          <w:color w:val="2F2F2F"/>
        </w:rPr>
      </w:pPr>
      <w:r w:rsidRPr="00AB4F12">
        <w:rPr>
          <w:rFonts w:ascii="Palatino Linotype" w:eastAsia="Palatino Linotype" w:hAnsi="Palatino Linotype" w:cs="Palatino Linotype"/>
          <w:b/>
          <w:i/>
          <w:color w:val="2F2F2F"/>
        </w:rPr>
        <w:t>DE LOS DOCUMENTOS DE ARCHIVO ELECTRÓNICOS</w:t>
      </w:r>
    </w:p>
    <w:p w:rsidR="004E2C55" w:rsidRPr="00AB4F12" w:rsidRDefault="004E2C55">
      <w:pPr>
        <w:spacing w:line="276" w:lineRule="auto"/>
        <w:ind w:left="567" w:right="709"/>
        <w:rPr>
          <w:rFonts w:ascii="Palatino Linotype" w:eastAsia="Palatino Linotype" w:hAnsi="Palatino Linotype" w:cs="Palatino Linotype"/>
          <w:i/>
          <w:color w:val="2F2F2F"/>
        </w:rPr>
      </w:pPr>
    </w:p>
    <w:p w:rsidR="004E2C55" w:rsidRPr="00AB4F12" w:rsidRDefault="00966F64">
      <w:pPr>
        <w:spacing w:line="276" w:lineRule="auto"/>
        <w:ind w:left="567" w:right="709"/>
        <w:jc w:val="both"/>
        <w:rPr>
          <w:rFonts w:ascii="Palatino Linotype" w:eastAsia="Palatino Linotype" w:hAnsi="Palatino Linotype" w:cs="Palatino Linotype"/>
          <w:i/>
          <w:color w:val="2F2F2F"/>
        </w:rPr>
      </w:pPr>
      <w:r w:rsidRPr="00AB4F12">
        <w:rPr>
          <w:rFonts w:ascii="Palatino Linotype" w:eastAsia="Palatino Linotype" w:hAnsi="Palatino Linotype" w:cs="Palatino Linotype"/>
          <w:b/>
          <w:i/>
          <w:color w:val="2F2F2F"/>
        </w:rPr>
        <w:t>Vigésimo tercero.</w:t>
      </w:r>
      <w:r w:rsidRPr="00AB4F12">
        <w:rPr>
          <w:rFonts w:ascii="Palatino Linotype" w:eastAsia="Palatino Linotype" w:hAnsi="Palatino Linotype" w:cs="Palatino Linotype"/>
          <w:i/>
          <w:color w:val="2F2F2F"/>
        </w:rPr>
        <w:t> Los Sujetos obligados deberán aplicar, invariablemente, a los documentos de archivo electrónicos, los mismos instrumentos de control y consulta archivísticos que corresponden a los de soporte papel.</w:t>
      </w:r>
    </w:p>
    <w:p w:rsidR="004E2C55" w:rsidRPr="00AB4F12" w:rsidRDefault="00966F64">
      <w:pPr>
        <w:spacing w:line="276" w:lineRule="auto"/>
        <w:ind w:left="567" w:right="709"/>
        <w:jc w:val="both"/>
        <w:rPr>
          <w:rFonts w:ascii="Palatino Linotype" w:eastAsia="Palatino Linotype" w:hAnsi="Palatino Linotype" w:cs="Palatino Linotype"/>
          <w:i/>
          <w:color w:val="2F2F2F"/>
        </w:rPr>
      </w:pPr>
      <w:r w:rsidRPr="00AB4F12">
        <w:rPr>
          <w:rFonts w:ascii="Palatino Linotype" w:eastAsia="Palatino Linotype" w:hAnsi="Palatino Linotype" w:cs="Palatino Linotype"/>
          <w:b/>
          <w:i/>
          <w:color w:val="2F2F2F"/>
        </w:rPr>
        <w:t>Vigésimo cuarto. </w:t>
      </w:r>
      <w:r w:rsidRPr="00AB4F12">
        <w:rPr>
          <w:rFonts w:ascii="Palatino Linotype" w:eastAsia="Palatino Linotype" w:hAnsi="Palatino Linotype" w:cs="Palatino Linotype"/>
          <w:i/>
          <w:color w:val="2F2F2F"/>
        </w:rPr>
        <w:t>Los Sujetos obligados deben garantizar que los</w:t>
      </w:r>
      <w:r w:rsidRPr="00AB4F12">
        <w:rPr>
          <w:rFonts w:ascii="Palatino Linotype" w:eastAsia="Palatino Linotype" w:hAnsi="Palatino Linotype" w:cs="Palatino Linotype"/>
          <w:b/>
          <w:i/>
          <w:color w:val="2F2F2F"/>
        </w:rPr>
        <w:t> </w:t>
      </w:r>
      <w:r w:rsidRPr="00AB4F12">
        <w:rPr>
          <w:rFonts w:ascii="Palatino Linotype" w:eastAsia="Palatino Linotype" w:hAnsi="Palatino Linotype" w:cs="Palatino Linotype"/>
          <w:i/>
          <w:color w:val="2F2F2F"/>
        </w:rPr>
        <w:t>documentos de archivo electrónicos posean las características de autenticidad, fiabilidad, integridad y disponibilidad, con la finalidad de que gocen de la validez y eficacia de un documento original.</w:t>
      </w:r>
    </w:p>
    <w:p w:rsidR="004E2C55" w:rsidRPr="00AB4F12" w:rsidRDefault="00966F64">
      <w:pPr>
        <w:spacing w:after="0" w:line="276" w:lineRule="auto"/>
        <w:ind w:left="567" w:right="709"/>
        <w:jc w:val="both"/>
        <w:rPr>
          <w:rFonts w:ascii="Palatino Linotype" w:eastAsia="Palatino Linotype" w:hAnsi="Palatino Linotype" w:cs="Palatino Linotype"/>
          <w:i/>
          <w:color w:val="2F2F2F"/>
        </w:rPr>
      </w:pPr>
      <w:r w:rsidRPr="00AB4F12">
        <w:rPr>
          <w:rFonts w:ascii="Palatino Linotype" w:eastAsia="Palatino Linotype" w:hAnsi="Palatino Linotype" w:cs="Palatino Linotype"/>
          <w:b/>
          <w:i/>
          <w:color w:val="2F2F2F"/>
        </w:rPr>
        <w:t>Vigésimo sexto.</w:t>
      </w:r>
      <w:r w:rsidRPr="00AB4F12">
        <w:rPr>
          <w:rFonts w:ascii="Palatino Linotype" w:eastAsia="Palatino Linotype" w:hAnsi="Palatino Linotype" w:cs="Palatino Linotype"/>
          <w:i/>
          <w:color w:val="2F2F2F"/>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rsidR="004E2C55" w:rsidRPr="00AB4F12" w:rsidRDefault="004E2C55">
      <w:pPr>
        <w:spacing w:after="0" w:line="276" w:lineRule="auto"/>
        <w:ind w:left="567" w:right="709"/>
        <w:jc w:val="both"/>
        <w:rPr>
          <w:rFonts w:ascii="Palatino Linotype" w:eastAsia="Palatino Linotype" w:hAnsi="Palatino Linotype" w:cs="Palatino Linotype"/>
          <w:i/>
          <w:color w:val="2F2F2F"/>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Conforme a lo expuesto, se desprende que el Sistema Municipal Para el Desarrollo Integral de la Familia de Lerma, cuenta con atribuciones para generar un programa anual que conlleve la estrategia concerniente a la preservación de los documentos de archivo electrónico a largo plazo, así como la toma de acciones y/o el procedimiento para garantizar la gestión documental, además de las medidas de organización, técnicas y tecnológicas para la eficiente recuperación y preservación de los documentos de archivo electrónicos producidos, motivo por el que se ordena </w:t>
      </w:r>
      <w:r w:rsidRPr="00AB4F12">
        <w:rPr>
          <w:rFonts w:ascii="Palatino Linotype" w:eastAsia="Palatino Linotype" w:hAnsi="Palatino Linotype" w:cs="Palatino Linotype"/>
          <w:sz w:val="24"/>
          <w:szCs w:val="24"/>
        </w:rPr>
        <w:lastRenderedPageBreak/>
        <w:t xml:space="preserve">el documento en el que consten las acciones que han implementado para documentos electrónicos vigente al veintisiete de septiembre de dos mil veintidós, en el caso de que no obre en sus archivos deberá emir y entregar la declaratoria formal de inexistencia de la información solicitada, bajo las consideraciones antes señaladas. </w:t>
      </w:r>
    </w:p>
    <w:p w:rsidR="004E2C55" w:rsidRPr="00AB4F12" w:rsidRDefault="004E2C55">
      <w:pPr>
        <w:spacing w:line="360" w:lineRule="auto"/>
        <w:jc w:val="both"/>
        <w:rPr>
          <w:rFonts w:ascii="Palatino Linotype" w:eastAsia="Palatino Linotype" w:hAnsi="Palatino Linotype" w:cs="Palatino Linotype"/>
          <w:sz w:val="24"/>
          <w:szCs w:val="24"/>
        </w:rPr>
      </w:pPr>
    </w:p>
    <w:tbl>
      <w:tblPr>
        <w:tblStyle w:val="a5"/>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Información requerida.</w:t>
            </w:r>
          </w:p>
        </w:tc>
        <w:tc>
          <w:tcPr>
            <w:tcW w:w="3077" w:type="dxa"/>
            <w:shd w:val="clear" w:color="auto" w:fill="BFBFBF"/>
          </w:tcPr>
          <w:p w:rsidR="004E2C55" w:rsidRPr="00AB4F12" w:rsidRDefault="00966F64">
            <w:pPr>
              <w:spacing w:before="240" w:after="240"/>
              <w:ind w:firstLine="114"/>
              <w:jc w:val="center"/>
              <w:rPr>
                <w:rFonts w:ascii="Palatino Linotype" w:eastAsia="Palatino Linotype" w:hAnsi="Palatino Linotype" w:cs="Palatino Linotype"/>
                <w:b/>
                <w:i/>
                <w:color w:val="000000"/>
                <w:sz w:val="18"/>
                <w:szCs w:val="18"/>
              </w:rPr>
            </w:pPr>
            <w:r w:rsidRPr="00AB4F12">
              <w:rPr>
                <w:rFonts w:ascii="Palatino Linotype" w:eastAsia="Palatino Linotype" w:hAnsi="Palatino Linotype" w:cs="Palatino Linotype"/>
                <w:b/>
                <w:i/>
                <w:color w:val="000000"/>
                <w:sz w:val="18"/>
                <w:szCs w:val="18"/>
              </w:rPr>
              <w:t>Respuesta</w:t>
            </w:r>
          </w:p>
        </w:tc>
      </w:tr>
      <w:tr w:rsidR="004E2C55" w:rsidRPr="00AB4F12">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E2C55" w:rsidRPr="00AB4F12" w:rsidRDefault="00966F64">
            <w:pPr>
              <w:spacing w:before="240" w:after="240"/>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color w:val="000000"/>
                <w:sz w:val="18"/>
                <w:szCs w:val="18"/>
              </w:rPr>
              <w:t>-¿Cuentan los documentos electrónicos con algún Código Seguro de Verificación?</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4E2C55" w:rsidRPr="00AB4F12" w:rsidRDefault="00966F64">
            <w:pPr>
              <w:spacing w:before="240" w:after="240"/>
              <w:jc w:val="both"/>
              <w:rPr>
                <w:rFonts w:ascii="Palatino Linotype" w:eastAsia="Palatino Linotype" w:hAnsi="Palatino Linotype" w:cs="Palatino Linotype"/>
                <w:color w:val="000000"/>
                <w:sz w:val="18"/>
                <w:szCs w:val="18"/>
              </w:rPr>
            </w:pPr>
            <w:r w:rsidRPr="00AB4F12">
              <w:rPr>
                <w:rFonts w:ascii="Palatino Linotype" w:eastAsia="Palatino Linotype" w:hAnsi="Palatino Linotype" w:cs="Palatino Linotype"/>
                <w:color w:val="000000"/>
                <w:sz w:val="18"/>
                <w:szCs w:val="18"/>
              </w:rPr>
              <w:t>Por el momento no cuentan con algún código de seguridad de verificación.</w:t>
            </w:r>
          </w:p>
        </w:tc>
      </w:tr>
    </w:tbl>
    <w:p w:rsidR="004E2C55" w:rsidRPr="00AB4F12" w:rsidRDefault="004E2C55">
      <w:pPr>
        <w:spacing w:after="0" w:line="360" w:lineRule="auto"/>
        <w:jc w:val="both"/>
        <w:rPr>
          <w:rFonts w:ascii="Palatino Linotype" w:eastAsia="Palatino Linotype" w:hAnsi="Palatino Linotype" w:cs="Palatino Linotype"/>
          <w:color w:val="000000"/>
          <w:sz w:val="28"/>
          <w:szCs w:val="28"/>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Al respecto, es oportuno traer a  colación el contenido del artículo 60, fracción I de la Ley General de Archivos, la Ley de Archivos y Administración de Documentos del Estado de México y Municipios, así como el Lineamiento Quincuagésimo Octavo, de los Lineamientos, a saber:</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Artículo 60.</w:t>
      </w:r>
      <w:r w:rsidRPr="00AB4F12">
        <w:rPr>
          <w:rFonts w:ascii="Palatino Linotype" w:eastAsia="Palatino Linotype" w:hAnsi="Palatino Linotype" w:cs="Palatino Linotype"/>
          <w:i/>
        </w:rPr>
        <w:t xml:space="preserve"> Los Sujetos Obligados deberán adoptar las medidas y procedimientos que garanticen la conservación de la información, independientemente del Soporte Documental en que se encuentre, observando al menos lo siguiente:</w:t>
      </w:r>
    </w:p>
    <w:p w:rsidR="004E2C55" w:rsidRPr="00AB4F12" w:rsidRDefault="00966F64">
      <w:pPr>
        <w:spacing w:after="120"/>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 Establecer un Programa de Seguridad de la Información</w:t>
      </w:r>
      <w:r w:rsidRPr="00AB4F12">
        <w:rPr>
          <w:rFonts w:ascii="Palatino Linotype" w:eastAsia="Palatino Linotype" w:hAnsi="Palatino Linotype" w:cs="Palatino Linotype"/>
          <w:i/>
        </w:rPr>
        <w:t xml:space="preserve"> que garantice la continuidad de la operación, minimice los riesgos y maximice la eficiencia de los servicios, e</w:t>
      </w:r>
    </w:p>
    <w:p w:rsidR="004E2C55" w:rsidRPr="00AB4F12" w:rsidRDefault="00966F64">
      <w:pPr>
        <w:spacing w:before="120" w:after="12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lastRenderedPageBreak/>
        <w:t>II</w:t>
      </w:r>
      <w:r w:rsidRPr="00AB4F12">
        <w:rPr>
          <w:rFonts w:ascii="Palatino Linotype" w:eastAsia="Palatino Linotype" w:hAnsi="Palatino Linotype" w:cs="Palatino Linotype"/>
          <w:i/>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004E2C55" w:rsidRPr="00AB4F12" w:rsidRDefault="004E2C55">
      <w:pPr>
        <w:spacing w:before="120" w:after="120" w:line="276" w:lineRule="auto"/>
        <w:ind w:left="851" w:right="902"/>
        <w:jc w:val="both"/>
        <w:rPr>
          <w:rFonts w:ascii="Palatino Linotype" w:eastAsia="Palatino Linotype" w:hAnsi="Palatino Linotype" w:cs="Palatino Linotype"/>
          <w:i/>
        </w:rPr>
      </w:pPr>
    </w:p>
    <w:p w:rsidR="004E2C55" w:rsidRPr="00AB4F12" w:rsidRDefault="00966F64">
      <w:pPr>
        <w:spacing w:before="120" w:after="120" w:line="276" w:lineRule="auto"/>
        <w:ind w:left="851" w:right="902"/>
        <w:jc w:val="both"/>
        <w:rPr>
          <w:rFonts w:ascii="Palatino Linotype" w:eastAsia="Palatino Linotype" w:hAnsi="Palatino Linotype" w:cs="Palatino Linotype"/>
          <w:i/>
        </w:rPr>
      </w:pPr>
      <w:r w:rsidRPr="00AB4F12">
        <w:rPr>
          <w:rFonts w:ascii="Palatino Linotype" w:eastAsia="Palatino Linotype" w:hAnsi="Palatino Linotype" w:cs="Palatino Linotype"/>
          <w:i/>
        </w:rPr>
        <w:t>"</w:t>
      </w:r>
      <w:r w:rsidRPr="00AB4F12">
        <w:rPr>
          <w:rFonts w:ascii="Palatino Linotype" w:eastAsia="Palatino Linotype" w:hAnsi="Palatino Linotype" w:cs="Palatino Linotype"/>
          <w:b/>
          <w:i/>
        </w:rPr>
        <w:t>Quincuagésimo octavo</w:t>
      </w:r>
      <w:r w:rsidRPr="00AB4F12">
        <w:rPr>
          <w:rFonts w:ascii="Palatino Linotype" w:eastAsia="Palatino Linotype" w:hAnsi="Palatino Linotype" w:cs="Palatino Linotype"/>
          <w:i/>
        </w:rPr>
        <w:t>. Los Sujetos obligados adoptarán las medidas necesarias para garantizar la seguridad de la información, independientemente del soporte en que se encuentre, observando cuando menos lo siguiente:</w:t>
      </w:r>
    </w:p>
    <w:p w:rsidR="004E2C55" w:rsidRPr="00AB4F12" w:rsidRDefault="00966F64">
      <w:pPr>
        <w:spacing w:before="120" w:after="0" w:line="276" w:lineRule="auto"/>
        <w:ind w:left="1134" w:right="902"/>
        <w:jc w:val="both"/>
        <w:rPr>
          <w:rFonts w:ascii="Palatino Linotype" w:eastAsia="Palatino Linotype" w:hAnsi="Palatino Linotype" w:cs="Palatino Linotype"/>
          <w:i/>
        </w:rPr>
      </w:pPr>
      <w:r w:rsidRPr="00AB4F12">
        <w:rPr>
          <w:rFonts w:ascii="Palatino Linotype" w:eastAsia="Palatino Linotype" w:hAnsi="Palatino Linotype" w:cs="Palatino Linotype"/>
          <w:b/>
          <w:i/>
        </w:rPr>
        <w:t>I.</w:t>
      </w:r>
      <w:r w:rsidRPr="00AB4F12">
        <w:rPr>
          <w:rFonts w:ascii="Palatino Linotype" w:eastAsia="Palatino Linotype" w:hAnsi="Palatino Linotype" w:cs="Palatino Linotype"/>
          <w:i/>
        </w:rPr>
        <w:t xml:space="preserve"> </w:t>
      </w:r>
      <w:r w:rsidRPr="00AB4F12">
        <w:rPr>
          <w:rFonts w:ascii="Palatino Linotype" w:eastAsia="Palatino Linotype" w:hAnsi="Palatino Linotype" w:cs="Palatino Linotype"/>
          <w:b/>
          <w:i/>
        </w:rPr>
        <w:t>Adoptar un programa de seguridad de la información</w:t>
      </w:r>
      <w:r w:rsidRPr="00AB4F12">
        <w:rPr>
          <w:rFonts w:ascii="Palatino Linotype" w:eastAsia="Palatino Linotype" w:hAnsi="Palatino Linotype" w:cs="Palatino Linotype"/>
          <w:i/>
        </w:rPr>
        <w:t xml:space="preserve"> que permita asegurar la continuidad de la operación, minimizar los riesgos y maximizar la eficiencia de los servicios, y”</w:t>
      </w:r>
    </w:p>
    <w:p w:rsidR="004E2C55" w:rsidRPr="00AB4F12" w:rsidRDefault="004E2C55">
      <w:pPr>
        <w:spacing w:after="0" w:line="360" w:lineRule="auto"/>
        <w:ind w:left="1134" w:right="902"/>
        <w:jc w:val="both"/>
        <w:rPr>
          <w:rFonts w:ascii="Palatino Linotype" w:eastAsia="Palatino Linotype" w:hAnsi="Palatino Linotype" w:cs="Palatino Linotype"/>
          <w:i/>
        </w:rPr>
      </w:pPr>
    </w:p>
    <w:p w:rsidR="004E2C55" w:rsidRPr="00AB4F12" w:rsidRDefault="00966F64">
      <w:pP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sz w:val="24"/>
          <w:szCs w:val="24"/>
        </w:rPr>
        <w:t xml:space="preserve">Como se advierte, cada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cuenta con el deber de establecer un programa de seguridad de la información que permita asegurar la continuidad de la operación, minimizar los riesgos y maximizar la eficiencia de los servicios, sin embargo, la normatividad aplicable no establece que dicho programa deba generarse un Código de Seguridad de Verificación, motivo por el que se </w:t>
      </w:r>
      <w:r w:rsidRPr="00AB4F12">
        <w:rPr>
          <w:rFonts w:ascii="Palatino Linotype" w:eastAsia="Palatino Linotype" w:hAnsi="Palatino Linotype" w:cs="Palatino Linotype"/>
          <w:color w:val="000000"/>
          <w:sz w:val="24"/>
          <w:szCs w:val="24"/>
        </w:rPr>
        <w:t xml:space="preserve">tiene por colmado este punto de la solicitud. </w:t>
      </w:r>
    </w:p>
    <w:tbl>
      <w:tblPr>
        <w:tblStyle w:val="a6"/>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1"/>
        <w:gridCol w:w="3077"/>
      </w:tblGrid>
      <w:tr w:rsidR="004E2C55" w:rsidRPr="00AB4F12">
        <w:tc>
          <w:tcPr>
            <w:tcW w:w="5751" w:type="dxa"/>
            <w:tcBorders>
              <w:top w:val="single" w:sz="4" w:space="0" w:color="000000"/>
              <w:left w:val="single" w:sz="4" w:space="0" w:color="000000"/>
              <w:bottom w:val="single" w:sz="4" w:space="0" w:color="000000"/>
              <w:right w:val="single" w:sz="4" w:space="0" w:color="000000"/>
            </w:tcBorders>
            <w:shd w:val="clear" w:color="auto" w:fill="BFBFBF"/>
          </w:tcPr>
          <w:p w:rsidR="004E2C55" w:rsidRPr="00AB4F12" w:rsidRDefault="00966F64">
            <w:pPr>
              <w:spacing w:before="240" w:after="240"/>
              <w:jc w:val="center"/>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Información requerida.</w:t>
            </w:r>
          </w:p>
        </w:tc>
        <w:tc>
          <w:tcPr>
            <w:tcW w:w="30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E2C55" w:rsidRPr="00AB4F12" w:rsidRDefault="00966F64">
            <w:pPr>
              <w:spacing w:before="240" w:after="240"/>
              <w:jc w:val="center"/>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Respuesta</w:t>
            </w:r>
          </w:p>
        </w:tc>
      </w:tr>
      <w:tr w:rsidR="004E2C55" w:rsidRPr="00AB4F12">
        <w:tc>
          <w:tcPr>
            <w:tcW w:w="5751" w:type="dxa"/>
            <w:tcBorders>
              <w:top w:val="single" w:sz="4" w:space="0" w:color="000000"/>
              <w:left w:val="single" w:sz="4" w:space="0" w:color="000000"/>
              <w:bottom w:val="single" w:sz="4" w:space="0" w:color="000000"/>
              <w:right w:val="single" w:sz="4" w:space="0" w:color="000000"/>
            </w:tcBorders>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-¿Documento en el que conste el plan para la preservación de documentos electrónicos y físicos y donde se puede encontrar su información?</w:t>
            </w:r>
          </w:p>
        </w:tc>
        <w:tc>
          <w:tcPr>
            <w:tcW w:w="3077" w:type="dxa"/>
            <w:tcBorders>
              <w:top w:val="single" w:sz="4" w:space="0" w:color="000000"/>
              <w:left w:val="single" w:sz="4" w:space="0" w:color="000000"/>
              <w:bottom w:val="single" w:sz="4" w:space="0" w:color="000000"/>
              <w:right w:val="single" w:sz="4" w:space="0" w:color="000000"/>
            </w:tcBorders>
            <w:vAlign w:val="center"/>
          </w:tcPr>
          <w:p w:rsidR="004E2C55" w:rsidRPr="00AB4F12" w:rsidRDefault="00966F64">
            <w:pPr>
              <w:spacing w:before="240" w:after="240"/>
              <w:jc w:val="both"/>
              <w:rPr>
                <w:rFonts w:ascii="Palatino Linotype" w:eastAsia="Palatino Linotype" w:hAnsi="Palatino Linotype" w:cs="Palatino Linotype"/>
                <w:sz w:val="18"/>
                <w:szCs w:val="18"/>
              </w:rPr>
            </w:pPr>
            <w:r w:rsidRPr="00AB4F12">
              <w:rPr>
                <w:rFonts w:ascii="Palatino Linotype" w:eastAsia="Palatino Linotype" w:hAnsi="Palatino Linotype" w:cs="Palatino Linotype"/>
                <w:sz w:val="18"/>
                <w:szCs w:val="18"/>
              </w:rPr>
              <w:t>Hace entrega una liga electrónica en donde precisa que se puede encontrar la Ley de Archivos y Administración de Documentos del Estado de México y Municipios.</w:t>
            </w:r>
          </w:p>
        </w:tc>
      </w:tr>
    </w:tbl>
    <w:p w:rsidR="004E2C55" w:rsidRPr="00AB4F12" w:rsidRDefault="004E2C55">
      <w:pPr>
        <w:spacing w:after="0" w:line="360" w:lineRule="auto"/>
      </w:pPr>
    </w:p>
    <w:p w:rsidR="004E2C55" w:rsidRPr="00AB4F12" w:rsidRDefault="00966F64">
      <w:pPr>
        <w:widowControl w:val="0"/>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Respecto a este punto de la solicitud, se encuentra contemplado  lo siguiente:</w:t>
      </w:r>
    </w:p>
    <w:p w:rsidR="004E2C55" w:rsidRPr="00AB4F12" w:rsidRDefault="00966F64">
      <w:pPr>
        <w:widowControl w:val="0"/>
        <w:tabs>
          <w:tab w:val="left" w:pos="142"/>
        </w:tabs>
        <w:spacing w:after="0" w:line="276" w:lineRule="auto"/>
        <w:ind w:left="851" w:right="900"/>
        <w:jc w:val="both"/>
        <w:rPr>
          <w:rFonts w:ascii="Palatino Linotype" w:eastAsia="Palatino Linotype" w:hAnsi="Palatino Linotype" w:cs="Palatino Linotype"/>
          <w:b/>
          <w:i/>
        </w:rPr>
      </w:pPr>
      <w:r w:rsidRPr="00AB4F12">
        <w:rPr>
          <w:rFonts w:ascii="Palatino Linotype" w:eastAsia="Palatino Linotype" w:hAnsi="Palatino Linotype" w:cs="Palatino Linotype"/>
          <w:b/>
          <w:i/>
        </w:rPr>
        <w:t xml:space="preserve">LEY DE ARCHIVOS Y ADMINISTRACIÓN DE DOCUMENTOS DEL ESTADO DE MÉXICO Y MUNICIPIOS </w:t>
      </w:r>
    </w:p>
    <w:p w:rsidR="004E2C55" w:rsidRPr="00AB4F12" w:rsidRDefault="004E2C55">
      <w:pPr>
        <w:widowControl w:val="0"/>
        <w:tabs>
          <w:tab w:val="left" w:pos="142"/>
        </w:tabs>
        <w:spacing w:after="0" w:line="276" w:lineRule="auto"/>
        <w:ind w:left="851" w:right="900"/>
        <w:jc w:val="both"/>
        <w:rPr>
          <w:rFonts w:ascii="Palatino Linotype" w:eastAsia="Palatino Linotype" w:hAnsi="Palatino Linotype" w:cs="Palatino Linotype"/>
          <w:b/>
          <w:i/>
        </w:rPr>
      </w:pPr>
    </w:p>
    <w:p w:rsidR="004E2C55" w:rsidRPr="00AB4F12" w:rsidRDefault="00966F64">
      <w:pPr>
        <w:widowControl w:val="0"/>
        <w:tabs>
          <w:tab w:val="left" w:pos="142"/>
        </w:tabs>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Artículo 60. Los Sujetos Obligados deberán adoptar las medidas y procedimientos que garanticen la conservación de la información, independientemente del Soporte Documental en que se encuentre, observando al menos lo siguiente: </w:t>
      </w:r>
    </w:p>
    <w:p w:rsidR="004E2C55" w:rsidRPr="00AB4F12" w:rsidRDefault="00966F64">
      <w:pPr>
        <w:widowControl w:val="0"/>
        <w:tabs>
          <w:tab w:val="left" w:pos="142"/>
        </w:tabs>
        <w:spacing w:after="0" w:line="276" w:lineRule="auto"/>
        <w:ind w:left="851" w:right="900"/>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I. Establecer un Programa de Seguridad de la Información que garantice la continuidad de la operación, minimice los riesgos y maximice la eficiencia de los servicios, e </w:t>
      </w:r>
    </w:p>
    <w:p w:rsidR="004E2C55" w:rsidRPr="00AB4F12" w:rsidRDefault="004E2C55">
      <w:pPr>
        <w:widowControl w:val="0"/>
        <w:spacing w:after="0" w:line="360" w:lineRule="auto"/>
        <w:jc w:val="both"/>
        <w:rPr>
          <w:rFonts w:ascii="Palatino Linotype" w:eastAsia="Palatino Linotype" w:hAnsi="Palatino Linotype" w:cs="Palatino Linotype"/>
          <w:sz w:val="24"/>
          <w:szCs w:val="24"/>
        </w:rPr>
      </w:pPr>
    </w:p>
    <w:p w:rsidR="004E2C55" w:rsidRPr="00AB4F12" w:rsidRDefault="00966F64">
      <w:pPr>
        <w:widowControl w:val="0"/>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En el cual se determina que los Sujetos Obligados deberán adoptar las medidas y procedimientos que garanticen </w:t>
      </w:r>
      <w:r w:rsidRPr="00AB4F12">
        <w:rPr>
          <w:rFonts w:ascii="Palatino Linotype" w:eastAsia="Palatino Linotype" w:hAnsi="Palatino Linotype" w:cs="Palatino Linotype"/>
          <w:sz w:val="24"/>
          <w:szCs w:val="24"/>
          <w:u w:val="single"/>
        </w:rPr>
        <w:t xml:space="preserve">la conservación de la información, independientemente del Soporte Documental </w:t>
      </w:r>
      <w:r w:rsidRPr="00AB4F12">
        <w:rPr>
          <w:rFonts w:ascii="Palatino Linotype" w:eastAsia="Palatino Linotype" w:hAnsi="Palatino Linotype" w:cs="Palatino Linotype"/>
          <w:sz w:val="24"/>
          <w:szCs w:val="24"/>
        </w:rPr>
        <w:t>en que se encuentre por lo que deberá establecer un Programa de Seguridad de la Información que garantice la continuidad de la operación, minimice los riesgos y maximice la eficiencia de los servicios, asimismo, en el trigésimo noveno de los Lineamientos para la Organización y Conservación de Archivos del Sistema Nacional de Transparencia, Acceso a la Información Pública y Protección de Datos Personales en los términos siguientes:</w:t>
      </w:r>
    </w:p>
    <w:p w:rsidR="004E2C55" w:rsidRPr="00AB4F12" w:rsidRDefault="004E2C55">
      <w:pPr>
        <w:widowControl w:val="0"/>
        <w:spacing w:after="0" w:line="360" w:lineRule="auto"/>
        <w:jc w:val="both"/>
        <w:rPr>
          <w:rFonts w:ascii="Palatino Linotype" w:eastAsia="Palatino Linotype" w:hAnsi="Palatino Linotype" w:cs="Palatino Linotype"/>
        </w:rPr>
      </w:pPr>
    </w:p>
    <w:p w:rsidR="004E2C55" w:rsidRPr="00AB4F12" w:rsidRDefault="00966F64">
      <w:pPr>
        <w:widowControl w:val="0"/>
        <w:spacing w:after="0"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“Trigésimo noveno. Los Sujetos obligados establecerán un programa de Preservación digital, para efecto del uso de sistemas informáticos, que contemple al menos:</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I. Análisis de la organización;</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II. Definir los responsables dentro de la organización;</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lastRenderedPageBreak/>
        <w:t>III. Definir las series documentales que serán objeto de preservación;</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IV.  Considerar el costo-beneficio de la inversión a mediano y largo plazos;</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V. Estrategia de preservación a mediano y largo plazos;</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VI. Conservar el entorno tecnológico;</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VII. Renovación de soporte;</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VIII. Migración;</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IX. Emulación;</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X. Identificación de los usuarios;</w:t>
      </w:r>
    </w:p>
    <w:p w:rsidR="004E2C55" w:rsidRPr="00AB4F12" w:rsidRDefault="00966F64">
      <w:pPr>
        <w:widowControl w:val="0"/>
        <w:spacing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XI. Controles de acceso, y</w:t>
      </w:r>
    </w:p>
    <w:p w:rsidR="004E2C55" w:rsidRPr="00AB4F12" w:rsidRDefault="00966F64">
      <w:pPr>
        <w:widowControl w:val="0"/>
        <w:spacing w:after="0" w:line="276" w:lineRule="auto"/>
        <w:ind w:left="567" w:right="539"/>
        <w:jc w:val="both"/>
        <w:rPr>
          <w:rFonts w:ascii="Palatino Linotype" w:eastAsia="Palatino Linotype" w:hAnsi="Palatino Linotype" w:cs="Palatino Linotype"/>
          <w:i/>
        </w:rPr>
      </w:pPr>
      <w:r w:rsidRPr="00AB4F12">
        <w:rPr>
          <w:rFonts w:ascii="Palatino Linotype" w:eastAsia="Palatino Linotype" w:hAnsi="Palatino Linotype" w:cs="Palatino Linotype"/>
          <w:i/>
        </w:rPr>
        <w:t>XII. Metadatos de preservación.”</w:t>
      </w:r>
    </w:p>
    <w:p w:rsidR="004E2C55" w:rsidRPr="00AB4F12" w:rsidRDefault="004E2C55">
      <w:pPr>
        <w:widowControl w:val="0"/>
        <w:spacing w:after="0" w:line="360" w:lineRule="auto"/>
        <w:jc w:val="both"/>
        <w:rPr>
          <w:rFonts w:ascii="Palatino Linotype" w:eastAsia="Palatino Linotype" w:hAnsi="Palatino Linotype" w:cs="Palatino Linotype"/>
          <w:sz w:val="24"/>
          <w:szCs w:val="24"/>
        </w:rPr>
      </w:pPr>
    </w:p>
    <w:p w:rsidR="004E2C55" w:rsidRPr="00AB4F12" w:rsidRDefault="00966F64">
      <w:pPr>
        <w:widowControl w:val="0"/>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De conformidad a los Lineamientos únicamente contemplan el programa de Preservación digital, motivo por el que se ordena el documento en el que conste el plan para la preservación de documentos físicos y electrónicos, vigente al veintisiete de septiembre de dos mil veintidós, sin embargo en caso de no contar con el programa de Preservación digital, deberá emitir el acuerdo en el que se declare su formal inexistencia en los términos antes señalados. </w:t>
      </w:r>
    </w:p>
    <w:p w:rsidR="004E2C55" w:rsidRPr="00AB4F12" w:rsidRDefault="004E2C55">
      <w:pPr>
        <w:widowControl w:val="0"/>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Así, con fundamento en lo prescrito en los</w:t>
      </w:r>
      <w:r w:rsidRPr="00AB4F12">
        <w:rPr>
          <w:rFonts w:ascii="Times New Roman" w:eastAsia="Times New Roman" w:hAnsi="Times New Roman" w:cs="Times New Roman"/>
          <w:color w:val="000000"/>
          <w:sz w:val="24"/>
          <w:szCs w:val="24"/>
        </w:rPr>
        <w:t xml:space="preserve"> </w:t>
      </w:r>
      <w:r w:rsidRPr="00AB4F12">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ind w:left="-142" w:right="51"/>
        <w:jc w:val="center"/>
        <w:rPr>
          <w:rFonts w:ascii="Palatino Linotype" w:eastAsia="Palatino Linotype" w:hAnsi="Palatino Linotype" w:cs="Palatino Linotype"/>
          <w:b/>
          <w:sz w:val="28"/>
          <w:szCs w:val="28"/>
        </w:rPr>
      </w:pPr>
      <w:r w:rsidRPr="00AB4F12">
        <w:rPr>
          <w:rFonts w:ascii="Palatino Linotype" w:eastAsia="Palatino Linotype" w:hAnsi="Palatino Linotype" w:cs="Palatino Linotype"/>
          <w:b/>
          <w:sz w:val="28"/>
          <w:szCs w:val="28"/>
        </w:rPr>
        <w:t>R E S U E L V E:</w:t>
      </w:r>
    </w:p>
    <w:p w:rsidR="004E2C55" w:rsidRPr="00AB4F12" w:rsidRDefault="004E2C55">
      <w:pPr>
        <w:spacing w:after="0" w:line="360" w:lineRule="auto"/>
        <w:ind w:left="-142" w:right="51"/>
        <w:jc w:val="center"/>
        <w:rPr>
          <w:rFonts w:ascii="Palatino Linotype" w:eastAsia="Palatino Linotype" w:hAnsi="Palatino Linotype" w:cs="Palatino Linotype"/>
          <w:b/>
          <w:sz w:val="24"/>
          <w:szCs w:val="24"/>
        </w:rPr>
      </w:pPr>
    </w:p>
    <w:p w:rsidR="004E2C55" w:rsidRPr="00AB4F12" w:rsidRDefault="00966F64">
      <w:pPr>
        <w:spacing w:after="0" w:line="360" w:lineRule="auto"/>
        <w:ind w:right="51"/>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PRIMERO.</w:t>
      </w:r>
      <w:r w:rsidRPr="00AB4F12">
        <w:rPr>
          <w:rFonts w:ascii="Palatino Linotype" w:eastAsia="Palatino Linotype" w:hAnsi="Palatino Linotype" w:cs="Palatino Linotype"/>
          <w:sz w:val="24"/>
          <w:szCs w:val="24"/>
        </w:rPr>
        <w:t xml:space="preserve"> Resultan fundados los motivos de inconformidad hechos valer por </w:t>
      </w:r>
      <w:r w:rsidRPr="00AB4F12">
        <w:rPr>
          <w:rFonts w:ascii="Palatino Linotype" w:eastAsia="Palatino Linotype" w:hAnsi="Palatino Linotype" w:cs="Palatino Linotype"/>
          <w:b/>
          <w:sz w:val="24"/>
          <w:szCs w:val="24"/>
        </w:rPr>
        <w:t>EL RECURRENTE</w:t>
      </w:r>
      <w:r w:rsidRPr="00AB4F12">
        <w:rPr>
          <w:rFonts w:ascii="Palatino Linotype" w:eastAsia="Palatino Linotype" w:hAnsi="Palatino Linotype" w:cs="Palatino Linotype"/>
          <w:sz w:val="24"/>
          <w:szCs w:val="24"/>
        </w:rPr>
        <w:t xml:space="preserve"> en el recurso de revisión </w:t>
      </w:r>
      <w:r w:rsidRPr="00AB4F12">
        <w:rPr>
          <w:rFonts w:ascii="Palatino Linotype" w:eastAsia="Palatino Linotype" w:hAnsi="Palatino Linotype" w:cs="Palatino Linotype"/>
          <w:b/>
          <w:sz w:val="24"/>
          <w:szCs w:val="24"/>
        </w:rPr>
        <w:t>15659/INFOEM/IP/RR/2022</w:t>
      </w:r>
      <w:r w:rsidRPr="00AB4F12">
        <w:rPr>
          <w:rFonts w:ascii="Palatino Linotype" w:eastAsia="Palatino Linotype" w:hAnsi="Palatino Linotype" w:cs="Palatino Linotype"/>
          <w:sz w:val="24"/>
          <w:szCs w:val="24"/>
        </w:rPr>
        <w:t>, en términos del considerando cuarto.</w:t>
      </w:r>
    </w:p>
    <w:p w:rsidR="004E2C55" w:rsidRPr="00AB4F12" w:rsidRDefault="004E2C55">
      <w:pPr>
        <w:spacing w:after="0" w:line="360" w:lineRule="auto"/>
        <w:ind w:right="51"/>
        <w:jc w:val="both"/>
        <w:rPr>
          <w:rFonts w:ascii="Palatino Linotype" w:eastAsia="Palatino Linotype" w:hAnsi="Palatino Linotype" w:cs="Palatino Linotype"/>
          <w:sz w:val="24"/>
          <w:szCs w:val="24"/>
        </w:rPr>
      </w:pPr>
    </w:p>
    <w:p w:rsidR="004E2C55" w:rsidRPr="00AB4F12" w:rsidRDefault="00966F64">
      <w:pPr>
        <w:spacing w:line="360" w:lineRule="auto"/>
        <w:ind w:right="51"/>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SEGUNDO. </w:t>
      </w:r>
      <w:r w:rsidRPr="00AB4F12">
        <w:rPr>
          <w:rFonts w:ascii="Palatino Linotype" w:eastAsia="Palatino Linotype" w:hAnsi="Palatino Linotype" w:cs="Palatino Linotype"/>
          <w:sz w:val="24"/>
          <w:szCs w:val="24"/>
        </w:rPr>
        <w:t xml:space="preserve">Se </w:t>
      </w:r>
      <w:r w:rsidRPr="00AB4F12">
        <w:rPr>
          <w:rFonts w:ascii="Palatino Linotype" w:eastAsia="Palatino Linotype" w:hAnsi="Palatino Linotype" w:cs="Palatino Linotype"/>
          <w:b/>
          <w:sz w:val="24"/>
          <w:szCs w:val="24"/>
        </w:rPr>
        <w:t>MODIFICA</w:t>
      </w:r>
      <w:r w:rsidRPr="00AB4F12">
        <w:rPr>
          <w:rFonts w:ascii="Palatino Linotype" w:eastAsia="Palatino Linotype" w:hAnsi="Palatino Linotype" w:cs="Palatino Linotype"/>
          <w:sz w:val="24"/>
          <w:szCs w:val="24"/>
        </w:rPr>
        <w:t xml:space="preserve"> la respuesta del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se </w:t>
      </w:r>
      <w:r w:rsidRPr="00AB4F12">
        <w:rPr>
          <w:rFonts w:ascii="Palatino Linotype" w:eastAsia="Palatino Linotype" w:hAnsi="Palatino Linotype" w:cs="Palatino Linotype"/>
          <w:b/>
          <w:sz w:val="24"/>
          <w:szCs w:val="24"/>
        </w:rPr>
        <w:t>ORDENA</w:t>
      </w:r>
      <w:r w:rsidRPr="00AB4F12">
        <w:rPr>
          <w:rFonts w:ascii="Palatino Linotype" w:eastAsia="Palatino Linotype" w:hAnsi="Palatino Linotype" w:cs="Palatino Linotype"/>
          <w:sz w:val="24"/>
          <w:szCs w:val="24"/>
        </w:rPr>
        <w:t xml:space="preserve"> que en términos del Considerando Cuarto de esta resolución haga entrega, vía SAIMEX, de la siguiente información: </w:t>
      </w:r>
    </w:p>
    <w:p w:rsidR="004E2C55" w:rsidRPr="00AB4F12" w:rsidRDefault="00966F64">
      <w:pPr>
        <w:numPr>
          <w:ilvl w:val="0"/>
          <w:numId w:val="3"/>
        </w:numPr>
        <w:pBdr>
          <w:top w:val="nil"/>
          <w:left w:val="nil"/>
          <w:bottom w:val="nil"/>
          <w:right w:val="nil"/>
          <w:between w:val="nil"/>
        </w:pBdr>
        <w:spacing w:before="160" w:after="0" w:line="360" w:lineRule="auto"/>
        <w:ind w:right="51"/>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Las acciones implementadas en los archivos desde la entrada en vigor de la Ley de Archivos y Administración de Documentos de</w:t>
      </w:r>
      <w:r w:rsidR="00677F79" w:rsidRPr="00AB4F12">
        <w:rPr>
          <w:rFonts w:ascii="Palatino Linotype" w:eastAsia="Palatino Linotype" w:hAnsi="Palatino Linotype" w:cs="Palatino Linotype"/>
          <w:color w:val="000000"/>
          <w:sz w:val="24"/>
          <w:szCs w:val="24"/>
        </w:rPr>
        <w:t>l Estado de México y Municipios, es decir del veintiséis</w:t>
      </w:r>
      <w:r w:rsidR="003F0DA5" w:rsidRPr="00AB4F12">
        <w:rPr>
          <w:rFonts w:ascii="Palatino Linotype" w:eastAsia="Palatino Linotype" w:hAnsi="Palatino Linotype" w:cs="Palatino Linotype"/>
          <w:color w:val="000000"/>
          <w:sz w:val="24"/>
          <w:szCs w:val="24"/>
        </w:rPr>
        <w:t xml:space="preserve"> de noviembre del dos mil veintiuno</w:t>
      </w:r>
      <w:r w:rsidR="00677F79" w:rsidRPr="00AB4F12">
        <w:rPr>
          <w:rFonts w:ascii="Palatino Linotype" w:eastAsia="Palatino Linotype" w:hAnsi="Palatino Linotype" w:cs="Palatino Linotype"/>
          <w:color w:val="000000"/>
          <w:sz w:val="24"/>
          <w:szCs w:val="24"/>
        </w:rPr>
        <w:t xml:space="preserve"> </w:t>
      </w:r>
      <w:r w:rsidR="001538EE" w:rsidRPr="00AB4F12">
        <w:rPr>
          <w:rFonts w:ascii="Palatino Linotype" w:eastAsia="Palatino Linotype" w:hAnsi="Palatino Linotype" w:cs="Palatino Linotype"/>
          <w:color w:val="000000"/>
          <w:sz w:val="24"/>
          <w:szCs w:val="24"/>
        </w:rPr>
        <w:t xml:space="preserve">al veintisiete de </w:t>
      </w:r>
      <w:r w:rsidR="003F0DA5" w:rsidRPr="00AB4F12">
        <w:rPr>
          <w:rFonts w:ascii="Palatino Linotype" w:eastAsia="Palatino Linotype" w:hAnsi="Palatino Linotype" w:cs="Palatino Linotype"/>
          <w:color w:val="000000"/>
          <w:sz w:val="24"/>
          <w:szCs w:val="24"/>
        </w:rPr>
        <w:t xml:space="preserve">septiembre de dos mil veintidós. </w:t>
      </w:r>
    </w:p>
    <w:p w:rsidR="004E2C55" w:rsidRPr="00AB4F12" w:rsidRDefault="004B3380">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Nombre de los responsables </w:t>
      </w:r>
      <w:r w:rsidR="00966F64" w:rsidRPr="00AB4F12">
        <w:rPr>
          <w:rFonts w:ascii="Palatino Linotype" w:eastAsia="Palatino Linotype" w:hAnsi="Palatino Linotype" w:cs="Palatino Linotype"/>
          <w:color w:val="000000"/>
          <w:sz w:val="24"/>
          <w:szCs w:val="24"/>
        </w:rPr>
        <w:t>del Archivo de Trámite y del</w:t>
      </w:r>
      <w:r w:rsidR="00677F79" w:rsidRPr="00AB4F12">
        <w:rPr>
          <w:rFonts w:ascii="Palatino Linotype" w:eastAsia="Palatino Linotype" w:hAnsi="Palatino Linotype" w:cs="Palatino Linotype"/>
          <w:color w:val="000000"/>
          <w:sz w:val="24"/>
          <w:szCs w:val="24"/>
        </w:rPr>
        <w:t xml:space="preserve"> Área Coordinadora de Archivos, </w:t>
      </w:r>
      <w:r w:rsidR="00A827C9" w:rsidRPr="00AB4F12">
        <w:rPr>
          <w:rFonts w:ascii="Palatino Linotype" w:eastAsia="Palatino Linotype" w:hAnsi="Palatino Linotype" w:cs="Palatino Linotype"/>
          <w:color w:val="000000"/>
          <w:sz w:val="24"/>
          <w:szCs w:val="24"/>
        </w:rPr>
        <w:t>en funciones</w:t>
      </w:r>
      <w:r w:rsidRPr="00AB4F12">
        <w:rPr>
          <w:rFonts w:ascii="Palatino Linotype" w:eastAsia="Palatino Linotype" w:hAnsi="Palatino Linotype" w:cs="Palatino Linotype"/>
          <w:color w:val="000000"/>
          <w:sz w:val="24"/>
          <w:szCs w:val="24"/>
        </w:rPr>
        <w:t xml:space="preserve"> </w:t>
      </w:r>
      <w:r w:rsidR="00677F79" w:rsidRPr="00AB4F12">
        <w:rPr>
          <w:rFonts w:ascii="Palatino Linotype" w:eastAsia="Palatino Linotype" w:hAnsi="Palatino Linotype" w:cs="Palatino Linotype"/>
          <w:color w:val="000000"/>
          <w:sz w:val="24"/>
          <w:szCs w:val="24"/>
        </w:rPr>
        <w:t>al veintisiete de septiembre de dos mil veintidós.</w:t>
      </w:r>
    </w:p>
    <w:p w:rsidR="004E2C55" w:rsidRPr="00AB4F12" w:rsidRDefault="00966F64">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Las acciones que han implementado para documentos electrónicos vigente al veintisiete de septiembre de dos mil veintidós. </w:t>
      </w:r>
    </w:p>
    <w:p w:rsidR="004E2C55" w:rsidRPr="00AB4F12" w:rsidRDefault="00966F64">
      <w:pPr>
        <w:numPr>
          <w:ilvl w:val="0"/>
          <w:numId w:val="3"/>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t xml:space="preserve">El plan para la preservación de documentos físicos y electrónicos vigente al veintisiete de septiembre de dos mil veintidós. </w:t>
      </w:r>
    </w:p>
    <w:p w:rsidR="004E2C55" w:rsidRPr="00AB4F12" w:rsidRDefault="00966F64" w:rsidP="00677F7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AB4F12">
        <w:rPr>
          <w:rFonts w:ascii="Palatino Linotype" w:eastAsia="Palatino Linotype" w:hAnsi="Palatino Linotype" w:cs="Palatino Linotype"/>
          <w:color w:val="000000"/>
          <w:sz w:val="24"/>
          <w:szCs w:val="24"/>
        </w:rPr>
        <w:lastRenderedPageBreak/>
        <w:t>Acuerdo de Inexistencia del Programa Anual de Desarrollo Archivístico, las actas que genera Sistema Institucional de Archivos, Cuadro de Clasificación Archivística y del Catálogo de Disposición Documental , en términos de los artículos 49, fracciones II y XIII, 169 y 170 de la Ley de Transparencia y Acceso a la Información Pública del Estado de México y Municipios.</w:t>
      </w:r>
    </w:p>
    <w:p w:rsidR="004E2C55" w:rsidRPr="00AB4F12" w:rsidRDefault="004E2C55">
      <w:pPr>
        <w:spacing w:before="160" w:after="0" w:line="360" w:lineRule="auto"/>
        <w:ind w:right="51"/>
        <w:jc w:val="both"/>
        <w:rPr>
          <w:rFonts w:ascii="Palatino Linotype" w:eastAsia="Palatino Linotype" w:hAnsi="Palatino Linotype" w:cs="Palatino Linotype"/>
          <w:color w:val="FF0000"/>
          <w:sz w:val="24"/>
          <w:szCs w:val="24"/>
        </w:rPr>
      </w:pPr>
    </w:p>
    <w:p w:rsidR="004E2C55" w:rsidRPr="00AB4F12" w:rsidRDefault="00966F64">
      <w:pPr>
        <w:spacing w:after="0" w:line="360" w:lineRule="auto"/>
        <w:ind w:right="51"/>
        <w:jc w:val="both"/>
        <w:rPr>
          <w:rFonts w:ascii="Palatino Linotype" w:eastAsia="Palatino Linotype" w:hAnsi="Palatino Linotype" w:cs="Palatino Linotype"/>
          <w:i/>
        </w:rPr>
      </w:pPr>
      <w:r w:rsidRPr="00AB4F12">
        <w:rPr>
          <w:rFonts w:ascii="Palatino Linotype" w:eastAsia="Palatino Linotype" w:hAnsi="Palatino Linotype" w:cs="Palatino Linotype"/>
          <w:i/>
        </w:rPr>
        <w:t xml:space="preserve">Para el caso de que el </w:t>
      </w:r>
      <w:r w:rsidRPr="00AB4F12">
        <w:rPr>
          <w:rFonts w:ascii="Palatino Linotype" w:eastAsia="Palatino Linotype" w:hAnsi="Palatino Linotype" w:cs="Palatino Linotype"/>
          <w:b/>
          <w:i/>
        </w:rPr>
        <w:t>Sujeto Obligado</w:t>
      </w:r>
      <w:r w:rsidRPr="00AB4F12">
        <w:rPr>
          <w:rFonts w:ascii="Palatino Linotype" w:eastAsia="Palatino Linotype" w:hAnsi="Palatino Linotype" w:cs="Palatino Linotype"/>
          <w:i/>
        </w:rPr>
        <w:t xml:space="preserve"> no cuente con la información que se ordena en los puntos 1) 3) y 4) deberá emitir el Acuerdo de Inexistencia, en términos de los artículos 169 y 170 de la Ley de Transparencia y Acceso a la Información Pública del Estado de México y Municipios.</w:t>
      </w:r>
    </w:p>
    <w:p w:rsidR="004E2C55" w:rsidRPr="00AB4F12" w:rsidRDefault="004E2C55">
      <w:pPr>
        <w:spacing w:after="0" w:line="360" w:lineRule="auto"/>
        <w:ind w:right="51"/>
        <w:jc w:val="both"/>
        <w:rPr>
          <w:rFonts w:ascii="Palatino Linotype" w:eastAsia="Palatino Linotype" w:hAnsi="Palatino Linotype" w:cs="Palatino Linotype"/>
          <w:color w:val="000000"/>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TERCERO.  Notifíquese vía SAIMEX, </w:t>
      </w:r>
      <w:r w:rsidRPr="00AB4F1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E2C55" w:rsidRPr="00AB4F12" w:rsidRDefault="004E2C55">
      <w:pPr>
        <w:spacing w:after="0" w:line="360" w:lineRule="auto"/>
        <w:jc w:val="both"/>
        <w:rPr>
          <w:rFonts w:ascii="Palatino Linotype" w:eastAsia="Palatino Linotype" w:hAnsi="Palatino Linotype" w:cs="Palatino Linotype"/>
          <w:b/>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 xml:space="preserve">CUARTO. </w:t>
      </w:r>
      <w:r w:rsidRPr="00AB4F1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w:t>
      </w:r>
      <w:r w:rsidRPr="00AB4F12">
        <w:rPr>
          <w:rFonts w:ascii="Palatino Linotype" w:eastAsia="Palatino Linotype" w:hAnsi="Palatino Linotype" w:cs="Palatino Linotype"/>
          <w:sz w:val="24"/>
          <w:szCs w:val="24"/>
        </w:rPr>
        <w:lastRenderedPageBreak/>
        <w:t xml:space="preserve">procedente, el </w:t>
      </w:r>
      <w:r w:rsidRPr="00AB4F12">
        <w:rPr>
          <w:rFonts w:ascii="Palatino Linotype" w:eastAsia="Palatino Linotype" w:hAnsi="Palatino Linotype" w:cs="Palatino Linotype"/>
          <w:b/>
          <w:sz w:val="24"/>
          <w:szCs w:val="24"/>
        </w:rPr>
        <w:t>Sujeto Obligado</w:t>
      </w:r>
      <w:r w:rsidRPr="00AB4F1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Pr="00AB4F12" w:rsidRDefault="00966F64">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b/>
          <w:sz w:val="24"/>
          <w:szCs w:val="24"/>
        </w:rPr>
        <w:t>QUINTO. Notifíquese, vía SAIMEX</w:t>
      </w:r>
      <w:r w:rsidRPr="00AB4F12">
        <w:rPr>
          <w:rFonts w:ascii="Palatino Linotype" w:eastAsia="Palatino Linotype" w:hAnsi="Palatino Linotype" w:cs="Palatino Linotype"/>
          <w:sz w:val="24"/>
          <w:szCs w:val="24"/>
        </w:rPr>
        <w:t xml:space="preserve"> a la parte RECURRENTE,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 vía recurso de inconformidad ante el Instituto Nacional de Transparencia, Acceso a la Información y Protección de Datos Personales, o bien, vía Juicio de Amparo en los términos de las leyes aplicables.</w:t>
      </w:r>
    </w:p>
    <w:p w:rsidR="004E2C55" w:rsidRPr="00AB4F12" w:rsidRDefault="004E2C55">
      <w:pPr>
        <w:spacing w:after="0" w:line="360" w:lineRule="auto"/>
        <w:jc w:val="both"/>
        <w:rPr>
          <w:rFonts w:ascii="Palatino Linotype" w:eastAsia="Palatino Linotype" w:hAnsi="Palatino Linotype" w:cs="Palatino Linotype"/>
          <w:sz w:val="24"/>
          <w:szCs w:val="24"/>
        </w:rPr>
      </w:pPr>
    </w:p>
    <w:p w:rsidR="004E2C55" w:rsidRDefault="00966F64" w:rsidP="0050004A">
      <w:pPr>
        <w:spacing w:after="0" w:line="360" w:lineRule="auto"/>
        <w:jc w:val="both"/>
        <w:rPr>
          <w:rFonts w:ascii="Palatino Linotype" w:eastAsia="Palatino Linotype" w:hAnsi="Palatino Linotype" w:cs="Palatino Linotype"/>
          <w:sz w:val="24"/>
          <w:szCs w:val="24"/>
        </w:rPr>
      </w:pPr>
      <w:r w:rsidRPr="00AB4F12">
        <w:rPr>
          <w:rFonts w:ascii="Palatino Linotype" w:eastAsia="Palatino Linotype" w:hAnsi="Palatino Linotype" w:cs="Palatino Linotype"/>
          <w:sz w:val="24"/>
          <w:szCs w:val="24"/>
        </w:rPr>
        <w:t xml:space="preserve">ASÍ LO RESUELVE, POR </w:t>
      </w:r>
      <w:r w:rsidR="00417FA2" w:rsidRPr="00AB4F12">
        <w:rPr>
          <w:rFonts w:ascii="Palatino Linotype" w:eastAsia="Palatino Linotype" w:hAnsi="Palatino Linotype" w:cs="Palatino Linotype"/>
          <w:sz w:val="24"/>
          <w:szCs w:val="24"/>
        </w:rPr>
        <w:t>UNANIMIDAD</w:t>
      </w:r>
      <w:r w:rsidRPr="00AB4F12">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AB4F12">
        <w:rPr>
          <w:rFonts w:ascii="Palatino Linotype" w:eastAsia="Palatino Linotype" w:hAnsi="Palatino Linotype" w:cs="Palatino Linotype"/>
          <w:sz w:val="24"/>
          <w:szCs w:val="24"/>
        </w:rPr>
        <w:t xml:space="preserve"> CON VOTO PARTICULAR</w:t>
      </w:r>
      <w:r w:rsidRPr="00AB4F12">
        <w:rPr>
          <w:rFonts w:ascii="Palatino Linotype" w:eastAsia="Palatino Linotype" w:hAnsi="Palatino Linotype" w:cs="Palatino Linotype"/>
          <w:sz w:val="24"/>
          <w:szCs w:val="24"/>
        </w:rPr>
        <w:t xml:space="preserve">, SHARON CRISTINA MORALES MARTÍNEZ; LUIS GUSTAVO PARRA NORIEGA Y GUADALUPE RAMÍREZ PEÑA; EN LA DÉCIMA SÉPTIMA SESIÓN ORDINARIA CELEBRADA EL DIEZ DE MAYO DE DOS MIL VEINTITRÉS, ANTE EL SECRETARIO TÉCNICO </w:t>
      </w:r>
      <w:r w:rsidR="0050004A" w:rsidRPr="00AB4F12">
        <w:rPr>
          <w:rFonts w:ascii="Palatino Linotype" w:eastAsia="Palatino Linotype" w:hAnsi="Palatino Linotype" w:cs="Palatino Linotype"/>
          <w:sz w:val="24"/>
          <w:szCs w:val="24"/>
        </w:rPr>
        <w:t>DEL PLENO, ALEXIS TAPIA RAMÍREZ</w:t>
      </w:r>
      <w:bookmarkStart w:id="2" w:name="_heading=h.gjdgxs" w:colFirst="0" w:colLast="0"/>
      <w:bookmarkEnd w:id="2"/>
      <w:r w:rsidR="0050004A" w:rsidRPr="00AB4F12">
        <w:rPr>
          <w:rFonts w:ascii="Palatino Linotype" w:eastAsia="Palatino Linotype" w:hAnsi="Palatino Linotype" w:cs="Palatino Linotype"/>
          <w:sz w:val="24"/>
          <w:szCs w:val="24"/>
        </w:rPr>
        <w:t>.</w:t>
      </w:r>
    </w:p>
    <w:p w:rsidR="00AB4F12" w:rsidRDefault="00AB4F12" w:rsidP="0050004A">
      <w:pPr>
        <w:spacing w:after="0" w:line="360" w:lineRule="auto"/>
        <w:jc w:val="both"/>
        <w:rPr>
          <w:rFonts w:ascii="Palatino Linotype" w:eastAsia="Palatino Linotype" w:hAnsi="Palatino Linotype" w:cs="Palatino Linotype"/>
          <w:sz w:val="24"/>
          <w:szCs w:val="24"/>
        </w:rPr>
      </w:pPr>
    </w:p>
    <w:p w:rsidR="00AB4F12" w:rsidRDefault="00AB4F12" w:rsidP="0050004A">
      <w:pPr>
        <w:spacing w:after="0" w:line="360" w:lineRule="auto"/>
        <w:jc w:val="both"/>
        <w:rPr>
          <w:rFonts w:ascii="Palatino Linotype" w:eastAsia="Palatino Linotype" w:hAnsi="Palatino Linotype" w:cs="Palatino Linotype"/>
          <w:sz w:val="24"/>
          <w:szCs w:val="24"/>
        </w:rPr>
      </w:pPr>
    </w:p>
    <w:p w:rsidR="00AB4F12" w:rsidRDefault="00AB4F12" w:rsidP="0050004A">
      <w:pPr>
        <w:spacing w:after="0" w:line="360" w:lineRule="auto"/>
        <w:jc w:val="both"/>
        <w:rPr>
          <w:rFonts w:ascii="Palatino Linotype" w:eastAsia="Palatino Linotype" w:hAnsi="Palatino Linotype" w:cs="Palatino Linotype"/>
          <w:sz w:val="24"/>
          <w:szCs w:val="24"/>
        </w:rPr>
      </w:pPr>
    </w:p>
    <w:sectPr w:rsidR="00AB4F12">
      <w:headerReference w:type="default" r:id="rId11"/>
      <w:footerReference w:type="default" r:id="rId12"/>
      <w:headerReference w:type="first" r:id="rId13"/>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A01" w:rsidRDefault="00AB1A01">
      <w:pPr>
        <w:spacing w:after="0" w:line="240" w:lineRule="auto"/>
      </w:pPr>
      <w:r>
        <w:separator/>
      </w:r>
    </w:p>
  </w:endnote>
  <w:endnote w:type="continuationSeparator" w:id="0">
    <w:p w:rsidR="00AB1A01" w:rsidRDefault="00AB1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01" w:rsidRDefault="00AB1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3341D">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3341D">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AB1A01" w:rsidRDefault="00AB1A0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A01" w:rsidRDefault="00AB1A01">
      <w:pPr>
        <w:spacing w:after="0" w:line="240" w:lineRule="auto"/>
      </w:pPr>
      <w:r>
        <w:separator/>
      </w:r>
    </w:p>
  </w:footnote>
  <w:footnote w:type="continuationSeparator" w:id="0">
    <w:p w:rsidR="00AB1A01" w:rsidRDefault="00AB1A01">
      <w:pPr>
        <w:spacing w:after="0" w:line="240" w:lineRule="auto"/>
      </w:pPr>
      <w:r>
        <w:continuationSeparator/>
      </w:r>
    </w:p>
  </w:footnote>
  <w:footnote w:id="1">
    <w:p w:rsidR="00AB1A01" w:rsidRDefault="00AB1A0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AB1A01" w:rsidRDefault="00AB1A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AB1A01" w:rsidRDefault="00AB1A0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26 de noviembre de 2020</w:t>
      </w:r>
    </w:p>
  </w:footnote>
  <w:footnote w:id="4">
    <w:p w:rsidR="00AB1A01" w:rsidRDefault="00AB1A0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“04/05/2016</w:t>
      </w:r>
    </w:p>
  </w:footnote>
  <w:footnote w:id="5">
    <w:p w:rsidR="00AB1A01" w:rsidRDefault="00AB1A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01" w:rsidRDefault="00AB1A01">
    <w:pPr>
      <w:widowControl w:val="0"/>
      <w:pBdr>
        <w:top w:val="nil"/>
        <w:left w:val="nil"/>
        <w:bottom w:val="nil"/>
        <w:right w:val="nil"/>
        <w:between w:val="nil"/>
      </w:pBdr>
      <w:spacing w:after="0" w:line="276" w:lineRule="auto"/>
      <w:rPr>
        <w:color w:val="000000"/>
      </w:rPr>
    </w:pPr>
  </w:p>
  <w:tbl>
    <w:tblPr>
      <w:tblStyle w:val="aa"/>
      <w:tblW w:w="10302" w:type="dxa"/>
      <w:tblInd w:w="-1281" w:type="dxa"/>
      <w:tblLayout w:type="fixed"/>
      <w:tblLook w:val="0400" w:firstRow="0" w:lastRow="0" w:firstColumn="0" w:lastColumn="0" w:noHBand="0" w:noVBand="1"/>
    </w:tblPr>
    <w:tblGrid>
      <w:gridCol w:w="5660"/>
      <w:gridCol w:w="4642"/>
    </w:tblGrid>
    <w:tr w:rsidR="00AB1A01">
      <w:trPr>
        <w:trHeight w:val="260"/>
      </w:trPr>
      <w:tc>
        <w:tcPr>
          <w:tcW w:w="5660" w:type="dxa"/>
        </w:tcPr>
        <w:p w:rsidR="00AB1A01" w:rsidRDefault="00AB1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60288" behindDoc="1" locked="0" layoutInCell="1" hidden="0" allowOverlap="1">
                <wp:simplePos x="0" y="0"/>
                <wp:positionH relativeFrom="column">
                  <wp:posOffset>-53338</wp:posOffset>
                </wp:positionH>
                <wp:positionV relativeFrom="paragraph">
                  <wp:posOffset>-176529</wp:posOffset>
                </wp:positionV>
                <wp:extent cx="7753350" cy="9942731"/>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42" w:type="dxa"/>
        </w:tcPr>
        <w:p w:rsidR="00AB1A01" w:rsidRDefault="00AB1A0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15659/INFOEM/IP/RR/2022.</w:t>
          </w:r>
        </w:p>
      </w:tc>
    </w:tr>
    <w:tr w:rsidR="00AB1A01">
      <w:trPr>
        <w:trHeight w:val="224"/>
      </w:trPr>
      <w:tc>
        <w:tcPr>
          <w:tcW w:w="5660" w:type="dxa"/>
        </w:tcPr>
        <w:p w:rsidR="00AB1A01" w:rsidRDefault="00AB1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AB1A01" w:rsidRDefault="00AB1A01">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AB1A01">
      <w:trPr>
        <w:trHeight w:val="278"/>
      </w:trPr>
      <w:tc>
        <w:tcPr>
          <w:tcW w:w="5660" w:type="dxa"/>
        </w:tcPr>
        <w:p w:rsidR="00AB1A01" w:rsidRDefault="00AB1A0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AB1A01" w:rsidRDefault="00AB1A01">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Lerma</w:t>
          </w:r>
        </w:p>
      </w:tc>
    </w:tr>
    <w:tr w:rsidR="00AB1A01">
      <w:trPr>
        <w:trHeight w:val="393"/>
      </w:trPr>
      <w:tc>
        <w:tcPr>
          <w:tcW w:w="5660" w:type="dxa"/>
        </w:tcPr>
        <w:p w:rsidR="00AB1A01" w:rsidRDefault="00AB1A0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AB1A01" w:rsidRDefault="00AB1A0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B1A01" w:rsidRDefault="00AB1A0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01" w:rsidRDefault="00AB1A01">
    <w:pPr>
      <w:widowControl w:val="0"/>
      <w:pBdr>
        <w:top w:val="nil"/>
        <w:left w:val="nil"/>
        <w:bottom w:val="nil"/>
        <w:right w:val="nil"/>
        <w:between w:val="nil"/>
      </w:pBdr>
      <w:spacing w:after="0" w:line="276" w:lineRule="auto"/>
      <w:rPr>
        <w:rFonts w:ascii="Cambria" w:eastAsia="Cambria" w:hAnsi="Cambria" w:cs="Cambria"/>
        <w:color w:val="000000"/>
      </w:rPr>
    </w:pPr>
  </w:p>
  <w:tbl>
    <w:tblPr>
      <w:tblStyle w:val="a9"/>
      <w:tblW w:w="10302" w:type="dxa"/>
      <w:tblInd w:w="-1281" w:type="dxa"/>
      <w:tblLayout w:type="fixed"/>
      <w:tblLook w:val="0400" w:firstRow="0" w:lastRow="0" w:firstColumn="0" w:lastColumn="0" w:noHBand="0" w:noVBand="1"/>
    </w:tblPr>
    <w:tblGrid>
      <w:gridCol w:w="5660"/>
      <w:gridCol w:w="4642"/>
    </w:tblGrid>
    <w:tr w:rsidR="00AB1A01">
      <w:trPr>
        <w:trHeight w:val="260"/>
      </w:trPr>
      <w:tc>
        <w:tcPr>
          <w:tcW w:w="5660" w:type="dxa"/>
        </w:tcPr>
        <w:p w:rsidR="00AB1A01" w:rsidRDefault="00AB1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AB1A01" w:rsidRDefault="00AB1A0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15659/INFOEM/IP/RR/2022.</w:t>
          </w:r>
        </w:p>
      </w:tc>
    </w:tr>
    <w:tr w:rsidR="00AB1A01">
      <w:trPr>
        <w:trHeight w:val="224"/>
      </w:trPr>
      <w:tc>
        <w:tcPr>
          <w:tcW w:w="5660" w:type="dxa"/>
        </w:tcPr>
        <w:p w:rsidR="00AB1A01" w:rsidRDefault="00AB1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AB1A01" w:rsidRDefault="00AB1A01" w:rsidP="00AB1A01">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 XXXXX</w:t>
          </w:r>
        </w:p>
      </w:tc>
    </w:tr>
    <w:tr w:rsidR="00AB1A01">
      <w:trPr>
        <w:trHeight w:val="278"/>
      </w:trPr>
      <w:tc>
        <w:tcPr>
          <w:tcW w:w="5660" w:type="dxa"/>
        </w:tcPr>
        <w:p w:rsidR="00AB1A01" w:rsidRDefault="00AB1A0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AB1A01" w:rsidRDefault="00AB1A01">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Lerma</w:t>
          </w:r>
        </w:p>
      </w:tc>
    </w:tr>
    <w:tr w:rsidR="00AB1A01">
      <w:trPr>
        <w:trHeight w:val="393"/>
      </w:trPr>
      <w:tc>
        <w:tcPr>
          <w:tcW w:w="5660" w:type="dxa"/>
        </w:tcPr>
        <w:p w:rsidR="00AB1A01" w:rsidRDefault="00AB1A0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AB1A01" w:rsidRDefault="00AB1A0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B1A01" w:rsidRDefault="00AB1A0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1312" behindDoc="1" locked="0" layoutInCell="1" hidden="0" allowOverlap="1">
          <wp:simplePos x="0" y="0"/>
          <wp:positionH relativeFrom="column">
            <wp:posOffset>-788669</wp:posOffset>
          </wp:positionH>
          <wp:positionV relativeFrom="paragraph">
            <wp:posOffset>-1572894</wp:posOffset>
          </wp:positionV>
          <wp:extent cx="7753350" cy="9942731"/>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C5545"/>
    <w:multiLevelType w:val="multilevel"/>
    <w:tmpl w:val="E432D7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EC32FDA"/>
    <w:multiLevelType w:val="multilevel"/>
    <w:tmpl w:val="F7AE8768"/>
    <w:lvl w:ilvl="0">
      <w:start w:val="2"/>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E062579"/>
    <w:multiLevelType w:val="multilevel"/>
    <w:tmpl w:val="9300E78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4B2B630B"/>
    <w:multiLevelType w:val="multilevel"/>
    <w:tmpl w:val="EBA84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F9E1A46"/>
    <w:multiLevelType w:val="multilevel"/>
    <w:tmpl w:val="2EF84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4D82DAC"/>
    <w:multiLevelType w:val="multilevel"/>
    <w:tmpl w:val="BBFC42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C55"/>
    <w:rsid w:val="001538EE"/>
    <w:rsid w:val="001E7AC9"/>
    <w:rsid w:val="00374E03"/>
    <w:rsid w:val="003F0DA5"/>
    <w:rsid w:val="00417FA2"/>
    <w:rsid w:val="004B3380"/>
    <w:rsid w:val="004E2C55"/>
    <w:rsid w:val="004E486E"/>
    <w:rsid w:val="0050004A"/>
    <w:rsid w:val="00677F79"/>
    <w:rsid w:val="009626D8"/>
    <w:rsid w:val="00966F64"/>
    <w:rsid w:val="00A827C9"/>
    <w:rsid w:val="00AB1A01"/>
    <w:rsid w:val="00AB4F12"/>
    <w:rsid w:val="00D3341D"/>
    <w:rsid w:val="00DA29CA"/>
    <w:rsid w:val="00DB3FE5"/>
    <w:rsid w:val="00E91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0DB1F-852A-45C4-9397-07C4AF2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92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45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B43"/>
  </w:style>
  <w:style w:type="paragraph" w:styleId="Piedepgina">
    <w:name w:val="footer"/>
    <w:basedOn w:val="Normal"/>
    <w:link w:val="PiedepginaCar"/>
    <w:uiPriority w:val="99"/>
    <w:unhideWhenUsed/>
    <w:rsid w:val="00645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B4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A4E93"/>
    <w:pPr>
      <w:ind w:left="720"/>
      <w:contextualSpacing/>
    </w:pPr>
  </w:style>
  <w:style w:type="paragraph" w:styleId="Listaconvietas2">
    <w:name w:val="List Bullet 2"/>
    <w:basedOn w:val="Normal"/>
    <w:uiPriority w:val="99"/>
    <w:semiHidden/>
    <w:unhideWhenUsed/>
    <w:rsid w:val="00064025"/>
    <w:pPr>
      <w:numPr>
        <w:numId w:val="4"/>
      </w:numPr>
      <w:spacing w:after="0" w:line="240" w:lineRule="auto"/>
      <w:contextualSpacing/>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1D5FA2"/>
    <w:rPr>
      <w:color w:val="0563C1" w:themeColor="hyperlink"/>
      <w:u w:val="single"/>
    </w:rPr>
  </w:style>
  <w:style w:type="character" w:styleId="Hipervnculovisitado">
    <w:name w:val="FollowedHyperlink"/>
    <w:basedOn w:val="Fuentedeprrafopredeter"/>
    <w:uiPriority w:val="99"/>
    <w:semiHidden/>
    <w:unhideWhenUsed/>
    <w:rsid w:val="001D5FA2"/>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B0923"/>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pomex.org.mx/ipo3/lgt/indice/DIFLERMA/art_92_vii/4.web?token=03Allukzhi1zRYwn8FGHH-hmvD3g4MJkrWlsP2XLveYikVxfbToYD3mFzghn-RyrwNPWDKvB6BpebvlCo9JoRln64gTGAPXGpTKbixt5d_NWUDh05-6HM363Pl5Lwd_lkT772EpUEowomEQBaC0V5qWvN5OpzaMS2D-WSp-rGmWUEQ8PldprOsoj-6waN6Yil1XvhRFaPn0_uWL8PA6eB6K9aw9FTVsqHuXg5S0xQDZtqTimNaYhl3B"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2sWSWeNXq5gu+fLH6hy9gmbh70w==">AMUW2mXoTTmirWEIb9d57nGyeOjAb+Rb9mhbxwP0oH7giuQoYjGYqd1oJNKAOUgWe99lFeG3v99DkHWpJHj4IenMz6N+jbzZSl4dsmmarDqL0+LWzg2Fw2qUjBRXRXvJcXDGorImTjGr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12491</Words>
  <Characters>68706</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2023-05-12T16:04:00Z</cp:lastPrinted>
  <dcterms:created xsi:type="dcterms:W3CDTF">2023-05-18T19:00:00Z</dcterms:created>
  <dcterms:modified xsi:type="dcterms:W3CDTF">2023-05-18T19:00:00Z</dcterms:modified>
</cp:coreProperties>
</file>