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7CAA" w:rsidRPr="00BA7457" w:rsidRDefault="00E27F02">
      <w:pPr>
        <w:spacing w:before="240" w:after="240"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BA7457">
        <w:rPr>
          <w:rFonts w:ascii="Palatino Linotype" w:eastAsia="Palatino Linotype" w:hAnsi="Palatino Linotype" w:cs="Palatino Linotype"/>
          <w:b/>
        </w:rPr>
        <w:t>quince de noviembre de dos mil veintitrés</w:t>
      </w:r>
      <w:r w:rsidRPr="00BA7457">
        <w:rPr>
          <w:rFonts w:ascii="Palatino Linotype" w:eastAsia="Palatino Linotype" w:hAnsi="Palatino Linotype" w:cs="Palatino Linotype"/>
        </w:rPr>
        <w:t xml:space="preserve">. </w:t>
      </w:r>
    </w:p>
    <w:p w:rsidR="00377CAA" w:rsidRPr="00BA7457" w:rsidRDefault="00E27F02">
      <w:pPr>
        <w:spacing w:before="240" w:after="240" w:line="360" w:lineRule="auto"/>
        <w:jc w:val="both"/>
        <w:rPr>
          <w:rFonts w:ascii="Palatino Linotype" w:eastAsia="Palatino Linotype" w:hAnsi="Palatino Linotype" w:cs="Palatino Linotype"/>
          <w:b/>
        </w:rPr>
      </w:pPr>
      <w:r w:rsidRPr="00BA7457">
        <w:rPr>
          <w:rFonts w:ascii="Palatino Linotype" w:eastAsia="Palatino Linotype" w:hAnsi="Palatino Linotype" w:cs="Palatino Linotype"/>
          <w:b/>
        </w:rPr>
        <w:t>Visto</w:t>
      </w:r>
      <w:r w:rsidRPr="00BA7457">
        <w:rPr>
          <w:rFonts w:ascii="Palatino Linotype" w:eastAsia="Palatino Linotype" w:hAnsi="Palatino Linotype" w:cs="Palatino Linotype"/>
        </w:rPr>
        <w:t xml:space="preserve"> el expediente formado con motivo del recurso de revisión </w:t>
      </w:r>
      <w:r w:rsidRPr="00BA7457">
        <w:rPr>
          <w:rFonts w:ascii="Palatino Linotype" w:eastAsia="Palatino Linotype" w:hAnsi="Palatino Linotype" w:cs="Palatino Linotype"/>
          <w:b/>
        </w:rPr>
        <w:t>01104/INFOEM/IP/RR/2023</w:t>
      </w:r>
      <w:r w:rsidRPr="00BA7457">
        <w:rPr>
          <w:rFonts w:ascii="Palatino Linotype" w:eastAsia="Palatino Linotype" w:hAnsi="Palatino Linotype" w:cs="Palatino Linotype"/>
        </w:rPr>
        <w:t>, interpuesto por</w:t>
      </w:r>
      <w:r w:rsidR="000C5338">
        <w:rPr>
          <w:rFonts w:ascii="Palatino Linotype" w:eastAsia="Palatino Linotype" w:hAnsi="Palatino Linotype" w:cs="Palatino Linotype"/>
          <w:b/>
        </w:rPr>
        <w:t xml:space="preserve"> XXXXXXXX XXXXX XXXXXXX</w:t>
      </w:r>
      <w:bookmarkStart w:id="0" w:name="_GoBack"/>
      <w:bookmarkEnd w:id="0"/>
      <w:r w:rsidRPr="00BA7457">
        <w:rPr>
          <w:rFonts w:ascii="Palatino Linotype" w:eastAsia="Palatino Linotype" w:hAnsi="Palatino Linotype" w:cs="Palatino Linotype"/>
        </w:rPr>
        <w:t xml:space="preserve">, en lo sucesivo </w:t>
      </w:r>
      <w:r w:rsidRPr="00BA7457">
        <w:rPr>
          <w:rFonts w:ascii="Palatino Linotype" w:eastAsia="Palatino Linotype" w:hAnsi="Palatino Linotype" w:cs="Palatino Linotype"/>
          <w:b/>
        </w:rPr>
        <w:t>la</w:t>
      </w:r>
      <w:r w:rsidRPr="00BA7457">
        <w:rPr>
          <w:rFonts w:ascii="Palatino Linotype" w:eastAsia="Palatino Linotype" w:hAnsi="Palatino Linotype" w:cs="Palatino Linotype"/>
        </w:rPr>
        <w:t xml:space="preserve"> </w:t>
      </w:r>
      <w:r w:rsidRPr="00BA7457">
        <w:rPr>
          <w:rFonts w:ascii="Palatino Linotype" w:eastAsia="Palatino Linotype" w:hAnsi="Palatino Linotype" w:cs="Palatino Linotype"/>
          <w:b/>
        </w:rPr>
        <w:t>parte</w:t>
      </w:r>
      <w:r w:rsidRPr="00BA7457">
        <w:rPr>
          <w:rFonts w:ascii="Palatino Linotype" w:eastAsia="Palatino Linotype" w:hAnsi="Palatino Linotype" w:cs="Palatino Linotype"/>
        </w:rPr>
        <w:t xml:space="preserve"> </w:t>
      </w:r>
      <w:r w:rsidRPr="00BA7457">
        <w:rPr>
          <w:rFonts w:ascii="Palatino Linotype" w:eastAsia="Palatino Linotype" w:hAnsi="Palatino Linotype" w:cs="Palatino Linotype"/>
          <w:b/>
        </w:rPr>
        <w:t>Recurrente,</w:t>
      </w:r>
      <w:r w:rsidRPr="00BA7457">
        <w:rPr>
          <w:rFonts w:ascii="Palatino Linotype" w:eastAsia="Palatino Linotype" w:hAnsi="Palatino Linotype" w:cs="Palatino Linotype"/>
        </w:rPr>
        <w:t xml:space="preserve"> en contra de la respuesta a su solicitud por parte del </w:t>
      </w:r>
      <w:r w:rsidRPr="00BA7457">
        <w:rPr>
          <w:rFonts w:ascii="Palatino Linotype" w:eastAsia="Palatino Linotype" w:hAnsi="Palatino Linotype" w:cs="Palatino Linotype"/>
          <w:b/>
        </w:rPr>
        <w:t xml:space="preserve">Ayuntamiento de Toluca, </w:t>
      </w:r>
      <w:r w:rsidRPr="00BA7457">
        <w:rPr>
          <w:rFonts w:ascii="Palatino Linotype" w:eastAsia="Palatino Linotype" w:hAnsi="Palatino Linotype" w:cs="Palatino Linotype"/>
        </w:rPr>
        <w:t xml:space="preserve">en lo sucesivo el </w:t>
      </w:r>
      <w:r w:rsidRPr="00BA7457">
        <w:rPr>
          <w:rFonts w:ascii="Palatino Linotype" w:eastAsia="Palatino Linotype" w:hAnsi="Palatino Linotype" w:cs="Palatino Linotype"/>
          <w:b/>
        </w:rPr>
        <w:t xml:space="preserve">Sujeto Obligado, </w:t>
      </w:r>
      <w:r w:rsidRPr="00BA7457">
        <w:rPr>
          <w:rFonts w:ascii="Palatino Linotype" w:eastAsia="Palatino Linotype" w:hAnsi="Palatino Linotype" w:cs="Palatino Linotype"/>
        </w:rPr>
        <w:t xml:space="preserve">se procede a dictar la presente resolución con base en los siguientes: </w:t>
      </w:r>
    </w:p>
    <w:p w:rsidR="00377CAA" w:rsidRPr="00BA7457" w:rsidRDefault="00E27F02">
      <w:pPr>
        <w:spacing w:before="240" w:after="240" w:line="360" w:lineRule="auto"/>
        <w:jc w:val="center"/>
        <w:rPr>
          <w:rFonts w:ascii="Palatino Linotype" w:eastAsia="Palatino Linotype" w:hAnsi="Palatino Linotype" w:cs="Palatino Linotype"/>
          <w:b/>
        </w:rPr>
      </w:pPr>
      <w:r w:rsidRPr="00BA7457">
        <w:rPr>
          <w:rFonts w:ascii="Palatino Linotype" w:eastAsia="Palatino Linotype" w:hAnsi="Palatino Linotype" w:cs="Palatino Linotype"/>
          <w:b/>
        </w:rPr>
        <w:t>I. A N T E C E D E N T E S</w:t>
      </w:r>
    </w:p>
    <w:p w:rsidR="00377CAA" w:rsidRPr="00BA7457" w:rsidRDefault="00E27F02">
      <w:pPr>
        <w:spacing w:before="240" w:after="240"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b/>
        </w:rPr>
        <w:t>1. Solicitud de acceso a la información.</w:t>
      </w:r>
      <w:r w:rsidRPr="00BA7457">
        <w:rPr>
          <w:rFonts w:ascii="Palatino Linotype" w:eastAsia="Palatino Linotype" w:hAnsi="Palatino Linotype" w:cs="Palatino Linotype"/>
        </w:rPr>
        <w:t xml:space="preserve"> El </w:t>
      </w:r>
      <w:r w:rsidRPr="00BA7457">
        <w:rPr>
          <w:rFonts w:ascii="Palatino Linotype" w:eastAsia="Palatino Linotype" w:hAnsi="Palatino Linotype" w:cs="Palatino Linotype"/>
          <w:b/>
        </w:rPr>
        <w:t>veintiséis de enero del dos mil veintitrés,</w:t>
      </w:r>
      <w:r w:rsidRPr="00BA7457">
        <w:rPr>
          <w:rFonts w:ascii="Palatino Linotype" w:eastAsia="Palatino Linotype" w:hAnsi="Palatino Linotype" w:cs="Palatino Linotype"/>
        </w:rPr>
        <w:t xml:space="preserve"> </w:t>
      </w:r>
      <w:r w:rsidRPr="00BA7457">
        <w:rPr>
          <w:rFonts w:ascii="Palatino Linotype" w:eastAsia="Palatino Linotype" w:hAnsi="Palatino Linotype" w:cs="Palatino Linotype"/>
          <w:b/>
        </w:rPr>
        <w:t xml:space="preserve">la parte Recurrente </w:t>
      </w:r>
      <w:r w:rsidRPr="00BA7457">
        <w:rPr>
          <w:rFonts w:ascii="Palatino Linotype" w:eastAsia="Palatino Linotype" w:hAnsi="Palatino Linotype" w:cs="Palatino Linotype"/>
        </w:rPr>
        <w:t xml:space="preserve">presentó, a través del Sistema de Acceso a la Información Mexiquense, en lo subsecuente el </w:t>
      </w:r>
      <w:r w:rsidRPr="00BA7457">
        <w:rPr>
          <w:rFonts w:ascii="Palatino Linotype" w:eastAsia="Palatino Linotype" w:hAnsi="Palatino Linotype" w:cs="Palatino Linotype"/>
          <w:b/>
        </w:rPr>
        <w:t>SAIMEX,</w:t>
      </w:r>
      <w:r w:rsidRPr="00BA7457">
        <w:rPr>
          <w:rFonts w:ascii="Palatino Linotype" w:eastAsia="Palatino Linotype" w:hAnsi="Palatino Linotype" w:cs="Palatino Linotype"/>
        </w:rPr>
        <w:t xml:space="preserve"> ante el </w:t>
      </w:r>
      <w:r w:rsidRPr="00BA7457">
        <w:rPr>
          <w:rFonts w:ascii="Palatino Linotype" w:eastAsia="Palatino Linotype" w:hAnsi="Palatino Linotype" w:cs="Palatino Linotype"/>
          <w:b/>
        </w:rPr>
        <w:t>Sujeto Obligado</w:t>
      </w:r>
      <w:r w:rsidRPr="00BA7457">
        <w:rPr>
          <w:rFonts w:ascii="Palatino Linotype" w:eastAsia="Palatino Linotype" w:hAnsi="Palatino Linotype" w:cs="Palatino Linotype"/>
        </w:rPr>
        <w:t>, la solicitud de acceso a la información pública, a la que se le asignó el número</w:t>
      </w:r>
      <w:r w:rsidRPr="00BA7457">
        <w:rPr>
          <w:rFonts w:ascii="Palatino Linotype" w:eastAsia="Palatino Linotype" w:hAnsi="Palatino Linotype" w:cs="Palatino Linotype"/>
          <w:b/>
        </w:rPr>
        <w:t xml:space="preserve"> 00267/TOLUCA/IP/2023, </w:t>
      </w:r>
      <w:r w:rsidRPr="00BA7457">
        <w:rPr>
          <w:rFonts w:ascii="Palatino Linotype" w:eastAsia="Palatino Linotype" w:hAnsi="Palatino Linotype" w:cs="Palatino Linotype"/>
        </w:rPr>
        <w:t xml:space="preserve">mediante la cual requirió la información siguiente: </w:t>
      </w:r>
    </w:p>
    <w:p w:rsidR="00377CAA" w:rsidRPr="00BA7457" w:rsidRDefault="00E27F02">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BA7457">
        <w:rPr>
          <w:rFonts w:ascii="Palatino Linotype" w:eastAsia="Palatino Linotype" w:hAnsi="Palatino Linotype" w:cs="Palatino Linotype"/>
          <w:i/>
          <w:sz w:val="22"/>
          <w:szCs w:val="22"/>
        </w:rPr>
        <w:t xml:space="preserve">“Buenas tardes, me pueden informar lo siguiente: 1. Se me entregue vía versión publica, </w:t>
      </w:r>
      <w:r w:rsidRPr="00BA7457">
        <w:rPr>
          <w:rFonts w:ascii="Palatino Linotype" w:eastAsia="Palatino Linotype" w:hAnsi="Palatino Linotype" w:cs="Palatino Linotype"/>
          <w:b/>
          <w:i/>
          <w:sz w:val="22"/>
          <w:szCs w:val="22"/>
          <w:u w:val="single"/>
        </w:rPr>
        <w:t>todos los documentos que acrediten la propiedad y posesión a favor del ayuntamiento sobre el inmueble que tienen registrado en el inventario de bienes inmuebles propiedad del municipio</w:t>
      </w:r>
      <w:r w:rsidRPr="00BA7457">
        <w:rPr>
          <w:rFonts w:ascii="Palatino Linotype" w:eastAsia="Palatino Linotype" w:hAnsi="Palatino Linotype" w:cs="Palatino Linotype"/>
          <w:i/>
          <w:sz w:val="22"/>
          <w:szCs w:val="22"/>
        </w:rPr>
        <w:t xml:space="preserve"> y que resulta ser el siguiente: “BODEGA ISSEMYM Y ÁREA VERDE” y que de acuerdo a dicho inventario, cuenta con clave catastral</w:t>
      </w:r>
      <w:r w:rsidRPr="00BA7457">
        <w:rPr>
          <w:rFonts w:ascii="Palatino Linotype" w:eastAsia="Palatino Linotype" w:hAnsi="Palatino Linotype" w:cs="Palatino Linotype"/>
          <w:b/>
          <w:i/>
          <w:sz w:val="22"/>
          <w:szCs w:val="22"/>
        </w:rPr>
        <w:t xml:space="preserve"> 101-05-201-01</w:t>
      </w:r>
      <w:r w:rsidRPr="00BA7457">
        <w:rPr>
          <w:rFonts w:ascii="Palatino Linotype" w:eastAsia="Palatino Linotype" w:hAnsi="Palatino Linotype" w:cs="Palatino Linotype"/>
          <w:i/>
          <w:sz w:val="22"/>
          <w:szCs w:val="22"/>
        </w:rPr>
        <w:t xml:space="preserve"> 2. Se me entregue vía versión pública, </w:t>
      </w:r>
      <w:r w:rsidRPr="00BA7457">
        <w:rPr>
          <w:rFonts w:ascii="Palatino Linotype" w:eastAsia="Palatino Linotype" w:hAnsi="Palatino Linotype" w:cs="Palatino Linotype"/>
          <w:b/>
          <w:i/>
          <w:sz w:val="22"/>
          <w:szCs w:val="22"/>
          <w:u w:val="single"/>
        </w:rPr>
        <w:t xml:space="preserve">todos los documentos y planos manzaneros o catastrales que acrediten las medidas, colindancias y superficie del inmueble y que de acuerdo a dicho inventario, cuenta con clave catastral </w:t>
      </w:r>
      <w:r w:rsidRPr="00BA7457">
        <w:rPr>
          <w:rFonts w:ascii="Palatino Linotype" w:eastAsia="Palatino Linotype" w:hAnsi="Palatino Linotype" w:cs="Palatino Linotype"/>
          <w:b/>
          <w:i/>
          <w:sz w:val="22"/>
          <w:szCs w:val="22"/>
        </w:rPr>
        <w:t>101-05-201-01</w:t>
      </w:r>
      <w:r w:rsidRPr="00BA7457">
        <w:rPr>
          <w:rFonts w:ascii="Palatino Linotype" w:eastAsia="Palatino Linotype" w:hAnsi="Palatino Linotype" w:cs="Palatino Linotype"/>
          <w:i/>
          <w:sz w:val="22"/>
          <w:szCs w:val="22"/>
        </w:rPr>
        <w:t xml:space="preserve"> 3. Se me entregue vía versión publica, </w:t>
      </w:r>
      <w:r w:rsidRPr="00BA7457">
        <w:rPr>
          <w:rFonts w:ascii="Palatino Linotype" w:eastAsia="Palatino Linotype" w:hAnsi="Palatino Linotype" w:cs="Palatino Linotype"/>
          <w:b/>
          <w:i/>
          <w:sz w:val="22"/>
          <w:szCs w:val="22"/>
          <w:u w:val="single"/>
        </w:rPr>
        <w:t>todos los documentos que acrediten la propiedad y posesión a favor del ayuntamiento sobre el inmueble que tienen registrado en el inventario de bienes inmuebles propiedad del</w:t>
      </w:r>
      <w:r w:rsidRPr="00BA7457">
        <w:rPr>
          <w:rFonts w:ascii="Palatino Linotype" w:eastAsia="Palatino Linotype" w:hAnsi="Palatino Linotype" w:cs="Palatino Linotype"/>
          <w:b/>
          <w:i/>
          <w:sz w:val="22"/>
          <w:szCs w:val="22"/>
        </w:rPr>
        <w:t xml:space="preserve"> </w:t>
      </w:r>
      <w:r w:rsidRPr="00BA7457">
        <w:rPr>
          <w:rFonts w:ascii="Palatino Linotype" w:eastAsia="Palatino Linotype" w:hAnsi="Palatino Linotype" w:cs="Palatino Linotype"/>
          <w:b/>
          <w:i/>
          <w:sz w:val="22"/>
          <w:szCs w:val="22"/>
          <w:u w:val="single"/>
        </w:rPr>
        <w:lastRenderedPageBreak/>
        <w:t>municipio y que resulta ser el siguiente: “SERVICIO PUBLICO ESTACIONAMIENTO Y MODULO DE INFORMACIÓN TURISTICA” y que de acuerdo a dicho inventario, cuenta con clave catastral</w:t>
      </w:r>
      <w:r w:rsidRPr="00BA7457">
        <w:rPr>
          <w:rFonts w:ascii="Palatino Linotype" w:eastAsia="Palatino Linotype" w:hAnsi="Palatino Linotype" w:cs="Palatino Linotype"/>
          <w:i/>
          <w:sz w:val="22"/>
          <w:szCs w:val="22"/>
        </w:rPr>
        <w:t xml:space="preserve"> </w:t>
      </w:r>
      <w:r w:rsidRPr="00BA7457">
        <w:rPr>
          <w:rFonts w:ascii="Palatino Linotype" w:eastAsia="Palatino Linotype" w:hAnsi="Palatino Linotype" w:cs="Palatino Linotype"/>
          <w:b/>
          <w:i/>
          <w:sz w:val="22"/>
          <w:szCs w:val="22"/>
        </w:rPr>
        <w:t>101-01-055-01</w:t>
      </w:r>
      <w:r w:rsidRPr="00BA7457">
        <w:rPr>
          <w:rFonts w:ascii="Palatino Linotype" w:eastAsia="Palatino Linotype" w:hAnsi="Palatino Linotype" w:cs="Palatino Linotype"/>
          <w:i/>
          <w:sz w:val="22"/>
          <w:szCs w:val="22"/>
        </w:rPr>
        <w:t xml:space="preserve"> 4. Se me entregue vía versión pública, </w:t>
      </w:r>
      <w:r w:rsidRPr="00BA7457">
        <w:rPr>
          <w:rFonts w:ascii="Palatino Linotype" w:eastAsia="Palatino Linotype" w:hAnsi="Palatino Linotype" w:cs="Palatino Linotype"/>
          <w:b/>
          <w:i/>
          <w:sz w:val="22"/>
          <w:szCs w:val="22"/>
          <w:u w:val="single"/>
        </w:rPr>
        <w:t>todos los documentos y planos manzaneros o catastrales que acrediten las medidas, colindancias y superficie del inmueble y que de acuerdo a dicho inventario, cuenta con clave catastral</w:t>
      </w:r>
      <w:r w:rsidRPr="00BA7457">
        <w:rPr>
          <w:rFonts w:ascii="Palatino Linotype" w:eastAsia="Palatino Linotype" w:hAnsi="Palatino Linotype" w:cs="Palatino Linotype"/>
          <w:b/>
          <w:i/>
          <w:sz w:val="22"/>
          <w:szCs w:val="22"/>
        </w:rPr>
        <w:t xml:space="preserve"> 101-01-055-01 </w:t>
      </w:r>
      <w:r w:rsidRPr="00BA7457">
        <w:rPr>
          <w:rFonts w:ascii="Palatino Linotype" w:eastAsia="Palatino Linotype" w:hAnsi="Palatino Linotype" w:cs="Palatino Linotype"/>
          <w:i/>
          <w:sz w:val="22"/>
          <w:szCs w:val="22"/>
        </w:rPr>
        <w:t xml:space="preserve">5. Se me entregue vía versión publica, </w:t>
      </w:r>
      <w:r w:rsidRPr="00BA7457">
        <w:rPr>
          <w:rFonts w:ascii="Palatino Linotype" w:eastAsia="Palatino Linotype" w:hAnsi="Palatino Linotype" w:cs="Palatino Linotype"/>
          <w:b/>
          <w:i/>
          <w:sz w:val="22"/>
          <w:szCs w:val="22"/>
          <w:u w:val="single"/>
        </w:rPr>
        <w:t>todos los documentos que acrediten la propiedad y posesión a favor del ayuntamiento sobre el inmueble que tienen registrado en el inventario de bienes inmuebles propiedad del municipio</w:t>
      </w:r>
      <w:r w:rsidRPr="00BA7457">
        <w:rPr>
          <w:rFonts w:ascii="Palatino Linotype" w:eastAsia="Palatino Linotype" w:hAnsi="Palatino Linotype" w:cs="Palatino Linotype"/>
          <w:i/>
          <w:sz w:val="22"/>
          <w:szCs w:val="22"/>
        </w:rPr>
        <w:t xml:space="preserve"> y que resulta ser el siguiente: “ESTACIONAMIENTO Y PLAZOLETA” y que de acuerdo a dicho inventario, cuenta con clave catastral </w:t>
      </w:r>
      <w:r w:rsidRPr="00BA7457">
        <w:rPr>
          <w:rFonts w:ascii="Palatino Linotype" w:eastAsia="Palatino Linotype" w:hAnsi="Palatino Linotype" w:cs="Palatino Linotype"/>
          <w:b/>
          <w:i/>
          <w:sz w:val="22"/>
          <w:szCs w:val="22"/>
        </w:rPr>
        <w:t>101-02-733-17</w:t>
      </w:r>
      <w:r w:rsidRPr="00BA7457">
        <w:rPr>
          <w:rFonts w:ascii="Palatino Linotype" w:eastAsia="Palatino Linotype" w:hAnsi="Palatino Linotype" w:cs="Palatino Linotype"/>
          <w:i/>
          <w:sz w:val="22"/>
          <w:szCs w:val="22"/>
        </w:rPr>
        <w:t xml:space="preserve"> 6. Se me entregue vía versión pública, </w:t>
      </w:r>
      <w:r w:rsidRPr="00BA7457">
        <w:rPr>
          <w:rFonts w:ascii="Palatino Linotype" w:eastAsia="Palatino Linotype" w:hAnsi="Palatino Linotype" w:cs="Palatino Linotype"/>
          <w:b/>
          <w:i/>
          <w:sz w:val="22"/>
          <w:szCs w:val="22"/>
          <w:u w:val="single"/>
        </w:rPr>
        <w:t>todos los documentos y planos manzaneros o catastrales que acrediten las medidas, colindancias y superficie del inmueble y que de acuerdo a dicho inventario, cuenta con clave catastral</w:t>
      </w:r>
      <w:r w:rsidRPr="00BA7457">
        <w:rPr>
          <w:rFonts w:ascii="Palatino Linotype" w:eastAsia="Palatino Linotype" w:hAnsi="Palatino Linotype" w:cs="Palatino Linotype"/>
          <w:i/>
          <w:sz w:val="22"/>
          <w:szCs w:val="22"/>
        </w:rPr>
        <w:t xml:space="preserve"> </w:t>
      </w:r>
      <w:r w:rsidRPr="00BA7457">
        <w:rPr>
          <w:rFonts w:ascii="Palatino Linotype" w:eastAsia="Palatino Linotype" w:hAnsi="Palatino Linotype" w:cs="Palatino Linotype"/>
          <w:b/>
          <w:i/>
          <w:sz w:val="22"/>
          <w:szCs w:val="22"/>
        </w:rPr>
        <w:t>101-02-733-17</w:t>
      </w:r>
      <w:r w:rsidRPr="00BA7457">
        <w:rPr>
          <w:rFonts w:ascii="Palatino Linotype" w:eastAsia="Palatino Linotype" w:hAnsi="Palatino Linotype" w:cs="Palatino Linotype"/>
          <w:i/>
          <w:sz w:val="22"/>
          <w:szCs w:val="22"/>
        </w:rPr>
        <w:t xml:space="preserve"> 7. Se me entregue vía versión publica, </w:t>
      </w:r>
      <w:r w:rsidRPr="00BA7457">
        <w:rPr>
          <w:rFonts w:ascii="Palatino Linotype" w:eastAsia="Palatino Linotype" w:hAnsi="Palatino Linotype" w:cs="Palatino Linotype"/>
          <w:b/>
          <w:i/>
          <w:sz w:val="22"/>
          <w:szCs w:val="22"/>
          <w:u w:val="single"/>
        </w:rPr>
        <w:t>todos los documentos que acrediten la propiedad y posesión a favor del ayuntamiento sobre el inmueble que tienen registrado en el inventario de bienes inmuebles propiedad del municipi</w:t>
      </w:r>
      <w:r w:rsidRPr="00BA7457">
        <w:rPr>
          <w:rFonts w:ascii="Palatino Linotype" w:eastAsia="Palatino Linotype" w:hAnsi="Palatino Linotype" w:cs="Palatino Linotype"/>
          <w:i/>
          <w:sz w:val="22"/>
          <w:szCs w:val="22"/>
        </w:rPr>
        <w:t xml:space="preserve">o y que resulta ser el siguiente: “ESTACIONAMIENTO” y que de acuerdo a dicho inventario, cuenta con clave catastral </w:t>
      </w:r>
      <w:r w:rsidRPr="00BA7457">
        <w:rPr>
          <w:rFonts w:ascii="Palatino Linotype" w:eastAsia="Palatino Linotype" w:hAnsi="Palatino Linotype" w:cs="Palatino Linotype"/>
          <w:b/>
          <w:i/>
          <w:sz w:val="22"/>
          <w:szCs w:val="22"/>
        </w:rPr>
        <w:t>101-03-214-31</w:t>
      </w:r>
      <w:r w:rsidRPr="00BA7457">
        <w:rPr>
          <w:rFonts w:ascii="Palatino Linotype" w:eastAsia="Palatino Linotype" w:hAnsi="Palatino Linotype" w:cs="Palatino Linotype"/>
          <w:i/>
          <w:sz w:val="22"/>
          <w:szCs w:val="22"/>
        </w:rPr>
        <w:t xml:space="preserve"> 8. Se me entregue vía versión pública, </w:t>
      </w:r>
      <w:r w:rsidRPr="00BA7457">
        <w:rPr>
          <w:rFonts w:ascii="Palatino Linotype" w:eastAsia="Palatino Linotype" w:hAnsi="Palatino Linotype" w:cs="Palatino Linotype"/>
          <w:b/>
          <w:i/>
          <w:sz w:val="22"/>
          <w:szCs w:val="22"/>
          <w:u w:val="single"/>
        </w:rPr>
        <w:t>todos los documentos y planos manzaneros o catastrales que acrediten las medidas, colindancias y superficie del inmueble y que de acuerdo a dicho inventario, cuenta con clave catastral</w:t>
      </w:r>
      <w:r w:rsidRPr="00BA7457">
        <w:rPr>
          <w:rFonts w:ascii="Palatino Linotype" w:eastAsia="Palatino Linotype" w:hAnsi="Palatino Linotype" w:cs="Palatino Linotype"/>
          <w:i/>
          <w:sz w:val="22"/>
          <w:szCs w:val="22"/>
        </w:rPr>
        <w:t xml:space="preserve"> </w:t>
      </w:r>
      <w:r w:rsidRPr="00BA7457">
        <w:rPr>
          <w:rFonts w:ascii="Palatino Linotype" w:eastAsia="Palatino Linotype" w:hAnsi="Palatino Linotype" w:cs="Palatino Linotype"/>
          <w:b/>
          <w:i/>
          <w:sz w:val="22"/>
          <w:szCs w:val="22"/>
        </w:rPr>
        <w:t>101-03-214-31</w:t>
      </w:r>
      <w:r w:rsidRPr="00BA7457">
        <w:rPr>
          <w:rFonts w:ascii="Palatino Linotype" w:eastAsia="Palatino Linotype" w:hAnsi="Palatino Linotype" w:cs="Palatino Linotype"/>
          <w:i/>
          <w:sz w:val="22"/>
          <w:szCs w:val="22"/>
        </w:rPr>
        <w:t xml:space="preserve"> 9. Se me entregue vía versión publica, </w:t>
      </w:r>
      <w:r w:rsidRPr="00BA7457">
        <w:rPr>
          <w:rFonts w:ascii="Palatino Linotype" w:eastAsia="Palatino Linotype" w:hAnsi="Palatino Linotype" w:cs="Palatino Linotype"/>
          <w:b/>
          <w:i/>
          <w:sz w:val="22"/>
          <w:szCs w:val="22"/>
          <w:u w:val="single"/>
        </w:rPr>
        <w:t>todos los documentos que acrediten la propiedad y posesión a favor del ayuntamiento sobre el inmueble que tienen registrado en el inventario de bienes inmuebles propiedad del municipio</w:t>
      </w:r>
      <w:r w:rsidRPr="00BA7457">
        <w:rPr>
          <w:rFonts w:ascii="Palatino Linotype" w:eastAsia="Palatino Linotype" w:hAnsi="Palatino Linotype" w:cs="Palatino Linotype"/>
          <w:i/>
          <w:sz w:val="22"/>
          <w:szCs w:val="22"/>
        </w:rPr>
        <w:t xml:space="preserve"> y que resulta ser el siguiente: “ESTACIONAMIENTO” y que de acuerdo a dicho inventario, cuenta con clave catastral </w:t>
      </w:r>
      <w:r w:rsidRPr="00BA7457">
        <w:rPr>
          <w:rFonts w:ascii="Palatino Linotype" w:eastAsia="Palatino Linotype" w:hAnsi="Palatino Linotype" w:cs="Palatino Linotype"/>
          <w:b/>
          <w:i/>
          <w:sz w:val="22"/>
          <w:szCs w:val="22"/>
        </w:rPr>
        <w:t>101-03-222-23</w:t>
      </w:r>
      <w:r w:rsidRPr="00BA7457">
        <w:rPr>
          <w:rFonts w:ascii="Palatino Linotype" w:eastAsia="Palatino Linotype" w:hAnsi="Palatino Linotype" w:cs="Palatino Linotype"/>
          <w:i/>
          <w:sz w:val="22"/>
          <w:szCs w:val="22"/>
        </w:rPr>
        <w:t xml:space="preserve"> 10. Se me entregue vía versión pública, </w:t>
      </w:r>
      <w:r w:rsidRPr="00BA7457">
        <w:rPr>
          <w:rFonts w:ascii="Palatino Linotype" w:eastAsia="Palatino Linotype" w:hAnsi="Palatino Linotype" w:cs="Palatino Linotype"/>
          <w:b/>
          <w:i/>
          <w:sz w:val="22"/>
          <w:szCs w:val="22"/>
          <w:u w:val="single"/>
        </w:rPr>
        <w:t>todos los documentos y planos manzaneros o catastrales que acrediten las medidas, colindancias y superficie del inmueble y que de acuerdo a dicho inventario, cuenta con clave catastral</w:t>
      </w:r>
      <w:r w:rsidRPr="00BA7457">
        <w:rPr>
          <w:rFonts w:ascii="Palatino Linotype" w:eastAsia="Palatino Linotype" w:hAnsi="Palatino Linotype" w:cs="Palatino Linotype"/>
          <w:i/>
          <w:sz w:val="22"/>
          <w:szCs w:val="22"/>
        </w:rPr>
        <w:t xml:space="preserve"> </w:t>
      </w:r>
      <w:r w:rsidRPr="00BA7457">
        <w:rPr>
          <w:rFonts w:ascii="Palatino Linotype" w:eastAsia="Palatino Linotype" w:hAnsi="Palatino Linotype" w:cs="Palatino Linotype"/>
          <w:b/>
          <w:i/>
          <w:sz w:val="22"/>
          <w:szCs w:val="22"/>
        </w:rPr>
        <w:t>101-03-222-23</w:t>
      </w:r>
      <w:r w:rsidRPr="00BA7457">
        <w:rPr>
          <w:rFonts w:ascii="Palatino Linotype" w:eastAsia="Palatino Linotype" w:hAnsi="Palatino Linotype" w:cs="Palatino Linotype"/>
          <w:i/>
          <w:sz w:val="22"/>
          <w:szCs w:val="22"/>
        </w:rPr>
        <w:t xml:space="preserve"> GRACIAS</w:t>
      </w:r>
      <w:r w:rsidRPr="00BA7457">
        <w:rPr>
          <w:rFonts w:ascii="Palatino Linotype" w:eastAsia="Palatino Linotype" w:hAnsi="Palatino Linotype" w:cs="Palatino Linotype"/>
          <w:b/>
          <w:i/>
          <w:sz w:val="22"/>
          <w:szCs w:val="22"/>
        </w:rPr>
        <w:t>.</w:t>
      </w:r>
      <w:r w:rsidRPr="00BA7457">
        <w:rPr>
          <w:rFonts w:ascii="Palatino Linotype" w:eastAsia="Palatino Linotype" w:hAnsi="Palatino Linotype" w:cs="Palatino Linotype"/>
          <w:i/>
          <w:sz w:val="22"/>
          <w:szCs w:val="22"/>
        </w:rPr>
        <w:t>” (Sic) (Énfasis añadido)</w:t>
      </w:r>
    </w:p>
    <w:p w:rsidR="00377CAA" w:rsidRPr="00BA7457" w:rsidRDefault="00E27F02">
      <w:pPr>
        <w:tabs>
          <w:tab w:val="left" w:pos="1080"/>
        </w:tabs>
        <w:spacing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rPr>
        <w:tab/>
      </w:r>
    </w:p>
    <w:p w:rsidR="00377CAA" w:rsidRPr="00BA7457" w:rsidRDefault="00E27F02">
      <w:pPr>
        <w:spacing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b/>
        </w:rPr>
        <w:t>Modalidad de Entrega:</w:t>
      </w:r>
      <w:r w:rsidRPr="00BA7457">
        <w:rPr>
          <w:rFonts w:ascii="Palatino Linotype" w:eastAsia="Palatino Linotype" w:hAnsi="Palatino Linotype" w:cs="Palatino Linotype"/>
        </w:rPr>
        <w:t xml:space="preserve"> A través de </w:t>
      </w:r>
      <w:r w:rsidRPr="00BA7457">
        <w:rPr>
          <w:rFonts w:ascii="Palatino Linotype" w:eastAsia="Palatino Linotype" w:hAnsi="Palatino Linotype" w:cs="Palatino Linotype"/>
          <w:b/>
        </w:rPr>
        <w:t>SAIMEX</w:t>
      </w:r>
      <w:r w:rsidRPr="00BA7457">
        <w:rPr>
          <w:rFonts w:ascii="Palatino Linotype" w:eastAsia="Palatino Linotype" w:hAnsi="Palatino Linotype" w:cs="Palatino Linotype"/>
        </w:rPr>
        <w:t>.</w:t>
      </w:r>
    </w:p>
    <w:p w:rsidR="00377CAA" w:rsidRPr="00BA7457" w:rsidRDefault="00377CAA">
      <w:pPr>
        <w:spacing w:line="360" w:lineRule="auto"/>
        <w:ind w:right="900"/>
        <w:rPr>
          <w:rFonts w:ascii="Palatino Linotype" w:eastAsia="Palatino Linotype" w:hAnsi="Palatino Linotype" w:cs="Palatino Linotype"/>
          <w:sz w:val="22"/>
          <w:szCs w:val="22"/>
        </w:rPr>
      </w:pPr>
    </w:p>
    <w:p w:rsidR="00377CAA" w:rsidRPr="00BA7457" w:rsidRDefault="00E27F02">
      <w:pPr>
        <w:spacing w:after="240" w:line="360" w:lineRule="auto"/>
        <w:jc w:val="both"/>
        <w:rPr>
          <w:rFonts w:ascii="Palatino Linotype" w:eastAsia="Palatino Linotype" w:hAnsi="Palatino Linotype" w:cs="Palatino Linotype"/>
          <w:b/>
        </w:rPr>
      </w:pPr>
      <w:r w:rsidRPr="00BA7457">
        <w:rPr>
          <w:rFonts w:ascii="Palatino Linotype" w:eastAsia="Palatino Linotype" w:hAnsi="Palatino Linotype" w:cs="Palatino Linotype"/>
          <w:b/>
        </w:rPr>
        <w:lastRenderedPageBreak/>
        <w:t xml:space="preserve">2. Respuesta. </w:t>
      </w:r>
      <w:r w:rsidRPr="00BA7457">
        <w:rPr>
          <w:rFonts w:ascii="Palatino Linotype" w:eastAsia="Palatino Linotype" w:hAnsi="Palatino Linotype" w:cs="Palatino Linotype"/>
        </w:rPr>
        <w:t xml:space="preserve">El </w:t>
      </w:r>
      <w:r w:rsidRPr="00BA7457">
        <w:rPr>
          <w:rFonts w:ascii="Palatino Linotype" w:eastAsia="Palatino Linotype" w:hAnsi="Palatino Linotype" w:cs="Palatino Linotype"/>
          <w:b/>
        </w:rPr>
        <w:t>diecisiete de febrero de dos mil veintitrés</w:t>
      </w:r>
      <w:r w:rsidRPr="00BA7457">
        <w:rPr>
          <w:rFonts w:ascii="Palatino Linotype" w:eastAsia="Palatino Linotype" w:hAnsi="Palatino Linotype" w:cs="Palatino Linotype"/>
        </w:rPr>
        <w:t xml:space="preserve">, el </w:t>
      </w:r>
      <w:r w:rsidRPr="00BA7457">
        <w:rPr>
          <w:rFonts w:ascii="Palatino Linotype" w:eastAsia="Palatino Linotype" w:hAnsi="Palatino Linotype" w:cs="Palatino Linotype"/>
          <w:b/>
        </w:rPr>
        <w:t xml:space="preserve">Sujeto Obligado </w:t>
      </w:r>
      <w:r w:rsidRPr="00BA7457">
        <w:rPr>
          <w:rFonts w:ascii="Palatino Linotype" w:eastAsia="Palatino Linotype" w:hAnsi="Palatino Linotype" w:cs="Palatino Linotype"/>
        </w:rPr>
        <w:t xml:space="preserve">remitió su respuesta a la solicitud de acceso a la información a través de SAIMEX, sustancialmente en los términos siguientes:   </w:t>
      </w:r>
    </w:p>
    <w:p w:rsidR="00377CAA" w:rsidRPr="00BA7457" w:rsidRDefault="00E27F02">
      <w:pPr>
        <w:spacing w:before="240" w:after="240"/>
        <w:ind w:left="567" w:right="902"/>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77CAA" w:rsidRPr="00BA7457" w:rsidRDefault="00E27F02">
      <w:pPr>
        <w:spacing w:before="240" w:after="240"/>
        <w:ind w:left="567" w:right="902"/>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En atención a la solicitud de información número 00267/TOLUCA/IP/2022, me permito adjuntar al presente la respuesta correspondiente. Sin más por el momento, le envío un cordial saludo.</w:t>
      </w:r>
    </w:p>
    <w:p w:rsidR="00377CAA" w:rsidRPr="00BA7457" w:rsidRDefault="00E27F02">
      <w:pPr>
        <w:spacing w:before="240" w:after="240"/>
        <w:ind w:left="567" w:right="902"/>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ATENTAMENTE</w:t>
      </w:r>
    </w:p>
    <w:p w:rsidR="00377CAA" w:rsidRPr="00BA7457" w:rsidRDefault="00E27F02">
      <w:pPr>
        <w:spacing w:before="240" w:after="240"/>
        <w:ind w:left="567" w:right="902"/>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 xml:space="preserve">Lic. Norma Sofía Pérez Martínez” (Sic) </w:t>
      </w:r>
    </w:p>
    <w:p w:rsidR="00377CAA" w:rsidRPr="00BA7457" w:rsidRDefault="00E27F02">
      <w:pPr>
        <w:spacing w:before="240" w:after="240"/>
        <w:ind w:left="567" w:right="902"/>
        <w:jc w:val="both"/>
        <w:rPr>
          <w:rFonts w:ascii="Palatino Linotype" w:eastAsia="Palatino Linotype" w:hAnsi="Palatino Linotype" w:cs="Palatino Linotype"/>
          <w:b/>
          <w:sz w:val="22"/>
          <w:szCs w:val="22"/>
        </w:rPr>
      </w:pPr>
      <w:r w:rsidRPr="00BA7457">
        <w:rPr>
          <w:rFonts w:ascii="Palatino Linotype" w:eastAsia="Palatino Linotype" w:hAnsi="Palatino Linotype" w:cs="Palatino Linotype"/>
          <w:b/>
          <w:sz w:val="22"/>
          <w:szCs w:val="22"/>
        </w:rPr>
        <w:t xml:space="preserve">Archivos adjuntos: </w:t>
      </w:r>
    </w:p>
    <w:p w:rsidR="00377CAA" w:rsidRPr="00BA7457" w:rsidRDefault="00E27F02">
      <w:pPr>
        <w:spacing w:before="240" w:after="240" w:line="360" w:lineRule="auto"/>
        <w:ind w:left="567" w:right="902"/>
        <w:jc w:val="both"/>
        <w:rPr>
          <w:rFonts w:ascii="Palatino Linotype" w:eastAsia="Palatino Linotype" w:hAnsi="Palatino Linotype" w:cs="Palatino Linotype"/>
          <w:b/>
          <w:u w:val="single"/>
        </w:rPr>
      </w:pPr>
      <w:r w:rsidRPr="00BA7457">
        <w:rPr>
          <w:rFonts w:ascii="Palatino Linotype" w:eastAsia="Palatino Linotype" w:hAnsi="Palatino Linotype" w:cs="Palatino Linotype"/>
          <w:b/>
          <w:i/>
          <w:sz w:val="22"/>
          <w:szCs w:val="22"/>
        </w:rPr>
        <w:t xml:space="preserve">“Acta 165.pdf”: </w:t>
      </w:r>
      <w:r w:rsidRPr="00BA7457">
        <w:rPr>
          <w:rFonts w:ascii="Palatino Linotype" w:eastAsia="Palatino Linotype" w:hAnsi="Palatino Linotype" w:cs="Palatino Linotype"/>
        </w:rPr>
        <w:t xml:space="preserve">Acta de la Centésima Sexagésima Quinta Sesión Extraordinaria 2023 del Comité de Transparencia del Municipio de Toluca Administración 2022-2024, mediante la cual </w:t>
      </w:r>
      <w:r w:rsidRPr="00BA7457">
        <w:rPr>
          <w:rFonts w:ascii="Palatino Linotype" w:eastAsia="Palatino Linotype" w:hAnsi="Palatino Linotype" w:cs="Palatino Linotype"/>
          <w:b/>
          <w:u w:val="single"/>
        </w:rPr>
        <w:t>clasifica como reservada la información solicitada por cuanto hace a las claves catastrales 101-05-201-01 y 101-02-733-17.</w:t>
      </w:r>
    </w:p>
    <w:p w:rsidR="00377CAA" w:rsidRPr="00BA7457" w:rsidRDefault="00E27F02">
      <w:pPr>
        <w:spacing w:before="240" w:after="240" w:line="360" w:lineRule="auto"/>
        <w:ind w:left="567" w:right="902"/>
        <w:jc w:val="both"/>
        <w:rPr>
          <w:rFonts w:ascii="Palatino Linotype" w:eastAsia="Palatino Linotype" w:hAnsi="Palatino Linotype" w:cs="Palatino Linotype"/>
        </w:rPr>
      </w:pPr>
      <w:r w:rsidRPr="00BA7457">
        <w:rPr>
          <w:rFonts w:ascii="Palatino Linotype" w:eastAsia="Palatino Linotype" w:hAnsi="Palatino Linotype" w:cs="Palatino Linotype"/>
          <w:b/>
          <w:i/>
          <w:sz w:val="22"/>
          <w:szCs w:val="22"/>
        </w:rPr>
        <w:t xml:space="preserve">“Respuesta 267.pdf”: </w:t>
      </w:r>
      <w:r w:rsidRPr="00BA7457">
        <w:rPr>
          <w:rFonts w:ascii="Palatino Linotype" w:eastAsia="Palatino Linotype" w:hAnsi="Palatino Linotype" w:cs="Palatino Linotype"/>
        </w:rPr>
        <w:t>Documento que se compone de cuatro fojas y en él se aprecian los siguientes pronunciamientos de los servidores públicos adscritos a la Tesorería Municipal y Secretaría del Ayuntamiento, medularmente señalan lo siguiente:</w:t>
      </w:r>
    </w:p>
    <w:p w:rsidR="00377CAA" w:rsidRPr="00BA7457" w:rsidRDefault="00E27F02">
      <w:pPr>
        <w:spacing w:before="240" w:after="240" w:line="276" w:lineRule="auto"/>
        <w:ind w:left="567" w:right="902"/>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 xml:space="preserve">“…se detectó que los inmuebles descritos con clave catastral 101 01 055 01, 101 03 214 31, 101 03 214 31, 101 03 214 31, 101 03 222 23, 101 03 222 23, no </w:t>
      </w:r>
      <w:r w:rsidRPr="00BA7457">
        <w:rPr>
          <w:rFonts w:ascii="Palatino Linotype" w:eastAsia="Palatino Linotype" w:hAnsi="Palatino Linotype" w:cs="Palatino Linotype"/>
          <w:i/>
          <w:sz w:val="22"/>
          <w:szCs w:val="22"/>
        </w:rPr>
        <w:lastRenderedPageBreak/>
        <w:t>corresponden con la descripción del domicilio referido por el solicitante, por tanto, dicha autoridad municipal, se encuentra imposibilitada en proporcionar la información requerida.</w:t>
      </w:r>
    </w:p>
    <w:p w:rsidR="00377CAA" w:rsidRPr="00BA7457" w:rsidRDefault="00E27F02">
      <w:pPr>
        <w:spacing w:before="240" w:after="240" w:line="276" w:lineRule="auto"/>
        <w:ind w:left="567" w:right="902"/>
        <w:jc w:val="both"/>
        <w:rPr>
          <w:rFonts w:ascii="Palatino Linotype" w:eastAsia="Palatino Linotype" w:hAnsi="Palatino Linotype" w:cs="Palatino Linotype"/>
          <w:b/>
          <w:i/>
          <w:sz w:val="22"/>
          <w:szCs w:val="22"/>
          <w:u w:val="single"/>
        </w:rPr>
      </w:pPr>
      <w:r w:rsidRPr="00BA7457">
        <w:rPr>
          <w:rFonts w:ascii="Palatino Linotype" w:eastAsia="Palatino Linotype" w:hAnsi="Palatino Linotype" w:cs="Palatino Linotype"/>
          <w:b/>
          <w:i/>
          <w:sz w:val="22"/>
          <w:szCs w:val="22"/>
          <w:u w:val="single"/>
        </w:rPr>
        <w:t>En cuanto a los inmuebles referidos, con Clave Catastral 101 05 201 01 y 101 02 733 17, advierte que, se encuentran ante un Procedimiento Jurídico de Escrituración, ante ello, no es posible remitir información hasta en tanto culmine dicho procedimiento.</w:t>
      </w:r>
    </w:p>
    <w:p w:rsidR="00377CAA" w:rsidRPr="00BA7457" w:rsidRDefault="00E27F02">
      <w:pPr>
        <w:spacing w:before="240" w:after="240" w:line="276" w:lineRule="auto"/>
        <w:ind w:left="567" w:right="902"/>
        <w:jc w:val="both"/>
        <w:rPr>
          <w:rFonts w:ascii="Palatino Linotype" w:eastAsia="Palatino Linotype" w:hAnsi="Palatino Linotype" w:cs="Palatino Linotype"/>
        </w:rPr>
      </w:pPr>
      <w:r w:rsidRPr="00BA7457">
        <w:rPr>
          <w:rFonts w:ascii="Palatino Linotype" w:eastAsia="Palatino Linotype" w:hAnsi="Palatino Linotype" w:cs="Palatino Linotype"/>
          <w:i/>
          <w:sz w:val="22"/>
          <w:szCs w:val="22"/>
        </w:rPr>
        <w:t>Por su parte, la Secretaría del Ayuntamiento y Servidor Público Habilitado, informó que respecto a los documentos que acrediten la propiedad y posesión a favor del ayuntamiento sobre varios inmuebles que tienen registrado en el inventario de bienes inmuebles propiedad del municipio, esta se encuentra clasificada como reservada, toda vez que se encuentra en proceso administrativo, quedando bajo el acuerdo AT/CT/02/2023 de la Centésima Sexagésima Quinta Sesión Extraordinaria del Comité de Transparencia del Municipio de Toluca, de fecha diecisiete de febrero del dos mil veintitrés...” (Énfasis añadido)</w:t>
      </w:r>
    </w:p>
    <w:p w:rsidR="00377CAA" w:rsidRPr="00BA7457" w:rsidRDefault="00E27F02">
      <w:pPr>
        <w:spacing w:before="240" w:after="240" w:line="360" w:lineRule="auto"/>
        <w:ind w:right="49"/>
        <w:jc w:val="both"/>
        <w:rPr>
          <w:rFonts w:ascii="Palatino Linotype" w:eastAsia="Palatino Linotype" w:hAnsi="Palatino Linotype" w:cs="Palatino Linotype"/>
        </w:rPr>
      </w:pPr>
      <w:r w:rsidRPr="00BA7457">
        <w:rPr>
          <w:rFonts w:ascii="Palatino Linotype" w:eastAsia="Palatino Linotype" w:hAnsi="Palatino Linotype" w:cs="Palatino Linotype"/>
          <w:b/>
        </w:rPr>
        <w:t xml:space="preserve">3. Interposición del recurso de revisión. </w:t>
      </w:r>
      <w:r w:rsidRPr="00BA7457">
        <w:rPr>
          <w:rFonts w:ascii="Palatino Linotype" w:eastAsia="Palatino Linotype" w:hAnsi="Palatino Linotype" w:cs="Palatino Linotype"/>
        </w:rPr>
        <w:t xml:space="preserve">Inconforme con los términos de la respuesta emitida por parte del </w:t>
      </w:r>
      <w:r w:rsidRPr="00BA7457">
        <w:rPr>
          <w:rFonts w:ascii="Palatino Linotype" w:eastAsia="Palatino Linotype" w:hAnsi="Palatino Linotype" w:cs="Palatino Linotype"/>
          <w:b/>
        </w:rPr>
        <w:t>Sujeto Obligado</w:t>
      </w:r>
      <w:r w:rsidRPr="00BA7457">
        <w:rPr>
          <w:rFonts w:ascii="Palatino Linotype" w:eastAsia="Palatino Linotype" w:hAnsi="Palatino Linotype" w:cs="Palatino Linotype"/>
        </w:rPr>
        <w:t xml:space="preserve">, el </w:t>
      </w:r>
      <w:r w:rsidRPr="00BA7457">
        <w:rPr>
          <w:rFonts w:ascii="Palatino Linotype" w:eastAsia="Palatino Linotype" w:hAnsi="Palatino Linotype" w:cs="Palatino Linotype"/>
          <w:b/>
        </w:rPr>
        <w:t>veintisiete de febrero de dos mil veintitrés,</w:t>
      </w:r>
      <w:r w:rsidRPr="00BA7457">
        <w:rPr>
          <w:rFonts w:ascii="Palatino Linotype" w:eastAsia="Palatino Linotype" w:hAnsi="Palatino Linotype" w:cs="Palatino Linotype"/>
        </w:rPr>
        <w:t xml:space="preserve"> </w:t>
      </w:r>
      <w:r w:rsidRPr="00BA7457">
        <w:rPr>
          <w:rFonts w:ascii="Palatino Linotype" w:eastAsia="Palatino Linotype" w:hAnsi="Palatino Linotype" w:cs="Palatino Linotype"/>
          <w:b/>
        </w:rPr>
        <w:t>la parte Recurrente</w:t>
      </w:r>
      <w:r w:rsidRPr="00BA7457">
        <w:rPr>
          <w:rFonts w:ascii="Palatino Linotype" w:eastAsia="Palatino Linotype" w:hAnsi="Palatino Linotype" w:cs="Palatino Linotype"/>
        </w:rPr>
        <w:t xml:space="preserve"> interpuso el recurso de revisión a través de </w:t>
      </w:r>
      <w:r w:rsidRPr="00BA7457">
        <w:rPr>
          <w:rFonts w:ascii="Palatino Linotype" w:eastAsia="Palatino Linotype" w:hAnsi="Palatino Linotype" w:cs="Palatino Linotype"/>
          <w:b/>
        </w:rPr>
        <w:t xml:space="preserve">SAIMEX, </w:t>
      </w:r>
      <w:r w:rsidRPr="00BA7457">
        <w:rPr>
          <w:rFonts w:ascii="Palatino Linotype" w:eastAsia="Palatino Linotype" w:hAnsi="Palatino Linotype" w:cs="Palatino Linotype"/>
        </w:rPr>
        <w:t>en donde se manifestó de la siguiente manera:</w:t>
      </w:r>
    </w:p>
    <w:p w:rsidR="00377CAA" w:rsidRPr="00BA7457" w:rsidRDefault="00E27F02">
      <w:pPr>
        <w:tabs>
          <w:tab w:val="left" w:pos="2745"/>
        </w:tabs>
        <w:spacing w:before="240" w:after="240" w:line="360" w:lineRule="auto"/>
        <w:jc w:val="both"/>
        <w:rPr>
          <w:rFonts w:ascii="Palatino Linotype" w:eastAsia="Palatino Linotype" w:hAnsi="Palatino Linotype" w:cs="Palatino Linotype"/>
          <w:b/>
        </w:rPr>
      </w:pPr>
      <w:r w:rsidRPr="00BA7457">
        <w:rPr>
          <w:rFonts w:ascii="Palatino Linotype" w:eastAsia="Palatino Linotype" w:hAnsi="Palatino Linotype" w:cs="Palatino Linotype"/>
          <w:b/>
        </w:rPr>
        <w:t xml:space="preserve">a) Acto impugnado: </w:t>
      </w:r>
      <w:r w:rsidRPr="00BA7457">
        <w:rPr>
          <w:rFonts w:ascii="Palatino Linotype" w:eastAsia="Palatino Linotype" w:hAnsi="Palatino Linotype" w:cs="Palatino Linotype"/>
          <w:b/>
        </w:rPr>
        <w:tab/>
      </w:r>
    </w:p>
    <w:p w:rsidR="00377CAA" w:rsidRPr="00BA7457" w:rsidRDefault="00E27F02">
      <w:pPr>
        <w:ind w:left="567" w:right="902"/>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“La reserva de información por considerarla confidencial” (Sic)</w:t>
      </w:r>
    </w:p>
    <w:p w:rsidR="00377CAA" w:rsidRPr="00BA7457" w:rsidRDefault="00377CAA">
      <w:pPr>
        <w:ind w:left="851" w:right="902"/>
        <w:jc w:val="both"/>
        <w:rPr>
          <w:rFonts w:ascii="Palatino Linotype" w:eastAsia="Palatino Linotype" w:hAnsi="Palatino Linotype" w:cs="Palatino Linotype"/>
          <w:i/>
          <w:sz w:val="22"/>
          <w:szCs w:val="22"/>
        </w:rPr>
      </w:pPr>
    </w:p>
    <w:p w:rsidR="00377CAA" w:rsidRPr="00BA7457" w:rsidRDefault="00E27F02">
      <w:pPr>
        <w:spacing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b/>
        </w:rPr>
        <w:t>b) Razones o motivos de inconformidad</w:t>
      </w:r>
      <w:r w:rsidRPr="00BA7457">
        <w:rPr>
          <w:rFonts w:ascii="Palatino Linotype" w:eastAsia="Palatino Linotype" w:hAnsi="Palatino Linotype" w:cs="Palatino Linotype"/>
        </w:rPr>
        <w:t>:</w:t>
      </w:r>
    </w:p>
    <w:p w:rsidR="00377CAA" w:rsidRPr="00BA7457" w:rsidRDefault="00E27F02">
      <w:pPr>
        <w:ind w:left="567" w:right="902"/>
        <w:jc w:val="both"/>
        <w:rPr>
          <w:rFonts w:ascii="Palatino Linotype" w:eastAsia="Palatino Linotype" w:hAnsi="Palatino Linotype" w:cs="Palatino Linotype"/>
          <w:i/>
          <w:sz w:val="22"/>
          <w:szCs w:val="22"/>
        </w:rPr>
      </w:pPr>
      <w:bookmarkStart w:id="2" w:name="_heading=h.30j0zll" w:colFirst="0" w:colLast="0"/>
      <w:bookmarkEnd w:id="2"/>
      <w:r w:rsidRPr="00BA7457">
        <w:rPr>
          <w:rFonts w:ascii="Palatino Linotype" w:eastAsia="Palatino Linotype" w:hAnsi="Palatino Linotype" w:cs="Palatino Linotype"/>
          <w:i/>
          <w:sz w:val="22"/>
          <w:szCs w:val="22"/>
        </w:rPr>
        <w:t xml:space="preserve"> “Solicite al ayuntamiento de Toluca la entrega de documentación en versión pública que acredite la propiedad y posesión a su favor de diversos bienes que aparecen expresamente dentro de su inventario de bienes inmuebles, sin embargo, </w:t>
      </w:r>
      <w:r w:rsidRPr="00BA7457">
        <w:rPr>
          <w:rFonts w:ascii="Palatino Linotype" w:eastAsia="Palatino Linotype" w:hAnsi="Palatino Linotype" w:cs="Palatino Linotype"/>
          <w:b/>
          <w:i/>
          <w:sz w:val="22"/>
          <w:szCs w:val="22"/>
          <w:u w:val="single"/>
        </w:rPr>
        <w:t xml:space="preserve">el ayuntamiento reservó y clasificó la información solicitada, argumentando que se encontraba impedido para entregarme dicha información porque los inmuebles de los cuales solicite información, se encontraban en trámites o </w:t>
      </w:r>
      <w:r w:rsidRPr="00BA7457">
        <w:rPr>
          <w:rFonts w:ascii="Palatino Linotype" w:eastAsia="Palatino Linotype" w:hAnsi="Palatino Linotype" w:cs="Palatino Linotype"/>
          <w:b/>
          <w:i/>
          <w:sz w:val="22"/>
          <w:szCs w:val="22"/>
          <w:u w:val="single"/>
        </w:rPr>
        <w:lastRenderedPageBreak/>
        <w:t>procesos judiciales, pero en ningún momento me demostraron: 1. Cual o cuáles son los números de expedientes que radicaron por cada uno de dichos inmuebles, 2. En qué juzgado fueron radicados, 3. Qué tipo de juicios iniciaron 4. La fecha de inicio de dichos procedimientos 5. La etapa procesal de cada uno de dichos procedimientos Lo anterior estimó básico para determinar si dicha respuesta era válida o no, ya que no se tiene certeza de la fecha de inicio de dichos procedimientos. Aunado a lo anterior, debe decirse que el ayuntamiento no explica porque la entrega de dicha información en versión pública, afectará la resolución de dichos juicios, ya que lo único que se solicito fue la entrega de los documentos en versión pública</w:t>
      </w:r>
      <w:r w:rsidRPr="00BA7457">
        <w:rPr>
          <w:rFonts w:ascii="Palatino Linotype" w:eastAsia="Palatino Linotype" w:hAnsi="Palatino Linotype" w:cs="Palatino Linotype"/>
          <w:i/>
          <w:sz w:val="22"/>
          <w:szCs w:val="22"/>
        </w:rPr>
        <w:t xml:space="preserve"> (testando todos aquellos datos que incluyan nombres o datos sensibles); mismos que independientemente de que se encuentren en un juicio, el ayuntamiento tiene la obligación de tener una copia debidamente certificada en sus archivos.”</w:t>
      </w:r>
      <w:r w:rsidRPr="00BA7457">
        <w:rPr>
          <w:rFonts w:ascii="Palatino Linotype" w:eastAsia="Palatino Linotype" w:hAnsi="Palatino Linotype" w:cs="Palatino Linotype"/>
          <w:b/>
          <w:i/>
          <w:sz w:val="22"/>
          <w:szCs w:val="22"/>
        </w:rPr>
        <w:t xml:space="preserve"> </w:t>
      </w:r>
      <w:r w:rsidRPr="00BA7457">
        <w:rPr>
          <w:rFonts w:ascii="Palatino Linotype" w:eastAsia="Palatino Linotype" w:hAnsi="Palatino Linotype" w:cs="Palatino Linotype"/>
          <w:i/>
          <w:sz w:val="22"/>
          <w:szCs w:val="22"/>
        </w:rPr>
        <w:t>(Sic) (Énfasis añadido)</w:t>
      </w:r>
    </w:p>
    <w:p w:rsidR="00377CAA" w:rsidRPr="00BA7457" w:rsidRDefault="00377CAA">
      <w:pPr>
        <w:ind w:left="567" w:right="902"/>
        <w:jc w:val="both"/>
        <w:rPr>
          <w:rFonts w:ascii="Palatino Linotype" w:eastAsia="Palatino Linotype" w:hAnsi="Palatino Linotype" w:cs="Palatino Linotype"/>
          <w:i/>
          <w:sz w:val="22"/>
          <w:szCs w:val="22"/>
        </w:rPr>
      </w:pPr>
    </w:p>
    <w:p w:rsidR="00377CAA" w:rsidRPr="00BA7457" w:rsidRDefault="00377CAA">
      <w:pPr>
        <w:ind w:left="851" w:right="902"/>
        <w:jc w:val="both"/>
        <w:rPr>
          <w:rFonts w:ascii="Palatino Linotype" w:eastAsia="Palatino Linotype" w:hAnsi="Palatino Linotype" w:cs="Palatino Linotype"/>
          <w:i/>
          <w:sz w:val="22"/>
          <w:szCs w:val="22"/>
        </w:rPr>
      </w:pPr>
    </w:p>
    <w:p w:rsidR="00377CAA" w:rsidRPr="00BA7457" w:rsidRDefault="00E27F02">
      <w:pPr>
        <w:spacing w:line="360" w:lineRule="auto"/>
        <w:ind w:right="51"/>
        <w:jc w:val="both"/>
        <w:rPr>
          <w:rFonts w:ascii="Palatino Linotype" w:eastAsia="Palatino Linotype" w:hAnsi="Palatino Linotype" w:cs="Palatino Linotype"/>
        </w:rPr>
      </w:pPr>
      <w:r w:rsidRPr="00BA7457">
        <w:rPr>
          <w:rFonts w:ascii="Palatino Linotype" w:eastAsia="Palatino Linotype" w:hAnsi="Palatino Linotype" w:cs="Palatino Linotype"/>
          <w:b/>
        </w:rPr>
        <w:t xml:space="preserve">4. Turno. </w:t>
      </w:r>
      <w:r w:rsidRPr="00BA7457">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BA7457">
        <w:rPr>
          <w:rFonts w:ascii="Palatino Linotype" w:eastAsia="Palatino Linotype" w:hAnsi="Palatino Linotype" w:cs="Palatino Linotype"/>
          <w:b/>
        </w:rPr>
        <w:t>Comisionada</w:t>
      </w:r>
      <w:r w:rsidRPr="00BA7457">
        <w:rPr>
          <w:rFonts w:ascii="Palatino Linotype" w:eastAsia="Palatino Linotype" w:hAnsi="Palatino Linotype" w:cs="Palatino Linotype"/>
        </w:rPr>
        <w:t xml:space="preserve"> </w:t>
      </w:r>
      <w:r w:rsidRPr="00BA7457">
        <w:rPr>
          <w:rFonts w:ascii="Palatino Linotype" w:eastAsia="Palatino Linotype" w:hAnsi="Palatino Linotype" w:cs="Palatino Linotype"/>
          <w:b/>
        </w:rPr>
        <w:t xml:space="preserve">Guadalupe Ramírez Peña, </w:t>
      </w:r>
      <w:r w:rsidRPr="00BA7457">
        <w:rPr>
          <w:rFonts w:ascii="Palatino Linotype" w:eastAsia="Palatino Linotype" w:hAnsi="Palatino Linotype" w:cs="Palatino Linotype"/>
        </w:rPr>
        <w:t>a efecto de que analizara sobre su admisión o su desechamiento.</w:t>
      </w:r>
    </w:p>
    <w:p w:rsidR="00377CAA" w:rsidRPr="00BA7457" w:rsidRDefault="00377CAA">
      <w:pPr>
        <w:spacing w:line="360" w:lineRule="auto"/>
        <w:ind w:right="51"/>
        <w:jc w:val="both"/>
        <w:rPr>
          <w:rFonts w:ascii="Palatino Linotype" w:eastAsia="Palatino Linotype" w:hAnsi="Palatino Linotype" w:cs="Palatino Linotype"/>
        </w:rPr>
      </w:pPr>
    </w:p>
    <w:p w:rsidR="00377CAA" w:rsidRPr="00BA7457" w:rsidRDefault="00E27F02">
      <w:pPr>
        <w:spacing w:after="240"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b/>
        </w:rPr>
        <w:t>5. Admisión del Recurso de Revisión.</w:t>
      </w:r>
      <w:r w:rsidRPr="00BA7457">
        <w:rPr>
          <w:rFonts w:ascii="Palatino Linotype" w:eastAsia="Palatino Linotype" w:hAnsi="Palatino Linotype" w:cs="Palatino Linotype"/>
        </w:rPr>
        <w:t xml:space="preserve"> El</w:t>
      </w:r>
      <w:r w:rsidRPr="00BA7457">
        <w:rPr>
          <w:rFonts w:ascii="Palatino Linotype" w:eastAsia="Palatino Linotype" w:hAnsi="Palatino Linotype" w:cs="Palatino Linotype"/>
          <w:b/>
        </w:rPr>
        <w:t xml:space="preserve"> tres de marzo de dos mil veintitrés, </w:t>
      </w:r>
      <w:r w:rsidRPr="00BA7457">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BA7457">
        <w:rPr>
          <w:rFonts w:ascii="Palatino Linotype" w:eastAsia="Palatino Linotype" w:hAnsi="Palatino Linotype" w:cs="Palatino Linotype"/>
          <w:b/>
        </w:rPr>
        <w:t xml:space="preserve">Sujeto Obligado </w:t>
      </w:r>
      <w:r w:rsidRPr="00BA7457">
        <w:rPr>
          <w:rFonts w:ascii="Palatino Linotype" w:eastAsia="Palatino Linotype" w:hAnsi="Palatino Linotype" w:cs="Palatino Linotype"/>
        </w:rPr>
        <w:t>presentara su informe justificado.</w:t>
      </w:r>
    </w:p>
    <w:p w:rsidR="00377CAA" w:rsidRPr="00BA7457" w:rsidRDefault="00E27F02">
      <w:pPr>
        <w:spacing w:after="240" w:line="360" w:lineRule="auto"/>
        <w:jc w:val="both"/>
        <w:rPr>
          <w:rFonts w:ascii="Palatino Linotype" w:eastAsia="Palatino Linotype" w:hAnsi="Palatino Linotype" w:cs="Palatino Linotype"/>
        </w:rPr>
      </w:pPr>
      <w:bookmarkStart w:id="3" w:name="_heading=h.2s8eyo1" w:colFirst="0" w:colLast="0"/>
      <w:bookmarkEnd w:id="3"/>
      <w:r w:rsidRPr="00BA7457">
        <w:rPr>
          <w:rFonts w:ascii="Palatino Linotype" w:eastAsia="Palatino Linotype" w:hAnsi="Palatino Linotype" w:cs="Palatino Linotype"/>
          <w:b/>
        </w:rPr>
        <w:lastRenderedPageBreak/>
        <w:t>6. Manifestaciones</w:t>
      </w:r>
      <w:r w:rsidRPr="00BA7457">
        <w:rPr>
          <w:rFonts w:ascii="Palatino Linotype" w:eastAsia="Palatino Linotype" w:hAnsi="Palatino Linotype" w:cs="Palatino Linotype"/>
        </w:rPr>
        <w:t xml:space="preserve">. Durante este plazo, se tiene constancia que el </w:t>
      </w:r>
      <w:r w:rsidRPr="00BA7457">
        <w:rPr>
          <w:rFonts w:ascii="Palatino Linotype" w:eastAsia="Palatino Linotype" w:hAnsi="Palatino Linotype" w:cs="Palatino Linotype"/>
          <w:b/>
        </w:rPr>
        <w:t>catorce de agosto de dos mil veintitrés</w:t>
      </w:r>
      <w:r w:rsidRPr="00BA7457">
        <w:rPr>
          <w:rFonts w:ascii="Palatino Linotype" w:eastAsia="Palatino Linotype" w:hAnsi="Palatino Linotype" w:cs="Palatino Linotype"/>
        </w:rPr>
        <w:t xml:space="preserve">, el </w:t>
      </w:r>
      <w:r w:rsidRPr="00BA7457">
        <w:rPr>
          <w:rFonts w:ascii="Palatino Linotype" w:eastAsia="Palatino Linotype" w:hAnsi="Palatino Linotype" w:cs="Palatino Linotype"/>
          <w:b/>
        </w:rPr>
        <w:t>Sujeto Obligado</w:t>
      </w:r>
      <w:r w:rsidRPr="00BA7457">
        <w:rPr>
          <w:rFonts w:ascii="Palatino Linotype" w:eastAsia="Palatino Linotype" w:hAnsi="Palatino Linotype" w:cs="Palatino Linotype"/>
        </w:rPr>
        <w:t xml:space="preserve"> remitió su informe justificado mediante el archivo electrónico “</w:t>
      </w:r>
      <w:r w:rsidRPr="00BA7457">
        <w:rPr>
          <w:rFonts w:ascii="Palatino Linotype" w:eastAsia="Palatino Linotype" w:hAnsi="Palatino Linotype" w:cs="Palatino Linotype"/>
          <w:b/>
          <w:i/>
        </w:rPr>
        <w:t xml:space="preserve">RR1104_2023.pdf”, </w:t>
      </w:r>
      <w:r w:rsidRPr="00BA7457">
        <w:rPr>
          <w:rFonts w:ascii="Palatino Linotype" w:eastAsia="Palatino Linotype" w:hAnsi="Palatino Linotype" w:cs="Palatino Linotype"/>
        </w:rPr>
        <w:t>el cual se compone de diecinueve fojas y medularmente ratifica la respuesta vertida inicialmente, asimismo manifiesta que los puntos relativos a  “</w:t>
      </w:r>
      <w:r w:rsidRPr="00BA7457">
        <w:rPr>
          <w:rFonts w:ascii="Palatino Linotype" w:eastAsia="Palatino Linotype" w:hAnsi="Palatino Linotype" w:cs="Palatino Linotype"/>
          <w:b/>
          <w:i/>
          <w:sz w:val="22"/>
          <w:szCs w:val="22"/>
          <w:u w:val="single"/>
        </w:rPr>
        <w:t>1. Cual o cuáles son los números de expedientes que radicaron por cada uno de dichos inmuebles, 2. En qué juzgado fueron radicados, 3. Qué tipo de juicios iniciaron 4. La fecha de inicio de dichos procedimientos 5. La etapa procesal de cada uno de dichos procedimientos</w:t>
      </w:r>
      <w:r w:rsidRPr="00BA7457">
        <w:rPr>
          <w:rFonts w:ascii="Palatino Linotype" w:eastAsia="Palatino Linotype" w:hAnsi="Palatino Linotype" w:cs="Palatino Linotype"/>
        </w:rPr>
        <w:t xml:space="preserve">“, constituyen una plus petitio, toda vez que no fueron solicitados desde un inicio; una vez analizada esta documentación, es de señalar que este Organismo Garante determinó ponerla a disposición de </w:t>
      </w:r>
      <w:r w:rsidRPr="00BA7457">
        <w:rPr>
          <w:rFonts w:ascii="Palatino Linotype" w:eastAsia="Palatino Linotype" w:hAnsi="Palatino Linotype" w:cs="Palatino Linotype"/>
          <w:b/>
        </w:rPr>
        <w:t>la parte Recurrente</w:t>
      </w:r>
      <w:r w:rsidRPr="00BA7457">
        <w:rPr>
          <w:rFonts w:ascii="Palatino Linotype" w:eastAsia="Palatino Linotype" w:hAnsi="Palatino Linotype" w:cs="Palatino Linotype"/>
        </w:rPr>
        <w:t xml:space="preserve">, mediante acuerdo signado por la Comisionada Ponente, el </w:t>
      </w:r>
      <w:r w:rsidRPr="00BA7457">
        <w:rPr>
          <w:rFonts w:ascii="Palatino Linotype" w:eastAsia="Palatino Linotype" w:hAnsi="Palatino Linotype" w:cs="Palatino Linotype"/>
          <w:b/>
        </w:rPr>
        <w:t>ocho de noviembre de dos mil veintitrés</w:t>
      </w:r>
      <w:r w:rsidRPr="00BA7457">
        <w:rPr>
          <w:rFonts w:ascii="Palatino Linotype" w:eastAsia="Palatino Linotype" w:hAnsi="Palatino Linotype" w:cs="Palatino Linotype"/>
        </w:rPr>
        <w:t xml:space="preserve">. No se omite señalar que la persona solicitante omitió manifestarse durante el plazo establecido para tal efecto.   </w:t>
      </w:r>
    </w:p>
    <w:p w:rsidR="00377CAA" w:rsidRPr="00BA7457" w:rsidRDefault="00E27F02">
      <w:pPr>
        <w:spacing w:after="240"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noProof/>
          <w:lang w:val="es-MX"/>
        </w:rPr>
        <w:drawing>
          <wp:inline distT="0" distB="0" distL="0" distR="0">
            <wp:extent cx="5612130" cy="1910715"/>
            <wp:effectExtent l="0" t="0" r="0" b="0"/>
            <wp:docPr id="9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612130" cy="1910715"/>
                    </a:xfrm>
                    <a:prstGeom prst="rect">
                      <a:avLst/>
                    </a:prstGeom>
                    <a:ln/>
                  </pic:spPr>
                </pic:pic>
              </a:graphicData>
            </a:graphic>
          </wp:inline>
        </w:drawing>
      </w:r>
    </w:p>
    <w:p w:rsidR="00377CAA" w:rsidRPr="00BA7457" w:rsidRDefault="00E27F02">
      <w:pPr>
        <w:widowControl w:val="0"/>
        <w:spacing w:after="240"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b/>
        </w:rPr>
        <w:t>7.</w:t>
      </w:r>
      <w:r w:rsidRPr="00BA7457">
        <w:rPr>
          <w:rFonts w:ascii="Palatino Linotype" w:eastAsia="Palatino Linotype" w:hAnsi="Palatino Linotype" w:cs="Palatino Linotype"/>
        </w:rPr>
        <w:t xml:space="preserve"> </w:t>
      </w:r>
      <w:r w:rsidRPr="00BA7457">
        <w:rPr>
          <w:rFonts w:ascii="Palatino Linotype" w:eastAsia="Palatino Linotype" w:hAnsi="Palatino Linotype" w:cs="Palatino Linotype"/>
          <w:b/>
        </w:rPr>
        <w:t>Ampliación del término para resolver</w:t>
      </w:r>
      <w:r w:rsidRPr="00BA7457">
        <w:rPr>
          <w:rFonts w:ascii="Palatino Linotype" w:eastAsia="Palatino Linotype" w:hAnsi="Palatino Linotype" w:cs="Palatino Linotype"/>
        </w:rPr>
        <w:t xml:space="preserve">. El </w:t>
      </w:r>
      <w:r w:rsidRPr="00BA7457">
        <w:rPr>
          <w:rFonts w:ascii="Palatino Linotype" w:eastAsia="Palatino Linotype" w:hAnsi="Palatino Linotype" w:cs="Palatino Linotype"/>
          <w:b/>
        </w:rPr>
        <w:t>ocho de noviembre del año dos mil veintitrés</w:t>
      </w:r>
      <w:r w:rsidRPr="00BA7457">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rsidR="00377CAA" w:rsidRPr="00BA7457" w:rsidRDefault="00E27F02">
      <w:pPr>
        <w:spacing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dentro del mismo periodo, se incrementó aproximadamente un 300%, circunstancia atípica que ha rebasado las capacidades técnicas y humanas del personal encargado de la proyección de las resoluciones a dichos medios de impugnación.</w:t>
      </w:r>
    </w:p>
    <w:p w:rsidR="00377CAA" w:rsidRPr="00BA7457" w:rsidRDefault="00377CAA">
      <w:pPr>
        <w:spacing w:line="360" w:lineRule="auto"/>
        <w:jc w:val="both"/>
        <w:rPr>
          <w:rFonts w:ascii="Palatino Linotype" w:eastAsia="Palatino Linotype" w:hAnsi="Palatino Linotype" w:cs="Palatino Linotype"/>
        </w:rPr>
      </w:pPr>
    </w:p>
    <w:p w:rsidR="00377CAA" w:rsidRPr="00BA7457" w:rsidRDefault="00E27F02">
      <w:pPr>
        <w:spacing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377CAA" w:rsidRPr="00BA7457" w:rsidRDefault="00377CAA">
      <w:pPr>
        <w:spacing w:line="360" w:lineRule="auto"/>
        <w:jc w:val="both"/>
        <w:rPr>
          <w:rFonts w:ascii="Palatino Linotype" w:eastAsia="Palatino Linotype" w:hAnsi="Palatino Linotype" w:cs="Palatino Linotype"/>
        </w:rPr>
      </w:pPr>
    </w:p>
    <w:p w:rsidR="00377CAA" w:rsidRPr="00BA7457" w:rsidRDefault="00E27F02">
      <w:pPr>
        <w:spacing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377CAA" w:rsidRPr="00BA7457" w:rsidRDefault="00377CAA">
      <w:pPr>
        <w:spacing w:line="360" w:lineRule="auto"/>
        <w:jc w:val="both"/>
        <w:rPr>
          <w:rFonts w:ascii="Palatino Linotype" w:eastAsia="Palatino Linotype" w:hAnsi="Palatino Linotype" w:cs="Palatino Linotype"/>
        </w:rPr>
      </w:pPr>
    </w:p>
    <w:p w:rsidR="00377CAA" w:rsidRPr="00BA7457" w:rsidRDefault="00E27F02">
      <w:pPr>
        <w:spacing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377CAA" w:rsidRPr="00BA7457" w:rsidRDefault="00377CAA">
      <w:pPr>
        <w:spacing w:line="360" w:lineRule="auto"/>
        <w:jc w:val="both"/>
        <w:rPr>
          <w:rFonts w:ascii="Palatino Linotype" w:eastAsia="Palatino Linotype" w:hAnsi="Palatino Linotype" w:cs="Palatino Linotype"/>
        </w:rPr>
      </w:pPr>
    </w:p>
    <w:p w:rsidR="00377CAA" w:rsidRPr="00BA7457" w:rsidRDefault="00E27F02">
      <w:pPr>
        <w:spacing w:line="360" w:lineRule="auto"/>
        <w:jc w:val="both"/>
        <w:rPr>
          <w:rFonts w:ascii="Palatino Linotype" w:eastAsia="Palatino Linotype" w:hAnsi="Palatino Linotype" w:cs="Palatino Linotype"/>
          <w:strike/>
        </w:rPr>
      </w:pPr>
      <w:r w:rsidRPr="00BA7457">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377CAA" w:rsidRPr="00BA7457" w:rsidRDefault="00377CAA">
      <w:pPr>
        <w:spacing w:line="360" w:lineRule="auto"/>
        <w:jc w:val="both"/>
        <w:rPr>
          <w:rFonts w:ascii="Palatino Linotype" w:eastAsia="Palatino Linotype" w:hAnsi="Palatino Linotype" w:cs="Palatino Linotype"/>
        </w:rPr>
      </w:pPr>
    </w:p>
    <w:p w:rsidR="00377CAA" w:rsidRPr="00BA7457" w:rsidRDefault="00E27F02">
      <w:pPr>
        <w:numPr>
          <w:ilvl w:val="0"/>
          <w:numId w:val="5"/>
        </w:numPr>
        <w:spacing w:line="360" w:lineRule="auto"/>
        <w:ind w:left="567" w:right="900" w:hanging="141"/>
        <w:jc w:val="both"/>
        <w:rPr>
          <w:rFonts w:ascii="Palatino Linotype" w:eastAsia="Palatino Linotype" w:hAnsi="Palatino Linotype" w:cs="Palatino Linotype"/>
        </w:rPr>
      </w:pPr>
      <w:r w:rsidRPr="00BA7457">
        <w:rPr>
          <w:rFonts w:ascii="Palatino Linotype" w:eastAsia="Palatino Linotype" w:hAnsi="Palatino Linotype" w:cs="Palatino Linotype"/>
          <w:b/>
        </w:rPr>
        <w:t>Complejidad del Asunto:</w:t>
      </w:r>
      <w:r w:rsidRPr="00BA7457">
        <w:rPr>
          <w:rFonts w:ascii="Palatino Linotype" w:eastAsia="Palatino Linotype" w:hAnsi="Palatino Linotype" w:cs="Palatino Linotype"/>
        </w:rPr>
        <w:t xml:space="preserve"> La complejidad de la prueba, la pluralidad de sujetos procesales, el tiempo transcurrido, las características y contexto del recurso. </w:t>
      </w:r>
    </w:p>
    <w:p w:rsidR="00377CAA" w:rsidRPr="00BA7457" w:rsidRDefault="00377CAA">
      <w:pPr>
        <w:spacing w:line="360" w:lineRule="auto"/>
        <w:ind w:left="567" w:right="900" w:hanging="141"/>
        <w:jc w:val="both"/>
        <w:rPr>
          <w:rFonts w:ascii="Palatino Linotype" w:eastAsia="Palatino Linotype" w:hAnsi="Palatino Linotype" w:cs="Palatino Linotype"/>
          <w:b/>
        </w:rPr>
      </w:pPr>
    </w:p>
    <w:p w:rsidR="00377CAA" w:rsidRPr="00BA7457" w:rsidRDefault="00E27F02">
      <w:pPr>
        <w:numPr>
          <w:ilvl w:val="0"/>
          <w:numId w:val="5"/>
        </w:numPr>
        <w:spacing w:line="360" w:lineRule="auto"/>
        <w:ind w:left="567" w:right="900" w:hanging="141"/>
        <w:jc w:val="both"/>
        <w:rPr>
          <w:rFonts w:ascii="Palatino Linotype" w:eastAsia="Palatino Linotype" w:hAnsi="Palatino Linotype" w:cs="Palatino Linotype"/>
        </w:rPr>
      </w:pPr>
      <w:r w:rsidRPr="00BA7457">
        <w:rPr>
          <w:rFonts w:ascii="Palatino Linotype" w:eastAsia="Palatino Linotype" w:hAnsi="Palatino Linotype" w:cs="Palatino Linotype"/>
          <w:b/>
        </w:rPr>
        <w:t>Actividad Procesal del interesado.</w:t>
      </w:r>
      <w:r w:rsidRPr="00BA7457">
        <w:rPr>
          <w:rFonts w:ascii="Palatino Linotype" w:eastAsia="Palatino Linotype" w:hAnsi="Palatino Linotype" w:cs="Palatino Linotype"/>
        </w:rPr>
        <w:t xml:space="preserve"> Acciones u omisiones del interesado.</w:t>
      </w:r>
    </w:p>
    <w:p w:rsidR="00377CAA" w:rsidRPr="00BA7457" w:rsidRDefault="00377CAA">
      <w:pPr>
        <w:spacing w:line="360" w:lineRule="auto"/>
        <w:ind w:left="567" w:right="900" w:hanging="141"/>
        <w:jc w:val="both"/>
        <w:rPr>
          <w:rFonts w:ascii="Palatino Linotype" w:eastAsia="Palatino Linotype" w:hAnsi="Palatino Linotype" w:cs="Palatino Linotype"/>
        </w:rPr>
      </w:pPr>
    </w:p>
    <w:p w:rsidR="00377CAA" w:rsidRPr="00BA7457" w:rsidRDefault="00E27F02">
      <w:pPr>
        <w:numPr>
          <w:ilvl w:val="0"/>
          <w:numId w:val="5"/>
        </w:numPr>
        <w:spacing w:line="360" w:lineRule="auto"/>
        <w:ind w:left="567" w:right="900" w:hanging="141"/>
        <w:jc w:val="both"/>
        <w:rPr>
          <w:rFonts w:ascii="Palatino Linotype" w:eastAsia="Palatino Linotype" w:hAnsi="Palatino Linotype" w:cs="Palatino Linotype"/>
        </w:rPr>
      </w:pPr>
      <w:r w:rsidRPr="00BA7457">
        <w:rPr>
          <w:rFonts w:ascii="Palatino Linotype" w:eastAsia="Palatino Linotype" w:hAnsi="Palatino Linotype" w:cs="Palatino Linotype"/>
          <w:b/>
        </w:rPr>
        <w:t>Conducta de la Autoridad:</w:t>
      </w:r>
      <w:r w:rsidRPr="00BA7457">
        <w:rPr>
          <w:rFonts w:ascii="Palatino Linotype" w:eastAsia="Palatino Linotype" w:hAnsi="Palatino Linotype" w:cs="Palatino Linotype"/>
        </w:rPr>
        <w:t xml:space="preserve"> Las Acciones u omisiones realizadas en el procedimiento. Así como si la autoridad actuó con la debida diligencia.</w:t>
      </w:r>
    </w:p>
    <w:p w:rsidR="00377CAA" w:rsidRPr="00BA7457" w:rsidRDefault="00377CAA">
      <w:pPr>
        <w:spacing w:line="360" w:lineRule="auto"/>
        <w:ind w:left="567" w:right="900" w:hanging="141"/>
        <w:rPr>
          <w:rFonts w:ascii="Palatino Linotype" w:eastAsia="Palatino Linotype" w:hAnsi="Palatino Linotype" w:cs="Palatino Linotype"/>
        </w:rPr>
      </w:pPr>
    </w:p>
    <w:p w:rsidR="00377CAA" w:rsidRPr="00BA7457" w:rsidRDefault="00E27F02">
      <w:pPr>
        <w:spacing w:line="360" w:lineRule="auto"/>
        <w:ind w:left="567" w:right="900" w:hanging="141"/>
        <w:jc w:val="both"/>
        <w:rPr>
          <w:rFonts w:ascii="Palatino Linotype" w:eastAsia="Palatino Linotype" w:hAnsi="Palatino Linotype" w:cs="Palatino Linotype"/>
        </w:rPr>
      </w:pPr>
      <w:r w:rsidRPr="00BA7457">
        <w:rPr>
          <w:rFonts w:ascii="Palatino Linotype" w:eastAsia="Palatino Linotype" w:hAnsi="Palatino Linotype" w:cs="Palatino Linotype"/>
          <w:b/>
        </w:rPr>
        <w:t>d) La afectación generada en la situación jurídica de la persona involucrada en el proceso</w:t>
      </w:r>
      <w:r w:rsidRPr="00BA7457">
        <w:rPr>
          <w:rFonts w:ascii="Palatino Linotype" w:eastAsia="Palatino Linotype" w:hAnsi="Palatino Linotype" w:cs="Palatino Linotype"/>
        </w:rPr>
        <w:t>: Violación a sus derechos humanos.</w:t>
      </w:r>
    </w:p>
    <w:p w:rsidR="00377CAA" w:rsidRPr="00BA7457" w:rsidRDefault="00377CAA">
      <w:pPr>
        <w:spacing w:line="360" w:lineRule="auto"/>
        <w:jc w:val="both"/>
        <w:rPr>
          <w:rFonts w:ascii="Palatino Linotype" w:eastAsia="Palatino Linotype" w:hAnsi="Palatino Linotype" w:cs="Palatino Linotype"/>
        </w:rPr>
      </w:pPr>
    </w:p>
    <w:p w:rsidR="00377CAA" w:rsidRPr="00BA7457" w:rsidRDefault="00E27F02">
      <w:pPr>
        <w:spacing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BA7457">
        <w:rPr>
          <w:rFonts w:ascii="Palatino Linotype" w:eastAsia="Palatino Linotype" w:hAnsi="Palatino Linotype" w:cs="Palatino Linotype"/>
        </w:rPr>
        <w:lastRenderedPageBreak/>
        <w:t>relación con la actuación del funcionario, como ha acontecido en el caso que nos ocupa.</w:t>
      </w:r>
    </w:p>
    <w:p w:rsidR="00377CAA" w:rsidRPr="00BA7457" w:rsidRDefault="00377CAA">
      <w:pPr>
        <w:spacing w:line="360" w:lineRule="auto"/>
        <w:jc w:val="both"/>
        <w:rPr>
          <w:rFonts w:ascii="Palatino Linotype" w:eastAsia="Palatino Linotype" w:hAnsi="Palatino Linotype" w:cs="Palatino Linotype"/>
        </w:rPr>
      </w:pPr>
    </w:p>
    <w:p w:rsidR="00377CAA" w:rsidRPr="00BA7457" w:rsidRDefault="00E27F02">
      <w:pPr>
        <w:spacing w:line="360" w:lineRule="auto"/>
        <w:jc w:val="both"/>
        <w:rPr>
          <w:rFonts w:ascii="Palatino Linotype" w:eastAsia="Palatino Linotype" w:hAnsi="Palatino Linotype" w:cs="Palatino Linotype"/>
          <w:b/>
        </w:rPr>
      </w:pPr>
      <w:r w:rsidRPr="00BA7457">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BA7457">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BA7457">
        <w:rPr>
          <w:rFonts w:ascii="Palatino Linotype" w:eastAsia="Palatino Linotype" w:hAnsi="Palatino Linotype" w:cs="Palatino Linotype"/>
        </w:rPr>
        <w:t>, visible en la Gaceta del Seminario Judicial de la Federación con el registro digital 205635.</w:t>
      </w:r>
    </w:p>
    <w:p w:rsidR="00377CAA" w:rsidRPr="00BA7457" w:rsidRDefault="00377CAA">
      <w:pPr>
        <w:spacing w:line="360" w:lineRule="auto"/>
        <w:jc w:val="both"/>
        <w:rPr>
          <w:rFonts w:ascii="Palatino Linotype" w:eastAsia="Palatino Linotype" w:hAnsi="Palatino Linotype" w:cs="Palatino Linotype"/>
        </w:rPr>
      </w:pPr>
    </w:p>
    <w:p w:rsidR="00377CAA" w:rsidRPr="00BA7457" w:rsidRDefault="00E27F02">
      <w:pPr>
        <w:spacing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377CAA" w:rsidRPr="00BA7457" w:rsidRDefault="00377CAA">
      <w:pPr>
        <w:spacing w:line="360" w:lineRule="auto"/>
        <w:jc w:val="both"/>
        <w:rPr>
          <w:rFonts w:ascii="Palatino Linotype" w:eastAsia="Palatino Linotype" w:hAnsi="Palatino Linotype" w:cs="Palatino Linotype"/>
        </w:rPr>
      </w:pPr>
    </w:p>
    <w:p w:rsidR="00377CAA" w:rsidRPr="00BA7457" w:rsidRDefault="00E27F02">
      <w:pPr>
        <w:spacing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rsidR="00377CAA" w:rsidRPr="00BA7457" w:rsidRDefault="00377CAA">
      <w:pPr>
        <w:spacing w:line="360" w:lineRule="auto"/>
        <w:jc w:val="both"/>
        <w:rPr>
          <w:rFonts w:ascii="Palatino Linotype" w:eastAsia="Palatino Linotype" w:hAnsi="Palatino Linotype" w:cs="Palatino Linotype"/>
        </w:rPr>
      </w:pPr>
    </w:p>
    <w:p w:rsidR="00377CAA" w:rsidRPr="00BA7457" w:rsidRDefault="00E27F02">
      <w:pPr>
        <w:spacing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rPr>
        <w:t xml:space="preserve"> </w:t>
      </w:r>
      <w:r w:rsidRPr="00BA7457">
        <w:rPr>
          <w:rFonts w:ascii="Palatino Linotype" w:eastAsia="Palatino Linotype" w:hAnsi="Palatino Linotype" w:cs="Palatino Linotype"/>
          <w:i/>
        </w:rPr>
        <w:t>“PLAZO RAZONABLE PARA RESOLVER. DIMENSIÓN Y EFECTOS DE ESTE CONCEPTO CUANDO SE ADUCE EXCESIVA CARGA DE TRABAJO.”</w:t>
      </w:r>
      <w:r w:rsidRPr="00BA7457">
        <w:rPr>
          <w:rFonts w:ascii="Palatino Linotype" w:eastAsia="Palatino Linotype" w:hAnsi="Palatino Linotype" w:cs="Palatino Linotype"/>
        </w:rPr>
        <w:t xml:space="preserve"> consultable en el Seminario Judicial de la Federación y su gaceta, con el registro digital 2002351.</w:t>
      </w:r>
    </w:p>
    <w:p w:rsidR="00377CAA" w:rsidRPr="00BA7457" w:rsidRDefault="00377CAA">
      <w:pPr>
        <w:spacing w:line="360" w:lineRule="auto"/>
        <w:jc w:val="both"/>
        <w:rPr>
          <w:rFonts w:ascii="Palatino Linotype" w:eastAsia="Palatino Linotype" w:hAnsi="Palatino Linotype" w:cs="Palatino Linotype"/>
          <w:b/>
        </w:rPr>
      </w:pPr>
    </w:p>
    <w:p w:rsidR="00377CAA" w:rsidRPr="00BA7457" w:rsidRDefault="00E27F02">
      <w:pPr>
        <w:spacing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i/>
        </w:rPr>
        <w:t>“PLAZO RAZONABLE PARA RESOLVER. CONCEPTO Y ELEMENTOS QUE LO INTEGRAN A LA LUZ DEL DERECHO INTERNACIONAL DE LOS DERECHOS HUMANOS.”</w:t>
      </w:r>
      <w:r w:rsidRPr="00BA7457">
        <w:rPr>
          <w:rFonts w:ascii="Palatino Linotype" w:eastAsia="Palatino Linotype" w:hAnsi="Palatino Linotype" w:cs="Palatino Linotype"/>
        </w:rPr>
        <w:t>, visible en el Seminario Judicial de la Federación y su gaceta, con el registro digital 2002350.</w:t>
      </w:r>
    </w:p>
    <w:p w:rsidR="00377CAA" w:rsidRPr="00BA7457" w:rsidRDefault="00377CAA">
      <w:pPr>
        <w:spacing w:line="360" w:lineRule="auto"/>
        <w:jc w:val="both"/>
        <w:rPr>
          <w:rFonts w:ascii="Palatino Linotype" w:eastAsia="Palatino Linotype" w:hAnsi="Palatino Linotype" w:cs="Palatino Linotype"/>
        </w:rPr>
      </w:pPr>
    </w:p>
    <w:p w:rsidR="00377CAA" w:rsidRPr="00BA7457" w:rsidRDefault="00E27F02">
      <w:pPr>
        <w:spacing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377CAA" w:rsidRPr="00BA7457" w:rsidRDefault="00377CAA">
      <w:pPr>
        <w:spacing w:line="360" w:lineRule="auto"/>
        <w:jc w:val="both"/>
        <w:rPr>
          <w:rFonts w:ascii="Palatino Linotype" w:eastAsia="Palatino Linotype" w:hAnsi="Palatino Linotype" w:cs="Palatino Linotype"/>
        </w:rPr>
      </w:pPr>
    </w:p>
    <w:p w:rsidR="00377CAA" w:rsidRPr="00BA7457" w:rsidRDefault="00E27F02">
      <w:pPr>
        <w:spacing w:after="240" w:line="360" w:lineRule="auto"/>
        <w:jc w:val="both"/>
        <w:rPr>
          <w:rFonts w:ascii="Palatino Linotype" w:eastAsia="Palatino Linotype" w:hAnsi="Palatino Linotype" w:cs="Palatino Linotype"/>
          <w:b/>
        </w:rPr>
      </w:pPr>
      <w:r w:rsidRPr="00BA7457">
        <w:rPr>
          <w:rFonts w:ascii="Palatino Linotype" w:eastAsia="Palatino Linotype" w:hAnsi="Palatino Linotype" w:cs="Palatino Linotype"/>
          <w:b/>
        </w:rPr>
        <w:t xml:space="preserve">8. Cierre de instrucción. </w:t>
      </w:r>
      <w:r w:rsidRPr="00BA7457">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BA7457">
        <w:rPr>
          <w:rFonts w:ascii="Palatino Linotype" w:eastAsia="Palatino Linotype" w:hAnsi="Palatino Linotype" w:cs="Palatino Linotype"/>
          <w:b/>
        </w:rPr>
        <w:t>catorce de noviembre de dos mil veintitrés</w:t>
      </w:r>
      <w:r w:rsidRPr="00BA7457">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377CAA" w:rsidRPr="00BA7457" w:rsidRDefault="00E27F02">
      <w:pPr>
        <w:spacing w:before="240" w:after="240"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rsidR="00377CAA" w:rsidRPr="00BA7457" w:rsidRDefault="00E27F02">
      <w:pPr>
        <w:widowControl w:val="0"/>
        <w:spacing w:line="360" w:lineRule="auto"/>
        <w:jc w:val="center"/>
        <w:rPr>
          <w:rFonts w:ascii="Palatino Linotype" w:eastAsia="Palatino Linotype" w:hAnsi="Palatino Linotype" w:cs="Palatino Linotype"/>
          <w:b/>
        </w:rPr>
      </w:pPr>
      <w:r w:rsidRPr="00BA7457">
        <w:rPr>
          <w:rFonts w:ascii="Palatino Linotype" w:eastAsia="Palatino Linotype" w:hAnsi="Palatino Linotype" w:cs="Palatino Linotype"/>
          <w:b/>
        </w:rPr>
        <w:t>II. C O N S I D E R A N D O S</w:t>
      </w:r>
    </w:p>
    <w:p w:rsidR="00377CAA" w:rsidRPr="00BA7457" w:rsidRDefault="00377CAA">
      <w:pPr>
        <w:widowControl w:val="0"/>
        <w:spacing w:line="360" w:lineRule="auto"/>
        <w:jc w:val="center"/>
        <w:rPr>
          <w:rFonts w:ascii="Palatino Linotype" w:eastAsia="Palatino Linotype" w:hAnsi="Palatino Linotype" w:cs="Palatino Linotype"/>
          <w:b/>
        </w:rPr>
      </w:pPr>
    </w:p>
    <w:p w:rsidR="00377CAA" w:rsidRPr="00BA7457" w:rsidRDefault="00E27F02">
      <w:pPr>
        <w:spacing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b/>
        </w:rPr>
        <w:t>Primero. Competencia.</w:t>
      </w:r>
      <w:r w:rsidRPr="00BA7457">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BA7457">
        <w:rPr>
          <w:rFonts w:ascii="Palatino Linotype" w:eastAsia="Palatino Linotype" w:hAnsi="Palatino Linotype" w:cs="Palatino Linotype"/>
          <w:b/>
        </w:rPr>
        <w:t>la parte Recurrente</w:t>
      </w:r>
      <w:r w:rsidRPr="00BA7457">
        <w:rPr>
          <w:rFonts w:ascii="Palatino Linotype" w:eastAsia="Palatino Linotype" w:hAnsi="Palatino Linotype" w:cs="Palatino Linotype"/>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377CAA" w:rsidRPr="00BA7457" w:rsidRDefault="00E27F02">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BA7457">
        <w:rPr>
          <w:rFonts w:ascii="Palatino Linotype" w:eastAsia="Palatino Linotype" w:hAnsi="Palatino Linotype" w:cs="Palatino Linotype"/>
          <w:b/>
        </w:rPr>
        <w:t xml:space="preserve">Segundo. Oportunidad y Procedibilidad del Recurso de Revisión. </w:t>
      </w:r>
      <w:r w:rsidRPr="00BA7457">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377CAA" w:rsidRPr="00BA7457" w:rsidRDefault="00E27F02">
      <w:pPr>
        <w:pBdr>
          <w:top w:val="nil"/>
          <w:left w:val="nil"/>
          <w:bottom w:val="nil"/>
          <w:right w:val="nil"/>
          <w:between w:val="nil"/>
        </w:pBdr>
        <w:spacing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rPr>
        <w:lastRenderedPageBreak/>
        <w:t xml:space="preserve">El recurso de revisión fue interpuesto dentro del plazo de quince días hábiles, previsto en el artículo 178 de la Ley de Transparencia, toda vez que </w:t>
      </w:r>
      <w:r w:rsidRPr="00BA7457">
        <w:rPr>
          <w:rFonts w:ascii="Palatino Linotype" w:eastAsia="Palatino Linotype" w:hAnsi="Palatino Linotype" w:cs="Palatino Linotype"/>
          <w:b/>
        </w:rPr>
        <w:t>el Sujeto Obligado</w:t>
      </w:r>
      <w:r w:rsidRPr="00BA7457">
        <w:rPr>
          <w:rFonts w:ascii="Palatino Linotype" w:eastAsia="Palatino Linotype" w:hAnsi="Palatino Linotype" w:cs="Palatino Linotype"/>
        </w:rPr>
        <w:t xml:space="preserve"> respondió a la solicitud de información el </w:t>
      </w:r>
      <w:r w:rsidRPr="00BA7457">
        <w:rPr>
          <w:rFonts w:ascii="Palatino Linotype" w:eastAsia="Palatino Linotype" w:hAnsi="Palatino Linotype" w:cs="Palatino Linotype"/>
          <w:b/>
        </w:rPr>
        <w:t xml:space="preserve">diecisiete de febrero de dos mil veintitrés, </w:t>
      </w:r>
      <w:r w:rsidRPr="00BA7457">
        <w:rPr>
          <w:rFonts w:ascii="Palatino Linotype" w:eastAsia="Palatino Linotype" w:hAnsi="Palatino Linotype" w:cs="Palatino Linotype"/>
        </w:rPr>
        <w:t xml:space="preserve">mientras que el recurso de revisión se interpuso el </w:t>
      </w:r>
      <w:r w:rsidRPr="00BA7457">
        <w:rPr>
          <w:rFonts w:ascii="Palatino Linotype" w:eastAsia="Palatino Linotype" w:hAnsi="Palatino Linotype" w:cs="Palatino Linotype"/>
          <w:b/>
        </w:rPr>
        <w:t>veintisiete de febrero de dos mil veintitrés</w:t>
      </w:r>
      <w:r w:rsidRPr="00BA7457">
        <w:rPr>
          <w:rFonts w:ascii="Palatino Linotype" w:eastAsia="Palatino Linotype" w:hAnsi="Palatino Linotype" w:cs="Palatino Linotype"/>
        </w:rPr>
        <w:t xml:space="preserve">, esto es, el </w:t>
      </w:r>
      <w:r w:rsidRPr="00BA7457">
        <w:rPr>
          <w:rFonts w:ascii="Palatino Linotype" w:eastAsia="Palatino Linotype" w:hAnsi="Palatino Linotype" w:cs="Palatino Linotype"/>
          <w:b/>
        </w:rPr>
        <w:t xml:space="preserve">sexto día hábil </w:t>
      </w:r>
      <w:r w:rsidRPr="00BA7457">
        <w:rPr>
          <w:rFonts w:ascii="Palatino Linotype" w:eastAsia="Palatino Linotype" w:hAnsi="Palatino Linotype" w:cs="Palatino Linotype"/>
        </w:rPr>
        <w:t>posterior en que tuvo conocimiento de la respuesta impugnada.</w:t>
      </w:r>
    </w:p>
    <w:p w:rsidR="00377CAA" w:rsidRPr="00BA7457" w:rsidRDefault="00E27F02">
      <w:pPr>
        <w:spacing w:before="240" w:after="240"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rPr>
        <w:t xml:space="preserve">En este sentido, al considerar la fecha en que se formuló la solicitud y la fecha en que respondió a esta el </w:t>
      </w:r>
      <w:r w:rsidRPr="00BA7457">
        <w:rPr>
          <w:rFonts w:ascii="Palatino Linotype" w:eastAsia="Palatino Linotype" w:hAnsi="Palatino Linotype" w:cs="Palatino Linotype"/>
          <w:b/>
        </w:rPr>
        <w:t>Sujeto Obligado</w:t>
      </w:r>
      <w:r w:rsidRPr="00BA7457">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rsidR="00377CAA" w:rsidRPr="00BA7457" w:rsidRDefault="00E27F02">
      <w:pPr>
        <w:spacing w:before="240" w:after="240"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377CAA" w:rsidRPr="00BA7457" w:rsidRDefault="00E27F02">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BA7457">
        <w:rPr>
          <w:rFonts w:ascii="Palatino Linotype" w:eastAsia="Palatino Linotype" w:hAnsi="Palatino Linotype" w:cs="Palatino Linotype"/>
        </w:rPr>
        <w:t>Ahora bien, resulta procedente la interposición del recurso, según lo aducido por la parte recurrente en sus razones o motivos de inconformidad, de acuerdo al artículo 179, fracción II de la Ley de Transparencia y Acceso a la Información Pública del Estado de México y Municipios; que a la letra dice:</w:t>
      </w:r>
    </w:p>
    <w:p w:rsidR="00377CAA" w:rsidRPr="00BA7457" w:rsidRDefault="00E27F02">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b/>
          <w:i/>
          <w:sz w:val="22"/>
          <w:szCs w:val="22"/>
        </w:rPr>
        <w:t>“Artículo 179</w:t>
      </w:r>
      <w:r w:rsidRPr="00BA7457">
        <w:rPr>
          <w:rFonts w:ascii="Palatino Linotype" w:eastAsia="Palatino Linotype" w:hAnsi="Palatino Linotype" w:cs="Palatino Linotype"/>
          <w:i/>
          <w:sz w:val="22"/>
          <w:szCs w:val="22"/>
        </w:rPr>
        <w:t xml:space="preserve">. </w:t>
      </w:r>
      <w:r w:rsidRPr="00BA7457">
        <w:rPr>
          <w:rFonts w:ascii="Palatino Linotype" w:eastAsia="Palatino Linotype" w:hAnsi="Palatino Linotype" w:cs="Palatino Linotype"/>
          <w:b/>
          <w:i/>
          <w:sz w:val="22"/>
          <w:szCs w:val="22"/>
        </w:rPr>
        <w:t>El recurso de revisión</w:t>
      </w:r>
      <w:r w:rsidRPr="00BA7457">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BA7457">
        <w:rPr>
          <w:rFonts w:ascii="Palatino Linotype" w:eastAsia="Palatino Linotype" w:hAnsi="Palatino Linotype" w:cs="Palatino Linotype"/>
          <w:b/>
          <w:i/>
          <w:sz w:val="22"/>
          <w:szCs w:val="22"/>
        </w:rPr>
        <w:t>, y procederá en contra de las siguientes causas</w:t>
      </w:r>
      <w:r w:rsidRPr="00BA7457">
        <w:rPr>
          <w:rFonts w:ascii="Palatino Linotype" w:eastAsia="Palatino Linotype" w:hAnsi="Palatino Linotype" w:cs="Palatino Linotype"/>
          <w:i/>
          <w:sz w:val="22"/>
          <w:szCs w:val="22"/>
        </w:rPr>
        <w:t>:</w:t>
      </w:r>
    </w:p>
    <w:p w:rsidR="00377CAA" w:rsidRPr="00BA7457" w:rsidRDefault="00E27F02">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lastRenderedPageBreak/>
        <w:t>…</w:t>
      </w:r>
    </w:p>
    <w:p w:rsidR="00377CAA" w:rsidRPr="00BA7457" w:rsidRDefault="00E27F02">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b/>
          <w:i/>
          <w:sz w:val="22"/>
          <w:szCs w:val="22"/>
        </w:rPr>
      </w:pPr>
      <w:r w:rsidRPr="00BA7457">
        <w:rPr>
          <w:rFonts w:ascii="Palatino Linotype" w:eastAsia="Palatino Linotype" w:hAnsi="Palatino Linotype" w:cs="Palatino Linotype"/>
          <w:b/>
          <w:i/>
          <w:sz w:val="22"/>
          <w:szCs w:val="22"/>
        </w:rPr>
        <w:t>II. La clasificación de la información;</w:t>
      </w:r>
      <w:r w:rsidRPr="00BA7457">
        <w:rPr>
          <w:rFonts w:ascii="Palatino Linotype" w:eastAsia="Palatino Linotype" w:hAnsi="Palatino Linotype" w:cs="Palatino Linotype"/>
          <w:i/>
          <w:sz w:val="22"/>
          <w:szCs w:val="22"/>
        </w:rPr>
        <w:t>” (Énfasis añadido)</w:t>
      </w:r>
    </w:p>
    <w:p w:rsidR="00377CAA" w:rsidRPr="00BA7457" w:rsidRDefault="00E27F02">
      <w:pPr>
        <w:spacing w:before="240" w:after="240"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b/>
        </w:rPr>
        <w:t xml:space="preserve">Tercero. Materia de la revisión. </w:t>
      </w:r>
      <w:r w:rsidRPr="00BA7457">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BA7457">
        <w:rPr>
          <w:rFonts w:ascii="Palatino Linotype" w:eastAsia="Palatino Linotype" w:hAnsi="Palatino Linotype" w:cs="Palatino Linotype"/>
          <w:b/>
        </w:rPr>
        <w:t xml:space="preserve">verificar si la respuesta otorgada por el Sujeto Obligado son adecuados y suficientes para satisfacer el derecho de acceso a la información pública </w:t>
      </w:r>
      <w:r w:rsidRPr="00BA7457">
        <w:rPr>
          <w:rFonts w:ascii="Palatino Linotype" w:eastAsia="Palatino Linotype" w:hAnsi="Palatino Linotype" w:cs="Palatino Linotype"/>
        </w:rPr>
        <w:t xml:space="preserve">de </w:t>
      </w:r>
      <w:r w:rsidRPr="00BA7457">
        <w:rPr>
          <w:rFonts w:ascii="Palatino Linotype" w:eastAsia="Palatino Linotype" w:hAnsi="Palatino Linotype" w:cs="Palatino Linotype"/>
          <w:b/>
        </w:rPr>
        <w:t>la parte Recurrente,</w:t>
      </w:r>
      <w:r w:rsidRPr="00BA7457">
        <w:rPr>
          <w:rFonts w:ascii="Palatino Linotype" w:eastAsia="Palatino Linotype" w:hAnsi="Palatino Linotype" w:cs="Palatino Linotype"/>
        </w:rPr>
        <w:t xml:space="preserve"> o en su defecto, en caso de ser procedente, ordenar la entrega de información oportuna.</w:t>
      </w:r>
    </w:p>
    <w:p w:rsidR="00377CAA" w:rsidRPr="00BA7457" w:rsidRDefault="00E27F02">
      <w:pPr>
        <w:pBdr>
          <w:top w:val="nil"/>
          <w:left w:val="nil"/>
          <w:bottom w:val="nil"/>
          <w:right w:val="nil"/>
          <w:between w:val="nil"/>
        </w:pBdr>
        <w:spacing w:before="240" w:after="240" w:line="360" w:lineRule="auto"/>
        <w:jc w:val="both"/>
      </w:pPr>
      <w:r w:rsidRPr="00BA7457">
        <w:rPr>
          <w:rFonts w:ascii="Palatino Linotype" w:eastAsia="Palatino Linotype" w:hAnsi="Palatino Linotype" w:cs="Palatino Linotype"/>
          <w:b/>
        </w:rPr>
        <w:t xml:space="preserve">Cuarto. Estudio del asunto. </w:t>
      </w:r>
      <w:r w:rsidRPr="00BA7457">
        <w:rPr>
          <w:rFonts w:ascii="Palatino Linotype" w:eastAsia="Palatino Linotype" w:hAnsi="Palatino Linotype" w:cs="Palatino Linotype"/>
        </w:rPr>
        <w:t xml:space="preserve">Antes de entrar al análisis de los pronunciamientos del </w:t>
      </w:r>
      <w:r w:rsidRPr="00BA7457">
        <w:rPr>
          <w:rFonts w:ascii="Palatino Linotype" w:eastAsia="Palatino Linotype" w:hAnsi="Palatino Linotype" w:cs="Palatino Linotype"/>
          <w:b/>
        </w:rPr>
        <w:t>Sujeto Obligado</w:t>
      </w:r>
      <w:r w:rsidRPr="00BA7457">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377CAA" w:rsidRPr="00BA7457" w:rsidRDefault="00E27F02">
      <w:pPr>
        <w:pBdr>
          <w:top w:val="nil"/>
          <w:left w:val="nil"/>
          <w:bottom w:val="nil"/>
          <w:right w:val="nil"/>
          <w:between w:val="nil"/>
        </w:pBdr>
        <w:spacing w:before="240" w:after="240"/>
        <w:ind w:left="851" w:right="850"/>
        <w:jc w:val="both"/>
      </w:pPr>
      <w:r w:rsidRPr="00BA7457">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BA7457">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377CAA" w:rsidRPr="00BA7457" w:rsidRDefault="00E27F02">
      <w:pPr>
        <w:pBdr>
          <w:top w:val="nil"/>
          <w:left w:val="nil"/>
          <w:bottom w:val="nil"/>
          <w:right w:val="nil"/>
          <w:between w:val="nil"/>
        </w:pBdr>
        <w:spacing w:before="240" w:after="240"/>
        <w:ind w:left="851" w:right="850"/>
        <w:jc w:val="both"/>
      </w:pPr>
      <w:r w:rsidRPr="00BA7457">
        <w:rPr>
          <w:rFonts w:ascii="Palatino Linotype" w:eastAsia="Palatino Linotype" w:hAnsi="Palatino Linotype" w:cs="Palatino Linotype"/>
          <w:b/>
          <w:i/>
          <w:sz w:val="22"/>
          <w:szCs w:val="22"/>
        </w:rPr>
        <w:t xml:space="preserve">Las normas relativas a los derechos humanos se interpretarán de conformidad con esta Constitución y con los tratados internacionales de </w:t>
      </w:r>
      <w:r w:rsidRPr="00BA7457">
        <w:rPr>
          <w:rFonts w:ascii="Palatino Linotype" w:eastAsia="Palatino Linotype" w:hAnsi="Palatino Linotype" w:cs="Palatino Linotype"/>
          <w:b/>
          <w:i/>
          <w:sz w:val="22"/>
          <w:szCs w:val="22"/>
        </w:rPr>
        <w:lastRenderedPageBreak/>
        <w:t>la materia favoreciendo en todo tiempo a las personas la protección más amplia.</w:t>
      </w:r>
    </w:p>
    <w:p w:rsidR="00377CAA" w:rsidRPr="00BA7457" w:rsidRDefault="00E27F02">
      <w:pPr>
        <w:pBdr>
          <w:top w:val="nil"/>
          <w:left w:val="nil"/>
          <w:bottom w:val="nil"/>
          <w:right w:val="nil"/>
          <w:between w:val="nil"/>
        </w:pBdr>
        <w:spacing w:before="240" w:after="240"/>
        <w:ind w:left="851" w:right="850"/>
        <w:jc w:val="both"/>
      </w:pPr>
      <w:r w:rsidRPr="00BA7457">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BA7457">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377CAA" w:rsidRPr="00BA7457" w:rsidRDefault="00E27F02">
      <w:pPr>
        <w:pBdr>
          <w:top w:val="nil"/>
          <w:left w:val="nil"/>
          <w:bottom w:val="nil"/>
          <w:right w:val="nil"/>
          <w:between w:val="nil"/>
        </w:pBdr>
        <w:spacing w:before="240" w:after="240"/>
        <w:ind w:left="851" w:right="850"/>
        <w:jc w:val="both"/>
      </w:pPr>
      <w:r w:rsidRPr="00BA7457">
        <w:rPr>
          <w:rFonts w:ascii="Palatino Linotype" w:eastAsia="Palatino Linotype" w:hAnsi="Palatino Linotype" w:cs="Palatino Linotype"/>
          <w:i/>
          <w:sz w:val="22"/>
          <w:szCs w:val="22"/>
        </w:rPr>
        <w:t>[…]</w:t>
      </w:r>
    </w:p>
    <w:p w:rsidR="00377CAA" w:rsidRPr="00BA7457" w:rsidRDefault="00E27F02">
      <w:pPr>
        <w:pBdr>
          <w:top w:val="nil"/>
          <w:left w:val="nil"/>
          <w:bottom w:val="nil"/>
          <w:right w:val="nil"/>
          <w:between w:val="nil"/>
        </w:pBdr>
        <w:spacing w:before="240" w:after="240"/>
        <w:ind w:left="851" w:right="901"/>
        <w:jc w:val="both"/>
      </w:pPr>
      <w:r w:rsidRPr="00BA7457">
        <w:rPr>
          <w:rFonts w:ascii="Palatino Linotype" w:eastAsia="Palatino Linotype" w:hAnsi="Palatino Linotype" w:cs="Palatino Linotype"/>
          <w:b/>
          <w:i/>
          <w:sz w:val="22"/>
          <w:szCs w:val="22"/>
        </w:rPr>
        <w:t>“Artículo 6o.</w:t>
      </w:r>
    </w:p>
    <w:p w:rsidR="00377CAA" w:rsidRPr="00BA7457" w:rsidRDefault="00E27F02">
      <w:pPr>
        <w:pBdr>
          <w:top w:val="nil"/>
          <w:left w:val="nil"/>
          <w:bottom w:val="nil"/>
          <w:right w:val="nil"/>
          <w:between w:val="nil"/>
        </w:pBdr>
        <w:spacing w:before="240" w:after="240"/>
        <w:ind w:left="851" w:right="901"/>
        <w:jc w:val="both"/>
      </w:pPr>
      <w:r w:rsidRPr="00BA7457">
        <w:rPr>
          <w:rFonts w:ascii="Palatino Linotype" w:eastAsia="Palatino Linotype" w:hAnsi="Palatino Linotype" w:cs="Palatino Linotype"/>
          <w:i/>
          <w:sz w:val="22"/>
          <w:szCs w:val="22"/>
        </w:rPr>
        <w:t>[...]</w:t>
      </w:r>
    </w:p>
    <w:p w:rsidR="00377CAA" w:rsidRPr="00BA7457" w:rsidRDefault="00E27F02">
      <w:pPr>
        <w:pBdr>
          <w:top w:val="nil"/>
          <w:left w:val="nil"/>
          <w:bottom w:val="nil"/>
          <w:right w:val="nil"/>
          <w:between w:val="nil"/>
        </w:pBdr>
        <w:spacing w:before="240" w:after="240"/>
        <w:ind w:left="851" w:right="851"/>
        <w:jc w:val="both"/>
      </w:pPr>
      <w:r w:rsidRPr="00BA7457">
        <w:rPr>
          <w:rFonts w:ascii="Palatino Linotype" w:eastAsia="Palatino Linotype" w:hAnsi="Palatino Linotype" w:cs="Palatino Linotype"/>
          <w:b/>
          <w:i/>
          <w:sz w:val="22"/>
          <w:szCs w:val="22"/>
        </w:rPr>
        <w:t xml:space="preserve">A. Para el ejercicio del derecho de acceso a la información, la Federación y </w:t>
      </w:r>
      <w:r w:rsidRPr="00BA7457">
        <w:rPr>
          <w:rFonts w:ascii="Palatino Linotype" w:eastAsia="Palatino Linotype" w:hAnsi="Palatino Linotype" w:cs="Palatino Linotype"/>
          <w:b/>
          <w:i/>
          <w:sz w:val="22"/>
          <w:szCs w:val="22"/>
          <w:u w:val="single"/>
        </w:rPr>
        <w:t>las entidades federativas</w:t>
      </w:r>
      <w:r w:rsidRPr="00BA7457">
        <w:rPr>
          <w:rFonts w:ascii="Palatino Linotype" w:eastAsia="Palatino Linotype" w:hAnsi="Palatino Linotype" w:cs="Palatino Linotype"/>
          <w:b/>
          <w:i/>
          <w:sz w:val="22"/>
          <w:szCs w:val="22"/>
        </w:rPr>
        <w:t>,</w:t>
      </w:r>
      <w:r w:rsidRPr="00BA7457">
        <w:rPr>
          <w:rFonts w:ascii="Palatino Linotype" w:eastAsia="Palatino Linotype" w:hAnsi="Palatino Linotype" w:cs="Palatino Linotype"/>
          <w:i/>
          <w:sz w:val="22"/>
          <w:szCs w:val="22"/>
        </w:rPr>
        <w:t xml:space="preserve"> en el ámbito de sus respectivas competencias, se regirán por los siguientes principios y bases:</w:t>
      </w:r>
    </w:p>
    <w:p w:rsidR="00377CAA" w:rsidRPr="00BA7457" w:rsidRDefault="00E27F02">
      <w:pPr>
        <w:pBdr>
          <w:top w:val="nil"/>
          <w:left w:val="nil"/>
          <w:bottom w:val="nil"/>
          <w:right w:val="nil"/>
          <w:between w:val="nil"/>
        </w:pBdr>
        <w:spacing w:before="240" w:after="240"/>
        <w:ind w:left="851" w:right="851"/>
        <w:jc w:val="both"/>
      </w:pPr>
      <w:r w:rsidRPr="00BA7457">
        <w:rPr>
          <w:rFonts w:ascii="Palatino Linotype" w:eastAsia="Palatino Linotype" w:hAnsi="Palatino Linotype" w:cs="Palatino Linotype"/>
          <w:i/>
          <w:sz w:val="22"/>
          <w:szCs w:val="22"/>
        </w:rPr>
        <w:t> </w:t>
      </w:r>
      <w:r w:rsidRPr="00BA7457">
        <w:rPr>
          <w:rFonts w:ascii="Palatino Linotype" w:eastAsia="Palatino Linotype" w:hAnsi="Palatino Linotype" w:cs="Palatino Linotype"/>
          <w:b/>
          <w:i/>
          <w:sz w:val="22"/>
          <w:szCs w:val="22"/>
        </w:rPr>
        <w:t xml:space="preserve">I. </w:t>
      </w:r>
      <w:r w:rsidRPr="00BA7457">
        <w:rPr>
          <w:rFonts w:ascii="Palatino Linotype" w:eastAsia="Palatino Linotype" w:hAnsi="Palatino Linotype" w:cs="Palatino Linotype"/>
          <w:b/>
          <w:i/>
          <w:sz w:val="22"/>
          <w:szCs w:val="22"/>
          <w:u w:val="single"/>
        </w:rPr>
        <w:t>Toda la información en posesión de cualquier autoridad, entidad, órgano y organismo de los Poderes</w:t>
      </w:r>
      <w:r w:rsidRPr="00BA7457">
        <w:rPr>
          <w:rFonts w:ascii="Palatino Linotype" w:eastAsia="Palatino Linotype" w:hAnsi="Palatino Linotype" w:cs="Palatino Linotype"/>
          <w:i/>
          <w:sz w:val="22"/>
          <w:szCs w:val="22"/>
        </w:rPr>
        <w:t xml:space="preserve"> Ejecutivo, Legislativo </w:t>
      </w:r>
      <w:r w:rsidRPr="00BA7457">
        <w:rPr>
          <w:rFonts w:ascii="Palatino Linotype" w:eastAsia="Palatino Linotype" w:hAnsi="Palatino Linotype" w:cs="Palatino Linotype"/>
          <w:b/>
          <w:i/>
          <w:sz w:val="22"/>
          <w:szCs w:val="22"/>
          <w:u w:val="single"/>
        </w:rPr>
        <w:t>y Judicial</w:t>
      </w:r>
      <w:r w:rsidRPr="00BA7457">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BA7457">
        <w:rPr>
          <w:rFonts w:ascii="Palatino Linotype" w:eastAsia="Palatino Linotype" w:hAnsi="Palatino Linotype" w:cs="Palatino Linotype"/>
          <w:b/>
          <w:i/>
          <w:sz w:val="22"/>
          <w:szCs w:val="22"/>
        </w:rPr>
        <w:t>es pública y sólo podrá ser reservada temporalmente por razones de interés público y seguridad nacional,</w:t>
      </w:r>
      <w:r w:rsidRPr="00BA7457">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377CAA" w:rsidRPr="00BA7457" w:rsidRDefault="00E27F02">
      <w:pPr>
        <w:pBdr>
          <w:top w:val="nil"/>
          <w:left w:val="nil"/>
          <w:bottom w:val="nil"/>
          <w:right w:val="nil"/>
          <w:between w:val="nil"/>
        </w:pBdr>
        <w:spacing w:before="240" w:after="240"/>
        <w:ind w:left="851" w:right="851"/>
        <w:jc w:val="both"/>
      </w:pPr>
      <w:r w:rsidRPr="00BA7457">
        <w:rPr>
          <w:rFonts w:ascii="Palatino Linotype" w:eastAsia="Palatino Linotype" w:hAnsi="Palatino Linotype" w:cs="Palatino Linotype"/>
          <w:i/>
          <w:sz w:val="22"/>
          <w:szCs w:val="22"/>
        </w:rPr>
        <w:t> </w:t>
      </w:r>
      <w:r w:rsidRPr="00BA7457">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377CAA" w:rsidRPr="00BA7457" w:rsidRDefault="00E27F02">
      <w:pPr>
        <w:pBdr>
          <w:top w:val="nil"/>
          <w:left w:val="nil"/>
          <w:bottom w:val="nil"/>
          <w:right w:val="nil"/>
          <w:between w:val="nil"/>
        </w:pBdr>
        <w:spacing w:before="240" w:after="240"/>
        <w:ind w:left="851" w:right="851"/>
        <w:jc w:val="both"/>
      </w:pPr>
      <w:r w:rsidRPr="00BA7457">
        <w:rPr>
          <w:rFonts w:ascii="Palatino Linotype" w:eastAsia="Palatino Linotype" w:hAnsi="Palatino Linotype" w:cs="Palatino Linotype"/>
          <w:i/>
          <w:sz w:val="22"/>
          <w:szCs w:val="22"/>
        </w:rPr>
        <w:t> </w:t>
      </w:r>
      <w:r w:rsidRPr="00BA7457">
        <w:rPr>
          <w:rFonts w:ascii="Palatino Linotype" w:eastAsia="Palatino Linotype" w:hAnsi="Palatino Linotype" w:cs="Palatino Linotype"/>
          <w:b/>
          <w:i/>
          <w:sz w:val="22"/>
          <w:szCs w:val="22"/>
        </w:rPr>
        <w:t xml:space="preserve">III. </w:t>
      </w:r>
      <w:r w:rsidRPr="00BA7457">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BA7457">
        <w:rPr>
          <w:rFonts w:ascii="Palatino Linotype" w:eastAsia="Palatino Linotype" w:hAnsi="Palatino Linotype" w:cs="Palatino Linotype"/>
          <w:i/>
          <w:sz w:val="22"/>
          <w:szCs w:val="22"/>
        </w:rPr>
        <w:t xml:space="preserve"> a sus datos personales o a la rectificación de éstos.</w:t>
      </w:r>
    </w:p>
    <w:p w:rsidR="00377CAA" w:rsidRPr="00BA7457" w:rsidRDefault="00E27F02">
      <w:pPr>
        <w:pBdr>
          <w:top w:val="nil"/>
          <w:left w:val="nil"/>
          <w:bottom w:val="nil"/>
          <w:right w:val="nil"/>
          <w:between w:val="nil"/>
        </w:pBdr>
        <w:spacing w:before="240" w:after="240"/>
        <w:ind w:left="851" w:right="851"/>
        <w:jc w:val="both"/>
      </w:pPr>
      <w:r w:rsidRPr="00BA7457">
        <w:rPr>
          <w:rFonts w:ascii="Palatino Linotype" w:eastAsia="Palatino Linotype" w:hAnsi="Palatino Linotype" w:cs="Palatino Linotype"/>
          <w:i/>
          <w:sz w:val="22"/>
          <w:szCs w:val="22"/>
        </w:rPr>
        <w:lastRenderedPageBreak/>
        <w:t> </w:t>
      </w:r>
      <w:r w:rsidRPr="00BA7457">
        <w:rPr>
          <w:rFonts w:ascii="Palatino Linotype" w:eastAsia="Palatino Linotype" w:hAnsi="Palatino Linotype" w:cs="Palatino Linotype"/>
          <w:b/>
          <w:i/>
          <w:sz w:val="22"/>
          <w:szCs w:val="22"/>
        </w:rPr>
        <w:t xml:space="preserve">IV. </w:t>
      </w:r>
      <w:r w:rsidRPr="00BA7457">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377CAA" w:rsidRPr="00BA7457" w:rsidRDefault="00E27F02">
      <w:pPr>
        <w:pBdr>
          <w:top w:val="nil"/>
          <w:left w:val="nil"/>
          <w:bottom w:val="nil"/>
          <w:right w:val="nil"/>
          <w:between w:val="nil"/>
        </w:pBdr>
        <w:spacing w:before="240" w:after="240"/>
        <w:ind w:left="851" w:right="851"/>
        <w:jc w:val="both"/>
      </w:pPr>
      <w:r w:rsidRPr="00BA7457">
        <w:rPr>
          <w:rFonts w:ascii="Palatino Linotype" w:eastAsia="Palatino Linotype" w:hAnsi="Palatino Linotype" w:cs="Palatino Linotype"/>
          <w:b/>
          <w:i/>
          <w:sz w:val="22"/>
          <w:szCs w:val="22"/>
        </w:rPr>
        <w:t xml:space="preserve">V. </w:t>
      </w:r>
      <w:r w:rsidRPr="00BA7457">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377CAA" w:rsidRPr="00BA7457" w:rsidRDefault="00E27F02">
      <w:pPr>
        <w:pBdr>
          <w:top w:val="nil"/>
          <w:left w:val="nil"/>
          <w:bottom w:val="nil"/>
          <w:right w:val="nil"/>
          <w:between w:val="nil"/>
        </w:pBdr>
        <w:spacing w:before="240" w:after="240"/>
        <w:ind w:left="851" w:right="851"/>
        <w:jc w:val="both"/>
      </w:pPr>
      <w:r w:rsidRPr="00BA7457">
        <w:rPr>
          <w:rFonts w:ascii="Palatino Linotype" w:eastAsia="Palatino Linotype" w:hAnsi="Palatino Linotype" w:cs="Palatino Linotype"/>
          <w:i/>
          <w:sz w:val="22"/>
          <w:szCs w:val="22"/>
        </w:rPr>
        <w:t> </w:t>
      </w:r>
      <w:r w:rsidRPr="00BA7457">
        <w:rPr>
          <w:rFonts w:ascii="Palatino Linotype" w:eastAsia="Palatino Linotype" w:hAnsi="Palatino Linotype" w:cs="Palatino Linotype"/>
          <w:b/>
          <w:i/>
          <w:sz w:val="22"/>
          <w:szCs w:val="22"/>
        </w:rPr>
        <w:t xml:space="preserve">VI. </w:t>
      </w:r>
      <w:r w:rsidRPr="00BA7457">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377CAA" w:rsidRPr="00BA7457" w:rsidRDefault="00E27F02">
      <w:pPr>
        <w:pBdr>
          <w:top w:val="nil"/>
          <w:left w:val="nil"/>
          <w:bottom w:val="nil"/>
          <w:right w:val="nil"/>
          <w:between w:val="nil"/>
        </w:pBdr>
        <w:spacing w:before="240" w:after="240"/>
        <w:ind w:left="851" w:right="851"/>
        <w:jc w:val="both"/>
      </w:pPr>
      <w:r w:rsidRPr="00BA7457">
        <w:rPr>
          <w:rFonts w:ascii="Palatino Linotype" w:eastAsia="Palatino Linotype" w:hAnsi="Palatino Linotype" w:cs="Palatino Linotype"/>
          <w:i/>
          <w:sz w:val="22"/>
          <w:szCs w:val="22"/>
        </w:rPr>
        <w:t> </w:t>
      </w:r>
      <w:r w:rsidRPr="00BA7457">
        <w:rPr>
          <w:rFonts w:ascii="Palatino Linotype" w:eastAsia="Palatino Linotype" w:hAnsi="Palatino Linotype" w:cs="Palatino Linotype"/>
          <w:b/>
          <w:i/>
          <w:sz w:val="22"/>
          <w:szCs w:val="22"/>
        </w:rPr>
        <w:t xml:space="preserve">VII. </w:t>
      </w:r>
      <w:r w:rsidRPr="00BA7457">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377CAA" w:rsidRPr="00BA7457" w:rsidRDefault="00E27F02">
      <w:pPr>
        <w:pBdr>
          <w:top w:val="nil"/>
          <w:left w:val="nil"/>
          <w:bottom w:val="nil"/>
          <w:right w:val="nil"/>
          <w:between w:val="nil"/>
        </w:pBdr>
        <w:spacing w:before="240" w:after="240" w:line="360" w:lineRule="auto"/>
        <w:jc w:val="both"/>
      </w:pPr>
      <w:r w:rsidRPr="00BA7457">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377CAA" w:rsidRPr="00BA7457" w:rsidRDefault="00E27F02">
      <w:pPr>
        <w:pBdr>
          <w:top w:val="nil"/>
          <w:left w:val="nil"/>
          <w:bottom w:val="nil"/>
          <w:right w:val="nil"/>
          <w:between w:val="nil"/>
        </w:pBdr>
        <w:spacing w:before="240" w:after="240"/>
        <w:ind w:left="709" w:right="760"/>
        <w:jc w:val="both"/>
      </w:pPr>
      <w:r w:rsidRPr="00BA7457">
        <w:rPr>
          <w:rFonts w:ascii="Palatino Linotype" w:eastAsia="Palatino Linotype" w:hAnsi="Palatino Linotype" w:cs="Palatino Linotype"/>
          <w:i/>
          <w:sz w:val="22"/>
          <w:szCs w:val="22"/>
        </w:rPr>
        <w:t>“</w:t>
      </w:r>
      <w:r w:rsidRPr="00BA7457">
        <w:rPr>
          <w:rFonts w:ascii="Palatino Linotype" w:eastAsia="Palatino Linotype" w:hAnsi="Palatino Linotype" w:cs="Palatino Linotype"/>
          <w:b/>
          <w:i/>
          <w:sz w:val="22"/>
          <w:szCs w:val="22"/>
        </w:rPr>
        <w:t>Artículo 4</w:t>
      </w:r>
      <w:r w:rsidRPr="00BA7457">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rsidR="00377CAA" w:rsidRPr="00BA7457" w:rsidRDefault="00E27F02">
      <w:pPr>
        <w:pBdr>
          <w:top w:val="nil"/>
          <w:left w:val="nil"/>
          <w:bottom w:val="nil"/>
          <w:right w:val="nil"/>
          <w:between w:val="nil"/>
        </w:pBdr>
        <w:spacing w:before="240" w:after="240"/>
        <w:ind w:left="709" w:right="760"/>
        <w:jc w:val="both"/>
      </w:pPr>
      <w:r w:rsidRPr="00BA7457">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a cualquier persona, en los términos y condiciones </w:t>
      </w:r>
      <w:r w:rsidRPr="00BA7457">
        <w:rPr>
          <w:rFonts w:ascii="Palatino Linotype" w:eastAsia="Palatino Linotype" w:hAnsi="Palatino Linotype" w:cs="Palatino Linotype"/>
          <w:b/>
          <w:i/>
          <w:sz w:val="22"/>
          <w:szCs w:val="22"/>
        </w:rPr>
        <w:lastRenderedPageBreak/>
        <w:t>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377CAA" w:rsidRPr="00BA7457" w:rsidRDefault="00E27F02">
      <w:pPr>
        <w:pBdr>
          <w:top w:val="nil"/>
          <w:left w:val="nil"/>
          <w:bottom w:val="nil"/>
          <w:right w:val="nil"/>
          <w:between w:val="nil"/>
        </w:pBdr>
        <w:spacing w:before="240" w:after="240"/>
        <w:ind w:left="709" w:right="760"/>
        <w:jc w:val="both"/>
      </w:pPr>
      <w:r w:rsidRPr="00BA7457">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rsidR="00377CAA" w:rsidRPr="00BA7457" w:rsidRDefault="00E27F02">
      <w:pPr>
        <w:pBdr>
          <w:top w:val="nil"/>
          <w:left w:val="nil"/>
          <w:bottom w:val="nil"/>
          <w:right w:val="nil"/>
          <w:between w:val="nil"/>
        </w:pBdr>
        <w:spacing w:before="240" w:after="240" w:line="360" w:lineRule="auto"/>
        <w:jc w:val="both"/>
      </w:pPr>
      <w:r w:rsidRPr="00BA7457">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377CAA" w:rsidRPr="00BA7457" w:rsidRDefault="00E27F02">
      <w:pPr>
        <w:pBdr>
          <w:top w:val="nil"/>
          <w:left w:val="nil"/>
          <w:bottom w:val="nil"/>
          <w:right w:val="nil"/>
          <w:between w:val="nil"/>
        </w:pBdr>
        <w:spacing w:before="240" w:after="240"/>
        <w:ind w:left="567" w:right="758"/>
        <w:jc w:val="both"/>
      </w:pPr>
      <w:r w:rsidRPr="00BA7457">
        <w:rPr>
          <w:rFonts w:ascii="Palatino Linotype" w:eastAsia="Palatino Linotype" w:hAnsi="Palatino Linotype" w:cs="Palatino Linotype"/>
          <w:i/>
          <w:sz w:val="22"/>
          <w:szCs w:val="22"/>
        </w:rPr>
        <w:t>“</w:t>
      </w:r>
      <w:r w:rsidRPr="00BA7457">
        <w:rPr>
          <w:rFonts w:ascii="Palatino Linotype" w:eastAsia="Palatino Linotype" w:hAnsi="Palatino Linotype" w:cs="Palatino Linotype"/>
          <w:b/>
          <w:i/>
          <w:sz w:val="22"/>
          <w:szCs w:val="22"/>
        </w:rPr>
        <w:t>Artículo 12</w:t>
      </w:r>
      <w:r w:rsidRPr="00BA7457">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rsidR="00377CAA" w:rsidRPr="00BA7457" w:rsidRDefault="00E27F02">
      <w:pPr>
        <w:pBdr>
          <w:top w:val="nil"/>
          <w:left w:val="nil"/>
          <w:bottom w:val="nil"/>
          <w:right w:val="nil"/>
          <w:between w:val="nil"/>
        </w:pBdr>
        <w:spacing w:before="240" w:after="240"/>
        <w:ind w:left="567" w:right="758"/>
        <w:jc w:val="both"/>
      </w:pPr>
      <w:r w:rsidRPr="00BA7457">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377CAA" w:rsidRPr="00BA7457" w:rsidRDefault="00E27F02">
      <w:pPr>
        <w:pBdr>
          <w:top w:val="nil"/>
          <w:left w:val="nil"/>
          <w:bottom w:val="nil"/>
          <w:right w:val="nil"/>
          <w:between w:val="nil"/>
        </w:pBdr>
        <w:spacing w:before="240" w:after="240" w:line="360" w:lineRule="auto"/>
        <w:jc w:val="both"/>
      </w:pPr>
      <w:r w:rsidRPr="00BA7457">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BA7457">
        <w:rPr>
          <w:rFonts w:ascii="Palatino Linotype" w:eastAsia="Palatino Linotype" w:hAnsi="Palatino Linotype" w:cs="Palatino Linotype"/>
          <w:b/>
        </w:rPr>
        <w:t xml:space="preserve"> </w:t>
      </w:r>
      <w:r w:rsidRPr="00BA7457">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BA7457">
        <w:rPr>
          <w:rFonts w:ascii="Palatino Linotype" w:eastAsia="Palatino Linotype" w:hAnsi="Palatino Linotype" w:cs="Palatino Linotype"/>
          <w:i/>
        </w:rPr>
        <w:t>ad hoc</w:t>
      </w:r>
      <w:r w:rsidRPr="00BA7457">
        <w:rPr>
          <w:rFonts w:ascii="Palatino Linotype" w:eastAsia="Palatino Linotype" w:hAnsi="Palatino Linotype" w:cs="Palatino Linotype"/>
        </w:rPr>
        <w:t xml:space="preserve">, para satisfacer el derecho de acceso a la </w:t>
      </w:r>
      <w:r w:rsidRPr="00BA7457">
        <w:rPr>
          <w:rFonts w:ascii="Palatino Linotype" w:eastAsia="Palatino Linotype" w:hAnsi="Palatino Linotype" w:cs="Palatino Linotype"/>
        </w:rPr>
        <w:lastRenderedPageBreak/>
        <w:t>información pública, como así lo establece el criterio 03/17 emitido por el Instituto Nacional de Transparencia, Acceso a la Información Pública y Protección de Datos Personales, el cual señala lo siguiente:</w:t>
      </w:r>
    </w:p>
    <w:p w:rsidR="00377CAA" w:rsidRPr="00BA7457" w:rsidRDefault="00E27F02">
      <w:pPr>
        <w:pBdr>
          <w:top w:val="nil"/>
          <w:left w:val="nil"/>
          <w:bottom w:val="nil"/>
          <w:right w:val="nil"/>
          <w:between w:val="nil"/>
        </w:pBdr>
        <w:spacing w:before="240" w:after="240"/>
        <w:ind w:left="567" w:right="567"/>
        <w:jc w:val="both"/>
      </w:pPr>
      <w:r w:rsidRPr="00BA7457">
        <w:rPr>
          <w:rFonts w:ascii="Palatino Linotype" w:eastAsia="Palatino Linotype" w:hAnsi="Palatino Linotype" w:cs="Palatino Linotype"/>
          <w:b/>
          <w:i/>
          <w:sz w:val="22"/>
          <w:szCs w:val="22"/>
        </w:rPr>
        <w:t>03/17</w:t>
      </w:r>
    </w:p>
    <w:p w:rsidR="00377CAA" w:rsidRPr="00BA7457" w:rsidRDefault="00E27F02">
      <w:pPr>
        <w:pBdr>
          <w:top w:val="nil"/>
          <w:left w:val="nil"/>
          <w:bottom w:val="nil"/>
          <w:right w:val="nil"/>
          <w:between w:val="nil"/>
        </w:pBdr>
        <w:spacing w:before="240" w:after="240"/>
        <w:ind w:left="567" w:right="567"/>
        <w:jc w:val="both"/>
      </w:pPr>
      <w:r w:rsidRPr="00BA7457">
        <w:rPr>
          <w:rFonts w:ascii="Palatino Linotype" w:eastAsia="Palatino Linotype" w:hAnsi="Palatino Linotype" w:cs="Palatino Linotype"/>
          <w:b/>
          <w:i/>
          <w:sz w:val="22"/>
          <w:szCs w:val="22"/>
        </w:rPr>
        <w:t>“NO EXISTE OBLIGACIÓN DE ELABORAR DOCUMENTOS AD HOC PARA ATENDER LAS SOLICITUDES DE ACCESO A LA INFORMACIÓN.</w:t>
      </w:r>
    </w:p>
    <w:p w:rsidR="00377CAA" w:rsidRPr="00BA7457" w:rsidRDefault="00E27F02">
      <w:pPr>
        <w:pBdr>
          <w:top w:val="nil"/>
          <w:left w:val="nil"/>
          <w:bottom w:val="nil"/>
          <w:right w:val="nil"/>
          <w:between w:val="nil"/>
        </w:pBdr>
        <w:spacing w:before="240" w:after="240"/>
        <w:ind w:left="567" w:right="567"/>
        <w:jc w:val="both"/>
      </w:pPr>
      <w:r w:rsidRPr="00BA7457">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377CAA" w:rsidRPr="00BA7457" w:rsidRDefault="00E27F02">
      <w:pPr>
        <w:pBdr>
          <w:top w:val="nil"/>
          <w:left w:val="nil"/>
          <w:bottom w:val="nil"/>
          <w:right w:val="nil"/>
          <w:between w:val="nil"/>
        </w:pBdr>
        <w:spacing w:before="240" w:after="240" w:line="360" w:lineRule="auto"/>
        <w:jc w:val="both"/>
      </w:pPr>
      <w:r w:rsidRPr="00BA7457">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377CAA" w:rsidRPr="00BA7457" w:rsidRDefault="00E27F02">
      <w:pPr>
        <w:pBdr>
          <w:top w:val="nil"/>
          <w:left w:val="nil"/>
          <w:bottom w:val="nil"/>
          <w:right w:val="nil"/>
          <w:between w:val="nil"/>
        </w:pBdr>
        <w:spacing w:before="240" w:after="240" w:line="360" w:lineRule="auto"/>
        <w:ind w:right="49"/>
        <w:jc w:val="both"/>
      </w:pPr>
      <w:r w:rsidRPr="00BA7457">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w:t>
      </w:r>
      <w:r w:rsidRPr="00BA7457">
        <w:rPr>
          <w:rFonts w:ascii="Palatino Linotype" w:eastAsia="Palatino Linotype" w:hAnsi="Palatino Linotype" w:cs="Palatino Linotype"/>
        </w:rPr>
        <w:lastRenderedPageBreak/>
        <w:t>el servidor público habilitado de cada Sujeto Obligado; como así se establece en la Ley de Transparencia y Acceso a la Información Pública del Estado de México y Municipios.</w:t>
      </w:r>
    </w:p>
    <w:p w:rsidR="00377CAA" w:rsidRPr="00BA7457" w:rsidRDefault="00E27F02">
      <w:pPr>
        <w:pBdr>
          <w:top w:val="nil"/>
          <w:left w:val="nil"/>
          <w:bottom w:val="nil"/>
          <w:right w:val="nil"/>
          <w:between w:val="nil"/>
        </w:pBdr>
        <w:spacing w:before="240" w:after="240" w:line="360" w:lineRule="auto"/>
        <w:jc w:val="both"/>
      </w:pPr>
      <w:r w:rsidRPr="00BA7457">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377CAA" w:rsidRPr="00BA7457" w:rsidRDefault="00E27F02">
      <w:pPr>
        <w:pBdr>
          <w:top w:val="nil"/>
          <w:left w:val="nil"/>
          <w:bottom w:val="nil"/>
          <w:right w:val="nil"/>
          <w:between w:val="nil"/>
        </w:pBdr>
        <w:spacing w:before="240" w:after="240"/>
        <w:ind w:left="567" w:right="567"/>
        <w:jc w:val="both"/>
      </w:pPr>
      <w:r w:rsidRPr="00BA7457">
        <w:rPr>
          <w:rFonts w:ascii="Palatino Linotype" w:eastAsia="Palatino Linotype" w:hAnsi="Palatino Linotype" w:cs="Palatino Linotype"/>
          <w:i/>
          <w:sz w:val="22"/>
          <w:szCs w:val="22"/>
        </w:rPr>
        <w:t>“</w:t>
      </w:r>
      <w:r w:rsidRPr="00BA7457">
        <w:rPr>
          <w:rFonts w:ascii="Palatino Linotype" w:eastAsia="Palatino Linotype" w:hAnsi="Palatino Linotype" w:cs="Palatino Linotype"/>
          <w:b/>
          <w:i/>
          <w:sz w:val="22"/>
          <w:szCs w:val="22"/>
        </w:rPr>
        <w:t xml:space="preserve">Artículo 3. </w:t>
      </w:r>
      <w:r w:rsidRPr="00BA7457">
        <w:rPr>
          <w:rFonts w:ascii="Palatino Linotype" w:eastAsia="Palatino Linotype" w:hAnsi="Palatino Linotype" w:cs="Palatino Linotype"/>
          <w:i/>
          <w:sz w:val="22"/>
          <w:szCs w:val="22"/>
        </w:rPr>
        <w:t>Para los efectos de la presente Ley se entenderá por:</w:t>
      </w:r>
    </w:p>
    <w:p w:rsidR="00377CAA" w:rsidRPr="00BA7457" w:rsidRDefault="00E27F02">
      <w:pPr>
        <w:pBdr>
          <w:top w:val="nil"/>
          <w:left w:val="nil"/>
          <w:bottom w:val="nil"/>
          <w:right w:val="nil"/>
          <w:between w:val="nil"/>
        </w:pBdr>
        <w:spacing w:before="240" w:after="240"/>
        <w:ind w:left="567" w:right="567"/>
        <w:jc w:val="both"/>
      </w:pPr>
      <w:r w:rsidRPr="00BA7457">
        <w:rPr>
          <w:rFonts w:ascii="Palatino Linotype" w:eastAsia="Palatino Linotype" w:hAnsi="Palatino Linotype" w:cs="Palatino Linotype"/>
          <w:i/>
          <w:sz w:val="22"/>
          <w:szCs w:val="22"/>
        </w:rPr>
        <w:t>…</w:t>
      </w:r>
    </w:p>
    <w:p w:rsidR="00377CAA" w:rsidRPr="00BA7457" w:rsidRDefault="00E27F02">
      <w:pPr>
        <w:pBdr>
          <w:top w:val="nil"/>
          <w:left w:val="nil"/>
          <w:bottom w:val="nil"/>
          <w:right w:val="nil"/>
          <w:between w:val="nil"/>
        </w:pBdr>
        <w:spacing w:before="240" w:after="240"/>
        <w:ind w:left="567" w:right="567"/>
        <w:jc w:val="both"/>
      </w:pPr>
      <w:r w:rsidRPr="00BA7457">
        <w:rPr>
          <w:rFonts w:ascii="Palatino Linotype" w:eastAsia="Palatino Linotype" w:hAnsi="Palatino Linotype" w:cs="Palatino Linotype"/>
          <w:b/>
          <w:i/>
          <w:sz w:val="22"/>
          <w:szCs w:val="22"/>
        </w:rPr>
        <w:t>XI. Documento:</w:t>
      </w:r>
      <w:r w:rsidRPr="00BA7457">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BA7457">
        <w:rPr>
          <w:rFonts w:ascii="Palatino Linotype" w:eastAsia="Palatino Linotype" w:hAnsi="Palatino Linotype" w:cs="Palatino Linotype"/>
          <w:b/>
          <w:i/>
          <w:sz w:val="22"/>
          <w:szCs w:val="22"/>
        </w:rPr>
        <w:t>…</w:t>
      </w:r>
      <w:r w:rsidRPr="00BA7457">
        <w:rPr>
          <w:rFonts w:ascii="Palatino Linotype" w:eastAsia="Palatino Linotype" w:hAnsi="Palatino Linotype" w:cs="Palatino Linotype"/>
          <w:i/>
          <w:sz w:val="22"/>
          <w:szCs w:val="22"/>
        </w:rPr>
        <w:t>” (Sic)</w:t>
      </w:r>
    </w:p>
    <w:p w:rsidR="00377CAA" w:rsidRPr="00BA7457" w:rsidRDefault="00E27F02">
      <w:pPr>
        <w:pBdr>
          <w:top w:val="nil"/>
          <w:left w:val="nil"/>
          <w:bottom w:val="nil"/>
          <w:right w:val="nil"/>
          <w:between w:val="nil"/>
        </w:pBdr>
        <w:spacing w:before="240" w:after="240" w:line="360" w:lineRule="auto"/>
        <w:jc w:val="both"/>
      </w:pPr>
      <w:r w:rsidRPr="00BA7457">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sidRPr="00BA7457">
        <w:rPr>
          <w:rFonts w:ascii="Palatino Linotype" w:eastAsia="Palatino Linotype" w:hAnsi="Palatino Linotype" w:cs="Palatino Linotype"/>
        </w:rPr>
        <w:lastRenderedPageBreak/>
        <w:t>Oficial del Gobierno del Estado Libre y Soberano de México “Gaceta del Gobierno”, el diecinueve de octubre de dos mil once, cuyo rubro y texto refieren lo siguiente:</w:t>
      </w:r>
    </w:p>
    <w:p w:rsidR="00377CAA" w:rsidRPr="00BA7457" w:rsidRDefault="00E27F02">
      <w:pPr>
        <w:pBdr>
          <w:top w:val="nil"/>
          <w:left w:val="nil"/>
          <w:bottom w:val="nil"/>
          <w:right w:val="nil"/>
          <w:between w:val="nil"/>
        </w:pBdr>
        <w:spacing w:before="240" w:after="240"/>
        <w:ind w:left="567" w:right="567"/>
        <w:jc w:val="both"/>
      </w:pPr>
      <w:r w:rsidRPr="00BA7457">
        <w:rPr>
          <w:rFonts w:ascii="Palatino Linotype" w:eastAsia="Palatino Linotype" w:hAnsi="Palatino Linotype" w:cs="Palatino Linotype"/>
          <w:b/>
          <w:sz w:val="22"/>
          <w:szCs w:val="22"/>
        </w:rPr>
        <w:t>“</w:t>
      </w:r>
      <w:r w:rsidRPr="00BA7457">
        <w:rPr>
          <w:rFonts w:ascii="Palatino Linotype" w:eastAsia="Palatino Linotype" w:hAnsi="Palatino Linotype" w:cs="Palatino Linotype"/>
          <w:b/>
          <w:i/>
          <w:sz w:val="22"/>
          <w:szCs w:val="22"/>
        </w:rPr>
        <w:t>CRITERIO 0002-11</w:t>
      </w:r>
    </w:p>
    <w:p w:rsidR="00377CAA" w:rsidRPr="00BA7457" w:rsidRDefault="00E27F02">
      <w:pPr>
        <w:pBdr>
          <w:top w:val="nil"/>
          <w:left w:val="nil"/>
          <w:bottom w:val="nil"/>
          <w:right w:val="nil"/>
          <w:between w:val="nil"/>
        </w:pBdr>
        <w:spacing w:before="240" w:after="240"/>
        <w:ind w:left="567" w:right="567"/>
        <w:jc w:val="both"/>
      </w:pPr>
      <w:r w:rsidRPr="00BA7457">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BA7457">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77CAA" w:rsidRPr="00BA7457" w:rsidRDefault="00E27F02">
      <w:pPr>
        <w:pBdr>
          <w:top w:val="nil"/>
          <w:left w:val="nil"/>
          <w:bottom w:val="nil"/>
          <w:right w:val="nil"/>
          <w:between w:val="nil"/>
        </w:pBdr>
        <w:spacing w:before="240" w:after="240"/>
        <w:ind w:left="567" w:right="567"/>
        <w:jc w:val="both"/>
      </w:pPr>
      <w:r w:rsidRPr="00BA7457">
        <w:rPr>
          <w:rFonts w:ascii="Palatino Linotype" w:eastAsia="Palatino Linotype" w:hAnsi="Palatino Linotype" w:cs="Palatino Linotype"/>
          <w:i/>
          <w:sz w:val="22"/>
          <w:szCs w:val="22"/>
        </w:rPr>
        <w:t>En consecuencia el acceso a la información se refiere a que se cumplan cualquiera de los siguientes tres supuestos:</w:t>
      </w:r>
    </w:p>
    <w:p w:rsidR="00377CAA" w:rsidRPr="00BA7457" w:rsidRDefault="00E27F02">
      <w:pPr>
        <w:numPr>
          <w:ilvl w:val="0"/>
          <w:numId w:val="4"/>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rsidR="00377CAA" w:rsidRPr="00BA7457" w:rsidRDefault="00E27F02">
      <w:pPr>
        <w:numPr>
          <w:ilvl w:val="0"/>
          <w:numId w:val="4"/>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rsidR="00377CAA" w:rsidRPr="00BA7457" w:rsidRDefault="00E27F02">
      <w:pPr>
        <w:pBdr>
          <w:top w:val="nil"/>
          <w:left w:val="nil"/>
          <w:bottom w:val="nil"/>
          <w:right w:val="nil"/>
          <w:between w:val="nil"/>
        </w:pBdr>
        <w:spacing w:before="240" w:after="240"/>
        <w:ind w:left="567" w:right="567" w:hanging="284"/>
        <w:jc w:val="both"/>
      </w:pPr>
      <w:r w:rsidRPr="00BA7457">
        <w:rPr>
          <w:rFonts w:ascii="Palatino Linotype" w:eastAsia="Palatino Linotype" w:hAnsi="Palatino Linotype" w:cs="Palatino Linotype"/>
          <w:i/>
          <w:sz w:val="22"/>
          <w:szCs w:val="22"/>
        </w:rPr>
        <w:t xml:space="preserve">3. </w:t>
      </w:r>
      <w:r w:rsidRPr="00BA7457">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(Énfasis añadido)</w:t>
      </w:r>
    </w:p>
    <w:p w:rsidR="00377CAA" w:rsidRPr="00BA7457" w:rsidRDefault="00E27F02">
      <w:pPr>
        <w:pBdr>
          <w:top w:val="nil"/>
          <w:left w:val="nil"/>
          <w:bottom w:val="nil"/>
          <w:right w:val="nil"/>
          <w:between w:val="nil"/>
        </w:pBdr>
        <w:spacing w:before="240" w:after="240" w:line="360" w:lineRule="auto"/>
        <w:jc w:val="both"/>
      </w:pPr>
      <w:r w:rsidRPr="00BA7457">
        <w:rPr>
          <w:rFonts w:ascii="Palatino Linotype" w:eastAsia="Palatino Linotype" w:hAnsi="Palatino Linotype" w:cs="Palatino Linotype"/>
        </w:rPr>
        <w:t xml:space="preserve">De ahí que el </w:t>
      </w:r>
      <w:r w:rsidRPr="00BA7457">
        <w:rPr>
          <w:rFonts w:ascii="Palatino Linotype" w:eastAsia="Palatino Linotype" w:hAnsi="Palatino Linotype" w:cs="Palatino Linotype"/>
          <w:b/>
        </w:rPr>
        <w:t>Sujeto Obligado</w:t>
      </w:r>
      <w:r w:rsidRPr="00BA7457">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w:t>
      </w:r>
      <w:r w:rsidRPr="00BA7457">
        <w:rPr>
          <w:rFonts w:ascii="Palatino Linotype" w:eastAsia="Palatino Linotype" w:hAnsi="Palatino Linotype" w:cs="Palatino Linotype"/>
        </w:rPr>
        <w:lastRenderedPageBreak/>
        <w:t>interés individual, y cuya divulgación resulta útil para que el público comprenda las actividades que llevan a cabo los Sujetos Obligados.</w:t>
      </w:r>
    </w:p>
    <w:p w:rsidR="00377CAA" w:rsidRPr="00BA7457" w:rsidRDefault="00E27F0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rPr>
        <w:t xml:space="preserve">Ahora bien, para profundizar en el estudio del presente asunto, es conveniente recordar que la parte solicitante requirió al </w:t>
      </w:r>
      <w:r w:rsidRPr="00BA7457">
        <w:rPr>
          <w:rFonts w:ascii="Palatino Linotype" w:eastAsia="Palatino Linotype" w:hAnsi="Palatino Linotype" w:cs="Palatino Linotype"/>
          <w:b/>
        </w:rPr>
        <w:t>Sujeto Obligado</w:t>
      </w:r>
      <w:r w:rsidRPr="00BA7457">
        <w:rPr>
          <w:rFonts w:ascii="Palatino Linotype" w:eastAsia="Palatino Linotype" w:hAnsi="Palatino Linotype" w:cs="Palatino Linotype"/>
        </w:rPr>
        <w:t>, le proporcionara lo siguiente:</w:t>
      </w:r>
    </w:p>
    <w:p w:rsidR="00377CAA" w:rsidRPr="00BA7457" w:rsidRDefault="00E27F02">
      <w:pPr>
        <w:numPr>
          <w:ilvl w:val="0"/>
          <w:numId w:val="6"/>
        </w:numPr>
        <w:pBdr>
          <w:top w:val="nil"/>
          <w:left w:val="nil"/>
          <w:bottom w:val="nil"/>
          <w:right w:val="nil"/>
          <w:between w:val="nil"/>
        </w:pBdr>
        <w:spacing w:before="240" w:line="360" w:lineRule="auto"/>
        <w:ind w:left="567" w:right="900" w:hanging="141"/>
        <w:jc w:val="both"/>
        <w:rPr>
          <w:rFonts w:ascii="Palatino Linotype" w:eastAsia="Palatino Linotype" w:hAnsi="Palatino Linotype" w:cs="Palatino Linotype"/>
          <w:b/>
          <w:sz w:val="22"/>
          <w:szCs w:val="22"/>
        </w:rPr>
      </w:pPr>
      <w:r w:rsidRPr="00BA7457">
        <w:rPr>
          <w:rFonts w:ascii="Palatino Linotype" w:eastAsia="Palatino Linotype" w:hAnsi="Palatino Linotype" w:cs="Palatino Linotype"/>
          <w:b/>
          <w:sz w:val="22"/>
          <w:szCs w:val="22"/>
        </w:rPr>
        <w:t>De los inmuebles que cuentan con las claves catastrales 101-05-201-01, 101-01-055-01, 101-02-733-17, 101-03-214-31 y 101-03-222-23:</w:t>
      </w:r>
    </w:p>
    <w:p w:rsidR="00377CAA" w:rsidRPr="00BA7457" w:rsidRDefault="00E27F02">
      <w:pPr>
        <w:pBdr>
          <w:top w:val="nil"/>
          <w:left w:val="nil"/>
          <w:bottom w:val="nil"/>
          <w:right w:val="nil"/>
          <w:between w:val="nil"/>
        </w:pBdr>
        <w:spacing w:line="360" w:lineRule="auto"/>
        <w:ind w:left="567" w:right="900"/>
        <w:jc w:val="both"/>
        <w:rPr>
          <w:rFonts w:ascii="Palatino Linotype" w:eastAsia="Palatino Linotype" w:hAnsi="Palatino Linotype" w:cs="Palatino Linotype"/>
          <w:sz w:val="22"/>
          <w:szCs w:val="22"/>
        </w:rPr>
      </w:pPr>
      <w:r w:rsidRPr="00BA7457">
        <w:rPr>
          <w:rFonts w:ascii="Palatino Linotype" w:eastAsia="Palatino Linotype" w:hAnsi="Palatino Linotype" w:cs="Palatino Linotype"/>
          <w:sz w:val="22"/>
          <w:szCs w:val="22"/>
        </w:rPr>
        <w:t>1.- Todos los documentos que acrediten la propiedad y posesión a favor del ayuntamiento.</w:t>
      </w:r>
    </w:p>
    <w:p w:rsidR="00377CAA" w:rsidRPr="00BA7457" w:rsidRDefault="00E27F02">
      <w:pPr>
        <w:pBdr>
          <w:top w:val="nil"/>
          <w:left w:val="nil"/>
          <w:bottom w:val="nil"/>
          <w:right w:val="nil"/>
          <w:between w:val="nil"/>
        </w:pBdr>
        <w:spacing w:after="240" w:line="360" w:lineRule="auto"/>
        <w:ind w:left="567" w:right="900"/>
        <w:jc w:val="both"/>
        <w:rPr>
          <w:rFonts w:ascii="Palatino Linotype" w:eastAsia="Palatino Linotype" w:hAnsi="Palatino Linotype" w:cs="Palatino Linotype"/>
          <w:sz w:val="22"/>
          <w:szCs w:val="22"/>
        </w:rPr>
      </w:pPr>
      <w:r w:rsidRPr="00BA7457">
        <w:rPr>
          <w:rFonts w:ascii="Palatino Linotype" w:eastAsia="Palatino Linotype" w:hAnsi="Palatino Linotype" w:cs="Palatino Linotype"/>
          <w:sz w:val="22"/>
          <w:szCs w:val="22"/>
        </w:rPr>
        <w:t>2.- Todos los documentos y planos manzaneros o catastrales que acrediten las medidas, colindancias y superficie del inmueble.</w:t>
      </w:r>
    </w:p>
    <w:p w:rsidR="00377CAA" w:rsidRPr="00BA7457" w:rsidRDefault="00E27F02">
      <w:pPr>
        <w:spacing w:before="240" w:after="240" w:line="360" w:lineRule="auto"/>
        <w:ind w:right="49"/>
        <w:jc w:val="both"/>
        <w:rPr>
          <w:rFonts w:ascii="Palatino Linotype" w:eastAsia="Palatino Linotype" w:hAnsi="Palatino Linotype" w:cs="Palatino Linotype"/>
        </w:rPr>
      </w:pPr>
      <w:r w:rsidRPr="00BA7457">
        <w:rPr>
          <w:rFonts w:ascii="Palatino Linotype" w:eastAsia="Palatino Linotype" w:hAnsi="Palatino Linotype" w:cs="Palatino Linotype"/>
        </w:rPr>
        <w:t xml:space="preserve">En respuesta, el </w:t>
      </w:r>
      <w:r w:rsidRPr="00BA7457">
        <w:rPr>
          <w:rFonts w:ascii="Palatino Linotype" w:eastAsia="Palatino Linotype" w:hAnsi="Palatino Linotype" w:cs="Palatino Linotype"/>
          <w:b/>
        </w:rPr>
        <w:t>Sujeto Obligado</w:t>
      </w:r>
      <w:r w:rsidRPr="00BA7457">
        <w:rPr>
          <w:rFonts w:ascii="Palatino Linotype" w:eastAsia="Palatino Linotype" w:hAnsi="Palatino Linotype" w:cs="Palatino Linotype"/>
        </w:rPr>
        <w:t xml:space="preserve"> remitió los pronunciamientos de los servidores públicos habilitados de la Tesorería Municipal y la Secretaría del Ayuntamiento, quienes señalaron lo siguiente:</w:t>
      </w:r>
    </w:p>
    <w:p w:rsidR="00377CAA" w:rsidRPr="00BA7457" w:rsidRDefault="00E27F02">
      <w:pPr>
        <w:spacing w:before="240" w:after="240" w:line="276" w:lineRule="auto"/>
        <w:ind w:left="567" w:right="902"/>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“…se detectó que los inmuebles descritos con clave catastral 101 01 055 01, 101 03 214 31, 101 03 214 31, 101 03 214 31, 101 03 222 23, 101 03 222 23, no corresponden con la descripción del domicilio referido por el solicitante, por tanto, dicha autoridad municipal, se encuentra imposibilitada en proporcionar la información requerida.</w:t>
      </w:r>
    </w:p>
    <w:p w:rsidR="00377CAA" w:rsidRPr="00BA7457" w:rsidRDefault="00E27F02">
      <w:pPr>
        <w:spacing w:before="240" w:after="240" w:line="276" w:lineRule="auto"/>
        <w:ind w:left="567" w:right="902"/>
        <w:jc w:val="both"/>
        <w:rPr>
          <w:rFonts w:ascii="Palatino Linotype" w:eastAsia="Palatino Linotype" w:hAnsi="Palatino Linotype" w:cs="Palatino Linotype"/>
          <w:b/>
          <w:i/>
          <w:sz w:val="22"/>
          <w:szCs w:val="22"/>
          <w:u w:val="single"/>
        </w:rPr>
      </w:pPr>
      <w:r w:rsidRPr="00BA7457">
        <w:rPr>
          <w:rFonts w:ascii="Palatino Linotype" w:eastAsia="Palatino Linotype" w:hAnsi="Palatino Linotype" w:cs="Palatino Linotype"/>
          <w:b/>
          <w:i/>
          <w:sz w:val="22"/>
          <w:szCs w:val="22"/>
          <w:u w:val="single"/>
        </w:rPr>
        <w:t>En cuanto a los inmuebles referidos, con Clave Catastral 101 05 201 01 y 101 02 733 17, advierte que, se encuentran ante un Procedimiento Jurídico de Escrituración, ante ello, no es posible remitir información hasta en tanto culmine dicho procedimiento.</w:t>
      </w:r>
    </w:p>
    <w:p w:rsidR="00377CAA" w:rsidRPr="00BA7457" w:rsidRDefault="00E27F02">
      <w:pPr>
        <w:spacing w:before="240" w:after="240" w:line="276" w:lineRule="auto"/>
        <w:ind w:left="567" w:right="902"/>
        <w:jc w:val="both"/>
        <w:rPr>
          <w:rFonts w:ascii="Palatino Linotype" w:eastAsia="Palatino Linotype" w:hAnsi="Palatino Linotype" w:cs="Palatino Linotype"/>
        </w:rPr>
      </w:pPr>
      <w:r w:rsidRPr="00BA7457">
        <w:rPr>
          <w:rFonts w:ascii="Palatino Linotype" w:eastAsia="Palatino Linotype" w:hAnsi="Palatino Linotype" w:cs="Palatino Linotype"/>
          <w:i/>
          <w:sz w:val="22"/>
          <w:szCs w:val="22"/>
        </w:rPr>
        <w:lastRenderedPageBreak/>
        <w:t>Por su parte, la Secretaría del Ayuntamiento y Servidor Público Habilitado, informó que respecto a los documentos que acrediten la propiedad y posesión a favor del ayuntamiento sobre varios inmuebles que tienen registrado en el inventario de bienes inmuebles propiedad del municipio, esta se encuentra clasificada como reservada, toda vez que se encuentra en proceso administrativo, quedando bajo el acuerdo AT/CT/02/2023 de la Centésima Sexagésima Quinta Sesión Extraordinaria del Comité de Transparencia del Municipio de Toluca, de fecha diecisiete de febrero del dos mil veintitrés...” (Énfasis añadido)</w:t>
      </w:r>
    </w:p>
    <w:p w:rsidR="00377CAA" w:rsidRPr="00BA7457" w:rsidRDefault="00E27F02">
      <w:pPr>
        <w:spacing w:before="240" w:after="240" w:line="360" w:lineRule="auto"/>
        <w:ind w:right="49"/>
        <w:jc w:val="both"/>
        <w:rPr>
          <w:rFonts w:ascii="Palatino Linotype" w:eastAsia="Palatino Linotype" w:hAnsi="Palatino Linotype" w:cs="Palatino Linotype"/>
        </w:rPr>
      </w:pPr>
      <w:r w:rsidRPr="00BA7457">
        <w:rPr>
          <w:rFonts w:ascii="Palatino Linotype" w:eastAsia="Palatino Linotype" w:hAnsi="Palatino Linotype" w:cs="Palatino Linotype"/>
        </w:rPr>
        <w:t xml:space="preserve">Asimismo, adjuntó el Acta de la Centésima Sexagésima Quinta Sesión Extraordinaria 2023 del Comité de Transparencia del Municipio de Toluca Administración 2022-2024, mediante la cual </w:t>
      </w:r>
      <w:r w:rsidRPr="00BA7457">
        <w:rPr>
          <w:rFonts w:ascii="Palatino Linotype" w:eastAsia="Palatino Linotype" w:hAnsi="Palatino Linotype" w:cs="Palatino Linotype"/>
          <w:b/>
          <w:u w:val="single"/>
        </w:rPr>
        <w:t>clasifica como reservada la información solicitada por cuanto hace a las claves catastrales 101-05-201-01 y 101-02-733-17.</w:t>
      </w:r>
    </w:p>
    <w:p w:rsidR="00377CAA" w:rsidRPr="00BA7457" w:rsidRDefault="00E27F02">
      <w:pPr>
        <w:spacing w:line="360" w:lineRule="auto"/>
        <w:jc w:val="both"/>
        <w:rPr>
          <w:rFonts w:ascii="Palatino Linotype" w:eastAsia="Palatino Linotype" w:hAnsi="Palatino Linotype" w:cs="Palatino Linotype"/>
          <w:b/>
          <w:i/>
        </w:rPr>
      </w:pPr>
      <w:r w:rsidRPr="00BA7457">
        <w:rPr>
          <w:rFonts w:ascii="Palatino Linotype" w:eastAsia="Palatino Linotype" w:hAnsi="Palatino Linotype" w:cs="Palatino Linotype"/>
        </w:rPr>
        <w:t xml:space="preserve">En esta tesitura, una vez conocida la respuesta emitida por el </w:t>
      </w:r>
      <w:r w:rsidRPr="00BA7457">
        <w:rPr>
          <w:rFonts w:ascii="Palatino Linotype" w:eastAsia="Palatino Linotype" w:hAnsi="Palatino Linotype" w:cs="Palatino Linotype"/>
          <w:b/>
        </w:rPr>
        <w:t>Sujeto Obligado</w:t>
      </w:r>
      <w:r w:rsidRPr="00BA7457">
        <w:rPr>
          <w:rFonts w:ascii="Palatino Linotype" w:eastAsia="Palatino Linotype" w:hAnsi="Palatino Linotype" w:cs="Palatino Linotype"/>
        </w:rPr>
        <w:t xml:space="preserve">, </w:t>
      </w:r>
      <w:r w:rsidRPr="00BA7457">
        <w:rPr>
          <w:rFonts w:ascii="Palatino Linotype" w:eastAsia="Palatino Linotype" w:hAnsi="Palatino Linotype" w:cs="Palatino Linotype"/>
          <w:b/>
        </w:rPr>
        <w:t>la parte Recurrente</w:t>
      </w:r>
      <w:r w:rsidRPr="00BA7457">
        <w:rPr>
          <w:rFonts w:ascii="Palatino Linotype" w:eastAsia="Palatino Linotype" w:hAnsi="Palatino Linotype" w:cs="Palatino Linotype"/>
        </w:rPr>
        <w:t>, al no estar conforme con los términos de la misma, interpuso el recurso de revisión que nos ocupa, donde su inconformidad medularmente versa sobre la clasificación de la información.</w:t>
      </w:r>
    </w:p>
    <w:p w:rsidR="00377CAA" w:rsidRPr="00BA7457" w:rsidRDefault="00E27F02">
      <w:pPr>
        <w:spacing w:before="240" w:after="240"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rPr>
        <w:t xml:space="preserve">Así las cosas, durante la etapa de manifestaciones, se tiene que el </w:t>
      </w:r>
      <w:r w:rsidRPr="00BA7457">
        <w:rPr>
          <w:rFonts w:ascii="Palatino Linotype" w:eastAsia="Palatino Linotype" w:hAnsi="Palatino Linotype" w:cs="Palatino Linotype"/>
          <w:b/>
        </w:rPr>
        <w:t>Sujeto Obligado</w:t>
      </w:r>
      <w:r w:rsidRPr="00BA7457">
        <w:rPr>
          <w:rFonts w:ascii="Palatino Linotype" w:eastAsia="Palatino Linotype" w:hAnsi="Palatino Linotype" w:cs="Palatino Linotype"/>
        </w:rPr>
        <w:t xml:space="preserve"> ratificó su respuesta inicial, mientras que </w:t>
      </w:r>
      <w:r w:rsidRPr="00BA7457">
        <w:rPr>
          <w:rFonts w:ascii="Palatino Linotype" w:eastAsia="Palatino Linotype" w:hAnsi="Palatino Linotype" w:cs="Palatino Linotype"/>
          <w:b/>
        </w:rPr>
        <w:t>la parte Recurrente</w:t>
      </w:r>
      <w:r w:rsidRPr="00BA7457">
        <w:rPr>
          <w:rFonts w:ascii="Palatino Linotype" w:eastAsia="Palatino Linotype" w:hAnsi="Palatino Linotype" w:cs="Palatino Linotype"/>
        </w:rPr>
        <w:t xml:space="preserve"> fue omisa en pronunciarse, por lo tanto, se tiene por precluido su derecho para tal efecto.</w:t>
      </w:r>
    </w:p>
    <w:p w:rsidR="00377CAA" w:rsidRPr="00BA7457" w:rsidRDefault="00E27F0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rPr>
        <w:t xml:space="preserve">Expuestas las posturas de las partes, conviene iniciar el presente estudio señalando que del análisis al escrito recursal, se advierte en las razones o motivos de inconformidad que </w:t>
      </w:r>
      <w:r w:rsidRPr="00BA7457">
        <w:rPr>
          <w:rFonts w:ascii="Palatino Linotype" w:eastAsia="Palatino Linotype" w:hAnsi="Palatino Linotype" w:cs="Palatino Linotype"/>
          <w:b/>
        </w:rPr>
        <w:t>la parte Recurrente</w:t>
      </w:r>
      <w:r w:rsidRPr="00BA7457">
        <w:rPr>
          <w:rFonts w:ascii="Palatino Linotype" w:eastAsia="Palatino Linotype" w:hAnsi="Palatino Linotype" w:cs="Palatino Linotype"/>
        </w:rPr>
        <w:t xml:space="preserve"> peticiona los siguientes puntos: “</w:t>
      </w:r>
      <w:r w:rsidRPr="00BA7457">
        <w:rPr>
          <w:rFonts w:ascii="Palatino Linotype" w:eastAsia="Palatino Linotype" w:hAnsi="Palatino Linotype" w:cs="Palatino Linotype"/>
          <w:i/>
          <w:sz w:val="22"/>
          <w:szCs w:val="22"/>
        </w:rPr>
        <w:t xml:space="preserve">1. Cual o cuáles son los números de expedientes que radicaron por cada uno de dichos inmuebles, 2. En qué </w:t>
      </w:r>
      <w:r w:rsidRPr="00BA7457">
        <w:rPr>
          <w:rFonts w:ascii="Palatino Linotype" w:eastAsia="Palatino Linotype" w:hAnsi="Palatino Linotype" w:cs="Palatino Linotype"/>
          <w:i/>
          <w:sz w:val="22"/>
          <w:szCs w:val="22"/>
        </w:rPr>
        <w:lastRenderedPageBreak/>
        <w:t xml:space="preserve">juzgado fueron radicados, 3. Qué tipo de juicios iniciaron 4. La fecha de inicio de dichos procedimientos 5. La etapa procesal de cada uno de dichos procedimientos Lo anterior estimó básico para determinar si dicha respuesta era válida o no, ya que no se tiene certeza de la fecha de inicio de dichos procedimientos.”, </w:t>
      </w:r>
      <w:r w:rsidRPr="00BA7457">
        <w:rPr>
          <w:rFonts w:ascii="Palatino Linotype" w:eastAsia="Palatino Linotype" w:hAnsi="Palatino Linotype" w:cs="Palatino Linotype"/>
        </w:rPr>
        <w:t xml:space="preserve">los cuales no fueron solicitados, como se desprende del antecedente marcado con el numeral uno de la presente resolución, por lo que constituyen en su totalidad nuevos requerimientos de información, configurándose así lo que se conoce como </w:t>
      </w:r>
      <w:r w:rsidRPr="00BA7457">
        <w:rPr>
          <w:rFonts w:ascii="Palatino Linotype" w:eastAsia="Palatino Linotype" w:hAnsi="Palatino Linotype" w:cs="Palatino Linotype"/>
          <w:b/>
          <w:i/>
        </w:rPr>
        <w:t>plus petitio</w:t>
      </w:r>
      <w:r w:rsidRPr="00BA7457">
        <w:rPr>
          <w:rFonts w:ascii="Palatino Linotype" w:eastAsia="Palatino Linotype" w:hAnsi="Palatino Linotype" w:cs="Palatino Linotype"/>
        </w:rPr>
        <w:t xml:space="preserve">, que consiste en una ampliación a su requerimiento informativo, argumentos que no son susceptibles de ser valorados en términos de la fracción VII del Artículo 191 de la Ley de Transparencia y Acceso a la Información Pública del Estado de México y Municipios,  pues </w:t>
      </w:r>
      <w:r w:rsidRPr="00BA7457">
        <w:rPr>
          <w:rFonts w:ascii="Palatino Linotype" w:eastAsia="Palatino Linotype" w:hAnsi="Palatino Linotype" w:cs="Palatino Linotype"/>
          <w:b/>
        </w:rPr>
        <w:t>la parte</w:t>
      </w:r>
      <w:r w:rsidRPr="00BA7457">
        <w:rPr>
          <w:rFonts w:ascii="Palatino Linotype" w:eastAsia="Palatino Linotype" w:hAnsi="Palatino Linotype" w:cs="Palatino Linotype"/>
        </w:rPr>
        <w:t xml:space="preserve"> </w:t>
      </w:r>
      <w:r w:rsidRPr="00BA7457">
        <w:rPr>
          <w:rFonts w:ascii="Palatino Linotype" w:eastAsia="Palatino Linotype" w:hAnsi="Palatino Linotype" w:cs="Palatino Linotype"/>
          <w:b/>
        </w:rPr>
        <w:t>Recurrente</w:t>
      </w:r>
      <w:r w:rsidRPr="00BA7457">
        <w:rPr>
          <w:rFonts w:ascii="Palatino Linotype" w:eastAsia="Palatino Linotype" w:hAnsi="Palatino Linotype" w:cs="Palatino Linotype"/>
        </w:rPr>
        <w:t xml:space="preserve"> formuló nuevos cuestionamientos, en los que solicitó información que no formó parte de su solicitud inicial y por lo tanto son inatendibles a través del recurso de revisión. </w:t>
      </w:r>
    </w:p>
    <w:p w:rsidR="00377CAA" w:rsidRPr="00BA7457" w:rsidRDefault="00E27F0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rPr>
        <w:t>En este tenor, es posible determinar que para el caso que nos ocupa, los argumentos formulados como motivos o razones de inconformidad son una ampliación a la solicitud inicial y corresponden a nuevos requerimientos de información, que no se encuentran relacionados con lo solicitado en un primer momento.</w:t>
      </w:r>
    </w:p>
    <w:p w:rsidR="00377CAA" w:rsidRPr="00BA7457" w:rsidRDefault="00E27F0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rPr>
        <w:t>En este orden de ideas, una vez formulada su solicitud inicial, 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rsidR="00377CAA" w:rsidRPr="00BA7457" w:rsidRDefault="00E27F0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rPr>
        <w:lastRenderedPageBreak/>
        <w:t>Robustece lo anterior lo plasmado en el criterio orientador número 01/17 emitido por el Instituto Nacional de Transparencia, Acceso a la Información y Protección de Datos Personales, INAI, que lleva por rubro y texto lo que a continuación se transcribe:</w:t>
      </w:r>
    </w:p>
    <w:p w:rsidR="00377CAA" w:rsidRPr="00BA7457" w:rsidRDefault="00E27F02">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w:t>
      </w:r>
      <w:r w:rsidRPr="00BA7457">
        <w:rPr>
          <w:rFonts w:ascii="Palatino Linotype" w:eastAsia="Palatino Linotype" w:hAnsi="Palatino Linotype" w:cs="Palatino Linotype"/>
          <w:b/>
          <w:i/>
          <w:sz w:val="22"/>
          <w:szCs w:val="22"/>
        </w:rPr>
        <w:t>Es improcedente ampliar las solicitudes de acceso a información, a través de la interposición del recurso de revisión</w:t>
      </w:r>
      <w:r w:rsidRPr="00BA7457">
        <w:rPr>
          <w:rFonts w:ascii="Palatino Linotype" w:eastAsia="Palatino Linotype" w:hAnsi="Palatino Linotype" w:cs="Palatino Linotype"/>
          <w:i/>
          <w:sz w:val="22"/>
          <w:szCs w:val="22"/>
        </w:rPr>
        <w:t>.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BA7457">
        <w:rPr>
          <w:rFonts w:ascii="Palatino Linotype" w:eastAsia="Palatino Linotype" w:hAnsi="Palatino Linotype" w:cs="Palatino Linotype"/>
          <w:i/>
          <w:sz w:val="20"/>
          <w:szCs w:val="20"/>
        </w:rPr>
        <w:t> </w:t>
      </w:r>
    </w:p>
    <w:p w:rsidR="00377CAA" w:rsidRPr="00BA7457" w:rsidRDefault="00E27F02">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BA7457">
        <w:rPr>
          <w:rFonts w:ascii="Palatino Linotype" w:eastAsia="Palatino Linotype" w:hAnsi="Palatino Linotype" w:cs="Palatino Linotype"/>
        </w:rPr>
        <w:t>Por lo anterior, dichos requerimientos no serán susceptibles de análisis alguno, no obstante, si es del interés de la persona solicitante el conocer esta información, se dejan a salvo sus derechos para efecto de que presente las solicitudes que estime convenientes.</w:t>
      </w:r>
    </w:p>
    <w:p w:rsidR="00377CAA" w:rsidRPr="00BA7457" w:rsidRDefault="00E27F02">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BA7457">
        <w:rPr>
          <w:rFonts w:ascii="Palatino Linotype" w:eastAsia="Palatino Linotype" w:hAnsi="Palatino Linotype" w:cs="Palatino Linotype"/>
        </w:rPr>
        <w:t xml:space="preserve">Continuando con el análisis, debemos recordar que en la respuesta se actualizaron dos supuestos, a saber: </w:t>
      </w:r>
    </w:p>
    <w:p w:rsidR="00377CAA" w:rsidRPr="00BA7457" w:rsidRDefault="00E27F02">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rPr>
        <w:t>1.- El servidor público habilitado de la Tesorería Municipal refirió que “…</w:t>
      </w:r>
      <w:r w:rsidRPr="00BA7457">
        <w:rPr>
          <w:rFonts w:ascii="Palatino Linotype" w:eastAsia="Palatino Linotype" w:hAnsi="Palatino Linotype" w:cs="Palatino Linotype"/>
          <w:i/>
          <w:sz w:val="22"/>
          <w:szCs w:val="22"/>
        </w:rPr>
        <w:t>se detectó que los inmuebles descritos con clave catastral 101 01 055 01, 101 03 214 31, 101 03 214 31, 101 03 214 31, 101 03 222 23, 101 03 222 23, no corresponden con la descripción del domicilio referido por el solicitante, por tanto, dicha autoridad municipal, se encuentra imposibilitada en proporcionar la información requerida…”</w:t>
      </w:r>
    </w:p>
    <w:p w:rsidR="00377CAA" w:rsidRPr="00BA7457" w:rsidRDefault="00E27F02">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BA7457">
        <w:rPr>
          <w:rFonts w:ascii="Palatino Linotype" w:eastAsia="Palatino Linotype" w:hAnsi="Palatino Linotype" w:cs="Palatino Linotype"/>
        </w:rPr>
        <w:lastRenderedPageBreak/>
        <w:t>2.- El servidor público habilitado de la Tesorería Municipal refirió que “</w:t>
      </w:r>
      <w:r w:rsidRPr="00BA7457">
        <w:rPr>
          <w:rFonts w:ascii="Palatino Linotype" w:eastAsia="Palatino Linotype" w:hAnsi="Palatino Linotype" w:cs="Palatino Linotype"/>
          <w:b/>
          <w:i/>
          <w:sz w:val="22"/>
          <w:szCs w:val="22"/>
          <w:u w:val="single"/>
        </w:rPr>
        <w:t>En cuanto a los inmuebles referidos, con Clave Catastral 101 05 201 01 y 101 02 733 17, advierte que,</w:t>
      </w:r>
      <w:r w:rsidRPr="00BA7457">
        <w:rPr>
          <w:rFonts w:ascii="Palatino Linotype" w:eastAsia="Palatino Linotype" w:hAnsi="Palatino Linotype" w:cs="Palatino Linotype"/>
          <w:i/>
          <w:sz w:val="22"/>
          <w:szCs w:val="22"/>
        </w:rPr>
        <w:t xml:space="preserve"> </w:t>
      </w:r>
      <w:r w:rsidRPr="00BA7457">
        <w:rPr>
          <w:rFonts w:ascii="Palatino Linotype" w:eastAsia="Palatino Linotype" w:hAnsi="Palatino Linotype" w:cs="Palatino Linotype"/>
          <w:b/>
          <w:i/>
          <w:sz w:val="22"/>
          <w:szCs w:val="22"/>
          <w:u w:val="single"/>
        </w:rPr>
        <w:t>se encuentran ante un Procedimiento Jurídico de Escrituración</w:t>
      </w:r>
      <w:r w:rsidRPr="00BA7457">
        <w:rPr>
          <w:rFonts w:ascii="Palatino Linotype" w:eastAsia="Palatino Linotype" w:hAnsi="Palatino Linotype" w:cs="Palatino Linotype"/>
          <w:i/>
          <w:sz w:val="22"/>
          <w:szCs w:val="22"/>
        </w:rPr>
        <w:t>, ante ello, no es posible remitir información hasta en tanto culmine dicho procedimiento</w:t>
      </w:r>
      <w:r w:rsidRPr="00BA7457">
        <w:rPr>
          <w:rFonts w:ascii="Palatino Linotype" w:eastAsia="Palatino Linotype" w:hAnsi="Palatino Linotype" w:cs="Palatino Linotype"/>
        </w:rPr>
        <w:t>…”</w:t>
      </w:r>
    </w:p>
    <w:p w:rsidR="00377CAA" w:rsidRPr="00BA7457" w:rsidRDefault="00E27F02">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BA7457">
        <w:rPr>
          <w:rFonts w:ascii="Palatino Linotype" w:eastAsia="Palatino Linotype" w:hAnsi="Palatino Linotype" w:cs="Palatino Linotype"/>
        </w:rPr>
        <w:t>Es de precisar que dicha circunstancia es replicada por el servidor público habilitado de la Secretaría del Ayuntamiento quien informó que respecto a los documentos que acrediten la propiedad y posesión a favor del ayuntamiento de los inmuebles previamente referidos que tienen registrado en el inventario de bienes inmuebles propiedad del municipio, dicha información se encuentra clasificada como reservada, toda vez que se encuentra en proceso administrativo, quedando bajo el acuerdo AT/CT/02/2023 de la Centésima Sexagésima Quinta Sesión Extraordinaria del Comité de Transparencia del Municipio de Toluca, de fecha diecisiete de febrero del dos mil veintitrés.</w:t>
      </w:r>
    </w:p>
    <w:p w:rsidR="00377CAA" w:rsidRPr="00BA7457" w:rsidRDefault="00377CAA">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p>
    <w:p w:rsidR="00377CAA" w:rsidRPr="00BA7457" w:rsidRDefault="00E27F02">
      <w:pPr>
        <w:spacing w:before="240" w:after="240" w:line="360" w:lineRule="auto"/>
        <w:ind w:right="49"/>
        <w:jc w:val="both"/>
        <w:rPr>
          <w:rFonts w:ascii="Palatino Linotype" w:eastAsia="Palatino Linotype" w:hAnsi="Palatino Linotype" w:cs="Palatino Linotype"/>
          <w:b/>
          <w:u w:val="single"/>
        </w:rPr>
      </w:pPr>
      <w:bookmarkStart w:id="5" w:name="_heading=h.2et92p0" w:colFirst="0" w:colLast="0"/>
      <w:bookmarkEnd w:id="5"/>
      <w:r w:rsidRPr="00BA7457">
        <w:rPr>
          <w:rFonts w:ascii="Palatino Linotype" w:eastAsia="Palatino Linotype" w:hAnsi="Palatino Linotype" w:cs="Palatino Linotype"/>
        </w:rPr>
        <w:t xml:space="preserve">Así las cosas, de un ejercicio de interpretación a los motivos de inconformidad de la </w:t>
      </w:r>
      <w:r w:rsidRPr="00BA7457">
        <w:rPr>
          <w:rFonts w:ascii="Palatino Linotype" w:eastAsia="Palatino Linotype" w:hAnsi="Palatino Linotype" w:cs="Palatino Linotype"/>
          <w:b/>
        </w:rPr>
        <w:t>parte Recurrente</w:t>
      </w:r>
      <w:r w:rsidRPr="00BA7457">
        <w:rPr>
          <w:rFonts w:ascii="Palatino Linotype" w:eastAsia="Palatino Linotype" w:hAnsi="Palatino Linotype" w:cs="Palatino Linotype"/>
        </w:rPr>
        <w:t xml:space="preserve">, se tiene que en estricto sentido versan sobre la clasificación de la información reservada, es decir, únicamente </w:t>
      </w:r>
      <w:r w:rsidRPr="00BA7457">
        <w:rPr>
          <w:rFonts w:ascii="Palatino Linotype" w:eastAsia="Palatino Linotype" w:hAnsi="Palatino Linotype" w:cs="Palatino Linotype"/>
          <w:b/>
        </w:rPr>
        <w:t>impugna la reserva de los documentos de los inmuebles referidos, con Clave Catastral 101 05 201 01 y 101 02 733 17</w:t>
      </w:r>
      <w:r w:rsidRPr="00BA7457">
        <w:rPr>
          <w:rFonts w:ascii="Palatino Linotype" w:eastAsia="Palatino Linotype" w:hAnsi="Palatino Linotype" w:cs="Palatino Linotype"/>
        </w:rPr>
        <w:t xml:space="preserve">, por lo tanto, se reitera que los motivos de inconformidad aducidos, no versan sobre la totalidad de la información proporcionada por el </w:t>
      </w:r>
      <w:r w:rsidRPr="00BA7457">
        <w:rPr>
          <w:rFonts w:ascii="Palatino Linotype" w:eastAsia="Palatino Linotype" w:hAnsi="Palatino Linotype" w:cs="Palatino Linotype"/>
          <w:b/>
        </w:rPr>
        <w:t xml:space="preserve">Sujeto Obligado, </w:t>
      </w:r>
      <w:r w:rsidRPr="00BA7457">
        <w:rPr>
          <w:rFonts w:ascii="Palatino Linotype" w:eastAsia="Palatino Linotype" w:hAnsi="Palatino Linotype" w:cs="Palatino Linotype"/>
        </w:rPr>
        <w:t xml:space="preserve">pues </w:t>
      </w:r>
      <w:r w:rsidRPr="00BA7457">
        <w:rPr>
          <w:rFonts w:ascii="Palatino Linotype" w:eastAsia="Palatino Linotype" w:hAnsi="Palatino Linotype" w:cs="Palatino Linotype"/>
          <w:b/>
        </w:rPr>
        <w:t>la parte</w:t>
      </w:r>
      <w:r w:rsidRPr="00BA7457">
        <w:rPr>
          <w:rFonts w:ascii="Palatino Linotype" w:eastAsia="Palatino Linotype" w:hAnsi="Palatino Linotype" w:cs="Palatino Linotype"/>
        </w:rPr>
        <w:t xml:space="preserve"> </w:t>
      </w:r>
      <w:r w:rsidRPr="00BA7457">
        <w:rPr>
          <w:rFonts w:ascii="Palatino Linotype" w:eastAsia="Palatino Linotype" w:hAnsi="Palatino Linotype" w:cs="Palatino Linotype"/>
          <w:b/>
        </w:rPr>
        <w:t>Recurrente</w:t>
      </w:r>
      <w:r w:rsidRPr="00BA7457">
        <w:rPr>
          <w:rFonts w:ascii="Palatino Linotype" w:eastAsia="Palatino Linotype" w:hAnsi="Palatino Linotype" w:cs="Palatino Linotype"/>
        </w:rPr>
        <w:t xml:space="preserve"> manifestó de manera </w:t>
      </w:r>
      <w:r w:rsidRPr="00BA7457">
        <w:rPr>
          <w:rFonts w:ascii="Palatino Linotype" w:eastAsia="Palatino Linotype" w:hAnsi="Palatino Linotype" w:cs="Palatino Linotype"/>
          <w:b/>
          <w:u w:val="single"/>
        </w:rPr>
        <w:t>expresa su inconformidad respecto de la clasificación de la información, la cual únicamente se dio en dos inmuebles</w:t>
      </w:r>
      <w:r w:rsidRPr="00BA7457">
        <w:rPr>
          <w:rFonts w:ascii="Palatino Linotype" w:eastAsia="Palatino Linotype" w:hAnsi="Palatino Linotype" w:cs="Palatino Linotype"/>
        </w:rPr>
        <w:t>.</w:t>
      </w:r>
    </w:p>
    <w:p w:rsidR="00377CAA" w:rsidRPr="00BA7457" w:rsidRDefault="00E27F02">
      <w:pPr>
        <w:spacing w:before="240" w:after="240" w:line="360" w:lineRule="auto"/>
        <w:jc w:val="both"/>
        <w:rPr>
          <w:rFonts w:ascii="Palatino Linotype" w:eastAsia="Palatino Linotype" w:hAnsi="Palatino Linotype" w:cs="Palatino Linotype"/>
          <w:b/>
        </w:rPr>
      </w:pPr>
      <w:r w:rsidRPr="00BA7457">
        <w:rPr>
          <w:rFonts w:ascii="Palatino Linotype" w:eastAsia="Palatino Linotype" w:hAnsi="Palatino Linotype" w:cs="Palatino Linotype"/>
        </w:rPr>
        <w:lastRenderedPageBreak/>
        <w:t xml:space="preserve">En este orden de ideas, la parte de la respuesta que no fue impugnada, concerniente a </w:t>
      </w:r>
      <w:r w:rsidRPr="00BA7457">
        <w:rPr>
          <w:rFonts w:ascii="Palatino Linotype" w:eastAsia="Palatino Linotype" w:hAnsi="Palatino Linotype" w:cs="Palatino Linotype"/>
          <w:b/>
        </w:rPr>
        <w:t xml:space="preserve">la imposibilidad de proporcionar información respecto de los inmuebles con clave catastral 101 01 055 01, 101 03 214 31, 101 03 214 31, 101 03 214 31, 101 03 222 23, 101 03 222 23, </w:t>
      </w:r>
      <w:r w:rsidRPr="00BA7457">
        <w:rPr>
          <w:rFonts w:ascii="Palatino Linotype" w:eastAsia="Palatino Linotype" w:hAnsi="Palatino Linotype" w:cs="Palatino Linotype"/>
          <w:b/>
          <w:u w:val="single"/>
        </w:rPr>
        <w:t>deben declararse consentidos</w:t>
      </w:r>
      <w:r w:rsidRPr="00BA7457">
        <w:rPr>
          <w:rFonts w:ascii="Palatino Linotype" w:eastAsia="Palatino Linotype" w:hAnsi="Palatino Linotype" w:cs="Palatino Linotype"/>
        </w:rPr>
        <w:t xml:space="preserve">, toda vez que, al no haber realizado manifestaciones de inconformidad al respecto, no pueden producirse efectos jurídicos tendientes a revocar, confirmar o modificar el acto reclamado, ya que, en el caso concreto se infiere que la información proporcionada por el </w:t>
      </w:r>
      <w:r w:rsidRPr="00BA7457">
        <w:rPr>
          <w:rFonts w:ascii="Palatino Linotype" w:eastAsia="Palatino Linotype" w:hAnsi="Palatino Linotype" w:cs="Palatino Linotype"/>
          <w:b/>
        </w:rPr>
        <w:t>Sujeto Obligado</w:t>
      </w:r>
      <w:r w:rsidRPr="00BA7457">
        <w:rPr>
          <w:rFonts w:ascii="Palatino Linotype" w:eastAsia="Palatino Linotype" w:hAnsi="Palatino Linotype" w:cs="Palatino Linotype"/>
        </w:rPr>
        <w:t>, satisface la solicitud presentada.</w:t>
      </w:r>
    </w:p>
    <w:p w:rsidR="00377CAA" w:rsidRPr="00BA7457" w:rsidRDefault="00E27F02">
      <w:pPr>
        <w:spacing w:before="240" w:after="240"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rPr>
        <w:t xml:space="preserve">Lo anterior es así, debido a que cuando un </w:t>
      </w:r>
      <w:r w:rsidRPr="00BA7457">
        <w:rPr>
          <w:rFonts w:ascii="Palatino Linotype" w:eastAsia="Palatino Linotype" w:hAnsi="Palatino Linotype" w:cs="Palatino Linotype"/>
          <w:b/>
        </w:rPr>
        <w:t>Recurrente</w:t>
      </w:r>
      <w:r w:rsidRPr="00BA7457">
        <w:rPr>
          <w:rFonts w:ascii="Palatino Linotype" w:eastAsia="Palatino Linotype" w:hAnsi="Palatino Linotype" w:cs="Palatino Linotype"/>
        </w:rPr>
        <w:t xml:space="preserve"> impugna la respuesta del </w:t>
      </w:r>
      <w:r w:rsidRPr="00BA7457">
        <w:rPr>
          <w:rFonts w:ascii="Palatino Linotype" w:eastAsia="Palatino Linotype" w:hAnsi="Palatino Linotype" w:cs="Palatino Linotype"/>
          <w:b/>
        </w:rPr>
        <w:t>Sujeto Obligado</w:t>
      </w:r>
      <w:r w:rsidRPr="00BA7457">
        <w:rPr>
          <w:rFonts w:ascii="Palatino Linotype" w:eastAsia="Palatino Linotype" w:hAnsi="Palatino Linotype" w:cs="Palatino Linotype"/>
        </w:rPr>
        <w:t xml:space="preserve">, y este no expresa Razón o Motivo de Inconformidad en contra de todos los rubros solicitados, dichos rubros deben declararse atendidos, pues se entiende que </w:t>
      </w:r>
      <w:r w:rsidRPr="00BA7457">
        <w:rPr>
          <w:rFonts w:ascii="Palatino Linotype" w:eastAsia="Palatino Linotype" w:hAnsi="Palatino Linotype" w:cs="Palatino Linotype"/>
          <w:b/>
        </w:rPr>
        <w:t>la parte Recurrente</w:t>
      </w:r>
      <w:r w:rsidRPr="00BA7457">
        <w:rPr>
          <w:rFonts w:ascii="Palatino Linotype" w:eastAsia="Palatino Linotype" w:hAnsi="Palatino Linotype" w:cs="Palatino Linotype"/>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377CAA" w:rsidRPr="00BA7457" w:rsidRDefault="00E27F02">
      <w:pPr>
        <w:spacing w:before="240" w:after="240" w:line="276" w:lineRule="auto"/>
        <w:ind w:left="851" w:right="900"/>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b/>
          <w:i/>
          <w:sz w:val="22"/>
          <w:szCs w:val="22"/>
        </w:rPr>
        <w:t xml:space="preserve">“REVISIÓN EN AMPARO. LOS RESOLUTIVOS NO COMBATIDOS DEBEN DECLARARSE FIRMES. </w:t>
      </w:r>
      <w:r w:rsidRPr="00BA7457">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377CAA" w:rsidRPr="00BA7457" w:rsidRDefault="00E27F02">
      <w:pPr>
        <w:spacing w:before="240" w:after="240"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rPr>
        <w:lastRenderedPageBreak/>
        <w:t xml:space="preserve">Consecuentemente, se reitera que la parte de la solicitud que no fue impugnada debe declararse consentida por </w:t>
      </w:r>
      <w:r w:rsidRPr="00BA7457">
        <w:rPr>
          <w:rFonts w:ascii="Palatino Linotype" w:eastAsia="Palatino Linotype" w:hAnsi="Palatino Linotype" w:cs="Palatino Linotype"/>
          <w:b/>
        </w:rPr>
        <w:t>la parte Recurrente</w:t>
      </w:r>
      <w:r w:rsidRPr="00BA7457">
        <w:rPr>
          <w:rFonts w:ascii="Palatino Linotype" w:eastAsia="Palatino Linotype" w:hAnsi="Palatino Linotype" w:cs="Palatino Linotype"/>
        </w:rPr>
        <w:t xml:space="preserve">, en razón de que no se realizaron manifestaciones de inconformidad, por lo que no pueden producirse efectos jurídicos tendentes a revocar, confirmar o modificar el acto reclamado ya que se infiere un consentimiento de </w:t>
      </w:r>
      <w:r w:rsidRPr="00BA7457">
        <w:rPr>
          <w:rFonts w:ascii="Palatino Linotype" w:eastAsia="Palatino Linotype" w:hAnsi="Palatino Linotype" w:cs="Palatino Linotype"/>
          <w:b/>
        </w:rPr>
        <w:t>la parte Recurrente</w:t>
      </w:r>
      <w:r w:rsidRPr="00BA7457">
        <w:rPr>
          <w:rFonts w:ascii="Palatino Linotype" w:eastAsia="Palatino Linotype" w:hAnsi="Palatino Linotype" w:cs="Palatino Linotype"/>
        </w:rPr>
        <w:t xml:space="preserve"> ante la falta de impugnación eficaz. </w:t>
      </w:r>
    </w:p>
    <w:p w:rsidR="00377CAA" w:rsidRPr="00BA7457" w:rsidRDefault="00E27F02">
      <w:pPr>
        <w:spacing w:before="240" w:after="240"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rsidR="00377CAA" w:rsidRPr="00BA7457" w:rsidRDefault="00E27F02">
      <w:pPr>
        <w:spacing w:before="240" w:after="240" w:line="276" w:lineRule="auto"/>
        <w:ind w:left="567" w:right="900"/>
        <w:jc w:val="both"/>
        <w:rPr>
          <w:rFonts w:ascii="Palatino Linotype" w:eastAsia="Palatino Linotype" w:hAnsi="Palatino Linotype" w:cs="Palatino Linotype"/>
        </w:rPr>
      </w:pPr>
      <w:r w:rsidRPr="00BA7457">
        <w:rPr>
          <w:rFonts w:ascii="Palatino Linotype" w:eastAsia="Palatino Linotype" w:hAnsi="Palatino Linotype" w:cs="Palatino Linotype"/>
          <w:b/>
          <w:i/>
          <w:smallCaps/>
          <w:sz w:val="22"/>
          <w:szCs w:val="22"/>
        </w:rPr>
        <w:t xml:space="preserve">“ACTOS CONSENTIDOS. SON LOS QUE NO SE IMPUGNAN MEDIANTE EL RECURSO IDÓNEO. </w:t>
      </w:r>
      <w:r w:rsidRPr="00BA7457">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377CAA" w:rsidRPr="00BA7457" w:rsidRDefault="00E27F02">
      <w:pPr>
        <w:spacing w:before="240" w:after="240" w:line="360" w:lineRule="auto"/>
        <w:ind w:right="49"/>
        <w:jc w:val="both"/>
        <w:rPr>
          <w:rFonts w:ascii="Palatino Linotype" w:eastAsia="Palatino Linotype" w:hAnsi="Palatino Linotype" w:cs="Palatino Linotype"/>
          <w:b/>
        </w:rPr>
      </w:pPr>
      <w:r w:rsidRPr="00BA7457">
        <w:rPr>
          <w:rFonts w:ascii="Palatino Linotype" w:eastAsia="Palatino Linotype" w:hAnsi="Palatino Linotype" w:cs="Palatino Linotype"/>
        </w:rPr>
        <w:t xml:space="preserve">Ahora bien, a efecto de garantizar el efectivo ejercicio del derecho de acceso a la información pública que asiste al particular, resulta conveniente reiterar que el presente análisis versará en estricto sentido respecto de los puntos impugnados, es decir, de </w:t>
      </w:r>
      <w:r w:rsidRPr="00BA7457">
        <w:rPr>
          <w:rFonts w:ascii="Palatino Linotype" w:eastAsia="Palatino Linotype" w:hAnsi="Palatino Linotype" w:cs="Palatino Linotype"/>
          <w:b/>
        </w:rPr>
        <w:t>la reserva de los documentos de los inmuebles referidos, con Clave Catastral 101 05 201 01 y 101 02 733 17.</w:t>
      </w:r>
    </w:p>
    <w:p w:rsidR="00377CAA" w:rsidRPr="00BA7457" w:rsidRDefault="00E27F02">
      <w:pPr>
        <w:spacing w:before="240" w:after="240" w:line="360" w:lineRule="auto"/>
        <w:ind w:right="40"/>
        <w:jc w:val="both"/>
        <w:rPr>
          <w:rFonts w:ascii="Palatino Linotype" w:eastAsia="Palatino Linotype" w:hAnsi="Palatino Linotype" w:cs="Palatino Linotype"/>
        </w:rPr>
      </w:pPr>
      <w:r w:rsidRPr="00BA7457">
        <w:rPr>
          <w:rFonts w:ascii="Palatino Linotype" w:eastAsia="Palatino Linotype" w:hAnsi="Palatino Linotype" w:cs="Palatino Linotype"/>
        </w:rPr>
        <w:t xml:space="preserve">Para iniciar el presente análisis resulta importante mencionar que de las constancias que integran el expediente electrónico  relacionado con el recurso de revisión materia de estudio, se colige que el </w:t>
      </w:r>
      <w:r w:rsidRPr="00BA7457">
        <w:rPr>
          <w:rFonts w:ascii="Palatino Linotype" w:eastAsia="Palatino Linotype" w:hAnsi="Palatino Linotype" w:cs="Palatino Linotype"/>
          <w:b/>
        </w:rPr>
        <w:t>Sujeto Obligado</w:t>
      </w:r>
      <w:r w:rsidRPr="00BA7457">
        <w:rPr>
          <w:rFonts w:ascii="Palatino Linotype" w:eastAsia="Palatino Linotype" w:hAnsi="Palatino Linotype" w:cs="Palatino Linotype"/>
        </w:rPr>
        <w:t xml:space="preserve"> no niega la competencia para conocer de la información solicitada, sino por el contrario, con la reserva de la </w:t>
      </w:r>
      <w:r w:rsidRPr="00BA7457">
        <w:rPr>
          <w:rFonts w:ascii="Palatino Linotype" w:eastAsia="Palatino Linotype" w:hAnsi="Palatino Linotype" w:cs="Palatino Linotype"/>
        </w:rPr>
        <w:lastRenderedPageBreak/>
        <w:t>información asevera que es competente para conocer de la solicitud de información</w:t>
      </w:r>
      <w:r w:rsidRPr="00BA7457">
        <w:rPr>
          <w:rFonts w:ascii="Palatino Linotype" w:eastAsia="Palatino Linotype" w:hAnsi="Palatino Linotype" w:cs="Palatino Linotype"/>
          <w:i/>
          <w:sz w:val="20"/>
          <w:szCs w:val="20"/>
        </w:rPr>
        <w:t xml:space="preserve">, </w:t>
      </w:r>
      <w:r w:rsidRPr="00BA7457">
        <w:rPr>
          <w:rFonts w:ascii="Palatino Linotype" w:eastAsia="Palatino Linotype" w:hAnsi="Palatino Linotype" w:cs="Palatino Linotype"/>
        </w:rPr>
        <w:t>lo anterior es así, ya que el estudio enunciado tiene por objeto determinar si el</w:t>
      </w:r>
      <w:r w:rsidRPr="00BA7457">
        <w:rPr>
          <w:rFonts w:ascii="Palatino Linotype" w:eastAsia="Palatino Linotype" w:hAnsi="Palatino Linotype" w:cs="Palatino Linotype"/>
          <w:b/>
        </w:rPr>
        <w:t xml:space="preserve"> Sujeto Obligado</w:t>
      </w:r>
      <w:r w:rsidRPr="00BA7457">
        <w:rPr>
          <w:rFonts w:ascii="Palatino Linotype" w:eastAsia="Palatino Linotype" w:hAnsi="Palatino Linotype" w:cs="Palatino Linotype"/>
        </w:rPr>
        <w:t xml:space="preserve"> genera, posee o administra  la información solicitada, sin embargo, en aquellos casos en que este ha asumido la competencia, por consiguiente, sería ocioso y a nada práctico nos conduciría su estudio, ya que, se insiste, el ente obligado asumió la competencia referida, motivo por el cual se actualiza el supuesto previsto en el artículo 12 de la legislación aplicable en la materia.</w:t>
      </w:r>
    </w:p>
    <w:p w:rsidR="00377CAA" w:rsidRPr="00BA7457" w:rsidRDefault="00E27F02">
      <w:pPr>
        <w:spacing w:line="360" w:lineRule="auto"/>
        <w:ind w:right="49"/>
        <w:jc w:val="both"/>
        <w:rPr>
          <w:rFonts w:ascii="Palatino Linotype" w:eastAsia="Palatino Linotype" w:hAnsi="Palatino Linotype" w:cs="Palatino Linotype"/>
        </w:rPr>
      </w:pPr>
      <w:r w:rsidRPr="00BA7457">
        <w:rPr>
          <w:rFonts w:ascii="Palatino Linotype" w:eastAsia="Palatino Linotype" w:hAnsi="Palatino Linotype" w:cs="Palatino Linotype"/>
        </w:rPr>
        <w:t xml:space="preserve">Ahora bien, debemos tener en cuenta que el </w:t>
      </w:r>
      <w:r w:rsidRPr="00BA7457">
        <w:rPr>
          <w:rFonts w:ascii="Palatino Linotype" w:eastAsia="Palatino Linotype" w:hAnsi="Palatino Linotype" w:cs="Palatino Linotype"/>
          <w:b/>
        </w:rPr>
        <w:t>Sujeto Obligado</w:t>
      </w:r>
      <w:r w:rsidRPr="00BA7457">
        <w:rPr>
          <w:rFonts w:ascii="Palatino Linotype" w:eastAsia="Palatino Linotype" w:hAnsi="Palatino Linotype" w:cs="Palatino Linotype"/>
        </w:rPr>
        <w:t xml:space="preserve"> clasificó la información como reservada en términos del artículo 113, fracción VI de la Ley General de Transparencia y Acceso a la Información Pública, así como del artículo 140 fracción V, numeral 1 de la Ley de Transparencia y Acceso a la Información Pública del Estado de México y Municipios y, para ello, proporcionó el Acta del Comité de Transparencia, mediante la cual se aprobó dicha clasificación. </w:t>
      </w:r>
    </w:p>
    <w:p w:rsidR="00377CAA" w:rsidRPr="00BA7457" w:rsidRDefault="00377CAA">
      <w:pPr>
        <w:spacing w:line="360" w:lineRule="auto"/>
        <w:ind w:right="49"/>
        <w:jc w:val="both"/>
        <w:rPr>
          <w:rFonts w:ascii="Palatino Linotype" w:eastAsia="Palatino Linotype" w:hAnsi="Palatino Linotype" w:cs="Palatino Linotype"/>
        </w:rPr>
      </w:pPr>
    </w:p>
    <w:p w:rsidR="00377CAA" w:rsidRPr="00BA7457" w:rsidRDefault="00E27F02">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A7457">
        <w:rPr>
          <w:rFonts w:ascii="Palatino Linotype" w:eastAsia="Palatino Linotype" w:hAnsi="Palatino Linotype" w:cs="Palatino Linotype"/>
        </w:rPr>
        <w:t xml:space="preserve">Por lo que, es necesario referir que conforme al artículo 20 de la Ley de Transparencia y Acceso a la Información Pública del Estado de México y Municipios, ante la negativa de acceso a la información o su inexistencia, el sujeto obligado deberá demostrar que esto encuadra en alguna de las excepciones establecidas en la normatividad aplicable. </w:t>
      </w:r>
    </w:p>
    <w:p w:rsidR="00377CAA" w:rsidRPr="00BA7457" w:rsidRDefault="00377CAA">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377CAA" w:rsidRPr="00BA7457" w:rsidRDefault="00E27F02">
      <w:pPr>
        <w:pBdr>
          <w:top w:val="nil"/>
          <w:left w:val="nil"/>
          <w:bottom w:val="nil"/>
          <w:right w:val="nil"/>
          <w:between w:val="nil"/>
        </w:pBdr>
        <w:spacing w:line="360" w:lineRule="auto"/>
        <w:ind w:right="49"/>
        <w:jc w:val="both"/>
        <w:rPr>
          <w:rFonts w:ascii="Palatino Linotype" w:eastAsia="Palatino Linotype" w:hAnsi="Palatino Linotype" w:cs="Palatino Linotype"/>
          <w:sz w:val="28"/>
          <w:szCs w:val="28"/>
        </w:rPr>
      </w:pPr>
      <w:r w:rsidRPr="00BA7457">
        <w:rPr>
          <w:rFonts w:ascii="Palatino Linotype" w:eastAsia="Palatino Linotype" w:hAnsi="Palatino Linotype" w:cs="Palatino Linotype"/>
        </w:rPr>
        <w:t xml:space="preserve">En ese orden de ideas, es de señalar que las excepciones al derecho de acceso a la información consisten en que la documentación sea inexistente, </w:t>
      </w:r>
      <w:r w:rsidRPr="00BA7457">
        <w:rPr>
          <w:rFonts w:ascii="Palatino Linotype" w:eastAsia="Palatino Linotype" w:hAnsi="Palatino Linotype" w:cs="Palatino Linotype"/>
          <w:b/>
        </w:rPr>
        <w:t>se encuentre clasificada</w:t>
      </w:r>
      <w:r w:rsidRPr="00BA7457">
        <w:rPr>
          <w:rFonts w:ascii="Palatino Linotype" w:eastAsia="Palatino Linotype" w:hAnsi="Palatino Linotype" w:cs="Palatino Linotype"/>
        </w:rPr>
        <w:t xml:space="preserve">, o bien, el </w:t>
      </w:r>
      <w:r w:rsidRPr="00BA7457">
        <w:rPr>
          <w:rFonts w:ascii="Palatino Linotype" w:eastAsia="Palatino Linotype" w:hAnsi="Palatino Linotype" w:cs="Palatino Linotype"/>
          <w:b/>
        </w:rPr>
        <w:t>Sujeto Obligado</w:t>
      </w:r>
      <w:r w:rsidRPr="00BA7457">
        <w:rPr>
          <w:rFonts w:ascii="Palatino Linotype" w:eastAsia="Palatino Linotype" w:hAnsi="Palatino Linotype" w:cs="Palatino Linotype"/>
        </w:rPr>
        <w:t xml:space="preserve"> sea incompetente para contar con esta; esto </w:t>
      </w:r>
      <w:r w:rsidRPr="00BA7457">
        <w:rPr>
          <w:rFonts w:ascii="Palatino Linotype" w:eastAsia="Palatino Linotype" w:hAnsi="Palatino Linotype" w:cs="Palatino Linotype"/>
        </w:rPr>
        <w:lastRenderedPageBreak/>
        <w:t xml:space="preserve">es, la negativa de acceso a la información recae cuando la documentación no se encuentre en los archivos del sujeto obligado, o bien exista, pero no pueda proporcionarse por contener datos </w:t>
      </w:r>
      <w:r w:rsidRPr="00BA7457">
        <w:rPr>
          <w:rFonts w:ascii="Palatino Linotype" w:eastAsia="Palatino Linotype" w:hAnsi="Palatino Linotype" w:cs="Palatino Linotype"/>
          <w:b/>
        </w:rPr>
        <w:t>confidenciales o reservados.</w:t>
      </w:r>
    </w:p>
    <w:p w:rsidR="00377CAA" w:rsidRPr="00BA7457" w:rsidRDefault="00377CAA">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377CAA" w:rsidRPr="00BA7457" w:rsidRDefault="00E27F02">
      <w:pPr>
        <w:spacing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rPr>
        <w:t xml:space="preserve">Así, en los artículos 122, 128 y 130 de la Ley Transparencia y Acceso a la Información Pública del Estado de México y Municipios, se prevé que </w:t>
      </w:r>
      <w:r w:rsidRPr="00BA7457">
        <w:rPr>
          <w:rFonts w:ascii="Palatino Linotype" w:eastAsia="Palatino Linotype" w:hAnsi="Palatino Linotype" w:cs="Palatino Linotype"/>
          <w:b/>
        </w:rPr>
        <w:t xml:space="preserve">la clasificación </w:t>
      </w:r>
      <w:r w:rsidRPr="00BA7457">
        <w:rPr>
          <w:rFonts w:ascii="Palatino Linotype" w:eastAsia="Palatino Linotype" w:hAnsi="Palatino Linotype" w:cs="Palatino Linotype"/>
        </w:rPr>
        <w:t>es el proceso mediante el cual los sujetos obligados determinan que la información en su poder, actualiza alguno de los supuestos de reserva o confidencialidad, además, que dichos entes deberán aplicar de manera restrictiva y limitada, las excepciones al derecho de acceso a la información, por lo que, tendrán que acreditar la procedencia.</w:t>
      </w:r>
    </w:p>
    <w:p w:rsidR="00377CAA" w:rsidRPr="00BA7457" w:rsidRDefault="00377CAA">
      <w:pPr>
        <w:spacing w:line="360" w:lineRule="auto"/>
        <w:jc w:val="both"/>
        <w:rPr>
          <w:rFonts w:ascii="Palatino Linotype" w:eastAsia="Palatino Linotype" w:hAnsi="Palatino Linotype" w:cs="Palatino Linotype"/>
        </w:rPr>
      </w:pPr>
    </w:p>
    <w:p w:rsidR="00377CAA" w:rsidRPr="00BA7457" w:rsidRDefault="00E27F02">
      <w:pPr>
        <w:spacing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rPr>
        <w:t xml:space="preserve">Por lo cual, en los casos en que se niegue el acceso a la información, por actualizarse alguno de los supuestos de clasificación, </w:t>
      </w:r>
      <w:r w:rsidRPr="00BA7457">
        <w:rPr>
          <w:rFonts w:ascii="Palatino Linotype" w:eastAsia="Palatino Linotype" w:hAnsi="Palatino Linotype" w:cs="Palatino Linotype"/>
          <w:b/>
        </w:rPr>
        <w:t xml:space="preserve">el Comité de Transparencia deberá confirmar, modificar o revocar la decisión; </w:t>
      </w:r>
      <w:r w:rsidRPr="00BA7457">
        <w:rPr>
          <w:rFonts w:ascii="Palatino Linotype" w:eastAsia="Palatino Linotype" w:hAnsi="Palatino Linotype" w:cs="Palatino Linotype"/>
        </w:rPr>
        <w:t>además, deberá motivar la confirmación de dicha situación, señalando las razones, motivos o circunstancias especiales que llevaron al sujeto obligado a concluir que en el caso particular se ajusta al supuesto previsto por la norma legal invocada como fundamento.</w:t>
      </w:r>
    </w:p>
    <w:p w:rsidR="00377CAA" w:rsidRPr="00BA7457" w:rsidRDefault="00377CAA">
      <w:pPr>
        <w:spacing w:line="360" w:lineRule="auto"/>
        <w:jc w:val="both"/>
        <w:rPr>
          <w:rFonts w:ascii="Palatino Linotype" w:eastAsia="Palatino Linotype" w:hAnsi="Palatino Linotype" w:cs="Palatino Linotype"/>
        </w:rPr>
      </w:pPr>
    </w:p>
    <w:p w:rsidR="00377CAA" w:rsidRPr="00BA7457" w:rsidRDefault="00E27F02">
      <w:pPr>
        <w:spacing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rPr>
        <w:t xml:space="preserve">En el presente caso, el </w:t>
      </w:r>
      <w:r w:rsidRPr="00BA7457">
        <w:rPr>
          <w:rFonts w:ascii="Palatino Linotype" w:eastAsia="Palatino Linotype" w:hAnsi="Palatino Linotype" w:cs="Palatino Linotype"/>
          <w:b/>
        </w:rPr>
        <w:t>Sujeto Obligado</w:t>
      </w:r>
      <w:r w:rsidRPr="00BA7457">
        <w:rPr>
          <w:rFonts w:ascii="Palatino Linotype" w:eastAsia="Palatino Linotype" w:hAnsi="Palatino Linotype" w:cs="Palatino Linotype"/>
        </w:rPr>
        <w:t xml:space="preserve"> hizo entrega del acuerdo número AT/CT/02/2023, relativo a la Centésima Sexagésima Quinta Sesión Extraordinaria del Comité de Transparencia del Municipio de Toluca, de fecha diecisiete de febrero del dos mil veintitrés, mediante el cual aprobó la reserva de la información en términos del artículo 113, fracciones VI, X y XI de la Ley General de Transparencia y Acceso a la Información Pública, así como del artículo 140 fracción V, numeral 1, </w:t>
      </w:r>
      <w:r w:rsidRPr="00BA7457">
        <w:rPr>
          <w:rFonts w:ascii="Palatino Linotype" w:eastAsia="Palatino Linotype" w:hAnsi="Palatino Linotype" w:cs="Palatino Linotype"/>
        </w:rPr>
        <w:lastRenderedPageBreak/>
        <w:t>VIII y X, segundo párrafo de la Ley de Transparencia y Acceso a la Información Pública del Estado de México y Municipios, los cuales se citan a continuación para mejor proveer del presente estudio:</w:t>
      </w:r>
    </w:p>
    <w:p w:rsidR="00377CAA" w:rsidRPr="00BA7457" w:rsidRDefault="00377CAA">
      <w:pPr>
        <w:spacing w:line="360" w:lineRule="auto"/>
        <w:jc w:val="both"/>
        <w:rPr>
          <w:rFonts w:ascii="Palatino Linotype" w:eastAsia="Palatino Linotype" w:hAnsi="Palatino Linotype" w:cs="Palatino Linotype"/>
        </w:rPr>
      </w:pPr>
    </w:p>
    <w:p w:rsidR="00377CAA" w:rsidRPr="00BA7457" w:rsidRDefault="00E27F02">
      <w:pPr>
        <w:spacing w:line="360" w:lineRule="auto"/>
        <w:jc w:val="both"/>
        <w:rPr>
          <w:rFonts w:ascii="Palatino Linotype" w:eastAsia="Palatino Linotype" w:hAnsi="Palatino Linotype" w:cs="Palatino Linotype"/>
          <w:b/>
          <w:sz w:val="22"/>
          <w:szCs w:val="22"/>
        </w:rPr>
      </w:pPr>
      <w:r w:rsidRPr="00BA7457">
        <w:rPr>
          <w:rFonts w:ascii="Palatino Linotype" w:eastAsia="Palatino Linotype" w:hAnsi="Palatino Linotype" w:cs="Palatino Linotype"/>
          <w:b/>
          <w:sz w:val="22"/>
          <w:szCs w:val="22"/>
        </w:rPr>
        <w:t xml:space="preserve">Ley General de Transparencia y Acceso a la Información Pública: </w:t>
      </w:r>
    </w:p>
    <w:p w:rsidR="00377CAA" w:rsidRPr="00BA7457" w:rsidRDefault="00E27F02">
      <w:pPr>
        <w:ind w:left="567" w:right="567"/>
        <w:jc w:val="center"/>
        <w:rPr>
          <w:rFonts w:ascii="Palatino Linotype" w:eastAsia="Palatino Linotype" w:hAnsi="Palatino Linotype" w:cs="Palatino Linotype"/>
          <w:b/>
          <w:i/>
          <w:sz w:val="22"/>
          <w:szCs w:val="22"/>
        </w:rPr>
      </w:pPr>
      <w:r w:rsidRPr="00BA7457">
        <w:rPr>
          <w:rFonts w:ascii="Palatino Linotype" w:eastAsia="Palatino Linotype" w:hAnsi="Palatino Linotype" w:cs="Palatino Linotype"/>
          <w:b/>
          <w:i/>
          <w:sz w:val="22"/>
          <w:szCs w:val="22"/>
        </w:rPr>
        <w:t>“Capítulo II</w:t>
      </w:r>
    </w:p>
    <w:p w:rsidR="00377CAA" w:rsidRPr="00BA7457" w:rsidRDefault="00E27F02">
      <w:pPr>
        <w:ind w:left="567" w:right="567"/>
        <w:jc w:val="center"/>
        <w:rPr>
          <w:rFonts w:ascii="Palatino Linotype" w:eastAsia="Palatino Linotype" w:hAnsi="Palatino Linotype" w:cs="Palatino Linotype"/>
          <w:b/>
          <w:i/>
          <w:sz w:val="22"/>
          <w:szCs w:val="22"/>
        </w:rPr>
      </w:pPr>
      <w:r w:rsidRPr="00BA7457">
        <w:rPr>
          <w:rFonts w:ascii="Palatino Linotype" w:eastAsia="Palatino Linotype" w:hAnsi="Palatino Linotype" w:cs="Palatino Linotype"/>
          <w:b/>
          <w:i/>
          <w:sz w:val="22"/>
          <w:szCs w:val="22"/>
        </w:rPr>
        <w:t>De la Información Reservada</w:t>
      </w:r>
    </w:p>
    <w:p w:rsidR="00377CAA" w:rsidRPr="00BA7457" w:rsidRDefault="00377CAA">
      <w:pPr>
        <w:ind w:left="567" w:right="567"/>
        <w:jc w:val="both"/>
        <w:rPr>
          <w:rFonts w:ascii="Palatino Linotype" w:eastAsia="Palatino Linotype" w:hAnsi="Palatino Linotype" w:cs="Palatino Linotype"/>
          <w:b/>
          <w:i/>
          <w:sz w:val="22"/>
          <w:szCs w:val="22"/>
        </w:rPr>
      </w:pPr>
    </w:p>
    <w:p w:rsidR="00377CAA" w:rsidRPr="00BA7457" w:rsidRDefault="00E27F02">
      <w:pPr>
        <w:ind w:left="567" w:right="567"/>
        <w:jc w:val="both"/>
        <w:rPr>
          <w:rFonts w:ascii="Palatino Linotype" w:eastAsia="Palatino Linotype" w:hAnsi="Palatino Linotype" w:cs="Palatino Linotype"/>
          <w:i/>
          <w:sz w:val="22"/>
          <w:szCs w:val="22"/>
        </w:rPr>
      </w:pPr>
      <w:bookmarkStart w:id="6" w:name="bookmark=id.gjdgxs" w:colFirst="0" w:colLast="0"/>
      <w:bookmarkEnd w:id="6"/>
      <w:r w:rsidRPr="00BA7457">
        <w:rPr>
          <w:rFonts w:ascii="Palatino Linotype" w:eastAsia="Palatino Linotype" w:hAnsi="Palatino Linotype" w:cs="Palatino Linotype"/>
          <w:b/>
          <w:i/>
          <w:sz w:val="22"/>
          <w:szCs w:val="22"/>
        </w:rPr>
        <w:t xml:space="preserve">Artículo 113. </w:t>
      </w:r>
      <w:r w:rsidRPr="00BA7457">
        <w:rPr>
          <w:rFonts w:ascii="Palatino Linotype" w:eastAsia="Palatino Linotype" w:hAnsi="Palatino Linotype" w:cs="Palatino Linotype"/>
          <w:i/>
          <w:sz w:val="22"/>
          <w:szCs w:val="22"/>
        </w:rPr>
        <w:t>Como información reservada podrá clasificarse aquella cuya publicación:</w:t>
      </w:r>
    </w:p>
    <w:p w:rsidR="00377CAA" w:rsidRPr="00BA7457" w:rsidRDefault="00E27F02">
      <w:pPr>
        <w:ind w:left="567" w:right="567"/>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w:t>
      </w:r>
    </w:p>
    <w:p w:rsidR="00377CAA" w:rsidRPr="00BA7457" w:rsidRDefault="00E27F02">
      <w:pPr>
        <w:ind w:left="567" w:right="567"/>
        <w:jc w:val="both"/>
        <w:rPr>
          <w:rFonts w:ascii="Palatino Linotype" w:eastAsia="Palatino Linotype" w:hAnsi="Palatino Linotype" w:cs="Palatino Linotype"/>
          <w:b/>
          <w:i/>
          <w:sz w:val="22"/>
          <w:szCs w:val="22"/>
        </w:rPr>
      </w:pPr>
      <w:r w:rsidRPr="00BA7457">
        <w:rPr>
          <w:rFonts w:ascii="Palatino Linotype" w:eastAsia="Palatino Linotype" w:hAnsi="Palatino Linotype" w:cs="Palatino Linotype"/>
          <w:b/>
          <w:i/>
          <w:sz w:val="22"/>
          <w:szCs w:val="22"/>
        </w:rPr>
        <w:t>VI. Obstruya las actividades de verificación, inspección y auditoría relativas al cumplimiento de las leyes o afecte la recaudación de contribuciones;</w:t>
      </w:r>
    </w:p>
    <w:p w:rsidR="00377CAA" w:rsidRPr="00BA7457" w:rsidRDefault="00E27F02">
      <w:pPr>
        <w:ind w:left="567" w:right="567"/>
        <w:jc w:val="both"/>
        <w:rPr>
          <w:rFonts w:ascii="Palatino Linotype" w:eastAsia="Palatino Linotype" w:hAnsi="Palatino Linotype" w:cs="Palatino Linotype"/>
          <w:b/>
          <w:i/>
          <w:sz w:val="22"/>
          <w:szCs w:val="22"/>
        </w:rPr>
      </w:pPr>
      <w:r w:rsidRPr="00BA7457">
        <w:rPr>
          <w:rFonts w:ascii="Palatino Linotype" w:eastAsia="Palatino Linotype" w:hAnsi="Palatino Linotype" w:cs="Palatino Linotype"/>
          <w:b/>
          <w:i/>
          <w:sz w:val="22"/>
          <w:szCs w:val="22"/>
        </w:rPr>
        <w:t>…</w:t>
      </w:r>
    </w:p>
    <w:p w:rsidR="00377CAA" w:rsidRPr="00BA7457" w:rsidRDefault="00E27F02">
      <w:pPr>
        <w:ind w:left="567" w:right="567"/>
        <w:jc w:val="both"/>
        <w:rPr>
          <w:rFonts w:ascii="Palatino Linotype" w:eastAsia="Palatino Linotype" w:hAnsi="Palatino Linotype" w:cs="Palatino Linotype"/>
          <w:b/>
          <w:i/>
          <w:sz w:val="22"/>
          <w:szCs w:val="22"/>
        </w:rPr>
      </w:pPr>
      <w:r w:rsidRPr="00BA7457">
        <w:rPr>
          <w:rFonts w:ascii="Palatino Linotype" w:eastAsia="Palatino Linotype" w:hAnsi="Palatino Linotype" w:cs="Palatino Linotype"/>
          <w:b/>
          <w:i/>
          <w:sz w:val="22"/>
          <w:szCs w:val="22"/>
        </w:rPr>
        <w:t>X. Afecte los derechos del debido proceso;</w:t>
      </w:r>
    </w:p>
    <w:p w:rsidR="00377CAA" w:rsidRPr="00BA7457" w:rsidRDefault="00E27F02">
      <w:pPr>
        <w:ind w:left="567" w:right="567"/>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b/>
          <w:i/>
          <w:sz w:val="22"/>
          <w:szCs w:val="22"/>
        </w:rPr>
        <w:t>XI. Vulnere la conducción de los Expedientes judiciales o de los procedimientos administrativos seguidos en forma de juicio, en tanto no hayan causado estado;</w:t>
      </w:r>
      <w:r w:rsidRPr="00BA7457">
        <w:rPr>
          <w:rFonts w:ascii="Palatino Linotype" w:eastAsia="Palatino Linotype" w:hAnsi="Palatino Linotype" w:cs="Palatino Linotype"/>
          <w:b/>
          <w:i/>
          <w:sz w:val="22"/>
          <w:szCs w:val="22"/>
        </w:rPr>
        <w:br/>
        <w:t xml:space="preserve"> …”</w:t>
      </w:r>
    </w:p>
    <w:p w:rsidR="00377CAA" w:rsidRPr="00BA7457" w:rsidRDefault="00377CAA">
      <w:pPr>
        <w:ind w:left="567" w:right="567" w:hanging="425"/>
        <w:jc w:val="both"/>
        <w:rPr>
          <w:rFonts w:ascii="Palatino Linotype" w:eastAsia="Palatino Linotype" w:hAnsi="Palatino Linotype" w:cs="Palatino Linotype"/>
          <w:i/>
          <w:sz w:val="22"/>
          <w:szCs w:val="22"/>
        </w:rPr>
      </w:pPr>
    </w:p>
    <w:p w:rsidR="00377CAA" w:rsidRPr="00BA7457" w:rsidRDefault="00E27F02">
      <w:pPr>
        <w:ind w:right="567"/>
        <w:jc w:val="both"/>
        <w:rPr>
          <w:rFonts w:ascii="Palatino Linotype" w:eastAsia="Palatino Linotype" w:hAnsi="Palatino Linotype" w:cs="Palatino Linotype"/>
          <w:b/>
          <w:sz w:val="22"/>
          <w:szCs w:val="22"/>
        </w:rPr>
      </w:pPr>
      <w:r w:rsidRPr="00BA7457">
        <w:rPr>
          <w:rFonts w:ascii="Palatino Linotype" w:eastAsia="Palatino Linotype" w:hAnsi="Palatino Linotype" w:cs="Palatino Linotype"/>
          <w:b/>
          <w:sz w:val="22"/>
          <w:szCs w:val="22"/>
        </w:rPr>
        <w:t xml:space="preserve">Ley de Transparencia y Acceso a la Información Pública del Estado de México y Municipios: </w:t>
      </w:r>
    </w:p>
    <w:p w:rsidR="00377CAA" w:rsidRPr="00BA7457" w:rsidRDefault="00377CAA">
      <w:pPr>
        <w:ind w:left="567" w:right="567" w:hanging="425"/>
        <w:jc w:val="both"/>
        <w:rPr>
          <w:rFonts w:ascii="Palatino Linotype" w:eastAsia="Palatino Linotype" w:hAnsi="Palatino Linotype" w:cs="Palatino Linotype"/>
          <w:i/>
          <w:sz w:val="22"/>
          <w:szCs w:val="22"/>
        </w:rPr>
      </w:pPr>
    </w:p>
    <w:p w:rsidR="00377CAA" w:rsidRPr="00BA7457" w:rsidRDefault="00E27F02">
      <w:pPr>
        <w:ind w:left="567" w:right="567"/>
        <w:jc w:val="both"/>
        <w:rPr>
          <w:rFonts w:ascii="Palatino Linotype" w:eastAsia="Palatino Linotype" w:hAnsi="Palatino Linotype" w:cs="Palatino Linotype"/>
          <w:b/>
          <w:i/>
          <w:sz w:val="22"/>
          <w:szCs w:val="22"/>
        </w:rPr>
      </w:pPr>
      <w:r w:rsidRPr="00BA7457">
        <w:rPr>
          <w:rFonts w:ascii="Palatino Linotype" w:eastAsia="Palatino Linotype" w:hAnsi="Palatino Linotype" w:cs="Palatino Linotype"/>
          <w:b/>
          <w:i/>
          <w:sz w:val="22"/>
          <w:szCs w:val="22"/>
        </w:rPr>
        <w:t>“Artículo 140. El acceso a la información pública será restringido excepcionalmente, cuando por razones de interés público, ésta sea clasificada como reservada, conforme a los criterios siguientes:</w:t>
      </w:r>
    </w:p>
    <w:p w:rsidR="00377CAA" w:rsidRPr="00BA7457" w:rsidRDefault="00E27F02">
      <w:pPr>
        <w:ind w:left="567" w:right="567"/>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w:t>
      </w:r>
    </w:p>
    <w:p w:rsidR="00377CAA" w:rsidRPr="00BA7457" w:rsidRDefault="00377CAA">
      <w:pPr>
        <w:ind w:left="567" w:right="567"/>
        <w:jc w:val="both"/>
        <w:rPr>
          <w:rFonts w:ascii="Palatino Linotype" w:eastAsia="Palatino Linotype" w:hAnsi="Palatino Linotype" w:cs="Palatino Linotype"/>
          <w:i/>
          <w:sz w:val="22"/>
          <w:szCs w:val="22"/>
        </w:rPr>
      </w:pPr>
    </w:p>
    <w:p w:rsidR="00377CAA" w:rsidRPr="00BA7457" w:rsidRDefault="00E27F02">
      <w:pPr>
        <w:ind w:left="567" w:right="567"/>
        <w:jc w:val="both"/>
        <w:rPr>
          <w:rFonts w:ascii="Palatino Linotype" w:eastAsia="Palatino Linotype" w:hAnsi="Palatino Linotype" w:cs="Palatino Linotype"/>
          <w:b/>
          <w:i/>
          <w:sz w:val="22"/>
          <w:szCs w:val="22"/>
        </w:rPr>
      </w:pPr>
      <w:r w:rsidRPr="00BA7457">
        <w:rPr>
          <w:rFonts w:ascii="Palatino Linotype" w:eastAsia="Palatino Linotype" w:hAnsi="Palatino Linotype" w:cs="Palatino Linotype"/>
          <w:b/>
          <w:i/>
          <w:sz w:val="22"/>
          <w:szCs w:val="22"/>
        </w:rPr>
        <w:t>V. Aquella cuya divulgación obstruya o pueda causar un serio perjuicio a:</w:t>
      </w:r>
    </w:p>
    <w:p w:rsidR="00377CAA" w:rsidRPr="00BA7457" w:rsidRDefault="00E27F02">
      <w:pPr>
        <w:ind w:left="567" w:right="567"/>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b/>
          <w:i/>
          <w:sz w:val="22"/>
          <w:szCs w:val="22"/>
        </w:rPr>
        <w:t>1. Las actividades de fiscalización, verificación, inspección, comprobación y auditoría sobre el cumplimiento de las Leyes; o</w:t>
      </w:r>
      <w:r w:rsidRPr="00BA7457">
        <w:rPr>
          <w:rFonts w:ascii="Palatino Linotype" w:eastAsia="Palatino Linotype" w:hAnsi="Palatino Linotype" w:cs="Palatino Linotype"/>
          <w:i/>
          <w:sz w:val="22"/>
          <w:szCs w:val="22"/>
        </w:rPr>
        <w:t>;</w:t>
      </w:r>
    </w:p>
    <w:p w:rsidR="00377CAA" w:rsidRPr="00BA7457" w:rsidRDefault="00E27F02">
      <w:pPr>
        <w:ind w:left="567" w:right="567"/>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w:t>
      </w:r>
    </w:p>
    <w:p w:rsidR="00377CAA" w:rsidRPr="00BA7457" w:rsidRDefault="00E27F02">
      <w:pPr>
        <w:ind w:left="567" w:right="567"/>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b/>
          <w:i/>
          <w:sz w:val="22"/>
          <w:szCs w:val="22"/>
        </w:rPr>
        <w:t>VIII. Vulnere la conducción de los expedientes judiciales o de los procedimientos administrativos seguidos en forma de juicio, en tanto no hayan quedado firmes</w:t>
      </w:r>
      <w:r w:rsidRPr="00BA7457">
        <w:rPr>
          <w:rFonts w:ascii="Palatino Linotype" w:eastAsia="Palatino Linotype" w:hAnsi="Palatino Linotype" w:cs="Palatino Linotype"/>
          <w:i/>
          <w:sz w:val="22"/>
          <w:szCs w:val="22"/>
        </w:rPr>
        <w:t>;</w:t>
      </w:r>
    </w:p>
    <w:p w:rsidR="00377CAA" w:rsidRPr="00BA7457" w:rsidRDefault="00E27F02">
      <w:pPr>
        <w:ind w:left="567" w:right="567"/>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w:t>
      </w:r>
    </w:p>
    <w:p w:rsidR="00377CAA" w:rsidRPr="00BA7457" w:rsidRDefault="00E27F02">
      <w:pPr>
        <w:ind w:left="567" w:right="567"/>
        <w:jc w:val="both"/>
        <w:rPr>
          <w:rFonts w:ascii="Palatino Linotype" w:eastAsia="Palatino Linotype" w:hAnsi="Palatino Linotype" w:cs="Palatino Linotype"/>
          <w:b/>
          <w:i/>
          <w:sz w:val="22"/>
          <w:szCs w:val="22"/>
        </w:rPr>
      </w:pPr>
      <w:r w:rsidRPr="00BA7457">
        <w:rPr>
          <w:rFonts w:ascii="Palatino Linotype" w:eastAsia="Palatino Linotype" w:hAnsi="Palatino Linotype" w:cs="Palatino Linotype"/>
          <w:b/>
          <w:i/>
          <w:sz w:val="22"/>
          <w:szCs w:val="22"/>
        </w:rPr>
        <w:t>X…</w:t>
      </w:r>
    </w:p>
    <w:p w:rsidR="00377CAA" w:rsidRPr="00BA7457" w:rsidRDefault="00E27F02">
      <w:pPr>
        <w:ind w:left="567" w:right="567"/>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b/>
          <w:i/>
          <w:sz w:val="22"/>
          <w:szCs w:val="22"/>
        </w:rPr>
        <w:t xml:space="preserve">Cuando se trate de información sobre estudios y proyectos cuya divulgación pueda causar daños al interés del Estado o suponga un riesgo para su </w:t>
      </w:r>
      <w:r w:rsidRPr="00BA7457">
        <w:rPr>
          <w:rFonts w:ascii="Palatino Linotype" w:eastAsia="Palatino Linotype" w:hAnsi="Palatino Linotype" w:cs="Palatino Linotype"/>
          <w:b/>
          <w:i/>
          <w:sz w:val="22"/>
          <w:szCs w:val="22"/>
        </w:rPr>
        <w:lastRenderedPageBreak/>
        <w:t>realización, siempre que esté directamente relacionado con procesos o procedimientos administrativos o judiciales que no hayan quedado firmes</w:t>
      </w:r>
      <w:r w:rsidRPr="00BA7457">
        <w:rPr>
          <w:rFonts w:ascii="Palatino Linotype" w:eastAsia="Palatino Linotype" w:hAnsi="Palatino Linotype" w:cs="Palatino Linotype"/>
          <w:i/>
          <w:sz w:val="22"/>
          <w:szCs w:val="22"/>
        </w:rPr>
        <w:t>; y”</w:t>
      </w:r>
    </w:p>
    <w:p w:rsidR="00377CAA" w:rsidRPr="00BA7457" w:rsidRDefault="00377CAA">
      <w:pPr>
        <w:spacing w:line="360" w:lineRule="auto"/>
        <w:jc w:val="both"/>
        <w:rPr>
          <w:rFonts w:ascii="Palatino Linotype" w:eastAsia="Palatino Linotype" w:hAnsi="Palatino Linotype" w:cs="Palatino Linotype"/>
        </w:rPr>
      </w:pPr>
    </w:p>
    <w:p w:rsidR="00377CAA" w:rsidRPr="00BA7457" w:rsidRDefault="00E27F02">
      <w:pPr>
        <w:spacing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rPr>
        <w:t>Es decir, fundamentó su clasificación en una actividad de verificación, inspección y auditoría relativas al cumplimiento de las leyes o afecten a la recaudación de contribuciones.</w:t>
      </w:r>
    </w:p>
    <w:p w:rsidR="00377CAA" w:rsidRPr="00BA7457" w:rsidRDefault="00377CAA">
      <w:pPr>
        <w:spacing w:after="160" w:line="360" w:lineRule="auto"/>
        <w:jc w:val="both"/>
        <w:rPr>
          <w:rFonts w:ascii="Palatino Linotype" w:eastAsia="Palatino Linotype" w:hAnsi="Palatino Linotype" w:cs="Palatino Linotype"/>
        </w:rPr>
      </w:pPr>
    </w:p>
    <w:p w:rsidR="00377CAA" w:rsidRPr="00BA7457" w:rsidRDefault="00E27F02">
      <w:pPr>
        <w:spacing w:after="160"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rPr>
        <w:t xml:space="preserve">Por otro lado, para mejor proveer del presente estudio, resulta necesario, analizar dicho Acuerdo de Reserva de la información antes referido, entregado por el Sujeto Obligado, en su respuesta, a fin de establecer si el Comité de Transparencia cumplió cabalmente con las formalidades exigidas por con el artículo 113 de la Ley General de Transparencia y Acceso a la Información Pública, numeral trigésimo fracción I de los Lineamientos Generales en Materia de Clasificación y Desclasificación de la Información, así como para la Elaboración de Versiones Públicas, así como los artículos 91, 128, 129, 140, fracción VIII y 141, de la Ley de Transparencia y Acceso a la Información Pública del Estado de México y Municipios: </w:t>
      </w:r>
    </w:p>
    <w:tbl>
      <w:tblPr>
        <w:tblStyle w:val="a7"/>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4"/>
        <w:gridCol w:w="5968"/>
        <w:gridCol w:w="1546"/>
      </w:tblGrid>
      <w:tr w:rsidR="00BA7457" w:rsidRPr="00BA7457">
        <w:tc>
          <w:tcPr>
            <w:tcW w:w="1314" w:type="dxa"/>
            <w:shd w:val="clear" w:color="auto" w:fill="DDD9C3"/>
          </w:tcPr>
          <w:p w:rsidR="00377CAA" w:rsidRPr="00BA7457" w:rsidRDefault="00E27F02">
            <w:pPr>
              <w:spacing w:before="100" w:after="200" w:line="276" w:lineRule="auto"/>
              <w:jc w:val="center"/>
              <w:rPr>
                <w:rFonts w:ascii="Palatino Linotype" w:eastAsia="Palatino Linotype" w:hAnsi="Palatino Linotype" w:cs="Palatino Linotype"/>
                <w:b/>
                <w:sz w:val="18"/>
                <w:szCs w:val="18"/>
              </w:rPr>
            </w:pPr>
            <w:r w:rsidRPr="00BA7457">
              <w:rPr>
                <w:rFonts w:ascii="Palatino Linotype" w:eastAsia="Palatino Linotype" w:hAnsi="Palatino Linotype" w:cs="Palatino Linotype"/>
                <w:b/>
                <w:sz w:val="18"/>
                <w:szCs w:val="18"/>
              </w:rPr>
              <w:t>Elementos del acuerdo de clasificación</w:t>
            </w:r>
          </w:p>
        </w:tc>
        <w:tc>
          <w:tcPr>
            <w:tcW w:w="5968" w:type="dxa"/>
            <w:shd w:val="clear" w:color="auto" w:fill="DDD9C3"/>
          </w:tcPr>
          <w:p w:rsidR="00377CAA" w:rsidRPr="00BA7457" w:rsidRDefault="00E27F02">
            <w:pPr>
              <w:spacing w:before="100" w:after="200" w:line="276" w:lineRule="auto"/>
              <w:jc w:val="center"/>
              <w:rPr>
                <w:rFonts w:ascii="Palatino Linotype" w:eastAsia="Palatino Linotype" w:hAnsi="Palatino Linotype" w:cs="Palatino Linotype"/>
                <w:b/>
                <w:sz w:val="18"/>
                <w:szCs w:val="18"/>
              </w:rPr>
            </w:pPr>
            <w:r w:rsidRPr="00BA7457">
              <w:rPr>
                <w:rFonts w:ascii="Palatino Linotype" w:eastAsia="Palatino Linotype" w:hAnsi="Palatino Linotype" w:cs="Palatino Linotype"/>
                <w:b/>
                <w:sz w:val="18"/>
                <w:szCs w:val="18"/>
              </w:rPr>
              <w:t>Contenido</w:t>
            </w:r>
          </w:p>
        </w:tc>
        <w:tc>
          <w:tcPr>
            <w:tcW w:w="1546" w:type="dxa"/>
            <w:shd w:val="clear" w:color="auto" w:fill="DDD9C3"/>
          </w:tcPr>
          <w:p w:rsidR="00377CAA" w:rsidRPr="00BA7457" w:rsidRDefault="00E27F02">
            <w:pPr>
              <w:spacing w:before="100" w:after="200" w:line="276" w:lineRule="auto"/>
              <w:jc w:val="center"/>
              <w:rPr>
                <w:rFonts w:ascii="Palatino Linotype" w:eastAsia="Palatino Linotype" w:hAnsi="Palatino Linotype" w:cs="Palatino Linotype"/>
                <w:b/>
                <w:sz w:val="18"/>
                <w:szCs w:val="18"/>
              </w:rPr>
            </w:pPr>
            <w:r w:rsidRPr="00BA7457">
              <w:rPr>
                <w:rFonts w:ascii="Palatino Linotype" w:eastAsia="Palatino Linotype" w:hAnsi="Palatino Linotype" w:cs="Palatino Linotype"/>
                <w:b/>
                <w:sz w:val="18"/>
                <w:szCs w:val="18"/>
              </w:rPr>
              <w:t>Cumple</w:t>
            </w:r>
          </w:p>
        </w:tc>
      </w:tr>
      <w:tr w:rsidR="00BA7457" w:rsidRPr="00BA7457">
        <w:tc>
          <w:tcPr>
            <w:tcW w:w="1314" w:type="dxa"/>
          </w:tcPr>
          <w:p w:rsidR="00377CAA" w:rsidRPr="00BA7457" w:rsidRDefault="00E27F02">
            <w:pPr>
              <w:spacing w:before="100" w:after="200" w:line="276" w:lineRule="auto"/>
              <w:jc w:val="center"/>
              <w:rPr>
                <w:rFonts w:ascii="Palatino Linotype" w:eastAsia="Palatino Linotype" w:hAnsi="Palatino Linotype" w:cs="Palatino Linotype"/>
                <w:sz w:val="18"/>
                <w:szCs w:val="18"/>
              </w:rPr>
            </w:pPr>
            <w:r w:rsidRPr="00BA7457">
              <w:rPr>
                <w:rFonts w:ascii="Palatino Linotype" w:eastAsia="Palatino Linotype" w:hAnsi="Palatino Linotype" w:cs="Palatino Linotype"/>
                <w:b/>
                <w:sz w:val="18"/>
                <w:szCs w:val="18"/>
              </w:rPr>
              <w:lastRenderedPageBreak/>
              <w:t>Número de folio de la solicitud</w:t>
            </w:r>
          </w:p>
        </w:tc>
        <w:tc>
          <w:tcPr>
            <w:tcW w:w="5968" w:type="dxa"/>
          </w:tcPr>
          <w:p w:rsidR="00377CAA" w:rsidRPr="00BA7457" w:rsidRDefault="00E27F02">
            <w:pPr>
              <w:spacing w:before="100" w:after="200"/>
              <w:jc w:val="center"/>
              <w:rPr>
                <w:rFonts w:ascii="Palatino Linotype" w:eastAsia="Palatino Linotype" w:hAnsi="Palatino Linotype" w:cs="Palatino Linotype"/>
                <w:sz w:val="20"/>
                <w:szCs w:val="20"/>
              </w:rPr>
            </w:pPr>
            <w:r w:rsidRPr="00BA7457">
              <w:rPr>
                <w:rFonts w:ascii="Palatino Linotype" w:eastAsia="Palatino Linotype" w:hAnsi="Palatino Linotype" w:cs="Palatino Linotype"/>
                <w:noProof/>
                <w:lang w:val="es-MX"/>
              </w:rPr>
              <w:drawing>
                <wp:inline distT="0" distB="0" distL="0" distR="0">
                  <wp:extent cx="3652520" cy="2334895"/>
                  <wp:effectExtent l="0" t="0" r="0" b="0"/>
                  <wp:docPr id="9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3652520" cy="2334895"/>
                          </a:xfrm>
                          <a:prstGeom prst="rect">
                            <a:avLst/>
                          </a:prstGeom>
                          <a:ln/>
                        </pic:spPr>
                      </pic:pic>
                    </a:graphicData>
                  </a:graphic>
                </wp:inline>
              </w:drawing>
            </w:r>
            <w:r w:rsidRPr="00BA7457">
              <w:rPr>
                <w:noProof/>
                <w:lang w:val="es-MX"/>
              </w:rPr>
              <mc:AlternateContent>
                <mc:Choice Requires="wpg">
                  <w:drawing>
                    <wp:anchor distT="0" distB="0" distL="114300" distR="114300" simplePos="0" relativeHeight="251658240" behindDoc="0" locked="0" layoutInCell="1" hidden="0" allowOverlap="1">
                      <wp:simplePos x="0" y="0"/>
                      <wp:positionH relativeFrom="column">
                        <wp:posOffset>165100</wp:posOffset>
                      </wp:positionH>
                      <wp:positionV relativeFrom="paragraph">
                        <wp:posOffset>698500</wp:posOffset>
                      </wp:positionV>
                      <wp:extent cx="1085850" cy="190500"/>
                      <wp:effectExtent l="0" t="0" r="0" b="0"/>
                      <wp:wrapNone/>
                      <wp:docPr id="85" name="Rectángulo 85"/>
                      <wp:cNvGraphicFramePr/>
                      <a:graphic xmlns:a="http://schemas.openxmlformats.org/drawingml/2006/main">
                        <a:graphicData uri="http://schemas.microsoft.com/office/word/2010/wordprocessingShape">
                          <wps:wsp>
                            <wps:cNvSpPr/>
                            <wps:spPr>
                              <a:xfrm>
                                <a:off x="4831650" y="3713325"/>
                                <a:ext cx="1028700" cy="133350"/>
                              </a:xfrm>
                              <a:prstGeom prst="rect">
                                <a:avLst/>
                              </a:prstGeom>
                              <a:noFill/>
                              <a:ln w="28575" cap="flat" cmpd="sng">
                                <a:solidFill>
                                  <a:srgbClr val="FF0000"/>
                                </a:solidFill>
                                <a:prstDash val="solid"/>
                                <a:round/>
                                <a:headEnd type="none" w="sm" len="sm"/>
                                <a:tailEnd type="none" w="sm" len="sm"/>
                              </a:ln>
                            </wps:spPr>
                            <wps:txbx>
                              <w:txbxContent>
                                <w:p w:rsidR="00377CAA" w:rsidRDefault="00377CAA">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165100</wp:posOffset>
                      </wp:positionH>
                      <wp:positionV relativeFrom="paragraph">
                        <wp:posOffset>698500</wp:posOffset>
                      </wp:positionV>
                      <wp:extent cx="1085850" cy="190500"/>
                      <wp:effectExtent b="0" l="0" r="0" t="0"/>
                      <wp:wrapNone/>
                      <wp:docPr id="85" name="image17.png"/>
                      <a:graphic>
                        <a:graphicData uri="http://schemas.openxmlformats.org/drawingml/2006/picture">
                          <pic:pic>
                            <pic:nvPicPr>
                              <pic:cNvPr id="0" name="image17.png"/>
                              <pic:cNvPicPr preferRelativeResize="0"/>
                            </pic:nvPicPr>
                            <pic:blipFill>
                              <a:blip r:embed="rId10"/>
                              <a:srcRect/>
                              <a:stretch>
                                <a:fillRect/>
                              </a:stretch>
                            </pic:blipFill>
                            <pic:spPr>
                              <a:xfrm>
                                <a:off x="0" y="0"/>
                                <a:ext cx="1085850" cy="190500"/>
                              </a:xfrm>
                              <a:prstGeom prst="rect"/>
                              <a:ln/>
                            </pic:spPr>
                          </pic:pic>
                        </a:graphicData>
                      </a:graphic>
                    </wp:anchor>
                  </w:drawing>
                </mc:Fallback>
              </mc:AlternateContent>
            </w:r>
            <w:r w:rsidRPr="00BA7457">
              <w:rPr>
                <w:noProof/>
                <w:lang w:val="es-MX"/>
              </w:rPr>
              <mc:AlternateContent>
                <mc:Choice Requires="wpg">
                  <w:drawing>
                    <wp:anchor distT="0" distB="0" distL="114300" distR="114300" simplePos="0" relativeHeight="251659264" behindDoc="0" locked="0" layoutInCell="1" hidden="0" allowOverlap="1">
                      <wp:simplePos x="0" y="0"/>
                      <wp:positionH relativeFrom="column">
                        <wp:posOffset>1663700</wp:posOffset>
                      </wp:positionH>
                      <wp:positionV relativeFrom="paragraph">
                        <wp:posOffset>1701800</wp:posOffset>
                      </wp:positionV>
                      <wp:extent cx="1123950" cy="228600"/>
                      <wp:effectExtent l="0" t="0" r="0" b="0"/>
                      <wp:wrapNone/>
                      <wp:docPr id="84" name="Rectángulo 84"/>
                      <wp:cNvGraphicFramePr/>
                      <a:graphic xmlns:a="http://schemas.openxmlformats.org/drawingml/2006/main">
                        <a:graphicData uri="http://schemas.microsoft.com/office/word/2010/wordprocessingShape">
                          <wps:wsp>
                            <wps:cNvSpPr/>
                            <wps:spPr>
                              <a:xfrm>
                                <a:off x="4822125" y="3703800"/>
                                <a:ext cx="1047750" cy="152400"/>
                              </a:xfrm>
                              <a:prstGeom prst="rect">
                                <a:avLst/>
                              </a:prstGeom>
                              <a:noFill/>
                              <a:ln w="38100" cap="flat" cmpd="sng">
                                <a:solidFill>
                                  <a:srgbClr val="FF0000"/>
                                </a:solidFill>
                                <a:prstDash val="solid"/>
                                <a:round/>
                                <a:headEnd type="none" w="sm" len="sm"/>
                                <a:tailEnd type="none" w="sm" len="sm"/>
                              </a:ln>
                            </wps:spPr>
                            <wps:txbx>
                              <w:txbxContent>
                                <w:p w:rsidR="00377CAA" w:rsidRDefault="00377CAA">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1663700</wp:posOffset>
                      </wp:positionH>
                      <wp:positionV relativeFrom="paragraph">
                        <wp:posOffset>1701800</wp:posOffset>
                      </wp:positionV>
                      <wp:extent cx="1123950" cy="228600"/>
                      <wp:effectExtent b="0" l="0" r="0" t="0"/>
                      <wp:wrapNone/>
                      <wp:docPr id="84" name="image16.png"/>
                      <a:graphic>
                        <a:graphicData uri="http://schemas.openxmlformats.org/drawingml/2006/picture">
                          <pic:pic>
                            <pic:nvPicPr>
                              <pic:cNvPr id="0" name="image16.png"/>
                              <pic:cNvPicPr preferRelativeResize="0"/>
                            </pic:nvPicPr>
                            <pic:blipFill>
                              <a:blip r:embed="rId11"/>
                              <a:srcRect/>
                              <a:stretch>
                                <a:fillRect/>
                              </a:stretch>
                            </pic:blipFill>
                            <pic:spPr>
                              <a:xfrm>
                                <a:off x="0" y="0"/>
                                <a:ext cx="1123950" cy="228600"/>
                              </a:xfrm>
                              <a:prstGeom prst="rect"/>
                              <a:ln/>
                            </pic:spPr>
                          </pic:pic>
                        </a:graphicData>
                      </a:graphic>
                    </wp:anchor>
                  </w:drawing>
                </mc:Fallback>
              </mc:AlternateContent>
            </w:r>
          </w:p>
        </w:tc>
        <w:tc>
          <w:tcPr>
            <w:tcW w:w="1546" w:type="dxa"/>
          </w:tcPr>
          <w:p w:rsidR="00377CAA" w:rsidRPr="00BA7457" w:rsidRDefault="00E27F02">
            <w:pPr>
              <w:tabs>
                <w:tab w:val="left" w:pos="480"/>
                <w:tab w:val="center" w:pos="665"/>
              </w:tabs>
              <w:spacing w:before="100" w:after="200" w:line="276" w:lineRule="auto"/>
              <w:jc w:val="center"/>
              <w:rPr>
                <w:rFonts w:ascii="Palatino Linotype" w:eastAsia="Palatino Linotype" w:hAnsi="Palatino Linotype" w:cs="Palatino Linotype"/>
                <w:b/>
                <w:sz w:val="20"/>
                <w:szCs w:val="20"/>
              </w:rPr>
            </w:pPr>
            <w:r w:rsidRPr="00BA7457">
              <w:rPr>
                <w:rFonts w:ascii="Palatino Linotype" w:eastAsia="Palatino Linotype" w:hAnsi="Palatino Linotype" w:cs="Palatino Linotype"/>
                <w:b/>
                <w:sz w:val="22"/>
                <w:szCs w:val="22"/>
              </w:rPr>
              <w:t>Sí</w:t>
            </w:r>
          </w:p>
        </w:tc>
      </w:tr>
      <w:tr w:rsidR="00BA7457" w:rsidRPr="00BA7457">
        <w:tc>
          <w:tcPr>
            <w:tcW w:w="1314" w:type="dxa"/>
          </w:tcPr>
          <w:p w:rsidR="00377CAA" w:rsidRPr="00BA7457" w:rsidRDefault="00E27F02">
            <w:pPr>
              <w:spacing w:before="100" w:after="200" w:line="276" w:lineRule="auto"/>
              <w:jc w:val="center"/>
              <w:rPr>
                <w:rFonts w:ascii="Palatino Linotype" w:eastAsia="Palatino Linotype" w:hAnsi="Palatino Linotype" w:cs="Palatino Linotype"/>
                <w:sz w:val="18"/>
                <w:szCs w:val="18"/>
              </w:rPr>
            </w:pPr>
            <w:r w:rsidRPr="00BA7457">
              <w:rPr>
                <w:rFonts w:ascii="Palatino Linotype" w:eastAsia="Palatino Linotype" w:hAnsi="Palatino Linotype" w:cs="Palatino Linotype"/>
                <w:b/>
                <w:sz w:val="18"/>
                <w:szCs w:val="18"/>
              </w:rPr>
              <w:t>Referencia de la información solicitada</w:t>
            </w:r>
          </w:p>
        </w:tc>
        <w:tc>
          <w:tcPr>
            <w:tcW w:w="5968" w:type="dxa"/>
          </w:tcPr>
          <w:p w:rsidR="00377CAA" w:rsidRPr="00BA7457" w:rsidRDefault="00E27F02">
            <w:pPr>
              <w:spacing w:before="100" w:after="200" w:line="276" w:lineRule="auto"/>
              <w:rPr>
                <w:rFonts w:ascii="Palatino Linotype" w:eastAsia="Palatino Linotype" w:hAnsi="Palatino Linotype" w:cs="Palatino Linotype"/>
              </w:rPr>
            </w:pPr>
            <w:r w:rsidRPr="00BA7457">
              <w:rPr>
                <w:rFonts w:ascii="Palatino Linotype" w:eastAsia="Palatino Linotype" w:hAnsi="Palatino Linotype" w:cs="Palatino Linotype"/>
                <w:noProof/>
                <w:lang w:val="es-MX"/>
              </w:rPr>
              <w:drawing>
                <wp:inline distT="0" distB="0" distL="0" distR="0">
                  <wp:extent cx="3652520" cy="2334895"/>
                  <wp:effectExtent l="0" t="0" r="0" b="0"/>
                  <wp:docPr id="9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3652520" cy="2334895"/>
                          </a:xfrm>
                          <a:prstGeom prst="rect">
                            <a:avLst/>
                          </a:prstGeom>
                          <a:ln/>
                        </pic:spPr>
                      </pic:pic>
                    </a:graphicData>
                  </a:graphic>
                </wp:inline>
              </w:drawing>
            </w:r>
          </w:p>
        </w:tc>
        <w:tc>
          <w:tcPr>
            <w:tcW w:w="1546" w:type="dxa"/>
          </w:tcPr>
          <w:p w:rsidR="00377CAA" w:rsidRPr="00BA7457" w:rsidRDefault="00E27F02">
            <w:pPr>
              <w:spacing w:before="100" w:after="200"/>
              <w:jc w:val="center"/>
              <w:rPr>
                <w:rFonts w:ascii="Palatino Linotype" w:eastAsia="Palatino Linotype" w:hAnsi="Palatino Linotype" w:cs="Palatino Linotype"/>
                <w:sz w:val="18"/>
                <w:szCs w:val="18"/>
              </w:rPr>
            </w:pPr>
            <w:r w:rsidRPr="00BA7457">
              <w:rPr>
                <w:rFonts w:ascii="Palatino Linotype" w:eastAsia="Palatino Linotype" w:hAnsi="Palatino Linotype" w:cs="Palatino Linotype"/>
                <w:b/>
                <w:sz w:val="22"/>
                <w:szCs w:val="22"/>
              </w:rPr>
              <w:t>Sí</w:t>
            </w:r>
          </w:p>
        </w:tc>
      </w:tr>
      <w:tr w:rsidR="00BA7457" w:rsidRPr="00BA7457">
        <w:tc>
          <w:tcPr>
            <w:tcW w:w="1314" w:type="dxa"/>
          </w:tcPr>
          <w:p w:rsidR="00377CAA" w:rsidRPr="00BA7457" w:rsidRDefault="00E27F02">
            <w:pPr>
              <w:spacing w:before="100" w:after="200" w:line="276" w:lineRule="auto"/>
              <w:jc w:val="center"/>
              <w:rPr>
                <w:rFonts w:ascii="Palatino Linotype" w:eastAsia="Palatino Linotype" w:hAnsi="Palatino Linotype" w:cs="Palatino Linotype"/>
                <w:sz w:val="18"/>
                <w:szCs w:val="18"/>
              </w:rPr>
            </w:pPr>
            <w:r w:rsidRPr="00BA7457">
              <w:rPr>
                <w:rFonts w:ascii="Palatino Linotype" w:eastAsia="Palatino Linotype" w:hAnsi="Palatino Linotype" w:cs="Palatino Linotype"/>
                <w:b/>
                <w:sz w:val="18"/>
                <w:szCs w:val="18"/>
              </w:rPr>
              <w:t xml:space="preserve">Causal aplicable del artículo 113 de la Ley General, vinculándola con el Lineamiento específico del presente ordenamiento y, cuando </w:t>
            </w:r>
            <w:r w:rsidRPr="00BA7457">
              <w:rPr>
                <w:rFonts w:ascii="Palatino Linotype" w:eastAsia="Palatino Linotype" w:hAnsi="Palatino Linotype" w:cs="Palatino Linotype"/>
                <w:b/>
                <w:sz w:val="18"/>
                <w:szCs w:val="18"/>
              </w:rPr>
              <w:lastRenderedPageBreak/>
              <w:t>corresponda, el supuesto normativo que expresamente le otorga el carácter de información reservada</w:t>
            </w:r>
          </w:p>
        </w:tc>
        <w:tc>
          <w:tcPr>
            <w:tcW w:w="5968" w:type="dxa"/>
          </w:tcPr>
          <w:p w:rsidR="00377CAA" w:rsidRPr="00BA7457" w:rsidRDefault="00E27F02">
            <w:pPr>
              <w:spacing w:before="100" w:after="200" w:line="276" w:lineRule="auto"/>
              <w:rPr>
                <w:rFonts w:ascii="Calibri" w:eastAsia="Calibri" w:hAnsi="Calibri" w:cs="Calibri"/>
                <w:sz w:val="20"/>
                <w:szCs w:val="20"/>
              </w:rPr>
            </w:pPr>
            <w:r w:rsidRPr="00BA7457">
              <w:rPr>
                <w:rFonts w:ascii="Calibri" w:eastAsia="Calibri" w:hAnsi="Calibri" w:cs="Calibri"/>
                <w:noProof/>
                <w:sz w:val="20"/>
                <w:szCs w:val="20"/>
                <w:lang w:val="es-MX"/>
              </w:rPr>
              <w:lastRenderedPageBreak/>
              <w:drawing>
                <wp:inline distT="0" distB="0" distL="0" distR="0">
                  <wp:extent cx="3652520" cy="1794510"/>
                  <wp:effectExtent l="0" t="0" r="0" b="0"/>
                  <wp:docPr id="9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3652520" cy="1794510"/>
                          </a:xfrm>
                          <a:prstGeom prst="rect">
                            <a:avLst/>
                          </a:prstGeom>
                          <a:ln/>
                        </pic:spPr>
                      </pic:pic>
                    </a:graphicData>
                  </a:graphic>
                </wp:inline>
              </w:drawing>
            </w:r>
          </w:p>
          <w:p w:rsidR="00377CAA" w:rsidRPr="00BA7457" w:rsidRDefault="00E27F02">
            <w:pPr>
              <w:spacing w:before="100" w:after="200" w:line="276" w:lineRule="auto"/>
              <w:rPr>
                <w:rFonts w:ascii="Calibri" w:eastAsia="Calibri" w:hAnsi="Calibri" w:cs="Calibri"/>
                <w:sz w:val="20"/>
                <w:szCs w:val="20"/>
              </w:rPr>
            </w:pPr>
            <w:r w:rsidRPr="00BA7457">
              <w:rPr>
                <w:rFonts w:ascii="Calibri" w:eastAsia="Calibri" w:hAnsi="Calibri" w:cs="Calibri"/>
                <w:noProof/>
                <w:sz w:val="20"/>
                <w:szCs w:val="20"/>
                <w:lang w:val="es-MX"/>
              </w:rPr>
              <w:lastRenderedPageBreak/>
              <w:drawing>
                <wp:inline distT="0" distB="0" distL="0" distR="0">
                  <wp:extent cx="3652520" cy="2744470"/>
                  <wp:effectExtent l="0" t="0" r="0" b="0"/>
                  <wp:docPr id="9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3652520" cy="2744470"/>
                          </a:xfrm>
                          <a:prstGeom prst="rect">
                            <a:avLst/>
                          </a:prstGeom>
                          <a:ln/>
                        </pic:spPr>
                      </pic:pic>
                    </a:graphicData>
                  </a:graphic>
                </wp:inline>
              </w:drawing>
            </w:r>
            <w:r w:rsidRPr="00BA7457">
              <w:rPr>
                <w:noProof/>
                <w:lang w:val="es-MX"/>
              </w:rPr>
              <mc:AlternateContent>
                <mc:Choice Requires="wpg">
                  <w:drawing>
                    <wp:anchor distT="0" distB="0" distL="114300" distR="114300" simplePos="0" relativeHeight="251660288" behindDoc="0" locked="0" layoutInCell="1" hidden="0" allowOverlap="1">
                      <wp:simplePos x="0" y="0"/>
                      <wp:positionH relativeFrom="column">
                        <wp:posOffset>-12699</wp:posOffset>
                      </wp:positionH>
                      <wp:positionV relativeFrom="paragraph">
                        <wp:posOffset>1993900</wp:posOffset>
                      </wp:positionV>
                      <wp:extent cx="3638550" cy="676275"/>
                      <wp:effectExtent l="0" t="0" r="0" b="0"/>
                      <wp:wrapNone/>
                      <wp:docPr id="87" name="Rectángulo 87"/>
                      <wp:cNvGraphicFramePr/>
                      <a:graphic xmlns:a="http://schemas.openxmlformats.org/drawingml/2006/main">
                        <a:graphicData uri="http://schemas.microsoft.com/office/word/2010/wordprocessingShape">
                          <wps:wsp>
                            <wps:cNvSpPr/>
                            <wps:spPr>
                              <a:xfrm>
                                <a:off x="3555300" y="3470438"/>
                                <a:ext cx="3581400" cy="619125"/>
                              </a:xfrm>
                              <a:prstGeom prst="rect">
                                <a:avLst/>
                              </a:prstGeom>
                              <a:noFill/>
                              <a:ln w="28575" cap="flat" cmpd="sng">
                                <a:solidFill>
                                  <a:srgbClr val="FF0000"/>
                                </a:solidFill>
                                <a:prstDash val="solid"/>
                                <a:round/>
                                <a:headEnd type="none" w="sm" len="sm"/>
                                <a:tailEnd type="none" w="sm" len="sm"/>
                              </a:ln>
                            </wps:spPr>
                            <wps:txbx>
                              <w:txbxContent>
                                <w:p w:rsidR="00377CAA" w:rsidRDefault="00377CAA">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-12699</wp:posOffset>
                      </wp:positionH>
                      <wp:positionV relativeFrom="paragraph">
                        <wp:posOffset>1993900</wp:posOffset>
                      </wp:positionV>
                      <wp:extent cx="3638550" cy="676275"/>
                      <wp:effectExtent b="0" l="0" r="0" t="0"/>
                      <wp:wrapNone/>
                      <wp:docPr id="87" name="image19.png"/>
                      <a:graphic>
                        <a:graphicData uri="http://schemas.openxmlformats.org/drawingml/2006/picture">
                          <pic:pic>
                            <pic:nvPicPr>
                              <pic:cNvPr id="0" name="image19.png"/>
                              <pic:cNvPicPr preferRelativeResize="0"/>
                            </pic:nvPicPr>
                            <pic:blipFill>
                              <a:blip r:embed="rId14"/>
                              <a:srcRect/>
                              <a:stretch>
                                <a:fillRect/>
                              </a:stretch>
                            </pic:blipFill>
                            <pic:spPr>
                              <a:xfrm>
                                <a:off x="0" y="0"/>
                                <a:ext cx="3638550" cy="676275"/>
                              </a:xfrm>
                              <a:prstGeom prst="rect"/>
                              <a:ln/>
                            </pic:spPr>
                          </pic:pic>
                        </a:graphicData>
                      </a:graphic>
                    </wp:anchor>
                  </w:drawing>
                </mc:Fallback>
              </mc:AlternateContent>
            </w:r>
          </w:p>
        </w:tc>
        <w:tc>
          <w:tcPr>
            <w:tcW w:w="1546" w:type="dxa"/>
          </w:tcPr>
          <w:p w:rsidR="00377CAA" w:rsidRPr="00BA7457" w:rsidRDefault="00E27F02">
            <w:pPr>
              <w:spacing w:before="100" w:after="200" w:line="276" w:lineRule="auto"/>
              <w:jc w:val="center"/>
              <w:rPr>
                <w:rFonts w:ascii="Palatino Linotype" w:eastAsia="Palatino Linotype" w:hAnsi="Palatino Linotype" w:cs="Palatino Linotype"/>
                <w:b/>
                <w:sz w:val="20"/>
                <w:szCs w:val="20"/>
              </w:rPr>
            </w:pPr>
            <w:r w:rsidRPr="00BA7457">
              <w:rPr>
                <w:rFonts w:ascii="Palatino Linotype" w:eastAsia="Palatino Linotype" w:hAnsi="Palatino Linotype" w:cs="Palatino Linotype"/>
                <w:b/>
                <w:sz w:val="20"/>
                <w:szCs w:val="20"/>
              </w:rPr>
              <w:lastRenderedPageBreak/>
              <w:t>No</w:t>
            </w:r>
          </w:p>
          <w:p w:rsidR="00377CAA" w:rsidRPr="00BA7457" w:rsidRDefault="00E27F02">
            <w:pPr>
              <w:spacing w:before="100" w:after="200"/>
              <w:jc w:val="both"/>
              <w:rPr>
                <w:rFonts w:ascii="Palatino Linotype" w:eastAsia="Palatino Linotype" w:hAnsi="Palatino Linotype" w:cs="Palatino Linotype"/>
                <w:sz w:val="18"/>
                <w:szCs w:val="18"/>
              </w:rPr>
            </w:pPr>
            <w:r w:rsidRPr="00BA7457">
              <w:rPr>
                <w:rFonts w:ascii="Palatino Linotype" w:eastAsia="Palatino Linotype" w:hAnsi="Palatino Linotype" w:cs="Palatino Linotype"/>
                <w:b/>
                <w:sz w:val="18"/>
                <w:szCs w:val="18"/>
              </w:rPr>
              <w:t xml:space="preserve">Observaciones: 1.- </w:t>
            </w:r>
            <w:r w:rsidRPr="00BA7457">
              <w:rPr>
                <w:rFonts w:ascii="Palatino Linotype" w:eastAsia="Palatino Linotype" w:hAnsi="Palatino Linotype" w:cs="Palatino Linotype"/>
                <w:sz w:val="18"/>
                <w:szCs w:val="18"/>
              </w:rPr>
              <w:t xml:space="preserve">En la primera foja del acuerdo hace referencia a la fracción VI del artículo 113, sin embargo, de manera posterior en el acuerdo, invocan las </w:t>
            </w:r>
            <w:r w:rsidRPr="00BA7457">
              <w:rPr>
                <w:rFonts w:ascii="Palatino Linotype" w:eastAsia="Palatino Linotype" w:hAnsi="Palatino Linotype" w:cs="Palatino Linotype"/>
                <w:sz w:val="18"/>
                <w:szCs w:val="18"/>
              </w:rPr>
              <w:lastRenderedPageBreak/>
              <w:t xml:space="preserve">fracciones X y XI. </w:t>
            </w:r>
          </w:p>
          <w:p w:rsidR="00377CAA" w:rsidRPr="00BA7457" w:rsidRDefault="00E27F02">
            <w:pPr>
              <w:spacing w:before="100" w:after="200"/>
              <w:jc w:val="both"/>
              <w:rPr>
                <w:rFonts w:ascii="Palatino Linotype" w:eastAsia="Palatino Linotype" w:hAnsi="Palatino Linotype" w:cs="Palatino Linotype"/>
                <w:sz w:val="18"/>
                <w:szCs w:val="18"/>
              </w:rPr>
            </w:pPr>
            <w:r w:rsidRPr="00BA7457">
              <w:rPr>
                <w:rFonts w:ascii="Palatino Linotype" w:eastAsia="Palatino Linotype" w:hAnsi="Palatino Linotype" w:cs="Palatino Linotype"/>
                <w:b/>
                <w:sz w:val="18"/>
                <w:szCs w:val="18"/>
              </w:rPr>
              <w:t>2.-</w:t>
            </w:r>
            <w:r w:rsidRPr="00BA7457">
              <w:rPr>
                <w:rFonts w:ascii="Palatino Linotype" w:eastAsia="Palatino Linotype" w:hAnsi="Palatino Linotype" w:cs="Palatino Linotype"/>
                <w:sz w:val="18"/>
                <w:szCs w:val="18"/>
              </w:rPr>
              <w:t>Se advierte que el Sujeto Obligado está fundamentando con Lineamientos que no se encuentran vigentes pues el numeral Sexto se derogó con la reforma del 18 de noviembre de 2022.</w:t>
            </w:r>
          </w:p>
          <w:p w:rsidR="00377CAA" w:rsidRPr="00BA7457" w:rsidRDefault="00E27F02">
            <w:pPr>
              <w:spacing w:before="100" w:after="200"/>
              <w:jc w:val="both"/>
              <w:rPr>
                <w:rFonts w:ascii="Palatino Linotype" w:eastAsia="Palatino Linotype" w:hAnsi="Palatino Linotype" w:cs="Palatino Linotype"/>
                <w:sz w:val="18"/>
                <w:szCs w:val="18"/>
              </w:rPr>
            </w:pPr>
            <w:r w:rsidRPr="00BA7457">
              <w:rPr>
                <w:rFonts w:ascii="Palatino Linotype" w:eastAsia="Palatino Linotype" w:hAnsi="Palatino Linotype" w:cs="Palatino Linotype"/>
                <w:b/>
                <w:sz w:val="18"/>
                <w:szCs w:val="18"/>
              </w:rPr>
              <w:t>3.-</w:t>
            </w:r>
            <w:r w:rsidRPr="00BA7457">
              <w:rPr>
                <w:rFonts w:ascii="Palatino Linotype" w:eastAsia="Palatino Linotype" w:hAnsi="Palatino Linotype" w:cs="Palatino Linotype"/>
                <w:sz w:val="18"/>
                <w:szCs w:val="18"/>
              </w:rPr>
              <w:t>El Lineamiento Vigésimo Cuarto no es aplicable, toda vez que nos encontramos ante un supuesto en el que se verifique cumplimiento de las normas.</w:t>
            </w:r>
          </w:p>
          <w:p w:rsidR="00377CAA" w:rsidRPr="00BA7457" w:rsidRDefault="00E27F02">
            <w:pPr>
              <w:spacing w:before="100" w:after="200"/>
              <w:jc w:val="both"/>
              <w:rPr>
                <w:rFonts w:ascii="Palatino Linotype" w:eastAsia="Palatino Linotype" w:hAnsi="Palatino Linotype" w:cs="Palatino Linotype"/>
                <w:sz w:val="18"/>
                <w:szCs w:val="18"/>
              </w:rPr>
            </w:pPr>
            <w:r w:rsidRPr="00BA7457">
              <w:rPr>
                <w:rFonts w:ascii="Palatino Linotype" w:eastAsia="Palatino Linotype" w:hAnsi="Palatino Linotype" w:cs="Palatino Linotype"/>
                <w:sz w:val="18"/>
                <w:szCs w:val="18"/>
              </w:rPr>
              <w:t xml:space="preserve">4.-Las fracciones X y XI del 113 no son aplicables, toda vez que la divulgación de la información solicitada  no vulnera el debido proceso ni la conducción de los Expedientes judiciales o de los procedimientos administrativos seguidos en </w:t>
            </w:r>
            <w:r w:rsidRPr="00BA7457">
              <w:rPr>
                <w:rFonts w:ascii="Palatino Linotype" w:eastAsia="Palatino Linotype" w:hAnsi="Palatino Linotype" w:cs="Palatino Linotype"/>
                <w:sz w:val="18"/>
                <w:szCs w:val="18"/>
              </w:rPr>
              <w:lastRenderedPageBreak/>
              <w:t>forma de juicio, además los lineamientos tampoco son aplicables.</w:t>
            </w:r>
          </w:p>
          <w:p w:rsidR="00377CAA" w:rsidRPr="00BA7457" w:rsidRDefault="00377CAA">
            <w:pPr>
              <w:spacing w:before="100" w:after="200" w:line="276" w:lineRule="auto"/>
              <w:ind w:right="-64"/>
              <w:jc w:val="both"/>
              <w:rPr>
                <w:rFonts w:ascii="Palatino Linotype" w:eastAsia="Palatino Linotype" w:hAnsi="Palatino Linotype" w:cs="Palatino Linotype"/>
                <w:sz w:val="20"/>
                <w:szCs w:val="20"/>
              </w:rPr>
            </w:pPr>
          </w:p>
          <w:p w:rsidR="00377CAA" w:rsidRPr="00BA7457" w:rsidRDefault="00377CAA">
            <w:pPr>
              <w:spacing w:before="100" w:after="200" w:line="276" w:lineRule="auto"/>
              <w:ind w:right="-64"/>
              <w:jc w:val="both"/>
              <w:rPr>
                <w:rFonts w:ascii="Palatino Linotype" w:eastAsia="Palatino Linotype" w:hAnsi="Palatino Linotype" w:cs="Palatino Linotype"/>
                <w:sz w:val="20"/>
                <w:szCs w:val="20"/>
              </w:rPr>
            </w:pPr>
          </w:p>
          <w:p w:rsidR="00377CAA" w:rsidRPr="00BA7457" w:rsidRDefault="00377CAA">
            <w:pPr>
              <w:spacing w:before="100" w:after="200" w:line="276" w:lineRule="auto"/>
              <w:ind w:right="-64"/>
              <w:jc w:val="both"/>
              <w:rPr>
                <w:rFonts w:ascii="Palatino Linotype" w:eastAsia="Palatino Linotype" w:hAnsi="Palatino Linotype" w:cs="Palatino Linotype"/>
                <w:sz w:val="20"/>
                <w:szCs w:val="20"/>
              </w:rPr>
            </w:pPr>
          </w:p>
          <w:p w:rsidR="00377CAA" w:rsidRPr="00BA7457" w:rsidRDefault="00377CAA">
            <w:pPr>
              <w:spacing w:before="100" w:after="200"/>
              <w:jc w:val="center"/>
              <w:rPr>
                <w:rFonts w:ascii="Palatino Linotype" w:eastAsia="Palatino Linotype" w:hAnsi="Palatino Linotype" w:cs="Palatino Linotype"/>
                <w:b/>
                <w:sz w:val="20"/>
                <w:szCs w:val="20"/>
              </w:rPr>
            </w:pPr>
          </w:p>
        </w:tc>
      </w:tr>
      <w:tr w:rsidR="00BA7457" w:rsidRPr="00BA7457">
        <w:tc>
          <w:tcPr>
            <w:tcW w:w="1314" w:type="dxa"/>
          </w:tcPr>
          <w:p w:rsidR="00377CAA" w:rsidRPr="00BA7457" w:rsidRDefault="00E27F02">
            <w:pPr>
              <w:spacing w:before="100" w:after="200" w:line="276" w:lineRule="auto"/>
              <w:jc w:val="center"/>
              <w:rPr>
                <w:rFonts w:ascii="Palatino Linotype" w:eastAsia="Palatino Linotype" w:hAnsi="Palatino Linotype" w:cs="Palatino Linotype"/>
                <w:sz w:val="18"/>
                <w:szCs w:val="18"/>
              </w:rPr>
            </w:pPr>
            <w:r w:rsidRPr="00BA7457">
              <w:rPr>
                <w:rFonts w:ascii="Palatino Linotype" w:eastAsia="Palatino Linotype" w:hAnsi="Palatino Linotype" w:cs="Palatino Linotype"/>
                <w:b/>
                <w:sz w:val="18"/>
                <w:szCs w:val="18"/>
              </w:rPr>
              <w:lastRenderedPageBreak/>
              <w:t>Fundamento y Motivación Legal</w:t>
            </w:r>
          </w:p>
        </w:tc>
        <w:tc>
          <w:tcPr>
            <w:tcW w:w="5968" w:type="dxa"/>
          </w:tcPr>
          <w:p w:rsidR="00377CAA" w:rsidRPr="00BA7457" w:rsidRDefault="00E27F02">
            <w:pPr>
              <w:spacing w:before="100" w:after="200" w:line="276" w:lineRule="auto"/>
              <w:rPr>
                <w:rFonts w:ascii="Calibri" w:eastAsia="Calibri" w:hAnsi="Calibri" w:cs="Calibri"/>
                <w:sz w:val="20"/>
                <w:szCs w:val="20"/>
              </w:rPr>
            </w:pPr>
            <w:r w:rsidRPr="00BA7457">
              <w:rPr>
                <w:rFonts w:ascii="Calibri" w:eastAsia="Calibri" w:hAnsi="Calibri" w:cs="Calibri"/>
                <w:noProof/>
                <w:sz w:val="20"/>
                <w:szCs w:val="20"/>
                <w:lang w:val="es-MX"/>
              </w:rPr>
              <w:drawing>
                <wp:inline distT="0" distB="0" distL="0" distR="0">
                  <wp:extent cx="3652520" cy="4024630"/>
                  <wp:effectExtent l="0" t="0" r="0" b="0"/>
                  <wp:docPr id="9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3652520" cy="4024630"/>
                          </a:xfrm>
                          <a:prstGeom prst="rect">
                            <a:avLst/>
                          </a:prstGeom>
                          <a:ln/>
                        </pic:spPr>
                      </pic:pic>
                    </a:graphicData>
                  </a:graphic>
                </wp:inline>
              </w:drawing>
            </w:r>
          </w:p>
        </w:tc>
        <w:tc>
          <w:tcPr>
            <w:tcW w:w="1546" w:type="dxa"/>
          </w:tcPr>
          <w:p w:rsidR="00377CAA" w:rsidRPr="00BA7457" w:rsidRDefault="00E27F02">
            <w:pPr>
              <w:spacing w:before="100" w:after="200" w:line="276" w:lineRule="auto"/>
              <w:jc w:val="center"/>
              <w:rPr>
                <w:rFonts w:ascii="Palatino Linotype" w:eastAsia="Palatino Linotype" w:hAnsi="Palatino Linotype" w:cs="Palatino Linotype"/>
                <w:b/>
                <w:sz w:val="20"/>
                <w:szCs w:val="20"/>
              </w:rPr>
            </w:pPr>
            <w:r w:rsidRPr="00BA7457">
              <w:rPr>
                <w:rFonts w:ascii="Palatino Linotype" w:eastAsia="Palatino Linotype" w:hAnsi="Palatino Linotype" w:cs="Palatino Linotype"/>
                <w:b/>
                <w:sz w:val="22"/>
                <w:szCs w:val="22"/>
              </w:rPr>
              <w:t>No</w:t>
            </w:r>
          </w:p>
        </w:tc>
      </w:tr>
      <w:tr w:rsidR="00BA7457" w:rsidRPr="00BA7457">
        <w:tc>
          <w:tcPr>
            <w:tcW w:w="1314" w:type="dxa"/>
          </w:tcPr>
          <w:p w:rsidR="00377CAA" w:rsidRPr="00BA7457" w:rsidRDefault="00E27F02">
            <w:pPr>
              <w:spacing w:before="100" w:after="200" w:line="276" w:lineRule="auto"/>
              <w:rPr>
                <w:rFonts w:ascii="Palatino Linotype" w:eastAsia="Palatino Linotype" w:hAnsi="Palatino Linotype" w:cs="Palatino Linotype"/>
                <w:b/>
                <w:sz w:val="16"/>
                <w:szCs w:val="16"/>
              </w:rPr>
            </w:pPr>
            <w:r w:rsidRPr="00BA7457">
              <w:rPr>
                <w:rFonts w:ascii="Palatino Linotype" w:eastAsia="Palatino Linotype" w:hAnsi="Palatino Linotype" w:cs="Palatino Linotype"/>
                <w:b/>
                <w:sz w:val="16"/>
                <w:szCs w:val="16"/>
              </w:rPr>
              <w:lastRenderedPageBreak/>
              <w:t>Conexión entre los fundamentos y motivos que dieron origen a la Reserva de la información</w:t>
            </w:r>
          </w:p>
        </w:tc>
        <w:tc>
          <w:tcPr>
            <w:tcW w:w="5968" w:type="dxa"/>
          </w:tcPr>
          <w:p w:rsidR="00377CAA" w:rsidRPr="00BA7457" w:rsidRDefault="00E27F02">
            <w:pPr>
              <w:spacing w:before="100" w:after="200" w:line="276" w:lineRule="auto"/>
              <w:rPr>
                <w:rFonts w:ascii="Calibri" w:eastAsia="Calibri" w:hAnsi="Calibri" w:cs="Calibri"/>
                <w:sz w:val="20"/>
                <w:szCs w:val="20"/>
              </w:rPr>
            </w:pPr>
            <w:r w:rsidRPr="00BA7457">
              <w:rPr>
                <w:rFonts w:ascii="Calibri" w:eastAsia="Calibri" w:hAnsi="Calibri" w:cs="Calibri"/>
                <w:noProof/>
                <w:sz w:val="20"/>
                <w:szCs w:val="20"/>
                <w:lang w:val="es-MX"/>
              </w:rPr>
              <w:drawing>
                <wp:inline distT="0" distB="0" distL="0" distR="0">
                  <wp:extent cx="3652520" cy="2804160"/>
                  <wp:effectExtent l="0" t="0" r="0" b="0"/>
                  <wp:docPr id="9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3652520" cy="2804160"/>
                          </a:xfrm>
                          <a:prstGeom prst="rect">
                            <a:avLst/>
                          </a:prstGeom>
                          <a:ln/>
                        </pic:spPr>
                      </pic:pic>
                    </a:graphicData>
                  </a:graphic>
                </wp:inline>
              </w:drawing>
            </w:r>
          </w:p>
        </w:tc>
        <w:tc>
          <w:tcPr>
            <w:tcW w:w="1546" w:type="dxa"/>
          </w:tcPr>
          <w:p w:rsidR="00377CAA" w:rsidRPr="00BA7457" w:rsidRDefault="00E27F02">
            <w:pPr>
              <w:spacing w:before="100" w:after="200" w:line="276" w:lineRule="auto"/>
              <w:jc w:val="center"/>
              <w:rPr>
                <w:rFonts w:ascii="Palatino Linotype" w:eastAsia="Palatino Linotype" w:hAnsi="Palatino Linotype" w:cs="Palatino Linotype"/>
                <w:b/>
                <w:sz w:val="22"/>
                <w:szCs w:val="22"/>
              </w:rPr>
            </w:pPr>
            <w:r w:rsidRPr="00BA7457">
              <w:rPr>
                <w:rFonts w:ascii="Palatino Linotype" w:eastAsia="Palatino Linotype" w:hAnsi="Palatino Linotype" w:cs="Palatino Linotype"/>
                <w:b/>
                <w:sz w:val="22"/>
                <w:szCs w:val="22"/>
              </w:rPr>
              <w:t>No</w:t>
            </w:r>
          </w:p>
          <w:p w:rsidR="00377CAA" w:rsidRPr="00BA7457" w:rsidRDefault="00E27F02">
            <w:pPr>
              <w:spacing w:before="100" w:after="200"/>
              <w:jc w:val="both"/>
              <w:rPr>
                <w:rFonts w:ascii="Palatino Linotype" w:eastAsia="Palatino Linotype" w:hAnsi="Palatino Linotype" w:cs="Palatino Linotype"/>
                <w:b/>
                <w:sz w:val="20"/>
                <w:szCs w:val="20"/>
              </w:rPr>
            </w:pPr>
            <w:r w:rsidRPr="00BA7457">
              <w:rPr>
                <w:rFonts w:ascii="Palatino Linotype" w:eastAsia="Palatino Linotype" w:hAnsi="Palatino Linotype" w:cs="Palatino Linotype"/>
                <w:b/>
                <w:sz w:val="18"/>
                <w:szCs w:val="18"/>
              </w:rPr>
              <w:t xml:space="preserve">Observaciones: </w:t>
            </w:r>
            <w:r w:rsidRPr="00BA7457">
              <w:rPr>
                <w:rFonts w:ascii="Palatino Linotype" w:eastAsia="Palatino Linotype" w:hAnsi="Palatino Linotype" w:cs="Palatino Linotype"/>
                <w:sz w:val="18"/>
                <w:szCs w:val="18"/>
              </w:rPr>
              <w:t>Se considera que no existe un nexo</w:t>
            </w:r>
            <w:r w:rsidRPr="00BA7457">
              <w:rPr>
                <w:rFonts w:ascii="Palatino Linotype" w:eastAsia="Palatino Linotype" w:hAnsi="Palatino Linotype" w:cs="Palatino Linotype"/>
                <w:b/>
                <w:sz w:val="18"/>
                <w:szCs w:val="18"/>
              </w:rPr>
              <w:t xml:space="preserve"> </w:t>
            </w:r>
            <w:r w:rsidRPr="00BA7457">
              <w:rPr>
                <w:rFonts w:ascii="Palatino Linotype" w:eastAsia="Palatino Linotype" w:hAnsi="Palatino Linotype" w:cs="Palatino Linotype"/>
                <w:sz w:val="18"/>
                <w:szCs w:val="18"/>
              </w:rPr>
              <w:t>entre el fundamento</w:t>
            </w:r>
            <w:r w:rsidRPr="00BA7457">
              <w:rPr>
                <w:rFonts w:ascii="Palatino Linotype" w:eastAsia="Palatino Linotype" w:hAnsi="Palatino Linotype" w:cs="Palatino Linotype"/>
                <w:b/>
                <w:sz w:val="18"/>
                <w:szCs w:val="18"/>
              </w:rPr>
              <w:t xml:space="preserve"> </w:t>
            </w:r>
            <w:r w:rsidRPr="00BA7457">
              <w:rPr>
                <w:rFonts w:ascii="Palatino Linotype" w:eastAsia="Palatino Linotype" w:hAnsi="Palatino Linotype" w:cs="Palatino Linotype"/>
                <w:sz w:val="18"/>
                <w:szCs w:val="18"/>
              </w:rPr>
              <w:t>legal y la motivación expuesta, toda vez que dentro de la argumentación no se está encuadrando el supuesto jurídico dentro del hecho que dé origen a la reserva.</w:t>
            </w:r>
          </w:p>
        </w:tc>
      </w:tr>
      <w:tr w:rsidR="00BA7457" w:rsidRPr="00BA7457">
        <w:tc>
          <w:tcPr>
            <w:tcW w:w="8828" w:type="dxa"/>
            <w:gridSpan w:val="3"/>
            <w:shd w:val="clear" w:color="auto" w:fill="DDD9C3"/>
          </w:tcPr>
          <w:p w:rsidR="00377CAA" w:rsidRPr="00BA7457" w:rsidRDefault="00E27F02">
            <w:pPr>
              <w:spacing w:before="100" w:after="200" w:line="276" w:lineRule="auto"/>
              <w:jc w:val="center"/>
              <w:rPr>
                <w:rFonts w:ascii="Palatino Linotype" w:eastAsia="Palatino Linotype" w:hAnsi="Palatino Linotype" w:cs="Palatino Linotype"/>
                <w:b/>
              </w:rPr>
            </w:pPr>
            <w:r w:rsidRPr="00BA7457">
              <w:rPr>
                <w:rFonts w:ascii="Palatino Linotype" w:eastAsia="Palatino Linotype" w:hAnsi="Palatino Linotype" w:cs="Palatino Linotype"/>
                <w:b/>
                <w:sz w:val="22"/>
                <w:szCs w:val="22"/>
              </w:rPr>
              <w:t>Elementos de la prueba de daño</w:t>
            </w:r>
          </w:p>
        </w:tc>
      </w:tr>
      <w:tr w:rsidR="00BA7457" w:rsidRPr="00BA7457">
        <w:tc>
          <w:tcPr>
            <w:tcW w:w="1314" w:type="dxa"/>
            <w:shd w:val="clear" w:color="auto" w:fill="auto"/>
          </w:tcPr>
          <w:p w:rsidR="00377CAA" w:rsidRPr="00BA7457" w:rsidRDefault="00E27F02">
            <w:pPr>
              <w:spacing w:after="120" w:line="259" w:lineRule="auto"/>
              <w:jc w:val="center"/>
              <w:rPr>
                <w:rFonts w:ascii="Palatino Linotype" w:eastAsia="Palatino Linotype" w:hAnsi="Palatino Linotype" w:cs="Palatino Linotype"/>
                <w:b/>
                <w:sz w:val="16"/>
                <w:szCs w:val="16"/>
              </w:rPr>
            </w:pPr>
            <w:r w:rsidRPr="00BA7457">
              <w:rPr>
                <w:rFonts w:ascii="Palatino Linotype" w:eastAsia="Palatino Linotype" w:hAnsi="Palatino Linotype" w:cs="Palatino Linotype"/>
                <w:b/>
                <w:sz w:val="16"/>
                <w:szCs w:val="16"/>
              </w:rPr>
              <w:t>Riesgo Real, Demostrable e Identificable</w:t>
            </w:r>
          </w:p>
          <w:p w:rsidR="00377CAA" w:rsidRPr="00BA7457" w:rsidRDefault="00E27F02">
            <w:pPr>
              <w:spacing w:before="100" w:after="200" w:line="276" w:lineRule="auto"/>
              <w:jc w:val="center"/>
              <w:rPr>
                <w:rFonts w:ascii="Palatino Linotype" w:eastAsia="Palatino Linotype" w:hAnsi="Palatino Linotype" w:cs="Palatino Linotype"/>
                <w:b/>
                <w:sz w:val="22"/>
                <w:szCs w:val="22"/>
              </w:rPr>
            </w:pPr>
            <w:r w:rsidRPr="00BA7457">
              <w:rPr>
                <w:rFonts w:ascii="Palatino Linotype" w:eastAsia="Palatino Linotype" w:hAnsi="Palatino Linotype" w:cs="Palatino Linotype"/>
                <w:b/>
                <w:sz w:val="16"/>
                <w:szCs w:val="16"/>
              </w:rPr>
              <w:t>(Modo, Tiempo y Lugar)</w:t>
            </w:r>
          </w:p>
        </w:tc>
        <w:tc>
          <w:tcPr>
            <w:tcW w:w="5968" w:type="dxa"/>
            <w:shd w:val="clear" w:color="auto" w:fill="auto"/>
          </w:tcPr>
          <w:p w:rsidR="00377CAA" w:rsidRPr="00BA7457" w:rsidRDefault="00E27F02">
            <w:pPr>
              <w:spacing w:before="100" w:after="200" w:line="276" w:lineRule="auto"/>
              <w:rPr>
                <w:rFonts w:ascii="Palatino Linotype" w:eastAsia="Palatino Linotype" w:hAnsi="Palatino Linotype" w:cs="Palatino Linotype"/>
                <w:b/>
                <w:sz w:val="22"/>
                <w:szCs w:val="22"/>
              </w:rPr>
            </w:pPr>
            <w:r w:rsidRPr="00BA7457">
              <w:rPr>
                <w:rFonts w:ascii="Palatino Linotype" w:eastAsia="Palatino Linotype" w:hAnsi="Palatino Linotype" w:cs="Palatino Linotype"/>
                <w:b/>
                <w:noProof/>
                <w:sz w:val="22"/>
                <w:szCs w:val="22"/>
                <w:lang w:val="es-MX"/>
              </w:rPr>
              <w:drawing>
                <wp:inline distT="0" distB="0" distL="0" distR="0">
                  <wp:extent cx="3537379" cy="956297"/>
                  <wp:effectExtent l="0" t="0" r="0" b="0"/>
                  <wp:docPr id="9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3537379" cy="956297"/>
                          </a:xfrm>
                          <a:prstGeom prst="rect">
                            <a:avLst/>
                          </a:prstGeom>
                          <a:ln/>
                        </pic:spPr>
                      </pic:pic>
                    </a:graphicData>
                  </a:graphic>
                </wp:inline>
              </w:drawing>
            </w:r>
          </w:p>
          <w:p w:rsidR="00377CAA" w:rsidRPr="00BA7457" w:rsidRDefault="00E27F02">
            <w:pPr>
              <w:spacing w:before="100" w:after="200" w:line="276" w:lineRule="auto"/>
              <w:rPr>
                <w:rFonts w:ascii="Palatino Linotype" w:eastAsia="Palatino Linotype" w:hAnsi="Palatino Linotype" w:cs="Palatino Linotype"/>
                <w:b/>
                <w:sz w:val="22"/>
                <w:szCs w:val="22"/>
              </w:rPr>
            </w:pPr>
            <w:r w:rsidRPr="00BA7457">
              <w:rPr>
                <w:rFonts w:ascii="Palatino Linotype" w:eastAsia="Palatino Linotype" w:hAnsi="Palatino Linotype" w:cs="Palatino Linotype"/>
                <w:b/>
                <w:noProof/>
                <w:sz w:val="22"/>
                <w:szCs w:val="22"/>
                <w:lang w:val="es-MX"/>
              </w:rPr>
              <w:lastRenderedPageBreak/>
              <w:drawing>
                <wp:inline distT="0" distB="0" distL="0" distR="0">
                  <wp:extent cx="3652520" cy="2601595"/>
                  <wp:effectExtent l="0" t="0" r="0" b="0"/>
                  <wp:docPr id="9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3652520" cy="2601595"/>
                          </a:xfrm>
                          <a:prstGeom prst="rect">
                            <a:avLst/>
                          </a:prstGeom>
                          <a:ln/>
                        </pic:spPr>
                      </pic:pic>
                    </a:graphicData>
                  </a:graphic>
                </wp:inline>
              </w:drawing>
            </w:r>
          </w:p>
        </w:tc>
        <w:tc>
          <w:tcPr>
            <w:tcW w:w="1546" w:type="dxa"/>
            <w:shd w:val="clear" w:color="auto" w:fill="auto"/>
          </w:tcPr>
          <w:p w:rsidR="00377CAA" w:rsidRPr="00BA7457" w:rsidRDefault="00E27F02">
            <w:pPr>
              <w:spacing w:before="100" w:after="200" w:line="276" w:lineRule="auto"/>
              <w:jc w:val="center"/>
              <w:rPr>
                <w:rFonts w:ascii="Palatino Linotype" w:eastAsia="Palatino Linotype" w:hAnsi="Palatino Linotype" w:cs="Palatino Linotype"/>
                <w:b/>
                <w:sz w:val="22"/>
                <w:szCs w:val="22"/>
              </w:rPr>
            </w:pPr>
            <w:r w:rsidRPr="00BA7457">
              <w:rPr>
                <w:rFonts w:ascii="Palatino Linotype" w:eastAsia="Palatino Linotype" w:hAnsi="Palatino Linotype" w:cs="Palatino Linotype"/>
                <w:b/>
                <w:sz w:val="22"/>
                <w:szCs w:val="22"/>
              </w:rPr>
              <w:lastRenderedPageBreak/>
              <w:t>No</w:t>
            </w:r>
          </w:p>
        </w:tc>
      </w:tr>
      <w:tr w:rsidR="00BA7457" w:rsidRPr="00BA7457">
        <w:tc>
          <w:tcPr>
            <w:tcW w:w="1314" w:type="dxa"/>
            <w:shd w:val="clear" w:color="auto" w:fill="auto"/>
          </w:tcPr>
          <w:p w:rsidR="00377CAA" w:rsidRPr="00BA7457" w:rsidRDefault="00E27F02">
            <w:pPr>
              <w:spacing w:before="100" w:after="200" w:line="276" w:lineRule="auto"/>
              <w:jc w:val="center"/>
              <w:rPr>
                <w:rFonts w:ascii="Palatino Linotype" w:eastAsia="Palatino Linotype" w:hAnsi="Palatino Linotype" w:cs="Palatino Linotype"/>
                <w:b/>
                <w:sz w:val="22"/>
                <w:szCs w:val="22"/>
              </w:rPr>
            </w:pPr>
            <w:r w:rsidRPr="00BA7457">
              <w:rPr>
                <w:rFonts w:ascii="Palatino Linotype" w:eastAsia="Palatino Linotype" w:hAnsi="Palatino Linotype" w:cs="Palatino Linotype"/>
                <w:b/>
                <w:sz w:val="16"/>
                <w:szCs w:val="16"/>
              </w:rPr>
              <w:lastRenderedPageBreak/>
              <w:t>Temporalidad de la Reserva de la información</w:t>
            </w:r>
          </w:p>
        </w:tc>
        <w:tc>
          <w:tcPr>
            <w:tcW w:w="5968" w:type="dxa"/>
            <w:shd w:val="clear" w:color="auto" w:fill="auto"/>
          </w:tcPr>
          <w:p w:rsidR="00377CAA" w:rsidRPr="00BA7457" w:rsidRDefault="00E27F02">
            <w:pPr>
              <w:spacing w:before="100" w:after="200" w:line="276" w:lineRule="auto"/>
              <w:jc w:val="center"/>
              <w:rPr>
                <w:rFonts w:ascii="Palatino Linotype" w:eastAsia="Palatino Linotype" w:hAnsi="Palatino Linotype" w:cs="Palatino Linotype"/>
                <w:b/>
                <w:sz w:val="22"/>
                <w:szCs w:val="22"/>
              </w:rPr>
            </w:pPr>
            <w:r w:rsidRPr="00BA7457">
              <w:rPr>
                <w:rFonts w:ascii="Palatino Linotype" w:eastAsia="Palatino Linotype" w:hAnsi="Palatino Linotype" w:cs="Palatino Linotype"/>
                <w:b/>
                <w:noProof/>
                <w:sz w:val="22"/>
                <w:szCs w:val="22"/>
                <w:lang w:val="es-MX"/>
              </w:rPr>
              <w:drawing>
                <wp:inline distT="0" distB="0" distL="0" distR="0">
                  <wp:extent cx="3652520" cy="556895"/>
                  <wp:effectExtent l="0" t="0" r="0" b="0"/>
                  <wp:docPr id="10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3652520" cy="556895"/>
                          </a:xfrm>
                          <a:prstGeom prst="rect">
                            <a:avLst/>
                          </a:prstGeom>
                          <a:ln/>
                        </pic:spPr>
                      </pic:pic>
                    </a:graphicData>
                  </a:graphic>
                </wp:inline>
              </w:drawing>
            </w:r>
          </w:p>
        </w:tc>
        <w:tc>
          <w:tcPr>
            <w:tcW w:w="1546" w:type="dxa"/>
            <w:shd w:val="clear" w:color="auto" w:fill="auto"/>
          </w:tcPr>
          <w:p w:rsidR="00377CAA" w:rsidRPr="00BA7457" w:rsidRDefault="00E27F02">
            <w:pPr>
              <w:spacing w:before="100" w:after="200" w:line="276" w:lineRule="auto"/>
              <w:jc w:val="center"/>
              <w:rPr>
                <w:rFonts w:ascii="Palatino Linotype" w:eastAsia="Palatino Linotype" w:hAnsi="Palatino Linotype" w:cs="Palatino Linotype"/>
                <w:b/>
                <w:sz w:val="22"/>
                <w:szCs w:val="22"/>
              </w:rPr>
            </w:pPr>
            <w:r w:rsidRPr="00BA7457">
              <w:rPr>
                <w:rFonts w:ascii="Palatino Linotype" w:eastAsia="Palatino Linotype" w:hAnsi="Palatino Linotype" w:cs="Palatino Linotype"/>
                <w:b/>
              </w:rPr>
              <w:t>Sí</w:t>
            </w:r>
          </w:p>
        </w:tc>
      </w:tr>
      <w:tr w:rsidR="00377CAA" w:rsidRPr="00BA7457">
        <w:tc>
          <w:tcPr>
            <w:tcW w:w="1314" w:type="dxa"/>
            <w:shd w:val="clear" w:color="auto" w:fill="auto"/>
          </w:tcPr>
          <w:p w:rsidR="00377CAA" w:rsidRPr="00BA7457" w:rsidRDefault="00E27F02">
            <w:pPr>
              <w:spacing w:before="100" w:after="200" w:line="276" w:lineRule="auto"/>
              <w:jc w:val="center"/>
              <w:rPr>
                <w:rFonts w:ascii="Palatino Linotype" w:eastAsia="Palatino Linotype" w:hAnsi="Palatino Linotype" w:cs="Palatino Linotype"/>
                <w:b/>
                <w:sz w:val="22"/>
                <w:szCs w:val="22"/>
              </w:rPr>
            </w:pPr>
            <w:r w:rsidRPr="00BA7457">
              <w:rPr>
                <w:rFonts w:ascii="Palatino Linotype" w:eastAsia="Palatino Linotype" w:hAnsi="Palatino Linotype" w:cs="Palatino Linotype"/>
                <w:b/>
                <w:sz w:val="16"/>
                <w:szCs w:val="16"/>
              </w:rPr>
              <w:t>Autoridades competentes.</w:t>
            </w:r>
          </w:p>
        </w:tc>
        <w:tc>
          <w:tcPr>
            <w:tcW w:w="5968" w:type="dxa"/>
            <w:shd w:val="clear" w:color="auto" w:fill="auto"/>
          </w:tcPr>
          <w:p w:rsidR="00377CAA" w:rsidRPr="00BA7457" w:rsidRDefault="00E27F02">
            <w:pPr>
              <w:spacing w:before="100" w:after="200" w:line="276" w:lineRule="auto"/>
              <w:jc w:val="center"/>
              <w:rPr>
                <w:rFonts w:ascii="Cambria" w:eastAsia="Cambria" w:hAnsi="Cambria" w:cs="Cambria"/>
              </w:rPr>
            </w:pPr>
            <w:r w:rsidRPr="00BA7457">
              <w:rPr>
                <w:rFonts w:ascii="Cambria" w:eastAsia="Cambria" w:hAnsi="Cambria" w:cs="Cambria"/>
                <w:noProof/>
                <w:lang w:val="es-MX"/>
              </w:rPr>
              <w:drawing>
                <wp:inline distT="0" distB="0" distL="0" distR="0">
                  <wp:extent cx="2844269" cy="3463857"/>
                  <wp:effectExtent l="0" t="0" r="0" b="0"/>
                  <wp:docPr id="10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2844269" cy="3463857"/>
                          </a:xfrm>
                          <a:prstGeom prst="rect">
                            <a:avLst/>
                          </a:prstGeom>
                          <a:ln/>
                        </pic:spPr>
                      </pic:pic>
                    </a:graphicData>
                  </a:graphic>
                </wp:inline>
              </w:drawing>
            </w:r>
          </w:p>
          <w:p w:rsidR="00377CAA" w:rsidRPr="00BA7457" w:rsidRDefault="00E27F02">
            <w:pPr>
              <w:spacing w:before="100" w:after="200" w:line="276" w:lineRule="auto"/>
              <w:jc w:val="center"/>
              <w:rPr>
                <w:rFonts w:ascii="Palatino Linotype" w:eastAsia="Palatino Linotype" w:hAnsi="Palatino Linotype" w:cs="Palatino Linotype"/>
                <w:b/>
                <w:sz w:val="22"/>
                <w:szCs w:val="22"/>
              </w:rPr>
            </w:pPr>
            <w:r w:rsidRPr="00BA7457">
              <w:rPr>
                <w:rFonts w:ascii="Palatino Linotype" w:eastAsia="Palatino Linotype" w:hAnsi="Palatino Linotype" w:cs="Palatino Linotype"/>
                <w:b/>
                <w:noProof/>
                <w:sz w:val="22"/>
                <w:szCs w:val="22"/>
                <w:lang w:val="es-MX"/>
              </w:rPr>
              <w:lastRenderedPageBreak/>
              <w:drawing>
                <wp:inline distT="0" distB="0" distL="0" distR="0">
                  <wp:extent cx="3002458" cy="2521711"/>
                  <wp:effectExtent l="0" t="0" r="0" b="0"/>
                  <wp:docPr id="10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3002458" cy="2521711"/>
                          </a:xfrm>
                          <a:prstGeom prst="rect">
                            <a:avLst/>
                          </a:prstGeom>
                          <a:ln/>
                        </pic:spPr>
                      </pic:pic>
                    </a:graphicData>
                  </a:graphic>
                </wp:inline>
              </w:drawing>
            </w:r>
          </w:p>
        </w:tc>
        <w:tc>
          <w:tcPr>
            <w:tcW w:w="1546" w:type="dxa"/>
            <w:shd w:val="clear" w:color="auto" w:fill="auto"/>
          </w:tcPr>
          <w:p w:rsidR="00377CAA" w:rsidRPr="00BA7457" w:rsidRDefault="00E27F02">
            <w:pPr>
              <w:spacing w:before="100" w:after="200" w:line="276" w:lineRule="auto"/>
              <w:jc w:val="center"/>
              <w:rPr>
                <w:rFonts w:ascii="Palatino Linotype" w:eastAsia="Palatino Linotype" w:hAnsi="Palatino Linotype" w:cs="Palatino Linotype"/>
                <w:b/>
                <w:sz w:val="22"/>
                <w:szCs w:val="22"/>
              </w:rPr>
            </w:pPr>
            <w:r w:rsidRPr="00BA7457">
              <w:rPr>
                <w:rFonts w:ascii="Palatino Linotype" w:eastAsia="Palatino Linotype" w:hAnsi="Palatino Linotype" w:cs="Palatino Linotype"/>
                <w:b/>
                <w:sz w:val="22"/>
                <w:szCs w:val="22"/>
              </w:rPr>
              <w:lastRenderedPageBreak/>
              <w:t>Sí</w:t>
            </w:r>
          </w:p>
        </w:tc>
      </w:tr>
    </w:tbl>
    <w:p w:rsidR="00377CAA" w:rsidRPr="00BA7457" w:rsidRDefault="00377CAA">
      <w:pPr>
        <w:spacing w:before="100" w:after="200" w:line="276" w:lineRule="auto"/>
        <w:rPr>
          <w:rFonts w:ascii="Calibri" w:eastAsia="Calibri" w:hAnsi="Calibri" w:cs="Calibri"/>
          <w:sz w:val="20"/>
          <w:szCs w:val="20"/>
        </w:rPr>
      </w:pPr>
    </w:p>
    <w:p w:rsidR="00377CAA" w:rsidRPr="00BA7457" w:rsidRDefault="00E27F02">
      <w:pPr>
        <w:spacing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rPr>
        <w:t xml:space="preserve">Como se analizó anteriormente, el acuerdo de reserva carece de cinco elementos a saber: </w:t>
      </w:r>
    </w:p>
    <w:p w:rsidR="00377CAA" w:rsidRPr="00BA7457" w:rsidRDefault="00E27F02">
      <w:pPr>
        <w:numPr>
          <w:ilvl w:val="0"/>
          <w:numId w:val="2"/>
        </w:numPr>
        <w:pBdr>
          <w:top w:val="nil"/>
          <w:left w:val="nil"/>
          <w:bottom w:val="nil"/>
          <w:right w:val="nil"/>
          <w:between w:val="nil"/>
        </w:pBdr>
        <w:spacing w:after="160" w:line="276" w:lineRule="auto"/>
        <w:ind w:right="900"/>
        <w:jc w:val="both"/>
        <w:rPr>
          <w:rFonts w:ascii="Palatino Linotype" w:eastAsia="Palatino Linotype" w:hAnsi="Palatino Linotype" w:cs="Palatino Linotype"/>
          <w:b/>
          <w:sz w:val="22"/>
          <w:szCs w:val="22"/>
        </w:rPr>
      </w:pPr>
      <w:r w:rsidRPr="00BA7457">
        <w:rPr>
          <w:rFonts w:ascii="Palatino Linotype" w:eastAsia="Palatino Linotype" w:hAnsi="Palatino Linotype" w:cs="Palatino Linotype"/>
          <w:b/>
          <w:sz w:val="22"/>
          <w:szCs w:val="22"/>
        </w:rPr>
        <w:t>La causal aplicable del artículo 113 de la Ley General y el Lineamiento que expresamente le otorguen el carácter de información reservada, no son aplicables.</w:t>
      </w:r>
    </w:p>
    <w:p w:rsidR="00377CAA" w:rsidRPr="00BA7457" w:rsidRDefault="00E27F02">
      <w:pPr>
        <w:numPr>
          <w:ilvl w:val="0"/>
          <w:numId w:val="2"/>
        </w:numPr>
        <w:spacing w:after="160" w:line="276" w:lineRule="auto"/>
        <w:rPr>
          <w:rFonts w:ascii="Palatino Linotype" w:eastAsia="Palatino Linotype" w:hAnsi="Palatino Linotype" w:cs="Palatino Linotype"/>
          <w:b/>
          <w:sz w:val="22"/>
          <w:szCs w:val="22"/>
        </w:rPr>
      </w:pPr>
      <w:r w:rsidRPr="00BA7457">
        <w:rPr>
          <w:rFonts w:ascii="Palatino Linotype" w:eastAsia="Palatino Linotype" w:hAnsi="Palatino Linotype" w:cs="Palatino Linotype"/>
          <w:b/>
          <w:sz w:val="22"/>
          <w:szCs w:val="22"/>
        </w:rPr>
        <w:t>No cuenta con fundamento y Motivación Legal</w:t>
      </w:r>
    </w:p>
    <w:p w:rsidR="00377CAA" w:rsidRPr="00BA7457" w:rsidRDefault="00E27F02">
      <w:pPr>
        <w:numPr>
          <w:ilvl w:val="0"/>
          <w:numId w:val="2"/>
        </w:numPr>
        <w:pBdr>
          <w:top w:val="nil"/>
          <w:left w:val="nil"/>
          <w:bottom w:val="nil"/>
          <w:right w:val="nil"/>
          <w:between w:val="nil"/>
        </w:pBdr>
        <w:spacing w:after="160" w:line="360" w:lineRule="auto"/>
        <w:jc w:val="both"/>
        <w:rPr>
          <w:rFonts w:ascii="Palatino Linotype" w:eastAsia="Palatino Linotype" w:hAnsi="Palatino Linotype" w:cs="Palatino Linotype"/>
          <w:b/>
          <w:sz w:val="22"/>
          <w:szCs w:val="22"/>
        </w:rPr>
      </w:pPr>
      <w:r w:rsidRPr="00BA7457">
        <w:rPr>
          <w:rFonts w:ascii="Palatino Linotype" w:eastAsia="Palatino Linotype" w:hAnsi="Palatino Linotype" w:cs="Palatino Linotype"/>
          <w:b/>
          <w:sz w:val="22"/>
          <w:szCs w:val="22"/>
        </w:rPr>
        <w:t>No hay prueba de daño</w:t>
      </w:r>
    </w:p>
    <w:p w:rsidR="00377CAA" w:rsidRPr="00BA7457" w:rsidRDefault="00E27F02">
      <w:pPr>
        <w:spacing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rPr>
        <w:t xml:space="preserve">Del análisis al acuerdo, no se estima que en el asunto que nos ocupa se actualicen las fracciones VI, X y XI, del artículo 113 de la Ley General de Transparencia y Acceso a la Información Pública, puesto que como se señaló anteriormente, la fracción VI se encuentra estrechamente vinculada con las actividades de verificación, inspección y auditoría relativas al cumplimiento de las leyes o afecte la recaudación de contribuciones, asimismo la fracción X comprende la reserva por afectar los derechos del debido proceso, mientras que la fracción XI señala que es procedente </w:t>
      </w:r>
      <w:r w:rsidRPr="00BA7457">
        <w:rPr>
          <w:rFonts w:ascii="Palatino Linotype" w:eastAsia="Palatino Linotype" w:hAnsi="Palatino Linotype" w:cs="Palatino Linotype"/>
        </w:rPr>
        <w:lastRenderedPageBreak/>
        <w:t xml:space="preserve">la reserva cuando se vulnere la conducción de los expedientes judiciales o de los procedimientos administrativos seguidos en forma de juicio, en tanto no hayan causado estado, lo cual no se actualiza en el presente asunto, toda vez que como se analizará en líneas posteriores, la documentación que </w:t>
      </w:r>
      <w:r w:rsidRPr="00BA7457">
        <w:rPr>
          <w:rFonts w:ascii="Palatino Linotype" w:eastAsia="Palatino Linotype" w:hAnsi="Palatino Linotype" w:cs="Palatino Linotype"/>
          <w:b/>
        </w:rPr>
        <w:t>la parte Recurrente</w:t>
      </w:r>
      <w:r w:rsidRPr="00BA7457">
        <w:rPr>
          <w:rFonts w:ascii="Palatino Linotype" w:eastAsia="Palatino Linotype" w:hAnsi="Palatino Linotype" w:cs="Palatino Linotype"/>
        </w:rPr>
        <w:t xml:space="preserve"> requiere es aquella con la que se acredita la propiedad de los bienes inmuebles referidos, no así lo referente al procedimiento que se pudiera estar substanciando, por lo cual se colige que la documental requerida es independiente del procedimiento de la escrituración. </w:t>
      </w:r>
    </w:p>
    <w:p w:rsidR="00377CAA" w:rsidRPr="00BA7457" w:rsidRDefault="00377CAA">
      <w:pPr>
        <w:spacing w:line="360" w:lineRule="auto"/>
        <w:jc w:val="both"/>
        <w:rPr>
          <w:rFonts w:ascii="Palatino Linotype" w:eastAsia="Palatino Linotype" w:hAnsi="Palatino Linotype" w:cs="Palatino Linotype"/>
        </w:rPr>
      </w:pPr>
    </w:p>
    <w:p w:rsidR="00377CAA" w:rsidRPr="00BA7457" w:rsidRDefault="00E27F02">
      <w:pPr>
        <w:spacing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rPr>
        <w:t xml:space="preserve">Correlativo a ello, debe tenerse en cuenta que por cuanto hace a los Lineamientos Generales en Materia de Clasificación y Desclasificación de la Información, así como para la Elaboración de Versiones Públicas, el </w:t>
      </w:r>
      <w:r w:rsidRPr="00BA7457">
        <w:rPr>
          <w:rFonts w:ascii="Palatino Linotype" w:eastAsia="Palatino Linotype" w:hAnsi="Palatino Linotype" w:cs="Palatino Linotype"/>
          <w:b/>
        </w:rPr>
        <w:t>Sujeto Obligado</w:t>
      </w:r>
      <w:r w:rsidRPr="00BA7457">
        <w:rPr>
          <w:rFonts w:ascii="Palatino Linotype" w:eastAsia="Palatino Linotype" w:hAnsi="Palatino Linotype" w:cs="Palatino Linotype"/>
        </w:rPr>
        <w:t xml:space="preserve"> invocó los lineamientos vigésimo cuarto y vigésimo noveno, fracción I los cuales refieren la procedencia de la reserva para los casos en los que se actualicen los siguientes supuestos: </w:t>
      </w:r>
    </w:p>
    <w:p w:rsidR="00377CAA" w:rsidRPr="00BA7457" w:rsidRDefault="00E27F02">
      <w:pPr>
        <w:spacing w:line="276" w:lineRule="auto"/>
        <w:ind w:left="567" w:right="900"/>
        <w:jc w:val="both"/>
        <w:rPr>
          <w:rFonts w:ascii="Palatino Linotype" w:eastAsia="Palatino Linotype" w:hAnsi="Palatino Linotype" w:cs="Palatino Linotype"/>
          <w:b/>
          <w:i/>
          <w:sz w:val="22"/>
          <w:szCs w:val="22"/>
        </w:rPr>
      </w:pPr>
      <w:r w:rsidRPr="00BA7457">
        <w:rPr>
          <w:rFonts w:ascii="Palatino Linotype" w:eastAsia="Palatino Linotype" w:hAnsi="Palatino Linotype" w:cs="Palatino Linotype"/>
          <w:i/>
          <w:sz w:val="22"/>
          <w:szCs w:val="22"/>
        </w:rPr>
        <w:t>“</w:t>
      </w:r>
      <w:r w:rsidRPr="00BA7457">
        <w:rPr>
          <w:rFonts w:ascii="Palatino Linotype" w:eastAsia="Palatino Linotype" w:hAnsi="Palatino Linotype" w:cs="Palatino Linotype"/>
          <w:b/>
          <w:i/>
          <w:sz w:val="22"/>
          <w:szCs w:val="22"/>
        </w:rPr>
        <w:t>Vigésimo cuarto. De conformidad con el artículo 113, fracción VI de la Ley General, podrá considerarse como reservada, aquella información que obstruya las actividades de verificación, inspección y auditoría relativas al cumplimiento de las leyes, cuando se actualicen los siguientes elementos:</w:t>
      </w:r>
    </w:p>
    <w:p w:rsidR="00377CAA" w:rsidRPr="00BA7457" w:rsidRDefault="00E27F02">
      <w:pPr>
        <w:spacing w:line="276" w:lineRule="auto"/>
        <w:ind w:left="567" w:right="900"/>
        <w:jc w:val="both"/>
        <w:rPr>
          <w:rFonts w:ascii="Palatino Linotype" w:eastAsia="Palatino Linotype" w:hAnsi="Palatino Linotype" w:cs="Palatino Linotype"/>
          <w:b/>
          <w:i/>
          <w:sz w:val="22"/>
          <w:szCs w:val="22"/>
        </w:rPr>
      </w:pPr>
      <w:r w:rsidRPr="00BA7457">
        <w:rPr>
          <w:rFonts w:ascii="Palatino Linotype" w:eastAsia="Palatino Linotype" w:hAnsi="Palatino Linotype" w:cs="Palatino Linotype"/>
          <w:b/>
          <w:i/>
          <w:sz w:val="22"/>
          <w:szCs w:val="22"/>
        </w:rPr>
        <w:t>I. La existencia de un procedimiento de verificación del cumplimiento de las leyes;</w:t>
      </w:r>
    </w:p>
    <w:p w:rsidR="00377CAA" w:rsidRPr="00BA7457" w:rsidRDefault="00E27F02">
      <w:pPr>
        <w:spacing w:line="276" w:lineRule="auto"/>
        <w:ind w:left="567" w:right="900"/>
        <w:jc w:val="both"/>
        <w:rPr>
          <w:rFonts w:ascii="Palatino Linotype" w:eastAsia="Palatino Linotype" w:hAnsi="Palatino Linotype" w:cs="Palatino Linotype"/>
          <w:b/>
          <w:i/>
          <w:sz w:val="22"/>
          <w:szCs w:val="22"/>
        </w:rPr>
      </w:pPr>
      <w:r w:rsidRPr="00BA7457">
        <w:rPr>
          <w:rFonts w:ascii="Palatino Linotype" w:eastAsia="Palatino Linotype" w:hAnsi="Palatino Linotype" w:cs="Palatino Linotype"/>
          <w:b/>
          <w:i/>
          <w:sz w:val="22"/>
          <w:szCs w:val="22"/>
        </w:rPr>
        <w:t>II. Que el procedimiento se encuentre en trámite;</w:t>
      </w:r>
    </w:p>
    <w:p w:rsidR="00377CAA" w:rsidRPr="00BA7457" w:rsidRDefault="00E27F02">
      <w:pPr>
        <w:spacing w:line="276" w:lineRule="auto"/>
        <w:ind w:left="567" w:right="900"/>
        <w:jc w:val="both"/>
        <w:rPr>
          <w:rFonts w:ascii="Palatino Linotype" w:eastAsia="Palatino Linotype" w:hAnsi="Palatino Linotype" w:cs="Palatino Linotype"/>
          <w:b/>
          <w:i/>
          <w:sz w:val="22"/>
          <w:szCs w:val="22"/>
        </w:rPr>
      </w:pPr>
      <w:r w:rsidRPr="00BA7457">
        <w:rPr>
          <w:rFonts w:ascii="Palatino Linotype" w:eastAsia="Palatino Linotype" w:hAnsi="Palatino Linotype" w:cs="Palatino Linotype"/>
          <w:b/>
          <w:i/>
          <w:sz w:val="22"/>
          <w:szCs w:val="22"/>
        </w:rPr>
        <w:t>III. La vinculación directa con las actividades que realiza la autoridad en el procedimiento de verificación del cumplimiento de las leyes, y</w:t>
      </w:r>
    </w:p>
    <w:p w:rsidR="00377CAA" w:rsidRPr="00BA7457" w:rsidRDefault="00E27F02">
      <w:pPr>
        <w:spacing w:line="276" w:lineRule="auto"/>
        <w:ind w:left="567" w:right="900"/>
        <w:jc w:val="both"/>
        <w:rPr>
          <w:rFonts w:ascii="Palatino Linotype" w:eastAsia="Palatino Linotype" w:hAnsi="Palatino Linotype" w:cs="Palatino Linotype"/>
          <w:b/>
          <w:i/>
          <w:sz w:val="22"/>
          <w:szCs w:val="22"/>
        </w:rPr>
      </w:pPr>
      <w:r w:rsidRPr="00BA7457">
        <w:rPr>
          <w:rFonts w:ascii="Palatino Linotype" w:eastAsia="Palatino Linotype" w:hAnsi="Palatino Linotype" w:cs="Palatino Linotype"/>
          <w:b/>
          <w:i/>
          <w:sz w:val="22"/>
          <w:szCs w:val="22"/>
        </w:rPr>
        <w:t>IV. Que la difusión de la información impida u obstaculice las actividades de inspección, supervisión o vigilancia que realicen las autoridades en el procedimiento de verificación del cumplimiento de las leyes</w:t>
      </w:r>
    </w:p>
    <w:p w:rsidR="00377CAA" w:rsidRPr="00BA7457" w:rsidRDefault="00E27F02">
      <w:pPr>
        <w:spacing w:line="276" w:lineRule="auto"/>
        <w:ind w:left="567" w:right="900"/>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w:t>
      </w:r>
    </w:p>
    <w:p w:rsidR="00377CAA" w:rsidRPr="00BA7457" w:rsidRDefault="00E27F02">
      <w:pPr>
        <w:spacing w:line="276" w:lineRule="auto"/>
        <w:ind w:left="567" w:right="900"/>
        <w:jc w:val="both"/>
        <w:rPr>
          <w:rFonts w:ascii="Palatino Linotype" w:eastAsia="Palatino Linotype" w:hAnsi="Palatino Linotype" w:cs="Palatino Linotype"/>
          <w:b/>
          <w:i/>
          <w:sz w:val="22"/>
          <w:szCs w:val="22"/>
        </w:rPr>
      </w:pPr>
      <w:r w:rsidRPr="00BA7457">
        <w:rPr>
          <w:rFonts w:ascii="Palatino Linotype" w:eastAsia="Palatino Linotype" w:hAnsi="Palatino Linotype" w:cs="Palatino Linotype"/>
          <w:b/>
          <w:i/>
          <w:sz w:val="22"/>
          <w:szCs w:val="22"/>
        </w:rPr>
        <w:lastRenderedPageBreak/>
        <w:t>Vigésimo noveno. De conformidad con el artículo 113, fracción X de la Ley General, podrá considerarse como información reservada, aquella que de divulgarse afecte el debido proceso al actualizarse los siguientes elementos:</w:t>
      </w:r>
    </w:p>
    <w:p w:rsidR="00377CAA" w:rsidRPr="00BA7457" w:rsidRDefault="00E27F02">
      <w:pPr>
        <w:spacing w:line="276" w:lineRule="auto"/>
        <w:ind w:left="567" w:right="900"/>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b/>
          <w:i/>
          <w:sz w:val="22"/>
          <w:szCs w:val="22"/>
        </w:rPr>
        <w:t xml:space="preserve">I. La existencia de un procedimiento judicial, administrativo o arbitral en trámite;” </w:t>
      </w:r>
      <w:r w:rsidRPr="00BA7457">
        <w:rPr>
          <w:rFonts w:ascii="Palatino Linotype" w:eastAsia="Palatino Linotype" w:hAnsi="Palatino Linotype" w:cs="Palatino Linotype"/>
          <w:i/>
          <w:sz w:val="22"/>
          <w:szCs w:val="22"/>
        </w:rPr>
        <w:t>(Énfasis añadido)</w:t>
      </w:r>
    </w:p>
    <w:p w:rsidR="00377CAA" w:rsidRPr="00BA7457" w:rsidRDefault="00377CAA">
      <w:pPr>
        <w:spacing w:line="276" w:lineRule="auto"/>
        <w:ind w:right="900"/>
        <w:jc w:val="both"/>
        <w:rPr>
          <w:rFonts w:ascii="Palatino Linotype" w:eastAsia="Palatino Linotype" w:hAnsi="Palatino Linotype" w:cs="Palatino Linotype"/>
        </w:rPr>
      </w:pPr>
    </w:p>
    <w:p w:rsidR="00377CAA" w:rsidRPr="00BA7457" w:rsidRDefault="00E27F02">
      <w:pPr>
        <w:spacing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rPr>
        <w:t>No escapa de la óptica de este Organismo Garante que en el punto referente a la fundamentación y motivación legal no se desarrolló de manera correcta y los argumentos planteados, ni siquiera son operantes en torno a la información solicitada.</w:t>
      </w:r>
    </w:p>
    <w:p w:rsidR="00377CAA" w:rsidRPr="00BA7457" w:rsidRDefault="00377CAA">
      <w:pPr>
        <w:tabs>
          <w:tab w:val="left" w:pos="8222"/>
        </w:tabs>
        <w:spacing w:line="360" w:lineRule="auto"/>
        <w:ind w:right="-28"/>
        <w:jc w:val="both"/>
        <w:rPr>
          <w:rFonts w:ascii="Palatino Linotype" w:eastAsia="Palatino Linotype" w:hAnsi="Palatino Linotype" w:cs="Palatino Linotype"/>
        </w:rPr>
      </w:pPr>
    </w:p>
    <w:p w:rsidR="00377CAA" w:rsidRPr="00BA7457" w:rsidRDefault="00E27F02">
      <w:pPr>
        <w:tabs>
          <w:tab w:val="left" w:pos="8222"/>
        </w:tabs>
        <w:spacing w:line="360" w:lineRule="auto"/>
        <w:ind w:right="-28"/>
        <w:jc w:val="both"/>
        <w:rPr>
          <w:rFonts w:ascii="Palatino Linotype" w:eastAsia="Palatino Linotype" w:hAnsi="Palatino Linotype" w:cs="Palatino Linotype"/>
        </w:rPr>
      </w:pPr>
      <w:bookmarkStart w:id="7" w:name="_heading=h.3dy6vkm" w:colFirst="0" w:colLast="0"/>
      <w:bookmarkEnd w:id="7"/>
      <w:r w:rsidRPr="00BA7457">
        <w:rPr>
          <w:rFonts w:ascii="Palatino Linotype" w:eastAsia="Palatino Linotype" w:hAnsi="Palatino Linotype" w:cs="Palatino Linotype"/>
        </w:rPr>
        <w:t xml:space="preserve">Aunado a lo anterior, es de precisar que los documentos que solicitó el Particular se relacionan en estricto sentido con los documentos mediante los cuales el </w:t>
      </w:r>
      <w:r w:rsidRPr="00BA7457">
        <w:rPr>
          <w:rFonts w:ascii="Palatino Linotype" w:eastAsia="Palatino Linotype" w:hAnsi="Palatino Linotype" w:cs="Palatino Linotype"/>
          <w:b/>
        </w:rPr>
        <w:t>Sujeto Obligado</w:t>
      </w:r>
      <w:r w:rsidRPr="00BA7457">
        <w:rPr>
          <w:rFonts w:ascii="Palatino Linotype" w:eastAsia="Palatino Linotype" w:hAnsi="Palatino Linotype" w:cs="Palatino Linotype"/>
        </w:rPr>
        <w:t xml:space="preserve"> acredita la propiedad del inmueble, así como los planos manzaneros o catastrales. </w:t>
      </w:r>
    </w:p>
    <w:p w:rsidR="00377CAA" w:rsidRPr="00BA7457" w:rsidRDefault="00377CAA">
      <w:pPr>
        <w:tabs>
          <w:tab w:val="left" w:pos="8222"/>
        </w:tabs>
        <w:spacing w:line="360" w:lineRule="auto"/>
        <w:ind w:right="-28"/>
        <w:jc w:val="both"/>
        <w:rPr>
          <w:rFonts w:ascii="Palatino Linotype" w:eastAsia="Palatino Linotype" w:hAnsi="Palatino Linotype" w:cs="Palatino Linotype"/>
        </w:rPr>
      </w:pPr>
    </w:p>
    <w:p w:rsidR="00377CAA" w:rsidRPr="00BA7457" w:rsidRDefault="00E27F02">
      <w:pPr>
        <w:tabs>
          <w:tab w:val="left" w:pos="8222"/>
        </w:tabs>
        <w:spacing w:line="360" w:lineRule="auto"/>
        <w:ind w:right="-28"/>
        <w:jc w:val="both"/>
        <w:rPr>
          <w:rFonts w:ascii="Palatino Linotype" w:eastAsia="Palatino Linotype" w:hAnsi="Palatino Linotype" w:cs="Palatino Linotype"/>
        </w:rPr>
      </w:pPr>
      <w:r w:rsidRPr="00BA7457">
        <w:rPr>
          <w:rFonts w:ascii="Palatino Linotype" w:eastAsia="Palatino Linotype" w:hAnsi="Palatino Linotype" w:cs="Palatino Linotype"/>
        </w:rPr>
        <w:t xml:space="preserve">Bajo otro orden de ideas, resulta importante resaltar el hecho de que la Cédula de Registro del Trámite o Servicio del Gobierno del Estado de México contempla el procedimiento </w:t>
      </w:r>
      <w:r w:rsidRPr="00BA7457">
        <w:rPr>
          <w:rFonts w:ascii="Palatino Linotype" w:eastAsia="Palatino Linotype" w:hAnsi="Palatino Linotype" w:cs="Palatino Linotype"/>
          <w:b/>
          <w:i/>
        </w:rPr>
        <w:t xml:space="preserve">Regularización de Predios Vía Escrituración Notarial, </w:t>
      </w:r>
      <w:r w:rsidRPr="00BA7457">
        <w:rPr>
          <w:rFonts w:ascii="Palatino Linotype" w:eastAsia="Palatino Linotype" w:hAnsi="Palatino Linotype" w:cs="Palatino Linotype"/>
        </w:rPr>
        <w:t xml:space="preserve">el cual se conceptualiza como el procedimiento que se lleva a cabo ante Notario Público, para formalizar un acto jurídico transmisión de propiedad) celebrado entre dos o más personas con el objeto de dar certeza y seguridad jurídica a su patrimonio, cuya finalidad es obtener la escritura. </w:t>
      </w:r>
    </w:p>
    <w:p w:rsidR="00377CAA" w:rsidRPr="00BA7457" w:rsidRDefault="00377CAA">
      <w:pPr>
        <w:tabs>
          <w:tab w:val="left" w:pos="8222"/>
        </w:tabs>
        <w:spacing w:line="360" w:lineRule="auto"/>
        <w:ind w:right="-28"/>
        <w:jc w:val="both"/>
        <w:rPr>
          <w:rFonts w:ascii="Palatino Linotype" w:eastAsia="Palatino Linotype" w:hAnsi="Palatino Linotype" w:cs="Palatino Linotype"/>
        </w:rPr>
      </w:pPr>
    </w:p>
    <w:p w:rsidR="00377CAA" w:rsidRPr="00BA7457" w:rsidRDefault="00E27F02">
      <w:pPr>
        <w:tabs>
          <w:tab w:val="left" w:pos="8222"/>
        </w:tabs>
        <w:spacing w:line="360" w:lineRule="auto"/>
        <w:ind w:right="-28"/>
        <w:jc w:val="both"/>
        <w:rPr>
          <w:rFonts w:ascii="Palatino Linotype" w:eastAsia="Palatino Linotype" w:hAnsi="Palatino Linotype" w:cs="Palatino Linotype"/>
        </w:rPr>
      </w:pPr>
      <w:r w:rsidRPr="00BA7457">
        <w:rPr>
          <w:rFonts w:ascii="Palatino Linotype" w:eastAsia="Palatino Linotype" w:hAnsi="Palatino Linotype" w:cs="Palatino Linotype"/>
        </w:rPr>
        <w:t xml:space="preserve">En tal sentido, la Ley del Notariado del Estado de México, concibe a la escritura de la siguiente manera: </w:t>
      </w:r>
    </w:p>
    <w:p w:rsidR="00377CAA" w:rsidRPr="00BA7457" w:rsidRDefault="00377CAA">
      <w:pPr>
        <w:tabs>
          <w:tab w:val="left" w:pos="8222"/>
        </w:tabs>
        <w:spacing w:line="360" w:lineRule="auto"/>
        <w:ind w:right="-28"/>
        <w:jc w:val="both"/>
        <w:rPr>
          <w:rFonts w:ascii="Palatino Linotype" w:eastAsia="Palatino Linotype" w:hAnsi="Palatino Linotype" w:cs="Palatino Linotype"/>
        </w:rPr>
      </w:pPr>
    </w:p>
    <w:p w:rsidR="00377CAA" w:rsidRPr="00BA7457" w:rsidRDefault="00E27F02">
      <w:pPr>
        <w:tabs>
          <w:tab w:val="left" w:pos="8222"/>
        </w:tabs>
        <w:spacing w:line="276" w:lineRule="auto"/>
        <w:ind w:left="567" w:right="900"/>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 xml:space="preserve">“Artículo 78. </w:t>
      </w:r>
      <w:r w:rsidRPr="00BA7457">
        <w:rPr>
          <w:rFonts w:ascii="Palatino Linotype" w:eastAsia="Palatino Linotype" w:hAnsi="Palatino Linotype" w:cs="Palatino Linotype"/>
          <w:b/>
          <w:i/>
          <w:sz w:val="22"/>
          <w:szCs w:val="22"/>
        </w:rPr>
        <w:t xml:space="preserve">Escritura </w:t>
      </w:r>
      <w:r w:rsidRPr="00BA7457">
        <w:rPr>
          <w:rFonts w:ascii="Palatino Linotype" w:eastAsia="Palatino Linotype" w:hAnsi="Palatino Linotype" w:cs="Palatino Linotype"/>
          <w:b/>
          <w:i/>
          <w:sz w:val="22"/>
          <w:szCs w:val="22"/>
          <w:u w:val="single"/>
        </w:rPr>
        <w:t>es el instrumento original que el notario asienta en el protocolo físico o electrónico para hacer constar uno o más actos jurídicos</w:t>
      </w:r>
      <w:r w:rsidRPr="00BA7457">
        <w:rPr>
          <w:rFonts w:ascii="Palatino Linotype" w:eastAsia="Palatino Linotype" w:hAnsi="Palatino Linotype" w:cs="Palatino Linotype"/>
          <w:i/>
          <w:sz w:val="22"/>
          <w:szCs w:val="22"/>
        </w:rPr>
        <w:t>, autorizados con firma autógrafa o electrónica y sello.</w:t>
      </w:r>
    </w:p>
    <w:p w:rsidR="00377CAA" w:rsidRPr="00BA7457" w:rsidRDefault="00E27F02">
      <w:pPr>
        <w:tabs>
          <w:tab w:val="left" w:pos="8222"/>
        </w:tabs>
        <w:spacing w:line="276" w:lineRule="auto"/>
        <w:ind w:left="567" w:right="900"/>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b/>
          <w:i/>
          <w:sz w:val="22"/>
          <w:szCs w:val="22"/>
          <w:u w:val="single"/>
        </w:rPr>
        <w:t>Se entenderá también como escritura el acta que contenga un extracto con los elementos personales y materiales del documento en que se consigne un contrato o actos jurídicos,</w:t>
      </w:r>
      <w:r w:rsidRPr="00BA7457">
        <w:rPr>
          <w:rFonts w:ascii="Palatino Linotype" w:eastAsia="Palatino Linotype" w:hAnsi="Palatino Linotype" w:cs="Palatino Linotype"/>
          <w:i/>
          <w:sz w:val="22"/>
          <w:szCs w:val="22"/>
        </w:rPr>
        <w:t xml:space="preserve"> siempre que esté firmada en cada una de sus hojas por quienes en el intervengan y por el notario, quien además pondrá el sello, señalará el número de hojas de que se compone, así como la relación completa de sus anexos que se agregarán al apéndice y reúna los demás requisitos que señala este capítulo.”</w:t>
      </w:r>
    </w:p>
    <w:p w:rsidR="00377CAA" w:rsidRPr="00BA7457" w:rsidRDefault="00377CAA">
      <w:pPr>
        <w:tabs>
          <w:tab w:val="left" w:pos="8222"/>
        </w:tabs>
        <w:spacing w:line="360" w:lineRule="auto"/>
        <w:ind w:right="-28"/>
        <w:jc w:val="both"/>
        <w:rPr>
          <w:rFonts w:ascii="Palatino Linotype" w:eastAsia="Palatino Linotype" w:hAnsi="Palatino Linotype" w:cs="Palatino Linotype"/>
        </w:rPr>
      </w:pPr>
    </w:p>
    <w:p w:rsidR="00377CAA" w:rsidRPr="00BA7457" w:rsidRDefault="00E27F02">
      <w:pPr>
        <w:tabs>
          <w:tab w:val="left" w:pos="8222"/>
        </w:tabs>
        <w:spacing w:line="360" w:lineRule="auto"/>
        <w:ind w:right="49"/>
        <w:jc w:val="both"/>
        <w:rPr>
          <w:rFonts w:ascii="Palatino Linotype" w:eastAsia="Palatino Linotype" w:hAnsi="Palatino Linotype" w:cs="Palatino Linotype"/>
        </w:rPr>
      </w:pPr>
      <w:r w:rsidRPr="00BA7457">
        <w:rPr>
          <w:rFonts w:ascii="Palatino Linotype" w:eastAsia="Palatino Linotype" w:hAnsi="Palatino Linotype" w:cs="Palatino Linotype"/>
        </w:rPr>
        <w:t xml:space="preserve">Posteriormente en el artículo 79 enlista los elementos que deberán contener las escrituras, a saber: </w:t>
      </w:r>
    </w:p>
    <w:p w:rsidR="00377CAA" w:rsidRPr="00BA7457" w:rsidRDefault="00377CAA">
      <w:pPr>
        <w:tabs>
          <w:tab w:val="left" w:pos="8222"/>
        </w:tabs>
        <w:spacing w:line="360" w:lineRule="auto"/>
        <w:ind w:right="-28"/>
        <w:jc w:val="both"/>
        <w:rPr>
          <w:rFonts w:ascii="Palatino Linotype" w:eastAsia="Palatino Linotype" w:hAnsi="Palatino Linotype" w:cs="Palatino Linotype"/>
        </w:rPr>
      </w:pPr>
    </w:p>
    <w:p w:rsidR="00377CAA" w:rsidRPr="00BA7457" w:rsidRDefault="00E27F02">
      <w:pPr>
        <w:tabs>
          <w:tab w:val="left" w:pos="8222"/>
        </w:tabs>
        <w:spacing w:line="276" w:lineRule="auto"/>
        <w:ind w:left="567" w:right="900"/>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Artículo 79.- La redacción de las escrituras se sujetará a las formalidades siguientes:</w:t>
      </w:r>
    </w:p>
    <w:p w:rsidR="00377CAA" w:rsidRPr="00BA7457" w:rsidRDefault="00E27F02">
      <w:pPr>
        <w:tabs>
          <w:tab w:val="left" w:pos="8222"/>
        </w:tabs>
        <w:spacing w:line="276" w:lineRule="auto"/>
        <w:ind w:left="567" w:right="900"/>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br/>
        <w:t>I. Se hará en idioma español, con letra clara, sin abreviaturas ni guarismos, salvo en el caso de transcripción literal o del uso de modismos; tratándose de números, las cifras se mencionarán también con letra;</w:t>
      </w:r>
    </w:p>
    <w:p w:rsidR="00377CAA" w:rsidRPr="00BA7457" w:rsidRDefault="00E27F02">
      <w:pPr>
        <w:tabs>
          <w:tab w:val="left" w:pos="8222"/>
        </w:tabs>
        <w:spacing w:line="276" w:lineRule="auto"/>
        <w:ind w:left="567" w:right="900"/>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II. Cuando se presenten documentos redactados en idioma distinto al español, se traducirán por perito autorizado, a excepción de cuando el notario conozca el idioma, en cuyo caso él realizará la traducción; se agregará al apéndice el original o copia cotejada del documento con su respectiva traducción;</w:t>
      </w:r>
    </w:p>
    <w:p w:rsidR="00377CAA" w:rsidRPr="00BA7457" w:rsidRDefault="00E27F02">
      <w:pPr>
        <w:tabs>
          <w:tab w:val="left" w:pos="8222"/>
        </w:tabs>
        <w:spacing w:line="276" w:lineRule="auto"/>
        <w:ind w:left="567" w:right="900"/>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III. Los espacios en blanco o huecos se cubrirán con líneas horizontales de tinta o con guiones continuos, al igual que los espacios en blanco existentes entre el final del texto y las firmas;</w:t>
      </w:r>
    </w:p>
    <w:p w:rsidR="00377CAA" w:rsidRPr="00BA7457" w:rsidRDefault="00E27F02">
      <w:pPr>
        <w:tabs>
          <w:tab w:val="left" w:pos="8222"/>
        </w:tabs>
        <w:spacing w:line="276" w:lineRule="auto"/>
        <w:ind w:left="567" w:right="900"/>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IV. Las palabras, letras o signos que se hayan de testar se cruzarán con una línea horizontal que las deje legibles, pudiendo entrerrenglonarse lo que se deba agregar. Al final del texto de la escritura se salvarán, con la mención del número de palabras, letras o signos testados o entrerrenglonados, y se hará constar que lo primero no vale y lo segundo sí;</w:t>
      </w:r>
    </w:p>
    <w:p w:rsidR="00377CAA" w:rsidRPr="00BA7457" w:rsidRDefault="00E27F02">
      <w:pPr>
        <w:tabs>
          <w:tab w:val="left" w:pos="8222"/>
        </w:tabs>
        <w:spacing w:line="276" w:lineRule="auto"/>
        <w:ind w:left="567" w:right="900"/>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lastRenderedPageBreak/>
        <w:t>V. Llevará al inicio su número, el o los actos que se consignen y los nombres de los otorgantes;</w:t>
      </w:r>
    </w:p>
    <w:p w:rsidR="00377CAA" w:rsidRPr="00BA7457" w:rsidRDefault="00E27F02">
      <w:pPr>
        <w:tabs>
          <w:tab w:val="left" w:pos="8222"/>
        </w:tabs>
        <w:spacing w:line="276" w:lineRule="auto"/>
        <w:ind w:left="567" w:right="900"/>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VI. Expresará en el proemio el lugar y fecha y, en su caso, la hora en que se asiente la escritura, así como el nombre y apellidos del notario, el número de la notaría a su cargo, los nombres y apellidos de los comparecientes y el acto o actos que se consignen;</w:t>
      </w:r>
    </w:p>
    <w:p w:rsidR="00377CAA" w:rsidRPr="00BA7457" w:rsidRDefault="00E27F02">
      <w:pPr>
        <w:tabs>
          <w:tab w:val="left" w:pos="8222"/>
        </w:tabs>
        <w:spacing w:line="276" w:lineRule="auto"/>
        <w:ind w:left="567" w:right="900"/>
        <w:jc w:val="both"/>
        <w:rPr>
          <w:rFonts w:ascii="Palatino Linotype" w:eastAsia="Palatino Linotype" w:hAnsi="Palatino Linotype" w:cs="Palatino Linotype"/>
          <w:b/>
          <w:i/>
          <w:sz w:val="22"/>
          <w:szCs w:val="22"/>
          <w:u w:val="single"/>
        </w:rPr>
      </w:pPr>
      <w:r w:rsidRPr="00BA7457">
        <w:rPr>
          <w:rFonts w:ascii="Palatino Linotype" w:eastAsia="Palatino Linotype" w:hAnsi="Palatino Linotype" w:cs="Palatino Linotype"/>
          <w:b/>
          <w:i/>
          <w:sz w:val="22"/>
          <w:szCs w:val="22"/>
          <w:u w:val="single"/>
        </w:rPr>
        <w:t>VII. Resumirá los antecedentes del acto y certificará haber tenido a la vista los documentos que se hayan presentado para la formación de la escritura, con las siguientes modalidades:</w:t>
      </w:r>
    </w:p>
    <w:p w:rsidR="00377CAA" w:rsidRPr="00BA7457" w:rsidRDefault="00E27F02">
      <w:pPr>
        <w:tabs>
          <w:tab w:val="left" w:pos="8222"/>
        </w:tabs>
        <w:spacing w:line="276" w:lineRule="auto"/>
        <w:ind w:left="567" w:right="900"/>
        <w:jc w:val="both"/>
        <w:rPr>
          <w:rFonts w:ascii="Palatino Linotype" w:eastAsia="Palatino Linotype" w:hAnsi="Palatino Linotype" w:cs="Palatino Linotype"/>
          <w:b/>
          <w:i/>
          <w:sz w:val="22"/>
          <w:szCs w:val="22"/>
          <w:u w:val="single"/>
        </w:rPr>
      </w:pPr>
      <w:r w:rsidRPr="00BA7457">
        <w:rPr>
          <w:rFonts w:ascii="Palatino Linotype" w:eastAsia="Palatino Linotype" w:hAnsi="Palatino Linotype" w:cs="Palatino Linotype"/>
          <w:b/>
          <w:i/>
          <w:sz w:val="22"/>
          <w:szCs w:val="22"/>
          <w:u w:val="single"/>
        </w:rPr>
        <w:t>a). Si se trata de inmuebles, relacionará cuando menos el último título de propiedad y, en su caso, citará los datos de su inscripción registral, y determinará su naturaleza, ubicación, superficie con medidas y linderos, en cuanto sea posible.</w:t>
      </w:r>
    </w:p>
    <w:p w:rsidR="00377CAA" w:rsidRPr="00BA7457" w:rsidRDefault="00E27F02">
      <w:pPr>
        <w:tabs>
          <w:tab w:val="left" w:pos="8222"/>
        </w:tabs>
        <w:spacing w:line="276" w:lineRule="auto"/>
        <w:ind w:left="567" w:right="900"/>
        <w:jc w:val="both"/>
        <w:rPr>
          <w:rFonts w:ascii="Palatino Linotype" w:eastAsia="Palatino Linotype" w:hAnsi="Palatino Linotype" w:cs="Palatino Linotype"/>
          <w:b/>
          <w:i/>
          <w:sz w:val="22"/>
          <w:szCs w:val="22"/>
          <w:u w:val="single"/>
        </w:rPr>
      </w:pPr>
      <w:r w:rsidRPr="00BA7457">
        <w:rPr>
          <w:rFonts w:ascii="Palatino Linotype" w:eastAsia="Palatino Linotype" w:hAnsi="Palatino Linotype" w:cs="Palatino Linotype"/>
          <w:b/>
          <w:i/>
          <w:sz w:val="22"/>
          <w:szCs w:val="22"/>
          <w:u w:val="single"/>
        </w:rPr>
        <w:t>b). No deberá modificarse en una escritura la descripción de un inmueble, si con ésta se incrementa el área de su antecedente de propiedad. La adición podrá ser hecha si se funda en resolución judicial o administrativa de la que así se desprenda.</w:t>
      </w:r>
    </w:p>
    <w:p w:rsidR="00377CAA" w:rsidRPr="00BA7457" w:rsidRDefault="00E27F02">
      <w:pPr>
        <w:tabs>
          <w:tab w:val="left" w:pos="8222"/>
        </w:tabs>
        <w:spacing w:line="276" w:lineRule="auto"/>
        <w:ind w:left="567" w:right="900"/>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c). Cualquier error aritmético o de transcripción que conste en instrumento o en asiento registral podrá aclararse por la parte interesada en la escritura.</w:t>
      </w:r>
    </w:p>
    <w:p w:rsidR="00377CAA" w:rsidRPr="00BA7457" w:rsidRDefault="00E27F02">
      <w:pPr>
        <w:tabs>
          <w:tab w:val="left" w:pos="8222"/>
        </w:tabs>
        <w:spacing w:line="276" w:lineRule="auto"/>
        <w:ind w:left="567" w:right="900"/>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d). Al citar un instrumento otorgado ante otro fedatario, expresará el nombre de éste y el número de la notaría que corresponde, así como su número y fecha y, en su caso, los datos de inscripción registral.</w:t>
      </w:r>
    </w:p>
    <w:p w:rsidR="00377CAA" w:rsidRPr="00BA7457" w:rsidRDefault="00E27F02">
      <w:pPr>
        <w:tabs>
          <w:tab w:val="left" w:pos="8222"/>
        </w:tabs>
        <w:spacing w:line="276" w:lineRule="auto"/>
        <w:ind w:left="567" w:right="900"/>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e). En las protocolizaciones de actas de asamblea de personas morales, se relacionarán los antecedentes necesarios para acreditar su constitución, así como la validez y eficacia de los acuerdos tomados de conformidad con su régimen legal y estatutos.” (Énfasis añadido)</w:t>
      </w:r>
    </w:p>
    <w:p w:rsidR="00377CAA" w:rsidRPr="00BA7457" w:rsidRDefault="00377CAA">
      <w:pPr>
        <w:tabs>
          <w:tab w:val="left" w:pos="8222"/>
        </w:tabs>
        <w:spacing w:line="276" w:lineRule="auto"/>
        <w:ind w:left="567" w:right="900"/>
        <w:jc w:val="both"/>
        <w:rPr>
          <w:rFonts w:ascii="Palatino Linotype" w:eastAsia="Palatino Linotype" w:hAnsi="Palatino Linotype" w:cs="Palatino Linotype"/>
          <w:i/>
          <w:sz w:val="22"/>
          <w:szCs w:val="22"/>
        </w:rPr>
      </w:pPr>
    </w:p>
    <w:p w:rsidR="00377CAA" w:rsidRPr="00BA7457" w:rsidRDefault="00E27F02">
      <w:pPr>
        <w:tabs>
          <w:tab w:val="left" w:pos="8222"/>
        </w:tabs>
        <w:spacing w:line="360" w:lineRule="auto"/>
        <w:ind w:right="-28"/>
        <w:jc w:val="both"/>
        <w:rPr>
          <w:rFonts w:ascii="Palatino Linotype" w:eastAsia="Palatino Linotype" w:hAnsi="Palatino Linotype" w:cs="Palatino Linotype"/>
        </w:rPr>
      </w:pPr>
      <w:r w:rsidRPr="00BA7457">
        <w:rPr>
          <w:rFonts w:ascii="Palatino Linotype" w:eastAsia="Palatino Linotype" w:hAnsi="Palatino Linotype" w:cs="Palatino Linotype"/>
        </w:rPr>
        <w:t xml:space="preserve">Es de señalar que lo vertido en esta porción normativa se refuerza con lo previsto en el procedimiento </w:t>
      </w:r>
      <w:r w:rsidRPr="00BA7457">
        <w:rPr>
          <w:rFonts w:ascii="Palatino Linotype" w:eastAsia="Palatino Linotype" w:hAnsi="Palatino Linotype" w:cs="Palatino Linotype"/>
          <w:b/>
          <w:i/>
        </w:rPr>
        <w:t xml:space="preserve">Regularización de Predios Vía Escrituración Notarial, </w:t>
      </w:r>
      <w:r w:rsidRPr="00BA7457">
        <w:rPr>
          <w:rFonts w:ascii="Palatino Linotype" w:eastAsia="Palatino Linotype" w:hAnsi="Palatino Linotype" w:cs="Palatino Linotype"/>
        </w:rPr>
        <w:t xml:space="preserve">el cual señala que para obtener la escritura del predio deberán colmarse los siguientes requisitos: </w:t>
      </w:r>
    </w:p>
    <w:p w:rsidR="00377CAA" w:rsidRPr="00BA7457" w:rsidRDefault="00E27F02">
      <w:pPr>
        <w:tabs>
          <w:tab w:val="left" w:pos="8222"/>
        </w:tabs>
        <w:spacing w:line="360" w:lineRule="auto"/>
        <w:ind w:right="-28"/>
        <w:jc w:val="both"/>
        <w:rPr>
          <w:rFonts w:ascii="Palatino Linotype" w:eastAsia="Palatino Linotype" w:hAnsi="Palatino Linotype" w:cs="Palatino Linotype"/>
        </w:rPr>
      </w:pPr>
      <w:r w:rsidRPr="00BA7457">
        <w:rPr>
          <w:rFonts w:ascii="Palatino Linotype" w:eastAsia="Palatino Linotype" w:hAnsi="Palatino Linotype" w:cs="Palatino Linotype"/>
          <w:noProof/>
          <w:lang w:val="es-MX"/>
        </w:rPr>
        <w:lastRenderedPageBreak/>
        <w:drawing>
          <wp:inline distT="0" distB="0" distL="0" distR="0">
            <wp:extent cx="5612130" cy="5387975"/>
            <wp:effectExtent l="0" t="0" r="0" b="0"/>
            <wp:docPr id="10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5612130" cy="5387975"/>
                    </a:xfrm>
                    <a:prstGeom prst="rect">
                      <a:avLst/>
                    </a:prstGeom>
                    <a:ln/>
                  </pic:spPr>
                </pic:pic>
              </a:graphicData>
            </a:graphic>
          </wp:inline>
        </w:drawing>
      </w:r>
      <w:r w:rsidRPr="00BA7457">
        <w:rPr>
          <w:noProof/>
          <w:lang w:val="es-MX"/>
        </w:rPr>
        <mc:AlternateContent>
          <mc:Choice Requires="wpg">
            <w:drawing>
              <wp:anchor distT="0" distB="0" distL="114300" distR="114300" simplePos="0" relativeHeight="251661312" behindDoc="0" locked="0" layoutInCell="1" hidden="0" allowOverlap="1">
                <wp:simplePos x="0" y="0"/>
                <wp:positionH relativeFrom="column">
                  <wp:posOffset>-12699</wp:posOffset>
                </wp:positionH>
                <wp:positionV relativeFrom="paragraph">
                  <wp:posOffset>-12699</wp:posOffset>
                </wp:positionV>
                <wp:extent cx="5688330" cy="885825"/>
                <wp:effectExtent l="0" t="0" r="0" b="0"/>
                <wp:wrapNone/>
                <wp:docPr id="86" name="Rectángulo 86"/>
                <wp:cNvGraphicFramePr/>
                <a:graphic xmlns:a="http://schemas.openxmlformats.org/drawingml/2006/main">
                  <a:graphicData uri="http://schemas.microsoft.com/office/word/2010/wordprocessingShape">
                    <wps:wsp>
                      <wps:cNvSpPr/>
                      <wps:spPr>
                        <a:xfrm>
                          <a:off x="2539935" y="3375188"/>
                          <a:ext cx="5612130" cy="809625"/>
                        </a:xfrm>
                        <a:prstGeom prst="rect">
                          <a:avLst/>
                        </a:prstGeom>
                        <a:noFill/>
                        <a:ln w="38100" cap="flat" cmpd="sng">
                          <a:solidFill>
                            <a:srgbClr val="FF0000"/>
                          </a:solidFill>
                          <a:prstDash val="solid"/>
                          <a:round/>
                          <a:headEnd type="none" w="sm" len="sm"/>
                          <a:tailEnd type="none" w="sm" len="sm"/>
                        </a:ln>
                      </wps:spPr>
                      <wps:txbx>
                        <w:txbxContent>
                          <w:p w:rsidR="00377CAA" w:rsidRDefault="00377CAA">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-12699</wp:posOffset>
                </wp:positionH>
                <wp:positionV relativeFrom="paragraph">
                  <wp:posOffset>-12699</wp:posOffset>
                </wp:positionV>
                <wp:extent cx="5688330" cy="885825"/>
                <wp:effectExtent b="0" l="0" r="0" t="0"/>
                <wp:wrapNone/>
                <wp:docPr id="86" name="image18.png"/>
                <a:graphic>
                  <a:graphicData uri="http://schemas.openxmlformats.org/drawingml/2006/picture">
                    <pic:pic>
                      <pic:nvPicPr>
                        <pic:cNvPr id="0" name="image18.png"/>
                        <pic:cNvPicPr preferRelativeResize="0"/>
                      </pic:nvPicPr>
                      <pic:blipFill>
                        <a:blip r:embed="rId23"/>
                        <a:srcRect/>
                        <a:stretch>
                          <a:fillRect/>
                        </a:stretch>
                      </pic:blipFill>
                      <pic:spPr>
                        <a:xfrm>
                          <a:off x="0" y="0"/>
                          <a:ext cx="5688330" cy="885825"/>
                        </a:xfrm>
                        <a:prstGeom prst="rect"/>
                        <a:ln/>
                      </pic:spPr>
                    </pic:pic>
                  </a:graphicData>
                </a:graphic>
              </wp:anchor>
            </w:drawing>
          </mc:Fallback>
        </mc:AlternateContent>
      </w:r>
    </w:p>
    <w:p w:rsidR="00377CAA" w:rsidRPr="00BA7457" w:rsidRDefault="00E27F02">
      <w:pPr>
        <w:tabs>
          <w:tab w:val="left" w:pos="8222"/>
        </w:tabs>
        <w:spacing w:line="360" w:lineRule="auto"/>
        <w:ind w:right="-28"/>
        <w:jc w:val="both"/>
        <w:rPr>
          <w:rFonts w:ascii="Palatino Linotype" w:eastAsia="Palatino Linotype" w:hAnsi="Palatino Linotype" w:cs="Palatino Linotype"/>
          <w:b/>
        </w:rPr>
      </w:pPr>
      <w:r w:rsidRPr="00BA7457">
        <w:rPr>
          <w:rFonts w:ascii="Palatino Linotype" w:eastAsia="Palatino Linotype" w:hAnsi="Palatino Linotype" w:cs="Palatino Linotype"/>
        </w:rPr>
        <w:t xml:space="preserve">Por lo anterior, se determina que para llevar a cabo el procedimiento de la escrituración ante el Notario Público, forzosamente deberá presentarse el documento que acredite a la persona que realizó la adquisición y ahora cuenta con la calidad de propietaria del bien, así como aquellos soportes documentales en los que conste su naturaleza, ubicación, superficie con medidas y linderos, en cuanto sea posible y es por ello que se determina que los archivos que pudieran satisfacer los </w:t>
      </w:r>
      <w:r w:rsidRPr="00BA7457">
        <w:rPr>
          <w:rFonts w:ascii="Palatino Linotype" w:eastAsia="Palatino Linotype" w:hAnsi="Palatino Linotype" w:cs="Palatino Linotype"/>
        </w:rPr>
        <w:lastRenderedPageBreak/>
        <w:t xml:space="preserve">requerimientos de información obran dentro del patrimonio documental del </w:t>
      </w:r>
      <w:r w:rsidRPr="00BA7457">
        <w:rPr>
          <w:rFonts w:ascii="Palatino Linotype" w:eastAsia="Palatino Linotype" w:hAnsi="Palatino Linotype" w:cs="Palatino Linotype"/>
          <w:b/>
        </w:rPr>
        <w:t>Sujeto Obligado.</w:t>
      </w:r>
    </w:p>
    <w:p w:rsidR="00377CAA" w:rsidRPr="00BA7457" w:rsidRDefault="00377CAA">
      <w:pPr>
        <w:tabs>
          <w:tab w:val="left" w:pos="8222"/>
        </w:tabs>
        <w:spacing w:line="360" w:lineRule="auto"/>
        <w:ind w:right="-28"/>
        <w:jc w:val="both"/>
        <w:rPr>
          <w:rFonts w:ascii="Palatino Linotype" w:eastAsia="Palatino Linotype" w:hAnsi="Palatino Linotype" w:cs="Palatino Linotype"/>
        </w:rPr>
      </w:pPr>
    </w:p>
    <w:p w:rsidR="00377CAA" w:rsidRPr="00BA7457" w:rsidRDefault="00E27F02">
      <w:pPr>
        <w:tabs>
          <w:tab w:val="left" w:pos="8222"/>
        </w:tabs>
        <w:spacing w:line="360" w:lineRule="auto"/>
        <w:ind w:right="-28"/>
        <w:jc w:val="both"/>
        <w:rPr>
          <w:rFonts w:ascii="Palatino Linotype" w:eastAsia="Palatino Linotype" w:hAnsi="Palatino Linotype" w:cs="Palatino Linotype"/>
        </w:rPr>
      </w:pPr>
      <w:r w:rsidRPr="00BA7457">
        <w:rPr>
          <w:rFonts w:ascii="Palatino Linotype" w:eastAsia="Palatino Linotype" w:hAnsi="Palatino Linotype" w:cs="Palatino Linotype"/>
        </w:rPr>
        <w:t xml:space="preserve">De tal manera que, al advertirse que los documentos solicitados son independientes del procedimiento de escrituración al que alude el </w:t>
      </w:r>
      <w:r w:rsidRPr="00BA7457">
        <w:rPr>
          <w:rFonts w:ascii="Palatino Linotype" w:eastAsia="Palatino Linotype" w:hAnsi="Palatino Linotype" w:cs="Palatino Linotype"/>
          <w:b/>
        </w:rPr>
        <w:t>Sujeto Obligado</w:t>
      </w:r>
      <w:r w:rsidRPr="00BA7457">
        <w:rPr>
          <w:rFonts w:ascii="Palatino Linotype" w:eastAsia="Palatino Linotype" w:hAnsi="Palatino Linotype" w:cs="Palatino Linotype"/>
        </w:rPr>
        <w:t xml:space="preserve">, toda vez que el notario los requiere únicamente para la generación de la escritura, no se actualizan las causales invocadas por el Sujeto Obligado para reservar la información, por lo tanto, esta autoridad estima que las razones o motivos de inconformidad hechos valer por </w:t>
      </w:r>
      <w:r w:rsidRPr="00BA7457">
        <w:rPr>
          <w:rFonts w:ascii="Palatino Linotype" w:eastAsia="Palatino Linotype" w:hAnsi="Palatino Linotype" w:cs="Palatino Linotype"/>
          <w:b/>
        </w:rPr>
        <w:t>la</w:t>
      </w:r>
      <w:r w:rsidRPr="00BA7457">
        <w:rPr>
          <w:rFonts w:ascii="Palatino Linotype" w:eastAsia="Palatino Linotype" w:hAnsi="Palatino Linotype" w:cs="Palatino Linotype"/>
        </w:rPr>
        <w:t xml:space="preserve"> parte </w:t>
      </w:r>
      <w:r w:rsidRPr="00BA7457">
        <w:rPr>
          <w:rFonts w:ascii="Palatino Linotype" w:eastAsia="Palatino Linotype" w:hAnsi="Palatino Linotype" w:cs="Palatino Linotype"/>
          <w:b/>
        </w:rPr>
        <w:t>Recurrente</w:t>
      </w:r>
      <w:r w:rsidRPr="00BA7457">
        <w:rPr>
          <w:rFonts w:ascii="Palatino Linotype" w:eastAsia="Palatino Linotype" w:hAnsi="Palatino Linotype" w:cs="Palatino Linotype"/>
        </w:rPr>
        <w:t xml:space="preserve"> se estiman fundados; por lo que, lo procedente es </w:t>
      </w:r>
      <w:r w:rsidRPr="00BA7457">
        <w:rPr>
          <w:rFonts w:ascii="Palatino Linotype" w:eastAsia="Palatino Linotype" w:hAnsi="Palatino Linotype" w:cs="Palatino Linotype"/>
          <w:b/>
        </w:rPr>
        <w:t>MODIFICAR</w:t>
      </w:r>
      <w:r w:rsidRPr="00BA7457">
        <w:rPr>
          <w:rFonts w:ascii="Palatino Linotype" w:eastAsia="Palatino Linotype" w:hAnsi="Palatino Linotype" w:cs="Palatino Linotype"/>
        </w:rPr>
        <w:t xml:space="preserve"> la respuesta del </w:t>
      </w:r>
      <w:r w:rsidRPr="00BA7457">
        <w:rPr>
          <w:rFonts w:ascii="Palatino Linotype" w:eastAsia="Palatino Linotype" w:hAnsi="Palatino Linotype" w:cs="Palatino Linotype"/>
          <w:b/>
        </w:rPr>
        <w:t xml:space="preserve">Sujeto Obligado y ordenar la entrega </w:t>
      </w:r>
      <w:r w:rsidRPr="00BA7457">
        <w:rPr>
          <w:rFonts w:ascii="Palatino Linotype" w:eastAsia="Palatino Linotype" w:hAnsi="Palatino Linotype" w:cs="Palatino Linotype"/>
        </w:rPr>
        <w:t>de la documentación solicitada, ello conforme al considerando siguiente.</w:t>
      </w:r>
    </w:p>
    <w:p w:rsidR="00377CAA" w:rsidRPr="00BA7457" w:rsidRDefault="00377CAA">
      <w:pPr>
        <w:tabs>
          <w:tab w:val="left" w:pos="8222"/>
        </w:tabs>
        <w:spacing w:line="360" w:lineRule="auto"/>
        <w:ind w:right="-28"/>
        <w:jc w:val="both"/>
        <w:rPr>
          <w:rFonts w:ascii="Palatino Linotype" w:eastAsia="Palatino Linotype" w:hAnsi="Palatino Linotype" w:cs="Palatino Linotype"/>
        </w:rPr>
      </w:pPr>
    </w:p>
    <w:p w:rsidR="00377CAA" w:rsidRPr="00BA7457" w:rsidRDefault="00E27F02">
      <w:pPr>
        <w:spacing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b/>
        </w:rPr>
        <w:t xml:space="preserve">Quinto. Versión Pública. </w:t>
      </w:r>
      <w:r w:rsidRPr="00BA7457">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BA7457">
        <w:rPr>
          <w:rFonts w:ascii="Palatino Linotype" w:eastAsia="Palatino Linotype" w:hAnsi="Palatino Linotype" w:cs="Palatino Linotype"/>
          <w:b/>
        </w:rPr>
        <w:t>Sujeto Obligado</w:t>
      </w:r>
      <w:r w:rsidRPr="00BA7457">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377CAA" w:rsidRPr="00BA7457" w:rsidRDefault="00E27F02">
      <w:pPr>
        <w:spacing w:before="240" w:after="240" w:line="360" w:lineRule="auto"/>
        <w:ind w:right="50"/>
        <w:jc w:val="both"/>
        <w:rPr>
          <w:rFonts w:ascii="Palatino Linotype" w:eastAsia="Palatino Linotype" w:hAnsi="Palatino Linotype" w:cs="Palatino Linotype"/>
        </w:rPr>
      </w:pPr>
      <w:r w:rsidRPr="00BA7457">
        <w:rPr>
          <w:rFonts w:ascii="Palatino Linotype" w:eastAsia="Palatino Linotype" w:hAnsi="Palatino Linotype" w:cs="Palatino Linotype"/>
        </w:rPr>
        <w:lastRenderedPageBreak/>
        <w:t>Lo anterior, de conformidad a lo que señalan los artículos 3 fracciones IX, XX, XXI y XLV, 91, 132 fracciones II y III, y 143 fracción I de la Ley de Transparencia y Acceso a la Información Pública del Estado de México y Municipios que establecen:</w:t>
      </w:r>
    </w:p>
    <w:p w:rsidR="00377CAA" w:rsidRPr="00BA7457" w:rsidRDefault="00E27F02">
      <w:pPr>
        <w:spacing w:before="120" w:after="120"/>
        <w:ind w:left="567" w:right="902"/>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w:t>
      </w:r>
      <w:r w:rsidRPr="00BA7457">
        <w:rPr>
          <w:rFonts w:ascii="Palatino Linotype" w:eastAsia="Palatino Linotype" w:hAnsi="Palatino Linotype" w:cs="Palatino Linotype"/>
          <w:b/>
          <w:i/>
          <w:sz w:val="22"/>
          <w:szCs w:val="22"/>
        </w:rPr>
        <w:t>Artículo 3</w:t>
      </w:r>
      <w:r w:rsidRPr="00BA7457">
        <w:rPr>
          <w:rFonts w:ascii="Palatino Linotype" w:eastAsia="Palatino Linotype" w:hAnsi="Palatino Linotype" w:cs="Palatino Linotype"/>
          <w:i/>
          <w:sz w:val="22"/>
          <w:szCs w:val="22"/>
        </w:rPr>
        <w:t>. Para los efectos de la presente Ley se entenderá por:</w:t>
      </w:r>
    </w:p>
    <w:p w:rsidR="00377CAA" w:rsidRPr="00BA7457" w:rsidRDefault="00E27F02">
      <w:pPr>
        <w:spacing w:before="120" w:after="120"/>
        <w:ind w:left="567" w:right="902"/>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w:t>
      </w:r>
    </w:p>
    <w:p w:rsidR="00377CAA" w:rsidRPr="00BA7457" w:rsidRDefault="00E27F02">
      <w:pPr>
        <w:spacing w:before="120" w:after="120"/>
        <w:ind w:left="567" w:right="902"/>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b/>
          <w:i/>
          <w:sz w:val="22"/>
          <w:szCs w:val="22"/>
        </w:rPr>
        <w:t>IX. Datos personales:</w:t>
      </w:r>
      <w:r w:rsidRPr="00BA7457">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377CAA" w:rsidRPr="00BA7457" w:rsidRDefault="00E27F02">
      <w:pPr>
        <w:spacing w:before="120" w:after="120"/>
        <w:ind w:left="567" w:right="902"/>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b/>
          <w:i/>
          <w:sz w:val="22"/>
          <w:szCs w:val="22"/>
        </w:rPr>
        <w:t>XX. Información clasificada</w:t>
      </w:r>
      <w:r w:rsidRPr="00BA7457">
        <w:rPr>
          <w:rFonts w:ascii="Palatino Linotype" w:eastAsia="Palatino Linotype" w:hAnsi="Palatino Linotype" w:cs="Palatino Linotype"/>
          <w:i/>
          <w:sz w:val="22"/>
          <w:szCs w:val="22"/>
        </w:rPr>
        <w:t>: Aquella considerada por la presente Ley como reservada o confidencial;</w:t>
      </w:r>
    </w:p>
    <w:p w:rsidR="00377CAA" w:rsidRPr="00BA7457" w:rsidRDefault="00E27F02">
      <w:pPr>
        <w:spacing w:before="120" w:after="120"/>
        <w:ind w:left="567" w:right="902"/>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b/>
          <w:i/>
          <w:sz w:val="22"/>
          <w:szCs w:val="22"/>
        </w:rPr>
        <w:t>XXI. Información confidencial:</w:t>
      </w:r>
      <w:r w:rsidRPr="00BA7457">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377CAA" w:rsidRPr="00BA7457" w:rsidRDefault="00E27F02">
      <w:pPr>
        <w:spacing w:before="120" w:after="120"/>
        <w:ind w:left="567" w:right="902"/>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b/>
          <w:i/>
          <w:sz w:val="22"/>
          <w:szCs w:val="22"/>
        </w:rPr>
        <w:t>XLV. Versión pública:</w:t>
      </w:r>
      <w:r w:rsidRPr="00BA7457">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377CAA" w:rsidRPr="00BA7457" w:rsidRDefault="00E27F02">
      <w:pPr>
        <w:spacing w:before="120" w:after="120"/>
        <w:ind w:left="567" w:right="902"/>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w:t>
      </w:r>
    </w:p>
    <w:p w:rsidR="00377CAA" w:rsidRPr="00BA7457" w:rsidRDefault="00E27F02">
      <w:pPr>
        <w:spacing w:before="120" w:after="120"/>
        <w:ind w:left="567" w:right="902"/>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b/>
          <w:i/>
          <w:sz w:val="22"/>
          <w:szCs w:val="22"/>
        </w:rPr>
        <w:t xml:space="preserve">Artículo 91. </w:t>
      </w:r>
      <w:r w:rsidRPr="00BA7457">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377CAA" w:rsidRPr="00BA7457" w:rsidRDefault="00E27F02">
      <w:pPr>
        <w:spacing w:before="120" w:after="120"/>
        <w:ind w:left="567" w:right="902"/>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b/>
          <w:i/>
          <w:sz w:val="22"/>
          <w:szCs w:val="22"/>
        </w:rPr>
        <w:t xml:space="preserve">Artículo 132. </w:t>
      </w:r>
      <w:r w:rsidRPr="00BA7457">
        <w:rPr>
          <w:rFonts w:ascii="Palatino Linotype" w:eastAsia="Palatino Linotype" w:hAnsi="Palatino Linotype" w:cs="Palatino Linotype"/>
          <w:i/>
          <w:sz w:val="22"/>
          <w:szCs w:val="22"/>
        </w:rPr>
        <w:t>La clasificación de la información se llevará a cabo en el momento en que:</w:t>
      </w:r>
    </w:p>
    <w:p w:rsidR="00377CAA" w:rsidRPr="00BA7457" w:rsidRDefault="00E27F02">
      <w:pPr>
        <w:spacing w:before="120" w:after="120"/>
        <w:ind w:left="567" w:right="902"/>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b/>
          <w:i/>
          <w:sz w:val="22"/>
          <w:szCs w:val="22"/>
        </w:rPr>
        <w:t>I</w:t>
      </w:r>
      <w:r w:rsidRPr="00BA7457">
        <w:rPr>
          <w:rFonts w:ascii="Palatino Linotype" w:eastAsia="Palatino Linotype" w:hAnsi="Palatino Linotype" w:cs="Palatino Linotype"/>
          <w:i/>
          <w:sz w:val="22"/>
          <w:szCs w:val="22"/>
        </w:rPr>
        <w:t>. Se reciba una solicitud de acceso a la información;</w:t>
      </w:r>
    </w:p>
    <w:p w:rsidR="00377CAA" w:rsidRPr="00BA7457" w:rsidRDefault="00E27F02">
      <w:pPr>
        <w:spacing w:before="120" w:after="120"/>
        <w:ind w:left="567" w:right="902"/>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b/>
          <w:i/>
          <w:sz w:val="22"/>
          <w:szCs w:val="22"/>
        </w:rPr>
        <w:t>II</w:t>
      </w:r>
      <w:r w:rsidRPr="00BA7457">
        <w:rPr>
          <w:rFonts w:ascii="Palatino Linotype" w:eastAsia="Palatino Linotype" w:hAnsi="Palatino Linotype" w:cs="Palatino Linotype"/>
          <w:i/>
          <w:sz w:val="22"/>
          <w:szCs w:val="22"/>
        </w:rPr>
        <w:t>. Se determine mediante resolución de autoridad competente; o</w:t>
      </w:r>
    </w:p>
    <w:p w:rsidR="00377CAA" w:rsidRPr="00BA7457" w:rsidRDefault="00E27F02">
      <w:pPr>
        <w:spacing w:before="120" w:after="120"/>
        <w:ind w:left="567" w:right="902"/>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b/>
          <w:i/>
          <w:sz w:val="22"/>
          <w:szCs w:val="22"/>
        </w:rPr>
        <w:t>III</w:t>
      </w:r>
      <w:r w:rsidRPr="00BA7457">
        <w:rPr>
          <w:rFonts w:ascii="Palatino Linotype" w:eastAsia="Palatino Linotype" w:hAnsi="Palatino Linotype" w:cs="Palatino Linotype"/>
          <w:i/>
          <w:sz w:val="22"/>
          <w:szCs w:val="22"/>
        </w:rPr>
        <w:t>. Se generen versiones públicas para dar cumplimiento a las obligaciones de transparencia previstas en esta Ley.</w:t>
      </w:r>
    </w:p>
    <w:p w:rsidR="00377CAA" w:rsidRPr="00BA7457" w:rsidRDefault="00E27F02">
      <w:pPr>
        <w:spacing w:before="120" w:after="120"/>
        <w:ind w:left="567" w:right="902"/>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w:t>
      </w:r>
    </w:p>
    <w:p w:rsidR="00377CAA" w:rsidRPr="00BA7457" w:rsidRDefault="00E27F02">
      <w:pPr>
        <w:spacing w:before="120" w:after="120"/>
        <w:ind w:left="567" w:right="902"/>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b/>
          <w:i/>
          <w:sz w:val="22"/>
          <w:szCs w:val="22"/>
        </w:rPr>
        <w:t>Artículo 143</w:t>
      </w:r>
      <w:r w:rsidRPr="00BA7457">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377CAA" w:rsidRPr="00BA7457" w:rsidRDefault="00E27F02">
      <w:pPr>
        <w:spacing w:before="120" w:after="120"/>
        <w:ind w:left="567" w:right="902"/>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b/>
          <w:i/>
          <w:sz w:val="22"/>
          <w:szCs w:val="22"/>
        </w:rPr>
        <w:t>I.</w:t>
      </w:r>
      <w:r w:rsidRPr="00BA7457">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rsidR="00377CAA" w:rsidRPr="00BA7457" w:rsidRDefault="00E27F02">
      <w:pPr>
        <w:spacing w:before="120" w:after="120"/>
        <w:ind w:left="567" w:right="902"/>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b/>
          <w:i/>
          <w:sz w:val="22"/>
          <w:szCs w:val="22"/>
        </w:rPr>
        <w:lastRenderedPageBreak/>
        <w:t>II.</w:t>
      </w:r>
      <w:r w:rsidRPr="00BA7457">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377CAA" w:rsidRPr="00BA7457" w:rsidRDefault="00E27F02">
      <w:pPr>
        <w:spacing w:before="120" w:after="120"/>
        <w:ind w:left="567" w:right="902"/>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b/>
          <w:i/>
          <w:sz w:val="22"/>
          <w:szCs w:val="22"/>
        </w:rPr>
        <w:t>III</w:t>
      </w:r>
      <w:r w:rsidRPr="00BA7457">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rsidR="00377CAA" w:rsidRPr="00BA7457" w:rsidRDefault="00E27F02">
      <w:pPr>
        <w:spacing w:before="120" w:after="120"/>
        <w:ind w:left="567" w:right="902"/>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377CAA" w:rsidRPr="00BA7457" w:rsidRDefault="00E27F02">
      <w:pPr>
        <w:spacing w:before="120" w:after="120"/>
        <w:ind w:left="567" w:right="902"/>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377CAA" w:rsidRPr="00BA7457" w:rsidRDefault="00E27F02">
      <w:pPr>
        <w:spacing w:before="240" w:after="240"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377CAA" w:rsidRPr="00BA7457" w:rsidRDefault="00E27F02">
      <w:pPr>
        <w:spacing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BA7457">
        <w:rPr>
          <w:rFonts w:ascii="Palatino Linotype" w:eastAsia="Palatino Linotype" w:hAnsi="Palatino Linotype" w:cs="Palatino Linotype"/>
          <w:b/>
        </w:rPr>
        <w:t>Sujeto Obligado</w:t>
      </w:r>
      <w:r w:rsidRPr="00BA7457">
        <w:rPr>
          <w:rFonts w:ascii="Palatino Linotype" w:eastAsia="Palatino Linotype" w:hAnsi="Palatino Linotype" w:cs="Palatino Linotype"/>
        </w:rPr>
        <w:t>, siendo estas las siguientes:</w:t>
      </w:r>
    </w:p>
    <w:p w:rsidR="00377CAA" w:rsidRPr="00BA7457" w:rsidRDefault="00377CAA">
      <w:pPr>
        <w:spacing w:line="360" w:lineRule="auto"/>
        <w:jc w:val="both"/>
        <w:rPr>
          <w:rFonts w:ascii="Palatino Linotype" w:eastAsia="Palatino Linotype" w:hAnsi="Palatino Linotype" w:cs="Palatino Linotype"/>
        </w:rPr>
      </w:pPr>
    </w:p>
    <w:p w:rsidR="00377CAA" w:rsidRPr="00BA7457" w:rsidRDefault="00E27F02">
      <w:pPr>
        <w:spacing w:line="276" w:lineRule="auto"/>
        <w:ind w:left="567"/>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lastRenderedPageBreak/>
        <w:t xml:space="preserve">“CAPÍTULO VIII </w:t>
      </w:r>
    </w:p>
    <w:p w:rsidR="00377CAA" w:rsidRPr="00BA7457" w:rsidRDefault="00E27F02">
      <w:pPr>
        <w:spacing w:line="276" w:lineRule="auto"/>
        <w:ind w:left="567"/>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 xml:space="preserve">DE LOS ELEMENTOS PARA LA CLASIFICACIÓN </w:t>
      </w:r>
    </w:p>
    <w:p w:rsidR="00377CAA" w:rsidRPr="00BA7457" w:rsidRDefault="00E27F02">
      <w:pPr>
        <w:spacing w:line="276" w:lineRule="auto"/>
        <w:ind w:left="567" w:right="900"/>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b/>
          <w:i/>
          <w:sz w:val="22"/>
          <w:szCs w:val="22"/>
        </w:rPr>
        <w:t>Quincuagésimo.</w:t>
      </w:r>
      <w:r w:rsidRPr="00BA7457">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377CAA" w:rsidRPr="00BA7457" w:rsidRDefault="00E27F02">
      <w:pPr>
        <w:spacing w:line="276" w:lineRule="auto"/>
        <w:ind w:left="567" w:right="900"/>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b/>
          <w:i/>
          <w:sz w:val="22"/>
          <w:szCs w:val="22"/>
        </w:rPr>
        <w:t>Quincuagésimo primero.</w:t>
      </w:r>
      <w:r w:rsidRPr="00BA7457">
        <w:rPr>
          <w:rFonts w:ascii="Palatino Linotype" w:eastAsia="Palatino Linotype" w:hAnsi="Palatino Linotype" w:cs="Palatino Linotype"/>
          <w:i/>
          <w:sz w:val="22"/>
          <w:szCs w:val="22"/>
        </w:rPr>
        <w:t xml:space="preserve"> Toda acta del Comité de Transparencia deberá contener: </w:t>
      </w:r>
    </w:p>
    <w:p w:rsidR="00377CAA" w:rsidRPr="00BA7457" w:rsidRDefault="00E27F02">
      <w:pPr>
        <w:numPr>
          <w:ilvl w:val="1"/>
          <w:numId w:val="1"/>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 xml:space="preserve">El número de sesión y fecha; </w:t>
      </w:r>
    </w:p>
    <w:p w:rsidR="00377CAA" w:rsidRPr="00BA7457" w:rsidRDefault="00E27F02">
      <w:pPr>
        <w:numPr>
          <w:ilvl w:val="1"/>
          <w:numId w:val="1"/>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 xml:space="preserve">El nombre del área que solicitó la clasificación de información; </w:t>
      </w:r>
    </w:p>
    <w:p w:rsidR="00377CAA" w:rsidRPr="00BA7457" w:rsidRDefault="00E27F02">
      <w:pPr>
        <w:numPr>
          <w:ilvl w:val="1"/>
          <w:numId w:val="1"/>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 xml:space="preserve">La fundamentación legal y motivación correspondiente; </w:t>
      </w:r>
    </w:p>
    <w:p w:rsidR="00377CAA" w:rsidRPr="00BA7457" w:rsidRDefault="00E27F02">
      <w:pPr>
        <w:numPr>
          <w:ilvl w:val="1"/>
          <w:numId w:val="1"/>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 xml:space="preserve">La resolución o resoluciones aprobadas; y </w:t>
      </w:r>
    </w:p>
    <w:p w:rsidR="00377CAA" w:rsidRPr="00BA7457" w:rsidRDefault="00E27F02">
      <w:pPr>
        <w:numPr>
          <w:ilvl w:val="1"/>
          <w:numId w:val="1"/>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 xml:space="preserve">La rúbrica o firma digital de cada integrante del Comité de Transparencia. </w:t>
      </w:r>
    </w:p>
    <w:p w:rsidR="00377CAA" w:rsidRPr="00BA7457" w:rsidRDefault="00E27F0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rsidR="00377CAA" w:rsidRPr="00BA7457" w:rsidRDefault="00E27F0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I. Los motivos y razonamientos que sustenten la confirmación o modificación de la prueba de daño;</w:t>
      </w:r>
    </w:p>
    <w:p w:rsidR="00377CAA" w:rsidRPr="00BA7457" w:rsidRDefault="00E27F0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 xml:space="preserve">II. Descripción de las partes o secciones reservadas, en caso de clasificación parcial; </w:t>
      </w:r>
    </w:p>
    <w:p w:rsidR="00377CAA" w:rsidRPr="00BA7457" w:rsidRDefault="00E27F0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 xml:space="preserve">III. El periodo por el que mantendrá su clasificación y fecha de expiración; y </w:t>
      </w:r>
    </w:p>
    <w:p w:rsidR="00377CAA" w:rsidRPr="00BA7457" w:rsidRDefault="00E27F0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 xml:space="preserve">IV. El nombre del titular y área encargada de realizar la versión pública del documento, en su caso. </w:t>
      </w:r>
    </w:p>
    <w:p w:rsidR="00377CAA" w:rsidRPr="00BA7457" w:rsidRDefault="00E27F0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rsidR="00377CAA" w:rsidRPr="00BA7457" w:rsidRDefault="00E27F02">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BA7457">
        <w:rPr>
          <w:rFonts w:ascii="Palatino Linotype" w:eastAsia="Palatino Linotype" w:hAnsi="Palatino Linotype" w:cs="Palatino Linotype"/>
          <w:b/>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rsidR="00377CAA" w:rsidRPr="00BA7457" w:rsidRDefault="00E27F0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b/>
          <w:i/>
          <w:sz w:val="22"/>
          <w:szCs w:val="22"/>
        </w:rPr>
        <w:t xml:space="preserve">Quincuagésimo segundo. </w:t>
      </w:r>
      <w:r w:rsidRPr="00BA7457">
        <w:rPr>
          <w:rFonts w:ascii="Palatino Linotype" w:eastAsia="Palatino Linotype" w:hAnsi="Palatino Linotype" w:cs="Palatino Linotype"/>
          <w:i/>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377CAA" w:rsidRPr="00BA7457" w:rsidRDefault="00E27F0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rsidR="00377CAA" w:rsidRPr="00BA7457" w:rsidRDefault="00E27F0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lastRenderedPageBreak/>
        <w:t>I. Fijar la fecha en que se elaboró la versión pública y la fecha en la cual el Comité de</w:t>
      </w:r>
    </w:p>
    <w:p w:rsidR="00377CAA" w:rsidRPr="00BA7457" w:rsidRDefault="00E27F0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Transparencia confirmó dicha versión;</w:t>
      </w:r>
    </w:p>
    <w:p w:rsidR="00377CAA" w:rsidRPr="00BA7457" w:rsidRDefault="00E27F0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rsidR="00377CAA" w:rsidRPr="00BA7457" w:rsidRDefault="00E27F0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III. Señalar las personas o instancias autorizadas a acceder a la información clasificada.</w:t>
      </w:r>
    </w:p>
    <w:p w:rsidR="00377CAA" w:rsidRPr="00BA7457" w:rsidRDefault="00E27F0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r w:rsidRPr="00BA7457">
        <w:rPr>
          <w:noProof/>
          <w:lang w:val="es-MX"/>
        </w:rPr>
        <w:drawing>
          <wp:anchor distT="0" distB="0" distL="114300" distR="114300" simplePos="0" relativeHeight="251662336" behindDoc="0" locked="0" layoutInCell="1" hidden="0" allowOverlap="1">
            <wp:simplePos x="0" y="0"/>
            <wp:positionH relativeFrom="column">
              <wp:posOffset>377190</wp:posOffset>
            </wp:positionH>
            <wp:positionV relativeFrom="paragraph">
              <wp:posOffset>798830</wp:posOffset>
            </wp:positionV>
            <wp:extent cx="4568190" cy="330200"/>
            <wp:effectExtent l="0" t="0" r="0" b="0"/>
            <wp:wrapTopAndBottom distT="0" distB="0"/>
            <wp:docPr id="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4568190" cy="330200"/>
                    </a:xfrm>
                    <a:prstGeom prst="rect">
                      <a:avLst/>
                    </a:prstGeom>
                    <a:ln/>
                  </pic:spPr>
                </pic:pic>
              </a:graphicData>
            </a:graphic>
          </wp:anchor>
        </w:drawing>
      </w:r>
    </w:p>
    <w:p w:rsidR="00377CAA" w:rsidRPr="00BA7457" w:rsidRDefault="00E27F02">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BA7457">
        <w:rPr>
          <w:rFonts w:ascii="Palatino Linotype" w:eastAsia="Palatino Linotype" w:hAnsi="Palatino Linotype" w:cs="Palatino Linotype"/>
          <w:b/>
          <w:i/>
          <w:noProof/>
          <w:sz w:val="22"/>
          <w:szCs w:val="22"/>
          <w:lang w:val="es-MX"/>
        </w:rPr>
        <w:lastRenderedPageBreak/>
        <w:drawing>
          <wp:inline distT="0" distB="0" distL="0" distR="0">
            <wp:extent cx="4576404" cy="5139653"/>
            <wp:effectExtent l="0" t="0" r="0" b="0"/>
            <wp:docPr id="10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a:stretch>
                      <a:fillRect/>
                    </a:stretch>
                  </pic:blipFill>
                  <pic:spPr>
                    <a:xfrm>
                      <a:off x="0" y="0"/>
                      <a:ext cx="4576404" cy="5139653"/>
                    </a:xfrm>
                    <a:prstGeom prst="rect">
                      <a:avLst/>
                    </a:prstGeom>
                    <a:ln/>
                  </pic:spPr>
                </pic:pic>
              </a:graphicData>
            </a:graphic>
          </wp:inline>
        </w:drawing>
      </w:r>
    </w:p>
    <w:p w:rsidR="00377CAA" w:rsidRPr="00BA7457" w:rsidRDefault="00377CAA">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rsidR="00377CAA" w:rsidRPr="00BA7457" w:rsidRDefault="00E27F0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b/>
          <w:i/>
          <w:sz w:val="22"/>
          <w:szCs w:val="22"/>
        </w:rPr>
        <w:t xml:space="preserve">Quincuagésimo cuarto. </w:t>
      </w:r>
      <w:r w:rsidRPr="00BA7457">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377CAA" w:rsidRPr="00BA7457" w:rsidRDefault="00377CAA">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rsidR="00377CAA" w:rsidRPr="00BA7457" w:rsidRDefault="00E27F0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b/>
          <w:i/>
          <w:sz w:val="22"/>
          <w:szCs w:val="22"/>
        </w:rPr>
        <w:t xml:space="preserve">Quincuagésimo quinto. </w:t>
      </w:r>
      <w:r w:rsidRPr="00BA7457">
        <w:rPr>
          <w:rFonts w:ascii="Palatino Linotype" w:eastAsia="Palatino Linotype" w:hAnsi="Palatino Linotype" w:cs="Palatino Linotype"/>
          <w:i/>
          <w:sz w:val="22"/>
          <w:szCs w:val="22"/>
        </w:rPr>
        <w:t xml:space="preserve">Cada área del sujeto obligado podrá designar formalmente a una o más personas como responsables del testado, que sean encargadas de la adecuada elaboración o supervisión de las versiones públicas de los documentos o </w:t>
      </w:r>
      <w:r w:rsidRPr="00BA7457">
        <w:rPr>
          <w:rFonts w:ascii="Palatino Linotype" w:eastAsia="Palatino Linotype" w:hAnsi="Palatino Linotype" w:cs="Palatino Linotype"/>
          <w:i/>
          <w:sz w:val="22"/>
          <w:szCs w:val="22"/>
        </w:rPr>
        <w:lastRenderedPageBreak/>
        <w:t xml:space="preserve">expedientes, verificando que cumplan con los requisitos señalados en las Leyes Generales, los presentes Lineamientos y demás normativa aplicable antes de su confirmación por el Comité de Transparencia.” (Sic) (Énfasis añadido) </w:t>
      </w:r>
    </w:p>
    <w:p w:rsidR="00377CAA" w:rsidRPr="00BA7457" w:rsidRDefault="00E27F02">
      <w:pPr>
        <w:spacing w:before="240" w:after="240"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BA7457">
        <w:rPr>
          <w:rFonts w:ascii="Palatino Linotype" w:eastAsia="Palatino Linotype" w:hAnsi="Palatino Linotype" w:cs="Palatino Linotype"/>
          <w:b/>
        </w:rPr>
        <w:t>Sujeto Obligado</w:t>
      </w:r>
      <w:r w:rsidRPr="00BA7457">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377CAA" w:rsidRPr="00BA7457" w:rsidRDefault="00E27F02">
      <w:pPr>
        <w:spacing w:before="240" w:after="240" w:line="360" w:lineRule="auto"/>
        <w:ind w:right="49"/>
        <w:jc w:val="both"/>
        <w:rPr>
          <w:rFonts w:ascii="Palatino Linotype" w:eastAsia="Palatino Linotype" w:hAnsi="Palatino Linotype" w:cs="Palatino Linotype"/>
        </w:rPr>
      </w:pPr>
      <w:r w:rsidRPr="00BA7457">
        <w:rPr>
          <w:rFonts w:ascii="Palatino Linotype" w:eastAsia="Palatino Linotype" w:hAnsi="Palatino Linotype" w:cs="Palatino Linotype"/>
        </w:rPr>
        <w:t>Por lo anteriormente expuesto y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rsidR="00377CAA" w:rsidRPr="00BA7457" w:rsidRDefault="00E27F02">
      <w:pPr>
        <w:numPr>
          <w:ilvl w:val="0"/>
          <w:numId w:val="3"/>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rPr>
      </w:pPr>
      <w:r w:rsidRPr="00BA7457">
        <w:rPr>
          <w:rFonts w:ascii="Palatino Linotype" w:eastAsia="Palatino Linotype" w:hAnsi="Palatino Linotype" w:cs="Palatino Linotype"/>
          <w:b/>
        </w:rPr>
        <w:t>R E S U E L V E:</w:t>
      </w:r>
    </w:p>
    <w:p w:rsidR="00377CAA" w:rsidRPr="00BA7457" w:rsidRDefault="00E27F02">
      <w:pPr>
        <w:spacing w:before="240" w:after="240" w:line="360" w:lineRule="auto"/>
        <w:jc w:val="both"/>
        <w:rPr>
          <w:rFonts w:ascii="Palatino Linotype" w:eastAsia="Palatino Linotype" w:hAnsi="Palatino Linotype" w:cs="Palatino Linotype"/>
        </w:rPr>
      </w:pPr>
      <w:bookmarkStart w:id="8" w:name="_heading=h.3znysh7" w:colFirst="0" w:colLast="0"/>
      <w:bookmarkEnd w:id="8"/>
      <w:r w:rsidRPr="00BA7457">
        <w:rPr>
          <w:rFonts w:ascii="Palatino Linotype" w:eastAsia="Palatino Linotype" w:hAnsi="Palatino Linotype" w:cs="Palatino Linotype"/>
          <w:b/>
        </w:rPr>
        <w:t xml:space="preserve">Primero. </w:t>
      </w:r>
      <w:r w:rsidRPr="00BA7457">
        <w:rPr>
          <w:rFonts w:ascii="Palatino Linotype" w:eastAsia="Palatino Linotype" w:hAnsi="Palatino Linotype" w:cs="Palatino Linotype"/>
        </w:rPr>
        <w:t xml:space="preserve">Resultan </w:t>
      </w:r>
      <w:r w:rsidRPr="00BA7457">
        <w:rPr>
          <w:rFonts w:ascii="Palatino Linotype" w:eastAsia="Palatino Linotype" w:hAnsi="Palatino Linotype" w:cs="Palatino Linotype"/>
          <w:b/>
        </w:rPr>
        <w:t>fundadas</w:t>
      </w:r>
      <w:r w:rsidRPr="00BA7457">
        <w:rPr>
          <w:rFonts w:ascii="Palatino Linotype" w:eastAsia="Palatino Linotype" w:hAnsi="Palatino Linotype" w:cs="Palatino Linotype"/>
        </w:rPr>
        <w:t xml:space="preserve"> las razones o motivos de inconformidad hechos valer por </w:t>
      </w:r>
      <w:r w:rsidRPr="00BA7457">
        <w:rPr>
          <w:rFonts w:ascii="Palatino Linotype" w:eastAsia="Palatino Linotype" w:hAnsi="Palatino Linotype" w:cs="Palatino Linotype"/>
          <w:b/>
        </w:rPr>
        <w:t>la parte Recurrente</w:t>
      </w:r>
      <w:r w:rsidRPr="00BA7457">
        <w:rPr>
          <w:rFonts w:ascii="Palatino Linotype" w:eastAsia="Palatino Linotype" w:hAnsi="Palatino Linotype" w:cs="Palatino Linotype"/>
        </w:rPr>
        <w:t xml:space="preserve"> en el recurso de revisión </w:t>
      </w:r>
      <w:r w:rsidRPr="00BA7457">
        <w:rPr>
          <w:rFonts w:ascii="Palatino Linotype" w:eastAsia="Palatino Linotype" w:hAnsi="Palatino Linotype" w:cs="Palatino Linotype"/>
          <w:b/>
        </w:rPr>
        <w:t>01104/INFOEM/IP/RR/2023</w:t>
      </w:r>
      <w:r w:rsidRPr="00BA7457">
        <w:rPr>
          <w:rFonts w:ascii="Palatino Linotype" w:eastAsia="Palatino Linotype" w:hAnsi="Palatino Linotype" w:cs="Palatino Linotype"/>
        </w:rPr>
        <w:t xml:space="preserve">; por lo que, en términos del </w:t>
      </w:r>
      <w:r w:rsidRPr="00BA7457">
        <w:rPr>
          <w:rFonts w:ascii="Palatino Linotype" w:eastAsia="Palatino Linotype" w:hAnsi="Palatino Linotype" w:cs="Palatino Linotype"/>
          <w:b/>
        </w:rPr>
        <w:t>Considerando</w:t>
      </w:r>
      <w:r w:rsidRPr="00BA7457">
        <w:rPr>
          <w:rFonts w:ascii="Palatino Linotype" w:eastAsia="Palatino Linotype" w:hAnsi="Palatino Linotype" w:cs="Palatino Linotype"/>
        </w:rPr>
        <w:t xml:space="preserve"> </w:t>
      </w:r>
      <w:r w:rsidRPr="00BA7457">
        <w:rPr>
          <w:rFonts w:ascii="Palatino Linotype" w:eastAsia="Palatino Linotype" w:hAnsi="Palatino Linotype" w:cs="Palatino Linotype"/>
          <w:b/>
        </w:rPr>
        <w:t xml:space="preserve">Cuarto </w:t>
      </w:r>
      <w:r w:rsidRPr="00BA7457">
        <w:rPr>
          <w:rFonts w:ascii="Palatino Linotype" w:eastAsia="Palatino Linotype" w:hAnsi="Palatino Linotype" w:cs="Palatino Linotype"/>
        </w:rPr>
        <w:t xml:space="preserve">de esta resolución, se </w:t>
      </w:r>
      <w:r w:rsidRPr="00BA7457">
        <w:rPr>
          <w:rFonts w:ascii="Palatino Linotype" w:eastAsia="Palatino Linotype" w:hAnsi="Palatino Linotype" w:cs="Palatino Linotype"/>
          <w:b/>
        </w:rPr>
        <w:t xml:space="preserve">MODIFICA </w:t>
      </w:r>
      <w:r w:rsidRPr="00BA7457">
        <w:rPr>
          <w:rFonts w:ascii="Palatino Linotype" w:eastAsia="Palatino Linotype" w:hAnsi="Palatino Linotype" w:cs="Palatino Linotype"/>
        </w:rPr>
        <w:t xml:space="preserve">la respuesta emitida por el </w:t>
      </w:r>
      <w:r w:rsidRPr="00BA7457">
        <w:rPr>
          <w:rFonts w:ascii="Palatino Linotype" w:eastAsia="Palatino Linotype" w:hAnsi="Palatino Linotype" w:cs="Palatino Linotype"/>
          <w:b/>
        </w:rPr>
        <w:t>Sujeto Obligado.</w:t>
      </w:r>
    </w:p>
    <w:p w:rsidR="00377CAA" w:rsidRPr="00BA7457" w:rsidRDefault="00E27F02">
      <w:pPr>
        <w:spacing w:before="240" w:after="240" w:line="360" w:lineRule="auto"/>
        <w:ind w:right="49"/>
        <w:jc w:val="both"/>
        <w:rPr>
          <w:rFonts w:ascii="Palatino Linotype" w:eastAsia="Palatino Linotype" w:hAnsi="Palatino Linotype" w:cs="Palatino Linotype"/>
          <w:b/>
        </w:rPr>
      </w:pPr>
      <w:r w:rsidRPr="00BA7457">
        <w:rPr>
          <w:rFonts w:ascii="Palatino Linotype" w:eastAsia="Palatino Linotype" w:hAnsi="Palatino Linotype" w:cs="Palatino Linotype"/>
          <w:b/>
        </w:rPr>
        <w:lastRenderedPageBreak/>
        <w:t xml:space="preserve">Segundo. </w:t>
      </w:r>
      <w:r w:rsidRPr="00BA7457">
        <w:rPr>
          <w:rFonts w:ascii="Palatino Linotype" w:eastAsia="Palatino Linotype" w:hAnsi="Palatino Linotype" w:cs="Palatino Linotype"/>
        </w:rPr>
        <w:t xml:space="preserve">Se </w:t>
      </w:r>
      <w:r w:rsidRPr="00BA7457">
        <w:rPr>
          <w:rFonts w:ascii="Palatino Linotype" w:eastAsia="Palatino Linotype" w:hAnsi="Palatino Linotype" w:cs="Palatino Linotype"/>
          <w:b/>
        </w:rPr>
        <w:t xml:space="preserve">Ordena </w:t>
      </w:r>
      <w:r w:rsidRPr="00BA7457">
        <w:rPr>
          <w:rFonts w:ascii="Palatino Linotype" w:eastAsia="Palatino Linotype" w:hAnsi="Palatino Linotype" w:cs="Palatino Linotype"/>
        </w:rPr>
        <w:t xml:space="preserve">al </w:t>
      </w:r>
      <w:r w:rsidRPr="00BA7457">
        <w:rPr>
          <w:rFonts w:ascii="Palatino Linotype" w:eastAsia="Palatino Linotype" w:hAnsi="Palatino Linotype" w:cs="Palatino Linotype"/>
          <w:b/>
        </w:rPr>
        <w:t>Sujeto Obligado</w:t>
      </w:r>
      <w:r w:rsidRPr="00BA7457">
        <w:rPr>
          <w:rFonts w:ascii="Palatino Linotype" w:eastAsia="Palatino Linotype" w:hAnsi="Palatino Linotype" w:cs="Palatino Linotype"/>
        </w:rPr>
        <w:t xml:space="preserve"> entregue, a</w:t>
      </w:r>
      <w:r w:rsidRPr="00BA7457">
        <w:rPr>
          <w:rFonts w:ascii="Palatino Linotype" w:eastAsia="Palatino Linotype" w:hAnsi="Palatino Linotype" w:cs="Palatino Linotype"/>
          <w:b/>
        </w:rPr>
        <w:t xml:space="preserve"> la parte</w:t>
      </w:r>
      <w:r w:rsidRPr="00BA7457">
        <w:rPr>
          <w:rFonts w:ascii="Palatino Linotype" w:eastAsia="Palatino Linotype" w:hAnsi="Palatino Linotype" w:cs="Palatino Linotype"/>
        </w:rPr>
        <w:t xml:space="preserve"> </w:t>
      </w:r>
      <w:r w:rsidRPr="00BA7457">
        <w:rPr>
          <w:rFonts w:ascii="Palatino Linotype" w:eastAsia="Palatino Linotype" w:hAnsi="Palatino Linotype" w:cs="Palatino Linotype"/>
          <w:b/>
        </w:rPr>
        <w:t>Recurrente</w:t>
      </w:r>
      <w:r w:rsidRPr="00BA7457">
        <w:rPr>
          <w:rFonts w:ascii="Palatino Linotype" w:eastAsia="Palatino Linotype" w:hAnsi="Palatino Linotype" w:cs="Palatino Linotype"/>
        </w:rPr>
        <w:t xml:space="preserve">, </w:t>
      </w:r>
      <w:r w:rsidRPr="00BA7457">
        <w:rPr>
          <w:rFonts w:ascii="Palatino Linotype" w:eastAsia="Palatino Linotype" w:hAnsi="Palatino Linotype" w:cs="Palatino Linotype"/>
          <w:b/>
        </w:rPr>
        <w:t xml:space="preserve">vía SAIMEX, </w:t>
      </w:r>
      <w:r w:rsidRPr="00BA7457">
        <w:rPr>
          <w:rFonts w:ascii="Palatino Linotype" w:eastAsia="Palatino Linotype" w:hAnsi="Palatino Linotype" w:cs="Palatino Linotype"/>
        </w:rPr>
        <w:t>en términos de los</w:t>
      </w:r>
      <w:r w:rsidRPr="00BA7457">
        <w:rPr>
          <w:rFonts w:ascii="Palatino Linotype" w:eastAsia="Palatino Linotype" w:hAnsi="Palatino Linotype" w:cs="Palatino Linotype"/>
          <w:b/>
        </w:rPr>
        <w:t xml:space="preserve"> Considerandos</w:t>
      </w:r>
      <w:r w:rsidRPr="00BA7457">
        <w:rPr>
          <w:rFonts w:ascii="Palatino Linotype" w:eastAsia="Palatino Linotype" w:hAnsi="Palatino Linotype" w:cs="Palatino Linotype"/>
        </w:rPr>
        <w:t xml:space="preserve"> </w:t>
      </w:r>
      <w:r w:rsidRPr="00BA7457">
        <w:rPr>
          <w:rFonts w:ascii="Palatino Linotype" w:eastAsia="Palatino Linotype" w:hAnsi="Palatino Linotype" w:cs="Palatino Linotype"/>
          <w:b/>
        </w:rPr>
        <w:t>Cuarto y Quinto, en versión pública de ser procedente, de lo siguiente:</w:t>
      </w:r>
    </w:p>
    <w:p w:rsidR="00377CAA" w:rsidRPr="00BA7457" w:rsidRDefault="00E27F02">
      <w:pPr>
        <w:numPr>
          <w:ilvl w:val="0"/>
          <w:numId w:val="6"/>
        </w:numPr>
        <w:pBdr>
          <w:top w:val="nil"/>
          <w:left w:val="nil"/>
          <w:bottom w:val="nil"/>
          <w:right w:val="nil"/>
          <w:between w:val="nil"/>
        </w:pBdr>
        <w:spacing w:before="240" w:line="360" w:lineRule="auto"/>
        <w:ind w:left="567" w:right="900" w:firstLine="0"/>
        <w:jc w:val="both"/>
        <w:rPr>
          <w:rFonts w:ascii="Palatino Linotype" w:eastAsia="Palatino Linotype" w:hAnsi="Palatino Linotype" w:cs="Palatino Linotype"/>
          <w:b/>
          <w:sz w:val="22"/>
          <w:szCs w:val="22"/>
        </w:rPr>
      </w:pPr>
      <w:r w:rsidRPr="00BA7457">
        <w:rPr>
          <w:rFonts w:ascii="Palatino Linotype" w:eastAsia="Palatino Linotype" w:hAnsi="Palatino Linotype" w:cs="Palatino Linotype"/>
          <w:b/>
          <w:sz w:val="22"/>
          <w:szCs w:val="22"/>
        </w:rPr>
        <w:t>De los inmuebles que cuentan con las claves catastrales 101 05 201 01 y 101 02 733 17:</w:t>
      </w:r>
    </w:p>
    <w:p w:rsidR="00377CAA" w:rsidRPr="00BA7457" w:rsidRDefault="00E27F0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1.- Todos los documentos que acrediten la propiedad y posesión a favor del ayuntamiento, generados al 26 de enero de 2023.</w:t>
      </w:r>
    </w:p>
    <w:p w:rsidR="00377CAA" w:rsidRPr="00BA7457" w:rsidRDefault="00E27F02">
      <w:pPr>
        <w:pBdr>
          <w:top w:val="nil"/>
          <w:left w:val="nil"/>
          <w:bottom w:val="nil"/>
          <w:right w:val="nil"/>
          <w:between w:val="nil"/>
        </w:pBdr>
        <w:spacing w:after="240" w:line="276" w:lineRule="auto"/>
        <w:ind w:left="567" w:right="900"/>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2.- Todos los documentos y planos manzaneros o catastrales que acrediten las medidas, colindancias y superficie del inmueble, generados al 26 de enero de 2023.</w:t>
      </w:r>
    </w:p>
    <w:p w:rsidR="00377CAA" w:rsidRPr="00BA7457" w:rsidRDefault="00E27F02">
      <w:pPr>
        <w:pBdr>
          <w:top w:val="nil"/>
          <w:left w:val="nil"/>
          <w:bottom w:val="nil"/>
          <w:right w:val="nil"/>
          <w:between w:val="nil"/>
        </w:pBdr>
        <w:spacing w:after="240" w:line="276" w:lineRule="auto"/>
        <w:ind w:left="567" w:right="900"/>
        <w:jc w:val="both"/>
        <w:rPr>
          <w:rFonts w:ascii="Palatino Linotype" w:eastAsia="Palatino Linotype" w:hAnsi="Palatino Linotype" w:cs="Palatino Linotype"/>
          <w:i/>
          <w:sz w:val="22"/>
          <w:szCs w:val="22"/>
        </w:rPr>
      </w:pPr>
      <w:r w:rsidRPr="00BA7457">
        <w:rPr>
          <w:rFonts w:ascii="Palatino Linotype" w:eastAsia="Palatino Linotype" w:hAnsi="Palatino Linotype" w:cs="Palatino Linotype"/>
          <w:i/>
          <w:sz w:val="22"/>
          <w:szCs w:val="22"/>
        </w:rPr>
        <w:t xml:space="preserve">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BA7457">
        <w:rPr>
          <w:rFonts w:ascii="Palatino Linotype" w:eastAsia="Palatino Linotype" w:hAnsi="Palatino Linotype" w:cs="Palatino Linotype"/>
          <w:b/>
          <w:i/>
          <w:sz w:val="22"/>
          <w:szCs w:val="22"/>
        </w:rPr>
        <w:t>la parte Recurrente</w:t>
      </w:r>
      <w:r w:rsidRPr="00BA7457">
        <w:rPr>
          <w:rFonts w:ascii="Palatino Linotype" w:eastAsia="Palatino Linotype" w:hAnsi="Palatino Linotype" w:cs="Palatino Linotype"/>
          <w:i/>
          <w:sz w:val="22"/>
          <w:szCs w:val="22"/>
        </w:rPr>
        <w:t>, mismo que igualmente hará de su conocimiento.</w:t>
      </w:r>
    </w:p>
    <w:p w:rsidR="00377CAA" w:rsidRPr="00BA7457" w:rsidRDefault="00E27F02">
      <w:pPr>
        <w:spacing w:before="240" w:after="240" w:line="360" w:lineRule="auto"/>
        <w:jc w:val="both"/>
        <w:rPr>
          <w:rFonts w:ascii="Palatino Linotype" w:eastAsia="Palatino Linotype" w:hAnsi="Palatino Linotype" w:cs="Palatino Linotype"/>
        </w:rPr>
      </w:pPr>
      <w:bookmarkStart w:id="9" w:name="_heading=h.1fob9te" w:colFirst="0" w:colLast="0"/>
      <w:bookmarkEnd w:id="9"/>
      <w:r w:rsidRPr="00BA7457">
        <w:rPr>
          <w:rFonts w:ascii="Palatino Linotype" w:eastAsia="Palatino Linotype" w:hAnsi="Palatino Linotype" w:cs="Palatino Linotype"/>
          <w:b/>
        </w:rPr>
        <w:t>Tercero</w:t>
      </w:r>
      <w:r w:rsidRPr="00BA7457">
        <w:rPr>
          <w:rFonts w:ascii="Palatino Linotype" w:eastAsia="Palatino Linotype" w:hAnsi="Palatino Linotype" w:cs="Palatino Linotype"/>
          <w:b/>
          <w:sz w:val="28"/>
          <w:szCs w:val="28"/>
        </w:rPr>
        <w:t xml:space="preserve">.  </w:t>
      </w:r>
      <w:r w:rsidRPr="00BA7457">
        <w:rPr>
          <w:rFonts w:ascii="Palatino Linotype" w:eastAsia="Palatino Linotype" w:hAnsi="Palatino Linotype" w:cs="Palatino Linotype"/>
          <w:b/>
        </w:rPr>
        <w:t>Notifíquese vía SAIMEX,</w:t>
      </w:r>
      <w:r w:rsidRPr="00BA7457">
        <w:rPr>
          <w:rFonts w:ascii="Palatino Linotype" w:eastAsia="Palatino Linotype" w:hAnsi="Palatino Linotype" w:cs="Palatino Linotype"/>
          <w:b/>
          <w:sz w:val="28"/>
          <w:szCs w:val="28"/>
        </w:rPr>
        <w:t xml:space="preserve"> </w:t>
      </w:r>
      <w:r w:rsidRPr="00BA7457">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377CAA" w:rsidRPr="00BA7457" w:rsidRDefault="00E27F02">
      <w:pPr>
        <w:spacing w:before="240" w:after="240"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b/>
        </w:rPr>
        <w:lastRenderedPageBreak/>
        <w:t>Cuarto</w:t>
      </w:r>
      <w:r w:rsidRPr="00BA7457">
        <w:rPr>
          <w:rFonts w:ascii="Palatino Linotype" w:eastAsia="Palatino Linotype" w:hAnsi="Palatino Linotype" w:cs="Palatino Linotype"/>
          <w:b/>
          <w:sz w:val="28"/>
          <w:szCs w:val="28"/>
        </w:rPr>
        <w:t xml:space="preserve">. </w:t>
      </w:r>
      <w:r w:rsidRPr="00BA7457">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BA7457">
        <w:rPr>
          <w:rFonts w:ascii="Palatino Linotype" w:eastAsia="Palatino Linotype" w:hAnsi="Palatino Linotype" w:cs="Palatino Linotype"/>
          <w:b/>
        </w:rPr>
        <w:t>Sujeto Obligado</w:t>
      </w:r>
      <w:r w:rsidRPr="00BA7457">
        <w:rPr>
          <w:rFonts w:ascii="Palatino Linotype" w:eastAsia="Palatino Linotype" w:hAnsi="Palatino Linotype" w:cs="Palatino Linotype"/>
        </w:rPr>
        <w:t xml:space="preserve"> de manera fundada y motivada, podrá solicitar una ampliación de plazo para el cumplimiento de la presente resolución.</w:t>
      </w:r>
    </w:p>
    <w:p w:rsidR="00377CAA" w:rsidRPr="00BA7457" w:rsidRDefault="00E27F02">
      <w:pPr>
        <w:tabs>
          <w:tab w:val="left" w:pos="142"/>
        </w:tabs>
        <w:spacing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b/>
        </w:rPr>
        <w:t>Quinto</w:t>
      </w:r>
      <w:r w:rsidRPr="00BA7457">
        <w:rPr>
          <w:rFonts w:ascii="Palatino Linotype" w:eastAsia="Palatino Linotype" w:hAnsi="Palatino Linotype" w:cs="Palatino Linotype"/>
          <w:b/>
          <w:sz w:val="28"/>
          <w:szCs w:val="28"/>
        </w:rPr>
        <w:t xml:space="preserve">. </w:t>
      </w:r>
      <w:r w:rsidRPr="00BA7457">
        <w:rPr>
          <w:rFonts w:ascii="Palatino Linotype" w:eastAsia="Palatino Linotype" w:hAnsi="Palatino Linotype" w:cs="Palatino Linotype"/>
          <w:b/>
        </w:rPr>
        <w:t xml:space="preserve">Notifíquese, </w:t>
      </w:r>
      <w:r w:rsidRPr="00BA7457">
        <w:rPr>
          <w:rFonts w:ascii="Palatino Linotype" w:eastAsia="Palatino Linotype" w:hAnsi="Palatino Linotype" w:cs="Palatino Linotype"/>
        </w:rPr>
        <w:t xml:space="preserve">vía </w:t>
      </w:r>
      <w:r w:rsidRPr="00BA7457">
        <w:rPr>
          <w:rFonts w:ascii="Palatino Linotype" w:eastAsia="Palatino Linotype" w:hAnsi="Palatino Linotype" w:cs="Palatino Linotype"/>
          <w:b/>
        </w:rPr>
        <w:t>SAIMEX</w:t>
      </w:r>
      <w:r w:rsidRPr="00BA7457">
        <w:rPr>
          <w:rFonts w:ascii="Palatino Linotype" w:eastAsia="Palatino Linotype" w:hAnsi="Palatino Linotype" w:cs="Palatino Linotype"/>
        </w:rPr>
        <w:t xml:space="preserve">, a </w:t>
      </w:r>
      <w:r w:rsidRPr="00BA7457">
        <w:rPr>
          <w:rFonts w:ascii="Palatino Linotype" w:eastAsia="Palatino Linotype" w:hAnsi="Palatino Linotype" w:cs="Palatino Linotype"/>
          <w:b/>
        </w:rPr>
        <w:t>la parte Recurrente</w:t>
      </w:r>
      <w:r w:rsidRPr="00BA7457">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r w:rsidRPr="00BA7457">
        <w:rPr>
          <w:rFonts w:ascii="Palatino Linotype" w:eastAsia="Palatino Linotype" w:hAnsi="Palatino Linotype" w:cs="Palatino Linotype"/>
          <w:b/>
        </w:rPr>
        <w:t>.</w:t>
      </w:r>
    </w:p>
    <w:p w:rsidR="00377CAA" w:rsidRPr="00BA7457" w:rsidRDefault="00E27F02">
      <w:pPr>
        <w:spacing w:before="240" w:after="240" w:line="360" w:lineRule="auto"/>
        <w:jc w:val="both"/>
        <w:rPr>
          <w:rFonts w:ascii="Palatino Linotype" w:eastAsia="Palatino Linotype" w:hAnsi="Palatino Linotype" w:cs="Palatino Linotype"/>
        </w:rPr>
      </w:pPr>
      <w:r w:rsidRPr="00BA7457">
        <w:rPr>
          <w:rFonts w:ascii="Palatino Linotype" w:eastAsia="Palatino Linotype" w:hAnsi="Palatino Linotype" w:cs="Palatino Linotype"/>
        </w:rPr>
        <w:t>ASÍ LO APROBÓ POR UNANIMIDAD DE VOTOS EL PLENO DEL INSTITUTO DE TRANSPARENCIA, ACCESO A LA INFORMACIÓN PÚBLICA Y PROTECCIÓN DE DATOS PERSONALES DEL ESTADO DE MEXICO Y MUNICIPIOS, CONFORMADO POR LOS COMISIONADOS JOSÉ MARTÍNEZ VILCHIS; MARÍA DEL ROSARIO MEJÍA AYALA, SHARON CRISTINA MORALES MARTÍNEZ, LUIS GUSTAVO PARRA NORIEGA Y GUADALUPE RAMÍREZ PEÑA; EN LA CUADRAGÉSIMA PRIMERA SESIÓN ORDINARIA CELEBRADA EL QUINCE DE NOVIEMBRE DE DOS MIL VEINTITRÉS, ANTE EL SECRETARIO TÉCNICO DEL PLENO ALEXIS TAPIA RAMÍREZ.</w:t>
      </w:r>
    </w:p>
    <w:p w:rsidR="00377CAA" w:rsidRPr="00BA7457" w:rsidRDefault="00377CAA">
      <w:pPr>
        <w:spacing w:before="240" w:after="240" w:line="360" w:lineRule="auto"/>
        <w:jc w:val="both"/>
        <w:rPr>
          <w:rFonts w:ascii="Palatino Linotype" w:eastAsia="Palatino Linotype" w:hAnsi="Palatino Linotype" w:cs="Palatino Linotype"/>
        </w:rPr>
      </w:pPr>
    </w:p>
    <w:p w:rsidR="00377CAA" w:rsidRPr="00BA7457" w:rsidRDefault="00377CAA">
      <w:pPr>
        <w:spacing w:before="240" w:after="240" w:line="360" w:lineRule="auto"/>
        <w:jc w:val="both"/>
        <w:rPr>
          <w:rFonts w:ascii="Palatino Linotype" w:eastAsia="Palatino Linotype" w:hAnsi="Palatino Linotype" w:cs="Palatino Linotype"/>
        </w:rPr>
      </w:pPr>
    </w:p>
    <w:p w:rsidR="00377CAA" w:rsidRPr="00BA7457" w:rsidRDefault="00377CAA">
      <w:pPr>
        <w:spacing w:before="240" w:after="240" w:line="360" w:lineRule="auto"/>
        <w:jc w:val="both"/>
        <w:rPr>
          <w:rFonts w:ascii="Palatino Linotype" w:eastAsia="Palatino Linotype" w:hAnsi="Palatino Linotype" w:cs="Palatino Linotype"/>
        </w:rPr>
      </w:pPr>
    </w:p>
    <w:p w:rsidR="00377CAA" w:rsidRPr="00BA7457" w:rsidRDefault="00377CAA">
      <w:pPr>
        <w:spacing w:before="240" w:after="240" w:line="360" w:lineRule="auto"/>
        <w:jc w:val="both"/>
        <w:rPr>
          <w:rFonts w:ascii="Palatino Linotype" w:eastAsia="Palatino Linotype" w:hAnsi="Palatino Linotype" w:cs="Palatino Linotype"/>
        </w:rPr>
      </w:pPr>
    </w:p>
    <w:p w:rsidR="00377CAA" w:rsidRPr="00BA7457" w:rsidRDefault="00377CAA">
      <w:pPr>
        <w:spacing w:before="240" w:after="240" w:line="360" w:lineRule="auto"/>
        <w:jc w:val="both"/>
        <w:rPr>
          <w:rFonts w:ascii="Palatino Linotype" w:eastAsia="Palatino Linotype" w:hAnsi="Palatino Linotype" w:cs="Palatino Linotype"/>
        </w:rPr>
      </w:pPr>
    </w:p>
    <w:p w:rsidR="00377CAA" w:rsidRPr="00BA7457" w:rsidRDefault="00377CAA">
      <w:pPr>
        <w:spacing w:before="240" w:after="240" w:line="360" w:lineRule="auto"/>
        <w:jc w:val="both"/>
        <w:rPr>
          <w:rFonts w:ascii="Palatino Linotype" w:eastAsia="Palatino Linotype" w:hAnsi="Palatino Linotype" w:cs="Palatino Linotype"/>
        </w:rPr>
      </w:pPr>
    </w:p>
    <w:p w:rsidR="00377CAA" w:rsidRPr="00BA7457" w:rsidRDefault="00377CAA">
      <w:pPr>
        <w:spacing w:before="240" w:after="240" w:line="360" w:lineRule="auto"/>
        <w:jc w:val="both"/>
        <w:rPr>
          <w:rFonts w:ascii="Palatino Linotype" w:eastAsia="Palatino Linotype" w:hAnsi="Palatino Linotype" w:cs="Palatino Linotype"/>
        </w:rPr>
      </w:pPr>
    </w:p>
    <w:p w:rsidR="00377CAA" w:rsidRPr="00BA7457" w:rsidRDefault="00377CAA">
      <w:pPr>
        <w:spacing w:before="240" w:after="240" w:line="360" w:lineRule="auto"/>
        <w:jc w:val="both"/>
        <w:rPr>
          <w:rFonts w:ascii="Palatino Linotype" w:eastAsia="Palatino Linotype" w:hAnsi="Palatino Linotype" w:cs="Palatino Linotype"/>
        </w:rPr>
      </w:pPr>
    </w:p>
    <w:p w:rsidR="00377CAA" w:rsidRPr="00BA7457" w:rsidRDefault="00377CAA">
      <w:pPr>
        <w:spacing w:before="240" w:after="240" w:line="360" w:lineRule="auto"/>
        <w:jc w:val="both"/>
        <w:rPr>
          <w:rFonts w:ascii="Palatino Linotype" w:eastAsia="Palatino Linotype" w:hAnsi="Palatino Linotype" w:cs="Palatino Linotype"/>
        </w:rPr>
      </w:pPr>
    </w:p>
    <w:p w:rsidR="00377CAA" w:rsidRPr="00BA7457" w:rsidRDefault="00377CAA">
      <w:pPr>
        <w:spacing w:before="240" w:after="240" w:line="360" w:lineRule="auto"/>
        <w:jc w:val="both"/>
        <w:rPr>
          <w:rFonts w:ascii="Palatino Linotype" w:eastAsia="Palatino Linotype" w:hAnsi="Palatino Linotype" w:cs="Palatino Linotype"/>
        </w:rPr>
      </w:pPr>
    </w:p>
    <w:p w:rsidR="00377CAA" w:rsidRPr="00BA7457" w:rsidRDefault="00377CAA">
      <w:pPr>
        <w:spacing w:before="240" w:after="240" w:line="360" w:lineRule="auto"/>
        <w:jc w:val="both"/>
        <w:rPr>
          <w:rFonts w:ascii="Palatino Linotype" w:eastAsia="Palatino Linotype" w:hAnsi="Palatino Linotype" w:cs="Palatino Linotype"/>
        </w:rPr>
      </w:pPr>
    </w:p>
    <w:p w:rsidR="00377CAA" w:rsidRPr="00BA7457" w:rsidRDefault="00377CAA">
      <w:pPr>
        <w:spacing w:before="240" w:after="240" w:line="360" w:lineRule="auto"/>
        <w:jc w:val="both"/>
        <w:rPr>
          <w:rFonts w:ascii="Palatino Linotype" w:eastAsia="Palatino Linotype" w:hAnsi="Palatino Linotype" w:cs="Palatino Linotype"/>
        </w:rPr>
      </w:pPr>
    </w:p>
    <w:p w:rsidR="00377CAA" w:rsidRPr="00BA7457" w:rsidRDefault="00377CAA">
      <w:pPr>
        <w:spacing w:before="240" w:after="240" w:line="360" w:lineRule="auto"/>
        <w:jc w:val="both"/>
        <w:rPr>
          <w:rFonts w:ascii="Palatino Linotype" w:eastAsia="Palatino Linotype" w:hAnsi="Palatino Linotype" w:cs="Palatino Linotype"/>
        </w:rPr>
      </w:pPr>
    </w:p>
    <w:p w:rsidR="00377CAA" w:rsidRPr="00BA7457" w:rsidRDefault="00377CAA">
      <w:pPr>
        <w:spacing w:before="240" w:after="240" w:line="360" w:lineRule="auto"/>
        <w:jc w:val="both"/>
        <w:rPr>
          <w:rFonts w:ascii="Palatino Linotype" w:eastAsia="Palatino Linotype" w:hAnsi="Palatino Linotype" w:cs="Palatino Linotype"/>
        </w:rPr>
      </w:pPr>
    </w:p>
    <w:p w:rsidR="00377CAA" w:rsidRPr="00BA7457" w:rsidRDefault="00377CAA">
      <w:pPr>
        <w:spacing w:before="240" w:after="240" w:line="360" w:lineRule="auto"/>
        <w:jc w:val="both"/>
        <w:rPr>
          <w:rFonts w:ascii="Palatino Linotype" w:eastAsia="Palatino Linotype" w:hAnsi="Palatino Linotype" w:cs="Palatino Linotype"/>
        </w:rPr>
      </w:pPr>
    </w:p>
    <w:sectPr w:rsidR="00377CAA" w:rsidRPr="00BA7457">
      <w:headerReference w:type="default" r:id="rId26"/>
      <w:footerReference w:type="default" r:id="rId27"/>
      <w:headerReference w:type="first" r:id="rId28"/>
      <w:footerReference w:type="first" r:id="rId2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613F" w:rsidRDefault="006C613F">
      <w:r>
        <w:separator/>
      </w:r>
    </w:p>
  </w:endnote>
  <w:endnote w:type="continuationSeparator" w:id="0">
    <w:p w:rsidR="006C613F" w:rsidRDefault="006C6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CAA" w:rsidRDefault="00E27F0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C5338">
      <w:rPr>
        <w:rFonts w:ascii="Palatino Linotype" w:eastAsia="Palatino Linotype" w:hAnsi="Palatino Linotype" w:cs="Palatino Linotype"/>
        <w:b/>
        <w:noProof/>
        <w:color w:val="000000"/>
        <w:sz w:val="20"/>
        <w:szCs w:val="20"/>
      </w:rPr>
      <w:t>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C5338">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p>
  <w:p w:rsidR="00377CAA" w:rsidRDefault="00377CAA">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CAA" w:rsidRDefault="00E27F0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C5338">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C5338">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p>
  <w:p w:rsidR="00377CAA" w:rsidRDefault="00377CAA">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613F" w:rsidRDefault="006C613F">
      <w:r>
        <w:separator/>
      </w:r>
    </w:p>
  </w:footnote>
  <w:footnote w:type="continuationSeparator" w:id="0">
    <w:p w:rsidR="006C613F" w:rsidRDefault="006C61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CAA" w:rsidRDefault="00E27F02">
    <w:pPr>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-1127121</wp:posOffset>
          </wp:positionH>
          <wp:positionV relativeFrom="paragraph">
            <wp:posOffset>-344801</wp:posOffset>
          </wp:positionV>
          <wp:extent cx="7809865" cy="10165715"/>
          <wp:effectExtent l="0" t="0" r="0" b="0"/>
          <wp:wrapNone/>
          <wp:docPr id="9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9"/>
      <w:tblW w:w="6945" w:type="dxa"/>
      <w:tblInd w:w="3261" w:type="dxa"/>
      <w:tblLayout w:type="fixed"/>
      <w:tblLook w:val="0400" w:firstRow="0" w:lastRow="0" w:firstColumn="0" w:lastColumn="0" w:noHBand="0" w:noVBand="1"/>
    </w:tblPr>
    <w:tblGrid>
      <w:gridCol w:w="2489"/>
      <w:gridCol w:w="4456"/>
    </w:tblGrid>
    <w:tr w:rsidR="00377CAA">
      <w:tc>
        <w:tcPr>
          <w:tcW w:w="2489" w:type="dxa"/>
          <w:shd w:val="clear" w:color="auto" w:fill="auto"/>
        </w:tcPr>
        <w:p w:rsidR="00377CAA" w:rsidRDefault="00E27F0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shd w:val="clear" w:color="auto" w:fill="auto"/>
          <w:vAlign w:val="center"/>
        </w:tcPr>
        <w:p w:rsidR="00377CAA" w:rsidRDefault="00E27F02">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01104/INFOEM/IP/RR/2023</w:t>
          </w:r>
        </w:p>
        <w:p w:rsidR="00377CAA" w:rsidRDefault="00377CAA">
          <w:pPr>
            <w:ind w:left="-53" w:right="175"/>
            <w:jc w:val="both"/>
            <w:rPr>
              <w:rFonts w:ascii="Palatino Linotype" w:eastAsia="Palatino Linotype" w:hAnsi="Palatino Linotype" w:cs="Palatino Linotype"/>
              <w:b/>
              <w:sz w:val="22"/>
              <w:szCs w:val="22"/>
            </w:rPr>
          </w:pPr>
        </w:p>
      </w:tc>
    </w:tr>
    <w:tr w:rsidR="00377CAA">
      <w:trPr>
        <w:trHeight w:val="228"/>
      </w:trPr>
      <w:tc>
        <w:tcPr>
          <w:tcW w:w="2489" w:type="dxa"/>
          <w:shd w:val="clear" w:color="auto" w:fill="auto"/>
          <w:vAlign w:val="center"/>
        </w:tcPr>
        <w:p w:rsidR="00377CAA" w:rsidRDefault="00E27F0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shd w:val="clear" w:color="auto" w:fill="auto"/>
          <w:vAlign w:val="center"/>
        </w:tcPr>
        <w:p w:rsidR="00377CAA" w:rsidRDefault="00E27F02">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377CAA">
      <w:tc>
        <w:tcPr>
          <w:tcW w:w="2489" w:type="dxa"/>
          <w:shd w:val="clear" w:color="auto" w:fill="auto"/>
          <w:vAlign w:val="center"/>
        </w:tcPr>
        <w:p w:rsidR="00377CAA" w:rsidRDefault="00E27F02">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shd w:val="clear" w:color="auto" w:fill="auto"/>
          <w:vAlign w:val="center"/>
        </w:tcPr>
        <w:p w:rsidR="00377CAA" w:rsidRDefault="00E27F02">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377CAA" w:rsidRDefault="00E27F02">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CAA" w:rsidRDefault="00E27F0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simplePos x="0" y="0"/>
          <wp:positionH relativeFrom="column">
            <wp:posOffset>-1035683</wp:posOffset>
          </wp:positionH>
          <wp:positionV relativeFrom="paragraph">
            <wp:posOffset>-383538</wp:posOffset>
          </wp:positionV>
          <wp:extent cx="7809865" cy="10165715"/>
          <wp:effectExtent l="0" t="0" r="0" b="0"/>
          <wp:wrapNone/>
          <wp:docPr id="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6520" w:type="dxa"/>
      <w:tblInd w:w="3261" w:type="dxa"/>
      <w:tblLayout w:type="fixed"/>
      <w:tblLook w:val="0400" w:firstRow="0" w:lastRow="0" w:firstColumn="0" w:lastColumn="0" w:noHBand="0" w:noVBand="1"/>
    </w:tblPr>
    <w:tblGrid>
      <w:gridCol w:w="2551"/>
      <w:gridCol w:w="3969"/>
    </w:tblGrid>
    <w:tr w:rsidR="00377CAA">
      <w:tc>
        <w:tcPr>
          <w:tcW w:w="2551" w:type="dxa"/>
          <w:shd w:val="clear" w:color="auto" w:fill="auto"/>
          <w:vAlign w:val="center"/>
        </w:tcPr>
        <w:p w:rsidR="00377CAA" w:rsidRDefault="00E27F0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rsidR="00377CAA" w:rsidRDefault="00E27F02">
          <w:pPr>
            <w:tabs>
              <w:tab w:val="left" w:pos="3153"/>
            </w:tabs>
            <w:ind w:lef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01104/INFOEM/IP/RR/2023</w:t>
          </w:r>
        </w:p>
      </w:tc>
    </w:tr>
    <w:tr w:rsidR="00377CAA">
      <w:trPr>
        <w:trHeight w:val="130"/>
      </w:trPr>
      <w:tc>
        <w:tcPr>
          <w:tcW w:w="2551" w:type="dxa"/>
          <w:shd w:val="clear" w:color="auto" w:fill="auto"/>
          <w:vAlign w:val="center"/>
        </w:tcPr>
        <w:p w:rsidR="00377CAA" w:rsidRDefault="00E27F0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rsidR="00377CAA" w:rsidRDefault="000C5338" w:rsidP="000C5338">
          <w:pPr>
            <w:ind w:left="-11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 XXXXX XXXXXX</w:t>
          </w:r>
        </w:p>
      </w:tc>
    </w:tr>
    <w:tr w:rsidR="00377CAA">
      <w:trPr>
        <w:trHeight w:val="228"/>
      </w:trPr>
      <w:tc>
        <w:tcPr>
          <w:tcW w:w="2551" w:type="dxa"/>
          <w:shd w:val="clear" w:color="auto" w:fill="auto"/>
          <w:vAlign w:val="center"/>
        </w:tcPr>
        <w:p w:rsidR="00377CAA" w:rsidRDefault="00E27F0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rsidR="00377CAA" w:rsidRDefault="00E27F02">
          <w:pPr>
            <w:ind w:left="-115" w:right="101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377CAA">
      <w:tc>
        <w:tcPr>
          <w:tcW w:w="2551" w:type="dxa"/>
          <w:shd w:val="clear" w:color="auto" w:fill="auto"/>
          <w:vAlign w:val="center"/>
        </w:tcPr>
        <w:p w:rsidR="00377CAA" w:rsidRDefault="00E27F0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vAlign w:val="center"/>
        </w:tcPr>
        <w:p w:rsidR="00377CAA" w:rsidRDefault="00E27F02">
          <w:pPr>
            <w:ind w:left="-11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377CAA" w:rsidRDefault="00377CAA">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B33BE"/>
    <w:multiLevelType w:val="multilevel"/>
    <w:tmpl w:val="919A389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163475A7"/>
    <w:multiLevelType w:val="multilevel"/>
    <w:tmpl w:val="9E7C968E"/>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C0D57E7"/>
    <w:multiLevelType w:val="multilevel"/>
    <w:tmpl w:val="EA067672"/>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21CC4041"/>
    <w:multiLevelType w:val="multilevel"/>
    <w:tmpl w:val="8C12186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33AC0D95"/>
    <w:multiLevelType w:val="multilevel"/>
    <w:tmpl w:val="65DE5E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4D21AAC"/>
    <w:multiLevelType w:val="multilevel"/>
    <w:tmpl w:val="F738CC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7CF515B0"/>
    <w:multiLevelType w:val="multilevel"/>
    <w:tmpl w:val="8CF03F22"/>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6"/>
  </w:num>
  <w:num w:numId="2">
    <w:abstractNumId w:val="4"/>
  </w:num>
  <w:num w:numId="3">
    <w:abstractNumId w:val="1"/>
  </w:num>
  <w:num w:numId="4">
    <w:abstractNumId w:val="3"/>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CAA"/>
    <w:rsid w:val="000C5338"/>
    <w:rsid w:val="00185A02"/>
    <w:rsid w:val="00376FEE"/>
    <w:rsid w:val="00377CAA"/>
    <w:rsid w:val="006C613F"/>
    <w:rsid w:val="00B13BC1"/>
    <w:rsid w:val="00BA7457"/>
    <w:rsid w:val="00E27F02"/>
    <w:rsid w:val="00E65F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D60BE1-CDB8-4818-94D9-68D283D63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69AF"/>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7"/>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top w:w="0" w:type="dxa"/>
        <w:left w:w="115" w:type="dxa"/>
        <w:bottom w:w="0" w:type="dxa"/>
        <w:right w:w="115" w:type="dxa"/>
      </w:tblCellMar>
    </w:tblPr>
  </w:style>
  <w:style w:type="table" w:customStyle="1" w:styleId="6">
    <w:name w:val="6"/>
    <w:basedOn w:val="TableNormal10"/>
    <w:tblPr>
      <w:tblStyleRowBandSize w:val="1"/>
      <w:tblStyleColBandSize w:val="1"/>
      <w:tblCellMar>
        <w:top w:w="0" w:type="dxa"/>
        <w:left w:w="115" w:type="dxa"/>
        <w:bottom w:w="0" w:type="dxa"/>
        <w:right w:w="115" w:type="dxa"/>
      </w:tblCellMar>
    </w:tblPr>
  </w:style>
  <w:style w:type="table" w:customStyle="1" w:styleId="5">
    <w:name w:val="5"/>
    <w:basedOn w:val="TableNormal10"/>
    <w:tblPr>
      <w:tblStyleRowBandSize w:val="1"/>
      <w:tblStyleColBandSize w:val="1"/>
      <w:tblCellMar>
        <w:top w:w="0" w:type="dxa"/>
        <w:left w:w="108" w:type="dxa"/>
        <w:bottom w:w="0" w:type="dxa"/>
        <w:right w:w="108" w:type="dxa"/>
      </w:tblCellMar>
    </w:tblPr>
  </w:style>
  <w:style w:type="table" w:customStyle="1" w:styleId="4">
    <w:name w:val="4"/>
    <w:basedOn w:val="TableNormal10"/>
    <w:tblPr>
      <w:tblStyleRowBandSize w:val="1"/>
      <w:tblStyleColBandSize w:val="1"/>
      <w:tblCellMar>
        <w:top w:w="0" w:type="dxa"/>
        <w:left w:w="115" w:type="dxa"/>
        <w:bottom w:w="0" w:type="dxa"/>
        <w:right w:w="115" w:type="dxa"/>
      </w:tblCellMar>
    </w:tblPr>
  </w:style>
  <w:style w:type="table" w:customStyle="1" w:styleId="3">
    <w:name w:val="3"/>
    <w:basedOn w:val="TableNormal10"/>
    <w:tblPr>
      <w:tblStyleRowBandSize w:val="1"/>
      <w:tblStyleColBandSize w:val="1"/>
      <w:tblCellMar>
        <w:top w:w="0" w:type="dxa"/>
        <w:left w:w="115" w:type="dxa"/>
        <w:bottom w:w="0" w:type="dxa"/>
        <w:right w:w="115" w:type="dxa"/>
      </w:tblCellMar>
    </w:tblPr>
  </w:style>
  <w:style w:type="table" w:customStyle="1" w:styleId="2">
    <w:name w:val="2"/>
    <w:basedOn w:val="TableNormal10"/>
    <w:tblPr>
      <w:tblStyleRowBandSize w:val="1"/>
      <w:tblStyleColBandSize w:val="1"/>
      <w:tblCellMar>
        <w:top w:w="0" w:type="dxa"/>
        <w:left w:w="115" w:type="dxa"/>
        <w:bottom w:w="0" w:type="dxa"/>
        <w:right w:w="115" w:type="dxa"/>
      </w:tblCellMar>
    </w:tblPr>
  </w:style>
  <w:style w:type="table" w:customStyle="1" w:styleId="1">
    <w:name w:val="1"/>
    <w:basedOn w:val="TableNormal10"/>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311D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basedOn w:val="TableNormal3"/>
    <w:tblPr>
      <w:tblStyleRowBandSize w:val="1"/>
      <w:tblStyleColBandSize w:val="1"/>
      <w:tblCellMar>
        <w:top w:w="0" w:type="dxa"/>
        <w:left w:w="115" w:type="dxa"/>
        <w:bottom w:w="0" w:type="dxa"/>
        <w:right w:w="115" w:type="dxa"/>
      </w:tblCellMar>
    </w:tblPr>
  </w:style>
  <w:style w:type="table" w:customStyle="1" w:styleId="a0">
    <w:basedOn w:val="TableNormal3"/>
    <w:tblPr>
      <w:tblStyleRowBandSize w:val="1"/>
      <w:tblStyleColBandSize w:val="1"/>
      <w:tblCellMar>
        <w:top w:w="0" w:type="dxa"/>
        <w:left w:w="115" w:type="dxa"/>
        <w:bottom w:w="0" w:type="dxa"/>
        <w:right w:w="115" w:type="dxa"/>
      </w:tblCellMar>
    </w:tblPr>
  </w:style>
  <w:style w:type="table" w:customStyle="1" w:styleId="Tabladelista1clara-nfasis111">
    <w:name w:val="Tabla de lista 1 clara - Énfasis 111"/>
    <w:basedOn w:val="Tablanormal"/>
    <w:uiPriority w:val="46"/>
    <w:rsid w:val="0044086B"/>
    <w:rPr>
      <w:rFonts w:eastAsia="MS Mincho"/>
      <w:lang w:val="es-MX"/>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2"/>
    <w:tblPr>
      <w:tblStyleRowBandSize w:val="1"/>
      <w:tblStyleColBandSize w:val="1"/>
      <w:tblCellMar>
        <w:top w:w="0" w:type="dxa"/>
        <w:left w:w="115" w:type="dxa"/>
        <w:bottom w:w="0" w:type="dxa"/>
        <w:right w:w="115" w:type="dxa"/>
      </w:tblCellMar>
    </w:tblPr>
  </w:style>
  <w:style w:type="table" w:customStyle="1" w:styleId="a3">
    <w:basedOn w:val="TableNormal2"/>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table" w:customStyle="1" w:styleId="a5">
    <w:basedOn w:val="TableNormal1"/>
    <w:tblPr>
      <w:tblStyleRowBandSize w:val="1"/>
      <w:tblStyleColBandSize w:val="1"/>
      <w:tblCellMar>
        <w:top w:w="0" w:type="dxa"/>
        <w:left w:w="115" w:type="dxa"/>
        <w:bottom w:w="0" w:type="dxa"/>
        <w:right w:w="115" w:type="dxa"/>
      </w:tblCellMar>
    </w:tblPr>
  </w:style>
  <w:style w:type="table" w:customStyle="1" w:styleId="a6">
    <w:basedOn w:val="TableNormal1"/>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6.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8.png"/><Relationship Id="rId28" Type="http://schemas.openxmlformats.org/officeDocument/2006/relationships/header" Target="header2.xml"/><Relationship Id="rId10" Type="http://schemas.openxmlformats.org/officeDocument/2006/relationships/image" Target="media/image17.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19.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ZXB4CTJl/PfzVcIAzGIXesWIiaA==">AMUW2mVl8aOZ9NaiYj4ZIMPzPsP3u08NymlEfx+TNTomUHGbuAUeOzj/Tw4FQcW2hteguZ7sry1t6c6zlM6BXESt5zjkf8nFFM1Dv5TmMoT7UIRHe8I9ZgXJnCFyWvYdbOP242J6RjhkWc9TUg8Z5dQ2t9iPTjDidEzSgXB42U3DFBvqCtgddEPpbPUfU7Qa1ZNymphb230ANsH8rr0UVcpCs6RjR1X/Ylm/nCK/gdcwuxWvGKYtuUM=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11340</Words>
  <Characters>62373</Characters>
  <Application>Microsoft Office Word</Application>
  <DocSecurity>0</DocSecurity>
  <Lines>519</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INFOEM563</cp:lastModifiedBy>
  <cp:revision>2</cp:revision>
  <cp:lastPrinted>2023-11-17T16:40:00Z</cp:lastPrinted>
  <dcterms:created xsi:type="dcterms:W3CDTF">2023-12-05T17:09:00Z</dcterms:created>
  <dcterms:modified xsi:type="dcterms:W3CDTF">2023-12-05T17:09:00Z</dcterms:modified>
</cp:coreProperties>
</file>