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C3757" w14:textId="00DBAD16"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México, </w:t>
      </w:r>
      <w:r>
        <w:rPr>
          <w:rFonts w:ascii="Palatino Linotype" w:eastAsia="Palatino Linotype" w:hAnsi="Palatino Linotype" w:cs="Palatino Linotype"/>
          <w:color w:val="000000"/>
          <w:sz w:val="24"/>
          <w:szCs w:val="24"/>
          <w:lang w:val="es-ES_tradnl"/>
        </w:rPr>
        <w:t xml:space="preserve">a </w:t>
      </w:r>
      <w:r w:rsidR="00A31780">
        <w:rPr>
          <w:rFonts w:ascii="Palatino Linotype" w:eastAsia="Palatino Linotype" w:hAnsi="Palatino Linotype" w:cs="Palatino Linotype"/>
          <w:color w:val="000000"/>
          <w:sz w:val="24"/>
          <w:szCs w:val="24"/>
          <w:lang w:val="es-ES_tradnl"/>
        </w:rPr>
        <w:t>veintidós</w:t>
      </w:r>
      <w:r w:rsidR="000658F7">
        <w:rPr>
          <w:rFonts w:ascii="Palatino Linotype" w:eastAsia="Palatino Linotype" w:hAnsi="Palatino Linotype" w:cs="Palatino Linotype"/>
          <w:color w:val="000000"/>
          <w:sz w:val="24"/>
          <w:szCs w:val="24"/>
          <w:lang w:val="es-ES_tradnl"/>
        </w:rPr>
        <w:t xml:space="preserve"> de marzo de dos mil veintitrés. </w:t>
      </w:r>
      <w:r>
        <w:rPr>
          <w:rFonts w:ascii="Palatino Linotype" w:eastAsia="Palatino Linotype" w:hAnsi="Palatino Linotype" w:cs="Palatino Linotype"/>
          <w:color w:val="000000"/>
          <w:sz w:val="24"/>
          <w:szCs w:val="24"/>
          <w:lang w:val="es-ES_tradnl"/>
        </w:rPr>
        <w:t xml:space="preserve">     </w:t>
      </w:r>
    </w:p>
    <w:p w14:paraId="11D3D89A"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A61B90E" w14:textId="6A8D9149" w:rsidR="00EE12D5" w:rsidRP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VISTO </w:t>
      </w:r>
      <w:r w:rsidRPr="00883102">
        <w:rPr>
          <w:rFonts w:ascii="Palatino Linotype" w:eastAsia="Palatino Linotype" w:hAnsi="Palatino Linotype" w:cs="Palatino Linotype"/>
          <w:color w:val="000000"/>
          <w:sz w:val="24"/>
          <w:szCs w:val="24"/>
          <w:lang w:val="es-ES_tradnl"/>
        </w:rPr>
        <w:t xml:space="preserve">el expediente electrónico formado con motivo del recurso de revisión </w:t>
      </w:r>
      <w:r>
        <w:rPr>
          <w:rFonts w:ascii="Palatino Linotype" w:eastAsia="Palatino Linotype" w:hAnsi="Palatino Linotype" w:cs="Palatino Linotype"/>
          <w:b/>
          <w:color w:val="000000"/>
          <w:sz w:val="24"/>
          <w:szCs w:val="24"/>
          <w:lang w:val="es-ES_tradnl"/>
        </w:rPr>
        <w:t>00</w:t>
      </w:r>
      <w:r w:rsidR="000658F7">
        <w:rPr>
          <w:rFonts w:ascii="Palatino Linotype" w:eastAsia="Palatino Linotype" w:hAnsi="Palatino Linotype" w:cs="Palatino Linotype"/>
          <w:b/>
          <w:color w:val="000000"/>
          <w:sz w:val="24"/>
          <w:szCs w:val="24"/>
          <w:lang w:val="es-ES_tradnl"/>
        </w:rPr>
        <w:t>950</w:t>
      </w:r>
      <w:r w:rsidRPr="00883102">
        <w:rPr>
          <w:rFonts w:ascii="Palatino Linotype" w:eastAsia="Palatino Linotype" w:hAnsi="Palatino Linotype" w:cs="Palatino Linotype"/>
          <w:b/>
          <w:color w:val="000000"/>
          <w:sz w:val="24"/>
          <w:szCs w:val="24"/>
          <w:lang w:val="es-ES_tradnl"/>
        </w:rPr>
        <w:t>/INFOEM/IP/RR/202</w:t>
      </w:r>
      <w:r>
        <w:rPr>
          <w:rFonts w:ascii="Palatino Linotype" w:eastAsia="Palatino Linotype" w:hAnsi="Palatino Linotype" w:cs="Palatino Linotype"/>
          <w:b/>
          <w:color w:val="000000"/>
          <w:sz w:val="24"/>
          <w:szCs w:val="24"/>
          <w:lang w:val="es-ES_tradnl"/>
        </w:rPr>
        <w:t>3</w:t>
      </w:r>
      <w:r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 por </w:t>
      </w:r>
      <w:r w:rsidR="000658F7">
        <w:rPr>
          <w:rFonts w:ascii="Palatino Linotype" w:eastAsia="Palatino Linotype" w:hAnsi="Palatino Linotype" w:cs="Palatino Linotype"/>
          <w:color w:val="000000"/>
          <w:sz w:val="24"/>
          <w:szCs w:val="24"/>
          <w:lang w:val="es-ES_tradnl"/>
        </w:rPr>
        <w:t xml:space="preserve">la </w:t>
      </w:r>
      <w:r w:rsidR="000658F7">
        <w:rPr>
          <w:rFonts w:ascii="Palatino Linotype" w:eastAsia="Palatino Linotype" w:hAnsi="Palatino Linotype" w:cs="Palatino Linotype"/>
          <w:b/>
          <w:bCs/>
          <w:color w:val="000000"/>
          <w:sz w:val="24"/>
          <w:szCs w:val="24"/>
          <w:lang w:val="es-ES_tradnl"/>
        </w:rPr>
        <w:t xml:space="preserve">C. </w:t>
      </w:r>
      <w:r w:rsidR="006A5220">
        <w:rPr>
          <w:rFonts w:ascii="Palatino Linotype" w:eastAsia="Palatino Linotype" w:hAnsi="Palatino Linotype" w:cs="Palatino Linotype"/>
          <w:b/>
          <w:bCs/>
          <w:color w:val="000000"/>
          <w:sz w:val="24"/>
          <w:szCs w:val="24"/>
          <w:lang w:val="es-ES_tradnl"/>
        </w:rPr>
        <w:t>XXXXXXXXXXXXXXXXXXXX</w:t>
      </w:r>
      <w:r w:rsidR="000658F7">
        <w:rPr>
          <w:rFonts w:ascii="Palatino Linotype" w:eastAsia="Palatino Linotype" w:hAnsi="Palatino Linotype" w:cs="Palatino Linotype"/>
          <w:b/>
          <w:bCs/>
          <w:color w:val="000000"/>
          <w:sz w:val="24"/>
          <w:szCs w:val="24"/>
          <w:lang w:val="es-ES_tradnl"/>
        </w:rPr>
        <w:t xml:space="preserve">, </w:t>
      </w:r>
      <w:r w:rsidR="000658F7">
        <w:rPr>
          <w:rFonts w:ascii="Palatino Linotype" w:eastAsia="Palatino Linotype" w:hAnsi="Palatino Linotype" w:cs="Palatino Linotype"/>
          <w:color w:val="000000"/>
          <w:sz w:val="24"/>
          <w:szCs w:val="24"/>
          <w:lang w:val="es-ES_tradnl"/>
        </w:rPr>
        <w:t xml:space="preserve">en lo sucesivo </w:t>
      </w:r>
      <w:r w:rsidR="000658F7">
        <w:rPr>
          <w:rFonts w:ascii="Palatino Linotype" w:eastAsia="Palatino Linotype" w:hAnsi="Palatino Linotype" w:cs="Palatino Linotype"/>
          <w:b/>
          <w:bCs/>
          <w:color w:val="000000"/>
          <w:sz w:val="24"/>
          <w:szCs w:val="24"/>
          <w:lang w:val="es-ES_tradnl"/>
        </w:rPr>
        <w:t xml:space="preserve">La Recurrente, </w:t>
      </w:r>
      <w:r w:rsidR="000658F7">
        <w:rPr>
          <w:rFonts w:ascii="Palatino Linotype" w:eastAsia="Palatino Linotype" w:hAnsi="Palatino Linotype" w:cs="Palatino Linotype"/>
          <w:color w:val="000000"/>
          <w:sz w:val="24"/>
          <w:szCs w:val="24"/>
          <w:lang w:val="es-ES_tradnl"/>
        </w:rPr>
        <w:t xml:space="preserve">en contra de la falta de respuesta del </w:t>
      </w:r>
      <w:r w:rsidR="000658F7">
        <w:rPr>
          <w:rFonts w:ascii="Palatino Linotype" w:eastAsia="Palatino Linotype" w:hAnsi="Palatino Linotype" w:cs="Palatino Linotype"/>
          <w:b/>
          <w:bCs/>
          <w:color w:val="000000"/>
          <w:sz w:val="24"/>
          <w:szCs w:val="24"/>
          <w:lang w:val="es-ES_tradnl"/>
        </w:rPr>
        <w:t xml:space="preserve">Ayuntamiento de Ixtapaluca, </w:t>
      </w:r>
      <w:r>
        <w:rPr>
          <w:rFonts w:ascii="Palatino Linotype" w:eastAsia="Palatino Linotype" w:hAnsi="Palatino Linotype" w:cs="Palatino Linotype"/>
          <w:color w:val="000000"/>
          <w:sz w:val="24"/>
          <w:szCs w:val="24"/>
          <w:lang w:val="es-ES_tradnl"/>
        </w:rPr>
        <w:t xml:space="preserve">en lo subsecuente </w:t>
      </w:r>
      <w:r>
        <w:rPr>
          <w:rFonts w:ascii="Palatino Linotype" w:eastAsia="Palatino Linotype" w:hAnsi="Palatino Linotype" w:cs="Palatino Linotype"/>
          <w:b/>
          <w:bCs/>
          <w:color w:val="000000"/>
          <w:sz w:val="24"/>
          <w:szCs w:val="24"/>
          <w:lang w:val="es-ES_tradnl"/>
        </w:rPr>
        <w:t xml:space="preserve">El Sujeto Obligado, </w:t>
      </w:r>
      <w:r>
        <w:rPr>
          <w:rFonts w:ascii="Palatino Linotype" w:eastAsia="Palatino Linotype" w:hAnsi="Palatino Linotype" w:cs="Palatino Linotype"/>
          <w:color w:val="000000"/>
          <w:sz w:val="24"/>
          <w:szCs w:val="24"/>
          <w:lang w:val="es-ES_tradnl"/>
        </w:rPr>
        <w:t xml:space="preserve">se procede a dictar la presente resolución. </w:t>
      </w:r>
    </w:p>
    <w:p w14:paraId="5C3B10DC"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3CF3402"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0B28FD" w14:textId="77777777" w:rsidR="00EE12D5" w:rsidRPr="00883102" w:rsidRDefault="00EE12D5" w:rsidP="00EE12D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0A3039D8"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727D554"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De la solicitud de información.</w:t>
      </w:r>
    </w:p>
    <w:p w14:paraId="78D1C5B9" w14:textId="7A2160A6" w:rsidR="000658F7"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Con fecha </w:t>
      </w:r>
      <w:r w:rsidR="000658F7">
        <w:rPr>
          <w:rFonts w:ascii="Palatino Linotype" w:eastAsia="Palatino Linotype" w:hAnsi="Palatino Linotype" w:cs="Palatino Linotype"/>
          <w:color w:val="000000"/>
          <w:sz w:val="24"/>
          <w:szCs w:val="24"/>
          <w:lang w:val="es-ES_tradnl"/>
        </w:rPr>
        <w:t xml:space="preserve">diecinueve de diciembre de dos mil veintidós, </w:t>
      </w:r>
      <w:r w:rsidR="000658F7">
        <w:rPr>
          <w:rFonts w:ascii="Palatino Linotype" w:eastAsia="Palatino Linotype" w:hAnsi="Palatino Linotype" w:cs="Palatino Linotype"/>
          <w:b/>
          <w:bCs/>
          <w:color w:val="000000"/>
          <w:sz w:val="24"/>
          <w:szCs w:val="24"/>
          <w:lang w:val="es-ES_tradnl"/>
        </w:rPr>
        <w:t xml:space="preserve">La Recurrente </w:t>
      </w:r>
      <w:r w:rsidR="000658F7" w:rsidRPr="00883102">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sidR="000658F7">
        <w:rPr>
          <w:rFonts w:ascii="Palatino Linotype" w:eastAsia="Palatino Linotype" w:hAnsi="Palatino Linotype" w:cs="Palatino Linotype"/>
          <w:b/>
          <w:color w:val="000000"/>
          <w:sz w:val="24"/>
          <w:szCs w:val="24"/>
          <w:lang w:val="es-ES_tradnl"/>
        </w:rPr>
        <w:t>E</w:t>
      </w:r>
      <w:r w:rsidR="000658F7" w:rsidRPr="00C00092">
        <w:rPr>
          <w:rFonts w:ascii="Palatino Linotype" w:eastAsia="Palatino Linotype" w:hAnsi="Palatino Linotype" w:cs="Palatino Linotype"/>
          <w:b/>
          <w:color w:val="000000"/>
          <w:sz w:val="24"/>
          <w:szCs w:val="24"/>
          <w:lang w:val="es-ES_tradnl"/>
        </w:rPr>
        <w:t>l Sujeto Obligado,</w:t>
      </w:r>
      <w:r w:rsidR="000658F7" w:rsidRPr="00883102">
        <w:rPr>
          <w:rFonts w:ascii="Palatino Linotype" w:eastAsia="Palatino Linotype" w:hAnsi="Palatino Linotype" w:cs="Palatino Linotype"/>
          <w:color w:val="000000"/>
          <w:sz w:val="24"/>
          <w:szCs w:val="24"/>
          <w:lang w:val="es-ES_tradnl"/>
        </w:rPr>
        <w:t xml:space="preserve"> solicitud de acceso a la información pública registrada con el número de expediente</w:t>
      </w:r>
      <w:r w:rsidR="000658F7">
        <w:rPr>
          <w:rFonts w:ascii="Palatino Linotype" w:eastAsia="Palatino Linotype" w:hAnsi="Palatino Linotype" w:cs="Palatino Linotype"/>
          <w:color w:val="000000"/>
          <w:sz w:val="24"/>
          <w:szCs w:val="24"/>
          <w:lang w:val="es-ES_tradnl"/>
        </w:rPr>
        <w:t xml:space="preserve"> </w:t>
      </w:r>
      <w:r w:rsidR="000658F7">
        <w:rPr>
          <w:rFonts w:ascii="Palatino Linotype" w:eastAsia="Palatino Linotype" w:hAnsi="Palatino Linotype" w:cs="Palatino Linotype"/>
          <w:b/>
          <w:bCs/>
          <w:color w:val="000000"/>
          <w:sz w:val="24"/>
          <w:szCs w:val="24"/>
          <w:lang w:val="es-ES_tradnl"/>
        </w:rPr>
        <w:t xml:space="preserve">00433/IXTAPALU/IP/2022, </w:t>
      </w:r>
      <w:r w:rsidR="000658F7">
        <w:rPr>
          <w:rFonts w:ascii="Palatino Linotype" w:eastAsia="Palatino Linotype" w:hAnsi="Palatino Linotype" w:cs="Palatino Linotype"/>
          <w:color w:val="000000"/>
          <w:sz w:val="24"/>
          <w:szCs w:val="24"/>
          <w:lang w:val="es-ES_tradnl"/>
        </w:rPr>
        <w:t>mediante la cual solicitó información en el tenor siguiente:</w:t>
      </w:r>
    </w:p>
    <w:p w14:paraId="6D85B929" w14:textId="5CA9EE3F" w:rsidR="000658F7" w:rsidRPr="000658F7" w:rsidRDefault="000658F7" w:rsidP="000658F7">
      <w:pPr>
        <w:pStyle w:val="Citas"/>
        <w:rPr>
          <w:rFonts w:eastAsia="Palatino Linotype" w:cs="Palatino Linotype"/>
          <w:b/>
          <w:bCs/>
          <w:sz w:val="24"/>
          <w:szCs w:val="24"/>
          <w:lang w:val="es-ES_tradnl"/>
        </w:rPr>
      </w:pPr>
      <w:r>
        <w:t xml:space="preserve">“PORCENTAJE DE LA POBLACIÓN DE 0 A 15 AÑOS CON COBERTURA EDUCATIVA Y AÑOS PROMEDIO DE ESCOLARIDAD EN POBLACIÓN DE 25 AÑOS EN ADELANTE” </w:t>
      </w:r>
      <w:r>
        <w:rPr>
          <w:b/>
          <w:bCs/>
        </w:rPr>
        <w:t>(Sic)</w:t>
      </w:r>
    </w:p>
    <w:p w14:paraId="08191501"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lastRenderedPageBreak/>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454772E6"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30E5E246"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 xml:space="preserve">SEGUNDO. </w:t>
      </w:r>
      <w:r w:rsidRPr="00883102">
        <w:rPr>
          <w:rFonts w:ascii="Palatino Linotype" w:eastAsia="Palatino Linotype" w:hAnsi="Palatino Linotype" w:cs="Palatino Linotype"/>
          <w:b/>
          <w:color w:val="000000"/>
          <w:sz w:val="26"/>
          <w:szCs w:val="26"/>
          <w:lang w:val="es-ES_tradnl"/>
        </w:rPr>
        <w:t>De la respuesta del Sujeto Obligado.</w:t>
      </w:r>
    </w:p>
    <w:p w14:paraId="7E26644D" w14:textId="5BDF78C2"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el expediente electrónico </w:t>
      </w:r>
      <w:r w:rsidRPr="0065074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0658F7">
        <w:rPr>
          <w:rFonts w:ascii="Palatino Linotype" w:eastAsia="Palatino Linotype" w:hAnsi="Palatino Linotype" w:cs="Palatino Linotype"/>
          <w:b/>
          <w:color w:val="000000"/>
          <w:sz w:val="24"/>
          <w:szCs w:val="24"/>
          <w:lang w:val="es-ES_tradnl"/>
        </w:rPr>
        <w:t>La</w:t>
      </w:r>
      <w:r w:rsidRPr="00C0009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2728A3A3" w14:textId="77777777" w:rsidR="000658F7" w:rsidRPr="00883102" w:rsidRDefault="000658F7"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E2EC1D"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988DE0B"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Pr="00883102">
        <w:rPr>
          <w:rFonts w:ascii="Palatino Linotype" w:eastAsia="Palatino Linotype" w:hAnsi="Palatino Linotype" w:cs="Palatino Linotype"/>
          <w:b/>
          <w:color w:val="000000"/>
          <w:sz w:val="26"/>
          <w:szCs w:val="26"/>
          <w:lang w:val="es-ES_tradnl"/>
        </w:rPr>
        <w:t>. Del recurso de revisión.</w:t>
      </w:r>
    </w:p>
    <w:p w14:paraId="5ABC23C4" w14:textId="08713FC2" w:rsidR="000658F7" w:rsidRPr="000658F7"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0658F7">
        <w:rPr>
          <w:rFonts w:ascii="Palatino Linotype" w:eastAsia="Palatino Linotype" w:hAnsi="Palatino Linotype" w:cs="Palatino Linotype"/>
          <w:color w:val="000000"/>
          <w:sz w:val="24"/>
          <w:szCs w:val="24"/>
          <w:lang w:val="es-ES_tradnl"/>
        </w:rPr>
        <w:t xml:space="preserve">diecisiete de febrero de dos mil veintitrés, </w:t>
      </w:r>
      <w:r w:rsidR="000658F7">
        <w:rPr>
          <w:rFonts w:ascii="Palatino Linotype" w:eastAsia="Palatino Linotype" w:hAnsi="Palatino Linotype" w:cs="Palatino Linotype"/>
          <w:b/>
          <w:bCs/>
          <w:color w:val="000000"/>
          <w:sz w:val="24"/>
          <w:szCs w:val="24"/>
          <w:lang w:val="es-ES_tradnl"/>
        </w:rPr>
        <w:t xml:space="preserve">La Recurrente </w:t>
      </w:r>
      <w:r w:rsidR="000658F7">
        <w:rPr>
          <w:rFonts w:ascii="Palatino Linotype" w:eastAsia="Palatino Linotype" w:hAnsi="Palatino Linotype" w:cs="Palatino Linotype"/>
          <w:color w:val="000000"/>
          <w:sz w:val="24"/>
          <w:szCs w:val="24"/>
          <w:lang w:val="es-ES_tradnl"/>
        </w:rPr>
        <w:t xml:space="preserve">interpuso el recurso de revisión el cual fue registrado en el </w:t>
      </w:r>
      <w:r w:rsidR="000658F7">
        <w:rPr>
          <w:rFonts w:ascii="Palatino Linotype" w:eastAsia="Palatino Linotype" w:hAnsi="Palatino Linotype" w:cs="Palatino Linotype"/>
          <w:b/>
          <w:bCs/>
          <w:color w:val="000000"/>
          <w:sz w:val="24"/>
          <w:szCs w:val="24"/>
          <w:lang w:val="es-ES_tradnl"/>
        </w:rPr>
        <w:t xml:space="preserve">SAIMEX </w:t>
      </w:r>
      <w:r w:rsidR="000658F7">
        <w:rPr>
          <w:rFonts w:ascii="Palatino Linotype" w:eastAsia="Palatino Linotype" w:hAnsi="Palatino Linotype" w:cs="Palatino Linotype"/>
          <w:color w:val="000000"/>
          <w:sz w:val="24"/>
          <w:szCs w:val="24"/>
          <w:lang w:val="es-ES_tradnl"/>
        </w:rPr>
        <w:t xml:space="preserve">con el expediente número </w:t>
      </w:r>
      <w:r w:rsidR="000658F7">
        <w:rPr>
          <w:rFonts w:ascii="Palatino Linotype" w:eastAsia="Palatino Linotype" w:hAnsi="Palatino Linotype" w:cs="Palatino Linotype"/>
          <w:b/>
          <w:bCs/>
          <w:color w:val="000000"/>
          <w:sz w:val="24"/>
          <w:szCs w:val="24"/>
          <w:lang w:val="es-ES_tradnl"/>
        </w:rPr>
        <w:t xml:space="preserve">00950/INFOEM/IP/RR/2023, </w:t>
      </w:r>
      <w:r w:rsidR="000658F7">
        <w:rPr>
          <w:rFonts w:ascii="Palatino Linotype" w:eastAsia="Palatino Linotype" w:hAnsi="Palatino Linotype" w:cs="Palatino Linotype"/>
          <w:color w:val="000000"/>
          <w:sz w:val="24"/>
          <w:szCs w:val="24"/>
          <w:lang w:val="es-ES_tradnl"/>
        </w:rPr>
        <w:t>manifestando lo siguiente:</w:t>
      </w:r>
    </w:p>
    <w:p w14:paraId="4BFE6A15"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Acto Impugnado: </w:t>
      </w:r>
    </w:p>
    <w:p w14:paraId="7A389745" w14:textId="4F13C0D9" w:rsidR="00EE12D5" w:rsidRDefault="00EE12D5" w:rsidP="00EE12D5">
      <w:pPr>
        <w:pStyle w:val="Citas"/>
        <w:rPr>
          <w:b/>
        </w:rPr>
      </w:pPr>
      <w:r w:rsidRPr="000658F7">
        <w:t>“</w:t>
      </w:r>
      <w:r w:rsidR="000658F7" w:rsidRPr="000658F7">
        <w:t>NEGATIVA POR PARTE DEL SUJETO OBLIGADO A PROPORCIONAR LA INFORMACIÓN SOLICITADA</w:t>
      </w:r>
      <w:r w:rsidRPr="000658F7">
        <w:t>”</w:t>
      </w:r>
      <w:r>
        <w:t xml:space="preserve"> </w:t>
      </w:r>
      <w:r>
        <w:rPr>
          <w:b/>
        </w:rPr>
        <w:t>(Sic)</w:t>
      </w:r>
    </w:p>
    <w:p w14:paraId="681024A1" w14:textId="77777777" w:rsidR="00EE12D5"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4E5A2A5A" w14:textId="53407DC7" w:rsidR="00EE12D5" w:rsidRPr="00C00092" w:rsidRDefault="00EE12D5" w:rsidP="00EE12D5">
      <w:pPr>
        <w:pStyle w:val="Citas"/>
        <w:rPr>
          <w:rFonts w:eastAsia="Palatino Linotype" w:cs="Palatino Linotype"/>
          <w:b/>
          <w:sz w:val="24"/>
          <w:szCs w:val="24"/>
          <w:lang w:val="es-ES_tradnl"/>
        </w:rPr>
      </w:pPr>
      <w:r w:rsidRPr="000658F7">
        <w:t>“</w:t>
      </w:r>
      <w:r w:rsidR="000658F7" w:rsidRPr="000658F7">
        <w:t>VIOLACIÓN SISTEMATICA POR PARTE DEL SUJETO OBLIGADO A MI DERECHO CONSTITUCIONAL DE ACCESO A LA INFORMACIÓN PÚBLICA</w:t>
      </w:r>
      <w:r w:rsidRPr="000658F7">
        <w:t>”</w:t>
      </w:r>
      <w:r>
        <w:t xml:space="preserve"> </w:t>
      </w:r>
      <w:r>
        <w:rPr>
          <w:b/>
        </w:rPr>
        <w:t>(Sic)</w:t>
      </w:r>
      <w:bookmarkStart w:id="0" w:name="_GoBack"/>
      <w:bookmarkEnd w:id="0"/>
    </w:p>
    <w:p w14:paraId="46A883EF"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lastRenderedPageBreak/>
        <w:t>CUARTO</w:t>
      </w:r>
      <w:r w:rsidRPr="00883102">
        <w:rPr>
          <w:rFonts w:ascii="Palatino Linotype" w:eastAsia="Palatino Linotype" w:hAnsi="Palatino Linotype" w:cs="Palatino Linotype"/>
          <w:b/>
          <w:color w:val="000000"/>
          <w:sz w:val="26"/>
          <w:szCs w:val="26"/>
          <w:lang w:val="es-ES_tradnl"/>
        </w:rPr>
        <w:t>. Del turno y admisión de los recursos de revisión.</w:t>
      </w:r>
    </w:p>
    <w:p w14:paraId="49DA4F26" w14:textId="1060DFD4"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Medio de impugnación que fue turnado por medio del sistema electrónico en términos del numeral 185 fracción I de la Ley de Transparencia y Acceso a la información Pública del Estado de México y Municipios al </w:t>
      </w:r>
      <w:r w:rsidRPr="00883102">
        <w:rPr>
          <w:rFonts w:ascii="Palatino Linotype" w:eastAsia="Palatino Linotype" w:hAnsi="Palatino Linotype" w:cs="Palatino Linotype"/>
          <w:b/>
          <w:bCs/>
          <w:color w:val="000000"/>
          <w:sz w:val="24"/>
          <w:szCs w:val="24"/>
          <w:lang w:val="es-ES_tradnl"/>
        </w:rPr>
        <w:t xml:space="preserve">Comisionado </w:t>
      </w:r>
      <w:r>
        <w:rPr>
          <w:rFonts w:ascii="Palatino Linotype" w:eastAsia="Palatino Linotype" w:hAnsi="Palatino Linotype" w:cs="Palatino Linotype"/>
          <w:b/>
          <w:bCs/>
          <w:color w:val="000000"/>
          <w:sz w:val="24"/>
          <w:szCs w:val="24"/>
          <w:lang w:val="es-ES_tradnl"/>
        </w:rPr>
        <w:t xml:space="preserve">Presidente </w:t>
      </w:r>
      <w:r w:rsidRPr="00883102">
        <w:rPr>
          <w:rFonts w:ascii="Palatino Linotype" w:eastAsia="Palatino Linotype" w:hAnsi="Palatino Linotype" w:cs="Palatino Linotype"/>
          <w:b/>
          <w:bCs/>
          <w:color w:val="000000"/>
          <w:sz w:val="24"/>
          <w:szCs w:val="24"/>
          <w:lang w:val="es-ES_tradnl"/>
        </w:rPr>
        <w:t>J</w:t>
      </w:r>
      <w:r w:rsidRPr="00883102">
        <w:rPr>
          <w:rFonts w:ascii="Palatino Linotype" w:eastAsia="Palatino Linotype" w:hAnsi="Palatino Linotype" w:cs="Palatino Linotype"/>
          <w:b/>
          <w:color w:val="000000"/>
          <w:sz w:val="24"/>
          <w:szCs w:val="24"/>
          <w:lang w:val="es-ES_tradnl"/>
        </w:rPr>
        <w:t>osé Martínez Vilchis</w:t>
      </w:r>
      <w:r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Pr>
          <w:rFonts w:ascii="Palatino Linotype" w:eastAsia="Palatino Linotype" w:hAnsi="Palatino Linotype" w:cs="Palatino Linotype"/>
          <w:color w:val="000000"/>
          <w:sz w:val="24"/>
          <w:szCs w:val="24"/>
          <w:lang w:val="es-ES_tradnl"/>
        </w:rPr>
        <w:t xml:space="preserve">que en fecha </w:t>
      </w:r>
      <w:r w:rsidR="000658F7">
        <w:rPr>
          <w:rFonts w:ascii="Palatino Linotype" w:eastAsia="Palatino Linotype" w:hAnsi="Palatino Linotype" w:cs="Palatino Linotype"/>
          <w:b/>
          <w:bCs/>
          <w:color w:val="000000"/>
          <w:sz w:val="24"/>
          <w:szCs w:val="24"/>
          <w:lang w:val="es-ES_tradnl"/>
        </w:rPr>
        <w:t xml:space="preserve">veintitrés de febrero de dos mil veintitrés, </w:t>
      </w:r>
      <w:r>
        <w:rPr>
          <w:rFonts w:ascii="Palatino Linotype" w:eastAsia="Palatino Linotype" w:hAnsi="Palatino Linotype" w:cs="Palatino Linotype"/>
          <w:b/>
          <w:bCs/>
          <w:color w:val="000000"/>
          <w:sz w:val="24"/>
          <w:szCs w:val="24"/>
          <w:lang w:val="es-ES_tradnl"/>
        </w:rPr>
        <w:t xml:space="preserve">, </w:t>
      </w:r>
      <w:r>
        <w:rPr>
          <w:rFonts w:ascii="Palatino Linotype" w:eastAsia="Palatino Linotype" w:hAnsi="Palatino Linotype" w:cs="Palatino Linotype"/>
          <w:color w:val="000000"/>
          <w:sz w:val="24"/>
          <w:szCs w:val="24"/>
          <w:lang w:val="es-ES_tradnl"/>
        </w:rPr>
        <w:t xml:space="preserve">el recurso de revisión fue admitido </w:t>
      </w:r>
      <w:r w:rsidRPr="00883102">
        <w:rPr>
          <w:rFonts w:ascii="Palatino Linotype" w:eastAsia="Palatino Linotype" w:hAnsi="Palatino Linotype" w:cs="Palatino Linotype"/>
          <w:color w:val="000000"/>
          <w:sz w:val="24"/>
          <w:szCs w:val="24"/>
          <w:lang w:val="es-ES_tradnl"/>
        </w:rPr>
        <w:t>en la vía interpuesta determinándose en él un plazo de siete días para que las partes manifestaran lo que a su derecho corresponda en términos de las fracciones I, II y III del artículo previamente citado.</w:t>
      </w:r>
    </w:p>
    <w:p w14:paraId="571B5126"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383B86B" w14:textId="77777777" w:rsidR="00EE12D5" w:rsidRPr="00883102" w:rsidRDefault="00EE12D5" w:rsidP="00EE12D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Pr="00883102">
        <w:rPr>
          <w:rFonts w:ascii="Palatino Linotype" w:eastAsia="Palatino Linotype" w:hAnsi="Palatino Linotype" w:cs="Palatino Linotype"/>
          <w:b/>
          <w:color w:val="000000"/>
          <w:sz w:val="26"/>
          <w:szCs w:val="26"/>
          <w:lang w:val="es-ES_tradnl"/>
        </w:rPr>
        <w:t>. De la etapa de instrucción.</w:t>
      </w:r>
    </w:p>
    <w:p w14:paraId="3816A28C" w14:textId="00B387A6" w:rsidR="00EE12D5" w:rsidRPr="00E709FE" w:rsidRDefault="00EE12D5" w:rsidP="00EE12D5">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fue omiso en rendir su informe justificado. </w:t>
      </w:r>
    </w:p>
    <w:p w14:paraId="5766ADA6" w14:textId="694DDFB0" w:rsidR="00EE12D5" w:rsidRDefault="00EE12D5" w:rsidP="00EE12D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w:t>
      </w:r>
      <w:r w:rsidRPr="007B2B7A">
        <w:rPr>
          <w:rFonts w:ascii="Palatino Linotype" w:hAnsi="Palatino Linotype" w:cs="Arial"/>
          <w:sz w:val="24"/>
          <w:szCs w:val="24"/>
        </w:rPr>
        <w:t>fecha</w:t>
      </w:r>
      <w:r>
        <w:rPr>
          <w:rFonts w:ascii="Palatino Linotype" w:hAnsi="Palatino Linotype" w:cs="Arial"/>
          <w:sz w:val="24"/>
          <w:szCs w:val="24"/>
        </w:rPr>
        <w:t xml:space="preserve"> </w:t>
      </w:r>
      <w:r w:rsidR="006F6B41">
        <w:rPr>
          <w:rFonts w:ascii="Palatino Linotype" w:hAnsi="Palatino Linotype" w:cs="Arial"/>
          <w:b/>
          <w:bCs/>
          <w:sz w:val="24"/>
          <w:szCs w:val="24"/>
        </w:rPr>
        <w:t xml:space="preserve">quince </w:t>
      </w:r>
      <w:r w:rsidR="000658F7">
        <w:rPr>
          <w:rFonts w:ascii="Palatino Linotype" w:hAnsi="Palatino Linotype" w:cs="Arial"/>
          <w:b/>
          <w:bCs/>
          <w:sz w:val="24"/>
          <w:szCs w:val="24"/>
        </w:rPr>
        <w:t>de marzo</w:t>
      </w:r>
      <w:r>
        <w:rPr>
          <w:rFonts w:ascii="Palatino Linotype" w:hAnsi="Palatino Linotype" w:cs="Arial"/>
          <w:b/>
          <w:bCs/>
          <w:sz w:val="24"/>
          <w:szCs w:val="24"/>
        </w:rPr>
        <w:t xml:space="preserve"> del presente, </w:t>
      </w:r>
      <w:r>
        <w:rPr>
          <w:rFonts w:ascii="Palatino Linotype" w:hAnsi="Palatino Linotype" w:cs="Arial"/>
          <w:b/>
          <w:sz w:val="24"/>
          <w:szCs w:val="24"/>
        </w:rPr>
        <w:t>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02619312" w14:textId="77777777" w:rsidR="00241AEF" w:rsidRDefault="00241AEF" w:rsidP="00CE1BF6">
      <w:pPr>
        <w:spacing w:before="240" w:line="360" w:lineRule="auto"/>
        <w:jc w:val="both"/>
        <w:rPr>
          <w:rFonts w:ascii="Palatino Linotype" w:hAnsi="Palatino Linotype" w:cs="Arial"/>
          <w:sz w:val="24"/>
          <w:szCs w:val="24"/>
        </w:rPr>
      </w:pPr>
    </w:p>
    <w:p w14:paraId="57C9775C" w14:textId="48F6450E"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CC2CDB5" w14:textId="77777777" w:rsidR="00C00092" w:rsidRDefault="00C00092" w:rsidP="00C00092">
      <w:pPr>
        <w:spacing w:after="0" w:line="360" w:lineRule="auto"/>
        <w:jc w:val="both"/>
        <w:rPr>
          <w:rFonts w:ascii="Palatino Linotype" w:hAnsi="Palatino Linotype" w:cs="Arial"/>
          <w:b/>
          <w:color w:val="000000" w:themeColor="text1"/>
          <w:sz w:val="24"/>
          <w:szCs w:val="24"/>
        </w:rPr>
      </w:pPr>
      <w:r w:rsidRPr="00582D89">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hAnsi="Palatino Linotype"/>
          <w:color w:val="000000" w:themeColor="text1"/>
          <w:sz w:val="24"/>
          <w:szCs w:val="24"/>
        </w:rPr>
        <w:t xml:space="preserve">6, apartado A, fracción IV de la </w:t>
      </w:r>
      <w:r w:rsidRPr="00582D89">
        <w:rPr>
          <w:rFonts w:ascii="Palatino Linotype" w:hAnsi="Palatino Linotype"/>
          <w:b/>
          <w:color w:val="000000" w:themeColor="text1"/>
          <w:sz w:val="24"/>
          <w:szCs w:val="24"/>
        </w:rPr>
        <w:t>Constitución Política de los Estados Unidos Mexicanos</w:t>
      </w:r>
      <w:r w:rsidRPr="00582D89">
        <w:rPr>
          <w:rFonts w:ascii="Palatino Linotype" w:hAnsi="Palatino Linotype"/>
          <w:color w:val="000000" w:themeColor="text1"/>
          <w:sz w:val="24"/>
          <w:szCs w:val="24"/>
        </w:rPr>
        <w:t xml:space="preserve">; 5, párrafos trigésimo, trigésimo primero y trigésimo segundo, fracciones IV y V, de la </w:t>
      </w:r>
      <w:r w:rsidRPr="00582D89">
        <w:rPr>
          <w:rFonts w:ascii="Palatino Linotype" w:hAnsi="Palatino Linotype"/>
          <w:b/>
          <w:color w:val="000000" w:themeColor="text1"/>
          <w:sz w:val="24"/>
          <w:szCs w:val="24"/>
        </w:rPr>
        <w:t>Constitución Política del Estado Libre y Soberano de México</w:t>
      </w:r>
      <w:r w:rsidRPr="00582D89">
        <w:rPr>
          <w:rFonts w:ascii="Palatino Linotype" w:hAnsi="Palatino Linotype"/>
          <w:color w:val="000000" w:themeColor="text1"/>
          <w:sz w:val="24"/>
          <w:szCs w:val="24"/>
        </w:rPr>
        <w:t xml:space="preserve">; artículos 1, 2 fracción II, 13, 29, 36 fracciones I y II, 176, 178, 179, 181 párrafo tercero y 185 </w:t>
      </w:r>
      <w:r w:rsidRPr="00582D89">
        <w:rPr>
          <w:rFonts w:ascii="Palatino Linotype" w:hAnsi="Palatino Linotype" w:cs="Arial"/>
          <w:color w:val="000000" w:themeColor="text1"/>
          <w:sz w:val="24"/>
          <w:szCs w:val="24"/>
        </w:rPr>
        <w:t xml:space="preserve">de la </w:t>
      </w:r>
      <w:r w:rsidRPr="00582D89">
        <w:rPr>
          <w:rFonts w:ascii="Palatino Linotype" w:hAnsi="Palatino Linotype" w:cs="Arial"/>
          <w:b/>
          <w:color w:val="000000" w:themeColor="text1"/>
          <w:sz w:val="24"/>
          <w:szCs w:val="24"/>
        </w:rPr>
        <w:t>Ley de Transparencia y Acceso a la Información Pública del Estado de México y Municipios</w:t>
      </w:r>
      <w:r w:rsidRPr="00582D89">
        <w:rPr>
          <w:rFonts w:ascii="Palatino Linotype" w:hAnsi="Palatino Linotype" w:cs="Arial"/>
          <w:color w:val="000000" w:themeColor="text1"/>
          <w:sz w:val="24"/>
          <w:szCs w:val="24"/>
        </w:rPr>
        <w:t xml:space="preserve">; y 10, 7, 9 fracciones I y XXIV, y 11 del </w:t>
      </w:r>
      <w:r w:rsidRPr="00582D89">
        <w:rPr>
          <w:rFonts w:ascii="Palatino Linotype" w:hAnsi="Palatino Linotype" w:cs="Arial"/>
          <w:b/>
          <w:color w:val="000000" w:themeColor="text1"/>
          <w:sz w:val="24"/>
          <w:szCs w:val="24"/>
        </w:rPr>
        <w:t>Reglamento Interior del Instituto de Transparencia, Acceso a la Información Pública y Protección de Datos Personales del Estado de México y Municipios.</w:t>
      </w:r>
    </w:p>
    <w:p w14:paraId="638EACF7" w14:textId="77777777" w:rsidR="006B413D" w:rsidRDefault="006B413D" w:rsidP="00C0009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1A01ABF" w14:textId="7E216E3A"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5299FE03"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237EA05" w14:textId="77777777" w:rsidR="00F37F6A" w:rsidRDefault="00F37F6A" w:rsidP="00F37F6A">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6197CF1" w14:textId="77777777" w:rsidR="00F37F6A" w:rsidRPr="00514E66" w:rsidRDefault="00F37F6A" w:rsidP="00F37F6A">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ADAD9BB" w14:textId="77777777" w:rsidR="00F37F6A" w:rsidRDefault="00F37F6A" w:rsidP="00F37F6A">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CAAD13B" w14:textId="77777777" w:rsidR="00F37F6A" w:rsidRPr="00F37F6A" w:rsidRDefault="00F37F6A"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23F1059C"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Antes del entrar al estudio, cabe precisar que </w:t>
      </w:r>
      <w:r w:rsidRPr="006B413D">
        <w:rPr>
          <w:rFonts w:ascii="Palatino Linotype" w:hAnsi="Palatino Linotype"/>
          <w:b/>
          <w:sz w:val="24"/>
          <w:szCs w:val="24"/>
        </w:rPr>
        <w:t>El Sujeto Obligado</w:t>
      </w:r>
      <w:r w:rsidRPr="006B413D">
        <w:rPr>
          <w:rFonts w:ascii="Palatino Linotype" w:hAnsi="Palatino Linotype"/>
          <w:sz w:val="24"/>
          <w:szCs w:val="24"/>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6B413D">
        <w:rPr>
          <w:rFonts w:ascii="Palatino Linotype" w:hAnsi="Palatino Linotype"/>
          <w:b/>
          <w:sz w:val="24"/>
          <w:szCs w:val="24"/>
        </w:rPr>
        <w:t xml:space="preserve"> </w:t>
      </w:r>
      <w:r w:rsidRPr="006B413D">
        <w:rPr>
          <w:rFonts w:ascii="Palatino Linotype" w:hAnsi="Palatino Linotype"/>
          <w:sz w:val="24"/>
          <w:szCs w:val="24"/>
        </w:rPr>
        <w:t>resultando procedente la interposición del recurso de revisión cuando no se dé respuesta a una solicitud de información.</w:t>
      </w:r>
    </w:p>
    <w:p w14:paraId="3880988B" w14:textId="72D26E10"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las cosas, ante la omisión del Sujeto Obligado para dar respuesta </w:t>
      </w:r>
      <w:r w:rsidR="00A720C4" w:rsidRPr="006B413D">
        <w:rPr>
          <w:rFonts w:ascii="Palatino Linotype" w:hAnsi="Palatino Linotype"/>
          <w:sz w:val="24"/>
          <w:szCs w:val="24"/>
        </w:rPr>
        <w:t>a</w:t>
      </w:r>
      <w:r w:rsidR="000658F7">
        <w:rPr>
          <w:rFonts w:ascii="Palatino Linotype" w:hAnsi="Palatino Linotype"/>
          <w:sz w:val="24"/>
          <w:szCs w:val="24"/>
        </w:rPr>
        <w:t xml:space="preserve"> </w:t>
      </w:r>
      <w:r w:rsidR="000658F7">
        <w:rPr>
          <w:rFonts w:ascii="Palatino Linotype" w:hAnsi="Palatino Linotype"/>
          <w:b/>
          <w:bCs/>
          <w:sz w:val="24"/>
          <w:szCs w:val="24"/>
        </w:rPr>
        <w:t>La</w:t>
      </w:r>
      <w:r w:rsidRPr="006B413D">
        <w:rPr>
          <w:rFonts w:ascii="Palatino Linotype" w:hAnsi="Palatino Linotype"/>
          <w:sz w:val="24"/>
          <w:szCs w:val="24"/>
        </w:rPr>
        <w:t xml:space="preserve"> </w:t>
      </w:r>
      <w:r w:rsidRPr="006B413D">
        <w:rPr>
          <w:rFonts w:ascii="Palatino Linotype" w:hAnsi="Palatino Linotype"/>
          <w:b/>
          <w:sz w:val="24"/>
          <w:szCs w:val="24"/>
        </w:rPr>
        <w:t>Recurrente</w:t>
      </w:r>
      <w:r w:rsidRPr="006B413D">
        <w:rPr>
          <w:rFonts w:ascii="Palatino Linotype" w:hAnsi="Palatino Linotype"/>
          <w:sz w:val="24"/>
          <w:szCs w:val="24"/>
        </w:rPr>
        <w:t xml:space="preserve">, se advierte lo que en la doctrina se le conoce como </w:t>
      </w:r>
      <w:r w:rsidRPr="006B413D">
        <w:rPr>
          <w:rFonts w:ascii="Palatino Linotype" w:hAnsi="Palatino Linotype"/>
          <w:b/>
          <w:i/>
          <w:sz w:val="24"/>
          <w:szCs w:val="24"/>
        </w:rPr>
        <w:t>negativa ficta</w:t>
      </w:r>
      <w:r w:rsidRPr="006B413D">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2A22D0E2"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lastRenderedPageBreak/>
        <w:t xml:space="preserve">En este sentido la </w:t>
      </w:r>
      <w:r w:rsidRPr="006B413D">
        <w:rPr>
          <w:rFonts w:ascii="Palatino Linotype" w:hAnsi="Palatino Linotype"/>
          <w:i/>
          <w:sz w:val="24"/>
          <w:szCs w:val="24"/>
        </w:rPr>
        <w:t>negativa ficta</w:t>
      </w:r>
      <w:r w:rsidRPr="006B413D">
        <w:rPr>
          <w:rFonts w:ascii="Palatino Linotype" w:hAnsi="Palatino Linotype"/>
          <w:sz w:val="24"/>
          <w:szCs w:val="24"/>
        </w:rPr>
        <w:t xml:space="preserve"> constituye una presunción legal, en el entendido de que donde no hubo respuesta por parte del Sujeto Obligado</w:t>
      </w:r>
      <w:r w:rsidRPr="006B413D">
        <w:rPr>
          <w:rFonts w:ascii="Palatino Linotype" w:hAnsi="Palatino Linotype"/>
          <w:b/>
          <w:sz w:val="24"/>
          <w:szCs w:val="24"/>
        </w:rPr>
        <w:t xml:space="preserve"> </w:t>
      </w:r>
      <w:r w:rsidRPr="006B413D">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B413D">
        <w:rPr>
          <w:rFonts w:ascii="Palatino Linotype" w:hAnsi="Palatino Linotype"/>
          <w:i/>
          <w:sz w:val="24"/>
          <w:szCs w:val="24"/>
        </w:rPr>
        <w:t>Estado de Derecho</w:t>
      </w:r>
      <w:r w:rsidRPr="006B413D">
        <w:rPr>
          <w:rFonts w:ascii="Palatino Linotype" w:hAnsi="Palatino Linotype"/>
          <w:sz w:val="24"/>
          <w:szCs w:val="24"/>
        </w:rPr>
        <w:t xml:space="preserve"> en el que, el particular, tiene siempre una vía de defensa.</w:t>
      </w:r>
    </w:p>
    <w:p w14:paraId="60DD1561"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En tal tesitura en el marco del derecho de acceso a la información pública, la figura de la </w:t>
      </w:r>
      <w:r w:rsidRPr="006B413D">
        <w:rPr>
          <w:rFonts w:ascii="Palatino Linotype" w:hAnsi="Palatino Linotype"/>
          <w:i/>
          <w:sz w:val="24"/>
          <w:szCs w:val="24"/>
        </w:rPr>
        <w:t>negativa ficta</w:t>
      </w:r>
      <w:r w:rsidRPr="006B413D">
        <w:rPr>
          <w:rFonts w:ascii="Palatino Linotype" w:hAnsi="Palatino Linotype"/>
          <w:sz w:val="24"/>
          <w:szCs w:val="24"/>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8F020B9" w14:textId="1FBC5915" w:rsidR="004F14BE" w:rsidRPr="00CF0F1D" w:rsidRDefault="004F14BE" w:rsidP="004F14BE">
      <w:pPr>
        <w:pStyle w:val="Citas"/>
      </w:pPr>
      <w:r>
        <w:rPr>
          <w:b/>
        </w:rPr>
        <w:t>“</w:t>
      </w:r>
      <w:r w:rsidRPr="00CF0F1D">
        <w:rPr>
          <w:b/>
        </w:rPr>
        <w:t>Artículo 4.</w:t>
      </w:r>
      <w:r w:rsidRPr="00CF0F1D">
        <w:t xml:space="preserve"> El derecho humano de acceso a la información pública es la prerrogativa de las personas para buscar, difundir, investigar, recabar, recibir y solicitar información pública, sin necesidad de acreditar personalidad ni interés jurídico.</w:t>
      </w:r>
    </w:p>
    <w:p w14:paraId="2002A8D8" w14:textId="77777777" w:rsidR="004F14BE" w:rsidRPr="00CF0F1D" w:rsidRDefault="004F14BE" w:rsidP="004F14BE">
      <w:pPr>
        <w:pStyle w:val="Citas"/>
      </w:pPr>
      <w:r w:rsidRPr="00CF0F1D">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w:t>
      </w:r>
      <w:r w:rsidRPr="00CF0F1D">
        <w:lastRenderedPageBreak/>
        <w:t>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D80338" w14:textId="77777777" w:rsidR="004F14BE" w:rsidRPr="00CF0F1D" w:rsidRDefault="004F14BE" w:rsidP="004F14BE">
      <w:pPr>
        <w:pStyle w:val="Citas"/>
      </w:pPr>
      <w:r w:rsidRPr="00CF0F1D">
        <w:t>Los sujetos obligados deben poner en práctica, políticas y programas de acceso a la información que se apeguen a criterios de publicidad, veracidad, oportunidad, precisión y suficiencia en beneficio de los solicitantes.</w:t>
      </w:r>
    </w:p>
    <w:p w14:paraId="264AA8E3" w14:textId="77777777" w:rsidR="004F14BE" w:rsidRPr="00CF0F1D" w:rsidRDefault="004F14BE" w:rsidP="004F14BE">
      <w:pPr>
        <w:pStyle w:val="Citas"/>
      </w:pPr>
      <w:r w:rsidRPr="00CF0F1D">
        <w:rPr>
          <w:b/>
        </w:rPr>
        <w:t>Artículo 12.</w:t>
      </w:r>
      <w:r w:rsidRPr="00CF0F1D">
        <w:t xml:space="preserve"> Quienes generen, recopilen, administren, manejen, procesen, archiven o conserven información pública serán responsables de la misma en los términos de las disposiciones jurídicas aplicables.</w:t>
      </w:r>
    </w:p>
    <w:p w14:paraId="734697B5" w14:textId="77777777" w:rsidR="004F14BE" w:rsidRPr="00CF0F1D" w:rsidRDefault="004F14BE" w:rsidP="004F14BE">
      <w:pPr>
        <w:pStyle w:val="Citas"/>
      </w:pPr>
      <w:r w:rsidRPr="00CF0F1D">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636F9AE" w14:textId="77777777" w:rsidR="004F14BE" w:rsidRPr="00CF0F1D" w:rsidRDefault="004F14BE" w:rsidP="004F14BE">
      <w:pPr>
        <w:pStyle w:val="Citas"/>
      </w:pPr>
      <w:r w:rsidRPr="00CF0F1D">
        <w:t>(…)</w:t>
      </w:r>
    </w:p>
    <w:p w14:paraId="716A2FE9" w14:textId="77777777" w:rsidR="004F14BE" w:rsidRPr="00CF0F1D" w:rsidRDefault="004F14BE" w:rsidP="004F14BE">
      <w:pPr>
        <w:pStyle w:val="Citas"/>
        <w:rPr>
          <w:b/>
        </w:rPr>
      </w:pPr>
      <w:r w:rsidRPr="00CF0F1D">
        <w:rPr>
          <w:b/>
        </w:rPr>
        <w:t xml:space="preserve">Artículo 24. </w:t>
      </w:r>
    </w:p>
    <w:p w14:paraId="11BCEA98" w14:textId="77777777" w:rsidR="004F14BE" w:rsidRPr="00CF0F1D" w:rsidRDefault="004F14BE" w:rsidP="004F14BE">
      <w:pPr>
        <w:pStyle w:val="Citas"/>
      </w:pPr>
      <w:r w:rsidRPr="00CF0F1D">
        <w:t>(…)</w:t>
      </w:r>
    </w:p>
    <w:p w14:paraId="178080E5" w14:textId="77777777" w:rsidR="004F14BE" w:rsidRPr="00CF0F1D" w:rsidRDefault="004F14BE" w:rsidP="004F14BE">
      <w:pPr>
        <w:pStyle w:val="Citas"/>
      </w:pPr>
      <w:r w:rsidRPr="00CF0F1D">
        <w:t>Los sujetos obligados solo proporcionarán la información pública que generen, administren o posean en el ejercicio de sus atribuciones.”</w:t>
      </w:r>
    </w:p>
    <w:p w14:paraId="37DD8318" w14:textId="77777777" w:rsidR="004F14BE" w:rsidRPr="00CF0F1D" w:rsidRDefault="004F14BE" w:rsidP="004F14BE">
      <w:pPr>
        <w:pStyle w:val="Citas"/>
      </w:pPr>
      <w:r w:rsidRPr="00CF0F1D">
        <w:t>(…)</w:t>
      </w:r>
    </w:p>
    <w:p w14:paraId="47FB0882" w14:textId="77777777" w:rsidR="004F14BE" w:rsidRPr="00CF0F1D" w:rsidRDefault="004F14BE" w:rsidP="004F14BE">
      <w:pPr>
        <w:pStyle w:val="Citas"/>
      </w:pPr>
      <w:r w:rsidRPr="00CF0F1D">
        <w:rPr>
          <w:b/>
        </w:rPr>
        <w:lastRenderedPageBreak/>
        <w:t>Artículo 160.</w:t>
      </w:r>
      <w:r w:rsidRPr="00CF0F1D">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4D4D6AF" w14:textId="497080BC" w:rsidR="004F14BE" w:rsidRPr="004F14BE" w:rsidRDefault="004F14BE" w:rsidP="004F14BE">
      <w:pPr>
        <w:pStyle w:val="Citas"/>
        <w:rPr>
          <w:b/>
          <w:bCs/>
        </w:rPr>
      </w:pPr>
      <w:r w:rsidRPr="00CF0F1D">
        <w:t>En caso que la información solicitada consista en bases de datos se deberá privilegiar la entrega de la misma en formatos abiertos.</w:t>
      </w:r>
      <w:r>
        <w:t xml:space="preserve">” </w:t>
      </w:r>
      <w:r>
        <w:rPr>
          <w:b/>
          <w:bCs/>
        </w:rPr>
        <w:t>(Sic)</w:t>
      </w:r>
    </w:p>
    <w:p w14:paraId="443CC08E" w14:textId="77777777" w:rsidR="004F14BE" w:rsidRPr="00CF0F1D" w:rsidRDefault="004F14BE" w:rsidP="004F14BE">
      <w:pPr>
        <w:spacing w:line="360" w:lineRule="auto"/>
        <w:jc w:val="both"/>
        <w:rPr>
          <w:rFonts w:ascii="Palatino Linotype" w:hAnsi="Palatino Linotype"/>
        </w:rPr>
      </w:pPr>
    </w:p>
    <w:p w14:paraId="69B3DE47"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B413D">
        <w:rPr>
          <w:rFonts w:ascii="Palatino Linotype" w:hAnsi="Palatino Linotype"/>
          <w:bCs/>
          <w:sz w:val="24"/>
          <w:szCs w:val="24"/>
        </w:rPr>
        <w:t>de la Ley local en la materia, que se reproduce de la siguiente forma</w:t>
      </w:r>
      <w:r w:rsidRPr="006B413D">
        <w:rPr>
          <w:rFonts w:ascii="Palatino Linotype" w:hAnsi="Palatino Linotype"/>
          <w:sz w:val="24"/>
          <w:szCs w:val="24"/>
        </w:rPr>
        <w:t>:</w:t>
      </w:r>
    </w:p>
    <w:p w14:paraId="5B43A50C" w14:textId="2FFD1DFD" w:rsidR="004F14BE" w:rsidRPr="00BD6BE1" w:rsidRDefault="00BD6BE1" w:rsidP="00BD6BE1">
      <w:pPr>
        <w:pStyle w:val="Citas"/>
        <w:rPr>
          <w:b/>
          <w:bCs/>
        </w:rPr>
      </w:pPr>
      <w:r>
        <w:rPr>
          <w:b/>
        </w:rPr>
        <w:t>“</w:t>
      </w:r>
      <w:r w:rsidR="004F14BE" w:rsidRPr="00CF0F1D">
        <w:rPr>
          <w:b/>
        </w:rPr>
        <w:t>Artículo 166.</w:t>
      </w:r>
      <w:r w:rsidR="004F14BE" w:rsidRPr="00CF0F1D">
        <w:t xml:space="preserve"> La obligación de acceso a la información pública se tendrá por cumplida cuando el solicitante tenga a su disposición la información requerida, o cuando realice la consulta de la misma en el lugar en el que ésta se localice.</w:t>
      </w:r>
      <w:r>
        <w:t xml:space="preserve">” </w:t>
      </w:r>
      <w:r>
        <w:rPr>
          <w:b/>
          <w:bCs/>
        </w:rPr>
        <w:t>(Sic)</w:t>
      </w:r>
    </w:p>
    <w:p w14:paraId="4D1FA236" w14:textId="77777777" w:rsidR="004F14BE" w:rsidRPr="00CF0F1D" w:rsidRDefault="004F14BE" w:rsidP="004F14BE">
      <w:pPr>
        <w:spacing w:line="360" w:lineRule="auto"/>
        <w:jc w:val="both"/>
        <w:rPr>
          <w:rFonts w:ascii="Palatino Linotype" w:hAnsi="Palatino Linotype"/>
        </w:rPr>
      </w:pPr>
    </w:p>
    <w:p w14:paraId="519EDE30" w14:textId="3BCBD24E"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De lo anterior, conforme a las acciones del </w:t>
      </w:r>
      <w:r w:rsidRPr="00EB55AB">
        <w:rPr>
          <w:rFonts w:ascii="Palatino Linotype" w:hAnsi="Palatino Linotype"/>
          <w:b/>
          <w:bCs/>
          <w:sz w:val="24"/>
          <w:szCs w:val="24"/>
        </w:rPr>
        <w:t>Sujeto Obligado,</w:t>
      </w:r>
      <w:r w:rsidRPr="006B413D">
        <w:rPr>
          <w:rFonts w:ascii="Palatino Linotype" w:hAnsi="Palatino Linotype"/>
          <w:sz w:val="24"/>
          <w:szCs w:val="24"/>
        </w:rPr>
        <w:t xml:space="preserve"> se establece que éste vulnera el derecho de acceso a la información pública </w:t>
      </w:r>
      <w:r w:rsidR="00401333">
        <w:rPr>
          <w:rFonts w:ascii="Palatino Linotype" w:hAnsi="Palatino Linotype"/>
          <w:sz w:val="24"/>
          <w:szCs w:val="24"/>
        </w:rPr>
        <w:t>de</w:t>
      </w:r>
      <w:r w:rsidR="000658F7">
        <w:rPr>
          <w:rFonts w:ascii="Palatino Linotype" w:hAnsi="Palatino Linotype"/>
          <w:sz w:val="24"/>
          <w:szCs w:val="24"/>
        </w:rPr>
        <w:t xml:space="preserve"> </w:t>
      </w:r>
      <w:r w:rsidR="000658F7">
        <w:rPr>
          <w:rFonts w:ascii="Palatino Linotype" w:hAnsi="Palatino Linotype"/>
          <w:b/>
          <w:bCs/>
          <w:sz w:val="24"/>
          <w:szCs w:val="24"/>
        </w:rPr>
        <w:t>La</w:t>
      </w:r>
      <w:r w:rsidRPr="00EB55AB">
        <w:rPr>
          <w:rFonts w:ascii="Palatino Linotype" w:hAnsi="Palatino Linotype"/>
          <w:b/>
          <w:bCs/>
          <w:sz w:val="24"/>
          <w:szCs w:val="24"/>
        </w:rPr>
        <w:t xml:space="preserve"> Recurrente, </w:t>
      </w:r>
      <w:r w:rsidRPr="006B413D">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DC61567" w14:textId="4FE2E817" w:rsidR="004F14BE" w:rsidRPr="00CF0F1D" w:rsidRDefault="00BD6BE1" w:rsidP="00BD6BE1">
      <w:pPr>
        <w:pStyle w:val="Citas"/>
      </w:pPr>
      <w:r>
        <w:rPr>
          <w:b/>
        </w:rPr>
        <w:lastRenderedPageBreak/>
        <w:t>“</w:t>
      </w:r>
      <w:r w:rsidR="004F14BE" w:rsidRPr="00CF0F1D">
        <w:rPr>
          <w:b/>
        </w:rPr>
        <w:t>A</w:t>
      </w:r>
      <w:r w:rsidR="004F14BE" w:rsidRPr="00CF0F1D">
        <w:rPr>
          <w:b/>
          <w:bCs/>
        </w:rPr>
        <w:t>rtículo 24.</w:t>
      </w:r>
      <w:r w:rsidR="004F14BE" w:rsidRPr="00CF0F1D">
        <w:rPr>
          <w:bCs/>
        </w:rPr>
        <w:t xml:space="preserve"> </w:t>
      </w:r>
      <w:r w:rsidR="004F14BE" w:rsidRPr="00CF0F1D">
        <w:t>Para el cumplimiento de los objetivos de esta Ley, los sujetos obligados deberán cumplir con las siguientes obligaciones, según corresponda, de acuerdo a su naturaleza:</w:t>
      </w:r>
    </w:p>
    <w:p w14:paraId="632FEF93" w14:textId="77777777" w:rsidR="004F14BE" w:rsidRPr="00CF0F1D" w:rsidRDefault="004F14BE" w:rsidP="00BD6BE1">
      <w:pPr>
        <w:pStyle w:val="Citas"/>
      </w:pPr>
      <w:r w:rsidRPr="00CF0F1D">
        <w:rPr>
          <w:bCs/>
        </w:rPr>
        <w:t>(..</w:t>
      </w:r>
      <w:r w:rsidRPr="00CF0F1D">
        <w:t>.)</w:t>
      </w:r>
    </w:p>
    <w:p w14:paraId="4106CE9E" w14:textId="03A57350" w:rsidR="004F14BE" w:rsidRPr="00BD6BE1" w:rsidRDefault="004F14BE" w:rsidP="00BD6BE1">
      <w:pPr>
        <w:pStyle w:val="Citas"/>
        <w:rPr>
          <w:b/>
        </w:rPr>
      </w:pPr>
      <w:r w:rsidRPr="00CF0F1D">
        <w:rPr>
          <w:bCs/>
        </w:rPr>
        <w:t>XI. Dar acceso a la información pública que le sea requerida, en los términos de la Ley General, esta Ley y demás disposiciones jurídicas aplicables;</w:t>
      </w:r>
      <w:r w:rsidR="00BD6BE1">
        <w:rPr>
          <w:bCs/>
        </w:rPr>
        <w:t xml:space="preserve">” </w:t>
      </w:r>
      <w:r w:rsidR="00BD6BE1">
        <w:rPr>
          <w:b/>
        </w:rPr>
        <w:t>(Sic)</w:t>
      </w:r>
    </w:p>
    <w:p w14:paraId="3D3152AC"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83D7112"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827782F"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1B4C4C1B" w14:textId="79CFF5E1" w:rsidR="006B413D" w:rsidRDefault="004F14BE" w:rsidP="004F14BE">
      <w:pPr>
        <w:tabs>
          <w:tab w:val="left" w:pos="709"/>
        </w:tabs>
        <w:spacing w:line="360" w:lineRule="auto"/>
        <w:ind w:right="51"/>
        <w:jc w:val="both"/>
        <w:rPr>
          <w:rFonts w:ascii="Palatino Linotype" w:hAnsi="Palatino Linotype"/>
          <w:sz w:val="24"/>
          <w:szCs w:val="24"/>
        </w:rPr>
      </w:pPr>
      <w:r w:rsidRPr="00BD6BE1">
        <w:rPr>
          <w:rFonts w:ascii="Palatino Linotype" w:hAnsi="Palatino Linotype"/>
          <w:sz w:val="24"/>
          <w:szCs w:val="24"/>
        </w:rPr>
        <w:t xml:space="preserve">En este tenor, de forma objetiva </w:t>
      </w:r>
      <w:r w:rsidR="006B413D">
        <w:rPr>
          <w:rFonts w:ascii="Palatino Linotype" w:hAnsi="Palatino Linotype"/>
          <w:sz w:val="24"/>
          <w:szCs w:val="24"/>
        </w:rPr>
        <w:t xml:space="preserve">y literal se desprende que, mediante la solicitud de información, </w:t>
      </w:r>
      <w:r w:rsidR="000658F7">
        <w:rPr>
          <w:rFonts w:ascii="Palatino Linotype" w:hAnsi="Palatino Linotype"/>
          <w:b/>
          <w:bCs/>
          <w:sz w:val="24"/>
          <w:szCs w:val="24"/>
        </w:rPr>
        <w:t>La</w:t>
      </w:r>
      <w:r w:rsidR="006B413D">
        <w:rPr>
          <w:rFonts w:ascii="Palatino Linotype" w:hAnsi="Palatino Linotype"/>
          <w:b/>
          <w:bCs/>
          <w:sz w:val="24"/>
          <w:szCs w:val="24"/>
        </w:rPr>
        <w:t xml:space="preserve"> Recurrente </w:t>
      </w:r>
      <w:r w:rsidR="006B413D">
        <w:rPr>
          <w:rFonts w:ascii="Palatino Linotype" w:hAnsi="Palatino Linotype"/>
          <w:sz w:val="24"/>
          <w:szCs w:val="24"/>
        </w:rPr>
        <w:t>peticionó lo siguiente:</w:t>
      </w:r>
    </w:p>
    <w:p w14:paraId="47A3F4EA" w14:textId="3792D44B" w:rsidR="00BD6BE1" w:rsidRPr="00401333" w:rsidRDefault="00401333" w:rsidP="00401333">
      <w:pPr>
        <w:pStyle w:val="Citas"/>
        <w:rPr>
          <w:b/>
          <w:bCs/>
        </w:rPr>
      </w:pPr>
      <w:r w:rsidRPr="000658F7">
        <w:t>“</w:t>
      </w:r>
      <w:r w:rsidR="000658F7" w:rsidRPr="000658F7">
        <w:t>PORCENTAJE DE LA POBLACIÓN DE 0 A 15 AÑOS CON COBERTURA EDUCATIVA Y AÑOS PROMEDIO DE ESCOLARIDAD EN POBLACIÓN DE 25 AÑOS EN ADELANTE</w:t>
      </w:r>
      <w:r w:rsidRPr="000658F7">
        <w:t>”</w:t>
      </w:r>
      <w:r>
        <w:t xml:space="preserve"> </w:t>
      </w:r>
      <w:r>
        <w:rPr>
          <w:b/>
          <w:bCs/>
        </w:rPr>
        <w:t>(Sic)</w:t>
      </w:r>
    </w:p>
    <w:p w14:paraId="3026232B" w14:textId="40B56FC9"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lastRenderedPageBreak/>
        <w:t xml:space="preserve">Por otra parte, al referirnos al acto impugnado por </w:t>
      </w:r>
      <w:r w:rsidR="000658F7">
        <w:rPr>
          <w:rFonts w:ascii="Palatino Linotype" w:hAnsi="Palatino Linotype" w:cs="Arial"/>
          <w:b/>
        </w:rPr>
        <w:t>La</w:t>
      </w:r>
      <w:r w:rsidRPr="00CF0F1D">
        <w:rPr>
          <w:rFonts w:ascii="Palatino Linotype" w:hAnsi="Palatino Linotype" w:cs="Arial"/>
          <w:b/>
        </w:rPr>
        <w:t xml:space="preserve"> Recurrente</w:t>
      </w:r>
      <w:r w:rsidRPr="00CF0F1D">
        <w:rPr>
          <w:rFonts w:ascii="Palatino Linotype" w:hAnsi="Palatino Linotype" w:cs="Arial"/>
        </w:rPr>
        <w:t xml:space="preserve">, </w:t>
      </w:r>
      <w:r w:rsidRPr="009F5B38">
        <w:rPr>
          <w:rFonts w:ascii="Palatino Linotype" w:hAnsi="Palatino Linotype" w:cs="Arial"/>
        </w:rPr>
        <w:t>concatenado con los motivos o razones de inconformidad emitidos</w:t>
      </w:r>
      <w:r>
        <w:rPr>
          <w:rFonts w:ascii="Palatino Linotype" w:hAnsi="Palatino Linotype" w:cs="Arial"/>
        </w:rPr>
        <w:t>,</w:t>
      </w:r>
      <w:r w:rsidRPr="009F5B38">
        <w:rPr>
          <w:rFonts w:ascii="Palatino Linotype" w:hAnsi="Palatino Linotype" w:cs="Arial"/>
        </w:rPr>
        <w:t xml:space="preserve"> </w:t>
      </w:r>
      <w:r w:rsidRPr="00CF0F1D">
        <w:rPr>
          <w:rFonts w:ascii="Palatino Linotype" w:hAnsi="Palatino Linotype" w:cs="Arial"/>
        </w:rPr>
        <w:t>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1B1F309" w14:textId="77777777" w:rsidR="004F14BE" w:rsidRPr="00CF0F1D" w:rsidRDefault="004F14BE" w:rsidP="00583E1D">
      <w:pPr>
        <w:pStyle w:val="Citas"/>
      </w:pPr>
      <w:r w:rsidRPr="00CF0F1D">
        <w:rPr>
          <w:b/>
          <w:bCs/>
        </w:rPr>
        <w:t xml:space="preserve">“Artículo 179. </w:t>
      </w:r>
      <w:r w:rsidRPr="00CF0F1D">
        <w:t>El recurso de revisión es un medio de protección que la Ley otorga a los particulares, para hacer valer su derecho de acceso a la información pública, y procederá en contra de las siguientes causas:</w:t>
      </w:r>
    </w:p>
    <w:p w14:paraId="02C5972F" w14:textId="77777777" w:rsidR="004F14BE" w:rsidRPr="00CF0F1D" w:rsidRDefault="004F14BE" w:rsidP="00583E1D">
      <w:pPr>
        <w:pStyle w:val="Citas"/>
      </w:pPr>
      <w:r w:rsidRPr="00CF0F1D">
        <w:rPr>
          <w:b/>
          <w:bCs/>
        </w:rPr>
        <w:t>(…</w:t>
      </w:r>
      <w:r w:rsidRPr="00CF0F1D">
        <w:t>)</w:t>
      </w:r>
    </w:p>
    <w:p w14:paraId="7145A3AA" w14:textId="77777777" w:rsidR="004F14BE" w:rsidRPr="00CF0F1D" w:rsidRDefault="004F14BE" w:rsidP="00583E1D">
      <w:pPr>
        <w:pStyle w:val="Citas"/>
      </w:pPr>
      <w:r w:rsidRPr="00CF0F1D">
        <w:rPr>
          <w:b/>
          <w:bCs/>
        </w:rPr>
        <w:t xml:space="preserve">VII. </w:t>
      </w:r>
      <w:r w:rsidRPr="00CF0F1D">
        <w:t>La falta de respuesta a una solicitud de acceso a la información</w:t>
      </w:r>
    </w:p>
    <w:p w14:paraId="17A49671" w14:textId="7261CFFC" w:rsidR="004F14BE" w:rsidRPr="00CF0F1D" w:rsidRDefault="004F14BE" w:rsidP="00583E1D">
      <w:pPr>
        <w:pStyle w:val="Citas"/>
        <w:rPr>
          <w:b/>
        </w:rPr>
      </w:pPr>
      <w:r w:rsidRPr="00CF0F1D">
        <w:rPr>
          <w:b/>
        </w:rPr>
        <w:t>(…)”</w:t>
      </w:r>
      <w:r w:rsidRPr="00CF0F1D">
        <w:t xml:space="preserve"> </w:t>
      </w:r>
      <w:r w:rsidR="00583E1D">
        <w:rPr>
          <w:b/>
        </w:rPr>
        <w:t>(Sic)</w:t>
      </w:r>
    </w:p>
    <w:p w14:paraId="10018ECC" w14:textId="77777777" w:rsidR="00401333"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58672706" w14:textId="06291F5E"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En este tenor, r</w:t>
      </w:r>
      <w:r w:rsidRPr="009F5B38">
        <w:rPr>
          <w:rFonts w:ascii="Palatino Linotype" w:hAnsi="Palatino Linotype" w:cs="Arial"/>
        </w:rPr>
        <w:t>esulta evidente que las razones o motivos de inconformidad hechos valer</w:t>
      </w:r>
      <w:r w:rsidRPr="00CF0F1D">
        <w:rPr>
          <w:rFonts w:ascii="Palatino Linotype" w:hAnsi="Palatino Linotype" w:cs="Arial"/>
        </w:rPr>
        <w:t xml:space="preserve"> por </w:t>
      </w:r>
      <w:r w:rsidR="000658F7">
        <w:rPr>
          <w:rFonts w:ascii="Palatino Linotype" w:hAnsi="Palatino Linotype" w:cs="Arial"/>
          <w:b/>
        </w:rPr>
        <w:t>La</w:t>
      </w:r>
      <w:r w:rsidRPr="00CF0F1D">
        <w:rPr>
          <w:rFonts w:ascii="Palatino Linotype" w:hAnsi="Palatino Linotype" w:cs="Arial"/>
          <w:b/>
        </w:rPr>
        <w:t xml:space="preserve"> Recurrente, </w:t>
      </w:r>
      <w:r w:rsidRPr="00CF0F1D">
        <w:rPr>
          <w:rFonts w:ascii="Palatino Linotype" w:hAnsi="Palatino Linotype" w:cs="Arial"/>
        </w:rPr>
        <w:t>resultan fundados y procedentes, en virtud de que</w:t>
      </w:r>
      <w:r>
        <w:rPr>
          <w:rFonts w:ascii="Palatino Linotype" w:hAnsi="Palatino Linotype" w:cs="Arial"/>
        </w:rPr>
        <w:t>,</w:t>
      </w:r>
      <w:r w:rsidRPr="00CF0F1D">
        <w:rPr>
          <w:rFonts w:ascii="Palatino Linotype" w:hAnsi="Palatino Linotype" w:cs="Arial"/>
        </w:rPr>
        <w:t xml:space="preserve"> como consta en el expediente electrónico del </w:t>
      </w:r>
      <w:r w:rsidRPr="00CF0F1D">
        <w:rPr>
          <w:rFonts w:ascii="Palatino Linotype" w:hAnsi="Palatino Linotype" w:cs="Arial"/>
          <w:b/>
        </w:rPr>
        <w:t xml:space="preserve">SAIMEX, </w:t>
      </w:r>
      <w:r w:rsidRPr="00CF0F1D">
        <w:rPr>
          <w:rFonts w:ascii="Palatino Linotype" w:hAnsi="Palatino Linotype" w:cs="Arial"/>
        </w:rPr>
        <w:t xml:space="preserve">se acredita que </w:t>
      </w:r>
      <w:r w:rsidRPr="00CF0F1D">
        <w:rPr>
          <w:rFonts w:ascii="Palatino Linotype" w:hAnsi="Palatino Linotype" w:cs="Arial"/>
          <w:b/>
        </w:rPr>
        <w:t xml:space="preserve">El Sujeto Obligado </w:t>
      </w:r>
      <w:r w:rsidRPr="00CF0F1D">
        <w:rPr>
          <w:rFonts w:ascii="Palatino Linotype" w:hAnsi="Palatino Linotype" w:cs="Arial"/>
        </w:rPr>
        <w:t xml:space="preserve">fue omiso en responder la solicitud de información </w:t>
      </w:r>
      <w:r w:rsidR="00401333">
        <w:rPr>
          <w:rFonts w:ascii="Palatino Linotype" w:hAnsi="Palatino Linotype" w:cs="Arial"/>
        </w:rPr>
        <w:t xml:space="preserve">hecha por </w:t>
      </w:r>
      <w:r w:rsidR="000658F7">
        <w:rPr>
          <w:rFonts w:ascii="Palatino Linotype" w:hAnsi="Palatino Linotype" w:cs="Arial"/>
          <w:b/>
          <w:bCs/>
        </w:rPr>
        <w:t>La</w:t>
      </w:r>
      <w:r w:rsidR="00401333">
        <w:rPr>
          <w:rFonts w:ascii="Palatino Linotype" w:hAnsi="Palatino Linotype" w:cs="Arial"/>
          <w:b/>
          <w:bCs/>
        </w:rPr>
        <w:t xml:space="preserve"> Recurrente, </w:t>
      </w:r>
      <w:r w:rsidRPr="00CF0F1D">
        <w:rPr>
          <w:rFonts w:ascii="Palatino Linotype" w:hAnsi="Palatino Linotype" w:cs="Arial"/>
        </w:rPr>
        <w:t xml:space="preserve">por ello </w:t>
      </w:r>
      <w:r w:rsidRPr="00CF0F1D">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24D61F29" w14:textId="392D0F5F"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lastRenderedPageBreak/>
        <w:t xml:space="preserve">Una vez establecida y delimitada la materia del presente recurso de revisión, y atentos a </w:t>
      </w:r>
      <w:r w:rsidRPr="00CF0F1D">
        <w:rPr>
          <w:rFonts w:ascii="Palatino Linotype" w:hAnsi="Palatino Linotype"/>
          <w:lang w:eastAsia="es-MX"/>
        </w:rPr>
        <w:t xml:space="preserve">la falta de respuesta del </w:t>
      </w:r>
      <w:r w:rsidRPr="00CF0F1D">
        <w:rPr>
          <w:rFonts w:ascii="Palatino Linotype" w:hAnsi="Palatino Linotype"/>
          <w:b/>
          <w:lang w:eastAsia="es-MX"/>
        </w:rPr>
        <w:t>Sujeto Obligado</w:t>
      </w:r>
      <w:r w:rsidRPr="00CF0F1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F0F1D">
        <w:rPr>
          <w:rFonts w:ascii="Palatino Linotype" w:hAnsi="Palatino Linotype"/>
          <w:b/>
          <w:lang w:eastAsia="es-MX"/>
        </w:rPr>
        <w:t>Sujeto Obligado</w:t>
      </w:r>
      <w:r w:rsidRPr="00CF0F1D">
        <w:rPr>
          <w:rFonts w:ascii="Palatino Linotype" w:hAnsi="Palatino Linotype"/>
          <w:lang w:eastAsia="es-MX"/>
        </w:rPr>
        <w:t xml:space="preserve"> de la misma, tal y como lo constituyen </w:t>
      </w:r>
      <w:r w:rsidRPr="00CF0F1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5763226" w14:textId="77777777" w:rsidR="004F14BE" w:rsidRPr="00CF0F1D" w:rsidRDefault="004F14BE" w:rsidP="004F14BE">
      <w:pPr>
        <w:pStyle w:val="Sinespaciado"/>
        <w:rPr>
          <w:sz w:val="12"/>
        </w:rPr>
      </w:pPr>
    </w:p>
    <w:p w14:paraId="4C43EC3A" w14:textId="77777777" w:rsidR="004F14BE" w:rsidRPr="00CF0F1D" w:rsidRDefault="004F14BE" w:rsidP="00583E1D">
      <w:pPr>
        <w:pStyle w:val="Citas"/>
      </w:pPr>
      <w:r w:rsidRPr="00CF0F1D">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3D23A06E" w14:textId="77777777" w:rsidR="004F14BE" w:rsidRPr="00CF0F1D" w:rsidRDefault="004F14BE" w:rsidP="00583E1D">
      <w:pPr>
        <w:pStyle w:val="Citas"/>
        <w:rPr>
          <w:bCs/>
        </w:rPr>
      </w:pPr>
      <w:r w:rsidRPr="00CF0F1D">
        <w:rPr>
          <w:bCs/>
        </w:rPr>
        <w:t xml:space="preserve">Artículo 23. Son sujetos obligados a transparentar y permitir el acceso a su información y proteger los datos personales que obren en su poder: </w:t>
      </w:r>
    </w:p>
    <w:p w14:paraId="1ACE8384" w14:textId="77777777" w:rsidR="004F14BE" w:rsidRPr="00CF0F1D" w:rsidRDefault="004F14BE" w:rsidP="00583E1D">
      <w:pPr>
        <w:pStyle w:val="Citas"/>
        <w:rPr>
          <w:bCs/>
        </w:rPr>
      </w:pPr>
      <w:r w:rsidRPr="00CF0F1D">
        <w:rPr>
          <w:bCs/>
        </w:rPr>
        <w:t>(…)</w:t>
      </w:r>
    </w:p>
    <w:p w14:paraId="7F981379" w14:textId="34114DB5" w:rsidR="004F14BE" w:rsidRPr="00583E1D" w:rsidRDefault="004F14BE" w:rsidP="00583E1D">
      <w:pPr>
        <w:pStyle w:val="Citas"/>
        <w:rPr>
          <w:b/>
        </w:rPr>
      </w:pPr>
      <w:r w:rsidRPr="00583E1D">
        <w:rPr>
          <w:b/>
        </w:rPr>
        <w:t xml:space="preserve">IV. </w:t>
      </w:r>
      <w:r w:rsidRPr="00583E1D">
        <w:rPr>
          <w:b/>
          <w:u w:val="single"/>
        </w:rPr>
        <w:t>Los ayuntamientos y las dependencias, organismos, órganos y entidades de la administración municipal</w:t>
      </w:r>
      <w:r w:rsidRPr="00583E1D">
        <w:rPr>
          <w:b/>
        </w:rPr>
        <w:t>;</w:t>
      </w:r>
      <w:r w:rsidR="00583E1D">
        <w:rPr>
          <w:b/>
        </w:rPr>
        <w:t>” (Sic)</w:t>
      </w:r>
    </w:p>
    <w:p w14:paraId="083015D3" w14:textId="77777777" w:rsidR="004F14BE" w:rsidRPr="00CF0F1D" w:rsidRDefault="004F14BE" w:rsidP="004F14BE">
      <w:pPr>
        <w:pStyle w:val="Sinespaciado"/>
        <w:rPr>
          <w:sz w:val="8"/>
        </w:rPr>
      </w:pPr>
    </w:p>
    <w:p w14:paraId="37C205B6" w14:textId="77777777" w:rsidR="004F14BE" w:rsidRPr="00CF0F1D" w:rsidRDefault="004F14BE" w:rsidP="004F14BE">
      <w:pPr>
        <w:spacing w:line="360" w:lineRule="auto"/>
        <w:contextualSpacing/>
        <w:jc w:val="both"/>
        <w:rPr>
          <w:rFonts w:ascii="Palatino Linotype" w:eastAsia="MS Mincho" w:hAnsi="Palatino Linotype"/>
          <w:lang w:val="es-ES_tradnl"/>
        </w:rPr>
      </w:pPr>
    </w:p>
    <w:p w14:paraId="2961EA97" w14:textId="77777777" w:rsidR="004F14BE" w:rsidRPr="006B413D" w:rsidRDefault="004F14BE" w:rsidP="004F14BE">
      <w:pPr>
        <w:spacing w:line="360" w:lineRule="auto"/>
        <w:contextualSpacing/>
        <w:jc w:val="both"/>
        <w:rPr>
          <w:rFonts w:ascii="Palatino Linotype" w:hAnsi="Palatino Linotype" w:cs="Arial"/>
          <w:color w:val="000000"/>
          <w:sz w:val="24"/>
          <w:szCs w:val="24"/>
          <w:lang w:val="es-ES_tradnl"/>
        </w:rPr>
      </w:pPr>
      <w:r w:rsidRPr="006B413D">
        <w:rPr>
          <w:rFonts w:ascii="Palatino Linotype" w:eastAsia="MS Mincho" w:hAnsi="Palatino Linotype"/>
          <w:sz w:val="24"/>
          <w:szCs w:val="24"/>
          <w:lang w:val="es-ES_tradnl"/>
        </w:rPr>
        <w:lastRenderedPageBreak/>
        <w:t xml:space="preserve">Resulta necesario señalar que el derecho de acceso a la información pública es un </w:t>
      </w:r>
      <w:r w:rsidRPr="006B413D">
        <w:rPr>
          <w:rFonts w:ascii="Palatino Linotype"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6B413D">
        <w:rPr>
          <w:rFonts w:ascii="Palatino Linotype" w:hAnsi="Palatino Linotype" w:cs="Arial"/>
          <w:b/>
          <w:color w:val="000000"/>
          <w:sz w:val="24"/>
          <w:szCs w:val="24"/>
          <w:lang w:val="es-ES_tradnl"/>
        </w:rPr>
        <w:t>Sujeto Obligado</w:t>
      </w:r>
      <w:r w:rsidRPr="006B413D">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B413D">
        <w:rPr>
          <w:rFonts w:ascii="Palatino Linotype" w:hAnsi="Palatino Linotype" w:cs="Arial"/>
          <w:b/>
          <w:color w:val="000000"/>
          <w:sz w:val="24"/>
          <w:szCs w:val="24"/>
          <w:lang w:val="es-ES_tradnl"/>
        </w:rPr>
        <w:t xml:space="preserve">Constitución Política de los Estados Unidos Mexicanos </w:t>
      </w:r>
      <w:r w:rsidRPr="006B413D">
        <w:rPr>
          <w:rFonts w:ascii="Palatino Linotype" w:hAnsi="Palatino Linotype" w:cs="Arial"/>
          <w:color w:val="000000"/>
          <w:sz w:val="24"/>
          <w:szCs w:val="24"/>
          <w:lang w:val="es-ES_tradnl"/>
        </w:rPr>
        <w:t xml:space="preserve">al señalar la obligación de “promover, </w:t>
      </w:r>
      <w:r w:rsidRPr="006B413D">
        <w:rPr>
          <w:rFonts w:ascii="Palatino Linotype" w:hAnsi="Palatino Linotype" w:cs="Arial"/>
          <w:b/>
          <w:color w:val="000000"/>
          <w:sz w:val="24"/>
          <w:szCs w:val="24"/>
          <w:lang w:val="es-ES_tradnl"/>
        </w:rPr>
        <w:t>respetar</w:t>
      </w:r>
      <w:r w:rsidRPr="006B413D">
        <w:rPr>
          <w:rFonts w:ascii="Palatino Linotype" w:hAnsi="Palatino Linotype" w:cs="Arial"/>
          <w:color w:val="000000"/>
          <w:sz w:val="24"/>
          <w:szCs w:val="24"/>
          <w:lang w:val="es-ES_tradnl"/>
        </w:rPr>
        <w:t xml:space="preserve">, </w:t>
      </w:r>
      <w:r w:rsidRPr="006B413D">
        <w:rPr>
          <w:rFonts w:ascii="Palatino Linotype" w:hAnsi="Palatino Linotype" w:cs="Arial"/>
          <w:b/>
          <w:color w:val="000000"/>
          <w:sz w:val="24"/>
          <w:szCs w:val="24"/>
          <w:lang w:val="es-ES_tradnl"/>
        </w:rPr>
        <w:t>proteger</w:t>
      </w:r>
      <w:r w:rsidRPr="006B413D">
        <w:rPr>
          <w:rFonts w:ascii="Palatino Linotype" w:hAnsi="Palatino Linotype" w:cs="Arial"/>
          <w:color w:val="000000"/>
          <w:sz w:val="24"/>
          <w:szCs w:val="24"/>
          <w:lang w:val="es-ES_tradnl"/>
        </w:rPr>
        <w:t xml:space="preserve"> y </w:t>
      </w:r>
      <w:r w:rsidRPr="006B413D">
        <w:rPr>
          <w:rFonts w:ascii="Palatino Linotype" w:hAnsi="Palatino Linotype" w:cs="Arial"/>
          <w:b/>
          <w:color w:val="000000"/>
          <w:sz w:val="24"/>
          <w:szCs w:val="24"/>
          <w:lang w:val="es-ES_tradnl"/>
        </w:rPr>
        <w:t>garantizar</w:t>
      </w:r>
      <w:r w:rsidRPr="006B413D">
        <w:rPr>
          <w:rFonts w:ascii="Palatino Linotype" w:hAnsi="Palatino Linotype" w:cs="Arial"/>
          <w:color w:val="000000"/>
          <w:sz w:val="24"/>
          <w:szCs w:val="24"/>
          <w:lang w:val="es-ES_tradnl"/>
        </w:rPr>
        <w:t xml:space="preserve"> los derechos humanos”, entre los cuales se encuentra dicho derecho.</w:t>
      </w:r>
    </w:p>
    <w:p w14:paraId="2C7163AC" w14:textId="77777777" w:rsidR="004F14BE" w:rsidRPr="00D210F5" w:rsidRDefault="004F14BE" w:rsidP="004F14BE">
      <w:pPr>
        <w:spacing w:line="360" w:lineRule="auto"/>
        <w:contextualSpacing/>
        <w:jc w:val="both"/>
        <w:rPr>
          <w:rFonts w:ascii="Palatino Linotype" w:eastAsia="MS Mincho" w:hAnsi="Palatino Linotype" w:cs="Arial"/>
          <w:i/>
        </w:rPr>
      </w:pPr>
    </w:p>
    <w:p w14:paraId="15097589" w14:textId="77777777" w:rsidR="004F14BE" w:rsidRPr="006B413D" w:rsidRDefault="004F14BE" w:rsidP="004F14BE">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t>El acceso a la información pública es el derecho humano a través del cual se puede solicitar aquellos documentos que generen, administren o posean las autoridades en ejercicio de sus respectivas atribuciones y competencia.</w:t>
      </w:r>
    </w:p>
    <w:p w14:paraId="26EEB727" w14:textId="77777777" w:rsidR="004F14BE" w:rsidRPr="006B413D" w:rsidRDefault="004F14BE" w:rsidP="004F14BE">
      <w:pPr>
        <w:spacing w:line="360" w:lineRule="auto"/>
        <w:contextualSpacing/>
        <w:jc w:val="both"/>
        <w:rPr>
          <w:rFonts w:ascii="Palatino Linotype" w:hAnsi="Palatino Linotype" w:cs="Arial"/>
          <w:color w:val="000000"/>
          <w:sz w:val="24"/>
          <w:szCs w:val="24"/>
          <w:lang w:val="es-ES_tradnl"/>
        </w:rPr>
      </w:pPr>
    </w:p>
    <w:p w14:paraId="2EF5175B" w14:textId="77777777" w:rsidR="004F14BE" w:rsidRPr="006B413D" w:rsidRDefault="004F14BE" w:rsidP="004F14BE">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DBCC7" w14:textId="77777777" w:rsidR="004F14BE" w:rsidRPr="006B413D" w:rsidRDefault="004F14BE" w:rsidP="004F14BE">
      <w:pPr>
        <w:pStyle w:val="Prrafodelista"/>
        <w:spacing w:line="360" w:lineRule="auto"/>
        <w:ind w:left="0"/>
        <w:contextualSpacing/>
        <w:jc w:val="both"/>
        <w:rPr>
          <w:rFonts w:ascii="Palatino Linotype" w:hAnsi="Palatino Linotype"/>
          <w:lang w:eastAsia="es-MX"/>
        </w:rPr>
      </w:pPr>
      <w:r w:rsidRPr="006B413D">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w:t>
      </w:r>
      <w:r w:rsidRPr="006B413D">
        <w:rPr>
          <w:rFonts w:ascii="Palatino Linotype" w:eastAsia="MS Mincho" w:hAnsi="Palatino Linotype"/>
          <w:lang w:val="es-ES_tradnl"/>
        </w:rPr>
        <w:lastRenderedPageBreak/>
        <w:t>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78FD30B" w14:textId="77777777" w:rsidR="004F14BE" w:rsidRPr="00CF0F1D" w:rsidRDefault="004F14BE" w:rsidP="004F14BE">
      <w:pPr>
        <w:pStyle w:val="Prrafodelista"/>
        <w:spacing w:line="360" w:lineRule="auto"/>
        <w:ind w:left="0"/>
        <w:contextualSpacing/>
        <w:jc w:val="both"/>
        <w:rPr>
          <w:rFonts w:ascii="Palatino Linotype" w:hAnsi="Palatino Linotype"/>
          <w:lang w:eastAsia="es-MX"/>
        </w:rPr>
      </w:pPr>
    </w:p>
    <w:p w14:paraId="43A0220A" w14:textId="77777777" w:rsidR="004F14BE" w:rsidRDefault="004F14BE" w:rsidP="004F14BE">
      <w:pPr>
        <w:pStyle w:val="Prrafodelista"/>
        <w:spacing w:line="360" w:lineRule="auto"/>
        <w:ind w:left="0"/>
        <w:contextualSpacing/>
        <w:jc w:val="both"/>
        <w:rPr>
          <w:rFonts w:ascii="Palatino Linotype" w:hAnsi="Palatino Linotype" w:cs="Arial"/>
        </w:rPr>
      </w:pPr>
      <w:r w:rsidRPr="00CF0F1D">
        <w:rPr>
          <w:rFonts w:ascii="Palatino Linotype" w:hAnsi="Palatino Linotype" w:cs="Arial"/>
        </w:rPr>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7146B9B0" w14:textId="77777777" w:rsidR="004F14BE" w:rsidRPr="00D210F5" w:rsidRDefault="004F14BE" w:rsidP="004F14BE">
      <w:pPr>
        <w:pStyle w:val="Prrafodelista"/>
        <w:spacing w:line="360" w:lineRule="auto"/>
        <w:ind w:left="0"/>
        <w:contextualSpacing/>
        <w:jc w:val="both"/>
        <w:rPr>
          <w:rFonts w:ascii="Palatino Linotype" w:hAnsi="Palatino Linotype" w:cs="Arial"/>
        </w:rPr>
      </w:pPr>
    </w:p>
    <w:p w14:paraId="414E8FE5"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las obligaciones que establece nuestra Carta Magna, la Constitución Estatal y la Ley de la materia le imponen, el </w:t>
      </w:r>
      <w:r w:rsidRPr="00CF0F1D">
        <w:rPr>
          <w:rFonts w:ascii="Palatino Linotype" w:hAnsi="Palatino Linotype" w:cs="Arial"/>
          <w:b/>
        </w:rPr>
        <w:t>Sujeto Obligado</w:t>
      </w:r>
      <w:r w:rsidRPr="00CF0F1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que di</w:t>
      </w:r>
      <w:r>
        <w:rPr>
          <w:rFonts w:ascii="Palatino Linotype" w:hAnsi="Palatino Linotype" w:cs="Arial"/>
        </w:rPr>
        <w:t>eron</w:t>
      </w:r>
      <w:r w:rsidRPr="00CF0F1D">
        <w:rPr>
          <w:rFonts w:ascii="Palatino Linotype" w:hAnsi="Palatino Linotype" w:cs="Arial"/>
        </w:rPr>
        <w:t xml:space="preserve"> origen a este recurso, el </w:t>
      </w:r>
      <w:r w:rsidRPr="00CF0F1D">
        <w:rPr>
          <w:rFonts w:ascii="Palatino Linotype" w:hAnsi="Palatino Linotype" w:cs="Arial"/>
          <w:b/>
        </w:rPr>
        <w:t>Sujeto Obligado</w:t>
      </w:r>
      <w:r w:rsidRPr="00CF0F1D">
        <w:rPr>
          <w:rFonts w:ascii="Palatino Linotype" w:hAnsi="Palatino Linotype" w:cs="Arial"/>
        </w:rPr>
        <w:t xml:space="preserve"> fue omiso en dar respuesta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w:t>
      </w:r>
    </w:p>
    <w:p w14:paraId="7DF320E0"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734125A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lastRenderedPageBreak/>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254EC101"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594EF989" w14:textId="77777777" w:rsidR="004F14BE" w:rsidRPr="00CF0F1D" w:rsidRDefault="004F14BE" w:rsidP="004F14BE">
      <w:pPr>
        <w:pStyle w:val="Prrafodelista"/>
        <w:autoSpaceDE w:val="0"/>
        <w:autoSpaceDN w:val="0"/>
        <w:adjustRightInd w:val="0"/>
        <w:spacing w:line="360" w:lineRule="auto"/>
        <w:ind w:left="0"/>
        <w:jc w:val="both"/>
        <w:rPr>
          <w:rFonts w:ascii="Palatino Linotype" w:eastAsia="Calibri" w:hAnsi="Palatino Linotype"/>
          <w:i/>
        </w:rPr>
      </w:pPr>
      <w:r w:rsidRPr="00CF0F1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F0F1D">
        <w:rPr>
          <w:rFonts w:ascii="Palatino Linotype" w:eastAsia="Calibri" w:hAnsi="Palatino Linotype"/>
          <w:i/>
        </w:rPr>
        <w:t xml:space="preserve">en el ámbito de sus atribuciones, de promover, respetar, proteger y </w:t>
      </w:r>
      <w:r w:rsidRPr="00CF0F1D">
        <w:rPr>
          <w:rFonts w:ascii="Palatino Linotype" w:eastAsia="Calibri" w:hAnsi="Palatino Linotype"/>
          <w:b/>
          <w:i/>
        </w:rPr>
        <w:t>garantizar</w:t>
      </w:r>
      <w:r w:rsidRPr="00CF0F1D">
        <w:rPr>
          <w:rFonts w:ascii="Palatino Linotype" w:eastAsia="Calibri" w:hAnsi="Palatino Linotype"/>
          <w:i/>
        </w:rPr>
        <w:t xml:space="preserve"> los derechos humanos. </w:t>
      </w:r>
    </w:p>
    <w:p w14:paraId="45C7E31F" w14:textId="77777777" w:rsidR="004F14BE" w:rsidRPr="00CF0F1D" w:rsidRDefault="004F14BE" w:rsidP="004F14BE">
      <w:pPr>
        <w:pStyle w:val="Prrafodelista"/>
        <w:autoSpaceDE w:val="0"/>
        <w:autoSpaceDN w:val="0"/>
        <w:adjustRightInd w:val="0"/>
        <w:spacing w:line="360" w:lineRule="auto"/>
        <w:ind w:left="0"/>
        <w:jc w:val="both"/>
        <w:rPr>
          <w:rFonts w:ascii="Palatino Linotype" w:eastAsia="Calibri" w:hAnsi="Palatino Linotype"/>
        </w:rPr>
      </w:pPr>
    </w:p>
    <w:p w14:paraId="2060FAC0"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CF0F1D">
        <w:rPr>
          <w:rFonts w:ascii="Palatino Linotype" w:eastAsia="Calibri" w:hAnsi="Palatino Linotype"/>
          <w:i/>
        </w:rPr>
        <w:t>procedimiento de acceso a la información es la garantía primaria del derecho en cuestión.</w:t>
      </w:r>
      <w:r w:rsidRPr="00CF0F1D">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F0F1D">
        <w:rPr>
          <w:rFonts w:ascii="Palatino Linotype" w:eastAsia="Calibri" w:hAnsi="Palatino Linotype"/>
          <w:i/>
        </w:rPr>
        <w:t>investigar, sancionar y reparar las violaciones a los derechos humanos.</w:t>
      </w:r>
    </w:p>
    <w:p w14:paraId="43804D1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C1A9E83"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esta resolución, el </w:t>
      </w:r>
      <w:r w:rsidRPr="00CF0F1D">
        <w:rPr>
          <w:rFonts w:ascii="Palatino Linotype" w:hAnsi="Palatino Linotype" w:cs="Arial"/>
          <w:b/>
        </w:rPr>
        <w:t xml:space="preserve">Sujeto Obligado </w:t>
      </w:r>
      <w:r w:rsidRPr="00CF0F1D">
        <w:rPr>
          <w:rFonts w:ascii="Palatino Linotype" w:hAnsi="Palatino Linotype" w:cs="Arial"/>
        </w:rPr>
        <w:t>deberá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información, puesto que el silencio administrativo que hizo patente al omitir dar respuesta trae como consecuencia que se le ordene dar atención a la</w:t>
      </w:r>
      <w:r>
        <w:rPr>
          <w:rFonts w:ascii="Palatino Linotype" w:hAnsi="Palatino Linotype" w:cs="Arial"/>
        </w:rPr>
        <w:t>s</w:t>
      </w:r>
      <w:r w:rsidRPr="00CF0F1D">
        <w:rPr>
          <w:rFonts w:ascii="Palatino Linotype" w:hAnsi="Palatino Linotype" w:cs="Arial"/>
        </w:rPr>
        <w:t xml:space="preserve"> </w:t>
      </w:r>
      <w:r w:rsidRPr="00CF0F1D">
        <w:rPr>
          <w:rFonts w:ascii="Palatino Linotype" w:hAnsi="Palatino Linotype" w:cs="Arial"/>
        </w:rPr>
        <w:lastRenderedPageBreak/>
        <w:t>solicitud</w:t>
      </w:r>
      <w:r>
        <w:rPr>
          <w:rFonts w:ascii="Palatino Linotype" w:hAnsi="Palatino Linotype" w:cs="Arial"/>
        </w:rPr>
        <w:t>es</w:t>
      </w:r>
      <w:r w:rsidRPr="00CF0F1D">
        <w:rPr>
          <w:rFonts w:ascii="Palatino Linotype" w:hAnsi="Palatino Linotype" w:cs="Arial"/>
        </w:rPr>
        <w:t xml:space="preserve"> entregando la información solicitada, lo cual deberá llevar a cabo en ejercicio de sus atribuciones y con arreglo a lo dispuesto por la ley de la materia.</w:t>
      </w:r>
    </w:p>
    <w:p w14:paraId="6DB5D8CD" w14:textId="475414BD" w:rsidR="004F14BE"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En consecuencia, para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en cuestión el </w:t>
      </w:r>
      <w:r w:rsidRPr="00CF0F1D">
        <w:rPr>
          <w:rFonts w:ascii="Palatino Linotype" w:hAnsi="Palatino Linotype" w:cs="Arial"/>
          <w:b/>
        </w:rPr>
        <w:t>Sujeto Obligado</w:t>
      </w:r>
      <w:r w:rsidRPr="00CF0F1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7FAC6BA0" w14:textId="77777777" w:rsidR="00401333" w:rsidRPr="00CF0F1D"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7FC8BA5B" w14:textId="16DEECFA" w:rsidR="004F14BE"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cualquiera de los casos, imperativamente, el </w:t>
      </w:r>
      <w:r w:rsidRPr="00CF0F1D">
        <w:rPr>
          <w:rFonts w:ascii="Palatino Linotype" w:hAnsi="Palatino Linotype" w:cs="Arial"/>
          <w:b/>
        </w:rPr>
        <w:t>Sujeto Obligado</w:t>
      </w:r>
      <w:r w:rsidRPr="00CF0F1D">
        <w:rPr>
          <w:rFonts w:ascii="Palatino Linotype" w:hAnsi="Palatino Linotype" w:cs="Arial"/>
        </w:rPr>
        <w:t xml:space="preserve"> debe de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0AFDCDE4" w14:textId="14A9D895" w:rsidR="00583E1D" w:rsidRDefault="00583E1D" w:rsidP="004F14BE">
      <w:pPr>
        <w:pStyle w:val="Prrafodelista"/>
        <w:autoSpaceDE w:val="0"/>
        <w:autoSpaceDN w:val="0"/>
        <w:adjustRightInd w:val="0"/>
        <w:spacing w:line="360" w:lineRule="auto"/>
        <w:ind w:left="0"/>
        <w:jc w:val="both"/>
        <w:rPr>
          <w:rFonts w:ascii="Palatino Linotype" w:hAnsi="Palatino Linotype" w:cs="Arial"/>
        </w:rPr>
      </w:pPr>
    </w:p>
    <w:p w14:paraId="52E67E8E" w14:textId="6F91F0CA" w:rsidR="00401333"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4CCF621A" w14:textId="77777777" w:rsidR="00401333" w:rsidRPr="00474B40" w:rsidRDefault="00401333" w:rsidP="004F14BE">
      <w:pPr>
        <w:pStyle w:val="Prrafodelista"/>
        <w:autoSpaceDE w:val="0"/>
        <w:autoSpaceDN w:val="0"/>
        <w:adjustRightInd w:val="0"/>
        <w:spacing w:line="360" w:lineRule="auto"/>
        <w:ind w:left="0"/>
        <w:jc w:val="both"/>
        <w:rPr>
          <w:rFonts w:ascii="Palatino Linotype" w:hAnsi="Palatino Linotype" w:cs="Arial"/>
        </w:rPr>
      </w:pPr>
    </w:p>
    <w:p w14:paraId="36380230" w14:textId="334B8194" w:rsidR="004F14BE" w:rsidRDefault="004F14BE" w:rsidP="00474B40">
      <w:pPr>
        <w:pStyle w:val="Prrafodelista"/>
        <w:numPr>
          <w:ilvl w:val="0"/>
          <w:numId w:val="20"/>
        </w:numPr>
        <w:autoSpaceDE w:val="0"/>
        <w:autoSpaceDN w:val="0"/>
        <w:adjustRightInd w:val="0"/>
        <w:spacing w:line="360" w:lineRule="auto"/>
        <w:jc w:val="both"/>
        <w:rPr>
          <w:rFonts w:ascii="Palatino Linotype" w:hAnsi="Palatino Linotype"/>
          <w:b/>
          <w:iCs/>
        </w:rPr>
      </w:pPr>
      <w:r w:rsidRPr="00474B40">
        <w:rPr>
          <w:rFonts w:ascii="Palatino Linotype" w:hAnsi="Palatino Linotype"/>
          <w:b/>
          <w:iCs/>
        </w:rPr>
        <w:lastRenderedPageBreak/>
        <w:t xml:space="preserve">Vista a los Órganos de Control Interno </w:t>
      </w:r>
    </w:p>
    <w:p w14:paraId="72B6D863" w14:textId="77777777" w:rsidR="006B413D" w:rsidRPr="00474B40" w:rsidRDefault="006B413D" w:rsidP="006B413D">
      <w:pPr>
        <w:pStyle w:val="Prrafodelista"/>
        <w:autoSpaceDE w:val="0"/>
        <w:autoSpaceDN w:val="0"/>
        <w:adjustRightInd w:val="0"/>
        <w:spacing w:line="360" w:lineRule="auto"/>
        <w:ind w:left="720"/>
        <w:jc w:val="both"/>
        <w:rPr>
          <w:rFonts w:ascii="Palatino Linotype" w:hAnsi="Palatino Linotype"/>
          <w:b/>
          <w:iCs/>
        </w:rPr>
      </w:pPr>
    </w:p>
    <w:p w14:paraId="1DB8BE9C" w14:textId="77777777" w:rsidR="004F14BE" w:rsidRPr="006B413D" w:rsidRDefault="004F14BE" w:rsidP="004F14BE">
      <w:pPr>
        <w:spacing w:line="360" w:lineRule="auto"/>
        <w:contextualSpacing/>
        <w:jc w:val="both"/>
        <w:rPr>
          <w:rFonts w:ascii="Palatino Linotype" w:eastAsia="MS Mincho" w:hAnsi="Palatino Linotype"/>
          <w:sz w:val="24"/>
          <w:szCs w:val="24"/>
          <w:lang w:val="es-ES_tradnl"/>
        </w:rPr>
      </w:pPr>
      <w:r w:rsidRPr="006B413D">
        <w:rPr>
          <w:rFonts w:ascii="Palatino Linotype" w:eastAsia="MS Mincho" w:hAnsi="Palatino Linotype"/>
          <w:sz w:val="24"/>
          <w:szCs w:val="24"/>
          <w:lang w:val="es-ES_tradnl"/>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6B413D">
        <w:rPr>
          <w:rFonts w:ascii="Palatino Linotype" w:eastAsia="MS Mincho" w:hAnsi="Palatino Linotype"/>
          <w:b/>
          <w:sz w:val="24"/>
          <w:szCs w:val="24"/>
          <w:lang w:val="es-ES_tradnl"/>
        </w:rPr>
        <w:t>Sujeto Obligado</w:t>
      </w:r>
      <w:r w:rsidRPr="006B413D">
        <w:rPr>
          <w:rFonts w:ascii="Palatino Linotype" w:eastAsia="MS Mincho" w:hAnsi="Palatino Linotype"/>
          <w:sz w:val="24"/>
          <w:szCs w:val="24"/>
          <w:lang w:val="es-ES_tradnl"/>
        </w:rPr>
        <w:t>.</w:t>
      </w:r>
    </w:p>
    <w:p w14:paraId="537531F9" w14:textId="77777777" w:rsidR="004F14BE" w:rsidRPr="006B413D" w:rsidRDefault="004F14BE" w:rsidP="004F14BE">
      <w:pPr>
        <w:spacing w:line="360" w:lineRule="auto"/>
        <w:contextualSpacing/>
        <w:jc w:val="both"/>
        <w:rPr>
          <w:rFonts w:ascii="Palatino Linotype" w:eastAsia="MS Mincho" w:hAnsi="Palatino Linotype"/>
          <w:sz w:val="24"/>
          <w:szCs w:val="24"/>
          <w:lang w:val="es-ES_tradnl"/>
        </w:rPr>
      </w:pPr>
    </w:p>
    <w:p w14:paraId="520B0C5A" w14:textId="77777777" w:rsidR="004F14BE" w:rsidRPr="006B413D" w:rsidRDefault="004F14BE" w:rsidP="004F14BE">
      <w:pPr>
        <w:spacing w:line="360" w:lineRule="auto"/>
        <w:contextualSpacing/>
        <w:jc w:val="both"/>
        <w:rPr>
          <w:rFonts w:ascii="Palatino Linotype" w:eastAsia="MS Mincho" w:hAnsi="Palatino Linotype"/>
          <w:sz w:val="24"/>
          <w:szCs w:val="24"/>
        </w:rPr>
      </w:pPr>
      <w:r w:rsidRPr="006B413D">
        <w:rPr>
          <w:rFonts w:ascii="Palatino Linotype" w:eastAsia="MS Mincho" w:hAnsi="Palatino Linotype"/>
          <w:sz w:val="24"/>
          <w:szCs w:val="24"/>
        </w:rPr>
        <w:t>Por ello, es conveniente señalar la fracción X, del artículo 36, de la Ley de Transparencia y Acceso a la Información Pública del Estado de México y Municipios, que establece:</w:t>
      </w:r>
    </w:p>
    <w:p w14:paraId="62020ED2" w14:textId="45826ABA" w:rsidR="004F14BE" w:rsidRPr="00CF0F1D" w:rsidRDefault="00474B40" w:rsidP="00474B40">
      <w:pPr>
        <w:pStyle w:val="Citas"/>
      </w:pPr>
      <w:r>
        <w:rPr>
          <w:b/>
        </w:rPr>
        <w:t>“</w:t>
      </w:r>
      <w:r w:rsidR="004F14BE" w:rsidRPr="00CF0F1D">
        <w:rPr>
          <w:b/>
        </w:rPr>
        <w:t>Artículo 36.</w:t>
      </w:r>
      <w:r w:rsidR="004F14BE" w:rsidRPr="00CF0F1D">
        <w:t xml:space="preserve"> El Instituto tendrá, en el ámbito de su competencia, las siguientes atribuciones:</w:t>
      </w:r>
    </w:p>
    <w:p w14:paraId="03FF7911" w14:textId="77777777" w:rsidR="004F14BE" w:rsidRPr="00CF0F1D" w:rsidRDefault="004F14BE" w:rsidP="00474B40">
      <w:pPr>
        <w:pStyle w:val="Citas"/>
      </w:pPr>
      <w:r w:rsidRPr="00CF0F1D">
        <w:t>(…)</w:t>
      </w:r>
    </w:p>
    <w:p w14:paraId="7AD42E6E" w14:textId="35AA3CC5" w:rsidR="004F14BE" w:rsidRPr="00474B40" w:rsidRDefault="004F14BE" w:rsidP="00474B40">
      <w:pPr>
        <w:pStyle w:val="Citas"/>
        <w:rPr>
          <w:b/>
          <w:bCs/>
        </w:rPr>
      </w:pPr>
      <w:r w:rsidRPr="00CF0F1D">
        <w:t>X. Hacer del conocimiento del órgano de control interno o equivalente de cada Sujeto Obligado las infracciones a esta Ley;</w:t>
      </w:r>
      <w:r w:rsidR="00474B40">
        <w:t xml:space="preserve">” </w:t>
      </w:r>
      <w:r w:rsidR="00474B40">
        <w:rPr>
          <w:b/>
          <w:bCs/>
        </w:rPr>
        <w:t>(Sic)</w:t>
      </w:r>
    </w:p>
    <w:p w14:paraId="39062713" w14:textId="77777777" w:rsidR="004F14BE" w:rsidRPr="00CF0F1D" w:rsidRDefault="004F14BE" w:rsidP="004F14BE">
      <w:pPr>
        <w:spacing w:line="360" w:lineRule="auto"/>
        <w:contextualSpacing/>
        <w:jc w:val="both"/>
        <w:rPr>
          <w:rFonts w:ascii="Palatino Linotype" w:eastAsia="MS Mincho" w:hAnsi="Palatino Linotype"/>
        </w:rPr>
      </w:pPr>
    </w:p>
    <w:p w14:paraId="3C15DA25" w14:textId="77777777" w:rsidR="004F14BE" w:rsidRPr="006B4EB1" w:rsidRDefault="004F14BE" w:rsidP="004F14BE">
      <w:pPr>
        <w:spacing w:line="360" w:lineRule="auto"/>
        <w:contextualSpacing/>
        <w:jc w:val="both"/>
        <w:rPr>
          <w:rFonts w:ascii="Palatino Linotype" w:eastAsia="MS Mincho" w:hAnsi="Palatino Linotype" w:cs="Arial"/>
          <w:sz w:val="24"/>
          <w:szCs w:val="24"/>
        </w:rPr>
      </w:pPr>
      <w:r w:rsidRPr="006B4EB1">
        <w:rPr>
          <w:rFonts w:ascii="Palatino Linotype" w:eastAsia="MS Mincho" w:hAnsi="Palatino Linotype"/>
          <w:sz w:val="24"/>
          <w:szCs w:val="24"/>
        </w:rPr>
        <w:t xml:space="preserve">Asimismo, este Pleno hará del conocimiento del órgano de control de este Instituto de las infracciones en que el </w:t>
      </w:r>
      <w:r w:rsidRPr="006B4EB1">
        <w:rPr>
          <w:rFonts w:ascii="Palatino Linotype" w:eastAsia="MS Mincho" w:hAnsi="Palatino Linotype"/>
          <w:b/>
          <w:sz w:val="24"/>
          <w:szCs w:val="24"/>
        </w:rPr>
        <w:t>Sujeto Obligado</w:t>
      </w:r>
      <w:r w:rsidRPr="006B4EB1">
        <w:rPr>
          <w:rFonts w:ascii="Palatino Linotype" w:eastAsia="MS Mincho" w:hAnsi="Palatino Linotype"/>
          <w:sz w:val="24"/>
          <w:szCs w:val="24"/>
        </w:rPr>
        <w:t xml:space="preserve"> incurrió, toda vez que la naturaleza de investigar y sancionar corresponde a un ente distinto a éste a través de un procedimiento diferente al recurso de revisión, lo cual se encuentra previsto </w:t>
      </w:r>
      <w:r w:rsidRPr="006B4EB1">
        <w:rPr>
          <w:rFonts w:ascii="Palatino Linotype" w:eastAsia="MS Mincho" w:hAnsi="Palatino Linotype" w:cs="Arial"/>
          <w:sz w:val="24"/>
          <w:szCs w:val="24"/>
        </w:rPr>
        <w:t xml:space="preserve">en la Ley </w:t>
      </w:r>
      <w:r w:rsidRPr="006B4EB1">
        <w:rPr>
          <w:rFonts w:ascii="Palatino Linotype" w:eastAsia="MS Mincho" w:hAnsi="Palatino Linotype" w:cs="Arial"/>
          <w:sz w:val="24"/>
          <w:szCs w:val="24"/>
        </w:rPr>
        <w:lastRenderedPageBreak/>
        <w:t>de Transparencia Acceso a la Información Pública del Estado de México y Municipios específicamente en sus artículos 190, 222 y 223, que señalan lo siguiente:</w:t>
      </w:r>
    </w:p>
    <w:p w14:paraId="22FD671B" w14:textId="0E408DDC" w:rsidR="004F14BE" w:rsidRPr="00CF0F1D" w:rsidRDefault="00474B40" w:rsidP="00474B40">
      <w:pPr>
        <w:pStyle w:val="Citas"/>
      </w:pPr>
      <w:r>
        <w:rPr>
          <w:b/>
        </w:rPr>
        <w:t>“</w:t>
      </w:r>
      <w:r w:rsidR="004F14BE" w:rsidRPr="00CF0F1D">
        <w:rPr>
          <w:b/>
        </w:rPr>
        <w:t>Artículo 190.</w:t>
      </w:r>
      <w:r w:rsidR="004F14BE" w:rsidRPr="00CF0F1D">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6E693A64" w14:textId="77777777" w:rsidR="004F14BE" w:rsidRPr="00CF0F1D" w:rsidRDefault="004F14BE" w:rsidP="00474B40">
      <w:pPr>
        <w:pStyle w:val="Citas"/>
      </w:pPr>
      <w:r w:rsidRPr="00CF0F1D">
        <w:rPr>
          <w:b/>
        </w:rPr>
        <w:t>Artículo 222.</w:t>
      </w:r>
      <w:r w:rsidRPr="00CF0F1D">
        <w:t xml:space="preserve"> Son causas de responsabilidad administrativa de los servidores públicos de los sujetos obligados, por incumplimiento de las obligaciones establecidas en la materia de la presente Ley, las siguientes:</w:t>
      </w:r>
    </w:p>
    <w:p w14:paraId="55F20863" w14:textId="77777777" w:rsidR="004F14BE" w:rsidRPr="00CF0F1D" w:rsidRDefault="004F14BE" w:rsidP="00474B40">
      <w:pPr>
        <w:pStyle w:val="Citas"/>
      </w:pPr>
      <w:r w:rsidRPr="00CF0F1D">
        <w:t>(…)</w:t>
      </w:r>
    </w:p>
    <w:p w14:paraId="413893C2" w14:textId="77777777" w:rsidR="004F14BE" w:rsidRPr="00CF0F1D" w:rsidRDefault="004F14BE" w:rsidP="00474B40">
      <w:pPr>
        <w:pStyle w:val="Citas"/>
        <w:rPr>
          <w:b/>
        </w:rPr>
      </w:pPr>
      <w:r w:rsidRPr="00CF0F1D">
        <w:rPr>
          <w:b/>
        </w:rPr>
        <w:t xml:space="preserve">I. Cualquier acto u </w:t>
      </w:r>
      <w:r w:rsidRPr="00CF0F1D">
        <w:rPr>
          <w:b/>
          <w:u w:val="single"/>
        </w:rPr>
        <w:t>omisión</w:t>
      </w:r>
      <w:r w:rsidRPr="00CF0F1D">
        <w:rPr>
          <w:b/>
        </w:rPr>
        <w:t xml:space="preserve"> que provoque la suspensión o deficiencia en la atención de las solicitudes de información;</w:t>
      </w:r>
    </w:p>
    <w:p w14:paraId="3289527E" w14:textId="77777777" w:rsidR="004F14BE" w:rsidRPr="00CF0F1D" w:rsidRDefault="004F14BE" w:rsidP="00474B40">
      <w:pPr>
        <w:pStyle w:val="Citas"/>
      </w:pPr>
      <w:r w:rsidRPr="00CF0F1D">
        <w:rPr>
          <w:b/>
          <w:u w:val="single"/>
        </w:rPr>
        <w:t>II. La falta de respuesta a las solicitudes de información en los plazos señalados en la normatividad aplicable</w:t>
      </w:r>
      <w:r w:rsidRPr="00CF0F1D">
        <w:t>;</w:t>
      </w:r>
    </w:p>
    <w:p w14:paraId="592E7D85" w14:textId="77777777" w:rsidR="004F14BE" w:rsidRPr="00CF0F1D" w:rsidRDefault="004F14BE" w:rsidP="00474B40">
      <w:pPr>
        <w:pStyle w:val="Citas"/>
      </w:pPr>
      <w:r w:rsidRPr="00CF0F1D">
        <w:t>(…)</w:t>
      </w:r>
    </w:p>
    <w:p w14:paraId="679237AC" w14:textId="36E17333" w:rsidR="004F14BE" w:rsidRPr="00474B40" w:rsidRDefault="004F14BE" w:rsidP="00474B40">
      <w:pPr>
        <w:pStyle w:val="Citas"/>
        <w:rPr>
          <w:b/>
          <w:bCs/>
        </w:rPr>
      </w:pPr>
      <w:r w:rsidRPr="00CF0F1D">
        <w:rPr>
          <w:b/>
        </w:rPr>
        <w:t>Artículo 223.</w:t>
      </w:r>
      <w:r w:rsidRPr="00CF0F1D">
        <w:t xml:space="preserve"> El Instituto dará vista a la Contraloría Interna y Órgano de Control y Vigilancia en términos de la Ley de Responsabilidades de los Servidores Públicos </w:t>
      </w:r>
      <w:r w:rsidRPr="00CF0F1D">
        <w:lastRenderedPageBreak/>
        <w:t>del Estado y Municipios, para que determine el grado de responsabilidad de quienes incumplan con las obligaciones de la presente Ley.</w:t>
      </w:r>
      <w:r w:rsidR="00474B40">
        <w:t xml:space="preserve">” </w:t>
      </w:r>
      <w:r w:rsidR="00474B40">
        <w:rPr>
          <w:b/>
          <w:bCs/>
        </w:rPr>
        <w:t>(Sic)</w:t>
      </w:r>
    </w:p>
    <w:p w14:paraId="6F6EB1F3" w14:textId="77777777" w:rsidR="004F14BE" w:rsidRPr="00CF0F1D" w:rsidRDefault="004F14BE" w:rsidP="00474B40">
      <w:pPr>
        <w:pStyle w:val="Citas"/>
        <w:rPr>
          <w:rFonts w:eastAsia="Calibri"/>
          <w:color w:val="000000"/>
          <w:lang w:eastAsia="es-MX"/>
        </w:rPr>
      </w:pPr>
    </w:p>
    <w:p w14:paraId="04ADA9C6" w14:textId="4AF36EDD" w:rsidR="004F14BE" w:rsidRDefault="004F14BE" w:rsidP="004F14BE">
      <w:pPr>
        <w:spacing w:line="360" w:lineRule="auto"/>
        <w:contextualSpacing/>
        <w:jc w:val="both"/>
        <w:rPr>
          <w:rFonts w:ascii="Palatino Linotype" w:hAnsi="Palatino Linotype" w:cs="Arial"/>
          <w:color w:val="222222"/>
          <w:sz w:val="24"/>
          <w:szCs w:val="24"/>
        </w:rPr>
      </w:pPr>
      <w:r w:rsidRPr="006B413D">
        <w:rPr>
          <w:rFonts w:ascii="Palatino Linotype" w:hAnsi="Palatino Linotype" w:cs="Arial"/>
          <w:color w:val="000000"/>
          <w:sz w:val="24"/>
          <w:szCs w:val="24"/>
        </w:rPr>
        <w:t xml:space="preserve">Por lo que es menester en este asunto, </w:t>
      </w:r>
      <w:r w:rsidRPr="006B413D">
        <w:rPr>
          <w:rFonts w:ascii="Palatino Linotype" w:hAnsi="Palatino Linotype" w:cs="Arial"/>
          <w:color w:val="222222"/>
          <w:sz w:val="24"/>
          <w:szCs w:val="24"/>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7F0F1F1" w14:textId="77777777" w:rsidR="00401333" w:rsidRPr="006B413D" w:rsidRDefault="00401333" w:rsidP="004F14BE">
      <w:pPr>
        <w:spacing w:line="360" w:lineRule="auto"/>
        <w:contextualSpacing/>
        <w:jc w:val="both"/>
        <w:rPr>
          <w:rFonts w:ascii="Palatino Linotype" w:hAnsi="Palatino Linotype" w:cs="Arial"/>
          <w:color w:val="222222"/>
          <w:sz w:val="24"/>
          <w:szCs w:val="24"/>
        </w:rPr>
      </w:pPr>
    </w:p>
    <w:p w14:paraId="179C36A7" w14:textId="77777777" w:rsidR="00A720C4" w:rsidRPr="00A720C4" w:rsidRDefault="00A720C4" w:rsidP="00A720C4">
      <w:pPr>
        <w:pStyle w:val="Prrafodelista"/>
        <w:numPr>
          <w:ilvl w:val="0"/>
          <w:numId w:val="20"/>
        </w:numPr>
        <w:autoSpaceDE w:val="0"/>
        <w:autoSpaceDN w:val="0"/>
        <w:adjustRightInd w:val="0"/>
        <w:spacing w:before="240" w:line="360" w:lineRule="auto"/>
        <w:jc w:val="both"/>
        <w:rPr>
          <w:rFonts w:ascii="Palatino Linotype" w:hAnsi="Palatino Linotype"/>
          <w:b/>
        </w:rPr>
      </w:pPr>
      <w:r w:rsidRPr="00A720C4">
        <w:rPr>
          <w:rFonts w:ascii="Palatino Linotype" w:hAnsi="Palatino Linotype"/>
          <w:b/>
        </w:rPr>
        <w:t xml:space="preserve">De la Versión Pública </w:t>
      </w:r>
    </w:p>
    <w:p w14:paraId="5EE9743E" w14:textId="77777777" w:rsidR="00A720C4" w:rsidRDefault="00A720C4" w:rsidP="00A720C4">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w:t>
      </w:r>
      <w:r w:rsidRPr="001571EB">
        <w:rPr>
          <w:rFonts w:ascii="Palatino Linotype" w:eastAsia="Arial Unicode MS" w:hAnsi="Palatino Linotype" w:cs="Arial"/>
          <w:sz w:val="24"/>
          <w:szCs w:val="24"/>
        </w:rPr>
        <w:lastRenderedPageBreak/>
        <w:t>el acceso a la información bajo el principio de máxima divulgación, empero sin violar el derecho a la protección de datos personales, cuyo fundamento legal aplicable se encuentra inmerso en los numerales de la Ley de la materia, que a la letra esgrimen:</w:t>
      </w:r>
    </w:p>
    <w:p w14:paraId="3D1D449E" w14:textId="77777777" w:rsidR="00A720C4" w:rsidRPr="00E60DEF" w:rsidRDefault="00A720C4" w:rsidP="00A720C4">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6DE2FED" w14:textId="77777777" w:rsidR="00A720C4" w:rsidRPr="00E60DEF" w:rsidRDefault="00A720C4" w:rsidP="00A720C4">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4E1585C" w14:textId="77777777" w:rsidR="00A720C4" w:rsidRPr="001571EB"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4407A347" w14:textId="77777777" w:rsidR="00A720C4" w:rsidRPr="001571EB" w:rsidRDefault="00A720C4" w:rsidP="00A720C4">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740FBD2C" w14:textId="77777777" w:rsidR="00A720C4" w:rsidRPr="001571EB"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1AD92DC8" w14:textId="77777777" w:rsidR="00A720C4" w:rsidRPr="001571EB" w:rsidRDefault="00A720C4" w:rsidP="00A720C4">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18BE219C"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11C09E1"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3BB3DD06" w14:textId="77777777" w:rsidR="00A720C4" w:rsidRPr="001571EB" w:rsidRDefault="00A720C4" w:rsidP="00A720C4">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7E32F250" w14:textId="77777777" w:rsidR="00A720C4" w:rsidRPr="00E60DEF" w:rsidRDefault="00A720C4" w:rsidP="00A720C4">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lastRenderedPageBreak/>
        <w:t>II. Se determine mediante resolución de autoridad competente; o</w:t>
      </w:r>
    </w:p>
    <w:p w14:paraId="0386DDAE" w14:textId="77777777" w:rsidR="00A720C4" w:rsidRPr="001571EB" w:rsidRDefault="00A720C4" w:rsidP="00A720C4">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7F2FE00" w14:textId="77777777" w:rsidR="00A720C4" w:rsidRDefault="00A720C4" w:rsidP="00A720C4">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70074321" w14:textId="77777777" w:rsidR="00A720C4" w:rsidRDefault="00A720C4" w:rsidP="00A720C4">
      <w:pPr>
        <w:spacing w:after="0" w:line="360" w:lineRule="auto"/>
        <w:ind w:right="51"/>
        <w:jc w:val="both"/>
        <w:rPr>
          <w:rFonts w:ascii="Palatino Linotype" w:eastAsia="Arial Unicode MS" w:hAnsi="Palatino Linotype" w:cs="Arial"/>
          <w:sz w:val="24"/>
          <w:szCs w:val="24"/>
        </w:rPr>
      </w:pPr>
    </w:p>
    <w:p w14:paraId="61A72FDD" w14:textId="77777777" w:rsidR="00A720C4" w:rsidRPr="001571EB" w:rsidRDefault="00A720C4" w:rsidP="00A720C4">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65E41A42" w14:textId="77777777" w:rsidR="00A720C4" w:rsidRPr="001571EB" w:rsidRDefault="00A720C4" w:rsidP="00A720C4">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AD0422B" w14:textId="77777777" w:rsidR="00A720C4" w:rsidRPr="001571EB"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Ahora bien, las personas físicas tramitan su inscripción en el registro con el propósito de realizar —mediante esa clave de identificación— operaciones o actividades de </w:t>
      </w:r>
      <w:r w:rsidRPr="001571EB">
        <w:rPr>
          <w:rFonts w:ascii="Palatino Linotype" w:eastAsia="Times New Roman" w:hAnsi="Palatino Linotype" w:cs="Arial"/>
          <w:sz w:val="24"/>
          <w:szCs w:val="24"/>
        </w:rPr>
        <w:lastRenderedPageBreak/>
        <w:t>naturaleza fiscal, la cual, les permite hacer identificable respecto de una situación fiscal determinada.</w:t>
      </w:r>
    </w:p>
    <w:p w14:paraId="228776EA" w14:textId="77777777" w:rsidR="00A720C4"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41E9BC42" w14:textId="77777777" w:rsidR="00A720C4"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3EE8143B"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685CF69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516E0DC6"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61340D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2BAC599E" w14:textId="77777777" w:rsidR="00A720C4" w:rsidRPr="00EE0180"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DF6DB7E" w14:textId="77777777" w:rsidR="00A720C4" w:rsidRPr="001571EB" w:rsidRDefault="00A720C4" w:rsidP="00A720C4">
      <w:pPr>
        <w:autoSpaceDE w:val="0"/>
        <w:autoSpaceDN w:val="0"/>
        <w:adjustRightInd w:val="0"/>
        <w:spacing w:before="120" w:after="120"/>
        <w:ind w:left="567" w:right="850"/>
        <w:jc w:val="both"/>
        <w:rPr>
          <w:rFonts w:ascii="Palatino Linotype" w:eastAsia="Times New Roman" w:hAnsi="Palatino Linotype" w:cs="Arial"/>
          <w:i/>
        </w:rPr>
      </w:pPr>
    </w:p>
    <w:p w14:paraId="524F2320" w14:textId="77777777" w:rsidR="00A720C4" w:rsidRPr="001571EB" w:rsidRDefault="00A720C4" w:rsidP="00A720C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Así, el RFC se vincula al nombre de su titular, permite identificar la edad de la persona, su fecha de nacimiento, así como su homoclave, la cual es única e irrepetible y </w:t>
      </w:r>
      <w:r w:rsidRPr="001571EB">
        <w:rPr>
          <w:rFonts w:ascii="Palatino Linotype" w:hAnsi="Palatino Linotype" w:cs="Arial"/>
          <w:sz w:val="24"/>
          <w:szCs w:val="24"/>
        </w:rPr>
        <w:lastRenderedPageBreak/>
        <w:t>determina justamente la identificación de dicha persona para efectos fiscales, por lo éste constituye un dato personal que concierne a una persona física identificada e identificable.</w:t>
      </w:r>
    </w:p>
    <w:p w14:paraId="41035EDD" w14:textId="77777777" w:rsidR="00A720C4" w:rsidRPr="001571EB" w:rsidRDefault="00A720C4" w:rsidP="00A720C4">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5B0EC4" w14:textId="77777777" w:rsidR="00A720C4" w:rsidRDefault="00A720C4" w:rsidP="00A720C4">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75523DCE" w14:textId="77777777" w:rsidR="00A720C4" w:rsidRDefault="00A720C4" w:rsidP="00A720C4">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6F1A0869"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4C198A8"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220A5041"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Secretaría de la Defensa Nacional. 1 de febrero de 2017. Por unanimidad. Comisionado Ponente Rosendoevgueni Monterrey Chepov.</w:t>
      </w:r>
    </w:p>
    <w:p w14:paraId="00B5A4AF" w14:textId="77777777" w:rsidR="00A720C4" w:rsidRPr="001571EB"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537B8399" w14:textId="77777777" w:rsidR="00A720C4" w:rsidRDefault="00A720C4" w:rsidP="00A720C4">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Ponente Areli Cano Guadiana.</w:t>
      </w:r>
      <w:r>
        <w:rPr>
          <w:rFonts w:ascii="Palatino Linotype" w:eastAsia="Times New Roman" w:hAnsi="Palatino Linotype" w:cs="Arial"/>
          <w:i/>
        </w:rPr>
        <w:t xml:space="preserve">” </w:t>
      </w:r>
      <w:r>
        <w:rPr>
          <w:rFonts w:ascii="Palatino Linotype" w:eastAsia="Times New Roman" w:hAnsi="Palatino Linotype" w:cs="Arial"/>
          <w:b/>
          <w:i/>
        </w:rPr>
        <w:t>[Sic]</w:t>
      </w:r>
    </w:p>
    <w:p w14:paraId="44745D00" w14:textId="77777777" w:rsidR="00A720C4" w:rsidRDefault="00A720C4" w:rsidP="00A720C4">
      <w:pPr>
        <w:spacing w:after="0" w:line="360" w:lineRule="auto"/>
        <w:ind w:right="51"/>
        <w:jc w:val="both"/>
        <w:rPr>
          <w:rFonts w:ascii="Palatino Linotype" w:hAnsi="Palatino Linotype" w:cs="Arial"/>
          <w:sz w:val="24"/>
          <w:szCs w:val="24"/>
        </w:rPr>
      </w:pPr>
    </w:p>
    <w:p w14:paraId="3F2094D4" w14:textId="037E8400" w:rsidR="00A720C4" w:rsidRDefault="00A720C4" w:rsidP="00A720C4">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279A9798" w14:textId="77777777" w:rsidR="002173F3" w:rsidRDefault="002173F3" w:rsidP="00A720C4">
      <w:pPr>
        <w:spacing w:after="0" w:line="360" w:lineRule="auto"/>
        <w:ind w:right="51"/>
        <w:jc w:val="both"/>
        <w:rPr>
          <w:rFonts w:ascii="Palatino Linotype" w:hAnsi="Palatino Linotype" w:cs="Arial"/>
          <w:sz w:val="24"/>
          <w:szCs w:val="24"/>
        </w:rPr>
      </w:pPr>
    </w:p>
    <w:p w14:paraId="2DF9F6F4" w14:textId="2BF4A2D3" w:rsidR="00401333" w:rsidRPr="00401333" w:rsidRDefault="004F14BE" w:rsidP="004F14BE">
      <w:pPr>
        <w:autoSpaceDE w:val="0"/>
        <w:autoSpaceDN w:val="0"/>
        <w:adjustRightInd w:val="0"/>
        <w:spacing w:line="360" w:lineRule="auto"/>
        <w:jc w:val="both"/>
        <w:rPr>
          <w:rFonts w:ascii="Palatino Linotype" w:hAnsi="Palatino Linotype" w:cs="Arial"/>
          <w:sz w:val="24"/>
          <w:szCs w:val="24"/>
        </w:rPr>
      </w:pPr>
      <w:r w:rsidRPr="00A720C4">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A720C4">
        <w:rPr>
          <w:rFonts w:ascii="Palatino Linotype" w:hAnsi="Palatino Linotype" w:cs="Arial"/>
          <w:b/>
          <w:sz w:val="24"/>
          <w:szCs w:val="24"/>
        </w:rPr>
        <w:t>ORDENA</w:t>
      </w:r>
      <w:r w:rsidRPr="00A720C4">
        <w:rPr>
          <w:rFonts w:ascii="Palatino Linotype" w:hAnsi="Palatino Linotype" w:cs="Arial"/>
          <w:sz w:val="24"/>
          <w:szCs w:val="24"/>
        </w:rPr>
        <w:t xml:space="preserve"> al </w:t>
      </w:r>
      <w:r w:rsidRPr="00A720C4">
        <w:rPr>
          <w:rFonts w:ascii="Palatino Linotype" w:hAnsi="Palatino Linotype" w:cs="Arial"/>
          <w:b/>
          <w:sz w:val="24"/>
          <w:szCs w:val="24"/>
        </w:rPr>
        <w:t>Sujeto Obligado</w:t>
      </w:r>
      <w:r w:rsidRPr="00A720C4">
        <w:rPr>
          <w:rFonts w:ascii="Palatino Linotype" w:hAnsi="Palatino Linotype" w:cs="Arial"/>
          <w:sz w:val="24"/>
          <w:szCs w:val="24"/>
        </w:rPr>
        <w:t xml:space="preserve">, atienda la solicitud de información </w:t>
      </w:r>
      <w:r w:rsidR="000658F7">
        <w:rPr>
          <w:rFonts w:ascii="Palatino Linotype" w:hAnsi="Palatino Linotype" w:cs="Arial"/>
          <w:b/>
          <w:bCs/>
          <w:sz w:val="24"/>
          <w:szCs w:val="24"/>
        </w:rPr>
        <w:t>00433/IXTAPALU/IP/2022</w:t>
      </w:r>
      <w:r w:rsidR="00401333">
        <w:rPr>
          <w:rFonts w:ascii="Palatino Linotype" w:hAnsi="Palatino Linotype" w:cs="Arial"/>
          <w:b/>
          <w:bCs/>
          <w:sz w:val="24"/>
          <w:szCs w:val="24"/>
        </w:rPr>
        <w:t xml:space="preserve"> </w:t>
      </w:r>
      <w:r w:rsidR="00401333">
        <w:rPr>
          <w:rFonts w:ascii="Palatino Linotype" w:hAnsi="Palatino Linotype" w:cs="Arial"/>
          <w:sz w:val="24"/>
          <w:szCs w:val="24"/>
        </w:rPr>
        <w:t xml:space="preserve">que ha sido materia del presente fallo. </w:t>
      </w:r>
    </w:p>
    <w:p w14:paraId="746D51FF" w14:textId="77777777" w:rsidR="004F14BE" w:rsidRPr="00CF0F1D" w:rsidRDefault="004F14BE" w:rsidP="004F14BE">
      <w:pPr>
        <w:autoSpaceDE w:val="0"/>
        <w:autoSpaceDN w:val="0"/>
        <w:adjustRightInd w:val="0"/>
        <w:spacing w:line="360" w:lineRule="auto"/>
        <w:jc w:val="both"/>
        <w:rPr>
          <w:rFonts w:ascii="Palatino Linotype" w:hAnsi="Palatino Linotype"/>
        </w:rPr>
      </w:pPr>
      <w:r w:rsidRPr="00CF0F1D">
        <w:rPr>
          <w:rFonts w:ascii="Palatino Linotype" w:hAnsi="Palatino Linotype"/>
        </w:rPr>
        <w:lastRenderedPageBreak/>
        <w:t>Por lo antes expuesto y fundado es de resolverse y;</w:t>
      </w:r>
    </w:p>
    <w:p w14:paraId="54DB54E6" w14:textId="77777777" w:rsidR="00401333" w:rsidRDefault="00401333" w:rsidP="006215C1">
      <w:pPr>
        <w:spacing w:after="0" w:line="360" w:lineRule="auto"/>
        <w:jc w:val="center"/>
        <w:rPr>
          <w:rFonts w:ascii="Palatino Linotype" w:eastAsiaTheme="minorHAnsi" w:hAnsi="Palatino Linotype" w:cstheme="minorHAnsi"/>
          <w:b/>
          <w:sz w:val="28"/>
          <w:szCs w:val="28"/>
          <w:lang w:eastAsia="en-US"/>
        </w:rPr>
      </w:pPr>
    </w:p>
    <w:p w14:paraId="7283F489" w14:textId="25F220A6" w:rsidR="006215C1" w:rsidRPr="00883102" w:rsidRDefault="006215C1" w:rsidP="006215C1">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4B492AEC"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1008303" w14:textId="4FA1A8D8"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0658F7">
        <w:rPr>
          <w:rFonts w:ascii="Palatino Linotype" w:eastAsiaTheme="minorHAnsi" w:hAnsi="Palatino Linotype" w:cstheme="minorHAnsi"/>
          <w:b/>
          <w:bCs/>
          <w:sz w:val="24"/>
          <w:szCs w:val="24"/>
          <w:lang w:val="es-ES_tradnl" w:eastAsia="en-US"/>
        </w:rPr>
        <w:t>LA</w:t>
      </w:r>
      <w:r w:rsidR="00A720C4" w:rsidRPr="005345E7">
        <w:rPr>
          <w:rFonts w:ascii="Palatino Linotype" w:eastAsiaTheme="minorHAnsi" w:hAnsi="Palatino Linotype" w:cstheme="minorHAnsi"/>
          <w:b/>
          <w:bCs/>
          <w:sz w:val="24"/>
          <w:szCs w:val="24"/>
          <w:lang w:val="es-ES_tradnl" w:eastAsia="en-US"/>
        </w:rPr>
        <w:t xml:space="preserve"> RECURRENTE</w:t>
      </w:r>
      <w:r w:rsidRPr="005345E7">
        <w:rPr>
          <w:rFonts w:ascii="Palatino Linotype" w:eastAsiaTheme="minorHAnsi" w:hAnsi="Palatino Linotype" w:cstheme="minorHAnsi"/>
          <w:b/>
          <w:bCs/>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Pr="00883102">
        <w:rPr>
          <w:rFonts w:ascii="Palatino Linotype" w:eastAsiaTheme="minorHAnsi" w:hAnsi="Palatino Linotype" w:cstheme="minorHAnsi"/>
          <w:b/>
          <w:sz w:val="24"/>
          <w:szCs w:val="24"/>
          <w:lang w:val="es-ES_tradnl" w:eastAsia="en-US"/>
        </w:rPr>
        <w:t xml:space="preserve">Considerando </w:t>
      </w:r>
      <w:r>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1BAEFDC8"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234AA684" w14:textId="4945B78A" w:rsidR="006215C1"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 xml:space="preserve">al </w:t>
      </w:r>
      <w:r w:rsidR="00A720C4" w:rsidRPr="006215C1">
        <w:rPr>
          <w:rFonts w:ascii="Palatino Linotype" w:eastAsiaTheme="minorHAnsi" w:hAnsi="Palatino Linotype" w:cstheme="minorBidi"/>
          <w:b/>
          <w:bCs/>
          <w:color w:val="222222"/>
          <w:sz w:val="24"/>
          <w:szCs w:val="24"/>
          <w:lang w:val="es-ES_tradnl"/>
        </w:rPr>
        <w:t>SUJETO OBLIGADO</w:t>
      </w:r>
      <w:r w:rsidR="00A720C4" w:rsidRPr="00883102">
        <w:rPr>
          <w:rFonts w:ascii="Palatino Linotype" w:eastAsiaTheme="minorHAnsi" w:hAnsi="Palatino Linotype" w:cstheme="minorBidi"/>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 de información</w:t>
      </w:r>
      <w:r w:rsidR="00401333">
        <w:rPr>
          <w:rFonts w:ascii="Palatino Linotype" w:eastAsiaTheme="minorHAnsi" w:hAnsi="Palatino Linotype" w:cstheme="minorBidi"/>
          <w:bCs/>
          <w:color w:val="222222"/>
          <w:sz w:val="24"/>
          <w:szCs w:val="24"/>
          <w:lang w:val="es-ES_tradnl"/>
        </w:rPr>
        <w:t xml:space="preserve"> </w:t>
      </w:r>
      <w:r w:rsidR="000658F7">
        <w:rPr>
          <w:rFonts w:ascii="Palatino Linotype" w:eastAsiaTheme="minorHAnsi" w:hAnsi="Palatino Linotype" w:cstheme="minorBidi"/>
          <w:b/>
          <w:color w:val="222222"/>
          <w:sz w:val="24"/>
          <w:szCs w:val="24"/>
          <w:lang w:val="es-ES_tradnl"/>
        </w:rPr>
        <w:t>00433/IXTAPALU/IP/2022</w:t>
      </w:r>
      <w:r w:rsidR="001F5E0D">
        <w:rPr>
          <w:rFonts w:ascii="Palatino Linotype" w:eastAsiaTheme="minorHAnsi" w:hAnsi="Palatino Linotype" w:cstheme="minorBidi"/>
          <w:b/>
          <w:color w:val="222222"/>
          <w:sz w:val="24"/>
          <w:szCs w:val="24"/>
          <w:lang w:val="es-ES_tradnl"/>
        </w:rPr>
        <w:t xml:space="preserve"> </w:t>
      </w:r>
      <w:r w:rsidR="001F5E0D" w:rsidRPr="00883102">
        <w:rPr>
          <w:rFonts w:ascii="Palatino Linotype" w:eastAsiaTheme="minorHAnsi" w:hAnsi="Palatino Linotype" w:cstheme="minorBidi"/>
          <w:bCs/>
          <w:color w:val="222222"/>
          <w:sz w:val="24"/>
          <w:szCs w:val="24"/>
          <w:lang w:val="es-ES_tradnl"/>
        </w:rPr>
        <w:t>en</w:t>
      </w:r>
      <w:r w:rsidR="000C7D30">
        <w:rPr>
          <w:rFonts w:ascii="Palatino Linotype" w:hAnsi="Palatino Linotype" w:cs="Arial"/>
          <w:sz w:val="24"/>
          <w:szCs w:val="24"/>
        </w:rPr>
        <w:t xml:space="preserve"> términos del </w:t>
      </w:r>
      <w:r w:rsidRPr="00883102">
        <w:rPr>
          <w:rFonts w:ascii="Palatino Linotype" w:eastAsiaTheme="minorHAnsi" w:hAnsi="Palatino Linotype" w:cstheme="minorBidi"/>
          <w:b/>
          <w:color w:val="222222"/>
          <w:sz w:val="24"/>
          <w:szCs w:val="24"/>
          <w:lang w:val="es-ES_tradnl"/>
        </w:rPr>
        <w:t xml:space="preserve">Considerando </w:t>
      </w:r>
      <w:r>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8B7C81">
        <w:rPr>
          <w:rFonts w:ascii="Palatino Linotype" w:eastAsiaTheme="minorHAnsi" w:hAnsi="Palatino Linotype" w:cstheme="minorBidi"/>
          <w:b/>
          <w:color w:val="222222"/>
          <w:sz w:val="24"/>
          <w:szCs w:val="24"/>
          <w:lang w:val="es-ES_tradnl"/>
        </w:rPr>
        <w:t>(SAIMEX)</w:t>
      </w:r>
      <w:r w:rsidRPr="008B7C81">
        <w:rPr>
          <w:rFonts w:ascii="Palatino Linotype" w:eastAsiaTheme="minorHAnsi" w:hAnsi="Palatino Linotype" w:cstheme="minorBidi"/>
          <w:b/>
          <w:bCs/>
          <w:color w:val="222222"/>
          <w:sz w:val="24"/>
          <w:szCs w:val="24"/>
          <w:lang w:val="es-ES_tradnl"/>
        </w:rPr>
        <w:t>.</w:t>
      </w:r>
      <w:r w:rsidRPr="00883102">
        <w:rPr>
          <w:rFonts w:ascii="Palatino Linotype" w:eastAsiaTheme="minorHAnsi" w:hAnsi="Palatino Linotype" w:cstheme="minorBidi"/>
          <w:bCs/>
          <w:color w:val="222222"/>
          <w:sz w:val="24"/>
          <w:szCs w:val="24"/>
          <w:lang w:val="es-ES_tradnl"/>
        </w:rPr>
        <w:t xml:space="preserve"> </w:t>
      </w:r>
    </w:p>
    <w:p w14:paraId="01E2ED06" w14:textId="77777777" w:rsidR="006215C1"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p>
    <w:p w14:paraId="79ABB533"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Pr="00883102">
        <w:rPr>
          <w:rFonts w:ascii="Palatino Linotype" w:eastAsiaTheme="minorHAnsi" w:hAnsi="Palatino Linotype" w:cstheme="minorHAnsi"/>
          <w: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la presente resolución al Titular de la Unidad de Transparencia del</w:t>
      </w:r>
      <w:r w:rsidRPr="00883102">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Sujeto Obligado mediante el </w:t>
      </w:r>
      <w:r w:rsidRPr="00883102">
        <w:rPr>
          <w:rFonts w:ascii="Palatino Linotype" w:eastAsiaTheme="minorHAnsi" w:hAnsi="Palatino Linotype" w:cstheme="minorBidi"/>
          <w:color w:val="222222"/>
          <w:sz w:val="24"/>
          <w:szCs w:val="24"/>
          <w:lang w:val="es-ES_tradnl"/>
        </w:rPr>
        <w:t xml:space="preserve">Sistema de Acceso a la Información Mexiquense </w:t>
      </w:r>
      <w:r w:rsidRPr="003834CC">
        <w:rPr>
          <w:rFonts w:ascii="Palatino Linotype" w:eastAsiaTheme="minorHAnsi" w:hAnsi="Palatino Linotype" w:cstheme="minorBidi"/>
          <w:b/>
          <w:color w:val="222222"/>
          <w:sz w:val="24"/>
          <w:szCs w:val="24"/>
          <w:lang w:val="es-ES_tradnl"/>
        </w:rPr>
        <w:t>(SAIMEX)</w:t>
      </w:r>
      <w:r w:rsidRPr="003834CC">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B53644F"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93C0224" w14:textId="2FDCD50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00401333">
        <w:rPr>
          <w:rFonts w:ascii="Palatino Linotype" w:eastAsiaTheme="minorHAnsi" w:hAnsi="Palatino Linotype" w:cstheme="minorHAnsi"/>
          <w:sz w:val="24"/>
          <w:szCs w:val="24"/>
          <w:lang w:val="es-ES_tradnl" w:eastAsia="en-US"/>
        </w:rPr>
        <w:t>a</w:t>
      </w:r>
      <w:r w:rsidR="000658F7">
        <w:rPr>
          <w:rFonts w:ascii="Palatino Linotype" w:eastAsiaTheme="minorHAnsi" w:hAnsi="Palatino Linotype" w:cstheme="minorHAnsi"/>
          <w:sz w:val="24"/>
          <w:szCs w:val="24"/>
          <w:lang w:val="es-ES_tradnl" w:eastAsia="en-US"/>
        </w:rPr>
        <w:t xml:space="preserve"> </w:t>
      </w:r>
      <w:r w:rsidR="000658F7">
        <w:rPr>
          <w:rFonts w:ascii="Palatino Linotype" w:eastAsiaTheme="minorHAnsi" w:hAnsi="Palatino Linotype" w:cstheme="minorHAnsi"/>
          <w:b/>
          <w:bCs/>
          <w:sz w:val="24"/>
          <w:szCs w:val="24"/>
          <w:lang w:val="es-ES_tradnl" w:eastAsia="en-US"/>
        </w:rPr>
        <w:t>LA</w:t>
      </w:r>
      <w:r w:rsidRPr="00883102">
        <w:rPr>
          <w:rFonts w:ascii="Palatino Linotype" w:eastAsiaTheme="minorHAnsi" w:hAnsi="Palatino Linotype" w:cstheme="minorHAnsi"/>
          <w:sz w:val="24"/>
          <w:szCs w:val="24"/>
          <w:lang w:val="es-ES_tradnl" w:eastAsia="en-US"/>
        </w:rPr>
        <w:t xml:space="preserve"> </w:t>
      </w:r>
      <w:r w:rsidR="00A720C4" w:rsidRPr="003834CC">
        <w:rPr>
          <w:rFonts w:ascii="Palatino Linotype" w:eastAsiaTheme="minorHAnsi" w:hAnsi="Palatino Linotype" w:cstheme="minorHAnsi"/>
          <w:b/>
          <w:sz w:val="24"/>
          <w:szCs w:val="24"/>
          <w:lang w:val="es-ES_tradnl" w:eastAsia="en-US"/>
        </w:rPr>
        <w:t>RECURRENTE</w:t>
      </w:r>
      <w:r w:rsidR="00A720C4"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la presente resolución por medio del </w:t>
      </w:r>
      <w:r w:rsidRPr="00883102">
        <w:rPr>
          <w:rFonts w:ascii="Palatino Linotype" w:eastAsiaTheme="minorHAnsi" w:hAnsi="Palatino Linotype" w:cstheme="minorBidi"/>
          <w:color w:val="222222"/>
          <w:sz w:val="24"/>
          <w:szCs w:val="24"/>
          <w:lang w:val="es-ES_tradnl"/>
        </w:rPr>
        <w:t>Sistema de Acceso a la Información Mexiquense</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(SAIMEX)</w:t>
      </w:r>
      <w:r>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y hágase de su </w:t>
      </w:r>
      <w:r w:rsidRPr="00883102">
        <w:rPr>
          <w:rFonts w:ascii="Palatino Linotype" w:eastAsiaTheme="minorHAnsi" w:hAnsi="Palatino Linotype" w:cstheme="minorHAnsi"/>
          <w:sz w:val="24"/>
          <w:szCs w:val="24"/>
          <w:lang w:val="es-ES_tradnl" w:eastAsia="en-US"/>
        </w:rPr>
        <w:lastRenderedPageBreak/>
        <w:t>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E2AF7F1"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0176C2BA" w14:textId="77777777" w:rsidR="006215C1" w:rsidRPr="00883102" w:rsidRDefault="006215C1" w:rsidP="006215C1">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Pr>
          <w:rFonts w:ascii="Palatino Linotype" w:eastAsia="MS Mincho" w:hAnsi="Palatino Linotype" w:cstheme="minorHAnsi"/>
          <w:b/>
          <w:sz w:val="24"/>
          <w:szCs w:val="24"/>
          <w:lang w:val="es-ES_tradnl" w:eastAsia="en-US"/>
        </w:rPr>
        <w:t>CUAR</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44191BE2"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124F7D6E" w14:textId="388DAFB9" w:rsidR="006215C1" w:rsidRDefault="006215C1"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w:t>
      </w:r>
      <w:r w:rsidR="00401333">
        <w:rPr>
          <w:rFonts w:ascii="Palatino Linotype" w:eastAsiaTheme="minorHAnsi" w:hAnsi="Palatino Linotype" w:cstheme="minorHAnsi"/>
          <w:color w:val="222222"/>
          <w:sz w:val="24"/>
          <w:szCs w:val="24"/>
          <w:lang w:val="es-ES_tradnl" w:eastAsia="es-ES_tradnl"/>
        </w:rPr>
        <w:t>de</w:t>
      </w:r>
      <w:r w:rsidR="000658F7">
        <w:rPr>
          <w:rFonts w:ascii="Palatino Linotype" w:eastAsiaTheme="minorHAnsi" w:hAnsi="Palatino Linotype" w:cstheme="minorHAnsi"/>
          <w:color w:val="222222"/>
          <w:sz w:val="24"/>
          <w:szCs w:val="24"/>
          <w:lang w:val="es-ES_tradnl" w:eastAsia="es-ES_tradnl"/>
        </w:rPr>
        <w:t xml:space="preserve"> </w:t>
      </w:r>
      <w:r w:rsidR="000658F7">
        <w:rPr>
          <w:rFonts w:ascii="Palatino Linotype" w:eastAsiaTheme="minorHAnsi" w:hAnsi="Palatino Linotype" w:cstheme="minorHAnsi"/>
          <w:b/>
          <w:bCs/>
          <w:color w:val="222222"/>
          <w:sz w:val="24"/>
          <w:szCs w:val="24"/>
          <w:lang w:val="es-ES_tradnl" w:eastAsia="es-ES_tradnl"/>
        </w:rPr>
        <w:t>LA</w:t>
      </w:r>
      <w:r w:rsidRPr="0039731D">
        <w:rPr>
          <w:rFonts w:ascii="Palatino Linotype" w:eastAsiaTheme="minorHAnsi" w:hAnsi="Palatino Linotype" w:cstheme="minorHAnsi"/>
          <w:b/>
          <w:bCs/>
          <w:color w:val="222222"/>
          <w:sz w:val="24"/>
          <w:szCs w:val="24"/>
          <w:lang w:val="es-ES_tradnl" w:eastAsia="es-ES_tradnl"/>
        </w:rPr>
        <w:t xml:space="preserve"> </w:t>
      </w:r>
      <w:r w:rsidR="00A720C4" w:rsidRPr="0039731D">
        <w:rPr>
          <w:rFonts w:ascii="Palatino Linotype" w:eastAsiaTheme="minorHAnsi" w:hAnsi="Palatino Linotype" w:cstheme="minorHAnsi"/>
          <w:b/>
          <w:bCs/>
          <w:color w:val="222222"/>
          <w:sz w:val="24"/>
          <w:szCs w:val="24"/>
          <w:lang w:val="es-ES_tradnl" w:eastAsia="es-ES_tradnl"/>
        </w:rPr>
        <w:t>RECURRENTE</w:t>
      </w:r>
      <w:r w:rsidRPr="00883102">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09FB7B62" w14:textId="77777777" w:rsidR="00EB55AB" w:rsidRDefault="00EB55AB"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p>
    <w:p w14:paraId="0E8B991D" w14:textId="77777777" w:rsidR="006215C1" w:rsidRPr="00883102" w:rsidRDefault="006215C1" w:rsidP="006215C1">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0C3A5242" w14:textId="7E2D6DBF" w:rsidR="001F5E0D" w:rsidRPr="00917744" w:rsidRDefault="001F5E0D" w:rsidP="001F5E0D">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lastRenderedPageBreak/>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w:t>
      </w:r>
      <w:r w:rsidR="00B57336" w:rsidRPr="00917744">
        <w:rPr>
          <w:rFonts w:ascii="Palatino Linotype" w:hAnsi="Palatino Linotype" w:cs="Arial"/>
          <w:sz w:val="23"/>
          <w:szCs w:val="23"/>
        </w:rPr>
        <w:t xml:space="preserve">MARTÍNEZ, LUIS GUSTAVO PARRA NORIEGA Y GUADALUPE RAMÍREZ PEÑA; EN LA </w:t>
      </w:r>
      <w:r w:rsidR="00FD3BE5">
        <w:rPr>
          <w:rFonts w:ascii="Palatino Linotype" w:hAnsi="Palatino Linotype" w:cs="Arial"/>
          <w:sz w:val="23"/>
          <w:szCs w:val="23"/>
        </w:rPr>
        <w:t xml:space="preserve">DÉCIMA PRIMERA </w:t>
      </w:r>
      <w:r w:rsidR="00B57336">
        <w:rPr>
          <w:rFonts w:ascii="Palatino Linotype" w:hAnsi="Palatino Linotype" w:cs="Arial"/>
          <w:sz w:val="23"/>
          <w:szCs w:val="23"/>
        </w:rPr>
        <w:t xml:space="preserve">SESIÓN ORDINARIA CELEBRADA EL </w:t>
      </w:r>
      <w:r w:rsidR="00FD3BE5">
        <w:rPr>
          <w:rFonts w:ascii="Palatino Linotype" w:hAnsi="Palatino Linotype" w:cs="Arial"/>
          <w:sz w:val="23"/>
          <w:szCs w:val="23"/>
        </w:rPr>
        <w:t xml:space="preserve">VEINTIDÓS </w:t>
      </w:r>
      <w:r w:rsidR="00B57336">
        <w:rPr>
          <w:rFonts w:ascii="Palatino Linotype" w:hAnsi="Palatino Linotype" w:cs="Arial"/>
          <w:sz w:val="23"/>
          <w:szCs w:val="23"/>
        </w:rPr>
        <w:t xml:space="preserve">DE MARZO </w:t>
      </w:r>
      <w:r>
        <w:rPr>
          <w:rFonts w:ascii="Palatino Linotype" w:hAnsi="Palatino Linotype" w:cs="Arial"/>
          <w:sz w:val="23"/>
          <w:szCs w:val="23"/>
        </w:rPr>
        <w:t xml:space="preserve">DE DOS MIL VEINTITRÉS, </w:t>
      </w:r>
      <w:r w:rsidRPr="00917744">
        <w:rPr>
          <w:rFonts w:ascii="Palatino Linotype" w:hAnsi="Palatino Linotype" w:cs="Arial"/>
          <w:sz w:val="23"/>
          <w:szCs w:val="23"/>
        </w:rPr>
        <w:t xml:space="preserve">ANTE EL  SECRETARIO TÉCNICO DEL PLENO, ALEXIS TAPIA RAMÍREZ. </w:t>
      </w:r>
    </w:p>
    <w:p w14:paraId="347263DA" w14:textId="77777777" w:rsidR="001F5E0D" w:rsidRDefault="001F5E0D" w:rsidP="001F5E0D">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36C2CC30" w14:textId="03BE9790" w:rsidR="000C7D30" w:rsidRDefault="001F5E0D"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659264" behindDoc="0" locked="0" layoutInCell="1" allowOverlap="1" wp14:anchorId="41C925B6" wp14:editId="58B6A2D4">
                <wp:simplePos x="0" y="0"/>
                <wp:positionH relativeFrom="column">
                  <wp:posOffset>-101258</wp:posOffset>
                </wp:positionH>
                <wp:positionV relativeFrom="paragraph">
                  <wp:posOffset>60324</wp:posOffset>
                </wp:positionV>
                <wp:extent cx="6008077" cy="4208585"/>
                <wp:effectExtent l="0" t="0" r="31115" b="20955"/>
                <wp:wrapNone/>
                <wp:docPr id="2" name="Straight Connector 2"/>
                <wp:cNvGraphicFramePr/>
                <a:graphic xmlns:a="http://schemas.openxmlformats.org/drawingml/2006/main">
                  <a:graphicData uri="http://schemas.microsoft.com/office/word/2010/wordprocessingShape">
                    <wps:wsp>
                      <wps:cNvCnPr/>
                      <wps:spPr>
                        <a:xfrm>
                          <a:off x="0" y="0"/>
                          <a:ext cx="6008077" cy="42085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CA536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4.75pt" to="465.15pt,3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" strokecolor="#5b9bd5 [3204]" strokeweight=".5pt">
                <v:stroke joinstyle="miter"/>
              </v:line>
            </w:pict>
          </mc:Fallback>
        </mc:AlternateContent>
      </w:r>
    </w:p>
    <w:p w14:paraId="6D001270" w14:textId="36D04FD2"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92EBF3" w14:textId="4F72C01D"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40F5AD" w14:textId="571D98DB"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7DED71" w14:textId="77777777"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6589B87" w14:textId="77777777" w:rsidR="006215C1" w:rsidRDefault="006215C1"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52855C" w14:textId="7CD2EF5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333C88C" w14:textId="34A17FB2"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ACAB87" w14:textId="253D280C"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6360B35" w14:textId="5258C89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3144EFA" w14:textId="2D26ABE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F9DAA04" w14:textId="1E9020E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4B7319" w14:textId="5B8B418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5CA6EB" w14:textId="657C298F"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75348E2" w14:textId="0120029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40EF679" w14:textId="3EC6746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E6CDB66" w14:textId="1129D08B"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C321AF9" w14:textId="794177F4"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FA3C001" w14:textId="2809C3A7"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9A3969E" w14:textId="33D5E0AC"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F1905F2" w14:textId="6E05D81F"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1411AD7" w14:textId="69AF946D"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DE1036" w14:textId="5520AFB2" w:rsidR="0069574F" w:rsidRDefault="0069574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69574F"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347B2" w14:textId="77777777" w:rsidR="00AE1687" w:rsidRDefault="00AE1687" w:rsidP="00F2498E">
      <w:pPr>
        <w:spacing w:after="0" w:line="240" w:lineRule="auto"/>
      </w:pPr>
      <w:r>
        <w:separator/>
      </w:r>
    </w:p>
  </w:endnote>
  <w:endnote w:type="continuationSeparator" w:id="0">
    <w:p w14:paraId="1CCD5339" w14:textId="77777777" w:rsidR="00AE1687" w:rsidRDefault="00AE1687"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2B344" w14:textId="2CFC9888"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A5220">
      <w:rPr>
        <w:rFonts w:ascii="Palatino Linotype" w:hAnsi="Palatino Linotype"/>
        <w:b/>
        <w:bCs/>
        <w:noProof/>
        <w:sz w:val="20"/>
      </w:rPr>
      <w:t>28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A5220">
      <w:rPr>
        <w:rFonts w:ascii="Palatino Linotype" w:hAnsi="Palatino Linotype"/>
        <w:b/>
        <w:bCs/>
        <w:noProof/>
        <w:sz w:val="20"/>
      </w:rPr>
      <w:t>28</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88008" w14:textId="31A8CEBD"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A522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A5220">
      <w:rPr>
        <w:rFonts w:ascii="Palatino Linotype" w:hAnsi="Palatino Linotype"/>
        <w:b/>
        <w:bCs/>
        <w:noProof/>
        <w:sz w:val="20"/>
      </w:rPr>
      <w:t>28</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B035B" w14:textId="77777777" w:rsidR="00AE1687" w:rsidRDefault="00AE1687" w:rsidP="00F2498E">
      <w:pPr>
        <w:spacing w:after="0" w:line="240" w:lineRule="auto"/>
      </w:pPr>
      <w:r>
        <w:separator/>
      </w:r>
    </w:p>
  </w:footnote>
  <w:footnote w:type="continuationSeparator" w:id="0">
    <w:p w14:paraId="23D429B1" w14:textId="77777777" w:rsidR="00AE1687" w:rsidRDefault="00AE1687" w:rsidP="00F2498E">
      <w:pPr>
        <w:spacing w:after="0" w:line="240" w:lineRule="auto"/>
      </w:pPr>
      <w:r>
        <w:continuationSeparator/>
      </w:r>
    </w:p>
  </w:footnote>
  <w:footnote w:id="1">
    <w:p w14:paraId="58DFACE7" w14:textId="77777777" w:rsidR="00F37F6A" w:rsidRPr="005552A8" w:rsidRDefault="00F37F6A" w:rsidP="00F37F6A">
      <w:pPr>
        <w:jc w:val="both"/>
        <w:rPr>
          <w:rFonts w:ascii="Palatino Linotype" w:eastAsia="Times New Roman" w:hAnsi="Palatino Linotype"/>
          <w:b/>
          <w:bCs/>
          <w:i/>
          <w:sz w:val="16"/>
          <w:szCs w:val="16"/>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7F90F2F" w14:textId="77777777" w:rsidR="00F37F6A" w:rsidRPr="005552A8" w:rsidRDefault="00F37F6A" w:rsidP="00F37F6A">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27F37" w14:textId="093ED20F" w:rsidR="00A27FD0" w:rsidRDefault="006A5220">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00AEF550" w:rsidR="00A27FD0" w:rsidRPr="00096248" w:rsidRDefault="00EE12D5"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00</w:t>
          </w:r>
          <w:r w:rsidR="000658F7">
            <w:rPr>
              <w:rFonts w:ascii="Palatino Linotype" w:hAnsi="Palatino Linotype" w:cs="Arial"/>
              <w:b/>
              <w:bCs/>
              <w:sz w:val="24"/>
              <w:szCs w:val="24"/>
            </w:rPr>
            <w:t>950</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59F6C7E4" w:rsidR="00A27FD0" w:rsidRPr="00096248" w:rsidRDefault="00EE12D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0658F7">
            <w:rPr>
              <w:rFonts w:ascii="Palatino Linotype" w:hAnsi="Palatino Linotype" w:cs="Arial"/>
              <w:sz w:val="24"/>
              <w:szCs w:val="24"/>
            </w:rPr>
            <w:t>Ixtapaluca</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6A5220">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37383AE2" w:rsidR="00A27FD0" w:rsidRPr="00096248" w:rsidRDefault="00EE12D5"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00</w:t>
          </w:r>
          <w:r w:rsidR="000658F7">
            <w:rPr>
              <w:rFonts w:ascii="Palatino Linotype" w:hAnsi="Palatino Linotype" w:cs="Arial"/>
              <w:b/>
              <w:bCs/>
              <w:sz w:val="24"/>
              <w:szCs w:val="24"/>
            </w:rPr>
            <w:t>950</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42445781" w:rsidR="00A27FD0" w:rsidRPr="00C50FCD" w:rsidRDefault="006A5220" w:rsidP="00C50FCD">
          <w:pPr>
            <w:pStyle w:val="Prrafodelista"/>
            <w:spacing w:after="120"/>
            <w:ind w:left="720" w:right="68"/>
            <w:jc w:val="right"/>
            <w:rPr>
              <w:rFonts w:ascii="Palatino Linotype" w:hAnsi="Palatino Linotype" w:cs="Arial"/>
            </w:rPr>
          </w:pPr>
          <w:r>
            <w:rPr>
              <w:rFonts w:ascii="Palatino Linotype" w:hAnsi="Palatino Linotype" w:cs="Arial"/>
            </w:rPr>
            <w:t>XXXXXXXXXXXXXXXXX</w:t>
          </w:r>
          <w:r w:rsidR="006700BD">
            <w:rPr>
              <w:rFonts w:ascii="Palatino Linotype" w:hAnsi="Palatino Linotype" w:cs="Arial"/>
            </w:rPr>
            <w:t xml:space="preserve"> </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3952790B" w:rsidR="00A27FD0" w:rsidRPr="00663A37" w:rsidRDefault="00EE12D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0658F7">
            <w:rPr>
              <w:rFonts w:ascii="Palatino Linotype" w:hAnsi="Palatino Linotype" w:cs="Arial"/>
              <w:sz w:val="24"/>
              <w:szCs w:val="24"/>
            </w:rPr>
            <w:t>Ixtapaluca</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6A5220">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CD7AAF"/>
    <w:multiLevelType w:val="hybridMultilevel"/>
    <w:tmpl w:val="C8F2A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3856F2"/>
    <w:multiLevelType w:val="hybridMultilevel"/>
    <w:tmpl w:val="A4D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C19D3"/>
    <w:multiLevelType w:val="hybridMultilevel"/>
    <w:tmpl w:val="C3787AB4"/>
    <w:lvl w:ilvl="0" w:tplc="C7BE7D24">
      <w:start w:val="1"/>
      <w:numFmt w:val="decimal"/>
      <w:lvlText w:val="%1."/>
      <w:lvlJc w:val="left"/>
      <w:pPr>
        <w:ind w:left="720"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9D7731"/>
    <w:multiLevelType w:val="hybridMultilevel"/>
    <w:tmpl w:val="ECC4A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21"/>
  </w:num>
  <w:num w:numId="4">
    <w:abstractNumId w:val="13"/>
  </w:num>
  <w:num w:numId="5">
    <w:abstractNumId w:val="14"/>
  </w:num>
  <w:num w:numId="6">
    <w:abstractNumId w:val="8"/>
  </w:num>
  <w:num w:numId="7">
    <w:abstractNumId w:val="12"/>
  </w:num>
  <w:num w:numId="8">
    <w:abstractNumId w:val="4"/>
  </w:num>
  <w:num w:numId="9">
    <w:abstractNumId w:val="16"/>
  </w:num>
  <w:num w:numId="10">
    <w:abstractNumId w:val="7"/>
  </w:num>
  <w:num w:numId="11">
    <w:abstractNumId w:val="19"/>
  </w:num>
  <w:num w:numId="12">
    <w:abstractNumId w:val="5"/>
  </w:num>
  <w:num w:numId="13">
    <w:abstractNumId w:val="0"/>
  </w:num>
  <w:num w:numId="14">
    <w:abstractNumId w:val="9"/>
  </w:num>
  <w:num w:numId="15">
    <w:abstractNumId w:val="17"/>
  </w:num>
  <w:num w:numId="16">
    <w:abstractNumId w:val="10"/>
  </w:num>
  <w:num w:numId="17">
    <w:abstractNumId w:val="3"/>
  </w:num>
  <w:num w:numId="18">
    <w:abstractNumId w:val="20"/>
  </w:num>
  <w:num w:numId="19">
    <w:abstractNumId w:val="2"/>
  </w:num>
  <w:num w:numId="20">
    <w:abstractNumId w:val="1"/>
  </w:num>
  <w:num w:numId="21">
    <w:abstractNumId w:val="6"/>
  </w:num>
  <w:num w:numId="22">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23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58F7"/>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D30"/>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A1A"/>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0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173F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1AEF"/>
    <w:rsid w:val="002432E1"/>
    <w:rsid w:val="00245AC1"/>
    <w:rsid w:val="00252443"/>
    <w:rsid w:val="0025255F"/>
    <w:rsid w:val="002529C6"/>
    <w:rsid w:val="002547B2"/>
    <w:rsid w:val="0025565C"/>
    <w:rsid w:val="00255FD1"/>
    <w:rsid w:val="00256CE0"/>
    <w:rsid w:val="00261A13"/>
    <w:rsid w:val="002623BE"/>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5645"/>
    <w:rsid w:val="002F713F"/>
    <w:rsid w:val="00300919"/>
    <w:rsid w:val="00302BF3"/>
    <w:rsid w:val="00302D8C"/>
    <w:rsid w:val="00303F92"/>
    <w:rsid w:val="00304386"/>
    <w:rsid w:val="0030691E"/>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2B35"/>
    <w:rsid w:val="0037526D"/>
    <w:rsid w:val="003800E9"/>
    <w:rsid w:val="003834CC"/>
    <w:rsid w:val="003839F9"/>
    <w:rsid w:val="00385421"/>
    <w:rsid w:val="00386A48"/>
    <w:rsid w:val="00387CF3"/>
    <w:rsid w:val="00392022"/>
    <w:rsid w:val="0039214E"/>
    <w:rsid w:val="0039256B"/>
    <w:rsid w:val="0039393F"/>
    <w:rsid w:val="003943CF"/>
    <w:rsid w:val="0039731D"/>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333"/>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2FC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3C7A"/>
    <w:rsid w:val="00474B40"/>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14BE"/>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67E7"/>
    <w:rsid w:val="00540529"/>
    <w:rsid w:val="00542B22"/>
    <w:rsid w:val="00542CDB"/>
    <w:rsid w:val="00543B75"/>
    <w:rsid w:val="00544041"/>
    <w:rsid w:val="005449D0"/>
    <w:rsid w:val="005455EC"/>
    <w:rsid w:val="00547C37"/>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3E1D"/>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5E5"/>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15C1"/>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574F"/>
    <w:rsid w:val="00696FD6"/>
    <w:rsid w:val="006A3459"/>
    <w:rsid w:val="006A360F"/>
    <w:rsid w:val="006A4224"/>
    <w:rsid w:val="006A5220"/>
    <w:rsid w:val="006A56F0"/>
    <w:rsid w:val="006A585F"/>
    <w:rsid w:val="006A5A66"/>
    <w:rsid w:val="006A7CE2"/>
    <w:rsid w:val="006A7E3C"/>
    <w:rsid w:val="006B413D"/>
    <w:rsid w:val="006B4CA4"/>
    <w:rsid w:val="006B4EB1"/>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6B41"/>
    <w:rsid w:val="006F759B"/>
    <w:rsid w:val="00700C90"/>
    <w:rsid w:val="00701F34"/>
    <w:rsid w:val="007031A2"/>
    <w:rsid w:val="00704693"/>
    <w:rsid w:val="00704AB9"/>
    <w:rsid w:val="007054D8"/>
    <w:rsid w:val="00706D47"/>
    <w:rsid w:val="00711EE2"/>
    <w:rsid w:val="00712306"/>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693"/>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9C"/>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97314"/>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9F745B"/>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1780"/>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0C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687"/>
    <w:rsid w:val="00AE19D1"/>
    <w:rsid w:val="00AE1B32"/>
    <w:rsid w:val="00AE25BF"/>
    <w:rsid w:val="00AE2666"/>
    <w:rsid w:val="00AE5093"/>
    <w:rsid w:val="00AE5D09"/>
    <w:rsid w:val="00AF13E8"/>
    <w:rsid w:val="00AF1662"/>
    <w:rsid w:val="00AF3B5E"/>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36"/>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391"/>
    <w:rsid w:val="00B9576A"/>
    <w:rsid w:val="00B962BB"/>
    <w:rsid w:val="00BA2861"/>
    <w:rsid w:val="00BA4B04"/>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6BE1"/>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BF6"/>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1339"/>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174D"/>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41D0D"/>
    <w:rsid w:val="00E43D9B"/>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5AB"/>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2D5"/>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3B1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66E6"/>
    <w:rsid w:val="00F47F02"/>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19FA"/>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BE5"/>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4F14BE"/>
    <w:pPr>
      <w:spacing w:before="240" w:line="360" w:lineRule="auto"/>
      <w:ind w:left="851" w:right="851"/>
      <w:jc w:val="both"/>
    </w:pPr>
    <w:rPr>
      <w:rFonts w:ascii="Palatino Linotype" w:eastAsiaTheme="minorHAnsi" w:hAnsi="Palatino Linotype" w:cstheme="minorBidi"/>
      <w:i/>
      <w:lang w:eastAsia="en-US"/>
    </w:rPr>
  </w:style>
  <w:style w:type="character" w:customStyle="1" w:styleId="UnresolvedMention">
    <w:name w:val="Unresolved Mention"/>
    <w:basedOn w:val="Fuentedeprrafopredeter"/>
    <w:uiPriority w:val="99"/>
    <w:semiHidden/>
    <w:unhideWhenUsed/>
    <w:rsid w:val="009F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83677880">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AE617-891F-48E9-A232-C9A17D948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28</Pages>
  <Words>5569</Words>
  <Characters>30632</Characters>
  <Application>Microsoft Office Word</Application>
  <DocSecurity>0</DocSecurity>
  <Lines>255</Lines>
  <Paragraphs>72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10</cp:revision>
  <cp:lastPrinted>2019-06-13T15:30:00Z</cp:lastPrinted>
  <dcterms:created xsi:type="dcterms:W3CDTF">2023-02-28T17:15:00Z</dcterms:created>
  <dcterms:modified xsi:type="dcterms:W3CDTF">2023-04-12T02:20:00Z</dcterms:modified>
</cp:coreProperties>
</file>