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2FFEA44E"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D6119">
        <w:rPr>
          <w:rFonts w:ascii="Palatino Linotype" w:eastAsia="Times New Roman" w:hAnsi="Palatino Linotype" w:cs="Arial"/>
          <w:color w:val="000000"/>
          <w:sz w:val="24"/>
          <w:szCs w:val="24"/>
          <w:lang w:eastAsia="es-MX"/>
        </w:rPr>
        <w:t xml:space="preserve">uno de febrero de dos mil veintitrés. </w:t>
      </w:r>
      <w:r w:rsidR="002C2CEE">
        <w:rPr>
          <w:rFonts w:ascii="Palatino Linotype" w:eastAsia="Times New Roman" w:hAnsi="Palatino Linotype" w:cs="Arial"/>
          <w:color w:val="000000"/>
          <w:sz w:val="24"/>
          <w:szCs w:val="24"/>
          <w:lang w:eastAsia="es-MX"/>
        </w:rPr>
        <w:t xml:space="preserve"> </w:t>
      </w:r>
      <w:r w:rsidR="00AD3604">
        <w:rPr>
          <w:rFonts w:ascii="Palatino Linotype" w:eastAsia="Times New Roman" w:hAnsi="Palatino Linotype" w:cs="Arial"/>
          <w:color w:val="000000"/>
          <w:sz w:val="24"/>
          <w:szCs w:val="24"/>
          <w:lang w:eastAsia="es-MX"/>
        </w:rPr>
        <w:t xml:space="preserve"> </w:t>
      </w:r>
      <w:r w:rsidR="008C5595">
        <w:rPr>
          <w:rFonts w:ascii="Palatino Linotype" w:eastAsia="Times New Roman" w:hAnsi="Palatino Linotype" w:cs="Arial"/>
          <w:color w:val="000000"/>
          <w:sz w:val="24"/>
          <w:szCs w:val="24"/>
          <w:lang w:eastAsia="es-MX"/>
        </w:rPr>
        <w:t xml:space="preserve"> </w:t>
      </w:r>
      <w:r w:rsidR="000C1477">
        <w:rPr>
          <w:rFonts w:ascii="Palatino Linotype" w:eastAsia="Times New Roman" w:hAnsi="Palatino Linotype" w:cs="Arial"/>
          <w:color w:val="000000"/>
          <w:sz w:val="24"/>
          <w:szCs w:val="24"/>
          <w:lang w:eastAsia="es-MX"/>
        </w:rPr>
        <w:t xml:space="preserve"> </w:t>
      </w:r>
      <w:r w:rsidR="00C07B2D">
        <w:rPr>
          <w:rFonts w:ascii="Palatino Linotype" w:eastAsia="Times New Roman" w:hAnsi="Palatino Linotype" w:cs="Arial"/>
          <w:color w:val="000000"/>
          <w:sz w:val="24"/>
          <w:szCs w:val="24"/>
          <w:lang w:eastAsia="es-MX"/>
        </w:rPr>
        <w:t xml:space="preserve"> </w:t>
      </w:r>
      <w:r w:rsidR="00972CF8">
        <w:rPr>
          <w:rFonts w:ascii="Palatino Linotype" w:eastAsia="Times New Roman" w:hAnsi="Palatino Linotype" w:cs="Arial"/>
          <w:color w:val="000000"/>
          <w:sz w:val="24"/>
          <w:szCs w:val="24"/>
          <w:lang w:eastAsia="es-MX"/>
        </w:rPr>
        <w:t xml:space="preserve"> </w:t>
      </w:r>
    </w:p>
    <w:p w14:paraId="7F35251B" w14:textId="63D2B8BA" w:rsidR="00C85475" w:rsidRPr="00C85475" w:rsidRDefault="00B433C9" w:rsidP="00B433C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C85475">
        <w:rPr>
          <w:rFonts w:ascii="Palatino Linotype" w:hAnsi="Palatino Linotype" w:cs="Arial"/>
          <w:b/>
          <w:bCs/>
          <w:sz w:val="24"/>
        </w:rPr>
        <w:t>17260</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C01E1C">
        <w:rPr>
          <w:rFonts w:ascii="Palatino Linotype" w:hAnsi="Palatino Linotype" w:cs="Arial"/>
          <w:sz w:val="24"/>
        </w:rPr>
        <w:t>interpuesto por</w:t>
      </w:r>
      <w:r w:rsidR="00752A9A">
        <w:rPr>
          <w:rFonts w:ascii="Palatino Linotype" w:hAnsi="Palatino Linotype" w:cs="Arial"/>
          <w:sz w:val="24"/>
        </w:rPr>
        <w:t xml:space="preserve"> </w:t>
      </w:r>
      <w:r w:rsidR="00C85475">
        <w:rPr>
          <w:rFonts w:ascii="Palatino Linotype" w:hAnsi="Palatino Linotype" w:cs="Arial"/>
          <w:sz w:val="24"/>
        </w:rPr>
        <w:t xml:space="preserve">el </w:t>
      </w:r>
      <w:r w:rsidR="00C85475">
        <w:rPr>
          <w:rFonts w:ascii="Palatino Linotype" w:hAnsi="Palatino Linotype" w:cs="Arial"/>
          <w:b/>
          <w:bCs/>
          <w:sz w:val="24"/>
        </w:rPr>
        <w:t>C</w:t>
      </w:r>
      <w:r w:rsidR="00BB2DDE">
        <w:rPr>
          <w:rFonts w:ascii="Palatino Linotype" w:hAnsi="Palatino Linotype" w:cs="Arial"/>
          <w:b/>
          <w:bCs/>
          <w:sz w:val="24"/>
        </w:rPr>
        <w:t>XXXXXXXXXXXXXXXXXXXX</w:t>
      </w:r>
      <w:r w:rsidR="00C85475">
        <w:rPr>
          <w:rFonts w:ascii="Palatino Linotype" w:hAnsi="Palatino Linotype" w:cs="Arial"/>
          <w:b/>
          <w:bCs/>
          <w:sz w:val="24"/>
        </w:rPr>
        <w:t xml:space="preserve">, </w:t>
      </w:r>
      <w:r w:rsidR="00C85475">
        <w:rPr>
          <w:rFonts w:ascii="Palatino Linotype" w:hAnsi="Palatino Linotype" w:cs="Arial"/>
          <w:sz w:val="24"/>
        </w:rPr>
        <w:t xml:space="preserve">en lo sucesivo </w:t>
      </w:r>
      <w:r w:rsidR="00C85475">
        <w:rPr>
          <w:rFonts w:ascii="Palatino Linotype" w:hAnsi="Palatino Linotype" w:cs="Arial"/>
          <w:b/>
          <w:bCs/>
          <w:sz w:val="24"/>
        </w:rPr>
        <w:t xml:space="preserve">El Recurrente, </w:t>
      </w:r>
      <w:r w:rsidR="00C85475">
        <w:rPr>
          <w:rFonts w:ascii="Palatino Linotype" w:hAnsi="Palatino Linotype" w:cs="Arial"/>
          <w:sz w:val="24"/>
        </w:rPr>
        <w:t xml:space="preserve">en contra de la respuesta de la </w:t>
      </w:r>
      <w:r w:rsidR="00C85475">
        <w:rPr>
          <w:rFonts w:ascii="Palatino Linotype" w:hAnsi="Palatino Linotype" w:cs="Arial"/>
          <w:b/>
          <w:bCs/>
          <w:sz w:val="24"/>
        </w:rPr>
        <w:t xml:space="preserve">Secretaría de Finanzas, </w:t>
      </w:r>
      <w:r w:rsidR="00C85475">
        <w:rPr>
          <w:rFonts w:ascii="Palatino Linotype" w:hAnsi="Palatino Linotype" w:cs="Arial"/>
          <w:sz w:val="24"/>
        </w:rPr>
        <w:t xml:space="preserve">en lo subsecuente </w:t>
      </w:r>
      <w:r w:rsidR="00C85475">
        <w:rPr>
          <w:rFonts w:ascii="Palatino Linotype" w:hAnsi="Palatino Linotype" w:cs="Arial"/>
          <w:b/>
          <w:bCs/>
          <w:sz w:val="24"/>
        </w:rPr>
        <w:t xml:space="preserve">El Sujeto Obligado, </w:t>
      </w:r>
      <w:r w:rsidR="00C85475">
        <w:rPr>
          <w:rFonts w:ascii="Palatino Linotype" w:hAnsi="Palatino Linotype" w:cs="Arial"/>
          <w:sz w:val="24"/>
        </w:rPr>
        <w:t xml:space="preserve">se procede a dictar la presente resolución. </w:t>
      </w:r>
    </w:p>
    <w:p w14:paraId="53B5F943" w14:textId="77777777" w:rsidR="002C2CEE" w:rsidRDefault="002C2CEE" w:rsidP="00B433C9">
      <w:pPr>
        <w:tabs>
          <w:tab w:val="left" w:pos="1701"/>
        </w:tabs>
        <w:spacing w:before="240" w:line="360" w:lineRule="auto"/>
        <w:jc w:val="both"/>
        <w:rPr>
          <w:rFonts w:ascii="Palatino Linotype" w:hAnsi="Palatino Linotype" w:cs="Arial"/>
          <w:sz w:val="24"/>
        </w:rPr>
      </w:pPr>
    </w:p>
    <w:p w14:paraId="4094D3E4" w14:textId="284367AF"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81EB1B7" w14:textId="7493F7D8" w:rsidR="00C85475"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Con fecha</w:t>
      </w:r>
      <w:r w:rsidR="00AD3604">
        <w:rPr>
          <w:rFonts w:ascii="Palatino Linotype" w:hAnsi="Palatino Linotype" w:cs="Arial"/>
          <w:sz w:val="24"/>
        </w:rPr>
        <w:t xml:space="preserve"> </w:t>
      </w:r>
      <w:r w:rsidR="00C85475">
        <w:rPr>
          <w:rFonts w:ascii="Palatino Linotype" w:hAnsi="Palatino Linotype" w:cs="Arial"/>
          <w:sz w:val="24"/>
        </w:rPr>
        <w:t xml:space="preserve">catorce de noviembre de dos mil veintidós, </w:t>
      </w:r>
      <w:r w:rsidR="00C85475">
        <w:rPr>
          <w:rFonts w:ascii="Palatino Linotype" w:hAnsi="Palatino Linotype" w:cs="Arial"/>
          <w:b/>
          <w:bCs/>
          <w:sz w:val="24"/>
        </w:rPr>
        <w:t xml:space="preserve">El Recurrente, </w:t>
      </w:r>
      <w:r w:rsidR="00C85475">
        <w:rPr>
          <w:rFonts w:ascii="Palatino Linotype" w:hAnsi="Palatino Linotype" w:cs="Arial"/>
          <w:sz w:val="24"/>
        </w:rPr>
        <w:t xml:space="preserve">presentó a través del Sistema de Acceso a la Información Mexiquense </w:t>
      </w:r>
      <w:r w:rsidR="00C85475">
        <w:rPr>
          <w:rFonts w:ascii="Palatino Linotype" w:hAnsi="Palatino Linotype" w:cs="Arial"/>
          <w:b/>
          <w:sz w:val="24"/>
        </w:rPr>
        <w:t xml:space="preserve">(SAIMEX) </w:t>
      </w:r>
      <w:r w:rsidR="00C85475">
        <w:rPr>
          <w:rFonts w:ascii="Palatino Linotype" w:hAnsi="Palatino Linotype" w:cs="Arial"/>
          <w:sz w:val="24"/>
        </w:rPr>
        <w:t xml:space="preserve">ante </w:t>
      </w:r>
      <w:r w:rsidR="00C85475">
        <w:rPr>
          <w:rFonts w:ascii="Palatino Linotype" w:hAnsi="Palatino Linotype" w:cs="Arial"/>
          <w:b/>
          <w:sz w:val="24"/>
        </w:rPr>
        <w:t>El Sujeto Obligado</w:t>
      </w:r>
      <w:r w:rsidR="00C85475">
        <w:rPr>
          <w:rFonts w:ascii="Palatino Linotype" w:hAnsi="Palatino Linotype" w:cs="Arial"/>
          <w:sz w:val="24"/>
        </w:rPr>
        <w:t xml:space="preserve">, solicitud de acceso a la información pública, registrada bajo el número de expediente </w:t>
      </w:r>
      <w:r w:rsidR="00C85475">
        <w:rPr>
          <w:rFonts w:ascii="Palatino Linotype" w:hAnsi="Palatino Linotype" w:cs="Arial"/>
          <w:b/>
          <w:bCs/>
          <w:sz w:val="24"/>
        </w:rPr>
        <w:t xml:space="preserve">00523/SF/IP/2022, </w:t>
      </w:r>
      <w:r w:rsidR="00C85475">
        <w:rPr>
          <w:rFonts w:ascii="Palatino Linotype" w:hAnsi="Palatino Linotype" w:cs="Arial"/>
          <w:sz w:val="24"/>
        </w:rPr>
        <w:t>mediante la cual solicitó información en el tenor siguiente:</w:t>
      </w:r>
    </w:p>
    <w:p w14:paraId="6B981F97" w14:textId="0F810F8C" w:rsidR="00C85475" w:rsidRPr="00C85475" w:rsidRDefault="00C85475" w:rsidP="00C85475">
      <w:pPr>
        <w:pStyle w:val="Citas"/>
        <w:rPr>
          <w:b/>
          <w:bCs/>
          <w:sz w:val="24"/>
        </w:rPr>
      </w:pPr>
      <w:r>
        <w:t xml:space="preserve">“Por qué en el pago de la primera quincena de noviembre de 2022 los conceptos de deducciones 5540 “cuotas de servicios de salud”, 5541 “cuotas del sistema solidario de reparto” y 5542 “cuotas del sistema de capitalización individual”, se vieron ampliamente incrementados en comparación con las demás quincenas y con la misma del año anterior dónde no se presentó esa situación. Cuál es el sustento jurídico para </w:t>
      </w:r>
      <w:r>
        <w:lastRenderedPageBreak/>
        <w:t xml:space="preserve">ese aumento desproporcional. Si se trató de un error. En todo caso, cuál sería el procedimiento para la devolución de las cantidades excedidas. En el contexto de servidores públicos docentes adscritos a la Secretaría de Educación” </w:t>
      </w:r>
      <w:r>
        <w:rPr>
          <w:b/>
          <w:bCs/>
        </w:rPr>
        <w:t>(Sic)</w:t>
      </w:r>
    </w:p>
    <w:p w14:paraId="19E86044" w14:textId="1AB73BBF" w:rsidR="008B1AD9" w:rsidRDefault="00C85475" w:rsidP="00B433C9">
      <w:pPr>
        <w:spacing w:before="240" w:line="360" w:lineRule="auto"/>
        <w:jc w:val="both"/>
        <w:rPr>
          <w:rFonts w:ascii="Palatino Linotype" w:hAnsi="Palatino Linotype" w:cs="Arial"/>
          <w:sz w:val="24"/>
        </w:rPr>
      </w:pPr>
      <w:r>
        <w:rPr>
          <w:rFonts w:ascii="Palatino Linotype" w:hAnsi="Palatino Linotype" w:cs="Arial"/>
          <w:b/>
          <w:sz w:val="24"/>
        </w:rPr>
        <w:t>M</w:t>
      </w:r>
      <w:r w:rsidR="008B1AD9">
        <w:rPr>
          <w:rFonts w:ascii="Palatino Linotype" w:hAnsi="Palatino Linotype" w:cs="Arial"/>
          <w:b/>
          <w:sz w:val="24"/>
        </w:rPr>
        <w:t xml:space="preserve">odalidad de entrega: </w:t>
      </w:r>
      <w:r w:rsidR="008B1AD9">
        <w:rPr>
          <w:rFonts w:ascii="Palatino Linotype" w:hAnsi="Palatino Linotype" w:cs="Arial"/>
          <w:sz w:val="24"/>
        </w:rPr>
        <w:t xml:space="preserve">A través del SAIMEX. </w:t>
      </w:r>
    </w:p>
    <w:p w14:paraId="7F3535B6" w14:textId="77777777" w:rsidR="00752A9A" w:rsidRDefault="00752A9A" w:rsidP="00B433C9">
      <w:pPr>
        <w:spacing w:before="240" w:line="360" w:lineRule="auto"/>
        <w:jc w:val="both"/>
        <w:rPr>
          <w:rFonts w:ascii="Palatino Linotype" w:hAnsi="Palatino Linotype" w:cs="Arial"/>
          <w:b/>
          <w:sz w:val="28"/>
        </w:rPr>
      </w:pPr>
    </w:p>
    <w:p w14:paraId="2745D23E" w14:textId="08249A04"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61A942DE" w14:textId="0BA31F4F" w:rsidR="00C85475" w:rsidRDefault="00B433C9" w:rsidP="0012389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972CF8">
        <w:rPr>
          <w:rFonts w:ascii="Palatino Linotype" w:hAnsi="Palatino Linotype" w:cs="Arial"/>
          <w:sz w:val="24"/>
          <w:szCs w:val="24"/>
        </w:rPr>
        <w:t xml:space="preserve"> </w:t>
      </w:r>
      <w:r w:rsidR="00C85475">
        <w:rPr>
          <w:rFonts w:ascii="Palatino Linotype" w:hAnsi="Palatino Linotype" w:cs="Arial"/>
          <w:sz w:val="24"/>
          <w:szCs w:val="24"/>
        </w:rPr>
        <w:t xml:space="preserve">seis de diciembre de dos mil veintidós, </w:t>
      </w:r>
      <w:r w:rsidR="00C85475">
        <w:rPr>
          <w:rFonts w:ascii="Palatino Linotype" w:hAnsi="Palatino Linotype" w:cs="Arial"/>
          <w:b/>
          <w:bCs/>
          <w:sz w:val="24"/>
          <w:szCs w:val="24"/>
        </w:rPr>
        <w:t xml:space="preserve">El Sujeto Obligado </w:t>
      </w:r>
      <w:r w:rsidR="00C85475">
        <w:rPr>
          <w:rFonts w:ascii="Palatino Linotype" w:hAnsi="Palatino Linotype" w:cs="Arial"/>
          <w:sz w:val="24"/>
          <w:szCs w:val="24"/>
        </w:rPr>
        <w:t>dio respuesta a la solicitud de información en los siguientes términos:</w:t>
      </w:r>
    </w:p>
    <w:p w14:paraId="0BF4E11C" w14:textId="7D9F4734" w:rsidR="00C85475" w:rsidRPr="00C85475" w:rsidRDefault="00C85475" w:rsidP="00C85475">
      <w:pPr>
        <w:pStyle w:val="Citas"/>
      </w:pPr>
      <w:r w:rsidRPr="00C85475">
        <w:t>“En respuesta a la solicitud recibida, nos permitimos hacer de su conocimiento que con fundamento en el artículo 53, Fracciones: II, V y VI de la Ley de Transparencia y Acceso a la Información Pública del Estado de México y Municipios, le contestamos que:</w:t>
      </w:r>
    </w:p>
    <w:p w14:paraId="627B998A" w14:textId="4528AABA" w:rsidR="00C85475" w:rsidRPr="00C85475" w:rsidRDefault="00C85475" w:rsidP="00C85475">
      <w:pPr>
        <w:pStyle w:val="Citas"/>
        <w:rPr>
          <w:b/>
          <w:bCs/>
        </w:rPr>
      </w:pPr>
      <w:r w:rsidRPr="00C85475">
        <w:t>Sobre el particular, sírvase encontrar en archivo adjunto copia del oficio de notificación número 20700004S/UT-2069/2022 mediante el cual se detalla lo referente a su solicitud”</w:t>
      </w:r>
      <w:r>
        <w:t xml:space="preserve"> </w:t>
      </w:r>
      <w:r>
        <w:rPr>
          <w:b/>
          <w:bCs/>
        </w:rPr>
        <w:t>(Sic)</w:t>
      </w:r>
    </w:p>
    <w:p w14:paraId="3BE0AEEF" w14:textId="0B0EAF28" w:rsidR="00544216" w:rsidRPr="00544216" w:rsidRDefault="008C5595" w:rsidP="0012389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544216">
        <w:rPr>
          <w:rFonts w:ascii="Palatino Linotype" w:hAnsi="Palatino Linotype" w:cs="Arial"/>
          <w:sz w:val="24"/>
          <w:szCs w:val="24"/>
        </w:rPr>
        <w:t>los</w:t>
      </w:r>
      <w:r>
        <w:rPr>
          <w:rFonts w:ascii="Palatino Linotype" w:hAnsi="Palatino Linotype" w:cs="Arial"/>
          <w:sz w:val="24"/>
          <w:szCs w:val="24"/>
        </w:rPr>
        <w:t xml:space="preserve"> documento</w:t>
      </w:r>
      <w:r w:rsidR="00544216">
        <w:rPr>
          <w:rFonts w:ascii="Palatino Linotype" w:hAnsi="Palatino Linotype" w:cs="Arial"/>
          <w:sz w:val="24"/>
          <w:szCs w:val="24"/>
        </w:rPr>
        <w:t>s</w:t>
      </w:r>
      <w:r>
        <w:rPr>
          <w:rFonts w:ascii="Palatino Linotype" w:hAnsi="Palatino Linotype" w:cs="Arial"/>
          <w:sz w:val="24"/>
          <w:szCs w:val="24"/>
        </w:rPr>
        <w:t xml:space="preserve"> electrónico</w:t>
      </w:r>
      <w:r w:rsidR="00544216">
        <w:rPr>
          <w:rFonts w:ascii="Palatino Linotype" w:hAnsi="Palatino Linotype" w:cs="Arial"/>
          <w:sz w:val="24"/>
          <w:szCs w:val="24"/>
        </w:rPr>
        <w:t xml:space="preserve">s </w:t>
      </w:r>
      <w:r w:rsidR="00C85475">
        <w:rPr>
          <w:rFonts w:ascii="Palatino Linotype" w:hAnsi="Palatino Linotype" w:cs="Arial"/>
          <w:sz w:val="24"/>
          <w:szCs w:val="24"/>
        </w:rPr>
        <w:t>“</w:t>
      </w:r>
      <w:r w:rsidR="00C85475">
        <w:rPr>
          <w:rFonts w:ascii="Palatino Linotype" w:hAnsi="Palatino Linotype" w:cs="Arial"/>
          <w:b/>
          <w:bCs/>
          <w:sz w:val="24"/>
          <w:szCs w:val="24"/>
        </w:rPr>
        <w:t xml:space="preserve">523 DGP.pdf” </w:t>
      </w:r>
      <w:r w:rsidR="00C85475">
        <w:rPr>
          <w:rFonts w:ascii="Palatino Linotype" w:hAnsi="Palatino Linotype" w:cs="Arial"/>
          <w:sz w:val="24"/>
          <w:szCs w:val="24"/>
        </w:rPr>
        <w:t xml:space="preserve">y </w:t>
      </w:r>
      <w:r w:rsidR="00C85475">
        <w:rPr>
          <w:rFonts w:ascii="Palatino Linotype" w:hAnsi="Palatino Linotype" w:cs="Arial"/>
          <w:b/>
          <w:bCs/>
          <w:sz w:val="24"/>
          <w:szCs w:val="24"/>
        </w:rPr>
        <w:t xml:space="preserve">“UIPPE 523.pdf”, </w:t>
      </w:r>
      <w:r w:rsidR="00544216">
        <w:rPr>
          <w:rFonts w:ascii="Palatino Linotype" w:hAnsi="Palatino Linotype" w:cs="Arial"/>
          <w:sz w:val="24"/>
          <w:szCs w:val="24"/>
        </w:rPr>
        <w:t xml:space="preserve">mismos que se tienen por reproducidos en virtud de que serán materia de análisis en el considerando respectivo. </w:t>
      </w:r>
    </w:p>
    <w:p w14:paraId="457FEB66" w14:textId="77777777" w:rsidR="008C5595" w:rsidRDefault="008C5595" w:rsidP="00123898">
      <w:pPr>
        <w:spacing w:before="240" w:line="360" w:lineRule="auto"/>
        <w:jc w:val="both"/>
        <w:rPr>
          <w:rFonts w:ascii="Palatino Linotype" w:hAnsi="Palatino Linotype" w:cs="Arial"/>
          <w:sz w:val="24"/>
          <w:szCs w:val="24"/>
        </w:rPr>
      </w:pPr>
    </w:p>
    <w:p w14:paraId="259B6E09" w14:textId="754D27EB"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6875AC65" w14:textId="6891F2EE" w:rsidR="00C85475"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 xml:space="preserve">El Sujeto Obligado, </w:t>
      </w:r>
      <w:r w:rsidR="00C85475">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DD098B">
        <w:rPr>
          <w:rFonts w:ascii="Palatino Linotype" w:hAnsi="Palatino Linotype" w:cs="Arial"/>
          <w:sz w:val="24"/>
          <w:szCs w:val="24"/>
        </w:rPr>
        <w:t xml:space="preserve">doce de diciembre de dos mil veintidós, </w:t>
      </w:r>
      <w:r w:rsidR="001D59CF">
        <w:rPr>
          <w:rFonts w:ascii="Palatino Linotype" w:hAnsi="Palatino Linotype" w:cs="Arial"/>
          <w:sz w:val="24"/>
          <w:szCs w:val="24"/>
        </w:rPr>
        <w:t>el cual</w:t>
      </w:r>
      <w:r w:rsidR="00DD098B">
        <w:rPr>
          <w:rFonts w:ascii="Palatino Linotype" w:hAnsi="Palatino Linotype" w:cs="Arial"/>
          <w:sz w:val="24"/>
          <w:szCs w:val="24"/>
        </w:rPr>
        <w:t xml:space="preserve"> fue registrado en el sistema electrónico con el expediente número </w:t>
      </w:r>
      <w:r w:rsidR="00DD098B">
        <w:rPr>
          <w:rFonts w:ascii="Palatino Linotype" w:hAnsi="Palatino Linotype" w:cs="Arial"/>
          <w:b/>
          <w:bCs/>
          <w:sz w:val="24"/>
          <w:szCs w:val="24"/>
        </w:rPr>
        <w:t xml:space="preserve">17260/INFOEM/IP/RR/2022, </w:t>
      </w:r>
      <w:r w:rsidR="00DD098B">
        <w:rPr>
          <w:rFonts w:ascii="Palatino Linotype" w:hAnsi="Palatino Linotype" w:cs="Arial"/>
          <w:sz w:val="24"/>
          <w:szCs w:val="24"/>
        </w:rPr>
        <w:t>en el cual arguye las siguientes manifestaciones:</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10EE38C5" w:rsidR="00B433C9" w:rsidRPr="00712E3A" w:rsidRDefault="00B433C9" w:rsidP="005C57BA">
      <w:pPr>
        <w:pStyle w:val="Citas"/>
        <w:tabs>
          <w:tab w:val="left" w:pos="3750"/>
        </w:tabs>
        <w:rPr>
          <w:b/>
        </w:rPr>
      </w:pPr>
      <w:r w:rsidRPr="00DD098B">
        <w:t>“</w:t>
      </w:r>
      <w:r w:rsidR="00DD098B" w:rsidRPr="00DD098B">
        <w:t>Respuesta a la solicitud 00523/SF/IP/2022</w:t>
      </w:r>
      <w:r w:rsidR="00F516E3" w:rsidRPr="00DD098B">
        <w:t>”</w:t>
      </w:r>
      <w:r w:rsidRPr="003838B4">
        <w:t xml:space="preserve"> </w:t>
      </w:r>
      <w:r w:rsidR="00F516E3" w:rsidRPr="00F516E3">
        <w:rPr>
          <w:b/>
          <w:bCs/>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23C49354" w:rsidR="00B433C9" w:rsidRPr="00712E3A" w:rsidRDefault="00B433C9" w:rsidP="00E725D5">
      <w:pPr>
        <w:pStyle w:val="Citas"/>
      </w:pPr>
      <w:r w:rsidRPr="00DD098B">
        <w:t>“</w:t>
      </w:r>
      <w:r w:rsidR="00DD098B" w:rsidRPr="00DD098B">
        <w:t xml:space="preserve">En el último momento del plazo para dar respuesta me dicen que no son competentes y que me dirija a la Secretaría de Educación. Lo cual ya había hecho, ahí me contestaron que nos son competentes y que la competente es la Secretaría de Finanzas con los fundamentos correspondientes. Se anexa archivo con la respuesta mencionada. Pido se dé vista a la Secretaría de la Controlaría por incumplimiento a los deberes impuestos por </w:t>
      </w:r>
      <w:proofErr w:type="spellStart"/>
      <w:r w:rsidR="00DD098B" w:rsidRPr="00DD098B">
        <w:t>al</w:t>
      </w:r>
      <w:proofErr w:type="spellEnd"/>
      <w:r w:rsidR="00DD098B" w:rsidRPr="00DD098B">
        <w:t xml:space="preserve"> Ley de la materia por parte del personal de la Secretaría de Finanzas</w:t>
      </w:r>
      <w:r w:rsidRPr="00DD098B">
        <w:t>”</w:t>
      </w:r>
      <w:r w:rsidRPr="00712E3A">
        <w:t xml:space="preserve"> </w:t>
      </w:r>
      <w:r w:rsidR="00F516E3">
        <w:rPr>
          <w:b/>
        </w:rPr>
        <w:t>(Sic)</w:t>
      </w:r>
    </w:p>
    <w:p w14:paraId="4E536BD8" w14:textId="77777777" w:rsidR="00544216" w:rsidRDefault="00544216" w:rsidP="00B433C9">
      <w:pPr>
        <w:spacing w:before="240" w:line="360" w:lineRule="auto"/>
        <w:jc w:val="both"/>
        <w:rPr>
          <w:rFonts w:ascii="Palatino Linotype" w:hAnsi="Palatino Linotype" w:cs="Arial"/>
          <w:b/>
          <w:sz w:val="28"/>
        </w:rPr>
      </w:pPr>
    </w:p>
    <w:p w14:paraId="454F7370" w14:textId="4063C398" w:rsidR="00B433C9" w:rsidRDefault="005D3E85"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933F77F" w14:textId="6230AAA2" w:rsidR="002642D3" w:rsidRDefault="00B433C9" w:rsidP="002642D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5A0B05">
        <w:rPr>
          <w:rFonts w:ascii="Palatino Linotype" w:hAnsi="Palatino Linotype" w:cs="Arial"/>
          <w:sz w:val="24"/>
          <w:szCs w:val="24"/>
        </w:rPr>
        <w:t>presidente</w:t>
      </w:r>
      <w:r w:rsidR="00411E6F">
        <w:rPr>
          <w:rFonts w:ascii="Palatino Linotype" w:hAnsi="Palatino Linotype" w:cs="Arial"/>
          <w:sz w:val="24"/>
          <w:szCs w:val="24"/>
        </w:rPr>
        <w:t xml:space="preserv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w:t>
      </w:r>
      <w:r>
        <w:rPr>
          <w:rFonts w:ascii="Palatino Linotype" w:hAnsi="Palatino Linotype" w:cs="Arial"/>
          <w:sz w:val="24"/>
          <w:szCs w:val="24"/>
        </w:rPr>
        <w:lastRenderedPageBreak/>
        <w:t>Municipios, del cual recayó acuerdo de admisión en fecha</w:t>
      </w:r>
      <w:r w:rsidR="00D81029">
        <w:rPr>
          <w:rFonts w:ascii="Palatino Linotype" w:hAnsi="Palatino Linotype" w:cs="Arial"/>
          <w:sz w:val="24"/>
          <w:szCs w:val="24"/>
        </w:rPr>
        <w:t xml:space="preserve"> </w:t>
      </w:r>
      <w:r w:rsidR="00DD098B">
        <w:rPr>
          <w:rFonts w:ascii="Palatino Linotype" w:hAnsi="Palatino Linotype" w:cs="Arial"/>
          <w:b/>
          <w:bCs/>
          <w:sz w:val="24"/>
          <w:szCs w:val="24"/>
        </w:rPr>
        <w:t xml:space="preserve">trece de diciembre de dos mil veintidós, </w:t>
      </w:r>
      <w:r w:rsidR="00544216">
        <w:rPr>
          <w:rFonts w:ascii="Palatino Linotype" w:hAnsi="Palatino Linotype" w:cs="Arial"/>
          <w:sz w:val="24"/>
          <w:szCs w:val="24"/>
        </w:rPr>
        <w:t>d</w:t>
      </w:r>
      <w:r w:rsidR="002642D3">
        <w:rPr>
          <w:rFonts w:ascii="Palatino Linotype" w:hAnsi="Palatino Linotype" w:cs="Arial"/>
          <w:sz w:val="24"/>
          <w:szCs w:val="24"/>
        </w:rPr>
        <w:t>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5E166F90" w:rsidR="00B433C9" w:rsidRDefault="005D3E85"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59F5659D" w14:textId="084E671D" w:rsidR="00DD098B" w:rsidRPr="00DD098B" w:rsidRDefault="009B4F25" w:rsidP="00764DB2">
      <w:pPr>
        <w:spacing w:after="0" w:line="360" w:lineRule="auto"/>
        <w:jc w:val="both"/>
        <w:rPr>
          <w:rFonts w:ascii="Palatino Linotype" w:hAnsi="Palatino Linotype" w:cs="Arial"/>
          <w:b/>
          <w:bCs/>
          <w:sz w:val="24"/>
          <w:szCs w:val="24"/>
        </w:rPr>
      </w:pPr>
      <w:r>
        <w:rPr>
          <w:rFonts w:ascii="Palatino Linotype" w:hAnsi="Palatino Linotype" w:cs="Arial"/>
          <w:sz w:val="24"/>
          <w:szCs w:val="24"/>
        </w:rPr>
        <w:t>En</w:t>
      </w:r>
      <w:r w:rsidR="00764DB2">
        <w:rPr>
          <w:rFonts w:ascii="Palatino Linotype" w:hAnsi="Palatino Linotype" w:cs="Arial"/>
          <w:sz w:val="24"/>
          <w:szCs w:val="24"/>
        </w:rPr>
        <w:t xml:space="preserve"> la etapa de instrucción, de las constancias que obran en el expediente electrónico del recurso de revisión se advierte que </w:t>
      </w:r>
      <w:r w:rsidR="00764DB2">
        <w:rPr>
          <w:rFonts w:ascii="Palatino Linotype" w:hAnsi="Palatino Linotype" w:cs="Arial"/>
          <w:b/>
          <w:bCs/>
          <w:sz w:val="24"/>
          <w:szCs w:val="24"/>
        </w:rPr>
        <w:t xml:space="preserve">El Sujeto Obligado </w:t>
      </w:r>
      <w:r w:rsidR="00764DB2">
        <w:rPr>
          <w:rFonts w:ascii="Palatino Linotype" w:hAnsi="Palatino Linotype" w:cs="Arial"/>
          <w:sz w:val="24"/>
          <w:szCs w:val="24"/>
        </w:rPr>
        <w:t>rindió su informe justificado en fecha</w:t>
      </w:r>
      <w:r>
        <w:rPr>
          <w:rFonts w:ascii="Palatino Linotype" w:hAnsi="Palatino Linotype" w:cs="Arial"/>
          <w:sz w:val="24"/>
          <w:szCs w:val="24"/>
        </w:rPr>
        <w:t xml:space="preserve"> </w:t>
      </w:r>
      <w:r w:rsidR="00DD098B">
        <w:rPr>
          <w:rFonts w:ascii="Palatino Linotype" w:hAnsi="Palatino Linotype" w:cs="Arial"/>
          <w:b/>
          <w:bCs/>
          <w:sz w:val="24"/>
          <w:szCs w:val="24"/>
        </w:rPr>
        <w:t xml:space="preserve">once de enero de dos mil veintitrés, </w:t>
      </w:r>
      <w:r w:rsidR="00DD098B">
        <w:rPr>
          <w:rFonts w:ascii="Palatino Linotype" w:hAnsi="Palatino Linotype" w:cs="Arial"/>
          <w:sz w:val="24"/>
          <w:szCs w:val="24"/>
        </w:rPr>
        <w:t xml:space="preserve">mismo que se puso a la vista el </w:t>
      </w:r>
      <w:r w:rsidR="00DD098B">
        <w:rPr>
          <w:rFonts w:ascii="Palatino Linotype" w:hAnsi="Palatino Linotype" w:cs="Arial"/>
          <w:b/>
          <w:bCs/>
          <w:sz w:val="24"/>
          <w:szCs w:val="24"/>
        </w:rPr>
        <w:t xml:space="preserve">dieciocho de enero de dos mil veintitrés. </w:t>
      </w:r>
    </w:p>
    <w:p w14:paraId="10406D62" w14:textId="77777777" w:rsidR="00DD098B" w:rsidRDefault="00DD098B" w:rsidP="00DF0E8B">
      <w:pPr>
        <w:spacing w:after="0" w:line="360" w:lineRule="auto"/>
        <w:jc w:val="both"/>
        <w:rPr>
          <w:rFonts w:ascii="Palatino Linotype" w:hAnsi="Palatino Linotype" w:cs="Arial"/>
          <w:sz w:val="24"/>
          <w:szCs w:val="24"/>
        </w:rPr>
      </w:pPr>
    </w:p>
    <w:p w14:paraId="41D8CAB8" w14:textId="76D287D3" w:rsidR="00DF0E8B" w:rsidRDefault="00764DB2" w:rsidP="00DF0E8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111048">
        <w:rPr>
          <w:rFonts w:ascii="Palatino Linotype" w:hAnsi="Palatino Linotype" w:cs="Arial"/>
          <w:b/>
          <w:bCs/>
          <w:sz w:val="24"/>
          <w:szCs w:val="24"/>
        </w:rPr>
        <w:t>veintisiete</w:t>
      </w:r>
      <w:r w:rsidR="00DD098B">
        <w:rPr>
          <w:rFonts w:ascii="Palatino Linotype" w:hAnsi="Palatino Linotype" w:cs="Arial"/>
          <w:b/>
          <w:bCs/>
          <w:sz w:val="24"/>
          <w:szCs w:val="24"/>
        </w:rPr>
        <w:t xml:space="preserve"> de enero de dos mil veintitrés, </w:t>
      </w:r>
      <w:r w:rsidR="00DF0E8B">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2C7357C5" w14:textId="77777777" w:rsidR="009B4F25" w:rsidRDefault="009B4F25" w:rsidP="007E4FA1">
      <w:pPr>
        <w:spacing w:before="240" w:line="360" w:lineRule="auto"/>
        <w:jc w:val="center"/>
        <w:rPr>
          <w:rFonts w:ascii="Palatino Linotype" w:hAnsi="Palatino Linotype" w:cs="Arial"/>
          <w:b/>
          <w:sz w:val="24"/>
        </w:rPr>
      </w:pPr>
    </w:p>
    <w:p w14:paraId="528DBAF8" w14:textId="45E9912D"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1EF75D81" w:rsidR="00A51F37" w:rsidRDefault="00A51F37" w:rsidP="00A51F37">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 xml:space="preserve">Constitución </w:t>
      </w:r>
      <w:r>
        <w:rPr>
          <w:rFonts w:ascii="Palatino Linotype" w:eastAsia="Calibri" w:hAnsi="Palatino Linotype"/>
          <w:b/>
          <w:color w:val="000000" w:themeColor="text1"/>
          <w:sz w:val="24"/>
          <w:szCs w:val="24"/>
        </w:rPr>
        <w:lastRenderedPageBreak/>
        <w:t>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2CAD277" w14:textId="77777777" w:rsidR="00DD098B" w:rsidRDefault="00DD098B" w:rsidP="00A51F37">
      <w:pPr>
        <w:spacing w:before="240" w:line="360" w:lineRule="auto"/>
        <w:jc w:val="both"/>
        <w:rPr>
          <w:rFonts w:ascii="Palatino Linotype" w:eastAsia="Calibri" w:hAnsi="Palatino Linotype"/>
          <w:b/>
          <w:color w:val="000000" w:themeColor="text1"/>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8B9E702" w14:textId="77777777" w:rsidR="00DF0E8B" w:rsidRDefault="00DF0E8B" w:rsidP="00480C3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6DE0292C" w14:textId="79253940" w:rsidR="00D508EB" w:rsidRDefault="009B4F25" w:rsidP="00D508EB">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00D508EB" w:rsidRPr="009510B5">
        <w:rPr>
          <w:rFonts w:ascii="Palatino Linotype" w:hAnsi="Palatino Linotype" w:cs="Arial"/>
          <w:b/>
        </w:rPr>
        <w:t xml:space="preserve">. </w:t>
      </w:r>
      <w:r w:rsidR="00D508EB" w:rsidRPr="009510B5">
        <w:rPr>
          <w:rFonts w:ascii="Palatino Linotype" w:hAnsi="Palatino Linotype" w:cs="Arial"/>
          <w:b/>
          <w:sz w:val="28"/>
          <w:szCs w:val="28"/>
        </w:rPr>
        <w:t>Del estudio de las causas de improcedencia y sobreseimiento</w:t>
      </w:r>
    </w:p>
    <w:p w14:paraId="4B98807C" w14:textId="77777777" w:rsidR="00D508EB" w:rsidRDefault="00D508EB" w:rsidP="00D508E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FE85AA0" w14:textId="77777777" w:rsidR="00D508EB" w:rsidRDefault="00D508EB" w:rsidP="00D508E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5FE96059" w14:textId="77777777" w:rsidR="00D508EB" w:rsidRDefault="00D508EB" w:rsidP="00D508EB">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lastRenderedPageBreak/>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17222754" w14:textId="2B63F1A5" w:rsidR="00D508EB" w:rsidRDefault="00D508EB" w:rsidP="00D508EB">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Ya que el planteamiento del problema es de toral importancia, a efecto de determinar la intención o voluntad de</w:t>
      </w:r>
      <w:r w:rsidR="00C514C0">
        <w:rPr>
          <w:rFonts w:ascii="Palatino Linotype" w:hAnsi="Palatino Linotype" w:cs="Arial"/>
          <w:sz w:val="24"/>
          <w:szCs w:val="24"/>
        </w:rPr>
        <w:t xml:space="preserve"> la</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2CA9598B" w14:textId="4F9144AF" w:rsidR="00DD098B" w:rsidRDefault="00D870AC" w:rsidP="00D870AC">
      <w:pPr>
        <w:spacing w:before="240" w:line="360" w:lineRule="auto"/>
        <w:jc w:val="both"/>
        <w:rPr>
          <w:rFonts w:ascii="Palatino Linotype" w:hAnsi="Palatino Linotype"/>
          <w:sz w:val="24"/>
          <w:szCs w:val="24"/>
        </w:rPr>
      </w:pPr>
      <w:r w:rsidRPr="00A279CF">
        <w:rPr>
          <w:rFonts w:ascii="Palatino Linotype" w:hAnsi="Palatino Linotype"/>
          <w:sz w:val="24"/>
          <w:szCs w:val="24"/>
        </w:rPr>
        <w:t xml:space="preserve">Una vez sentado lo anterior, en una aproximación inicial, es procedente mencionar que mediante la solicitud de información </w:t>
      </w:r>
      <w:r w:rsidR="00DD098B">
        <w:rPr>
          <w:rFonts w:ascii="Palatino Linotype" w:hAnsi="Palatino Linotype"/>
          <w:b/>
          <w:bCs/>
          <w:sz w:val="24"/>
          <w:szCs w:val="24"/>
        </w:rPr>
        <w:t xml:space="preserve">00523/SF/IP/2022 </w:t>
      </w:r>
      <w:r w:rsidR="00DD098B">
        <w:rPr>
          <w:rFonts w:ascii="Palatino Linotype" w:hAnsi="Palatino Linotype"/>
          <w:sz w:val="24"/>
          <w:szCs w:val="24"/>
        </w:rPr>
        <w:t xml:space="preserve">fueron formulados </w:t>
      </w:r>
      <w:r w:rsidR="00DD098B">
        <w:rPr>
          <w:rFonts w:ascii="Palatino Linotype" w:hAnsi="Palatino Linotype"/>
          <w:b/>
          <w:bCs/>
          <w:sz w:val="24"/>
          <w:szCs w:val="24"/>
        </w:rPr>
        <w:t xml:space="preserve">3 -tres- </w:t>
      </w:r>
      <w:r w:rsidR="00DD098B">
        <w:rPr>
          <w:rFonts w:ascii="Palatino Linotype" w:hAnsi="Palatino Linotype"/>
          <w:sz w:val="24"/>
          <w:szCs w:val="24"/>
        </w:rPr>
        <w:t>requerimientos respecto de los cuales se desprenden las siguientes consideraciones:</w:t>
      </w:r>
    </w:p>
    <w:p w14:paraId="1304C731" w14:textId="76EA2671" w:rsidR="00DD098B" w:rsidRPr="00DD098B" w:rsidRDefault="00DD098B">
      <w:pPr>
        <w:pStyle w:val="Prrafodelista"/>
        <w:numPr>
          <w:ilvl w:val="0"/>
          <w:numId w:val="4"/>
        </w:numPr>
        <w:spacing w:before="240" w:line="360" w:lineRule="auto"/>
        <w:jc w:val="both"/>
        <w:rPr>
          <w:rFonts w:ascii="Palatino Linotype" w:hAnsi="Palatino Linotype"/>
          <w:b/>
          <w:bCs/>
          <w:i/>
          <w:iCs/>
          <w:sz w:val="22"/>
          <w:szCs w:val="22"/>
        </w:rPr>
      </w:pPr>
      <w:r>
        <w:rPr>
          <w:rFonts w:ascii="Palatino Linotype" w:hAnsi="Palatino Linotype"/>
        </w:rPr>
        <w:t xml:space="preserve">Que el derecho de derecho a la información pública se traduce en la prerrogativa constitucional mediante la cual la ciudadanía puede acceder a la información que los </w:t>
      </w:r>
      <w:r>
        <w:rPr>
          <w:rFonts w:ascii="Palatino Linotype" w:hAnsi="Palatino Linotype"/>
          <w:b/>
          <w:bCs/>
        </w:rPr>
        <w:t xml:space="preserve">Sujetos Obligados </w:t>
      </w:r>
      <w:r>
        <w:rPr>
          <w:rFonts w:ascii="Palatino Linotype" w:hAnsi="Palatino Linotype"/>
        </w:rPr>
        <w:t xml:space="preserve">generan, poseen o administran en el </w:t>
      </w:r>
      <w:r>
        <w:rPr>
          <w:rFonts w:ascii="Palatino Linotype" w:hAnsi="Palatino Linotype"/>
        </w:rPr>
        <w:lastRenderedPageBreak/>
        <w:t>ejercicio de sus funciones. Es decir, excluye la formulación de cuestionamientos o derecho de petición</w:t>
      </w:r>
      <w:r w:rsidR="00A33CBB">
        <w:rPr>
          <w:rFonts w:ascii="Palatino Linotype" w:hAnsi="Palatino Linotype"/>
        </w:rPr>
        <w:t xml:space="preserve">, tales </w:t>
      </w:r>
      <w:proofErr w:type="gramStart"/>
      <w:r w:rsidR="00A33CBB">
        <w:rPr>
          <w:rFonts w:ascii="Palatino Linotype" w:hAnsi="Palatino Linotype"/>
        </w:rPr>
        <w:t xml:space="preserve">como </w:t>
      </w:r>
      <w:r w:rsidR="00A33CBB" w:rsidRPr="00A33CBB">
        <w:rPr>
          <w:rFonts w:ascii="Palatino Linotype" w:hAnsi="Palatino Linotype"/>
          <w:i/>
          <w:iCs/>
        </w:rPr>
        <w:t>”</w:t>
      </w:r>
      <w:proofErr w:type="gramEnd"/>
      <w:r w:rsidR="00A33CBB">
        <w:rPr>
          <w:rFonts w:ascii="Palatino Linotype" w:hAnsi="Palatino Linotype"/>
          <w:i/>
          <w:iCs/>
        </w:rPr>
        <w:t xml:space="preserve">Por qué”, </w:t>
      </w:r>
      <w:r w:rsidR="00A33CBB">
        <w:rPr>
          <w:rFonts w:ascii="Palatino Linotype" w:hAnsi="Palatino Linotype"/>
        </w:rPr>
        <w:t xml:space="preserve">luego entonces, el requerimiento </w:t>
      </w:r>
      <w:r w:rsidR="00A33CBB">
        <w:rPr>
          <w:rFonts w:ascii="Palatino Linotype" w:hAnsi="Palatino Linotype"/>
          <w:b/>
          <w:bCs/>
        </w:rPr>
        <w:t xml:space="preserve">1 -uno- </w:t>
      </w:r>
      <w:r w:rsidR="00A33CBB">
        <w:rPr>
          <w:rFonts w:ascii="Palatino Linotype" w:hAnsi="Palatino Linotype"/>
        </w:rPr>
        <w:t xml:space="preserve">se reformula en estricta observancia al principio de suplencia de la queja imperante en la materia. </w:t>
      </w:r>
    </w:p>
    <w:p w14:paraId="4868B06D" w14:textId="4D133EE4" w:rsidR="00DD098B" w:rsidRPr="00DD098B" w:rsidRDefault="00DD098B">
      <w:pPr>
        <w:pStyle w:val="Prrafodelista"/>
        <w:numPr>
          <w:ilvl w:val="0"/>
          <w:numId w:val="5"/>
        </w:numPr>
        <w:spacing w:before="240" w:line="360" w:lineRule="auto"/>
        <w:jc w:val="both"/>
        <w:rPr>
          <w:rFonts w:ascii="Palatino Linotype" w:hAnsi="Palatino Linotype"/>
        </w:rPr>
      </w:pPr>
      <w:r w:rsidRPr="00DD098B">
        <w:rPr>
          <w:rFonts w:ascii="Palatino Linotype" w:hAnsi="Palatino Linotype"/>
        </w:rPr>
        <w:t xml:space="preserve">Que cuando los particulares no identifican de forma precisa el documento requerido bastará con que se remita cualquiera que refleje la información requerida. Al respecto cobra relevancia el criterio emitido por el Órgano Garante Nacional con número </w:t>
      </w:r>
      <w:r w:rsidRPr="00DD098B">
        <w:rPr>
          <w:rFonts w:ascii="Palatino Linotype" w:hAnsi="Palatino Linotype"/>
          <w:b/>
          <w:bCs/>
        </w:rPr>
        <w:t xml:space="preserve">16/17 </w:t>
      </w:r>
      <w:r w:rsidRPr="00DD098B">
        <w:rPr>
          <w:rFonts w:ascii="Palatino Linotype" w:hAnsi="Palatino Linotype"/>
        </w:rPr>
        <w:t>cuyo rubro y texto disponen a la literalidad lo siguiente:</w:t>
      </w:r>
    </w:p>
    <w:p w14:paraId="73452C52" w14:textId="77777777" w:rsidR="00DD098B" w:rsidRPr="00AB5B4A" w:rsidRDefault="00DD098B" w:rsidP="00DD098B">
      <w:pPr>
        <w:pStyle w:val="Citas"/>
        <w:jc w:val="center"/>
        <w:rPr>
          <w:b/>
          <w:bCs/>
          <w:sz w:val="24"/>
          <w:szCs w:val="24"/>
        </w:rPr>
      </w:pPr>
      <w:r w:rsidRPr="00AB5B4A">
        <w:rPr>
          <w:b/>
          <w:bCs/>
          <w:sz w:val="24"/>
          <w:szCs w:val="24"/>
        </w:rPr>
        <w:t>“EXPRESIÓN DOCUMENTAL.</w:t>
      </w:r>
    </w:p>
    <w:p w14:paraId="3FC2471E" w14:textId="77777777" w:rsidR="00DD098B" w:rsidRPr="00AB5B4A" w:rsidRDefault="00DD098B" w:rsidP="00DD098B">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1B2F1128" w14:textId="77777777" w:rsidR="00DD098B" w:rsidRPr="00AB5B4A" w:rsidRDefault="00DD098B" w:rsidP="00DD098B">
      <w:pPr>
        <w:pStyle w:val="Citas"/>
        <w:rPr>
          <w:b/>
        </w:rPr>
      </w:pPr>
      <w:r w:rsidRPr="00AB5B4A">
        <w:rPr>
          <w:b/>
        </w:rPr>
        <w:t>Precedentes:</w:t>
      </w:r>
    </w:p>
    <w:p w14:paraId="77B1FB67" w14:textId="77777777" w:rsidR="00DD098B" w:rsidRPr="00AB5B4A" w:rsidRDefault="00DD098B">
      <w:pPr>
        <w:pStyle w:val="Citas"/>
        <w:numPr>
          <w:ilvl w:val="0"/>
          <w:numId w:val="6"/>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02069063" w14:textId="77777777" w:rsidR="00DD098B" w:rsidRPr="00AB5B4A" w:rsidRDefault="00DD098B">
      <w:pPr>
        <w:pStyle w:val="Citas"/>
        <w:numPr>
          <w:ilvl w:val="0"/>
          <w:numId w:val="6"/>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w:t>
      </w:r>
      <w:r w:rsidRPr="00AB5B4A">
        <w:lastRenderedPageBreak/>
        <w:t xml:space="preserve">Universidad Autónoma Agraria Antonio Narro. Comisionado Ponente Oscar Mauricio Guerra Ford. </w:t>
      </w:r>
    </w:p>
    <w:p w14:paraId="50DDE414" w14:textId="77777777" w:rsidR="00DD098B" w:rsidRPr="00AB5B4A" w:rsidRDefault="00DD098B">
      <w:pPr>
        <w:pStyle w:val="Citas"/>
        <w:numPr>
          <w:ilvl w:val="0"/>
          <w:numId w:val="6"/>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52B1B31C" w14:textId="143EFADB" w:rsidR="006F1BA4" w:rsidRDefault="006F1BA4">
      <w:pPr>
        <w:pStyle w:val="Prrafodelista"/>
        <w:numPr>
          <w:ilvl w:val="0"/>
          <w:numId w:val="4"/>
        </w:numPr>
        <w:spacing w:before="240" w:line="360" w:lineRule="auto"/>
        <w:jc w:val="both"/>
        <w:rPr>
          <w:rFonts w:ascii="Palatino Linotype" w:hAnsi="Palatino Linotype"/>
        </w:rPr>
      </w:pPr>
      <w:r>
        <w:rPr>
          <w:rFonts w:ascii="Palatino Linotype" w:hAnsi="Palatino Linotype"/>
        </w:rPr>
        <w:t xml:space="preserve">Que con relación al requerimiento </w:t>
      </w:r>
      <w:r>
        <w:rPr>
          <w:rFonts w:ascii="Palatino Linotype" w:hAnsi="Palatino Linotype"/>
          <w:b/>
          <w:bCs/>
        </w:rPr>
        <w:t xml:space="preserve">1 -uno- </w:t>
      </w:r>
      <w:r>
        <w:rPr>
          <w:rFonts w:ascii="Palatino Linotype" w:hAnsi="Palatino Linotype"/>
        </w:rPr>
        <w:t xml:space="preserve">el particular refiere </w:t>
      </w:r>
      <w:r>
        <w:rPr>
          <w:rFonts w:ascii="Palatino Linotype" w:hAnsi="Palatino Linotype"/>
          <w:i/>
          <w:iCs/>
        </w:rPr>
        <w:t xml:space="preserve">“de la primera quincena de noviembre de 2022”, </w:t>
      </w:r>
      <w:r>
        <w:rPr>
          <w:rFonts w:ascii="Palatino Linotype" w:hAnsi="Palatino Linotype"/>
        </w:rPr>
        <w:t xml:space="preserve">elemento temporal que debe de hacerse extensivo para efectos del requerimiento </w:t>
      </w:r>
      <w:r>
        <w:rPr>
          <w:rFonts w:ascii="Palatino Linotype" w:hAnsi="Palatino Linotype"/>
          <w:b/>
          <w:bCs/>
        </w:rPr>
        <w:t xml:space="preserve">2 -dos-. </w:t>
      </w:r>
    </w:p>
    <w:p w14:paraId="060351E0" w14:textId="71728DAA" w:rsidR="00DD098B" w:rsidRDefault="00A33CBB">
      <w:pPr>
        <w:pStyle w:val="Prrafodelista"/>
        <w:numPr>
          <w:ilvl w:val="0"/>
          <w:numId w:val="4"/>
        </w:numPr>
        <w:spacing w:before="240" w:line="360" w:lineRule="auto"/>
        <w:jc w:val="both"/>
        <w:rPr>
          <w:rFonts w:ascii="Palatino Linotype" w:hAnsi="Palatino Linotype"/>
        </w:rPr>
      </w:pPr>
      <w:r>
        <w:rPr>
          <w:rFonts w:ascii="Palatino Linotype" w:hAnsi="Palatino Linotype"/>
        </w:rPr>
        <w:t xml:space="preserve">Finalmente, con respecto </w:t>
      </w:r>
      <w:r w:rsidR="006F1BA4">
        <w:rPr>
          <w:rFonts w:ascii="Palatino Linotype" w:hAnsi="Palatino Linotype"/>
        </w:rPr>
        <w:t>al requerimiento</w:t>
      </w:r>
      <w:r>
        <w:rPr>
          <w:rFonts w:ascii="Palatino Linotype" w:hAnsi="Palatino Linotype"/>
        </w:rPr>
        <w:t xml:space="preserve"> </w:t>
      </w:r>
      <w:r>
        <w:rPr>
          <w:rFonts w:ascii="Palatino Linotype" w:hAnsi="Palatino Linotype"/>
          <w:b/>
          <w:bCs/>
        </w:rPr>
        <w:t xml:space="preserve">3 -tres- </w:t>
      </w:r>
      <w:r>
        <w:rPr>
          <w:rFonts w:ascii="Palatino Linotype" w:hAnsi="Palatino Linotype"/>
        </w:rPr>
        <w:t xml:space="preserve">no fue delimitado elemento temporal, debiendo de ser fijado a la fecha en que se ejerció el derecho de acceso a la información pública, es decir, al catorce de noviembre de dos mil veintidós. </w:t>
      </w:r>
    </w:p>
    <w:p w14:paraId="51B5E6FF" w14:textId="5BE7264B" w:rsidR="00DD098B" w:rsidRDefault="00DD098B" w:rsidP="00DD098B">
      <w:pPr>
        <w:spacing w:before="240" w:line="360" w:lineRule="auto"/>
        <w:jc w:val="both"/>
        <w:rPr>
          <w:rFonts w:ascii="Palatino Linotype" w:hAnsi="Palatino Linotype"/>
        </w:rPr>
      </w:pPr>
    </w:p>
    <w:p w14:paraId="50BC3667" w14:textId="76569225" w:rsidR="00293C29" w:rsidRPr="0051062B" w:rsidRDefault="00DD098B" w:rsidP="00293C29">
      <w:pPr>
        <w:spacing w:before="240" w:line="360" w:lineRule="auto"/>
        <w:jc w:val="both"/>
        <w:rPr>
          <w:rFonts w:ascii="Palatino Linotype" w:hAnsi="Palatino Linotype"/>
          <w:sz w:val="24"/>
          <w:szCs w:val="24"/>
        </w:rPr>
      </w:pPr>
      <w:r w:rsidRPr="00DD098B">
        <w:rPr>
          <w:rFonts w:ascii="Palatino Linotype" w:hAnsi="Palatino Linotype"/>
        </w:rPr>
        <w:t xml:space="preserve"> </w:t>
      </w:r>
      <w:r w:rsidR="00A33CBB">
        <w:rPr>
          <w:rFonts w:ascii="Palatino Linotype" w:hAnsi="Palatino Linotype"/>
          <w:sz w:val="24"/>
          <w:szCs w:val="24"/>
        </w:rPr>
        <w:t>Dichas precisiones</w:t>
      </w:r>
      <w:r w:rsidR="00421D09">
        <w:rPr>
          <w:rFonts w:ascii="Palatino Linotype" w:hAnsi="Palatino Linotype"/>
          <w:sz w:val="24"/>
          <w:szCs w:val="24"/>
        </w:rPr>
        <w:t xml:space="preserve">, </w:t>
      </w:r>
      <w:r w:rsidR="00293C29">
        <w:rPr>
          <w:rFonts w:ascii="Palatino Linotype" w:hAnsi="Palatino Linotype"/>
          <w:sz w:val="24"/>
          <w:szCs w:val="24"/>
        </w:rPr>
        <w:t xml:space="preserve">con fundamento </w:t>
      </w:r>
      <w:r w:rsidR="00293C29" w:rsidRPr="0051062B">
        <w:rPr>
          <w:rFonts w:ascii="Palatino Linotype" w:hAnsi="Palatino Linotype"/>
          <w:sz w:val="24"/>
          <w:szCs w:val="24"/>
        </w:rPr>
        <w:t xml:space="preserve">en los artículos 13 y 181 cuarto párrafo de la Ley en materia, los cuales a la letra rezan: </w:t>
      </w:r>
    </w:p>
    <w:p w14:paraId="5F80000F" w14:textId="77777777" w:rsidR="00293C29" w:rsidRPr="0051062B" w:rsidRDefault="00293C29" w:rsidP="00293C29">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4C8F15D7" w14:textId="77777777" w:rsidR="00293C29" w:rsidRPr="0051062B" w:rsidRDefault="00293C29" w:rsidP="00293C29">
      <w:pPr>
        <w:pStyle w:val="Citas"/>
        <w:rPr>
          <w:b/>
        </w:rPr>
      </w:pPr>
      <w:r w:rsidRPr="0051062B">
        <w:rPr>
          <w:b/>
        </w:rPr>
        <w:t xml:space="preserve">Artículo 181. … </w:t>
      </w:r>
    </w:p>
    <w:p w14:paraId="2845C381" w14:textId="77777777" w:rsidR="00293C29" w:rsidRDefault="00293C29" w:rsidP="00293C29">
      <w:pPr>
        <w:pStyle w:val="Citas"/>
        <w:rPr>
          <w:b/>
        </w:rPr>
      </w:pPr>
      <w:r w:rsidRPr="0051062B">
        <w:t xml:space="preserve">Durante el procedimiento deberá aplicarse la suplencia de la queja a favor del recurrente, sin cambiar los hechos expuestos, asegurándose de que las partes puedan </w:t>
      </w:r>
      <w:r w:rsidRPr="0051062B">
        <w:lastRenderedPageBreak/>
        <w:t xml:space="preserve">presentar, de manera oral o escrita, los argumentos que funden y motiven sus pretensiones.” </w:t>
      </w:r>
      <w:r w:rsidRPr="0051062B">
        <w:rPr>
          <w:b/>
        </w:rPr>
        <w:t>[Sic]</w:t>
      </w:r>
    </w:p>
    <w:p w14:paraId="354CCC56" w14:textId="55232C77" w:rsidR="00C8471E" w:rsidRDefault="00C8471E" w:rsidP="00C8471E">
      <w:pPr>
        <w:spacing w:before="240" w:line="360" w:lineRule="auto"/>
        <w:jc w:val="both"/>
        <w:rPr>
          <w:rFonts w:ascii="Palatino Linotype" w:hAnsi="Palatino Linotype"/>
        </w:rPr>
      </w:pPr>
    </w:p>
    <w:p w14:paraId="78D84081" w14:textId="4E6A379D" w:rsidR="00A33CBB" w:rsidRPr="00A33CBB" w:rsidRDefault="00636FD7" w:rsidP="00636FD7">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w:t>
      </w:r>
      <w:r w:rsidR="00A33CBB">
        <w:rPr>
          <w:rFonts w:ascii="Palatino Linotype" w:hAnsi="Palatino Linotype"/>
          <w:sz w:val="24"/>
          <w:szCs w:val="24"/>
        </w:rPr>
        <w:t xml:space="preserve">los requerimientos formulados por el ahora </w:t>
      </w:r>
      <w:r w:rsidR="00A33CBB">
        <w:rPr>
          <w:rFonts w:ascii="Palatino Linotype" w:hAnsi="Palatino Linotype"/>
          <w:b/>
          <w:bCs/>
          <w:sz w:val="24"/>
          <w:szCs w:val="24"/>
        </w:rPr>
        <w:t xml:space="preserve">Recurrente, </w:t>
      </w:r>
      <w:r w:rsidR="00A33CBB">
        <w:rPr>
          <w:rFonts w:ascii="Palatino Linotype" w:hAnsi="Palatino Linotype"/>
          <w:sz w:val="24"/>
          <w:szCs w:val="24"/>
        </w:rPr>
        <w:t xml:space="preserve">de manera objetiva se precisa que versa en conocer la siguiente información: </w:t>
      </w:r>
    </w:p>
    <w:p w14:paraId="2737DF82" w14:textId="58F62ED6" w:rsidR="00EF078C" w:rsidRDefault="00A33CBB">
      <w:pPr>
        <w:pStyle w:val="Prrafodelista"/>
        <w:numPr>
          <w:ilvl w:val="0"/>
          <w:numId w:val="1"/>
        </w:numPr>
        <w:spacing w:before="240" w:line="360" w:lineRule="auto"/>
        <w:jc w:val="both"/>
        <w:rPr>
          <w:rFonts w:ascii="Palatino Linotype" w:hAnsi="Palatino Linotype"/>
        </w:rPr>
      </w:pPr>
      <w:r>
        <w:rPr>
          <w:rFonts w:ascii="Palatino Linotype" w:hAnsi="Palatino Linotype"/>
        </w:rPr>
        <w:t>El o los documentos donde conste l</w:t>
      </w:r>
      <w:r w:rsidR="00EF078C">
        <w:rPr>
          <w:rFonts w:ascii="Palatino Linotype" w:hAnsi="Palatino Linotype"/>
        </w:rPr>
        <w:t xml:space="preserve">a </w:t>
      </w:r>
      <w:r>
        <w:rPr>
          <w:rFonts w:ascii="Palatino Linotype" w:hAnsi="Palatino Linotype"/>
        </w:rPr>
        <w:t xml:space="preserve">justificación para incrementar </w:t>
      </w:r>
      <w:r w:rsidR="00EF078C">
        <w:rPr>
          <w:rFonts w:ascii="Palatino Linotype" w:hAnsi="Palatino Linotype"/>
        </w:rPr>
        <w:t xml:space="preserve">el concepto de las deducciones 5540 “cuotas de servicios de salud”, 5541 “cuotas del sistema solidario de reparto” y 5542 “cuotas del sistema de capitalización individual”, durante la primera quincena de noviembre de dos mil veintidós. </w:t>
      </w:r>
    </w:p>
    <w:p w14:paraId="0C0933F4" w14:textId="53250CEE" w:rsidR="006F1BA4" w:rsidRDefault="00EF078C">
      <w:pPr>
        <w:pStyle w:val="Prrafodelista"/>
        <w:numPr>
          <w:ilvl w:val="0"/>
          <w:numId w:val="1"/>
        </w:numPr>
        <w:spacing w:before="240" w:line="360" w:lineRule="auto"/>
        <w:jc w:val="both"/>
        <w:rPr>
          <w:rFonts w:ascii="Palatino Linotype" w:hAnsi="Palatino Linotype"/>
        </w:rPr>
      </w:pPr>
      <w:r>
        <w:rPr>
          <w:rFonts w:ascii="Palatino Linotype" w:hAnsi="Palatino Linotype"/>
        </w:rPr>
        <w:t xml:space="preserve">El o los documentos donde el sustento jurídico para incrementar </w:t>
      </w:r>
      <w:r w:rsidR="006F1BA4">
        <w:rPr>
          <w:rFonts w:ascii="Palatino Linotype" w:hAnsi="Palatino Linotype"/>
        </w:rPr>
        <w:t xml:space="preserve">el concepto de las deducciones 5540 “cuotas de servicios de salud”, 5541 “cuotas del sistema solidario de reparto” y 5542 “cuotas del sistema de capitalización individual” durante la primera quincena de noviembre de dos mil veintidós. </w:t>
      </w:r>
    </w:p>
    <w:p w14:paraId="6146273D" w14:textId="065937A0" w:rsidR="00EF078C" w:rsidRDefault="00EF078C">
      <w:pPr>
        <w:pStyle w:val="Prrafodelista"/>
        <w:numPr>
          <w:ilvl w:val="0"/>
          <w:numId w:val="1"/>
        </w:numPr>
        <w:spacing w:before="240" w:line="360" w:lineRule="auto"/>
        <w:jc w:val="both"/>
        <w:rPr>
          <w:rFonts w:ascii="Palatino Linotype" w:hAnsi="Palatino Linotype"/>
        </w:rPr>
      </w:pPr>
      <w:r>
        <w:rPr>
          <w:rFonts w:ascii="Palatino Linotype" w:hAnsi="Palatino Linotype"/>
        </w:rPr>
        <w:t xml:space="preserve">El o los documentos donde conste el procedimiento para solicitar la devolución de cantidades excedidas respecto de las deducciones 5540 “cuotas de servicios de salud”, 5541 “cuotas del sistema solidario de reparto” y 5542 “cuotas del sistema de capitalización individual”, al catorce de noviembre de dos mil veintidós. </w:t>
      </w:r>
    </w:p>
    <w:p w14:paraId="36090F67" w14:textId="49891130" w:rsidR="00A33CBB" w:rsidRDefault="00A33CBB" w:rsidP="00A33CBB">
      <w:pPr>
        <w:spacing w:before="240" w:line="360" w:lineRule="auto"/>
        <w:jc w:val="both"/>
        <w:rPr>
          <w:rFonts w:ascii="Palatino Linotype" w:hAnsi="Palatino Linotype"/>
        </w:rPr>
      </w:pPr>
    </w:p>
    <w:p w14:paraId="46435527" w14:textId="77777777" w:rsidR="00EB34ED" w:rsidRDefault="00EB34ED" w:rsidP="00EB34ED">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lastRenderedPageBreak/>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2026A2E5" w14:textId="77777777" w:rsidR="00EB34ED" w:rsidRPr="009535E0" w:rsidRDefault="00EB34ED" w:rsidP="00EB34ED">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0543E9FC" w14:textId="77777777" w:rsidR="00EB34ED" w:rsidRPr="009535E0" w:rsidRDefault="00EB34ED" w:rsidP="00EB34ED">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17A015A1" w14:textId="77777777" w:rsidR="00EB34ED" w:rsidRPr="009535E0" w:rsidRDefault="00EB34ED" w:rsidP="00EB34ED">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712EE05" w14:textId="66EA6196" w:rsidR="00EB34ED" w:rsidRPr="00A94BBE" w:rsidRDefault="00EB34ED" w:rsidP="00EB34ED">
      <w:pPr>
        <w:pStyle w:val="INFOEM"/>
        <w:rPr>
          <w:b/>
        </w:rPr>
      </w:pPr>
      <w: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 </w:t>
      </w:r>
      <w:r>
        <w:rPr>
          <w:b/>
        </w:rPr>
        <w:t xml:space="preserve">[Sic] </w:t>
      </w:r>
    </w:p>
    <w:p w14:paraId="76F8DAB9" w14:textId="4F2A6AD1" w:rsidR="00EB34ED" w:rsidRDefault="00EB34ED" w:rsidP="00513F18">
      <w:pPr>
        <w:spacing w:line="360" w:lineRule="auto"/>
        <w:jc w:val="both"/>
        <w:rPr>
          <w:rFonts w:ascii="Palatino Linotype" w:hAnsi="Palatino Linotype" w:cs="Arial"/>
          <w:sz w:val="24"/>
          <w:szCs w:val="24"/>
        </w:rPr>
      </w:pPr>
    </w:p>
    <w:p w14:paraId="0C2E0D86" w14:textId="3DE6449D" w:rsidR="00EB34ED" w:rsidRDefault="006F1BA4" w:rsidP="00513F18">
      <w:pPr>
        <w:spacing w:line="360" w:lineRule="auto"/>
        <w:jc w:val="both"/>
        <w:rPr>
          <w:rFonts w:ascii="Palatino Linotype" w:hAnsi="Palatino Linotype" w:cs="Arial"/>
          <w:sz w:val="24"/>
          <w:szCs w:val="24"/>
        </w:rPr>
      </w:pPr>
      <w:r>
        <w:rPr>
          <w:rFonts w:ascii="Palatino Linotype" w:hAnsi="Palatino Linotype" w:cs="Arial"/>
          <w:noProof/>
          <w:sz w:val="24"/>
          <w:szCs w:val="24"/>
        </w:rPr>
        <w:t>Sirven de sustento las siguientes imágenes ilustrativas:</w:t>
      </w:r>
    </w:p>
    <w:p w14:paraId="16E57EC5" w14:textId="3251764F" w:rsidR="00EB34ED" w:rsidRDefault="006F1BA4" w:rsidP="00513F18">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18656" behindDoc="0" locked="0" layoutInCell="1" allowOverlap="1" wp14:anchorId="7A3481A6" wp14:editId="795253AC">
                <wp:simplePos x="0" y="0"/>
                <wp:positionH relativeFrom="column">
                  <wp:posOffset>-100422</wp:posOffset>
                </wp:positionH>
                <wp:positionV relativeFrom="paragraph">
                  <wp:posOffset>49438</wp:posOffset>
                </wp:positionV>
                <wp:extent cx="5845629" cy="947057"/>
                <wp:effectExtent l="0" t="0" r="22225" b="24765"/>
                <wp:wrapNone/>
                <wp:docPr id="3" name="Straight Connector 3"/>
                <wp:cNvGraphicFramePr/>
                <a:graphic xmlns:a="http://schemas.openxmlformats.org/drawingml/2006/main">
                  <a:graphicData uri="http://schemas.microsoft.com/office/word/2010/wordprocessingShape">
                    <wps:wsp>
                      <wps:cNvCnPr/>
                      <wps:spPr>
                        <a:xfrm>
                          <a:off x="0" y="0"/>
                          <a:ext cx="5845629" cy="9470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E3545E" id="Straight Connector 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7.9pt,3.9pt" to="452.4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" strokecolor="#5b9bd5 [3204]" strokeweight=".5pt">
                <v:stroke joinstyle="miter"/>
              </v:line>
            </w:pict>
          </mc:Fallback>
        </mc:AlternateContent>
      </w:r>
    </w:p>
    <w:p w14:paraId="27284525" w14:textId="77777777" w:rsidR="00EB34ED" w:rsidRDefault="00EB34ED" w:rsidP="00513F18">
      <w:pPr>
        <w:spacing w:line="360" w:lineRule="auto"/>
        <w:jc w:val="both"/>
        <w:rPr>
          <w:rFonts w:ascii="Palatino Linotype" w:hAnsi="Palatino Linotype" w:cs="Arial"/>
          <w:sz w:val="24"/>
          <w:szCs w:val="24"/>
        </w:rPr>
      </w:pPr>
    </w:p>
    <w:p w14:paraId="1E8D4E44" w14:textId="5364CDD8" w:rsidR="00EB34ED" w:rsidRDefault="006F1BA4" w:rsidP="00513F18">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19680" behindDoc="0" locked="0" layoutInCell="1" allowOverlap="1" wp14:anchorId="7588CEDD" wp14:editId="01F39550">
            <wp:simplePos x="0" y="0"/>
            <wp:positionH relativeFrom="column">
              <wp:posOffset>20955</wp:posOffset>
            </wp:positionH>
            <wp:positionV relativeFrom="paragraph">
              <wp:posOffset>3910965</wp:posOffset>
            </wp:positionV>
            <wp:extent cx="5753100" cy="3562350"/>
            <wp:effectExtent l="19050" t="19050" r="19050" b="19050"/>
            <wp:wrapThrough wrapText="bothSides">
              <wp:wrapPolygon edited="0">
                <wp:start x="-72" y="-116"/>
                <wp:lineTo x="-72" y="21600"/>
                <wp:lineTo x="21600" y="21600"/>
                <wp:lineTo x="21600" y="-116"/>
                <wp:lineTo x="-72" y="-116"/>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14558" behindDoc="0" locked="0" layoutInCell="1" allowOverlap="1" wp14:anchorId="6BCE6E6C" wp14:editId="527DCFED">
            <wp:simplePos x="0" y="0"/>
            <wp:positionH relativeFrom="column">
              <wp:posOffset>20955</wp:posOffset>
            </wp:positionH>
            <wp:positionV relativeFrom="paragraph">
              <wp:posOffset>19050</wp:posOffset>
            </wp:positionV>
            <wp:extent cx="5716270" cy="3562350"/>
            <wp:effectExtent l="19050" t="19050" r="17780" b="19050"/>
            <wp:wrapThrough wrapText="bothSides">
              <wp:wrapPolygon edited="0">
                <wp:start x="-72" y="-116"/>
                <wp:lineTo x="-72" y="21600"/>
                <wp:lineTo x="21595" y="21600"/>
                <wp:lineTo x="21595" y="-116"/>
                <wp:lineTo x="-72" y="-116"/>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6270" cy="3562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36F4459" w14:textId="434E4538" w:rsidR="006F1BA4" w:rsidRDefault="00513F18" w:rsidP="00513F18">
      <w:pPr>
        <w:spacing w:line="360" w:lineRule="auto"/>
        <w:jc w:val="both"/>
        <w:rPr>
          <w:rFonts w:ascii="Palatino Linotype" w:hAnsi="Palatino Linotype" w:cs="Arial"/>
          <w:sz w:val="24"/>
          <w:szCs w:val="24"/>
        </w:rPr>
      </w:pPr>
      <w:r w:rsidRPr="008D595F">
        <w:rPr>
          <w:rFonts w:ascii="Palatino Linotype" w:hAnsi="Palatino Linotype" w:cs="Arial"/>
          <w:sz w:val="24"/>
          <w:szCs w:val="24"/>
        </w:rPr>
        <w:lastRenderedPageBreak/>
        <w:t xml:space="preserve">De lo expuesto con anterioridad, se desprende que </w:t>
      </w:r>
      <w:r w:rsidRPr="008D595F">
        <w:rPr>
          <w:rFonts w:ascii="Palatino Linotype" w:hAnsi="Palatino Linotype" w:cs="Arial"/>
          <w:b/>
          <w:sz w:val="24"/>
          <w:szCs w:val="24"/>
        </w:rPr>
        <w:t xml:space="preserve">El Sujeto Obligado </w:t>
      </w:r>
      <w:r w:rsidRPr="008D595F">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w:t>
      </w:r>
      <w:r w:rsidR="006F1BA4">
        <w:rPr>
          <w:rFonts w:ascii="Palatino Linotype" w:hAnsi="Palatino Linotype" w:cs="Arial"/>
          <w:sz w:val="24"/>
          <w:szCs w:val="24"/>
        </w:rPr>
        <w:t xml:space="preserve">la Subdirección de Administración, así como la Dirección General de Personal. </w:t>
      </w:r>
    </w:p>
    <w:p w14:paraId="2EB4633D" w14:textId="0507A88A" w:rsidR="00E63CA7" w:rsidRPr="001D59CF" w:rsidRDefault="00EB34ED" w:rsidP="00513F18">
      <w:pPr>
        <w:spacing w:line="360" w:lineRule="auto"/>
        <w:jc w:val="both"/>
        <w:rPr>
          <w:rFonts w:ascii="Palatino Linotype" w:hAnsi="Palatino Linotype"/>
          <w:sz w:val="24"/>
          <w:szCs w:val="24"/>
        </w:rPr>
      </w:pPr>
      <w:r w:rsidRPr="001D59CF">
        <w:rPr>
          <w:rFonts w:ascii="Palatino Linotype" w:hAnsi="Palatino Linotype" w:cs="Arial"/>
          <w:sz w:val="24"/>
          <w:szCs w:val="24"/>
        </w:rPr>
        <w:t xml:space="preserve">En este sentido, </w:t>
      </w:r>
      <w:r w:rsidR="001C4DDA" w:rsidRPr="001D59CF">
        <w:rPr>
          <w:rFonts w:ascii="Palatino Linotype" w:hAnsi="Palatino Linotype" w:cs="Arial"/>
          <w:sz w:val="24"/>
          <w:szCs w:val="24"/>
        </w:rPr>
        <w:t xml:space="preserve">a efecto de ilustrar las esferas competenciales de las unidades administrativas en cita, </w:t>
      </w:r>
      <w:r w:rsidRPr="001D59CF">
        <w:rPr>
          <w:rFonts w:ascii="Palatino Linotype" w:hAnsi="Palatino Linotype" w:cs="Arial"/>
          <w:sz w:val="24"/>
          <w:szCs w:val="24"/>
        </w:rPr>
        <w:t xml:space="preserve">resulta oportuno traer a colación </w:t>
      </w:r>
      <w:r w:rsidR="001C4DDA" w:rsidRPr="001D59CF">
        <w:rPr>
          <w:rFonts w:ascii="Palatino Linotype" w:hAnsi="Palatino Linotype" w:cs="Arial"/>
          <w:sz w:val="24"/>
          <w:szCs w:val="24"/>
        </w:rPr>
        <w:t xml:space="preserve">las numerales 23 y 24 fracciones XVI, XXXIII y XXXIV de la Ley Orgánica de la Administración Pública del Estado de México, así como los apartados </w:t>
      </w:r>
      <w:r w:rsidR="001C4DDA" w:rsidRPr="001D59CF">
        <w:rPr>
          <w:rFonts w:ascii="Palatino Linotype" w:hAnsi="Palatino Linotype"/>
          <w:b/>
          <w:bCs/>
          <w:sz w:val="24"/>
          <w:szCs w:val="24"/>
        </w:rPr>
        <w:t>20706000000000L</w:t>
      </w:r>
      <w:r w:rsidR="001C4DDA" w:rsidRPr="001D59CF">
        <w:rPr>
          <w:sz w:val="24"/>
          <w:szCs w:val="24"/>
        </w:rPr>
        <w:t xml:space="preserve"> “</w:t>
      </w:r>
      <w:r w:rsidR="001C4DDA" w:rsidRPr="001D59CF">
        <w:rPr>
          <w:rFonts w:ascii="Palatino Linotype" w:hAnsi="Palatino Linotype"/>
          <w:sz w:val="24"/>
          <w:szCs w:val="24"/>
        </w:rPr>
        <w:t xml:space="preserve">Subsecretaría de Administración” y </w:t>
      </w:r>
      <w:r w:rsidR="001C4DDA" w:rsidRPr="001D59CF">
        <w:rPr>
          <w:rFonts w:ascii="Palatino Linotype" w:hAnsi="Palatino Linotype"/>
          <w:b/>
          <w:bCs/>
          <w:sz w:val="24"/>
          <w:szCs w:val="24"/>
        </w:rPr>
        <w:t xml:space="preserve">20706004000000L </w:t>
      </w:r>
      <w:r w:rsidR="001C4DDA" w:rsidRPr="001D59CF">
        <w:rPr>
          <w:rFonts w:ascii="Palatino Linotype" w:hAnsi="Palatino Linotype"/>
          <w:sz w:val="24"/>
          <w:szCs w:val="24"/>
        </w:rPr>
        <w:t>“Dirección General de Personal” del Manual General de Organización de la Secretaría de Finanzas</w:t>
      </w:r>
      <w:r w:rsidR="00E63CA7" w:rsidRPr="001D59CF">
        <w:rPr>
          <w:rFonts w:ascii="Palatino Linotype" w:hAnsi="Palatino Linotype"/>
          <w:sz w:val="24"/>
          <w:szCs w:val="24"/>
        </w:rPr>
        <w:t>; así como los numerales 31 y 32 de la Ley de Seguridad Social para los Servidores Públicos del Estado de México y Municipios, porciones normativas que disponen a la literalidad lo siguiente:</w:t>
      </w:r>
    </w:p>
    <w:p w14:paraId="38DA9D72" w14:textId="30175B90" w:rsidR="00293FCF" w:rsidRPr="004D4274" w:rsidRDefault="004D4274" w:rsidP="004D4274">
      <w:pPr>
        <w:pStyle w:val="Citas"/>
        <w:jc w:val="center"/>
        <w:rPr>
          <w:b/>
          <w:bCs/>
        </w:rPr>
      </w:pPr>
      <w:r w:rsidRPr="004D4274">
        <w:rPr>
          <w:b/>
          <w:bCs/>
        </w:rPr>
        <w:t>LEY ORGÁNICA DE LA ADMINISTRACIÓN PÚBLICA DEL ESTADO DE MÉXICO</w:t>
      </w:r>
    </w:p>
    <w:p w14:paraId="3DE2CD24" w14:textId="145FC151" w:rsidR="00E258B7" w:rsidRDefault="001C4DDA" w:rsidP="004D4274">
      <w:pPr>
        <w:pStyle w:val="Citas"/>
      </w:pPr>
      <w:r>
        <w:t>“</w:t>
      </w:r>
      <w:r w:rsidR="00E258B7">
        <w:t>Artículo 23.- La Secretaría de Finanzas, es la encargada de la planeación, programación, presupuestación y evaluación de las actividades del Poder Ejecutivo, de la administración financiera y tributaria de la hacienda pública del Estado y de prestar el apoyo administrativo que requieran las dependencias del Poder Ejecutivo del Estado.</w:t>
      </w:r>
    </w:p>
    <w:p w14:paraId="002F5232" w14:textId="7E9FC6AD" w:rsidR="00E258B7" w:rsidRDefault="00E258B7" w:rsidP="004D4274">
      <w:pPr>
        <w:pStyle w:val="Citas"/>
      </w:pPr>
      <w:r>
        <w:t>Artículo 24.- A la Secretaría de Finanzas, corresponde el despacho de los siguientes asuntos:</w:t>
      </w:r>
    </w:p>
    <w:p w14:paraId="5295DF9F" w14:textId="74F72499" w:rsidR="00E258B7" w:rsidRPr="00E258B7" w:rsidRDefault="00E258B7" w:rsidP="004D4274">
      <w:pPr>
        <w:pStyle w:val="Citas"/>
        <w:rPr>
          <w:b/>
          <w:bCs/>
          <w:u w:val="single"/>
        </w:rPr>
      </w:pPr>
      <w:r w:rsidRPr="00E258B7">
        <w:rPr>
          <w:b/>
          <w:bCs/>
          <w:u w:val="single"/>
        </w:rPr>
        <w:lastRenderedPageBreak/>
        <w:t>XVI. Proporcionar asesoría, en materia de interpretación y aplicación de las leyes tributarias del Estado, solicitadas por los particulares y las autoridades federales, estatales y municipales.</w:t>
      </w:r>
    </w:p>
    <w:p w14:paraId="484406A8" w14:textId="0429B1FB" w:rsidR="00E258B7" w:rsidRDefault="00E258B7" w:rsidP="004D4274">
      <w:pPr>
        <w:pStyle w:val="Citas"/>
        <w:rPr>
          <w:b/>
          <w:bCs/>
          <w:u w:val="single"/>
        </w:rPr>
      </w:pPr>
      <w:r w:rsidRPr="00E258B7">
        <w:rPr>
          <w:b/>
          <w:bCs/>
          <w:u w:val="single"/>
        </w:rPr>
        <w:t>Difundir permanentemente y publicar anualmente las disposiciones fiscales, estatales y municipales</w:t>
      </w:r>
    </w:p>
    <w:p w14:paraId="4E9DA6CD" w14:textId="53C429A8" w:rsidR="004D4274" w:rsidRPr="001C4DDA" w:rsidRDefault="004D4274" w:rsidP="004D4274">
      <w:pPr>
        <w:pStyle w:val="Citas"/>
      </w:pPr>
      <w:r w:rsidRPr="001C4DDA">
        <w:t>(…</w:t>
      </w:r>
      <w:r w:rsidR="001C4DDA" w:rsidRPr="001C4DDA">
        <w:t>)</w:t>
      </w:r>
    </w:p>
    <w:p w14:paraId="55311C7F" w14:textId="07AE819D" w:rsidR="004D4274" w:rsidRDefault="004D4274" w:rsidP="004D4274">
      <w:pPr>
        <w:pStyle w:val="Citas"/>
        <w:rPr>
          <w:b/>
          <w:bCs/>
          <w:u w:val="single"/>
        </w:rPr>
      </w:pPr>
      <w:r w:rsidRPr="004D4274">
        <w:rPr>
          <w:b/>
          <w:bCs/>
          <w:u w:val="single"/>
        </w:rPr>
        <w:t>XXXIII. Vigilar el cumplimiento de las disposiciones legales que rijan las relaciones entre el Gobierno del Estado y los servidores públicos;</w:t>
      </w:r>
    </w:p>
    <w:p w14:paraId="4CAF2BF7" w14:textId="6ADC7402" w:rsidR="004D4274" w:rsidRDefault="004D4274" w:rsidP="004D4274">
      <w:pPr>
        <w:pStyle w:val="Citas"/>
      </w:pPr>
      <w:r>
        <w:t>XXXIV. Seleccionar, contratar, capacitar y controlar al personal del Poder Ejecutivo del Estado;</w:t>
      </w:r>
    </w:p>
    <w:p w14:paraId="265B6FA8" w14:textId="26D158DC" w:rsidR="004D4274" w:rsidRPr="001C4DDA" w:rsidRDefault="004D4274" w:rsidP="004D4274">
      <w:pPr>
        <w:pStyle w:val="Citas"/>
        <w:rPr>
          <w:b/>
          <w:bCs/>
          <w:u w:val="single"/>
        </w:rPr>
      </w:pPr>
      <w:r>
        <w:t>(…)</w:t>
      </w:r>
      <w:r w:rsidR="001C4DDA">
        <w:t xml:space="preserve">” </w:t>
      </w:r>
      <w:r w:rsidR="001C4DDA">
        <w:rPr>
          <w:b/>
          <w:bCs/>
        </w:rPr>
        <w:t>(Sic)</w:t>
      </w:r>
    </w:p>
    <w:p w14:paraId="1EA7A41E" w14:textId="204FDE81" w:rsidR="00E258B7" w:rsidRDefault="00E258B7" w:rsidP="00513F18">
      <w:pPr>
        <w:spacing w:line="360" w:lineRule="auto"/>
        <w:jc w:val="both"/>
        <w:rPr>
          <w:rFonts w:ascii="Palatino Linotype" w:hAnsi="Palatino Linotype" w:cs="Arial"/>
          <w:sz w:val="24"/>
          <w:szCs w:val="24"/>
        </w:rPr>
      </w:pPr>
    </w:p>
    <w:p w14:paraId="3317B8E8" w14:textId="357F5E79" w:rsidR="00E258B7" w:rsidRPr="006F7A8B" w:rsidRDefault="006F7A8B" w:rsidP="006F7A8B">
      <w:pPr>
        <w:pStyle w:val="Citas"/>
        <w:jc w:val="center"/>
        <w:rPr>
          <w:b/>
          <w:bCs/>
          <w:sz w:val="24"/>
          <w:szCs w:val="24"/>
        </w:rPr>
      </w:pPr>
      <w:r w:rsidRPr="006F7A8B">
        <w:rPr>
          <w:b/>
          <w:bCs/>
        </w:rPr>
        <w:t>MANUAL GENERAL DE ORGANIZACIÓN DE LA SECRETARÍA DE FINANZAS</w:t>
      </w:r>
    </w:p>
    <w:p w14:paraId="01F949AF" w14:textId="23B1889D" w:rsidR="006F7A8B" w:rsidRPr="006F7A8B" w:rsidRDefault="006F7A8B" w:rsidP="006F7A8B">
      <w:pPr>
        <w:pStyle w:val="Citas"/>
        <w:rPr>
          <w:b/>
          <w:bCs/>
        </w:rPr>
      </w:pPr>
      <w:r>
        <w:rPr>
          <w:b/>
          <w:bCs/>
        </w:rPr>
        <w:t>“</w:t>
      </w:r>
      <w:r w:rsidR="004D4274" w:rsidRPr="006F7A8B">
        <w:rPr>
          <w:b/>
          <w:bCs/>
        </w:rPr>
        <w:t xml:space="preserve">20706000000000L SUBSECRETARÍA DE ADMINISTRACIÓN </w:t>
      </w:r>
    </w:p>
    <w:p w14:paraId="5081318E" w14:textId="77777777" w:rsidR="006F7A8B" w:rsidRDefault="004D4274" w:rsidP="006F7A8B">
      <w:pPr>
        <w:pStyle w:val="Citas"/>
      </w:pPr>
      <w:r>
        <w:t xml:space="preserve">OBJETIVO: Planear, dirigir y evaluar los programas y servicios de administración de personal, adquisiciones y control patrimonial, desarrollo organizacional e innovación y tecnologías de información, en cumplimiento de las atribuciones que en estas materias tiene la Secretaría de Finanzas. </w:t>
      </w:r>
    </w:p>
    <w:p w14:paraId="2C67A2FD" w14:textId="538C82C2" w:rsidR="004D4274" w:rsidRDefault="004D4274" w:rsidP="006F7A8B">
      <w:pPr>
        <w:pStyle w:val="Citas"/>
      </w:pPr>
      <w:r>
        <w:t>FUNCIONES:</w:t>
      </w:r>
    </w:p>
    <w:p w14:paraId="69CEBBBC" w14:textId="49C99F76" w:rsidR="004D4274" w:rsidRDefault="001C4DDA" w:rsidP="006F7A8B">
      <w:pPr>
        <w:pStyle w:val="Citas"/>
      </w:pPr>
      <w:r>
        <w:t>(…)</w:t>
      </w:r>
    </w:p>
    <w:p w14:paraId="56F75C6A" w14:textId="01910D20" w:rsidR="001C4DDA" w:rsidRDefault="001C4DDA" w:rsidP="006F7A8B">
      <w:pPr>
        <w:pStyle w:val="Citas"/>
      </w:pPr>
      <w:r>
        <w:lastRenderedPageBreak/>
        <w:t>Autorizar la creación de plazas, promociones, ocupación de plazas vacantes, contratos por honorarios, lista de raya y eventuales y demás movimientos de personal de las dependencias y organismos auxiliares, en términos de las disposiciones aplicables y conforme a los lineamientos que establezca la o el titular de la Secretaría</w:t>
      </w:r>
    </w:p>
    <w:p w14:paraId="34B1261E" w14:textId="7E95900F" w:rsidR="001C4DDA" w:rsidRDefault="001C4DDA" w:rsidP="006F7A8B">
      <w:pPr>
        <w:pStyle w:val="Citas"/>
      </w:pPr>
      <w:r>
        <w:t>(…)</w:t>
      </w:r>
    </w:p>
    <w:p w14:paraId="4AC47EDE" w14:textId="0103651E" w:rsidR="001C4DDA" w:rsidRPr="006F7A8B" w:rsidRDefault="001C4DDA" w:rsidP="006F7A8B">
      <w:pPr>
        <w:pStyle w:val="Citas"/>
        <w:rPr>
          <w:b/>
          <w:bCs/>
          <w:u w:val="single"/>
        </w:rPr>
      </w:pPr>
      <w:r w:rsidRPr="006F7A8B">
        <w:rPr>
          <w:b/>
          <w:bCs/>
          <w:u w:val="single"/>
        </w:rPr>
        <w:t>Evaluar los programas de administración de personal, adquisiciones y control patrimonial, desarrollo organizacional e innovación y tecnologías de información e informar de sus resultados a la o al titular de la Secretaría de Finanzas.</w:t>
      </w:r>
    </w:p>
    <w:p w14:paraId="7A4AE04D" w14:textId="5F4DFCC4" w:rsidR="001C4DDA" w:rsidRDefault="001C4DDA" w:rsidP="006F7A8B">
      <w:pPr>
        <w:pStyle w:val="Citas"/>
      </w:pPr>
      <w:r>
        <w:t>(…)</w:t>
      </w:r>
    </w:p>
    <w:p w14:paraId="30A8F35F" w14:textId="77777777" w:rsidR="006F7A8B" w:rsidRPr="006F7A8B" w:rsidRDefault="001C4DDA" w:rsidP="006F7A8B">
      <w:pPr>
        <w:pStyle w:val="Citas"/>
        <w:rPr>
          <w:b/>
          <w:bCs/>
        </w:rPr>
      </w:pPr>
      <w:r w:rsidRPr="006F7A8B">
        <w:rPr>
          <w:b/>
          <w:bCs/>
        </w:rPr>
        <w:t xml:space="preserve">20706004000000L DIRECCIÓN GENERAL DE PERSONAL </w:t>
      </w:r>
    </w:p>
    <w:p w14:paraId="31918D6D" w14:textId="77777777" w:rsidR="006F7A8B" w:rsidRDefault="001C4DDA" w:rsidP="006F7A8B">
      <w:pPr>
        <w:pStyle w:val="Citas"/>
      </w:pPr>
      <w:r>
        <w:t xml:space="preserve">OBJETIVO: Coordinar y normar las actividades orientadas al cumplimiento de las metas establecidas en materia de desarrollo y administración de personal, a través de la operación eficaz del Sistema de Nómina del Sector Central del Poder Ejecutivo. </w:t>
      </w:r>
    </w:p>
    <w:p w14:paraId="4DE6D3F4" w14:textId="5C8D3E08" w:rsidR="001C4DDA" w:rsidRDefault="001C4DDA" w:rsidP="006F7A8B">
      <w:pPr>
        <w:pStyle w:val="Citas"/>
      </w:pPr>
      <w:r>
        <w:t>FUNCIONES:</w:t>
      </w:r>
    </w:p>
    <w:p w14:paraId="2787FBD7" w14:textId="4FA3C7CE" w:rsidR="001C4DDA" w:rsidRDefault="001C4DDA" w:rsidP="006F7A8B">
      <w:pPr>
        <w:pStyle w:val="Citas"/>
      </w:pPr>
      <w:r>
        <w:t>(…)</w:t>
      </w:r>
    </w:p>
    <w:p w14:paraId="795468BE" w14:textId="59350EFD" w:rsidR="001C4DDA" w:rsidRPr="006F7A8B" w:rsidRDefault="001C4DDA" w:rsidP="006F7A8B">
      <w:pPr>
        <w:pStyle w:val="Citas"/>
        <w:rPr>
          <w:b/>
          <w:bCs/>
          <w:u w:val="single"/>
        </w:rPr>
      </w:pPr>
      <w:r w:rsidRPr="006F7A8B">
        <w:rPr>
          <w:b/>
          <w:bCs/>
          <w:u w:val="single"/>
        </w:rPr>
        <w:t>Proponer las líneas de acción que orienten la política salarial del Ejecutivo Estatal.</w:t>
      </w:r>
    </w:p>
    <w:p w14:paraId="638CE1FD" w14:textId="5076EC3B" w:rsidR="001C4DDA" w:rsidRDefault="001C4DDA" w:rsidP="006F7A8B">
      <w:pPr>
        <w:pStyle w:val="Citas"/>
      </w:pPr>
      <w:r>
        <w:t>(…)</w:t>
      </w:r>
    </w:p>
    <w:p w14:paraId="7D518027" w14:textId="7133EE45" w:rsidR="001C4DDA" w:rsidRPr="006F7A8B" w:rsidRDefault="001C4DDA" w:rsidP="006F7A8B">
      <w:pPr>
        <w:pStyle w:val="Citas"/>
        <w:rPr>
          <w:b/>
          <w:bCs/>
          <w:u w:val="single"/>
        </w:rPr>
      </w:pPr>
      <w:r w:rsidRPr="006F7A8B">
        <w:rPr>
          <w:b/>
          <w:bCs/>
          <w:u w:val="single"/>
        </w:rPr>
        <w:lastRenderedPageBreak/>
        <w:t xml:space="preserve">Dar cumplimiento a las disposiciones que normen la remuneración de las y los servidores públicos, de conformidad con </w:t>
      </w:r>
      <w:proofErr w:type="gramStart"/>
      <w:r w:rsidRPr="006F7A8B">
        <w:rPr>
          <w:b/>
          <w:bCs/>
          <w:u w:val="single"/>
        </w:rPr>
        <w:t>las estructuras orgánico funcionales</w:t>
      </w:r>
      <w:proofErr w:type="gramEnd"/>
      <w:r w:rsidRPr="006F7A8B">
        <w:rPr>
          <w:b/>
          <w:bCs/>
          <w:u w:val="single"/>
        </w:rPr>
        <w:t xml:space="preserve"> y los catálogos de puestos aprobados.</w:t>
      </w:r>
    </w:p>
    <w:p w14:paraId="7048C759" w14:textId="2A67238C" w:rsidR="001C4DDA" w:rsidRDefault="001C4DDA" w:rsidP="006F7A8B">
      <w:pPr>
        <w:pStyle w:val="Citas"/>
      </w:pPr>
      <w:r>
        <w:t>(…)</w:t>
      </w:r>
    </w:p>
    <w:p w14:paraId="51CB694E" w14:textId="3AE42BD4" w:rsidR="001C4DDA" w:rsidRDefault="001C4DDA" w:rsidP="006F7A8B">
      <w:pPr>
        <w:pStyle w:val="Citas"/>
      </w:pPr>
      <w:r>
        <w:t>Autorizar y mantener actualizados los catálogos de puestos y los tabuladores de sueldo del Poder Ejecutivo del Estado, para que exista congruencia entre la función a desempeñar y la remuneración a percibir.</w:t>
      </w:r>
    </w:p>
    <w:p w14:paraId="5E7227D3" w14:textId="776F3B00" w:rsidR="006F7A8B" w:rsidRPr="006F7A8B" w:rsidRDefault="006F7A8B" w:rsidP="006F7A8B">
      <w:pPr>
        <w:pStyle w:val="Citas"/>
        <w:rPr>
          <w:b/>
          <w:bCs/>
        </w:rPr>
      </w:pPr>
      <w:r>
        <w:t xml:space="preserve">(…)” </w:t>
      </w:r>
      <w:r>
        <w:rPr>
          <w:b/>
          <w:bCs/>
        </w:rPr>
        <w:t>(Sic)</w:t>
      </w:r>
    </w:p>
    <w:p w14:paraId="3649FBC3" w14:textId="246D54A3" w:rsidR="001C4DDA" w:rsidRDefault="001C4DDA" w:rsidP="00513F18">
      <w:pPr>
        <w:spacing w:line="360" w:lineRule="auto"/>
        <w:jc w:val="both"/>
        <w:rPr>
          <w:rFonts w:ascii="Palatino Linotype" w:hAnsi="Palatino Linotype" w:cs="Arial"/>
          <w:sz w:val="24"/>
          <w:szCs w:val="24"/>
        </w:rPr>
      </w:pPr>
    </w:p>
    <w:p w14:paraId="1154C7C3" w14:textId="75623165" w:rsidR="00E63CA7" w:rsidRPr="00E63CA7" w:rsidRDefault="00E63CA7" w:rsidP="00E63CA7">
      <w:pPr>
        <w:pStyle w:val="Citas"/>
        <w:jc w:val="center"/>
        <w:rPr>
          <w:b/>
          <w:bCs/>
        </w:rPr>
      </w:pPr>
      <w:r w:rsidRPr="00E63CA7">
        <w:rPr>
          <w:b/>
          <w:bCs/>
        </w:rPr>
        <w:t>LEY DE SEGURIDAD SOCIAL PARA LOS SERVIDORES PÚBLICOS DEL ESTADO DE MÉXICO Y MUNICIPIOS</w:t>
      </w:r>
    </w:p>
    <w:p w14:paraId="06128C01" w14:textId="1F94DED6" w:rsidR="00E63CA7" w:rsidRDefault="00E63CA7" w:rsidP="00E63CA7">
      <w:pPr>
        <w:pStyle w:val="Citas"/>
      </w:pPr>
      <w:r>
        <w:t xml:space="preserve">“Artículo 31.- El cálculo del monto de las cuotas y aportaciones ordinarias se realizará sobre el sueldo sujeto a cotización de los servidores públicos. </w:t>
      </w:r>
    </w:p>
    <w:p w14:paraId="51BED827" w14:textId="77777777" w:rsidR="00E63CA7" w:rsidRDefault="00E63CA7" w:rsidP="00E63CA7">
      <w:pPr>
        <w:pStyle w:val="Citas"/>
      </w:pPr>
      <w:r>
        <w:t xml:space="preserve">La base de cálculo para determinar las cuotas y aportaciones no podrá ser, en ningún caso, inferior al monto diario del salario mínimo, ni superior a 16 salarios mínimos. </w:t>
      </w:r>
    </w:p>
    <w:p w14:paraId="729F0B63" w14:textId="77777777" w:rsidR="00E63CA7" w:rsidRPr="00E63CA7" w:rsidRDefault="00E63CA7" w:rsidP="00E63CA7">
      <w:pPr>
        <w:pStyle w:val="Citas"/>
        <w:rPr>
          <w:b/>
          <w:bCs/>
          <w:u w:val="single"/>
        </w:rPr>
      </w:pPr>
      <w:r w:rsidRPr="00E63CA7">
        <w:rPr>
          <w:b/>
          <w:bCs/>
          <w:u w:val="single"/>
        </w:rPr>
        <w:t>Artículo 32.- Las cuotas obligatorias que deberán cubrir los servidores públicos al instituto, serán Ley de Seguridad Social Para los Servidores Públicos del Estado de México y Municipios las siguientes:</w:t>
      </w:r>
    </w:p>
    <w:p w14:paraId="225CE5F8" w14:textId="77777777" w:rsidR="00E63CA7" w:rsidRPr="00E63CA7" w:rsidRDefault="00E63CA7" w:rsidP="00E63CA7">
      <w:pPr>
        <w:pStyle w:val="Citas"/>
        <w:rPr>
          <w:b/>
          <w:bCs/>
          <w:u w:val="single"/>
        </w:rPr>
      </w:pPr>
      <w:r w:rsidRPr="00E63CA7">
        <w:rPr>
          <w:b/>
          <w:bCs/>
          <w:u w:val="single"/>
        </w:rPr>
        <w:t xml:space="preserve"> I. El 4.625 % del sueldo sujeto a cotización, para cubrir las prestaciones de servicios de salud; </w:t>
      </w:r>
    </w:p>
    <w:p w14:paraId="77085FC9" w14:textId="77777777" w:rsidR="00E63CA7" w:rsidRPr="00E63CA7" w:rsidRDefault="00E63CA7" w:rsidP="00E63CA7">
      <w:pPr>
        <w:pStyle w:val="Citas"/>
        <w:rPr>
          <w:b/>
          <w:bCs/>
          <w:u w:val="single"/>
        </w:rPr>
      </w:pPr>
      <w:r w:rsidRPr="00E63CA7">
        <w:rPr>
          <w:b/>
          <w:bCs/>
          <w:u w:val="single"/>
        </w:rPr>
        <w:lastRenderedPageBreak/>
        <w:t xml:space="preserve">II. El 7.50 % del sueldo sujeto a cotización, para cubrir el financiamiento de pensiones, de la siguiente manera: </w:t>
      </w:r>
    </w:p>
    <w:p w14:paraId="6559F317" w14:textId="77777777" w:rsidR="00E63CA7" w:rsidRPr="00E63CA7" w:rsidRDefault="00E63CA7" w:rsidP="00E63CA7">
      <w:pPr>
        <w:pStyle w:val="Citas"/>
        <w:rPr>
          <w:b/>
          <w:bCs/>
          <w:u w:val="single"/>
        </w:rPr>
      </w:pPr>
      <w:r w:rsidRPr="00E63CA7">
        <w:rPr>
          <w:b/>
          <w:bCs/>
          <w:u w:val="single"/>
        </w:rPr>
        <w:t xml:space="preserve">a. 6.10 % para el fondo del sistema solidario de reparto. </w:t>
      </w:r>
    </w:p>
    <w:p w14:paraId="26797DE1" w14:textId="77777777" w:rsidR="00E63CA7" w:rsidRPr="00E63CA7" w:rsidRDefault="00E63CA7" w:rsidP="00E63CA7">
      <w:pPr>
        <w:pStyle w:val="Citas"/>
        <w:rPr>
          <w:b/>
          <w:bCs/>
          <w:u w:val="single"/>
        </w:rPr>
      </w:pPr>
      <w:r w:rsidRPr="00E63CA7">
        <w:rPr>
          <w:b/>
          <w:bCs/>
          <w:u w:val="single"/>
        </w:rPr>
        <w:t xml:space="preserve">b. 1.40% para el sistema de capitalización individual. </w:t>
      </w:r>
    </w:p>
    <w:p w14:paraId="5CA91DAD" w14:textId="40DE1917" w:rsidR="00E63CA7" w:rsidRPr="00E63CA7" w:rsidRDefault="00E63CA7" w:rsidP="00E63CA7">
      <w:pPr>
        <w:pStyle w:val="Citas"/>
        <w:rPr>
          <w:b/>
          <w:bCs/>
        </w:rPr>
      </w:pPr>
      <w:r w:rsidRPr="00E63CA7">
        <w:rPr>
          <w:b/>
          <w:bCs/>
          <w:u w:val="single"/>
        </w:rPr>
        <w:t>III. Las que determine anualmente el consejo directivo para otras prestaciones, señaladas en el título IV.</w:t>
      </w:r>
      <w:r>
        <w:rPr>
          <w:b/>
          <w:bCs/>
          <w:u w:val="single"/>
        </w:rPr>
        <w:t xml:space="preserve">” </w:t>
      </w:r>
      <w:r>
        <w:rPr>
          <w:b/>
          <w:bCs/>
        </w:rPr>
        <w:t>(Sic)</w:t>
      </w:r>
    </w:p>
    <w:p w14:paraId="795E92C2" w14:textId="3C3122F9" w:rsidR="00E63CA7" w:rsidRDefault="00E63CA7" w:rsidP="00513F18">
      <w:pPr>
        <w:spacing w:line="360" w:lineRule="auto"/>
        <w:jc w:val="both"/>
        <w:rPr>
          <w:rFonts w:ascii="Palatino Linotype" w:hAnsi="Palatino Linotype" w:cs="Arial"/>
          <w:sz w:val="24"/>
          <w:szCs w:val="24"/>
        </w:rPr>
      </w:pPr>
    </w:p>
    <w:p w14:paraId="6CB63373" w14:textId="50DCF8ED" w:rsidR="006F7A8B" w:rsidRDefault="00A65B7E" w:rsidP="00B61C39">
      <w:pPr>
        <w:spacing w:line="360" w:lineRule="auto"/>
        <w:jc w:val="both"/>
        <w:rPr>
          <w:rFonts w:ascii="Palatino Linotype" w:hAnsi="Palatino Linotype" w:cs="Arial"/>
          <w:sz w:val="24"/>
          <w:szCs w:val="24"/>
        </w:rPr>
      </w:pPr>
      <w:r w:rsidRPr="00B61C39">
        <w:rPr>
          <w:rFonts w:ascii="Palatino Linotype" w:hAnsi="Palatino Linotype" w:cs="Arial"/>
          <w:sz w:val="24"/>
          <w:szCs w:val="24"/>
        </w:rPr>
        <w:t xml:space="preserve">Del análisis sistemático y armónico de la normatividad previamente plasmada se desprende que </w:t>
      </w:r>
      <w:r w:rsidR="006F7A8B">
        <w:rPr>
          <w:rFonts w:ascii="Palatino Linotype" w:hAnsi="Palatino Linotype" w:cs="Arial"/>
          <w:sz w:val="24"/>
          <w:szCs w:val="24"/>
        </w:rPr>
        <w:t>la Subdirección de Administración y la Dirección General de Personal cuentan con numerosas facultades entre las cuales destacan las siguientes:</w:t>
      </w:r>
      <w:r w:rsidR="006F7A8B">
        <w:rPr>
          <w:rFonts w:ascii="Palatino Linotype" w:hAnsi="Palatino Linotype" w:cs="Arial"/>
          <w:sz w:val="24"/>
          <w:szCs w:val="24"/>
        </w:rPr>
        <w:tab/>
      </w:r>
    </w:p>
    <w:p w14:paraId="5BC7C579" w14:textId="7ABE44FB" w:rsidR="00204288" w:rsidRDefault="006F7A8B">
      <w:pPr>
        <w:pStyle w:val="Prrafodelista"/>
        <w:numPr>
          <w:ilvl w:val="0"/>
          <w:numId w:val="3"/>
        </w:numPr>
        <w:spacing w:line="360" w:lineRule="auto"/>
        <w:jc w:val="both"/>
        <w:rPr>
          <w:rFonts w:ascii="Palatino Linotype" w:hAnsi="Palatino Linotype" w:cs="Arial"/>
        </w:rPr>
      </w:pPr>
      <w:r>
        <w:rPr>
          <w:rFonts w:ascii="Palatino Linotype" w:hAnsi="Palatino Linotype" w:cs="Arial"/>
        </w:rPr>
        <w:t>Autorizar nombramientos y movimientos de personal</w:t>
      </w:r>
    </w:p>
    <w:p w14:paraId="7069514F" w14:textId="7E502330" w:rsidR="006F7A8B" w:rsidRDefault="006F7A8B">
      <w:pPr>
        <w:pStyle w:val="Prrafodelista"/>
        <w:numPr>
          <w:ilvl w:val="0"/>
          <w:numId w:val="3"/>
        </w:numPr>
        <w:spacing w:line="360" w:lineRule="auto"/>
        <w:jc w:val="both"/>
        <w:rPr>
          <w:rFonts w:ascii="Palatino Linotype" w:hAnsi="Palatino Linotype" w:cs="Arial"/>
        </w:rPr>
      </w:pPr>
      <w:r>
        <w:rPr>
          <w:rFonts w:ascii="Palatino Linotype" w:hAnsi="Palatino Linotype" w:cs="Arial"/>
        </w:rPr>
        <w:t>Proponer líneas de acción que orienten la política salarial</w:t>
      </w:r>
    </w:p>
    <w:p w14:paraId="6362E617" w14:textId="3836A929" w:rsidR="006F7A8B" w:rsidRDefault="006F7A8B">
      <w:pPr>
        <w:pStyle w:val="Prrafodelista"/>
        <w:numPr>
          <w:ilvl w:val="0"/>
          <w:numId w:val="3"/>
        </w:numPr>
        <w:spacing w:line="360" w:lineRule="auto"/>
        <w:jc w:val="both"/>
        <w:rPr>
          <w:rFonts w:ascii="Palatino Linotype" w:hAnsi="Palatino Linotype" w:cs="Arial"/>
        </w:rPr>
      </w:pPr>
      <w:r>
        <w:rPr>
          <w:rFonts w:ascii="Palatino Linotype" w:hAnsi="Palatino Linotype" w:cs="Arial"/>
        </w:rPr>
        <w:t>Planear y coordinar la operación y control del Sistema de Nómina del Sector Central del Poder Ejecutivo</w:t>
      </w:r>
    </w:p>
    <w:p w14:paraId="240465E9" w14:textId="280ACE36" w:rsidR="006F7A8B" w:rsidRPr="00293FCF" w:rsidRDefault="006F7A8B">
      <w:pPr>
        <w:pStyle w:val="Prrafodelista"/>
        <w:numPr>
          <w:ilvl w:val="0"/>
          <w:numId w:val="3"/>
        </w:numPr>
        <w:spacing w:line="360" w:lineRule="auto"/>
        <w:jc w:val="both"/>
        <w:rPr>
          <w:rFonts w:ascii="Palatino Linotype" w:hAnsi="Palatino Linotype" w:cs="Arial"/>
        </w:rPr>
      </w:pPr>
      <w:r>
        <w:rPr>
          <w:rFonts w:ascii="Palatino Linotype" w:hAnsi="Palatino Linotype" w:cs="Arial"/>
        </w:rPr>
        <w:t>Otras</w:t>
      </w:r>
    </w:p>
    <w:p w14:paraId="6F4DAF11" w14:textId="77777777" w:rsidR="00293FCF" w:rsidRDefault="00293FCF" w:rsidP="00B61C39">
      <w:pPr>
        <w:spacing w:line="360" w:lineRule="auto"/>
        <w:jc w:val="both"/>
        <w:rPr>
          <w:rFonts w:ascii="Palatino Linotype" w:hAnsi="Palatino Linotype" w:cs="Arial"/>
          <w:sz w:val="24"/>
          <w:szCs w:val="24"/>
        </w:rPr>
      </w:pPr>
    </w:p>
    <w:p w14:paraId="6E66F330" w14:textId="402FF7B9" w:rsidR="00204288" w:rsidRPr="00204288" w:rsidRDefault="00A02B9D" w:rsidP="008763E4">
      <w:pPr>
        <w:spacing w:line="360" w:lineRule="auto"/>
        <w:jc w:val="both"/>
        <w:rPr>
          <w:rFonts w:ascii="Palatino Linotype" w:hAnsi="Palatino Linotype"/>
          <w:bCs/>
          <w:sz w:val="24"/>
          <w:szCs w:val="24"/>
        </w:rPr>
      </w:pPr>
      <w:r w:rsidRPr="00A02B9D">
        <w:rPr>
          <w:rFonts w:ascii="Palatino Linotype" w:hAnsi="Palatino Linotype"/>
          <w:sz w:val="24"/>
          <w:szCs w:val="24"/>
        </w:rPr>
        <w:t xml:space="preserve">De ahí que deba arribarse a la premisa de que la información requerida es susceptible de ser generada, </w:t>
      </w:r>
      <w:r w:rsidRPr="00393EF0">
        <w:rPr>
          <w:rFonts w:ascii="Palatino Linotype" w:hAnsi="Palatino Linotype"/>
          <w:sz w:val="24"/>
          <w:szCs w:val="24"/>
        </w:rPr>
        <w:t>poseída y administrada</w:t>
      </w:r>
      <w:r w:rsidRPr="00A02B9D">
        <w:rPr>
          <w:rFonts w:ascii="Palatino Linotype" w:hAnsi="Palatino Linotype"/>
          <w:sz w:val="24"/>
          <w:szCs w:val="24"/>
        </w:rPr>
        <w:t xml:space="preserve"> por </w:t>
      </w:r>
      <w:r w:rsidRPr="00A02B9D">
        <w:rPr>
          <w:rFonts w:ascii="Palatino Linotype" w:hAnsi="Palatino Linotype"/>
          <w:b/>
          <w:sz w:val="24"/>
          <w:szCs w:val="24"/>
        </w:rPr>
        <w:t>El Sujeto Obligado</w:t>
      </w:r>
      <w:r w:rsidR="00204288">
        <w:rPr>
          <w:rFonts w:ascii="Palatino Linotype" w:hAnsi="Palatino Linotype"/>
          <w:b/>
          <w:sz w:val="24"/>
          <w:szCs w:val="24"/>
        </w:rPr>
        <w:t xml:space="preserve">, </w:t>
      </w:r>
      <w:r w:rsidR="00204288">
        <w:rPr>
          <w:rFonts w:ascii="Palatino Linotype" w:hAnsi="Palatino Linotype"/>
          <w:bCs/>
          <w:sz w:val="24"/>
          <w:szCs w:val="24"/>
        </w:rPr>
        <w:t xml:space="preserve">al </w:t>
      </w:r>
      <w:r w:rsidR="00393EF0">
        <w:rPr>
          <w:rFonts w:ascii="Palatino Linotype" w:hAnsi="Palatino Linotype"/>
          <w:bCs/>
          <w:sz w:val="24"/>
          <w:szCs w:val="24"/>
        </w:rPr>
        <w:t xml:space="preserve">versar respecto de deducciones aplicables a todos los servidores públicos. </w:t>
      </w:r>
      <w:r w:rsidR="00204288">
        <w:rPr>
          <w:rFonts w:ascii="Palatino Linotype" w:hAnsi="Palatino Linotype"/>
          <w:bCs/>
          <w:sz w:val="24"/>
          <w:szCs w:val="24"/>
        </w:rPr>
        <w:t xml:space="preserve"> </w:t>
      </w:r>
    </w:p>
    <w:p w14:paraId="0D05335E" w14:textId="2FE64710" w:rsidR="008763E4" w:rsidRDefault="00A02B9D" w:rsidP="008763E4">
      <w:pPr>
        <w:spacing w:line="360" w:lineRule="auto"/>
        <w:jc w:val="both"/>
        <w:rPr>
          <w:rFonts w:ascii="Palatino Linotype" w:hAnsi="Palatino Linotype" w:cs="Arial"/>
          <w:sz w:val="24"/>
          <w:szCs w:val="24"/>
        </w:rPr>
      </w:pPr>
      <w:r>
        <w:rPr>
          <w:rFonts w:ascii="Palatino Linotype" w:hAnsi="Palatino Linotype"/>
          <w:b/>
          <w:sz w:val="24"/>
          <w:szCs w:val="24"/>
        </w:rPr>
        <w:t xml:space="preserve"> </w:t>
      </w:r>
      <w:r w:rsidR="008763E4">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w:t>
      </w:r>
      <w:r w:rsidR="008763E4">
        <w:rPr>
          <w:rFonts w:ascii="Palatino Linotype" w:hAnsi="Palatino Linotype" w:cs="Arial"/>
          <w:sz w:val="24"/>
          <w:szCs w:val="24"/>
        </w:rPr>
        <w:lastRenderedPageBreak/>
        <w:t xml:space="preserve">existencia de la información cuando se refiera a las atribuciones de los sujetos obligados, porciones normativas que disponen a la literalidad lo siguiente: </w:t>
      </w:r>
    </w:p>
    <w:p w14:paraId="1B90520D" w14:textId="77777777" w:rsidR="008763E4" w:rsidRDefault="008763E4" w:rsidP="008763E4">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0AA87958" w14:textId="77777777" w:rsidR="008763E4" w:rsidRDefault="008763E4" w:rsidP="008763E4">
      <w:pPr>
        <w:pStyle w:val="Citas"/>
      </w:pPr>
      <w:r>
        <w:t xml:space="preserve">Artículo 19. Se presume que la información debe existir si se refiere a las facultades, competencias y funciones que los ordenamientos jurídicos aplicables otorgan a los sujetos obligados. </w:t>
      </w:r>
    </w:p>
    <w:p w14:paraId="7C43D66B" w14:textId="77777777" w:rsidR="008763E4" w:rsidRDefault="008763E4" w:rsidP="008763E4">
      <w:pPr>
        <w:pStyle w:val="Citas"/>
      </w:pPr>
      <w:r>
        <w:t xml:space="preserve">En los casos en que ciertas facultades, competencias o funciones no se hayan ejercido, se debe motivar la respuesta en función de las causas que motiven tal circunstancia. </w:t>
      </w:r>
    </w:p>
    <w:p w14:paraId="5185C294" w14:textId="77777777" w:rsidR="008763E4" w:rsidRPr="00407C65" w:rsidRDefault="008763E4" w:rsidP="008763E4">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2DB4D2BC" w14:textId="1001FF56" w:rsidR="008763E4" w:rsidRDefault="008763E4" w:rsidP="00B61C39">
      <w:pPr>
        <w:spacing w:line="360" w:lineRule="auto"/>
        <w:jc w:val="both"/>
        <w:rPr>
          <w:rFonts w:ascii="Palatino Linotype" w:hAnsi="Palatino Linotype" w:cs="Arial"/>
          <w:sz w:val="24"/>
          <w:szCs w:val="24"/>
        </w:rPr>
      </w:pPr>
    </w:p>
    <w:p w14:paraId="450BDAEE" w14:textId="7D1E1A3B" w:rsidR="006F7A8B" w:rsidRDefault="008763E4" w:rsidP="008763E4">
      <w:pPr>
        <w:autoSpaceDE w:val="0"/>
        <w:autoSpaceDN w:val="0"/>
        <w:adjustRightInd w:val="0"/>
        <w:spacing w:before="240" w:line="360" w:lineRule="auto"/>
        <w:ind w:right="-18"/>
        <w:jc w:val="both"/>
        <w:rPr>
          <w:rFonts w:ascii="Palatino Linotype" w:hAnsi="Palatino Linotype"/>
          <w:bCs/>
          <w:iCs/>
          <w:sz w:val="24"/>
          <w:szCs w:val="24"/>
        </w:rPr>
      </w:pPr>
      <w:r>
        <w:rPr>
          <w:rFonts w:ascii="Palatino Linotype" w:hAnsi="Palatino Linotype"/>
          <w:bCs/>
          <w:iCs/>
          <w:sz w:val="24"/>
          <w:szCs w:val="24"/>
        </w:rPr>
        <w:t xml:space="preserve">Una vez sentado lo anterior, como se mencionó en el antecedente segundo, </w:t>
      </w:r>
      <w:r>
        <w:rPr>
          <w:rFonts w:ascii="Palatino Linotype" w:hAnsi="Palatino Linotype"/>
          <w:b/>
          <w:iCs/>
          <w:sz w:val="24"/>
          <w:szCs w:val="24"/>
        </w:rPr>
        <w:t xml:space="preserve">El Sujeto Obligado </w:t>
      </w:r>
      <w:r>
        <w:rPr>
          <w:rFonts w:ascii="Palatino Linotype" w:hAnsi="Palatino Linotype"/>
          <w:bCs/>
          <w:iCs/>
          <w:sz w:val="24"/>
          <w:szCs w:val="24"/>
        </w:rPr>
        <w:t xml:space="preserve">en fecha </w:t>
      </w:r>
      <w:r w:rsidR="006F7A8B">
        <w:rPr>
          <w:rFonts w:ascii="Palatino Linotype" w:hAnsi="Palatino Linotype"/>
          <w:bCs/>
          <w:iCs/>
          <w:sz w:val="24"/>
          <w:szCs w:val="24"/>
        </w:rPr>
        <w:t>seis de diciembre de dos mil veintidós, rindió su respuesta a la solicitud de información formulada por el particular, adjuntando para tal efecto lo siguiente:</w:t>
      </w:r>
    </w:p>
    <w:p w14:paraId="06E14FC9" w14:textId="7A69C006" w:rsidR="006F7A8B" w:rsidRPr="008C0E6C" w:rsidRDefault="006F7A8B">
      <w:pPr>
        <w:pStyle w:val="Prrafodelista"/>
        <w:numPr>
          <w:ilvl w:val="0"/>
          <w:numId w:val="7"/>
        </w:numPr>
        <w:autoSpaceDE w:val="0"/>
        <w:autoSpaceDN w:val="0"/>
        <w:adjustRightInd w:val="0"/>
        <w:spacing w:before="240" w:line="360" w:lineRule="auto"/>
        <w:ind w:right="-18"/>
        <w:jc w:val="both"/>
        <w:rPr>
          <w:rFonts w:ascii="Palatino Linotype" w:hAnsi="Palatino Linotype"/>
          <w:b/>
          <w:iCs/>
          <w:u w:val="single"/>
        </w:rPr>
      </w:pPr>
      <w:r>
        <w:rPr>
          <w:rFonts w:ascii="Palatino Linotype" w:hAnsi="Palatino Linotype"/>
          <w:b/>
          <w:iCs/>
        </w:rPr>
        <w:t xml:space="preserve">“523 DGP.pdf”: </w:t>
      </w:r>
      <w:r>
        <w:rPr>
          <w:rFonts w:ascii="Palatino Linotype" w:hAnsi="Palatino Linotype"/>
          <w:bCs/>
          <w:iCs/>
        </w:rPr>
        <w:t xml:space="preserve">Oficio número </w:t>
      </w:r>
      <w:r>
        <w:rPr>
          <w:rFonts w:ascii="Palatino Linotype" w:hAnsi="Palatino Linotype"/>
          <w:b/>
          <w:iCs/>
        </w:rPr>
        <w:t xml:space="preserve">20706004000100S-383/2022 </w:t>
      </w:r>
      <w:r>
        <w:rPr>
          <w:rFonts w:ascii="Palatino Linotype" w:hAnsi="Palatino Linotype"/>
          <w:bCs/>
          <w:iCs/>
        </w:rPr>
        <w:t xml:space="preserve">signado por el Jefe de la Unidad y Servidor Público Habilitado de la Dirección General de Personal y dirigido al Jefe de la Unidad de Información, Planeación, Programación y </w:t>
      </w:r>
      <w:r>
        <w:rPr>
          <w:rFonts w:ascii="Palatino Linotype" w:hAnsi="Palatino Linotype"/>
          <w:bCs/>
          <w:iCs/>
        </w:rPr>
        <w:lastRenderedPageBreak/>
        <w:t xml:space="preserve">Evaluación y Responsable de la Unidad de Transparencia, de fecha veintinueve de noviembre de dos mil veintidós, </w:t>
      </w:r>
      <w:r w:rsidR="008C0E6C">
        <w:rPr>
          <w:rFonts w:ascii="Palatino Linotype" w:hAnsi="Palatino Linotype"/>
          <w:bCs/>
          <w:iCs/>
        </w:rPr>
        <w:t xml:space="preserve">en lo medular </w:t>
      </w:r>
      <w:r w:rsidR="008C0E6C" w:rsidRPr="00393EF0">
        <w:rPr>
          <w:rFonts w:ascii="Palatino Linotype" w:hAnsi="Palatino Linotype"/>
          <w:b/>
          <w:iCs/>
          <w:u w:val="single"/>
        </w:rPr>
        <w:t>señala que no cuenta con la información requerida, luego entonces,</w:t>
      </w:r>
      <w:r w:rsidR="008C0E6C">
        <w:rPr>
          <w:rFonts w:ascii="Palatino Linotype" w:hAnsi="Palatino Linotype"/>
          <w:bCs/>
          <w:iCs/>
        </w:rPr>
        <w:t xml:space="preserve"> </w:t>
      </w:r>
      <w:r w:rsidR="008C0E6C" w:rsidRPr="008C0E6C">
        <w:rPr>
          <w:rFonts w:ascii="Palatino Linotype" w:hAnsi="Palatino Linotype"/>
          <w:b/>
          <w:iCs/>
          <w:u w:val="single"/>
        </w:rPr>
        <w:t xml:space="preserve">declina competencia a favor de la Secretaría de Educación. </w:t>
      </w:r>
    </w:p>
    <w:p w14:paraId="75A19BA2" w14:textId="3DDD19B4" w:rsidR="006F7A8B" w:rsidRPr="006F7A8B" w:rsidRDefault="006F7A8B">
      <w:pPr>
        <w:pStyle w:val="Prrafodelista"/>
        <w:numPr>
          <w:ilvl w:val="0"/>
          <w:numId w:val="7"/>
        </w:numPr>
        <w:autoSpaceDE w:val="0"/>
        <w:autoSpaceDN w:val="0"/>
        <w:adjustRightInd w:val="0"/>
        <w:spacing w:before="240" w:line="360" w:lineRule="auto"/>
        <w:ind w:right="-18"/>
        <w:jc w:val="both"/>
        <w:rPr>
          <w:rFonts w:ascii="Palatino Linotype" w:hAnsi="Palatino Linotype"/>
          <w:b/>
          <w:iCs/>
        </w:rPr>
      </w:pPr>
      <w:r>
        <w:rPr>
          <w:rFonts w:ascii="Palatino Linotype" w:hAnsi="Palatino Linotype"/>
          <w:b/>
          <w:iCs/>
        </w:rPr>
        <w:t xml:space="preserve">“UIPPE 523.pdf”: </w:t>
      </w:r>
      <w:r w:rsidR="008C0E6C">
        <w:rPr>
          <w:rFonts w:ascii="Palatino Linotype" w:hAnsi="Palatino Linotype"/>
          <w:bCs/>
          <w:iCs/>
        </w:rPr>
        <w:t xml:space="preserve">Oficio número </w:t>
      </w:r>
      <w:r w:rsidR="008C0E6C">
        <w:rPr>
          <w:rFonts w:ascii="Palatino Linotype" w:hAnsi="Palatino Linotype"/>
          <w:b/>
          <w:iCs/>
        </w:rPr>
        <w:t xml:space="preserve">20700004S/UT-2069/2022 </w:t>
      </w:r>
      <w:r w:rsidR="008C0E6C">
        <w:rPr>
          <w:rFonts w:ascii="Palatino Linotype" w:hAnsi="Palatino Linotype"/>
          <w:bCs/>
          <w:iCs/>
        </w:rPr>
        <w:t xml:space="preserve">signado por el Jefe de la Unidad de Información, Planeación, Programación y Evaluación y Responsable de la Unidad de Transparencia y dirigido al particular, de fecha uno de diciembre de dos mil veintidós, en síntesis refiere adjuntar oficio emitido por el servidor público habilitado adscrito a la Dirección General de Personal. </w:t>
      </w:r>
    </w:p>
    <w:p w14:paraId="02427FC3" w14:textId="77777777" w:rsidR="006F7A8B" w:rsidRDefault="006F7A8B" w:rsidP="008763E4">
      <w:pPr>
        <w:autoSpaceDE w:val="0"/>
        <w:autoSpaceDN w:val="0"/>
        <w:adjustRightInd w:val="0"/>
        <w:spacing w:before="240" w:line="360" w:lineRule="auto"/>
        <w:ind w:right="-18"/>
        <w:jc w:val="both"/>
        <w:rPr>
          <w:rFonts w:ascii="Palatino Linotype" w:hAnsi="Palatino Linotype"/>
          <w:bCs/>
          <w:iCs/>
          <w:sz w:val="24"/>
          <w:szCs w:val="24"/>
        </w:rPr>
      </w:pPr>
    </w:p>
    <w:p w14:paraId="75672C82" w14:textId="564496EF" w:rsidR="008C0E6C" w:rsidRDefault="004D10A9" w:rsidP="004600E8">
      <w:pPr>
        <w:autoSpaceDE w:val="0"/>
        <w:autoSpaceDN w:val="0"/>
        <w:adjustRightInd w:val="0"/>
        <w:spacing w:before="240" w:line="360" w:lineRule="auto"/>
        <w:ind w:right="-18"/>
        <w:jc w:val="both"/>
        <w:rPr>
          <w:rFonts w:ascii="Palatino Linotype" w:hAnsi="Palatino Linotype" w:cs="Arial"/>
          <w:sz w:val="24"/>
          <w:szCs w:val="24"/>
        </w:rPr>
      </w:pPr>
      <w:r>
        <w:rPr>
          <w:rFonts w:ascii="Palatino Linotype" w:hAnsi="Palatino Linotype" w:cs="Arial"/>
          <w:sz w:val="24"/>
          <w:szCs w:val="24"/>
        </w:rPr>
        <w:t xml:space="preserve">Bajo este contexto, </w:t>
      </w:r>
      <w:r w:rsidR="008C0E6C">
        <w:rPr>
          <w:rFonts w:ascii="Palatino Linotype" w:hAnsi="Palatino Linotype" w:cs="Arial"/>
          <w:sz w:val="24"/>
          <w:szCs w:val="24"/>
        </w:rPr>
        <w:t xml:space="preserve">la respuesta primigenia del </w:t>
      </w:r>
      <w:r w:rsidR="008C0E6C">
        <w:rPr>
          <w:rFonts w:ascii="Palatino Linotype" w:hAnsi="Palatino Linotype" w:cs="Arial"/>
          <w:b/>
          <w:bCs/>
          <w:sz w:val="24"/>
          <w:szCs w:val="24"/>
        </w:rPr>
        <w:t xml:space="preserve">Sujeto Obligado </w:t>
      </w:r>
      <w:r w:rsidR="008C0E6C">
        <w:rPr>
          <w:rFonts w:ascii="Palatino Linotype" w:hAnsi="Palatino Linotype" w:cs="Arial"/>
          <w:sz w:val="24"/>
          <w:szCs w:val="24"/>
        </w:rPr>
        <w:t xml:space="preserve">a toda luz inobservó el plazo de </w:t>
      </w:r>
      <w:r w:rsidR="008C0E6C">
        <w:rPr>
          <w:rFonts w:ascii="Palatino Linotype" w:hAnsi="Palatino Linotype" w:cs="Arial"/>
          <w:b/>
          <w:bCs/>
          <w:sz w:val="24"/>
          <w:szCs w:val="24"/>
        </w:rPr>
        <w:t xml:space="preserve">tres días posteriores a la recepción de la solicitud </w:t>
      </w:r>
      <w:r w:rsidR="008C0E6C">
        <w:rPr>
          <w:rFonts w:ascii="Palatino Linotype" w:hAnsi="Palatino Linotype" w:cs="Arial"/>
          <w:sz w:val="24"/>
          <w:szCs w:val="24"/>
        </w:rPr>
        <w:t>para declinar competencia, previsto</w:t>
      </w:r>
      <w:r w:rsidR="008C0E6C">
        <w:rPr>
          <w:rFonts w:ascii="Palatino Linotype" w:hAnsi="Palatino Linotype" w:cs="Arial"/>
          <w:b/>
          <w:bCs/>
          <w:sz w:val="24"/>
          <w:szCs w:val="24"/>
        </w:rPr>
        <w:t xml:space="preserve"> </w:t>
      </w:r>
      <w:r w:rsidR="008C0E6C">
        <w:rPr>
          <w:rFonts w:ascii="Palatino Linotype" w:hAnsi="Palatino Linotype" w:cs="Arial"/>
          <w:sz w:val="24"/>
          <w:szCs w:val="24"/>
        </w:rPr>
        <w:t>en el numeral 167 de la Ley de Transparencia local, dispositivo jurídico que dispone a la literalidad lo siguiente:</w:t>
      </w:r>
    </w:p>
    <w:p w14:paraId="68469E85" w14:textId="5DC460A4" w:rsidR="008C0E6C" w:rsidRPr="008C0E6C" w:rsidRDefault="008C0E6C" w:rsidP="008C0E6C">
      <w:pPr>
        <w:pStyle w:val="Citas"/>
        <w:rPr>
          <w:b/>
          <w:bCs/>
          <w:u w:val="single"/>
        </w:rPr>
      </w:pPr>
      <w:r w:rsidRPr="008C0E6C">
        <w:rPr>
          <w:b/>
          <w:bCs/>
          <w:u w:val="single"/>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48B24323" w14:textId="77777777" w:rsidR="008C0E6C" w:rsidRDefault="008C0E6C" w:rsidP="008C0E6C">
      <w:pPr>
        <w:pStyle w:val="Citas"/>
      </w:pPr>
      <w:r>
        <w:t xml:space="preserve">Si los sujetos obligados son competentes para atender parcialmente la solicitud de acceso a la información, deberá dar respuesta respecto de dicha parte. Respecto de la </w:t>
      </w:r>
      <w:r>
        <w:lastRenderedPageBreak/>
        <w:t xml:space="preserve">información sobre la cual es incompetente se procederá conforme lo señala el párrafo anterior. </w:t>
      </w:r>
    </w:p>
    <w:p w14:paraId="205F2046" w14:textId="64FD2A87" w:rsidR="008C0E6C" w:rsidRPr="008C0E6C" w:rsidRDefault="008C0E6C" w:rsidP="008C0E6C">
      <w:pPr>
        <w:pStyle w:val="Citas"/>
        <w:rPr>
          <w:b/>
          <w:bCs/>
          <w:sz w:val="24"/>
          <w:szCs w:val="24"/>
        </w:rPr>
      </w:pPr>
      <w:r>
        <w:t xml:space="preserve">Si transcurrido el plazo señalado en el primer párrafo de este artículo, el sujeto obligado no declina la competencia en los términos establecidos, podrá canalizar la solicitud ante el sujeto obligado competente.” </w:t>
      </w:r>
      <w:r>
        <w:rPr>
          <w:b/>
          <w:bCs/>
        </w:rPr>
        <w:t>(Sic)</w:t>
      </w:r>
    </w:p>
    <w:p w14:paraId="7602A4C5" w14:textId="77777777" w:rsidR="008C0E6C" w:rsidRDefault="008C0E6C" w:rsidP="004600E8">
      <w:pPr>
        <w:autoSpaceDE w:val="0"/>
        <w:autoSpaceDN w:val="0"/>
        <w:adjustRightInd w:val="0"/>
        <w:spacing w:before="240" w:line="360" w:lineRule="auto"/>
        <w:ind w:right="-18"/>
        <w:jc w:val="both"/>
        <w:rPr>
          <w:rFonts w:ascii="Palatino Linotype" w:hAnsi="Palatino Linotype" w:cs="Arial"/>
          <w:sz w:val="24"/>
          <w:szCs w:val="24"/>
        </w:rPr>
      </w:pPr>
    </w:p>
    <w:p w14:paraId="260ECCE3" w14:textId="75926CBB" w:rsidR="008C0E6C" w:rsidRDefault="00564AD9" w:rsidP="00B61C39">
      <w:pPr>
        <w:spacing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rendida por </w:t>
      </w:r>
      <w:r>
        <w:rPr>
          <w:rFonts w:ascii="Palatino Linotype" w:hAnsi="Palatino Linotype" w:cs="Arial"/>
          <w:b/>
          <w:bCs/>
          <w:sz w:val="24"/>
          <w:szCs w:val="24"/>
        </w:rPr>
        <w:t xml:space="preserve">El Sujeto Obligado, </w:t>
      </w:r>
      <w:r w:rsidR="008C0E6C">
        <w:rPr>
          <w:rFonts w:ascii="Palatino Linotype" w:hAnsi="Palatino Linotype" w:cs="Arial"/>
          <w:b/>
          <w:bCs/>
          <w:sz w:val="24"/>
          <w:szCs w:val="24"/>
        </w:rPr>
        <w:t xml:space="preserve">El </w:t>
      </w:r>
      <w:r>
        <w:rPr>
          <w:rFonts w:ascii="Palatino Linotype" w:hAnsi="Palatino Linotype" w:cs="Arial"/>
          <w:b/>
          <w:bCs/>
          <w:sz w:val="24"/>
          <w:szCs w:val="24"/>
        </w:rPr>
        <w:t xml:space="preserve">Recurrente </w:t>
      </w:r>
      <w:r>
        <w:rPr>
          <w:rFonts w:ascii="Palatino Linotype" w:hAnsi="Palatino Linotype" w:cs="Arial"/>
          <w:sz w:val="24"/>
          <w:szCs w:val="24"/>
        </w:rPr>
        <w:t xml:space="preserve">interpuso recurso de revisión en fecha </w:t>
      </w:r>
      <w:r w:rsidR="008C0E6C">
        <w:rPr>
          <w:rFonts w:ascii="Palatino Linotype" w:hAnsi="Palatino Linotype" w:cs="Arial"/>
          <w:sz w:val="24"/>
          <w:szCs w:val="24"/>
        </w:rPr>
        <w:t>doce de diciembre, admitiéndose el trece de diciembre, ambos de dos mil veintidós. Señalando como razones o motivos de inconformidad:</w:t>
      </w:r>
    </w:p>
    <w:p w14:paraId="0D6241D7" w14:textId="436E8E53" w:rsidR="008C0E6C" w:rsidRPr="008C0E6C" w:rsidRDefault="008C0E6C" w:rsidP="008C0E6C">
      <w:pPr>
        <w:pStyle w:val="Citas"/>
        <w:rPr>
          <w:b/>
          <w:bCs/>
          <w:sz w:val="24"/>
          <w:szCs w:val="24"/>
        </w:rPr>
      </w:pPr>
      <w:r>
        <w:rPr>
          <w:b/>
          <w:bCs/>
          <w:u w:val="single"/>
        </w:rPr>
        <w:t>“</w:t>
      </w:r>
      <w:r w:rsidRPr="008C0E6C">
        <w:rPr>
          <w:b/>
          <w:bCs/>
          <w:u w:val="single"/>
        </w:rPr>
        <w:t>En el último momento del plazo para dar respuesta me dicen que no son competentes y que me dirija a la Secretaría de Educación.</w:t>
      </w:r>
      <w:r>
        <w:t xml:space="preserve"> Lo cual ya había hecho, ahí me contestaron que nos son competentes y que la competente es la Secretaría de Finanzas con los fundamentos correspondientes. Se anexa archivo con la respuesta mencionada. Pido se dé vista a la Secretaría de la Controlaría por incumplimiento a los deberes impuestos por </w:t>
      </w:r>
      <w:proofErr w:type="spellStart"/>
      <w:r>
        <w:t>al</w:t>
      </w:r>
      <w:proofErr w:type="spellEnd"/>
      <w:r>
        <w:t xml:space="preserve"> Ley de la materia por parte del personal de la Secretaría de Finanzas” </w:t>
      </w:r>
      <w:r>
        <w:rPr>
          <w:b/>
          <w:bCs/>
        </w:rPr>
        <w:t>(Sic)</w:t>
      </w:r>
    </w:p>
    <w:p w14:paraId="6D0EF067" w14:textId="0356E71D" w:rsidR="008C0E6C" w:rsidRDefault="008C0E6C" w:rsidP="00B61C39">
      <w:pPr>
        <w:spacing w:line="360" w:lineRule="auto"/>
        <w:jc w:val="both"/>
        <w:rPr>
          <w:rFonts w:ascii="Palatino Linotype" w:hAnsi="Palatino Linotype" w:cs="Arial"/>
          <w:sz w:val="24"/>
          <w:szCs w:val="24"/>
        </w:rPr>
      </w:pPr>
    </w:p>
    <w:p w14:paraId="37ECF8A9" w14:textId="0045A8F8" w:rsidR="008C0E6C" w:rsidRDefault="008C0E6C" w:rsidP="00B61C39">
      <w:pPr>
        <w:spacing w:line="360" w:lineRule="auto"/>
        <w:jc w:val="both"/>
        <w:rPr>
          <w:rFonts w:ascii="Palatino Linotype" w:hAnsi="Palatino Linotype" w:cs="Arial"/>
          <w:sz w:val="24"/>
          <w:szCs w:val="24"/>
        </w:rPr>
      </w:pPr>
      <w:r>
        <w:rPr>
          <w:rFonts w:ascii="Palatino Linotype" w:hAnsi="Palatino Linotype" w:cs="Arial"/>
          <w:sz w:val="24"/>
          <w:szCs w:val="24"/>
        </w:rPr>
        <w:t>Adjuntando a la interposición del recurso de revisión lo siguiente:</w:t>
      </w:r>
    </w:p>
    <w:p w14:paraId="0B6FE127" w14:textId="12A3726E" w:rsidR="008C0E6C" w:rsidRPr="00680807" w:rsidRDefault="008C0E6C">
      <w:pPr>
        <w:pStyle w:val="Prrafodelista"/>
        <w:numPr>
          <w:ilvl w:val="0"/>
          <w:numId w:val="8"/>
        </w:numPr>
        <w:spacing w:line="360" w:lineRule="auto"/>
        <w:jc w:val="both"/>
        <w:rPr>
          <w:rFonts w:ascii="Palatino Linotype" w:hAnsi="Palatino Linotype" w:cs="Arial"/>
          <w:b/>
          <w:bCs/>
        </w:rPr>
      </w:pPr>
      <w:r>
        <w:rPr>
          <w:rFonts w:ascii="Palatino Linotype" w:hAnsi="Palatino Linotype" w:cs="Arial"/>
          <w:b/>
          <w:bCs/>
        </w:rPr>
        <w:t xml:space="preserve">“INCOMPETENCIA SECRETARÍA DE EDUCACIÓN.pdf”: </w:t>
      </w:r>
      <w:r>
        <w:rPr>
          <w:rFonts w:ascii="Palatino Linotype" w:hAnsi="Palatino Linotype" w:cs="Arial"/>
        </w:rPr>
        <w:t xml:space="preserve">Oficio número </w:t>
      </w:r>
      <w:r>
        <w:rPr>
          <w:rFonts w:ascii="Palatino Linotype" w:hAnsi="Palatino Linotype" w:cs="Arial"/>
          <w:b/>
          <w:bCs/>
        </w:rPr>
        <w:t>2100000701</w:t>
      </w:r>
      <w:r w:rsidR="00680807">
        <w:rPr>
          <w:rFonts w:ascii="Palatino Linotype" w:hAnsi="Palatino Linotype" w:cs="Arial"/>
          <w:b/>
          <w:bCs/>
        </w:rPr>
        <w:t xml:space="preserve">0000S/1796/UT/2022 </w:t>
      </w:r>
      <w:r w:rsidR="00680807">
        <w:rPr>
          <w:rFonts w:ascii="Palatino Linotype" w:hAnsi="Palatino Linotype" w:cs="Arial"/>
        </w:rPr>
        <w:t xml:space="preserve">signado por la Titular de la Unidad de Transparencia y dirigido al solicitante, de fecha quince de noviembre de dos mil </w:t>
      </w:r>
      <w:r w:rsidR="00680807">
        <w:rPr>
          <w:rFonts w:ascii="Palatino Linotype" w:hAnsi="Palatino Linotype" w:cs="Arial"/>
        </w:rPr>
        <w:lastRenderedPageBreak/>
        <w:t xml:space="preserve">veintidós, en referencia a la solicitud de información </w:t>
      </w:r>
      <w:r w:rsidR="00680807">
        <w:rPr>
          <w:rFonts w:ascii="Palatino Linotype" w:hAnsi="Palatino Linotype" w:cs="Arial"/>
          <w:b/>
          <w:bCs/>
        </w:rPr>
        <w:t xml:space="preserve">00799/SE/IP/2022 </w:t>
      </w:r>
      <w:r w:rsidR="00680807">
        <w:rPr>
          <w:rFonts w:ascii="Palatino Linotype" w:hAnsi="Palatino Linotype" w:cs="Arial"/>
        </w:rPr>
        <w:t>resulta de nuestro interés el siguiente extracto:</w:t>
      </w:r>
    </w:p>
    <w:p w14:paraId="2369B1CA" w14:textId="544BB87A" w:rsidR="00680807" w:rsidRDefault="00680807" w:rsidP="00680807">
      <w:pPr>
        <w:pStyle w:val="Prrafodelista"/>
        <w:spacing w:line="360" w:lineRule="auto"/>
        <w:ind w:left="720"/>
        <w:jc w:val="both"/>
        <w:rPr>
          <w:rFonts w:ascii="Palatino Linotype" w:hAnsi="Palatino Linotype" w:cs="Arial"/>
          <w:i/>
          <w:iCs/>
        </w:rPr>
      </w:pPr>
      <w:r>
        <w:rPr>
          <w:rFonts w:ascii="Palatino Linotype" w:hAnsi="Palatino Linotype" w:cs="Arial"/>
          <w:i/>
          <w:iCs/>
        </w:rPr>
        <w:t>“(…)</w:t>
      </w:r>
    </w:p>
    <w:p w14:paraId="77F10E63" w14:textId="780F7C69" w:rsidR="00680807" w:rsidRPr="00680807" w:rsidRDefault="00680807" w:rsidP="00680807">
      <w:pPr>
        <w:pStyle w:val="Prrafodelista"/>
        <w:spacing w:line="360" w:lineRule="auto"/>
        <w:ind w:left="720"/>
        <w:jc w:val="both"/>
        <w:rPr>
          <w:rFonts w:ascii="Palatino Linotype" w:hAnsi="Palatino Linotype" w:cs="Arial"/>
          <w:b/>
          <w:bCs/>
          <w:i/>
          <w:iCs/>
        </w:rPr>
      </w:pPr>
      <w:r>
        <w:rPr>
          <w:rFonts w:ascii="Palatino Linotype" w:hAnsi="Palatino Linotype" w:cs="Arial"/>
          <w:i/>
          <w:iCs/>
        </w:rPr>
        <w:t xml:space="preserve">Del análisis de su solicitud le preciso que lo solicitado es competencia de la Secretaría de Finanzas del Gobierno del Estado de México, como se precisa en su requerimiento, por lo anterior, de conformidad con el artículo 167 de la Ley de Transparencia y Acceso a la Información Pública del Estado de México y Municipios, se le sugiere presentar su solicitud ante la Unidad de Transparencia de la Secretaría de Finanzas ubicada en (…)” </w:t>
      </w:r>
      <w:r>
        <w:rPr>
          <w:rFonts w:ascii="Palatino Linotype" w:hAnsi="Palatino Linotype" w:cs="Arial"/>
          <w:b/>
          <w:bCs/>
          <w:i/>
          <w:iCs/>
        </w:rPr>
        <w:t>(Sic)</w:t>
      </w:r>
    </w:p>
    <w:p w14:paraId="6000C094" w14:textId="77777777" w:rsidR="008C0E6C" w:rsidRDefault="008C0E6C" w:rsidP="00B61C39">
      <w:pPr>
        <w:spacing w:line="360" w:lineRule="auto"/>
        <w:jc w:val="both"/>
        <w:rPr>
          <w:rFonts w:ascii="Palatino Linotype" w:hAnsi="Palatino Linotype" w:cs="Arial"/>
          <w:sz w:val="24"/>
          <w:szCs w:val="24"/>
        </w:rPr>
      </w:pPr>
    </w:p>
    <w:p w14:paraId="00E8232C" w14:textId="3210E2DA" w:rsidR="00BA6B85" w:rsidRDefault="00BA6B85" w:rsidP="00BA6B85">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sidR="00680807">
        <w:rPr>
          <w:rFonts w:cs="Arial"/>
          <w:b/>
          <w:i w:val="0"/>
          <w:noProof/>
          <w:color w:val="000000"/>
          <w:sz w:val="24"/>
          <w:lang w:eastAsia="es-MX"/>
        </w:rPr>
        <w:t>El</w:t>
      </w:r>
      <w:r w:rsidRPr="00535EDD">
        <w:rPr>
          <w:rFonts w:cs="Arial"/>
          <w:b/>
          <w:i w:val="0"/>
          <w:noProof/>
          <w:color w:val="000000"/>
          <w:sz w:val="24"/>
          <w:lang w:eastAsia="es-MX"/>
        </w:rPr>
        <w:t xml:space="preserve"> Recurrente, </w:t>
      </w:r>
      <w:r>
        <w:rPr>
          <w:rFonts w:cs="Arial"/>
          <w:i w:val="0"/>
          <w:noProof/>
          <w:color w:val="000000"/>
          <w:sz w:val="24"/>
          <w:lang w:eastAsia="es-MX"/>
        </w:rPr>
        <w:t>actualizan</w:t>
      </w:r>
      <w:r w:rsidRPr="00535EDD">
        <w:rPr>
          <w:rFonts w:cs="Arial"/>
          <w:i w:val="0"/>
          <w:noProof/>
          <w:color w:val="000000"/>
          <w:sz w:val="24"/>
          <w:lang w:eastAsia="es-MX"/>
        </w:rPr>
        <w:t xml:space="preserve"> las hipotesis normativas previstas en el artículo 179, fracciones I</w:t>
      </w:r>
      <w:r>
        <w:rPr>
          <w:rFonts w:cs="Arial"/>
          <w:i w:val="0"/>
          <w:noProof/>
          <w:color w:val="000000"/>
          <w:sz w:val="24"/>
          <w:lang w:eastAsia="es-MX"/>
        </w:rPr>
        <w:t xml:space="preserve"> y </w:t>
      </w:r>
      <w:r w:rsidR="00680807">
        <w:rPr>
          <w:rFonts w:cs="Arial"/>
          <w:i w:val="0"/>
          <w:noProof/>
          <w:color w:val="000000"/>
          <w:sz w:val="24"/>
          <w:lang w:eastAsia="es-MX"/>
        </w:rPr>
        <w:t>IV</w:t>
      </w:r>
      <w:r>
        <w:rPr>
          <w:rFonts w:cs="Arial"/>
          <w:i w:val="0"/>
          <w:noProof/>
          <w:color w:val="000000"/>
          <w:sz w:val="24"/>
          <w:lang w:eastAsia="es-MX"/>
        </w:rPr>
        <w:t xml:space="preserve"> de la Ley de Transparencia y Acceso a la Información Pública del Estado de Mexico y Municipios, cuyo contenido literal es el siguiente: </w:t>
      </w:r>
    </w:p>
    <w:p w14:paraId="6499EF21" w14:textId="77777777" w:rsidR="00BA6B85" w:rsidRDefault="00BA6B85" w:rsidP="00BA6B85">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0077A769" w14:textId="77777777" w:rsidR="00BA6B85" w:rsidRDefault="00BA6B85" w:rsidP="00BA6B85">
      <w:pPr>
        <w:pStyle w:val="Citas"/>
      </w:pPr>
      <w:r>
        <w:t>I. La negativa a la información solicitada;</w:t>
      </w:r>
    </w:p>
    <w:p w14:paraId="095E06EB" w14:textId="77777777" w:rsidR="00BA6B85" w:rsidRDefault="00BA6B85" w:rsidP="00BA6B85">
      <w:pPr>
        <w:pStyle w:val="Citas"/>
      </w:pPr>
      <w:r>
        <w:t>(…)</w:t>
      </w:r>
    </w:p>
    <w:p w14:paraId="1BD662F8" w14:textId="77777777" w:rsidR="00680807" w:rsidRPr="00680807" w:rsidRDefault="00680807" w:rsidP="00BA6B85">
      <w:pPr>
        <w:pStyle w:val="Citas"/>
        <w:rPr>
          <w:b/>
          <w:bCs/>
          <w:noProof/>
          <w:color w:val="000000"/>
          <w:sz w:val="24"/>
          <w:u w:val="single"/>
          <w:lang w:eastAsia="es-MX"/>
        </w:rPr>
      </w:pPr>
      <w:r w:rsidRPr="00680807">
        <w:rPr>
          <w:b/>
          <w:bCs/>
          <w:u w:val="single"/>
        </w:rPr>
        <w:t>IV. La declaración de incompetencia por el sujeto obligado;</w:t>
      </w:r>
      <w:r w:rsidRPr="00680807">
        <w:rPr>
          <w:b/>
          <w:bCs/>
          <w:noProof/>
          <w:color w:val="000000"/>
          <w:sz w:val="24"/>
          <w:u w:val="single"/>
          <w:lang w:eastAsia="es-MX"/>
        </w:rPr>
        <w:t xml:space="preserve"> </w:t>
      </w:r>
    </w:p>
    <w:p w14:paraId="57A918F8" w14:textId="4CDB8050" w:rsidR="00BA6B85" w:rsidRPr="005A12AE" w:rsidRDefault="00BA6B85" w:rsidP="00BA6B85">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75708DB9" w14:textId="4BDB4D95" w:rsidR="00A70774" w:rsidRPr="00ED1B05" w:rsidRDefault="00A70774" w:rsidP="00ED1B05">
      <w:pPr>
        <w:pStyle w:val="Citas"/>
        <w:tabs>
          <w:tab w:val="left" w:pos="7470"/>
        </w:tabs>
        <w:ind w:left="0" w:right="72"/>
        <w:rPr>
          <w:i w:val="0"/>
          <w:iCs/>
          <w:sz w:val="24"/>
          <w:szCs w:val="24"/>
        </w:rPr>
      </w:pPr>
      <w:r w:rsidRPr="00111048">
        <w:rPr>
          <w:i w:val="0"/>
          <w:sz w:val="24"/>
          <w:szCs w:val="24"/>
        </w:rPr>
        <w:lastRenderedPageBreak/>
        <w:t xml:space="preserve">Bajo este contexto, respecto de las manifestaciones realizadas por </w:t>
      </w:r>
      <w:r w:rsidRPr="00111048">
        <w:rPr>
          <w:b/>
          <w:bCs/>
          <w:i w:val="0"/>
          <w:sz w:val="24"/>
          <w:szCs w:val="24"/>
        </w:rPr>
        <w:t>E</w:t>
      </w:r>
      <w:r w:rsidR="008A5146" w:rsidRPr="00111048">
        <w:rPr>
          <w:b/>
          <w:bCs/>
          <w:i w:val="0"/>
          <w:sz w:val="24"/>
          <w:szCs w:val="24"/>
        </w:rPr>
        <w:t>l</w:t>
      </w:r>
      <w:r w:rsidRPr="00111048">
        <w:rPr>
          <w:b/>
          <w:bCs/>
          <w:i w:val="0"/>
          <w:sz w:val="24"/>
          <w:szCs w:val="24"/>
        </w:rPr>
        <w:t xml:space="preserve"> Recurrente </w:t>
      </w:r>
      <w:r w:rsidRPr="00111048">
        <w:rPr>
          <w:i w:val="0"/>
          <w:sz w:val="24"/>
          <w:szCs w:val="24"/>
        </w:rPr>
        <w:t xml:space="preserve">como razones o motivos de inconformidad consistentes en: </w:t>
      </w:r>
      <w:r w:rsidRPr="00111048">
        <w:rPr>
          <w:iCs/>
          <w:sz w:val="24"/>
          <w:szCs w:val="24"/>
        </w:rPr>
        <w:t>“</w:t>
      </w:r>
      <w:r w:rsidR="00ED1B05" w:rsidRPr="00111048">
        <w:rPr>
          <w:color w:val="000000"/>
          <w:sz w:val="24"/>
          <w:szCs w:val="24"/>
        </w:rPr>
        <w:t xml:space="preserve">Pido se dé vista a la Secretaría de la Controlaría por incumplimiento a los deberes impuestos por </w:t>
      </w:r>
      <w:proofErr w:type="spellStart"/>
      <w:r w:rsidR="00ED1B05" w:rsidRPr="00111048">
        <w:rPr>
          <w:color w:val="000000"/>
          <w:sz w:val="24"/>
          <w:szCs w:val="24"/>
        </w:rPr>
        <w:t>al</w:t>
      </w:r>
      <w:proofErr w:type="spellEnd"/>
      <w:r w:rsidR="00ED1B05" w:rsidRPr="00111048">
        <w:rPr>
          <w:color w:val="000000"/>
          <w:sz w:val="24"/>
          <w:szCs w:val="24"/>
        </w:rPr>
        <w:t xml:space="preserve"> Ley de la materia por parte del personal de la Secretaría de Finanzas”; </w:t>
      </w:r>
      <w:r w:rsidR="00ED1B05" w:rsidRPr="00111048">
        <w:rPr>
          <w:i w:val="0"/>
          <w:iCs/>
          <w:color w:val="000000"/>
          <w:sz w:val="24"/>
          <w:szCs w:val="24"/>
        </w:rPr>
        <w:t xml:space="preserve">y derivado de que el Recurso de Revisión no es el medio para sancionar, este </w:t>
      </w:r>
      <w:r w:rsidRPr="00111048">
        <w:rPr>
          <w:i w:val="0"/>
          <w:iCs/>
          <w:color w:val="000000" w:themeColor="text1"/>
          <w:sz w:val="24"/>
          <w:szCs w:val="24"/>
        </w:rPr>
        <w:t>Órgano Garante</w:t>
      </w:r>
      <w:r w:rsidRPr="00111048">
        <w:rPr>
          <w:i w:val="0"/>
          <w:iCs/>
          <w:sz w:val="24"/>
          <w:szCs w:val="24"/>
        </w:rPr>
        <w:t xml:space="preserve"> sugiere al solicitante, interponer su queja o denuncia ante la autoridad competente</w:t>
      </w:r>
      <w:r w:rsidRPr="00111048">
        <w:rPr>
          <w:i w:val="0"/>
          <w:iCs/>
          <w:color w:val="000000" w:themeColor="text1"/>
          <w:sz w:val="24"/>
          <w:szCs w:val="24"/>
        </w:rPr>
        <w:t>.</w:t>
      </w:r>
    </w:p>
    <w:p w14:paraId="22E8EBA5" w14:textId="0ED7166B" w:rsidR="00680807" w:rsidRDefault="00B44ADE" w:rsidP="00B44ADE">
      <w:pPr>
        <w:pStyle w:val="Citas"/>
        <w:tabs>
          <w:tab w:val="left" w:pos="7470"/>
        </w:tabs>
        <w:ind w:left="0" w:right="72"/>
        <w:rPr>
          <w:i w:val="0"/>
          <w:sz w:val="24"/>
          <w:szCs w:val="24"/>
        </w:rPr>
      </w:pPr>
      <w:r>
        <w:rPr>
          <w:i w:val="0"/>
          <w:sz w:val="24"/>
          <w:szCs w:val="24"/>
        </w:rPr>
        <w:t xml:space="preserve">Por otra parte, como fue referido en el antecedente quinto, </w:t>
      </w:r>
      <w:r w:rsidR="008056BC">
        <w:rPr>
          <w:i w:val="0"/>
          <w:sz w:val="24"/>
          <w:szCs w:val="24"/>
        </w:rPr>
        <w:t>en fecha</w:t>
      </w:r>
      <w:r w:rsidR="00BA6B85">
        <w:rPr>
          <w:i w:val="0"/>
          <w:sz w:val="24"/>
          <w:szCs w:val="24"/>
        </w:rPr>
        <w:t xml:space="preserve"> </w:t>
      </w:r>
      <w:r w:rsidR="00DF26DE">
        <w:rPr>
          <w:i w:val="0"/>
          <w:sz w:val="24"/>
          <w:szCs w:val="24"/>
        </w:rPr>
        <w:t xml:space="preserve">once de enero del presente, </w:t>
      </w:r>
      <w:r w:rsidR="00DF26DE">
        <w:rPr>
          <w:b/>
          <w:bCs/>
          <w:i w:val="0"/>
          <w:sz w:val="24"/>
          <w:szCs w:val="24"/>
        </w:rPr>
        <w:t xml:space="preserve">El Sujeto Obligado </w:t>
      </w:r>
      <w:r w:rsidR="00DF26DE">
        <w:rPr>
          <w:i w:val="0"/>
          <w:sz w:val="24"/>
          <w:szCs w:val="24"/>
        </w:rPr>
        <w:t>rindió su informe justificado, el cual fue puesto a la vista del particular y se nutre en los siguientes términos:</w:t>
      </w:r>
    </w:p>
    <w:p w14:paraId="5B127B59" w14:textId="76288BF9" w:rsidR="006137C9" w:rsidRPr="006137C9" w:rsidRDefault="00DF26DE">
      <w:pPr>
        <w:pStyle w:val="Citas"/>
        <w:numPr>
          <w:ilvl w:val="0"/>
          <w:numId w:val="9"/>
        </w:numPr>
        <w:tabs>
          <w:tab w:val="left" w:pos="7470"/>
        </w:tabs>
        <w:ind w:right="72"/>
        <w:rPr>
          <w:b/>
          <w:iCs/>
          <w:sz w:val="24"/>
          <w:szCs w:val="24"/>
          <w:u w:val="single"/>
        </w:rPr>
      </w:pPr>
      <w:r w:rsidRPr="006137C9">
        <w:rPr>
          <w:b/>
          <w:bCs/>
          <w:i w:val="0"/>
          <w:sz w:val="24"/>
          <w:szCs w:val="24"/>
        </w:rPr>
        <w:t xml:space="preserve">“RR 17260-2022 DGP.pdf”: </w:t>
      </w:r>
      <w:r w:rsidRPr="006137C9">
        <w:rPr>
          <w:i w:val="0"/>
          <w:sz w:val="24"/>
          <w:szCs w:val="24"/>
        </w:rPr>
        <w:t xml:space="preserve">Oficio número </w:t>
      </w:r>
      <w:r w:rsidRPr="006137C9">
        <w:rPr>
          <w:b/>
          <w:bCs/>
          <w:i w:val="0"/>
          <w:sz w:val="24"/>
          <w:szCs w:val="24"/>
        </w:rPr>
        <w:t xml:space="preserve">20706004000100S-404/2022 </w:t>
      </w:r>
      <w:r w:rsidRPr="006137C9">
        <w:rPr>
          <w:i w:val="0"/>
          <w:sz w:val="24"/>
          <w:szCs w:val="24"/>
        </w:rPr>
        <w:t>signado por el Jefe de la Unidad y Servidor Público Habilitado de la Dirección General de Personal y dirigido a</w:t>
      </w:r>
      <w:r w:rsidR="006137C9" w:rsidRPr="006137C9">
        <w:rPr>
          <w:i w:val="0"/>
          <w:sz w:val="24"/>
          <w:szCs w:val="24"/>
        </w:rPr>
        <w:t xml:space="preserve">l Jefe de la </w:t>
      </w:r>
      <w:r w:rsidR="006137C9" w:rsidRPr="006137C9">
        <w:rPr>
          <w:bCs/>
          <w:i w:val="0"/>
          <w:sz w:val="24"/>
          <w:szCs w:val="24"/>
        </w:rPr>
        <w:t>Unidad de Información, Planeación, Programación y Evaluación y Responsable de la Unidad de Transparencia</w:t>
      </w:r>
      <w:r w:rsidR="006137C9">
        <w:rPr>
          <w:bCs/>
          <w:i w:val="0"/>
          <w:sz w:val="24"/>
          <w:szCs w:val="24"/>
        </w:rPr>
        <w:t xml:space="preserve">, de fecha dieciséis de diciembre de dos mil veintidós, en lo medular refiere </w:t>
      </w:r>
      <w:r w:rsidR="00960728">
        <w:rPr>
          <w:bCs/>
          <w:i w:val="0"/>
          <w:sz w:val="24"/>
          <w:szCs w:val="24"/>
        </w:rPr>
        <w:t>ratificar la respuesta primigenia. Asimismo, con relación al documento adjuntó a la interposición del recurso de revisión, se remite el documento</w:t>
      </w:r>
      <w:r w:rsidR="006137C9">
        <w:rPr>
          <w:bCs/>
          <w:i w:val="0"/>
          <w:sz w:val="24"/>
          <w:szCs w:val="24"/>
        </w:rPr>
        <w:t xml:space="preserve"> </w:t>
      </w:r>
      <w:r w:rsidR="006137C9">
        <w:rPr>
          <w:b/>
          <w:i w:val="0"/>
          <w:sz w:val="24"/>
          <w:szCs w:val="24"/>
        </w:rPr>
        <w:t xml:space="preserve">Actualización en los parámetros de cálculo y aportaciones 2021 y 2022, </w:t>
      </w:r>
      <w:r w:rsidR="006137C9">
        <w:rPr>
          <w:bCs/>
          <w:i w:val="0"/>
          <w:sz w:val="24"/>
          <w:szCs w:val="24"/>
        </w:rPr>
        <w:t xml:space="preserve">emitidos por el Instituto de Seguridad Social del Estado de México y Municipios </w:t>
      </w:r>
      <w:r w:rsidR="006137C9" w:rsidRPr="006137C9">
        <w:rPr>
          <w:b/>
          <w:i w:val="0"/>
          <w:sz w:val="24"/>
          <w:szCs w:val="24"/>
          <w:u w:val="single"/>
        </w:rPr>
        <w:t xml:space="preserve">a efecto de que la persona esté en posibilidades de realizar sus cálculos, analizar su situación particular y, en su caso, acudir a su Coordinación Administrativa o equivalente, para realizar las gestiones pertinentes. </w:t>
      </w:r>
    </w:p>
    <w:p w14:paraId="09586316" w14:textId="185629BB" w:rsidR="00DF26DE" w:rsidRPr="00E63CA7" w:rsidRDefault="00DF26DE">
      <w:pPr>
        <w:pStyle w:val="Citas"/>
        <w:numPr>
          <w:ilvl w:val="0"/>
          <w:numId w:val="9"/>
        </w:numPr>
        <w:tabs>
          <w:tab w:val="left" w:pos="7470"/>
        </w:tabs>
        <w:ind w:right="72"/>
        <w:rPr>
          <w:b/>
          <w:bCs/>
          <w:i w:val="0"/>
          <w:sz w:val="24"/>
          <w:szCs w:val="24"/>
        </w:rPr>
      </w:pPr>
      <w:r w:rsidRPr="006137C9">
        <w:rPr>
          <w:b/>
          <w:bCs/>
          <w:i w:val="0"/>
          <w:sz w:val="24"/>
          <w:szCs w:val="24"/>
        </w:rPr>
        <w:t>“RR 17260-2022 DGP ANEXO.pdf”:</w:t>
      </w:r>
      <w:r w:rsidR="006137C9" w:rsidRPr="006137C9">
        <w:rPr>
          <w:b/>
          <w:bCs/>
          <w:i w:val="0"/>
          <w:sz w:val="24"/>
          <w:szCs w:val="24"/>
        </w:rPr>
        <w:t xml:space="preserve"> </w:t>
      </w:r>
      <w:r w:rsidR="006137C9" w:rsidRPr="006137C9">
        <w:rPr>
          <w:i w:val="0"/>
          <w:sz w:val="24"/>
          <w:szCs w:val="24"/>
        </w:rPr>
        <w:t>Compila lo</w:t>
      </w:r>
      <w:r w:rsidR="006137C9">
        <w:rPr>
          <w:i w:val="0"/>
          <w:sz w:val="24"/>
          <w:szCs w:val="24"/>
        </w:rPr>
        <w:t>s siguientes documentos:</w:t>
      </w:r>
    </w:p>
    <w:p w14:paraId="7866DEF2" w14:textId="77777777" w:rsidR="00E63CA7" w:rsidRPr="009166C1" w:rsidRDefault="00E63CA7">
      <w:pPr>
        <w:pStyle w:val="Citas"/>
        <w:numPr>
          <w:ilvl w:val="0"/>
          <w:numId w:val="10"/>
        </w:numPr>
        <w:tabs>
          <w:tab w:val="left" w:pos="7470"/>
        </w:tabs>
        <w:ind w:right="72"/>
        <w:rPr>
          <w:b/>
          <w:bCs/>
          <w:i w:val="0"/>
          <w:sz w:val="24"/>
          <w:szCs w:val="24"/>
        </w:rPr>
      </w:pPr>
      <w:r>
        <w:rPr>
          <w:i w:val="0"/>
          <w:sz w:val="24"/>
          <w:szCs w:val="24"/>
        </w:rPr>
        <w:lastRenderedPageBreak/>
        <w:t xml:space="preserve">Boletín No. </w:t>
      </w:r>
      <w:r w:rsidRPr="009166C1">
        <w:rPr>
          <w:b/>
          <w:bCs/>
          <w:i w:val="0"/>
          <w:sz w:val="24"/>
          <w:szCs w:val="24"/>
        </w:rPr>
        <w:t>01/2021</w:t>
      </w:r>
      <w:r>
        <w:rPr>
          <w:i w:val="0"/>
          <w:sz w:val="24"/>
          <w:szCs w:val="24"/>
        </w:rPr>
        <w:t xml:space="preserve"> rubricado por el secretario del Consejo Directivo del Instituto de Seguridad Social del Estado de México y Municipios, </w:t>
      </w:r>
      <w:r w:rsidRPr="00737D10">
        <w:rPr>
          <w:b/>
          <w:bCs/>
          <w:i w:val="0"/>
          <w:sz w:val="24"/>
          <w:szCs w:val="24"/>
          <w:u w:val="single"/>
        </w:rPr>
        <w:t>mediante el cual se informa fundamento jurídico y actualizaciones en los parámetros para el cálculo de cuotas y aportaciones de Seguridad Social para el ejercicio 2021 relativas a los siguientes rubros: Topes quincenales para el cálculo de cuotas y aportaciones de Seguridad Social para el ejercicio 2021;</w:t>
      </w:r>
      <w:r>
        <w:rPr>
          <w:i w:val="0"/>
          <w:sz w:val="24"/>
          <w:szCs w:val="24"/>
        </w:rPr>
        <w:t xml:space="preserve"> Aportación quincenal para las estancias para el desarrollo infantil; Porcentaje de prima de siniestralidad. </w:t>
      </w:r>
    </w:p>
    <w:p w14:paraId="1D83E7CC" w14:textId="77777777" w:rsidR="00E63CA7" w:rsidRPr="009166C1" w:rsidRDefault="00E63CA7">
      <w:pPr>
        <w:pStyle w:val="Citas"/>
        <w:numPr>
          <w:ilvl w:val="0"/>
          <w:numId w:val="10"/>
        </w:numPr>
        <w:tabs>
          <w:tab w:val="left" w:pos="7470"/>
        </w:tabs>
        <w:ind w:right="72"/>
        <w:rPr>
          <w:b/>
          <w:bCs/>
          <w:i w:val="0"/>
          <w:sz w:val="24"/>
          <w:szCs w:val="24"/>
        </w:rPr>
      </w:pPr>
      <w:r>
        <w:rPr>
          <w:i w:val="0"/>
          <w:sz w:val="24"/>
          <w:szCs w:val="24"/>
        </w:rPr>
        <w:t xml:space="preserve">Foja 16 relativa a ejemplar del Periódico Oficial “Gaceta de Gobierno del Estado de México” de fecha doce de noviembre de dos mil veinte, de su lectura integral se advierte la confirmación y modificación de diversas aportaciones por riesgos de trabajo correspondientes al ejercicio 2021. </w:t>
      </w:r>
    </w:p>
    <w:p w14:paraId="68603694" w14:textId="77777777" w:rsidR="00E63CA7" w:rsidRPr="009252C5" w:rsidRDefault="00E63CA7">
      <w:pPr>
        <w:pStyle w:val="Citas"/>
        <w:numPr>
          <w:ilvl w:val="0"/>
          <w:numId w:val="10"/>
        </w:numPr>
        <w:tabs>
          <w:tab w:val="left" w:pos="7470"/>
        </w:tabs>
        <w:ind w:right="72"/>
        <w:rPr>
          <w:b/>
          <w:bCs/>
          <w:i w:val="0"/>
          <w:sz w:val="24"/>
          <w:szCs w:val="24"/>
        </w:rPr>
      </w:pPr>
      <w:r>
        <w:rPr>
          <w:i w:val="0"/>
          <w:sz w:val="24"/>
          <w:szCs w:val="24"/>
        </w:rPr>
        <w:t xml:space="preserve">Boletín </w:t>
      </w:r>
      <w:r>
        <w:rPr>
          <w:b/>
          <w:bCs/>
          <w:i w:val="0"/>
          <w:sz w:val="24"/>
          <w:szCs w:val="24"/>
        </w:rPr>
        <w:t xml:space="preserve">01/2022 </w:t>
      </w:r>
      <w:r>
        <w:rPr>
          <w:i w:val="0"/>
          <w:sz w:val="24"/>
          <w:szCs w:val="24"/>
        </w:rPr>
        <w:t xml:space="preserve">emitido por el Instituto de Seguridad Social del Estado de México y Municipios, </w:t>
      </w:r>
      <w:r w:rsidRPr="00737D10">
        <w:rPr>
          <w:b/>
          <w:bCs/>
          <w:i w:val="0"/>
          <w:sz w:val="24"/>
          <w:szCs w:val="24"/>
          <w:u w:val="single"/>
        </w:rPr>
        <w:t>mediante el cual se informa fundamento jurídico y actualizaciones en los parámetros para el cálculo de cuotas y aportaciones de Seguridad Social para el ejercicio 2022 relativas a los siguientes rubros:</w:t>
      </w:r>
      <w:r>
        <w:rPr>
          <w:i w:val="0"/>
          <w:sz w:val="24"/>
          <w:szCs w:val="24"/>
        </w:rPr>
        <w:t xml:space="preserve"> </w:t>
      </w:r>
      <w:r w:rsidRPr="00737D10">
        <w:rPr>
          <w:b/>
          <w:bCs/>
          <w:i w:val="0"/>
          <w:sz w:val="24"/>
          <w:szCs w:val="24"/>
          <w:u w:val="single"/>
        </w:rPr>
        <w:t>Topes quincenales para el cálculo de cuotas y aportaciones de Seguridad Social para el ejercicio 2022;</w:t>
      </w:r>
      <w:r>
        <w:rPr>
          <w:b/>
          <w:bCs/>
          <w:i w:val="0"/>
          <w:sz w:val="24"/>
          <w:szCs w:val="24"/>
        </w:rPr>
        <w:t xml:space="preserve"> </w:t>
      </w:r>
      <w:r>
        <w:rPr>
          <w:i w:val="0"/>
          <w:sz w:val="24"/>
          <w:szCs w:val="24"/>
        </w:rPr>
        <w:t xml:space="preserve">Aportación quincenal para las estancias para el desarrollo infantil; Porcentaje de prima de siniestralidad. </w:t>
      </w:r>
    </w:p>
    <w:p w14:paraId="4E1AB1D1" w14:textId="77777777" w:rsidR="00E63CA7" w:rsidRPr="00737D10" w:rsidRDefault="00E63CA7">
      <w:pPr>
        <w:pStyle w:val="Citas"/>
        <w:numPr>
          <w:ilvl w:val="0"/>
          <w:numId w:val="10"/>
        </w:numPr>
        <w:tabs>
          <w:tab w:val="left" w:pos="7470"/>
        </w:tabs>
        <w:ind w:right="72"/>
        <w:rPr>
          <w:b/>
          <w:bCs/>
          <w:i w:val="0"/>
          <w:sz w:val="24"/>
          <w:szCs w:val="24"/>
        </w:rPr>
      </w:pPr>
      <w:r>
        <w:rPr>
          <w:i w:val="0"/>
          <w:sz w:val="24"/>
          <w:szCs w:val="24"/>
        </w:rPr>
        <w:t xml:space="preserve">Fojas 83 y 84 relativas a ejemplar del Periódico Oficial “Gaceta del Gobierno del Estado de México”, de fecha veinte de diciembre de dos mil veintiuno, de su lectura integral se advierte el fundamento y </w:t>
      </w:r>
      <w:r>
        <w:rPr>
          <w:i w:val="0"/>
          <w:sz w:val="24"/>
          <w:szCs w:val="24"/>
        </w:rPr>
        <w:lastRenderedPageBreak/>
        <w:t>aprobación de dos acuerdos relativos a “Aportaciones por riesgos de trabajo 2022” y “Fórmula para la determinación de la prima de siniestralidad”</w:t>
      </w:r>
    </w:p>
    <w:p w14:paraId="6E0814A6" w14:textId="0CCD3DE2" w:rsidR="00E63CA7" w:rsidRPr="00393EF0" w:rsidRDefault="00E63CA7">
      <w:pPr>
        <w:pStyle w:val="Citas"/>
        <w:numPr>
          <w:ilvl w:val="0"/>
          <w:numId w:val="9"/>
        </w:numPr>
        <w:tabs>
          <w:tab w:val="left" w:pos="7470"/>
        </w:tabs>
        <w:ind w:right="72"/>
        <w:rPr>
          <w:b/>
          <w:bCs/>
          <w:i w:val="0"/>
          <w:sz w:val="24"/>
          <w:szCs w:val="24"/>
        </w:rPr>
      </w:pPr>
      <w:r>
        <w:rPr>
          <w:b/>
          <w:bCs/>
          <w:i w:val="0"/>
          <w:sz w:val="24"/>
          <w:szCs w:val="24"/>
        </w:rPr>
        <w:t xml:space="preserve">“Informe Justificado RR 17260-2022.pdf”: </w:t>
      </w:r>
      <w:r>
        <w:rPr>
          <w:i w:val="0"/>
          <w:sz w:val="24"/>
          <w:szCs w:val="24"/>
        </w:rPr>
        <w:t xml:space="preserve">Informe justificado signado por el Titular de la Unidad de Transparencia de la Secretaría de Finanzas y dirigido al Comisionado Ponente, en lo medular expone </w:t>
      </w:r>
      <w:r w:rsidR="00393EF0">
        <w:rPr>
          <w:i w:val="0"/>
          <w:sz w:val="24"/>
          <w:szCs w:val="24"/>
        </w:rPr>
        <w:t>las siguientes premisas argumentativas:</w:t>
      </w:r>
    </w:p>
    <w:p w14:paraId="384B3D25" w14:textId="77777777" w:rsidR="004C59D6" w:rsidRPr="004C59D6" w:rsidRDefault="00393EF0">
      <w:pPr>
        <w:pStyle w:val="Citas"/>
        <w:numPr>
          <w:ilvl w:val="0"/>
          <w:numId w:val="11"/>
        </w:numPr>
        <w:tabs>
          <w:tab w:val="left" w:pos="7470"/>
        </w:tabs>
        <w:ind w:right="72"/>
        <w:rPr>
          <w:b/>
          <w:bCs/>
          <w:i w:val="0"/>
          <w:sz w:val="24"/>
          <w:szCs w:val="24"/>
        </w:rPr>
      </w:pPr>
      <w:r>
        <w:rPr>
          <w:i w:val="0"/>
          <w:sz w:val="24"/>
          <w:szCs w:val="24"/>
        </w:rPr>
        <w:t xml:space="preserve">Que </w:t>
      </w:r>
      <w:r w:rsidR="004C59D6">
        <w:rPr>
          <w:i w:val="0"/>
          <w:sz w:val="24"/>
          <w:szCs w:val="24"/>
        </w:rPr>
        <w:t xml:space="preserve">la solicitud de información </w:t>
      </w:r>
      <w:r w:rsidR="004C59D6">
        <w:rPr>
          <w:b/>
          <w:bCs/>
          <w:i w:val="0"/>
          <w:sz w:val="24"/>
          <w:szCs w:val="24"/>
        </w:rPr>
        <w:t xml:space="preserve">00523/SF/IP/2022 </w:t>
      </w:r>
      <w:r w:rsidR="004C59D6">
        <w:rPr>
          <w:i w:val="0"/>
          <w:sz w:val="24"/>
          <w:szCs w:val="24"/>
        </w:rPr>
        <w:t>fue atendida en estricta observancia al numeral 12 de la Ley de Transparencia local.</w:t>
      </w:r>
    </w:p>
    <w:p w14:paraId="6728F065" w14:textId="77777777" w:rsidR="004C59D6" w:rsidRPr="004C59D6" w:rsidRDefault="004C59D6">
      <w:pPr>
        <w:pStyle w:val="Citas"/>
        <w:numPr>
          <w:ilvl w:val="0"/>
          <w:numId w:val="11"/>
        </w:numPr>
        <w:tabs>
          <w:tab w:val="left" w:pos="7470"/>
        </w:tabs>
        <w:ind w:right="72"/>
        <w:rPr>
          <w:b/>
          <w:bCs/>
          <w:i w:val="0"/>
          <w:sz w:val="24"/>
          <w:szCs w:val="24"/>
        </w:rPr>
      </w:pPr>
      <w:r>
        <w:rPr>
          <w:i w:val="0"/>
          <w:sz w:val="24"/>
          <w:szCs w:val="24"/>
        </w:rPr>
        <w:t xml:space="preserve">Que los sujetos obligaros no se encuentran constreñidos a generar documentos ad hoc, conforme al criterio </w:t>
      </w:r>
      <w:r>
        <w:rPr>
          <w:b/>
          <w:bCs/>
          <w:i w:val="0"/>
          <w:sz w:val="24"/>
          <w:szCs w:val="24"/>
        </w:rPr>
        <w:t xml:space="preserve">03/17 </w:t>
      </w:r>
      <w:r>
        <w:rPr>
          <w:i w:val="0"/>
          <w:sz w:val="24"/>
          <w:szCs w:val="24"/>
        </w:rPr>
        <w:t>emitido por el Órgano Garante Nacional cuyo rubro dispone “No existe obligación de generar documentos ad hoc para atender las solicitudes de acceso a la información”</w:t>
      </w:r>
    </w:p>
    <w:p w14:paraId="38CBBD33" w14:textId="5882C363" w:rsidR="00393EF0" w:rsidRPr="006137C9" w:rsidRDefault="004C59D6">
      <w:pPr>
        <w:pStyle w:val="Citas"/>
        <w:numPr>
          <w:ilvl w:val="0"/>
          <w:numId w:val="11"/>
        </w:numPr>
        <w:tabs>
          <w:tab w:val="left" w:pos="7470"/>
        </w:tabs>
        <w:ind w:right="72"/>
        <w:rPr>
          <w:b/>
          <w:bCs/>
          <w:i w:val="0"/>
          <w:sz w:val="24"/>
          <w:szCs w:val="24"/>
        </w:rPr>
      </w:pPr>
      <w:r>
        <w:rPr>
          <w:i w:val="0"/>
          <w:sz w:val="24"/>
          <w:szCs w:val="24"/>
        </w:rPr>
        <w:t xml:space="preserve">Que si bien es cierto que inicialmente declinó competencia a favor de la Secretaría de Educación, mediante informe justificado remitió la documentación denominada “Actualización en los parámetros de </w:t>
      </w:r>
      <w:proofErr w:type="spellStart"/>
      <w:r>
        <w:rPr>
          <w:i w:val="0"/>
          <w:sz w:val="24"/>
          <w:szCs w:val="24"/>
        </w:rPr>
        <w:t>calculo</w:t>
      </w:r>
      <w:proofErr w:type="spellEnd"/>
      <w:r>
        <w:rPr>
          <w:i w:val="0"/>
          <w:sz w:val="24"/>
          <w:szCs w:val="24"/>
        </w:rPr>
        <w:t xml:space="preserve"> y aportaciones” </w:t>
      </w:r>
      <w:r w:rsidR="006803B4">
        <w:rPr>
          <w:i w:val="0"/>
          <w:sz w:val="24"/>
          <w:szCs w:val="24"/>
        </w:rPr>
        <w:t xml:space="preserve">correspondiente a los ejercicios dos mil veintiuno y dos mil veintidós emitidos por el Instituto de Seguridad Social del Estado de México y Municipios, a efecto de que el solicitante este en posibilidad de realizar sus cálculos y en su caso acudir a la </w:t>
      </w:r>
      <w:r w:rsidR="006803B4">
        <w:rPr>
          <w:i w:val="0"/>
          <w:sz w:val="24"/>
          <w:szCs w:val="24"/>
        </w:rPr>
        <w:lastRenderedPageBreak/>
        <w:t xml:space="preserve">Coordinación Administrativa o equivalente, para que realice las gestiones pertinentes. </w:t>
      </w:r>
      <w:r>
        <w:rPr>
          <w:i w:val="0"/>
          <w:sz w:val="24"/>
          <w:szCs w:val="24"/>
        </w:rPr>
        <w:t xml:space="preserve"> </w:t>
      </w:r>
      <w:r w:rsidR="00D1386C">
        <w:rPr>
          <w:i w:val="0"/>
          <w:sz w:val="24"/>
          <w:szCs w:val="24"/>
        </w:rPr>
        <w:t xml:space="preserve"> </w:t>
      </w:r>
    </w:p>
    <w:p w14:paraId="3E3C9C28" w14:textId="2E051881" w:rsidR="00737D10" w:rsidRDefault="00737D10" w:rsidP="00737D10">
      <w:pPr>
        <w:pStyle w:val="Citas"/>
        <w:tabs>
          <w:tab w:val="left" w:pos="7470"/>
        </w:tabs>
        <w:ind w:left="720" w:right="72"/>
        <w:rPr>
          <w:i w:val="0"/>
          <w:sz w:val="24"/>
          <w:szCs w:val="24"/>
        </w:rPr>
      </w:pPr>
    </w:p>
    <w:p w14:paraId="46E0DEC5" w14:textId="77684AB0" w:rsidR="009166C1" w:rsidRPr="006803B4" w:rsidRDefault="006803B4" w:rsidP="009166C1">
      <w:pPr>
        <w:pStyle w:val="Citas"/>
        <w:tabs>
          <w:tab w:val="left" w:pos="7470"/>
        </w:tabs>
        <w:ind w:left="0" w:right="72"/>
        <w:rPr>
          <w:i w:val="0"/>
          <w:sz w:val="24"/>
          <w:szCs w:val="24"/>
        </w:rPr>
      </w:pPr>
      <w:r>
        <w:rPr>
          <w:i w:val="0"/>
          <w:sz w:val="24"/>
          <w:szCs w:val="24"/>
        </w:rPr>
        <w:t xml:space="preserve">De ahí que deba arribarse a la premisa de que inicialmente </w:t>
      </w:r>
      <w:r>
        <w:rPr>
          <w:b/>
          <w:bCs/>
          <w:i w:val="0"/>
          <w:sz w:val="24"/>
          <w:szCs w:val="24"/>
        </w:rPr>
        <w:t xml:space="preserve">El Sujeto Obligado </w:t>
      </w:r>
      <w:r>
        <w:rPr>
          <w:i w:val="0"/>
          <w:sz w:val="24"/>
          <w:szCs w:val="24"/>
        </w:rPr>
        <w:t xml:space="preserve">declinó competencia de manera extemporánea, orientando al particular a formular la solicitud de información ante la </w:t>
      </w:r>
      <w:r>
        <w:rPr>
          <w:b/>
          <w:bCs/>
          <w:i w:val="0"/>
          <w:sz w:val="24"/>
          <w:szCs w:val="24"/>
        </w:rPr>
        <w:t xml:space="preserve">Secretaría de Educación del Gobierno del Estado de México. </w:t>
      </w:r>
      <w:r>
        <w:rPr>
          <w:i w:val="0"/>
          <w:sz w:val="24"/>
          <w:szCs w:val="24"/>
        </w:rPr>
        <w:t>No obstante lo anterior, mediante informe justificado remite los únicos documentales que obran en sus archivos relativos a la actualización de los parámetros de cálculo y aportaciones correspondientes a los ejercicios dos mil veintiuno y dos mil veintidós</w:t>
      </w:r>
      <w:r w:rsidR="00A51F43">
        <w:rPr>
          <w:i w:val="0"/>
          <w:sz w:val="24"/>
          <w:szCs w:val="24"/>
        </w:rPr>
        <w:t xml:space="preserve">, los cuales reflejan fundamento legal. Asimismo, se pronuncia respecto del procedimiento para inconformarse por deducciones no reconocidas. </w:t>
      </w:r>
    </w:p>
    <w:p w14:paraId="64774BDA" w14:textId="317A01DB" w:rsidR="00737D10" w:rsidRDefault="006803B4" w:rsidP="009166C1">
      <w:pPr>
        <w:pStyle w:val="Citas"/>
        <w:tabs>
          <w:tab w:val="left" w:pos="7470"/>
        </w:tabs>
        <w:ind w:left="0" w:right="72"/>
        <w:rPr>
          <w:b/>
          <w:bCs/>
          <w:i w:val="0"/>
          <w:sz w:val="24"/>
          <w:szCs w:val="24"/>
        </w:rPr>
      </w:pPr>
      <w:r>
        <w:rPr>
          <w:i w:val="0"/>
          <w:sz w:val="24"/>
          <w:szCs w:val="24"/>
        </w:rPr>
        <w:t xml:space="preserve">Luego entonces, en términos del numeral 12 de la Ley de Transparencia local, se arriba a la premisa de que mediante informe justificado se proporcionaron novedosos elementos encauzados a atender la solicitud de información </w:t>
      </w:r>
      <w:r w:rsidRPr="006803B4">
        <w:rPr>
          <w:b/>
          <w:bCs/>
          <w:i w:val="0"/>
          <w:sz w:val="24"/>
          <w:szCs w:val="24"/>
        </w:rPr>
        <w:t>00523/SF/IP/2022</w:t>
      </w:r>
      <w:r w:rsidR="001D59CF">
        <w:rPr>
          <w:b/>
          <w:bCs/>
          <w:i w:val="0"/>
          <w:sz w:val="24"/>
          <w:szCs w:val="24"/>
        </w:rPr>
        <w:t>.</w:t>
      </w:r>
    </w:p>
    <w:p w14:paraId="73BFB118" w14:textId="77777777" w:rsidR="001D59CF" w:rsidRPr="00A51F43" w:rsidRDefault="001D59CF" w:rsidP="001D59CF">
      <w:pPr>
        <w:pStyle w:val="Default"/>
        <w:spacing w:before="240" w:after="160" w:line="360" w:lineRule="auto"/>
        <w:jc w:val="both"/>
        <w:rPr>
          <w:rFonts w:ascii="Palatino Linotype" w:hAnsi="Palatino Linotype"/>
          <w:iCs/>
          <w:noProof/>
          <w:lang w:eastAsia="es-MX"/>
        </w:rPr>
      </w:pPr>
      <w:r w:rsidRPr="00A51F43">
        <w:rPr>
          <w:rFonts w:ascii="Palatino Linotype" w:hAnsi="Palatino Linotype"/>
          <w:iCs/>
        </w:rPr>
        <w:t xml:space="preserve">En virtud de lo anterior, cobra particular relevancia el criterio </w:t>
      </w:r>
      <w:r w:rsidRPr="00A51F43">
        <w:rPr>
          <w:rFonts w:ascii="Palatino Linotype" w:hAnsi="Palatino Linotype"/>
          <w:iCs/>
          <w:noProof/>
          <w:lang w:eastAsia="es-MX"/>
        </w:rPr>
        <w:t xml:space="preserve">03/17 del Instituto Nacional de Transparencia, Acceso a la Información y Protección de Datos Personales, que dispone a la literalidad lo siguiente: </w:t>
      </w:r>
    </w:p>
    <w:p w14:paraId="1BF9E2C7" w14:textId="77777777" w:rsidR="001D59CF" w:rsidRDefault="001D59CF" w:rsidP="001D59CF">
      <w:pPr>
        <w:pStyle w:val="Citas"/>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5C7DA5E9" w14:textId="77777777" w:rsidR="001D59CF" w:rsidRPr="00465B9A" w:rsidRDefault="001D59CF" w:rsidP="001D59CF">
      <w:pPr>
        <w:pStyle w:val="Citas"/>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 xml:space="preserve">deberán otorgar acceso a los </w:t>
      </w:r>
      <w:r>
        <w:lastRenderedPageBreak/>
        <w:t>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5B52CFA2" w14:textId="77777777" w:rsidR="001D59CF" w:rsidRDefault="001D59CF" w:rsidP="001D59CF">
      <w:pPr>
        <w:pStyle w:val="Citas"/>
        <w:rPr>
          <w:b/>
        </w:rPr>
      </w:pPr>
      <w:r>
        <w:rPr>
          <w:b/>
        </w:rPr>
        <w:t>Resoluciones</w:t>
      </w:r>
      <w:r w:rsidRPr="00015541">
        <w:rPr>
          <w:b/>
        </w:rPr>
        <w:t>:</w:t>
      </w:r>
    </w:p>
    <w:p w14:paraId="12F45A96" w14:textId="77777777" w:rsidR="001D59CF" w:rsidRDefault="001D59CF" w:rsidP="001D59CF">
      <w:pPr>
        <w:pStyle w:val="Citas"/>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4343F313" w14:textId="77777777" w:rsidR="001D59CF" w:rsidRPr="008C50C4" w:rsidRDefault="001D59CF" w:rsidP="001D59CF">
      <w:pPr>
        <w:pStyle w:val="Citas"/>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20D0FDCA" w14:textId="77777777" w:rsidR="001D59CF" w:rsidRPr="003A136D" w:rsidRDefault="001D59CF" w:rsidP="001D59CF">
      <w:pPr>
        <w:pStyle w:val="Citas"/>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0CA4F8B7" w14:textId="77777777" w:rsidR="001D59CF" w:rsidRDefault="001D59CF" w:rsidP="001D59CF">
      <w:pPr>
        <w:spacing w:before="100" w:beforeAutospacing="1" w:after="100" w:afterAutospacing="1" w:line="360" w:lineRule="auto"/>
        <w:jc w:val="both"/>
        <w:rPr>
          <w:rFonts w:ascii="Palatino Linotype" w:hAnsi="Palatino Linotype"/>
          <w:sz w:val="24"/>
          <w:szCs w:val="24"/>
        </w:rPr>
      </w:pPr>
    </w:p>
    <w:p w14:paraId="2FE63F27" w14:textId="77777777" w:rsidR="001D59CF" w:rsidRPr="00D12F4B" w:rsidRDefault="001D59CF" w:rsidP="001D59CF">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N</w:t>
      </w:r>
      <w:r w:rsidRPr="00D12F4B">
        <w:rPr>
          <w:rFonts w:ascii="Palatino Linotype" w:hAnsi="Palatino Linotype"/>
          <w:sz w:val="24"/>
          <w:szCs w:val="24"/>
        </w:rPr>
        <w:t xml:space="preserve">o se omite comentar que, al haber existido un pronunciamiento por parte del </w:t>
      </w:r>
      <w:r>
        <w:rPr>
          <w:rFonts w:ascii="Palatino Linotype" w:hAnsi="Palatino Linotype"/>
          <w:b/>
          <w:sz w:val="24"/>
          <w:szCs w:val="24"/>
        </w:rPr>
        <w:t>Sujeto Obligado</w:t>
      </w:r>
      <w:r w:rsidRPr="00D12F4B">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2F117743" w14:textId="77777777" w:rsidR="001D59CF" w:rsidRPr="00D12F4B" w:rsidRDefault="001D59CF" w:rsidP="001D59CF">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lastRenderedPageBreak/>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4C1912BE" w14:textId="77777777" w:rsidR="001D59CF" w:rsidRPr="003A41AE" w:rsidRDefault="001D59CF" w:rsidP="001D59CF">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78F0CED9" w14:textId="77777777" w:rsidR="001D59CF" w:rsidRDefault="001D59CF" w:rsidP="001D59CF">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493C5424" w14:textId="77777777" w:rsidR="001D59CF" w:rsidRDefault="001D59CF" w:rsidP="001D59CF">
      <w:pPr>
        <w:pStyle w:val="Citas"/>
      </w:pPr>
      <w:r w:rsidRPr="00D02076">
        <w:t xml:space="preserve">Expedientes: </w:t>
      </w:r>
    </w:p>
    <w:p w14:paraId="2A74C5EA" w14:textId="77777777" w:rsidR="001D59CF" w:rsidRDefault="001D59CF">
      <w:pPr>
        <w:pStyle w:val="Citas"/>
        <w:numPr>
          <w:ilvl w:val="0"/>
          <w:numId w:val="2"/>
        </w:numPr>
      </w:pPr>
      <w:r w:rsidRPr="00D02076">
        <w:t xml:space="preserve">2440/07 Comisión Federal de Electricidad - Alonso Lujambio Irazábal </w:t>
      </w:r>
    </w:p>
    <w:p w14:paraId="5CD97DDE" w14:textId="77777777" w:rsidR="001D59CF" w:rsidRDefault="001D59CF">
      <w:pPr>
        <w:pStyle w:val="Citas"/>
        <w:numPr>
          <w:ilvl w:val="0"/>
          <w:numId w:val="2"/>
        </w:numPr>
      </w:pPr>
      <w:r w:rsidRPr="00D02076">
        <w:t xml:space="preserve">0113/09 Instituto de Seguridad y Servicios Sociales de los Trabajadores del Estado – Alonso Lujambio Irazábal </w:t>
      </w:r>
    </w:p>
    <w:p w14:paraId="1EBEA204" w14:textId="77777777" w:rsidR="001D59CF" w:rsidRDefault="001D59CF">
      <w:pPr>
        <w:pStyle w:val="Citas"/>
        <w:numPr>
          <w:ilvl w:val="0"/>
          <w:numId w:val="2"/>
        </w:numPr>
      </w:pPr>
      <w:r w:rsidRPr="00D02076">
        <w:lastRenderedPageBreak/>
        <w:t xml:space="preserve">1624/09 Instituto Nacional para la Educación de los Adultos - María </w:t>
      </w:r>
      <w:proofErr w:type="spellStart"/>
      <w:r w:rsidRPr="00D02076">
        <w:t>Marván</w:t>
      </w:r>
      <w:proofErr w:type="spellEnd"/>
      <w:r w:rsidRPr="00D02076">
        <w:t xml:space="preserve"> Laborde </w:t>
      </w:r>
    </w:p>
    <w:p w14:paraId="125A2A4E" w14:textId="77777777" w:rsidR="001D59CF" w:rsidRDefault="001D59CF">
      <w:pPr>
        <w:pStyle w:val="Citas"/>
        <w:numPr>
          <w:ilvl w:val="0"/>
          <w:numId w:val="2"/>
        </w:numPr>
      </w:pPr>
      <w:r w:rsidRPr="00D02076">
        <w:t xml:space="preserve">2395/09 Secretaría de Economía - María </w:t>
      </w:r>
      <w:proofErr w:type="spellStart"/>
      <w:r w:rsidRPr="00D02076">
        <w:t>Marván</w:t>
      </w:r>
      <w:proofErr w:type="spellEnd"/>
      <w:r w:rsidRPr="00D02076">
        <w:t xml:space="preserve"> Laborde </w:t>
      </w:r>
    </w:p>
    <w:p w14:paraId="2815A451" w14:textId="77777777" w:rsidR="001D59CF" w:rsidRPr="00D02076" w:rsidRDefault="001D59CF">
      <w:pPr>
        <w:pStyle w:val="Citas"/>
        <w:numPr>
          <w:ilvl w:val="0"/>
          <w:numId w:val="2"/>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17A03FA4" w14:textId="77777777" w:rsidR="00226341" w:rsidRPr="00E5738E" w:rsidRDefault="00226341" w:rsidP="00226341">
      <w:pPr>
        <w:spacing w:line="360" w:lineRule="auto"/>
        <w:jc w:val="both"/>
        <w:rPr>
          <w:rFonts w:ascii="Palatino Linotype" w:hAnsi="Palatino Linotype" w:cs="Arial"/>
          <w:sz w:val="24"/>
          <w:szCs w:val="24"/>
        </w:rPr>
      </w:pPr>
      <w:r w:rsidRPr="00E5738E">
        <w:rPr>
          <w:rFonts w:ascii="Palatino Linotype" w:hAnsi="Palatino Linotype" w:cs="Arial"/>
          <w:sz w:val="24"/>
          <w:szCs w:val="24"/>
        </w:rPr>
        <w:t>Por lo que hace a las causas de sobreseimiento contenidas en el artículo 192 de la Ley de Transparencia y Acceso a la Información Pública del Estado de México y Municipios,</w:t>
      </w:r>
      <w:r w:rsidRPr="007D53D6">
        <w:rPr>
          <w:rFonts w:ascii="Palatino Linotype" w:hAnsi="Palatino Linotype"/>
          <w:noProof/>
          <w:color w:val="000000"/>
        </w:rPr>
        <w:t xml:space="preserve"> </w:t>
      </w:r>
      <w:r w:rsidRPr="00E5738E">
        <w:rPr>
          <w:rFonts w:ascii="Palatino Linotype" w:hAnsi="Palatino Linotype" w:cs="Arial"/>
          <w:sz w:val="24"/>
          <w:szCs w:val="24"/>
        </w:rPr>
        <w:t xml:space="preserve"> es oportuno señalar que estos requisitos privilegian la existencia de elementos de fondo, tales como el d</w:t>
      </w:r>
      <w:r>
        <w:rPr>
          <w:rFonts w:ascii="Palatino Linotype" w:hAnsi="Palatino Linotype" w:cs="Arial"/>
          <w:sz w:val="24"/>
          <w:szCs w:val="24"/>
        </w:rPr>
        <w:t>esistimiento o fallecimiento del</w:t>
      </w:r>
      <w:r w:rsidRPr="00E5738E">
        <w:rPr>
          <w:rFonts w:ascii="Palatino Linotype" w:hAnsi="Palatino Linotype" w:cs="Arial"/>
          <w:b/>
          <w:sz w:val="24"/>
          <w:szCs w:val="24"/>
        </w:rPr>
        <w:t xml:space="preserve"> Recurrente </w:t>
      </w:r>
      <w:r w:rsidRPr="00E5738E">
        <w:rPr>
          <w:rFonts w:ascii="Palatino Linotype" w:hAnsi="Palatino Linotype" w:cs="Arial"/>
          <w:sz w:val="24"/>
          <w:szCs w:val="24"/>
        </w:rPr>
        <w:t xml:space="preserve">o que el </w:t>
      </w:r>
      <w:r w:rsidRPr="00E5738E">
        <w:rPr>
          <w:rFonts w:ascii="Palatino Linotype" w:hAnsi="Palatino Linotype" w:cs="Arial"/>
          <w:b/>
          <w:sz w:val="24"/>
          <w:szCs w:val="24"/>
        </w:rPr>
        <w:t xml:space="preserve">Sujeto Obligado </w:t>
      </w:r>
      <w:r>
        <w:rPr>
          <w:rFonts w:ascii="Palatino Linotype" w:hAnsi="Palatino Linotype" w:cs="Arial"/>
          <w:b/>
          <w:sz w:val="24"/>
          <w:szCs w:val="24"/>
          <w:u w:val="single"/>
        </w:rPr>
        <w:t>revoque</w:t>
      </w:r>
      <w:r w:rsidRPr="00E5738E">
        <w:rPr>
          <w:rFonts w:ascii="Palatino Linotype" w:hAnsi="Palatino Linotype" w:cs="Arial"/>
          <w:b/>
          <w:sz w:val="24"/>
          <w:szCs w:val="24"/>
          <w:u w:val="single"/>
        </w:rPr>
        <w:t xml:space="preserve"> el acto; </w:t>
      </w:r>
      <w:r w:rsidRPr="00E5738E">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79B63A76" w14:textId="77777777" w:rsidR="00226341" w:rsidRDefault="00226341" w:rsidP="00226341">
      <w:pPr>
        <w:spacing w:line="360" w:lineRule="auto"/>
        <w:jc w:val="both"/>
        <w:rPr>
          <w:rFonts w:ascii="Palatino Linotype" w:hAnsi="Palatino Linotype" w:cs="Arial"/>
          <w:sz w:val="24"/>
          <w:szCs w:val="24"/>
        </w:rPr>
      </w:pPr>
      <w:r w:rsidRPr="00E5738E">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5EEDB06F" w14:textId="77777777" w:rsidR="00226341" w:rsidRPr="009C1A6C" w:rsidRDefault="00226341" w:rsidP="00226341">
      <w:pPr>
        <w:pStyle w:val="Prrafodelista"/>
        <w:spacing w:before="240" w:after="160" w:line="360" w:lineRule="auto"/>
        <w:ind w:left="851" w:right="851"/>
        <w:jc w:val="both"/>
        <w:rPr>
          <w:rFonts w:ascii="Palatino Linotype" w:hAnsi="Palatino Linotype"/>
          <w:i/>
          <w:sz w:val="22"/>
          <w:szCs w:val="22"/>
        </w:rPr>
      </w:pPr>
      <w:r w:rsidRPr="009C1A6C">
        <w:rPr>
          <w:rFonts w:ascii="Palatino Linotype" w:hAnsi="Palatino Linotype"/>
          <w:i/>
          <w:sz w:val="22"/>
          <w:szCs w:val="22"/>
        </w:rPr>
        <w:t>“Época: Novena</w:t>
      </w:r>
    </w:p>
    <w:p w14:paraId="5F967DFF" w14:textId="77777777" w:rsidR="00226341" w:rsidRPr="009C1A6C" w:rsidRDefault="00226341" w:rsidP="00226341">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168019</w:t>
      </w:r>
    </w:p>
    <w:p w14:paraId="2B6C7A27" w14:textId="77777777" w:rsidR="00226341" w:rsidRPr="009C1A6C" w:rsidRDefault="00226341" w:rsidP="00226341">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Tesis Aislada</w:t>
      </w:r>
    </w:p>
    <w:p w14:paraId="7B96EDD3" w14:textId="77777777" w:rsidR="00226341" w:rsidRPr="009C1A6C" w:rsidRDefault="00226341" w:rsidP="00226341">
      <w:pPr>
        <w:pStyle w:val="Prrafodelista"/>
        <w:spacing w:before="240" w:after="160" w:line="360" w:lineRule="auto"/>
        <w:ind w:left="851" w:right="851"/>
        <w:jc w:val="both"/>
        <w:rPr>
          <w:rFonts w:ascii="Palatino Linotype" w:hAnsi="Palatino Linotype"/>
          <w:i/>
          <w:sz w:val="22"/>
          <w:szCs w:val="22"/>
        </w:rPr>
      </w:pPr>
      <w:r w:rsidRPr="009C1A6C">
        <w:rPr>
          <w:rFonts w:ascii="Palatino Linotype" w:hAnsi="Palatino Linotype"/>
          <w:i/>
          <w:sz w:val="22"/>
          <w:szCs w:val="22"/>
        </w:rPr>
        <w:t xml:space="preserve">Fuente: Semanario </w:t>
      </w:r>
      <w:r>
        <w:rPr>
          <w:rFonts w:ascii="Palatino Linotype" w:hAnsi="Palatino Linotype"/>
          <w:i/>
          <w:sz w:val="22"/>
          <w:szCs w:val="22"/>
        </w:rPr>
        <w:t>judicial de la federación y su G</w:t>
      </w:r>
      <w:r w:rsidRPr="009C1A6C">
        <w:rPr>
          <w:rFonts w:ascii="Palatino Linotype" w:hAnsi="Palatino Linotype"/>
          <w:i/>
          <w:sz w:val="22"/>
          <w:szCs w:val="22"/>
        </w:rPr>
        <w:t>aceta</w:t>
      </w:r>
    </w:p>
    <w:p w14:paraId="682EB8AD" w14:textId="77777777" w:rsidR="00226341" w:rsidRDefault="00226341" w:rsidP="00226341">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lastRenderedPageBreak/>
        <w:t>Tomo XXIX, Enero de 2009</w:t>
      </w:r>
    </w:p>
    <w:p w14:paraId="636FBCF5" w14:textId="77777777" w:rsidR="00226341" w:rsidRDefault="00226341" w:rsidP="00226341">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Común</w:t>
      </w:r>
    </w:p>
    <w:p w14:paraId="50B0E35C" w14:textId="77777777" w:rsidR="00226341" w:rsidRPr="009C1A6C" w:rsidRDefault="00226341" w:rsidP="00226341">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I.7o.C.54 K</w:t>
      </w:r>
    </w:p>
    <w:p w14:paraId="2D0F30E4" w14:textId="77777777" w:rsidR="00226341" w:rsidRPr="009C1A6C" w:rsidRDefault="00226341" w:rsidP="00226341">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2837</w:t>
      </w:r>
    </w:p>
    <w:p w14:paraId="3AD366F5" w14:textId="77777777" w:rsidR="00226341" w:rsidRPr="0004467E" w:rsidRDefault="00226341" w:rsidP="00226341">
      <w:pPr>
        <w:spacing w:line="360" w:lineRule="auto"/>
        <w:ind w:left="851" w:right="851"/>
        <w:jc w:val="both"/>
        <w:rPr>
          <w:rFonts w:ascii="Palatino Linotype" w:hAnsi="Palatino Linotype" w:cs="Arial"/>
          <w:b/>
          <w:i/>
        </w:rPr>
      </w:pPr>
      <w:r w:rsidRPr="0004467E">
        <w:rPr>
          <w:rFonts w:ascii="Palatino Linotype" w:hAnsi="Palatino Linotype" w:cs="Arial"/>
          <w:b/>
          <w:i/>
        </w:rPr>
        <w:t>SOBRESEIMIENTO EN EL JUICIO DE AMPARO DIRECTO. IMPIDE EL ESTUDIO DE LAS VIOLACIONES PROCESALES PLANTEADAS EN LOS CONCEPTOS DE VIOLACIÓN.</w:t>
      </w:r>
    </w:p>
    <w:p w14:paraId="5B218D75" w14:textId="77777777" w:rsidR="00226341" w:rsidRPr="0004467E" w:rsidRDefault="00226341" w:rsidP="00226341">
      <w:pPr>
        <w:spacing w:line="360" w:lineRule="auto"/>
        <w:ind w:left="851" w:right="851"/>
        <w:jc w:val="both"/>
        <w:rPr>
          <w:rFonts w:ascii="Palatino Linotype" w:hAnsi="Palatino Linotype"/>
          <w:i/>
          <w:color w:val="000000"/>
        </w:rPr>
      </w:pPr>
      <w:r w:rsidRPr="00BE0E81">
        <w:rPr>
          <w:rFonts w:ascii="Palatino Linotype" w:hAnsi="Palatino Linotype" w:cs="Arial"/>
          <w:b/>
          <w:i/>
          <w:u w:val="single"/>
        </w:rPr>
        <w:t>El sobreseimiento</w:t>
      </w:r>
      <w:r w:rsidRPr="0004467E">
        <w:rPr>
          <w:rFonts w:ascii="Palatino Linotype" w:hAnsi="Palatino Linotype" w:cs="Arial"/>
          <w:b/>
          <w:i/>
        </w:rPr>
        <w:t xml:space="preserve"> </w:t>
      </w:r>
      <w:r w:rsidRPr="0004467E">
        <w:rPr>
          <w:rFonts w:ascii="Palatino Linotype" w:hAnsi="Palatino Linotype" w:cs="Arial"/>
          <w:i/>
        </w:rPr>
        <w:t xml:space="preserve">en el juicio de amparo directo </w:t>
      </w:r>
      <w:r w:rsidRPr="00BE0E81">
        <w:rPr>
          <w:rFonts w:ascii="Palatino Linotype" w:hAnsi="Palatino Linotype" w:cs="Arial"/>
          <w:b/>
          <w:i/>
          <w:u w:val="single"/>
        </w:rPr>
        <w:t>provoca la terminación de la controversia planteada</w:t>
      </w:r>
      <w:r w:rsidRPr="0004467E">
        <w:rPr>
          <w:rFonts w:ascii="Palatino Linotype" w:hAnsi="Palatino Linotype" w:cs="Arial"/>
          <w:b/>
          <w:i/>
        </w:rPr>
        <w:t xml:space="preserve"> </w:t>
      </w:r>
      <w:r w:rsidRPr="0004467E">
        <w:rPr>
          <w:rFonts w:ascii="Palatino Linotype" w:hAnsi="Palatino Linotype" w:cs="Arial"/>
          <w:i/>
        </w:rPr>
        <w:t>por el quejoso en la demanda de amparo</w:t>
      </w:r>
      <w:r w:rsidRPr="0004467E">
        <w:rPr>
          <w:rFonts w:ascii="Calibri" w:hAnsi="Calibri"/>
          <w:color w:val="000000"/>
          <w:sz w:val="26"/>
          <w:szCs w:val="26"/>
        </w:rPr>
        <w:t xml:space="preserve"> </w:t>
      </w:r>
      <w:r w:rsidRPr="0004467E">
        <w:rPr>
          <w:rFonts w:ascii="Palatino Linotype" w:hAnsi="Palatino Linotype"/>
          <w:i/>
          <w:color w:val="000000"/>
        </w:rPr>
        <w:t xml:space="preserve">provoca la terminación de la controversia planteada por el quejoso en la demanda de </w:t>
      </w:r>
      <w:r w:rsidRPr="0004467E">
        <w:rPr>
          <w:rFonts w:ascii="Palatino Linotype" w:hAnsi="Palatino Linotype"/>
          <w:b/>
          <w:i/>
          <w:color w:val="000000"/>
        </w:rPr>
        <w:t>amparo</w:t>
      </w:r>
      <w:r w:rsidRPr="0004467E">
        <w:rPr>
          <w:rFonts w:ascii="Palatino Linotype" w:hAnsi="Palatino Linotype"/>
          <w:i/>
          <w:color w:val="000000"/>
        </w:rPr>
        <w:t>, sin hacer un pronunciamiento de fondo sobre la legalidad o ilegalidad de la sentencia reclamada. Por consiguiente, si al sobreseerse en el</w:t>
      </w:r>
      <w:r w:rsidRPr="0004467E">
        <w:rPr>
          <w:rFonts w:ascii="Palatino Linotype" w:hAnsi="Palatino Linotype"/>
          <w:b/>
          <w:i/>
          <w:color w:val="000000"/>
        </w:rPr>
        <w:t xml:space="preserve"> juicio </w:t>
      </w:r>
      <w:r w:rsidRPr="0004467E">
        <w:rPr>
          <w:rFonts w:ascii="Palatino Linotype" w:hAnsi="Palatino Linotype"/>
          <w:i/>
          <w:color w:val="000000"/>
        </w:rPr>
        <w:t xml:space="preserve">de </w:t>
      </w:r>
      <w:r w:rsidRPr="0004467E">
        <w:rPr>
          <w:rFonts w:ascii="Palatino Linotype" w:hAnsi="Palatino Linotype"/>
          <w:b/>
          <w:i/>
          <w:color w:val="000000"/>
        </w:rPr>
        <w:t>amparo</w:t>
      </w:r>
      <w:r w:rsidRPr="0004467E">
        <w:rPr>
          <w:rFonts w:ascii="Palatino Linotype" w:hAnsi="Palatino Linotype"/>
          <w:i/>
          <w:color w:val="000000"/>
        </w:rPr>
        <w:t xml:space="preserve"> no se pueden estudiar los planteamientos que se hacen valer en contra del fallo reclamado, tampoco se deben analizar las</w:t>
      </w:r>
      <w:r w:rsidRPr="0004467E">
        <w:rPr>
          <w:rFonts w:ascii="Palatino Linotype" w:hAnsi="Palatino Linotype"/>
          <w:b/>
          <w:i/>
          <w:color w:val="000000"/>
        </w:rPr>
        <w:t xml:space="preserve"> violaciones procesales</w:t>
      </w:r>
      <w:r w:rsidRPr="0004467E">
        <w:rPr>
          <w:rFonts w:ascii="Palatino Linotype" w:hAnsi="Palatino Linotype"/>
          <w:i/>
          <w:color w:val="000000"/>
        </w:rPr>
        <w:t xml:space="preserve"> propuestas en los </w:t>
      </w:r>
      <w:r w:rsidRPr="0004467E">
        <w:rPr>
          <w:rFonts w:ascii="Palatino Linotype" w:hAnsi="Palatino Linotype"/>
          <w:b/>
          <w:i/>
          <w:color w:val="000000"/>
        </w:rPr>
        <w:t xml:space="preserve">conceptos </w:t>
      </w:r>
      <w:r w:rsidRPr="0004467E">
        <w:rPr>
          <w:rFonts w:ascii="Palatino Linotype" w:hAnsi="Palatino Linotype"/>
          <w:i/>
          <w:color w:val="000000"/>
        </w:rPr>
        <w:t xml:space="preserve">de </w:t>
      </w:r>
      <w:r w:rsidRPr="0004467E">
        <w:rPr>
          <w:rFonts w:ascii="Palatino Linotype" w:hAnsi="Palatino Linotype"/>
          <w:b/>
          <w:i/>
          <w:color w:val="000000"/>
        </w:rPr>
        <w:t>violación</w:t>
      </w:r>
      <w:r w:rsidRPr="0004467E">
        <w:rPr>
          <w:rFonts w:ascii="Palatino Linotype" w:hAnsi="Palatino Linotype"/>
          <w:i/>
          <w:color w:val="000000"/>
        </w:rPr>
        <w:t xml:space="preserve">, dado que, la principal consecuencia del </w:t>
      </w:r>
      <w:r w:rsidRPr="0004467E">
        <w:rPr>
          <w:rFonts w:ascii="Palatino Linotype" w:hAnsi="Palatino Linotype"/>
          <w:b/>
          <w:i/>
          <w:color w:val="000000"/>
        </w:rPr>
        <w:t>sobreseimiento</w:t>
      </w:r>
      <w:r w:rsidRPr="0004467E">
        <w:rPr>
          <w:rFonts w:ascii="Palatino Linotype" w:hAnsi="Palatino Linotype"/>
          <w:i/>
          <w:color w:val="000000"/>
        </w:rPr>
        <w:t xml:space="preserve"> es poner fin al </w:t>
      </w:r>
      <w:r w:rsidRPr="0004467E">
        <w:rPr>
          <w:rFonts w:ascii="Palatino Linotype" w:hAnsi="Palatino Linotype"/>
          <w:b/>
          <w:i/>
          <w:color w:val="000000"/>
        </w:rPr>
        <w:t xml:space="preserve">juicio </w:t>
      </w:r>
      <w:r w:rsidRPr="0004467E">
        <w:rPr>
          <w:rFonts w:ascii="Palatino Linotype" w:hAnsi="Palatino Linotype"/>
          <w:i/>
          <w:color w:val="000000"/>
        </w:rPr>
        <w:t xml:space="preserve">de </w:t>
      </w:r>
      <w:r w:rsidRPr="0004467E">
        <w:rPr>
          <w:rFonts w:ascii="Palatino Linotype" w:hAnsi="Palatino Linotype"/>
          <w:b/>
          <w:i/>
          <w:color w:val="000000"/>
        </w:rPr>
        <w:t xml:space="preserve">amparo </w:t>
      </w:r>
      <w:r w:rsidRPr="0004467E">
        <w:rPr>
          <w:rFonts w:ascii="Palatino Linotype" w:hAnsi="Palatino Linotype"/>
          <w:i/>
          <w:color w:val="000000"/>
        </w:rPr>
        <w:t>sin resolver la controversia en sus méritos.  </w:t>
      </w:r>
    </w:p>
    <w:p w14:paraId="313CB425" w14:textId="77777777" w:rsidR="00226341" w:rsidRPr="0004467E" w:rsidRDefault="00226341" w:rsidP="00226341">
      <w:pPr>
        <w:spacing w:line="360" w:lineRule="auto"/>
        <w:ind w:left="851" w:right="851"/>
        <w:jc w:val="both"/>
        <w:rPr>
          <w:rFonts w:ascii="Palatino Linotype" w:hAnsi="Palatino Linotype" w:cs="Arial"/>
          <w:b/>
          <w:i/>
        </w:rPr>
      </w:pPr>
      <w:r w:rsidRPr="0004467E">
        <w:rPr>
          <w:rFonts w:ascii="Palatino Linotype" w:hAnsi="Palatino Linotype" w:cs="Arial"/>
          <w:b/>
          <w:i/>
        </w:rPr>
        <w:t>SÉPTIMO TRIBUNAL COLEGIADO EN MATERIA CIVIL DEL PRIMER CIRCUITO.</w:t>
      </w:r>
    </w:p>
    <w:p w14:paraId="00D7C5D7" w14:textId="77777777" w:rsidR="00226341" w:rsidRPr="0004467E" w:rsidRDefault="00226341" w:rsidP="00226341">
      <w:pPr>
        <w:spacing w:line="360" w:lineRule="auto"/>
        <w:ind w:left="851" w:right="851"/>
        <w:jc w:val="both"/>
        <w:rPr>
          <w:rFonts w:ascii="Palatino Linotype" w:hAnsi="Palatino Linotype" w:cs="Arial"/>
          <w:i/>
        </w:rPr>
      </w:pPr>
      <w:r w:rsidRPr="0004467E">
        <w:rPr>
          <w:rFonts w:ascii="Palatino Linotype" w:hAnsi="Palatino Linotype" w:cs="Arial"/>
          <w:i/>
        </w:rPr>
        <w:t>Amparo directo 699/2008. Mariana Leticia González Steele. 13 de noviembre de 2008. Unanimidad de votos. Ponente: Sara Judith Montalvo Trejo. Secretario: Arnulfo Mateos García.”</w:t>
      </w:r>
      <w:r w:rsidRPr="0004467E">
        <w:rPr>
          <w:rFonts w:ascii="Palatino Linotype" w:eastAsia="Times New Roman" w:hAnsi="Palatino Linotype" w:cs="Times New Roman"/>
          <w:b/>
          <w:i/>
          <w:lang w:val="es-ES_tradnl" w:eastAsia="es-ES"/>
        </w:rPr>
        <w:t xml:space="preserve"> [Sic]</w:t>
      </w:r>
    </w:p>
    <w:p w14:paraId="70CD66C6" w14:textId="77777777" w:rsidR="00226341" w:rsidRPr="0004467E" w:rsidRDefault="00226341" w:rsidP="00226341">
      <w:pPr>
        <w:ind w:right="141"/>
        <w:jc w:val="both"/>
        <w:rPr>
          <w:rFonts w:ascii="Palatino Linotype" w:hAnsi="Palatino Linotype" w:cs="Arial"/>
        </w:rPr>
      </w:pPr>
    </w:p>
    <w:p w14:paraId="12ECB770" w14:textId="77777777" w:rsidR="00226341" w:rsidRPr="0004467E" w:rsidRDefault="00226341" w:rsidP="00226341">
      <w:pPr>
        <w:spacing w:line="360" w:lineRule="auto"/>
        <w:jc w:val="both"/>
        <w:rPr>
          <w:rFonts w:ascii="Palatino Linotype" w:hAnsi="Palatino Linotype" w:cs="Arial"/>
          <w:sz w:val="24"/>
          <w:szCs w:val="24"/>
        </w:rPr>
      </w:pPr>
      <w:r w:rsidRPr="0004467E">
        <w:rPr>
          <w:rFonts w:ascii="Palatino Linotype" w:hAnsi="Palatino Linotype" w:cs="Arial"/>
          <w:sz w:val="24"/>
          <w:szCs w:val="24"/>
        </w:rPr>
        <w:lastRenderedPageBreak/>
        <w:t xml:space="preserve">De este modo, se puede deducir que en las resoluciones dictadas por el Pleno de este Instituto, en las que se decreta el sobreseimiento de un recurso de revisión por la actualización de alguno de los supuestos jurídicos contemplados en el </w:t>
      </w:r>
      <w:r w:rsidRPr="0004467E">
        <w:rPr>
          <w:rFonts w:ascii="Palatino Linotype" w:hAnsi="Palatino Linotype" w:cs="Arial"/>
          <w:b/>
          <w:sz w:val="24"/>
          <w:szCs w:val="24"/>
        </w:rPr>
        <w:t xml:space="preserve">artículo 192 </w:t>
      </w:r>
      <w:r w:rsidRPr="0004467E">
        <w:rPr>
          <w:rFonts w:ascii="Palatino Linotype" w:hAnsi="Palatino Linotype" w:cs="Arial"/>
          <w:sz w:val="24"/>
          <w:szCs w:val="24"/>
        </w:rPr>
        <w:t xml:space="preserve">de la </w:t>
      </w:r>
      <w:r w:rsidRPr="0004467E">
        <w:rPr>
          <w:rFonts w:ascii="Palatino Linotype" w:hAnsi="Palatino Linotype" w:cs="Arial"/>
          <w:b/>
          <w:sz w:val="24"/>
          <w:szCs w:val="24"/>
        </w:rPr>
        <w:t xml:space="preserve">Ley de Transparencia y Acceso a la Información Pública del Estado de México y Municipios, </w:t>
      </w:r>
      <w:r w:rsidRPr="0004467E">
        <w:rPr>
          <w:rFonts w:ascii="Palatino Linotype" w:hAnsi="Palatino Linotype" w:cs="Arial"/>
          <w:sz w:val="24"/>
          <w:szCs w:val="24"/>
        </w:rPr>
        <w:t xml:space="preserve">nos encontramos ante un sobreseimiento definitivo toda vez que pone fin al procedimiento sin entrar al estudio de fondo del mismo. </w:t>
      </w:r>
    </w:p>
    <w:p w14:paraId="1E460C4C" w14:textId="77777777" w:rsidR="00226341" w:rsidRPr="0004467E" w:rsidRDefault="00226341" w:rsidP="00226341">
      <w:pPr>
        <w:spacing w:line="360" w:lineRule="auto"/>
        <w:jc w:val="both"/>
        <w:rPr>
          <w:rFonts w:ascii="Palatino Linotype" w:hAnsi="Palatino Linotype" w:cs="Arial"/>
          <w:b/>
          <w:sz w:val="24"/>
          <w:szCs w:val="24"/>
        </w:rPr>
      </w:pPr>
      <w:r w:rsidRPr="0004467E">
        <w:rPr>
          <w:rFonts w:ascii="Palatino Linotype" w:hAnsi="Palatino Linotype" w:cs="Arial"/>
          <w:sz w:val="24"/>
          <w:szCs w:val="24"/>
        </w:rPr>
        <w:t xml:space="preserve">Para los efectos de esta resolución, resulta oportuno precisar los alcances jurídicos de la </w:t>
      </w:r>
      <w:r w:rsidRPr="0004467E">
        <w:rPr>
          <w:rFonts w:ascii="Palatino Linotype" w:hAnsi="Palatino Linotype" w:cs="Arial"/>
          <w:b/>
          <w:sz w:val="24"/>
          <w:szCs w:val="24"/>
        </w:rPr>
        <w:t xml:space="preserve">fracción III </w:t>
      </w:r>
      <w:r w:rsidRPr="0004467E">
        <w:rPr>
          <w:rFonts w:ascii="Palatino Linotype" w:hAnsi="Palatino Linotype" w:cs="Arial"/>
          <w:sz w:val="24"/>
          <w:szCs w:val="24"/>
        </w:rPr>
        <w:t xml:space="preserve">de la disposición legal transcrita. Así, procede el sobreseimiento del recurso de revisión cuando el </w:t>
      </w:r>
      <w:r w:rsidRPr="0004467E">
        <w:rPr>
          <w:rFonts w:ascii="Palatino Linotype" w:hAnsi="Palatino Linotype" w:cs="Arial"/>
          <w:b/>
          <w:sz w:val="24"/>
          <w:szCs w:val="24"/>
        </w:rPr>
        <w:t xml:space="preserve">Sujeto Obligado: </w:t>
      </w:r>
    </w:p>
    <w:p w14:paraId="00527377" w14:textId="77777777" w:rsidR="00226341" w:rsidRPr="009D68FF" w:rsidRDefault="00226341">
      <w:pPr>
        <w:pStyle w:val="Prrafodelista"/>
        <w:numPr>
          <w:ilvl w:val="0"/>
          <w:numId w:val="12"/>
        </w:numPr>
        <w:spacing w:line="360" w:lineRule="auto"/>
        <w:ind w:right="851"/>
        <w:jc w:val="both"/>
        <w:rPr>
          <w:rFonts w:ascii="Palatino Linotype" w:hAnsi="Palatino Linotype" w:cs="Arial"/>
          <w:b/>
        </w:rPr>
      </w:pPr>
      <w:r>
        <w:rPr>
          <w:rFonts w:ascii="Palatino Linotype" w:hAnsi="Palatino Linotype" w:cs="Arial"/>
          <w:b/>
        </w:rPr>
        <w:t>Revocar</w:t>
      </w:r>
      <w:r w:rsidRPr="0004467E">
        <w:rPr>
          <w:rFonts w:ascii="Palatino Linotype" w:hAnsi="Palatino Linotype" w:cs="Arial"/>
          <w:b/>
        </w:rPr>
        <w:t xml:space="preserve"> el acto impugnado: </w:t>
      </w:r>
      <w:r w:rsidRPr="0004467E">
        <w:rPr>
          <w:rFonts w:ascii="Palatino Linotype" w:hAnsi="Palatino Linotype" w:cs="Arial"/>
        </w:rPr>
        <w:t xml:space="preserve">Se actualiza cuando el </w:t>
      </w:r>
      <w:r w:rsidRPr="0004467E">
        <w:rPr>
          <w:rFonts w:ascii="Palatino Linotype" w:hAnsi="Palatino Linotype" w:cs="Arial"/>
          <w:b/>
        </w:rPr>
        <w:t xml:space="preserve">Sujeto Obligado </w:t>
      </w:r>
      <w:r w:rsidRPr="0004467E">
        <w:rPr>
          <w:rFonts w:ascii="Palatino Linotype" w:hAnsi="Palatino Linotype" w:cs="Arial"/>
        </w:rPr>
        <w:t xml:space="preserve">después de haber otorgado una respuesta y hasta antes de dictada la resolución del recurso de revisión, emite una </w:t>
      </w:r>
      <w:r>
        <w:rPr>
          <w:rFonts w:ascii="Palatino Linotype" w:hAnsi="Palatino Linotype" w:cs="Arial"/>
        </w:rPr>
        <w:t xml:space="preserve">totalmente </w:t>
      </w:r>
      <w:r w:rsidRPr="0004467E">
        <w:rPr>
          <w:rFonts w:ascii="Palatino Linotype" w:hAnsi="Palatino Linotype" w:cs="Arial"/>
        </w:rPr>
        <w:t>diversa</w:t>
      </w:r>
      <w:r>
        <w:rPr>
          <w:rFonts w:ascii="Palatino Linotype" w:hAnsi="Palatino Linotype" w:cs="Arial"/>
        </w:rPr>
        <w:t xml:space="preserve">. </w:t>
      </w:r>
    </w:p>
    <w:p w14:paraId="76244404" w14:textId="77777777" w:rsidR="00226341" w:rsidRPr="00E5738E" w:rsidRDefault="00226341" w:rsidP="00226341">
      <w:pPr>
        <w:pStyle w:val="Prrafodelista"/>
        <w:spacing w:line="360" w:lineRule="auto"/>
        <w:ind w:left="720" w:right="851"/>
        <w:jc w:val="both"/>
        <w:rPr>
          <w:rFonts w:ascii="Palatino Linotype" w:hAnsi="Palatino Linotype" w:cs="Arial"/>
          <w:b/>
        </w:rPr>
      </w:pPr>
    </w:p>
    <w:p w14:paraId="6852389A" w14:textId="77777777" w:rsidR="00226341" w:rsidRPr="0004467E" w:rsidRDefault="00226341" w:rsidP="00226341">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En este tenor, se advierte que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con la información enviada a este Órgano Garante, </w:t>
      </w:r>
      <w:r w:rsidRPr="006B52A3">
        <w:rPr>
          <w:rFonts w:ascii="Palatino Linotype" w:hAnsi="Palatino Linotype" w:cs="Arial"/>
          <w:b/>
          <w:sz w:val="24"/>
          <w:szCs w:val="24"/>
          <w:u w:val="single"/>
        </w:rPr>
        <w:t>revoca</w:t>
      </w:r>
      <w:r w:rsidRPr="0004467E">
        <w:rPr>
          <w:rFonts w:ascii="Palatino Linotype" w:hAnsi="Palatino Linotype" w:cs="Arial"/>
          <w:b/>
          <w:sz w:val="24"/>
          <w:szCs w:val="24"/>
        </w:rPr>
        <w:t xml:space="preserve"> </w:t>
      </w:r>
      <w:r w:rsidRPr="0004467E">
        <w:rPr>
          <w:rFonts w:ascii="Palatino Linotype" w:hAnsi="Palatino Linotype" w:cs="Arial"/>
          <w:sz w:val="24"/>
          <w:szCs w:val="24"/>
        </w:rPr>
        <w:t>el acto que le dio origen a</w:t>
      </w:r>
      <w:r>
        <w:rPr>
          <w:rFonts w:ascii="Palatino Linotype" w:hAnsi="Palatino Linotype" w:cs="Arial"/>
          <w:sz w:val="24"/>
          <w:szCs w:val="24"/>
        </w:rPr>
        <w:t>l</w:t>
      </w:r>
      <w:r w:rsidRPr="0004467E">
        <w:rPr>
          <w:rFonts w:ascii="Palatino Linotype" w:hAnsi="Palatino Linotype" w:cs="Arial"/>
          <w:sz w:val="24"/>
          <w:szCs w:val="24"/>
        </w:rPr>
        <w:t xml:space="preserve"> recurso de revisión, </w:t>
      </w:r>
      <w:r w:rsidRPr="0004467E">
        <w:rPr>
          <w:rFonts w:ascii="Palatino Linotype" w:hAnsi="Palatino Linotype" w:cs="Arial"/>
          <w:b/>
          <w:sz w:val="24"/>
          <w:szCs w:val="24"/>
        </w:rPr>
        <w:t xml:space="preserve">por lo que trae como consecuencia que </w:t>
      </w:r>
      <w:r>
        <w:rPr>
          <w:rFonts w:ascii="Palatino Linotype" w:hAnsi="Palatino Linotype" w:cs="Arial"/>
          <w:b/>
          <w:sz w:val="24"/>
          <w:szCs w:val="24"/>
        </w:rPr>
        <w:t>el mismo</w:t>
      </w:r>
      <w:r w:rsidRPr="0004467E">
        <w:rPr>
          <w:rFonts w:ascii="Palatino Linotype" w:hAnsi="Palatino Linotype" w:cs="Arial"/>
          <w:b/>
          <w:sz w:val="24"/>
          <w:szCs w:val="24"/>
        </w:rPr>
        <w:t xml:space="preserve"> quede sin materia, </w:t>
      </w:r>
      <w:r w:rsidRPr="0004467E">
        <w:rPr>
          <w:rFonts w:ascii="Palatino Linotype" w:hAnsi="Palatino Linotype" w:cs="Arial"/>
          <w:sz w:val="24"/>
          <w:szCs w:val="24"/>
        </w:rPr>
        <w:t xml:space="preserve">actualizándose de este modo, la hipótesis jurídica contenida en la fracción III del artículo 192. </w:t>
      </w:r>
    </w:p>
    <w:p w14:paraId="35524A6E" w14:textId="77777777" w:rsidR="00226341" w:rsidRPr="0004467E" w:rsidRDefault="00226341" w:rsidP="00226341">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cuando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Sujeto Obligado</w:t>
      </w:r>
      <w:r w:rsidRPr="0004467E">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sidRPr="0004467E">
        <w:rPr>
          <w:rFonts w:ascii="Palatino Linotype" w:hAnsi="Palatino Linotype" w:cs="Arial"/>
          <w:b/>
          <w:i/>
          <w:sz w:val="24"/>
          <w:szCs w:val="24"/>
        </w:rPr>
        <w:t xml:space="preserve">litis </w:t>
      </w:r>
      <w:r w:rsidRPr="0004467E">
        <w:rPr>
          <w:rFonts w:ascii="Palatino Linotype" w:hAnsi="Palatino Linotype" w:cs="Arial"/>
          <w:sz w:val="24"/>
          <w:szCs w:val="24"/>
        </w:rPr>
        <w:t xml:space="preserve">planteada, debido a que la afectación en su esfera de derechos fue restituida por la propia autoridad que emitió el acto de impugnación. </w:t>
      </w:r>
    </w:p>
    <w:p w14:paraId="30FE39AD" w14:textId="736F3DDE" w:rsidR="00226341" w:rsidRDefault="00226341" w:rsidP="00226341">
      <w:pPr>
        <w:tabs>
          <w:tab w:val="left" w:pos="7797"/>
        </w:tabs>
        <w:spacing w:line="360" w:lineRule="auto"/>
        <w:jc w:val="both"/>
        <w:rPr>
          <w:rFonts w:ascii="Palatino Linotype" w:hAnsi="Palatino Linotype" w:cs="Arial"/>
          <w:sz w:val="24"/>
          <w:szCs w:val="24"/>
        </w:rPr>
      </w:pPr>
      <w:r w:rsidRPr="0004467E">
        <w:rPr>
          <w:rFonts w:ascii="Palatino Linotype" w:hAnsi="Palatino Linotype" w:cs="Arial"/>
          <w:sz w:val="24"/>
          <w:szCs w:val="24"/>
        </w:rPr>
        <w:lastRenderedPageBreak/>
        <w:t xml:space="preserve">Por lo tanto, para que se actualice el sobreseimiento de un recurso de revisión,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puede entregar o completar la información al momento de rendir su </w:t>
      </w:r>
      <w:r w:rsidRPr="0004467E">
        <w:rPr>
          <w:rFonts w:ascii="Palatino Linotype" w:hAnsi="Palatino Linotype" w:cs="Arial"/>
          <w:b/>
          <w:sz w:val="24"/>
          <w:szCs w:val="24"/>
          <w:u w:val="single"/>
        </w:rPr>
        <w:t>informe de justificación dentro de los siete días</w:t>
      </w:r>
      <w:r w:rsidRPr="0004467E">
        <w:rPr>
          <w:rFonts w:ascii="Palatino Linotype" w:hAnsi="Palatino Linotype" w:cs="Arial"/>
          <w:b/>
          <w:sz w:val="24"/>
          <w:szCs w:val="24"/>
        </w:rPr>
        <w:t xml:space="preserve"> </w:t>
      </w:r>
      <w:r w:rsidRPr="0004467E">
        <w:rPr>
          <w:rFonts w:ascii="Palatino Linotype" w:hAnsi="Palatino Linotype" w:cs="Arial"/>
          <w:sz w:val="24"/>
          <w:szCs w:val="24"/>
        </w:rPr>
        <w:t>previstos para manifestar lo que a su derecho convenga</w:t>
      </w:r>
      <w:r>
        <w:rPr>
          <w:rFonts w:ascii="Palatino Linotype" w:hAnsi="Palatino Linotype" w:cs="Arial"/>
          <w:sz w:val="24"/>
          <w:szCs w:val="24"/>
        </w:rPr>
        <w:t>.</w:t>
      </w:r>
    </w:p>
    <w:p w14:paraId="23F761EA" w14:textId="6490C8AE" w:rsidR="00226341" w:rsidRPr="00717553" w:rsidRDefault="00226341" w:rsidP="00226341">
      <w:pPr>
        <w:tabs>
          <w:tab w:val="left" w:pos="8080"/>
        </w:tabs>
        <w:spacing w:line="360" w:lineRule="auto"/>
        <w:jc w:val="both"/>
        <w:rPr>
          <w:rFonts w:ascii="Palatino Linotype" w:hAnsi="Palatino Linotype" w:cs="Arial"/>
          <w:sz w:val="24"/>
          <w:szCs w:val="24"/>
        </w:rPr>
      </w:pPr>
      <w:r w:rsidRPr="002E3488">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El</w:t>
      </w:r>
      <w:r w:rsidRPr="002E3488">
        <w:rPr>
          <w:rFonts w:ascii="Palatino Linotype" w:hAnsi="Palatino Linotype" w:cs="Arial"/>
          <w:b/>
          <w:sz w:val="24"/>
          <w:szCs w:val="24"/>
        </w:rPr>
        <w:t xml:space="preserve"> Recurrente </w:t>
      </w:r>
      <w:r w:rsidRPr="002E3488">
        <w:rPr>
          <w:rFonts w:ascii="Palatino Linotype" w:hAnsi="Palatino Linotype" w:cs="Arial"/>
          <w:sz w:val="24"/>
          <w:szCs w:val="24"/>
        </w:rPr>
        <w:t>en s</w:t>
      </w:r>
      <w:r>
        <w:rPr>
          <w:rFonts w:ascii="Palatino Linotype" w:hAnsi="Palatino Linotype" w:cs="Arial"/>
          <w:sz w:val="24"/>
          <w:szCs w:val="24"/>
        </w:rPr>
        <w:t>u medio de impugnación que fue</w:t>
      </w:r>
      <w:r w:rsidRPr="002E3488">
        <w:rPr>
          <w:rFonts w:ascii="Palatino Linotype" w:hAnsi="Palatino Linotype" w:cs="Arial"/>
          <w:sz w:val="24"/>
          <w:szCs w:val="24"/>
        </w:rPr>
        <w:t xml:space="preserve"> materia de estudio, por ello </w:t>
      </w:r>
      <w:r w:rsidRPr="002E3488">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2E3488">
        <w:rPr>
          <w:rFonts w:ascii="Palatino Linotype" w:hAnsi="Palatino Linotype" w:cs="Arial"/>
          <w:sz w:val="24"/>
          <w:szCs w:val="24"/>
        </w:rPr>
        <w:t xml:space="preserve">se </w:t>
      </w:r>
      <w:r w:rsidRPr="002E3488">
        <w:rPr>
          <w:rFonts w:ascii="Palatino Linotype" w:hAnsi="Palatino Linotype" w:cs="Arial"/>
          <w:b/>
          <w:sz w:val="24"/>
          <w:szCs w:val="24"/>
        </w:rPr>
        <w:t xml:space="preserve">SOBRESEE </w:t>
      </w:r>
      <w:r w:rsidRPr="002E3488">
        <w:rPr>
          <w:rFonts w:ascii="Palatino Linotype" w:hAnsi="Palatino Linotype" w:cs="Arial"/>
          <w:sz w:val="24"/>
          <w:szCs w:val="24"/>
        </w:rPr>
        <w:t xml:space="preserve">el recurso de revisión </w:t>
      </w:r>
      <w:r>
        <w:rPr>
          <w:rFonts w:ascii="Palatino Linotype" w:hAnsi="Palatino Linotype" w:cs="Arial"/>
          <w:b/>
          <w:sz w:val="24"/>
          <w:szCs w:val="24"/>
          <w:lang w:val="es-ES_tradnl"/>
        </w:rPr>
        <w:t>17260</w:t>
      </w:r>
      <w:r w:rsidRPr="002E3488">
        <w:rPr>
          <w:rFonts w:ascii="Palatino Linotype" w:hAnsi="Palatino Linotype" w:cs="Arial"/>
          <w:b/>
          <w:sz w:val="24"/>
          <w:szCs w:val="24"/>
          <w:lang w:val="es-ES_tradnl"/>
        </w:rPr>
        <w:t>/INFOEM/IP/RR/20</w:t>
      </w:r>
      <w:r>
        <w:rPr>
          <w:rFonts w:ascii="Palatino Linotype" w:hAnsi="Palatino Linotype" w:cs="Arial"/>
          <w:b/>
          <w:sz w:val="24"/>
          <w:szCs w:val="24"/>
          <w:lang w:val="es-ES_tradnl"/>
        </w:rPr>
        <w:t>22</w:t>
      </w:r>
      <w:r w:rsidRPr="002E3488">
        <w:rPr>
          <w:rFonts w:ascii="Palatino Linotype" w:hAnsi="Palatino Linotype" w:cs="Arial"/>
          <w:b/>
          <w:sz w:val="24"/>
          <w:szCs w:val="24"/>
          <w:lang w:val="es-ES_tradnl"/>
        </w:rPr>
        <w:t xml:space="preserve">, </w:t>
      </w:r>
      <w:r w:rsidRPr="002E3488">
        <w:rPr>
          <w:rFonts w:ascii="Palatino Linotype" w:hAnsi="Palatino Linotype" w:cs="Arial"/>
          <w:sz w:val="24"/>
          <w:szCs w:val="24"/>
          <w:lang w:val="es-ES_tradnl"/>
        </w:rPr>
        <w:t>que ha sido materia del presente fallo.</w:t>
      </w:r>
      <w:r>
        <w:rPr>
          <w:rFonts w:ascii="Palatino Linotype" w:hAnsi="Palatino Linotype" w:cs="Arial"/>
          <w:sz w:val="24"/>
          <w:szCs w:val="24"/>
          <w:lang w:val="es-ES_tradnl"/>
        </w:rPr>
        <w:t xml:space="preserve"> </w:t>
      </w:r>
    </w:p>
    <w:p w14:paraId="64740D18" w14:textId="77777777" w:rsidR="00226341" w:rsidRPr="00523CF0" w:rsidRDefault="00226341" w:rsidP="00226341">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28CD12B2" w14:textId="77777777" w:rsidR="00D52C1F" w:rsidRDefault="00D52C1F" w:rsidP="00C514C0">
      <w:pPr>
        <w:spacing w:line="360" w:lineRule="auto"/>
        <w:contextualSpacing/>
        <w:jc w:val="both"/>
        <w:rPr>
          <w:rFonts w:ascii="Palatino Linotype" w:eastAsia="Palatino Linotype" w:hAnsi="Palatino Linotype" w:cs="Palatino Linotype"/>
          <w:sz w:val="24"/>
          <w:szCs w:val="24"/>
        </w:rPr>
      </w:pPr>
    </w:p>
    <w:p w14:paraId="0C69279F" w14:textId="77777777" w:rsidR="00D52C1F" w:rsidRDefault="00D52C1F" w:rsidP="00D508EB">
      <w:pPr>
        <w:spacing w:after="0" w:line="360" w:lineRule="auto"/>
        <w:jc w:val="center"/>
        <w:rPr>
          <w:rFonts w:ascii="Palatino Linotype" w:eastAsia="Times New Roman" w:hAnsi="Palatino Linotype" w:cs="Times New Roman"/>
          <w:b/>
          <w:bCs/>
          <w:spacing w:val="60"/>
          <w:sz w:val="28"/>
          <w:szCs w:val="24"/>
          <w:lang w:val="es-ES_tradnl" w:eastAsia="es-ES"/>
        </w:rPr>
      </w:pPr>
    </w:p>
    <w:p w14:paraId="41055906" w14:textId="296F2A69" w:rsidR="00D508EB" w:rsidRPr="00895C52" w:rsidRDefault="00D508EB" w:rsidP="00D508EB">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t>SE    RESUELVE</w:t>
      </w:r>
    </w:p>
    <w:p w14:paraId="05351360" w14:textId="77777777" w:rsidR="00D508EB" w:rsidRPr="00895C52" w:rsidRDefault="00D508EB" w:rsidP="00D508EB">
      <w:pPr>
        <w:spacing w:after="0" w:line="360" w:lineRule="auto"/>
        <w:jc w:val="center"/>
        <w:rPr>
          <w:rFonts w:ascii="Palatino Linotype" w:eastAsia="Times New Roman" w:hAnsi="Palatino Linotype" w:cs="Times New Roman"/>
          <w:bCs/>
          <w:spacing w:val="60"/>
          <w:sz w:val="24"/>
          <w:szCs w:val="24"/>
          <w:lang w:val="es-ES_tradnl" w:eastAsia="es-ES"/>
        </w:rPr>
      </w:pPr>
    </w:p>
    <w:p w14:paraId="6034F555" w14:textId="39381FF7" w:rsidR="00D508EB" w:rsidRDefault="00D508EB" w:rsidP="00D508EB">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PRIMERO.</w:t>
      </w:r>
      <w:r w:rsidRPr="00895C52">
        <w:rPr>
          <w:rFonts w:ascii="Palatino Linotype" w:eastAsiaTheme="minorEastAsia" w:hAnsi="Palatino Linotype" w:cs="Arial"/>
          <w:sz w:val="24"/>
          <w:szCs w:val="24"/>
          <w:lang w:val="es-ES_tradnl" w:eastAsia="es-ES"/>
        </w:rPr>
        <w:t xml:space="preserve"> </w:t>
      </w:r>
      <w:r w:rsidRPr="00C40C29">
        <w:rPr>
          <w:rFonts w:ascii="Palatino Linotype" w:eastAsiaTheme="minorEastAsia" w:hAnsi="Palatino Linotype" w:cs="Arial"/>
          <w:sz w:val="24"/>
          <w:szCs w:val="24"/>
          <w:lang w:val="es-ES_tradnl" w:eastAsia="es-ES"/>
        </w:rPr>
        <w:t xml:space="preserve">Se </w:t>
      </w:r>
      <w:r w:rsidRPr="00C40C29">
        <w:rPr>
          <w:rFonts w:ascii="Palatino Linotype" w:eastAsiaTheme="minorEastAsia" w:hAnsi="Palatino Linotype" w:cs="Arial"/>
          <w:b/>
          <w:sz w:val="24"/>
          <w:szCs w:val="24"/>
          <w:lang w:val="es-ES_tradnl" w:eastAsia="es-ES"/>
        </w:rPr>
        <w:t>SOBRESEE</w:t>
      </w:r>
      <w:r w:rsidRPr="00C40C29">
        <w:rPr>
          <w:rFonts w:ascii="Palatino Linotype" w:eastAsiaTheme="minorEastAsia" w:hAnsi="Palatino Linotype" w:cs="Arial"/>
          <w:sz w:val="24"/>
          <w:szCs w:val="24"/>
          <w:lang w:val="es-ES_tradnl" w:eastAsia="es-ES"/>
        </w:rPr>
        <w:t xml:space="preserve"> el recurso de revisión número </w:t>
      </w:r>
      <w:r w:rsidR="00226341">
        <w:rPr>
          <w:rFonts w:ascii="Palatino Linotype" w:hAnsi="Palatino Linotype" w:cs="Arial"/>
          <w:b/>
          <w:sz w:val="24"/>
          <w:szCs w:val="24"/>
        </w:rPr>
        <w:t>17260</w:t>
      </w:r>
      <w:r>
        <w:rPr>
          <w:rFonts w:ascii="Palatino Linotype" w:hAnsi="Palatino Linotype" w:cs="Arial"/>
          <w:b/>
          <w:sz w:val="24"/>
          <w:szCs w:val="24"/>
        </w:rPr>
        <w:t>/INFOEM/IP/RR/2022</w:t>
      </w:r>
      <w:r w:rsidRPr="00C40C29">
        <w:rPr>
          <w:rFonts w:ascii="Palatino Linotype" w:eastAsiaTheme="minorEastAsia" w:hAnsi="Palatino Linotype" w:cs="Arial"/>
          <w:sz w:val="24"/>
          <w:szCs w:val="24"/>
          <w:lang w:val="es-ES_tradnl" w:eastAsia="es-ES"/>
        </w:rPr>
        <w:t>, por</w:t>
      </w:r>
      <w:r>
        <w:rPr>
          <w:rFonts w:ascii="Palatino Linotype" w:eastAsiaTheme="minorEastAsia" w:hAnsi="Palatino Linotype" w:cs="Arial"/>
          <w:sz w:val="24"/>
          <w:szCs w:val="24"/>
          <w:lang w:val="es-ES_tradnl" w:eastAsia="es-ES"/>
        </w:rPr>
        <w:t xml:space="preserve">que </w:t>
      </w:r>
      <w:r w:rsidRPr="00DB139B">
        <w:rPr>
          <w:rFonts w:ascii="Palatino Linotype" w:eastAsiaTheme="minorEastAsia" w:hAnsi="Palatino Linotype" w:cs="Arial"/>
          <w:b/>
          <w:bCs/>
          <w:sz w:val="24"/>
          <w:szCs w:val="24"/>
          <w:lang w:val="es-ES_tradnl" w:eastAsia="es-ES"/>
        </w:rPr>
        <w:t>EL SUJETO OBLIGADO</w:t>
      </w:r>
      <w:r>
        <w:rPr>
          <w:rFonts w:ascii="Palatino Linotype" w:eastAsiaTheme="minorEastAsia" w:hAnsi="Palatino Linotype" w:cs="Arial"/>
          <w:sz w:val="24"/>
          <w:szCs w:val="24"/>
          <w:lang w:val="es-ES_tradnl" w:eastAsia="es-ES"/>
        </w:rPr>
        <w:t xml:space="preserve"> al </w:t>
      </w:r>
      <w:r w:rsidR="00226341">
        <w:rPr>
          <w:rFonts w:ascii="Palatino Linotype" w:eastAsiaTheme="minorEastAsia" w:hAnsi="Palatino Linotype" w:cs="Arial"/>
          <w:sz w:val="24"/>
          <w:szCs w:val="24"/>
          <w:lang w:val="es-ES_tradnl" w:eastAsia="es-ES"/>
        </w:rPr>
        <w:t>revocar</w:t>
      </w:r>
      <w:r>
        <w:rPr>
          <w:rFonts w:ascii="Palatino Linotype" w:eastAsiaTheme="minorEastAsia" w:hAnsi="Palatino Linotype" w:cs="Arial"/>
          <w:sz w:val="24"/>
          <w:szCs w:val="24"/>
          <w:lang w:val="es-ES_tradnl" w:eastAsia="es-ES"/>
        </w:rPr>
        <w:t xml:space="preserve"> su respuesta, el recurso de revisión quedó </w:t>
      </w:r>
      <w:r w:rsidRPr="00C40C29">
        <w:rPr>
          <w:rFonts w:ascii="Palatino Linotype" w:eastAsiaTheme="minorEastAsia" w:hAnsi="Palatino Linotype" w:cs="Arial"/>
          <w:sz w:val="24"/>
          <w:szCs w:val="24"/>
          <w:lang w:val="es-ES_tradnl" w:eastAsia="es-ES"/>
        </w:rPr>
        <w:t>sin materia</w:t>
      </w:r>
      <w:r>
        <w:rPr>
          <w:rFonts w:ascii="Palatino Linotype" w:eastAsiaTheme="minorEastAsia" w:hAnsi="Palatino Linotype" w:cs="Arial"/>
          <w:sz w:val="24"/>
          <w:szCs w:val="24"/>
          <w:lang w:val="es-ES_tradnl" w:eastAsia="es-ES"/>
        </w:rPr>
        <w:t xml:space="preserve">, en términos del </w:t>
      </w:r>
      <w:r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de México y Municipios, en términos del Considerando </w:t>
      </w:r>
      <w:r w:rsidR="00C514C0">
        <w:rPr>
          <w:rFonts w:ascii="Palatino Linotype" w:eastAsiaTheme="minorEastAsia" w:hAnsi="Palatino Linotype" w:cs="Arial"/>
          <w:b/>
          <w:sz w:val="24"/>
          <w:szCs w:val="24"/>
          <w:lang w:val="es-ES_tradnl" w:eastAsia="es-ES"/>
        </w:rPr>
        <w:t>TERCERO</w:t>
      </w:r>
      <w:r w:rsidRPr="00C40C29">
        <w:rPr>
          <w:rFonts w:ascii="Palatino Linotype" w:eastAsiaTheme="minorEastAsia" w:hAnsi="Palatino Linotype" w:cs="Arial"/>
          <w:sz w:val="24"/>
          <w:szCs w:val="24"/>
          <w:lang w:val="es-ES_tradnl" w:eastAsia="es-ES"/>
        </w:rPr>
        <w:t xml:space="preserve"> de la presente resolución.</w:t>
      </w:r>
    </w:p>
    <w:p w14:paraId="6AB4A534" w14:textId="77777777" w:rsidR="00D508EB" w:rsidRPr="00895C52" w:rsidRDefault="00D508EB" w:rsidP="00D508EB">
      <w:pPr>
        <w:tabs>
          <w:tab w:val="left" w:pos="8647"/>
        </w:tabs>
        <w:spacing w:after="0" w:line="360" w:lineRule="auto"/>
        <w:ind w:right="51"/>
        <w:jc w:val="both"/>
        <w:rPr>
          <w:rFonts w:ascii="Palatino Linotype" w:eastAsiaTheme="minorEastAsia" w:hAnsi="Palatino Linotype" w:cs="Arial"/>
          <w:sz w:val="24"/>
          <w:szCs w:val="24"/>
          <w:lang w:eastAsia="es-ES"/>
        </w:rPr>
      </w:pPr>
    </w:p>
    <w:p w14:paraId="0F73332B" w14:textId="77777777" w:rsidR="00226341" w:rsidRDefault="00226341" w:rsidP="00226341">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sidRPr="00793F86">
        <w:rPr>
          <w:rFonts w:ascii="Palatino Linotype" w:hAnsi="Palatino Linotype" w:cs="Arial"/>
          <w:b/>
          <w:sz w:val="28"/>
          <w:szCs w:val="28"/>
        </w:rPr>
        <w:lastRenderedPageBreak/>
        <w:t>SEGUNDO.</w:t>
      </w:r>
      <w:r w:rsidRPr="00793F86">
        <w:rPr>
          <w:rFonts w:ascii="Palatino Linotype" w:hAnsi="Palatino Linotype"/>
          <w:b/>
          <w:lang w:eastAsia="es-ES_tradnl"/>
        </w:rPr>
        <w:t xml:space="preserve"> </w:t>
      </w:r>
      <w:r w:rsidRPr="00793F86">
        <w:rPr>
          <w:rFonts w:ascii="Palatino Linotype" w:hAnsi="Palatino Linotype"/>
          <w:b/>
          <w:sz w:val="24"/>
          <w:szCs w:val="24"/>
        </w:rPr>
        <w:t xml:space="preserve">Notifíquese </w:t>
      </w:r>
      <w:r w:rsidRPr="00793F86">
        <w:rPr>
          <w:rFonts w:ascii="Palatino Linotype" w:eastAsia="Times New Roman" w:hAnsi="Palatino Linotype" w:cs="Arial"/>
          <w:b/>
          <w:sz w:val="24"/>
          <w:szCs w:val="24"/>
          <w:lang w:eastAsia="es-ES"/>
        </w:rPr>
        <w:t xml:space="preserve">vía </w:t>
      </w:r>
      <w:r w:rsidRPr="00793F86">
        <w:rPr>
          <w:rFonts w:ascii="Palatino Linotype" w:hAnsi="Palatino Linotype" w:cs="Arial"/>
          <w:sz w:val="24"/>
          <w:szCs w:val="24"/>
        </w:rPr>
        <w:t xml:space="preserve">Sistema de Acceso a la Información Mexiquense </w:t>
      </w:r>
      <w:r w:rsidRPr="00793F86">
        <w:rPr>
          <w:rFonts w:ascii="Palatino Linotype" w:hAnsi="Palatino Linotype" w:cs="Arial"/>
          <w:b/>
          <w:sz w:val="24"/>
          <w:szCs w:val="24"/>
        </w:rPr>
        <w:t xml:space="preserve">(SAIMEX) </w:t>
      </w:r>
      <w:r w:rsidRPr="00793F86">
        <w:rPr>
          <w:rFonts w:ascii="Palatino Linotype" w:hAnsi="Palatino Linotype"/>
          <w:sz w:val="24"/>
          <w:szCs w:val="24"/>
        </w:rPr>
        <w:t>la presente resolución</w:t>
      </w:r>
      <w:r w:rsidRPr="00793F86">
        <w:rPr>
          <w:rFonts w:ascii="Palatino Linotype" w:hAnsi="Palatino Linotype"/>
          <w:b/>
          <w:sz w:val="24"/>
          <w:szCs w:val="24"/>
        </w:rPr>
        <w:t xml:space="preserve"> </w:t>
      </w:r>
      <w:r w:rsidRPr="00793F86">
        <w:rPr>
          <w:rFonts w:ascii="Palatino Linotype" w:hAnsi="Palatino Linotype"/>
          <w:sz w:val="24"/>
          <w:szCs w:val="24"/>
        </w:rPr>
        <w:t>al Titular</w:t>
      </w:r>
      <w:r w:rsidRPr="00044C07">
        <w:rPr>
          <w:rFonts w:ascii="Palatino Linotype" w:hAnsi="Palatino Linotype"/>
          <w:sz w:val="24"/>
          <w:szCs w:val="24"/>
        </w:rPr>
        <w:t xml:space="preserve"> de la Unidad</w:t>
      </w:r>
      <w:r>
        <w:rPr>
          <w:rFonts w:ascii="Palatino Linotype" w:hAnsi="Palatino Linotype"/>
          <w:sz w:val="24"/>
          <w:szCs w:val="24"/>
          <w:shd w:val="clear" w:color="auto" w:fill="FFFFFF"/>
        </w:rPr>
        <w:t xml:space="preserve"> de Transparencia del</w:t>
      </w:r>
      <w:r>
        <w:rPr>
          <w:rStyle w:val="apple-converted-space"/>
          <w:rFonts w:ascii="Palatino Linotype" w:hAnsi="Palatino Linotype"/>
          <w:sz w:val="24"/>
          <w:szCs w:val="24"/>
          <w:shd w:val="clear" w:color="auto" w:fill="FFFFFF"/>
        </w:rPr>
        <w:t> </w:t>
      </w:r>
      <w:r>
        <w:rPr>
          <w:rFonts w:ascii="Palatino Linotype" w:hAnsi="Palatino Linotype"/>
          <w:b/>
          <w:sz w:val="24"/>
          <w:szCs w:val="24"/>
          <w:shd w:val="clear" w:color="auto" w:fill="FFFFFF"/>
        </w:rPr>
        <w:t>SUJETO OBLIGADO</w:t>
      </w:r>
      <w:r>
        <w:rPr>
          <w:rFonts w:ascii="Palatino Linotype" w:hAnsi="Palatino Linotype"/>
          <w:sz w:val="24"/>
          <w:szCs w:val="24"/>
          <w:shd w:val="clear" w:color="auto" w:fill="FFFFFF"/>
        </w:rPr>
        <w:t xml:space="preserve">. </w:t>
      </w:r>
    </w:p>
    <w:p w14:paraId="517EAB7F" w14:textId="77777777" w:rsidR="00226341" w:rsidRDefault="00226341" w:rsidP="00226341">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03860DCB" w14:textId="0104AC42" w:rsidR="00226341" w:rsidRDefault="00226341" w:rsidP="00226341">
      <w:pPr>
        <w:spacing w:before="240" w:after="240" w:line="360" w:lineRule="auto"/>
        <w:jc w:val="both"/>
        <w:rPr>
          <w:rFonts w:ascii="Palatino Linotype" w:hAnsi="Palatino Linotype" w:cs="Arial"/>
          <w:sz w:val="24"/>
          <w:szCs w:val="24"/>
          <w:lang w:val="es-ES_tradnl"/>
        </w:rPr>
      </w:pPr>
      <w:r>
        <w:rPr>
          <w:rFonts w:ascii="Palatino Linotype" w:hAnsi="Palatino Linotype" w:cs="Arial"/>
          <w:b/>
          <w:sz w:val="28"/>
          <w:szCs w:val="24"/>
          <w:lang w:val="es-ES_tradnl"/>
        </w:rPr>
        <w:t xml:space="preserve">TERCERO. </w:t>
      </w:r>
      <w:r>
        <w:rPr>
          <w:rFonts w:ascii="Palatino Linotype" w:hAnsi="Palatino Linotype" w:cs="Arial"/>
          <w:b/>
          <w:sz w:val="24"/>
          <w:szCs w:val="24"/>
          <w:lang w:val="es-ES_tradnl"/>
        </w:rPr>
        <w:t>NOTIFÍQUESE</w:t>
      </w:r>
      <w:r>
        <w:rPr>
          <w:rFonts w:ascii="Palatino Linotype" w:hAnsi="Palatino Linotype" w:cs="Arial"/>
          <w:sz w:val="24"/>
          <w:szCs w:val="24"/>
          <w:lang w:val="es-ES_tradnl"/>
        </w:rPr>
        <w:t xml:space="preserve"> al </w:t>
      </w:r>
      <w:r>
        <w:rPr>
          <w:rFonts w:ascii="Palatino Linotype" w:hAnsi="Palatino Linotype" w:cs="Arial"/>
          <w:b/>
          <w:sz w:val="24"/>
          <w:szCs w:val="24"/>
          <w:lang w:val="es-ES_tradnl"/>
        </w:rPr>
        <w:t>RECURRENTE</w:t>
      </w:r>
      <w:r>
        <w:rPr>
          <w:rFonts w:ascii="Palatino Linotype" w:hAnsi="Palatino Linotype" w:cs="Arial"/>
          <w:sz w:val="24"/>
          <w:szCs w:val="24"/>
          <w:lang w:val="es-ES_tradnl"/>
        </w:rPr>
        <w:t xml:space="preserve"> la presente resolución </w:t>
      </w:r>
      <w:r>
        <w:rPr>
          <w:rFonts w:ascii="Palatino Linotype" w:eastAsia="Times New Roman" w:hAnsi="Palatino Linotype" w:cs="Arial"/>
          <w:b/>
          <w:sz w:val="24"/>
          <w:szCs w:val="24"/>
          <w:lang w:eastAsia="es-ES"/>
        </w:rPr>
        <w:t xml:space="preserve">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(SAIMEX)</w:t>
      </w:r>
      <w:r>
        <w:rPr>
          <w:rFonts w:ascii="Palatino Linotype" w:hAnsi="Palatino Linotype" w:cs="Arial"/>
          <w:sz w:val="24"/>
          <w:szCs w:val="24"/>
          <w:lang w:val="es-ES_tradnl"/>
        </w:rPr>
        <w:t xml:space="preserve">, y hágase de su conocimiento que en caso de que considere que le cause algún perjuicio, podrá promover el Juicio de Amparo en los términos de las leyes aplicables, </w:t>
      </w:r>
      <w:r w:rsidR="001D59CF">
        <w:rPr>
          <w:rFonts w:ascii="Palatino Linotype" w:hAnsi="Palatino Linotype" w:cs="Arial"/>
          <w:sz w:val="24"/>
          <w:szCs w:val="24"/>
          <w:lang w:val="es-ES_tradnl"/>
        </w:rPr>
        <w:t>de acuerdo con</w:t>
      </w:r>
      <w:r>
        <w:rPr>
          <w:rFonts w:ascii="Palatino Linotype" w:hAnsi="Palatino Linotype" w:cs="Arial"/>
          <w:sz w:val="24"/>
          <w:szCs w:val="24"/>
          <w:lang w:val="es-ES_tradnl"/>
        </w:rPr>
        <w:t xml:space="preserve"> lo estipulado por el artículo 196, de la Ley de Transparencia y Acceso a la Información Pública del Estado de México y Municipios.</w:t>
      </w:r>
    </w:p>
    <w:p w14:paraId="47E3081D" w14:textId="6BBB1DF8" w:rsidR="00226341" w:rsidRPr="00226341" w:rsidRDefault="00226341" w:rsidP="00D508EB">
      <w:pPr>
        <w:spacing w:after="0" w:line="360" w:lineRule="auto"/>
        <w:jc w:val="both"/>
        <w:rPr>
          <w:rFonts w:ascii="Palatino Linotype" w:eastAsia="Times New Roman" w:hAnsi="Palatino Linotype" w:cs="Arial"/>
          <w:sz w:val="24"/>
          <w:szCs w:val="24"/>
          <w:lang w:val="es-ES_tradnl" w:eastAsia="es-ES"/>
        </w:rPr>
      </w:pPr>
    </w:p>
    <w:p w14:paraId="78933B1F" w14:textId="59574F74" w:rsidR="00226341" w:rsidRPr="0014609A" w:rsidRDefault="00226341" w:rsidP="00226341">
      <w:pPr>
        <w:pStyle w:val="Prrafodelista"/>
        <w:autoSpaceDE w:val="0"/>
        <w:autoSpaceDN w:val="0"/>
        <w:adjustRightInd w:val="0"/>
        <w:spacing w:before="240" w:after="160" w:line="360" w:lineRule="auto"/>
        <w:ind w:left="0"/>
        <w:jc w:val="both"/>
        <w:rPr>
          <w:rFonts w:ascii="Palatino Linotype" w:hAnsi="Palatino Linotype" w:cs="Arial"/>
        </w:rPr>
      </w:pPr>
      <w:r w:rsidRPr="0014609A">
        <w:rPr>
          <w:rFonts w:ascii="Palatino Linotype" w:hAnsi="Palatino Linotype" w:cs="Arial"/>
        </w:rPr>
        <w:t>ASÍ LO ACORDÓ, POR UNANIMIDAD DE VOTOS, EL PLENO DEL</w:t>
      </w:r>
      <w:r w:rsidRPr="0014609A">
        <w:rPr>
          <w:rFonts w:ascii="Palatino Linotype" w:eastAsia="Arial Unicode MS" w:hAnsi="Palatino Linotype" w:cs="Arial"/>
        </w:rPr>
        <w:t xml:space="preserve"> INSTITUTO DE TRANSPARENCIA, ACCESO A LA INFORMACIÓN PÚBLICA Y PROTECCIÓN DE DATOS PERSONALES DEL ESTADO DE MÉX</w:t>
      </w:r>
      <w:bookmarkStart w:id="0" w:name="_GoBack"/>
      <w:bookmarkEnd w:id="0"/>
      <w:r w:rsidRPr="0014609A">
        <w:rPr>
          <w:rFonts w:ascii="Palatino Linotype" w:eastAsia="Arial Unicode MS" w:hAnsi="Palatino Linotype" w:cs="Arial"/>
        </w:rPr>
        <w:t>ICO Y MUNICIPIOS</w:t>
      </w:r>
      <w:r w:rsidRPr="0014609A">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6D6119">
        <w:rPr>
          <w:rFonts w:ascii="Palatino Linotype" w:hAnsi="Palatino Linotype" w:cs="Arial"/>
        </w:rPr>
        <w:t>CUARTA</w:t>
      </w:r>
      <w:r w:rsidRPr="0014609A">
        <w:rPr>
          <w:rFonts w:ascii="Palatino Linotype" w:hAnsi="Palatino Linotype" w:cs="Arial"/>
        </w:rPr>
        <w:t xml:space="preserve"> SESIÓN ORDINARIA CELEBRADA EL </w:t>
      </w:r>
      <w:r w:rsidR="006D6119">
        <w:rPr>
          <w:rFonts w:ascii="Palatino Linotype" w:hAnsi="Palatino Linotype" w:cs="Arial"/>
        </w:rPr>
        <w:t>UNO DE FEBRERO</w:t>
      </w:r>
      <w:r>
        <w:rPr>
          <w:rFonts w:ascii="Palatino Linotype" w:hAnsi="Palatino Linotype" w:cs="Arial"/>
        </w:rPr>
        <w:t xml:space="preserve"> DE DOS MIL VEINTITRÉS</w:t>
      </w:r>
      <w:r w:rsidRPr="0014609A">
        <w:rPr>
          <w:rFonts w:ascii="Palatino Linotype" w:hAnsi="Palatino Linotype" w:cs="Arial"/>
        </w:rPr>
        <w:t xml:space="preserve">, ANTE EL   SECRETARIO TÉCNICO DEL PLENO, ALEXIS TAPIA RAMÍREZ. </w:t>
      </w:r>
    </w:p>
    <w:p w14:paraId="4350107E" w14:textId="77777777" w:rsidR="00226341" w:rsidRPr="00C514C0" w:rsidRDefault="00226341" w:rsidP="00226341">
      <w:pPr>
        <w:pStyle w:val="Prrafodelista"/>
        <w:autoSpaceDE w:val="0"/>
        <w:autoSpaceDN w:val="0"/>
        <w:adjustRightInd w:val="0"/>
        <w:spacing w:before="240" w:after="160" w:line="360" w:lineRule="auto"/>
        <w:ind w:left="0"/>
        <w:jc w:val="both"/>
        <w:rPr>
          <w:rFonts w:ascii="Palatino Linotype" w:hAnsi="Palatino Linotype"/>
          <w:bCs/>
          <w:sz w:val="20"/>
          <w:szCs w:val="20"/>
        </w:rPr>
      </w:pPr>
      <w:r w:rsidRPr="00C514C0">
        <w:rPr>
          <w:rFonts w:ascii="Palatino Linotype" w:hAnsi="Palatino Linotype"/>
          <w:bCs/>
          <w:sz w:val="20"/>
          <w:szCs w:val="20"/>
        </w:rPr>
        <w:t>CCR/JCMA</w:t>
      </w:r>
    </w:p>
    <w:p w14:paraId="719591E7" w14:textId="2B5100F2" w:rsidR="00226341" w:rsidRDefault="00226341" w:rsidP="00226341">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7FD88844" w14:textId="77777777" w:rsidR="00C514C0" w:rsidRDefault="00C514C0" w:rsidP="00C514C0">
      <w:pPr>
        <w:pStyle w:val="Prrafodelista"/>
        <w:autoSpaceDE w:val="0"/>
        <w:autoSpaceDN w:val="0"/>
        <w:adjustRightInd w:val="0"/>
        <w:spacing w:before="240" w:after="160" w:line="360" w:lineRule="auto"/>
        <w:ind w:left="0"/>
        <w:jc w:val="both"/>
        <w:rPr>
          <w:rFonts w:ascii="Palatino Linotype" w:hAnsi="Palatino Linotype"/>
          <w:bCs/>
          <w:sz w:val="22"/>
          <w:szCs w:val="22"/>
        </w:rPr>
      </w:pPr>
    </w:p>
    <w:p w14:paraId="7B39D5EF" w14:textId="65C617F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8900742" w14:textId="68732E7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5C9791F" w14:textId="3D386C7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8A5A84F" w14:textId="4636B671"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C01DB6D" w14:textId="2E4BBE4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ACFE09F" w14:textId="03E8EF09"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26D362" w14:textId="5E88296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8A8FCE2" w14:textId="75FA20DF"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CC02C0" w14:textId="08923D6B"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D4AF827" w14:textId="701ED88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A662762" w14:textId="6C01C12D"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5CCEBD" w14:textId="7573F80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CFE4C46" w14:textId="42C11AD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52F2B88" w14:textId="7DA5C53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B8AB8E6" w14:textId="73E4302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178DBA" w14:textId="66A4D85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D0C24D2" w14:textId="35ED745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195F916" w14:textId="77777777"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394873" w:rsidSect="00FB4AAD">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919658" w14:textId="77777777" w:rsidR="00E334E1" w:rsidRDefault="00E334E1" w:rsidP="006168E4">
      <w:pPr>
        <w:spacing w:after="0" w:line="240" w:lineRule="auto"/>
      </w:pPr>
      <w:r>
        <w:separator/>
      </w:r>
    </w:p>
  </w:endnote>
  <w:endnote w:type="continuationSeparator" w:id="0">
    <w:p w14:paraId="22D35B17" w14:textId="77777777" w:rsidR="00E334E1" w:rsidRDefault="00E334E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2DDE">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B2DDE">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2DD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B2DDE">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4FDAFE" w14:textId="77777777" w:rsidR="00E334E1" w:rsidRDefault="00E334E1" w:rsidP="006168E4">
      <w:pPr>
        <w:spacing w:after="0" w:line="240" w:lineRule="auto"/>
      </w:pPr>
      <w:r>
        <w:separator/>
      </w:r>
    </w:p>
  </w:footnote>
  <w:footnote w:type="continuationSeparator" w:id="0">
    <w:p w14:paraId="22B5FF3F" w14:textId="77777777" w:rsidR="00E334E1" w:rsidRDefault="00E334E1" w:rsidP="006168E4">
      <w:pPr>
        <w:spacing w:after="0" w:line="240" w:lineRule="auto"/>
      </w:pPr>
      <w:r>
        <w:continuationSeparator/>
      </w:r>
    </w:p>
  </w:footnote>
  <w:footnote w:id="1">
    <w:p w14:paraId="144B71B3" w14:textId="77777777" w:rsidR="00D508EB" w:rsidRPr="00911081" w:rsidRDefault="00D508EB" w:rsidP="00D508E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D558BA3" w14:textId="77777777" w:rsidR="00D508EB" w:rsidRPr="00911081" w:rsidRDefault="00D508EB" w:rsidP="00D508E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604BF6BA" w:rsidR="00C70B4A" w:rsidRPr="00B4142F" w:rsidRDefault="00C85475"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17260</w:t>
          </w:r>
          <w:r w:rsidR="00C70B4A">
            <w:rPr>
              <w:rFonts w:ascii="Palatino Linotype" w:hAnsi="Palatino Linotype" w:cs="Arial"/>
              <w:bCs/>
              <w:sz w:val="24"/>
              <w:lang w:eastAsia="es-MX"/>
            </w:rPr>
            <w:t xml:space="preserve">/INFOEM/IP/RR/2022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4564E8DC" w:rsidR="00C70B4A" w:rsidRPr="00F06FED" w:rsidRDefault="00C85475" w:rsidP="00C01E1C">
          <w:pPr>
            <w:spacing w:after="120" w:line="256" w:lineRule="auto"/>
            <w:ind w:left="639" w:right="214"/>
            <w:jc w:val="both"/>
            <w:rPr>
              <w:rFonts w:ascii="Palatino Linotype" w:hAnsi="Palatino Linotype" w:cs="Arial"/>
            </w:rPr>
          </w:pPr>
          <w:r>
            <w:rPr>
              <w:rFonts w:ascii="Palatino Linotype" w:hAnsi="Palatino Linotype" w:cs="Arial"/>
            </w:rPr>
            <w:t>Secretaría de Finanzas</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54911547" w:rsidR="00C70B4A" w:rsidRPr="00B4142F" w:rsidRDefault="00C85475"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17260</w:t>
          </w:r>
          <w:r w:rsidR="00C70B4A">
            <w:rPr>
              <w:rFonts w:ascii="Palatino Linotype" w:hAnsi="Palatino Linotype" w:cs="Arial"/>
              <w:bCs/>
              <w:sz w:val="24"/>
              <w:lang w:eastAsia="es-MX"/>
            </w:rPr>
            <w:t xml:space="preserve">/INFOEM/IP/RR/2022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15EC1BF0" w:rsidR="00C70B4A" w:rsidRPr="00F06FED" w:rsidRDefault="00BB2DDE"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249CBEB8" w:rsidR="00C70B4A" w:rsidRDefault="00C85475"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Secretaría de Finanzas</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F6973"/>
    <w:multiLevelType w:val="hybridMultilevel"/>
    <w:tmpl w:val="64E657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373BAA"/>
    <w:multiLevelType w:val="hybridMultilevel"/>
    <w:tmpl w:val="D7CAF8D8"/>
    <w:lvl w:ilvl="0" w:tplc="62BAE9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291135BD"/>
    <w:multiLevelType w:val="hybridMultilevel"/>
    <w:tmpl w:val="C9B8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42882"/>
    <w:multiLevelType w:val="hybridMultilevel"/>
    <w:tmpl w:val="913412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8D6CC2"/>
    <w:multiLevelType w:val="hybridMultilevel"/>
    <w:tmpl w:val="47CCED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3A6ACA"/>
    <w:multiLevelType w:val="hybridMultilevel"/>
    <w:tmpl w:val="33D00CAA"/>
    <w:lvl w:ilvl="0" w:tplc="55C4D428">
      <w:start w:val="1"/>
      <w:numFmt w:val="bullet"/>
      <w:lvlText w:val="-"/>
      <w:lvlJc w:val="left"/>
      <w:pPr>
        <w:ind w:left="1440" w:hanging="360"/>
      </w:pPr>
      <w:rPr>
        <w:rFonts w:ascii="Palatino Linotype" w:eastAsiaTheme="minorHAnsi" w:hAnsi="Palatino Linotype"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0AD4AFD"/>
    <w:multiLevelType w:val="hybridMultilevel"/>
    <w:tmpl w:val="08C032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08253E"/>
    <w:multiLevelType w:val="hybridMultilevel"/>
    <w:tmpl w:val="B59A8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
  </w:num>
  <w:num w:numId="4">
    <w:abstractNumId w:val="9"/>
  </w:num>
  <w:num w:numId="5">
    <w:abstractNumId w:val="11"/>
  </w:num>
  <w:num w:numId="6">
    <w:abstractNumId w:val="2"/>
  </w:num>
  <w:num w:numId="7">
    <w:abstractNumId w:val="4"/>
  </w:num>
  <w:num w:numId="8">
    <w:abstractNumId w:val="8"/>
  </w:num>
  <w:num w:numId="9">
    <w:abstractNumId w:val="5"/>
  </w:num>
  <w:num w:numId="10">
    <w:abstractNumId w:val="6"/>
  </w:num>
  <w:num w:numId="11">
    <w:abstractNumId w:val="0"/>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70DF"/>
    <w:rsid w:val="00020A70"/>
    <w:rsid w:val="00021CBD"/>
    <w:rsid w:val="00022604"/>
    <w:rsid w:val="000236FA"/>
    <w:rsid w:val="0002450B"/>
    <w:rsid w:val="00025509"/>
    <w:rsid w:val="0002766F"/>
    <w:rsid w:val="000306A7"/>
    <w:rsid w:val="00031C92"/>
    <w:rsid w:val="000363A2"/>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2D9C"/>
    <w:rsid w:val="00063A10"/>
    <w:rsid w:val="00063EFB"/>
    <w:rsid w:val="000662F8"/>
    <w:rsid w:val="00073E78"/>
    <w:rsid w:val="000758EF"/>
    <w:rsid w:val="00081988"/>
    <w:rsid w:val="00090AFC"/>
    <w:rsid w:val="00091552"/>
    <w:rsid w:val="00091C3A"/>
    <w:rsid w:val="000A2D37"/>
    <w:rsid w:val="000A3486"/>
    <w:rsid w:val="000A44C7"/>
    <w:rsid w:val="000A4DD1"/>
    <w:rsid w:val="000A70F8"/>
    <w:rsid w:val="000A71F4"/>
    <w:rsid w:val="000A733E"/>
    <w:rsid w:val="000A79DA"/>
    <w:rsid w:val="000B0B8F"/>
    <w:rsid w:val="000B1702"/>
    <w:rsid w:val="000B4B51"/>
    <w:rsid w:val="000B7158"/>
    <w:rsid w:val="000C1477"/>
    <w:rsid w:val="000C309C"/>
    <w:rsid w:val="000C5B8B"/>
    <w:rsid w:val="000C7E6E"/>
    <w:rsid w:val="000D0BC5"/>
    <w:rsid w:val="000D1B55"/>
    <w:rsid w:val="000D3C75"/>
    <w:rsid w:val="000D6116"/>
    <w:rsid w:val="000D7A3D"/>
    <w:rsid w:val="000D7B04"/>
    <w:rsid w:val="000E0557"/>
    <w:rsid w:val="000E0655"/>
    <w:rsid w:val="000E0A71"/>
    <w:rsid w:val="000E686B"/>
    <w:rsid w:val="000F3EE7"/>
    <w:rsid w:val="000F68B1"/>
    <w:rsid w:val="000F6F19"/>
    <w:rsid w:val="000F7AC2"/>
    <w:rsid w:val="00100E19"/>
    <w:rsid w:val="00102D69"/>
    <w:rsid w:val="00110EDB"/>
    <w:rsid w:val="00111048"/>
    <w:rsid w:val="00111DCD"/>
    <w:rsid w:val="00114CF9"/>
    <w:rsid w:val="0011564C"/>
    <w:rsid w:val="00116421"/>
    <w:rsid w:val="001167AA"/>
    <w:rsid w:val="00117157"/>
    <w:rsid w:val="00123898"/>
    <w:rsid w:val="00124855"/>
    <w:rsid w:val="00124EC6"/>
    <w:rsid w:val="001254F5"/>
    <w:rsid w:val="001336D3"/>
    <w:rsid w:val="001364AA"/>
    <w:rsid w:val="00136FAD"/>
    <w:rsid w:val="00143D5F"/>
    <w:rsid w:val="00144B4A"/>
    <w:rsid w:val="00146F0A"/>
    <w:rsid w:val="00147B36"/>
    <w:rsid w:val="00150D1D"/>
    <w:rsid w:val="00152124"/>
    <w:rsid w:val="00152C2B"/>
    <w:rsid w:val="001542FC"/>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1F55"/>
    <w:rsid w:val="001B7B88"/>
    <w:rsid w:val="001C0BAD"/>
    <w:rsid w:val="001C4DDA"/>
    <w:rsid w:val="001C7319"/>
    <w:rsid w:val="001C7D87"/>
    <w:rsid w:val="001D299A"/>
    <w:rsid w:val="001D3E87"/>
    <w:rsid w:val="001D59CF"/>
    <w:rsid w:val="001D5F16"/>
    <w:rsid w:val="001D6FAB"/>
    <w:rsid w:val="001E1D18"/>
    <w:rsid w:val="001E2C0F"/>
    <w:rsid w:val="001E668A"/>
    <w:rsid w:val="001F0A4F"/>
    <w:rsid w:val="001F2A14"/>
    <w:rsid w:val="001F3F0E"/>
    <w:rsid w:val="001F4ADC"/>
    <w:rsid w:val="001F5597"/>
    <w:rsid w:val="001F71ED"/>
    <w:rsid w:val="00203D3A"/>
    <w:rsid w:val="00203FF3"/>
    <w:rsid w:val="00204288"/>
    <w:rsid w:val="002044B4"/>
    <w:rsid w:val="00207086"/>
    <w:rsid w:val="00211D60"/>
    <w:rsid w:val="0021501E"/>
    <w:rsid w:val="0021572A"/>
    <w:rsid w:val="002205C0"/>
    <w:rsid w:val="0022494A"/>
    <w:rsid w:val="00225507"/>
    <w:rsid w:val="00226341"/>
    <w:rsid w:val="0023373D"/>
    <w:rsid w:val="00233D7E"/>
    <w:rsid w:val="00233EF7"/>
    <w:rsid w:val="0023423C"/>
    <w:rsid w:val="00237F4F"/>
    <w:rsid w:val="0024112D"/>
    <w:rsid w:val="002428BA"/>
    <w:rsid w:val="00244177"/>
    <w:rsid w:val="00254477"/>
    <w:rsid w:val="00257337"/>
    <w:rsid w:val="002577FE"/>
    <w:rsid w:val="0025780C"/>
    <w:rsid w:val="002609D8"/>
    <w:rsid w:val="00262CBE"/>
    <w:rsid w:val="002642D3"/>
    <w:rsid w:val="002646EF"/>
    <w:rsid w:val="00266AE6"/>
    <w:rsid w:val="00267C18"/>
    <w:rsid w:val="00273D0E"/>
    <w:rsid w:val="002764D6"/>
    <w:rsid w:val="00280B8B"/>
    <w:rsid w:val="00282235"/>
    <w:rsid w:val="00292350"/>
    <w:rsid w:val="00292DC0"/>
    <w:rsid w:val="00293C29"/>
    <w:rsid w:val="00293FCF"/>
    <w:rsid w:val="00297EF9"/>
    <w:rsid w:val="002A2034"/>
    <w:rsid w:val="002A24F4"/>
    <w:rsid w:val="002A38BF"/>
    <w:rsid w:val="002A429A"/>
    <w:rsid w:val="002A597E"/>
    <w:rsid w:val="002B0FB9"/>
    <w:rsid w:val="002B4382"/>
    <w:rsid w:val="002B5DBD"/>
    <w:rsid w:val="002B72F9"/>
    <w:rsid w:val="002B7D92"/>
    <w:rsid w:val="002C2CEE"/>
    <w:rsid w:val="002C498D"/>
    <w:rsid w:val="002C4FE1"/>
    <w:rsid w:val="002C72D2"/>
    <w:rsid w:val="002D1B28"/>
    <w:rsid w:val="002D2F00"/>
    <w:rsid w:val="002D79E2"/>
    <w:rsid w:val="002D7A5D"/>
    <w:rsid w:val="002E0A4A"/>
    <w:rsid w:val="002E0BC4"/>
    <w:rsid w:val="002E21B4"/>
    <w:rsid w:val="002E2D7B"/>
    <w:rsid w:val="002E5E6A"/>
    <w:rsid w:val="002F22FA"/>
    <w:rsid w:val="002F37BE"/>
    <w:rsid w:val="002F41CA"/>
    <w:rsid w:val="002F4C6A"/>
    <w:rsid w:val="002F527C"/>
    <w:rsid w:val="002F70F6"/>
    <w:rsid w:val="00300D0B"/>
    <w:rsid w:val="003043BE"/>
    <w:rsid w:val="00305181"/>
    <w:rsid w:val="00306096"/>
    <w:rsid w:val="00306974"/>
    <w:rsid w:val="00307014"/>
    <w:rsid w:val="00313A1F"/>
    <w:rsid w:val="00314F93"/>
    <w:rsid w:val="0031645D"/>
    <w:rsid w:val="00320A67"/>
    <w:rsid w:val="00324AC9"/>
    <w:rsid w:val="003272FB"/>
    <w:rsid w:val="00330857"/>
    <w:rsid w:val="00331499"/>
    <w:rsid w:val="0033580E"/>
    <w:rsid w:val="00337F09"/>
    <w:rsid w:val="00343D1E"/>
    <w:rsid w:val="0035054D"/>
    <w:rsid w:val="00354258"/>
    <w:rsid w:val="00355593"/>
    <w:rsid w:val="00357E0E"/>
    <w:rsid w:val="00361B9C"/>
    <w:rsid w:val="00361D89"/>
    <w:rsid w:val="003672FB"/>
    <w:rsid w:val="00370588"/>
    <w:rsid w:val="00370797"/>
    <w:rsid w:val="003707FE"/>
    <w:rsid w:val="00370C79"/>
    <w:rsid w:val="003712F3"/>
    <w:rsid w:val="00372D3E"/>
    <w:rsid w:val="003746C6"/>
    <w:rsid w:val="00375763"/>
    <w:rsid w:val="00375BEA"/>
    <w:rsid w:val="00376CEC"/>
    <w:rsid w:val="00380758"/>
    <w:rsid w:val="003810B1"/>
    <w:rsid w:val="003815E5"/>
    <w:rsid w:val="00381E2B"/>
    <w:rsid w:val="003821A1"/>
    <w:rsid w:val="003838B4"/>
    <w:rsid w:val="00384029"/>
    <w:rsid w:val="00385BBD"/>
    <w:rsid w:val="00387929"/>
    <w:rsid w:val="00390988"/>
    <w:rsid w:val="0039123C"/>
    <w:rsid w:val="0039347E"/>
    <w:rsid w:val="00393D5B"/>
    <w:rsid w:val="00393EF0"/>
    <w:rsid w:val="0039460D"/>
    <w:rsid w:val="00394873"/>
    <w:rsid w:val="00394A1E"/>
    <w:rsid w:val="003968C7"/>
    <w:rsid w:val="003A2246"/>
    <w:rsid w:val="003A2658"/>
    <w:rsid w:val="003A4CF6"/>
    <w:rsid w:val="003A61F9"/>
    <w:rsid w:val="003A6975"/>
    <w:rsid w:val="003B0D66"/>
    <w:rsid w:val="003B1E88"/>
    <w:rsid w:val="003B5E96"/>
    <w:rsid w:val="003C3F7B"/>
    <w:rsid w:val="003C5243"/>
    <w:rsid w:val="003C53ED"/>
    <w:rsid w:val="003D0B7E"/>
    <w:rsid w:val="003D4E0F"/>
    <w:rsid w:val="003D5C0A"/>
    <w:rsid w:val="003E16E1"/>
    <w:rsid w:val="003E1871"/>
    <w:rsid w:val="003E504D"/>
    <w:rsid w:val="003E656A"/>
    <w:rsid w:val="003E78B7"/>
    <w:rsid w:val="003F3016"/>
    <w:rsid w:val="003F38EB"/>
    <w:rsid w:val="003F76E5"/>
    <w:rsid w:val="004012CF"/>
    <w:rsid w:val="004015EE"/>
    <w:rsid w:val="00402FF3"/>
    <w:rsid w:val="0040673A"/>
    <w:rsid w:val="004069EB"/>
    <w:rsid w:val="00410ACB"/>
    <w:rsid w:val="00411E6F"/>
    <w:rsid w:val="00412600"/>
    <w:rsid w:val="004150FE"/>
    <w:rsid w:val="00421D09"/>
    <w:rsid w:val="00422ED2"/>
    <w:rsid w:val="00423213"/>
    <w:rsid w:val="0042416D"/>
    <w:rsid w:val="00424487"/>
    <w:rsid w:val="00424EA1"/>
    <w:rsid w:val="00435290"/>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00E8"/>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6C8"/>
    <w:rsid w:val="00491877"/>
    <w:rsid w:val="00492BC7"/>
    <w:rsid w:val="004938E6"/>
    <w:rsid w:val="004967E2"/>
    <w:rsid w:val="004975A8"/>
    <w:rsid w:val="004A114B"/>
    <w:rsid w:val="004A2363"/>
    <w:rsid w:val="004A290F"/>
    <w:rsid w:val="004A55D8"/>
    <w:rsid w:val="004A5FFD"/>
    <w:rsid w:val="004A7CE2"/>
    <w:rsid w:val="004B031A"/>
    <w:rsid w:val="004B1236"/>
    <w:rsid w:val="004B1ACE"/>
    <w:rsid w:val="004B234F"/>
    <w:rsid w:val="004B353F"/>
    <w:rsid w:val="004B59BB"/>
    <w:rsid w:val="004B5CCC"/>
    <w:rsid w:val="004C117E"/>
    <w:rsid w:val="004C2845"/>
    <w:rsid w:val="004C3081"/>
    <w:rsid w:val="004C59D6"/>
    <w:rsid w:val="004C7961"/>
    <w:rsid w:val="004D0658"/>
    <w:rsid w:val="004D08EB"/>
    <w:rsid w:val="004D10A9"/>
    <w:rsid w:val="004D3B15"/>
    <w:rsid w:val="004D4274"/>
    <w:rsid w:val="004D54E3"/>
    <w:rsid w:val="004D6459"/>
    <w:rsid w:val="004D761E"/>
    <w:rsid w:val="004E1A3D"/>
    <w:rsid w:val="004E1A71"/>
    <w:rsid w:val="004E2371"/>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28DD"/>
    <w:rsid w:val="00513F18"/>
    <w:rsid w:val="00514207"/>
    <w:rsid w:val="005149BE"/>
    <w:rsid w:val="00515090"/>
    <w:rsid w:val="005179E4"/>
    <w:rsid w:val="00521E57"/>
    <w:rsid w:val="00525093"/>
    <w:rsid w:val="00527F13"/>
    <w:rsid w:val="005305E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472B"/>
    <w:rsid w:val="00555D9A"/>
    <w:rsid w:val="00556513"/>
    <w:rsid w:val="00557F13"/>
    <w:rsid w:val="00561ABC"/>
    <w:rsid w:val="00562653"/>
    <w:rsid w:val="00563CE8"/>
    <w:rsid w:val="00564AD9"/>
    <w:rsid w:val="005662E2"/>
    <w:rsid w:val="00571389"/>
    <w:rsid w:val="005733EB"/>
    <w:rsid w:val="005734C5"/>
    <w:rsid w:val="0057453A"/>
    <w:rsid w:val="00575268"/>
    <w:rsid w:val="00576D51"/>
    <w:rsid w:val="0057792B"/>
    <w:rsid w:val="00580802"/>
    <w:rsid w:val="00581A22"/>
    <w:rsid w:val="00585EC8"/>
    <w:rsid w:val="005860CB"/>
    <w:rsid w:val="005918F3"/>
    <w:rsid w:val="00593E91"/>
    <w:rsid w:val="0059442D"/>
    <w:rsid w:val="00594D38"/>
    <w:rsid w:val="0059753D"/>
    <w:rsid w:val="005A0B05"/>
    <w:rsid w:val="005A0B49"/>
    <w:rsid w:val="005A1108"/>
    <w:rsid w:val="005A1286"/>
    <w:rsid w:val="005A27AD"/>
    <w:rsid w:val="005A2DBE"/>
    <w:rsid w:val="005A34EE"/>
    <w:rsid w:val="005A353A"/>
    <w:rsid w:val="005A4EBE"/>
    <w:rsid w:val="005A5C79"/>
    <w:rsid w:val="005A6D57"/>
    <w:rsid w:val="005A71FD"/>
    <w:rsid w:val="005A7D4F"/>
    <w:rsid w:val="005B023A"/>
    <w:rsid w:val="005B1F52"/>
    <w:rsid w:val="005B5840"/>
    <w:rsid w:val="005B5B70"/>
    <w:rsid w:val="005B5F05"/>
    <w:rsid w:val="005C06AA"/>
    <w:rsid w:val="005C17BF"/>
    <w:rsid w:val="005C57BA"/>
    <w:rsid w:val="005C6982"/>
    <w:rsid w:val="005C6B74"/>
    <w:rsid w:val="005C7AEA"/>
    <w:rsid w:val="005D125D"/>
    <w:rsid w:val="005D29BF"/>
    <w:rsid w:val="005D2B59"/>
    <w:rsid w:val="005D362F"/>
    <w:rsid w:val="005D370F"/>
    <w:rsid w:val="005D3E85"/>
    <w:rsid w:val="005D44D1"/>
    <w:rsid w:val="005D53D6"/>
    <w:rsid w:val="005E1B06"/>
    <w:rsid w:val="005E265D"/>
    <w:rsid w:val="005E3D7D"/>
    <w:rsid w:val="005E4D7C"/>
    <w:rsid w:val="005E5F6A"/>
    <w:rsid w:val="005F048E"/>
    <w:rsid w:val="005F2047"/>
    <w:rsid w:val="005F2C76"/>
    <w:rsid w:val="005F57F0"/>
    <w:rsid w:val="00601010"/>
    <w:rsid w:val="006028C9"/>
    <w:rsid w:val="0060676C"/>
    <w:rsid w:val="0060721D"/>
    <w:rsid w:val="0061042F"/>
    <w:rsid w:val="006137C9"/>
    <w:rsid w:val="006168E4"/>
    <w:rsid w:val="00621F47"/>
    <w:rsid w:val="00622359"/>
    <w:rsid w:val="0062497C"/>
    <w:rsid w:val="00625200"/>
    <w:rsid w:val="006255AA"/>
    <w:rsid w:val="00630846"/>
    <w:rsid w:val="00631806"/>
    <w:rsid w:val="00636FD7"/>
    <w:rsid w:val="00637512"/>
    <w:rsid w:val="00640EE4"/>
    <w:rsid w:val="006456FA"/>
    <w:rsid w:val="006466F5"/>
    <w:rsid w:val="00646C24"/>
    <w:rsid w:val="00652BC5"/>
    <w:rsid w:val="00656060"/>
    <w:rsid w:val="00661753"/>
    <w:rsid w:val="0066216F"/>
    <w:rsid w:val="00663C3F"/>
    <w:rsid w:val="006654F6"/>
    <w:rsid w:val="00666CAF"/>
    <w:rsid w:val="00675390"/>
    <w:rsid w:val="00676CAA"/>
    <w:rsid w:val="006802CF"/>
    <w:rsid w:val="006803B4"/>
    <w:rsid w:val="00680807"/>
    <w:rsid w:val="006827AB"/>
    <w:rsid w:val="006831E4"/>
    <w:rsid w:val="00683B62"/>
    <w:rsid w:val="006848B7"/>
    <w:rsid w:val="006868A7"/>
    <w:rsid w:val="00690791"/>
    <w:rsid w:val="006915EA"/>
    <w:rsid w:val="00694828"/>
    <w:rsid w:val="006A3810"/>
    <w:rsid w:val="006A65EE"/>
    <w:rsid w:val="006A68B8"/>
    <w:rsid w:val="006A7CEB"/>
    <w:rsid w:val="006B1953"/>
    <w:rsid w:val="006B1BF1"/>
    <w:rsid w:val="006B20F0"/>
    <w:rsid w:val="006B26E3"/>
    <w:rsid w:val="006B3085"/>
    <w:rsid w:val="006B69CF"/>
    <w:rsid w:val="006B7444"/>
    <w:rsid w:val="006C00DA"/>
    <w:rsid w:val="006C17FD"/>
    <w:rsid w:val="006C1884"/>
    <w:rsid w:val="006C28CA"/>
    <w:rsid w:val="006C350D"/>
    <w:rsid w:val="006C5E56"/>
    <w:rsid w:val="006C66E4"/>
    <w:rsid w:val="006D23FC"/>
    <w:rsid w:val="006D6119"/>
    <w:rsid w:val="006D643D"/>
    <w:rsid w:val="006E063C"/>
    <w:rsid w:val="006E3851"/>
    <w:rsid w:val="006E7EEE"/>
    <w:rsid w:val="006F1167"/>
    <w:rsid w:val="006F1BA4"/>
    <w:rsid w:val="006F4044"/>
    <w:rsid w:val="006F46DC"/>
    <w:rsid w:val="006F4CC6"/>
    <w:rsid w:val="006F7A8B"/>
    <w:rsid w:val="00701033"/>
    <w:rsid w:val="00701A3F"/>
    <w:rsid w:val="00702A03"/>
    <w:rsid w:val="00704BD8"/>
    <w:rsid w:val="00704EFD"/>
    <w:rsid w:val="007051A0"/>
    <w:rsid w:val="007078C8"/>
    <w:rsid w:val="00712E3A"/>
    <w:rsid w:val="00713CE6"/>
    <w:rsid w:val="00714318"/>
    <w:rsid w:val="007169EF"/>
    <w:rsid w:val="00721506"/>
    <w:rsid w:val="007216DB"/>
    <w:rsid w:val="0072323D"/>
    <w:rsid w:val="007246D3"/>
    <w:rsid w:val="00725F5A"/>
    <w:rsid w:val="007274EC"/>
    <w:rsid w:val="00737605"/>
    <w:rsid w:val="00737D10"/>
    <w:rsid w:val="007404D5"/>
    <w:rsid w:val="00740BDD"/>
    <w:rsid w:val="007417C8"/>
    <w:rsid w:val="00744287"/>
    <w:rsid w:val="00744EEF"/>
    <w:rsid w:val="00745D76"/>
    <w:rsid w:val="00747109"/>
    <w:rsid w:val="00747487"/>
    <w:rsid w:val="007505EB"/>
    <w:rsid w:val="00751B4B"/>
    <w:rsid w:val="00752A9A"/>
    <w:rsid w:val="00753B42"/>
    <w:rsid w:val="00754CAE"/>
    <w:rsid w:val="00760D70"/>
    <w:rsid w:val="00763EE7"/>
    <w:rsid w:val="00764DB2"/>
    <w:rsid w:val="0076623B"/>
    <w:rsid w:val="00766EFD"/>
    <w:rsid w:val="00767E4B"/>
    <w:rsid w:val="007718AD"/>
    <w:rsid w:val="007742A7"/>
    <w:rsid w:val="00777034"/>
    <w:rsid w:val="007851D5"/>
    <w:rsid w:val="0078766F"/>
    <w:rsid w:val="00793CFD"/>
    <w:rsid w:val="00794589"/>
    <w:rsid w:val="0079486A"/>
    <w:rsid w:val="00794F80"/>
    <w:rsid w:val="007A00E9"/>
    <w:rsid w:val="007A0454"/>
    <w:rsid w:val="007A0E44"/>
    <w:rsid w:val="007A1C9E"/>
    <w:rsid w:val="007A4CA1"/>
    <w:rsid w:val="007A5DFD"/>
    <w:rsid w:val="007B0398"/>
    <w:rsid w:val="007B2C77"/>
    <w:rsid w:val="007B2E78"/>
    <w:rsid w:val="007B5E84"/>
    <w:rsid w:val="007B6549"/>
    <w:rsid w:val="007C3F2F"/>
    <w:rsid w:val="007D10BD"/>
    <w:rsid w:val="007D1A27"/>
    <w:rsid w:val="007D1B24"/>
    <w:rsid w:val="007D1F15"/>
    <w:rsid w:val="007D25B1"/>
    <w:rsid w:val="007D2878"/>
    <w:rsid w:val="007D6FC3"/>
    <w:rsid w:val="007E319E"/>
    <w:rsid w:val="007E4FA1"/>
    <w:rsid w:val="007E7B07"/>
    <w:rsid w:val="007E7BAB"/>
    <w:rsid w:val="007E7DCE"/>
    <w:rsid w:val="007E7FA9"/>
    <w:rsid w:val="007F20AC"/>
    <w:rsid w:val="007F5E8F"/>
    <w:rsid w:val="007F6623"/>
    <w:rsid w:val="00802C56"/>
    <w:rsid w:val="008053CE"/>
    <w:rsid w:val="008056BC"/>
    <w:rsid w:val="00806EE9"/>
    <w:rsid w:val="00807750"/>
    <w:rsid w:val="00807E35"/>
    <w:rsid w:val="00811205"/>
    <w:rsid w:val="00811AF0"/>
    <w:rsid w:val="00812C48"/>
    <w:rsid w:val="008146F9"/>
    <w:rsid w:val="00821413"/>
    <w:rsid w:val="008218CD"/>
    <w:rsid w:val="00821AEB"/>
    <w:rsid w:val="00821E26"/>
    <w:rsid w:val="00824DCD"/>
    <w:rsid w:val="00827964"/>
    <w:rsid w:val="008311A6"/>
    <w:rsid w:val="008312AE"/>
    <w:rsid w:val="008327EA"/>
    <w:rsid w:val="00833E8A"/>
    <w:rsid w:val="008357C0"/>
    <w:rsid w:val="00836987"/>
    <w:rsid w:val="00844009"/>
    <w:rsid w:val="00844569"/>
    <w:rsid w:val="00844CDE"/>
    <w:rsid w:val="00845083"/>
    <w:rsid w:val="00847CAF"/>
    <w:rsid w:val="00847D23"/>
    <w:rsid w:val="008556FF"/>
    <w:rsid w:val="00857106"/>
    <w:rsid w:val="00857765"/>
    <w:rsid w:val="00861770"/>
    <w:rsid w:val="00863327"/>
    <w:rsid w:val="00863A40"/>
    <w:rsid w:val="0086704E"/>
    <w:rsid w:val="00867B0E"/>
    <w:rsid w:val="00867F7E"/>
    <w:rsid w:val="00870F44"/>
    <w:rsid w:val="00872ECB"/>
    <w:rsid w:val="0087456A"/>
    <w:rsid w:val="008763E4"/>
    <w:rsid w:val="00877C8E"/>
    <w:rsid w:val="00884054"/>
    <w:rsid w:val="00890B7A"/>
    <w:rsid w:val="00890C62"/>
    <w:rsid w:val="0089173B"/>
    <w:rsid w:val="0089437B"/>
    <w:rsid w:val="00895089"/>
    <w:rsid w:val="008951ED"/>
    <w:rsid w:val="0089761E"/>
    <w:rsid w:val="008977EE"/>
    <w:rsid w:val="008A0693"/>
    <w:rsid w:val="008A25E6"/>
    <w:rsid w:val="008A5146"/>
    <w:rsid w:val="008A5928"/>
    <w:rsid w:val="008A75BE"/>
    <w:rsid w:val="008B0D6E"/>
    <w:rsid w:val="008B1AD9"/>
    <w:rsid w:val="008B1D2E"/>
    <w:rsid w:val="008B4DF4"/>
    <w:rsid w:val="008B6C58"/>
    <w:rsid w:val="008B70DC"/>
    <w:rsid w:val="008C08BE"/>
    <w:rsid w:val="008C0E6C"/>
    <w:rsid w:val="008C229F"/>
    <w:rsid w:val="008C32A8"/>
    <w:rsid w:val="008C3445"/>
    <w:rsid w:val="008C366D"/>
    <w:rsid w:val="008C4E94"/>
    <w:rsid w:val="008C5595"/>
    <w:rsid w:val="008C55A3"/>
    <w:rsid w:val="008C7368"/>
    <w:rsid w:val="008D32F0"/>
    <w:rsid w:val="008D595F"/>
    <w:rsid w:val="008E012F"/>
    <w:rsid w:val="008E6375"/>
    <w:rsid w:val="008F17A1"/>
    <w:rsid w:val="008F2158"/>
    <w:rsid w:val="008F3D79"/>
    <w:rsid w:val="008F4670"/>
    <w:rsid w:val="008F4C65"/>
    <w:rsid w:val="008F5D20"/>
    <w:rsid w:val="008F7579"/>
    <w:rsid w:val="0090019F"/>
    <w:rsid w:val="00902944"/>
    <w:rsid w:val="009041AF"/>
    <w:rsid w:val="00905422"/>
    <w:rsid w:val="009067B3"/>
    <w:rsid w:val="00906BD5"/>
    <w:rsid w:val="0090759E"/>
    <w:rsid w:val="009104D1"/>
    <w:rsid w:val="00913133"/>
    <w:rsid w:val="009131C3"/>
    <w:rsid w:val="0091475B"/>
    <w:rsid w:val="009166C1"/>
    <w:rsid w:val="0092120C"/>
    <w:rsid w:val="00921DB9"/>
    <w:rsid w:val="0092403D"/>
    <w:rsid w:val="00924E40"/>
    <w:rsid w:val="0092524A"/>
    <w:rsid w:val="009252C5"/>
    <w:rsid w:val="00926C36"/>
    <w:rsid w:val="00933BEE"/>
    <w:rsid w:val="00934304"/>
    <w:rsid w:val="00934415"/>
    <w:rsid w:val="009402DB"/>
    <w:rsid w:val="00942E41"/>
    <w:rsid w:val="009440D8"/>
    <w:rsid w:val="009449B8"/>
    <w:rsid w:val="00944DC9"/>
    <w:rsid w:val="00944F1C"/>
    <w:rsid w:val="00945203"/>
    <w:rsid w:val="009454E7"/>
    <w:rsid w:val="0094603F"/>
    <w:rsid w:val="009478D8"/>
    <w:rsid w:val="00951F85"/>
    <w:rsid w:val="00952850"/>
    <w:rsid w:val="009555DC"/>
    <w:rsid w:val="00960728"/>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2A98"/>
    <w:rsid w:val="00983E64"/>
    <w:rsid w:val="009855E2"/>
    <w:rsid w:val="00987C03"/>
    <w:rsid w:val="00990E3D"/>
    <w:rsid w:val="00992977"/>
    <w:rsid w:val="00992B07"/>
    <w:rsid w:val="0099557F"/>
    <w:rsid w:val="009A3511"/>
    <w:rsid w:val="009A686F"/>
    <w:rsid w:val="009A7912"/>
    <w:rsid w:val="009B0094"/>
    <w:rsid w:val="009B28E9"/>
    <w:rsid w:val="009B33A8"/>
    <w:rsid w:val="009B3487"/>
    <w:rsid w:val="009B390A"/>
    <w:rsid w:val="009B4F25"/>
    <w:rsid w:val="009B7C61"/>
    <w:rsid w:val="009C22B1"/>
    <w:rsid w:val="009C3793"/>
    <w:rsid w:val="009C62BD"/>
    <w:rsid w:val="009D26AD"/>
    <w:rsid w:val="009D341C"/>
    <w:rsid w:val="009D3C55"/>
    <w:rsid w:val="009D45BD"/>
    <w:rsid w:val="009D5261"/>
    <w:rsid w:val="009D76A3"/>
    <w:rsid w:val="009E1411"/>
    <w:rsid w:val="009E19FC"/>
    <w:rsid w:val="009E52F2"/>
    <w:rsid w:val="009F1118"/>
    <w:rsid w:val="009F1287"/>
    <w:rsid w:val="009F25EB"/>
    <w:rsid w:val="009F2A10"/>
    <w:rsid w:val="009F3C1F"/>
    <w:rsid w:val="009F614E"/>
    <w:rsid w:val="009F657D"/>
    <w:rsid w:val="009F762B"/>
    <w:rsid w:val="009F76BA"/>
    <w:rsid w:val="009F7E09"/>
    <w:rsid w:val="00A02047"/>
    <w:rsid w:val="00A02B9D"/>
    <w:rsid w:val="00A035C0"/>
    <w:rsid w:val="00A036BE"/>
    <w:rsid w:val="00A0575E"/>
    <w:rsid w:val="00A068CE"/>
    <w:rsid w:val="00A06A16"/>
    <w:rsid w:val="00A10F77"/>
    <w:rsid w:val="00A12205"/>
    <w:rsid w:val="00A139AF"/>
    <w:rsid w:val="00A20113"/>
    <w:rsid w:val="00A24B74"/>
    <w:rsid w:val="00A3248C"/>
    <w:rsid w:val="00A339E6"/>
    <w:rsid w:val="00A33CBB"/>
    <w:rsid w:val="00A33EF8"/>
    <w:rsid w:val="00A34362"/>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1F43"/>
    <w:rsid w:val="00A544DC"/>
    <w:rsid w:val="00A55818"/>
    <w:rsid w:val="00A56556"/>
    <w:rsid w:val="00A5790A"/>
    <w:rsid w:val="00A625E2"/>
    <w:rsid w:val="00A63DC7"/>
    <w:rsid w:val="00A65B7E"/>
    <w:rsid w:val="00A70289"/>
    <w:rsid w:val="00A70774"/>
    <w:rsid w:val="00A72105"/>
    <w:rsid w:val="00A72465"/>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56F6"/>
    <w:rsid w:val="00AA5D62"/>
    <w:rsid w:val="00AB0571"/>
    <w:rsid w:val="00AB1E84"/>
    <w:rsid w:val="00AB2BF2"/>
    <w:rsid w:val="00AB3245"/>
    <w:rsid w:val="00AB3710"/>
    <w:rsid w:val="00AB4B0F"/>
    <w:rsid w:val="00AB6C3B"/>
    <w:rsid w:val="00AB7F4A"/>
    <w:rsid w:val="00AC226E"/>
    <w:rsid w:val="00AC5742"/>
    <w:rsid w:val="00AC722C"/>
    <w:rsid w:val="00AC75C1"/>
    <w:rsid w:val="00AC7906"/>
    <w:rsid w:val="00AD1291"/>
    <w:rsid w:val="00AD134F"/>
    <w:rsid w:val="00AD1F40"/>
    <w:rsid w:val="00AD1FA2"/>
    <w:rsid w:val="00AD3428"/>
    <w:rsid w:val="00AD3604"/>
    <w:rsid w:val="00AD3AA2"/>
    <w:rsid w:val="00AD43B8"/>
    <w:rsid w:val="00AD4B1A"/>
    <w:rsid w:val="00AD5295"/>
    <w:rsid w:val="00AE008F"/>
    <w:rsid w:val="00AF0161"/>
    <w:rsid w:val="00AF2A1F"/>
    <w:rsid w:val="00AF2D9B"/>
    <w:rsid w:val="00B00628"/>
    <w:rsid w:val="00B0749B"/>
    <w:rsid w:val="00B10050"/>
    <w:rsid w:val="00B10A1E"/>
    <w:rsid w:val="00B11E08"/>
    <w:rsid w:val="00B12FF9"/>
    <w:rsid w:val="00B14039"/>
    <w:rsid w:val="00B149FA"/>
    <w:rsid w:val="00B177F4"/>
    <w:rsid w:val="00B22242"/>
    <w:rsid w:val="00B2232C"/>
    <w:rsid w:val="00B2330D"/>
    <w:rsid w:val="00B32CD3"/>
    <w:rsid w:val="00B34CED"/>
    <w:rsid w:val="00B35A93"/>
    <w:rsid w:val="00B3672D"/>
    <w:rsid w:val="00B37E9B"/>
    <w:rsid w:val="00B433C9"/>
    <w:rsid w:val="00B437D8"/>
    <w:rsid w:val="00B44ADE"/>
    <w:rsid w:val="00B46B42"/>
    <w:rsid w:val="00B4745C"/>
    <w:rsid w:val="00B52D3E"/>
    <w:rsid w:val="00B52E55"/>
    <w:rsid w:val="00B534F0"/>
    <w:rsid w:val="00B54C62"/>
    <w:rsid w:val="00B56CAC"/>
    <w:rsid w:val="00B57980"/>
    <w:rsid w:val="00B601D4"/>
    <w:rsid w:val="00B60DA2"/>
    <w:rsid w:val="00B6166B"/>
    <w:rsid w:val="00B61955"/>
    <w:rsid w:val="00B61C39"/>
    <w:rsid w:val="00B63BC9"/>
    <w:rsid w:val="00B653BB"/>
    <w:rsid w:val="00B66E86"/>
    <w:rsid w:val="00B67A20"/>
    <w:rsid w:val="00B710FE"/>
    <w:rsid w:val="00B724E8"/>
    <w:rsid w:val="00B73FE9"/>
    <w:rsid w:val="00B87D50"/>
    <w:rsid w:val="00B91BCB"/>
    <w:rsid w:val="00B9223B"/>
    <w:rsid w:val="00B953BD"/>
    <w:rsid w:val="00B95905"/>
    <w:rsid w:val="00B95E96"/>
    <w:rsid w:val="00B97421"/>
    <w:rsid w:val="00BA2A94"/>
    <w:rsid w:val="00BA4D1F"/>
    <w:rsid w:val="00BA5339"/>
    <w:rsid w:val="00BA6226"/>
    <w:rsid w:val="00BA6B85"/>
    <w:rsid w:val="00BA7AD1"/>
    <w:rsid w:val="00BB2250"/>
    <w:rsid w:val="00BB2DDE"/>
    <w:rsid w:val="00BB3132"/>
    <w:rsid w:val="00BB5448"/>
    <w:rsid w:val="00BB68CA"/>
    <w:rsid w:val="00BB721B"/>
    <w:rsid w:val="00BC0FDD"/>
    <w:rsid w:val="00BC130D"/>
    <w:rsid w:val="00BC22E0"/>
    <w:rsid w:val="00BC2A46"/>
    <w:rsid w:val="00BC3FA4"/>
    <w:rsid w:val="00BD004A"/>
    <w:rsid w:val="00BD352C"/>
    <w:rsid w:val="00BD5023"/>
    <w:rsid w:val="00BD5133"/>
    <w:rsid w:val="00BD58AB"/>
    <w:rsid w:val="00BE28ED"/>
    <w:rsid w:val="00C008B2"/>
    <w:rsid w:val="00C0130E"/>
    <w:rsid w:val="00C01ABC"/>
    <w:rsid w:val="00C01E1C"/>
    <w:rsid w:val="00C01F6B"/>
    <w:rsid w:val="00C02A84"/>
    <w:rsid w:val="00C07B2D"/>
    <w:rsid w:val="00C12209"/>
    <w:rsid w:val="00C135B2"/>
    <w:rsid w:val="00C14CD6"/>
    <w:rsid w:val="00C16927"/>
    <w:rsid w:val="00C2082E"/>
    <w:rsid w:val="00C20835"/>
    <w:rsid w:val="00C24A09"/>
    <w:rsid w:val="00C24B4F"/>
    <w:rsid w:val="00C25084"/>
    <w:rsid w:val="00C274BE"/>
    <w:rsid w:val="00C274C6"/>
    <w:rsid w:val="00C310B6"/>
    <w:rsid w:val="00C321D9"/>
    <w:rsid w:val="00C3330D"/>
    <w:rsid w:val="00C34654"/>
    <w:rsid w:val="00C347FE"/>
    <w:rsid w:val="00C357BE"/>
    <w:rsid w:val="00C4006D"/>
    <w:rsid w:val="00C4530E"/>
    <w:rsid w:val="00C45C21"/>
    <w:rsid w:val="00C514C0"/>
    <w:rsid w:val="00C53F93"/>
    <w:rsid w:val="00C56C44"/>
    <w:rsid w:val="00C57028"/>
    <w:rsid w:val="00C572BB"/>
    <w:rsid w:val="00C604B3"/>
    <w:rsid w:val="00C6332C"/>
    <w:rsid w:val="00C6721D"/>
    <w:rsid w:val="00C677A9"/>
    <w:rsid w:val="00C678B3"/>
    <w:rsid w:val="00C70B4A"/>
    <w:rsid w:val="00C71CD1"/>
    <w:rsid w:val="00C73143"/>
    <w:rsid w:val="00C77685"/>
    <w:rsid w:val="00C77815"/>
    <w:rsid w:val="00C77977"/>
    <w:rsid w:val="00C77ABA"/>
    <w:rsid w:val="00C8085F"/>
    <w:rsid w:val="00C821B6"/>
    <w:rsid w:val="00C8471E"/>
    <w:rsid w:val="00C850CE"/>
    <w:rsid w:val="00C85378"/>
    <w:rsid w:val="00C85475"/>
    <w:rsid w:val="00C90BE5"/>
    <w:rsid w:val="00C91B10"/>
    <w:rsid w:val="00C925E0"/>
    <w:rsid w:val="00C9271F"/>
    <w:rsid w:val="00C9297C"/>
    <w:rsid w:val="00C976C0"/>
    <w:rsid w:val="00CA5334"/>
    <w:rsid w:val="00CA6A85"/>
    <w:rsid w:val="00CA6FDA"/>
    <w:rsid w:val="00CB0886"/>
    <w:rsid w:val="00CB251D"/>
    <w:rsid w:val="00CB2CC0"/>
    <w:rsid w:val="00CB3B6F"/>
    <w:rsid w:val="00CB5099"/>
    <w:rsid w:val="00CC0C5F"/>
    <w:rsid w:val="00CC1AF2"/>
    <w:rsid w:val="00CC2F3D"/>
    <w:rsid w:val="00CC4CF6"/>
    <w:rsid w:val="00CC51A7"/>
    <w:rsid w:val="00CC5FF3"/>
    <w:rsid w:val="00CC6072"/>
    <w:rsid w:val="00CD1612"/>
    <w:rsid w:val="00CD262A"/>
    <w:rsid w:val="00CD365B"/>
    <w:rsid w:val="00CD4BFA"/>
    <w:rsid w:val="00CE0E72"/>
    <w:rsid w:val="00CE1280"/>
    <w:rsid w:val="00CE2ADF"/>
    <w:rsid w:val="00CE367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386C"/>
    <w:rsid w:val="00D14FEC"/>
    <w:rsid w:val="00D15546"/>
    <w:rsid w:val="00D16C97"/>
    <w:rsid w:val="00D17789"/>
    <w:rsid w:val="00D21565"/>
    <w:rsid w:val="00D2277C"/>
    <w:rsid w:val="00D22F7D"/>
    <w:rsid w:val="00D25BEE"/>
    <w:rsid w:val="00D2737E"/>
    <w:rsid w:val="00D274A9"/>
    <w:rsid w:val="00D302CF"/>
    <w:rsid w:val="00D32644"/>
    <w:rsid w:val="00D33619"/>
    <w:rsid w:val="00D400F4"/>
    <w:rsid w:val="00D43CF1"/>
    <w:rsid w:val="00D449AE"/>
    <w:rsid w:val="00D477C3"/>
    <w:rsid w:val="00D508EB"/>
    <w:rsid w:val="00D51B89"/>
    <w:rsid w:val="00D52AC7"/>
    <w:rsid w:val="00D52C1F"/>
    <w:rsid w:val="00D54CA9"/>
    <w:rsid w:val="00D54D64"/>
    <w:rsid w:val="00D604FD"/>
    <w:rsid w:val="00D6193E"/>
    <w:rsid w:val="00D6340F"/>
    <w:rsid w:val="00D6535E"/>
    <w:rsid w:val="00D654EC"/>
    <w:rsid w:val="00D6681B"/>
    <w:rsid w:val="00D66C0C"/>
    <w:rsid w:val="00D720DC"/>
    <w:rsid w:val="00D72D16"/>
    <w:rsid w:val="00D742B9"/>
    <w:rsid w:val="00D7492C"/>
    <w:rsid w:val="00D766CC"/>
    <w:rsid w:val="00D81029"/>
    <w:rsid w:val="00D8195B"/>
    <w:rsid w:val="00D821F8"/>
    <w:rsid w:val="00D848F9"/>
    <w:rsid w:val="00D84DDC"/>
    <w:rsid w:val="00D85695"/>
    <w:rsid w:val="00D857BA"/>
    <w:rsid w:val="00D8619F"/>
    <w:rsid w:val="00D86764"/>
    <w:rsid w:val="00D870AC"/>
    <w:rsid w:val="00D90B92"/>
    <w:rsid w:val="00D95611"/>
    <w:rsid w:val="00DA0DF2"/>
    <w:rsid w:val="00DA1152"/>
    <w:rsid w:val="00DA41D7"/>
    <w:rsid w:val="00DA494B"/>
    <w:rsid w:val="00DA5B72"/>
    <w:rsid w:val="00DB5C0A"/>
    <w:rsid w:val="00DC0220"/>
    <w:rsid w:val="00DC0A85"/>
    <w:rsid w:val="00DC6FF8"/>
    <w:rsid w:val="00DD01FC"/>
    <w:rsid w:val="00DD098B"/>
    <w:rsid w:val="00DD13E2"/>
    <w:rsid w:val="00DE47A1"/>
    <w:rsid w:val="00DE7DCC"/>
    <w:rsid w:val="00DF003C"/>
    <w:rsid w:val="00DF0E8B"/>
    <w:rsid w:val="00DF0F8A"/>
    <w:rsid w:val="00DF137F"/>
    <w:rsid w:val="00DF26DE"/>
    <w:rsid w:val="00DF4501"/>
    <w:rsid w:val="00DF5C75"/>
    <w:rsid w:val="00DF65E5"/>
    <w:rsid w:val="00DF6971"/>
    <w:rsid w:val="00DF78AE"/>
    <w:rsid w:val="00E00E78"/>
    <w:rsid w:val="00E0759A"/>
    <w:rsid w:val="00E076C1"/>
    <w:rsid w:val="00E11E2E"/>
    <w:rsid w:val="00E13C83"/>
    <w:rsid w:val="00E15555"/>
    <w:rsid w:val="00E15B7D"/>
    <w:rsid w:val="00E23477"/>
    <w:rsid w:val="00E2408E"/>
    <w:rsid w:val="00E258B7"/>
    <w:rsid w:val="00E27CDB"/>
    <w:rsid w:val="00E334E1"/>
    <w:rsid w:val="00E371EC"/>
    <w:rsid w:val="00E43116"/>
    <w:rsid w:val="00E444DA"/>
    <w:rsid w:val="00E51A48"/>
    <w:rsid w:val="00E550AA"/>
    <w:rsid w:val="00E571F8"/>
    <w:rsid w:val="00E57E5A"/>
    <w:rsid w:val="00E63CA7"/>
    <w:rsid w:val="00E64F0A"/>
    <w:rsid w:val="00E67668"/>
    <w:rsid w:val="00E70AEE"/>
    <w:rsid w:val="00E7107E"/>
    <w:rsid w:val="00E71C93"/>
    <w:rsid w:val="00E725D5"/>
    <w:rsid w:val="00E72AE3"/>
    <w:rsid w:val="00E73B51"/>
    <w:rsid w:val="00E76B98"/>
    <w:rsid w:val="00E8151C"/>
    <w:rsid w:val="00E81A88"/>
    <w:rsid w:val="00E81E9C"/>
    <w:rsid w:val="00E82E15"/>
    <w:rsid w:val="00E84151"/>
    <w:rsid w:val="00E86FA6"/>
    <w:rsid w:val="00E91409"/>
    <w:rsid w:val="00E91D17"/>
    <w:rsid w:val="00E936FF"/>
    <w:rsid w:val="00E939C8"/>
    <w:rsid w:val="00E93A33"/>
    <w:rsid w:val="00E93B6B"/>
    <w:rsid w:val="00E96C74"/>
    <w:rsid w:val="00EA1F89"/>
    <w:rsid w:val="00EA5177"/>
    <w:rsid w:val="00EA7FEF"/>
    <w:rsid w:val="00EB117B"/>
    <w:rsid w:val="00EB2BEB"/>
    <w:rsid w:val="00EB34ED"/>
    <w:rsid w:val="00EB40D6"/>
    <w:rsid w:val="00EB4222"/>
    <w:rsid w:val="00EB5F75"/>
    <w:rsid w:val="00EB79CD"/>
    <w:rsid w:val="00ED1B05"/>
    <w:rsid w:val="00ED4C91"/>
    <w:rsid w:val="00ED5985"/>
    <w:rsid w:val="00EE0648"/>
    <w:rsid w:val="00EE0F2E"/>
    <w:rsid w:val="00EE1868"/>
    <w:rsid w:val="00EE2610"/>
    <w:rsid w:val="00EE2A41"/>
    <w:rsid w:val="00EE354B"/>
    <w:rsid w:val="00EE3C1D"/>
    <w:rsid w:val="00EE6EC2"/>
    <w:rsid w:val="00EF0144"/>
    <w:rsid w:val="00EF078C"/>
    <w:rsid w:val="00EF09FB"/>
    <w:rsid w:val="00EF102E"/>
    <w:rsid w:val="00EF1925"/>
    <w:rsid w:val="00EF2489"/>
    <w:rsid w:val="00EF697A"/>
    <w:rsid w:val="00F02923"/>
    <w:rsid w:val="00F0351B"/>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753"/>
    <w:rsid w:val="00F42E10"/>
    <w:rsid w:val="00F440D8"/>
    <w:rsid w:val="00F44A7B"/>
    <w:rsid w:val="00F44FFA"/>
    <w:rsid w:val="00F45B6F"/>
    <w:rsid w:val="00F510DB"/>
    <w:rsid w:val="00F516E3"/>
    <w:rsid w:val="00F5627B"/>
    <w:rsid w:val="00F567CC"/>
    <w:rsid w:val="00F5724D"/>
    <w:rsid w:val="00F6021E"/>
    <w:rsid w:val="00F60AB3"/>
    <w:rsid w:val="00F62329"/>
    <w:rsid w:val="00F635AC"/>
    <w:rsid w:val="00F65A74"/>
    <w:rsid w:val="00F6668A"/>
    <w:rsid w:val="00F727B0"/>
    <w:rsid w:val="00F72A12"/>
    <w:rsid w:val="00F76A74"/>
    <w:rsid w:val="00F81124"/>
    <w:rsid w:val="00F816C6"/>
    <w:rsid w:val="00F817C5"/>
    <w:rsid w:val="00F841CB"/>
    <w:rsid w:val="00F858D5"/>
    <w:rsid w:val="00F909A9"/>
    <w:rsid w:val="00F91AEE"/>
    <w:rsid w:val="00F97C07"/>
    <w:rsid w:val="00FA047C"/>
    <w:rsid w:val="00FA19D2"/>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D0B6D"/>
    <w:rsid w:val="00FD2DEC"/>
    <w:rsid w:val="00FD4599"/>
    <w:rsid w:val="00FD4784"/>
    <w:rsid w:val="00FD51A0"/>
    <w:rsid w:val="00FD65FE"/>
    <w:rsid w:val="00FD74EB"/>
    <w:rsid w:val="00FE009C"/>
    <w:rsid w:val="00FE01E5"/>
    <w:rsid w:val="00FE214F"/>
    <w:rsid w:val="00FE3DA3"/>
    <w:rsid w:val="00FE4094"/>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Fundamentos">
    <w:name w:val="Fundamentos"/>
    <w:basedOn w:val="Normal"/>
    <w:qFormat/>
    <w:rsid w:val="00D6193E"/>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223954118">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451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C3D0B-214E-43B3-96C3-FAF57C0C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33</Pages>
  <Words>6418</Words>
  <Characters>35299</Characters>
  <Application>Microsoft Office Word</Application>
  <DocSecurity>0</DocSecurity>
  <Lines>294</Lines>
  <Paragraphs>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41634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cp:revision>
  <cp:lastPrinted>2019-11-07T00:56:00Z</cp:lastPrinted>
  <dcterms:created xsi:type="dcterms:W3CDTF">2023-01-18T16:37:00Z</dcterms:created>
  <dcterms:modified xsi:type="dcterms:W3CDTF">2023-02-13T15:14:00Z</dcterms:modified>
</cp:coreProperties>
</file>