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9595715"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A53CD2">
        <w:rPr>
          <w:rFonts w:eastAsia="Palatino Linotype" w:cs="Palatino Linotype"/>
          <w:color w:val="000000"/>
          <w:szCs w:val="24"/>
        </w:rPr>
        <w:t xml:space="preserve">México, </w:t>
      </w:r>
      <w:r w:rsidR="000D2E93" w:rsidRPr="00A53CD2">
        <w:rPr>
          <w:rFonts w:eastAsia="Palatino Linotype" w:cs="Palatino Linotype"/>
          <w:color w:val="000000"/>
          <w:szCs w:val="24"/>
        </w:rPr>
        <w:t xml:space="preserve">a </w:t>
      </w:r>
      <w:r w:rsidR="004A25F8" w:rsidRPr="00A53CD2">
        <w:rPr>
          <w:rFonts w:eastAsia="Palatino Linotype" w:cs="Palatino Linotype"/>
          <w:color w:val="000000"/>
          <w:szCs w:val="24"/>
        </w:rPr>
        <w:t>dos</w:t>
      </w:r>
      <w:r w:rsidR="00557515" w:rsidRPr="00A53CD2">
        <w:rPr>
          <w:rFonts w:eastAsia="Palatino Linotype" w:cs="Palatino Linotype"/>
          <w:color w:val="000000"/>
          <w:szCs w:val="24"/>
        </w:rPr>
        <w:t xml:space="preserve"> de agosto</w:t>
      </w:r>
      <w:r w:rsidR="006C7E69" w:rsidRPr="00A53CD2">
        <w:rPr>
          <w:rFonts w:eastAsia="Palatino Linotype" w:cs="Palatino Linotype"/>
          <w:color w:val="000000"/>
          <w:szCs w:val="24"/>
        </w:rPr>
        <w:t xml:space="preserve"> de dos mil veintitrés</w:t>
      </w:r>
      <w:r w:rsidR="001C1BF4" w:rsidRPr="00A53CD2">
        <w:rPr>
          <w:rFonts w:eastAsia="Palatino Linotype" w:cs="Palatino Linotype"/>
          <w:color w:val="000000"/>
          <w:szCs w:val="24"/>
        </w:rPr>
        <w:t>.</w:t>
      </w:r>
    </w:p>
    <w:p w14:paraId="60399B74"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B63472B"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b/>
          <w:color w:val="000000"/>
          <w:szCs w:val="24"/>
        </w:rPr>
        <w:t>VISTO</w:t>
      </w:r>
      <w:r w:rsidRPr="00A53CD2">
        <w:rPr>
          <w:rFonts w:eastAsia="Palatino Linotype" w:cs="Palatino Linotype"/>
          <w:color w:val="000000"/>
          <w:szCs w:val="24"/>
        </w:rPr>
        <w:t xml:space="preserve"> el expediente electrónico formado con motivo del recurso de revisión número </w:t>
      </w:r>
      <w:r w:rsidR="008D4CC6" w:rsidRPr="00A53CD2">
        <w:rPr>
          <w:rFonts w:eastAsia="Palatino Linotype" w:cs="Palatino Linotype"/>
          <w:b/>
          <w:color w:val="000000"/>
          <w:szCs w:val="24"/>
        </w:rPr>
        <w:t>0</w:t>
      </w:r>
      <w:r w:rsidR="000C01A1" w:rsidRPr="00A53CD2">
        <w:rPr>
          <w:rFonts w:eastAsia="Palatino Linotype" w:cs="Palatino Linotype"/>
          <w:b/>
          <w:color w:val="000000"/>
          <w:szCs w:val="24"/>
        </w:rPr>
        <w:t>229</w:t>
      </w:r>
      <w:r w:rsidR="008D4CC6" w:rsidRPr="00A53CD2">
        <w:rPr>
          <w:rFonts w:eastAsia="Palatino Linotype" w:cs="Palatino Linotype"/>
          <w:b/>
          <w:color w:val="000000"/>
          <w:szCs w:val="24"/>
        </w:rPr>
        <w:t>5/INFOEM/IP/RR/2023</w:t>
      </w:r>
      <w:r w:rsidR="00B54BC7" w:rsidRPr="00A53CD2">
        <w:rPr>
          <w:rFonts w:eastAsia="Palatino Linotype" w:cs="Palatino Linotype"/>
          <w:color w:val="000000"/>
          <w:szCs w:val="24"/>
        </w:rPr>
        <w:t>, interpuesto po</w:t>
      </w:r>
      <w:r w:rsidR="00430C63" w:rsidRPr="00A53CD2">
        <w:rPr>
          <w:rFonts w:eastAsia="Palatino Linotype" w:cs="Palatino Linotype"/>
          <w:color w:val="000000"/>
          <w:szCs w:val="24"/>
        </w:rPr>
        <w:t xml:space="preserve">r </w:t>
      </w:r>
      <w:r w:rsidR="00090E87" w:rsidRPr="00A53CD2">
        <w:rPr>
          <w:rFonts w:eastAsia="Palatino Linotype" w:cs="Palatino Linotype"/>
          <w:b/>
          <w:bCs/>
          <w:color w:val="000000"/>
          <w:szCs w:val="24"/>
        </w:rPr>
        <w:t>XXXXXXXXXXXXXXXXXXXXXXX</w:t>
      </w:r>
      <w:r w:rsidR="00B54BC7" w:rsidRPr="00A53CD2">
        <w:rPr>
          <w:rFonts w:eastAsia="Palatino Linotype" w:cs="Palatino Linotype"/>
          <w:color w:val="000000"/>
          <w:szCs w:val="24"/>
        </w:rPr>
        <w:t xml:space="preserve">, en lo sucesivo </w:t>
      </w:r>
      <w:r w:rsidR="008E5682" w:rsidRPr="00A53CD2">
        <w:rPr>
          <w:rFonts w:eastAsia="Palatino Linotype" w:cs="Palatino Linotype"/>
          <w:color w:val="000000"/>
          <w:szCs w:val="24"/>
        </w:rPr>
        <w:t>el</w:t>
      </w:r>
      <w:r w:rsidR="00B54BC7" w:rsidRPr="00A53CD2">
        <w:rPr>
          <w:rFonts w:eastAsia="Palatino Linotype" w:cs="Palatino Linotype"/>
          <w:color w:val="000000"/>
          <w:szCs w:val="24"/>
        </w:rPr>
        <w:t xml:space="preserve"> </w:t>
      </w:r>
      <w:r w:rsidRPr="00A53CD2">
        <w:rPr>
          <w:rFonts w:eastAsia="Palatino Linotype" w:cs="Palatino Linotype"/>
          <w:b/>
          <w:color w:val="000000"/>
          <w:szCs w:val="24"/>
        </w:rPr>
        <w:t>Recurrente</w:t>
      </w:r>
      <w:r w:rsidRPr="00A53CD2">
        <w:rPr>
          <w:rFonts w:eastAsia="Palatino Linotype" w:cs="Palatino Linotype"/>
          <w:color w:val="000000"/>
          <w:szCs w:val="24"/>
        </w:rPr>
        <w:t>, en contra de la respuesta d</w:t>
      </w:r>
      <w:r w:rsidR="00165CA1" w:rsidRPr="00A53CD2">
        <w:rPr>
          <w:rFonts w:eastAsia="Palatino Linotype" w:cs="Palatino Linotype"/>
          <w:color w:val="000000"/>
          <w:szCs w:val="24"/>
        </w:rPr>
        <w:t>e</w:t>
      </w:r>
      <w:r w:rsidR="000C01A1" w:rsidRPr="00A53CD2">
        <w:rPr>
          <w:rFonts w:eastAsia="Palatino Linotype" w:cs="Palatino Linotype"/>
          <w:color w:val="000000"/>
          <w:szCs w:val="24"/>
        </w:rPr>
        <w:t xml:space="preserve"> </w:t>
      </w:r>
      <w:r w:rsidR="00FF35B6" w:rsidRPr="00A53CD2">
        <w:rPr>
          <w:rFonts w:eastAsia="Palatino Linotype" w:cs="Palatino Linotype"/>
          <w:color w:val="000000"/>
          <w:szCs w:val="24"/>
        </w:rPr>
        <w:t>l</w:t>
      </w:r>
      <w:r w:rsidR="000C01A1" w:rsidRPr="00A53CD2">
        <w:rPr>
          <w:rFonts w:eastAsia="Palatino Linotype" w:cs="Palatino Linotype"/>
          <w:color w:val="000000"/>
          <w:szCs w:val="24"/>
        </w:rPr>
        <w:t>a</w:t>
      </w:r>
      <w:r w:rsidRPr="00A53CD2">
        <w:rPr>
          <w:rFonts w:eastAsia="Palatino Linotype" w:cs="Palatino Linotype"/>
          <w:color w:val="000000"/>
          <w:szCs w:val="24"/>
        </w:rPr>
        <w:t xml:space="preserve"> </w:t>
      </w:r>
      <w:r w:rsidR="000C01A1" w:rsidRPr="00A53CD2">
        <w:rPr>
          <w:rFonts w:eastAsia="Palatino Linotype" w:cs="Palatino Linotype"/>
          <w:b/>
          <w:color w:val="000000"/>
          <w:szCs w:val="24"/>
        </w:rPr>
        <w:t>Secretaría de Desarrollo Urbano y Obra</w:t>
      </w:r>
      <w:r w:rsidR="0051074E" w:rsidRPr="00A53CD2">
        <w:rPr>
          <w:rFonts w:eastAsia="Palatino Linotype" w:cs="Palatino Linotype"/>
          <w:color w:val="000000"/>
          <w:szCs w:val="24"/>
        </w:rPr>
        <w:t xml:space="preserve">, </w:t>
      </w:r>
      <w:r w:rsidRPr="00A53CD2">
        <w:rPr>
          <w:rFonts w:eastAsia="Palatino Linotype" w:cs="Palatino Linotype"/>
          <w:color w:val="000000"/>
          <w:szCs w:val="24"/>
        </w:rPr>
        <w:t>en lo subsecuente</w:t>
      </w:r>
      <w:r w:rsidRPr="00A53CD2">
        <w:rPr>
          <w:rFonts w:eastAsia="Palatino Linotype" w:cs="Palatino Linotype"/>
          <w:b/>
          <w:color w:val="000000"/>
          <w:szCs w:val="24"/>
        </w:rPr>
        <w:t xml:space="preserve"> </w:t>
      </w:r>
      <w:r w:rsidRPr="00A53CD2">
        <w:rPr>
          <w:rFonts w:eastAsia="Palatino Linotype" w:cs="Palatino Linotype"/>
          <w:color w:val="000000"/>
          <w:szCs w:val="24"/>
        </w:rPr>
        <w:t>el</w:t>
      </w:r>
      <w:r w:rsidRPr="00A53CD2">
        <w:rPr>
          <w:rFonts w:eastAsia="Palatino Linotype" w:cs="Palatino Linotype"/>
          <w:b/>
          <w:color w:val="000000"/>
          <w:szCs w:val="24"/>
        </w:rPr>
        <w:t xml:space="preserve"> Sujeto Obligado, </w:t>
      </w:r>
      <w:r w:rsidRPr="00A53CD2">
        <w:rPr>
          <w:rFonts w:eastAsia="Palatino Linotype" w:cs="Palatino Linotype"/>
          <w:color w:val="000000"/>
          <w:szCs w:val="24"/>
        </w:rPr>
        <w:t>se procede a dictar la presente resolución.</w:t>
      </w:r>
    </w:p>
    <w:p w14:paraId="2E2053C2"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098603B2" w14:textId="77777777" w:rsidR="008E24B6" w:rsidRPr="00A53CD2"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53CD2" w:rsidRDefault="00A970D5" w:rsidP="006922F5">
      <w:pPr>
        <w:pStyle w:val="Ttulo1"/>
        <w:rPr>
          <w:rFonts w:eastAsia="Palatino Linotype"/>
          <w:lang w:val="es-ES_tradnl"/>
        </w:rPr>
      </w:pPr>
      <w:r w:rsidRPr="00A53CD2">
        <w:rPr>
          <w:rFonts w:eastAsia="Palatino Linotype"/>
          <w:lang w:val="es-ES_tradnl"/>
        </w:rPr>
        <w:t>A N T E C E D E N T E S</w:t>
      </w:r>
    </w:p>
    <w:p w14:paraId="32F88820"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A53CD2" w:rsidRDefault="00A970D5" w:rsidP="006922F5">
      <w:pPr>
        <w:pStyle w:val="Ttulo2"/>
        <w:rPr>
          <w:rFonts w:eastAsia="Palatino Linotype"/>
        </w:rPr>
      </w:pPr>
      <w:r w:rsidRPr="00A53CD2">
        <w:rPr>
          <w:rFonts w:eastAsia="Palatino Linotype"/>
        </w:rPr>
        <w:t>PRIMERO. De la Solicitud de Información.</w:t>
      </w:r>
    </w:p>
    <w:p w14:paraId="0870C154" w14:textId="5ABA462F" w:rsidR="00A970D5" w:rsidRPr="00A53CD2" w:rsidRDefault="00B36B86"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Con fecha</w:t>
      </w:r>
      <w:r w:rsidR="00AA6C98" w:rsidRPr="00A53CD2">
        <w:rPr>
          <w:rFonts w:eastAsia="Palatino Linotype" w:cs="Palatino Linotype"/>
          <w:color w:val="000000"/>
          <w:szCs w:val="24"/>
        </w:rPr>
        <w:t xml:space="preserve"> </w:t>
      </w:r>
      <w:r w:rsidR="008E24B6" w:rsidRPr="00A53CD2">
        <w:rPr>
          <w:rFonts w:eastAsia="Palatino Linotype" w:cs="Palatino Linotype"/>
          <w:color w:val="000000"/>
          <w:szCs w:val="24"/>
        </w:rPr>
        <w:t>veinti</w:t>
      </w:r>
      <w:r w:rsidR="000C01A1" w:rsidRPr="00A53CD2">
        <w:rPr>
          <w:rFonts w:eastAsia="Palatino Linotype" w:cs="Palatino Linotype"/>
          <w:color w:val="000000"/>
          <w:szCs w:val="24"/>
        </w:rPr>
        <w:t>ocho</w:t>
      </w:r>
      <w:r w:rsidR="00AA6C98" w:rsidRPr="00A53CD2">
        <w:rPr>
          <w:rFonts w:eastAsia="Palatino Linotype" w:cs="Palatino Linotype"/>
          <w:color w:val="000000"/>
          <w:szCs w:val="24"/>
        </w:rPr>
        <w:t xml:space="preserve"> de marzo de dos mil veintitrés</w:t>
      </w:r>
      <w:r w:rsidR="00B54BC7" w:rsidRPr="00A53CD2">
        <w:rPr>
          <w:rFonts w:eastAsia="Palatino Linotype" w:cs="Palatino Linotype"/>
          <w:color w:val="000000"/>
          <w:szCs w:val="24"/>
        </w:rPr>
        <w:t xml:space="preserve">, </w:t>
      </w:r>
      <w:r w:rsidR="00430C63" w:rsidRPr="00A53CD2">
        <w:rPr>
          <w:rFonts w:eastAsia="Palatino Linotype" w:cs="Palatino Linotype"/>
          <w:color w:val="000000"/>
          <w:szCs w:val="24"/>
        </w:rPr>
        <w:t>el</w:t>
      </w:r>
      <w:r w:rsidR="00A970D5" w:rsidRPr="00A53CD2">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A53CD2">
        <w:rPr>
          <w:rFonts w:eastAsia="Palatino Linotype" w:cs="Palatino Linotype"/>
          <w:b/>
          <w:color w:val="000000"/>
          <w:szCs w:val="24"/>
        </w:rPr>
        <w:t xml:space="preserve"> </w:t>
      </w:r>
      <w:r w:rsidR="000C01A1" w:rsidRPr="00A53CD2">
        <w:rPr>
          <w:rFonts w:eastAsia="Palatino Linotype" w:cs="Palatino Linotype"/>
          <w:b/>
          <w:bCs/>
          <w:color w:val="000000"/>
          <w:szCs w:val="24"/>
        </w:rPr>
        <w:t>00144/SEDUO/IP/2023</w:t>
      </w:r>
      <w:r w:rsidR="00A970D5" w:rsidRPr="00A53CD2">
        <w:rPr>
          <w:rFonts w:eastAsia="Palatino Linotype" w:cs="Palatino Linotype"/>
          <w:color w:val="000000"/>
          <w:szCs w:val="24"/>
        </w:rPr>
        <w:t>,</w:t>
      </w:r>
      <w:r w:rsidR="00A970D5" w:rsidRPr="00A53CD2">
        <w:rPr>
          <w:rFonts w:eastAsia="Palatino Linotype" w:cs="Palatino Linotype"/>
          <w:b/>
          <w:color w:val="000000"/>
          <w:szCs w:val="24"/>
        </w:rPr>
        <w:t xml:space="preserve"> </w:t>
      </w:r>
      <w:r w:rsidR="00A970D5" w:rsidRPr="00A53CD2">
        <w:rPr>
          <w:rFonts w:eastAsia="Palatino Linotype" w:cs="Palatino Linotype"/>
          <w:color w:val="000000"/>
          <w:szCs w:val="24"/>
        </w:rPr>
        <w:t>mediante la cual solicitó información en el tenor siguiente:</w:t>
      </w:r>
    </w:p>
    <w:p w14:paraId="68B56D82"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6604ABE" w:rsidR="00A970D5" w:rsidRPr="00A53CD2" w:rsidRDefault="00A970D5" w:rsidP="008E24B6">
      <w:pPr>
        <w:pStyle w:val="Fundamentos"/>
      </w:pPr>
      <w:r w:rsidRPr="00A53CD2">
        <w:t>“</w:t>
      </w:r>
      <w:r w:rsidR="000C01A1" w:rsidRPr="00A53CD2">
        <w:t>Solicito se me informe de la Comisión de Impacto Estatal, con que utensilios de cocina cuenta en cada una de sus áreas, es decir, de las áreas: 1. Dirección de servicios al Inversionista 2. Dirección de Contaminación y Seguimiento. 3. Dirección del Registro de Evaluaciones de Impacto Estatal 4. Dirección General Así como, de de sus jefaturas y toda área de la Comisión de Impacto Estatal. De igual manera, de Dichos utensilios solicito comprobantes de compra.</w:t>
      </w:r>
      <w:r w:rsidRPr="00A53CD2">
        <w:t xml:space="preserve">” </w:t>
      </w:r>
      <w:r w:rsidR="00D7260C" w:rsidRPr="00A53CD2">
        <w:t>(</w:t>
      </w:r>
      <w:r w:rsidRPr="00A53CD2">
        <w:t>Sic</w:t>
      </w:r>
      <w:r w:rsidR="00D7260C" w:rsidRPr="00A53CD2">
        <w:t>)</w:t>
      </w:r>
    </w:p>
    <w:p w14:paraId="40BBECCB"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A53CD2" w:rsidRDefault="00A970D5" w:rsidP="006922F5">
      <w:pPr>
        <w:pBdr>
          <w:top w:val="nil"/>
          <w:left w:val="nil"/>
          <w:bottom w:val="nil"/>
          <w:right w:val="nil"/>
          <w:between w:val="nil"/>
        </w:pBdr>
        <w:contextualSpacing/>
        <w:rPr>
          <w:rFonts w:eastAsia="Palatino Linotype" w:cs="Palatino Linotype"/>
          <w:b/>
          <w:color w:val="000000"/>
          <w:szCs w:val="24"/>
        </w:rPr>
      </w:pPr>
      <w:r w:rsidRPr="00A53CD2">
        <w:rPr>
          <w:rFonts w:eastAsia="Palatino Linotype" w:cs="Palatino Linotype"/>
          <w:color w:val="000000"/>
          <w:szCs w:val="24"/>
        </w:rPr>
        <w:t xml:space="preserve">Modalidad de entrega: </w:t>
      </w:r>
      <w:r w:rsidRPr="00A53CD2">
        <w:rPr>
          <w:rFonts w:eastAsia="Palatino Linotype" w:cs="Palatino Linotype"/>
          <w:b/>
          <w:color w:val="000000"/>
          <w:szCs w:val="24"/>
        </w:rPr>
        <w:t>A través del SAIMEX</w:t>
      </w:r>
      <w:r w:rsidRPr="00A53CD2">
        <w:rPr>
          <w:rFonts w:eastAsia="Palatino Linotype" w:cs="Palatino Linotype"/>
          <w:color w:val="000000"/>
          <w:szCs w:val="24"/>
        </w:rPr>
        <w:t>.</w:t>
      </w:r>
    </w:p>
    <w:p w14:paraId="474DB373" w14:textId="77777777" w:rsidR="00430C63" w:rsidRPr="00A53CD2"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12CE92E9" w:rsidR="00A970D5" w:rsidRPr="00A53CD2" w:rsidRDefault="008E24B6" w:rsidP="006922F5">
      <w:pPr>
        <w:pStyle w:val="Ttulo2"/>
        <w:rPr>
          <w:rFonts w:eastAsia="Palatino Linotype"/>
        </w:rPr>
      </w:pPr>
      <w:r w:rsidRPr="00A53CD2">
        <w:rPr>
          <w:rFonts w:eastAsia="Palatino Linotype"/>
        </w:rPr>
        <w:t>SEGUNDO</w:t>
      </w:r>
      <w:r w:rsidR="00A970D5" w:rsidRPr="00A53CD2">
        <w:rPr>
          <w:rFonts w:eastAsia="Palatino Linotype"/>
        </w:rPr>
        <w:t>. De la respuesta del Sujeto Obligado.</w:t>
      </w:r>
    </w:p>
    <w:p w14:paraId="2EE6F294" w14:textId="1835C950"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De las constancias que obran en el expediente electrónico, se observa qu</w:t>
      </w:r>
      <w:r w:rsidR="008B2951" w:rsidRPr="00A53CD2">
        <w:rPr>
          <w:rFonts w:eastAsia="Palatino Linotype" w:cs="Palatino Linotype"/>
          <w:color w:val="000000"/>
          <w:szCs w:val="24"/>
        </w:rPr>
        <w:t>e el día</w:t>
      </w:r>
      <w:r w:rsidR="00AA6C98" w:rsidRPr="00A53CD2">
        <w:rPr>
          <w:rFonts w:eastAsia="Palatino Linotype" w:cs="Palatino Linotype"/>
          <w:color w:val="000000"/>
          <w:szCs w:val="24"/>
        </w:rPr>
        <w:t xml:space="preserve"> </w:t>
      </w:r>
      <w:r w:rsidR="000C01A1" w:rsidRPr="00A53CD2">
        <w:rPr>
          <w:rFonts w:eastAsia="Palatino Linotype" w:cs="Palatino Linotype"/>
          <w:color w:val="000000"/>
          <w:szCs w:val="24"/>
        </w:rPr>
        <w:t>diecinueve de abril</w:t>
      </w:r>
      <w:r w:rsidR="00AA6C98" w:rsidRPr="00A53CD2">
        <w:rPr>
          <w:rFonts w:eastAsia="Palatino Linotype" w:cs="Palatino Linotype"/>
          <w:color w:val="000000"/>
          <w:szCs w:val="24"/>
        </w:rPr>
        <w:t xml:space="preserve"> de dos mil veintitrés</w:t>
      </w:r>
      <w:r w:rsidRPr="00A53CD2">
        <w:rPr>
          <w:rFonts w:eastAsia="Palatino Linotype" w:cs="Palatino Linotype"/>
          <w:color w:val="000000"/>
          <w:szCs w:val="24"/>
        </w:rPr>
        <w:t>, el Sujeto Obligado dio respuest</w:t>
      </w:r>
      <w:r w:rsidR="009F4FF4" w:rsidRPr="00A53CD2">
        <w:rPr>
          <w:rFonts w:eastAsia="Palatino Linotype" w:cs="Palatino Linotype"/>
          <w:color w:val="000000"/>
          <w:szCs w:val="24"/>
        </w:rPr>
        <w:t>a a la solicitud de información</w:t>
      </w:r>
      <w:r w:rsidRPr="00A53CD2">
        <w:rPr>
          <w:rFonts w:eastAsia="Palatino Linotype" w:cs="Palatino Linotype"/>
          <w:color w:val="000000"/>
          <w:szCs w:val="24"/>
        </w:rPr>
        <w:t xml:space="preserve"> manifestando lo siguiente:</w:t>
      </w:r>
    </w:p>
    <w:p w14:paraId="6CF4EC0F"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 w:val="21"/>
          <w:szCs w:val="21"/>
        </w:rPr>
      </w:pPr>
    </w:p>
    <w:p w14:paraId="076C2F6F" w14:textId="77777777" w:rsidR="000C01A1" w:rsidRPr="00A53CD2" w:rsidRDefault="00A970D5" w:rsidP="000C01A1">
      <w:pPr>
        <w:pStyle w:val="Fundamentos"/>
      </w:pPr>
      <w:r w:rsidRPr="00A53CD2">
        <w:t>“</w:t>
      </w:r>
      <w:r w:rsidR="000C01A1" w:rsidRPr="00A53CD2">
        <w:t>En respuesta a la solicitud recibida, nos permitimos hacer de su conocimiento que con fundamento en el artículo 53, Fracciones: II, V y VI de la Ley de Transparencia y Acceso a la Información Pública del Estado de México y Municipios, le contestamos que:</w:t>
      </w:r>
    </w:p>
    <w:p w14:paraId="16A5CEF8" w14:textId="77777777" w:rsidR="000C01A1" w:rsidRPr="00A53CD2" w:rsidRDefault="000C01A1" w:rsidP="000C01A1">
      <w:pPr>
        <w:pStyle w:val="Fundamentos"/>
      </w:pPr>
    </w:p>
    <w:p w14:paraId="5C6469FF" w14:textId="77777777" w:rsidR="000C01A1" w:rsidRPr="00A53CD2" w:rsidRDefault="000C01A1" w:rsidP="000C01A1">
      <w:pPr>
        <w:pStyle w:val="Fundamentos"/>
      </w:pPr>
      <w:r w:rsidRPr="00A53CD2">
        <w:t>Sobre el particular, sírvase encontrar en archivo adjunto copia del oficio número SEDUO-CI-0447/2023, de fecha 19 de abril de 2023, mediante el cual se detalla lo referente a su solicitud.</w:t>
      </w:r>
    </w:p>
    <w:p w14:paraId="4694D6BD" w14:textId="77777777" w:rsidR="000C01A1" w:rsidRPr="00A53CD2" w:rsidRDefault="000C01A1" w:rsidP="000C01A1">
      <w:pPr>
        <w:pStyle w:val="Fundamentos"/>
      </w:pPr>
    </w:p>
    <w:p w14:paraId="13435014" w14:textId="77777777" w:rsidR="000C01A1" w:rsidRPr="00A53CD2" w:rsidRDefault="000C01A1" w:rsidP="000C01A1">
      <w:pPr>
        <w:pStyle w:val="Fundamentos"/>
      </w:pPr>
      <w:r w:rsidRPr="00A53CD2">
        <w:t>ATENTAMENTE</w:t>
      </w:r>
    </w:p>
    <w:p w14:paraId="3FE4A9EF" w14:textId="1863CD16" w:rsidR="00A970D5" w:rsidRPr="00A53CD2" w:rsidRDefault="000C01A1" w:rsidP="000C01A1">
      <w:pPr>
        <w:pStyle w:val="Fundamentos"/>
        <w:rPr>
          <w:lang w:val="es-MX"/>
        </w:rPr>
      </w:pPr>
      <w:r w:rsidRPr="00A53CD2">
        <w:t>Lcda. Nandllely Karen Torres Torres</w:t>
      </w:r>
      <w:r w:rsidR="00A970D5" w:rsidRPr="00A53CD2">
        <w:rPr>
          <w:lang w:val="es-MX"/>
        </w:rPr>
        <w:t>” (Sic)</w:t>
      </w:r>
    </w:p>
    <w:p w14:paraId="2EAB8352" w14:textId="3B77EF6C" w:rsidR="001107C4" w:rsidRPr="00A53CD2"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045C06C1" w:rsidR="0037112D" w:rsidRPr="00A53CD2" w:rsidRDefault="0037112D" w:rsidP="00AA6C98">
      <w:pPr>
        <w:pBdr>
          <w:top w:val="nil"/>
          <w:left w:val="nil"/>
          <w:bottom w:val="nil"/>
          <w:right w:val="nil"/>
          <w:between w:val="nil"/>
        </w:pBdr>
        <w:contextualSpacing/>
        <w:rPr>
          <w:rFonts w:eastAsia="Palatino Linotype" w:cs="Palatino Linotype"/>
          <w:b/>
          <w:bCs/>
          <w:color w:val="000000"/>
          <w:szCs w:val="24"/>
        </w:rPr>
      </w:pPr>
      <w:r w:rsidRPr="00A53CD2">
        <w:rPr>
          <w:rFonts w:eastAsia="Palatino Linotype" w:cs="Palatino Linotype"/>
          <w:color w:val="000000"/>
          <w:szCs w:val="24"/>
        </w:rPr>
        <w:t xml:space="preserve">El Sujeto Obligado </w:t>
      </w:r>
      <w:r w:rsidR="00AA6C98" w:rsidRPr="00A53CD2">
        <w:rPr>
          <w:rFonts w:eastAsia="Palatino Linotype" w:cs="Palatino Linotype"/>
          <w:color w:val="000000"/>
          <w:szCs w:val="24"/>
        </w:rPr>
        <w:t>adjuntó a su respuesta los</w:t>
      </w:r>
      <w:r w:rsidR="00165CA1" w:rsidRPr="00A53CD2">
        <w:rPr>
          <w:rFonts w:eastAsia="Palatino Linotype" w:cs="Palatino Linotype"/>
          <w:color w:val="000000"/>
          <w:szCs w:val="24"/>
        </w:rPr>
        <w:t xml:space="preserve"> documento</w:t>
      </w:r>
      <w:r w:rsidR="00AA6C98" w:rsidRPr="00A53CD2">
        <w:rPr>
          <w:rFonts w:eastAsia="Palatino Linotype" w:cs="Palatino Linotype"/>
          <w:color w:val="000000"/>
          <w:szCs w:val="24"/>
        </w:rPr>
        <w:t>s</w:t>
      </w:r>
      <w:r w:rsidR="00165CA1" w:rsidRPr="00A53CD2">
        <w:rPr>
          <w:rFonts w:eastAsia="Palatino Linotype" w:cs="Palatino Linotype"/>
          <w:color w:val="000000"/>
          <w:szCs w:val="24"/>
        </w:rPr>
        <w:t xml:space="preserve"> denominado</w:t>
      </w:r>
      <w:r w:rsidR="00AA6C98" w:rsidRPr="00A53CD2">
        <w:rPr>
          <w:rFonts w:eastAsia="Palatino Linotype" w:cs="Palatino Linotype"/>
          <w:color w:val="000000"/>
          <w:szCs w:val="24"/>
        </w:rPr>
        <w:t>s</w:t>
      </w:r>
      <w:r w:rsidR="00AA6C98" w:rsidRPr="00A53CD2">
        <w:rPr>
          <w:rFonts w:eastAsia="Palatino Linotype" w:cs="Palatino Linotype"/>
          <w:bCs/>
          <w:color w:val="000000"/>
          <w:szCs w:val="24"/>
        </w:rPr>
        <w:t xml:space="preserve"> </w:t>
      </w:r>
      <w:r w:rsidR="00AA6C98" w:rsidRPr="00A53CD2">
        <w:rPr>
          <w:rFonts w:eastAsia="Palatino Linotype" w:cs="Palatino Linotype"/>
          <w:b/>
          <w:bCs/>
          <w:color w:val="000000"/>
          <w:szCs w:val="24"/>
        </w:rPr>
        <w:t>“</w:t>
      </w:r>
      <w:r w:rsidR="000C01A1" w:rsidRPr="00A53CD2">
        <w:rPr>
          <w:rFonts w:eastAsia="Palatino Linotype" w:cs="Palatino Linotype"/>
          <w:b/>
          <w:bCs/>
          <w:color w:val="000000"/>
          <w:szCs w:val="24"/>
        </w:rPr>
        <w:t>UT 144-2023</w:t>
      </w:r>
      <w:r w:rsidR="00AA6C98" w:rsidRPr="00A53CD2">
        <w:rPr>
          <w:rFonts w:eastAsia="Palatino Linotype" w:cs="Palatino Linotype"/>
          <w:b/>
          <w:bCs/>
          <w:color w:val="000000"/>
          <w:szCs w:val="24"/>
        </w:rPr>
        <w:t>.pdf”</w:t>
      </w:r>
      <w:r w:rsidR="00AA6C98" w:rsidRPr="00A53CD2">
        <w:rPr>
          <w:rFonts w:eastAsia="Palatino Linotype" w:cs="Palatino Linotype"/>
          <w:bCs/>
          <w:color w:val="000000"/>
          <w:szCs w:val="24"/>
        </w:rPr>
        <w:t xml:space="preserve"> y</w:t>
      </w:r>
      <w:r w:rsidR="00AA6C98" w:rsidRPr="00A53CD2">
        <w:rPr>
          <w:rFonts w:eastAsia="Palatino Linotype" w:cs="Palatino Linotype"/>
          <w:b/>
          <w:bCs/>
          <w:color w:val="000000"/>
          <w:szCs w:val="24"/>
        </w:rPr>
        <w:t xml:space="preserve"> “</w:t>
      </w:r>
      <w:r w:rsidR="000C01A1" w:rsidRPr="00A53CD2">
        <w:rPr>
          <w:rFonts w:eastAsia="Palatino Linotype" w:cs="Palatino Linotype"/>
          <w:b/>
          <w:bCs/>
          <w:color w:val="000000"/>
          <w:szCs w:val="24"/>
        </w:rPr>
        <w:t>RESP UT144</w:t>
      </w:r>
      <w:r w:rsidR="00E05F1C" w:rsidRPr="00A53CD2">
        <w:rPr>
          <w:rFonts w:eastAsia="Palatino Linotype" w:cs="Palatino Linotype"/>
          <w:b/>
          <w:bCs/>
          <w:color w:val="000000"/>
          <w:szCs w:val="24"/>
        </w:rPr>
        <w:t>-2023</w:t>
      </w:r>
      <w:r w:rsidR="000C01A1" w:rsidRPr="00A53CD2">
        <w:rPr>
          <w:rFonts w:eastAsia="Palatino Linotype" w:cs="Palatino Linotype"/>
          <w:b/>
          <w:bCs/>
          <w:color w:val="000000"/>
          <w:szCs w:val="24"/>
        </w:rPr>
        <w:t xml:space="preserve"> DGCIE</w:t>
      </w:r>
      <w:r w:rsidR="00AA6C98" w:rsidRPr="00A53CD2">
        <w:rPr>
          <w:rFonts w:eastAsia="Palatino Linotype" w:cs="Palatino Linotype"/>
          <w:b/>
          <w:bCs/>
          <w:color w:val="000000"/>
          <w:szCs w:val="24"/>
        </w:rPr>
        <w:t>.pdf</w:t>
      </w:r>
      <w:r w:rsidRPr="00A53CD2">
        <w:rPr>
          <w:rFonts w:eastAsia="Palatino Linotype" w:cs="Palatino Linotype"/>
          <w:b/>
          <w:bCs/>
          <w:color w:val="000000"/>
          <w:szCs w:val="24"/>
        </w:rPr>
        <w:t>”</w:t>
      </w:r>
      <w:r w:rsidRPr="00A53CD2">
        <w:rPr>
          <w:rFonts w:eastAsia="Palatino Linotype" w:cs="Palatino Linotype"/>
          <w:color w:val="000000"/>
          <w:szCs w:val="24"/>
        </w:rPr>
        <w:t xml:space="preserve">, </w:t>
      </w:r>
      <w:r w:rsidR="00AA6C98" w:rsidRPr="00A53CD2">
        <w:rPr>
          <w:rFonts w:eastAsia="Palatino Linotype" w:cs="Palatino Linotype"/>
          <w:color w:val="000000"/>
          <w:szCs w:val="24"/>
        </w:rPr>
        <w:t>los</w:t>
      </w:r>
      <w:r w:rsidR="00165CA1" w:rsidRPr="00A53CD2">
        <w:rPr>
          <w:rFonts w:eastAsia="Palatino Linotype" w:cs="Palatino Linotype"/>
          <w:color w:val="000000"/>
          <w:szCs w:val="24"/>
        </w:rPr>
        <w:t xml:space="preserve"> cual</w:t>
      </w:r>
      <w:r w:rsidR="00AA6C98" w:rsidRPr="00A53CD2">
        <w:rPr>
          <w:rFonts w:eastAsia="Palatino Linotype" w:cs="Palatino Linotype"/>
          <w:color w:val="000000"/>
          <w:szCs w:val="24"/>
        </w:rPr>
        <w:t>es</w:t>
      </w:r>
      <w:r w:rsidR="00165CA1" w:rsidRPr="00A53CD2">
        <w:rPr>
          <w:rFonts w:eastAsia="Palatino Linotype" w:cs="Palatino Linotype"/>
          <w:color w:val="000000"/>
          <w:szCs w:val="24"/>
        </w:rPr>
        <w:t xml:space="preserve"> no se reproduce</w:t>
      </w:r>
      <w:r w:rsidR="00AA6C98" w:rsidRPr="00A53CD2">
        <w:rPr>
          <w:rFonts w:eastAsia="Palatino Linotype" w:cs="Palatino Linotype"/>
          <w:color w:val="000000"/>
          <w:szCs w:val="24"/>
        </w:rPr>
        <w:t>n</w:t>
      </w:r>
      <w:r w:rsidR="00EE3066" w:rsidRPr="00A53CD2">
        <w:rPr>
          <w:rFonts w:eastAsia="Palatino Linotype" w:cs="Palatino Linotype"/>
          <w:color w:val="000000"/>
          <w:szCs w:val="24"/>
        </w:rPr>
        <w:t xml:space="preserve"> por ser del conocimiento de las partes; no obstante, su </w:t>
      </w:r>
      <w:r w:rsidR="009B321A" w:rsidRPr="00A53CD2">
        <w:rPr>
          <w:rFonts w:eastAsia="Palatino Linotype" w:cs="Palatino Linotype"/>
          <w:color w:val="000000"/>
          <w:szCs w:val="24"/>
        </w:rPr>
        <w:t>contenido será motivo de análisis en el estudio correspondiente.</w:t>
      </w:r>
    </w:p>
    <w:p w14:paraId="2011BBDD" w14:textId="77777777" w:rsidR="0037112D" w:rsidRPr="00A53CD2"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6203C675" w:rsidR="00A970D5" w:rsidRPr="00A53CD2" w:rsidRDefault="008E24B6" w:rsidP="006922F5">
      <w:pPr>
        <w:pStyle w:val="Ttulo2"/>
        <w:rPr>
          <w:rFonts w:eastAsia="Palatino Linotype"/>
        </w:rPr>
      </w:pPr>
      <w:r w:rsidRPr="00A53CD2">
        <w:rPr>
          <w:rFonts w:eastAsia="Palatino Linotype"/>
        </w:rPr>
        <w:t>TERCERO</w:t>
      </w:r>
      <w:r w:rsidR="00A970D5" w:rsidRPr="00A53CD2">
        <w:rPr>
          <w:rFonts w:eastAsia="Palatino Linotype"/>
        </w:rPr>
        <w:t>. Del recurso de revisión.</w:t>
      </w:r>
    </w:p>
    <w:p w14:paraId="0C8C3A2F" w14:textId="331C56A5"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Inconforme con la respuesta em</w:t>
      </w:r>
      <w:r w:rsidR="00A06896" w:rsidRPr="00A53CD2">
        <w:rPr>
          <w:rFonts w:eastAsia="Palatino Linotype" w:cs="Palatino Linotype"/>
          <w:color w:val="000000"/>
          <w:szCs w:val="24"/>
        </w:rPr>
        <w:t xml:space="preserve">itida por el Sujeto Obligado, </w:t>
      </w:r>
      <w:r w:rsidR="00EE3066" w:rsidRPr="00A53CD2">
        <w:rPr>
          <w:rFonts w:eastAsia="Palatino Linotype" w:cs="Palatino Linotype"/>
          <w:color w:val="000000"/>
          <w:szCs w:val="24"/>
        </w:rPr>
        <w:t>el</w:t>
      </w:r>
      <w:r w:rsidRPr="00A53CD2">
        <w:rPr>
          <w:rFonts w:eastAsia="Palatino Linotype" w:cs="Palatino Linotype"/>
          <w:color w:val="000000"/>
          <w:szCs w:val="24"/>
        </w:rPr>
        <w:t xml:space="preserve"> Recurrente interpuso el presente recurso de revisión e</w:t>
      </w:r>
      <w:r w:rsidR="008B2951" w:rsidRPr="00A53CD2">
        <w:rPr>
          <w:rFonts w:eastAsia="Palatino Linotype" w:cs="Palatino Linotype"/>
          <w:color w:val="000000"/>
          <w:szCs w:val="24"/>
        </w:rPr>
        <w:t xml:space="preserve">l día </w:t>
      </w:r>
      <w:r w:rsidR="000C01A1" w:rsidRPr="00A53CD2">
        <w:rPr>
          <w:rFonts w:eastAsia="Palatino Linotype" w:cs="Palatino Linotype"/>
          <w:color w:val="000000"/>
          <w:szCs w:val="24"/>
        </w:rPr>
        <w:t>veintiocho de abril</w:t>
      </w:r>
      <w:r w:rsidR="00E05F1C" w:rsidRPr="00A53CD2">
        <w:rPr>
          <w:rFonts w:eastAsia="Palatino Linotype" w:cs="Palatino Linotype"/>
          <w:color w:val="000000"/>
          <w:szCs w:val="24"/>
        </w:rPr>
        <w:t xml:space="preserve"> </w:t>
      </w:r>
      <w:r w:rsidR="00AA6C98" w:rsidRPr="00A53CD2">
        <w:rPr>
          <w:rFonts w:eastAsia="Palatino Linotype" w:cs="Palatino Linotype"/>
          <w:color w:val="000000"/>
          <w:szCs w:val="24"/>
        </w:rPr>
        <w:t>de dos mil veintitrés</w:t>
      </w:r>
      <w:r w:rsidRPr="00A53CD2">
        <w:rPr>
          <w:rFonts w:eastAsia="Palatino Linotype" w:cs="Palatino Linotype"/>
          <w:color w:val="000000"/>
          <w:szCs w:val="24"/>
        </w:rPr>
        <w:t xml:space="preserve">, el cual se registró </w:t>
      </w:r>
      <w:r w:rsidR="00E05F1C" w:rsidRPr="00A53CD2">
        <w:rPr>
          <w:rFonts w:eastAsia="Palatino Linotype" w:cs="Palatino Linotype"/>
          <w:color w:val="000000"/>
          <w:szCs w:val="24"/>
        </w:rPr>
        <w:t xml:space="preserve">en el SAIMEX </w:t>
      </w:r>
      <w:r w:rsidRPr="00A53CD2">
        <w:rPr>
          <w:rFonts w:eastAsia="Palatino Linotype" w:cs="Palatino Linotype"/>
          <w:color w:val="000000"/>
          <w:szCs w:val="24"/>
        </w:rPr>
        <w:t xml:space="preserve">con el expediente número </w:t>
      </w:r>
      <w:r w:rsidR="008D4CC6" w:rsidRPr="00A53CD2">
        <w:rPr>
          <w:rFonts w:eastAsia="Palatino Linotype" w:cs="Palatino Linotype"/>
          <w:b/>
          <w:color w:val="000000"/>
          <w:szCs w:val="24"/>
        </w:rPr>
        <w:t>0</w:t>
      </w:r>
      <w:r w:rsidR="00EE58CE" w:rsidRPr="00A53CD2">
        <w:rPr>
          <w:rFonts w:eastAsia="Palatino Linotype" w:cs="Palatino Linotype"/>
          <w:b/>
          <w:color w:val="000000"/>
          <w:szCs w:val="24"/>
        </w:rPr>
        <w:t>229</w:t>
      </w:r>
      <w:r w:rsidR="008D4CC6" w:rsidRPr="00A53CD2">
        <w:rPr>
          <w:rFonts w:eastAsia="Palatino Linotype" w:cs="Palatino Linotype"/>
          <w:b/>
          <w:color w:val="000000"/>
          <w:szCs w:val="24"/>
        </w:rPr>
        <w:t>5/INFOEM/IP/RR/2023</w:t>
      </w:r>
      <w:r w:rsidR="00A06896" w:rsidRPr="00A53CD2">
        <w:rPr>
          <w:rFonts w:eastAsia="Palatino Linotype" w:cs="Palatino Linotype"/>
          <w:color w:val="000000"/>
          <w:szCs w:val="24"/>
        </w:rPr>
        <w:t xml:space="preserve">, </w:t>
      </w:r>
      <w:r w:rsidR="00A24265" w:rsidRPr="00A53CD2">
        <w:rPr>
          <w:rFonts w:eastAsia="Palatino Linotype" w:cs="Palatino Linotype"/>
          <w:color w:val="000000"/>
          <w:szCs w:val="24"/>
        </w:rPr>
        <w:t>manifestando</w:t>
      </w:r>
      <w:r w:rsidRPr="00A53CD2">
        <w:rPr>
          <w:rFonts w:eastAsia="Palatino Linotype" w:cs="Palatino Linotype"/>
          <w:color w:val="000000"/>
          <w:szCs w:val="24"/>
        </w:rPr>
        <w:t xml:space="preserve"> lo siguiente:</w:t>
      </w:r>
    </w:p>
    <w:p w14:paraId="7AA0C9F4" w14:textId="046134A0" w:rsidR="00A970D5" w:rsidRPr="00A53CD2" w:rsidRDefault="00A970D5" w:rsidP="006922F5">
      <w:pPr>
        <w:pBdr>
          <w:top w:val="nil"/>
          <w:left w:val="nil"/>
          <w:bottom w:val="nil"/>
          <w:right w:val="nil"/>
          <w:between w:val="nil"/>
        </w:pBdr>
        <w:contextualSpacing/>
        <w:rPr>
          <w:rFonts w:eastAsia="Palatino Linotype" w:cs="Palatino Linotype"/>
          <w:color w:val="000000"/>
          <w:sz w:val="22"/>
        </w:rPr>
      </w:pPr>
    </w:p>
    <w:p w14:paraId="40A32B60" w14:textId="77777777" w:rsidR="00EE58CE" w:rsidRPr="00A53CD2" w:rsidRDefault="00A970D5" w:rsidP="00EE58CE">
      <w:pPr>
        <w:contextualSpacing/>
        <w:rPr>
          <w:rFonts w:eastAsia="Palatino Linotype" w:cs="Palatino Linotype"/>
          <w:b/>
        </w:rPr>
      </w:pPr>
      <w:r w:rsidRPr="00A53CD2">
        <w:rPr>
          <w:rFonts w:eastAsia="Palatino Linotype" w:cs="Palatino Linotype"/>
          <w:b/>
        </w:rPr>
        <w:t>Acto Impugnado:</w:t>
      </w:r>
      <w:r w:rsidR="00655007" w:rsidRPr="00A53CD2">
        <w:rPr>
          <w:rFonts w:eastAsia="Palatino Linotype" w:cs="Palatino Linotype"/>
          <w:b/>
        </w:rPr>
        <w:t xml:space="preserve"> </w:t>
      </w:r>
    </w:p>
    <w:p w14:paraId="4A0EFE5A" w14:textId="0C9E8A09" w:rsidR="00A970D5" w:rsidRPr="00A53CD2" w:rsidRDefault="00A970D5" w:rsidP="00EE58CE">
      <w:pPr>
        <w:pStyle w:val="Fundamentos"/>
        <w:spacing w:line="360" w:lineRule="auto"/>
        <w:rPr>
          <w:b/>
        </w:rPr>
      </w:pPr>
      <w:r w:rsidRPr="00A53CD2">
        <w:lastRenderedPageBreak/>
        <w:t>“</w:t>
      </w:r>
      <w:r w:rsidR="00EE58CE" w:rsidRPr="00A53CD2">
        <w:t xml:space="preserve">No se me entrega la información </w:t>
      </w:r>
      <w:r w:rsidRPr="00A53CD2">
        <w:t>"(Sic)</w:t>
      </w:r>
    </w:p>
    <w:p w14:paraId="3C40A441" w14:textId="77777777" w:rsidR="00A970D5" w:rsidRPr="00A53CD2" w:rsidRDefault="00A970D5" w:rsidP="00EE58CE">
      <w:pPr>
        <w:contextualSpacing/>
        <w:rPr>
          <w:rFonts w:eastAsia="Palatino Linotype" w:cs="Palatino Linotype"/>
          <w:iCs/>
          <w:szCs w:val="24"/>
        </w:rPr>
      </w:pPr>
    </w:p>
    <w:p w14:paraId="7F2BEDC1" w14:textId="77777777" w:rsidR="00EE58CE" w:rsidRPr="00A53CD2" w:rsidRDefault="00A970D5" w:rsidP="00EE58CE">
      <w:pPr>
        <w:contextualSpacing/>
        <w:rPr>
          <w:rFonts w:eastAsia="Palatino Linotype" w:cs="Palatino Linotype"/>
        </w:rPr>
      </w:pPr>
      <w:r w:rsidRPr="00A53CD2">
        <w:rPr>
          <w:rFonts w:eastAsia="Palatino Linotype" w:cs="Palatino Linotype"/>
          <w:b/>
        </w:rPr>
        <w:t>Razones o Motivos de Inconformidad</w:t>
      </w:r>
      <w:r w:rsidR="00004014" w:rsidRPr="00A53CD2">
        <w:rPr>
          <w:rFonts w:eastAsia="Palatino Linotype" w:cs="Palatino Linotype"/>
        </w:rPr>
        <w:t>:</w:t>
      </w:r>
      <w:r w:rsidR="009279EC" w:rsidRPr="00A53CD2">
        <w:rPr>
          <w:rFonts w:eastAsia="Palatino Linotype" w:cs="Palatino Linotype"/>
        </w:rPr>
        <w:t xml:space="preserve"> </w:t>
      </w:r>
    </w:p>
    <w:p w14:paraId="2DAC342E" w14:textId="2244F7D6" w:rsidR="00A970D5" w:rsidRPr="00A53CD2" w:rsidRDefault="00A970D5" w:rsidP="00EE58CE">
      <w:pPr>
        <w:pStyle w:val="Fundamentos"/>
        <w:spacing w:line="360" w:lineRule="auto"/>
      </w:pPr>
      <w:r w:rsidRPr="00A53CD2">
        <w:t>“</w:t>
      </w:r>
      <w:r w:rsidR="00EE58CE" w:rsidRPr="00A53CD2">
        <w:t>No se me entrega la información</w:t>
      </w:r>
      <w:r w:rsidRPr="00A53CD2">
        <w:t>” (Sic)</w:t>
      </w:r>
    </w:p>
    <w:p w14:paraId="06A7D20F" w14:textId="77777777" w:rsidR="00A978AF" w:rsidRPr="00A53CD2" w:rsidRDefault="00A978AF" w:rsidP="00EE58CE">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A53CD2" w:rsidRDefault="008E24B6" w:rsidP="006922F5">
      <w:pPr>
        <w:pStyle w:val="Ttulo2"/>
        <w:rPr>
          <w:rFonts w:eastAsia="Palatino Linotype"/>
        </w:rPr>
      </w:pPr>
      <w:r w:rsidRPr="00A53CD2">
        <w:rPr>
          <w:rFonts w:eastAsia="Palatino Linotype"/>
        </w:rPr>
        <w:t>CUARTO</w:t>
      </w:r>
      <w:r w:rsidR="00A970D5" w:rsidRPr="00A53CD2">
        <w:rPr>
          <w:rFonts w:eastAsia="Palatino Linotype"/>
        </w:rPr>
        <w:t>. Del turno y admisión del recurso de revisión.</w:t>
      </w:r>
    </w:p>
    <w:p w14:paraId="2459DEBA" w14:textId="1081A96D"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 xml:space="preserve">Medio de impugnación que le fue turnado al </w:t>
      </w:r>
      <w:r w:rsidRPr="00A53CD2">
        <w:rPr>
          <w:rFonts w:eastAsia="Palatino Linotype" w:cs="Palatino Linotype"/>
          <w:b/>
          <w:color w:val="000000"/>
          <w:szCs w:val="24"/>
        </w:rPr>
        <w:t xml:space="preserve">Comisionado </w:t>
      </w:r>
      <w:r w:rsidR="009F1E25" w:rsidRPr="00A53CD2">
        <w:rPr>
          <w:rFonts w:eastAsia="Palatino Linotype" w:cs="Palatino Linotype"/>
          <w:b/>
          <w:color w:val="000000"/>
          <w:szCs w:val="24"/>
        </w:rPr>
        <w:t xml:space="preserve">Presidente </w:t>
      </w:r>
      <w:r w:rsidRPr="00A53CD2">
        <w:rPr>
          <w:rFonts w:eastAsia="Palatino Linotype" w:cs="Palatino Linotype"/>
          <w:b/>
          <w:color w:val="000000"/>
          <w:szCs w:val="24"/>
        </w:rPr>
        <w:t>José Martínez Vilchis</w:t>
      </w:r>
      <w:r w:rsidRPr="00A53CD2">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A53CD2">
        <w:rPr>
          <w:rFonts w:eastAsia="Palatino Linotype" w:cs="Palatino Linotype"/>
          <w:color w:val="000000"/>
          <w:szCs w:val="24"/>
        </w:rPr>
        <w:t>tado de México y Municipios, al</w:t>
      </w:r>
      <w:r w:rsidRPr="00A53CD2">
        <w:rPr>
          <w:rFonts w:eastAsia="Palatino Linotype" w:cs="Palatino Linotype"/>
          <w:color w:val="000000"/>
          <w:szCs w:val="24"/>
        </w:rPr>
        <w:t xml:space="preserve"> cu</w:t>
      </w:r>
      <w:r w:rsidR="008B2951" w:rsidRPr="00A53CD2">
        <w:rPr>
          <w:rFonts w:eastAsia="Palatino Linotype" w:cs="Palatino Linotype"/>
          <w:color w:val="000000"/>
          <w:szCs w:val="24"/>
        </w:rPr>
        <w:t>al recayó acuerdo de admisión de</w:t>
      </w:r>
      <w:r w:rsidRPr="00A53CD2">
        <w:rPr>
          <w:rFonts w:eastAsia="Palatino Linotype" w:cs="Palatino Linotype"/>
          <w:color w:val="000000"/>
          <w:szCs w:val="24"/>
        </w:rPr>
        <w:t xml:space="preserve"> fecha</w:t>
      </w:r>
      <w:r w:rsidR="008A637C" w:rsidRPr="00A53CD2">
        <w:rPr>
          <w:rFonts w:eastAsia="Palatino Linotype" w:cs="Palatino Linotype"/>
          <w:color w:val="000000"/>
          <w:szCs w:val="24"/>
        </w:rPr>
        <w:t xml:space="preserve"> </w:t>
      </w:r>
      <w:r w:rsidR="00EE58CE" w:rsidRPr="00A53CD2">
        <w:rPr>
          <w:rFonts w:eastAsia="Palatino Linotype" w:cs="Palatino Linotype"/>
          <w:color w:val="000000"/>
          <w:szCs w:val="24"/>
        </w:rPr>
        <w:t xml:space="preserve">cuatro de mayo </w:t>
      </w:r>
      <w:r w:rsidR="008A637C" w:rsidRPr="00A53CD2">
        <w:rPr>
          <w:rFonts w:eastAsia="Palatino Linotype" w:cs="Palatino Linotype"/>
          <w:color w:val="000000"/>
          <w:szCs w:val="24"/>
        </w:rPr>
        <w:t>de dos mil veintitrés</w:t>
      </w:r>
      <w:r w:rsidRPr="00A53CD2">
        <w:rPr>
          <w:rFonts w:eastAsia="Palatino Linotype" w:cs="Palatino Linotype"/>
          <w:color w:val="000000"/>
          <w:szCs w:val="24"/>
        </w:rPr>
        <w:t xml:space="preserve">, </w:t>
      </w:r>
      <w:r w:rsidRPr="00A53CD2">
        <w:rPr>
          <w:rFonts w:eastAsia="Palatino Linotype" w:cs="Palatino Linotype"/>
          <w:szCs w:val="24"/>
        </w:rPr>
        <w:t>otorgándose</w:t>
      </w:r>
      <w:r w:rsidRPr="00A53CD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A53CD2" w:rsidRDefault="008E24B6" w:rsidP="006922F5">
      <w:pPr>
        <w:pStyle w:val="Ttulo2"/>
        <w:rPr>
          <w:rFonts w:eastAsia="Palatino Linotype"/>
        </w:rPr>
      </w:pPr>
      <w:r w:rsidRPr="00A53CD2">
        <w:rPr>
          <w:rFonts w:eastAsia="Palatino Linotype"/>
        </w:rPr>
        <w:t>QUINTO</w:t>
      </w:r>
      <w:r w:rsidR="00A970D5" w:rsidRPr="00A53CD2">
        <w:rPr>
          <w:rFonts w:eastAsia="Palatino Linotype"/>
        </w:rPr>
        <w:t>. De la etapa de instrucción.</w:t>
      </w:r>
    </w:p>
    <w:p w14:paraId="134297B7" w14:textId="0AEA3B1A" w:rsidR="00EB47A3" w:rsidRPr="00A53CD2" w:rsidRDefault="00051FD0" w:rsidP="00EB47A3">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 xml:space="preserve">Una vez abierta la etapa de instrucción, se observa que en fecha once de mayo de dos mil veintitrés, el Sujeto Obligado rindió su Informe Justificado, consistente en los documentos denominados </w:t>
      </w:r>
      <w:r w:rsidRPr="00A53CD2">
        <w:rPr>
          <w:rFonts w:eastAsia="Palatino Linotype" w:cs="Palatino Linotype"/>
          <w:b/>
          <w:bCs/>
          <w:color w:val="000000"/>
          <w:szCs w:val="24"/>
        </w:rPr>
        <w:t>“Informe justificado 02295-2023.pdf”</w:t>
      </w:r>
      <w:r w:rsidRPr="00A53CD2">
        <w:rPr>
          <w:rFonts w:eastAsia="Palatino Linotype" w:cs="Palatino Linotype"/>
          <w:color w:val="000000"/>
          <w:szCs w:val="24"/>
        </w:rPr>
        <w:t xml:space="preserve">, </w:t>
      </w:r>
      <w:r w:rsidRPr="00A53CD2">
        <w:rPr>
          <w:rFonts w:eastAsia="Palatino Linotype" w:cs="Palatino Linotype"/>
          <w:b/>
          <w:bCs/>
          <w:color w:val="000000"/>
          <w:szCs w:val="24"/>
        </w:rPr>
        <w:t>“T. CIEEM 144-23.pdf”</w:t>
      </w:r>
      <w:r w:rsidRPr="00A53CD2">
        <w:rPr>
          <w:rFonts w:eastAsia="Palatino Linotype" w:cs="Palatino Linotype"/>
          <w:color w:val="000000"/>
          <w:szCs w:val="24"/>
        </w:rPr>
        <w:t xml:space="preserve">, </w:t>
      </w:r>
      <w:r w:rsidRPr="00A53CD2">
        <w:rPr>
          <w:rFonts w:eastAsia="Palatino Linotype" w:cs="Palatino Linotype"/>
          <w:b/>
          <w:bCs/>
          <w:color w:val="000000"/>
          <w:szCs w:val="24"/>
        </w:rPr>
        <w:t>“RESP UT 144-2023 DGCIE.pdf”</w:t>
      </w:r>
      <w:r w:rsidRPr="00A53CD2">
        <w:rPr>
          <w:rFonts w:eastAsia="Palatino Linotype" w:cs="Palatino Linotype"/>
          <w:color w:val="000000"/>
          <w:szCs w:val="24"/>
        </w:rPr>
        <w:t xml:space="preserve">, </w:t>
      </w:r>
      <w:r w:rsidRPr="00A53CD2">
        <w:rPr>
          <w:rFonts w:eastAsia="Palatino Linotype" w:cs="Palatino Linotype"/>
          <w:b/>
          <w:bCs/>
          <w:color w:val="000000"/>
          <w:szCs w:val="24"/>
        </w:rPr>
        <w:t>“UT 144-2023.pdf”</w:t>
      </w:r>
      <w:r w:rsidRPr="00A53CD2">
        <w:rPr>
          <w:rFonts w:eastAsia="Palatino Linotype" w:cs="Palatino Linotype"/>
          <w:color w:val="000000"/>
          <w:szCs w:val="24"/>
        </w:rPr>
        <w:t xml:space="preserve">, </w:t>
      </w:r>
      <w:r w:rsidRPr="00A53CD2">
        <w:rPr>
          <w:rFonts w:eastAsia="Palatino Linotype" w:cs="Palatino Linotype"/>
          <w:b/>
          <w:bCs/>
          <w:color w:val="000000"/>
          <w:szCs w:val="24"/>
        </w:rPr>
        <w:t>“T. RR 2295 sol. 144-23 DGCIE.pdf”</w:t>
      </w:r>
      <w:r w:rsidRPr="00A53CD2">
        <w:rPr>
          <w:rFonts w:eastAsia="Palatino Linotype" w:cs="Palatino Linotype"/>
          <w:color w:val="000000"/>
          <w:szCs w:val="24"/>
        </w:rPr>
        <w:t xml:space="preserve"> y</w:t>
      </w:r>
      <w:r w:rsidRPr="00A53CD2">
        <w:rPr>
          <w:rFonts w:eastAsia="Palatino Linotype" w:cs="Palatino Linotype"/>
          <w:b/>
          <w:bCs/>
          <w:color w:val="000000"/>
          <w:szCs w:val="24"/>
        </w:rPr>
        <w:t xml:space="preserve"> “RESP RR UT 144-23 DGCIE.pdf”</w:t>
      </w:r>
      <w:r w:rsidRPr="00A53CD2">
        <w:rPr>
          <w:rFonts w:eastAsia="Palatino Linotype" w:cs="Palatino Linotype"/>
          <w:color w:val="000000"/>
          <w:szCs w:val="24"/>
        </w:rPr>
        <w:t>. Dicho</w:t>
      </w:r>
      <w:r w:rsidR="0092174E" w:rsidRPr="00A53CD2">
        <w:rPr>
          <w:rFonts w:eastAsia="Palatino Linotype" w:cs="Palatino Linotype"/>
          <w:color w:val="000000"/>
          <w:szCs w:val="24"/>
        </w:rPr>
        <w:t>s</w:t>
      </w:r>
      <w:r w:rsidRPr="00A53CD2">
        <w:rPr>
          <w:rFonts w:eastAsia="Palatino Linotype" w:cs="Palatino Linotype"/>
          <w:color w:val="000000"/>
          <w:szCs w:val="24"/>
        </w:rPr>
        <w:t xml:space="preserve"> documento</w:t>
      </w:r>
      <w:r w:rsidR="0092174E" w:rsidRPr="00A53CD2">
        <w:rPr>
          <w:rFonts w:eastAsia="Palatino Linotype" w:cs="Palatino Linotype"/>
          <w:color w:val="000000"/>
          <w:szCs w:val="24"/>
        </w:rPr>
        <w:t>s</w:t>
      </w:r>
      <w:r w:rsidRPr="00A53CD2">
        <w:rPr>
          <w:rFonts w:eastAsia="Palatino Linotype" w:cs="Palatino Linotype"/>
          <w:color w:val="000000"/>
          <w:szCs w:val="24"/>
        </w:rPr>
        <w:t xml:space="preserve"> fue</w:t>
      </w:r>
      <w:r w:rsidR="0092174E" w:rsidRPr="00A53CD2">
        <w:rPr>
          <w:rFonts w:eastAsia="Palatino Linotype" w:cs="Palatino Linotype"/>
          <w:color w:val="000000"/>
          <w:szCs w:val="24"/>
        </w:rPr>
        <w:t>ron</w:t>
      </w:r>
      <w:r w:rsidRPr="00A53CD2">
        <w:rPr>
          <w:rFonts w:eastAsia="Palatino Linotype" w:cs="Palatino Linotype"/>
          <w:color w:val="000000"/>
          <w:szCs w:val="24"/>
        </w:rPr>
        <w:t xml:space="preserve"> puesto</w:t>
      </w:r>
      <w:r w:rsidR="0092174E" w:rsidRPr="00A53CD2">
        <w:rPr>
          <w:rFonts w:eastAsia="Palatino Linotype" w:cs="Palatino Linotype"/>
          <w:color w:val="000000"/>
          <w:szCs w:val="24"/>
        </w:rPr>
        <w:t>s</w:t>
      </w:r>
      <w:r w:rsidRPr="00A53CD2">
        <w:rPr>
          <w:rFonts w:eastAsia="Palatino Linotype" w:cs="Palatino Linotype"/>
          <w:color w:val="000000"/>
          <w:szCs w:val="24"/>
        </w:rPr>
        <w:t xml:space="preserve"> a la vista del Recurrente mediante acuerdo de fecha dieci</w:t>
      </w:r>
      <w:r w:rsidR="0092174E" w:rsidRPr="00A53CD2">
        <w:rPr>
          <w:rFonts w:eastAsia="Palatino Linotype" w:cs="Palatino Linotype"/>
          <w:color w:val="000000"/>
          <w:szCs w:val="24"/>
        </w:rPr>
        <w:t>ocho de mayo</w:t>
      </w:r>
      <w:r w:rsidRPr="00A53CD2">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w:t>
      </w:r>
      <w:r w:rsidR="0092174E" w:rsidRPr="00A53CD2">
        <w:rPr>
          <w:rFonts w:eastAsia="Palatino Linotype" w:cs="Palatino Linotype"/>
          <w:color w:val="000000"/>
          <w:szCs w:val="24"/>
        </w:rPr>
        <w:t xml:space="preserve"> </w:t>
      </w:r>
      <w:r w:rsidRPr="00A53CD2">
        <w:rPr>
          <w:rFonts w:eastAsia="Palatino Linotype" w:cs="Palatino Linotype"/>
          <w:color w:val="000000"/>
          <w:szCs w:val="24"/>
        </w:rPr>
        <w:t xml:space="preserve">Recurrente no emitió manifestaciones vertió alegatos o presentó pruebas </w:t>
      </w:r>
      <w:r w:rsidRPr="00A53CD2">
        <w:rPr>
          <w:rFonts w:eastAsia="Palatino Linotype" w:cs="Palatino Linotype"/>
          <w:color w:val="000000"/>
          <w:szCs w:val="24"/>
        </w:rPr>
        <w:lastRenderedPageBreak/>
        <w:t>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A53CD2"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1ECB09D" w:rsidR="00A970D5" w:rsidRPr="00A53CD2" w:rsidRDefault="00E27953" w:rsidP="006922F5">
      <w:pPr>
        <w:pStyle w:val="Ttulo2"/>
        <w:rPr>
          <w:rFonts w:eastAsia="Palatino Linotype"/>
        </w:rPr>
      </w:pPr>
      <w:r w:rsidRPr="00A53CD2">
        <w:rPr>
          <w:rFonts w:eastAsia="Palatino Linotype"/>
        </w:rPr>
        <w:t>S</w:t>
      </w:r>
      <w:r w:rsidR="008E24B6" w:rsidRPr="00A53CD2">
        <w:rPr>
          <w:rFonts w:eastAsia="Palatino Linotype"/>
        </w:rPr>
        <w:t>EXTO</w:t>
      </w:r>
      <w:r w:rsidR="00A970D5" w:rsidRPr="00A53CD2">
        <w:rPr>
          <w:rFonts w:eastAsia="Palatino Linotype"/>
        </w:rPr>
        <w:t>. Del cierre de instrucción.</w:t>
      </w:r>
    </w:p>
    <w:p w14:paraId="2456F4BD" w14:textId="0CDF2DE9"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Así, una vez transcurrido el término legal, se decretó el cierre de instru</w:t>
      </w:r>
      <w:r w:rsidR="00AE6B11" w:rsidRPr="00A53CD2">
        <w:rPr>
          <w:rFonts w:eastAsia="Palatino Linotype" w:cs="Palatino Linotype"/>
          <w:color w:val="000000"/>
          <w:szCs w:val="24"/>
        </w:rPr>
        <w:t>cción</w:t>
      </w:r>
      <w:r w:rsidR="008B2951" w:rsidRPr="00A53CD2">
        <w:rPr>
          <w:rFonts w:eastAsia="Palatino Linotype" w:cs="Palatino Linotype"/>
          <w:color w:val="000000"/>
          <w:szCs w:val="24"/>
        </w:rPr>
        <w:t xml:space="preserve"> en fecha</w:t>
      </w:r>
      <w:r w:rsidR="00264613" w:rsidRPr="00A53CD2">
        <w:rPr>
          <w:rFonts w:eastAsia="Palatino Linotype" w:cs="Palatino Linotype"/>
          <w:color w:val="000000"/>
          <w:szCs w:val="24"/>
        </w:rPr>
        <w:t xml:space="preserve"> veinti</w:t>
      </w:r>
      <w:r w:rsidR="009279EC" w:rsidRPr="00A53CD2">
        <w:rPr>
          <w:rFonts w:eastAsia="Palatino Linotype" w:cs="Palatino Linotype"/>
          <w:color w:val="000000"/>
          <w:szCs w:val="24"/>
        </w:rPr>
        <w:t>c</w:t>
      </w:r>
      <w:r w:rsidR="0092174E" w:rsidRPr="00A53CD2">
        <w:rPr>
          <w:rFonts w:eastAsia="Palatino Linotype" w:cs="Palatino Linotype"/>
          <w:color w:val="000000"/>
          <w:szCs w:val="24"/>
        </w:rPr>
        <w:t>uatro de mayo</w:t>
      </w:r>
      <w:r w:rsidR="009279EC" w:rsidRPr="00A53CD2">
        <w:rPr>
          <w:rFonts w:eastAsia="Palatino Linotype" w:cs="Palatino Linotype"/>
          <w:color w:val="000000"/>
          <w:szCs w:val="24"/>
        </w:rPr>
        <w:t xml:space="preserve"> de dos mil veintitrés</w:t>
      </w:r>
      <w:r w:rsidRPr="00A53CD2">
        <w:rPr>
          <w:rFonts w:eastAsia="Palatino Linotype" w:cs="Palatino Linotype"/>
          <w:color w:val="000000"/>
          <w:szCs w:val="24"/>
        </w:rPr>
        <w:t xml:space="preserve">, en términos del artículo 185 </w:t>
      </w:r>
      <w:r w:rsidR="004579DC" w:rsidRPr="00A53CD2">
        <w:rPr>
          <w:rFonts w:eastAsia="Palatino Linotype" w:cs="Palatino Linotype"/>
          <w:color w:val="000000"/>
          <w:szCs w:val="24"/>
        </w:rPr>
        <w:t>f</w:t>
      </w:r>
      <w:r w:rsidRPr="00A53CD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A53CD2"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5E504D9" w:rsidR="00A914F3" w:rsidRPr="00A53CD2" w:rsidRDefault="008E24B6" w:rsidP="006922F5">
      <w:pPr>
        <w:pStyle w:val="Ttulo2"/>
        <w:rPr>
          <w:rFonts w:eastAsiaTheme="minorHAnsi"/>
          <w:lang w:eastAsia="en-US"/>
        </w:rPr>
      </w:pPr>
      <w:r w:rsidRPr="00A53CD2">
        <w:rPr>
          <w:rFonts w:eastAsiaTheme="minorHAnsi"/>
          <w:lang w:eastAsia="en-US"/>
        </w:rPr>
        <w:t>SÉPTIMO</w:t>
      </w:r>
      <w:r w:rsidR="00A914F3" w:rsidRPr="00A53CD2">
        <w:rPr>
          <w:rFonts w:eastAsiaTheme="minorHAnsi"/>
          <w:lang w:eastAsia="en-US"/>
        </w:rPr>
        <w:t>. De la ampliación del término para resolver.</w:t>
      </w:r>
    </w:p>
    <w:p w14:paraId="2B961806" w14:textId="34D1C6E6" w:rsidR="00A914F3" w:rsidRPr="00A53CD2" w:rsidRDefault="00A914F3" w:rsidP="006922F5">
      <w:pPr>
        <w:rPr>
          <w:rFonts w:eastAsiaTheme="minorHAnsi" w:cstheme="minorBidi"/>
          <w:szCs w:val="24"/>
          <w:lang w:eastAsia="en-US"/>
        </w:rPr>
      </w:pPr>
      <w:r w:rsidRPr="00A53CD2">
        <w:rPr>
          <w:rFonts w:eastAsiaTheme="minorHAnsi" w:cstheme="minorBidi"/>
          <w:szCs w:val="24"/>
          <w:lang w:eastAsia="en-US"/>
        </w:rPr>
        <w:t xml:space="preserve">En </w:t>
      </w:r>
      <w:r w:rsidR="00A942FA" w:rsidRPr="00A53CD2">
        <w:rPr>
          <w:rFonts w:eastAsiaTheme="minorHAnsi" w:cstheme="minorBidi"/>
          <w:szCs w:val="24"/>
          <w:lang w:eastAsia="en-US"/>
        </w:rPr>
        <w:t xml:space="preserve">fecha </w:t>
      </w:r>
      <w:r w:rsidR="0092174E" w:rsidRPr="00A53CD2">
        <w:rPr>
          <w:rFonts w:eastAsiaTheme="minorHAnsi" w:cstheme="minorBidi"/>
          <w:szCs w:val="24"/>
          <w:lang w:eastAsia="en-US"/>
        </w:rPr>
        <w:t>dieciséis de junio</w:t>
      </w:r>
      <w:r w:rsidR="00264613" w:rsidRPr="00A53CD2">
        <w:rPr>
          <w:rFonts w:eastAsiaTheme="minorHAnsi" w:cstheme="minorBidi"/>
          <w:szCs w:val="24"/>
          <w:lang w:eastAsia="en-US"/>
        </w:rPr>
        <w:t xml:space="preserve"> </w:t>
      </w:r>
      <w:r w:rsidR="009F1E25" w:rsidRPr="00A53CD2">
        <w:rPr>
          <w:rFonts w:eastAsiaTheme="minorHAnsi" w:cstheme="minorBidi"/>
          <w:szCs w:val="24"/>
          <w:lang w:eastAsia="en-US"/>
        </w:rPr>
        <w:t>de dos mil veinti</w:t>
      </w:r>
      <w:r w:rsidR="00C006C6" w:rsidRPr="00A53CD2">
        <w:rPr>
          <w:rFonts w:eastAsiaTheme="minorHAnsi" w:cstheme="minorBidi"/>
          <w:szCs w:val="24"/>
          <w:lang w:eastAsia="en-US"/>
        </w:rPr>
        <w:t>trés</w:t>
      </w:r>
      <w:r w:rsidRPr="00A53CD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258A16AD" w14:textId="77777777" w:rsidR="0092174E" w:rsidRPr="00A53CD2" w:rsidRDefault="0092174E" w:rsidP="006922F5">
      <w:pPr>
        <w:rPr>
          <w:rFonts w:eastAsiaTheme="minorHAnsi" w:cstheme="minorBidi"/>
          <w:szCs w:val="24"/>
          <w:lang w:eastAsia="en-US"/>
        </w:rPr>
      </w:pPr>
    </w:p>
    <w:p w14:paraId="60309064"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2202664"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 xml:space="preserve"> </w:t>
      </w:r>
    </w:p>
    <w:p w14:paraId="666DB0E7"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928814F"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 xml:space="preserve"> </w:t>
      </w:r>
    </w:p>
    <w:p w14:paraId="41F5830C"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B14AEA"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 xml:space="preserve"> </w:t>
      </w:r>
    </w:p>
    <w:p w14:paraId="6693A788"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8EF2E9"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 xml:space="preserve"> </w:t>
      </w:r>
    </w:p>
    <w:p w14:paraId="0C09B1B5"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AF33728"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p>
    <w:p w14:paraId="0F97E189"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a)</w:t>
      </w:r>
      <w:r w:rsidRPr="00A53CD2">
        <w:rPr>
          <w:rFonts w:eastAsiaTheme="minorHAnsi" w:cstheme="minorBidi"/>
          <w:szCs w:val="24"/>
          <w:lang w:eastAsia="en-US"/>
        </w:rPr>
        <w:tab/>
        <w:t>Complejidad del asunto: La complejidad de la prueba, la pluralidad de sujetos procesales, el tiempo transcurrido, las características y contexto del recurso.</w:t>
      </w:r>
    </w:p>
    <w:p w14:paraId="50B3FCBE"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b)</w:t>
      </w:r>
      <w:r w:rsidRPr="00A53CD2">
        <w:rPr>
          <w:rFonts w:eastAsiaTheme="minorHAnsi" w:cstheme="minorBidi"/>
          <w:szCs w:val="24"/>
          <w:lang w:eastAsia="en-US"/>
        </w:rPr>
        <w:tab/>
        <w:t>Actividad Procesal del interesado: Acciones u omisiones del interesado.</w:t>
      </w:r>
    </w:p>
    <w:p w14:paraId="23F3D2CD"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lastRenderedPageBreak/>
        <w:t>c)</w:t>
      </w:r>
      <w:r w:rsidRPr="00A53CD2">
        <w:rPr>
          <w:rFonts w:eastAsiaTheme="minorHAnsi" w:cstheme="minorBidi"/>
          <w:szCs w:val="24"/>
          <w:lang w:eastAsia="en-US"/>
        </w:rPr>
        <w:tab/>
        <w:t>Conducta de la Autoridad: Las Acciones u omisiones realizadas en el procedimiento. Así como si la autoridad actuó con la debida diligencia.</w:t>
      </w:r>
    </w:p>
    <w:p w14:paraId="5BEACAC7"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d)</w:t>
      </w:r>
      <w:r w:rsidRPr="00A53CD2">
        <w:rPr>
          <w:rFonts w:eastAsiaTheme="minorHAnsi" w:cstheme="minorBidi"/>
          <w:szCs w:val="24"/>
          <w:lang w:eastAsia="en-US"/>
        </w:rPr>
        <w:tab/>
        <w:t>La afectación generada en la situación jurídica de la persona involucrada en el proceso: Violación a sus derechos humanos.</w:t>
      </w:r>
    </w:p>
    <w:p w14:paraId="597218FF"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p>
    <w:p w14:paraId="0935CD46"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10B9B6"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p>
    <w:p w14:paraId="4CB17FAA"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07B8309"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p>
    <w:p w14:paraId="6CD5163F" w14:textId="56B386EC"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A53CD2">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45C357DC"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p>
    <w:p w14:paraId="720E7F31"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313266B3"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p>
    <w:p w14:paraId="759AAA14"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r w:rsidRPr="00A53CD2">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97BC54A" w14:textId="77777777" w:rsidR="0092174E" w:rsidRPr="00A53CD2" w:rsidRDefault="0092174E" w:rsidP="0092174E">
      <w:pPr>
        <w:pBdr>
          <w:top w:val="nil"/>
          <w:left w:val="nil"/>
          <w:bottom w:val="nil"/>
          <w:right w:val="nil"/>
          <w:between w:val="nil"/>
        </w:pBdr>
        <w:contextualSpacing/>
        <w:rPr>
          <w:rFonts w:eastAsiaTheme="minorHAnsi" w:cstheme="minorBidi"/>
          <w:szCs w:val="24"/>
          <w:lang w:eastAsia="en-US"/>
        </w:rPr>
      </w:pPr>
    </w:p>
    <w:p w14:paraId="0B0BD680" w14:textId="2C4C83AC" w:rsidR="0092174E" w:rsidRPr="00A53CD2" w:rsidRDefault="0092174E" w:rsidP="0092174E">
      <w:pPr>
        <w:rPr>
          <w:rFonts w:eastAsiaTheme="minorHAnsi" w:cstheme="minorBidi"/>
          <w:szCs w:val="24"/>
          <w:lang w:eastAsia="en-US"/>
        </w:rPr>
      </w:pPr>
      <w:r w:rsidRPr="00A53CD2">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A53CD2"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53CD2" w:rsidRDefault="00A970D5" w:rsidP="006922F5">
      <w:pPr>
        <w:pStyle w:val="Ttulo1"/>
        <w:rPr>
          <w:rFonts w:eastAsia="Palatino Linotype"/>
          <w:lang w:val="es-ES_tradnl"/>
        </w:rPr>
      </w:pPr>
      <w:r w:rsidRPr="00A53CD2">
        <w:rPr>
          <w:rFonts w:eastAsia="Palatino Linotype"/>
          <w:lang w:val="es-ES_tradnl"/>
        </w:rPr>
        <w:t>C O N S I D E R A N D O</w:t>
      </w:r>
    </w:p>
    <w:p w14:paraId="32546275"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53CD2" w:rsidRDefault="00A970D5" w:rsidP="006922F5">
      <w:pPr>
        <w:pStyle w:val="Ttulo2"/>
        <w:rPr>
          <w:rFonts w:eastAsia="Palatino Linotype"/>
        </w:rPr>
      </w:pPr>
      <w:r w:rsidRPr="00A53CD2">
        <w:rPr>
          <w:rFonts w:eastAsia="Palatino Linotype"/>
        </w:rPr>
        <w:t>PRIMERO. De la competencia.</w:t>
      </w:r>
    </w:p>
    <w:p w14:paraId="6279399C" w14:textId="6285BFD8" w:rsidR="00A970D5" w:rsidRPr="00A53CD2" w:rsidRDefault="00264613"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A53CD2">
        <w:rPr>
          <w:rFonts w:eastAsia="Palatino Linotype" w:cs="Palatino Linotype"/>
          <w:color w:val="000000"/>
          <w:szCs w:val="24"/>
        </w:rPr>
        <w:lastRenderedPageBreak/>
        <w:t xml:space="preserve">recurso de revisión interpuesto por el Recurrente conforme a lo dispuesto en los artículos 6, apartado A, fracción IV de la Constitución Política de los Estados Unidos Mexicanos; 5, párrafos trigésimo </w:t>
      </w:r>
      <w:r w:rsidR="004A25F8" w:rsidRPr="00A53CD2">
        <w:rPr>
          <w:rFonts w:eastAsia="Palatino Linotype" w:cs="Palatino Linotype"/>
          <w:color w:val="000000"/>
          <w:szCs w:val="24"/>
        </w:rPr>
        <w:t>segundo</w:t>
      </w:r>
      <w:r w:rsidRPr="00A53CD2">
        <w:rPr>
          <w:rFonts w:eastAsia="Palatino Linotype" w:cs="Palatino Linotype"/>
          <w:color w:val="000000"/>
          <w:szCs w:val="24"/>
        </w:rPr>
        <w:t xml:space="preserve"> y trigésimo </w:t>
      </w:r>
      <w:r w:rsidR="004A25F8" w:rsidRPr="00A53CD2">
        <w:rPr>
          <w:rFonts w:eastAsia="Palatino Linotype" w:cs="Palatino Linotype"/>
          <w:color w:val="000000"/>
          <w:szCs w:val="24"/>
        </w:rPr>
        <w:t>tercero</w:t>
      </w:r>
      <w:r w:rsidRPr="00A53CD2">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53CD2" w:rsidRDefault="00A970D5" w:rsidP="006922F5">
      <w:pPr>
        <w:pStyle w:val="Ttulo2"/>
        <w:rPr>
          <w:rFonts w:eastAsia="Palatino Linotype"/>
        </w:rPr>
      </w:pPr>
      <w:r w:rsidRPr="00A53CD2">
        <w:rPr>
          <w:rFonts w:eastAsia="Palatino Linotype"/>
        </w:rPr>
        <w:t xml:space="preserve">SEGUNDO. Sobre los alcances del recurso de revisión. </w:t>
      </w:r>
    </w:p>
    <w:p w14:paraId="132CB116" w14:textId="77777777" w:rsidR="00A970D5" w:rsidRPr="00A53CD2" w:rsidRDefault="00A970D5" w:rsidP="006922F5">
      <w:r w:rsidRPr="00A53CD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E3DD021" w14:textId="77777777" w:rsidR="00875B7E" w:rsidRPr="00A53CD2"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18CA0EFB" w:rsidR="00A970D5" w:rsidRPr="00A53CD2" w:rsidRDefault="0092174E" w:rsidP="006922F5">
      <w:pPr>
        <w:pStyle w:val="Ttulo2"/>
        <w:rPr>
          <w:rFonts w:eastAsia="Palatino Linotype"/>
        </w:rPr>
      </w:pPr>
      <w:r w:rsidRPr="00A53CD2">
        <w:rPr>
          <w:rFonts w:eastAsia="Palatino Linotype"/>
        </w:rPr>
        <w:t>TERCER</w:t>
      </w:r>
      <w:r w:rsidR="00D57F1A" w:rsidRPr="00A53CD2">
        <w:rPr>
          <w:rFonts w:eastAsia="Palatino Linotype"/>
        </w:rPr>
        <w:t>O</w:t>
      </w:r>
      <w:r w:rsidR="00A970D5" w:rsidRPr="00A53CD2">
        <w:rPr>
          <w:rFonts w:eastAsia="Palatino Linotype"/>
        </w:rPr>
        <w:t>. De las causas de improcedencia.</w:t>
      </w:r>
    </w:p>
    <w:p w14:paraId="72B75EC4"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A53CD2">
        <w:rPr>
          <w:rFonts w:eastAsia="Palatino Linotype" w:cs="Palatino Linotype"/>
          <w:color w:val="000000"/>
          <w:szCs w:val="24"/>
        </w:rPr>
        <w:lastRenderedPageBreak/>
        <w:t>México y Municipios, en correlación con la seguridad jurídica que debe generar lo actuado ante este Organismo garante.</w:t>
      </w:r>
    </w:p>
    <w:p w14:paraId="7FBB8481"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53CD2">
        <w:rPr>
          <w:rFonts w:eastAsia="Palatino Linotype" w:cs="Palatino Linotype"/>
          <w:color w:val="000000"/>
          <w:szCs w:val="24"/>
          <w:vertAlign w:val="superscript"/>
        </w:rPr>
        <w:footnoteReference w:id="2"/>
      </w:r>
      <w:r w:rsidRPr="00A53CD2">
        <w:rPr>
          <w:rFonts w:eastAsia="Palatino Linotype" w:cs="Palatino Linotype"/>
          <w:color w:val="000000"/>
          <w:szCs w:val="24"/>
        </w:rPr>
        <w:t xml:space="preserve">, la cual permite dilucidar alguna causal que impida el estudio y resolución, cuando una vez admitido el recurso de revisión </w:t>
      </w:r>
      <w:r w:rsidRPr="00A53CD2">
        <w:rPr>
          <w:rFonts w:eastAsia="Palatino Linotype" w:cs="Palatino Linotype"/>
          <w:color w:val="000000"/>
          <w:szCs w:val="24"/>
        </w:rPr>
        <w:lastRenderedPageBreak/>
        <w:t>se advierta una causa de improcedencia que permita sobreseerlo, sin estudiar el fondo del asunto.</w:t>
      </w:r>
    </w:p>
    <w:p w14:paraId="76DBFCC9"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9FF8AFB" w:rsidR="00A970D5" w:rsidRPr="00A53CD2" w:rsidRDefault="0092174E" w:rsidP="006922F5">
      <w:pPr>
        <w:pStyle w:val="Ttulo2"/>
        <w:rPr>
          <w:rFonts w:eastAsia="Palatino Linotype"/>
        </w:rPr>
      </w:pPr>
      <w:r w:rsidRPr="00A53CD2">
        <w:rPr>
          <w:rFonts w:eastAsia="Palatino Linotype"/>
        </w:rPr>
        <w:t>CUAR</w:t>
      </w:r>
      <w:r w:rsidR="00D57F1A" w:rsidRPr="00A53CD2">
        <w:rPr>
          <w:rFonts w:eastAsia="Palatino Linotype"/>
        </w:rPr>
        <w:t>TO</w:t>
      </w:r>
      <w:r w:rsidR="00A970D5" w:rsidRPr="00A53CD2">
        <w:rPr>
          <w:rFonts w:eastAsia="Palatino Linotype"/>
        </w:rPr>
        <w:t>. Estudio y resolución del asunto.</w:t>
      </w:r>
    </w:p>
    <w:p w14:paraId="172D5B7B"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5425B555" w:rsidR="001C4CBF" w:rsidRPr="00A53CD2" w:rsidRDefault="00A970D5" w:rsidP="00C006C6">
      <w:pPr>
        <w:pBdr>
          <w:top w:val="nil"/>
          <w:left w:val="nil"/>
          <w:bottom w:val="nil"/>
          <w:right w:val="nil"/>
          <w:between w:val="nil"/>
        </w:pBdr>
        <w:contextualSpacing/>
        <w:rPr>
          <w:rFonts w:eastAsia="Palatino Linotype" w:cs="Palatino Linotype"/>
          <w:color w:val="000000"/>
        </w:rPr>
      </w:pPr>
      <w:r w:rsidRPr="00A53CD2">
        <w:rPr>
          <w:rFonts w:eastAsia="Palatino Linotype" w:cs="Palatino Linotype"/>
          <w:color w:val="000000"/>
          <w:szCs w:val="24"/>
        </w:rPr>
        <w:t>Por tanto</w:t>
      </w:r>
      <w:r w:rsidR="007F3F9F" w:rsidRPr="00A53CD2">
        <w:rPr>
          <w:rFonts w:eastAsia="Palatino Linotype" w:cs="Palatino Linotype"/>
          <w:color w:val="000000"/>
          <w:szCs w:val="24"/>
        </w:rPr>
        <w:t xml:space="preserve">, es conveniente recordar que </w:t>
      </w:r>
      <w:r w:rsidR="006D438A" w:rsidRPr="00A53CD2">
        <w:rPr>
          <w:rFonts w:eastAsia="Palatino Linotype" w:cs="Palatino Linotype"/>
          <w:color w:val="000000"/>
          <w:szCs w:val="24"/>
        </w:rPr>
        <w:t>el</w:t>
      </w:r>
      <w:r w:rsidRPr="00A53CD2">
        <w:rPr>
          <w:rFonts w:eastAsia="Palatino Linotype" w:cs="Palatino Linotype"/>
          <w:color w:val="000000"/>
          <w:szCs w:val="24"/>
        </w:rPr>
        <w:t xml:space="preserve"> hoy Recurrente </w:t>
      </w:r>
      <w:r w:rsidR="00AE3BE0" w:rsidRPr="00A53CD2">
        <w:rPr>
          <w:rFonts w:eastAsia="Palatino Linotype" w:cs="Palatino Linotype"/>
          <w:color w:val="000000"/>
          <w:szCs w:val="24"/>
        </w:rPr>
        <w:t>requirió</w:t>
      </w:r>
      <w:r w:rsidR="00D57F1A" w:rsidRPr="00A53CD2">
        <w:rPr>
          <w:rFonts w:eastAsia="Palatino Linotype" w:cs="Palatino Linotype"/>
          <w:color w:val="000000"/>
          <w:szCs w:val="24"/>
        </w:rPr>
        <w:t xml:space="preserve"> </w:t>
      </w:r>
      <w:r w:rsidR="00B7356B" w:rsidRPr="00A53CD2">
        <w:rPr>
          <w:rFonts w:eastAsia="Palatino Linotype" w:cs="Palatino Linotype"/>
          <w:color w:val="000000"/>
          <w:szCs w:val="24"/>
        </w:rPr>
        <w:t>a</w:t>
      </w:r>
      <w:r w:rsidR="00D57F1A" w:rsidRPr="00A53CD2">
        <w:rPr>
          <w:rFonts w:eastAsia="Palatino Linotype" w:cs="Palatino Linotype"/>
          <w:color w:val="000000"/>
          <w:szCs w:val="24"/>
        </w:rPr>
        <w:t xml:space="preserve">l Sujeto Obligado </w:t>
      </w:r>
      <w:r w:rsidR="00B7356B" w:rsidRPr="00A53CD2">
        <w:rPr>
          <w:rFonts w:eastAsia="Palatino Linotype" w:cs="Palatino Linotype"/>
          <w:color w:val="000000"/>
          <w:szCs w:val="24"/>
        </w:rPr>
        <w:t>que le informara con qué utensilios de cocina cuenta la Comisión de Impacto Estatal en las siguientes áreas: Dirección de Servicios al Inversionista, Dirección de Contaminación y Seguimiento, Dirección del Registro de Evaluaciones de Impacto Estatal, Dirección General, así como de las jefaturas y todas las áreas de la Comisión y los comprobantes de compra de dichos utensilios.</w:t>
      </w:r>
    </w:p>
    <w:p w14:paraId="01262F3E" w14:textId="77777777" w:rsidR="00413FC2" w:rsidRPr="00A53CD2"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3FFBF947" w:rsidR="009308DA" w:rsidRPr="00A53CD2" w:rsidRDefault="00A970D5" w:rsidP="00B62DEC">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 xml:space="preserve">A dicha solicitud, el Sujeto Obligado </w:t>
      </w:r>
      <w:r w:rsidR="001C4CBF" w:rsidRPr="00A53CD2">
        <w:rPr>
          <w:rFonts w:eastAsia="Palatino Linotype" w:cs="Palatino Linotype"/>
          <w:color w:val="000000"/>
          <w:szCs w:val="24"/>
        </w:rPr>
        <w:t xml:space="preserve">respondió </w:t>
      </w:r>
      <w:r w:rsidR="00D57F1A" w:rsidRPr="00A53CD2">
        <w:rPr>
          <w:rFonts w:eastAsia="Palatino Linotype" w:cs="Palatino Linotype"/>
          <w:color w:val="000000"/>
          <w:szCs w:val="24"/>
        </w:rPr>
        <w:t>mediante la entrega de los siguientes documentos:</w:t>
      </w:r>
    </w:p>
    <w:p w14:paraId="34CF62B0" w14:textId="1309BD00" w:rsidR="00A978AF" w:rsidRPr="00A53CD2" w:rsidRDefault="00A978AF" w:rsidP="00B62DEC">
      <w:pPr>
        <w:pBdr>
          <w:top w:val="nil"/>
          <w:left w:val="nil"/>
          <w:bottom w:val="nil"/>
          <w:right w:val="nil"/>
          <w:between w:val="nil"/>
        </w:pBdr>
        <w:contextualSpacing/>
        <w:rPr>
          <w:rFonts w:eastAsia="Palatino Linotype" w:cs="Palatino Linotype"/>
          <w:color w:val="000000"/>
          <w:szCs w:val="24"/>
        </w:rPr>
      </w:pPr>
    </w:p>
    <w:p w14:paraId="06E0CB26" w14:textId="151C3BC2" w:rsidR="00E85C49" w:rsidRPr="00A53CD2" w:rsidRDefault="00881260" w:rsidP="00E85C4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A53CD2">
        <w:rPr>
          <w:rFonts w:eastAsia="Palatino Linotype" w:cs="Palatino Linotype"/>
          <w:b/>
          <w:bCs/>
          <w:color w:val="000000"/>
        </w:rPr>
        <w:t>UT 144-2023.pdf</w:t>
      </w:r>
      <w:r w:rsidR="00E85C49" w:rsidRPr="00A53CD2">
        <w:rPr>
          <w:rFonts w:eastAsia="Palatino Linotype" w:cs="Palatino Linotype"/>
          <w:color w:val="000000"/>
        </w:rPr>
        <w:t xml:space="preserve">. Oficio número </w:t>
      </w:r>
      <w:r w:rsidR="004834FE" w:rsidRPr="00A53CD2">
        <w:rPr>
          <w:rFonts w:eastAsia="Palatino Linotype" w:cs="Palatino Linotype"/>
          <w:color w:val="000000"/>
        </w:rPr>
        <w:t>SEDUO-CI-0447</w:t>
      </w:r>
      <w:r w:rsidR="00743C11" w:rsidRPr="00A53CD2">
        <w:rPr>
          <w:rFonts w:eastAsia="Palatino Linotype" w:cs="Palatino Linotype"/>
          <w:color w:val="000000"/>
        </w:rPr>
        <w:t xml:space="preserve">/2023, emitido por la Titular de la Unidad de Transparencia, mediante el cual se </w:t>
      </w:r>
      <w:r w:rsidR="004834FE" w:rsidRPr="00A53CD2">
        <w:rPr>
          <w:rFonts w:eastAsia="Palatino Linotype" w:cs="Palatino Linotype"/>
          <w:color w:val="000000"/>
        </w:rPr>
        <w:t>señaló que se hacía del conocimiento de la respuesta emitida por la Directora General de la Comisión de Impacto Estatal.</w:t>
      </w:r>
    </w:p>
    <w:p w14:paraId="1EFDE8EE" w14:textId="332B0784" w:rsidR="00E85C49" w:rsidRPr="00A53CD2" w:rsidRDefault="00881260" w:rsidP="00E85C4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A53CD2">
        <w:rPr>
          <w:rFonts w:eastAsia="Palatino Linotype" w:cs="Palatino Linotype"/>
          <w:b/>
          <w:bCs/>
          <w:color w:val="000000"/>
        </w:rPr>
        <w:t>RESP UT144-2023 DGCIE.pdf</w:t>
      </w:r>
      <w:r w:rsidR="00E85C49" w:rsidRPr="00A53CD2">
        <w:rPr>
          <w:rFonts w:eastAsia="Palatino Linotype" w:cs="Palatino Linotype"/>
          <w:color w:val="000000"/>
        </w:rPr>
        <w:t>.</w:t>
      </w:r>
      <w:r w:rsidR="00743C11" w:rsidRPr="00A53CD2">
        <w:rPr>
          <w:rFonts w:eastAsia="Palatino Linotype" w:cs="Palatino Linotype"/>
          <w:color w:val="000000"/>
        </w:rPr>
        <w:t xml:space="preserve"> Oficio número</w:t>
      </w:r>
      <w:r w:rsidR="004834FE" w:rsidRPr="00A53CD2">
        <w:rPr>
          <w:rFonts w:eastAsia="Palatino Linotype" w:cs="Palatino Linotype"/>
          <w:color w:val="000000"/>
        </w:rPr>
        <w:t xml:space="preserve"> 224B03010-000603/2023, suscrito por la Directora General de la Comisión de Impacto Estatal, por medio del cual se informó que se realizó una búsqueda exhaustiva y razonada en los archivos de esa Dirección de la información solicitada por el Recurrente, manifestando que no se cuenta con utensilios de cocina que sean propiedad de la Comisión.</w:t>
      </w:r>
    </w:p>
    <w:p w14:paraId="48959858" w14:textId="77777777" w:rsidR="00881260" w:rsidRPr="00A53CD2" w:rsidRDefault="00881260" w:rsidP="006922F5">
      <w:pPr>
        <w:pBdr>
          <w:top w:val="nil"/>
          <w:left w:val="nil"/>
          <w:bottom w:val="nil"/>
          <w:right w:val="nil"/>
          <w:between w:val="nil"/>
        </w:pBdr>
        <w:contextualSpacing/>
        <w:rPr>
          <w:rFonts w:eastAsia="Palatino Linotype" w:cs="Palatino Linotype"/>
          <w:color w:val="000000"/>
          <w:szCs w:val="24"/>
        </w:rPr>
      </w:pPr>
    </w:p>
    <w:p w14:paraId="6128DFF4" w14:textId="1F1708E8" w:rsidR="00A970D5" w:rsidRPr="00A53CD2" w:rsidRDefault="007E0B5E"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Ante la</w:t>
      </w:r>
      <w:r w:rsidR="00A970D5" w:rsidRPr="00A53CD2">
        <w:rPr>
          <w:rFonts w:eastAsia="Palatino Linotype" w:cs="Palatino Linotype"/>
          <w:color w:val="000000"/>
          <w:szCs w:val="24"/>
        </w:rPr>
        <w:t xml:space="preserve"> respuesta</w:t>
      </w:r>
      <w:r w:rsidRPr="00A53CD2">
        <w:rPr>
          <w:rFonts w:eastAsia="Palatino Linotype" w:cs="Palatino Linotype"/>
          <w:color w:val="000000"/>
          <w:szCs w:val="24"/>
        </w:rPr>
        <w:t xml:space="preserve"> emitida</w:t>
      </w:r>
      <w:r w:rsidR="00E41D06" w:rsidRPr="00A53CD2">
        <w:rPr>
          <w:rFonts w:eastAsia="Palatino Linotype" w:cs="Palatino Linotype"/>
          <w:color w:val="000000"/>
          <w:szCs w:val="24"/>
        </w:rPr>
        <w:t xml:space="preserve"> </w:t>
      </w:r>
      <w:r w:rsidR="00B32535" w:rsidRPr="00A53CD2">
        <w:rPr>
          <w:rFonts w:eastAsia="Palatino Linotype" w:cs="Palatino Linotype"/>
          <w:color w:val="000000"/>
          <w:szCs w:val="24"/>
        </w:rPr>
        <w:t>por el Sujeto Obligado,</w:t>
      </w:r>
      <w:r w:rsidRPr="00A53CD2">
        <w:rPr>
          <w:rFonts w:eastAsia="Palatino Linotype" w:cs="Palatino Linotype"/>
          <w:color w:val="000000"/>
          <w:szCs w:val="24"/>
        </w:rPr>
        <w:t xml:space="preserve"> </w:t>
      </w:r>
      <w:r w:rsidR="007502BD" w:rsidRPr="00A53CD2">
        <w:rPr>
          <w:rFonts w:eastAsia="Palatino Linotype" w:cs="Palatino Linotype"/>
          <w:color w:val="000000"/>
          <w:szCs w:val="24"/>
        </w:rPr>
        <w:t>el</w:t>
      </w:r>
      <w:r w:rsidR="00A970D5" w:rsidRPr="00A53CD2">
        <w:rPr>
          <w:rFonts w:eastAsia="Palatino Linotype" w:cs="Palatino Linotype"/>
          <w:color w:val="000000"/>
          <w:szCs w:val="24"/>
        </w:rPr>
        <w:t xml:space="preserve"> Recurr</w:t>
      </w:r>
      <w:r w:rsidR="00640056" w:rsidRPr="00A53CD2">
        <w:rPr>
          <w:rFonts w:eastAsia="Palatino Linotype" w:cs="Palatino Linotype"/>
          <w:color w:val="000000"/>
          <w:szCs w:val="24"/>
        </w:rPr>
        <w:t>e</w:t>
      </w:r>
      <w:r w:rsidR="00A970D5" w:rsidRPr="00A53CD2">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A53CD2">
        <w:rPr>
          <w:rFonts w:eastAsia="Palatino Linotype" w:cs="Palatino Linotype"/>
          <w:color w:val="000000"/>
          <w:szCs w:val="24"/>
        </w:rPr>
        <w:t xml:space="preserve"> </w:t>
      </w:r>
      <w:r w:rsidR="00F6068A" w:rsidRPr="00A53CD2">
        <w:rPr>
          <w:rFonts w:eastAsia="Palatino Linotype" w:cs="Palatino Linotype"/>
          <w:color w:val="000000"/>
          <w:szCs w:val="24"/>
        </w:rPr>
        <w:t xml:space="preserve">y razones o motivos de inconformidad </w:t>
      </w:r>
      <w:r w:rsidR="00BA7C85" w:rsidRPr="00A53CD2">
        <w:rPr>
          <w:rFonts w:eastAsia="Palatino Linotype" w:cs="Palatino Linotype"/>
          <w:color w:val="000000"/>
          <w:szCs w:val="24"/>
        </w:rPr>
        <w:t xml:space="preserve">que </w:t>
      </w:r>
      <w:r w:rsidR="004834FE" w:rsidRPr="00A53CD2">
        <w:rPr>
          <w:rFonts w:eastAsia="Palatino Linotype" w:cs="Palatino Linotype"/>
          <w:color w:val="000000"/>
          <w:szCs w:val="24"/>
        </w:rPr>
        <w:t>no se entregó la información.</w:t>
      </w:r>
    </w:p>
    <w:p w14:paraId="3AC05501" w14:textId="77777777" w:rsidR="003D372B" w:rsidRPr="00A53CD2"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388A9383" w:rsidR="009279EC" w:rsidRPr="00A53CD2" w:rsidRDefault="004834FE" w:rsidP="006922F5">
      <w:pPr>
        <w:pBdr>
          <w:top w:val="nil"/>
          <w:left w:val="nil"/>
          <w:bottom w:val="nil"/>
          <w:right w:val="nil"/>
          <w:between w:val="nil"/>
        </w:pBdr>
        <w:contextualSpacing/>
      </w:pPr>
      <w:r w:rsidRPr="00A53CD2">
        <w:t>Durante la etapa de instrucción el Sujeto Obligado rindió su Informe Justificado mediante la entrega de los siguientes documentos:</w:t>
      </w:r>
    </w:p>
    <w:p w14:paraId="24A953DD" w14:textId="77777777" w:rsidR="004834FE" w:rsidRPr="00A53CD2" w:rsidRDefault="004834FE" w:rsidP="006922F5">
      <w:pPr>
        <w:pBdr>
          <w:top w:val="nil"/>
          <w:left w:val="nil"/>
          <w:bottom w:val="nil"/>
          <w:right w:val="nil"/>
          <w:between w:val="nil"/>
        </w:pBdr>
        <w:contextualSpacing/>
      </w:pPr>
    </w:p>
    <w:p w14:paraId="064CE50E" w14:textId="3B5F0CBB" w:rsidR="004834FE" w:rsidRPr="00A53CD2" w:rsidRDefault="004834FE" w:rsidP="00DC4DA9">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A53CD2">
        <w:rPr>
          <w:rFonts w:eastAsia="Palatino Linotype" w:cs="Palatino Linotype"/>
          <w:b/>
          <w:bCs/>
          <w:color w:val="000000"/>
        </w:rPr>
        <w:t>Informe justificado 02295-2023.pdf</w:t>
      </w:r>
      <w:r w:rsidR="00DC4DA9" w:rsidRPr="00A53CD2">
        <w:rPr>
          <w:rFonts w:eastAsia="Palatino Linotype" w:cs="Palatino Linotype"/>
          <w:color w:val="000000"/>
        </w:rPr>
        <w:t xml:space="preserve">. </w:t>
      </w:r>
      <w:r w:rsidR="006242FE" w:rsidRPr="00A53CD2">
        <w:rPr>
          <w:rFonts w:eastAsia="Palatino Linotype" w:cs="Palatino Linotype"/>
          <w:color w:val="000000"/>
        </w:rPr>
        <w:t xml:space="preserve">Oficio número SEDUO-CI-0658/2023, suscrito por la Titular de la Unidad de Transparencia, con el cual se refutan las </w:t>
      </w:r>
      <w:r w:rsidR="006242FE" w:rsidRPr="00A53CD2">
        <w:rPr>
          <w:rFonts w:eastAsia="Palatino Linotype" w:cs="Palatino Linotype"/>
          <w:color w:val="000000"/>
        </w:rPr>
        <w:lastRenderedPageBreak/>
        <w:t xml:space="preserve">razones o motivos de inconformidad expresadas por el Recurrente, señalando que son infundadas, inoperantes e improcedentes, ratificando que la respuesta proporcionada </w:t>
      </w:r>
      <w:r w:rsidR="00697009" w:rsidRPr="00A53CD2">
        <w:rPr>
          <w:rFonts w:eastAsia="Palatino Linotype" w:cs="Palatino Linotype"/>
          <w:color w:val="000000"/>
        </w:rPr>
        <w:t>a la solicitud es clara, precisa y acorde a la literalidad del requerimiento.</w:t>
      </w:r>
    </w:p>
    <w:p w14:paraId="56CAC143" w14:textId="33ED280D" w:rsidR="004834FE" w:rsidRPr="00A53CD2" w:rsidRDefault="004834FE" w:rsidP="00DC4DA9">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A53CD2">
        <w:rPr>
          <w:rFonts w:eastAsia="Palatino Linotype" w:cs="Palatino Linotype"/>
          <w:b/>
          <w:bCs/>
          <w:color w:val="000000"/>
        </w:rPr>
        <w:t>T. CIEEM 144-23.pdf</w:t>
      </w:r>
      <w:r w:rsidR="00DC4DA9" w:rsidRPr="00A53CD2">
        <w:rPr>
          <w:rFonts w:eastAsia="Palatino Linotype" w:cs="Palatino Linotype"/>
          <w:color w:val="000000"/>
        </w:rPr>
        <w:t>.</w:t>
      </w:r>
      <w:r w:rsidR="00AB58FD" w:rsidRPr="00A53CD2">
        <w:rPr>
          <w:rFonts w:eastAsia="Palatino Linotype" w:cs="Palatino Linotype"/>
          <w:color w:val="000000"/>
        </w:rPr>
        <w:t xml:space="preserve"> Oficio número SEDUO-CI-0343/2023, mediante el cual se turnó la solicitud de información a la Dirección General de la Comisión de Impacto Estatal</w:t>
      </w:r>
      <w:r w:rsidR="006242FE" w:rsidRPr="00A53CD2">
        <w:rPr>
          <w:rFonts w:eastAsia="Palatino Linotype" w:cs="Palatino Linotype"/>
          <w:color w:val="000000"/>
        </w:rPr>
        <w:t xml:space="preserve"> para su debida atención.</w:t>
      </w:r>
    </w:p>
    <w:p w14:paraId="19BA80D4" w14:textId="1CE91AA4" w:rsidR="004834FE" w:rsidRPr="00A53CD2" w:rsidRDefault="004834FE" w:rsidP="00DC4DA9">
      <w:pPr>
        <w:pStyle w:val="Prrafodelista"/>
        <w:numPr>
          <w:ilvl w:val="0"/>
          <w:numId w:val="37"/>
        </w:numPr>
        <w:pBdr>
          <w:top w:val="nil"/>
          <w:left w:val="nil"/>
          <w:bottom w:val="nil"/>
          <w:right w:val="nil"/>
          <w:between w:val="nil"/>
        </w:pBdr>
        <w:contextualSpacing/>
        <w:rPr>
          <w:rFonts w:eastAsia="Palatino Linotype" w:cs="Palatino Linotype"/>
          <w:color w:val="000000"/>
          <w:lang w:val="es-MX"/>
        </w:rPr>
      </w:pPr>
      <w:r w:rsidRPr="00A53CD2">
        <w:rPr>
          <w:rFonts w:eastAsia="Palatino Linotype" w:cs="Palatino Linotype"/>
          <w:b/>
          <w:bCs/>
          <w:color w:val="000000"/>
          <w:lang w:val="es-MX"/>
        </w:rPr>
        <w:t>RESP UT 144-2023 DGCIE.pdf</w:t>
      </w:r>
      <w:r w:rsidR="00DC4DA9" w:rsidRPr="00A53CD2">
        <w:rPr>
          <w:rFonts w:eastAsia="Palatino Linotype" w:cs="Palatino Linotype"/>
          <w:color w:val="000000"/>
          <w:lang w:val="es-MX"/>
        </w:rPr>
        <w:t>.</w:t>
      </w:r>
      <w:r w:rsidR="006242FE" w:rsidRPr="00A53CD2">
        <w:rPr>
          <w:rFonts w:eastAsia="Palatino Linotype" w:cs="Palatino Linotype"/>
          <w:color w:val="000000"/>
          <w:lang w:val="es-MX"/>
        </w:rPr>
        <w:t xml:space="preserve"> Oficio número 224B03010-000603/2023 que fue descrito en la respuesta a la solicitud.</w:t>
      </w:r>
    </w:p>
    <w:p w14:paraId="0D84F93E" w14:textId="0EF4E7FD" w:rsidR="004834FE" w:rsidRPr="00A53CD2" w:rsidRDefault="004834FE" w:rsidP="00DC4DA9">
      <w:pPr>
        <w:pStyle w:val="Prrafodelista"/>
        <w:numPr>
          <w:ilvl w:val="0"/>
          <w:numId w:val="37"/>
        </w:numPr>
        <w:pBdr>
          <w:top w:val="nil"/>
          <w:left w:val="nil"/>
          <w:bottom w:val="nil"/>
          <w:right w:val="nil"/>
          <w:between w:val="nil"/>
        </w:pBdr>
        <w:contextualSpacing/>
        <w:rPr>
          <w:rFonts w:eastAsia="Palatino Linotype" w:cs="Palatino Linotype"/>
          <w:color w:val="000000"/>
          <w:lang w:val="es-MX"/>
        </w:rPr>
      </w:pPr>
      <w:r w:rsidRPr="00A53CD2">
        <w:rPr>
          <w:rFonts w:eastAsia="Palatino Linotype" w:cs="Palatino Linotype"/>
          <w:b/>
          <w:bCs/>
          <w:color w:val="000000"/>
          <w:lang w:val="es-MX"/>
        </w:rPr>
        <w:t>UT 144-2023.pdf</w:t>
      </w:r>
      <w:r w:rsidR="00DC4DA9" w:rsidRPr="00A53CD2">
        <w:rPr>
          <w:rFonts w:eastAsia="Palatino Linotype" w:cs="Palatino Linotype"/>
          <w:color w:val="000000"/>
          <w:lang w:val="es-MX"/>
        </w:rPr>
        <w:t>.</w:t>
      </w:r>
      <w:r w:rsidR="006242FE" w:rsidRPr="00A53CD2">
        <w:rPr>
          <w:rFonts w:eastAsia="Palatino Linotype" w:cs="Palatino Linotype"/>
          <w:color w:val="000000"/>
          <w:lang w:val="es-MX"/>
        </w:rPr>
        <w:t xml:space="preserve"> </w:t>
      </w:r>
      <w:r w:rsidR="006242FE" w:rsidRPr="00A53CD2">
        <w:rPr>
          <w:rFonts w:eastAsia="Palatino Linotype" w:cs="Palatino Linotype"/>
          <w:color w:val="000000"/>
        </w:rPr>
        <w:t>Oficio número SEDUO-CI-0447/2023, descrito anteriormente.</w:t>
      </w:r>
    </w:p>
    <w:p w14:paraId="775525FF" w14:textId="7554ABED" w:rsidR="004834FE" w:rsidRPr="00A53CD2" w:rsidRDefault="004834FE" w:rsidP="00DC4DA9">
      <w:pPr>
        <w:pStyle w:val="Prrafodelista"/>
        <w:numPr>
          <w:ilvl w:val="0"/>
          <w:numId w:val="37"/>
        </w:numPr>
        <w:pBdr>
          <w:top w:val="nil"/>
          <w:left w:val="nil"/>
          <w:bottom w:val="nil"/>
          <w:right w:val="nil"/>
          <w:between w:val="nil"/>
        </w:pBdr>
        <w:contextualSpacing/>
        <w:rPr>
          <w:rFonts w:eastAsia="Palatino Linotype" w:cs="Palatino Linotype"/>
          <w:color w:val="000000"/>
          <w:lang w:val="es-MX"/>
        </w:rPr>
      </w:pPr>
      <w:r w:rsidRPr="00A53CD2">
        <w:rPr>
          <w:rFonts w:eastAsia="Palatino Linotype" w:cs="Palatino Linotype"/>
          <w:b/>
          <w:bCs/>
          <w:color w:val="000000"/>
          <w:lang w:val="es-MX"/>
        </w:rPr>
        <w:t>T. RR 2295 sol. 144-23 DGCIE.pdf</w:t>
      </w:r>
      <w:r w:rsidR="00DC4DA9" w:rsidRPr="00A53CD2">
        <w:rPr>
          <w:rFonts w:eastAsia="Palatino Linotype" w:cs="Palatino Linotype"/>
          <w:color w:val="000000"/>
          <w:lang w:val="es-MX"/>
        </w:rPr>
        <w:t>.</w:t>
      </w:r>
      <w:r w:rsidR="006242FE" w:rsidRPr="00A53CD2">
        <w:rPr>
          <w:rFonts w:eastAsia="Palatino Linotype" w:cs="Palatino Linotype"/>
          <w:color w:val="000000"/>
          <w:lang w:val="es-MX"/>
        </w:rPr>
        <w:t xml:space="preserve"> Oficio número SEDUO-CI-0514/2023, suscrito por la Titular de Transparencia, mediante el cual se requirió a la Dirección General de la Comisión de Impacto Estatal rendir el Informe Justificado.</w:t>
      </w:r>
    </w:p>
    <w:p w14:paraId="043B7268" w14:textId="73BE4909" w:rsidR="004834FE" w:rsidRPr="00A53CD2" w:rsidRDefault="004834FE" w:rsidP="00DC4DA9">
      <w:pPr>
        <w:pStyle w:val="Prrafodelista"/>
        <w:numPr>
          <w:ilvl w:val="0"/>
          <w:numId w:val="37"/>
        </w:numPr>
        <w:pBdr>
          <w:top w:val="nil"/>
          <w:left w:val="nil"/>
          <w:bottom w:val="nil"/>
          <w:right w:val="nil"/>
          <w:between w:val="nil"/>
        </w:pBdr>
        <w:contextualSpacing/>
        <w:rPr>
          <w:lang w:val="es-MX"/>
        </w:rPr>
      </w:pPr>
      <w:r w:rsidRPr="00A53CD2">
        <w:rPr>
          <w:rFonts w:eastAsia="Palatino Linotype" w:cs="Palatino Linotype"/>
          <w:b/>
          <w:bCs/>
          <w:color w:val="000000"/>
          <w:lang w:val="es-MX"/>
        </w:rPr>
        <w:t>RESP RR UT 144-23 DGCIE.pdf</w:t>
      </w:r>
      <w:r w:rsidR="00DC4DA9" w:rsidRPr="00A53CD2">
        <w:rPr>
          <w:rFonts w:eastAsia="Palatino Linotype" w:cs="Palatino Linotype"/>
          <w:color w:val="000000"/>
          <w:lang w:val="es-MX"/>
        </w:rPr>
        <w:t>.</w:t>
      </w:r>
      <w:r w:rsidR="006242FE" w:rsidRPr="00A53CD2">
        <w:rPr>
          <w:rFonts w:eastAsia="Palatino Linotype" w:cs="Palatino Linotype"/>
          <w:color w:val="000000"/>
          <w:lang w:val="es-MX"/>
        </w:rPr>
        <w:t xml:space="preserve"> </w:t>
      </w:r>
      <w:r w:rsidR="006242FE" w:rsidRPr="00A53CD2">
        <w:rPr>
          <w:rFonts w:eastAsia="Palatino Linotype" w:cs="Palatino Linotype"/>
          <w:color w:val="000000"/>
        </w:rPr>
        <w:t>Oficio número 224B030010-00844/2023, suscrito por la Directora General de la Comisión de Impacto Estatal manifestó que la respuesta emitida atiende a la literalidad el requerimiento del Recurrente, toda vez que se informó que una vez realizada la búsqueda exhaustiva de la información, no se cuenta con utensilios de cocina que sean propiedad de esa Comisión.</w:t>
      </w:r>
    </w:p>
    <w:p w14:paraId="6B31FAD6" w14:textId="77777777" w:rsidR="004834FE" w:rsidRPr="00A53CD2" w:rsidRDefault="004834FE" w:rsidP="006922F5">
      <w:pPr>
        <w:pBdr>
          <w:top w:val="nil"/>
          <w:left w:val="nil"/>
          <w:bottom w:val="nil"/>
          <w:right w:val="nil"/>
          <w:between w:val="nil"/>
        </w:pBdr>
        <w:contextualSpacing/>
        <w:rPr>
          <w:rFonts w:eastAsia="Palatino Linotype" w:cs="Palatino Linotype"/>
          <w:color w:val="000000"/>
          <w:szCs w:val="24"/>
          <w:lang w:val="es-MX"/>
        </w:rPr>
      </w:pPr>
    </w:p>
    <w:p w14:paraId="64B9BA8A" w14:textId="0131C704"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A53CD2">
        <w:rPr>
          <w:rFonts w:eastAsia="Palatino Linotype" w:cs="Palatino Linotype"/>
          <w:color w:val="000000"/>
          <w:szCs w:val="24"/>
        </w:rPr>
        <w:t xml:space="preserve"> </w:t>
      </w:r>
      <w:r w:rsidRPr="00A53CD2">
        <w:rPr>
          <w:rFonts w:eastAsia="Palatino Linotype" w:cs="Palatino Linotype"/>
          <w:color w:val="000000"/>
          <w:szCs w:val="24"/>
        </w:rPr>
        <w:t>l</w:t>
      </w:r>
      <w:r w:rsidR="00032FBE" w:rsidRPr="00A53CD2">
        <w:rPr>
          <w:rFonts w:eastAsia="Palatino Linotype" w:cs="Palatino Linotype"/>
          <w:color w:val="000000"/>
          <w:szCs w:val="24"/>
        </w:rPr>
        <w:t>a</w:t>
      </w:r>
      <w:r w:rsidRPr="00A53CD2">
        <w:rPr>
          <w:rFonts w:eastAsia="Palatino Linotype" w:cs="Palatino Linotype"/>
          <w:color w:val="000000"/>
          <w:szCs w:val="24"/>
        </w:rPr>
        <w:t xml:space="preserve"> Recurrente, así como calificar los motivos de inconformidad de</w:t>
      </w:r>
      <w:r w:rsidR="00C82268" w:rsidRPr="00A53CD2">
        <w:rPr>
          <w:rFonts w:eastAsia="Palatino Linotype" w:cs="Palatino Linotype"/>
          <w:color w:val="000000"/>
          <w:szCs w:val="24"/>
        </w:rPr>
        <w:t xml:space="preserve">l </w:t>
      </w:r>
      <w:r w:rsidRPr="00A53CD2">
        <w:rPr>
          <w:rFonts w:eastAsia="Palatino Linotype" w:cs="Palatino Linotype"/>
          <w:color w:val="000000"/>
          <w:szCs w:val="24"/>
        </w:rPr>
        <w:t xml:space="preserve">particular. </w:t>
      </w:r>
    </w:p>
    <w:p w14:paraId="443631F3"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A53CD2" w:rsidRDefault="00A970D5" w:rsidP="006922F5">
      <w:pPr>
        <w:pStyle w:val="Fundamentos"/>
      </w:pPr>
      <w:r w:rsidRPr="00A53CD2">
        <w:rPr>
          <w:b/>
        </w:rPr>
        <w:t>Artículo 6o.</w:t>
      </w:r>
      <w:r w:rsidRPr="00A53CD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53CD2">
        <w:rPr>
          <w:b/>
        </w:rPr>
        <w:t>El derecho a la información será garantizado por el Estado.</w:t>
      </w:r>
      <w:r w:rsidRPr="00A53CD2">
        <w:t xml:space="preserve"> </w:t>
      </w:r>
    </w:p>
    <w:p w14:paraId="71A2C801" w14:textId="77777777" w:rsidR="00A970D5" w:rsidRPr="00A53CD2" w:rsidRDefault="00A970D5" w:rsidP="006922F5">
      <w:pPr>
        <w:pStyle w:val="Fundamentos"/>
      </w:pPr>
    </w:p>
    <w:p w14:paraId="0CDFC85A" w14:textId="77777777" w:rsidR="00A970D5" w:rsidRPr="00A53CD2" w:rsidRDefault="00A970D5" w:rsidP="006922F5">
      <w:pPr>
        <w:pStyle w:val="Fundamentos"/>
      </w:pPr>
      <w:r w:rsidRPr="00A53CD2">
        <w:t>Toda persona tiene derecho al libre acceso a información plural y oportuna, así como a buscar, recibir y difundir información e ideas de toda índole por cualquier medio de expresión.</w:t>
      </w:r>
    </w:p>
    <w:p w14:paraId="0015CD16" w14:textId="77777777" w:rsidR="00A970D5" w:rsidRPr="00A53CD2" w:rsidRDefault="00A970D5" w:rsidP="006922F5">
      <w:pPr>
        <w:pStyle w:val="Fundamentos"/>
      </w:pPr>
    </w:p>
    <w:p w14:paraId="5F6974CB" w14:textId="77777777" w:rsidR="00A970D5" w:rsidRPr="00A53CD2" w:rsidRDefault="00A970D5" w:rsidP="006922F5">
      <w:pPr>
        <w:pStyle w:val="Fundamentos"/>
      </w:pPr>
      <w:r w:rsidRPr="00A53CD2">
        <w:t>Para efectos de lo dispuesto en el presente artículo se observará lo siguiente:</w:t>
      </w:r>
    </w:p>
    <w:p w14:paraId="6BB28B9A" w14:textId="77777777" w:rsidR="00A970D5" w:rsidRPr="00A53CD2" w:rsidRDefault="00A970D5" w:rsidP="006922F5">
      <w:pPr>
        <w:pStyle w:val="Fundamentos"/>
      </w:pPr>
    </w:p>
    <w:p w14:paraId="3BA28416" w14:textId="77777777" w:rsidR="00A970D5" w:rsidRPr="00A53CD2" w:rsidRDefault="00A970D5" w:rsidP="006922F5">
      <w:pPr>
        <w:pStyle w:val="Fundamentos"/>
      </w:pPr>
      <w:r w:rsidRPr="00A53CD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A53CD2" w:rsidRDefault="00A970D5" w:rsidP="006922F5">
      <w:pPr>
        <w:pStyle w:val="Fundamentos"/>
      </w:pPr>
    </w:p>
    <w:p w14:paraId="2133BF6E" w14:textId="77777777" w:rsidR="00A970D5" w:rsidRPr="00A53CD2" w:rsidRDefault="00A970D5" w:rsidP="006922F5">
      <w:pPr>
        <w:pStyle w:val="Fundamentos"/>
      </w:pPr>
      <w:r w:rsidRPr="00A53CD2">
        <w:rPr>
          <w:b/>
        </w:rPr>
        <w:t>I. Toda la información en posesión de</w:t>
      </w:r>
      <w:r w:rsidRPr="00A53CD2">
        <w:t xml:space="preserve"> </w:t>
      </w:r>
      <w:r w:rsidRPr="00A53CD2">
        <w:rPr>
          <w:b/>
        </w:rPr>
        <w:t>cualquier autoridad</w:t>
      </w:r>
      <w:r w:rsidRPr="00A53CD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53CD2">
        <w:rPr>
          <w:b/>
        </w:rPr>
        <w:t>en el ámbito federal, estatal y municipal, es pública</w:t>
      </w:r>
      <w:r w:rsidRPr="00A53CD2">
        <w:t xml:space="preserve"> y sólo podrá ser reservada temporalmente por razones de interés público y seguridad nacional, en los términos que fijen las leyes. En la interpretación de este derecho deberá prevalecer el principio de máxima publicidad. </w:t>
      </w:r>
      <w:r w:rsidRPr="00A53CD2">
        <w:rPr>
          <w:b/>
        </w:rPr>
        <w:t>Los sujetos obligados deberán documentar todo acto que derive del ejercicio de sus facultades, competencias o funciones</w:t>
      </w:r>
      <w:r w:rsidRPr="00A53CD2">
        <w:t>, la ley determinará los supuestos específicos bajo los cuales procederá la declaración de inexistencia de la información.</w:t>
      </w:r>
    </w:p>
    <w:p w14:paraId="5943A65E" w14:textId="77777777" w:rsidR="00A970D5" w:rsidRPr="00A53CD2" w:rsidRDefault="00A970D5" w:rsidP="006922F5">
      <w:pPr>
        <w:pStyle w:val="Fundamentos"/>
      </w:pPr>
      <w:r w:rsidRPr="00A53CD2">
        <w:t>II. La información que se refiere a la vida privada y los datos personales será protegida en los términos y con las excepciones que fijen las leyes.</w:t>
      </w:r>
    </w:p>
    <w:p w14:paraId="135241F6" w14:textId="77777777" w:rsidR="00A970D5" w:rsidRPr="00A53CD2" w:rsidRDefault="00A970D5" w:rsidP="006922F5">
      <w:pPr>
        <w:pStyle w:val="Fundamentos"/>
      </w:pPr>
      <w:r w:rsidRPr="00A53CD2">
        <w:t>III. Toda persona, sin necesidad de acreditar interés alguno o justificar su utilización, tendrá acceso gratuito a la información pública, a sus datos personales o a la rectificación de éstos.</w:t>
      </w:r>
    </w:p>
    <w:p w14:paraId="55B93DBA" w14:textId="77777777" w:rsidR="00A970D5" w:rsidRPr="00A53CD2" w:rsidRDefault="00A970D5" w:rsidP="006922F5">
      <w:pPr>
        <w:pStyle w:val="Fundamentos"/>
      </w:pPr>
      <w:r w:rsidRPr="00A53CD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A53CD2" w:rsidRDefault="00A970D5" w:rsidP="006922F5">
      <w:pPr>
        <w:pStyle w:val="Fundamentos"/>
      </w:pPr>
      <w:r w:rsidRPr="00A53CD2">
        <w:rPr>
          <w:b/>
        </w:rPr>
        <w:lastRenderedPageBreak/>
        <w:t>V. Los sujetos obligados deberán preservar sus documentos en archivos administrativos actualizados y publicarán, a través de los medios electrónicos disponibles</w:t>
      </w:r>
      <w:r w:rsidRPr="00A53CD2">
        <w:t xml:space="preserve">, </w:t>
      </w:r>
      <w:r w:rsidRPr="00A53CD2">
        <w:rPr>
          <w:b/>
        </w:rPr>
        <w:t xml:space="preserve">la información completa y actualizada sobre el ejercicio de los recursos públicos </w:t>
      </w:r>
      <w:r w:rsidRPr="00A53CD2">
        <w:t>y los indicadores que permitan rendir cuenta del cumplimiento de sus objetivos y de los resultados obtenidos.</w:t>
      </w:r>
    </w:p>
    <w:p w14:paraId="1989B44A" w14:textId="77777777" w:rsidR="00A970D5" w:rsidRPr="00A53CD2" w:rsidRDefault="00A970D5" w:rsidP="006922F5">
      <w:pPr>
        <w:pStyle w:val="Fundamentos"/>
      </w:pPr>
      <w:r w:rsidRPr="00A53CD2">
        <w:t>VI. Las leyes determinarán la manera en que los sujetos obligados deberán hacer pública la información relativa a los recursos públicos que entreguen a personas físicas o morales.</w:t>
      </w:r>
    </w:p>
    <w:p w14:paraId="52D64BCE" w14:textId="77777777" w:rsidR="00A970D5" w:rsidRPr="00A53CD2" w:rsidRDefault="00A970D5" w:rsidP="006922F5">
      <w:pPr>
        <w:pStyle w:val="Fundamentos"/>
      </w:pPr>
      <w:r w:rsidRPr="00A53CD2">
        <w:t>VII. La inobservancia a las disposiciones en materia de acceso a la información pública será sancionada en los términos que dispongan las leyes.</w:t>
      </w:r>
    </w:p>
    <w:p w14:paraId="0226FE46" w14:textId="77777777" w:rsidR="00A970D5" w:rsidRPr="00A53CD2" w:rsidRDefault="00A970D5" w:rsidP="006922F5">
      <w:pPr>
        <w:pStyle w:val="Fundamentos"/>
      </w:pPr>
      <w:r w:rsidRPr="00A53CD2">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A53CD2" w:rsidRDefault="00A970D5" w:rsidP="006922F5">
      <w:pPr>
        <w:pStyle w:val="Fundamentos"/>
      </w:pPr>
      <w:r w:rsidRPr="00A53CD2">
        <w:t>…</w:t>
      </w:r>
    </w:p>
    <w:p w14:paraId="5E8F2316" w14:textId="77777777" w:rsidR="00A970D5" w:rsidRPr="00A53CD2" w:rsidRDefault="00A970D5" w:rsidP="006922F5">
      <w:pPr>
        <w:pStyle w:val="Fundamentos"/>
      </w:pPr>
      <w:r w:rsidRPr="00A53CD2">
        <w:t>La ley establecerá aquella información que se considere reservada o confidencial.</w:t>
      </w:r>
    </w:p>
    <w:p w14:paraId="3441E2D4"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A53CD2" w:rsidRDefault="00A970D5" w:rsidP="006922F5">
      <w:pPr>
        <w:pStyle w:val="Fundamentos"/>
      </w:pPr>
      <w:r w:rsidRPr="00A53CD2">
        <w:rPr>
          <w:b/>
          <w:bCs/>
        </w:rPr>
        <w:t>Artículo 5.</w:t>
      </w:r>
      <w:r w:rsidRPr="00A53CD2">
        <w:t xml:space="preserve"> </w:t>
      </w:r>
      <w:r w:rsidR="0047369A" w:rsidRPr="00A53CD2">
        <w:t>(</w:t>
      </w:r>
      <w:r w:rsidRPr="00A53CD2">
        <w:t>…</w:t>
      </w:r>
      <w:r w:rsidR="0047369A" w:rsidRPr="00A53CD2">
        <w:t>)</w:t>
      </w:r>
      <w:r w:rsidRPr="00A53CD2">
        <w:t xml:space="preserve"> </w:t>
      </w:r>
    </w:p>
    <w:p w14:paraId="5956991C" w14:textId="77777777" w:rsidR="00A970D5" w:rsidRPr="00A53CD2" w:rsidRDefault="00A970D5" w:rsidP="006922F5">
      <w:pPr>
        <w:pStyle w:val="Fundamentos"/>
      </w:pPr>
      <w:r w:rsidRPr="00A53CD2">
        <w:t xml:space="preserve">El derecho a la información será garantizado por el Estado. La ley establecerá las previsiones que permitan asegurar la protección, el respeto y la difusión de este derecho. </w:t>
      </w:r>
    </w:p>
    <w:p w14:paraId="6A3CBAB6" w14:textId="77777777" w:rsidR="00A970D5" w:rsidRPr="00A53CD2" w:rsidRDefault="00A970D5" w:rsidP="006922F5">
      <w:pPr>
        <w:pStyle w:val="Fundamentos"/>
      </w:pPr>
    </w:p>
    <w:p w14:paraId="36D3B567" w14:textId="77777777" w:rsidR="00A970D5" w:rsidRPr="00A53CD2" w:rsidRDefault="00A970D5" w:rsidP="006922F5">
      <w:pPr>
        <w:pStyle w:val="Fundamentos"/>
      </w:pPr>
      <w:r w:rsidRPr="00A53CD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A53CD2" w:rsidRDefault="00A970D5" w:rsidP="006922F5">
      <w:pPr>
        <w:pStyle w:val="Fundamentos"/>
      </w:pPr>
    </w:p>
    <w:p w14:paraId="0BDF2E36" w14:textId="77777777" w:rsidR="00A970D5" w:rsidRPr="00A53CD2" w:rsidRDefault="00A970D5" w:rsidP="006922F5">
      <w:pPr>
        <w:pStyle w:val="Fundamentos"/>
      </w:pPr>
      <w:r w:rsidRPr="00A53CD2">
        <w:t>Este derecho se regirá por los principios y bases siguientes:</w:t>
      </w:r>
    </w:p>
    <w:p w14:paraId="0BFC86CA" w14:textId="77777777" w:rsidR="00A970D5" w:rsidRPr="00A53CD2" w:rsidRDefault="00A970D5" w:rsidP="006922F5">
      <w:pPr>
        <w:pStyle w:val="Fundamentos"/>
      </w:pPr>
    </w:p>
    <w:p w14:paraId="71CBBD8F" w14:textId="77777777" w:rsidR="00A970D5" w:rsidRPr="00A53CD2" w:rsidRDefault="00A970D5" w:rsidP="006922F5">
      <w:pPr>
        <w:pStyle w:val="Fundamentos"/>
      </w:pPr>
      <w:r w:rsidRPr="00A53CD2">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A53CD2">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A53CD2" w:rsidRDefault="00A970D5" w:rsidP="006922F5">
      <w:pPr>
        <w:pStyle w:val="Fundamentos"/>
      </w:pPr>
      <w:r w:rsidRPr="00A53CD2">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A53CD2" w:rsidRDefault="00A970D5" w:rsidP="006922F5">
      <w:pPr>
        <w:pStyle w:val="Fundamentos"/>
      </w:pPr>
      <w:r w:rsidRPr="00A53CD2">
        <w:t>III. Toda persona, sin necesidad de acreditar interés alguno o justificar su utilización, tendrá acceso gratuito a la información pública, a sus datos personales o a la rectificación de éstos.</w:t>
      </w:r>
    </w:p>
    <w:p w14:paraId="682D2B34" w14:textId="77777777" w:rsidR="00A970D5" w:rsidRPr="00A53CD2" w:rsidRDefault="00A970D5" w:rsidP="006922F5">
      <w:pPr>
        <w:pStyle w:val="Fundamentos"/>
      </w:pPr>
      <w:r w:rsidRPr="00A53CD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A53CD2" w:rsidRDefault="00A970D5" w:rsidP="006922F5">
      <w:pPr>
        <w:pStyle w:val="Fundamentos"/>
      </w:pPr>
      <w:r w:rsidRPr="00A53CD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A53CD2" w:rsidRDefault="00A970D5" w:rsidP="006922F5">
      <w:pPr>
        <w:pStyle w:val="Fundamentos"/>
      </w:pPr>
      <w:r w:rsidRPr="00A53CD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A53CD2" w:rsidRDefault="00A970D5" w:rsidP="006922F5">
      <w:pPr>
        <w:pStyle w:val="Fundamentos"/>
      </w:pPr>
      <w:r w:rsidRPr="00A53CD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4C4F4A5C" w:rsidR="00C82268" w:rsidRPr="00A53CD2" w:rsidRDefault="00C82268" w:rsidP="006922F5">
      <w:pPr>
        <w:rPr>
          <w:rFonts w:eastAsia="Palatino Linotype" w:cs="Palatino Linotype"/>
          <w:szCs w:val="24"/>
        </w:rPr>
      </w:pPr>
      <w:r w:rsidRPr="00A53CD2">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A53CD2">
        <w:rPr>
          <w:rFonts w:eastAsia="Palatino Linotype" w:cs="Palatino Linotype"/>
          <w:szCs w:val="24"/>
        </w:rPr>
        <w:t>I</w:t>
      </w:r>
      <w:r w:rsidRPr="00A53CD2">
        <w:rPr>
          <w:rFonts w:eastAsia="Palatino Linotype" w:cs="Palatino Linotype"/>
          <w:szCs w:val="24"/>
        </w:rPr>
        <w:t>, lo siguiente:</w:t>
      </w:r>
    </w:p>
    <w:p w14:paraId="34BB49C7" w14:textId="77777777" w:rsidR="00C82268" w:rsidRPr="00A53CD2" w:rsidRDefault="00C82268" w:rsidP="006922F5">
      <w:pPr>
        <w:rPr>
          <w:rFonts w:eastAsia="Palatino Linotype" w:cs="Palatino Linotype"/>
          <w:szCs w:val="24"/>
        </w:rPr>
      </w:pPr>
    </w:p>
    <w:p w14:paraId="100A2479" w14:textId="77777777" w:rsidR="00C82268" w:rsidRPr="00A53CD2" w:rsidRDefault="00C82268" w:rsidP="006922F5">
      <w:pPr>
        <w:pStyle w:val="Fundamentos"/>
      </w:pPr>
      <w:r w:rsidRPr="00A53CD2">
        <w:rPr>
          <w:b/>
        </w:rPr>
        <w:t>Artículo 23.</w:t>
      </w:r>
      <w:r w:rsidRPr="00A53CD2">
        <w:t xml:space="preserve"> Son sujetos obligados a transparentar y permitir el acceso a su información y proteger los datos personales que obren en su poder:</w:t>
      </w:r>
    </w:p>
    <w:p w14:paraId="7025ECE0" w14:textId="18A019DB" w:rsidR="00C82268" w:rsidRPr="00A53CD2" w:rsidRDefault="00C82268" w:rsidP="006922F5">
      <w:pPr>
        <w:pStyle w:val="Fundamentos"/>
      </w:pPr>
    </w:p>
    <w:p w14:paraId="79FD530B" w14:textId="44ED97CB" w:rsidR="00C82268" w:rsidRPr="00A53CD2" w:rsidRDefault="00C82268" w:rsidP="006922F5">
      <w:pPr>
        <w:pStyle w:val="Fundamentos"/>
      </w:pPr>
      <w:r w:rsidRPr="00A53CD2">
        <w:rPr>
          <w:b/>
          <w:bCs/>
        </w:rPr>
        <w:lastRenderedPageBreak/>
        <w:t>I.</w:t>
      </w:r>
      <w:r w:rsidR="00BA7C85" w:rsidRPr="00A53CD2">
        <w:rPr>
          <w:b/>
          <w:bCs/>
        </w:rPr>
        <w:t xml:space="preserve"> </w:t>
      </w:r>
      <w:r w:rsidR="00017DEA" w:rsidRPr="00A53CD2">
        <w:t>El</w:t>
      </w:r>
      <w:r w:rsidR="001530E5" w:rsidRPr="00A53CD2">
        <w:t xml:space="preserve"> </w:t>
      </w:r>
      <w:r w:rsidR="00017DEA" w:rsidRPr="00A53CD2">
        <w:t>Poder Ejecutivo del Estado de México, las dependencias, organismos auxiliares, órganos, entidades, fideicomisos y fondos públicos, así como la Procuraduría General de Justicia</w:t>
      </w:r>
      <w:r w:rsidR="00754A30" w:rsidRPr="00A53CD2">
        <w:t>;</w:t>
      </w:r>
    </w:p>
    <w:p w14:paraId="0667CF00" w14:textId="77777777" w:rsidR="00C82268" w:rsidRPr="00A53CD2" w:rsidRDefault="00C82268" w:rsidP="006922F5">
      <w:pPr>
        <w:pStyle w:val="Fundamentos"/>
      </w:pPr>
      <w:r w:rsidRPr="00A53CD2">
        <w:t>(…)</w:t>
      </w:r>
    </w:p>
    <w:p w14:paraId="458B21C5"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 xml:space="preserve">Es así </w:t>
      </w:r>
      <w:r w:rsidR="00D574A2" w:rsidRPr="00A53CD2">
        <w:rPr>
          <w:rFonts w:eastAsia="Palatino Linotype" w:cs="Palatino Linotype"/>
          <w:color w:val="000000"/>
          <w:szCs w:val="24"/>
        </w:rPr>
        <w:t>como</w:t>
      </w:r>
      <w:r w:rsidRPr="00A53CD2">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A53CD2" w:rsidRDefault="00A970D5" w:rsidP="006922F5">
      <w:pPr>
        <w:pBdr>
          <w:top w:val="nil"/>
          <w:left w:val="nil"/>
          <w:bottom w:val="nil"/>
          <w:right w:val="nil"/>
          <w:between w:val="nil"/>
        </w:pBdr>
        <w:contextualSpacing/>
        <w:rPr>
          <w:rFonts w:eastAsia="Palatino Linotype" w:cs="Palatino Linotype"/>
          <w:color w:val="000000"/>
          <w:szCs w:val="24"/>
        </w:rPr>
      </w:pPr>
    </w:p>
    <w:p w14:paraId="18010143" w14:textId="77777777" w:rsidR="00B0307F" w:rsidRPr="00A53CD2" w:rsidRDefault="006242FE" w:rsidP="006242FE">
      <w:pPr>
        <w:pBdr>
          <w:top w:val="nil"/>
          <w:left w:val="nil"/>
          <w:bottom w:val="nil"/>
          <w:right w:val="nil"/>
          <w:between w:val="nil"/>
        </w:pBdr>
        <w:contextualSpacing/>
        <w:rPr>
          <w:rFonts w:eastAsia="Palatino Linotype" w:cs="Palatino Linotype"/>
          <w:szCs w:val="24"/>
        </w:rPr>
      </w:pPr>
      <w:r w:rsidRPr="00A53CD2">
        <w:rPr>
          <w:rFonts w:eastAsia="Palatino Linotype" w:cs="Palatino Linotype"/>
          <w:szCs w:val="24"/>
        </w:rPr>
        <w:t>En segundo término, se advierte que el Sujeto Obligado, mediante el pronunciamiento realizado por la</w:t>
      </w:r>
      <w:r w:rsidR="00017DEA" w:rsidRPr="00A53CD2">
        <w:rPr>
          <w:rFonts w:eastAsia="Palatino Linotype" w:cs="Palatino Linotype"/>
          <w:szCs w:val="24"/>
        </w:rPr>
        <w:t xml:space="preserve"> Dirección General de la Comisión de Impacto Estatal</w:t>
      </w:r>
      <w:r w:rsidRPr="00A53CD2">
        <w:rPr>
          <w:rFonts w:eastAsia="Palatino Linotype" w:cs="Palatino Linotype"/>
          <w:szCs w:val="24"/>
        </w:rPr>
        <w:t xml:space="preserve">, manifestó que </w:t>
      </w:r>
      <w:r w:rsidR="00017DEA" w:rsidRPr="00A53CD2">
        <w:rPr>
          <w:rFonts w:eastAsia="Palatino Linotype" w:cs="Palatino Linotype"/>
          <w:szCs w:val="24"/>
        </w:rPr>
        <w:t>se realizó una búsqueda exhaustiva y razonable</w:t>
      </w:r>
      <w:r w:rsidR="00B0307F" w:rsidRPr="00A53CD2">
        <w:rPr>
          <w:rFonts w:eastAsia="Palatino Linotype" w:cs="Palatino Linotype"/>
          <w:szCs w:val="24"/>
        </w:rPr>
        <w:t xml:space="preserve"> sin que se encontrara información relativa a lo requerido por el Recurrente. </w:t>
      </w:r>
    </w:p>
    <w:p w14:paraId="2B425039" w14:textId="77777777" w:rsidR="00B0307F" w:rsidRPr="00A53CD2" w:rsidRDefault="00B0307F" w:rsidP="006242FE">
      <w:pPr>
        <w:pBdr>
          <w:top w:val="nil"/>
          <w:left w:val="nil"/>
          <w:bottom w:val="nil"/>
          <w:right w:val="nil"/>
          <w:between w:val="nil"/>
        </w:pBdr>
        <w:contextualSpacing/>
        <w:rPr>
          <w:rFonts w:eastAsia="Palatino Linotype" w:cs="Palatino Linotype"/>
          <w:szCs w:val="24"/>
        </w:rPr>
      </w:pPr>
    </w:p>
    <w:p w14:paraId="66B2DD97" w14:textId="52B81DBD" w:rsidR="002C6431" w:rsidRPr="00A53CD2" w:rsidRDefault="00B0307F" w:rsidP="002C6431">
      <w:pPr>
        <w:contextualSpacing/>
        <w:rPr>
          <w:rFonts w:eastAsia="Palatino Linotype" w:cs="Palatino Linotype"/>
          <w:szCs w:val="24"/>
        </w:rPr>
      </w:pPr>
      <w:r w:rsidRPr="00A53CD2">
        <w:rPr>
          <w:rFonts w:eastAsia="Palatino Linotype" w:cs="Palatino Linotype"/>
          <w:szCs w:val="24"/>
        </w:rPr>
        <w:t>En ese sentido, se tiene que el área referida por el particular en su solicitud se pronunció en sentido negativo</w:t>
      </w:r>
      <w:r w:rsidR="002C6431" w:rsidRPr="00A53CD2">
        <w:rPr>
          <w:rFonts w:eastAsia="Palatino Linotype" w:cs="Palatino Linotype"/>
          <w:szCs w:val="24"/>
        </w:rPr>
        <w:t>, por lo que este Instituto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14:paraId="76EBE542" w14:textId="77777777" w:rsidR="002C6431" w:rsidRPr="00A53CD2" w:rsidRDefault="002C6431" w:rsidP="002C6431">
      <w:pPr>
        <w:contextualSpacing/>
        <w:rPr>
          <w:rFonts w:eastAsia="Palatino Linotype" w:cs="Palatino Linotype"/>
          <w:szCs w:val="24"/>
        </w:rPr>
      </w:pPr>
    </w:p>
    <w:p w14:paraId="52C71B66" w14:textId="77777777" w:rsidR="002C6431" w:rsidRPr="00A53CD2" w:rsidRDefault="002C6431" w:rsidP="002C6431">
      <w:pPr>
        <w:spacing w:line="240" w:lineRule="auto"/>
        <w:ind w:left="567" w:right="567"/>
        <w:rPr>
          <w:rFonts w:eastAsia="Palatino Linotype" w:cs="Times New Roman"/>
          <w:i/>
          <w:sz w:val="22"/>
          <w:szCs w:val="24"/>
          <w:lang w:val="es-MX" w:eastAsia="es-ES"/>
        </w:rPr>
      </w:pPr>
      <w:r w:rsidRPr="00A53CD2">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A53CD2">
        <w:rPr>
          <w:rFonts w:eastAsia="Palatino Linotype" w:cs="Times New Roman"/>
          <w:i/>
          <w:sz w:val="22"/>
          <w:szCs w:val="24"/>
          <w:lang w:val="es-MX" w:eastAsia="es-ES"/>
        </w:rPr>
        <w:t xml:space="preserve">El Instituto Federal de Acceso a la Información </w:t>
      </w:r>
      <w:r w:rsidRPr="00A53CD2">
        <w:rPr>
          <w:rFonts w:eastAsia="Palatino Linotype" w:cs="Times New Roman"/>
          <w:i/>
          <w:sz w:val="22"/>
          <w:szCs w:val="24"/>
          <w:lang w:val="es-MX" w:eastAsia="es-ES"/>
        </w:rPr>
        <w:lastRenderedPageBreak/>
        <w:t>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B72ECA6" w14:textId="77777777" w:rsidR="002C6431" w:rsidRPr="00A53CD2" w:rsidRDefault="002C6431" w:rsidP="002C6431">
      <w:pPr>
        <w:rPr>
          <w:rFonts w:eastAsia="Palatino Linotype" w:cs="Palatino Linotype"/>
          <w:szCs w:val="24"/>
          <w:lang w:val="es-MX"/>
        </w:rPr>
      </w:pPr>
    </w:p>
    <w:p w14:paraId="67966942" w14:textId="24504132" w:rsidR="002C6431" w:rsidRPr="00A53CD2" w:rsidRDefault="002C6431" w:rsidP="002C6431">
      <w:r w:rsidRPr="00A53CD2">
        <w:rPr>
          <w:rFonts w:eastAsia="Palatino Linotype" w:cs="Palatino Linotype"/>
          <w:szCs w:val="24"/>
          <w:lang w:val="es-MX"/>
        </w:rPr>
        <w:t xml:space="preserve">Por lo que se debe señalar que el área referida en la solicitud de información ya emitió su pronunciamiento en el sentido de que no se cuenta con la información, además de que no existe normatividad que la obligue a generar, poseer o administrar la información solicitada, por lo que se </w:t>
      </w:r>
      <w:r w:rsidRPr="00A53CD2">
        <w:rPr>
          <w:rFonts w:eastAsia="Palatino Linotype" w:cs="Palatino Linotype"/>
          <w:color w:val="000000"/>
          <w:szCs w:val="24"/>
        </w:rPr>
        <w:t xml:space="preserve">debe entender que se está frente a hechos negativos. </w:t>
      </w:r>
      <w:r w:rsidRPr="00A53CD2">
        <w:rPr>
          <w:rFonts w:eastAsiaTheme="minorHAnsi" w:cs="Arial"/>
          <w:lang w:eastAsia="es-ES"/>
        </w:rPr>
        <w:t>resulta innecesaria una declaratoria de inexistencia en términos de los artículos 19, 169 y 170 de la Ley de Transparencia y Acceso a la Información Pública del Estado de México y Municipios, resultando aplicable la tesis con número de registro digital 267287</w:t>
      </w:r>
      <w:r w:rsidR="002B4651" w:rsidRPr="00A53CD2">
        <w:rPr>
          <w:rFonts w:eastAsiaTheme="minorHAnsi" w:cs="Arial"/>
          <w:lang w:eastAsia="es-ES"/>
        </w:rPr>
        <w:t xml:space="preserve"> en la que se establece lo siguiente.</w:t>
      </w:r>
      <w:r w:rsidRPr="00A53CD2">
        <w:rPr>
          <w:rFonts w:eastAsiaTheme="minorHAnsi" w:cs="Arial"/>
          <w:lang w:eastAsia="es-ES"/>
        </w:rPr>
        <w:t>:</w:t>
      </w:r>
    </w:p>
    <w:p w14:paraId="1050F780" w14:textId="77777777" w:rsidR="002C6431" w:rsidRPr="00A53CD2" w:rsidRDefault="002C6431" w:rsidP="002C6431">
      <w:pPr>
        <w:rPr>
          <w:rFonts w:eastAsiaTheme="minorHAnsi" w:cstheme="minorBidi"/>
        </w:rPr>
      </w:pPr>
    </w:p>
    <w:p w14:paraId="0D3399E8" w14:textId="77777777" w:rsidR="002C6431" w:rsidRPr="00A53CD2" w:rsidRDefault="002C6431" w:rsidP="002C643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A53CD2">
        <w:rPr>
          <w:rFonts w:eastAsia="Palatino Linotype" w:cs="Palatino Linotype"/>
          <w:b/>
          <w:bCs/>
          <w:i/>
          <w:color w:val="000000"/>
          <w:sz w:val="22"/>
          <w:szCs w:val="24"/>
        </w:rPr>
        <w:t xml:space="preserve">HECHOS NEGATIVOS, NO SON SUSCEPTIBLES DE DEMOSTRACIÓN. </w:t>
      </w:r>
    </w:p>
    <w:p w14:paraId="0FA419CC" w14:textId="77777777" w:rsidR="002C6431" w:rsidRPr="00A53CD2" w:rsidRDefault="002C6431" w:rsidP="002C643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53CD2">
        <w:rPr>
          <w:rFonts w:eastAsia="Palatino Linotype"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257E69A6" w14:textId="77777777" w:rsidR="002C6431" w:rsidRPr="00A53CD2" w:rsidRDefault="002C6431" w:rsidP="002C6431">
      <w:pPr>
        <w:rPr>
          <w:rFonts w:eastAsiaTheme="minorHAnsi" w:cstheme="minorBidi"/>
          <w:iCs/>
        </w:rPr>
      </w:pPr>
    </w:p>
    <w:p w14:paraId="7DA7C42B" w14:textId="77777777" w:rsidR="002C6431" w:rsidRPr="00A53CD2" w:rsidRDefault="002C6431" w:rsidP="002C6431">
      <w:pPr>
        <w:rPr>
          <w:bCs/>
          <w:color w:val="000000"/>
        </w:rPr>
      </w:pPr>
      <w:r w:rsidRPr="00A53CD2">
        <w:rPr>
          <w:rFonts w:eastAsiaTheme="minorHAnsi" w:cstheme="minorBidi"/>
        </w:rPr>
        <w:t xml:space="preserve">Además, de conformidad con lo establecido en el artículo 12 de la Ley de la materia, el Sujeto Obligado sólo proporcionará la información que obra en sus archivos, lo que </w:t>
      </w:r>
      <w:r w:rsidRPr="00A53CD2">
        <w:rPr>
          <w:rFonts w:eastAsiaTheme="minorHAnsi" w:cstheme="minorBidi"/>
          <w:i/>
        </w:rPr>
        <w:t>a contrario sensu</w:t>
      </w:r>
      <w:r w:rsidRPr="00A53CD2">
        <w:rPr>
          <w:rFonts w:eastAsiaTheme="minorHAnsi" w:cstheme="minorBidi"/>
        </w:rPr>
        <w:t xml:space="preserve"> significa que no está obligado a proporcionar lo que no obre en sus archivos.</w:t>
      </w:r>
    </w:p>
    <w:p w14:paraId="3A8F7427" w14:textId="281D8EAC" w:rsidR="00B0307F" w:rsidRPr="00A53CD2" w:rsidRDefault="00B0307F" w:rsidP="006242FE">
      <w:pPr>
        <w:pBdr>
          <w:top w:val="nil"/>
          <w:left w:val="nil"/>
          <w:bottom w:val="nil"/>
          <w:right w:val="nil"/>
          <w:between w:val="nil"/>
        </w:pBdr>
        <w:contextualSpacing/>
        <w:rPr>
          <w:rFonts w:eastAsia="Palatino Linotype" w:cs="Palatino Linotype"/>
          <w:szCs w:val="24"/>
        </w:rPr>
      </w:pPr>
    </w:p>
    <w:p w14:paraId="7848F8F1" w14:textId="77777777" w:rsidR="006242FE" w:rsidRPr="00A53CD2" w:rsidRDefault="006242FE" w:rsidP="006242FE">
      <w:pPr>
        <w:pBdr>
          <w:top w:val="nil"/>
          <w:left w:val="nil"/>
          <w:bottom w:val="nil"/>
          <w:right w:val="nil"/>
          <w:between w:val="nil"/>
        </w:pBdr>
        <w:contextualSpacing/>
        <w:rPr>
          <w:rFonts w:eastAsia="Palatino Linotype" w:cs="Palatino Linotype"/>
          <w:szCs w:val="24"/>
        </w:rPr>
      </w:pPr>
    </w:p>
    <w:p w14:paraId="22832665" w14:textId="33E8BDFE" w:rsidR="006242FE" w:rsidRPr="00A53CD2" w:rsidRDefault="006242FE" w:rsidP="006242FE">
      <w:pPr>
        <w:pBdr>
          <w:top w:val="nil"/>
          <w:left w:val="nil"/>
          <w:bottom w:val="nil"/>
          <w:right w:val="nil"/>
          <w:between w:val="nil"/>
        </w:pBdr>
        <w:contextualSpacing/>
        <w:rPr>
          <w:rFonts w:eastAsia="Palatino Linotype" w:cs="Palatino Linotype"/>
          <w:szCs w:val="24"/>
        </w:rPr>
      </w:pPr>
      <w:r w:rsidRPr="00A53CD2">
        <w:rPr>
          <w:rFonts w:eastAsia="Palatino Linotype" w:cs="Palatino Linotype"/>
          <w:szCs w:val="24"/>
        </w:rPr>
        <w:t xml:space="preserve">No obstante, si bien es cierto que la </w:t>
      </w:r>
      <w:r w:rsidR="002B4651" w:rsidRPr="00A53CD2">
        <w:rPr>
          <w:rFonts w:eastAsia="Palatino Linotype" w:cs="Palatino Linotype"/>
          <w:szCs w:val="24"/>
        </w:rPr>
        <w:t xml:space="preserve">Dirección General de la Comisión de Impacto Estatal se pronunció en sentido negativo, también lo es que no se pronunciaron todas las áreas que pudiesen contar con la información solicitada, como puede ser, de manera enunciativa mas no limitativa, la Coordinación Administrativa de la Secretaría de Desarrollo Urbano y Obra. </w:t>
      </w:r>
    </w:p>
    <w:p w14:paraId="2455086A" w14:textId="77777777" w:rsidR="002B4651" w:rsidRPr="00A53CD2" w:rsidRDefault="002B4651" w:rsidP="006242FE">
      <w:pPr>
        <w:pBdr>
          <w:top w:val="nil"/>
          <w:left w:val="nil"/>
          <w:bottom w:val="nil"/>
          <w:right w:val="nil"/>
          <w:between w:val="nil"/>
        </w:pBdr>
        <w:contextualSpacing/>
        <w:rPr>
          <w:rFonts w:eastAsia="Palatino Linotype" w:cs="Palatino Linotype"/>
          <w:szCs w:val="24"/>
        </w:rPr>
      </w:pPr>
    </w:p>
    <w:p w14:paraId="7C4C27F4" w14:textId="41CD6404" w:rsidR="002B4651" w:rsidRPr="00A53CD2" w:rsidRDefault="002B4651" w:rsidP="006242FE">
      <w:pPr>
        <w:pBdr>
          <w:top w:val="nil"/>
          <w:left w:val="nil"/>
          <w:bottom w:val="nil"/>
          <w:right w:val="nil"/>
          <w:between w:val="nil"/>
        </w:pBdr>
        <w:contextualSpacing/>
        <w:rPr>
          <w:rFonts w:eastAsia="Palatino Linotype" w:cs="Palatino Linotype"/>
          <w:szCs w:val="24"/>
        </w:rPr>
      </w:pPr>
      <w:r w:rsidRPr="00A53CD2">
        <w:rPr>
          <w:rFonts w:eastAsia="Palatino Linotype" w:cs="Palatino Linotype"/>
          <w:szCs w:val="24"/>
        </w:rPr>
        <w:t xml:space="preserve">Al respecto, </w:t>
      </w:r>
      <w:r w:rsidR="00E31D22" w:rsidRPr="00A53CD2">
        <w:rPr>
          <w:rFonts w:eastAsia="Palatino Linotype" w:cs="Palatino Linotype"/>
          <w:szCs w:val="24"/>
        </w:rPr>
        <w:t xml:space="preserve">el Reglamento Interior de la Secretaría de Desarrollo Urbano y Obra establece en su artículo 16 lo siguiente: </w:t>
      </w:r>
    </w:p>
    <w:p w14:paraId="58A2A8B7" w14:textId="77777777" w:rsidR="00E31D22" w:rsidRPr="00A53CD2" w:rsidRDefault="00E31D22" w:rsidP="006242FE">
      <w:pPr>
        <w:pBdr>
          <w:top w:val="nil"/>
          <w:left w:val="nil"/>
          <w:bottom w:val="nil"/>
          <w:right w:val="nil"/>
          <w:between w:val="nil"/>
        </w:pBdr>
        <w:contextualSpacing/>
        <w:rPr>
          <w:rFonts w:eastAsia="Palatino Linotype" w:cs="Palatino Linotype"/>
          <w:szCs w:val="24"/>
        </w:rPr>
      </w:pPr>
    </w:p>
    <w:p w14:paraId="3DB781EA" w14:textId="77777777" w:rsidR="00E31D22" w:rsidRPr="00A53CD2" w:rsidRDefault="00E31D22" w:rsidP="00E31D22">
      <w:pPr>
        <w:pStyle w:val="Fundamentos"/>
        <w:rPr>
          <w:lang w:val="es-ES"/>
        </w:rPr>
      </w:pPr>
      <w:r w:rsidRPr="00A53CD2">
        <w:rPr>
          <w:b/>
          <w:bCs/>
          <w:lang w:val="es-ES"/>
        </w:rPr>
        <w:t>Artículo 16.</w:t>
      </w:r>
      <w:r w:rsidRPr="00A53CD2">
        <w:rPr>
          <w:lang w:val="es-ES"/>
        </w:rPr>
        <w:t xml:space="preserve"> Corresponde a la Coordinación Administrativa las atribuciones siguientes:</w:t>
      </w:r>
    </w:p>
    <w:p w14:paraId="51C32C3A" w14:textId="77777777" w:rsidR="00E31D22" w:rsidRPr="00A53CD2" w:rsidRDefault="00E31D22" w:rsidP="00E31D22">
      <w:pPr>
        <w:pStyle w:val="Fundamentos"/>
        <w:rPr>
          <w:lang w:val="es-ES"/>
        </w:rPr>
      </w:pPr>
    </w:p>
    <w:p w14:paraId="43FFBCAF" w14:textId="0F6B1C21" w:rsidR="00E31D22" w:rsidRPr="00A53CD2" w:rsidRDefault="00E31D22" w:rsidP="00E31D22">
      <w:pPr>
        <w:pStyle w:val="Fundamentos"/>
        <w:rPr>
          <w:lang w:val="es-ES"/>
        </w:rPr>
      </w:pPr>
      <w:r w:rsidRPr="00A53CD2">
        <w:rPr>
          <w:b/>
          <w:bCs/>
          <w:lang w:val="es-ES"/>
        </w:rPr>
        <w:t>I.</w:t>
      </w:r>
      <w:r w:rsidRPr="00A53CD2">
        <w:rPr>
          <w:lang w:val="es-ES"/>
        </w:rPr>
        <w:tab/>
      </w:r>
      <w:r w:rsidRPr="00A53CD2">
        <w:rPr>
          <w:lang w:val="es-ES"/>
        </w:rPr>
        <w:tab/>
      </w:r>
      <w:r w:rsidRPr="00A53CD2">
        <w:rPr>
          <w:b/>
          <w:bCs/>
          <w:u w:val="single"/>
          <w:lang w:val="es-ES"/>
        </w:rPr>
        <w:t>Programar, organizar, coordinar y controlar el suministro, administración, aplicación y aprovechamiento de los recursos</w:t>
      </w:r>
      <w:r w:rsidRPr="00A53CD2">
        <w:rPr>
          <w:lang w:val="es-ES"/>
        </w:rPr>
        <w:t xml:space="preserve"> humanos, </w:t>
      </w:r>
      <w:r w:rsidRPr="00A53CD2">
        <w:rPr>
          <w:b/>
          <w:bCs/>
          <w:u w:val="single"/>
          <w:lang w:val="es-ES"/>
        </w:rPr>
        <w:t>materiales</w:t>
      </w:r>
      <w:r w:rsidRPr="00A53CD2">
        <w:rPr>
          <w:lang w:val="es-ES"/>
        </w:rPr>
        <w:t>, financieros y técnicos, así como los servicios generales necesarios para el funcionamiento de las Unidades Administrativas de la Secretaría, a fin de que se manejen de forma racional y en cumplimiento de las disposiciones legales aplicables;</w:t>
      </w:r>
    </w:p>
    <w:p w14:paraId="391F098B" w14:textId="77777777" w:rsidR="00E31D22" w:rsidRPr="00A53CD2" w:rsidRDefault="00E31D22" w:rsidP="00E31D22">
      <w:pPr>
        <w:pStyle w:val="Fundamentos"/>
        <w:rPr>
          <w:lang w:val="es-ES"/>
        </w:rPr>
      </w:pPr>
      <w:r w:rsidRPr="00A53CD2">
        <w:rPr>
          <w:b/>
          <w:bCs/>
          <w:lang w:val="es-ES"/>
        </w:rPr>
        <w:t>II.</w:t>
      </w:r>
      <w:r w:rsidRPr="00A53CD2">
        <w:rPr>
          <w:lang w:val="es-ES"/>
        </w:rPr>
        <w:tab/>
        <w:t>Integrar y presentar a la persona titular de la Secretaría el anteproyecto de los diversos programas anuales a cargo de la Secretaría, tomando en consideración las propuestas y proyectos elaborados por las Unidades Administrativas de la Secretaría, en el ámbito de su competencia;</w:t>
      </w:r>
    </w:p>
    <w:p w14:paraId="71916BE0" w14:textId="77777777" w:rsidR="00E31D22" w:rsidRPr="00A53CD2" w:rsidRDefault="00E31D22" w:rsidP="00E31D22">
      <w:pPr>
        <w:pStyle w:val="Fundamentos"/>
        <w:rPr>
          <w:lang w:val="es-ES"/>
        </w:rPr>
      </w:pPr>
      <w:r w:rsidRPr="00A53CD2">
        <w:rPr>
          <w:b/>
          <w:bCs/>
          <w:lang w:val="es-ES"/>
        </w:rPr>
        <w:t>III.</w:t>
      </w:r>
      <w:r w:rsidRPr="00A53CD2">
        <w:rPr>
          <w:lang w:val="es-ES"/>
        </w:rPr>
        <w:tab/>
        <w:t>Coordinar la formulación e integración del anteproyecto de presupuesto anual de egresos de la Secretaría y previa validación de la persona titular de la Secretaría, presentarlo a la Secretaría de Finanzas, para su trámite correspondiente y en su oportunidad, realizar la calendarización para el ejercicio de los recursos del presupuesto autorizado;</w:t>
      </w:r>
    </w:p>
    <w:p w14:paraId="3ED70580" w14:textId="77777777" w:rsidR="00E31D22" w:rsidRPr="00A53CD2" w:rsidRDefault="00E31D22" w:rsidP="00E31D22">
      <w:pPr>
        <w:pStyle w:val="Fundamentos"/>
        <w:rPr>
          <w:lang w:val="es-ES"/>
        </w:rPr>
      </w:pPr>
      <w:r w:rsidRPr="00A53CD2">
        <w:rPr>
          <w:b/>
          <w:bCs/>
          <w:lang w:val="es-ES"/>
        </w:rPr>
        <w:t>IV.</w:t>
      </w:r>
      <w:r w:rsidRPr="00A53CD2">
        <w:rPr>
          <w:lang w:val="es-ES"/>
        </w:rPr>
        <w:tab/>
        <w:t>Elaborar el programa anual de arrendamientos y adquisiciones de bienes y servicios de la Secretaría, así como realizar las gestiones necesarias ante la Secretaría de Finanzas para su cumplimiento, en términos de las disposiciones jurídicas aplicables;</w:t>
      </w:r>
    </w:p>
    <w:p w14:paraId="1D6378E4" w14:textId="77777777" w:rsidR="00E31D22" w:rsidRPr="00A53CD2" w:rsidRDefault="00E31D22" w:rsidP="00E31D22">
      <w:pPr>
        <w:pStyle w:val="Fundamentos"/>
        <w:rPr>
          <w:lang w:val="es-ES"/>
        </w:rPr>
      </w:pPr>
      <w:r w:rsidRPr="00A53CD2">
        <w:rPr>
          <w:b/>
          <w:bCs/>
          <w:lang w:val="es-ES"/>
        </w:rPr>
        <w:t>V.</w:t>
      </w:r>
      <w:r w:rsidRPr="00A53CD2">
        <w:rPr>
          <w:lang w:val="es-ES"/>
        </w:rPr>
        <w:tab/>
        <w:t>Supervisar que los recursos asignados a las Unidades Administrativas y organismos auxiliares sectorizados a la Secretaría sean ejercidos de conformidad con los objetivos y metas de los programas estatales y en cumplimiento de las disposiciones jurídicas aplicables;</w:t>
      </w:r>
    </w:p>
    <w:p w14:paraId="7FBDC6B6" w14:textId="77777777" w:rsidR="00E31D22" w:rsidRPr="00A53CD2" w:rsidRDefault="00E31D22" w:rsidP="00E31D22">
      <w:pPr>
        <w:pStyle w:val="Fundamentos"/>
        <w:rPr>
          <w:lang w:val="es-ES"/>
        </w:rPr>
      </w:pPr>
      <w:r w:rsidRPr="00A53CD2">
        <w:rPr>
          <w:b/>
          <w:bCs/>
          <w:lang w:val="es-ES"/>
        </w:rPr>
        <w:lastRenderedPageBreak/>
        <w:t>VI.</w:t>
      </w:r>
      <w:r w:rsidRPr="00A53CD2">
        <w:rPr>
          <w:lang w:val="es-ES"/>
        </w:rPr>
        <w:tab/>
        <w:t>Participar con la Dirección General de Proyectos, Concursos y Contratos, para la elaboración del programa anual de las obras públicas y servicios relacionados con las mismas, a cargo de la Secretaría;</w:t>
      </w:r>
    </w:p>
    <w:p w14:paraId="169A44F4" w14:textId="77777777" w:rsidR="00E31D22" w:rsidRPr="00A53CD2" w:rsidRDefault="00E31D22" w:rsidP="00E31D22">
      <w:pPr>
        <w:pStyle w:val="Fundamentos"/>
        <w:rPr>
          <w:lang w:val="es-ES"/>
        </w:rPr>
      </w:pPr>
      <w:r w:rsidRPr="00A53CD2">
        <w:rPr>
          <w:b/>
          <w:bCs/>
          <w:lang w:val="es-ES"/>
        </w:rPr>
        <w:t>VII.</w:t>
      </w:r>
      <w:r w:rsidRPr="00A53CD2">
        <w:rPr>
          <w:lang w:val="es-ES"/>
        </w:rPr>
        <w:tab/>
      </w:r>
      <w:r w:rsidRPr="00A53CD2">
        <w:rPr>
          <w:b/>
          <w:bCs/>
          <w:u w:val="single"/>
          <w:lang w:val="es-ES"/>
        </w:rPr>
        <w:t>Cumplir y hacer cumplir las normas y políticas aplicables en materia de administración de recurso</w:t>
      </w:r>
      <w:r w:rsidRPr="00A53CD2">
        <w:rPr>
          <w:lang w:val="es-ES"/>
        </w:rPr>
        <w:t xml:space="preserve">s humanos, </w:t>
      </w:r>
      <w:r w:rsidRPr="00A53CD2">
        <w:rPr>
          <w:b/>
          <w:bCs/>
          <w:u w:val="single"/>
          <w:lang w:val="es-ES"/>
        </w:rPr>
        <w:t>materiales</w:t>
      </w:r>
      <w:r w:rsidRPr="00A53CD2">
        <w:rPr>
          <w:lang w:val="es-ES"/>
        </w:rPr>
        <w:t xml:space="preserve"> y financieros;</w:t>
      </w:r>
    </w:p>
    <w:p w14:paraId="2B318AC5" w14:textId="77777777" w:rsidR="00E31D22" w:rsidRPr="00A53CD2" w:rsidRDefault="00E31D22" w:rsidP="00E31D22">
      <w:pPr>
        <w:pStyle w:val="Fundamentos"/>
        <w:rPr>
          <w:lang w:val="es-ES"/>
        </w:rPr>
      </w:pPr>
      <w:r w:rsidRPr="00A53CD2">
        <w:rPr>
          <w:b/>
          <w:bCs/>
          <w:lang w:val="es-ES"/>
        </w:rPr>
        <w:t>VIII.</w:t>
      </w:r>
      <w:r w:rsidRPr="00A53CD2">
        <w:rPr>
          <w:lang w:val="es-ES"/>
        </w:rPr>
        <w:tab/>
        <w:t>Consolidar y controlar, en coordinación con las Unidades Administrativas de la Secretaría, la información sobre el ejercicio del gasto de la dependencia e informar a la persona titular de la Secretaría de manera periódica, sobre el estado del mismo;</w:t>
      </w:r>
    </w:p>
    <w:p w14:paraId="06C7A3EC" w14:textId="77777777" w:rsidR="00E31D22" w:rsidRPr="00A53CD2" w:rsidRDefault="00E31D22" w:rsidP="00E31D22">
      <w:pPr>
        <w:pStyle w:val="Fundamentos"/>
        <w:rPr>
          <w:lang w:val="es-ES"/>
        </w:rPr>
      </w:pPr>
      <w:r w:rsidRPr="00A53CD2">
        <w:rPr>
          <w:b/>
          <w:bCs/>
          <w:lang w:val="es-ES"/>
        </w:rPr>
        <w:t>IX.</w:t>
      </w:r>
      <w:r w:rsidRPr="00A53CD2">
        <w:rPr>
          <w:lang w:val="es-ES"/>
        </w:rPr>
        <w:tab/>
        <w:t>Tramitar los movimientos de altas, bajas, cambios, permisos y licencias, así como llevar a cabo los procedimientos de rescisión laboral de las personas servidoras públicas de la Secretaría, según correspondan;</w:t>
      </w:r>
    </w:p>
    <w:p w14:paraId="6FD3E08C" w14:textId="77777777" w:rsidR="00E31D22" w:rsidRPr="00A53CD2" w:rsidRDefault="00E31D22" w:rsidP="00E31D22">
      <w:pPr>
        <w:pStyle w:val="Fundamentos"/>
        <w:rPr>
          <w:lang w:val="es-ES"/>
        </w:rPr>
      </w:pPr>
      <w:r w:rsidRPr="00A53CD2">
        <w:rPr>
          <w:b/>
          <w:bCs/>
          <w:lang w:val="es-ES"/>
        </w:rPr>
        <w:t>X.</w:t>
      </w:r>
      <w:r w:rsidRPr="00A53CD2">
        <w:rPr>
          <w:lang w:val="es-ES"/>
        </w:rPr>
        <w:tab/>
        <w:t>Promover y coordinar las actividades de capacitación, adiestramiento y motivación dirigidas a las personas servidoras públicas de la Secretaría;</w:t>
      </w:r>
    </w:p>
    <w:p w14:paraId="5975DCCD" w14:textId="77777777" w:rsidR="00E31D22" w:rsidRPr="00A53CD2" w:rsidRDefault="00E31D22" w:rsidP="00E31D22">
      <w:pPr>
        <w:pStyle w:val="Fundamentos"/>
        <w:rPr>
          <w:lang w:val="es-ES"/>
        </w:rPr>
      </w:pPr>
      <w:r w:rsidRPr="00A53CD2">
        <w:rPr>
          <w:b/>
          <w:bCs/>
          <w:lang w:val="es-ES"/>
        </w:rPr>
        <w:t>XI.</w:t>
      </w:r>
      <w:r w:rsidRPr="00A53CD2">
        <w:rPr>
          <w:lang w:val="es-ES"/>
        </w:rPr>
        <w:tab/>
        <w:t>Participar en los Comités de Adquisiciones y de Servicios; y de Arrendamientos, Adquisiciones de Inmuebles y Enajenaciones de la Secretaría de Finanzas, de conformidad con las disposiciones jurídicas aplicables;</w:t>
      </w:r>
    </w:p>
    <w:p w14:paraId="5A4609ED" w14:textId="77777777" w:rsidR="00E31D22" w:rsidRPr="00A53CD2" w:rsidRDefault="00E31D22" w:rsidP="00E31D22">
      <w:pPr>
        <w:pStyle w:val="Fundamentos"/>
        <w:rPr>
          <w:lang w:val="es-ES"/>
        </w:rPr>
      </w:pPr>
      <w:r w:rsidRPr="00A53CD2">
        <w:rPr>
          <w:b/>
          <w:bCs/>
          <w:lang w:val="es-ES"/>
        </w:rPr>
        <w:t>XII.</w:t>
      </w:r>
      <w:r w:rsidRPr="00A53CD2">
        <w:rPr>
          <w:lang w:val="es-ES"/>
        </w:rPr>
        <w:tab/>
        <w:t>Coordinar y en su caso, ejecutar los procedimientos de adquisición de bienes y contratación de servicios que requiera la Secretaría, de acuerdo con la normativa aplicable, para el oportuno ejercicio de sus atribuciones y el cumplimiento de programas;</w:t>
      </w:r>
    </w:p>
    <w:p w14:paraId="42681526" w14:textId="77777777" w:rsidR="00E31D22" w:rsidRPr="00A53CD2" w:rsidRDefault="00E31D22" w:rsidP="00E31D22">
      <w:pPr>
        <w:pStyle w:val="Fundamentos"/>
        <w:rPr>
          <w:lang w:val="es-ES"/>
        </w:rPr>
      </w:pPr>
      <w:r w:rsidRPr="00A53CD2">
        <w:rPr>
          <w:b/>
          <w:bCs/>
          <w:lang w:val="es-ES"/>
        </w:rPr>
        <w:t>XIII.</w:t>
      </w:r>
      <w:r w:rsidRPr="00A53CD2">
        <w:rPr>
          <w:lang w:val="es-ES"/>
        </w:rPr>
        <w:tab/>
        <w:t>Diseñar y someter a consideración de la persona titular de la Secretaría, los instrumentos técnico-administrativos para mejorar la administración de los recursos asignados a la Secretaría;</w:t>
      </w:r>
    </w:p>
    <w:p w14:paraId="56E8D12F" w14:textId="77777777" w:rsidR="00E31D22" w:rsidRPr="00A53CD2" w:rsidRDefault="00E31D22" w:rsidP="00E31D22">
      <w:pPr>
        <w:pStyle w:val="Fundamentos"/>
        <w:rPr>
          <w:lang w:val="es-ES"/>
        </w:rPr>
      </w:pPr>
      <w:r w:rsidRPr="00A53CD2">
        <w:rPr>
          <w:b/>
          <w:bCs/>
          <w:lang w:val="es-ES"/>
        </w:rPr>
        <w:t>XIV.</w:t>
      </w:r>
      <w:r w:rsidRPr="00A53CD2">
        <w:rPr>
          <w:lang w:val="es-ES"/>
        </w:rPr>
        <w:tab/>
        <w:t>Elaborar y mantener actualizados, con la participación de las Unidades Administrativas, el Reglamento, Manual General de Organización, los manuales de procedimientos administrativos de la Secretaría;</w:t>
      </w:r>
    </w:p>
    <w:p w14:paraId="72FED3D1" w14:textId="77777777" w:rsidR="00E31D22" w:rsidRPr="00A53CD2" w:rsidRDefault="00E31D22" w:rsidP="00E31D22">
      <w:pPr>
        <w:pStyle w:val="Fundamentos"/>
        <w:rPr>
          <w:lang w:val="es-ES"/>
        </w:rPr>
      </w:pPr>
      <w:r w:rsidRPr="00A53CD2">
        <w:rPr>
          <w:b/>
          <w:bCs/>
          <w:lang w:val="es-ES"/>
        </w:rPr>
        <w:t>XV.</w:t>
      </w:r>
      <w:r w:rsidRPr="00A53CD2">
        <w:rPr>
          <w:lang w:val="es-ES"/>
        </w:rPr>
        <w:tab/>
        <w:t>Coordinar en el ámbito de su competencia las acciones de protección civil de la Secretaría, con base en las normas y políticas aplicables;</w:t>
      </w:r>
    </w:p>
    <w:p w14:paraId="63E51EC1" w14:textId="77777777" w:rsidR="00E31D22" w:rsidRPr="00A53CD2" w:rsidRDefault="00E31D22" w:rsidP="00E31D22">
      <w:pPr>
        <w:pStyle w:val="Fundamentos"/>
        <w:rPr>
          <w:lang w:val="es-ES"/>
        </w:rPr>
      </w:pPr>
      <w:r w:rsidRPr="00A53CD2">
        <w:rPr>
          <w:b/>
          <w:bCs/>
          <w:lang w:val="es-ES"/>
        </w:rPr>
        <w:t>XVI.</w:t>
      </w:r>
      <w:r w:rsidRPr="00A53CD2">
        <w:rPr>
          <w:lang w:val="es-ES"/>
        </w:rPr>
        <w:tab/>
        <w:t>Preparar la información para la evaluación de la gestión financiera requerida por las diversas auditorías superiores y el órgano interno de control;</w:t>
      </w:r>
    </w:p>
    <w:p w14:paraId="28F92F86" w14:textId="77777777" w:rsidR="00E31D22" w:rsidRPr="00A53CD2" w:rsidRDefault="00E31D22" w:rsidP="00E31D22">
      <w:pPr>
        <w:pStyle w:val="Fundamentos"/>
        <w:rPr>
          <w:lang w:val="es-ES"/>
        </w:rPr>
      </w:pPr>
      <w:r w:rsidRPr="00A53CD2">
        <w:rPr>
          <w:b/>
          <w:bCs/>
          <w:lang w:val="es-ES"/>
        </w:rPr>
        <w:t>XVII.</w:t>
      </w:r>
      <w:r w:rsidRPr="00A53CD2">
        <w:rPr>
          <w:lang w:val="es-ES"/>
        </w:rPr>
        <w:tab/>
        <w:t>Cumplir con las obligaciones en materia fiscal a las que está sujeta la Secretaría, ante las instancias federales y estatales correspondientes, de acuerdo con la legislación aplicable;</w:t>
      </w:r>
    </w:p>
    <w:p w14:paraId="0BA4D56F" w14:textId="77777777" w:rsidR="00E31D22" w:rsidRPr="00A53CD2" w:rsidRDefault="00E31D22" w:rsidP="00E31D22">
      <w:pPr>
        <w:pStyle w:val="Fundamentos"/>
        <w:rPr>
          <w:lang w:val="es-ES"/>
        </w:rPr>
      </w:pPr>
      <w:r w:rsidRPr="00A53CD2">
        <w:rPr>
          <w:b/>
          <w:bCs/>
          <w:lang w:val="es-ES"/>
        </w:rPr>
        <w:t>XVIII.</w:t>
      </w:r>
      <w:r w:rsidRPr="00A53CD2">
        <w:rPr>
          <w:lang w:val="es-ES"/>
        </w:rPr>
        <w:tab/>
        <w:t>Ejecutar los procedimientos para el ejercicio y control del presupuesto de gasto corriente y de inversión, y verificar su aplicación por parte de las direcciones generales;</w:t>
      </w:r>
    </w:p>
    <w:p w14:paraId="11CCD4C0" w14:textId="77777777" w:rsidR="00E31D22" w:rsidRPr="00A53CD2" w:rsidRDefault="00E31D22" w:rsidP="00E31D22">
      <w:pPr>
        <w:pStyle w:val="Fundamentos"/>
        <w:rPr>
          <w:lang w:val="es-ES"/>
        </w:rPr>
      </w:pPr>
      <w:r w:rsidRPr="00A53CD2">
        <w:rPr>
          <w:b/>
          <w:bCs/>
          <w:lang w:val="es-ES"/>
        </w:rPr>
        <w:t>XIX.</w:t>
      </w:r>
      <w:r w:rsidRPr="00A53CD2">
        <w:rPr>
          <w:lang w:val="es-ES"/>
        </w:rPr>
        <w:tab/>
        <w:t>Controlar, ejecutar y registrar la aplicación del presupuesto autorizado a la Secretaría, así como analizar y, en su caso, tramitar los traspasos presupuestarios;</w:t>
      </w:r>
    </w:p>
    <w:p w14:paraId="7EBAF404" w14:textId="77777777" w:rsidR="00E31D22" w:rsidRPr="00A53CD2" w:rsidRDefault="00E31D22" w:rsidP="00E31D22">
      <w:pPr>
        <w:pStyle w:val="Fundamentos"/>
        <w:rPr>
          <w:lang w:val="es-ES"/>
        </w:rPr>
      </w:pPr>
      <w:r w:rsidRPr="00A53CD2">
        <w:rPr>
          <w:b/>
          <w:bCs/>
          <w:lang w:val="es-ES"/>
        </w:rPr>
        <w:t>XX.</w:t>
      </w:r>
      <w:r w:rsidRPr="00A53CD2">
        <w:rPr>
          <w:lang w:val="es-ES"/>
        </w:rPr>
        <w:tab/>
        <w:t>Administrar los recursos financieros que se deriven de los convenios que suscriban el Gobierno del Estado con las dependencias federales, estatales y municipales, cuando corresponda a la Secretaría su ejercicio;</w:t>
      </w:r>
    </w:p>
    <w:p w14:paraId="05F0F0D6" w14:textId="77777777" w:rsidR="00E31D22" w:rsidRPr="00A53CD2" w:rsidRDefault="00E31D22" w:rsidP="00E31D22">
      <w:pPr>
        <w:pStyle w:val="Fundamentos"/>
        <w:rPr>
          <w:lang w:val="es-ES"/>
        </w:rPr>
      </w:pPr>
      <w:r w:rsidRPr="00A53CD2">
        <w:rPr>
          <w:b/>
          <w:bCs/>
          <w:lang w:val="es-ES"/>
        </w:rPr>
        <w:lastRenderedPageBreak/>
        <w:t>XXI.</w:t>
      </w:r>
      <w:r w:rsidRPr="00A53CD2">
        <w:rPr>
          <w:lang w:val="es-ES"/>
        </w:rPr>
        <w:tab/>
      </w:r>
      <w:r w:rsidRPr="00A53CD2">
        <w:rPr>
          <w:b/>
          <w:bCs/>
          <w:u w:val="single"/>
          <w:lang w:val="es-ES"/>
        </w:rPr>
        <w:t>Supervisar el registro, mantenimiento y conservación de los bienes muebles e inmuebles asignados a la Secretaría</w:t>
      </w:r>
      <w:r w:rsidRPr="00A53CD2">
        <w:rPr>
          <w:lang w:val="es-ES"/>
        </w:rPr>
        <w:t>, así como implementar mecanismos para su adecuada operación;</w:t>
      </w:r>
    </w:p>
    <w:p w14:paraId="392A2B94" w14:textId="77777777" w:rsidR="00E31D22" w:rsidRPr="00A53CD2" w:rsidRDefault="00E31D22" w:rsidP="00E31D22">
      <w:pPr>
        <w:pStyle w:val="Fundamentos"/>
        <w:rPr>
          <w:lang w:val="es-ES"/>
        </w:rPr>
      </w:pPr>
      <w:r w:rsidRPr="00A53CD2">
        <w:rPr>
          <w:b/>
          <w:bCs/>
          <w:lang w:val="es-ES"/>
        </w:rPr>
        <w:t>XXII.</w:t>
      </w:r>
      <w:r w:rsidRPr="00A53CD2">
        <w:rPr>
          <w:lang w:val="es-ES"/>
        </w:rPr>
        <w:tab/>
        <w:t>Coordinar al interior de la Secretaría el cumplimiento de las disposiciones en materia archivística y de administración de documentos establecidas en la Ley de Archivos y Administración de Documentos del Estado de México y Municipios, y en otras disposiciones jurídicas aplicables;</w:t>
      </w:r>
    </w:p>
    <w:p w14:paraId="4326F574" w14:textId="77777777" w:rsidR="00E31D22" w:rsidRPr="00A53CD2" w:rsidRDefault="00E31D22" w:rsidP="00E31D22">
      <w:pPr>
        <w:pStyle w:val="Fundamentos"/>
        <w:rPr>
          <w:lang w:val="es-ES"/>
        </w:rPr>
      </w:pPr>
      <w:r w:rsidRPr="00A53CD2">
        <w:rPr>
          <w:b/>
          <w:bCs/>
          <w:lang w:val="es-ES"/>
        </w:rPr>
        <w:t>XXIII.</w:t>
      </w:r>
      <w:r w:rsidRPr="00A53CD2">
        <w:rPr>
          <w:b/>
          <w:bCs/>
          <w:lang w:val="es-ES"/>
        </w:rPr>
        <w:tab/>
      </w:r>
      <w:r w:rsidRPr="00A53CD2">
        <w:rPr>
          <w:lang w:val="es-ES"/>
        </w:rPr>
        <w:t>Proporcionar y administrar el mantenimiento a la infraestructura de bienes que corresponda al desarrollo y equipamiento urbano en coordinación con las autoridades competentes, y</w:t>
      </w:r>
    </w:p>
    <w:p w14:paraId="7CE742E6" w14:textId="3AB78BBA" w:rsidR="00E31D22" w:rsidRPr="00A53CD2" w:rsidRDefault="00E31D22" w:rsidP="00E31D22">
      <w:pPr>
        <w:pStyle w:val="Fundamentos"/>
        <w:rPr>
          <w:lang w:val="es-ES"/>
        </w:rPr>
      </w:pPr>
      <w:r w:rsidRPr="00A53CD2">
        <w:rPr>
          <w:b/>
          <w:bCs/>
          <w:lang w:val="es-ES"/>
        </w:rPr>
        <w:t>XXIV</w:t>
      </w:r>
      <w:r w:rsidRPr="00A53CD2">
        <w:rPr>
          <w:lang w:val="es-ES"/>
        </w:rPr>
        <w:t>.</w:t>
      </w:r>
      <w:r w:rsidRPr="00A53CD2">
        <w:rPr>
          <w:lang w:val="es-ES"/>
        </w:rPr>
        <w:tab/>
        <w:t>Las demás que le confieren otras disposiciones jurídicas y las que le encomiende la persona titular de la Secretaría.</w:t>
      </w:r>
    </w:p>
    <w:p w14:paraId="14309C47" w14:textId="77777777" w:rsidR="00E31D22" w:rsidRPr="00A53CD2" w:rsidRDefault="00E31D22" w:rsidP="006242FE">
      <w:pPr>
        <w:pBdr>
          <w:top w:val="nil"/>
          <w:left w:val="nil"/>
          <w:bottom w:val="nil"/>
          <w:right w:val="nil"/>
          <w:between w:val="nil"/>
        </w:pBdr>
        <w:contextualSpacing/>
        <w:rPr>
          <w:rFonts w:eastAsia="Palatino Linotype" w:cs="Palatino Linotype"/>
          <w:szCs w:val="24"/>
        </w:rPr>
      </w:pPr>
    </w:p>
    <w:p w14:paraId="097C2F22" w14:textId="2708D18D" w:rsidR="00E31D22" w:rsidRPr="00A53CD2" w:rsidRDefault="00E31D22" w:rsidP="006242FE">
      <w:pPr>
        <w:pBdr>
          <w:top w:val="nil"/>
          <w:left w:val="nil"/>
          <w:bottom w:val="nil"/>
          <w:right w:val="nil"/>
          <w:between w:val="nil"/>
        </w:pBdr>
        <w:contextualSpacing/>
        <w:rPr>
          <w:rFonts w:eastAsia="Palatino Linotype" w:cs="Palatino Linotype"/>
          <w:szCs w:val="24"/>
        </w:rPr>
      </w:pPr>
      <w:r w:rsidRPr="00A53CD2">
        <w:rPr>
          <w:rFonts w:eastAsia="Palatino Linotype" w:cs="Palatino Linotype"/>
          <w:szCs w:val="24"/>
        </w:rPr>
        <w:t>Del precepto legal en cita, se observa que la Coordinación Administrativa</w:t>
      </w:r>
      <w:r w:rsidR="00970B89" w:rsidRPr="00A53CD2">
        <w:rPr>
          <w:rFonts w:eastAsia="Palatino Linotype" w:cs="Palatino Linotype"/>
          <w:szCs w:val="24"/>
        </w:rPr>
        <w:t xml:space="preserve"> es la unidad administrativa encargada de programar, organizar, coordinar y controlar el suministro y administración de los recursos materiales necesarios para el funcionamiento de las unidades administrativas del Sujeto Obligado, de cumplir y hacer cumplir las normas y políticas aplicables en materia de administración de recursos materiales, así como de supervisar el registro, mantenimiento y conservación de los bienes muebles asignados a la Secretaría.</w:t>
      </w:r>
    </w:p>
    <w:p w14:paraId="15A6A4BC" w14:textId="77777777" w:rsidR="00970B89" w:rsidRPr="00A53CD2" w:rsidRDefault="00970B89" w:rsidP="006242FE">
      <w:pPr>
        <w:pBdr>
          <w:top w:val="nil"/>
          <w:left w:val="nil"/>
          <w:bottom w:val="nil"/>
          <w:right w:val="nil"/>
          <w:between w:val="nil"/>
        </w:pBdr>
        <w:contextualSpacing/>
        <w:rPr>
          <w:rFonts w:eastAsia="Palatino Linotype" w:cs="Palatino Linotype"/>
          <w:szCs w:val="24"/>
        </w:rPr>
      </w:pPr>
    </w:p>
    <w:p w14:paraId="6C9B0983" w14:textId="1FF14A15" w:rsidR="00970B89" w:rsidRPr="00A53CD2" w:rsidRDefault="00970B89" w:rsidP="006242FE">
      <w:pPr>
        <w:pBdr>
          <w:top w:val="nil"/>
          <w:left w:val="nil"/>
          <w:bottom w:val="nil"/>
          <w:right w:val="nil"/>
          <w:between w:val="nil"/>
        </w:pBdr>
        <w:contextualSpacing/>
        <w:rPr>
          <w:rFonts w:eastAsia="Palatino Linotype" w:cs="Palatino Linotype"/>
          <w:szCs w:val="24"/>
        </w:rPr>
      </w:pPr>
      <w:r w:rsidRPr="00A53CD2">
        <w:rPr>
          <w:rFonts w:eastAsia="Palatino Linotype" w:cs="Palatino Linotype"/>
          <w:szCs w:val="24"/>
        </w:rPr>
        <w:t xml:space="preserve">Por lo anterior, existe la posibilidad de que esa unidad administrativa cuente con la información relacionada con los enseres y utensilios de cocina asignados a las áreas de la Comisión de Impacto Estatal y </w:t>
      </w:r>
      <w:r w:rsidR="00B71B69" w:rsidRPr="00A53CD2">
        <w:rPr>
          <w:rFonts w:eastAsia="Palatino Linotype" w:cs="Palatino Linotype"/>
          <w:szCs w:val="24"/>
        </w:rPr>
        <w:t>de sus comprobantes de compra.</w:t>
      </w:r>
    </w:p>
    <w:p w14:paraId="45A8EBD2" w14:textId="77777777" w:rsidR="00E31D22" w:rsidRPr="00A53CD2" w:rsidRDefault="00E31D22" w:rsidP="006242FE">
      <w:pPr>
        <w:pBdr>
          <w:top w:val="nil"/>
          <w:left w:val="nil"/>
          <w:bottom w:val="nil"/>
          <w:right w:val="nil"/>
          <w:between w:val="nil"/>
        </w:pBdr>
        <w:contextualSpacing/>
        <w:rPr>
          <w:rFonts w:eastAsia="Palatino Linotype" w:cs="Palatino Linotype"/>
          <w:szCs w:val="24"/>
        </w:rPr>
      </w:pPr>
    </w:p>
    <w:p w14:paraId="784CFE3A" w14:textId="77777777" w:rsidR="006242FE" w:rsidRPr="00A53CD2" w:rsidRDefault="006242FE" w:rsidP="006242FE">
      <w:pPr>
        <w:rPr>
          <w:rFonts w:eastAsia="Palatino Linotype" w:cs="Palatino Linotype"/>
          <w:bCs/>
          <w:color w:val="000000"/>
        </w:rPr>
      </w:pPr>
      <w:r w:rsidRPr="00A53CD2">
        <w:rPr>
          <w:rFonts w:eastAsia="Palatino Linotype" w:cs="Palatino Linotype"/>
          <w:szCs w:val="24"/>
        </w:rPr>
        <w:t xml:space="preserve">Por lo anterior, debido a que se advierte que existen otras áreas del Sujeto Obligado que pudiesen contar con la información, se considera que se </w:t>
      </w:r>
      <w:r w:rsidRPr="00A53CD2">
        <w:rPr>
          <w:rFonts w:eastAsia="Palatino Linotype" w:cs="Palatino Linotype"/>
          <w:bCs/>
          <w:color w:val="000000"/>
        </w:rPr>
        <w:t>dejó de observar lo dispuesto por el artículo 162 de la Ley de Transparencia local, que a la letra estipula lo siguiente:</w:t>
      </w:r>
    </w:p>
    <w:p w14:paraId="3CC1FDDE" w14:textId="77777777" w:rsidR="006242FE" w:rsidRPr="00A53CD2" w:rsidRDefault="006242FE" w:rsidP="006242FE">
      <w:pPr>
        <w:rPr>
          <w:rFonts w:eastAsia="Palatino Linotype" w:cs="Palatino Linotype"/>
          <w:bCs/>
          <w:color w:val="000000"/>
        </w:rPr>
      </w:pPr>
    </w:p>
    <w:p w14:paraId="7934FECB" w14:textId="77777777" w:rsidR="006242FE" w:rsidRPr="00A53CD2" w:rsidRDefault="006242FE" w:rsidP="006242FE">
      <w:pPr>
        <w:pStyle w:val="Fundamentos"/>
        <w:rPr>
          <w:lang w:val="es-MX"/>
        </w:rPr>
      </w:pPr>
      <w:r w:rsidRPr="00A53CD2">
        <w:rPr>
          <w:b/>
          <w:lang w:val="es-MX"/>
        </w:rPr>
        <w:lastRenderedPageBreak/>
        <w:t xml:space="preserve">Artículo 162. </w:t>
      </w:r>
      <w:r w:rsidRPr="00A53CD2">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11FA717" w14:textId="77777777" w:rsidR="006242FE" w:rsidRPr="00A53CD2" w:rsidRDefault="006242FE" w:rsidP="006242FE">
      <w:pPr>
        <w:rPr>
          <w:rFonts w:eastAsia="Palatino Linotype" w:cs="Palatino Linotype"/>
          <w:bCs/>
          <w:color w:val="000000"/>
          <w:lang w:val="es-MX"/>
        </w:rPr>
      </w:pPr>
    </w:p>
    <w:p w14:paraId="3659BBB4" w14:textId="45DBC108" w:rsidR="006242FE" w:rsidRPr="00A53CD2" w:rsidRDefault="006242FE" w:rsidP="006242FE">
      <w:pPr>
        <w:pBdr>
          <w:top w:val="nil"/>
          <w:left w:val="nil"/>
          <w:bottom w:val="nil"/>
          <w:right w:val="nil"/>
          <w:between w:val="nil"/>
        </w:pBdr>
        <w:contextualSpacing/>
        <w:rPr>
          <w:rFonts w:eastAsia="Palatino Linotype" w:cs="Palatino Linotype"/>
          <w:szCs w:val="24"/>
        </w:rPr>
      </w:pPr>
      <w:r w:rsidRPr="00A53CD2">
        <w:rPr>
          <w:rFonts w:eastAsia="Palatino Linotype" w:cs="Palatino Linotype"/>
          <w:bCs/>
          <w:color w:val="000000"/>
        </w:rPr>
        <w:t xml:space="preserve">Así, la Unidad de Transparencia debió turnar la solicitud a todas y cada una de las áreas de la administración pública municipal que pudiesen contar con la información solicitada, como es el caso, de manera enunciativa mas no limitativa, pudiera ser </w:t>
      </w:r>
      <w:r w:rsidR="00B71B69" w:rsidRPr="00A53CD2">
        <w:rPr>
          <w:rFonts w:eastAsia="Palatino Linotype" w:cs="Palatino Linotype"/>
          <w:szCs w:val="24"/>
        </w:rPr>
        <w:t>la Coordinación Administrativa del Sujeto Obligado.</w:t>
      </w:r>
    </w:p>
    <w:p w14:paraId="2B82B186" w14:textId="77777777" w:rsidR="006242FE" w:rsidRPr="00A53CD2" w:rsidRDefault="006242FE" w:rsidP="006242FE">
      <w:pPr>
        <w:pBdr>
          <w:top w:val="nil"/>
          <w:left w:val="nil"/>
          <w:bottom w:val="nil"/>
          <w:right w:val="nil"/>
          <w:between w:val="nil"/>
        </w:pBdr>
        <w:contextualSpacing/>
        <w:rPr>
          <w:rFonts w:eastAsia="Palatino Linotype" w:cs="Palatino Linotype"/>
          <w:szCs w:val="24"/>
        </w:rPr>
      </w:pPr>
    </w:p>
    <w:p w14:paraId="4FE12B69" w14:textId="216EC933" w:rsidR="006242FE" w:rsidRPr="00A53CD2" w:rsidRDefault="006242FE" w:rsidP="006242FE">
      <w:pPr>
        <w:pBdr>
          <w:top w:val="nil"/>
          <w:left w:val="nil"/>
          <w:bottom w:val="nil"/>
          <w:right w:val="nil"/>
          <w:between w:val="nil"/>
        </w:pBdr>
        <w:contextualSpacing/>
      </w:pPr>
      <w:r w:rsidRPr="00A53CD2">
        <w:t xml:space="preserve">Por lo que se estima que los motivos de inconformidad devienen parcialmente fundados, por lo que procedente modificar la respuesta del Sujeto Obligado y ordenar que se realice la búsqueda exhaustiva y razonable en los archivos de todas las áreas que se consideren competentes con la finalidad de que se haga entrega de los </w:t>
      </w:r>
      <w:r w:rsidR="00B71B69" w:rsidRPr="00A53CD2">
        <w:t xml:space="preserve">documentos en donde consten los utensilios de cocina asignados a la </w:t>
      </w:r>
      <w:r w:rsidR="00B71B69" w:rsidRPr="00A53CD2">
        <w:rPr>
          <w:rFonts w:eastAsia="Palatino Linotype" w:cs="Palatino Linotype"/>
          <w:color w:val="000000"/>
          <w:szCs w:val="24"/>
        </w:rPr>
        <w:t>Dirección de Servicios al Inversionista, Dirección de Contaminación y Seguimiento, Dirección del Registro de Evaluaciones de Impacto Estatal, Dirección General, así como de las jefaturas y todas las áreas de la Comisión de Impacto Estatal y los comprobantes de compra de dichos utensilios, lo anterior en versión pública de ser procedente.</w:t>
      </w:r>
    </w:p>
    <w:p w14:paraId="0C4B2ACC" w14:textId="77777777" w:rsidR="006242FE" w:rsidRPr="00A53CD2" w:rsidRDefault="006242FE" w:rsidP="006242FE">
      <w:pPr>
        <w:pBdr>
          <w:top w:val="nil"/>
          <w:left w:val="nil"/>
          <w:bottom w:val="nil"/>
          <w:right w:val="nil"/>
          <w:between w:val="nil"/>
        </w:pBdr>
        <w:contextualSpacing/>
      </w:pPr>
    </w:p>
    <w:p w14:paraId="6E1DDFD9" w14:textId="77777777" w:rsidR="006242FE" w:rsidRPr="00A53CD2" w:rsidRDefault="006242FE" w:rsidP="006242FE">
      <w:pPr>
        <w:pBdr>
          <w:top w:val="nil"/>
          <w:left w:val="nil"/>
          <w:bottom w:val="nil"/>
          <w:right w:val="nil"/>
          <w:between w:val="nil"/>
        </w:pBdr>
        <w:contextualSpacing/>
        <w:rPr>
          <w:rFonts w:eastAsia="Palatino Linotype" w:cs="Palatino Linotype"/>
          <w:szCs w:val="24"/>
        </w:rPr>
      </w:pPr>
      <w:r w:rsidRPr="00A53CD2">
        <w:rPr>
          <w:rFonts w:eastAsia="Palatino Linotype" w:cs="Palatino Linotype"/>
          <w:szCs w:val="24"/>
        </w:rPr>
        <w:t>Ahora bien, en el supuesto de que una vez agotada la búsqueda exhaustiva y razonable de la información descrita, no se localizara información por no haberse generado, poseído o administrado, bastará con que el Sujeto Obligado así lo haga del conocimiento del Recurrente en términos del segundo párrafo del artículo 19 de la Ley de Transparencia estatal, que a la letra dispone lo siguiente:</w:t>
      </w:r>
    </w:p>
    <w:p w14:paraId="0B216C8B" w14:textId="77777777" w:rsidR="006242FE" w:rsidRPr="00A53CD2" w:rsidRDefault="006242FE" w:rsidP="006242FE">
      <w:pPr>
        <w:pStyle w:val="Fundamentos"/>
      </w:pPr>
    </w:p>
    <w:p w14:paraId="1C4DB956" w14:textId="77777777" w:rsidR="006242FE" w:rsidRPr="00A53CD2" w:rsidRDefault="006242FE" w:rsidP="006242FE">
      <w:pPr>
        <w:pStyle w:val="Fundamentos"/>
      </w:pPr>
      <w:r w:rsidRPr="00A53CD2">
        <w:rPr>
          <w:b/>
        </w:rPr>
        <w:t xml:space="preserve">Artículo 19. </w:t>
      </w:r>
      <w:r w:rsidRPr="00A53CD2">
        <w:t>Se presume que la información debe existir si se refiere a las facultades, competencias y funciones que los ordenamientos jurídicos aplicables otorgan a los sujetos obligados.</w:t>
      </w:r>
    </w:p>
    <w:p w14:paraId="6CCBCB7E" w14:textId="77777777" w:rsidR="006242FE" w:rsidRPr="00A53CD2" w:rsidRDefault="006242FE" w:rsidP="006242FE">
      <w:pPr>
        <w:pStyle w:val="Fundamentos"/>
      </w:pPr>
    </w:p>
    <w:p w14:paraId="614A83E7" w14:textId="77777777" w:rsidR="006242FE" w:rsidRPr="00A53CD2" w:rsidRDefault="006242FE" w:rsidP="006242FE">
      <w:pPr>
        <w:pStyle w:val="Fundamentos"/>
        <w:rPr>
          <w:b/>
          <w:bCs/>
          <w:u w:val="single"/>
        </w:rPr>
      </w:pPr>
      <w:r w:rsidRPr="00A53CD2">
        <w:rPr>
          <w:b/>
          <w:bCs/>
          <w:u w:val="single"/>
        </w:rPr>
        <w:t>En los casos en que ciertas facultades, competencias o funciones no se hayan ejercido, se debe motivar la respuesta en función de las causas que motiven tal circunstancia.</w:t>
      </w:r>
    </w:p>
    <w:p w14:paraId="02B31AC0" w14:textId="77777777" w:rsidR="006242FE" w:rsidRPr="00A53CD2" w:rsidRDefault="006242FE" w:rsidP="006242FE">
      <w:pPr>
        <w:pStyle w:val="Fundamentos"/>
      </w:pPr>
    </w:p>
    <w:p w14:paraId="2C15E575" w14:textId="77777777" w:rsidR="006242FE" w:rsidRPr="00A53CD2" w:rsidRDefault="006242FE" w:rsidP="006242FE">
      <w:pPr>
        <w:pStyle w:val="Fundamentos"/>
      </w:pPr>
      <w:r w:rsidRPr="00A53CD2">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F108BB3" w14:textId="77777777" w:rsidR="006242FE" w:rsidRPr="00A53CD2" w:rsidRDefault="006242FE" w:rsidP="006242FE">
      <w:pPr>
        <w:pBdr>
          <w:top w:val="nil"/>
          <w:left w:val="nil"/>
          <w:bottom w:val="nil"/>
          <w:right w:val="nil"/>
          <w:between w:val="nil"/>
        </w:pBdr>
        <w:contextualSpacing/>
        <w:rPr>
          <w:rFonts w:eastAsia="Palatino Linotype" w:cs="Palatino Linotype"/>
          <w:szCs w:val="24"/>
        </w:rPr>
      </w:pPr>
    </w:p>
    <w:p w14:paraId="18CC4CD6" w14:textId="77777777" w:rsidR="006242FE" w:rsidRPr="00A53CD2" w:rsidRDefault="006242FE" w:rsidP="006242FE">
      <w:pPr>
        <w:pStyle w:val="Ttulo3"/>
        <w:rPr>
          <w:sz w:val="25"/>
          <w:szCs w:val="25"/>
        </w:rPr>
      </w:pPr>
      <w:r w:rsidRPr="00A53CD2">
        <w:rPr>
          <w:sz w:val="25"/>
          <w:szCs w:val="25"/>
        </w:rPr>
        <w:t>DE LA VERSIÓN PÚBLICA.</w:t>
      </w:r>
    </w:p>
    <w:p w14:paraId="70AC7C6A" w14:textId="77777777" w:rsidR="006242FE" w:rsidRPr="00A53CD2" w:rsidRDefault="006242FE" w:rsidP="006242FE">
      <w:pPr>
        <w:rPr>
          <w:rFonts w:eastAsia="Palatino Linotype" w:cs="Palatino Linotype"/>
          <w:szCs w:val="24"/>
        </w:rPr>
      </w:pPr>
      <w:r w:rsidRPr="00A53CD2">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42DE413" w14:textId="77777777" w:rsidR="006242FE" w:rsidRPr="00A53CD2" w:rsidRDefault="006242FE" w:rsidP="006242FE">
      <w:pPr>
        <w:rPr>
          <w:rFonts w:eastAsia="Palatino Linotype" w:cs="Palatino Linotype"/>
          <w:szCs w:val="24"/>
        </w:rPr>
      </w:pPr>
    </w:p>
    <w:p w14:paraId="0F93603B"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Artículo 3.</w:t>
      </w:r>
      <w:r w:rsidRPr="00A53CD2">
        <w:rPr>
          <w:rFonts w:eastAsia="Palatino Linotype" w:cs="Palatino Linotype"/>
          <w:i/>
          <w:sz w:val="22"/>
        </w:rPr>
        <w:t xml:space="preserve"> Para los efectos de la presente Ley se entenderá por:</w:t>
      </w:r>
    </w:p>
    <w:p w14:paraId="23DF7B2C"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t>(…)</w:t>
      </w:r>
    </w:p>
    <w:p w14:paraId="4F850241"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IX. Datos personales:</w:t>
      </w:r>
      <w:r w:rsidRPr="00A53CD2">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3CB44517"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XX.</w:t>
      </w:r>
      <w:r w:rsidRPr="00A53CD2">
        <w:rPr>
          <w:rFonts w:eastAsia="Palatino Linotype" w:cs="Palatino Linotype"/>
          <w:i/>
          <w:sz w:val="22"/>
        </w:rPr>
        <w:t xml:space="preserve"> </w:t>
      </w:r>
      <w:r w:rsidRPr="00A53CD2">
        <w:rPr>
          <w:rFonts w:eastAsia="Palatino Linotype" w:cs="Palatino Linotype"/>
          <w:b/>
          <w:i/>
          <w:sz w:val="22"/>
        </w:rPr>
        <w:t>Información clasificada:</w:t>
      </w:r>
      <w:r w:rsidRPr="00A53CD2">
        <w:rPr>
          <w:rFonts w:eastAsia="Palatino Linotype" w:cs="Palatino Linotype"/>
          <w:i/>
          <w:sz w:val="22"/>
        </w:rPr>
        <w:t xml:space="preserve"> Aquella considerada por la presente Ley como reservada o confidencial;</w:t>
      </w:r>
    </w:p>
    <w:p w14:paraId="6ACB5626"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XXI.</w:t>
      </w:r>
      <w:r w:rsidRPr="00A53CD2">
        <w:rPr>
          <w:rFonts w:eastAsia="Palatino Linotype" w:cs="Palatino Linotype"/>
          <w:i/>
          <w:sz w:val="22"/>
        </w:rPr>
        <w:t xml:space="preserve"> </w:t>
      </w:r>
      <w:r w:rsidRPr="00A53CD2">
        <w:rPr>
          <w:rFonts w:eastAsia="Palatino Linotype" w:cs="Palatino Linotype"/>
          <w:b/>
          <w:i/>
          <w:sz w:val="22"/>
        </w:rPr>
        <w:t>Información confidencial:</w:t>
      </w:r>
      <w:r w:rsidRPr="00A53CD2">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B4E4FF"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w:t>
      </w:r>
    </w:p>
    <w:p w14:paraId="57C1C168"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XLV.</w:t>
      </w:r>
      <w:r w:rsidRPr="00A53CD2">
        <w:rPr>
          <w:rFonts w:eastAsia="Palatino Linotype" w:cs="Palatino Linotype"/>
          <w:i/>
          <w:sz w:val="22"/>
        </w:rPr>
        <w:t xml:space="preserve"> </w:t>
      </w:r>
      <w:r w:rsidRPr="00A53CD2">
        <w:rPr>
          <w:rFonts w:eastAsia="Palatino Linotype" w:cs="Palatino Linotype"/>
          <w:b/>
          <w:i/>
          <w:sz w:val="22"/>
        </w:rPr>
        <w:t>Versión pública:</w:t>
      </w:r>
      <w:r w:rsidRPr="00A53CD2">
        <w:rPr>
          <w:rFonts w:eastAsia="Palatino Linotype" w:cs="Palatino Linotype"/>
          <w:i/>
          <w:sz w:val="22"/>
        </w:rPr>
        <w:t xml:space="preserve"> Documento en el que se elimine, suprime o borra la información clasificada como reservada o confidencial para permitir su acceso.</w:t>
      </w:r>
    </w:p>
    <w:p w14:paraId="3F25AA84"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lastRenderedPageBreak/>
        <w:t>(…)</w:t>
      </w:r>
    </w:p>
    <w:p w14:paraId="230B6DD6" w14:textId="77777777" w:rsidR="006242FE" w:rsidRPr="00A53CD2" w:rsidRDefault="006242FE" w:rsidP="006242FE">
      <w:pPr>
        <w:spacing w:line="259" w:lineRule="auto"/>
        <w:ind w:left="567" w:right="567"/>
        <w:rPr>
          <w:rFonts w:eastAsia="Palatino Linotype" w:cs="Palatino Linotype"/>
          <w:i/>
          <w:sz w:val="22"/>
        </w:rPr>
      </w:pPr>
    </w:p>
    <w:p w14:paraId="08816318"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 xml:space="preserve">Artículo 91. </w:t>
      </w:r>
      <w:r w:rsidRPr="00A53CD2">
        <w:rPr>
          <w:rFonts w:eastAsia="Palatino Linotype" w:cs="Palatino Linotype"/>
          <w:i/>
          <w:sz w:val="22"/>
        </w:rPr>
        <w:t>El acceso a la información pública será restringido excepcionalmente, cuando ésta sea clasificada como reservada o confidencial.</w:t>
      </w:r>
    </w:p>
    <w:p w14:paraId="66C3339B" w14:textId="77777777" w:rsidR="006242FE" w:rsidRPr="00A53CD2" w:rsidRDefault="006242FE" w:rsidP="006242FE">
      <w:pPr>
        <w:spacing w:line="259" w:lineRule="auto"/>
        <w:ind w:left="567" w:right="567"/>
        <w:rPr>
          <w:rFonts w:eastAsia="Palatino Linotype" w:cs="Palatino Linotype"/>
          <w:i/>
          <w:sz w:val="22"/>
        </w:rPr>
      </w:pPr>
    </w:p>
    <w:p w14:paraId="699FC1BC"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Artículo 132.</w:t>
      </w:r>
      <w:r w:rsidRPr="00A53CD2">
        <w:rPr>
          <w:rFonts w:eastAsia="Palatino Linotype" w:cs="Palatino Linotype"/>
          <w:i/>
          <w:sz w:val="22"/>
        </w:rPr>
        <w:t xml:space="preserve"> </w:t>
      </w:r>
      <w:r w:rsidRPr="00A53CD2">
        <w:rPr>
          <w:rFonts w:eastAsia="Palatino Linotype" w:cs="Palatino Linotype"/>
          <w:i/>
          <w:sz w:val="22"/>
          <w:u w:val="single"/>
        </w:rPr>
        <w:t>La clasificación de la información se llevará a cabo en el momento en que</w:t>
      </w:r>
      <w:r w:rsidRPr="00A53CD2">
        <w:rPr>
          <w:rFonts w:eastAsia="Palatino Linotype" w:cs="Palatino Linotype"/>
          <w:i/>
          <w:sz w:val="22"/>
        </w:rPr>
        <w:t>:</w:t>
      </w:r>
    </w:p>
    <w:p w14:paraId="30D82FE0"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I.</w:t>
      </w:r>
      <w:r w:rsidRPr="00A53CD2">
        <w:rPr>
          <w:rFonts w:eastAsia="Palatino Linotype" w:cs="Palatino Linotype"/>
          <w:i/>
          <w:sz w:val="22"/>
        </w:rPr>
        <w:t xml:space="preserve"> Se reciba una solicitud de acceso a la información;</w:t>
      </w:r>
    </w:p>
    <w:p w14:paraId="70B17166"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II.</w:t>
      </w:r>
      <w:r w:rsidRPr="00A53CD2">
        <w:rPr>
          <w:rFonts w:eastAsia="Palatino Linotype" w:cs="Palatino Linotype"/>
          <w:i/>
          <w:sz w:val="22"/>
        </w:rPr>
        <w:t xml:space="preserve"> </w:t>
      </w:r>
      <w:r w:rsidRPr="00A53CD2">
        <w:rPr>
          <w:rFonts w:eastAsia="Palatino Linotype" w:cs="Palatino Linotype"/>
          <w:i/>
          <w:sz w:val="22"/>
          <w:u w:val="single"/>
        </w:rPr>
        <w:t>Se determine mediante resolución de autoridad competente; o</w:t>
      </w:r>
    </w:p>
    <w:p w14:paraId="62584BC4" w14:textId="77777777" w:rsidR="006242FE" w:rsidRPr="00A53CD2" w:rsidRDefault="006242FE" w:rsidP="006242FE">
      <w:pPr>
        <w:spacing w:line="259" w:lineRule="auto"/>
        <w:ind w:left="567" w:right="567"/>
        <w:rPr>
          <w:rFonts w:eastAsia="Palatino Linotype" w:cs="Palatino Linotype"/>
          <w:i/>
          <w:sz w:val="22"/>
          <w:u w:val="single"/>
        </w:rPr>
      </w:pPr>
      <w:r w:rsidRPr="00A53CD2">
        <w:rPr>
          <w:rFonts w:eastAsia="Palatino Linotype" w:cs="Palatino Linotype"/>
          <w:b/>
          <w:i/>
          <w:sz w:val="22"/>
        </w:rPr>
        <w:t>III.</w:t>
      </w:r>
      <w:r w:rsidRPr="00A53CD2">
        <w:rPr>
          <w:rFonts w:eastAsia="Palatino Linotype" w:cs="Palatino Linotype"/>
          <w:i/>
          <w:sz w:val="22"/>
        </w:rPr>
        <w:t xml:space="preserve"> </w:t>
      </w:r>
      <w:r w:rsidRPr="00A53CD2">
        <w:rPr>
          <w:rFonts w:eastAsia="Palatino Linotype" w:cs="Palatino Linotype"/>
          <w:i/>
          <w:sz w:val="22"/>
          <w:u w:val="single"/>
        </w:rPr>
        <w:t>Se generen versiones públicas para dar cumplimiento a las obligaciones de transparencia previstas en esta Ley.</w:t>
      </w:r>
    </w:p>
    <w:p w14:paraId="705F85D4"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t>(…)</w:t>
      </w:r>
    </w:p>
    <w:p w14:paraId="1B9DF7E0" w14:textId="77777777" w:rsidR="006242FE" w:rsidRPr="00A53CD2" w:rsidRDefault="006242FE" w:rsidP="006242FE">
      <w:pPr>
        <w:rPr>
          <w:rFonts w:eastAsia="Palatino Linotype" w:cs="Palatino Linotype"/>
          <w:i/>
          <w:szCs w:val="24"/>
        </w:rPr>
      </w:pPr>
    </w:p>
    <w:p w14:paraId="163B0865" w14:textId="77777777" w:rsidR="006242FE" w:rsidRPr="00A53CD2" w:rsidRDefault="006242FE" w:rsidP="006242FE">
      <w:pPr>
        <w:rPr>
          <w:rFonts w:eastAsia="Palatino Linotype" w:cs="Palatino Linotype"/>
        </w:rPr>
      </w:pPr>
      <w:r w:rsidRPr="00A53CD2">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1BDD11F" w14:textId="77777777" w:rsidR="006242FE" w:rsidRPr="00A53CD2" w:rsidRDefault="006242FE" w:rsidP="006242FE">
      <w:pPr>
        <w:rPr>
          <w:rFonts w:eastAsia="Palatino Linotype" w:cs="Palatino Linotype"/>
        </w:rPr>
      </w:pPr>
    </w:p>
    <w:p w14:paraId="1A0C8893" w14:textId="77777777" w:rsidR="006242FE" w:rsidRPr="00A53CD2" w:rsidRDefault="006242FE" w:rsidP="006242FE">
      <w:pPr>
        <w:rPr>
          <w:rFonts w:eastAsia="Palatino Linotype" w:cs="Palatino Linotype"/>
          <w:szCs w:val="24"/>
        </w:rPr>
      </w:pPr>
      <w:r w:rsidRPr="00A53CD2">
        <w:rPr>
          <w:rFonts w:eastAsia="Palatino Linotype" w:cs="Palatino Linotype"/>
          <w:szCs w:val="24"/>
        </w:rPr>
        <w:t xml:space="preserve">Por otro lado, los </w:t>
      </w:r>
      <w:r w:rsidRPr="00A53CD2">
        <w:rPr>
          <w:rFonts w:eastAsia="Palatino Linotype" w:cs="Palatino Linotype"/>
          <w:i/>
          <w:szCs w:val="24"/>
        </w:rPr>
        <w:t>Lineamientos Generales en Materia de Clasificación y Desclasificación de la Información, así como para la elaboración de Versiones Públicas</w:t>
      </w:r>
      <w:r w:rsidRPr="00A53CD2">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DE0420C" w14:textId="77777777" w:rsidR="006242FE" w:rsidRPr="00A53CD2" w:rsidRDefault="006242FE" w:rsidP="006242FE">
      <w:pPr>
        <w:rPr>
          <w:rFonts w:eastAsia="Palatino Linotype" w:cs="Palatino Linotype"/>
          <w:szCs w:val="24"/>
        </w:rPr>
      </w:pPr>
    </w:p>
    <w:p w14:paraId="4F52AD9C" w14:textId="77777777" w:rsidR="006242FE" w:rsidRPr="00A53CD2" w:rsidRDefault="006242FE" w:rsidP="006242FE">
      <w:pPr>
        <w:rPr>
          <w:rFonts w:eastAsia="Palatino Linotype" w:cs="Palatino Linotype"/>
          <w:szCs w:val="24"/>
        </w:rPr>
      </w:pPr>
      <w:r w:rsidRPr="00A53CD2">
        <w:rPr>
          <w:rFonts w:eastAsia="Palatino Linotype" w:cs="Palatino Linotype"/>
          <w:szCs w:val="24"/>
        </w:rPr>
        <w:t>Entorno a lo que aquí nos interesa, los Lineamientos Quincuagésimo sexto, Quincuagésimo séptimo y Quincuagésimo octavo, establecen lo siguiente:</w:t>
      </w:r>
    </w:p>
    <w:p w14:paraId="31DB1F0D" w14:textId="77777777" w:rsidR="006242FE" w:rsidRPr="00A53CD2" w:rsidRDefault="006242FE" w:rsidP="006242FE">
      <w:pPr>
        <w:rPr>
          <w:rFonts w:eastAsia="Palatino Linotype" w:cs="Palatino Linotype"/>
          <w:sz w:val="22"/>
        </w:rPr>
      </w:pPr>
    </w:p>
    <w:p w14:paraId="3E430659"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Quincuagésimo sexto.</w:t>
      </w:r>
      <w:r w:rsidRPr="00A53CD2">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C5748E5" w14:textId="77777777" w:rsidR="006242FE" w:rsidRPr="00A53CD2" w:rsidRDefault="006242FE" w:rsidP="006242FE">
      <w:pPr>
        <w:spacing w:line="259" w:lineRule="auto"/>
        <w:ind w:left="567" w:right="567"/>
        <w:rPr>
          <w:rFonts w:eastAsia="Palatino Linotype" w:cs="Palatino Linotype"/>
          <w:i/>
          <w:sz w:val="22"/>
        </w:rPr>
      </w:pPr>
    </w:p>
    <w:p w14:paraId="2B943463"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Quincuagésimo séptimo.</w:t>
      </w:r>
      <w:r w:rsidRPr="00A53CD2">
        <w:rPr>
          <w:rFonts w:eastAsia="Palatino Linotype" w:cs="Palatino Linotype"/>
          <w:i/>
          <w:sz w:val="22"/>
        </w:rPr>
        <w:t xml:space="preserve"> Se considera, en principio, como información pública y no podrá omitirse de las versiones públicas la siguiente:</w:t>
      </w:r>
    </w:p>
    <w:p w14:paraId="6FAA8078"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t xml:space="preserve"> </w:t>
      </w:r>
    </w:p>
    <w:p w14:paraId="7B0F78DF"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t xml:space="preserve">I. La relativa a las Obligaciones de Transparencia que contempla el Título V de la Ley General y las demás disposiciones legales aplicables; </w:t>
      </w:r>
    </w:p>
    <w:p w14:paraId="1B9CF7D4"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6FDC3A62"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EB8AE8B" w14:textId="77777777" w:rsidR="006242FE" w:rsidRPr="00A53CD2" w:rsidRDefault="006242FE" w:rsidP="006242FE">
      <w:pPr>
        <w:spacing w:line="259" w:lineRule="auto"/>
        <w:ind w:left="567" w:right="567"/>
        <w:rPr>
          <w:rFonts w:eastAsia="Palatino Linotype" w:cs="Palatino Linotype"/>
          <w:i/>
          <w:sz w:val="22"/>
        </w:rPr>
      </w:pPr>
    </w:p>
    <w:p w14:paraId="3E0D0EBF"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15FB7FCB" w14:textId="77777777" w:rsidR="006242FE" w:rsidRPr="00A53CD2" w:rsidRDefault="006242FE" w:rsidP="006242FE">
      <w:pPr>
        <w:spacing w:line="259" w:lineRule="auto"/>
        <w:ind w:left="567" w:right="567"/>
        <w:rPr>
          <w:rFonts w:eastAsia="Palatino Linotype" w:cs="Palatino Linotype"/>
          <w:i/>
          <w:sz w:val="22"/>
        </w:rPr>
      </w:pPr>
    </w:p>
    <w:p w14:paraId="6C625062" w14:textId="77777777" w:rsidR="006242FE" w:rsidRPr="00A53CD2" w:rsidRDefault="006242FE" w:rsidP="006242FE">
      <w:pPr>
        <w:spacing w:line="259" w:lineRule="auto"/>
        <w:ind w:left="567" w:right="567"/>
        <w:rPr>
          <w:rFonts w:eastAsia="Palatino Linotype" w:cs="Palatino Linotype"/>
          <w:i/>
          <w:sz w:val="22"/>
        </w:rPr>
      </w:pPr>
      <w:r w:rsidRPr="00A53CD2">
        <w:rPr>
          <w:rFonts w:eastAsia="Palatino Linotype" w:cs="Palatino Linotype"/>
          <w:b/>
          <w:i/>
          <w:sz w:val="22"/>
        </w:rPr>
        <w:t>Quincuagésimo octavo.</w:t>
      </w:r>
      <w:r w:rsidRPr="00A53CD2">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12B29DF0" w14:textId="77777777" w:rsidR="006242FE" w:rsidRPr="00A53CD2" w:rsidRDefault="006242FE" w:rsidP="006242FE">
      <w:pPr>
        <w:rPr>
          <w:rFonts w:eastAsia="Palatino Linotype" w:cs="Palatino Linotype"/>
          <w:i/>
          <w:szCs w:val="24"/>
        </w:rPr>
      </w:pPr>
    </w:p>
    <w:p w14:paraId="6961CE09" w14:textId="77777777" w:rsidR="006242FE" w:rsidRPr="00A53CD2" w:rsidRDefault="006242FE" w:rsidP="006242FE">
      <w:pPr>
        <w:rPr>
          <w:rFonts w:eastAsia="Palatino Linotype" w:cs="Palatino Linotype"/>
          <w:szCs w:val="24"/>
        </w:rPr>
      </w:pPr>
      <w:r w:rsidRPr="00A53CD2">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sidRPr="00A53CD2">
        <w:rPr>
          <w:rFonts w:eastAsia="Palatino Linotype" w:cs="Palatino Linotype"/>
          <w:szCs w:val="24"/>
        </w:rPr>
        <w:lastRenderedPageBreak/>
        <w:t xml:space="preserve">se aprecian determinados datos -ya sea porque se testan o suprimen- deja a la solicitante en estado de incertidumbre, al no conocer o comprender porque no aparecen en la documentación respectiva. </w:t>
      </w:r>
    </w:p>
    <w:p w14:paraId="682A24E8" w14:textId="77777777" w:rsidR="006242FE" w:rsidRPr="00A53CD2" w:rsidRDefault="006242FE" w:rsidP="006242FE">
      <w:pPr>
        <w:rPr>
          <w:rFonts w:eastAsia="Palatino Linotype" w:cs="Palatino Linotype"/>
          <w:szCs w:val="24"/>
        </w:rPr>
      </w:pPr>
    </w:p>
    <w:p w14:paraId="33D6B8DD" w14:textId="77777777" w:rsidR="006242FE" w:rsidRPr="00A53CD2" w:rsidRDefault="006242FE" w:rsidP="006242FE">
      <w:pPr>
        <w:rPr>
          <w:rFonts w:eastAsia="Palatino Linotype" w:cs="Palatino Linotype"/>
          <w:szCs w:val="24"/>
        </w:rPr>
      </w:pPr>
      <w:r w:rsidRPr="00A53CD2">
        <w:rPr>
          <w:rFonts w:eastAsia="Palatino Linotype" w:cs="Palatino Linotype"/>
          <w:szCs w:val="24"/>
        </w:rPr>
        <w:t>Por lo que respecta al Acuerdo del Comité de Transparencia que sustente la versión pública de la documentación a entregar, deberá ser notificado mediante el SAIMEX.</w:t>
      </w:r>
    </w:p>
    <w:p w14:paraId="4F7ED54B" w14:textId="77777777" w:rsidR="006242FE" w:rsidRPr="00A53CD2" w:rsidRDefault="006242FE" w:rsidP="006242FE">
      <w:pPr>
        <w:rPr>
          <w:rFonts w:eastAsia="Palatino Linotype" w:cs="Palatino Linotype"/>
          <w:szCs w:val="24"/>
        </w:rPr>
      </w:pPr>
    </w:p>
    <w:p w14:paraId="4FC9845F" w14:textId="5749C61D" w:rsidR="006242FE" w:rsidRPr="00A53CD2" w:rsidRDefault="006242FE"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B71B69" w:rsidRPr="00A53CD2">
        <w:rPr>
          <w:rFonts w:eastAsia="Palatino Linotype" w:cs="Palatino Linotype"/>
          <w:color w:val="000000"/>
          <w:szCs w:val="24"/>
        </w:rPr>
        <w:t>l</w:t>
      </w:r>
      <w:r w:rsidRPr="00A53CD2">
        <w:rPr>
          <w:rFonts w:eastAsia="Palatino Linotype" w:cs="Palatino Linotype"/>
          <w:color w:val="000000"/>
          <w:szCs w:val="24"/>
        </w:rPr>
        <w:t xml:space="preserve"> Recurrente.</w:t>
      </w:r>
    </w:p>
    <w:p w14:paraId="00E82075" w14:textId="77777777" w:rsidR="006242FE" w:rsidRPr="00A53CD2" w:rsidRDefault="006242FE" w:rsidP="006242FE">
      <w:pPr>
        <w:pBdr>
          <w:top w:val="nil"/>
          <w:left w:val="nil"/>
          <w:bottom w:val="nil"/>
          <w:right w:val="nil"/>
          <w:between w:val="nil"/>
        </w:pBdr>
        <w:rPr>
          <w:rFonts w:eastAsia="Palatino Linotype" w:cs="Palatino Linotype"/>
          <w:color w:val="000000"/>
          <w:szCs w:val="24"/>
        </w:rPr>
      </w:pPr>
    </w:p>
    <w:p w14:paraId="6431EA37" w14:textId="21551309" w:rsidR="006242FE" w:rsidRPr="00A53CD2" w:rsidRDefault="006242FE"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A53CD2">
        <w:rPr>
          <w:rFonts w:eastAsia="Palatino Linotype" w:cs="Palatino Linotype"/>
          <w:b/>
          <w:color w:val="000000"/>
          <w:szCs w:val="24"/>
        </w:rPr>
        <w:t xml:space="preserve">con fundamento en la segunda hipótesis de la fracción III del artículo 186 </w:t>
      </w:r>
      <w:r w:rsidRPr="00A53CD2">
        <w:rPr>
          <w:rFonts w:eastAsia="Palatino Linotype" w:cs="Palatino Linotype"/>
          <w:color w:val="000000"/>
          <w:szCs w:val="24"/>
        </w:rPr>
        <w:t xml:space="preserve">de la Ley de Transparencia y Acceso a la Información Pública del Estado de México y Municipios, se </w:t>
      </w:r>
      <w:r w:rsidRPr="00A53CD2">
        <w:rPr>
          <w:rFonts w:eastAsia="Palatino Linotype" w:cs="Palatino Linotype"/>
          <w:b/>
          <w:color w:val="000000"/>
          <w:szCs w:val="24"/>
        </w:rPr>
        <w:t xml:space="preserve">MODIFICA </w:t>
      </w:r>
      <w:r w:rsidRPr="00A53CD2">
        <w:rPr>
          <w:rFonts w:eastAsia="Palatino Linotype" w:cs="Palatino Linotype"/>
          <w:color w:val="000000"/>
          <w:szCs w:val="24"/>
        </w:rPr>
        <w:t>la respuesta a la solicitud de información número</w:t>
      </w:r>
      <w:r w:rsidRPr="00A53CD2">
        <w:rPr>
          <w:rFonts w:eastAsia="Palatino Linotype" w:cs="Palatino Linotype"/>
          <w:b/>
          <w:color w:val="000000"/>
          <w:szCs w:val="24"/>
        </w:rPr>
        <w:t xml:space="preserve"> </w:t>
      </w:r>
      <w:r w:rsidR="00B71B69" w:rsidRPr="00A53CD2">
        <w:rPr>
          <w:rFonts w:eastAsia="Palatino Linotype" w:cs="Palatino Linotype"/>
          <w:b/>
          <w:bCs/>
          <w:color w:val="000000"/>
          <w:szCs w:val="24"/>
        </w:rPr>
        <w:t>00144/SEDUO/IP/2023</w:t>
      </w:r>
      <w:r w:rsidRPr="00A53CD2">
        <w:rPr>
          <w:rFonts w:eastAsia="Palatino Linotype" w:cs="Palatino Linotype"/>
          <w:color w:val="000000"/>
          <w:szCs w:val="24"/>
        </w:rPr>
        <w:t>, que ha sido materia del presente estudio.</w:t>
      </w:r>
    </w:p>
    <w:p w14:paraId="69F32548" w14:textId="77777777" w:rsidR="006242FE" w:rsidRPr="00A53CD2" w:rsidRDefault="006242FE" w:rsidP="006242FE"/>
    <w:p w14:paraId="2FEA36A4" w14:textId="77777777" w:rsidR="006242FE" w:rsidRPr="00A53CD2" w:rsidRDefault="006242FE"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color w:val="000000"/>
          <w:szCs w:val="24"/>
        </w:rPr>
        <w:t>Por lo antes expuesto y fundado es de resolverse y,</w:t>
      </w:r>
    </w:p>
    <w:p w14:paraId="473EF23E" w14:textId="77777777" w:rsidR="006242FE" w:rsidRPr="00A53CD2" w:rsidRDefault="006242FE" w:rsidP="006242FE">
      <w:pPr>
        <w:pBdr>
          <w:top w:val="nil"/>
          <w:left w:val="nil"/>
          <w:bottom w:val="nil"/>
          <w:right w:val="nil"/>
          <w:between w:val="nil"/>
        </w:pBdr>
        <w:rPr>
          <w:rFonts w:eastAsia="Palatino Linotype" w:cs="Palatino Linotype"/>
          <w:color w:val="000000"/>
          <w:szCs w:val="24"/>
        </w:rPr>
      </w:pPr>
    </w:p>
    <w:p w14:paraId="31E67E1F" w14:textId="77777777" w:rsidR="00B71B69" w:rsidRPr="00A53CD2" w:rsidRDefault="00B71B69" w:rsidP="006242FE">
      <w:pPr>
        <w:pBdr>
          <w:top w:val="nil"/>
          <w:left w:val="nil"/>
          <w:bottom w:val="nil"/>
          <w:right w:val="nil"/>
          <w:between w:val="nil"/>
        </w:pBdr>
        <w:rPr>
          <w:rFonts w:eastAsia="Palatino Linotype" w:cs="Palatino Linotype"/>
          <w:color w:val="000000"/>
          <w:szCs w:val="24"/>
        </w:rPr>
      </w:pPr>
    </w:p>
    <w:p w14:paraId="54E004FF" w14:textId="77777777" w:rsidR="006242FE" w:rsidRPr="00A53CD2" w:rsidRDefault="006242FE" w:rsidP="006242FE">
      <w:pPr>
        <w:pStyle w:val="Ttulo1"/>
        <w:rPr>
          <w:rFonts w:eastAsia="Palatino Linotype"/>
        </w:rPr>
      </w:pPr>
      <w:r w:rsidRPr="00A53CD2">
        <w:rPr>
          <w:rFonts w:eastAsia="Palatino Linotype"/>
        </w:rPr>
        <w:lastRenderedPageBreak/>
        <w:t>S E    R E S U E L V E</w:t>
      </w:r>
    </w:p>
    <w:p w14:paraId="312C87A0" w14:textId="77777777" w:rsidR="006242FE" w:rsidRPr="00A53CD2" w:rsidRDefault="006242FE" w:rsidP="006242FE">
      <w:pPr>
        <w:pBdr>
          <w:top w:val="nil"/>
          <w:left w:val="nil"/>
          <w:bottom w:val="nil"/>
          <w:right w:val="nil"/>
          <w:between w:val="nil"/>
        </w:pBdr>
        <w:rPr>
          <w:rFonts w:eastAsia="Palatino Linotype" w:cs="Palatino Linotype"/>
          <w:b/>
          <w:color w:val="000000"/>
          <w:sz w:val="20"/>
          <w:szCs w:val="20"/>
        </w:rPr>
      </w:pPr>
    </w:p>
    <w:p w14:paraId="145BC890" w14:textId="5F23F5F7" w:rsidR="006242FE" w:rsidRPr="00A53CD2" w:rsidRDefault="006242FE" w:rsidP="006242FE">
      <w:pPr>
        <w:pBdr>
          <w:top w:val="nil"/>
          <w:left w:val="nil"/>
          <w:bottom w:val="nil"/>
          <w:right w:val="nil"/>
          <w:between w:val="nil"/>
        </w:pBdr>
        <w:rPr>
          <w:rFonts w:eastAsia="Palatino Linotype" w:cs="Palatino Linotype"/>
          <w:color w:val="000000"/>
        </w:rPr>
      </w:pPr>
      <w:r w:rsidRPr="00A53CD2">
        <w:rPr>
          <w:rFonts w:eastAsia="Palatino Linotype" w:cs="Palatino Linotype"/>
          <w:b/>
          <w:bCs/>
          <w:color w:val="000000" w:themeColor="text1"/>
        </w:rPr>
        <w:t>PRIMERO.</w:t>
      </w:r>
      <w:r w:rsidRPr="00A53CD2">
        <w:rPr>
          <w:rFonts w:eastAsia="Palatino Linotype" w:cs="Palatino Linotype"/>
          <w:color w:val="000000" w:themeColor="text1"/>
        </w:rPr>
        <w:t xml:space="preserve"> Se </w:t>
      </w:r>
      <w:r w:rsidRPr="00A53CD2">
        <w:rPr>
          <w:rFonts w:eastAsia="Palatino Linotype" w:cs="Palatino Linotype"/>
          <w:b/>
          <w:bCs/>
          <w:color w:val="000000" w:themeColor="text1"/>
        </w:rPr>
        <w:t>MODIFICA</w:t>
      </w:r>
      <w:r w:rsidRPr="00A53CD2">
        <w:rPr>
          <w:rFonts w:eastAsia="Palatino Linotype" w:cs="Palatino Linotype"/>
          <w:color w:val="000000" w:themeColor="text1"/>
        </w:rPr>
        <w:t xml:space="preserve"> la respuesta entregada por el Sujeto Obligado</w:t>
      </w:r>
      <w:r w:rsidRPr="00A53CD2">
        <w:rPr>
          <w:rFonts w:eastAsia="Palatino Linotype" w:cs="Palatino Linotype"/>
          <w:b/>
          <w:bCs/>
          <w:color w:val="000000" w:themeColor="text1"/>
        </w:rPr>
        <w:t xml:space="preserve"> </w:t>
      </w:r>
      <w:r w:rsidRPr="00A53CD2">
        <w:rPr>
          <w:rFonts w:eastAsia="Palatino Linotype" w:cs="Palatino Linotype"/>
          <w:color w:val="000000" w:themeColor="text1"/>
        </w:rPr>
        <w:t xml:space="preserve">a la solicitud de información número </w:t>
      </w:r>
      <w:r w:rsidR="00B71B69" w:rsidRPr="00A53CD2">
        <w:rPr>
          <w:rFonts w:eastAsia="Palatino Linotype" w:cs="Palatino Linotype"/>
          <w:b/>
          <w:bCs/>
          <w:color w:val="000000"/>
          <w:szCs w:val="24"/>
        </w:rPr>
        <w:t>00144/SEDUO/IP/2023</w:t>
      </w:r>
      <w:r w:rsidRPr="00A53CD2">
        <w:rPr>
          <w:rFonts w:eastAsia="Palatino Linotype" w:cs="Palatino Linotype"/>
          <w:color w:val="000000" w:themeColor="text1"/>
        </w:rPr>
        <w:t>, por resultar fundados los motivos de inconformidad argüidos por el Recurrente, en términos del</w:t>
      </w:r>
      <w:r w:rsidRPr="00A53CD2">
        <w:rPr>
          <w:rFonts w:eastAsia="Palatino Linotype" w:cs="Palatino Linotype"/>
          <w:b/>
          <w:bCs/>
          <w:color w:val="000000" w:themeColor="text1"/>
        </w:rPr>
        <w:t xml:space="preserve"> Considerando CUARTO </w:t>
      </w:r>
      <w:r w:rsidRPr="00A53CD2">
        <w:rPr>
          <w:rFonts w:eastAsia="Palatino Linotype" w:cs="Palatino Linotype"/>
          <w:color w:val="000000" w:themeColor="text1"/>
        </w:rPr>
        <w:t xml:space="preserve">de la presente resolución. </w:t>
      </w:r>
    </w:p>
    <w:p w14:paraId="202A0213" w14:textId="77777777" w:rsidR="006242FE" w:rsidRPr="00A53CD2" w:rsidRDefault="006242FE" w:rsidP="006242FE">
      <w:pPr>
        <w:pBdr>
          <w:top w:val="nil"/>
          <w:left w:val="nil"/>
          <w:bottom w:val="nil"/>
          <w:right w:val="nil"/>
          <w:between w:val="nil"/>
        </w:pBdr>
        <w:rPr>
          <w:rFonts w:eastAsia="Palatino Linotype" w:cs="Palatino Linotype"/>
          <w:color w:val="000000"/>
          <w:sz w:val="20"/>
          <w:szCs w:val="20"/>
        </w:rPr>
      </w:pPr>
    </w:p>
    <w:p w14:paraId="069E4A81" w14:textId="11EB9D3F" w:rsidR="006242FE" w:rsidRPr="00A53CD2" w:rsidRDefault="006242FE"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b/>
          <w:color w:val="000000"/>
          <w:szCs w:val="24"/>
        </w:rPr>
        <w:t>SEGUNDO.</w:t>
      </w:r>
      <w:r w:rsidRPr="00A53CD2">
        <w:rPr>
          <w:rFonts w:eastAsia="Palatino Linotype" w:cs="Palatino Linotype"/>
          <w:color w:val="000000"/>
          <w:szCs w:val="24"/>
        </w:rPr>
        <w:t xml:space="preserve"> Se </w:t>
      </w:r>
      <w:r w:rsidRPr="00A53CD2">
        <w:rPr>
          <w:rFonts w:eastAsia="Palatino Linotype" w:cs="Palatino Linotype"/>
          <w:b/>
          <w:color w:val="000000"/>
          <w:szCs w:val="24"/>
        </w:rPr>
        <w:t>ORDENA</w:t>
      </w:r>
      <w:r w:rsidRPr="00A53CD2">
        <w:rPr>
          <w:rFonts w:eastAsia="Palatino Linotype" w:cs="Palatino Linotype"/>
          <w:color w:val="000000"/>
          <w:szCs w:val="24"/>
        </w:rPr>
        <w:t xml:space="preserve"> al Sujeto Obligado que realice una búsqueda exhaustiva y razonable en los archivos de las áreas que se consideren competentes con la finalidad de hacer entrega al Recurrente mediante el Sistema de Acceso a la Información Mexiquense (SAIMEX), en versión pública de ser procedente y en términos del </w:t>
      </w:r>
      <w:r w:rsidRPr="00A53CD2">
        <w:rPr>
          <w:rFonts w:eastAsia="Palatino Linotype" w:cs="Palatino Linotype"/>
          <w:b/>
          <w:color w:val="000000"/>
          <w:szCs w:val="24"/>
        </w:rPr>
        <w:t>Considerando CUARTO</w:t>
      </w:r>
      <w:r w:rsidRPr="00A53CD2">
        <w:rPr>
          <w:rFonts w:eastAsia="Palatino Linotype" w:cs="Palatino Linotype"/>
          <w:color w:val="000000"/>
          <w:szCs w:val="24"/>
        </w:rPr>
        <w:t>, de lo</w:t>
      </w:r>
      <w:r w:rsidR="00B71B69" w:rsidRPr="00A53CD2">
        <w:rPr>
          <w:rFonts w:eastAsia="Palatino Linotype" w:cs="Palatino Linotype"/>
          <w:color w:val="000000"/>
          <w:szCs w:val="24"/>
        </w:rPr>
        <w:t>s documentos en donde conste lo</w:t>
      </w:r>
      <w:r w:rsidRPr="00A53CD2">
        <w:rPr>
          <w:rFonts w:eastAsia="Palatino Linotype" w:cs="Palatino Linotype"/>
          <w:color w:val="000000"/>
          <w:szCs w:val="24"/>
        </w:rPr>
        <w:t xml:space="preserve"> siguiente: </w:t>
      </w:r>
    </w:p>
    <w:p w14:paraId="019CE1CD" w14:textId="77777777" w:rsidR="006242FE" w:rsidRPr="00A53CD2" w:rsidRDefault="006242FE" w:rsidP="006242FE">
      <w:pPr>
        <w:pBdr>
          <w:top w:val="nil"/>
          <w:left w:val="nil"/>
          <w:bottom w:val="nil"/>
          <w:right w:val="nil"/>
          <w:between w:val="nil"/>
        </w:pBdr>
        <w:rPr>
          <w:rFonts w:eastAsia="Palatino Linotype" w:cs="Palatino Linotype"/>
          <w:color w:val="000000"/>
          <w:sz w:val="20"/>
          <w:szCs w:val="20"/>
        </w:rPr>
      </w:pPr>
    </w:p>
    <w:p w14:paraId="11C70B50" w14:textId="28D6962B" w:rsidR="00B71B69" w:rsidRPr="00A53CD2" w:rsidRDefault="00B71B69" w:rsidP="00B71B69">
      <w:pPr>
        <w:pStyle w:val="Prrafodelista"/>
        <w:numPr>
          <w:ilvl w:val="0"/>
          <w:numId w:val="42"/>
        </w:numPr>
        <w:pBdr>
          <w:top w:val="nil"/>
          <w:left w:val="nil"/>
          <w:bottom w:val="nil"/>
          <w:right w:val="nil"/>
          <w:between w:val="nil"/>
        </w:pBdr>
        <w:rPr>
          <w:rFonts w:eastAsia="Palatino Linotype" w:cs="Palatino Linotype"/>
          <w:i/>
          <w:color w:val="000000"/>
        </w:rPr>
      </w:pPr>
      <w:r w:rsidRPr="00A53CD2">
        <w:rPr>
          <w:rFonts w:eastAsia="Palatino Linotype" w:cs="Palatino Linotype"/>
          <w:i/>
          <w:color w:val="000000"/>
        </w:rPr>
        <w:t>Los utensilios de cocina asignados a la Dirección de Servicios al Inversionista, Dirección de Contaminación y Seguimiento, Dirección del Registro de Evaluaciones de Impacto Estatal, Dirección General, así como de las jefaturas y todas las áreas de la Comisión de Impacto Estatal.</w:t>
      </w:r>
    </w:p>
    <w:p w14:paraId="2E7C0BF3" w14:textId="0A4F24C6" w:rsidR="00B71B69" w:rsidRPr="00A53CD2" w:rsidRDefault="00B71B69" w:rsidP="00B71B69">
      <w:pPr>
        <w:pStyle w:val="Prrafodelista"/>
        <w:numPr>
          <w:ilvl w:val="0"/>
          <w:numId w:val="42"/>
        </w:numPr>
        <w:pBdr>
          <w:top w:val="nil"/>
          <w:left w:val="nil"/>
          <w:bottom w:val="nil"/>
          <w:right w:val="nil"/>
          <w:between w:val="nil"/>
        </w:pBdr>
        <w:rPr>
          <w:rFonts w:eastAsia="Palatino Linotype" w:cs="Palatino Linotype"/>
          <w:i/>
          <w:color w:val="000000"/>
        </w:rPr>
      </w:pPr>
      <w:r w:rsidRPr="00A53CD2">
        <w:rPr>
          <w:rFonts w:eastAsia="Palatino Linotype" w:cs="Palatino Linotype"/>
          <w:i/>
          <w:color w:val="000000"/>
        </w:rPr>
        <w:t>Los comprobantes de compra de los utensilios referidos en el punto anterior.</w:t>
      </w:r>
    </w:p>
    <w:p w14:paraId="5E9B3CD4" w14:textId="77777777" w:rsidR="00B71B69" w:rsidRPr="00A53CD2" w:rsidRDefault="00B71B69" w:rsidP="006242FE">
      <w:pPr>
        <w:pBdr>
          <w:top w:val="nil"/>
          <w:left w:val="nil"/>
          <w:bottom w:val="nil"/>
          <w:right w:val="nil"/>
          <w:between w:val="nil"/>
        </w:pBdr>
        <w:rPr>
          <w:rFonts w:eastAsia="Palatino Linotype" w:cs="Palatino Linotype"/>
          <w:color w:val="000000"/>
          <w:szCs w:val="24"/>
        </w:rPr>
      </w:pPr>
    </w:p>
    <w:p w14:paraId="0F1DF829" w14:textId="0AC7525E" w:rsidR="006242FE" w:rsidRPr="00A53CD2" w:rsidRDefault="00B71B69"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color w:val="000000"/>
          <w:szCs w:val="24"/>
        </w:rPr>
        <w:t>De ser necesario, c</w:t>
      </w:r>
      <w:r w:rsidR="006242FE" w:rsidRPr="00A53CD2">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BC5F5C5" w14:textId="77777777" w:rsidR="006242FE" w:rsidRPr="00A53CD2" w:rsidRDefault="006242FE" w:rsidP="006242FE">
      <w:pPr>
        <w:pBdr>
          <w:top w:val="nil"/>
          <w:left w:val="nil"/>
          <w:bottom w:val="nil"/>
          <w:right w:val="nil"/>
          <w:between w:val="nil"/>
        </w:pBdr>
        <w:rPr>
          <w:rFonts w:eastAsia="Palatino Linotype" w:cs="Palatino Linotype"/>
          <w:color w:val="000000"/>
          <w:sz w:val="20"/>
          <w:szCs w:val="20"/>
        </w:rPr>
      </w:pPr>
    </w:p>
    <w:p w14:paraId="447234DF" w14:textId="77777777" w:rsidR="006242FE" w:rsidRPr="00A53CD2" w:rsidRDefault="006242FE"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color w:val="000000"/>
          <w:szCs w:val="24"/>
        </w:rPr>
        <w:t>En el supuesto de que una vez realizada la búsqueda exhaustiva no se encontrase la información ordenada, bastará con que el Sujeto Obligado así lo haga del conocimiento del Recurrente, en términos de lo dispuesto en el segundo párrafo del artículo 19 de la Ley de Transparencia</w:t>
      </w:r>
    </w:p>
    <w:p w14:paraId="6C633297" w14:textId="77777777" w:rsidR="006242FE" w:rsidRPr="00A53CD2" w:rsidRDefault="006242FE" w:rsidP="006242FE">
      <w:pPr>
        <w:pBdr>
          <w:top w:val="nil"/>
          <w:left w:val="nil"/>
          <w:bottom w:val="nil"/>
          <w:right w:val="nil"/>
          <w:between w:val="nil"/>
        </w:pBdr>
        <w:rPr>
          <w:rFonts w:eastAsia="Palatino Linotype" w:cs="Palatino Linotype"/>
          <w:color w:val="000000"/>
          <w:sz w:val="20"/>
          <w:szCs w:val="20"/>
        </w:rPr>
      </w:pPr>
    </w:p>
    <w:p w14:paraId="3498B40E" w14:textId="77777777" w:rsidR="006242FE" w:rsidRPr="00A53CD2" w:rsidRDefault="006242FE"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b/>
          <w:color w:val="000000"/>
          <w:szCs w:val="24"/>
        </w:rPr>
        <w:t>TERCERO. Notifíquese</w:t>
      </w:r>
      <w:r w:rsidRPr="00A53CD2">
        <w:rPr>
          <w:rFonts w:eastAsia="Palatino Linotype" w:cs="Palatino Linotype"/>
          <w:b/>
          <w:i/>
          <w:color w:val="000000"/>
          <w:szCs w:val="24"/>
        </w:rPr>
        <w:t xml:space="preserve"> </w:t>
      </w:r>
      <w:r w:rsidRPr="00A53CD2">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4057D3" w14:textId="77777777" w:rsidR="006242FE" w:rsidRPr="00A53CD2" w:rsidRDefault="006242FE" w:rsidP="006242FE">
      <w:pPr>
        <w:pBdr>
          <w:top w:val="nil"/>
          <w:left w:val="nil"/>
          <w:bottom w:val="nil"/>
          <w:right w:val="nil"/>
          <w:between w:val="nil"/>
        </w:pBdr>
        <w:rPr>
          <w:rFonts w:eastAsia="Palatino Linotype" w:cs="Palatino Linotype"/>
          <w:b/>
          <w:color w:val="000000"/>
          <w:sz w:val="20"/>
          <w:szCs w:val="20"/>
        </w:rPr>
      </w:pPr>
    </w:p>
    <w:p w14:paraId="7C761237" w14:textId="77777777" w:rsidR="006242FE" w:rsidRPr="00A53CD2" w:rsidRDefault="006242FE" w:rsidP="006242FE">
      <w:pPr>
        <w:pBdr>
          <w:top w:val="nil"/>
          <w:left w:val="nil"/>
          <w:bottom w:val="nil"/>
          <w:right w:val="nil"/>
          <w:between w:val="nil"/>
        </w:pBdr>
        <w:rPr>
          <w:rFonts w:eastAsia="Palatino Linotype" w:cs="Palatino Linotype"/>
          <w:color w:val="000000"/>
          <w:szCs w:val="24"/>
        </w:rPr>
      </w:pPr>
      <w:r w:rsidRPr="00A53CD2">
        <w:rPr>
          <w:rFonts w:eastAsia="Palatino Linotype" w:cs="Palatino Linotype"/>
          <w:b/>
          <w:color w:val="000000"/>
          <w:szCs w:val="24"/>
        </w:rPr>
        <w:t xml:space="preserve">CUARTO. </w:t>
      </w:r>
      <w:r w:rsidRPr="00A53CD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A5BCA5" w14:textId="77777777" w:rsidR="006242FE" w:rsidRPr="00A53CD2" w:rsidRDefault="006242FE" w:rsidP="006242FE">
      <w:pPr>
        <w:pBdr>
          <w:top w:val="nil"/>
          <w:left w:val="nil"/>
          <w:bottom w:val="nil"/>
          <w:right w:val="nil"/>
          <w:between w:val="nil"/>
        </w:pBdr>
        <w:rPr>
          <w:rFonts w:eastAsia="Palatino Linotype" w:cs="Palatino Linotype"/>
          <w:b/>
          <w:color w:val="000000"/>
          <w:sz w:val="20"/>
          <w:szCs w:val="20"/>
        </w:rPr>
      </w:pPr>
    </w:p>
    <w:p w14:paraId="6942D8BC" w14:textId="77777777" w:rsidR="006242FE" w:rsidRPr="00A53CD2" w:rsidRDefault="006242FE" w:rsidP="006242FE">
      <w:pPr>
        <w:contextualSpacing/>
        <w:rPr>
          <w:rFonts w:eastAsia="Palatino Linotype" w:cs="Palatino Linotype"/>
          <w:color w:val="000000"/>
          <w:szCs w:val="24"/>
        </w:rPr>
      </w:pPr>
      <w:r w:rsidRPr="00A53CD2">
        <w:rPr>
          <w:rFonts w:eastAsia="Palatino Linotype" w:cs="Palatino Linotype"/>
          <w:b/>
          <w:color w:val="000000"/>
          <w:szCs w:val="24"/>
        </w:rPr>
        <w:t xml:space="preserve">QUINTO. Notifíquese </w:t>
      </w:r>
      <w:r w:rsidRPr="00A53CD2">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el </w:t>
      </w:r>
      <w:r w:rsidRPr="00A53CD2">
        <w:rPr>
          <w:rFonts w:eastAsia="Palatino Linotype" w:cs="Palatino Linotype"/>
          <w:color w:val="000000"/>
          <w:szCs w:val="24"/>
        </w:rPr>
        <w:lastRenderedPageBreak/>
        <w:t>Juicio de Amparo en los términos de las leyes aplicables, de conformidad con lo establecido en el artículo 196 de la Ley de Transparencia y Acceso a la Información Pública del Estado de México y Municipios.</w:t>
      </w:r>
    </w:p>
    <w:p w14:paraId="7149165D" w14:textId="1BEBE573" w:rsidR="00B95178" w:rsidRPr="00A53CD2" w:rsidRDefault="00B95178" w:rsidP="00D72B70"/>
    <w:p w14:paraId="20573BFF" w14:textId="4522A4ED" w:rsidR="00A970D5" w:rsidRPr="00A53CD2" w:rsidRDefault="00861D35" w:rsidP="000C65DD">
      <w:pPr>
        <w:pBdr>
          <w:top w:val="nil"/>
          <w:left w:val="nil"/>
          <w:bottom w:val="nil"/>
          <w:right w:val="nil"/>
          <w:between w:val="nil"/>
        </w:pBdr>
        <w:contextualSpacing/>
        <w:rPr>
          <w:rFonts w:eastAsia="Palatino Linotype" w:cs="Palatino Linotype"/>
          <w:color w:val="000000"/>
          <w:szCs w:val="24"/>
        </w:rPr>
      </w:pPr>
      <w:r w:rsidRPr="00A53CD2">
        <w:rPr>
          <w:rFonts w:eastAsia="Palatino Linotype" w:cs="Palatino Linotype"/>
          <w:color w:val="000000"/>
          <w:szCs w:val="24"/>
        </w:rPr>
        <w:t>ASÍ LO RESUELVE, POR UNANIMIDAD</w:t>
      </w:r>
      <w:r w:rsidR="006922F5" w:rsidRPr="00A53CD2">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15003" w:rsidRPr="00A53CD2">
        <w:rPr>
          <w:rFonts w:eastAsia="Palatino Linotype" w:cs="Palatino Linotype"/>
          <w:color w:val="000000"/>
          <w:szCs w:val="24"/>
        </w:rPr>
        <w:t xml:space="preserve"> </w:t>
      </w:r>
      <w:r w:rsidR="006922F5" w:rsidRPr="00A53CD2">
        <w:rPr>
          <w:rFonts w:eastAsia="Palatino Linotype" w:cs="Palatino Linotype"/>
          <w:color w:val="000000"/>
          <w:szCs w:val="24"/>
        </w:rPr>
        <w:t xml:space="preserve">Y GUADALUPE RAMÍREZ PEÑA, EN LA </w:t>
      </w:r>
      <w:r w:rsidR="00697B3A" w:rsidRPr="00A53CD2">
        <w:rPr>
          <w:rFonts w:eastAsia="Palatino Linotype" w:cs="Palatino Linotype"/>
          <w:color w:val="000000"/>
          <w:szCs w:val="24"/>
        </w:rPr>
        <w:t xml:space="preserve">VIGÉSIMA </w:t>
      </w:r>
      <w:r w:rsidR="00515003" w:rsidRPr="00A53CD2">
        <w:rPr>
          <w:rFonts w:eastAsia="Palatino Linotype" w:cs="Palatino Linotype"/>
          <w:color w:val="000000"/>
          <w:szCs w:val="24"/>
        </w:rPr>
        <w:t>SÉPTIMA</w:t>
      </w:r>
      <w:r w:rsidR="002475C3" w:rsidRPr="00A53CD2">
        <w:rPr>
          <w:rFonts w:eastAsia="Palatino Linotype" w:cs="Palatino Linotype"/>
          <w:color w:val="000000"/>
          <w:szCs w:val="24"/>
        </w:rPr>
        <w:t xml:space="preserve"> </w:t>
      </w:r>
      <w:r w:rsidR="006922F5" w:rsidRPr="00A53CD2">
        <w:rPr>
          <w:rFonts w:eastAsia="Palatino Linotype" w:cs="Palatino Linotype"/>
          <w:color w:val="000000"/>
          <w:szCs w:val="24"/>
        </w:rPr>
        <w:t>SESIÓN ORDINARIA CELEBRADA EL</w:t>
      </w:r>
      <w:r w:rsidR="000D2E93" w:rsidRPr="00A53CD2">
        <w:rPr>
          <w:rFonts w:eastAsia="Palatino Linotype" w:cs="Palatino Linotype"/>
          <w:color w:val="000000"/>
          <w:szCs w:val="24"/>
        </w:rPr>
        <w:t xml:space="preserve"> </w:t>
      </w:r>
      <w:r w:rsidR="00515003" w:rsidRPr="00A53CD2">
        <w:rPr>
          <w:rFonts w:eastAsia="Palatino Linotype" w:cs="Palatino Linotype"/>
          <w:color w:val="000000"/>
          <w:szCs w:val="24"/>
        </w:rPr>
        <w:t>DOS DE AGOSTO</w:t>
      </w:r>
      <w:r w:rsidR="00697B3A" w:rsidRPr="00A53CD2">
        <w:rPr>
          <w:rFonts w:eastAsia="Palatino Linotype" w:cs="Palatino Linotype"/>
          <w:color w:val="000000"/>
          <w:szCs w:val="24"/>
        </w:rPr>
        <w:t xml:space="preserve"> </w:t>
      </w:r>
      <w:r w:rsidR="002475C3" w:rsidRPr="00A53CD2">
        <w:rPr>
          <w:rFonts w:eastAsia="Palatino Linotype" w:cs="Palatino Linotype"/>
          <w:color w:val="000000"/>
          <w:szCs w:val="24"/>
        </w:rPr>
        <w:t>DE DOS MIL VEINTITRÉS</w:t>
      </w:r>
      <w:r w:rsidR="006922F5" w:rsidRPr="00A53CD2">
        <w:rPr>
          <w:rFonts w:eastAsia="Palatino Linotype" w:cs="Palatino Linotype"/>
          <w:color w:val="000000"/>
          <w:szCs w:val="24"/>
        </w:rPr>
        <w:t>, ANTE EL SECRETARIO TÉCNICO DEL PLENO, ALEXIS TAPIA RAMÍREZ</w:t>
      </w:r>
      <w:r w:rsidR="00A970D5" w:rsidRPr="00A53CD2">
        <w:rPr>
          <w:rFonts w:eastAsia="Palatino Linotype" w:cs="Palatino Linotype"/>
          <w:color w:val="000000"/>
          <w:szCs w:val="24"/>
        </w:rPr>
        <w:t>.---------------------------</w:t>
      </w:r>
      <w:r w:rsidR="000C65DD" w:rsidRPr="00A53CD2">
        <w:rPr>
          <w:rFonts w:eastAsia="Palatino Linotype" w:cs="Palatino Linotype"/>
          <w:color w:val="000000"/>
          <w:szCs w:val="24"/>
        </w:rPr>
        <w:t>----------------------------------------------------------------</w:t>
      </w:r>
      <w:r w:rsidR="000C65DD" w:rsidRPr="00A53CD2">
        <w:rPr>
          <w:rFonts w:eastAsia="Times New Roman" w:cs="Times New Roman"/>
          <w:szCs w:val="24"/>
          <w:lang w:eastAsia="es-ES"/>
        </w:rPr>
        <w:t>-------------------------------------------------------------------------------------------------------------------------------------------------------------------------------------------------------------------------------------------------------------------------------------------------------------------------------------------------------------------------------------------------------------------------------------------------------------------------------------------------------------------------------------------------------------------------------------------------------------------------------------------------------------------------------------------------------------------------------------------------------------------------------------------------------------------------------------------------------------------------------------------------------------------------------------------------------------------------------------------------------------------------------------------------------------------------------------------------------------------------------------------------------------------------------------------------------------------</w:t>
      </w:r>
      <w:r w:rsidR="00515003" w:rsidRPr="00A53CD2">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A53CD2">
        <w:rPr>
          <w:rFonts w:eastAsia="Palatino Linotype" w:cs="Palatino Linotype"/>
          <w:color w:val="000000"/>
          <w:sz w:val="20"/>
          <w:szCs w:val="20"/>
        </w:rPr>
        <w:t>JMV/CCR/fzh</w:t>
      </w:r>
      <w:bookmarkStart w:id="0" w:name="_GoBack"/>
      <w:bookmarkEnd w:id="0"/>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9DCD6" w14:textId="77777777" w:rsidR="009C1887" w:rsidRDefault="009C1887" w:rsidP="00F2498E">
      <w:pPr>
        <w:spacing w:line="240" w:lineRule="auto"/>
      </w:pPr>
      <w:r>
        <w:separator/>
      </w:r>
    </w:p>
  </w:endnote>
  <w:endnote w:type="continuationSeparator" w:id="0">
    <w:p w14:paraId="21B1CCA5" w14:textId="77777777" w:rsidR="009C1887" w:rsidRDefault="009C1887" w:rsidP="00F2498E">
      <w:pPr>
        <w:spacing w:line="240" w:lineRule="auto"/>
      </w:pPr>
      <w:r>
        <w:continuationSeparator/>
      </w:r>
    </w:p>
  </w:endnote>
  <w:endnote w:type="continuationNotice" w:id="1">
    <w:p w14:paraId="746BA4C5" w14:textId="77777777" w:rsidR="009C1887" w:rsidRDefault="009C18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3CD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3CD2">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53CD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53CD2">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7FED2" w14:textId="77777777" w:rsidR="009C1887" w:rsidRDefault="009C1887" w:rsidP="00F2498E">
      <w:pPr>
        <w:spacing w:line="240" w:lineRule="auto"/>
      </w:pPr>
      <w:r>
        <w:separator/>
      </w:r>
    </w:p>
  </w:footnote>
  <w:footnote w:type="continuationSeparator" w:id="0">
    <w:p w14:paraId="60D44847" w14:textId="77777777" w:rsidR="009C1887" w:rsidRDefault="009C1887" w:rsidP="00F2498E">
      <w:pPr>
        <w:spacing w:line="240" w:lineRule="auto"/>
      </w:pPr>
      <w:r>
        <w:continuationSeparator/>
      </w:r>
    </w:p>
  </w:footnote>
  <w:footnote w:type="continuationNotice" w:id="1">
    <w:p w14:paraId="6757E64A" w14:textId="77777777" w:rsidR="009C1887" w:rsidRDefault="009C1887">
      <w:pPr>
        <w:spacing w:line="240" w:lineRule="auto"/>
      </w:pPr>
    </w:p>
  </w:footnote>
  <w:footnote w:id="2">
    <w:p w14:paraId="2348F3B8" w14:textId="77777777" w:rsidR="001D660A"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E85C49" w:rsidRPr="0031280C" w:rsidRDefault="00E85C49"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A53CD2">
    <w:pPr>
      <w:pStyle w:val="Encabezado"/>
    </w:pPr>
    <w:r>
      <w:rPr>
        <w:noProof/>
        <w:lang w:val="es-MX" w:eastAsia="es-MX"/>
      </w:rPr>
      <w:pict w14:anchorId="698AE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8195"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22ACCC2" w:rsidR="001D660A" w:rsidRPr="00096248" w:rsidRDefault="00657695" w:rsidP="00011C4D">
          <w:pPr>
            <w:spacing w:after="120" w:line="240" w:lineRule="auto"/>
            <w:ind w:right="71"/>
            <w:jc w:val="right"/>
            <w:rPr>
              <w:rFonts w:cs="Arial"/>
              <w:b/>
              <w:szCs w:val="24"/>
            </w:rPr>
          </w:pPr>
          <w:r>
            <w:rPr>
              <w:rFonts w:cs="Arial"/>
              <w:b/>
              <w:bCs/>
              <w:szCs w:val="24"/>
            </w:rPr>
            <w:t>0</w:t>
          </w:r>
          <w:r w:rsidR="00557515">
            <w:rPr>
              <w:rFonts w:cs="Arial"/>
              <w:b/>
              <w:bCs/>
              <w:szCs w:val="24"/>
            </w:rPr>
            <w:t>229</w:t>
          </w:r>
          <w:r w:rsidR="008D4CC6">
            <w:rPr>
              <w:rFonts w:cs="Arial"/>
              <w:b/>
              <w:bCs/>
              <w:szCs w:val="24"/>
            </w:rPr>
            <w:t>5</w:t>
          </w:r>
          <w:r w:rsidR="001D660A" w:rsidRPr="00096248">
            <w:rPr>
              <w:rFonts w:cs="Arial"/>
              <w:b/>
              <w:bCs/>
              <w:szCs w:val="24"/>
            </w:rPr>
            <w:t>/INFOEM/IP/RR/202</w:t>
          </w:r>
          <w:r>
            <w:rPr>
              <w:rFonts w:cs="Arial"/>
              <w:b/>
              <w:bCs/>
              <w:szCs w:val="24"/>
            </w:rPr>
            <w:t>3</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71FC112" w:rsidR="001D660A" w:rsidRPr="00096248" w:rsidRDefault="00557515" w:rsidP="00011C4D">
          <w:pPr>
            <w:spacing w:after="120" w:line="240" w:lineRule="auto"/>
            <w:ind w:left="-81" w:right="71"/>
            <w:jc w:val="right"/>
            <w:rPr>
              <w:rFonts w:cs="Arial"/>
              <w:szCs w:val="24"/>
            </w:rPr>
          </w:pPr>
          <w:r>
            <w:rPr>
              <w:rFonts w:cs="Arial"/>
              <w:szCs w:val="24"/>
            </w:rPr>
            <w:t>Secretaría de Desarrollo Urbano y Obra</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A53CD2">
    <w:pPr>
      <w:pStyle w:val="Encabezado"/>
      <w:rPr>
        <w:sz w:val="2"/>
      </w:rPr>
    </w:pPr>
    <w:r>
      <w:rPr>
        <w:noProof/>
        <w:lang w:val="es-MX" w:eastAsia="es-MX"/>
      </w:rPr>
      <w:pict w14:anchorId="5B393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8194" type="#_x0000_t75" alt="" style="position:absolute;left:0;text-align:left;margin-left:-81.6pt;margin-top:-142.1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BE8D0E1" w:rsidR="001D660A" w:rsidRPr="00C81ECD" w:rsidRDefault="00657695" w:rsidP="00011C4D">
          <w:pPr>
            <w:spacing w:after="120" w:line="240" w:lineRule="auto"/>
            <w:ind w:left="-486" w:right="68" w:firstLine="558"/>
            <w:jc w:val="right"/>
            <w:rPr>
              <w:rFonts w:cs="Arial"/>
              <w:b/>
              <w:szCs w:val="24"/>
            </w:rPr>
          </w:pPr>
          <w:r>
            <w:rPr>
              <w:rFonts w:cs="Arial"/>
              <w:b/>
              <w:bCs/>
              <w:szCs w:val="24"/>
            </w:rPr>
            <w:t>0</w:t>
          </w:r>
          <w:r w:rsidR="00557515">
            <w:rPr>
              <w:rFonts w:cs="Arial"/>
              <w:b/>
              <w:bCs/>
              <w:szCs w:val="24"/>
            </w:rPr>
            <w:t>229</w:t>
          </w:r>
          <w:r w:rsidR="008D4CC6">
            <w:rPr>
              <w:rFonts w:cs="Arial"/>
              <w:b/>
              <w:bCs/>
              <w:szCs w:val="24"/>
            </w:rPr>
            <w:t>5</w:t>
          </w:r>
          <w:r>
            <w:rPr>
              <w:rFonts w:cs="Arial"/>
              <w:b/>
              <w:bCs/>
              <w:szCs w:val="24"/>
            </w:rPr>
            <w:t>/INFOEM/IP/RR/2023</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1114CF5" w:rsidR="001D660A" w:rsidRPr="00663A37" w:rsidRDefault="00090E87" w:rsidP="00657695">
          <w:pPr>
            <w:spacing w:after="120" w:line="240" w:lineRule="auto"/>
            <w:ind w:right="68"/>
            <w:jc w:val="right"/>
            <w:rPr>
              <w:rFonts w:cs="Arial"/>
              <w:szCs w:val="24"/>
            </w:rPr>
          </w:pPr>
          <w:r>
            <w:rPr>
              <w:rFonts w:cs="Arial"/>
              <w:szCs w:val="24"/>
            </w:rPr>
            <w:t>XXXXXXXXXXXXXXXXXXXXXX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BF03AE4" w:rsidR="001D660A" w:rsidRPr="00663A37" w:rsidRDefault="00557515" w:rsidP="00011C4D">
          <w:pPr>
            <w:spacing w:after="120" w:line="240" w:lineRule="auto"/>
            <w:ind w:left="-70" w:right="68"/>
            <w:jc w:val="right"/>
            <w:rPr>
              <w:rFonts w:cs="Arial"/>
              <w:szCs w:val="24"/>
            </w:rPr>
          </w:pPr>
          <w:r>
            <w:rPr>
              <w:rFonts w:cs="Arial"/>
              <w:szCs w:val="24"/>
            </w:rPr>
            <w:t>Secretaría de Desarrollo Urbano y Obra</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A53CD2">
    <w:pPr>
      <w:pStyle w:val="Encabezado"/>
      <w:rPr>
        <w:sz w:val="2"/>
      </w:rPr>
    </w:pPr>
    <w:r>
      <w:rPr>
        <w:noProof/>
        <w:lang w:val="es-MX" w:eastAsia="es-MX"/>
      </w:rPr>
      <w:pict w14:anchorId="7008D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alt="" style="position:absolute;left:0;text-align:left;margin-left:-81.2pt;margin-top:-142.4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085F"/>
    <w:multiLevelType w:val="hybridMultilevel"/>
    <w:tmpl w:val="6894508A"/>
    <w:lvl w:ilvl="0" w:tplc="56C2A6C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F24E12"/>
    <w:multiLevelType w:val="hybridMultilevel"/>
    <w:tmpl w:val="C328692C"/>
    <w:lvl w:ilvl="0" w:tplc="522A9A6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C463B7"/>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461D0FA8"/>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9FB3F92"/>
    <w:multiLevelType w:val="multilevel"/>
    <w:tmpl w:val="A886BD2C"/>
    <w:styleLink w:val="Listaactual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2400BA"/>
    <w:multiLevelType w:val="multilevel"/>
    <w:tmpl w:val="5B740750"/>
    <w:styleLink w:val="Listaactual16"/>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C961D3"/>
    <w:multiLevelType w:val="hybridMultilevel"/>
    <w:tmpl w:val="5B740750"/>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5"/>
  </w:num>
  <w:num w:numId="3">
    <w:abstractNumId w:val="5"/>
  </w:num>
  <w:num w:numId="4">
    <w:abstractNumId w:val="27"/>
  </w:num>
  <w:num w:numId="5">
    <w:abstractNumId w:val="25"/>
  </w:num>
  <w:num w:numId="6">
    <w:abstractNumId w:val="8"/>
  </w:num>
  <w:num w:numId="7">
    <w:abstractNumId w:val="32"/>
  </w:num>
  <w:num w:numId="8">
    <w:abstractNumId w:val="42"/>
  </w:num>
  <w:num w:numId="9">
    <w:abstractNumId w:val="34"/>
  </w:num>
  <w:num w:numId="10">
    <w:abstractNumId w:val="4"/>
  </w:num>
  <w:num w:numId="11">
    <w:abstractNumId w:val="29"/>
  </w:num>
  <w:num w:numId="12">
    <w:abstractNumId w:val="9"/>
  </w:num>
  <w:num w:numId="13">
    <w:abstractNumId w:val="11"/>
  </w:num>
  <w:num w:numId="14">
    <w:abstractNumId w:val="26"/>
  </w:num>
  <w:num w:numId="15">
    <w:abstractNumId w:val="15"/>
  </w:num>
  <w:num w:numId="16">
    <w:abstractNumId w:val="36"/>
  </w:num>
  <w:num w:numId="17">
    <w:abstractNumId w:val="39"/>
  </w:num>
  <w:num w:numId="18">
    <w:abstractNumId w:val="2"/>
  </w:num>
  <w:num w:numId="19">
    <w:abstractNumId w:val="33"/>
  </w:num>
  <w:num w:numId="20">
    <w:abstractNumId w:val="7"/>
  </w:num>
  <w:num w:numId="21">
    <w:abstractNumId w:val="23"/>
  </w:num>
  <w:num w:numId="22">
    <w:abstractNumId w:val="3"/>
  </w:num>
  <w:num w:numId="23">
    <w:abstractNumId w:val="1"/>
  </w:num>
  <w:num w:numId="24">
    <w:abstractNumId w:val="13"/>
  </w:num>
  <w:num w:numId="25">
    <w:abstractNumId w:val="16"/>
  </w:num>
  <w:num w:numId="26">
    <w:abstractNumId w:val="14"/>
  </w:num>
  <w:num w:numId="27">
    <w:abstractNumId w:val="41"/>
  </w:num>
  <w:num w:numId="28">
    <w:abstractNumId w:val="38"/>
  </w:num>
  <w:num w:numId="29">
    <w:abstractNumId w:val="6"/>
  </w:num>
  <w:num w:numId="30">
    <w:abstractNumId w:val="24"/>
  </w:num>
  <w:num w:numId="31">
    <w:abstractNumId w:val="31"/>
  </w:num>
  <w:num w:numId="32">
    <w:abstractNumId w:val="17"/>
  </w:num>
  <w:num w:numId="33">
    <w:abstractNumId w:val="18"/>
  </w:num>
  <w:num w:numId="34">
    <w:abstractNumId w:val="28"/>
  </w:num>
  <w:num w:numId="35">
    <w:abstractNumId w:val="20"/>
  </w:num>
  <w:num w:numId="36">
    <w:abstractNumId w:val="21"/>
  </w:num>
  <w:num w:numId="37">
    <w:abstractNumId w:val="0"/>
  </w:num>
  <w:num w:numId="38">
    <w:abstractNumId w:val="30"/>
  </w:num>
  <w:num w:numId="39">
    <w:abstractNumId w:val="10"/>
  </w:num>
  <w:num w:numId="40">
    <w:abstractNumId w:val="22"/>
  </w:num>
  <w:num w:numId="41">
    <w:abstractNumId w:val="12"/>
  </w:num>
  <w:num w:numId="42">
    <w:abstractNumId w:val="40"/>
  </w:num>
  <w:num w:numId="43">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17DEA"/>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1FD0"/>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0E8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890"/>
    <w:rsid w:val="000A5EA1"/>
    <w:rsid w:val="000A7D80"/>
    <w:rsid w:val="000B1F27"/>
    <w:rsid w:val="000B2390"/>
    <w:rsid w:val="000B28CF"/>
    <w:rsid w:val="000B4159"/>
    <w:rsid w:val="000B491D"/>
    <w:rsid w:val="000B51CE"/>
    <w:rsid w:val="000B5608"/>
    <w:rsid w:val="000B65C3"/>
    <w:rsid w:val="000C01A1"/>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4651"/>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431"/>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126"/>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4FE"/>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5F8"/>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003"/>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57515"/>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2FE"/>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009"/>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260"/>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174E"/>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B89"/>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3CD2"/>
    <w:rsid w:val="00A541FE"/>
    <w:rsid w:val="00A55724"/>
    <w:rsid w:val="00A60841"/>
    <w:rsid w:val="00A61A4E"/>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8FD"/>
    <w:rsid w:val="00AB5F3B"/>
    <w:rsid w:val="00AC004D"/>
    <w:rsid w:val="00AC09F1"/>
    <w:rsid w:val="00AC2BD0"/>
    <w:rsid w:val="00AC38A9"/>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307F"/>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1B69"/>
    <w:rsid w:val="00B720DB"/>
    <w:rsid w:val="00B7356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82F"/>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4DA9"/>
    <w:rsid w:val="00DC63B3"/>
    <w:rsid w:val="00DC6B6C"/>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1D22"/>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8CE"/>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6F7"/>
    <w:rsid w:val="00FE599A"/>
    <w:rsid w:val="00FE663C"/>
    <w:rsid w:val="00FE76FD"/>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 w:type="numbering" w:customStyle="1" w:styleId="Listaactual15">
    <w:name w:val="Lista actual15"/>
    <w:uiPriority w:val="99"/>
    <w:rsid w:val="00DC4DA9"/>
    <w:pPr>
      <w:numPr>
        <w:numId w:val="38"/>
      </w:numPr>
    </w:pPr>
  </w:style>
  <w:style w:type="numbering" w:customStyle="1" w:styleId="Listaactual16">
    <w:name w:val="Lista actual16"/>
    <w:uiPriority w:val="99"/>
    <w:rsid w:val="00B71B69"/>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F8BB-8E97-44E1-A298-9A4F98C9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29</Pages>
  <Words>7490</Words>
  <Characters>41195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2019-06-13T15:30:00Z</cp:lastPrinted>
  <dcterms:created xsi:type="dcterms:W3CDTF">2023-05-24T23:17:00Z</dcterms:created>
  <dcterms:modified xsi:type="dcterms:W3CDTF">2023-10-17T17:58:00Z</dcterms:modified>
</cp:coreProperties>
</file>