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0220E" w:rsidR="00836192" w:rsidP="0024622D" w:rsidRDefault="00836192" w14:paraId="6A2027F0" w14:textId="40E7DEF8">
      <w:pPr>
        <w:spacing w:line="360" w:lineRule="auto"/>
        <w:jc w:val="both"/>
        <w:rPr>
          <w:rFonts w:ascii="Palatino Linotype" w:hAnsi="Palatino Linotype" w:cs="Tahoma"/>
          <w:sz w:val="22"/>
          <w:szCs w:val="22"/>
        </w:rPr>
      </w:pPr>
      <w:r w:rsidRPr="00E0220E">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E0220E" w:rsidR="002E4BC1">
        <w:rPr>
          <w:rFonts w:ascii="Palatino Linotype" w:hAnsi="Palatino Linotype" w:cs="Tahoma"/>
          <w:bCs/>
          <w:sz w:val="22"/>
          <w:szCs w:val="22"/>
        </w:rPr>
        <w:t>ocho</w:t>
      </w:r>
      <w:r w:rsidRPr="00E0220E" w:rsidR="007D2BD0">
        <w:rPr>
          <w:rFonts w:ascii="Palatino Linotype" w:hAnsi="Palatino Linotype" w:cs="Tahoma"/>
          <w:bCs/>
          <w:sz w:val="22"/>
          <w:szCs w:val="22"/>
        </w:rPr>
        <w:t xml:space="preserve"> de </w:t>
      </w:r>
      <w:r w:rsidRPr="00E0220E" w:rsidR="002E4BC1">
        <w:rPr>
          <w:rFonts w:ascii="Palatino Linotype" w:hAnsi="Palatino Linotype" w:cs="Tahoma"/>
          <w:bCs/>
          <w:sz w:val="22"/>
          <w:szCs w:val="22"/>
        </w:rPr>
        <w:t>marzo</w:t>
      </w:r>
      <w:r w:rsidRPr="00E0220E" w:rsidR="00F86B39">
        <w:rPr>
          <w:rFonts w:ascii="Palatino Linotype" w:hAnsi="Palatino Linotype" w:cs="Tahoma"/>
          <w:bCs/>
          <w:sz w:val="22"/>
          <w:szCs w:val="22"/>
        </w:rPr>
        <w:t xml:space="preserve"> </w:t>
      </w:r>
      <w:r w:rsidRPr="00E0220E">
        <w:rPr>
          <w:rFonts w:ascii="Palatino Linotype" w:hAnsi="Palatino Linotype" w:cs="Tahoma"/>
          <w:bCs/>
          <w:sz w:val="22"/>
          <w:szCs w:val="22"/>
        </w:rPr>
        <w:t>de dos mil veinti</w:t>
      </w:r>
      <w:r w:rsidRPr="00E0220E" w:rsidR="001D1818">
        <w:rPr>
          <w:rFonts w:ascii="Palatino Linotype" w:hAnsi="Palatino Linotype" w:cs="Tahoma"/>
          <w:bCs/>
          <w:sz w:val="22"/>
          <w:szCs w:val="22"/>
        </w:rPr>
        <w:t>trés</w:t>
      </w:r>
      <w:r w:rsidRPr="00E0220E">
        <w:rPr>
          <w:rFonts w:ascii="Palatino Linotype" w:hAnsi="Palatino Linotype" w:cs="Tahoma"/>
          <w:bCs/>
          <w:sz w:val="22"/>
          <w:szCs w:val="22"/>
        </w:rPr>
        <w:t xml:space="preserve">. </w:t>
      </w:r>
    </w:p>
    <w:p w:rsidRPr="00E0220E" w:rsidR="00836192" w:rsidP="0024622D" w:rsidRDefault="00836192" w14:paraId="6EA90397" w14:textId="77777777">
      <w:pPr>
        <w:spacing w:line="360" w:lineRule="auto"/>
        <w:rPr>
          <w:rFonts w:ascii="Palatino Linotype" w:hAnsi="Palatino Linotype" w:cs="Tahoma"/>
          <w:bCs/>
          <w:sz w:val="22"/>
          <w:szCs w:val="22"/>
        </w:rPr>
      </w:pPr>
    </w:p>
    <w:p w:rsidRPr="00E0220E" w:rsidR="00836192" w:rsidP="247D8ECF" w:rsidRDefault="00836192" w14:paraId="64FBBD27" w14:textId="0EEABBD9">
      <w:pPr>
        <w:spacing w:line="360" w:lineRule="auto"/>
        <w:jc w:val="both"/>
        <w:rPr>
          <w:rFonts w:ascii="Palatino Linotype" w:hAnsi="Palatino Linotype" w:cs="Tahoma"/>
          <w:sz w:val="22"/>
          <w:szCs w:val="22"/>
        </w:rPr>
      </w:pPr>
      <w:r w:rsidRPr="247D8ECF" w:rsidR="247D8ECF">
        <w:rPr>
          <w:rFonts w:ascii="Palatino Linotype" w:hAnsi="Palatino Linotype" w:cs="Tahoma"/>
          <w:b w:val="1"/>
          <w:bCs w:val="1"/>
          <w:color w:val="0D0D0D" w:themeColor="text1" w:themeTint="F2" w:themeShade="FF"/>
          <w:sz w:val="22"/>
          <w:szCs w:val="22"/>
        </w:rPr>
        <w:t xml:space="preserve">VISTO </w:t>
      </w:r>
      <w:r w:rsidRPr="247D8ECF" w:rsidR="247D8ECF">
        <w:rPr>
          <w:rFonts w:ascii="Palatino Linotype" w:hAnsi="Palatino Linotype" w:cs="Tahoma"/>
          <w:color w:val="0D0D0D" w:themeColor="text1" w:themeTint="F2" w:themeShade="FF"/>
          <w:sz w:val="22"/>
          <w:szCs w:val="22"/>
        </w:rPr>
        <w:t xml:space="preserve">el expediente conformado con motivo del Recurso de Revisión 16851/INFOEM/IP/RR/2022, interpuestos por </w:t>
      </w:r>
      <w:r w:rsidRPr="247D8ECF" w:rsidR="247D8ECF">
        <w:rPr>
          <w:rFonts w:ascii="Palatino Linotype" w:hAnsi="Palatino Linotype" w:cs="Tahoma"/>
          <w:color w:val="0D0D0D" w:themeColor="text1" w:themeTint="F2" w:themeShade="FF"/>
          <w:sz w:val="22"/>
          <w:szCs w:val="22"/>
          <w:highlight w:val="black"/>
        </w:rPr>
        <w:t>XXXXXXXXXXXXXXXXXX</w:t>
      </w:r>
      <w:r w:rsidRPr="247D8ECF" w:rsidR="247D8ECF">
        <w:rPr>
          <w:rFonts w:ascii="Palatino Linotype" w:hAnsi="Palatino Linotype" w:cs="Tahoma"/>
          <w:color w:val="0D0D0D" w:themeColor="text1" w:themeTint="F2" w:themeShade="FF"/>
          <w:sz w:val="22"/>
          <w:szCs w:val="22"/>
        </w:rPr>
        <w:t>, en lo sucesivo el Recurrente o Particular, en contra de la respuesta del Sujeto Obligado, Ayuntamiento de Toluca, a la solicitud de acceso a la información pública 02320/TOLUCA/IP/2022, se emite la presente Resolución, con base en los Antecedentes y C</w:t>
      </w:r>
      <w:r w:rsidRPr="247D8ECF" w:rsidR="247D8ECF">
        <w:rPr>
          <w:rFonts w:ascii="Palatino Linotype" w:hAnsi="Palatino Linotype" w:cs="Tahoma"/>
          <w:sz w:val="22"/>
          <w:szCs w:val="22"/>
        </w:rPr>
        <w:t>onsiderandos que a continuación se exponen:</w:t>
      </w:r>
    </w:p>
    <w:p w:rsidRPr="00E0220E" w:rsidR="00836192" w:rsidP="0024622D" w:rsidRDefault="00836192" w14:paraId="28946067" w14:textId="77777777">
      <w:pPr>
        <w:spacing w:line="360" w:lineRule="auto"/>
        <w:rPr>
          <w:rFonts w:ascii="Palatino Linotype" w:hAnsi="Palatino Linotype" w:cs="Tahoma"/>
          <w:sz w:val="22"/>
          <w:szCs w:val="22"/>
        </w:rPr>
      </w:pPr>
    </w:p>
    <w:p w:rsidRPr="00E0220E" w:rsidR="00836192" w:rsidP="0024622D" w:rsidRDefault="00836192" w14:paraId="5F432416" w14:textId="77777777">
      <w:pPr>
        <w:tabs>
          <w:tab w:val="center" w:pos="4522"/>
          <w:tab w:val="left" w:pos="7245"/>
        </w:tabs>
        <w:spacing w:line="360" w:lineRule="auto"/>
        <w:jc w:val="center"/>
        <w:rPr>
          <w:rFonts w:ascii="Palatino Linotype" w:hAnsi="Palatino Linotype" w:cs="Tahoma"/>
          <w:b/>
          <w:sz w:val="22"/>
          <w:szCs w:val="22"/>
        </w:rPr>
      </w:pPr>
      <w:r w:rsidRPr="00E0220E">
        <w:rPr>
          <w:rFonts w:ascii="Palatino Linotype" w:hAnsi="Palatino Linotype" w:cs="Tahoma"/>
          <w:b/>
          <w:sz w:val="22"/>
          <w:szCs w:val="22"/>
        </w:rPr>
        <w:t>A N T E C E D E N T E S:</w:t>
      </w:r>
    </w:p>
    <w:p w:rsidRPr="00E0220E" w:rsidR="00836192" w:rsidP="0024622D" w:rsidRDefault="00836192" w14:paraId="2DCC4393" w14:textId="77777777">
      <w:pPr>
        <w:pStyle w:val="Prrafodelista"/>
        <w:tabs>
          <w:tab w:val="left" w:pos="567"/>
        </w:tabs>
        <w:spacing w:line="360" w:lineRule="auto"/>
        <w:ind w:left="0"/>
        <w:jc w:val="both"/>
        <w:rPr>
          <w:rFonts w:ascii="Palatino Linotype" w:hAnsi="Palatino Linotype" w:cs="Tahoma"/>
          <w:szCs w:val="22"/>
        </w:rPr>
      </w:pPr>
    </w:p>
    <w:p w:rsidRPr="00E0220E" w:rsidR="00836192" w:rsidP="0024622D" w:rsidRDefault="00836192" w14:paraId="1049213E" w14:textId="77777777">
      <w:pPr>
        <w:pStyle w:val="Prrafodelista"/>
        <w:tabs>
          <w:tab w:val="left" w:pos="567"/>
        </w:tabs>
        <w:spacing w:line="360" w:lineRule="auto"/>
        <w:ind w:left="0"/>
        <w:jc w:val="both"/>
        <w:rPr>
          <w:rFonts w:ascii="Palatino Linotype" w:hAnsi="Palatino Linotype" w:cs="Tahoma"/>
          <w:b/>
          <w:szCs w:val="22"/>
        </w:rPr>
      </w:pPr>
      <w:r w:rsidRPr="00E0220E">
        <w:rPr>
          <w:rFonts w:ascii="Palatino Linotype" w:hAnsi="Palatino Linotype" w:cs="Tahoma"/>
          <w:b/>
          <w:szCs w:val="22"/>
        </w:rPr>
        <w:t xml:space="preserve">I. Presentación de la solicitud de información. </w:t>
      </w:r>
    </w:p>
    <w:p w:rsidRPr="00E0220E" w:rsidR="00836192" w:rsidP="0024622D" w:rsidRDefault="00836192" w14:paraId="608CFBE6" w14:textId="77777777">
      <w:pPr>
        <w:pStyle w:val="Prrafodelista"/>
        <w:tabs>
          <w:tab w:val="left" w:pos="567"/>
        </w:tabs>
        <w:spacing w:line="360" w:lineRule="auto"/>
        <w:ind w:left="0"/>
        <w:jc w:val="both"/>
        <w:rPr>
          <w:rFonts w:ascii="Palatino Linotype" w:hAnsi="Palatino Linotype" w:cs="Tahoma"/>
          <w:szCs w:val="22"/>
        </w:rPr>
      </w:pPr>
    </w:p>
    <w:p w:rsidRPr="00E0220E" w:rsidR="00836192" w:rsidP="0024622D" w:rsidRDefault="00836192" w14:paraId="1BA87F1F" w14:textId="0916A3CF">
      <w:pPr>
        <w:pStyle w:val="Prrafodelista"/>
        <w:tabs>
          <w:tab w:val="left" w:pos="567"/>
        </w:tabs>
        <w:spacing w:line="360" w:lineRule="auto"/>
        <w:ind w:left="0"/>
        <w:jc w:val="both"/>
        <w:rPr>
          <w:rFonts w:ascii="Palatino Linotype" w:hAnsi="Palatino Linotype" w:cs="Tahoma"/>
          <w:b/>
          <w:szCs w:val="22"/>
        </w:rPr>
      </w:pPr>
      <w:r w:rsidRPr="00E0220E">
        <w:rPr>
          <w:rFonts w:ascii="Palatino Linotype" w:hAnsi="Palatino Linotype" w:cs="Tahoma"/>
          <w:szCs w:val="22"/>
        </w:rPr>
        <w:t xml:space="preserve">Con fecha </w:t>
      </w:r>
      <w:r w:rsidRPr="00E0220E" w:rsidR="001D1818">
        <w:rPr>
          <w:rFonts w:ascii="Palatino Linotype" w:hAnsi="Palatino Linotype" w:cs="Tahoma"/>
          <w:szCs w:val="22"/>
        </w:rPr>
        <w:t>treinta y uno</w:t>
      </w:r>
      <w:r w:rsidRPr="00E0220E" w:rsidR="0086262C">
        <w:rPr>
          <w:rFonts w:ascii="Palatino Linotype" w:hAnsi="Palatino Linotype" w:cs="Tahoma"/>
          <w:szCs w:val="22"/>
        </w:rPr>
        <w:t xml:space="preserve"> de </w:t>
      </w:r>
      <w:r w:rsidRPr="00E0220E" w:rsidR="001D1818">
        <w:rPr>
          <w:rFonts w:ascii="Palatino Linotype" w:hAnsi="Palatino Linotype" w:cs="Tahoma"/>
          <w:szCs w:val="22"/>
        </w:rPr>
        <w:t>octubre</w:t>
      </w:r>
      <w:r w:rsidRPr="00E0220E">
        <w:rPr>
          <w:rFonts w:ascii="Palatino Linotype" w:hAnsi="Palatino Linotype" w:cs="Tahoma"/>
          <w:szCs w:val="22"/>
        </w:rPr>
        <w:t xml:space="preserve"> de dos mil veinti</w:t>
      </w:r>
      <w:r w:rsidRPr="00E0220E" w:rsidR="00C43D9A">
        <w:rPr>
          <w:rFonts w:ascii="Palatino Linotype" w:hAnsi="Palatino Linotype" w:cs="Tahoma"/>
          <w:szCs w:val="22"/>
        </w:rPr>
        <w:t>dós</w:t>
      </w:r>
      <w:r w:rsidRPr="00E0220E">
        <w:rPr>
          <w:rFonts w:ascii="Palatino Linotype" w:hAnsi="Palatino Linotype" w:cs="Tahoma"/>
          <w:szCs w:val="22"/>
        </w:rPr>
        <w:t xml:space="preserve">, </w:t>
      </w:r>
      <w:r w:rsidRPr="00E0220E" w:rsidR="00755B38">
        <w:rPr>
          <w:rFonts w:ascii="Palatino Linotype" w:hAnsi="Palatino Linotype" w:cs="Tahoma"/>
          <w:szCs w:val="22"/>
        </w:rPr>
        <w:t>se tuvo por presentada</w:t>
      </w:r>
      <w:r w:rsidRPr="00E0220E">
        <w:rPr>
          <w:rFonts w:ascii="Palatino Linotype" w:hAnsi="Palatino Linotype" w:cs="Tahoma"/>
          <w:szCs w:val="22"/>
        </w:rPr>
        <w:t xml:space="preserve"> una solicitud de acceso a la información pública</w:t>
      </w:r>
      <w:r w:rsidRPr="00E0220E" w:rsidR="00755B38">
        <w:rPr>
          <w:rFonts w:ascii="Palatino Linotype" w:hAnsi="Palatino Linotype" w:cs="Tahoma"/>
          <w:szCs w:val="22"/>
        </w:rPr>
        <w:t xml:space="preserve"> realizada por el Particular</w:t>
      </w:r>
      <w:r w:rsidRPr="00E0220E">
        <w:rPr>
          <w:rFonts w:ascii="Palatino Linotype" w:hAnsi="Palatino Linotype" w:cs="Tahoma"/>
          <w:szCs w:val="22"/>
        </w:rPr>
        <w:t xml:space="preserve">, a través del Sistema de Acceso a la Información Mexiquense </w:t>
      </w:r>
      <w:r w:rsidRPr="00E0220E">
        <w:rPr>
          <w:rFonts w:ascii="Palatino Linotype" w:hAnsi="Palatino Linotype" w:cs="Tahoma"/>
          <w:szCs w:val="22"/>
          <w:lang w:val="es-ES"/>
        </w:rPr>
        <w:t>(SAIMEX)</w:t>
      </w:r>
      <w:r w:rsidRPr="00E0220E">
        <w:rPr>
          <w:rFonts w:ascii="Palatino Linotype" w:hAnsi="Palatino Linotype" w:cs="Tahoma"/>
          <w:szCs w:val="22"/>
        </w:rPr>
        <w:t xml:space="preserve">, ante </w:t>
      </w:r>
      <w:r w:rsidRPr="00E0220E" w:rsidR="00C43D9A">
        <w:rPr>
          <w:rFonts w:ascii="Palatino Linotype" w:hAnsi="Palatino Linotype" w:cs="Tahoma"/>
          <w:szCs w:val="22"/>
        </w:rPr>
        <w:t>el</w:t>
      </w:r>
      <w:r w:rsidRPr="00E0220E" w:rsidR="0086262C">
        <w:rPr>
          <w:rFonts w:ascii="Palatino Linotype" w:hAnsi="Palatino Linotype" w:cs="Tahoma"/>
          <w:szCs w:val="22"/>
        </w:rPr>
        <w:t xml:space="preserve"> </w:t>
      </w:r>
      <w:bookmarkStart w:name="_Hlk128486377" w:id="0"/>
      <w:r w:rsidRPr="00E0220E" w:rsidR="001D1818">
        <w:rPr>
          <w:rFonts w:ascii="Palatino Linotype" w:hAnsi="Palatino Linotype" w:cs="Tahoma"/>
          <w:szCs w:val="22"/>
        </w:rPr>
        <w:t>Ayuntamiento de Toluca</w:t>
      </w:r>
      <w:bookmarkEnd w:id="0"/>
      <w:r w:rsidRPr="00E0220E">
        <w:rPr>
          <w:rFonts w:ascii="Palatino Linotype" w:hAnsi="Palatino Linotype" w:cs="Tahoma"/>
          <w:b/>
          <w:szCs w:val="22"/>
        </w:rPr>
        <w:t>,</w:t>
      </w:r>
      <w:r w:rsidRPr="00E0220E" w:rsidR="006F2998">
        <w:rPr>
          <w:rFonts w:ascii="Palatino Linotype" w:hAnsi="Palatino Linotype" w:cs="Tahoma"/>
          <w:b/>
          <w:szCs w:val="22"/>
        </w:rPr>
        <w:t xml:space="preserve"> </w:t>
      </w:r>
      <w:r w:rsidRPr="00E0220E">
        <w:rPr>
          <w:rFonts w:ascii="Palatino Linotype" w:hAnsi="Palatino Linotype" w:cs="Tahoma"/>
          <w:szCs w:val="22"/>
        </w:rPr>
        <w:t>en los siguientes términos:</w:t>
      </w:r>
    </w:p>
    <w:p w:rsidRPr="00E0220E" w:rsidR="00755B38" w:rsidP="0024622D" w:rsidRDefault="00755B38" w14:paraId="79C89257" w14:textId="77777777">
      <w:pPr>
        <w:pStyle w:val="Prrafodelista"/>
        <w:tabs>
          <w:tab w:val="left" w:pos="567"/>
        </w:tabs>
        <w:spacing w:line="360" w:lineRule="auto"/>
        <w:ind w:left="0"/>
        <w:jc w:val="both"/>
        <w:rPr>
          <w:rFonts w:ascii="Palatino Linotype" w:hAnsi="Palatino Linotype" w:cs="Tahoma"/>
          <w:szCs w:val="22"/>
        </w:rPr>
      </w:pPr>
    </w:p>
    <w:p w:rsidRPr="00E0220E" w:rsidR="00877872" w:rsidP="0024622D" w:rsidRDefault="0086262C" w14:paraId="432445B6" w14:textId="689E8398">
      <w:pPr>
        <w:tabs>
          <w:tab w:val="left" w:pos="4667"/>
        </w:tabs>
        <w:spacing w:line="360" w:lineRule="auto"/>
        <w:ind w:left="567" w:right="567"/>
        <w:jc w:val="both"/>
        <w:rPr>
          <w:rFonts w:ascii="Palatino Linotype" w:hAnsi="Palatino Linotype" w:cs="Tahoma"/>
          <w:b/>
          <w:bCs/>
          <w:i/>
        </w:rPr>
      </w:pPr>
      <w:r w:rsidRPr="00E0220E">
        <w:rPr>
          <w:rFonts w:ascii="Palatino Linotype" w:hAnsi="Palatino Linotype" w:cs="Tahoma"/>
          <w:b/>
          <w:bCs/>
          <w:i/>
        </w:rPr>
        <w:t>“</w:t>
      </w:r>
      <w:r w:rsidRPr="00E0220E" w:rsidR="00836192">
        <w:rPr>
          <w:rFonts w:ascii="Palatino Linotype" w:hAnsi="Palatino Linotype" w:cs="Tahoma"/>
          <w:b/>
          <w:bCs/>
          <w:i/>
        </w:rPr>
        <w:t>DESCRIPCIÓN CLARA Y PRECISA DE LA INFORMACIÓN SOLICITADA</w:t>
      </w:r>
    </w:p>
    <w:p w:rsidRPr="00E0220E" w:rsidR="00836192" w:rsidP="0024622D" w:rsidRDefault="001D1818" w14:paraId="5BF45220" w14:textId="097B3953">
      <w:pPr>
        <w:tabs>
          <w:tab w:val="left" w:pos="4667"/>
        </w:tabs>
        <w:spacing w:line="360" w:lineRule="auto"/>
        <w:ind w:left="567" w:right="567"/>
        <w:jc w:val="both"/>
        <w:rPr>
          <w:rFonts w:ascii="Palatino Linotype" w:hAnsi="Palatino Linotype" w:cs="Tahoma"/>
          <w:bCs/>
          <w:i/>
        </w:rPr>
      </w:pPr>
      <w:r w:rsidRPr="00E0220E">
        <w:rPr>
          <w:rFonts w:ascii="Palatino Linotype" w:hAnsi="Palatino Linotype" w:cs="Tahoma"/>
          <w:bCs/>
          <w:i/>
        </w:rPr>
        <w:t xml:space="preserve">¿Cuántas escuelas hay en el municipio de </w:t>
      </w:r>
      <w:proofErr w:type="spellStart"/>
      <w:r w:rsidRPr="00E0220E">
        <w:rPr>
          <w:rFonts w:ascii="Palatino Linotype" w:hAnsi="Palatino Linotype" w:cs="Tahoma"/>
          <w:bCs/>
          <w:i/>
        </w:rPr>
        <w:t>toluca</w:t>
      </w:r>
      <w:proofErr w:type="spellEnd"/>
      <w:r w:rsidRPr="00E0220E">
        <w:rPr>
          <w:rFonts w:ascii="Palatino Linotype" w:hAnsi="Palatino Linotype" w:cs="Tahoma"/>
          <w:bCs/>
          <w:i/>
        </w:rPr>
        <w:t>? ¿Cuántas escuelas pertenecen al sistema federal de educación? ¿Cuántas escuelas pertenecen al sistema estatal de educación? ¿Cuántas escuelas son privadas?</w:t>
      </w:r>
      <w:r w:rsidRPr="00E0220E" w:rsidR="0086262C">
        <w:rPr>
          <w:rFonts w:ascii="Palatino Linotype" w:hAnsi="Palatino Linotype" w:cs="Tahoma"/>
          <w:bCs/>
          <w:i/>
        </w:rPr>
        <w:t>”</w:t>
      </w:r>
      <w:r w:rsidRPr="00E0220E" w:rsidR="00CF6D4F">
        <w:rPr>
          <w:rFonts w:ascii="Palatino Linotype" w:hAnsi="Palatino Linotype" w:cs="Tahoma"/>
          <w:bCs/>
          <w:i/>
        </w:rPr>
        <w:t xml:space="preserve"> </w:t>
      </w:r>
      <w:r w:rsidRPr="00E0220E" w:rsidR="00836192">
        <w:rPr>
          <w:rFonts w:ascii="Palatino Linotype" w:hAnsi="Palatino Linotype" w:cs="Tahoma"/>
          <w:bCs/>
          <w:i/>
        </w:rPr>
        <w:t>(Sic)</w:t>
      </w:r>
    </w:p>
    <w:p w:rsidRPr="00E0220E" w:rsidR="00836192" w:rsidP="0024622D" w:rsidRDefault="00836192" w14:paraId="46FF76E2" w14:textId="77777777">
      <w:pPr>
        <w:tabs>
          <w:tab w:val="left" w:pos="4667"/>
        </w:tabs>
        <w:spacing w:line="360" w:lineRule="auto"/>
        <w:ind w:left="567" w:right="567"/>
        <w:jc w:val="both"/>
        <w:rPr>
          <w:rFonts w:ascii="Palatino Linotype" w:hAnsi="Palatino Linotype" w:cs="Tahoma"/>
          <w:bCs/>
          <w:i/>
        </w:rPr>
      </w:pPr>
    </w:p>
    <w:p w:rsidRPr="00E0220E" w:rsidR="001D1818" w:rsidP="001D1818" w:rsidRDefault="001D1818" w14:paraId="21DC9A85" w14:textId="77777777">
      <w:pPr>
        <w:tabs>
          <w:tab w:val="left" w:pos="4667"/>
        </w:tabs>
        <w:spacing w:line="360" w:lineRule="auto"/>
        <w:ind w:left="567"/>
        <w:jc w:val="both"/>
        <w:rPr>
          <w:rFonts w:ascii="Palatino Linotype" w:hAnsi="Palatino Linotype" w:cs="Tahoma"/>
          <w:b/>
          <w:bCs/>
          <w:i/>
        </w:rPr>
      </w:pPr>
      <w:r w:rsidRPr="00E0220E">
        <w:rPr>
          <w:rFonts w:ascii="Palatino Linotype" w:hAnsi="Palatino Linotype" w:cs="Tahoma"/>
          <w:b/>
          <w:bCs/>
          <w:i/>
        </w:rPr>
        <w:t xml:space="preserve">“Modalidad de Entrega: </w:t>
      </w:r>
    </w:p>
    <w:p w:rsidRPr="00E0220E" w:rsidR="001D1818" w:rsidP="001D1818" w:rsidRDefault="001D1818" w14:paraId="2720937F" w14:textId="77777777">
      <w:pPr>
        <w:tabs>
          <w:tab w:val="left" w:pos="4667"/>
        </w:tabs>
        <w:spacing w:line="360" w:lineRule="auto"/>
        <w:ind w:left="567" w:right="567"/>
        <w:jc w:val="both"/>
        <w:rPr>
          <w:rFonts w:ascii="Palatino Linotype" w:hAnsi="Palatino Linotype" w:cs="Tahoma"/>
          <w:b/>
          <w:bCs/>
          <w:i/>
        </w:rPr>
      </w:pPr>
      <w:r w:rsidRPr="00E0220E">
        <w:rPr>
          <w:rFonts w:ascii="Palatino Linotype" w:hAnsi="Palatino Linotype" w:cs="Tahoma"/>
          <w:b/>
          <w:bCs/>
          <w:i/>
        </w:rPr>
        <w:t xml:space="preserve"> Medio para recibir información o notificaciones</w:t>
      </w:r>
    </w:p>
    <w:p w:rsidRPr="00E0220E" w:rsidR="001D1818" w:rsidP="001D1818" w:rsidRDefault="001D1818" w14:paraId="27C724F0" w14:textId="77777777">
      <w:pPr>
        <w:tabs>
          <w:tab w:val="left" w:pos="4667"/>
        </w:tabs>
        <w:spacing w:line="360" w:lineRule="auto"/>
        <w:ind w:left="567" w:right="567"/>
        <w:jc w:val="both"/>
        <w:rPr>
          <w:rFonts w:ascii="Palatino Linotype" w:hAnsi="Palatino Linotype" w:cs="Tahoma"/>
          <w:bCs/>
          <w:i/>
          <w:szCs w:val="22"/>
        </w:rPr>
      </w:pPr>
      <w:r w:rsidRPr="00E0220E">
        <w:rPr>
          <w:rFonts w:ascii="Palatino Linotype" w:hAnsi="Palatino Linotype" w:cs="Tahoma"/>
          <w:bCs/>
          <w:i/>
          <w:szCs w:val="22"/>
        </w:rPr>
        <w:t>Entrega por el sistema de solicitudes de acceso a la información de la PNT</w:t>
      </w:r>
    </w:p>
    <w:p w:rsidRPr="00E0220E" w:rsidR="001D1818" w:rsidP="001D1818" w:rsidRDefault="001D1818" w14:paraId="546675C1" w14:textId="77777777">
      <w:pPr>
        <w:spacing w:line="360" w:lineRule="auto"/>
        <w:ind w:left="567" w:right="567"/>
        <w:jc w:val="both"/>
        <w:rPr>
          <w:rFonts w:ascii="Palatino Linotype" w:hAnsi="Palatino Linotype" w:cs="Tahoma"/>
          <w:b/>
          <w:bCs/>
          <w:i/>
          <w:szCs w:val="22"/>
        </w:rPr>
      </w:pPr>
      <w:r w:rsidRPr="00E0220E">
        <w:rPr>
          <w:rFonts w:ascii="Palatino Linotype" w:hAnsi="Palatino Linotype" w:cs="Tahoma"/>
          <w:b/>
          <w:bCs/>
          <w:i/>
          <w:szCs w:val="22"/>
        </w:rPr>
        <w:lastRenderedPageBreak/>
        <w:t>Indique cómo desea recibir la información</w:t>
      </w:r>
    </w:p>
    <w:p w:rsidRPr="00E0220E" w:rsidR="001D1818" w:rsidP="001D1818" w:rsidRDefault="001D1818" w14:paraId="79C046F3" w14:textId="77777777">
      <w:pPr>
        <w:spacing w:line="360" w:lineRule="auto"/>
        <w:ind w:left="567" w:right="567"/>
        <w:jc w:val="both"/>
        <w:rPr>
          <w:rFonts w:ascii="Palatino Linotype" w:hAnsi="Palatino Linotype" w:cs="Tahoma"/>
          <w:bCs/>
          <w:i/>
          <w:szCs w:val="22"/>
        </w:rPr>
      </w:pPr>
      <w:r w:rsidRPr="00E0220E">
        <w:rPr>
          <w:rFonts w:ascii="Palatino Linotype" w:hAnsi="Palatino Linotype" w:cs="Tahoma"/>
          <w:bCs/>
          <w:i/>
          <w:szCs w:val="22"/>
        </w:rPr>
        <w:t>Electrónico a través del sistema de solicitudes de acceso la”</w:t>
      </w:r>
    </w:p>
    <w:p w:rsidRPr="00E0220E" w:rsidR="001D1818" w:rsidP="001D1818" w:rsidRDefault="001D1818" w14:paraId="606ED050" w14:textId="77777777">
      <w:pPr>
        <w:spacing w:line="360" w:lineRule="auto"/>
        <w:ind w:left="567" w:right="567"/>
        <w:jc w:val="both"/>
        <w:rPr>
          <w:rFonts w:ascii="Palatino Linotype" w:hAnsi="Palatino Linotype" w:cs="Tahoma"/>
          <w:bCs/>
          <w:i/>
          <w:szCs w:val="22"/>
        </w:rPr>
      </w:pPr>
    </w:p>
    <w:p w:rsidRPr="00E0220E" w:rsidR="001D1818" w:rsidP="001D1818" w:rsidRDefault="001D1818" w14:paraId="163A669B" w14:textId="77777777">
      <w:pPr>
        <w:tabs>
          <w:tab w:val="left" w:pos="567"/>
        </w:tabs>
        <w:spacing w:line="360" w:lineRule="auto"/>
        <w:jc w:val="both"/>
        <w:rPr>
          <w:rFonts w:ascii="Palatino Linotype" w:hAnsi="Palatino Linotype" w:cs="Tahoma"/>
          <w:sz w:val="22"/>
          <w:szCs w:val="22"/>
        </w:rPr>
      </w:pPr>
      <w:r w:rsidRPr="00E0220E">
        <w:rPr>
          <w:rFonts w:ascii="Palatino Linotype" w:hAnsi="Palatino Linotype" w:cs="Tahoma"/>
          <w:sz w:val="22"/>
          <w:szCs w:val="22"/>
        </w:rPr>
        <w:t xml:space="preserve">Cabe señalar que el sistema de solicitudes de acceso a la información de la Plataforma Nacional de Transparencia (PNT), se encuentra vinculado al Sistema de Acceso a la Información Mexiquense (SAIMEX), por lo que, se tiene como modalidad de recibir notificaciones, así como, para entrega de la información </w:t>
      </w:r>
      <w:r w:rsidRPr="00E0220E">
        <w:rPr>
          <w:rFonts w:ascii="Palatino Linotype" w:hAnsi="Palatino Linotype" w:cs="Tahoma"/>
          <w:i/>
          <w:sz w:val="22"/>
          <w:szCs w:val="22"/>
        </w:rPr>
        <w:t>“A través del SAIMEX”.</w:t>
      </w:r>
    </w:p>
    <w:p w:rsidRPr="00E0220E" w:rsidR="005864BF" w:rsidP="0024622D" w:rsidRDefault="005864BF" w14:paraId="67FD01F9" w14:textId="77777777">
      <w:pPr>
        <w:tabs>
          <w:tab w:val="left" w:pos="4667"/>
        </w:tabs>
        <w:spacing w:line="360" w:lineRule="auto"/>
        <w:ind w:right="567"/>
        <w:jc w:val="both"/>
        <w:rPr>
          <w:rFonts w:ascii="Palatino Linotype" w:hAnsi="Palatino Linotype" w:cs="Tahoma"/>
          <w:b/>
          <w:bCs/>
          <w:sz w:val="22"/>
          <w:szCs w:val="24"/>
        </w:rPr>
      </w:pPr>
    </w:p>
    <w:p w:rsidRPr="00E0220E" w:rsidR="005864BF" w:rsidP="0024622D" w:rsidRDefault="005864BF" w14:paraId="70419A07" w14:textId="242B4A6B">
      <w:pPr>
        <w:tabs>
          <w:tab w:val="left" w:pos="4667"/>
        </w:tabs>
        <w:spacing w:line="360" w:lineRule="auto"/>
        <w:ind w:right="567"/>
        <w:jc w:val="both"/>
        <w:rPr>
          <w:rFonts w:ascii="Palatino Linotype" w:hAnsi="Palatino Linotype" w:cs="Tahoma"/>
          <w:b/>
          <w:bCs/>
          <w:sz w:val="22"/>
          <w:szCs w:val="24"/>
        </w:rPr>
      </w:pPr>
      <w:r w:rsidRPr="00E0220E">
        <w:rPr>
          <w:rFonts w:ascii="Palatino Linotype" w:hAnsi="Palatino Linotype" w:cs="Tahoma"/>
          <w:b/>
          <w:bCs/>
          <w:sz w:val="22"/>
          <w:szCs w:val="24"/>
        </w:rPr>
        <w:t xml:space="preserve">II. </w:t>
      </w:r>
      <w:r w:rsidRPr="00E0220E">
        <w:rPr>
          <w:rFonts w:ascii="Palatino Linotype" w:hAnsi="Palatino Linotype" w:cs="Tahoma"/>
          <w:b/>
          <w:sz w:val="22"/>
          <w:szCs w:val="24"/>
        </w:rPr>
        <w:t>Respuesta</w:t>
      </w:r>
      <w:r w:rsidRPr="00E0220E">
        <w:rPr>
          <w:rFonts w:ascii="Palatino Linotype" w:hAnsi="Palatino Linotype" w:cs="Tahoma"/>
          <w:b/>
          <w:bCs/>
          <w:sz w:val="22"/>
          <w:szCs w:val="24"/>
        </w:rPr>
        <w:t xml:space="preserve"> del Sujeto Obligado.</w:t>
      </w:r>
    </w:p>
    <w:p w:rsidRPr="00E0220E" w:rsidR="00836192" w:rsidP="0024622D" w:rsidRDefault="00836192" w14:paraId="41C1F271" w14:textId="77777777">
      <w:pPr>
        <w:pStyle w:val="Prrafodelista"/>
        <w:tabs>
          <w:tab w:val="left" w:pos="567"/>
        </w:tabs>
        <w:spacing w:line="360" w:lineRule="auto"/>
        <w:ind w:left="0"/>
        <w:jc w:val="both"/>
        <w:rPr>
          <w:rFonts w:ascii="Palatino Linotype" w:hAnsi="Palatino Linotype" w:cs="Tahoma"/>
          <w:bCs/>
          <w:szCs w:val="22"/>
        </w:rPr>
      </w:pPr>
    </w:p>
    <w:p w:rsidRPr="00E0220E" w:rsidR="0086262C" w:rsidP="0024622D" w:rsidRDefault="0024622D" w14:paraId="75479242" w14:textId="53F057E2">
      <w:pPr>
        <w:pStyle w:val="Prrafodelista"/>
        <w:tabs>
          <w:tab w:val="left" w:pos="567"/>
        </w:tabs>
        <w:spacing w:line="360" w:lineRule="auto"/>
        <w:ind w:left="0"/>
        <w:jc w:val="both"/>
        <w:rPr>
          <w:rFonts w:ascii="Palatino Linotype" w:hAnsi="Palatino Linotype" w:cs="Tahoma"/>
          <w:szCs w:val="22"/>
        </w:rPr>
      </w:pPr>
      <w:r w:rsidRPr="00E0220E">
        <w:rPr>
          <w:rFonts w:ascii="Palatino Linotype" w:hAnsi="Palatino Linotype" w:cs="Tahoma"/>
          <w:bCs/>
          <w:szCs w:val="22"/>
        </w:rPr>
        <w:t xml:space="preserve">Con fecha </w:t>
      </w:r>
      <w:r w:rsidRPr="00E0220E" w:rsidR="00956DBB">
        <w:rPr>
          <w:rFonts w:ascii="Palatino Linotype" w:hAnsi="Palatino Linotype" w:cs="Tahoma"/>
          <w:bCs/>
          <w:szCs w:val="22"/>
        </w:rPr>
        <w:t>cuatro</w:t>
      </w:r>
      <w:r w:rsidRPr="00E0220E" w:rsidR="0086262C">
        <w:rPr>
          <w:rFonts w:ascii="Palatino Linotype" w:hAnsi="Palatino Linotype" w:cs="Tahoma"/>
          <w:bCs/>
          <w:szCs w:val="22"/>
        </w:rPr>
        <w:t xml:space="preserve"> de </w:t>
      </w:r>
      <w:r w:rsidRPr="00E0220E" w:rsidR="00FB7E62">
        <w:rPr>
          <w:rFonts w:ascii="Palatino Linotype" w:hAnsi="Palatino Linotype" w:cs="Tahoma"/>
          <w:bCs/>
          <w:szCs w:val="22"/>
        </w:rPr>
        <w:t>noviembre</w:t>
      </w:r>
      <w:r w:rsidRPr="00E0220E" w:rsidR="00C43D9A">
        <w:rPr>
          <w:rFonts w:ascii="Palatino Linotype" w:hAnsi="Palatino Linotype" w:cs="Tahoma"/>
          <w:bCs/>
          <w:szCs w:val="22"/>
        </w:rPr>
        <w:t xml:space="preserve"> </w:t>
      </w:r>
      <w:r w:rsidRPr="00E0220E" w:rsidR="00836192">
        <w:rPr>
          <w:rFonts w:ascii="Palatino Linotype" w:hAnsi="Palatino Linotype" w:cs="Tahoma"/>
          <w:bCs/>
          <w:szCs w:val="22"/>
        </w:rPr>
        <w:t>de dos mil veinti</w:t>
      </w:r>
      <w:r w:rsidRPr="00E0220E" w:rsidR="00C43D9A">
        <w:rPr>
          <w:rFonts w:ascii="Palatino Linotype" w:hAnsi="Palatino Linotype" w:cs="Tahoma"/>
          <w:bCs/>
          <w:szCs w:val="22"/>
        </w:rPr>
        <w:t>dós</w:t>
      </w:r>
      <w:r w:rsidRPr="00E0220E" w:rsidR="00836192">
        <w:rPr>
          <w:rFonts w:ascii="Palatino Linotype" w:hAnsi="Palatino Linotype" w:cs="Tahoma"/>
          <w:bCs/>
          <w:szCs w:val="22"/>
        </w:rPr>
        <w:t>,</w:t>
      </w:r>
      <w:r w:rsidRPr="00E0220E" w:rsidR="00836192">
        <w:rPr>
          <w:rFonts w:ascii="Palatino Linotype" w:hAnsi="Palatino Linotype" w:cs="Tahoma"/>
          <w:szCs w:val="22"/>
        </w:rPr>
        <w:t xml:space="preserve"> </w:t>
      </w:r>
      <w:r w:rsidRPr="00E0220E" w:rsidR="00C43D9A">
        <w:rPr>
          <w:rFonts w:ascii="Palatino Linotype" w:hAnsi="Palatino Linotype" w:cs="Tahoma"/>
          <w:szCs w:val="22"/>
        </w:rPr>
        <w:t xml:space="preserve">el </w:t>
      </w:r>
      <w:r w:rsidRPr="00E0220E" w:rsidR="00956DBB">
        <w:rPr>
          <w:rFonts w:ascii="Palatino Linotype" w:hAnsi="Palatino Linotype" w:cs="Tahoma"/>
          <w:szCs w:val="22"/>
        </w:rPr>
        <w:t xml:space="preserve">Ayuntamiento de Toluca </w:t>
      </w:r>
      <w:r w:rsidRPr="00E0220E" w:rsidR="00836192">
        <w:rPr>
          <w:rFonts w:ascii="Palatino Linotype" w:hAnsi="Palatino Linotype" w:cs="Tahoma"/>
          <w:szCs w:val="22"/>
        </w:rPr>
        <w:t>notificó al Solicitante, mediante el Sistema de Acceso a la Información Mexiquense (SAIMEX), la respuesta a la solicitud de acceso a la</w:t>
      </w:r>
      <w:r w:rsidRPr="00E0220E" w:rsidR="0086262C">
        <w:rPr>
          <w:rFonts w:ascii="Palatino Linotype" w:hAnsi="Palatino Linotype" w:cs="Tahoma"/>
          <w:szCs w:val="22"/>
        </w:rPr>
        <w:t xml:space="preserve"> </w:t>
      </w:r>
      <w:r w:rsidRPr="00E0220E" w:rsidR="00836192">
        <w:rPr>
          <w:rFonts w:ascii="Palatino Linotype" w:hAnsi="Palatino Linotype" w:cs="Tahoma"/>
          <w:szCs w:val="22"/>
        </w:rPr>
        <w:t xml:space="preserve">información, </w:t>
      </w:r>
      <w:r w:rsidRPr="00E0220E" w:rsidR="00755B38">
        <w:rPr>
          <w:rFonts w:ascii="Palatino Linotype" w:hAnsi="Palatino Linotype" w:cs="Tahoma"/>
          <w:szCs w:val="22"/>
        </w:rPr>
        <w:t>por medio</w:t>
      </w:r>
      <w:r w:rsidRPr="00E0220E" w:rsidR="0086262C">
        <w:rPr>
          <w:rFonts w:ascii="Palatino Linotype" w:hAnsi="Palatino Linotype" w:cs="Tahoma"/>
          <w:szCs w:val="22"/>
        </w:rPr>
        <w:t xml:space="preserve"> del </w:t>
      </w:r>
      <w:r w:rsidRPr="00E0220E" w:rsidR="00590D0A">
        <w:rPr>
          <w:rFonts w:ascii="Palatino Linotype" w:hAnsi="Palatino Linotype" w:cs="Tahoma"/>
          <w:szCs w:val="22"/>
        </w:rPr>
        <w:t>Titular de la Unidad de Transparencia</w:t>
      </w:r>
      <w:r w:rsidRPr="00E0220E" w:rsidR="00F70958">
        <w:rPr>
          <w:rFonts w:ascii="Palatino Linotype" w:hAnsi="Palatino Linotype" w:cs="Tahoma"/>
          <w:szCs w:val="22"/>
        </w:rPr>
        <w:t>,</w:t>
      </w:r>
      <w:r w:rsidRPr="00E0220E" w:rsidR="0086262C">
        <w:rPr>
          <w:rFonts w:ascii="Palatino Linotype" w:hAnsi="Palatino Linotype" w:cs="Tahoma"/>
          <w:szCs w:val="22"/>
        </w:rPr>
        <w:t xml:space="preserve"> por medio del cual manifiesta </w:t>
      </w:r>
      <w:r w:rsidRPr="00E0220E" w:rsidR="00956DBB">
        <w:rPr>
          <w:rFonts w:ascii="Palatino Linotype" w:hAnsi="Palatino Linotype" w:cs="Tahoma"/>
          <w:szCs w:val="22"/>
        </w:rPr>
        <w:t>su incompetencia de conformidad con lo siguiente</w:t>
      </w:r>
      <w:r w:rsidRPr="00E0220E" w:rsidR="0086262C">
        <w:rPr>
          <w:rFonts w:ascii="Palatino Linotype" w:hAnsi="Palatino Linotype" w:cs="Tahoma"/>
          <w:szCs w:val="22"/>
        </w:rPr>
        <w:t xml:space="preserve">: </w:t>
      </w:r>
    </w:p>
    <w:p w:rsidRPr="00E0220E" w:rsidR="0086262C" w:rsidP="0024622D" w:rsidRDefault="0086262C" w14:paraId="170E655A" w14:textId="1E52E73E">
      <w:pPr>
        <w:pStyle w:val="Prrafodelista"/>
        <w:tabs>
          <w:tab w:val="left" w:pos="567"/>
        </w:tabs>
        <w:spacing w:line="360" w:lineRule="auto"/>
        <w:ind w:left="0"/>
        <w:jc w:val="both"/>
        <w:rPr>
          <w:rFonts w:ascii="Palatino Linotype" w:hAnsi="Palatino Linotype" w:cs="Tahoma"/>
          <w:szCs w:val="22"/>
        </w:rPr>
      </w:pPr>
    </w:p>
    <w:p w:rsidRPr="00E0220E" w:rsidR="0086262C" w:rsidP="0024622D" w:rsidRDefault="0086262C" w14:paraId="6D7DFC2E" w14:textId="0A23571F">
      <w:pPr>
        <w:pStyle w:val="Prrafodelista"/>
        <w:tabs>
          <w:tab w:val="left" w:pos="567"/>
        </w:tabs>
        <w:spacing w:line="360" w:lineRule="auto"/>
        <w:ind w:left="567" w:right="567"/>
        <w:jc w:val="both"/>
        <w:rPr>
          <w:rFonts w:ascii="Palatino Linotype" w:hAnsi="Palatino Linotype" w:cs="Tahoma"/>
          <w:i/>
          <w:iCs/>
          <w:sz w:val="20"/>
          <w:szCs w:val="20"/>
        </w:rPr>
      </w:pPr>
      <w:r w:rsidRPr="00E0220E">
        <w:rPr>
          <w:rFonts w:ascii="Palatino Linotype" w:hAnsi="Palatino Linotype" w:cs="Tahoma"/>
          <w:i/>
          <w:iCs/>
          <w:sz w:val="20"/>
          <w:szCs w:val="20"/>
        </w:rPr>
        <w:t>“…</w:t>
      </w:r>
    </w:p>
    <w:p w:rsidRPr="00E0220E" w:rsidR="00886008" w:rsidP="00886008" w:rsidRDefault="00886008" w14:paraId="78A2E78A" w14:textId="77777777">
      <w:pPr>
        <w:pStyle w:val="Prrafodelista"/>
        <w:tabs>
          <w:tab w:val="left" w:pos="567"/>
        </w:tabs>
        <w:spacing w:line="360" w:lineRule="auto"/>
        <w:ind w:left="567" w:right="567"/>
        <w:jc w:val="both"/>
        <w:rPr>
          <w:rFonts w:ascii="Palatino Linotype" w:hAnsi="Palatino Linotype" w:cs="Tahoma"/>
          <w:i/>
          <w:iCs/>
          <w:sz w:val="20"/>
          <w:szCs w:val="20"/>
        </w:rPr>
      </w:pPr>
      <w:r w:rsidRPr="00E0220E">
        <w:rPr>
          <w:rFonts w:ascii="Palatino Linotype" w:hAnsi="Palatino Linotype" w:cs="Tahoma"/>
          <w:i/>
          <w:iCs/>
          <w:sz w:val="20"/>
          <w:szCs w:val="20"/>
        </w:rPr>
        <w:t xml:space="preserve">Luego entonces, se puede advertir que este Sujeto Obligado, </w:t>
      </w:r>
      <w:r w:rsidRPr="00E0220E">
        <w:rPr>
          <w:rFonts w:ascii="Palatino Linotype" w:hAnsi="Palatino Linotype" w:cs="Tahoma"/>
          <w:b/>
          <w:bCs/>
          <w:i/>
          <w:iCs/>
          <w:sz w:val="20"/>
          <w:szCs w:val="20"/>
          <w:u w:val="single"/>
        </w:rPr>
        <w:t>no tiene las facultades para conocer lo relativo a las políticas y estrategias establecidas por el ejecutivo estatal, en materia de educación, a fin de garantizar la formación integral de los habitantes, con base en los principios fundamentales de humanismo. transparencia, honradez y eficiencia, para consolidar un gobierno de resultados y garantizar una educación incluyente, equitativa y de calidad que promueva las oportunidades de aprendizaje a lo largo de la vida; por tal motivo, se presume que dicha información es competencia de la Secretaría de Educación del Gobierno del Estado de México.</w:t>
      </w:r>
    </w:p>
    <w:p w:rsidRPr="00E0220E" w:rsidR="00886008" w:rsidP="00886008" w:rsidRDefault="00886008" w14:paraId="1C99881B" w14:textId="77777777">
      <w:pPr>
        <w:pStyle w:val="Prrafodelista"/>
        <w:tabs>
          <w:tab w:val="left" w:pos="567"/>
        </w:tabs>
        <w:spacing w:line="360" w:lineRule="auto"/>
        <w:ind w:left="567" w:right="567"/>
        <w:jc w:val="both"/>
        <w:rPr>
          <w:rFonts w:ascii="Palatino Linotype" w:hAnsi="Palatino Linotype" w:cs="Tahoma"/>
          <w:i/>
          <w:iCs/>
          <w:sz w:val="20"/>
          <w:szCs w:val="20"/>
        </w:rPr>
      </w:pPr>
    </w:p>
    <w:p w:rsidRPr="00E0220E" w:rsidR="00886008" w:rsidP="00886008" w:rsidRDefault="00886008" w14:paraId="32520270" w14:textId="4690C589">
      <w:pPr>
        <w:pStyle w:val="Prrafodelista"/>
        <w:tabs>
          <w:tab w:val="left" w:pos="567"/>
        </w:tabs>
        <w:spacing w:line="360" w:lineRule="auto"/>
        <w:ind w:left="567" w:right="567"/>
        <w:jc w:val="both"/>
        <w:rPr>
          <w:rFonts w:ascii="Palatino Linotype" w:hAnsi="Palatino Linotype" w:cs="Tahoma"/>
          <w:i/>
          <w:iCs/>
          <w:sz w:val="20"/>
          <w:szCs w:val="20"/>
        </w:rPr>
      </w:pPr>
      <w:r w:rsidRPr="00E0220E">
        <w:rPr>
          <w:rFonts w:ascii="Palatino Linotype" w:hAnsi="Palatino Linotype" w:cs="Tahoma"/>
          <w:i/>
          <w:iCs/>
          <w:sz w:val="20"/>
          <w:szCs w:val="20"/>
        </w:rPr>
        <w:t xml:space="preserve">De lo vertido en líneas anteriores, con fundamento en el artículo 167 de la Ley en la materia, se hace del conocimiento del solicitante que cuando las Unidades de Transparencia determinen la </w:t>
      </w:r>
      <w:r w:rsidRPr="00E0220E">
        <w:rPr>
          <w:rFonts w:ascii="Palatino Linotype" w:hAnsi="Palatino Linotype" w:cs="Tahoma"/>
          <w:i/>
          <w:iCs/>
          <w:sz w:val="20"/>
          <w:szCs w:val="20"/>
        </w:rPr>
        <w:lastRenderedPageBreak/>
        <w:t>notoria incompetencia por parte de los Sujetos Obligados, dentro del ámbito de aplicación, para atender la solicitud de acceso a la información pública, deberán comunicarlo al solicitante, dentro de los Tres días hábiles posteriores a la recepción de la solicitud y, en su caso, orientar al solicitante sobre el o los sujetos obligados competentes.</w:t>
      </w:r>
    </w:p>
    <w:p w:rsidRPr="00E0220E" w:rsidR="008B0751" w:rsidP="0024622D" w:rsidRDefault="00E950B4" w14:paraId="204CAC43" w14:textId="2DA51CE3">
      <w:pPr>
        <w:pStyle w:val="Prrafodelista"/>
        <w:tabs>
          <w:tab w:val="left" w:pos="567"/>
        </w:tabs>
        <w:spacing w:line="360" w:lineRule="auto"/>
        <w:ind w:left="567" w:right="567"/>
        <w:jc w:val="both"/>
        <w:rPr>
          <w:rFonts w:ascii="Palatino Linotype" w:hAnsi="Palatino Linotype" w:cs="Tahoma"/>
          <w:i/>
          <w:iCs/>
          <w:sz w:val="20"/>
          <w:szCs w:val="20"/>
        </w:rPr>
      </w:pPr>
      <w:r w:rsidRPr="00E0220E">
        <w:rPr>
          <w:rFonts w:ascii="Palatino Linotype" w:hAnsi="Palatino Linotype" w:cs="Tahoma"/>
          <w:i/>
          <w:iCs/>
          <w:sz w:val="20"/>
          <w:szCs w:val="20"/>
        </w:rPr>
        <w:t>…</w:t>
      </w:r>
      <w:r w:rsidRPr="00E0220E" w:rsidR="008B0751">
        <w:rPr>
          <w:rFonts w:ascii="Palatino Linotype" w:hAnsi="Palatino Linotype" w:cs="Tahoma"/>
          <w:i/>
          <w:iCs/>
          <w:sz w:val="20"/>
          <w:szCs w:val="20"/>
        </w:rPr>
        <w:t xml:space="preserve">(Sic) </w:t>
      </w:r>
    </w:p>
    <w:p w:rsidRPr="00E0220E" w:rsidR="00836192" w:rsidP="0024622D" w:rsidRDefault="00836192" w14:paraId="5C4A0E2C" w14:textId="77777777">
      <w:pPr>
        <w:pStyle w:val="Prrafodelista"/>
        <w:tabs>
          <w:tab w:val="left" w:pos="567"/>
        </w:tabs>
        <w:spacing w:line="360" w:lineRule="auto"/>
        <w:ind w:left="0"/>
        <w:jc w:val="both"/>
        <w:rPr>
          <w:rFonts w:ascii="Palatino Linotype" w:hAnsi="Palatino Linotype" w:cs="Tahoma"/>
          <w:szCs w:val="22"/>
        </w:rPr>
      </w:pPr>
    </w:p>
    <w:p w:rsidRPr="00E0220E" w:rsidR="00836192" w:rsidP="0024622D" w:rsidRDefault="00836192" w14:paraId="200EA5F2" w14:textId="431C0F25">
      <w:pPr>
        <w:autoSpaceDE w:val="0"/>
        <w:autoSpaceDN w:val="0"/>
        <w:adjustRightInd w:val="0"/>
        <w:spacing w:line="360" w:lineRule="auto"/>
        <w:jc w:val="both"/>
        <w:rPr>
          <w:rFonts w:ascii="Palatino Linotype" w:hAnsi="Palatino Linotype" w:cs="Tahoma"/>
          <w:b/>
          <w:sz w:val="22"/>
          <w:szCs w:val="22"/>
        </w:rPr>
      </w:pPr>
      <w:r w:rsidRPr="00E0220E">
        <w:rPr>
          <w:rFonts w:ascii="Palatino Linotype" w:hAnsi="Palatino Linotype" w:cs="Tahoma"/>
          <w:b/>
          <w:sz w:val="22"/>
          <w:szCs w:val="22"/>
        </w:rPr>
        <w:t>I</w:t>
      </w:r>
      <w:r w:rsidRPr="00E0220E" w:rsidR="00B312A0">
        <w:rPr>
          <w:rFonts w:ascii="Palatino Linotype" w:hAnsi="Palatino Linotype" w:cs="Tahoma"/>
          <w:b/>
          <w:sz w:val="22"/>
          <w:szCs w:val="22"/>
        </w:rPr>
        <w:t>II</w:t>
      </w:r>
      <w:r w:rsidRPr="00E0220E">
        <w:rPr>
          <w:rFonts w:ascii="Palatino Linotype" w:hAnsi="Palatino Linotype" w:cs="Tahoma"/>
          <w:b/>
          <w:sz w:val="22"/>
          <w:szCs w:val="22"/>
        </w:rPr>
        <w:t>. Interposición del Recurso de Revisión.</w:t>
      </w:r>
    </w:p>
    <w:p w:rsidRPr="00E0220E" w:rsidR="00836192" w:rsidP="0024622D" w:rsidRDefault="00836192" w14:paraId="6D010755" w14:textId="77777777">
      <w:pPr>
        <w:autoSpaceDE w:val="0"/>
        <w:autoSpaceDN w:val="0"/>
        <w:adjustRightInd w:val="0"/>
        <w:spacing w:line="360" w:lineRule="auto"/>
        <w:jc w:val="both"/>
        <w:rPr>
          <w:rFonts w:ascii="Palatino Linotype" w:hAnsi="Palatino Linotype" w:cs="Tahoma"/>
          <w:b/>
          <w:sz w:val="22"/>
          <w:szCs w:val="22"/>
        </w:rPr>
      </w:pPr>
    </w:p>
    <w:p w:rsidRPr="00E0220E" w:rsidR="00836192" w:rsidP="0024622D" w:rsidRDefault="00836192" w14:paraId="5B834096" w14:textId="0081CFE1">
      <w:pPr>
        <w:autoSpaceDE w:val="0"/>
        <w:autoSpaceDN w:val="0"/>
        <w:adjustRightInd w:val="0"/>
        <w:spacing w:line="360" w:lineRule="auto"/>
        <w:jc w:val="both"/>
        <w:rPr>
          <w:rFonts w:ascii="Palatino Linotype" w:hAnsi="Palatino Linotype" w:cs="Tahoma"/>
          <w:sz w:val="22"/>
          <w:szCs w:val="22"/>
        </w:rPr>
      </w:pPr>
      <w:r w:rsidRPr="00E0220E">
        <w:rPr>
          <w:rFonts w:ascii="Palatino Linotype" w:hAnsi="Palatino Linotype" w:cs="Tahoma"/>
          <w:sz w:val="22"/>
          <w:szCs w:val="22"/>
        </w:rPr>
        <w:t xml:space="preserve">Con fecha </w:t>
      </w:r>
      <w:r w:rsidRPr="00E0220E" w:rsidR="00525A8B">
        <w:rPr>
          <w:rFonts w:ascii="Palatino Linotype" w:hAnsi="Palatino Linotype" w:cs="Tahoma"/>
          <w:sz w:val="22"/>
          <w:szCs w:val="22"/>
        </w:rPr>
        <w:t>veintitrés</w:t>
      </w:r>
      <w:r w:rsidRPr="00E0220E" w:rsidR="00F56FDA">
        <w:rPr>
          <w:rFonts w:ascii="Palatino Linotype" w:hAnsi="Palatino Linotype" w:cs="Tahoma"/>
          <w:sz w:val="22"/>
          <w:szCs w:val="22"/>
        </w:rPr>
        <w:t xml:space="preserve"> </w:t>
      </w:r>
      <w:r w:rsidRPr="00E0220E" w:rsidR="00A828B7">
        <w:rPr>
          <w:rFonts w:ascii="Palatino Linotype" w:hAnsi="Palatino Linotype" w:cs="Tahoma"/>
          <w:sz w:val="22"/>
          <w:szCs w:val="22"/>
        </w:rPr>
        <w:t>de</w:t>
      </w:r>
      <w:r w:rsidRPr="00E0220E" w:rsidR="00F56FDA">
        <w:rPr>
          <w:rFonts w:ascii="Palatino Linotype" w:hAnsi="Palatino Linotype" w:cs="Tahoma"/>
          <w:sz w:val="22"/>
          <w:szCs w:val="22"/>
        </w:rPr>
        <w:t xml:space="preserve"> </w:t>
      </w:r>
      <w:r w:rsidRPr="00E0220E" w:rsidR="00525A8B">
        <w:rPr>
          <w:rFonts w:ascii="Palatino Linotype" w:hAnsi="Palatino Linotype" w:cs="Tahoma"/>
          <w:sz w:val="22"/>
          <w:szCs w:val="22"/>
        </w:rPr>
        <w:t>novie</w:t>
      </w:r>
      <w:r w:rsidRPr="00E0220E" w:rsidR="00F56FDA">
        <w:rPr>
          <w:rFonts w:ascii="Palatino Linotype" w:hAnsi="Palatino Linotype" w:cs="Tahoma"/>
          <w:sz w:val="22"/>
          <w:szCs w:val="22"/>
        </w:rPr>
        <w:t>mbre</w:t>
      </w:r>
      <w:r w:rsidRPr="00E0220E">
        <w:rPr>
          <w:rFonts w:ascii="Palatino Linotype" w:hAnsi="Palatino Linotype" w:cs="Tahoma"/>
          <w:sz w:val="22"/>
          <w:szCs w:val="22"/>
        </w:rPr>
        <w:t xml:space="preserve"> de dos mil veinti</w:t>
      </w:r>
      <w:r w:rsidRPr="00E0220E" w:rsidR="00A828B7">
        <w:rPr>
          <w:rFonts w:ascii="Palatino Linotype" w:hAnsi="Palatino Linotype" w:cs="Tahoma"/>
          <w:sz w:val="22"/>
          <w:szCs w:val="22"/>
        </w:rPr>
        <w:t>dós</w:t>
      </w:r>
      <w:r w:rsidRPr="00E0220E">
        <w:rPr>
          <w:rFonts w:ascii="Palatino Linotype" w:hAnsi="Palatino Linotype" w:cs="Tahoma"/>
          <w:sz w:val="22"/>
          <w:szCs w:val="22"/>
        </w:rPr>
        <w:t xml:space="preserve">, se recibió en este </w:t>
      </w:r>
      <w:r w:rsidRPr="00E0220E">
        <w:rPr>
          <w:rFonts w:ascii="Palatino Linotype" w:hAnsi="Palatino Linotype" w:eastAsia="Calibri" w:cs="Tahoma"/>
          <w:sz w:val="22"/>
          <w:szCs w:val="22"/>
          <w:lang w:eastAsia="en-US"/>
        </w:rPr>
        <w:t xml:space="preserve">Instituto, a través del </w:t>
      </w:r>
      <w:r w:rsidRPr="00E0220E">
        <w:rPr>
          <w:rFonts w:ascii="Palatino Linotype" w:hAnsi="Palatino Linotype" w:cs="Tahoma"/>
          <w:sz w:val="22"/>
          <w:szCs w:val="22"/>
          <w:lang w:val="es-ES"/>
        </w:rPr>
        <w:t>Sistema de Acceso a la Información Mexiquense (SAIMEX)</w:t>
      </w:r>
      <w:r w:rsidRPr="00E0220E">
        <w:rPr>
          <w:rFonts w:ascii="Palatino Linotype" w:hAnsi="Palatino Linotype" w:cs="Tahoma"/>
          <w:sz w:val="22"/>
          <w:szCs w:val="22"/>
        </w:rPr>
        <w:t>, el Recurso de Revisión interpuesto por la parte Recurrente, en contra de la respuesta del Sujeto Obligado, en los siguientes términos:</w:t>
      </w:r>
    </w:p>
    <w:p w:rsidRPr="00E0220E" w:rsidR="00836192" w:rsidP="0024622D" w:rsidRDefault="00836192" w14:paraId="5551AC4F" w14:textId="77777777">
      <w:pPr>
        <w:widowControl w:val="0"/>
        <w:autoSpaceDE w:val="0"/>
        <w:autoSpaceDN w:val="0"/>
        <w:adjustRightInd w:val="0"/>
        <w:spacing w:line="360" w:lineRule="auto"/>
        <w:jc w:val="both"/>
        <w:rPr>
          <w:rFonts w:ascii="Palatino Linotype" w:hAnsi="Palatino Linotype" w:cs="Tahoma"/>
          <w:sz w:val="22"/>
          <w:szCs w:val="22"/>
        </w:rPr>
      </w:pPr>
    </w:p>
    <w:p w:rsidRPr="00E0220E" w:rsidR="00836192" w:rsidP="0024622D" w:rsidRDefault="00D41CFA" w14:paraId="394C292B" w14:textId="682997FC">
      <w:pPr>
        <w:tabs>
          <w:tab w:val="left" w:pos="4667"/>
        </w:tabs>
        <w:spacing w:line="360" w:lineRule="auto"/>
        <w:ind w:left="567" w:right="567"/>
        <w:jc w:val="both"/>
        <w:rPr>
          <w:rFonts w:ascii="Palatino Linotype" w:hAnsi="Palatino Linotype" w:cs="Tahoma"/>
          <w:bCs/>
          <w:i/>
        </w:rPr>
      </w:pPr>
      <w:r w:rsidRPr="00E0220E">
        <w:rPr>
          <w:rFonts w:ascii="Palatino Linotype" w:hAnsi="Palatino Linotype" w:cs="Tahoma"/>
          <w:b/>
          <w:bCs/>
          <w:i/>
        </w:rPr>
        <w:t>“</w:t>
      </w:r>
      <w:r w:rsidRPr="00E0220E" w:rsidR="00836192">
        <w:rPr>
          <w:rFonts w:ascii="Palatino Linotype" w:hAnsi="Palatino Linotype" w:cs="Tahoma"/>
          <w:b/>
          <w:bCs/>
          <w:i/>
        </w:rPr>
        <w:t>ACTO IMPUGNADO</w:t>
      </w:r>
    </w:p>
    <w:p w:rsidRPr="00E0220E" w:rsidR="00836192" w:rsidP="0024622D" w:rsidRDefault="00525A8B" w14:paraId="39D421A0" w14:textId="6AD62643">
      <w:pPr>
        <w:autoSpaceDE w:val="0"/>
        <w:autoSpaceDN w:val="0"/>
        <w:adjustRightInd w:val="0"/>
        <w:spacing w:line="360" w:lineRule="auto"/>
        <w:ind w:left="567" w:right="567"/>
        <w:jc w:val="both"/>
        <w:rPr>
          <w:rFonts w:ascii="Palatino Linotype" w:hAnsi="Palatino Linotype" w:cs="Tahoma"/>
          <w:i/>
        </w:rPr>
      </w:pPr>
      <w:r w:rsidRPr="00E0220E">
        <w:rPr>
          <w:rFonts w:ascii="Palatino Linotype" w:hAnsi="Palatino Linotype" w:cs="Tahoma"/>
          <w:i/>
        </w:rPr>
        <w:t>El Sujeto Obligado invoca un artículo de la ley en la materia del cual marca incompetencia pero no orienta para saber el sujeto obligado que es competente y de igual forma por ser de su territorio geográfico deben de contar con la información para poder ejecutar de buena forma el artículo 63 del Bando Municipal Toluca 2022</w:t>
      </w:r>
      <w:r w:rsidRPr="00E0220E" w:rsidR="00D41CFA">
        <w:rPr>
          <w:rFonts w:ascii="Palatino Linotype" w:hAnsi="Palatino Linotype" w:cs="Tahoma"/>
          <w:i/>
        </w:rPr>
        <w:t xml:space="preserve">” </w:t>
      </w:r>
      <w:r w:rsidRPr="00E0220E" w:rsidR="00836192">
        <w:rPr>
          <w:rFonts w:ascii="Palatino Linotype" w:hAnsi="Palatino Linotype" w:cs="Tahoma"/>
          <w:i/>
        </w:rPr>
        <w:t>(Sic.)</w:t>
      </w:r>
    </w:p>
    <w:p w:rsidRPr="00E0220E" w:rsidR="0090021E" w:rsidP="0090021E" w:rsidRDefault="0090021E" w14:paraId="5BFE361A" w14:textId="77777777">
      <w:pPr>
        <w:autoSpaceDE w:val="0"/>
        <w:autoSpaceDN w:val="0"/>
        <w:adjustRightInd w:val="0"/>
        <w:spacing w:line="360" w:lineRule="auto"/>
        <w:ind w:right="567"/>
        <w:jc w:val="both"/>
        <w:rPr>
          <w:rFonts w:ascii="Palatino Linotype" w:hAnsi="Palatino Linotype" w:cs="Tahoma"/>
          <w:bCs/>
          <w:iCs/>
          <w:sz w:val="22"/>
          <w:szCs w:val="22"/>
        </w:rPr>
      </w:pPr>
    </w:p>
    <w:p w:rsidRPr="00E0220E" w:rsidR="00836192" w:rsidP="0024622D" w:rsidRDefault="00836192" w14:paraId="262CD250" w14:textId="77777777">
      <w:pPr>
        <w:spacing w:line="360" w:lineRule="auto"/>
        <w:jc w:val="both"/>
        <w:rPr>
          <w:rFonts w:ascii="Palatino Linotype" w:hAnsi="Palatino Linotype" w:eastAsia="Batang" w:cs="Tahoma"/>
          <w:b/>
          <w:bCs/>
          <w:sz w:val="22"/>
          <w:szCs w:val="22"/>
        </w:rPr>
      </w:pPr>
      <w:r w:rsidRPr="00E0220E">
        <w:rPr>
          <w:rFonts w:ascii="Palatino Linotype" w:hAnsi="Palatino Linotype" w:cs="Tahoma"/>
          <w:b/>
          <w:sz w:val="22"/>
          <w:szCs w:val="22"/>
        </w:rPr>
        <w:t xml:space="preserve">IV. </w:t>
      </w:r>
      <w:r w:rsidRPr="00E0220E">
        <w:rPr>
          <w:rFonts w:ascii="Palatino Linotype" w:hAnsi="Palatino Linotype" w:eastAsia="Batang" w:cs="Tahoma"/>
          <w:b/>
          <w:bCs/>
          <w:sz w:val="22"/>
          <w:szCs w:val="22"/>
        </w:rPr>
        <w:t xml:space="preserve">Trámite del </w:t>
      </w:r>
      <w:r w:rsidRPr="00E0220E">
        <w:rPr>
          <w:rFonts w:ascii="Palatino Linotype" w:hAnsi="Palatino Linotype" w:cs="Tahoma"/>
          <w:b/>
          <w:sz w:val="22"/>
          <w:szCs w:val="22"/>
        </w:rPr>
        <w:t xml:space="preserve">Recurso de Revisión </w:t>
      </w:r>
      <w:r w:rsidRPr="00E0220E">
        <w:rPr>
          <w:rFonts w:ascii="Palatino Linotype" w:hAnsi="Palatino Linotype" w:eastAsia="Batang" w:cs="Tahoma"/>
          <w:b/>
          <w:bCs/>
          <w:sz w:val="22"/>
          <w:szCs w:val="22"/>
        </w:rPr>
        <w:t>ante este Instituto.</w:t>
      </w:r>
    </w:p>
    <w:p w:rsidRPr="00E0220E" w:rsidR="00836192" w:rsidP="0024622D" w:rsidRDefault="00836192" w14:paraId="208D12AB" w14:textId="77777777">
      <w:pPr>
        <w:spacing w:line="360" w:lineRule="auto"/>
        <w:jc w:val="both"/>
        <w:rPr>
          <w:rFonts w:ascii="Palatino Linotype" w:hAnsi="Palatino Linotype" w:eastAsia="Batang" w:cs="Tahoma"/>
          <w:b/>
          <w:bCs/>
          <w:sz w:val="22"/>
          <w:szCs w:val="22"/>
        </w:rPr>
      </w:pPr>
    </w:p>
    <w:p w:rsidRPr="00E0220E" w:rsidR="00836192" w:rsidP="0024622D" w:rsidRDefault="00836192" w14:paraId="5F11E829" w14:textId="3D8F184F">
      <w:pPr>
        <w:spacing w:line="360" w:lineRule="auto"/>
        <w:jc w:val="both"/>
        <w:rPr>
          <w:rFonts w:ascii="Palatino Linotype" w:hAnsi="Palatino Linotype" w:eastAsia="Batang" w:cs="Tahoma"/>
          <w:bCs/>
          <w:sz w:val="22"/>
          <w:szCs w:val="22"/>
        </w:rPr>
      </w:pPr>
      <w:r w:rsidRPr="00E0220E">
        <w:rPr>
          <w:rFonts w:ascii="Palatino Linotype" w:hAnsi="Palatino Linotype"/>
          <w:b/>
          <w:bCs/>
          <w:sz w:val="22"/>
          <w:szCs w:val="22"/>
        </w:rPr>
        <w:t xml:space="preserve">a) Turno del Recurso de Revisión. </w:t>
      </w:r>
      <w:r w:rsidRPr="00E0220E">
        <w:rPr>
          <w:rFonts w:ascii="Palatino Linotype" w:hAnsi="Palatino Linotype" w:eastAsia="Batang" w:cs="Tahoma"/>
          <w:bCs/>
          <w:sz w:val="22"/>
          <w:szCs w:val="22"/>
          <w:lang w:val="es-ES_tradnl"/>
        </w:rPr>
        <w:t xml:space="preserve">El </w:t>
      </w:r>
      <w:r w:rsidRPr="00E0220E" w:rsidR="0090021E">
        <w:rPr>
          <w:rFonts w:ascii="Palatino Linotype" w:hAnsi="Palatino Linotype" w:cs="Tahoma"/>
          <w:sz w:val="22"/>
          <w:szCs w:val="22"/>
        </w:rPr>
        <w:t>veintitrés</w:t>
      </w:r>
      <w:r w:rsidRPr="00E0220E" w:rsidR="00A828B7">
        <w:rPr>
          <w:rFonts w:ascii="Palatino Linotype" w:hAnsi="Palatino Linotype" w:cs="Tahoma"/>
          <w:sz w:val="22"/>
          <w:szCs w:val="22"/>
        </w:rPr>
        <w:t xml:space="preserve"> de </w:t>
      </w:r>
      <w:r w:rsidRPr="00E0220E" w:rsidR="0090021E">
        <w:rPr>
          <w:rFonts w:ascii="Palatino Linotype" w:hAnsi="Palatino Linotype" w:cs="Tahoma"/>
          <w:sz w:val="22"/>
          <w:szCs w:val="22"/>
        </w:rPr>
        <w:t>nov</w:t>
      </w:r>
      <w:r w:rsidRPr="00E0220E" w:rsidR="00F56FDA">
        <w:rPr>
          <w:rFonts w:ascii="Palatino Linotype" w:hAnsi="Palatino Linotype" w:cs="Tahoma"/>
          <w:sz w:val="22"/>
          <w:szCs w:val="22"/>
        </w:rPr>
        <w:t>iembre</w:t>
      </w:r>
      <w:r w:rsidRPr="00E0220E" w:rsidR="00A828B7">
        <w:rPr>
          <w:rFonts w:ascii="Palatino Linotype" w:hAnsi="Palatino Linotype" w:cs="Tahoma"/>
          <w:sz w:val="22"/>
          <w:szCs w:val="22"/>
        </w:rPr>
        <w:t xml:space="preserve"> de dos mil veintidós</w:t>
      </w:r>
      <w:r w:rsidRPr="00E0220E">
        <w:rPr>
          <w:rFonts w:ascii="Palatino Linotype" w:hAnsi="Palatino Linotype" w:eastAsia="Batang" w:cs="Tahoma"/>
          <w:bCs/>
          <w:sz w:val="22"/>
          <w:szCs w:val="22"/>
          <w:lang w:val="es-ES_tradnl"/>
        </w:rPr>
        <w:t xml:space="preserve">, el Sistema de Acceso a la Información Mexiquense (SAIMEX), asignó el número de expediente </w:t>
      </w:r>
      <w:r w:rsidRPr="00E0220E" w:rsidR="0090021E">
        <w:rPr>
          <w:rFonts w:ascii="Palatino Linotype" w:hAnsi="Palatino Linotype" w:eastAsia="Batang" w:cs="Tahoma"/>
          <w:b/>
          <w:sz w:val="22"/>
          <w:szCs w:val="22"/>
          <w:lang w:val="es-ES_tradnl"/>
        </w:rPr>
        <w:t>16851/INFOEM/IP/RR/2022</w:t>
      </w:r>
      <w:r w:rsidRPr="00E0220E">
        <w:rPr>
          <w:rFonts w:ascii="Palatino Linotype" w:hAnsi="Palatino Linotype" w:eastAsia="Batang" w:cs="Tahoma"/>
          <w:bCs/>
          <w:sz w:val="22"/>
          <w:szCs w:val="22"/>
          <w:lang w:val="es-ES_tradnl"/>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E0220E" w:rsidR="00836192" w:rsidP="0024622D" w:rsidRDefault="00836192" w14:paraId="4D045605" w14:textId="77777777">
      <w:pPr>
        <w:spacing w:line="360" w:lineRule="auto"/>
        <w:jc w:val="both"/>
        <w:rPr>
          <w:rFonts w:ascii="Palatino Linotype" w:hAnsi="Palatino Linotype" w:eastAsia="Batang" w:cs="Tahoma"/>
          <w:b/>
          <w:bCs/>
          <w:sz w:val="22"/>
          <w:szCs w:val="22"/>
        </w:rPr>
      </w:pPr>
    </w:p>
    <w:p w:rsidRPr="00E0220E" w:rsidR="00836192" w:rsidP="0024622D" w:rsidRDefault="00836192" w14:paraId="3A64D196" w14:textId="11573274">
      <w:pPr>
        <w:spacing w:line="360" w:lineRule="auto"/>
        <w:jc w:val="both"/>
        <w:rPr>
          <w:rFonts w:ascii="Palatino Linotype" w:hAnsi="Palatino Linotype" w:eastAsia="Batang" w:cs="Tahoma"/>
          <w:bCs/>
          <w:sz w:val="22"/>
          <w:szCs w:val="22"/>
          <w:lang w:val="es-ES_tradnl"/>
        </w:rPr>
      </w:pPr>
      <w:r w:rsidRPr="00E0220E">
        <w:rPr>
          <w:rFonts w:ascii="Palatino Linotype" w:hAnsi="Palatino Linotype" w:eastAsia="Batang" w:cs="Tahoma"/>
          <w:b/>
          <w:bCs/>
          <w:sz w:val="22"/>
          <w:szCs w:val="22"/>
        </w:rPr>
        <w:lastRenderedPageBreak/>
        <w:t xml:space="preserve">b) Admisión de los </w:t>
      </w:r>
      <w:r w:rsidRPr="00E0220E">
        <w:rPr>
          <w:rFonts w:ascii="Palatino Linotype" w:hAnsi="Palatino Linotype" w:cs="Tahoma"/>
          <w:b/>
          <w:sz w:val="22"/>
          <w:szCs w:val="22"/>
        </w:rPr>
        <w:t>Recursos de Revisión</w:t>
      </w:r>
      <w:r w:rsidRPr="00E0220E">
        <w:rPr>
          <w:rFonts w:ascii="Palatino Linotype" w:hAnsi="Palatino Linotype" w:eastAsia="Batang" w:cs="Tahoma"/>
          <w:b/>
          <w:bCs/>
          <w:sz w:val="22"/>
          <w:szCs w:val="22"/>
          <w:lang w:val="es-ES_tradnl"/>
        </w:rPr>
        <w:t xml:space="preserve">. </w:t>
      </w:r>
      <w:r w:rsidRPr="00E0220E">
        <w:rPr>
          <w:rFonts w:ascii="Palatino Linotype" w:hAnsi="Palatino Linotype" w:eastAsia="Batang" w:cs="Tahoma"/>
          <w:bCs/>
          <w:sz w:val="22"/>
          <w:szCs w:val="22"/>
          <w:lang w:val="es-ES_tradnl"/>
        </w:rPr>
        <w:t xml:space="preserve">El </w:t>
      </w:r>
      <w:r w:rsidRPr="00E0220E" w:rsidR="0090021E">
        <w:rPr>
          <w:rFonts w:ascii="Palatino Linotype" w:hAnsi="Palatino Linotype" w:eastAsia="Batang" w:cs="Tahoma"/>
          <w:bCs/>
          <w:sz w:val="22"/>
          <w:szCs w:val="22"/>
          <w:lang w:val="es-ES_tradnl"/>
        </w:rPr>
        <w:t>veinti</w:t>
      </w:r>
      <w:r w:rsidRPr="00E0220E" w:rsidR="00F56FDA">
        <w:rPr>
          <w:rFonts w:ascii="Palatino Linotype" w:hAnsi="Palatino Linotype" w:eastAsia="Batang" w:cs="Tahoma"/>
          <w:bCs/>
          <w:sz w:val="22"/>
          <w:szCs w:val="22"/>
          <w:lang w:val="es-ES_tradnl"/>
        </w:rPr>
        <w:t>ocho</w:t>
      </w:r>
      <w:r w:rsidRPr="00E0220E" w:rsidR="006046B1">
        <w:rPr>
          <w:rFonts w:ascii="Palatino Linotype" w:hAnsi="Palatino Linotype" w:eastAsia="Batang" w:cs="Tahoma"/>
          <w:bCs/>
          <w:sz w:val="22"/>
          <w:szCs w:val="22"/>
          <w:lang w:val="es-ES_tradnl"/>
        </w:rPr>
        <w:t xml:space="preserve"> de </w:t>
      </w:r>
      <w:r w:rsidRPr="00E0220E" w:rsidR="0090021E">
        <w:rPr>
          <w:rFonts w:ascii="Palatino Linotype" w:hAnsi="Palatino Linotype" w:eastAsia="Batang" w:cs="Tahoma"/>
          <w:bCs/>
          <w:sz w:val="22"/>
          <w:szCs w:val="22"/>
          <w:lang w:val="es-ES_tradnl"/>
        </w:rPr>
        <w:t>nov</w:t>
      </w:r>
      <w:r w:rsidRPr="00E0220E" w:rsidR="00F56FDA">
        <w:rPr>
          <w:rFonts w:ascii="Palatino Linotype" w:hAnsi="Palatino Linotype" w:eastAsia="Batang" w:cs="Tahoma"/>
          <w:bCs/>
          <w:sz w:val="22"/>
          <w:szCs w:val="22"/>
          <w:lang w:val="es-ES_tradnl"/>
        </w:rPr>
        <w:t>iembre</w:t>
      </w:r>
      <w:r w:rsidRPr="00E0220E">
        <w:rPr>
          <w:rFonts w:ascii="Palatino Linotype" w:hAnsi="Palatino Linotype" w:eastAsia="Batang" w:cs="Tahoma"/>
          <w:bCs/>
          <w:sz w:val="22"/>
          <w:szCs w:val="22"/>
          <w:lang w:val="es-ES_tradnl"/>
        </w:rPr>
        <w:t xml:space="preserve"> de dos mil veinti</w:t>
      </w:r>
      <w:r w:rsidRPr="00E0220E" w:rsidR="00A828B7">
        <w:rPr>
          <w:rFonts w:ascii="Palatino Linotype" w:hAnsi="Palatino Linotype" w:eastAsia="Batang" w:cs="Tahoma"/>
          <w:bCs/>
          <w:sz w:val="22"/>
          <w:szCs w:val="22"/>
          <w:lang w:val="es-ES_tradnl"/>
        </w:rPr>
        <w:t>dós</w:t>
      </w:r>
      <w:r w:rsidRPr="00E0220E">
        <w:rPr>
          <w:rFonts w:ascii="Palatino Linotype" w:hAnsi="Palatino Linotype" w:eastAsia="Batang" w:cs="Tahoma"/>
          <w:bCs/>
          <w:sz w:val="22"/>
          <w:szCs w:val="22"/>
          <w:lang w:val="es-ES_tradnl"/>
        </w:rPr>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w:t>
      </w:r>
      <w:r w:rsidRPr="00E0220E" w:rsidR="00CA2942">
        <w:rPr>
          <w:rFonts w:ascii="Palatino Linotype" w:hAnsi="Palatino Linotype" w:eastAsia="Batang" w:cs="Tahoma"/>
          <w:bCs/>
          <w:sz w:val="22"/>
          <w:szCs w:val="22"/>
          <w:lang w:val="es-ES_tradnl"/>
        </w:rPr>
        <w:t xml:space="preserve"> nueve</w:t>
      </w:r>
      <w:r w:rsidRPr="00E0220E" w:rsidR="00A828B7">
        <w:rPr>
          <w:rFonts w:ascii="Palatino Linotype" w:hAnsi="Palatino Linotype" w:eastAsia="Batang" w:cs="Tahoma"/>
          <w:bCs/>
          <w:sz w:val="22"/>
          <w:szCs w:val="22"/>
          <w:lang w:val="es-ES_tradnl"/>
        </w:rPr>
        <w:t xml:space="preserve"> del mismo mes y año</w:t>
      </w:r>
      <w:r w:rsidRPr="00E0220E">
        <w:rPr>
          <w:rFonts w:ascii="Palatino Linotype" w:hAnsi="Palatino Linotype" w:eastAsia="Batang"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rsidRPr="00E0220E" w:rsidR="00836192" w:rsidP="0024622D" w:rsidRDefault="00836192" w14:paraId="48C9442E" w14:textId="77777777">
      <w:pPr>
        <w:spacing w:line="360" w:lineRule="auto"/>
        <w:jc w:val="both"/>
        <w:rPr>
          <w:rFonts w:ascii="Palatino Linotype" w:hAnsi="Palatino Linotype" w:cs="Tahoma"/>
          <w:bCs/>
          <w:sz w:val="22"/>
          <w:szCs w:val="22"/>
        </w:rPr>
      </w:pPr>
    </w:p>
    <w:p w:rsidRPr="00E0220E" w:rsidR="00937375" w:rsidP="0024622D" w:rsidRDefault="00937375" w14:paraId="0D904B3B" w14:textId="37E468EC">
      <w:pPr>
        <w:spacing w:line="360" w:lineRule="auto"/>
        <w:jc w:val="both"/>
        <w:rPr>
          <w:rFonts w:ascii="Palatino Linotype" w:hAnsi="Palatino Linotype" w:eastAsiaTheme="minorHAnsi" w:cstheme="minorBidi"/>
          <w:color w:val="000000" w:themeColor="text1"/>
          <w:sz w:val="22"/>
          <w:szCs w:val="22"/>
          <w:lang w:eastAsia="en-US"/>
        </w:rPr>
      </w:pPr>
      <w:r w:rsidRPr="00E0220E">
        <w:rPr>
          <w:rFonts w:ascii="Palatino Linotype" w:hAnsi="Palatino Linotype" w:cs="Tahoma" w:eastAsiaTheme="minorHAnsi"/>
          <w:b/>
          <w:color w:val="000000" w:themeColor="text1"/>
          <w:sz w:val="22"/>
          <w:szCs w:val="22"/>
          <w:lang w:eastAsia="en-US"/>
        </w:rPr>
        <w:t xml:space="preserve">c) </w:t>
      </w:r>
      <w:r w:rsidRPr="00E0220E">
        <w:rPr>
          <w:rFonts w:ascii="Palatino Linotype" w:hAnsi="Palatino Linotype" w:cs="Tahoma" w:eastAsiaTheme="minorHAnsi"/>
          <w:b/>
          <w:bCs/>
          <w:iCs/>
          <w:color w:val="000000" w:themeColor="text1"/>
          <w:sz w:val="22"/>
          <w:szCs w:val="22"/>
          <w:lang w:val="es-ES" w:eastAsia="en-US"/>
        </w:rPr>
        <w:t>Informe Justificado.</w:t>
      </w:r>
      <w:r w:rsidRPr="00E0220E">
        <w:rPr>
          <w:rFonts w:ascii="Palatino Linotype" w:hAnsi="Palatino Linotype" w:cs="Tahoma" w:eastAsiaTheme="minorHAnsi"/>
          <w:bCs/>
          <w:iCs/>
          <w:color w:val="000000" w:themeColor="text1"/>
          <w:sz w:val="22"/>
          <w:szCs w:val="22"/>
          <w:lang w:val="es-ES" w:eastAsia="en-US"/>
        </w:rPr>
        <w:t xml:space="preserve"> El </w:t>
      </w:r>
      <w:r w:rsidRPr="00E0220E" w:rsidR="0090021E">
        <w:rPr>
          <w:rFonts w:ascii="Palatino Linotype" w:hAnsi="Palatino Linotype" w:cs="Tahoma" w:eastAsiaTheme="minorHAnsi"/>
          <w:bCs/>
          <w:iCs/>
          <w:color w:val="000000" w:themeColor="text1"/>
          <w:sz w:val="22"/>
          <w:szCs w:val="22"/>
          <w:lang w:val="es-ES" w:eastAsia="en-US"/>
        </w:rPr>
        <w:t>siete</w:t>
      </w:r>
      <w:r w:rsidRPr="00E0220E">
        <w:rPr>
          <w:rFonts w:ascii="Palatino Linotype" w:hAnsi="Palatino Linotype" w:cs="Tahoma" w:eastAsiaTheme="minorHAnsi"/>
          <w:bCs/>
          <w:iCs/>
          <w:color w:val="000000" w:themeColor="text1"/>
          <w:sz w:val="22"/>
          <w:szCs w:val="22"/>
          <w:lang w:val="es-ES" w:eastAsia="en-US"/>
        </w:rPr>
        <w:t xml:space="preserve"> de </w:t>
      </w:r>
      <w:r w:rsidRPr="00E0220E" w:rsidR="0090021E">
        <w:rPr>
          <w:rFonts w:ascii="Palatino Linotype" w:hAnsi="Palatino Linotype" w:cs="Tahoma" w:eastAsiaTheme="minorHAnsi"/>
          <w:bCs/>
          <w:iCs/>
          <w:color w:val="000000" w:themeColor="text1"/>
          <w:sz w:val="22"/>
          <w:szCs w:val="22"/>
          <w:lang w:val="es-ES" w:eastAsia="en-US"/>
        </w:rPr>
        <w:t>dic</w:t>
      </w:r>
      <w:r w:rsidRPr="00E0220E" w:rsidR="00CA3D0C">
        <w:rPr>
          <w:rFonts w:ascii="Palatino Linotype" w:hAnsi="Palatino Linotype" w:cs="Tahoma" w:eastAsiaTheme="minorHAnsi"/>
          <w:bCs/>
          <w:iCs/>
          <w:color w:val="000000" w:themeColor="text1"/>
          <w:sz w:val="22"/>
          <w:szCs w:val="22"/>
          <w:lang w:val="es-ES" w:eastAsia="en-US"/>
        </w:rPr>
        <w:t xml:space="preserve">iembre </w:t>
      </w:r>
      <w:r w:rsidRPr="00E0220E">
        <w:rPr>
          <w:rFonts w:ascii="Palatino Linotype" w:hAnsi="Palatino Linotype" w:cs="Tahoma" w:eastAsiaTheme="minorHAnsi"/>
          <w:bCs/>
          <w:iCs/>
          <w:color w:val="000000" w:themeColor="text1"/>
          <w:sz w:val="22"/>
          <w:szCs w:val="22"/>
          <w:lang w:val="es-ES" w:eastAsia="en-US"/>
        </w:rPr>
        <w:t xml:space="preserve">de dos mil veintidós, se recibió, a través de Sistema de Acceso a la Información Mexiquense (SAIMEX), el Informe Justificado del Sujeto Obligado, mediante </w:t>
      </w:r>
      <w:r w:rsidRPr="00E0220E" w:rsidR="00CA3D0C">
        <w:rPr>
          <w:rFonts w:ascii="Palatino Linotype" w:hAnsi="Palatino Linotype" w:cs="Tahoma" w:eastAsiaTheme="minorHAnsi"/>
          <w:bCs/>
          <w:iCs/>
          <w:color w:val="000000" w:themeColor="text1"/>
          <w:sz w:val="22"/>
          <w:szCs w:val="22"/>
          <w:lang w:val="es-ES" w:eastAsia="en-US"/>
        </w:rPr>
        <w:t>el</w:t>
      </w:r>
      <w:r w:rsidRPr="00E0220E">
        <w:rPr>
          <w:rFonts w:ascii="Palatino Linotype" w:hAnsi="Palatino Linotype" w:cs="Tahoma" w:eastAsiaTheme="minorHAnsi"/>
          <w:bCs/>
          <w:iCs/>
          <w:color w:val="000000" w:themeColor="text1"/>
          <w:sz w:val="22"/>
          <w:szCs w:val="22"/>
          <w:lang w:val="es-ES" w:eastAsia="en-US"/>
        </w:rPr>
        <w:t xml:space="preserve"> oficio </w:t>
      </w:r>
      <w:r w:rsidRPr="00E0220E" w:rsidR="00274919">
        <w:rPr>
          <w:rFonts w:ascii="Palatino Linotype" w:hAnsi="Palatino Linotype" w:eastAsiaTheme="minorHAnsi" w:cstheme="minorBidi"/>
          <w:color w:val="000000" w:themeColor="text1"/>
          <w:sz w:val="22"/>
          <w:szCs w:val="22"/>
          <w:lang w:eastAsia="en-US"/>
        </w:rPr>
        <w:t>número</w:t>
      </w:r>
      <w:r w:rsidRPr="00E0220E" w:rsidR="00CA3D0C">
        <w:rPr>
          <w:rFonts w:ascii="Palatino Linotype" w:hAnsi="Palatino Linotype" w:eastAsiaTheme="minorHAnsi" w:cstheme="minorBidi"/>
          <w:color w:val="000000" w:themeColor="text1"/>
          <w:sz w:val="22"/>
          <w:szCs w:val="22"/>
          <w:lang w:eastAsia="en-US"/>
        </w:rPr>
        <w:t xml:space="preserve"> </w:t>
      </w:r>
      <w:r w:rsidRPr="00E0220E" w:rsidR="0090021E">
        <w:rPr>
          <w:rFonts w:ascii="Palatino Linotype" w:hAnsi="Palatino Linotype" w:eastAsiaTheme="minorHAnsi" w:cstheme="minorBidi"/>
          <w:color w:val="000000" w:themeColor="text1"/>
          <w:sz w:val="22"/>
          <w:szCs w:val="22"/>
          <w:lang w:eastAsia="en-US"/>
        </w:rPr>
        <w:t>2010A4000</w:t>
      </w:r>
      <w:r w:rsidRPr="00E0220E" w:rsidR="00CA3D0C">
        <w:rPr>
          <w:rFonts w:ascii="Palatino Linotype" w:hAnsi="Palatino Linotype" w:eastAsiaTheme="minorHAnsi" w:cstheme="minorBidi"/>
          <w:color w:val="000000" w:themeColor="text1"/>
          <w:sz w:val="22"/>
          <w:szCs w:val="22"/>
          <w:lang w:eastAsia="en-US"/>
        </w:rPr>
        <w:t>/</w:t>
      </w:r>
      <w:r w:rsidRPr="00E0220E" w:rsidR="00F95A71">
        <w:rPr>
          <w:rFonts w:ascii="Palatino Linotype" w:hAnsi="Palatino Linotype" w:eastAsiaTheme="minorHAnsi" w:cstheme="minorBidi"/>
          <w:color w:val="000000" w:themeColor="text1"/>
          <w:sz w:val="22"/>
          <w:szCs w:val="22"/>
          <w:lang w:eastAsia="en-US"/>
        </w:rPr>
        <w:t>UT</w:t>
      </w:r>
      <w:r w:rsidRPr="00E0220E" w:rsidR="0090021E">
        <w:rPr>
          <w:rFonts w:ascii="Palatino Linotype" w:hAnsi="Palatino Linotype" w:eastAsiaTheme="minorHAnsi" w:cstheme="minorBidi"/>
          <w:color w:val="000000" w:themeColor="text1"/>
          <w:sz w:val="22"/>
          <w:szCs w:val="22"/>
          <w:lang w:eastAsia="en-US"/>
        </w:rPr>
        <w:t>/RR</w:t>
      </w:r>
      <w:r w:rsidRPr="00E0220E" w:rsidR="00F95A71">
        <w:rPr>
          <w:rFonts w:ascii="Palatino Linotype" w:hAnsi="Palatino Linotype" w:eastAsiaTheme="minorHAnsi" w:cstheme="minorBidi"/>
          <w:color w:val="000000" w:themeColor="text1"/>
          <w:sz w:val="22"/>
          <w:szCs w:val="22"/>
          <w:lang w:eastAsia="en-US"/>
        </w:rPr>
        <w:t>/0</w:t>
      </w:r>
      <w:r w:rsidRPr="00E0220E" w:rsidR="0090021E">
        <w:rPr>
          <w:rFonts w:ascii="Palatino Linotype" w:hAnsi="Palatino Linotype" w:eastAsiaTheme="minorHAnsi" w:cstheme="minorBidi"/>
          <w:color w:val="000000" w:themeColor="text1"/>
          <w:sz w:val="22"/>
          <w:szCs w:val="22"/>
          <w:lang w:eastAsia="en-US"/>
        </w:rPr>
        <w:t>758</w:t>
      </w:r>
      <w:r w:rsidRPr="00E0220E" w:rsidR="00F95A71">
        <w:rPr>
          <w:rFonts w:ascii="Palatino Linotype" w:hAnsi="Palatino Linotype" w:eastAsiaTheme="minorHAnsi" w:cstheme="minorBidi"/>
          <w:color w:val="000000" w:themeColor="text1"/>
          <w:sz w:val="22"/>
          <w:szCs w:val="22"/>
          <w:lang w:eastAsia="en-US"/>
        </w:rPr>
        <w:t>/2022</w:t>
      </w:r>
      <w:r w:rsidRPr="00E0220E" w:rsidR="00586904">
        <w:rPr>
          <w:rFonts w:ascii="Palatino Linotype" w:hAnsi="Palatino Linotype" w:eastAsiaTheme="minorHAnsi" w:cstheme="minorBidi"/>
          <w:color w:val="000000" w:themeColor="text1"/>
          <w:sz w:val="22"/>
          <w:szCs w:val="22"/>
          <w:lang w:eastAsia="en-US"/>
        </w:rPr>
        <w:t>, de</w:t>
      </w:r>
      <w:r w:rsidRPr="00E0220E" w:rsidR="00F95A71">
        <w:rPr>
          <w:rFonts w:ascii="Palatino Linotype" w:hAnsi="Palatino Linotype" w:eastAsiaTheme="minorHAnsi" w:cstheme="minorBidi"/>
          <w:color w:val="000000" w:themeColor="text1"/>
          <w:sz w:val="22"/>
          <w:szCs w:val="22"/>
          <w:lang w:eastAsia="en-US"/>
        </w:rPr>
        <w:t xml:space="preserve"> la misma fechade recepción</w:t>
      </w:r>
      <w:r w:rsidRPr="00E0220E">
        <w:rPr>
          <w:rFonts w:ascii="Palatino Linotype" w:hAnsi="Palatino Linotype" w:eastAsiaTheme="minorHAnsi" w:cstheme="minorBidi"/>
          <w:color w:val="000000" w:themeColor="text1"/>
          <w:sz w:val="22"/>
          <w:szCs w:val="22"/>
          <w:lang w:eastAsia="en-US"/>
        </w:rPr>
        <w:t>, suscrito por la Titular de la Unidad de, por medio del cual ratifica su respuesta y precisa lo siguiente:</w:t>
      </w:r>
    </w:p>
    <w:p w:rsidRPr="00E0220E" w:rsidR="00937375" w:rsidP="0024622D" w:rsidRDefault="00937375" w14:paraId="73A2BF6B" w14:textId="77777777">
      <w:pPr>
        <w:spacing w:line="360" w:lineRule="auto"/>
        <w:jc w:val="both"/>
        <w:rPr>
          <w:rFonts w:ascii="Palatino Linotype" w:hAnsi="Palatino Linotype" w:eastAsiaTheme="minorHAnsi" w:cstheme="minorBidi"/>
          <w:color w:val="000000" w:themeColor="text1"/>
          <w:sz w:val="22"/>
          <w:szCs w:val="22"/>
          <w:lang w:eastAsia="en-US"/>
        </w:rPr>
      </w:pPr>
    </w:p>
    <w:p w:rsidRPr="00E0220E" w:rsidR="000A6D0E" w:rsidP="000A6D0E" w:rsidRDefault="00937375" w14:paraId="637C4770" w14:textId="7C296823">
      <w:pPr>
        <w:spacing w:line="360" w:lineRule="auto"/>
        <w:ind w:left="567" w:right="567"/>
        <w:jc w:val="both"/>
        <w:rPr>
          <w:rFonts w:ascii="Palatino Linotype" w:hAnsi="Palatino Linotype" w:eastAsiaTheme="minorHAnsi" w:cstheme="minorBidi"/>
          <w:i/>
          <w:iCs/>
          <w:color w:val="000000" w:themeColor="text1"/>
          <w:lang w:eastAsia="en-US"/>
        </w:rPr>
      </w:pPr>
      <w:r w:rsidRPr="00E0220E">
        <w:rPr>
          <w:rFonts w:ascii="Palatino Linotype" w:hAnsi="Palatino Linotype" w:eastAsiaTheme="minorHAnsi" w:cstheme="minorBidi"/>
          <w:i/>
          <w:iCs/>
          <w:color w:val="000000" w:themeColor="text1"/>
          <w:lang w:eastAsia="en-US"/>
        </w:rPr>
        <w:t>“…</w:t>
      </w:r>
      <w:r w:rsidRPr="00E0220E" w:rsidR="000A6D0E">
        <w:rPr>
          <w:rFonts w:ascii="Palatino Linotype" w:hAnsi="Palatino Linotype" w:eastAsiaTheme="minorHAnsi" w:cstheme="minorBidi"/>
          <w:i/>
          <w:iCs/>
          <w:color w:val="000000" w:themeColor="text1"/>
          <w:lang w:eastAsia="en-US"/>
        </w:rPr>
        <w:t>en primera instancia es imperante mencionar que la Unidad de Transparencia en ejercicio de sus atribuciones y funciones declaró la incompetencia total ya que se desprendió que la información no obra en los archivos de este Sujeto Obligado, orientando al particular a que dirija su solicitud ante el Sujeto Obligado Competente que pudiera contar con la información, que en el caso en específico es la Secretaría de Educación del Gobierno del Estado de México, es imperante mencionar que en todo momento, este Sujeto Obligado,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y ll. 150 y 173, que señalan:</w:t>
      </w:r>
    </w:p>
    <w:p w:rsidRPr="00E0220E" w:rsidR="00F95A71" w:rsidP="0024622D" w:rsidRDefault="00F95A71" w14:paraId="0314D72A" w14:textId="05E2A90F">
      <w:pPr>
        <w:spacing w:line="360" w:lineRule="auto"/>
        <w:ind w:left="567" w:right="567"/>
        <w:jc w:val="both"/>
        <w:rPr>
          <w:rFonts w:ascii="Palatino Linotype" w:hAnsi="Palatino Linotype" w:eastAsiaTheme="minorHAnsi" w:cstheme="minorBidi"/>
          <w:i/>
          <w:iCs/>
          <w:color w:val="000000" w:themeColor="text1"/>
          <w:lang w:eastAsia="en-US"/>
        </w:rPr>
      </w:pPr>
      <w:r w:rsidRPr="00E0220E">
        <w:rPr>
          <w:rFonts w:ascii="Palatino Linotype" w:hAnsi="Palatino Linotype" w:eastAsiaTheme="minorHAnsi" w:cstheme="minorBidi"/>
          <w:i/>
          <w:iCs/>
          <w:color w:val="000000" w:themeColor="text1"/>
          <w:lang w:eastAsia="en-US"/>
        </w:rPr>
        <w:t>…</w:t>
      </w:r>
    </w:p>
    <w:p w:rsidRPr="00E0220E" w:rsidR="000A6D0E" w:rsidP="0024622D" w:rsidRDefault="000A6D0E" w14:paraId="770EE0E9" w14:textId="77777777">
      <w:pPr>
        <w:spacing w:line="360" w:lineRule="auto"/>
        <w:ind w:left="567" w:right="567"/>
        <w:jc w:val="both"/>
        <w:rPr>
          <w:rFonts w:ascii="Palatino Linotype" w:hAnsi="Palatino Linotype" w:eastAsiaTheme="minorHAnsi" w:cstheme="minorBidi"/>
          <w:i/>
          <w:iCs/>
          <w:color w:val="000000" w:themeColor="text1"/>
          <w:lang w:eastAsia="en-US"/>
        </w:rPr>
      </w:pPr>
      <w:r w:rsidRPr="00E0220E">
        <w:rPr>
          <w:rFonts w:ascii="Palatino Linotype" w:hAnsi="Palatino Linotype" w:eastAsiaTheme="minorHAnsi" w:cstheme="minorBidi"/>
          <w:i/>
          <w:iCs/>
          <w:color w:val="000000" w:themeColor="text1"/>
          <w:lang w:eastAsia="en-US"/>
        </w:rPr>
        <w:t xml:space="preserve">Sin embargo, me permito señalar que aún y cuando hubo un pronunciamiento por parte de este Sujeto Obligado, él recurrente o alguna Institución Pública, no está facultado para manifestarse sobre la veracidad del mismo, pues no existe precepto legal alguno en la Ley de la materia que lo faculte; sirva de apoyo a lo anterior, por analogía el criterio 31-10 emitido por el entonces Instituto </w:t>
      </w:r>
      <w:r w:rsidRPr="00E0220E">
        <w:rPr>
          <w:rFonts w:ascii="Palatino Linotype" w:hAnsi="Palatino Linotype" w:eastAsiaTheme="minorHAnsi" w:cstheme="minorBidi"/>
          <w:i/>
          <w:iCs/>
          <w:color w:val="000000" w:themeColor="text1"/>
          <w:lang w:eastAsia="en-US"/>
        </w:rPr>
        <w:lastRenderedPageBreak/>
        <w:t>Federal de Acceso a la Información ahora Instituto Nacional de Transparencia, Acceso a la Información y Protección de Datos Personales (INAI) que a la letra dice:</w:t>
      </w:r>
    </w:p>
    <w:p w:rsidRPr="00E0220E" w:rsidR="000A6D0E" w:rsidP="0024622D" w:rsidRDefault="000A6D0E" w14:paraId="0E716DB7" w14:textId="77777777">
      <w:pPr>
        <w:spacing w:line="360" w:lineRule="auto"/>
        <w:ind w:left="567" w:right="567"/>
        <w:jc w:val="both"/>
        <w:rPr>
          <w:rFonts w:ascii="Palatino Linotype" w:hAnsi="Palatino Linotype" w:eastAsiaTheme="minorHAnsi" w:cstheme="minorBidi"/>
          <w:i/>
          <w:iCs/>
          <w:color w:val="000000" w:themeColor="text1"/>
          <w:lang w:eastAsia="en-US"/>
        </w:rPr>
      </w:pPr>
      <w:r w:rsidRPr="00E0220E">
        <w:rPr>
          <w:rFonts w:ascii="Palatino Linotype" w:hAnsi="Palatino Linotype" w:eastAsiaTheme="minorHAnsi" w:cstheme="minorBidi"/>
          <w:i/>
          <w:iCs/>
          <w:color w:val="000000" w:themeColor="text1"/>
          <w:lang w:eastAsia="en-US"/>
        </w:rPr>
        <w:t>…</w:t>
      </w:r>
    </w:p>
    <w:p w:rsidRPr="00E0220E" w:rsidR="000A6D0E" w:rsidP="000A6D0E" w:rsidRDefault="000A6D0E" w14:paraId="26BCE77B" w14:textId="77777777">
      <w:pPr>
        <w:spacing w:line="360" w:lineRule="auto"/>
        <w:ind w:left="567" w:right="567"/>
        <w:jc w:val="center"/>
        <w:rPr>
          <w:rFonts w:ascii="Palatino Linotype" w:hAnsi="Palatino Linotype" w:eastAsiaTheme="minorHAnsi" w:cstheme="minorBidi"/>
          <w:i/>
          <w:iCs/>
          <w:color w:val="000000" w:themeColor="text1"/>
          <w:lang w:eastAsia="en-US"/>
        </w:rPr>
      </w:pPr>
      <w:r w:rsidRPr="00E0220E">
        <w:rPr>
          <w:rFonts w:ascii="Palatino Linotype" w:hAnsi="Palatino Linotype" w:eastAsiaTheme="minorHAnsi" w:cstheme="minorBidi"/>
          <w:i/>
          <w:iCs/>
          <w:color w:val="000000" w:themeColor="text1"/>
          <w:lang w:eastAsia="en-US"/>
        </w:rPr>
        <w:t>CONCLUSIÓN</w:t>
      </w:r>
    </w:p>
    <w:p w:rsidRPr="00E0220E" w:rsidR="000A6D0E" w:rsidP="000A6D0E" w:rsidRDefault="000A6D0E" w14:paraId="380927D6" w14:textId="77777777">
      <w:pPr>
        <w:spacing w:line="360" w:lineRule="auto"/>
        <w:ind w:left="567" w:right="567"/>
        <w:jc w:val="both"/>
        <w:rPr>
          <w:rFonts w:ascii="Palatino Linotype" w:hAnsi="Palatino Linotype" w:eastAsiaTheme="minorHAnsi" w:cstheme="minorBidi"/>
          <w:i/>
          <w:iCs/>
          <w:color w:val="000000" w:themeColor="text1"/>
          <w:lang w:eastAsia="en-US"/>
        </w:rPr>
      </w:pPr>
    </w:p>
    <w:p w:rsidRPr="00E0220E" w:rsidR="00937375" w:rsidP="000A6D0E" w:rsidRDefault="000A6D0E" w14:paraId="4F6E1881" w14:textId="437DAB27">
      <w:pPr>
        <w:spacing w:line="360" w:lineRule="auto"/>
        <w:ind w:left="567" w:right="567"/>
        <w:jc w:val="both"/>
        <w:rPr>
          <w:rFonts w:ascii="Palatino Linotype" w:hAnsi="Palatino Linotype" w:eastAsiaTheme="minorHAnsi" w:cstheme="minorBidi"/>
          <w:i/>
          <w:iCs/>
          <w:color w:val="000000" w:themeColor="text1"/>
          <w:lang w:eastAsia="en-US"/>
        </w:rPr>
      </w:pPr>
      <w:r w:rsidRPr="00E0220E">
        <w:rPr>
          <w:rFonts w:ascii="Palatino Linotype" w:hAnsi="Palatino Linotype" w:eastAsiaTheme="minorHAnsi" w:cstheme="minorBidi"/>
          <w:i/>
          <w:iCs/>
          <w:color w:val="000000" w:themeColor="text1"/>
          <w:lang w:eastAsia="en-US"/>
        </w:rPr>
        <w:t xml:space="preserve">Por lo antes expuesto, </w:t>
      </w:r>
      <w:r w:rsidRPr="00E0220E">
        <w:rPr>
          <w:rFonts w:ascii="Palatino Linotype" w:hAnsi="Palatino Linotype" w:eastAsiaTheme="minorHAnsi" w:cstheme="minorBidi"/>
          <w:b/>
          <w:i/>
          <w:iCs/>
          <w:color w:val="000000" w:themeColor="text1"/>
          <w:u w:val="single"/>
          <w:lang w:eastAsia="en-US"/>
        </w:rPr>
        <w:t>se ratifica en todas y cada una de sus partes la respuesta a la solicitud de información de mérito</w:t>
      </w:r>
      <w:r w:rsidRPr="00E0220E">
        <w:rPr>
          <w:rFonts w:ascii="Palatino Linotype" w:hAnsi="Palatino Linotype" w:eastAsiaTheme="minorHAnsi" w:cstheme="minorBidi"/>
          <w:b/>
          <w:i/>
          <w:iCs/>
          <w:color w:val="000000" w:themeColor="text1"/>
          <w:lang w:eastAsia="en-US"/>
        </w:rPr>
        <w:t>,</w:t>
      </w:r>
      <w:r w:rsidRPr="00E0220E">
        <w:rPr>
          <w:rFonts w:ascii="Palatino Linotype" w:hAnsi="Palatino Linotype" w:eastAsiaTheme="minorHAnsi" w:cstheme="minorBidi"/>
          <w:i/>
          <w:iCs/>
          <w:color w:val="000000" w:themeColor="text1"/>
          <w:lang w:eastAsia="en-US"/>
        </w:rPr>
        <w:t xml:space="preserve"> toda vez que se le informó la incompetencia total por no ser el Competente para conocer de la información y orientarlo a realizar su solicitud de acceso a la información ante el Sujeto Obligado que pudiera contar con la misma, con fundamento en lo dispuesto en el artículo 12 y 24 de la Ley de Transparencia y Acceso a la Información Pública del Estado de México y Municipios</w:t>
      </w:r>
      <w:r w:rsidRPr="00E0220E" w:rsidR="00937375">
        <w:rPr>
          <w:rFonts w:ascii="Palatino Linotype" w:hAnsi="Palatino Linotype" w:eastAsiaTheme="minorHAnsi" w:cstheme="minorBidi"/>
          <w:i/>
          <w:iCs/>
          <w:color w:val="000000" w:themeColor="text1"/>
          <w:lang w:eastAsia="en-US"/>
        </w:rPr>
        <w:t>…”</w:t>
      </w:r>
    </w:p>
    <w:p w:rsidRPr="00E0220E" w:rsidR="00A854F9" w:rsidP="000A6D0E" w:rsidRDefault="00A854F9" w14:paraId="471BC638" w14:textId="77777777">
      <w:pPr>
        <w:spacing w:line="360" w:lineRule="auto"/>
        <w:ind w:left="567" w:right="567"/>
        <w:jc w:val="both"/>
        <w:rPr>
          <w:rFonts w:ascii="Palatino Linotype" w:hAnsi="Palatino Linotype" w:eastAsiaTheme="minorHAnsi" w:cstheme="minorBidi"/>
          <w:i/>
          <w:iCs/>
          <w:color w:val="000000" w:themeColor="text1"/>
          <w:lang w:eastAsia="en-US"/>
        </w:rPr>
      </w:pPr>
    </w:p>
    <w:p w:rsidRPr="00E0220E" w:rsidR="00A854F9" w:rsidP="00A854F9" w:rsidRDefault="00A854F9" w14:paraId="7F965BDB" w14:textId="3B3AD035">
      <w:pPr>
        <w:spacing w:line="360" w:lineRule="auto"/>
        <w:jc w:val="both"/>
        <w:rPr>
          <w:rFonts w:ascii="Palatino Linotype" w:hAnsi="Palatino Linotype" w:eastAsia="Palatino Linotype" w:cs="Palatino Linotype"/>
          <w:color w:val="000000" w:themeColor="text1"/>
          <w:sz w:val="22"/>
          <w:szCs w:val="22"/>
          <w:lang w:val="es-ES" w:eastAsia="en-US"/>
        </w:rPr>
      </w:pPr>
      <w:r w:rsidRPr="00E0220E">
        <w:rPr>
          <w:rFonts w:ascii="Palatino Linotype" w:hAnsi="Palatino Linotype" w:eastAsia="Palatino Linotype" w:cs="Palatino Linotype"/>
          <w:b/>
          <w:bCs/>
          <w:color w:val="000000" w:themeColor="text1"/>
          <w:sz w:val="22"/>
          <w:szCs w:val="22"/>
          <w:lang w:val="es-ES" w:eastAsia="en-US"/>
        </w:rPr>
        <w:t xml:space="preserve">d) Ampliación de plazo para resolver. </w:t>
      </w:r>
      <w:r w:rsidRPr="00E0220E">
        <w:rPr>
          <w:rFonts w:ascii="Palatino Linotype" w:hAnsi="Palatino Linotype" w:eastAsia="Palatino Linotype" w:cs="Palatino Linotype"/>
          <w:color w:val="000000" w:themeColor="text1"/>
          <w:sz w:val="22"/>
          <w:szCs w:val="22"/>
          <w:lang w:val="es-ES" w:eastAsia="en-US"/>
        </w:rPr>
        <w:t>El quince de febrero</w:t>
      </w:r>
      <w:r w:rsidRPr="00E0220E" w:rsidR="009E0FA6">
        <w:rPr>
          <w:rFonts w:ascii="Palatino Linotype" w:hAnsi="Palatino Linotype" w:eastAsia="Palatino Linotype" w:cs="Palatino Linotype"/>
          <w:color w:val="000000" w:themeColor="text1"/>
          <w:sz w:val="22"/>
          <w:szCs w:val="22"/>
          <w:lang w:val="es-ES" w:eastAsia="en-US"/>
        </w:rPr>
        <w:t xml:space="preserve"> de dos mil veintitrés</w:t>
      </w:r>
      <w:r w:rsidRPr="00E0220E">
        <w:rPr>
          <w:rFonts w:ascii="Palatino Linotype" w:hAnsi="Palatino Linotype" w:eastAsia="Palatino Linotype" w:cs="Palatino Linotype"/>
          <w:color w:val="000000" w:themeColor="text1"/>
          <w:sz w:val="22"/>
          <w:szCs w:val="22"/>
          <w:lang w:val="es-ES" w:eastAsia="en-US"/>
        </w:rPr>
        <w:t>,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rsidRPr="00E0220E" w:rsidR="00A854F9" w:rsidP="00A854F9" w:rsidRDefault="00A854F9" w14:paraId="464EDF0A" w14:textId="77777777">
      <w:pPr>
        <w:spacing w:line="360" w:lineRule="auto"/>
        <w:jc w:val="both"/>
        <w:rPr>
          <w:rFonts w:ascii="Palatino Linotype" w:hAnsi="Palatino Linotype" w:eastAsia="Calibri"/>
          <w:color w:val="000000" w:themeColor="text1"/>
          <w:sz w:val="22"/>
          <w:szCs w:val="22"/>
          <w:lang w:eastAsia="en-US"/>
        </w:rPr>
      </w:pPr>
    </w:p>
    <w:p w:rsidRPr="00E0220E" w:rsidR="00A854F9" w:rsidP="00A854F9" w:rsidRDefault="00A854F9" w14:paraId="5ACF4D7C" w14:textId="52682370">
      <w:pPr>
        <w:spacing w:line="360" w:lineRule="auto"/>
        <w:jc w:val="both"/>
        <w:rPr>
          <w:rFonts w:ascii="Palatino Linotype" w:hAnsi="Palatino Linotype" w:eastAsia="Palatino Linotype" w:cs="Palatino Linotype"/>
          <w:color w:val="000000"/>
          <w:sz w:val="22"/>
          <w:szCs w:val="22"/>
          <w:lang w:val="es-ES" w:eastAsia="en-US"/>
        </w:rPr>
      </w:pPr>
      <w:r w:rsidRPr="00E0220E">
        <w:rPr>
          <w:rFonts w:ascii="Palatino Linotype" w:hAnsi="Palatino Linotype" w:eastAsia="Palatino Linotype" w:cs="Palatino Linotype"/>
          <w:color w:val="000000"/>
          <w:sz w:val="22"/>
          <w:szCs w:val="22"/>
          <w:lang w:val="es-ES"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E0220E" w:rsidR="00A854F9" w:rsidP="00A854F9" w:rsidRDefault="00A854F9" w14:paraId="00246478" w14:textId="77777777">
      <w:pPr>
        <w:spacing w:line="360" w:lineRule="auto"/>
        <w:jc w:val="both"/>
        <w:rPr>
          <w:rFonts w:ascii="Palatino Linotype" w:hAnsi="Palatino Linotype" w:eastAsia="Palatino Linotype" w:cs="Palatino Linotype"/>
          <w:color w:val="000000"/>
          <w:sz w:val="22"/>
          <w:szCs w:val="22"/>
          <w:lang w:val="es-ES" w:eastAsia="en-US"/>
        </w:rPr>
      </w:pPr>
    </w:p>
    <w:p w:rsidRPr="00E0220E" w:rsidR="00A854F9" w:rsidP="00A854F9" w:rsidRDefault="00A854F9" w14:paraId="5DDC797E" w14:textId="77777777">
      <w:pPr>
        <w:spacing w:line="360" w:lineRule="auto"/>
        <w:jc w:val="both"/>
        <w:rPr>
          <w:rFonts w:ascii="Palatino Linotype" w:hAnsi="Palatino Linotype" w:eastAsia="Palatino Linotype" w:cs="Palatino Linotype"/>
          <w:color w:val="000000"/>
          <w:sz w:val="22"/>
          <w:szCs w:val="22"/>
          <w:lang w:val="es-ES" w:eastAsia="en-US"/>
        </w:rPr>
      </w:pPr>
      <w:r w:rsidRPr="00E0220E">
        <w:rPr>
          <w:rFonts w:ascii="Palatino Linotype" w:hAnsi="Palatino Linotype" w:eastAsia="Palatino Linotype" w:cs="Palatino Linotype"/>
          <w:color w:val="000000"/>
          <w:sz w:val="22"/>
          <w:szCs w:val="22"/>
          <w:lang w:val="es-ES" w:eastAsia="en-US"/>
        </w:rPr>
        <w:t xml:space="preserve">Por ello, es menester precisar que, si bien se ha excedido el plazo para resolver el presente medio de impugnación, de conformidad con la ley de la materia, el plazo para emitir </w:t>
      </w:r>
      <w:r w:rsidRPr="00E0220E">
        <w:rPr>
          <w:rFonts w:ascii="Palatino Linotype" w:hAnsi="Palatino Linotype" w:eastAsia="Palatino Linotype" w:cs="Palatino Linotype"/>
          <w:color w:val="000000"/>
          <w:sz w:val="22"/>
          <w:szCs w:val="22"/>
          <w:lang w:val="es-ES" w:eastAsia="en-US"/>
        </w:rPr>
        <w:lastRenderedPageBreak/>
        <w:t>resolución se encuentra justificado en los elementos para medir su razonabilidad de asuntos conforme a los parámetros establecidos por diversos órganos jurisdiccionales federales, aplicables también en procedimientos análogos, como el que nos ocupa.</w:t>
      </w:r>
    </w:p>
    <w:p w:rsidRPr="00E0220E" w:rsidR="00A854F9" w:rsidP="00A854F9" w:rsidRDefault="00A854F9" w14:paraId="6E2DC2BE" w14:textId="77777777">
      <w:pPr>
        <w:spacing w:line="360" w:lineRule="auto"/>
        <w:jc w:val="both"/>
        <w:rPr>
          <w:rFonts w:ascii="Palatino Linotype" w:hAnsi="Palatino Linotype" w:eastAsia="Palatino Linotype" w:cs="Palatino Linotype"/>
          <w:color w:val="000000"/>
          <w:sz w:val="22"/>
          <w:szCs w:val="22"/>
          <w:lang w:val="es-ES" w:eastAsia="en-US"/>
        </w:rPr>
      </w:pPr>
    </w:p>
    <w:p w:rsidRPr="00E0220E" w:rsidR="00A854F9" w:rsidP="00A854F9" w:rsidRDefault="00A854F9" w14:paraId="6C94E968" w14:textId="77777777">
      <w:pPr>
        <w:spacing w:line="360" w:lineRule="auto"/>
        <w:jc w:val="both"/>
        <w:rPr>
          <w:rFonts w:ascii="Palatino Linotype" w:hAnsi="Palatino Linotype" w:eastAsia="Palatino Linotype" w:cs="Palatino Linotype"/>
          <w:color w:val="000000"/>
          <w:sz w:val="22"/>
          <w:szCs w:val="22"/>
          <w:lang w:val="es-ES" w:eastAsia="en-US"/>
        </w:rPr>
      </w:pPr>
      <w:r w:rsidRPr="00E0220E">
        <w:rPr>
          <w:rFonts w:ascii="Palatino Linotype" w:hAnsi="Palatino Linotype" w:eastAsia="Palatino Linotype" w:cs="Palatino Linotype"/>
          <w:color w:val="000000"/>
          <w:sz w:val="22"/>
          <w:szCs w:val="22"/>
          <w:lang w:val="es-ES"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E0220E" w:rsidR="00A854F9" w:rsidP="00A854F9" w:rsidRDefault="00A854F9" w14:paraId="27CB3AB0" w14:textId="77777777">
      <w:pPr>
        <w:spacing w:line="360" w:lineRule="auto"/>
        <w:jc w:val="both"/>
        <w:rPr>
          <w:rFonts w:ascii="Palatino Linotype" w:hAnsi="Palatino Linotype" w:eastAsia="Palatino Linotype" w:cs="Palatino Linotype"/>
          <w:color w:val="000000"/>
          <w:sz w:val="22"/>
          <w:szCs w:val="22"/>
          <w:lang w:val="es-ES" w:eastAsia="en-US"/>
        </w:rPr>
      </w:pPr>
    </w:p>
    <w:p w:rsidRPr="00E0220E" w:rsidR="00A854F9" w:rsidP="00A854F9" w:rsidRDefault="00A854F9" w14:paraId="3A9727D0" w14:textId="77777777">
      <w:pPr>
        <w:spacing w:line="360" w:lineRule="auto"/>
        <w:jc w:val="both"/>
        <w:rPr>
          <w:rFonts w:ascii="Palatino Linotype" w:hAnsi="Palatino Linotype" w:eastAsia="Palatino Linotype" w:cs="Palatino Linotype"/>
          <w:color w:val="000000"/>
          <w:sz w:val="22"/>
          <w:szCs w:val="22"/>
          <w:lang w:val="es-ES" w:eastAsia="en-US"/>
        </w:rPr>
      </w:pPr>
      <w:r w:rsidRPr="00E0220E">
        <w:rPr>
          <w:rFonts w:ascii="Palatino Linotype" w:hAnsi="Palatino Linotype" w:eastAsia="Palatino Linotype" w:cs="Palatino Linotype"/>
          <w:color w:val="000000"/>
          <w:sz w:val="22"/>
          <w:szCs w:val="22"/>
          <w:lang w:val="es-ES"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E0220E" w:rsidR="00A854F9" w:rsidP="00A854F9" w:rsidRDefault="00A854F9" w14:paraId="53DF210A" w14:textId="77777777">
      <w:pPr>
        <w:spacing w:line="360" w:lineRule="auto"/>
        <w:jc w:val="both"/>
        <w:rPr>
          <w:rFonts w:ascii="Palatino Linotype" w:hAnsi="Palatino Linotype" w:eastAsia="Palatino Linotype" w:cs="Palatino Linotype"/>
          <w:color w:val="000000"/>
          <w:sz w:val="22"/>
          <w:szCs w:val="22"/>
          <w:lang w:val="es-ES" w:eastAsia="en-US"/>
        </w:rPr>
      </w:pPr>
    </w:p>
    <w:p w:rsidRPr="00E0220E" w:rsidR="00A854F9" w:rsidP="00A854F9" w:rsidRDefault="00A854F9" w14:paraId="32036B9A" w14:textId="77777777">
      <w:pPr>
        <w:spacing w:line="360" w:lineRule="auto"/>
        <w:jc w:val="both"/>
        <w:rPr>
          <w:rFonts w:ascii="Palatino Linotype" w:hAnsi="Palatino Linotype" w:eastAsia="Palatino Linotype" w:cs="Palatino Linotype"/>
          <w:color w:val="000000"/>
          <w:sz w:val="22"/>
          <w:szCs w:val="22"/>
          <w:lang w:val="es-ES" w:eastAsia="en-US"/>
        </w:rPr>
      </w:pPr>
      <w:r w:rsidRPr="00E0220E">
        <w:rPr>
          <w:rFonts w:ascii="Palatino Linotype" w:hAnsi="Palatino Linotype" w:eastAsia="Palatino Linotype" w:cs="Palatino Linotype"/>
          <w:color w:val="000000"/>
          <w:sz w:val="22"/>
          <w:szCs w:val="22"/>
          <w:lang w:val="es-ES" w:eastAsia="en-US"/>
        </w:rPr>
        <w:t xml:space="preserve">Por ello, excepcionalmente, si un asunto es resuelto con posterioridad a los plazos señalados por la norma debe analizarse la razonabilidad del tiempo necesario para su resolución, atentos a los siguientes criterios:  </w:t>
      </w:r>
    </w:p>
    <w:p w:rsidRPr="00E0220E" w:rsidR="00A854F9" w:rsidP="00A854F9" w:rsidRDefault="00A854F9" w14:paraId="4843CD29" w14:textId="77777777">
      <w:pPr>
        <w:spacing w:line="360" w:lineRule="auto"/>
        <w:jc w:val="both"/>
        <w:rPr>
          <w:rFonts w:ascii="Palatino Linotype" w:hAnsi="Palatino Linotype" w:eastAsia="Palatino Linotype" w:cs="Palatino Linotype"/>
          <w:color w:val="000000"/>
          <w:sz w:val="22"/>
          <w:szCs w:val="22"/>
          <w:lang w:val="es-ES" w:eastAsia="en-US"/>
        </w:rPr>
      </w:pPr>
    </w:p>
    <w:p w:rsidRPr="00E0220E" w:rsidR="00A854F9" w:rsidP="00A854F9" w:rsidRDefault="00A854F9" w14:paraId="6C226C0B" w14:textId="77777777">
      <w:pPr>
        <w:numPr>
          <w:ilvl w:val="0"/>
          <w:numId w:val="26"/>
        </w:numPr>
        <w:spacing w:line="360" w:lineRule="auto"/>
        <w:jc w:val="both"/>
        <w:rPr>
          <w:rFonts w:ascii="Palatino Linotype" w:hAnsi="Palatino Linotype" w:eastAsia="Palatino Linotype" w:cs="Palatino Linotype"/>
          <w:color w:val="000000"/>
          <w:sz w:val="22"/>
          <w:szCs w:val="22"/>
          <w:lang w:val="es-ES" w:eastAsia="en-US"/>
        </w:rPr>
      </w:pPr>
      <w:r w:rsidRPr="00E0220E">
        <w:rPr>
          <w:rFonts w:ascii="Palatino Linotype" w:hAnsi="Palatino Linotype" w:eastAsia="Palatino Linotype" w:cs="Palatino Linotype"/>
          <w:b/>
          <w:bCs/>
          <w:color w:val="000000"/>
          <w:sz w:val="22"/>
          <w:szCs w:val="22"/>
          <w:lang w:val="es-ES" w:eastAsia="en-US"/>
        </w:rPr>
        <w:t>Complejidad del asunto:</w:t>
      </w:r>
      <w:r w:rsidRPr="00E0220E">
        <w:rPr>
          <w:rFonts w:ascii="Palatino Linotype" w:hAnsi="Palatino Linotype" w:eastAsia="Palatino Linotype" w:cs="Palatino Linotype"/>
          <w:color w:val="000000"/>
          <w:sz w:val="22"/>
          <w:szCs w:val="22"/>
          <w:lang w:val="es-ES" w:eastAsia="en-US"/>
        </w:rPr>
        <w:t xml:space="preserve"> La complejidad de la prueba, la pluralidad de sujetos procesales, el tiempo transcurrido, las características y contexto del recurso.</w:t>
      </w:r>
    </w:p>
    <w:p w:rsidRPr="00E0220E" w:rsidR="00A854F9" w:rsidP="00A854F9" w:rsidRDefault="00A854F9" w14:paraId="7F97CD24" w14:textId="77777777">
      <w:pPr>
        <w:spacing w:line="360" w:lineRule="auto"/>
        <w:jc w:val="both"/>
        <w:rPr>
          <w:rFonts w:ascii="Palatino Linotype" w:hAnsi="Palatino Linotype" w:eastAsia="Palatino Linotype" w:cs="Palatino Linotype"/>
          <w:color w:val="000000"/>
          <w:sz w:val="22"/>
          <w:szCs w:val="22"/>
          <w:lang w:val="es-ES" w:eastAsia="en-US"/>
        </w:rPr>
      </w:pPr>
    </w:p>
    <w:p w:rsidRPr="00E0220E" w:rsidR="00A854F9" w:rsidP="00A854F9" w:rsidRDefault="00A854F9" w14:paraId="7DA5D4B0" w14:textId="77777777">
      <w:pPr>
        <w:numPr>
          <w:ilvl w:val="0"/>
          <w:numId w:val="26"/>
        </w:numPr>
        <w:spacing w:line="360" w:lineRule="auto"/>
        <w:jc w:val="both"/>
        <w:rPr>
          <w:rFonts w:ascii="Palatino Linotype" w:hAnsi="Palatino Linotype" w:eastAsia="Palatino Linotype" w:cs="Palatino Linotype"/>
          <w:color w:val="000000"/>
          <w:sz w:val="22"/>
          <w:szCs w:val="22"/>
          <w:lang w:val="es-ES" w:eastAsia="en-US"/>
        </w:rPr>
      </w:pPr>
      <w:r w:rsidRPr="00E0220E">
        <w:rPr>
          <w:rFonts w:ascii="Palatino Linotype" w:hAnsi="Palatino Linotype" w:eastAsia="Palatino Linotype" w:cs="Palatino Linotype"/>
          <w:b/>
          <w:bCs/>
          <w:color w:val="000000"/>
          <w:sz w:val="22"/>
          <w:szCs w:val="22"/>
          <w:lang w:val="es-ES" w:eastAsia="en-US"/>
        </w:rPr>
        <w:t>Actividad Procesal del interesado:</w:t>
      </w:r>
      <w:r w:rsidRPr="00E0220E">
        <w:rPr>
          <w:rFonts w:ascii="Palatino Linotype" w:hAnsi="Palatino Linotype" w:eastAsia="Palatino Linotype" w:cs="Palatino Linotype"/>
          <w:color w:val="000000"/>
          <w:sz w:val="22"/>
          <w:szCs w:val="22"/>
          <w:lang w:val="es-ES" w:eastAsia="en-US"/>
        </w:rPr>
        <w:t xml:space="preserve"> Acciones u omisiones del interesado.</w:t>
      </w:r>
    </w:p>
    <w:p w:rsidRPr="00E0220E" w:rsidR="00A854F9" w:rsidP="00A854F9" w:rsidRDefault="00A854F9" w14:paraId="5DDD5275" w14:textId="77777777">
      <w:pPr>
        <w:spacing w:line="360" w:lineRule="auto"/>
        <w:jc w:val="both"/>
        <w:rPr>
          <w:rFonts w:ascii="Palatino Linotype" w:hAnsi="Palatino Linotype" w:eastAsia="Palatino Linotype" w:cs="Palatino Linotype"/>
          <w:color w:val="000000"/>
          <w:sz w:val="22"/>
          <w:szCs w:val="22"/>
          <w:lang w:val="es-ES" w:eastAsia="en-US"/>
        </w:rPr>
      </w:pPr>
    </w:p>
    <w:p w:rsidRPr="00E0220E" w:rsidR="00A854F9" w:rsidP="00A854F9" w:rsidRDefault="00A854F9" w14:paraId="0EB12959" w14:textId="77777777">
      <w:pPr>
        <w:numPr>
          <w:ilvl w:val="0"/>
          <w:numId w:val="26"/>
        </w:numPr>
        <w:spacing w:line="360" w:lineRule="auto"/>
        <w:jc w:val="both"/>
        <w:rPr>
          <w:rFonts w:ascii="Palatino Linotype" w:hAnsi="Palatino Linotype" w:eastAsia="Palatino Linotype" w:cs="Palatino Linotype"/>
          <w:color w:val="000000"/>
          <w:sz w:val="22"/>
          <w:szCs w:val="22"/>
          <w:lang w:val="es-ES" w:eastAsia="en-US"/>
        </w:rPr>
      </w:pPr>
      <w:r w:rsidRPr="00E0220E">
        <w:rPr>
          <w:rFonts w:ascii="Palatino Linotype" w:hAnsi="Palatino Linotype" w:eastAsia="Palatino Linotype" w:cs="Palatino Linotype"/>
          <w:b/>
          <w:bCs/>
          <w:color w:val="000000"/>
          <w:sz w:val="22"/>
          <w:szCs w:val="22"/>
          <w:lang w:val="es-ES" w:eastAsia="en-US"/>
        </w:rPr>
        <w:t>Conducta de la Autoridad:</w:t>
      </w:r>
      <w:r w:rsidRPr="00E0220E">
        <w:rPr>
          <w:rFonts w:ascii="Palatino Linotype" w:hAnsi="Palatino Linotype" w:eastAsia="Palatino Linotype" w:cs="Palatino Linotype"/>
          <w:color w:val="000000"/>
          <w:sz w:val="22"/>
          <w:szCs w:val="22"/>
          <w:lang w:val="es-ES" w:eastAsia="en-US"/>
        </w:rPr>
        <w:t xml:space="preserve"> Las Acciones u omisiones realizadas en el procedimiento. Así como si la autoridad actuó con la debida diligencia.</w:t>
      </w:r>
    </w:p>
    <w:p w:rsidRPr="00E0220E" w:rsidR="00A854F9" w:rsidP="00A854F9" w:rsidRDefault="00A854F9" w14:paraId="3D8C02D0" w14:textId="77777777">
      <w:pPr>
        <w:spacing w:line="360" w:lineRule="auto"/>
        <w:jc w:val="both"/>
        <w:rPr>
          <w:rFonts w:ascii="Palatino Linotype" w:hAnsi="Palatino Linotype" w:eastAsia="Palatino Linotype" w:cs="Palatino Linotype"/>
          <w:color w:val="000000"/>
          <w:sz w:val="22"/>
          <w:szCs w:val="22"/>
          <w:lang w:val="es-ES" w:eastAsia="en-US"/>
        </w:rPr>
      </w:pPr>
    </w:p>
    <w:p w:rsidRPr="00E0220E" w:rsidR="00A854F9" w:rsidP="00A854F9" w:rsidRDefault="00A854F9" w14:paraId="3F54CA57" w14:textId="77777777">
      <w:pPr>
        <w:numPr>
          <w:ilvl w:val="0"/>
          <w:numId w:val="26"/>
        </w:numPr>
        <w:spacing w:line="360" w:lineRule="auto"/>
        <w:jc w:val="both"/>
        <w:rPr>
          <w:rFonts w:ascii="Palatino Linotype" w:hAnsi="Palatino Linotype" w:eastAsia="Palatino Linotype" w:cs="Palatino Linotype"/>
          <w:color w:val="000000"/>
          <w:sz w:val="22"/>
          <w:szCs w:val="22"/>
          <w:lang w:val="es-ES" w:eastAsia="en-US"/>
        </w:rPr>
      </w:pPr>
      <w:r w:rsidRPr="00E0220E">
        <w:rPr>
          <w:rFonts w:ascii="Palatino Linotype" w:hAnsi="Palatino Linotype" w:eastAsia="Palatino Linotype" w:cs="Palatino Linotype"/>
          <w:b/>
          <w:bCs/>
          <w:color w:val="000000"/>
          <w:sz w:val="22"/>
          <w:szCs w:val="22"/>
          <w:lang w:val="es-ES" w:eastAsia="en-US"/>
        </w:rPr>
        <w:lastRenderedPageBreak/>
        <w:t xml:space="preserve">La afectación generada en la situación jurídica de la persona involucrada en el proceso: </w:t>
      </w:r>
      <w:r w:rsidRPr="00E0220E">
        <w:rPr>
          <w:rFonts w:ascii="Palatino Linotype" w:hAnsi="Palatino Linotype" w:eastAsia="Palatino Linotype" w:cs="Palatino Linotype"/>
          <w:color w:val="000000"/>
          <w:sz w:val="22"/>
          <w:szCs w:val="22"/>
          <w:lang w:val="es-ES" w:eastAsia="en-US"/>
        </w:rPr>
        <w:t>Violación a sus derechos humanos.</w:t>
      </w:r>
    </w:p>
    <w:p w:rsidRPr="00E0220E" w:rsidR="00A854F9" w:rsidP="00A854F9" w:rsidRDefault="00A854F9" w14:paraId="32E35136" w14:textId="77777777">
      <w:pPr>
        <w:spacing w:line="360" w:lineRule="auto"/>
        <w:jc w:val="both"/>
        <w:rPr>
          <w:rFonts w:ascii="Palatino Linotype" w:hAnsi="Palatino Linotype" w:eastAsia="Palatino Linotype" w:cs="Palatino Linotype"/>
          <w:color w:val="000000"/>
          <w:sz w:val="22"/>
          <w:szCs w:val="22"/>
          <w:lang w:val="es-ES" w:eastAsia="en-US"/>
        </w:rPr>
      </w:pPr>
    </w:p>
    <w:p w:rsidRPr="00E0220E" w:rsidR="00A854F9" w:rsidP="00A854F9" w:rsidRDefault="00A854F9" w14:paraId="55AF43C8" w14:textId="77777777">
      <w:pPr>
        <w:spacing w:line="360" w:lineRule="auto"/>
        <w:jc w:val="both"/>
        <w:rPr>
          <w:rFonts w:ascii="Palatino Linotype" w:hAnsi="Palatino Linotype" w:eastAsia="Palatino Linotype" w:cs="Palatino Linotype"/>
          <w:color w:val="000000"/>
          <w:sz w:val="22"/>
          <w:szCs w:val="22"/>
          <w:lang w:val="es-ES" w:eastAsia="en-US"/>
        </w:rPr>
      </w:pPr>
      <w:r w:rsidRPr="00E0220E">
        <w:rPr>
          <w:rFonts w:ascii="Palatino Linotype" w:hAnsi="Palatino Linotype" w:eastAsia="Palatino Linotype" w:cs="Palatino Linotype"/>
          <w:color w:val="000000"/>
          <w:sz w:val="22"/>
          <w:szCs w:val="22"/>
          <w:lang w:val="es-ES"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E0220E" w:rsidR="00A854F9" w:rsidP="00A854F9" w:rsidRDefault="00A854F9" w14:paraId="3FC82E37" w14:textId="77777777">
      <w:pPr>
        <w:spacing w:line="360" w:lineRule="auto"/>
        <w:jc w:val="both"/>
        <w:rPr>
          <w:rFonts w:ascii="Palatino Linotype" w:hAnsi="Palatino Linotype" w:eastAsia="Palatino Linotype" w:cs="Palatino Linotype"/>
          <w:color w:val="000000"/>
          <w:sz w:val="22"/>
          <w:szCs w:val="22"/>
          <w:lang w:val="es-ES" w:eastAsia="en-US"/>
        </w:rPr>
      </w:pPr>
    </w:p>
    <w:p w:rsidRPr="00E0220E" w:rsidR="00A854F9" w:rsidP="00A854F9" w:rsidRDefault="00A854F9" w14:paraId="7DA1D6A8" w14:textId="77777777">
      <w:pPr>
        <w:spacing w:line="360" w:lineRule="auto"/>
        <w:jc w:val="both"/>
        <w:rPr>
          <w:rFonts w:ascii="Palatino Linotype" w:hAnsi="Palatino Linotype" w:eastAsia="Palatino Linotype" w:cs="Palatino Linotype"/>
          <w:color w:val="000000"/>
          <w:sz w:val="22"/>
          <w:szCs w:val="22"/>
          <w:lang w:val="es-ES" w:eastAsia="en-US"/>
        </w:rPr>
      </w:pPr>
      <w:r w:rsidRPr="00E0220E">
        <w:rPr>
          <w:rFonts w:ascii="Palatino Linotype" w:hAnsi="Palatino Linotype" w:eastAsia="Palatino Linotype" w:cs="Palatino Linotype"/>
          <w:color w:val="000000"/>
          <w:sz w:val="22"/>
          <w:szCs w:val="22"/>
          <w:lang w:val="es-ES" w:eastAsia="en-US"/>
        </w:rPr>
        <w:t>Argumento que encuentra sustento en la jurisprudencia P./J. 32/92 emitida por el Pleno de la Suprema Corte de Justicia de la Nación de rubro “</w:t>
      </w:r>
      <w:r w:rsidRPr="00E0220E">
        <w:rPr>
          <w:rFonts w:ascii="Palatino Linotype" w:hAnsi="Palatino Linotype" w:eastAsia="Palatino Linotype" w:cs="Palatino Linotype"/>
          <w:b/>
          <w:bCs/>
          <w:color w:val="000000"/>
          <w:sz w:val="22"/>
          <w:szCs w:val="22"/>
          <w:lang w:val="es-ES" w:eastAsia="en-US"/>
        </w:rPr>
        <w:t>TÉRMINOS PROCESALES. PARA DETERMINAR SI UN FUNCIONARIO JUDICIAL ACTUÓ INDEBIDAMENTE POR NO RESPETARLOS SE DEBE ATENDER AL PRESUPUESTO QUE CONSIDERÓ EL LEGISLADOR AL FIJARLOS Y LAS CARACTERÍSTICAS DEL CASO</w:t>
      </w:r>
      <w:r w:rsidRPr="00E0220E">
        <w:rPr>
          <w:rFonts w:ascii="Palatino Linotype" w:hAnsi="Palatino Linotype" w:eastAsia="Palatino Linotype" w:cs="Palatino Linotype"/>
          <w:color w:val="000000"/>
          <w:sz w:val="22"/>
          <w:szCs w:val="22"/>
          <w:lang w:val="es-ES" w:eastAsia="en-US"/>
        </w:rPr>
        <w:t>.”, visible en la Gaceta del Seminario Judicial de la Federación con el registro digital 205635.</w:t>
      </w:r>
    </w:p>
    <w:p w:rsidRPr="00E0220E" w:rsidR="00A854F9" w:rsidP="00A854F9" w:rsidRDefault="00A854F9" w14:paraId="44B4F3B3" w14:textId="77777777">
      <w:pPr>
        <w:spacing w:line="360" w:lineRule="auto"/>
        <w:jc w:val="both"/>
        <w:rPr>
          <w:rFonts w:ascii="Palatino Linotype" w:hAnsi="Palatino Linotype" w:eastAsia="Palatino Linotype" w:cs="Palatino Linotype"/>
          <w:color w:val="000000"/>
          <w:sz w:val="22"/>
          <w:szCs w:val="22"/>
          <w:lang w:val="es-ES" w:eastAsia="en-US"/>
        </w:rPr>
      </w:pPr>
      <w:r w:rsidRPr="00E0220E">
        <w:rPr>
          <w:rFonts w:ascii="Palatino Linotype" w:hAnsi="Palatino Linotype" w:eastAsia="Palatino Linotype" w:cs="Palatino Linotype"/>
          <w:color w:val="000000"/>
          <w:sz w:val="22"/>
          <w:szCs w:val="22"/>
          <w:lang w:val="es-ES" w:eastAsia="en-US"/>
        </w:rPr>
        <w:t xml:space="preserve"> </w:t>
      </w:r>
    </w:p>
    <w:p w:rsidRPr="00E0220E" w:rsidR="00A854F9" w:rsidP="00A854F9" w:rsidRDefault="00A854F9" w14:paraId="6CF5FFDA" w14:textId="77777777">
      <w:pPr>
        <w:spacing w:line="360" w:lineRule="auto"/>
        <w:jc w:val="both"/>
        <w:rPr>
          <w:rFonts w:ascii="Palatino Linotype" w:hAnsi="Palatino Linotype" w:eastAsia="Palatino Linotype" w:cs="Palatino Linotype"/>
          <w:color w:val="000000"/>
          <w:sz w:val="22"/>
          <w:szCs w:val="22"/>
          <w:lang w:val="es-ES" w:eastAsia="en-US"/>
        </w:rPr>
      </w:pPr>
      <w:r w:rsidRPr="00E0220E">
        <w:rPr>
          <w:rFonts w:ascii="Palatino Linotype" w:hAnsi="Palatino Linotype" w:eastAsia="Palatino Linotype" w:cs="Palatino Linotype"/>
          <w:color w:val="000000"/>
          <w:sz w:val="22"/>
          <w:szCs w:val="22"/>
          <w:lang w:val="es-ES"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E0220E" w:rsidR="00A854F9" w:rsidP="00A854F9" w:rsidRDefault="00A854F9" w14:paraId="346548A1" w14:textId="77777777">
      <w:pPr>
        <w:spacing w:line="360" w:lineRule="auto"/>
        <w:jc w:val="both"/>
        <w:rPr>
          <w:rFonts w:ascii="Palatino Linotype" w:hAnsi="Palatino Linotype" w:eastAsia="Palatino Linotype" w:cs="Palatino Linotype"/>
          <w:color w:val="000000"/>
          <w:sz w:val="22"/>
          <w:szCs w:val="22"/>
          <w:lang w:val="es-ES" w:eastAsia="en-US"/>
        </w:rPr>
      </w:pPr>
    </w:p>
    <w:p w:rsidRPr="00E0220E" w:rsidR="00A854F9" w:rsidP="00A854F9" w:rsidRDefault="00A854F9" w14:paraId="2CA01AD6" w14:textId="77777777">
      <w:pPr>
        <w:spacing w:line="360" w:lineRule="auto"/>
        <w:jc w:val="both"/>
        <w:rPr>
          <w:rFonts w:ascii="Palatino Linotype" w:hAnsi="Palatino Linotype" w:eastAsia="Palatino Linotype" w:cs="Palatino Linotype"/>
          <w:color w:val="000000"/>
          <w:sz w:val="22"/>
          <w:szCs w:val="22"/>
          <w:lang w:val="es-ES" w:eastAsia="en-US"/>
        </w:rPr>
      </w:pPr>
      <w:r w:rsidRPr="00E0220E">
        <w:rPr>
          <w:rFonts w:ascii="Palatino Linotype" w:hAnsi="Palatino Linotype" w:eastAsia="Palatino Linotype" w:cs="Palatino Linotype"/>
          <w:color w:val="000000"/>
          <w:sz w:val="22"/>
          <w:szCs w:val="22"/>
          <w:lang w:val="es-ES" w:eastAsia="en-US"/>
        </w:rPr>
        <w:lastRenderedPageBreak/>
        <w:t>Al respecto, también son de considerar los criterios sostenidos por el Cuarto Tribunal Colegiado en Materia Administrativa del Primer Circuito, cuyos rubros y datos de identificación son los siguientes:</w:t>
      </w:r>
    </w:p>
    <w:p w:rsidRPr="00E0220E" w:rsidR="00A854F9" w:rsidP="00A854F9" w:rsidRDefault="00A854F9" w14:paraId="15324F1F" w14:textId="77777777">
      <w:pPr>
        <w:spacing w:line="360" w:lineRule="auto"/>
        <w:jc w:val="both"/>
        <w:rPr>
          <w:rFonts w:ascii="Palatino Linotype" w:hAnsi="Palatino Linotype" w:eastAsia="Palatino Linotype" w:cs="Palatino Linotype"/>
          <w:color w:val="000000"/>
          <w:sz w:val="22"/>
          <w:szCs w:val="22"/>
          <w:lang w:val="es-ES" w:eastAsia="en-US"/>
        </w:rPr>
      </w:pPr>
    </w:p>
    <w:p w:rsidRPr="00E0220E" w:rsidR="00A854F9" w:rsidP="00A854F9" w:rsidRDefault="00A854F9" w14:paraId="461227C3" w14:textId="77777777">
      <w:pPr>
        <w:spacing w:line="360" w:lineRule="auto"/>
        <w:jc w:val="both"/>
        <w:rPr>
          <w:rFonts w:ascii="Palatino Linotype" w:hAnsi="Palatino Linotype" w:eastAsia="Palatino Linotype" w:cs="Palatino Linotype"/>
          <w:color w:val="000000"/>
          <w:sz w:val="22"/>
          <w:szCs w:val="22"/>
          <w:lang w:val="es-ES" w:eastAsia="en-US"/>
        </w:rPr>
      </w:pPr>
      <w:r w:rsidRPr="00E0220E">
        <w:rPr>
          <w:rFonts w:ascii="Palatino Linotype" w:hAnsi="Palatino Linotype" w:eastAsia="Palatino Linotype" w:cs="Palatino Linotype"/>
          <w:color w:val="000000"/>
          <w:sz w:val="22"/>
          <w:szCs w:val="22"/>
          <w:lang w:val="es-ES" w:eastAsia="en-US"/>
        </w:rPr>
        <w:t xml:space="preserve"> “</w:t>
      </w:r>
      <w:r w:rsidRPr="00E0220E">
        <w:rPr>
          <w:rFonts w:ascii="Palatino Linotype" w:hAnsi="Palatino Linotype" w:eastAsia="Palatino Linotype" w:cs="Palatino Linotype"/>
          <w:b/>
          <w:bCs/>
          <w:color w:val="000000"/>
          <w:sz w:val="22"/>
          <w:szCs w:val="22"/>
          <w:lang w:val="es-ES" w:eastAsia="en-US"/>
        </w:rPr>
        <w:t>PLAZO RAZONABLE PARA RESOLVER. DIMENSIÓN Y EFECTOS DE ESTE CONCEPTO CUANDO SE ADUCE EXCESIVA CARGA DE TRABAJO</w:t>
      </w:r>
      <w:r w:rsidRPr="00E0220E">
        <w:rPr>
          <w:rFonts w:ascii="Palatino Linotype" w:hAnsi="Palatino Linotype" w:eastAsia="Palatino Linotype" w:cs="Palatino Linotype"/>
          <w:color w:val="000000"/>
          <w:sz w:val="22"/>
          <w:szCs w:val="22"/>
          <w:lang w:val="es-ES" w:eastAsia="en-US"/>
        </w:rPr>
        <w:t>.” consultable en el Seminario Judicial de la Federación y su gaceta, con el registro digital 2002351.</w:t>
      </w:r>
    </w:p>
    <w:p w:rsidRPr="00E0220E" w:rsidR="00A854F9" w:rsidP="00A854F9" w:rsidRDefault="00A854F9" w14:paraId="418C32F7" w14:textId="77777777">
      <w:pPr>
        <w:spacing w:line="360" w:lineRule="auto"/>
        <w:jc w:val="both"/>
        <w:rPr>
          <w:rFonts w:ascii="Palatino Linotype" w:hAnsi="Palatino Linotype" w:eastAsia="Palatino Linotype" w:cs="Palatino Linotype"/>
          <w:color w:val="000000"/>
          <w:sz w:val="22"/>
          <w:szCs w:val="22"/>
          <w:lang w:val="es-ES" w:eastAsia="en-US"/>
        </w:rPr>
      </w:pPr>
    </w:p>
    <w:p w:rsidRPr="00E0220E" w:rsidR="00A854F9" w:rsidP="00A854F9" w:rsidRDefault="00A854F9" w14:paraId="3A8C0061" w14:textId="77777777">
      <w:pPr>
        <w:spacing w:line="360" w:lineRule="auto"/>
        <w:jc w:val="both"/>
        <w:rPr>
          <w:rFonts w:ascii="Palatino Linotype" w:hAnsi="Palatino Linotype" w:eastAsia="Palatino Linotype" w:cs="Palatino Linotype"/>
          <w:color w:val="000000"/>
          <w:sz w:val="22"/>
          <w:szCs w:val="22"/>
          <w:lang w:val="es-ES" w:eastAsia="en-US"/>
        </w:rPr>
      </w:pPr>
      <w:r w:rsidRPr="00E0220E">
        <w:rPr>
          <w:rFonts w:ascii="Palatino Linotype" w:hAnsi="Palatino Linotype" w:eastAsia="Palatino Linotype" w:cs="Palatino Linotype"/>
          <w:color w:val="000000"/>
          <w:sz w:val="22"/>
          <w:szCs w:val="22"/>
          <w:lang w:val="es-ES" w:eastAsia="en-US"/>
        </w:rPr>
        <w:t>“</w:t>
      </w:r>
      <w:r w:rsidRPr="00E0220E">
        <w:rPr>
          <w:rFonts w:ascii="Palatino Linotype" w:hAnsi="Palatino Linotype" w:eastAsia="Palatino Linotype" w:cs="Palatino Linotype"/>
          <w:b/>
          <w:bCs/>
          <w:color w:val="000000"/>
          <w:sz w:val="22"/>
          <w:szCs w:val="22"/>
          <w:lang w:val="es-ES" w:eastAsia="en-US"/>
        </w:rPr>
        <w:t>PLAZO RAZONABLE PARA RESOLVER. CONCEPTO Y ELEMENTOS QUE LO INTEGRAN A LA LUZ DEL DERECHO INTERNACIONAL DE LOS DERECHOS HUMANOS</w:t>
      </w:r>
      <w:r w:rsidRPr="00E0220E">
        <w:rPr>
          <w:rFonts w:ascii="Palatino Linotype" w:hAnsi="Palatino Linotype" w:eastAsia="Palatino Linotype" w:cs="Palatino Linotype"/>
          <w:color w:val="000000"/>
          <w:sz w:val="22"/>
          <w:szCs w:val="22"/>
          <w:lang w:val="es-ES" w:eastAsia="en-US"/>
        </w:rPr>
        <w:t>.”, visible en el Seminario Judicial de la Federación y su gaceta, con el registro digital 2002350.</w:t>
      </w:r>
    </w:p>
    <w:p w:rsidRPr="00E0220E" w:rsidR="00A854F9" w:rsidP="00A854F9" w:rsidRDefault="00A854F9" w14:paraId="27F74A21" w14:textId="77777777">
      <w:pPr>
        <w:spacing w:line="360" w:lineRule="auto"/>
        <w:jc w:val="both"/>
        <w:rPr>
          <w:rFonts w:ascii="Palatino Linotype" w:hAnsi="Palatino Linotype" w:eastAsia="Palatino Linotype" w:cs="Palatino Linotype"/>
          <w:color w:val="000000"/>
          <w:sz w:val="22"/>
          <w:szCs w:val="22"/>
          <w:lang w:val="es-ES" w:eastAsia="en-US"/>
        </w:rPr>
      </w:pPr>
    </w:p>
    <w:p w:rsidRPr="00E0220E" w:rsidR="00A854F9" w:rsidP="00A854F9" w:rsidRDefault="00A854F9" w14:paraId="54E39301" w14:textId="77777777">
      <w:pPr>
        <w:spacing w:line="360" w:lineRule="auto"/>
        <w:jc w:val="both"/>
        <w:rPr>
          <w:rFonts w:ascii="Palatino Linotype" w:hAnsi="Palatino Linotype" w:eastAsia="Palatino Linotype" w:cs="Palatino Linotype"/>
          <w:color w:val="000000"/>
          <w:sz w:val="22"/>
          <w:szCs w:val="22"/>
          <w:lang w:val="es-ES" w:eastAsia="en-US"/>
        </w:rPr>
      </w:pPr>
      <w:r w:rsidRPr="00E0220E">
        <w:rPr>
          <w:rFonts w:ascii="Palatino Linotype" w:hAnsi="Palatino Linotype" w:eastAsia="Palatino Linotype" w:cs="Palatino Linotype"/>
          <w:color w:val="000000"/>
          <w:sz w:val="22"/>
          <w:szCs w:val="22"/>
          <w:lang w:val="es-ES" w:eastAsia="en-US"/>
        </w:rPr>
        <w:t>Por ello, este organismo garante comprometido con la tutela de los derechos humanos confiados señala que este exceso del plazo legal para resolver el presente asunto, resulta de carácter excepcional.</w:t>
      </w:r>
    </w:p>
    <w:p w:rsidRPr="00E0220E" w:rsidR="00836192" w:rsidP="0024622D" w:rsidRDefault="00836192" w14:paraId="4D9F875F" w14:textId="059C5933">
      <w:pPr>
        <w:spacing w:line="360" w:lineRule="auto"/>
        <w:jc w:val="both"/>
        <w:rPr>
          <w:rFonts w:ascii="Palatino Linotype" w:hAnsi="Palatino Linotype" w:cs="Tahoma"/>
          <w:bCs/>
          <w:sz w:val="22"/>
          <w:szCs w:val="22"/>
        </w:rPr>
      </w:pPr>
    </w:p>
    <w:p w:rsidRPr="00E0220E" w:rsidR="00937375" w:rsidP="0024622D" w:rsidRDefault="00A854F9" w14:paraId="316D4A74" w14:textId="1BB0B555">
      <w:pPr>
        <w:widowControl w:val="0"/>
        <w:spacing w:line="360" w:lineRule="auto"/>
        <w:jc w:val="both"/>
        <w:rPr>
          <w:rFonts w:ascii="Palatino Linotype" w:hAnsi="Palatino Linotype"/>
          <w:bCs/>
          <w:sz w:val="22"/>
          <w:szCs w:val="22"/>
          <w:lang w:val="es-ES_tradnl"/>
        </w:rPr>
      </w:pPr>
      <w:r w:rsidRPr="00E0220E">
        <w:rPr>
          <w:rFonts w:ascii="Palatino Linotype" w:hAnsi="Palatino Linotype" w:cs="Tahoma" w:eastAsiaTheme="minorHAnsi"/>
          <w:b/>
          <w:bCs/>
          <w:color w:val="000000" w:themeColor="text1"/>
          <w:sz w:val="22"/>
          <w:szCs w:val="22"/>
          <w:lang w:eastAsia="en-US"/>
        </w:rPr>
        <w:t>e</w:t>
      </w:r>
      <w:r w:rsidRPr="00E0220E" w:rsidR="00937375">
        <w:rPr>
          <w:rFonts w:ascii="Palatino Linotype" w:hAnsi="Palatino Linotype" w:cs="Tahoma" w:eastAsiaTheme="minorHAnsi"/>
          <w:b/>
          <w:bCs/>
          <w:color w:val="000000" w:themeColor="text1"/>
          <w:sz w:val="22"/>
          <w:szCs w:val="22"/>
          <w:lang w:eastAsia="en-US"/>
        </w:rPr>
        <w:t xml:space="preserve">) </w:t>
      </w:r>
      <w:r w:rsidRPr="00E0220E" w:rsidR="00937375">
        <w:rPr>
          <w:rFonts w:ascii="Palatino Linotype" w:hAnsi="Palatino Linotype"/>
          <w:b/>
          <w:sz w:val="22"/>
          <w:szCs w:val="22"/>
          <w:lang w:val="es-ES_tradnl"/>
        </w:rPr>
        <w:t>Vista del Informe Justificado.</w:t>
      </w:r>
      <w:r w:rsidRPr="00E0220E" w:rsidR="00937375">
        <w:rPr>
          <w:rFonts w:ascii="Palatino Linotype" w:hAnsi="Palatino Linotype"/>
          <w:bCs/>
          <w:sz w:val="22"/>
          <w:szCs w:val="22"/>
          <w:lang w:val="es-ES_tradnl"/>
        </w:rPr>
        <w:t xml:space="preserve"> El </w:t>
      </w:r>
      <w:r w:rsidRPr="00E0220E" w:rsidR="00E24695">
        <w:rPr>
          <w:rFonts w:ascii="Palatino Linotype" w:hAnsi="Palatino Linotype"/>
          <w:bCs/>
          <w:sz w:val="22"/>
          <w:szCs w:val="22"/>
          <w:lang w:val="es-ES_tradnl"/>
        </w:rPr>
        <w:t>veinti</w:t>
      </w:r>
      <w:r w:rsidRPr="00E0220E" w:rsidR="00CA20F4">
        <w:rPr>
          <w:rFonts w:ascii="Palatino Linotype" w:hAnsi="Palatino Linotype"/>
          <w:bCs/>
          <w:sz w:val="22"/>
          <w:szCs w:val="22"/>
          <w:lang w:val="es-ES_tradnl"/>
        </w:rPr>
        <w:t>ocho</w:t>
      </w:r>
      <w:r w:rsidRPr="00E0220E" w:rsidR="00937375">
        <w:rPr>
          <w:rFonts w:ascii="Palatino Linotype" w:hAnsi="Palatino Linotype"/>
          <w:bCs/>
          <w:sz w:val="22"/>
          <w:szCs w:val="22"/>
          <w:lang w:val="es-ES_tradnl"/>
        </w:rPr>
        <w:t xml:space="preserve"> de </w:t>
      </w:r>
      <w:r w:rsidRPr="00E0220E" w:rsidR="009E2FB9">
        <w:rPr>
          <w:rFonts w:ascii="Palatino Linotype" w:hAnsi="Palatino Linotype"/>
          <w:bCs/>
          <w:sz w:val="22"/>
          <w:szCs w:val="22"/>
          <w:lang w:val="es-ES_tradnl"/>
        </w:rPr>
        <w:t>febrero</w:t>
      </w:r>
      <w:r w:rsidRPr="00E0220E" w:rsidR="00937375">
        <w:rPr>
          <w:rFonts w:ascii="Palatino Linotype" w:hAnsi="Palatino Linotype"/>
          <w:bCs/>
          <w:sz w:val="22"/>
          <w:szCs w:val="22"/>
          <w:lang w:val="es-ES_tradnl"/>
        </w:rPr>
        <w:t xml:space="preserve"> de dos mil veinti</w:t>
      </w:r>
      <w:r w:rsidRPr="00E0220E" w:rsidR="009E2FB9">
        <w:rPr>
          <w:rFonts w:ascii="Palatino Linotype" w:hAnsi="Palatino Linotype"/>
          <w:bCs/>
          <w:sz w:val="22"/>
          <w:szCs w:val="22"/>
          <w:lang w:val="es-ES_tradnl"/>
        </w:rPr>
        <w:t>trés</w:t>
      </w:r>
      <w:r w:rsidRPr="00E0220E" w:rsidR="00937375">
        <w:rPr>
          <w:rFonts w:ascii="Palatino Linotype" w:hAnsi="Palatino Linotype"/>
          <w:bCs/>
          <w:sz w:val="22"/>
          <w:szCs w:val="22"/>
          <w:lang w:val="es-ES_tradnl"/>
        </w:rPr>
        <w:t xml:space="preserve">, se dictó acuerdo mediante el cual se puso a la vista del Particular el Informe Justificado, entregado por el Sujeto Obligado, para robustecer su respuesta inicial, el cual fue notificado a las partes el mismo día a través del Sistema de Acceso a la Información Mexiquense (SAIMEX). </w:t>
      </w:r>
      <w:r w:rsidRPr="00E0220E" w:rsidR="00937375">
        <w:rPr>
          <w:rFonts w:ascii="Palatino Linotype" w:hAnsi="Palatino Linotype"/>
          <w:b/>
          <w:sz w:val="22"/>
          <w:szCs w:val="22"/>
          <w:lang w:val="es-ES_tradnl"/>
        </w:rPr>
        <w:t>Cabe señalar que el Recurrente fue omiso en realizar alguna manifestación que a su derecho conviniera y asistiera.</w:t>
      </w:r>
      <w:r w:rsidRPr="00E0220E" w:rsidR="00937375">
        <w:rPr>
          <w:rFonts w:ascii="Palatino Linotype" w:hAnsi="Palatino Linotype"/>
          <w:bCs/>
          <w:sz w:val="22"/>
          <w:szCs w:val="22"/>
          <w:lang w:val="es-ES_tradnl"/>
        </w:rPr>
        <w:t xml:space="preserve"> </w:t>
      </w:r>
    </w:p>
    <w:p w:rsidRPr="00E0220E" w:rsidR="005864BF" w:rsidP="0024622D" w:rsidRDefault="005864BF" w14:paraId="61477C3C" w14:textId="77777777">
      <w:pPr>
        <w:spacing w:line="360" w:lineRule="auto"/>
        <w:jc w:val="both"/>
        <w:rPr>
          <w:rFonts w:ascii="Palatino Linotype" w:hAnsi="Palatino Linotype" w:cs="Tahoma"/>
          <w:bCs/>
          <w:sz w:val="22"/>
          <w:szCs w:val="22"/>
        </w:rPr>
      </w:pPr>
    </w:p>
    <w:p w:rsidRPr="00E0220E" w:rsidR="00836192" w:rsidP="0024622D" w:rsidRDefault="00A854F9" w14:paraId="7C191B6E" w14:textId="7BD53982">
      <w:pPr>
        <w:autoSpaceDE w:val="0"/>
        <w:autoSpaceDN w:val="0"/>
        <w:adjustRightInd w:val="0"/>
        <w:spacing w:line="360" w:lineRule="auto"/>
        <w:jc w:val="both"/>
        <w:rPr>
          <w:rFonts w:ascii="Palatino Linotype" w:hAnsi="Palatino Linotype" w:cs="Tahoma"/>
          <w:b/>
          <w:sz w:val="22"/>
          <w:szCs w:val="22"/>
        </w:rPr>
      </w:pPr>
      <w:r w:rsidRPr="00E0220E">
        <w:rPr>
          <w:rFonts w:ascii="Palatino Linotype" w:hAnsi="Palatino Linotype" w:cs="Tahoma"/>
          <w:b/>
          <w:sz w:val="22"/>
          <w:szCs w:val="22"/>
        </w:rPr>
        <w:t>f</w:t>
      </w:r>
      <w:r w:rsidRPr="00E0220E" w:rsidR="00836192">
        <w:rPr>
          <w:rFonts w:ascii="Palatino Linotype" w:hAnsi="Palatino Linotype" w:cs="Tahoma"/>
          <w:b/>
          <w:sz w:val="22"/>
          <w:szCs w:val="22"/>
        </w:rPr>
        <w:t>) Cierre de instrucción.</w:t>
      </w:r>
      <w:r w:rsidRPr="00E0220E" w:rsidR="00836192">
        <w:rPr>
          <w:rFonts w:ascii="Palatino Linotype" w:hAnsi="Palatino Linotype" w:cs="Tahoma"/>
          <w:sz w:val="22"/>
          <w:szCs w:val="22"/>
        </w:rPr>
        <w:t xml:space="preserve"> El </w:t>
      </w:r>
      <w:r w:rsidRPr="00E0220E" w:rsidR="00A149AB">
        <w:rPr>
          <w:rFonts w:ascii="Palatino Linotype" w:hAnsi="Palatino Linotype" w:cs="Tahoma"/>
          <w:sz w:val="22"/>
          <w:szCs w:val="22"/>
        </w:rPr>
        <w:t>seis</w:t>
      </w:r>
      <w:r w:rsidRPr="00E0220E" w:rsidR="00D86214">
        <w:rPr>
          <w:rFonts w:ascii="Palatino Linotype" w:hAnsi="Palatino Linotype" w:cs="Tahoma"/>
          <w:sz w:val="22"/>
          <w:szCs w:val="22"/>
        </w:rPr>
        <w:t xml:space="preserve"> de </w:t>
      </w:r>
      <w:r w:rsidRPr="00E0220E">
        <w:rPr>
          <w:rFonts w:ascii="Palatino Linotype" w:hAnsi="Palatino Linotype" w:cs="Tahoma"/>
          <w:sz w:val="22"/>
          <w:szCs w:val="22"/>
        </w:rPr>
        <w:t>marzo</w:t>
      </w:r>
      <w:r w:rsidRPr="00E0220E" w:rsidR="00D86214">
        <w:rPr>
          <w:rFonts w:ascii="Palatino Linotype" w:hAnsi="Palatino Linotype" w:cs="Tahoma"/>
          <w:sz w:val="22"/>
          <w:szCs w:val="22"/>
        </w:rPr>
        <w:t xml:space="preserve"> de dos mil veinti</w:t>
      </w:r>
      <w:r w:rsidRPr="00E0220E">
        <w:rPr>
          <w:rFonts w:ascii="Palatino Linotype" w:hAnsi="Palatino Linotype" w:cs="Tahoma"/>
          <w:sz w:val="22"/>
          <w:szCs w:val="22"/>
        </w:rPr>
        <w:t>trés</w:t>
      </w:r>
      <w:r w:rsidRPr="00E0220E" w:rsidR="00836192">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w:t>
      </w:r>
      <w:r w:rsidRPr="00E0220E" w:rsidR="00836192">
        <w:rPr>
          <w:rFonts w:ascii="Palatino Linotype" w:hAnsi="Palatino Linotype" w:cs="Tahoma"/>
          <w:sz w:val="22"/>
          <w:szCs w:val="22"/>
        </w:rPr>
        <w:lastRenderedPageBreak/>
        <w:t xml:space="preserve">los artículos 185, fracciones VI y VIII de la Ley de Transparencia y Acceso a la Información Pública del Estado de México y Municipios, mismo que fue notificado a las partes el mismo día, a través del </w:t>
      </w:r>
      <w:r w:rsidRPr="00E0220E" w:rsidR="00836192">
        <w:rPr>
          <w:rFonts w:ascii="Palatino Linotype" w:hAnsi="Palatino Linotype" w:cs="Tahoma"/>
          <w:sz w:val="22"/>
          <w:szCs w:val="22"/>
          <w:lang w:val="es-ES"/>
        </w:rPr>
        <w:t>Sistema de Acceso a la Información Mexiquense (SAIMEX)</w:t>
      </w:r>
      <w:r w:rsidRPr="00E0220E" w:rsidR="00836192">
        <w:rPr>
          <w:rFonts w:ascii="Palatino Linotype" w:hAnsi="Palatino Linotype" w:cs="Tahoma"/>
          <w:sz w:val="22"/>
          <w:szCs w:val="22"/>
        </w:rPr>
        <w:t>.</w:t>
      </w:r>
    </w:p>
    <w:p w:rsidRPr="00E0220E" w:rsidR="00836192" w:rsidP="0024622D" w:rsidRDefault="00836192" w14:paraId="6A3E3595" w14:textId="77777777">
      <w:pPr>
        <w:autoSpaceDE w:val="0"/>
        <w:autoSpaceDN w:val="0"/>
        <w:adjustRightInd w:val="0"/>
        <w:spacing w:line="360" w:lineRule="auto"/>
        <w:jc w:val="both"/>
        <w:rPr>
          <w:rFonts w:ascii="Palatino Linotype" w:hAnsi="Palatino Linotype" w:cs="Tahoma"/>
          <w:b/>
          <w:sz w:val="22"/>
          <w:szCs w:val="22"/>
          <w:lang w:val="es-ES"/>
        </w:rPr>
      </w:pPr>
    </w:p>
    <w:p w:rsidRPr="00E0220E" w:rsidR="00836192" w:rsidP="0024622D" w:rsidRDefault="00836192" w14:paraId="6F9A813F" w14:textId="77777777">
      <w:pPr>
        <w:spacing w:line="360" w:lineRule="auto"/>
        <w:jc w:val="both"/>
        <w:rPr>
          <w:rFonts w:ascii="Palatino Linotype" w:hAnsi="Palatino Linotype" w:cs="Tahoma"/>
          <w:color w:val="000000"/>
          <w:sz w:val="22"/>
          <w:szCs w:val="22"/>
        </w:rPr>
      </w:pPr>
      <w:r w:rsidRPr="00E0220E">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rsidRPr="00E0220E" w:rsidR="00836192" w:rsidP="0024622D" w:rsidRDefault="00836192" w14:paraId="155D5237" w14:textId="77777777">
      <w:pPr>
        <w:spacing w:line="360" w:lineRule="auto"/>
        <w:jc w:val="center"/>
        <w:rPr>
          <w:rFonts w:ascii="Palatino Linotype" w:hAnsi="Palatino Linotype" w:cs="Tahoma"/>
          <w:b/>
          <w:sz w:val="22"/>
          <w:szCs w:val="22"/>
        </w:rPr>
      </w:pPr>
    </w:p>
    <w:p w:rsidRPr="00E0220E" w:rsidR="00836192" w:rsidP="0024622D" w:rsidRDefault="00836192" w14:paraId="3827B311" w14:textId="77777777">
      <w:pPr>
        <w:spacing w:line="360" w:lineRule="auto"/>
        <w:jc w:val="center"/>
        <w:rPr>
          <w:rFonts w:ascii="Palatino Linotype" w:hAnsi="Palatino Linotype" w:cs="Tahoma"/>
          <w:b/>
          <w:sz w:val="22"/>
          <w:szCs w:val="22"/>
          <w:lang w:val="es-ES"/>
        </w:rPr>
      </w:pPr>
      <w:r w:rsidRPr="00E0220E">
        <w:rPr>
          <w:rFonts w:ascii="Palatino Linotype" w:hAnsi="Palatino Linotype" w:cs="Tahoma"/>
          <w:b/>
          <w:sz w:val="22"/>
          <w:szCs w:val="22"/>
          <w:lang w:val="es-ES"/>
        </w:rPr>
        <w:t>C O N S I D E R A N D O S:</w:t>
      </w:r>
    </w:p>
    <w:p w:rsidRPr="00E0220E" w:rsidR="00836192" w:rsidP="0024622D" w:rsidRDefault="00836192" w14:paraId="660D57A9" w14:textId="77777777">
      <w:pPr>
        <w:autoSpaceDE w:val="0"/>
        <w:autoSpaceDN w:val="0"/>
        <w:adjustRightInd w:val="0"/>
        <w:spacing w:line="360" w:lineRule="auto"/>
        <w:jc w:val="both"/>
        <w:rPr>
          <w:rFonts w:ascii="Palatino Linotype" w:hAnsi="Palatino Linotype" w:eastAsia="Calibri" w:cs="Tahoma"/>
          <w:b/>
          <w:color w:val="000000"/>
          <w:sz w:val="22"/>
          <w:szCs w:val="22"/>
          <w:lang w:val="es-ES" w:eastAsia="es-MX"/>
        </w:rPr>
      </w:pPr>
    </w:p>
    <w:p w:rsidRPr="00E0220E" w:rsidR="00836192" w:rsidP="0024622D" w:rsidRDefault="00836192" w14:paraId="28E8C8FC" w14:textId="77777777">
      <w:pPr>
        <w:autoSpaceDE w:val="0"/>
        <w:autoSpaceDN w:val="0"/>
        <w:adjustRightInd w:val="0"/>
        <w:spacing w:line="360" w:lineRule="auto"/>
        <w:jc w:val="both"/>
        <w:rPr>
          <w:rFonts w:ascii="Palatino Linotype" w:hAnsi="Palatino Linotype" w:cs="Tahoma"/>
          <w:b/>
          <w:sz w:val="22"/>
          <w:szCs w:val="22"/>
          <w:lang w:val="es-ES"/>
        </w:rPr>
      </w:pPr>
      <w:r w:rsidRPr="00E0220E">
        <w:rPr>
          <w:rFonts w:ascii="Palatino Linotype" w:hAnsi="Palatino Linotype" w:eastAsia="Calibri" w:cs="Tahoma"/>
          <w:b/>
          <w:color w:val="000000"/>
          <w:sz w:val="22"/>
          <w:szCs w:val="22"/>
          <w:lang w:val="es-ES" w:eastAsia="es-MX"/>
        </w:rPr>
        <w:t>PRIMERO</w:t>
      </w:r>
      <w:r w:rsidRPr="00E0220E">
        <w:rPr>
          <w:rFonts w:ascii="Palatino Linotype" w:hAnsi="Palatino Linotype" w:eastAsia="Calibri" w:cs="Tahoma"/>
          <w:color w:val="000000"/>
          <w:sz w:val="22"/>
          <w:szCs w:val="22"/>
          <w:lang w:val="es-ES" w:eastAsia="es-MX"/>
        </w:rPr>
        <w:t xml:space="preserve">. </w:t>
      </w:r>
      <w:r w:rsidRPr="00E0220E">
        <w:rPr>
          <w:rFonts w:ascii="Palatino Linotype" w:hAnsi="Palatino Linotype" w:cs="Tahoma"/>
          <w:b/>
          <w:sz w:val="22"/>
          <w:szCs w:val="22"/>
          <w:lang w:val="es-ES"/>
        </w:rPr>
        <w:t>Competencia.</w:t>
      </w:r>
    </w:p>
    <w:p w:rsidRPr="00E0220E" w:rsidR="00836192" w:rsidP="0024622D" w:rsidRDefault="00836192" w14:paraId="0573362E" w14:textId="77777777">
      <w:pPr>
        <w:autoSpaceDE w:val="0"/>
        <w:autoSpaceDN w:val="0"/>
        <w:adjustRightInd w:val="0"/>
        <w:spacing w:line="360" w:lineRule="auto"/>
        <w:jc w:val="both"/>
        <w:rPr>
          <w:rFonts w:ascii="Palatino Linotype" w:hAnsi="Palatino Linotype" w:cs="Tahoma"/>
          <w:b/>
          <w:sz w:val="22"/>
          <w:szCs w:val="22"/>
          <w:lang w:val="es-ES"/>
        </w:rPr>
      </w:pPr>
    </w:p>
    <w:p w:rsidRPr="00E0220E" w:rsidR="00836192" w:rsidP="0024622D" w:rsidRDefault="00836192" w14:paraId="2FF232E4" w14:textId="27C0371D">
      <w:pPr>
        <w:spacing w:line="360" w:lineRule="auto"/>
        <w:jc w:val="both"/>
        <w:rPr>
          <w:rFonts w:ascii="Palatino Linotype" w:hAnsi="Palatino Linotype" w:cs="Tahoma"/>
          <w:bCs/>
          <w:sz w:val="22"/>
          <w:szCs w:val="22"/>
        </w:rPr>
      </w:pPr>
      <w:bookmarkStart w:name="_Hlk63334754" w:id="1"/>
      <w:r w:rsidRPr="00E0220E">
        <w:rPr>
          <w:rFonts w:ascii="Palatino Linotype"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Pr="00E0220E" w:rsidR="00394135">
        <w:rPr>
          <w:rFonts w:ascii="Palatino Linotype" w:hAnsi="Palatino Linotype" w:cs="Tahoma"/>
          <w:bCs/>
          <w:sz w:val="22"/>
          <w:szCs w:val="22"/>
        </w:rPr>
        <w:t>trigésimo, trigésimo primero y trigésimo segundo</w:t>
      </w:r>
      <w:r w:rsidRPr="00E0220E">
        <w:rPr>
          <w:rFonts w:ascii="Palatino Linotype" w:hAnsi="Palatino Linotype" w:cs="Tahoma"/>
          <w:bCs/>
          <w:sz w:val="22"/>
          <w:szCs w:val="22"/>
        </w:rPr>
        <w:t>,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E0220E">
        <w:rPr>
          <w:rFonts w:ascii="Palatino Linotype" w:hAnsi="Palatino Linotype"/>
          <w:bCs/>
          <w:sz w:val="22"/>
          <w:szCs w:val="22"/>
        </w:rPr>
        <w:t xml:space="preserve"> 7°, </w:t>
      </w:r>
      <w:r w:rsidRPr="00E0220E">
        <w:rPr>
          <w:rFonts w:ascii="Palatino Linotype" w:hAnsi="Palatino Linotype" w:cs="Tahoma"/>
          <w:bCs/>
          <w:sz w:val="22"/>
          <w:szCs w:val="22"/>
        </w:rPr>
        <w:t>9°, fracciones I y XXIV y 11 del Reglamento Interior del Instituto de Transparencia, Acceso a la Información Pública y Protección de Datos Personales del Estado de México y Municipios.</w:t>
      </w:r>
      <w:bookmarkEnd w:id="1"/>
    </w:p>
    <w:p w:rsidRPr="00E0220E" w:rsidR="00836192" w:rsidP="0024622D" w:rsidRDefault="00836192" w14:paraId="799726CC" w14:textId="77777777">
      <w:pPr>
        <w:spacing w:line="360" w:lineRule="auto"/>
        <w:jc w:val="both"/>
        <w:rPr>
          <w:rFonts w:ascii="Palatino Linotype" w:hAnsi="Palatino Linotype" w:cs="Tahoma"/>
          <w:sz w:val="22"/>
          <w:szCs w:val="22"/>
          <w:shd w:val="clear" w:color="auto" w:fill="FFFFFF"/>
        </w:rPr>
      </w:pPr>
    </w:p>
    <w:p w:rsidRPr="00E0220E" w:rsidR="00836192" w:rsidP="0024622D" w:rsidRDefault="00836192" w14:paraId="36B85560" w14:textId="77777777">
      <w:pPr>
        <w:autoSpaceDE w:val="0"/>
        <w:autoSpaceDN w:val="0"/>
        <w:adjustRightInd w:val="0"/>
        <w:spacing w:line="360" w:lineRule="auto"/>
        <w:jc w:val="both"/>
        <w:rPr>
          <w:rFonts w:ascii="Palatino Linotype" w:hAnsi="Palatino Linotype" w:cs="Tahoma"/>
          <w:sz w:val="22"/>
          <w:szCs w:val="28"/>
          <w:lang w:val="es-ES"/>
        </w:rPr>
      </w:pPr>
      <w:r w:rsidRPr="00E0220E">
        <w:rPr>
          <w:rFonts w:ascii="Palatino Linotype" w:hAnsi="Palatino Linotype" w:eastAsia="Calibri" w:cs="Tahoma"/>
          <w:b/>
          <w:color w:val="000000"/>
          <w:sz w:val="22"/>
          <w:szCs w:val="28"/>
          <w:lang w:val="es-ES" w:eastAsia="es-MX"/>
        </w:rPr>
        <w:t>SEGUNDO</w:t>
      </w:r>
      <w:r w:rsidRPr="00E0220E">
        <w:rPr>
          <w:rFonts w:ascii="Palatino Linotype" w:hAnsi="Palatino Linotype" w:eastAsia="Calibri" w:cs="Tahoma"/>
          <w:color w:val="000000"/>
          <w:sz w:val="22"/>
          <w:szCs w:val="28"/>
          <w:lang w:val="es-ES" w:eastAsia="es-MX"/>
        </w:rPr>
        <w:t xml:space="preserve">. </w:t>
      </w:r>
      <w:r w:rsidRPr="00E0220E">
        <w:rPr>
          <w:rFonts w:ascii="Palatino Linotype" w:hAnsi="Palatino Linotype" w:cs="Tahoma"/>
          <w:b/>
          <w:sz w:val="22"/>
          <w:szCs w:val="28"/>
          <w:lang w:val="es-ES"/>
        </w:rPr>
        <w:t>Causales de improcedencia y sobreseimiento.</w:t>
      </w:r>
      <w:r w:rsidRPr="00E0220E">
        <w:rPr>
          <w:rFonts w:ascii="Palatino Linotype" w:hAnsi="Palatino Linotype" w:cs="Tahoma"/>
          <w:sz w:val="22"/>
          <w:szCs w:val="28"/>
          <w:lang w:val="es-ES"/>
        </w:rPr>
        <w:t xml:space="preserve"> </w:t>
      </w:r>
    </w:p>
    <w:p w:rsidRPr="00E0220E" w:rsidR="00836192" w:rsidP="0024622D" w:rsidRDefault="00836192" w14:paraId="58B001B1" w14:textId="77777777">
      <w:pPr>
        <w:autoSpaceDE w:val="0"/>
        <w:autoSpaceDN w:val="0"/>
        <w:adjustRightInd w:val="0"/>
        <w:spacing w:line="360" w:lineRule="auto"/>
        <w:jc w:val="both"/>
        <w:rPr>
          <w:rFonts w:ascii="Palatino Linotype" w:hAnsi="Palatino Linotype" w:cs="Tahoma"/>
          <w:sz w:val="22"/>
          <w:szCs w:val="28"/>
          <w:lang w:val="es-ES"/>
        </w:rPr>
      </w:pPr>
    </w:p>
    <w:p w:rsidRPr="00E0220E" w:rsidR="00836192" w:rsidP="0024622D" w:rsidRDefault="00836192" w14:paraId="733DB784" w14:textId="77777777">
      <w:pPr>
        <w:autoSpaceDE w:val="0"/>
        <w:autoSpaceDN w:val="0"/>
        <w:adjustRightInd w:val="0"/>
        <w:spacing w:line="360" w:lineRule="auto"/>
        <w:jc w:val="both"/>
        <w:rPr>
          <w:rFonts w:ascii="Palatino Linotype" w:hAnsi="Palatino Linotype" w:cs="Tahoma"/>
          <w:sz w:val="22"/>
          <w:szCs w:val="28"/>
          <w:lang w:val="es-ES"/>
        </w:rPr>
      </w:pPr>
      <w:r w:rsidRPr="00E0220E">
        <w:rPr>
          <w:rFonts w:ascii="Palatino Linotype" w:hAnsi="Palatino Linotype" w:cs="Tahoma"/>
          <w:sz w:val="22"/>
          <w:szCs w:val="28"/>
          <w:lang w:val="es-ES"/>
        </w:rPr>
        <w:lastRenderedPageBreak/>
        <w:t xml:space="preserve">De las constancias que forma parte del Recurso de Revisión que se analiza, se advierte que previo al estudio del fondo de la </w:t>
      </w:r>
      <w:r w:rsidRPr="00E0220E">
        <w:rPr>
          <w:rFonts w:ascii="Palatino Linotype" w:hAnsi="Palatino Linotype" w:cs="Tahoma"/>
          <w:i/>
          <w:sz w:val="22"/>
          <w:szCs w:val="28"/>
          <w:lang w:val="es-ES"/>
        </w:rPr>
        <w:t>litis</w:t>
      </w:r>
      <w:r w:rsidRPr="00E0220E">
        <w:rPr>
          <w:rFonts w:ascii="Palatino Linotype" w:hAnsi="Palatino Linotype" w:cs="Tahoma"/>
          <w:sz w:val="22"/>
          <w:szCs w:val="28"/>
          <w:lang w:val="es-ES"/>
        </w:rPr>
        <w:t>, es necesario estudiar las causales de improcedencia y sobreseimiento que se adviertan, para determinar lo que en Derecho proceda.</w:t>
      </w:r>
    </w:p>
    <w:p w:rsidRPr="00E0220E" w:rsidR="00836192" w:rsidP="0024622D" w:rsidRDefault="00836192" w14:paraId="21B64974" w14:textId="77777777">
      <w:pPr>
        <w:autoSpaceDE w:val="0"/>
        <w:autoSpaceDN w:val="0"/>
        <w:adjustRightInd w:val="0"/>
        <w:spacing w:line="360" w:lineRule="auto"/>
        <w:jc w:val="both"/>
        <w:rPr>
          <w:rFonts w:ascii="Palatino Linotype" w:hAnsi="Palatino Linotype" w:cs="Tahoma"/>
          <w:sz w:val="22"/>
          <w:szCs w:val="28"/>
          <w:lang w:val="es-ES"/>
        </w:rPr>
      </w:pPr>
    </w:p>
    <w:p w:rsidRPr="00E0220E" w:rsidR="00836192" w:rsidP="0024622D" w:rsidRDefault="00836192" w14:paraId="692C9C6A" w14:textId="77777777">
      <w:pPr>
        <w:spacing w:line="360" w:lineRule="auto"/>
        <w:jc w:val="both"/>
        <w:rPr>
          <w:rFonts w:ascii="Palatino Linotype" w:hAnsi="Palatino Linotype"/>
          <w:b/>
          <w:sz w:val="22"/>
          <w:szCs w:val="22"/>
          <w:lang w:val="es-ES"/>
        </w:rPr>
      </w:pPr>
      <w:r w:rsidRPr="00E0220E">
        <w:rPr>
          <w:rFonts w:ascii="Palatino Linotype" w:hAnsi="Palatino Linotype"/>
          <w:b/>
          <w:sz w:val="22"/>
          <w:szCs w:val="22"/>
          <w:lang w:val="es-ES"/>
        </w:rPr>
        <w:t>Causales de improcedencia</w:t>
      </w:r>
    </w:p>
    <w:p w:rsidRPr="00E0220E" w:rsidR="00836192" w:rsidP="0024622D" w:rsidRDefault="00836192" w14:paraId="6F796DF7" w14:textId="77777777">
      <w:pPr>
        <w:spacing w:line="360" w:lineRule="auto"/>
        <w:jc w:val="both"/>
        <w:rPr>
          <w:rFonts w:ascii="Palatino Linotype" w:hAnsi="Palatino Linotype"/>
          <w:sz w:val="22"/>
          <w:szCs w:val="22"/>
        </w:rPr>
      </w:pPr>
    </w:p>
    <w:p w:rsidRPr="00E0220E" w:rsidR="00836192" w:rsidP="0024622D" w:rsidRDefault="00836192" w14:paraId="207C864F" w14:textId="77777777">
      <w:pPr>
        <w:spacing w:line="360" w:lineRule="auto"/>
        <w:jc w:val="both"/>
        <w:rPr>
          <w:rFonts w:ascii="Palatino Linotype" w:hAnsi="Palatino Linotype" w:cs="Tahoma"/>
          <w:bCs/>
          <w:color w:val="000000"/>
          <w:sz w:val="22"/>
          <w:szCs w:val="22"/>
        </w:rPr>
      </w:pPr>
      <w:r w:rsidRPr="00E0220E">
        <w:rPr>
          <w:rFonts w:ascii="Palatino Linotype" w:hAnsi="Palatino Linotype" w:cs="Tahoma"/>
          <w:bCs/>
          <w:color w:val="000000"/>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E0220E" w:rsidR="00836192" w:rsidP="0024622D" w:rsidRDefault="00836192" w14:paraId="643935A0" w14:textId="77777777">
      <w:pPr>
        <w:spacing w:line="360" w:lineRule="auto"/>
        <w:jc w:val="both"/>
        <w:rPr>
          <w:rFonts w:ascii="Palatino Linotype" w:hAnsi="Palatino Linotype" w:cs="Tahoma"/>
          <w:bCs/>
          <w:color w:val="000000"/>
          <w:sz w:val="22"/>
          <w:szCs w:val="22"/>
        </w:rPr>
      </w:pPr>
    </w:p>
    <w:p w:rsidRPr="00E0220E" w:rsidR="00836192" w:rsidP="0024622D" w:rsidRDefault="00836192" w14:paraId="01CB2C6C" w14:textId="50DE4530">
      <w:pPr>
        <w:spacing w:line="360" w:lineRule="auto"/>
        <w:jc w:val="both"/>
        <w:rPr>
          <w:rFonts w:ascii="Palatino Linotype" w:hAnsi="Palatino Linotype" w:cs="Tahoma"/>
          <w:bCs/>
          <w:color w:val="000000"/>
          <w:sz w:val="22"/>
          <w:szCs w:val="22"/>
        </w:rPr>
      </w:pPr>
      <w:r w:rsidRPr="00E0220E">
        <w:rPr>
          <w:rFonts w:ascii="Palatino Linotype" w:hAnsi="Palatino Linotype" w:cs="Tahoma"/>
          <w:bCs/>
          <w:color w:val="000000"/>
          <w:sz w:val="22"/>
          <w:szCs w:val="22"/>
        </w:rPr>
        <w:t xml:space="preserve">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Pr="00E0220E" w:rsidR="00161E09">
        <w:rPr>
          <w:rFonts w:ascii="Palatino Linotype" w:hAnsi="Palatino Linotype" w:cs="Tahoma"/>
          <w:bCs/>
          <w:color w:val="000000"/>
          <w:sz w:val="22"/>
          <w:szCs w:val="22"/>
        </w:rPr>
        <w:t>el</w:t>
      </w:r>
      <w:r w:rsidRPr="00E0220E">
        <w:rPr>
          <w:rFonts w:ascii="Palatino Linotype" w:hAnsi="Palatino Linotype" w:cs="Tahoma"/>
          <w:bCs/>
          <w:color w:val="000000"/>
          <w:sz w:val="22"/>
          <w:szCs w:val="22"/>
        </w:rPr>
        <w:t xml:space="preserve"> Recurrente ante otra instancia; no existió prevención alguna; la veracidad de la respuesta no formó parte del agravio; ni se realizó una ampliación a los alcances del requerimiento informativo.</w:t>
      </w:r>
    </w:p>
    <w:p w:rsidRPr="00E0220E" w:rsidR="00836192" w:rsidP="0024622D" w:rsidRDefault="00836192" w14:paraId="6A73D0EC" w14:textId="77777777">
      <w:pPr>
        <w:spacing w:line="360" w:lineRule="auto"/>
        <w:jc w:val="both"/>
        <w:rPr>
          <w:rFonts w:ascii="Palatino Linotype" w:hAnsi="Palatino Linotype"/>
          <w:color w:val="222222"/>
          <w:sz w:val="22"/>
          <w:szCs w:val="22"/>
          <w:lang w:val="es-ES"/>
        </w:rPr>
      </w:pPr>
    </w:p>
    <w:p w:rsidRPr="00E0220E" w:rsidR="00836192" w:rsidP="0024622D" w:rsidRDefault="00836192" w14:paraId="7822D596" w14:textId="45888079">
      <w:pPr>
        <w:widowControl w:val="0"/>
        <w:spacing w:line="360" w:lineRule="auto"/>
        <w:jc w:val="both"/>
        <w:rPr>
          <w:rFonts w:ascii="Palatino Linotype" w:hAnsi="Palatino Linotype" w:cs="Tahoma"/>
          <w:sz w:val="22"/>
          <w:szCs w:val="22"/>
          <w:lang w:val="es-ES"/>
        </w:rPr>
      </w:pPr>
      <w:r w:rsidRPr="00E0220E">
        <w:rPr>
          <w:rFonts w:ascii="Palatino Linotype" w:hAnsi="Palatino Linotype" w:cs="Tahoma"/>
          <w:sz w:val="22"/>
          <w:szCs w:val="22"/>
        </w:rPr>
        <w:t>Asimismo, se actualiza la causal de procedencia del Recurso de Revisión señalada en el artículo 179, fracci</w:t>
      </w:r>
      <w:r w:rsidRPr="00E0220E" w:rsidR="00161E09">
        <w:rPr>
          <w:rFonts w:ascii="Palatino Linotype" w:hAnsi="Palatino Linotype" w:cs="Tahoma"/>
          <w:sz w:val="22"/>
          <w:szCs w:val="22"/>
        </w:rPr>
        <w:t>ón</w:t>
      </w:r>
      <w:r w:rsidRPr="00E0220E">
        <w:rPr>
          <w:rFonts w:ascii="Palatino Linotype" w:hAnsi="Palatino Linotype" w:cs="Tahoma"/>
          <w:sz w:val="22"/>
          <w:szCs w:val="22"/>
        </w:rPr>
        <w:t xml:space="preserve"> </w:t>
      </w:r>
      <w:r w:rsidRPr="00E0220E" w:rsidR="00E4656C">
        <w:rPr>
          <w:rFonts w:ascii="Palatino Linotype" w:hAnsi="Palatino Linotype" w:cs="Tahoma"/>
          <w:sz w:val="22"/>
          <w:szCs w:val="22"/>
        </w:rPr>
        <w:t>IV</w:t>
      </w:r>
      <w:r w:rsidRPr="00E0220E">
        <w:rPr>
          <w:rFonts w:ascii="Palatino Linotype" w:hAnsi="Palatino Linotype" w:cs="Tahoma"/>
          <w:sz w:val="22"/>
          <w:szCs w:val="22"/>
        </w:rPr>
        <w:t xml:space="preserve">, de la Ley en cita, </w:t>
      </w:r>
      <w:r w:rsidRPr="00E0220E">
        <w:rPr>
          <w:rFonts w:ascii="Palatino Linotype" w:hAnsi="Palatino Linotype" w:eastAsia="Calibri" w:cs="Tahoma"/>
          <w:color w:val="000000"/>
          <w:sz w:val="22"/>
          <w:szCs w:val="22"/>
          <w:lang w:eastAsia="es-MX"/>
        </w:rPr>
        <w:t xml:space="preserve">pues </w:t>
      </w:r>
      <w:r w:rsidRPr="00E0220E" w:rsidR="00161E09">
        <w:rPr>
          <w:rFonts w:ascii="Palatino Linotype" w:hAnsi="Palatino Linotype" w:eastAsia="Calibri" w:cs="Tahoma"/>
          <w:color w:val="000000"/>
          <w:sz w:val="22"/>
          <w:szCs w:val="22"/>
          <w:lang w:eastAsia="es-MX"/>
        </w:rPr>
        <w:t>el</w:t>
      </w:r>
      <w:r w:rsidRPr="00E0220E">
        <w:rPr>
          <w:rFonts w:ascii="Palatino Linotype" w:hAnsi="Palatino Linotype" w:eastAsia="Calibri" w:cs="Tahoma"/>
          <w:color w:val="000000"/>
          <w:sz w:val="22"/>
          <w:szCs w:val="22"/>
          <w:lang w:eastAsia="es-MX"/>
        </w:rPr>
        <w:t xml:space="preserve"> Recurrente se inconformó </w:t>
      </w:r>
      <w:r w:rsidRPr="00E0220E" w:rsidR="00E4656C">
        <w:rPr>
          <w:rFonts w:ascii="Palatino Linotype" w:hAnsi="Palatino Linotype" w:cs="Tahoma"/>
          <w:sz w:val="22"/>
          <w:szCs w:val="22"/>
          <w:lang w:val="es-ES"/>
        </w:rPr>
        <w:t>con la incompetencia manifestada por el Sujeto Obligado.</w:t>
      </w:r>
    </w:p>
    <w:p w:rsidRPr="00E0220E" w:rsidR="00836192" w:rsidP="0024622D" w:rsidRDefault="00836192" w14:paraId="6B68C2E4" w14:textId="77777777">
      <w:pPr>
        <w:spacing w:line="360" w:lineRule="auto"/>
        <w:jc w:val="both"/>
        <w:rPr>
          <w:rFonts w:ascii="Palatino Linotype" w:hAnsi="Palatino Linotype" w:cs="Tahoma"/>
          <w:bCs/>
          <w:sz w:val="22"/>
          <w:szCs w:val="22"/>
          <w:lang w:val="es-ES"/>
        </w:rPr>
      </w:pPr>
    </w:p>
    <w:p w:rsidRPr="00E0220E" w:rsidR="00836192" w:rsidP="0024622D" w:rsidRDefault="00836192" w14:paraId="2D099825" w14:textId="77777777">
      <w:pPr>
        <w:spacing w:line="360" w:lineRule="auto"/>
        <w:jc w:val="both"/>
        <w:rPr>
          <w:rFonts w:ascii="Palatino Linotype" w:hAnsi="Palatino Linotype" w:cs="Tahoma"/>
          <w:bCs/>
          <w:color w:val="0D0D0D" w:themeColor="text1" w:themeTint="F2"/>
          <w:sz w:val="22"/>
          <w:szCs w:val="22"/>
        </w:rPr>
      </w:pPr>
      <w:r w:rsidRPr="00E0220E">
        <w:rPr>
          <w:rFonts w:ascii="Palatino Linotype" w:hAnsi="Palatino Linotype" w:cs="Tahoma"/>
          <w:b/>
          <w:bCs/>
          <w:color w:val="0D0D0D" w:themeColor="text1" w:themeTint="F2"/>
          <w:sz w:val="22"/>
          <w:szCs w:val="22"/>
        </w:rPr>
        <w:lastRenderedPageBreak/>
        <w:t>Causales de sobreseimiento.</w:t>
      </w:r>
    </w:p>
    <w:p w:rsidRPr="00E0220E" w:rsidR="00993A49" w:rsidP="0024622D" w:rsidRDefault="00993A49" w14:paraId="68A19E27" w14:textId="77777777">
      <w:pPr>
        <w:spacing w:line="360" w:lineRule="auto"/>
        <w:jc w:val="both"/>
        <w:rPr>
          <w:rFonts w:ascii="Palatino Linotype" w:hAnsi="Palatino Linotype" w:cs="Tahoma"/>
          <w:color w:val="0D0D0D" w:themeColor="text1" w:themeTint="F2"/>
          <w:sz w:val="22"/>
          <w:szCs w:val="22"/>
        </w:rPr>
      </w:pPr>
    </w:p>
    <w:p w:rsidRPr="00E0220E" w:rsidR="00993A49" w:rsidP="0024622D" w:rsidRDefault="00993A49" w14:paraId="1B3D3DEC" w14:textId="77777777">
      <w:pPr>
        <w:spacing w:line="360" w:lineRule="auto"/>
        <w:jc w:val="both"/>
        <w:rPr>
          <w:rFonts w:ascii="Palatino Linotype" w:hAnsi="Palatino Linotype" w:cs="Tahoma"/>
          <w:color w:val="0D0D0D" w:themeColor="text1" w:themeTint="F2"/>
          <w:sz w:val="22"/>
          <w:szCs w:val="22"/>
        </w:rPr>
      </w:pPr>
      <w:r w:rsidRPr="00E0220E">
        <w:rPr>
          <w:rFonts w:ascii="Palatino Linotype" w:hAnsi="Palatino Linotype" w:cs="Tahoma"/>
          <w:color w:val="0D0D0D" w:themeColor="text1" w:themeTint="F2"/>
          <w:sz w:val="22"/>
          <w:szCs w:val="22"/>
        </w:rPr>
        <w:t>Por ser de previo y especial pronunciamiento, este Instituto analiza si se actualiza alguna causal de sobreseimiento.</w:t>
      </w:r>
    </w:p>
    <w:p w:rsidRPr="00E0220E" w:rsidR="00993A49" w:rsidP="0024622D" w:rsidRDefault="00993A49" w14:paraId="177D54F6" w14:textId="77777777">
      <w:pPr>
        <w:spacing w:line="360" w:lineRule="auto"/>
        <w:jc w:val="both"/>
        <w:rPr>
          <w:rFonts w:ascii="Palatino Linotype" w:hAnsi="Palatino Linotype" w:cs="Tahoma"/>
          <w:color w:val="0D0D0D" w:themeColor="text1" w:themeTint="F2"/>
          <w:sz w:val="22"/>
          <w:szCs w:val="22"/>
        </w:rPr>
      </w:pPr>
    </w:p>
    <w:p w:rsidRPr="00E0220E" w:rsidR="00993A49" w:rsidP="0024622D" w:rsidRDefault="00993A49" w14:paraId="3E312D1F" w14:textId="77777777">
      <w:pPr>
        <w:spacing w:line="360" w:lineRule="auto"/>
        <w:jc w:val="both"/>
        <w:rPr>
          <w:rFonts w:ascii="Palatino Linotype" w:hAnsi="Palatino Linotype" w:cs="Tahoma"/>
          <w:color w:val="0D0D0D" w:themeColor="text1" w:themeTint="F2"/>
          <w:sz w:val="22"/>
          <w:szCs w:val="22"/>
        </w:rPr>
      </w:pPr>
      <w:r w:rsidRPr="00E0220E">
        <w:rPr>
          <w:rFonts w:ascii="Palatino Linotype" w:hAnsi="Palatino Linotype" w:cs="Tahoma"/>
          <w:color w:val="0D0D0D" w:themeColor="text1" w:themeTint="F2"/>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E0220E" w:rsidR="00993A49" w:rsidP="0024622D" w:rsidRDefault="00993A49" w14:paraId="7F9CCA3C" w14:textId="77777777">
      <w:pPr>
        <w:spacing w:line="360" w:lineRule="auto"/>
        <w:jc w:val="both"/>
        <w:rPr>
          <w:rFonts w:ascii="Palatino Linotype" w:hAnsi="Palatino Linotype" w:cs="Tahoma"/>
          <w:color w:val="0D0D0D" w:themeColor="text1" w:themeTint="F2"/>
          <w:sz w:val="22"/>
          <w:szCs w:val="22"/>
        </w:rPr>
      </w:pPr>
    </w:p>
    <w:p w:rsidRPr="00E0220E" w:rsidR="00836192" w:rsidP="0024622D" w:rsidRDefault="00993A49" w14:paraId="1CA5BCE1" w14:textId="6008E597">
      <w:pPr>
        <w:spacing w:line="360" w:lineRule="auto"/>
        <w:jc w:val="both"/>
        <w:rPr>
          <w:rFonts w:ascii="Palatino Linotype" w:hAnsi="Palatino Linotype" w:cs="Tahoma"/>
          <w:color w:val="0D0D0D" w:themeColor="text1" w:themeTint="F2"/>
          <w:sz w:val="22"/>
          <w:szCs w:val="22"/>
        </w:rPr>
      </w:pPr>
      <w:r w:rsidRPr="00E0220E">
        <w:rPr>
          <w:rFonts w:ascii="Palatino Linotype" w:hAnsi="Palatino Linotype" w:cs="Tahoma"/>
          <w:color w:val="0D0D0D" w:themeColor="text1" w:themeTint="F2"/>
          <w:sz w:val="22"/>
          <w:szCs w:val="22"/>
        </w:rPr>
        <w:t>Por tales motivos, se considera procedente entrar al fondo del presente asunto</w:t>
      </w:r>
    </w:p>
    <w:p w:rsidRPr="00E0220E" w:rsidR="00993A49" w:rsidP="0024622D" w:rsidRDefault="00993A49" w14:paraId="505CAE77" w14:textId="77777777">
      <w:pPr>
        <w:spacing w:line="360" w:lineRule="auto"/>
        <w:jc w:val="both"/>
        <w:rPr>
          <w:rFonts w:ascii="Palatino Linotype" w:hAnsi="Palatino Linotype" w:cs="Tahoma"/>
          <w:sz w:val="22"/>
          <w:szCs w:val="22"/>
          <w:lang w:val="es-ES"/>
        </w:rPr>
      </w:pPr>
    </w:p>
    <w:p w:rsidRPr="00E0220E" w:rsidR="00836192" w:rsidP="0024622D" w:rsidRDefault="00836192" w14:paraId="1D4BC467" w14:textId="575CB069">
      <w:pPr>
        <w:tabs>
          <w:tab w:val="left" w:pos="4962"/>
        </w:tabs>
        <w:spacing w:line="360" w:lineRule="auto"/>
        <w:jc w:val="both"/>
        <w:rPr>
          <w:rFonts w:ascii="Palatino Linotype" w:hAnsi="Palatino Linotype" w:eastAsia="Calibri" w:cs="Tahoma"/>
          <w:b/>
          <w:iCs/>
          <w:sz w:val="22"/>
          <w:szCs w:val="22"/>
          <w:lang w:val="es-ES" w:eastAsia="es-ES_tradnl"/>
        </w:rPr>
      </w:pPr>
      <w:r w:rsidRPr="00E0220E">
        <w:rPr>
          <w:rFonts w:ascii="Palatino Linotype" w:hAnsi="Palatino Linotype" w:eastAsia="Calibri" w:cs="Tahoma"/>
          <w:b/>
          <w:iCs/>
          <w:sz w:val="22"/>
          <w:szCs w:val="22"/>
          <w:lang w:val="es-ES" w:eastAsia="es-ES_tradnl"/>
        </w:rPr>
        <w:t xml:space="preserve">TERCERO. Determinación de la Controversia. </w:t>
      </w:r>
    </w:p>
    <w:p w:rsidRPr="00E0220E" w:rsidR="00E22CD8" w:rsidP="0024622D" w:rsidRDefault="00E22CD8" w14:paraId="19E88589"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E0220E" w:rsidR="009E0FA6" w:rsidP="0024622D" w:rsidRDefault="00E438B3" w14:paraId="67E3F2F0" w14:textId="77777777">
      <w:pPr>
        <w:spacing w:line="360" w:lineRule="auto"/>
        <w:jc w:val="both"/>
        <w:rPr>
          <w:rFonts w:ascii="Palatino Linotype" w:hAnsi="Palatino Linotype" w:cs="Tahoma"/>
          <w:sz w:val="22"/>
          <w:szCs w:val="22"/>
        </w:rPr>
      </w:pPr>
      <w:r w:rsidRPr="00E0220E">
        <w:rPr>
          <w:rFonts w:ascii="Palatino Linotype" w:hAnsi="Palatino Linotype" w:cs="Tahoma"/>
          <w:sz w:val="22"/>
          <w:szCs w:val="22"/>
        </w:rPr>
        <w:t>Con el objetivo de ilustrar la controversia planteada</w:t>
      </w:r>
      <w:r w:rsidRPr="00E0220E" w:rsidR="006F29FC">
        <w:rPr>
          <w:rFonts w:ascii="Palatino Linotype" w:hAnsi="Palatino Linotype" w:cs="Tahoma"/>
          <w:sz w:val="22"/>
          <w:szCs w:val="22"/>
        </w:rPr>
        <w:t xml:space="preserve">, resulta conveniente precisar, que una vez realizado el estudio de </w:t>
      </w:r>
      <w:r w:rsidRPr="00E0220E" w:rsidR="00361539">
        <w:rPr>
          <w:rFonts w:ascii="Palatino Linotype" w:hAnsi="Palatino Linotype" w:cs="Tahoma"/>
          <w:sz w:val="22"/>
          <w:szCs w:val="22"/>
        </w:rPr>
        <w:t xml:space="preserve">las </w:t>
      </w:r>
      <w:r w:rsidRPr="00E0220E" w:rsidR="00121F26">
        <w:rPr>
          <w:rFonts w:ascii="Palatino Linotype" w:hAnsi="Palatino Linotype" w:cs="Tahoma"/>
          <w:sz w:val="22"/>
          <w:szCs w:val="22"/>
        </w:rPr>
        <w:t xml:space="preserve">constancias </w:t>
      </w:r>
      <w:r w:rsidRPr="00E0220E" w:rsidR="00E82D16">
        <w:rPr>
          <w:rFonts w:ascii="Palatino Linotype" w:hAnsi="Palatino Linotype" w:cs="Tahoma"/>
          <w:sz w:val="22"/>
          <w:szCs w:val="22"/>
        </w:rPr>
        <w:t xml:space="preserve">que integran el expediente </w:t>
      </w:r>
      <w:r w:rsidRPr="00E0220E" w:rsidR="00DE25AA">
        <w:rPr>
          <w:rFonts w:ascii="Palatino Linotype" w:hAnsi="Palatino Linotype" w:cs="Tahoma"/>
          <w:sz w:val="22"/>
          <w:szCs w:val="22"/>
        </w:rPr>
        <w:t xml:space="preserve">en el que se actúa, se desprende que el Particular </w:t>
      </w:r>
      <w:r w:rsidRPr="00E0220E" w:rsidR="009D0B60">
        <w:rPr>
          <w:rFonts w:ascii="Palatino Linotype" w:hAnsi="Palatino Linotype" w:cs="Tahoma"/>
          <w:sz w:val="22"/>
          <w:szCs w:val="22"/>
        </w:rPr>
        <w:t>requirió</w:t>
      </w:r>
      <w:r w:rsidRPr="00E0220E" w:rsidR="0030752D">
        <w:rPr>
          <w:rFonts w:ascii="Palatino Linotype" w:hAnsi="Palatino Linotype" w:cs="Tahoma"/>
          <w:sz w:val="22"/>
          <w:szCs w:val="22"/>
        </w:rPr>
        <w:t xml:space="preserve"> </w:t>
      </w:r>
      <w:r w:rsidRPr="00E0220E" w:rsidR="009E0FA6">
        <w:rPr>
          <w:rFonts w:ascii="Palatino Linotype" w:hAnsi="Palatino Linotype" w:cs="Tahoma"/>
          <w:sz w:val="22"/>
          <w:szCs w:val="22"/>
        </w:rPr>
        <w:t>al Ayuntamiento de Toluca, lo siguiente:</w:t>
      </w:r>
    </w:p>
    <w:p w:rsidRPr="00E0220E" w:rsidR="009E0FA6" w:rsidP="0024622D" w:rsidRDefault="009E0FA6" w14:paraId="25A09FA3" w14:textId="77777777">
      <w:pPr>
        <w:spacing w:line="360" w:lineRule="auto"/>
        <w:jc w:val="both"/>
        <w:rPr>
          <w:rFonts w:ascii="Palatino Linotype" w:hAnsi="Palatino Linotype" w:cs="Tahoma"/>
          <w:sz w:val="22"/>
          <w:szCs w:val="22"/>
        </w:rPr>
      </w:pPr>
    </w:p>
    <w:p w:rsidRPr="00E0220E" w:rsidR="00E4656C" w:rsidP="009E0FA6" w:rsidRDefault="009E0FA6" w14:paraId="6EDC4173" w14:textId="0D071494">
      <w:pPr>
        <w:pStyle w:val="Prrafodelista"/>
        <w:numPr>
          <w:ilvl w:val="0"/>
          <w:numId w:val="27"/>
        </w:numPr>
        <w:spacing w:line="360" w:lineRule="auto"/>
        <w:jc w:val="both"/>
        <w:rPr>
          <w:rFonts w:ascii="Palatino Linotype" w:hAnsi="Palatino Linotype" w:cs="Tahoma"/>
          <w:szCs w:val="22"/>
        </w:rPr>
      </w:pPr>
      <w:r w:rsidRPr="00E0220E">
        <w:rPr>
          <w:rFonts w:ascii="Palatino Linotype" w:hAnsi="Palatino Linotype" w:cs="Tahoma"/>
          <w:szCs w:val="22"/>
        </w:rPr>
        <w:t>Número de e</w:t>
      </w:r>
      <w:r w:rsidRPr="00E0220E" w:rsidR="00FB7E62">
        <w:rPr>
          <w:rFonts w:ascii="Palatino Linotype" w:hAnsi="Palatino Linotype" w:cs="Tahoma"/>
          <w:szCs w:val="22"/>
        </w:rPr>
        <w:t xml:space="preserve">scuelas que hay en el municipio; </w:t>
      </w:r>
    </w:p>
    <w:p w:rsidRPr="00E0220E" w:rsidR="009E0FA6" w:rsidP="009E0FA6" w:rsidRDefault="009E0FA6" w14:paraId="15DB8CE5" w14:textId="334ECBE3">
      <w:pPr>
        <w:pStyle w:val="Prrafodelista"/>
        <w:numPr>
          <w:ilvl w:val="0"/>
          <w:numId w:val="27"/>
        </w:numPr>
        <w:spacing w:line="360" w:lineRule="auto"/>
        <w:jc w:val="both"/>
        <w:rPr>
          <w:rFonts w:ascii="Palatino Linotype" w:hAnsi="Palatino Linotype" w:cs="Tahoma"/>
          <w:szCs w:val="22"/>
        </w:rPr>
      </w:pPr>
      <w:r w:rsidRPr="00E0220E">
        <w:rPr>
          <w:rFonts w:ascii="Palatino Linotype" w:hAnsi="Palatino Linotype" w:cs="Tahoma"/>
          <w:szCs w:val="22"/>
        </w:rPr>
        <w:t>Número de escuelas d</w:t>
      </w:r>
      <w:r w:rsidRPr="00E0220E" w:rsidR="00FB7E62">
        <w:rPr>
          <w:rFonts w:ascii="Palatino Linotype" w:hAnsi="Palatino Linotype" w:cs="Tahoma"/>
          <w:szCs w:val="22"/>
        </w:rPr>
        <w:t>el sistema federal de educación;</w:t>
      </w:r>
    </w:p>
    <w:p w:rsidRPr="00E0220E" w:rsidR="009E0FA6" w:rsidP="009E0FA6" w:rsidRDefault="009E0FA6" w14:paraId="082F0568" w14:textId="1A82E8B3">
      <w:pPr>
        <w:pStyle w:val="Prrafodelista"/>
        <w:numPr>
          <w:ilvl w:val="0"/>
          <w:numId w:val="27"/>
        </w:numPr>
        <w:spacing w:line="360" w:lineRule="auto"/>
        <w:jc w:val="both"/>
        <w:rPr>
          <w:rFonts w:ascii="Palatino Linotype" w:hAnsi="Palatino Linotype" w:cs="Tahoma"/>
          <w:szCs w:val="22"/>
        </w:rPr>
      </w:pPr>
      <w:r w:rsidRPr="00E0220E">
        <w:rPr>
          <w:rFonts w:ascii="Palatino Linotype" w:hAnsi="Palatino Linotype" w:cs="Tahoma"/>
          <w:szCs w:val="22"/>
        </w:rPr>
        <w:t>Número de escuelas d</w:t>
      </w:r>
      <w:r w:rsidRPr="00E0220E" w:rsidR="00FB7E62">
        <w:rPr>
          <w:rFonts w:ascii="Palatino Linotype" w:hAnsi="Palatino Linotype" w:cs="Tahoma"/>
          <w:szCs w:val="22"/>
        </w:rPr>
        <w:t>el sistema estatal de educación;</w:t>
      </w:r>
    </w:p>
    <w:p w:rsidRPr="00E0220E" w:rsidR="009E0FA6" w:rsidP="009E0FA6" w:rsidRDefault="009E0FA6" w14:paraId="0F2CE1B5" w14:textId="2B25D4B9">
      <w:pPr>
        <w:pStyle w:val="Prrafodelista"/>
        <w:numPr>
          <w:ilvl w:val="0"/>
          <w:numId w:val="27"/>
        </w:numPr>
        <w:spacing w:line="360" w:lineRule="auto"/>
        <w:jc w:val="both"/>
        <w:rPr>
          <w:rFonts w:ascii="Palatino Linotype" w:hAnsi="Palatino Linotype" w:cs="Tahoma"/>
          <w:szCs w:val="22"/>
        </w:rPr>
      </w:pPr>
      <w:r w:rsidRPr="00E0220E">
        <w:rPr>
          <w:rFonts w:ascii="Palatino Linotype" w:hAnsi="Palatino Linotype" w:cs="Tahoma"/>
          <w:szCs w:val="22"/>
        </w:rPr>
        <w:t>Número de escuelas privadas</w:t>
      </w:r>
      <w:r w:rsidRPr="00E0220E" w:rsidR="00FB7E62">
        <w:rPr>
          <w:rFonts w:ascii="Palatino Linotype" w:hAnsi="Palatino Linotype" w:cs="Tahoma"/>
          <w:szCs w:val="22"/>
        </w:rPr>
        <w:t>.</w:t>
      </w:r>
    </w:p>
    <w:p w:rsidRPr="00E0220E" w:rsidR="00E4656C" w:rsidP="0024622D" w:rsidRDefault="00E4656C" w14:paraId="158601D5" w14:textId="77777777">
      <w:pPr>
        <w:spacing w:line="360" w:lineRule="auto"/>
        <w:jc w:val="both"/>
        <w:rPr>
          <w:rFonts w:ascii="Palatino Linotype" w:hAnsi="Palatino Linotype" w:cs="Tahoma"/>
          <w:sz w:val="22"/>
          <w:szCs w:val="22"/>
        </w:rPr>
      </w:pPr>
    </w:p>
    <w:p w:rsidRPr="00E0220E" w:rsidR="00281696" w:rsidP="0024622D" w:rsidRDefault="00130F94" w14:paraId="568C868C" w14:textId="09500CF4">
      <w:pPr>
        <w:spacing w:line="360" w:lineRule="auto"/>
        <w:jc w:val="both"/>
        <w:rPr>
          <w:rFonts w:ascii="Palatino Linotype" w:hAnsi="Palatino Linotype" w:cs="Tahoma" w:eastAsiaTheme="minorHAnsi"/>
          <w:color w:val="000000" w:themeColor="text1"/>
          <w:sz w:val="22"/>
          <w:szCs w:val="22"/>
          <w:lang w:val="es-ES" w:eastAsia="en-US"/>
        </w:rPr>
      </w:pPr>
      <w:r w:rsidRPr="00E0220E">
        <w:rPr>
          <w:rFonts w:ascii="Palatino Linotype" w:hAnsi="Palatino Linotype"/>
          <w:sz w:val="22"/>
          <w:szCs w:val="22"/>
        </w:rPr>
        <w:lastRenderedPageBreak/>
        <w:t>En respuesta, el Sujeto Obligado</w:t>
      </w:r>
      <w:r w:rsidRPr="00E0220E" w:rsidR="00504814">
        <w:rPr>
          <w:rFonts w:ascii="Palatino Linotype" w:hAnsi="Palatino Linotype"/>
          <w:sz w:val="22"/>
          <w:szCs w:val="22"/>
        </w:rPr>
        <w:t>,</w:t>
      </w:r>
      <w:r w:rsidRPr="00E0220E">
        <w:rPr>
          <w:rFonts w:ascii="Palatino Linotype" w:hAnsi="Palatino Linotype"/>
          <w:sz w:val="22"/>
          <w:szCs w:val="22"/>
        </w:rPr>
        <w:t xml:space="preserve"> </w:t>
      </w:r>
      <w:r w:rsidRPr="00E0220E" w:rsidR="0024622D">
        <w:rPr>
          <w:rFonts w:ascii="Palatino Linotype" w:hAnsi="Palatino Linotype"/>
          <w:sz w:val="22"/>
          <w:szCs w:val="22"/>
        </w:rPr>
        <w:t>se declaró incompetente al precisar</w:t>
      </w:r>
      <w:r w:rsidRPr="00E0220E" w:rsidR="00C10FE7">
        <w:rPr>
          <w:rFonts w:ascii="Palatino Linotype" w:hAnsi="Palatino Linotype"/>
          <w:sz w:val="22"/>
          <w:szCs w:val="22"/>
        </w:rPr>
        <w:t xml:space="preserve"> </w:t>
      </w:r>
      <w:r w:rsidRPr="00E0220E" w:rsidR="009E0FA6">
        <w:rPr>
          <w:rFonts w:ascii="Palatino Linotype" w:hAnsi="Palatino Linotype"/>
          <w:sz w:val="22"/>
          <w:szCs w:val="22"/>
        </w:rPr>
        <w:t xml:space="preserve">que no </w:t>
      </w:r>
      <w:r w:rsidRPr="00E0220E" w:rsidR="00FB7E62">
        <w:rPr>
          <w:rFonts w:ascii="Palatino Linotype" w:hAnsi="Palatino Linotype"/>
          <w:sz w:val="22"/>
          <w:szCs w:val="22"/>
        </w:rPr>
        <w:t xml:space="preserve">tenía </w:t>
      </w:r>
      <w:r w:rsidRPr="00E0220E" w:rsidR="009E0FA6">
        <w:rPr>
          <w:rFonts w:ascii="Palatino Linotype" w:hAnsi="Palatino Linotype"/>
          <w:sz w:val="22"/>
          <w:szCs w:val="22"/>
        </w:rPr>
        <w:t>facultades para conocer lo relativo a las políticas y estrategias establecidas por el ejecutivo estatal en materia de educación</w:t>
      </w:r>
      <w:r w:rsidRPr="00E0220E" w:rsidR="00C10FE7">
        <w:rPr>
          <w:rFonts w:ascii="Palatino Linotype" w:hAnsi="Palatino Linotype"/>
          <w:sz w:val="22"/>
          <w:szCs w:val="22"/>
        </w:rPr>
        <w:t xml:space="preserve">, ya que </w:t>
      </w:r>
      <w:r w:rsidRPr="00E0220E" w:rsidR="009E0FA6">
        <w:rPr>
          <w:rFonts w:ascii="Palatino Linotype" w:hAnsi="Palatino Linotype"/>
          <w:sz w:val="22"/>
          <w:szCs w:val="22"/>
        </w:rPr>
        <w:t>es</w:t>
      </w:r>
      <w:r w:rsidRPr="00E0220E" w:rsidR="0024622D">
        <w:rPr>
          <w:rFonts w:ascii="Palatino Linotype" w:hAnsi="Palatino Linotype"/>
          <w:sz w:val="22"/>
          <w:szCs w:val="22"/>
        </w:rPr>
        <w:t xml:space="preserve">a </w:t>
      </w:r>
      <w:r w:rsidRPr="00E0220E" w:rsidR="00C10FE7">
        <w:rPr>
          <w:rFonts w:ascii="Palatino Linotype" w:hAnsi="Palatino Linotype"/>
          <w:sz w:val="22"/>
          <w:szCs w:val="22"/>
        </w:rPr>
        <w:t xml:space="preserve">información </w:t>
      </w:r>
      <w:r w:rsidRPr="00E0220E" w:rsidR="0024622D">
        <w:rPr>
          <w:rFonts w:ascii="Palatino Linotype" w:hAnsi="Palatino Linotype"/>
          <w:sz w:val="22"/>
          <w:szCs w:val="22"/>
        </w:rPr>
        <w:t>la tenía</w:t>
      </w:r>
      <w:r w:rsidRPr="00E0220E" w:rsidR="0078436D">
        <w:rPr>
          <w:rFonts w:ascii="Palatino Linotype" w:hAnsi="Palatino Linotype"/>
          <w:sz w:val="22"/>
          <w:szCs w:val="22"/>
        </w:rPr>
        <w:t xml:space="preserve"> la Secretaría de </w:t>
      </w:r>
      <w:r w:rsidRPr="00E0220E" w:rsidR="009E0FA6">
        <w:rPr>
          <w:rFonts w:ascii="Palatino Linotype" w:hAnsi="Palatino Linotype"/>
          <w:sz w:val="22"/>
          <w:szCs w:val="22"/>
        </w:rPr>
        <w:t>Educación del Estado de México</w:t>
      </w:r>
      <w:r w:rsidRPr="00E0220E" w:rsidR="00E4656C">
        <w:rPr>
          <w:rFonts w:ascii="Palatino Linotype" w:hAnsi="Palatino Linotype"/>
          <w:sz w:val="22"/>
          <w:szCs w:val="22"/>
        </w:rPr>
        <w:t xml:space="preserve">, por lo que orientó </w:t>
      </w:r>
      <w:r w:rsidRPr="00E0220E" w:rsidR="00C10FE7">
        <w:rPr>
          <w:rFonts w:ascii="Palatino Linotype" w:hAnsi="Palatino Linotype"/>
          <w:sz w:val="22"/>
          <w:szCs w:val="22"/>
        </w:rPr>
        <w:t xml:space="preserve">al </w:t>
      </w:r>
      <w:r w:rsidRPr="00E0220E" w:rsidR="00E4656C">
        <w:rPr>
          <w:rFonts w:ascii="Palatino Linotype" w:hAnsi="Palatino Linotype"/>
          <w:sz w:val="22"/>
          <w:szCs w:val="22"/>
        </w:rPr>
        <w:t>P</w:t>
      </w:r>
      <w:r w:rsidRPr="00E0220E" w:rsidR="00C10FE7">
        <w:rPr>
          <w:rFonts w:ascii="Palatino Linotype" w:hAnsi="Palatino Linotype"/>
          <w:sz w:val="22"/>
          <w:szCs w:val="22"/>
        </w:rPr>
        <w:t xml:space="preserve">articular a dirigir su solicitud ante </w:t>
      </w:r>
      <w:r w:rsidRPr="00E0220E" w:rsidR="0078436D">
        <w:rPr>
          <w:rFonts w:ascii="Palatino Linotype" w:hAnsi="Palatino Linotype"/>
          <w:sz w:val="22"/>
          <w:szCs w:val="22"/>
        </w:rPr>
        <w:t>dicha institución</w:t>
      </w:r>
      <w:r w:rsidRPr="00E0220E">
        <w:rPr>
          <w:rFonts w:ascii="Palatino Linotype" w:hAnsi="Palatino Linotype"/>
          <w:sz w:val="22"/>
          <w:szCs w:val="22"/>
        </w:rPr>
        <w:t xml:space="preserve">; ante dicha circunstancia, la parte Recurrente se inconformó </w:t>
      </w:r>
      <w:r w:rsidRPr="00E0220E" w:rsidR="00E4656C">
        <w:rPr>
          <w:rFonts w:ascii="Palatino Linotype" w:hAnsi="Palatino Linotype"/>
          <w:sz w:val="22"/>
          <w:szCs w:val="22"/>
        </w:rPr>
        <w:t xml:space="preserve">con la incompetencia manifestada, al señalar que </w:t>
      </w:r>
      <w:r w:rsidRPr="00E0220E" w:rsidR="009E0FA6">
        <w:rPr>
          <w:rFonts w:ascii="Palatino Linotype" w:hAnsi="Palatino Linotype"/>
          <w:sz w:val="22"/>
          <w:szCs w:val="22"/>
        </w:rPr>
        <w:t>era de su competencia al estar dentro de su territorio geográfico</w:t>
      </w:r>
      <w:r w:rsidRPr="00E0220E" w:rsidR="00281696">
        <w:rPr>
          <w:rFonts w:ascii="Palatino Linotype" w:hAnsi="Palatino Linotype"/>
          <w:sz w:val="22"/>
          <w:szCs w:val="22"/>
        </w:rPr>
        <w:t xml:space="preserve">, </w:t>
      </w:r>
      <w:r w:rsidRPr="00E0220E" w:rsidR="00281696">
        <w:rPr>
          <w:rFonts w:ascii="Palatino Linotype" w:hAnsi="Palatino Linotype" w:cs="Tahoma" w:eastAsiaTheme="minorHAnsi"/>
          <w:bCs/>
          <w:iCs/>
          <w:color w:val="000000" w:themeColor="text1"/>
          <w:sz w:val="22"/>
          <w:szCs w:val="22"/>
          <w:lang w:val="es-ES" w:eastAsia="en-US"/>
        </w:rPr>
        <w:t>lo cual actualiza el supuesto previsto en el artículo 179, fracción I</w:t>
      </w:r>
      <w:r w:rsidRPr="00E0220E" w:rsidR="00E4656C">
        <w:rPr>
          <w:rFonts w:ascii="Palatino Linotype" w:hAnsi="Palatino Linotype" w:cs="Tahoma" w:eastAsiaTheme="minorHAnsi"/>
          <w:bCs/>
          <w:iCs/>
          <w:color w:val="000000" w:themeColor="text1"/>
          <w:sz w:val="22"/>
          <w:szCs w:val="22"/>
          <w:lang w:val="es-ES" w:eastAsia="en-US"/>
        </w:rPr>
        <w:t>V</w:t>
      </w:r>
      <w:r w:rsidRPr="00E0220E" w:rsidR="00281696">
        <w:rPr>
          <w:rFonts w:ascii="Palatino Linotype" w:hAnsi="Palatino Linotype" w:cs="Tahoma" w:eastAsiaTheme="minorHAnsi"/>
          <w:bCs/>
          <w:iCs/>
          <w:color w:val="000000" w:themeColor="text1"/>
          <w:sz w:val="22"/>
          <w:szCs w:val="22"/>
          <w:lang w:val="es-ES" w:eastAsia="en-US"/>
        </w:rPr>
        <w:t>, de la Ley de Transparencia y Acceso a la Información Pública del Estado de México y Municipios</w:t>
      </w:r>
      <w:r w:rsidRPr="00E0220E" w:rsidR="00E4656C">
        <w:rPr>
          <w:rFonts w:ascii="Palatino Linotype" w:hAnsi="Palatino Linotype" w:cs="Tahoma" w:eastAsiaTheme="minorHAnsi"/>
          <w:bCs/>
          <w:iCs/>
          <w:color w:val="000000" w:themeColor="text1"/>
          <w:sz w:val="22"/>
          <w:szCs w:val="22"/>
          <w:shd w:val="clear" w:color="auto" w:fill="FFFFFF"/>
          <w:lang w:eastAsia="en-US"/>
        </w:rPr>
        <w:t>.</w:t>
      </w:r>
      <w:r w:rsidRPr="00E0220E" w:rsidR="00281696">
        <w:rPr>
          <w:rFonts w:ascii="Palatino Linotype" w:hAnsi="Palatino Linotype" w:eastAsia="Calibri" w:cs="Tahoma"/>
          <w:bCs/>
          <w:iCs/>
          <w:color w:val="000000"/>
          <w:sz w:val="22"/>
          <w:szCs w:val="22"/>
          <w:lang w:val="es-ES_tradnl" w:eastAsia="en-US"/>
        </w:rPr>
        <w:t xml:space="preserve"> </w:t>
      </w:r>
      <w:r w:rsidRPr="00E0220E" w:rsidR="00281696">
        <w:rPr>
          <w:rFonts w:ascii="Palatino Linotype" w:hAnsi="Palatino Linotype" w:cs="Tahoma" w:eastAsiaTheme="minorHAnsi"/>
          <w:color w:val="000000" w:themeColor="text1"/>
          <w:sz w:val="22"/>
          <w:szCs w:val="22"/>
          <w:lang w:val="es-ES" w:eastAsia="en-US"/>
        </w:rPr>
        <w:t xml:space="preserve">Así las cosas, una vez admitido y notificado los Recursos de Revisión a las partes, </w:t>
      </w:r>
      <w:r w:rsidRPr="00E0220E" w:rsidR="0012296F">
        <w:rPr>
          <w:rFonts w:ascii="Palatino Linotype" w:hAnsi="Palatino Linotype" w:cs="Tahoma" w:eastAsiaTheme="minorHAnsi"/>
          <w:color w:val="000000" w:themeColor="text1"/>
          <w:sz w:val="22"/>
          <w:szCs w:val="22"/>
          <w:lang w:val="es-ES" w:eastAsia="en-US"/>
        </w:rPr>
        <w:t>el Sujeto</w:t>
      </w:r>
      <w:r w:rsidRPr="00E0220E" w:rsidR="0024622D">
        <w:rPr>
          <w:rFonts w:ascii="Palatino Linotype" w:hAnsi="Palatino Linotype" w:cs="Tahoma" w:eastAsiaTheme="minorHAnsi"/>
          <w:color w:val="000000" w:themeColor="text1"/>
          <w:sz w:val="22"/>
          <w:szCs w:val="22"/>
          <w:lang w:val="es-ES" w:eastAsia="en-US"/>
        </w:rPr>
        <w:t xml:space="preserve"> </w:t>
      </w:r>
      <w:r w:rsidRPr="00E0220E" w:rsidR="0012296F">
        <w:rPr>
          <w:rFonts w:ascii="Palatino Linotype" w:hAnsi="Palatino Linotype" w:cs="Tahoma" w:eastAsiaTheme="minorHAnsi"/>
          <w:color w:val="000000" w:themeColor="text1"/>
          <w:sz w:val="22"/>
          <w:szCs w:val="22"/>
          <w:lang w:val="es-ES" w:eastAsia="en-US"/>
        </w:rPr>
        <w:t>Obligado mediante Informe Justificado ratificó su respuesta</w:t>
      </w:r>
      <w:r w:rsidRPr="00E0220E" w:rsidR="0078436D">
        <w:rPr>
          <w:rFonts w:ascii="Palatino Linotype" w:hAnsi="Palatino Linotype" w:cs="Tahoma" w:eastAsiaTheme="minorHAnsi"/>
          <w:color w:val="000000" w:themeColor="text1"/>
          <w:sz w:val="22"/>
          <w:szCs w:val="22"/>
          <w:lang w:val="es-ES" w:eastAsia="en-US"/>
        </w:rPr>
        <w:t xml:space="preserve">. </w:t>
      </w:r>
    </w:p>
    <w:p w:rsidRPr="00E0220E" w:rsidR="00AE38E0" w:rsidP="0024622D" w:rsidRDefault="00AE38E0" w14:paraId="51C4D1F4" w14:textId="77777777">
      <w:pPr>
        <w:spacing w:line="360" w:lineRule="auto"/>
        <w:jc w:val="both"/>
        <w:rPr>
          <w:rFonts w:ascii="Palatino Linotype" w:hAnsi="Palatino Linotype" w:cs="Tahoma"/>
          <w:iCs/>
          <w:sz w:val="22"/>
          <w:szCs w:val="22"/>
          <w:shd w:val="clear" w:color="auto" w:fill="FFFFFF"/>
          <w:lang w:val="es-ES"/>
        </w:rPr>
      </w:pPr>
    </w:p>
    <w:p w:rsidRPr="00E0220E" w:rsidR="00AE38E0" w:rsidP="0024622D" w:rsidRDefault="00AE38E0" w14:paraId="06B761E6" w14:textId="1A168553">
      <w:pPr>
        <w:spacing w:line="360" w:lineRule="auto"/>
        <w:jc w:val="both"/>
        <w:rPr>
          <w:rFonts w:ascii="Palatino Linotype" w:hAnsi="Palatino Linotype"/>
          <w:sz w:val="22"/>
          <w:szCs w:val="22"/>
        </w:rPr>
      </w:pPr>
      <w:r w:rsidRPr="00E0220E">
        <w:rPr>
          <w:rFonts w:ascii="Palatino Linotype" w:hAnsi="Palatino Linotype"/>
          <w:sz w:val="22"/>
          <w:szCs w:val="22"/>
        </w:rPr>
        <w:t xml:space="preserve">Lo anterior, se desprende de las documentales que obran en el expediente de referencia, materia de la presente resolución, consistentes en: la solicitud de acceso a la información; la respuesta proporcionada por </w:t>
      </w:r>
      <w:r w:rsidRPr="00E0220E" w:rsidR="00651A66">
        <w:rPr>
          <w:rFonts w:ascii="Palatino Linotype" w:hAnsi="Palatino Linotype"/>
          <w:sz w:val="22"/>
          <w:szCs w:val="22"/>
        </w:rPr>
        <w:t>el</w:t>
      </w:r>
      <w:r w:rsidRPr="00E0220E">
        <w:rPr>
          <w:rFonts w:ascii="Palatino Linotype" w:hAnsi="Palatino Linotype"/>
          <w:sz w:val="22"/>
          <w:szCs w:val="22"/>
        </w:rPr>
        <w:t xml:space="preserve"> </w:t>
      </w:r>
      <w:r w:rsidRPr="00E0220E" w:rsidR="0012296F">
        <w:rPr>
          <w:rFonts w:ascii="Palatino Linotype" w:hAnsi="Palatino Linotype"/>
          <w:sz w:val="22"/>
          <w:szCs w:val="22"/>
        </w:rPr>
        <w:t xml:space="preserve">Ayuntamiento de </w:t>
      </w:r>
      <w:r w:rsidRPr="00E0220E" w:rsidR="009E0FA6">
        <w:rPr>
          <w:rFonts w:ascii="Palatino Linotype" w:hAnsi="Palatino Linotype"/>
          <w:sz w:val="22"/>
          <w:szCs w:val="22"/>
        </w:rPr>
        <w:t>Toluca</w:t>
      </w:r>
      <w:r w:rsidRPr="00E0220E" w:rsidR="0012296F">
        <w:rPr>
          <w:rFonts w:ascii="Palatino Linotype" w:hAnsi="Palatino Linotype"/>
          <w:sz w:val="22"/>
          <w:szCs w:val="22"/>
        </w:rPr>
        <w:t xml:space="preserve">, </w:t>
      </w:r>
      <w:r w:rsidRPr="00E0220E">
        <w:rPr>
          <w:rFonts w:ascii="Palatino Linotype" w:hAnsi="Palatino Linotype"/>
          <w:sz w:val="22"/>
          <w:szCs w:val="22"/>
        </w:rPr>
        <w:t xml:space="preserve">el escrito </w:t>
      </w:r>
      <w:proofErr w:type="spellStart"/>
      <w:r w:rsidRPr="00E0220E">
        <w:rPr>
          <w:rFonts w:ascii="Palatino Linotype" w:hAnsi="Palatino Linotype"/>
          <w:sz w:val="22"/>
          <w:szCs w:val="22"/>
        </w:rPr>
        <w:t>recursal</w:t>
      </w:r>
      <w:proofErr w:type="spellEnd"/>
      <w:r w:rsidRPr="00E0220E" w:rsidR="0012296F">
        <w:rPr>
          <w:rFonts w:ascii="Palatino Linotype" w:hAnsi="Palatino Linotype"/>
          <w:sz w:val="22"/>
          <w:szCs w:val="22"/>
        </w:rPr>
        <w:t xml:space="preserve"> y el informe justificado</w:t>
      </w:r>
      <w:r w:rsidRPr="00E0220E">
        <w:rPr>
          <w:rFonts w:ascii="Palatino Linotype" w:hAnsi="Palatino Linotype"/>
          <w:sz w:val="22"/>
          <w:szCs w:val="22"/>
        </w:rPr>
        <w:t xml:space="preserve">; instrumentales que se toman en cuenta a efecto de resolver el presente medio de impugnación, conforme a lo dispuesto por el artículo 185, fracción IV, de la Ley de Transparencia y Acceso a la Información Pública del Estado de México y Municipios. </w:t>
      </w:r>
    </w:p>
    <w:p w:rsidRPr="00E0220E" w:rsidR="00836192" w:rsidP="0024622D" w:rsidRDefault="00836192" w14:paraId="1AADC65C" w14:textId="77777777">
      <w:pPr>
        <w:spacing w:line="360" w:lineRule="auto"/>
        <w:jc w:val="both"/>
        <w:rPr>
          <w:rFonts w:ascii="Palatino Linotype" w:hAnsi="Palatino Linotype" w:cs="Tahoma"/>
          <w:sz w:val="22"/>
          <w:szCs w:val="22"/>
        </w:rPr>
      </w:pPr>
    </w:p>
    <w:p w:rsidRPr="00E0220E" w:rsidR="00836192" w:rsidP="0024622D" w:rsidRDefault="00836192" w14:paraId="179F8367" w14:textId="68BC9A7B">
      <w:pPr>
        <w:spacing w:line="360" w:lineRule="auto"/>
        <w:jc w:val="both"/>
        <w:rPr>
          <w:rFonts w:ascii="Palatino Linotype" w:hAnsi="Palatino Linotype" w:cs="Tahoma"/>
          <w:b/>
          <w:sz w:val="22"/>
          <w:szCs w:val="22"/>
        </w:rPr>
      </w:pPr>
      <w:r w:rsidRPr="00E0220E">
        <w:rPr>
          <w:rFonts w:ascii="Palatino Linotype" w:hAnsi="Palatino Linotype" w:cs="Tahoma"/>
          <w:b/>
          <w:sz w:val="22"/>
          <w:szCs w:val="22"/>
        </w:rPr>
        <w:t>CUARTO. Marco normativo aplicable en materia de transparencia y acceso a la información pública.</w:t>
      </w:r>
    </w:p>
    <w:p w:rsidRPr="00E0220E" w:rsidR="00B86CB4" w:rsidP="0024622D" w:rsidRDefault="00B86CB4" w14:paraId="267F57E5" w14:textId="77777777">
      <w:pPr>
        <w:spacing w:line="360" w:lineRule="auto"/>
        <w:jc w:val="both"/>
        <w:rPr>
          <w:rFonts w:ascii="Palatino Linotype" w:hAnsi="Palatino Linotype" w:cs="Tahoma"/>
          <w:b/>
          <w:sz w:val="22"/>
          <w:szCs w:val="22"/>
        </w:rPr>
      </w:pPr>
    </w:p>
    <w:p w:rsidRPr="00E0220E" w:rsidR="00836192" w:rsidP="0024622D" w:rsidRDefault="00836192" w14:paraId="2F768BB5" w14:textId="77777777">
      <w:pPr>
        <w:spacing w:line="360" w:lineRule="auto"/>
        <w:jc w:val="both"/>
        <w:rPr>
          <w:rFonts w:ascii="Palatino Linotype" w:hAnsi="Palatino Linotype" w:cs="Tahoma"/>
          <w:sz w:val="22"/>
          <w:szCs w:val="22"/>
        </w:rPr>
      </w:pPr>
      <w:r w:rsidRPr="00E0220E">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E0220E" w:rsidR="00836192" w:rsidP="0024622D" w:rsidRDefault="00836192" w14:paraId="71DA7465" w14:textId="77777777">
      <w:pPr>
        <w:spacing w:line="360" w:lineRule="auto"/>
        <w:jc w:val="both"/>
        <w:rPr>
          <w:rFonts w:ascii="Palatino Linotype" w:hAnsi="Palatino Linotype" w:cs="Tahoma"/>
          <w:sz w:val="22"/>
          <w:szCs w:val="22"/>
        </w:rPr>
      </w:pPr>
    </w:p>
    <w:p w:rsidRPr="00E0220E" w:rsidR="00836192" w:rsidP="0024622D" w:rsidRDefault="00836192" w14:paraId="64B03822" w14:textId="77777777">
      <w:pPr>
        <w:spacing w:line="360" w:lineRule="auto"/>
        <w:jc w:val="both"/>
        <w:rPr>
          <w:rFonts w:ascii="Palatino Linotype" w:hAnsi="Palatino Linotype" w:cs="Tahoma"/>
          <w:sz w:val="22"/>
          <w:szCs w:val="22"/>
        </w:rPr>
      </w:pPr>
      <w:r w:rsidRPr="00E0220E">
        <w:rPr>
          <w:rFonts w:ascii="Palatino Linotype" w:hAnsi="Palatino Linotype" w:cs="Tahoma"/>
          <w:sz w:val="22"/>
          <w:szCs w:val="22"/>
        </w:rPr>
        <w:t xml:space="preserve">La Ley General de Transparencia y Acceso a la Información Pública, publicada en el Diario Oficial de la Federación el cuatro de mayo de dos mil quince, dispone en su artículo 70, la </w:t>
      </w:r>
      <w:r w:rsidRPr="00E0220E">
        <w:rPr>
          <w:rFonts w:ascii="Palatino Linotype" w:hAnsi="Palatino Linotype" w:cs="Tahoma"/>
          <w:sz w:val="22"/>
          <w:szCs w:val="22"/>
        </w:rPr>
        <w:lastRenderedPageBreak/>
        <w:t>información que se considera corresponde a las Obligaciones de Transparencia, la cual debe estar disponible para cualquier persona de manera permanente y actualizada.</w:t>
      </w:r>
    </w:p>
    <w:p w:rsidRPr="00E0220E" w:rsidR="00836192" w:rsidP="0024622D" w:rsidRDefault="00836192" w14:paraId="57664A7D" w14:textId="77777777">
      <w:pPr>
        <w:spacing w:line="360" w:lineRule="auto"/>
        <w:jc w:val="both"/>
        <w:rPr>
          <w:rFonts w:ascii="Palatino Linotype" w:hAnsi="Palatino Linotype" w:cs="Tahoma"/>
          <w:sz w:val="22"/>
          <w:szCs w:val="22"/>
        </w:rPr>
      </w:pPr>
    </w:p>
    <w:p w:rsidRPr="00E0220E" w:rsidR="00836192" w:rsidP="0024622D" w:rsidRDefault="00836192" w14:paraId="0A448AF5" w14:textId="77777777">
      <w:pPr>
        <w:spacing w:line="360" w:lineRule="auto"/>
        <w:jc w:val="both"/>
        <w:rPr>
          <w:rFonts w:ascii="Palatino Linotype" w:hAnsi="Palatino Linotype" w:cs="Tahoma"/>
          <w:sz w:val="22"/>
          <w:szCs w:val="22"/>
        </w:rPr>
      </w:pPr>
      <w:r w:rsidRPr="00E0220E">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E0220E" w:rsidR="00836192" w:rsidP="0024622D" w:rsidRDefault="00836192" w14:paraId="0293A1EA" w14:textId="77777777">
      <w:pPr>
        <w:spacing w:line="360" w:lineRule="auto"/>
        <w:jc w:val="both"/>
        <w:rPr>
          <w:rFonts w:ascii="Palatino Linotype" w:hAnsi="Palatino Linotype" w:cs="Tahoma"/>
          <w:sz w:val="22"/>
          <w:szCs w:val="22"/>
        </w:rPr>
      </w:pPr>
    </w:p>
    <w:p w:rsidRPr="00E0220E" w:rsidR="00836192" w:rsidP="0024622D" w:rsidRDefault="00836192" w14:paraId="74B7375E" w14:textId="77777777">
      <w:pPr>
        <w:spacing w:line="360" w:lineRule="auto"/>
        <w:jc w:val="both"/>
        <w:rPr>
          <w:rFonts w:ascii="Palatino Linotype" w:hAnsi="Palatino Linotype" w:cs="Tahoma"/>
          <w:sz w:val="22"/>
          <w:szCs w:val="22"/>
        </w:rPr>
      </w:pPr>
      <w:r w:rsidRPr="00E0220E">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E0220E" w:rsidR="00836192" w:rsidP="0024622D" w:rsidRDefault="00836192" w14:paraId="33D3F52E" w14:textId="77777777">
      <w:pPr>
        <w:spacing w:line="360" w:lineRule="auto"/>
        <w:jc w:val="both"/>
        <w:rPr>
          <w:rFonts w:ascii="Palatino Linotype" w:hAnsi="Palatino Linotype" w:cs="Tahoma"/>
          <w:sz w:val="22"/>
          <w:szCs w:val="22"/>
        </w:rPr>
      </w:pPr>
    </w:p>
    <w:p w:rsidRPr="00E0220E" w:rsidR="00836192" w:rsidP="0024622D" w:rsidRDefault="00836192" w14:paraId="6571C2FF" w14:textId="77777777">
      <w:pPr>
        <w:spacing w:line="360" w:lineRule="auto"/>
        <w:jc w:val="both"/>
        <w:rPr>
          <w:rFonts w:ascii="Palatino Linotype" w:hAnsi="Palatino Linotype" w:cs="Tahoma"/>
          <w:sz w:val="22"/>
          <w:szCs w:val="22"/>
        </w:rPr>
      </w:pPr>
      <w:r w:rsidRPr="00E0220E">
        <w:rPr>
          <w:rFonts w:ascii="Palatino Linotype" w:hAnsi="Palatino Linotype" w:cs="Tahoma"/>
          <w:sz w:val="22"/>
          <w:szCs w:val="22"/>
        </w:rPr>
        <w:t>El artículo 12, que, quienes generen, recopilen, administren, manejen, procesen, archiven o conserven información pública serán responsables de la misma.</w:t>
      </w:r>
    </w:p>
    <w:p w:rsidRPr="00E0220E" w:rsidR="00836192" w:rsidP="0024622D" w:rsidRDefault="00836192" w14:paraId="58528FF2" w14:textId="77777777">
      <w:pPr>
        <w:spacing w:line="360" w:lineRule="auto"/>
        <w:jc w:val="both"/>
        <w:rPr>
          <w:rFonts w:ascii="Palatino Linotype" w:hAnsi="Palatino Linotype" w:cs="Tahoma"/>
          <w:sz w:val="22"/>
          <w:szCs w:val="22"/>
        </w:rPr>
      </w:pPr>
    </w:p>
    <w:p w:rsidRPr="00E0220E" w:rsidR="00836192" w:rsidP="0024622D" w:rsidRDefault="00836192" w14:paraId="7269128C" w14:textId="77777777">
      <w:pPr>
        <w:spacing w:line="360" w:lineRule="auto"/>
        <w:jc w:val="both"/>
        <w:rPr>
          <w:rFonts w:ascii="Palatino Linotype" w:hAnsi="Palatino Linotype" w:cs="Tahoma"/>
          <w:sz w:val="22"/>
          <w:szCs w:val="22"/>
        </w:rPr>
      </w:pPr>
      <w:r w:rsidRPr="00E0220E">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E0220E" w:rsidR="00130F94" w:rsidP="0024622D" w:rsidRDefault="00130F94" w14:paraId="375AD9B0" w14:textId="77777777">
      <w:pPr>
        <w:spacing w:line="360" w:lineRule="auto"/>
        <w:jc w:val="both"/>
        <w:rPr>
          <w:rFonts w:ascii="Palatino Linotype" w:hAnsi="Palatino Linotype" w:cs="Tahoma"/>
          <w:sz w:val="22"/>
          <w:szCs w:val="22"/>
        </w:rPr>
      </w:pPr>
    </w:p>
    <w:p w:rsidRPr="00E0220E" w:rsidR="00836192" w:rsidP="0024622D" w:rsidRDefault="00836192" w14:paraId="574A1EEF" w14:textId="6B682CE2">
      <w:pPr>
        <w:spacing w:line="360" w:lineRule="auto"/>
        <w:jc w:val="both"/>
        <w:rPr>
          <w:rFonts w:ascii="Palatino Linotype" w:hAnsi="Palatino Linotype" w:cs="Tahoma"/>
          <w:sz w:val="22"/>
          <w:szCs w:val="22"/>
        </w:rPr>
      </w:pPr>
      <w:r w:rsidRPr="00E0220E">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E0220E" w:rsidR="00022C39" w:rsidP="0024622D" w:rsidRDefault="00022C39" w14:paraId="3633FCD7" w14:textId="77777777">
      <w:pPr>
        <w:spacing w:line="360" w:lineRule="auto"/>
        <w:jc w:val="both"/>
        <w:rPr>
          <w:rFonts w:ascii="Palatino Linotype" w:hAnsi="Palatino Linotype" w:cs="Tahoma"/>
          <w:iCs/>
          <w:sz w:val="22"/>
          <w:szCs w:val="22"/>
        </w:rPr>
      </w:pPr>
    </w:p>
    <w:p w:rsidRPr="00E0220E" w:rsidR="00836192" w:rsidP="0024622D" w:rsidRDefault="00836192" w14:paraId="4D2B2D8A" w14:textId="77777777">
      <w:pPr>
        <w:spacing w:line="360" w:lineRule="auto"/>
        <w:jc w:val="both"/>
        <w:rPr>
          <w:rFonts w:ascii="Palatino Linotype" w:hAnsi="Palatino Linotype" w:cs="Tahoma"/>
          <w:b/>
          <w:sz w:val="22"/>
          <w:szCs w:val="22"/>
        </w:rPr>
      </w:pPr>
      <w:r w:rsidRPr="00E0220E">
        <w:rPr>
          <w:rFonts w:ascii="Palatino Linotype" w:hAnsi="Palatino Linotype" w:cs="Tahoma"/>
          <w:b/>
          <w:sz w:val="22"/>
          <w:szCs w:val="22"/>
        </w:rPr>
        <w:t>QUINTO. Estudio de Fondo.</w:t>
      </w:r>
    </w:p>
    <w:p w:rsidRPr="00E0220E" w:rsidR="00836192" w:rsidP="0024622D" w:rsidRDefault="00836192" w14:paraId="0C7ED835" w14:textId="77777777">
      <w:pPr>
        <w:spacing w:line="360" w:lineRule="auto"/>
        <w:jc w:val="both"/>
        <w:rPr>
          <w:rFonts w:ascii="Palatino Linotype" w:hAnsi="Palatino Linotype" w:cs="Tahoma"/>
          <w:sz w:val="22"/>
          <w:szCs w:val="22"/>
        </w:rPr>
      </w:pPr>
    </w:p>
    <w:p w:rsidRPr="00E0220E" w:rsidR="009E63D6" w:rsidP="0024622D" w:rsidRDefault="009E63D6" w14:paraId="25E4FBA1" w14:textId="4ADE9B9A">
      <w:pPr>
        <w:spacing w:line="360" w:lineRule="auto"/>
        <w:jc w:val="both"/>
        <w:rPr>
          <w:rFonts w:ascii="Palatino Linotype" w:hAnsi="Palatino Linotype"/>
          <w:sz w:val="22"/>
          <w:szCs w:val="22"/>
        </w:rPr>
      </w:pPr>
      <w:r w:rsidRPr="00E0220E">
        <w:rPr>
          <w:rFonts w:ascii="Palatino Linotype" w:hAnsi="Palatino Linotype"/>
          <w:sz w:val="22"/>
          <w:szCs w:val="22"/>
          <w:lang w:val="es-ES"/>
        </w:rPr>
        <w:lastRenderedPageBreak/>
        <w:t>Expuestas las posturas de las partes, se procede analizar la incompetencia manifestada por el Sujeto Obligado, para conocer de la información referente a las escuelas públicas (Federales y Estatales) y privadas que se localizaban en el Ayuntamiento.</w:t>
      </w:r>
    </w:p>
    <w:p w:rsidRPr="00E0220E" w:rsidR="009E63D6" w:rsidP="0024622D" w:rsidRDefault="009E63D6" w14:paraId="5C961A1E" w14:textId="77777777">
      <w:pPr>
        <w:spacing w:line="360" w:lineRule="auto"/>
        <w:jc w:val="both"/>
        <w:rPr>
          <w:rFonts w:ascii="Palatino Linotype" w:hAnsi="Palatino Linotype"/>
          <w:sz w:val="22"/>
          <w:szCs w:val="22"/>
        </w:rPr>
      </w:pPr>
    </w:p>
    <w:p w:rsidRPr="00E0220E" w:rsidR="009E63D6" w:rsidP="009E63D6" w:rsidRDefault="009E63D6" w14:paraId="6976A872" w14:textId="77777777">
      <w:pPr>
        <w:spacing w:line="360" w:lineRule="auto"/>
        <w:contextualSpacing/>
        <w:jc w:val="both"/>
        <w:rPr>
          <w:rFonts w:ascii="Palatino Linotype" w:hAnsi="Palatino Linotype" w:eastAsia="Calibri"/>
          <w:b/>
          <w:color w:val="000000" w:themeColor="text1"/>
          <w:sz w:val="22"/>
          <w:szCs w:val="22"/>
          <w:lang w:eastAsia="en-US"/>
        </w:rPr>
      </w:pPr>
      <w:r w:rsidRPr="00E0220E">
        <w:rPr>
          <w:rFonts w:ascii="Palatino Linotype" w:hAnsi="Palatino Linotype" w:eastAsia="Calibri"/>
          <w:color w:val="000000" w:themeColor="text1"/>
          <w:sz w:val="22"/>
          <w:szCs w:val="22"/>
          <w:lang w:eastAsia="en-US"/>
        </w:rPr>
        <w:t xml:space="preserve">Al respecto,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w:t>
      </w:r>
      <w:r w:rsidRPr="00E0220E">
        <w:rPr>
          <w:rFonts w:ascii="Palatino Linotype" w:hAnsi="Palatino Linotype" w:eastAsia="Calibri"/>
          <w:b/>
          <w:color w:val="000000" w:themeColor="text1"/>
          <w:sz w:val="22"/>
          <w:szCs w:val="22"/>
          <w:lang w:eastAsia="en-US"/>
        </w:rPr>
        <w:t>cuando la misma no sea competencia del sujeto obligado ante el cual se formule la solicitud de acceso.</w:t>
      </w:r>
    </w:p>
    <w:p w:rsidRPr="00E0220E" w:rsidR="009E63D6" w:rsidP="009E63D6" w:rsidRDefault="009E63D6" w14:paraId="08291AEC" w14:textId="77777777">
      <w:pPr>
        <w:spacing w:line="360" w:lineRule="auto"/>
        <w:contextualSpacing/>
        <w:jc w:val="both"/>
        <w:rPr>
          <w:rFonts w:ascii="Palatino Linotype" w:hAnsi="Palatino Linotype" w:eastAsia="Calibri"/>
          <w:b/>
          <w:color w:val="000000" w:themeColor="text1"/>
          <w:sz w:val="22"/>
          <w:szCs w:val="22"/>
          <w:lang w:eastAsia="en-US"/>
        </w:rPr>
      </w:pPr>
    </w:p>
    <w:p w:rsidRPr="00E0220E" w:rsidR="009E63D6" w:rsidP="009E63D6" w:rsidRDefault="009E63D6" w14:paraId="2BFA8CBA" w14:textId="77777777">
      <w:pPr>
        <w:spacing w:line="360" w:lineRule="auto"/>
        <w:contextualSpacing/>
        <w:jc w:val="both"/>
        <w:rPr>
          <w:rFonts w:ascii="Palatino Linotype" w:hAnsi="Palatino Linotype" w:eastAsia="Calibri"/>
          <w:color w:val="000000" w:themeColor="text1"/>
          <w:sz w:val="22"/>
          <w:szCs w:val="22"/>
          <w:lang w:eastAsia="en-US"/>
        </w:rPr>
      </w:pPr>
      <w:r w:rsidRPr="00E0220E">
        <w:rPr>
          <w:rFonts w:ascii="Palatino Linotype" w:hAnsi="Palatino Linotype" w:eastAsia="Calibri"/>
          <w:color w:val="000000" w:themeColor="text1"/>
          <w:sz w:val="22"/>
          <w:szCs w:val="22"/>
          <w:lang w:eastAsia="en-US"/>
        </w:rPr>
        <w:t xml:space="preserve">Asimismo, que los Comités de Transparencia tienen entre sus atribuciones confirmar, modificar o revocar la </w:t>
      </w:r>
      <w:r w:rsidRPr="00E0220E">
        <w:rPr>
          <w:rFonts w:ascii="Palatino Linotype" w:hAnsi="Palatino Linotype" w:eastAsia="Calibri"/>
          <w:b/>
          <w:color w:val="000000" w:themeColor="text1"/>
          <w:sz w:val="22"/>
          <w:szCs w:val="22"/>
          <w:lang w:eastAsia="en-US"/>
        </w:rPr>
        <w:t>declaración de incompetencia</w:t>
      </w:r>
      <w:r w:rsidRPr="00E0220E">
        <w:rPr>
          <w:rFonts w:ascii="Palatino Linotype" w:hAnsi="Palatino Linotype" w:eastAsia="Calibri"/>
          <w:color w:val="000000" w:themeColor="text1"/>
          <w:sz w:val="22"/>
          <w:szCs w:val="22"/>
          <w:lang w:eastAsia="en-US"/>
        </w:rPr>
        <w:t xml:space="preserve"> que realicen los titulares de las unidades administrativas.</w:t>
      </w:r>
    </w:p>
    <w:p w:rsidRPr="00E0220E" w:rsidR="009E63D6" w:rsidP="009E63D6" w:rsidRDefault="009E63D6" w14:paraId="45F58FDD" w14:textId="77777777">
      <w:pPr>
        <w:spacing w:line="360" w:lineRule="auto"/>
        <w:contextualSpacing/>
        <w:jc w:val="both"/>
        <w:rPr>
          <w:rFonts w:ascii="Palatino Linotype" w:hAnsi="Palatino Linotype" w:eastAsia="Calibri"/>
          <w:color w:val="000000" w:themeColor="text1"/>
          <w:sz w:val="22"/>
          <w:szCs w:val="22"/>
          <w:lang w:eastAsia="en-US"/>
        </w:rPr>
      </w:pPr>
    </w:p>
    <w:p w:rsidRPr="00E0220E" w:rsidR="009E63D6" w:rsidP="009E63D6" w:rsidRDefault="009E63D6" w14:paraId="789CF862" w14:textId="77777777">
      <w:pPr>
        <w:spacing w:line="360" w:lineRule="auto"/>
        <w:contextualSpacing/>
        <w:jc w:val="both"/>
        <w:rPr>
          <w:rFonts w:ascii="Palatino Linotype" w:hAnsi="Palatino Linotype" w:eastAsia="Calibri"/>
          <w:color w:val="000000" w:themeColor="text1"/>
          <w:sz w:val="22"/>
          <w:szCs w:val="22"/>
          <w:lang w:eastAsia="en-US"/>
        </w:rPr>
      </w:pPr>
      <w:r w:rsidRPr="00E0220E">
        <w:rPr>
          <w:rFonts w:ascii="Palatino Linotype" w:hAnsi="Palatino Linotype" w:eastAsia="Calibri"/>
          <w:color w:val="000000" w:themeColor="text1"/>
          <w:sz w:val="22"/>
          <w:szCs w:val="22"/>
          <w:lang w:eastAsia="en-US"/>
        </w:rPr>
        <w:t xml:space="preserve">En esa tesitura, cuando las Unidades de Transparencia determinen </w:t>
      </w:r>
      <w:r w:rsidRPr="00E0220E">
        <w:rPr>
          <w:rFonts w:ascii="Palatino Linotype" w:hAnsi="Palatino Linotype" w:eastAsia="Calibri"/>
          <w:b/>
          <w:color w:val="000000" w:themeColor="text1"/>
          <w:sz w:val="22"/>
          <w:szCs w:val="22"/>
          <w:lang w:eastAsia="en-US"/>
        </w:rPr>
        <w:t>la notoria incompetencia</w:t>
      </w:r>
      <w:r w:rsidRPr="00E0220E">
        <w:rPr>
          <w:rFonts w:ascii="Palatino Linotype" w:hAnsi="Palatino Linotype" w:eastAsia="Calibri"/>
          <w:color w:val="000000" w:themeColor="text1"/>
          <w:sz w:val="22"/>
          <w:szCs w:val="22"/>
          <w:lang w:eastAsia="en-US"/>
        </w:rPr>
        <w:t xml:space="preserve"> por parte de los sujetos obligados deberán comunicar al solicitante la misma dentro de los tres días posteriores a la recepción de la solicitud, lo cual no aconteció, al haber transcurrido en exceso dicho término, es decir el veintinueve de noviembre de dos mil veintidós. </w:t>
      </w:r>
    </w:p>
    <w:p w:rsidRPr="00E0220E" w:rsidR="009E63D6" w:rsidP="009E63D6" w:rsidRDefault="009E63D6" w14:paraId="38F1C568" w14:textId="77777777">
      <w:pPr>
        <w:spacing w:line="360" w:lineRule="auto"/>
        <w:contextualSpacing/>
        <w:jc w:val="both"/>
        <w:rPr>
          <w:rFonts w:ascii="Palatino Linotype" w:hAnsi="Palatino Linotype" w:eastAsia="Calibri"/>
          <w:color w:val="000000" w:themeColor="text1"/>
          <w:sz w:val="22"/>
          <w:szCs w:val="22"/>
          <w:lang w:eastAsia="en-US"/>
        </w:rPr>
      </w:pPr>
    </w:p>
    <w:p w:rsidRPr="00E0220E" w:rsidR="009E63D6" w:rsidP="009E63D6" w:rsidRDefault="009E63D6" w14:paraId="2E2EFFB9" w14:textId="77777777">
      <w:pPr>
        <w:spacing w:line="360" w:lineRule="auto"/>
        <w:contextualSpacing/>
        <w:jc w:val="both"/>
        <w:rPr>
          <w:rFonts w:ascii="Palatino Linotype" w:hAnsi="Palatino Linotype" w:eastAsia="Calibri"/>
          <w:bCs/>
          <w:color w:val="000000" w:themeColor="text1"/>
          <w:sz w:val="22"/>
          <w:szCs w:val="22"/>
          <w:lang w:eastAsia="en-US"/>
        </w:rPr>
      </w:pPr>
      <w:r w:rsidRPr="00E0220E">
        <w:rPr>
          <w:rFonts w:ascii="Palatino Linotype" w:hAnsi="Palatino Linotype" w:eastAsia="Calibri"/>
          <w:color w:val="000000" w:themeColor="text1"/>
          <w:sz w:val="22"/>
          <w:szCs w:val="22"/>
          <w:lang w:eastAsia="en-US"/>
        </w:rPr>
        <w:t>Como se logra observar, si bien la Ley de la materia, prevé el supuesto de incompetencia para que los sujetos obligados den atención a solitudes de información, también lo es, que no se precisa en que consiste dicho concepto; sobre dicha situación</w:t>
      </w:r>
      <w:r w:rsidRPr="00E0220E">
        <w:rPr>
          <w:rFonts w:ascii="Palatino Linotype" w:hAnsi="Palatino Linotype" w:eastAsia="Calibri"/>
          <w:color w:val="000000" w:themeColor="text1"/>
          <w:sz w:val="22"/>
          <w:szCs w:val="22"/>
          <w:lang w:val="es-ES_tradnl" w:eastAsia="en-US"/>
        </w:rPr>
        <w:t xml:space="preserve">, </w:t>
      </w:r>
      <w:r w:rsidRPr="00E0220E">
        <w:rPr>
          <w:rFonts w:ascii="Palatino Linotype" w:hAnsi="Palatino Linotype" w:eastAsia="Calibri"/>
          <w:bCs/>
          <w:color w:val="000000" w:themeColor="text1"/>
          <w:sz w:val="22"/>
          <w:szCs w:val="22"/>
          <w:lang w:eastAsia="en-US"/>
        </w:rPr>
        <w:t>según Cabanellas, Guillermo (1993), en el “Diccionario Jurídico Elemental” (p. 32 y 161), precisó los siguientes conceptos:</w:t>
      </w:r>
    </w:p>
    <w:p w:rsidRPr="00E0220E" w:rsidR="009E63D6" w:rsidP="009E63D6" w:rsidRDefault="009E63D6" w14:paraId="5C1526FC" w14:textId="77777777">
      <w:pPr>
        <w:spacing w:line="360" w:lineRule="auto"/>
        <w:contextualSpacing/>
        <w:jc w:val="both"/>
        <w:rPr>
          <w:rFonts w:ascii="Palatino Linotype" w:hAnsi="Palatino Linotype" w:eastAsia="Calibri"/>
          <w:bCs/>
          <w:color w:val="000000" w:themeColor="text1"/>
          <w:sz w:val="22"/>
          <w:szCs w:val="22"/>
          <w:lang w:eastAsia="en-US"/>
        </w:rPr>
      </w:pPr>
    </w:p>
    <w:p w:rsidRPr="00E0220E" w:rsidR="009E63D6" w:rsidP="009E63D6" w:rsidRDefault="009E63D6" w14:paraId="32857607" w14:textId="77777777">
      <w:pPr>
        <w:numPr>
          <w:ilvl w:val="0"/>
          <w:numId w:val="12"/>
        </w:numPr>
        <w:spacing w:after="160" w:line="360" w:lineRule="auto"/>
        <w:contextualSpacing/>
        <w:jc w:val="both"/>
        <w:rPr>
          <w:rFonts w:ascii="Palatino Linotype" w:hAnsi="Palatino Linotype" w:eastAsia="Calibri"/>
          <w:bCs/>
          <w:color w:val="000000" w:themeColor="text1"/>
          <w:sz w:val="22"/>
          <w:szCs w:val="22"/>
          <w:lang w:eastAsia="en-US"/>
        </w:rPr>
      </w:pPr>
      <w:r w:rsidRPr="00E0220E">
        <w:rPr>
          <w:rFonts w:ascii="Palatino Linotype" w:hAnsi="Palatino Linotype" w:eastAsia="Calibri"/>
          <w:b/>
          <w:bCs/>
          <w:color w:val="000000" w:themeColor="text1"/>
          <w:sz w:val="22"/>
          <w:szCs w:val="22"/>
          <w:lang w:eastAsia="en-US"/>
        </w:rPr>
        <w:lastRenderedPageBreak/>
        <w:t xml:space="preserve">Competencia: </w:t>
      </w:r>
      <w:r w:rsidRPr="00E0220E">
        <w:rPr>
          <w:rFonts w:ascii="Palatino Linotype" w:hAnsi="Palatino Linotype" w:eastAsia="Calibri"/>
          <w:bCs/>
          <w:color w:val="000000" w:themeColor="text1"/>
          <w:sz w:val="22"/>
          <w:szCs w:val="22"/>
          <w:lang w:eastAsia="en-US"/>
        </w:rPr>
        <w:t>La capacidad de una autoridad para conocer sobre una materia o asunto.</w:t>
      </w:r>
    </w:p>
    <w:p w:rsidRPr="00E0220E" w:rsidR="009E63D6" w:rsidP="009E63D6" w:rsidRDefault="009E63D6" w14:paraId="450DB446" w14:textId="77777777">
      <w:pPr>
        <w:spacing w:line="360" w:lineRule="auto"/>
        <w:ind w:left="780"/>
        <w:contextualSpacing/>
        <w:rPr>
          <w:rFonts w:ascii="Palatino Linotype" w:hAnsi="Palatino Linotype" w:eastAsia="Calibri"/>
          <w:bCs/>
          <w:color w:val="000000" w:themeColor="text1"/>
          <w:sz w:val="22"/>
          <w:szCs w:val="22"/>
          <w:lang w:eastAsia="en-US"/>
        </w:rPr>
      </w:pPr>
    </w:p>
    <w:p w:rsidRPr="00E0220E" w:rsidR="009E63D6" w:rsidP="009E63D6" w:rsidRDefault="009E63D6" w14:paraId="39C9B114" w14:textId="77777777">
      <w:pPr>
        <w:numPr>
          <w:ilvl w:val="0"/>
          <w:numId w:val="12"/>
        </w:numPr>
        <w:spacing w:after="160" w:line="360" w:lineRule="auto"/>
        <w:contextualSpacing/>
        <w:jc w:val="both"/>
        <w:rPr>
          <w:rFonts w:ascii="Palatino Linotype" w:hAnsi="Palatino Linotype" w:eastAsia="Calibri"/>
          <w:bCs/>
          <w:color w:val="000000" w:themeColor="text1"/>
          <w:sz w:val="22"/>
          <w:szCs w:val="22"/>
          <w:lang w:eastAsia="en-US"/>
        </w:rPr>
      </w:pPr>
      <w:r w:rsidRPr="00E0220E">
        <w:rPr>
          <w:rFonts w:ascii="Palatino Linotype" w:hAnsi="Palatino Linotype" w:eastAsia="Calibri"/>
          <w:b/>
          <w:bCs/>
          <w:color w:val="000000" w:themeColor="text1"/>
          <w:sz w:val="22"/>
          <w:szCs w:val="22"/>
          <w:lang w:eastAsia="en-US"/>
        </w:rPr>
        <w:t>Incompetencia:</w:t>
      </w:r>
      <w:r w:rsidRPr="00E0220E">
        <w:rPr>
          <w:rFonts w:ascii="Palatino Linotype" w:hAnsi="Palatino Linotype" w:eastAsia="Calibri"/>
          <w:bCs/>
          <w:color w:val="000000" w:themeColor="text1"/>
          <w:sz w:val="22"/>
          <w:szCs w:val="22"/>
          <w:lang w:eastAsia="en-US"/>
        </w:rPr>
        <w:t xml:space="preserve"> Falta de Competencia.</w:t>
      </w:r>
    </w:p>
    <w:p w:rsidRPr="00E0220E" w:rsidR="009E63D6" w:rsidP="009E63D6" w:rsidRDefault="009E63D6" w14:paraId="099B2955" w14:textId="77777777">
      <w:pPr>
        <w:spacing w:line="360" w:lineRule="auto"/>
        <w:contextualSpacing/>
        <w:jc w:val="both"/>
        <w:rPr>
          <w:rFonts w:ascii="Palatino Linotype" w:hAnsi="Palatino Linotype" w:eastAsia="Calibri"/>
          <w:color w:val="000000" w:themeColor="text1"/>
          <w:sz w:val="22"/>
          <w:szCs w:val="22"/>
          <w:lang w:eastAsia="en-US"/>
        </w:rPr>
      </w:pPr>
    </w:p>
    <w:p w:rsidRPr="00E0220E" w:rsidR="009E63D6" w:rsidP="009E63D6" w:rsidRDefault="009E63D6" w14:paraId="208D45EC" w14:textId="77777777">
      <w:pPr>
        <w:spacing w:line="360" w:lineRule="auto"/>
        <w:contextualSpacing/>
        <w:jc w:val="both"/>
        <w:rPr>
          <w:rFonts w:ascii="Palatino Linotype" w:hAnsi="Palatino Linotype" w:eastAsia="Calibri"/>
          <w:color w:val="000000" w:themeColor="text1"/>
          <w:sz w:val="22"/>
          <w:szCs w:val="22"/>
          <w:lang w:eastAsia="en-US"/>
        </w:rPr>
      </w:pPr>
      <w:r w:rsidRPr="00E0220E">
        <w:rPr>
          <w:rFonts w:ascii="Palatino Linotype" w:hAnsi="Palatino Linotype" w:eastAsia="Calibri"/>
          <w:color w:val="000000" w:themeColor="text1"/>
          <w:sz w:val="22"/>
          <w:szCs w:val="22"/>
          <w:lang w:val="es-ES_tradnl" w:eastAsia="en-US"/>
        </w:rPr>
        <w:t xml:space="preserve">Por lo que, </w:t>
      </w:r>
      <w:r w:rsidRPr="00E0220E">
        <w:rPr>
          <w:rFonts w:ascii="Palatino Linotype" w:hAnsi="Palatino Linotype" w:eastAsia="Calibri"/>
          <w:b/>
          <w:color w:val="000000" w:themeColor="text1"/>
          <w:sz w:val="22"/>
          <w:szCs w:val="22"/>
          <w:lang w:val="es-ES_tradnl" w:eastAsia="en-US"/>
        </w:rPr>
        <w:t>la incompetencia</w:t>
      </w:r>
      <w:r w:rsidRPr="00E0220E">
        <w:rPr>
          <w:rFonts w:ascii="Palatino Linotype" w:hAnsi="Palatino Linotype" w:eastAsia="Calibri"/>
          <w:color w:val="000000" w:themeColor="text1"/>
          <w:sz w:val="22"/>
          <w:szCs w:val="22"/>
          <w:lang w:val="es-ES_tradnl" w:eastAsia="en-US"/>
        </w:rPr>
        <w:t>, radica en la incapacidad de una autoridad para conocer de un tema o asunto; en el mismo sentido, conviene traer a cuenta tesis</w:t>
      </w:r>
      <w:r w:rsidRPr="00E0220E">
        <w:rPr>
          <w:rFonts w:ascii="Palatino Linotype" w:hAnsi="Palatino Linotype" w:eastAsia="Calibri"/>
          <w:color w:val="000000" w:themeColor="text1"/>
          <w:sz w:val="22"/>
          <w:szCs w:val="22"/>
          <w:lang w:eastAsia="en-US"/>
        </w:rPr>
        <w:t xml:space="preserve"> aislada número III.2o.P.11 K, publicada en el Semanario Judicial de la Federación y su Gaceta, Novena Época, Tomo XV, Mayo de 2002, Pág. 1243, ya que precisa lo siguiente: </w:t>
      </w:r>
    </w:p>
    <w:p w:rsidRPr="00E0220E" w:rsidR="009E63D6" w:rsidP="009E63D6" w:rsidRDefault="009E63D6" w14:paraId="66C0305F" w14:textId="77777777">
      <w:pPr>
        <w:spacing w:line="360" w:lineRule="auto"/>
        <w:contextualSpacing/>
        <w:jc w:val="both"/>
        <w:rPr>
          <w:rFonts w:ascii="Palatino Linotype" w:hAnsi="Palatino Linotype" w:eastAsia="Calibri"/>
          <w:color w:val="000000" w:themeColor="text1"/>
          <w:sz w:val="22"/>
          <w:szCs w:val="22"/>
          <w:lang w:val="es-ES_tradnl" w:eastAsia="en-US"/>
        </w:rPr>
      </w:pPr>
    </w:p>
    <w:p w:rsidRPr="00E0220E" w:rsidR="009E63D6" w:rsidP="009E63D6" w:rsidRDefault="009E63D6" w14:paraId="760C8AD8" w14:textId="77777777">
      <w:pPr>
        <w:spacing w:line="360" w:lineRule="auto"/>
        <w:ind w:left="567" w:right="567"/>
        <w:contextualSpacing/>
        <w:jc w:val="both"/>
        <w:rPr>
          <w:rFonts w:ascii="Palatino Linotype" w:hAnsi="Palatino Linotype" w:eastAsia="Calibri"/>
          <w:i/>
          <w:color w:val="000000" w:themeColor="text1"/>
          <w:lang w:val="es-ES_tradnl" w:eastAsia="en-US"/>
        </w:rPr>
      </w:pPr>
      <w:r w:rsidRPr="00E0220E">
        <w:rPr>
          <w:rFonts w:ascii="Palatino Linotype" w:hAnsi="Palatino Linotype" w:eastAsia="Calibri"/>
          <w:b/>
          <w:bCs/>
          <w:i/>
          <w:color w:val="000000" w:themeColor="text1"/>
          <w:lang w:val="es-ES_tradnl" w:eastAsia="en-US"/>
        </w:rPr>
        <w:t xml:space="preserve">“LEGITIMACIÓN DE FUNCIONARIOS PÚBLICOS. LOS TRIBUNALES DE AMPARO, POR ESTAR VINCULADOS CON EL CONCEPTO DE COMPETENCIA A QUE SE REFIERE EL ARTÍCULO 16 CONSTITUCIONAL, NO PUEDEN CONOCER DE AQUÉLLA. </w:t>
      </w:r>
      <w:r w:rsidRPr="00E0220E">
        <w:rPr>
          <w:rFonts w:ascii="Palatino Linotype" w:hAnsi="Palatino Linotype" w:eastAsia="Calibri"/>
          <w:i/>
          <w:color w:val="000000" w:themeColor="text1"/>
          <w:lang w:val="es-ES_tradnl" w:eastAsia="en-US"/>
        </w:rPr>
        <w:t>El artículo </w:t>
      </w:r>
      <w:hyperlink w:history="1" r:id="rId8">
        <w:r w:rsidRPr="00E0220E">
          <w:rPr>
            <w:rFonts w:ascii="Palatino Linotype" w:hAnsi="Palatino Linotype" w:eastAsia="Calibri"/>
            <w:i/>
            <w:color w:val="0563C1" w:themeColor="hyperlink"/>
            <w:u w:val="single"/>
            <w:lang w:val="es-ES_tradnl" w:eastAsia="en-US"/>
          </w:rPr>
          <w:t>16 constitucional</w:t>
        </w:r>
      </w:hyperlink>
      <w:r w:rsidRPr="00E0220E">
        <w:rPr>
          <w:rFonts w:ascii="Palatino Linotype" w:hAnsi="Palatino Linotype" w:eastAsia="Calibri"/>
          <w:i/>
          <w:color w:val="000000" w:themeColor="text1"/>
          <w:lang w:val="es-ES_tradnl" w:eastAsia="en-US"/>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rsidRPr="00E0220E" w:rsidR="009E63D6" w:rsidP="009E63D6" w:rsidRDefault="009E63D6" w14:paraId="5A37749B" w14:textId="77777777">
      <w:pPr>
        <w:spacing w:line="360" w:lineRule="auto"/>
        <w:contextualSpacing/>
        <w:jc w:val="both"/>
        <w:rPr>
          <w:rFonts w:ascii="Palatino Linotype" w:hAnsi="Palatino Linotype" w:eastAsia="Calibri"/>
          <w:color w:val="000000" w:themeColor="text1"/>
          <w:sz w:val="22"/>
          <w:szCs w:val="22"/>
          <w:lang w:val="es-ES_tradnl" w:eastAsia="en-US"/>
        </w:rPr>
      </w:pPr>
    </w:p>
    <w:p w:rsidRPr="00E0220E" w:rsidR="009E63D6" w:rsidP="009E63D6" w:rsidRDefault="009E63D6" w14:paraId="1C814D21" w14:textId="77777777">
      <w:pPr>
        <w:spacing w:line="360" w:lineRule="auto"/>
        <w:contextualSpacing/>
        <w:jc w:val="both"/>
        <w:rPr>
          <w:rFonts w:ascii="Palatino Linotype" w:hAnsi="Palatino Linotype" w:eastAsiaTheme="minorHAnsi" w:cstheme="minorBidi"/>
          <w:color w:val="000000" w:themeColor="text1"/>
          <w:sz w:val="22"/>
          <w:szCs w:val="22"/>
          <w:lang w:eastAsia="en-US"/>
        </w:rPr>
      </w:pPr>
      <w:r w:rsidRPr="00E0220E">
        <w:rPr>
          <w:rFonts w:ascii="Palatino Linotype" w:hAnsi="Palatino Linotype" w:eastAsiaTheme="minorHAnsi" w:cstheme="minorBidi"/>
          <w:color w:val="000000" w:themeColor="text1"/>
          <w:sz w:val="22"/>
          <w:szCs w:val="22"/>
          <w:lang w:val="es-ES_tradnl" w:eastAsia="en-US"/>
        </w:rPr>
        <w:t xml:space="preserve">De la misma manera, resulta necesario traer a colación, </w:t>
      </w:r>
      <w:r w:rsidRPr="00E0220E">
        <w:rPr>
          <w:rFonts w:ascii="Palatino Linotype" w:hAnsi="Palatino Linotype" w:eastAsia="Calibri" w:cs="Tahoma"/>
          <w:bCs/>
          <w:color w:val="000000"/>
          <w:sz w:val="22"/>
          <w:szCs w:val="22"/>
          <w:lang w:val="es-ES" w:eastAsia="en-US"/>
        </w:rPr>
        <w:t xml:space="preserve">Criterio de Interpretación, de la Segunda Época, con clave de control </w:t>
      </w:r>
      <w:r w:rsidRPr="00E0220E">
        <w:rPr>
          <w:rFonts w:ascii="Palatino Linotype" w:hAnsi="Palatino Linotype" w:eastAsia="Calibri" w:cs="Tahoma"/>
          <w:bCs/>
          <w:color w:val="000000"/>
          <w:sz w:val="22"/>
          <w:szCs w:val="22"/>
          <w:lang w:eastAsia="en-US"/>
        </w:rPr>
        <w:t>SO/013/2017</w:t>
      </w:r>
      <w:r w:rsidRPr="00E0220E">
        <w:rPr>
          <w:rFonts w:ascii="Palatino Linotype" w:hAnsi="Palatino Linotype" w:eastAsiaTheme="minorHAnsi" w:cstheme="minorBidi"/>
          <w:color w:val="000000" w:themeColor="text1"/>
          <w:sz w:val="22"/>
          <w:szCs w:val="22"/>
          <w:lang w:val="es-ES" w:eastAsia="en-US"/>
        </w:rPr>
        <w:t xml:space="preserve">, </w:t>
      </w:r>
      <w:r w:rsidRPr="00E0220E">
        <w:rPr>
          <w:rFonts w:ascii="Palatino Linotype" w:hAnsi="Palatino Linotype" w:eastAsiaTheme="minorHAnsi" w:cstheme="minorBidi"/>
          <w:color w:val="000000" w:themeColor="text1"/>
          <w:sz w:val="22"/>
          <w:szCs w:val="22"/>
          <w:lang w:eastAsia="en-US"/>
        </w:rPr>
        <w:t xml:space="preserve">emitido por el Instituto Nacional de Transparencia, Acceso a la Información y Protección de Datos Personales, que dispone lo siguiente: </w:t>
      </w:r>
    </w:p>
    <w:p w:rsidRPr="00E0220E" w:rsidR="009E63D6" w:rsidP="009E63D6" w:rsidRDefault="009E63D6" w14:paraId="2778B744" w14:textId="77777777">
      <w:pPr>
        <w:spacing w:line="360" w:lineRule="auto"/>
        <w:contextualSpacing/>
        <w:jc w:val="both"/>
        <w:rPr>
          <w:rFonts w:ascii="Palatino Linotype" w:hAnsi="Palatino Linotype" w:eastAsia="Calibri"/>
          <w:color w:val="000000" w:themeColor="text1"/>
          <w:sz w:val="22"/>
          <w:szCs w:val="22"/>
          <w:lang w:eastAsia="en-US"/>
        </w:rPr>
      </w:pPr>
    </w:p>
    <w:p w:rsidRPr="00E0220E" w:rsidR="009E63D6" w:rsidP="009E63D6" w:rsidRDefault="009E63D6" w14:paraId="5D1B8218" w14:textId="77777777">
      <w:pPr>
        <w:spacing w:line="360" w:lineRule="auto"/>
        <w:ind w:left="567" w:right="567"/>
        <w:contextualSpacing/>
        <w:jc w:val="both"/>
        <w:rPr>
          <w:rFonts w:ascii="Palatino Linotype" w:hAnsi="Palatino Linotype" w:eastAsia="Calibri"/>
          <w:i/>
          <w:color w:val="000000" w:themeColor="text1"/>
          <w:lang w:eastAsia="en-US"/>
        </w:rPr>
      </w:pPr>
      <w:r w:rsidRPr="00E0220E">
        <w:rPr>
          <w:rFonts w:ascii="Palatino Linotype" w:hAnsi="Palatino Linotype" w:eastAsia="Calibri"/>
          <w:i/>
          <w:color w:val="000000" w:themeColor="text1"/>
          <w:lang w:eastAsia="en-US"/>
        </w:rPr>
        <w:lastRenderedPageBreak/>
        <w:t>“</w:t>
      </w:r>
      <w:r w:rsidRPr="00E0220E">
        <w:rPr>
          <w:rFonts w:ascii="Palatino Linotype" w:hAnsi="Palatino Linotype" w:eastAsia="Calibri"/>
          <w:b/>
          <w:bCs/>
          <w:i/>
          <w:color w:val="000000" w:themeColor="text1"/>
          <w:lang w:eastAsia="en-US"/>
        </w:rPr>
        <w:t xml:space="preserve">Incompetencia. </w:t>
      </w:r>
      <w:r w:rsidRPr="00E0220E">
        <w:rPr>
          <w:rFonts w:ascii="Palatino Linotype" w:hAnsi="Palatino Linotype" w:eastAsia="Calibri"/>
          <w:i/>
          <w:color w:val="000000" w:themeColor="text1"/>
          <w:lang w:eastAsia="en-US"/>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rsidRPr="00E0220E" w:rsidR="009E63D6" w:rsidP="009E63D6" w:rsidRDefault="009E63D6" w14:paraId="035ABD1F" w14:textId="77777777">
      <w:pPr>
        <w:spacing w:line="360" w:lineRule="auto"/>
        <w:contextualSpacing/>
        <w:jc w:val="both"/>
        <w:rPr>
          <w:rFonts w:ascii="Palatino Linotype" w:hAnsi="Palatino Linotype" w:eastAsia="Calibri"/>
          <w:color w:val="000000" w:themeColor="text1"/>
          <w:sz w:val="22"/>
          <w:szCs w:val="22"/>
          <w:lang w:val="es-ES_tradnl" w:eastAsia="en-US"/>
        </w:rPr>
      </w:pPr>
    </w:p>
    <w:p w:rsidRPr="00E0220E" w:rsidR="009E63D6" w:rsidP="009E63D6" w:rsidRDefault="009E63D6" w14:paraId="4B15FF0A" w14:textId="77777777">
      <w:pPr>
        <w:spacing w:line="360" w:lineRule="auto"/>
        <w:contextualSpacing/>
        <w:jc w:val="both"/>
        <w:rPr>
          <w:rFonts w:ascii="Palatino Linotype" w:hAnsi="Palatino Linotype" w:eastAsia="Calibri"/>
          <w:color w:val="000000" w:themeColor="text1"/>
          <w:sz w:val="22"/>
          <w:szCs w:val="22"/>
          <w:lang w:val="es-ES_tradnl" w:eastAsia="en-US"/>
        </w:rPr>
      </w:pPr>
      <w:r w:rsidRPr="00E0220E">
        <w:rPr>
          <w:rFonts w:ascii="Palatino Linotype" w:hAnsi="Palatino Linotype" w:eastAsia="Calibri"/>
          <w:color w:val="000000" w:themeColor="text1"/>
          <w:sz w:val="22"/>
          <w:szCs w:val="22"/>
          <w:lang w:val="es-ES_tradnl" w:eastAsia="en-US"/>
        </w:rPr>
        <w:t xml:space="preserve">En tal virtud, la </w:t>
      </w:r>
      <w:r w:rsidRPr="00E0220E">
        <w:rPr>
          <w:rFonts w:ascii="Palatino Linotype" w:hAnsi="Palatino Linotype" w:eastAsia="Calibri"/>
          <w:b/>
          <w:color w:val="000000" w:themeColor="text1"/>
          <w:sz w:val="22"/>
          <w:szCs w:val="22"/>
          <w:lang w:val="es-ES_tradnl" w:eastAsia="en-US"/>
        </w:rPr>
        <w:t xml:space="preserve">incompetencia </w:t>
      </w:r>
      <w:r w:rsidRPr="00E0220E">
        <w:rPr>
          <w:rFonts w:ascii="Palatino Linotype" w:hAnsi="Palatino Linotype" w:eastAsia="Calibri"/>
          <w:color w:val="000000" w:themeColor="text1"/>
          <w:sz w:val="22"/>
          <w:szCs w:val="22"/>
          <w:lang w:val="es-ES_tradnl" w:eastAsia="en-US"/>
        </w:rPr>
        <w:t>implica que, de conformidad con las atribuciones conferidas al Sujeto Obligado, no habría razón por la cual éste deba contar con la información solicitada, en cuyo caso, tendría que orientar al particular para que acuda a la instancia competente.</w:t>
      </w:r>
    </w:p>
    <w:p w:rsidRPr="00E0220E" w:rsidR="009E63D6" w:rsidP="009E63D6" w:rsidRDefault="009E63D6" w14:paraId="25E605FD" w14:textId="77777777">
      <w:pPr>
        <w:spacing w:line="360" w:lineRule="auto"/>
        <w:contextualSpacing/>
        <w:jc w:val="both"/>
        <w:rPr>
          <w:rFonts w:ascii="Palatino Linotype" w:hAnsi="Palatino Linotype" w:eastAsia="Calibri"/>
          <w:color w:val="000000" w:themeColor="text1"/>
          <w:sz w:val="22"/>
          <w:szCs w:val="22"/>
          <w:lang w:val="es-ES_tradnl" w:eastAsia="en-US"/>
        </w:rPr>
      </w:pPr>
    </w:p>
    <w:p w:rsidRPr="00E0220E" w:rsidR="009E63D6" w:rsidP="009E63D6" w:rsidRDefault="009E63D6" w14:paraId="04808F35" w14:textId="77777777">
      <w:pPr>
        <w:spacing w:line="360" w:lineRule="auto"/>
        <w:contextualSpacing/>
        <w:jc w:val="both"/>
        <w:rPr>
          <w:rFonts w:ascii="Palatino Linotype" w:hAnsi="Palatino Linotype" w:eastAsia="Calibri"/>
          <w:b/>
          <w:color w:val="000000" w:themeColor="text1"/>
          <w:sz w:val="22"/>
          <w:szCs w:val="22"/>
          <w:lang w:eastAsia="en-US"/>
        </w:rPr>
      </w:pPr>
      <w:r w:rsidRPr="00E0220E">
        <w:rPr>
          <w:rFonts w:ascii="Palatino Linotype" w:hAnsi="Palatino Linotype" w:eastAsia="Calibri"/>
          <w:color w:val="000000" w:themeColor="text1"/>
          <w:sz w:val="22"/>
          <w:szCs w:val="22"/>
          <w:lang w:val="es-ES_tradnl" w:eastAsia="en-US"/>
        </w:rPr>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rsidRPr="00E0220E" w:rsidR="009E63D6" w:rsidP="009E63D6" w:rsidRDefault="009E63D6" w14:paraId="5302A4FE" w14:textId="77777777">
      <w:pPr>
        <w:spacing w:line="360" w:lineRule="auto"/>
        <w:contextualSpacing/>
        <w:jc w:val="both"/>
        <w:rPr>
          <w:rFonts w:ascii="Palatino Linotype" w:hAnsi="Palatino Linotype" w:eastAsia="Calibri"/>
          <w:color w:val="000000" w:themeColor="text1"/>
          <w:sz w:val="22"/>
          <w:szCs w:val="22"/>
          <w:lang w:eastAsia="en-US"/>
        </w:rPr>
      </w:pPr>
    </w:p>
    <w:p w:rsidRPr="00E0220E" w:rsidR="008E1719" w:rsidP="0024622D" w:rsidRDefault="009E63D6" w14:paraId="07CAF787" w14:textId="7A7272B1">
      <w:pPr>
        <w:spacing w:line="360" w:lineRule="auto"/>
        <w:contextualSpacing/>
        <w:jc w:val="both"/>
        <w:rPr>
          <w:rFonts w:ascii="Palatino Linotype" w:hAnsi="Palatino Linotype"/>
          <w:sz w:val="22"/>
          <w:szCs w:val="22"/>
        </w:rPr>
      </w:pPr>
      <w:r w:rsidRPr="00E0220E">
        <w:rPr>
          <w:rFonts w:ascii="Palatino Linotype" w:hAnsi="Palatino Linotype" w:eastAsiaTheme="minorHAnsi" w:cstheme="minorBidi"/>
          <w:bCs/>
          <w:color w:val="000000" w:themeColor="text1"/>
          <w:sz w:val="22"/>
          <w:szCs w:val="22"/>
          <w:lang w:eastAsia="en-US"/>
        </w:rPr>
        <w:t xml:space="preserve">Por tanto, a continuación, se analiza si en la especie, el Ente Recurrido cuenta con atribuciones para conocer sobre la información requerida, por lo cual, es oportuno traer a colación el </w:t>
      </w:r>
      <w:r w:rsidRPr="00E0220E" w:rsidR="008E1719">
        <w:rPr>
          <w:rFonts w:ascii="Palatino Linotype" w:hAnsi="Palatino Linotype"/>
          <w:sz w:val="22"/>
          <w:szCs w:val="22"/>
        </w:rPr>
        <w:t>artículo 63, fracciones I y IX</w:t>
      </w:r>
      <w:r w:rsidRPr="00E0220E" w:rsidR="001A32D2">
        <w:rPr>
          <w:rFonts w:ascii="Palatino Linotype" w:hAnsi="Palatino Linotype"/>
          <w:sz w:val="22"/>
          <w:szCs w:val="22"/>
        </w:rPr>
        <w:t>,</w:t>
      </w:r>
      <w:r w:rsidRPr="00E0220E" w:rsidR="008E1719">
        <w:rPr>
          <w:rFonts w:ascii="Palatino Linotype" w:hAnsi="Palatino Linotype"/>
          <w:sz w:val="22"/>
          <w:szCs w:val="22"/>
        </w:rPr>
        <w:t xml:space="preserve"> del Bando Municipal, dos mil veintidós, del Ayuntamiento de Toluca, precisa que el Ayuntamiento dentro de sus atribuciones en materia educativa, podrá celebrar convenios con las </w:t>
      </w:r>
      <w:r w:rsidRPr="00E0220E" w:rsidR="008E1719">
        <w:rPr>
          <w:rFonts w:ascii="Palatino Linotype" w:hAnsi="Palatino Linotype"/>
          <w:b/>
          <w:sz w:val="22"/>
          <w:szCs w:val="22"/>
        </w:rPr>
        <w:t>autoridades educativas federales, estatales y de la iniciativa privada para realizar actividades de apoyo a la educación</w:t>
      </w:r>
      <w:r w:rsidRPr="00E0220E" w:rsidR="008E1719">
        <w:rPr>
          <w:rFonts w:ascii="Palatino Linotype" w:hAnsi="Palatino Linotype"/>
          <w:sz w:val="22"/>
          <w:szCs w:val="22"/>
        </w:rPr>
        <w:t xml:space="preserve">, así como constituir el </w:t>
      </w:r>
      <w:bookmarkStart w:name="_Hlk129114135" w:id="2"/>
      <w:r w:rsidRPr="00E0220E" w:rsidR="008E1719">
        <w:rPr>
          <w:rFonts w:ascii="Palatino Linotype" w:hAnsi="Palatino Linotype"/>
          <w:b/>
          <w:sz w:val="22"/>
          <w:szCs w:val="22"/>
        </w:rPr>
        <w:t xml:space="preserve">Consejo </w:t>
      </w:r>
      <w:r w:rsidRPr="00E0220E" w:rsidR="00005BAA">
        <w:rPr>
          <w:rFonts w:ascii="Palatino Linotype" w:hAnsi="Palatino Linotype"/>
          <w:b/>
          <w:sz w:val="22"/>
          <w:szCs w:val="22"/>
        </w:rPr>
        <w:t>Municipal de Participación Social en la Educación</w:t>
      </w:r>
      <w:r w:rsidRPr="00E0220E" w:rsidR="00005BAA">
        <w:rPr>
          <w:rFonts w:ascii="Palatino Linotype" w:hAnsi="Palatino Linotype"/>
          <w:sz w:val="22"/>
          <w:szCs w:val="22"/>
        </w:rPr>
        <w:t xml:space="preserve"> </w:t>
      </w:r>
      <w:bookmarkEnd w:id="2"/>
      <w:r w:rsidRPr="00E0220E" w:rsidR="00005BAA">
        <w:rPr>
          <w:rFonts w:ascii="Palatino Linotype" w:hAnsi="Palatino Linotype"/>
          <w:sz w:val="22"/>
          <w:szCs w:val="22"/>
        </w:rPr>
        <w:t xml:space="preserve">y coordinar las acciones de los consejos escolares que de él emanen. </w:t>
      </w:r>
    </w:p>
    <w:p w:rsidRPr="00E0220E" w:rsidR="00005BAA" w:rsidP="0024622D" w:rsidRDefault="00005BAA" w14:paraId="34FEB653" w14:textId="13A6EB69">
      <w:pPr>
        <w:spacing w:line="360" w:lineRule="auto"/>
        <w:jc w:val="both"/>
        <w:rPr>
          <w:rFonts w:ascii="Palatino Linotype" w:hAnsi="Palatino Linotype"/>
          <w:sz w:val="22"/>
          <w:szCs w:val="22"/>
        </w:rPr>
      </w:pPr>
    </w:p>
    <w:p w:rsidRPr="00E0220E" w:rsidR="001A32D2" w:rsidP="0024622D" w:rsidRDefault="001A32D2" w14:paraId="05A1DF68" w14:textId="79C221AB">
      <w:pPr>
        <w:spacing w:line="360" w:lineRule="auto"/>
        <w:jc w:val="both"/>
        <w:rPr>
          <w:rFonts w:ascii="Palatino Linotype" w:hAnsi="Palatino Linotype"/>
          <w:b/>
          <w:bCs/>
          <w:sz w:val="22"/>
          <w:szCs w:val="22"/>
        </w:rPr>
      </w:pPr>
      <w:r w:rsidRPr="00E0220E">
        <w:rPr>
          <w:rFonts w:ascii="Palatino Linotype" w:hAnsi="Palatino Linotype"/>
          <w:sz w:val="22"/>
          <w:szCs w:val="22"/>
        </w:rPr>
        <w:t xml:space="preserve">Además, conforme al artículo 3.49 y 3.61 del Código Reglamentario Municipal de Toluca, precisa que el Sujeto Obligado cuenta con la Dirección de Prevención, Educación y Control Ambiental y la de Apoyo a la Juventud, encargadas de </w:t>
      </w:r>
      <w:r w:rsidRPr="00E0220E">
        <w:rPr>
          <w:rFonts w:ascii="Palatino Linotype" w:hAnsi="Palatino Linotype"/>
          <w:b/>
          <w:bCs/>
          <w:sz w:val="22"/>
          <w:szCs w:val="22"/>
        </w:rPr>
        <w:t>promover servicios educativos de cualquier tipo o modalidad</w:t>
      </w:r>
    </w:p>
    <w:p w:rsidRPr="00E0220E" w:rsidR="00D91F93" w:rsidP="0024622D" w:rsidRDefault="001A32D2" w14:paraId="33D4A6CD" w14:textId="0C9C60FE">
      <w:pPr>
        <w:spacing w:line="360" w:lineRule="auto"/>
        <w:jc w:val="both"/>
        <w:rPr>
          <w:rFonts w:ascii="Palatino Linotype" w:hAnsi="Palatino Linotype"/>
          <w:sz w:val="22"/>
          <w:szCs w:val="22"/>
        </w:rPr>
      </w:pPr>
      <w:r w:rsidRPr="00E0220E">
        <w:rPr>
          <w:rFonts w:ascii="Palatino Linotype" w:hAnsi="Palatino Linotype"/>
          <w:sz w:val="22"/>
          <w:szCs w:val="22"/>
        </w:rPr>
        <w:lastRenderedPageBreak/>
        <w:t>Además</w:t>
      </w:r>
      <w:r w:rsidRPr="00E0220E" w:rsidR="00005BAA">
        <w:rPr>
          <w:rFonts w:ascii="Palatino Linotype" w:hAnsi="Palatino Linotype"/>
          <w:sz w:val="22"/>
          <w:szCs w:val="22"/>
        </w:rPr>
        <w:t xml:space="preserve">, los artículos 29 y 32, fracciones III, </w:t>
      </w:r>
      <w:r w:rsidRPr="00E0220E" w:rsidR="00094BB1">
        <w:rPr>
          <w:rFonts w:ascii="Palatino Linotype" w:hAnsi="Palatino Linotype"/>
          <w:sz w:val="22"/>
          <w:szCs w:val="22"/>
        </w:rPr>
        <w:t>XIII y XV de los Lineamientos para la Construcción, Organización y Funcionamiento de los Consejos de Participación Social en la Educación, precisan que en cada municipio operará un Consejo Municipal de Participación Social en la Educación integrado por autoridades municipales, padres de familia, y representantes de sus asociaciones, maestros y directivos de las escuelas, así como representantes de la organización sindical de maestros y organizaciones de la sociedad civil, cuy</w:t>
      </w:r>
      <w:r w:rsidRPr="00E0220E" w:rsidR="00BF7425">
        <w:rPr>
          <w:rFonts w:ascii="Palatino Linotype" w:hAnsi="Palatino Linotype"/>
          <w:sz w:val="22"/>
          <w:szCs w:val="22"/>
        </w:rPr>
        <w:t xml:space="preserve">o objeto social será el mejoramiento de la educación en </w:t>
      </w:r>
      <w:r w:rsidRPr="00E0220E" w:rsidR="00094BB1">
        <w:rPr>
          <w:rFonts w:ascii="Palatino Linotype" w:hAnsi="Palatino Linotype"/>
          <w:sz w:val="22"/>
          <w:szCs w:val="22"/>
        </w:rPr>
        <w:t xml:space="preserve"> </w:t>
      </w:r>
      <w:r w:rsidRPr="00E0220E" w:rsidR="00BF7425">
        <w:rPr>
          <w:rFonts w:ascii="Palatino Linotype" w:hAnsi="Palatino Linotype"/>
          <w:sz w:val="22"/>
          <w:szCs w:val="22"/>
        </w:rPr>
        <w:t xml:space="preserve">el municipio; en ese sentido, dicho Consejo tendrá </w:t>
      </w:r>
      <w:r w:rsidRPr="00E0220E" w:rsidR="00D91F93">
        <w:rPr>
          <w:rFonts w:ascii="Palatino Linotype" w:hAnsi="Palatino Linotype"/>
          <w:sz w:val="22"/>
          <w:szCs w:val="22"/>
        </w:rPr>
        <w:t xml:space="preserve">entre otras atribuciones, las siguientes: </w:t>
      </w:r>
    </w:p>
    <w:p w:rsidRPr="00E0220E" w:rsidR="00D91F93" w:rsidP="0024622D" w:rsidRDefault="00D91F93" w14:paraId="24B2930A" w14:textId="77777777">
      <w:pPr>
        <w:spacing w:line="360" w:lineRule="auto"/>
        <w:jc w:val="both"/>
        <w:rPr>
          <w:rFonts w:ascii="Palatino Linotype" w:hAnsi="Palatino Linotype"/>
          <w:sz w:val="22"/>
          <w:szCs w:val="22"/>
        </w:rPr>
      </w:pPr>
    </w:p>
    <w:p w:rsidRPr="00E0220E" w:rsidR="00005BAA" w:rsidP="00D91F93" w:rsidRDefault="00D91F93" w14:paraId="292C6DE3" w14:textId="6AC8E8BC">
      <w:pPr>
        <w:pStyle w:val="Prrafodelista"/>
        <w:numPr>
          <w:ilvl w:val="0"/>
          <w:numId w:val="33"/>
        </w:numPr>
        <w:spacing w:line="360" w:lineRule="auto"/>
        <w:jc w:val="both"/>
        <w:rPr>
          <w:rFonts w:ascii="Palatino Linotype" w:hAnsi="Palatino Linotype"/>
          <w:szCs w:val="22"/>
        </w:rPr>
      </w:pPr>
      <w:r w:rsidRPr="00E0220E">
        <w:rPr>
          <w:rFonts w:ascii="Palatino Linotype" w:hAnsi="Palatino Linotype"/>
          <w:szCs w:val="22"/>
        </w:rPr>
        <w:t>Llevar a cabo labores de seguimiento de las actividades de las escuelas públicas de educación básica del propio municipio;</w:t>
      </w:r>
    </w:p>
    <w:p w:rsidRPr="00E0220E" w:rsidR="00D91F93" w:rsidP="00D91F93" w:rsidRDefault="00D91F93" w14:paraId="38955CAC" w14:textId="63A0DBD3">
      <w:pPr>
        <w:pStyle w:val="Prrafodelista"/>
        <w:numPr>
          <w:ilvl w:val="0"/>
          <w:numId w:val="33"/>
        </w:numPr>
        <w:spacing w:line="360" w:lineRule="auto"/>
        <w:jc w:val="both"/>
        <w:rPr>
          <w:rFonts w:ascii="Palatino Linotype" w:hAnsi="Palatino Linotype"/>
          <w:szCs w:val="22"/>
        </w:rPr>
      </w:pPr>
      <w:r w:rsidRPr="00E0220E">
        <w:rPr>
          <w:rFonts w:ascii="Palatino Linotype" w:hAnsi="Palatino Linotype"/>
          <w:b/>
          <w:szCs w:val="22"/>
        </w:rPr>
        <w:t>Conocer el desarrollo y evolución del sistema educativo en su localidad</w:t>
      </w:r>
      <w:r w:rsidRPr="00E0220E">
        <w:rPr>
          <w:rFonts w:ascii="Palatino Linotype" w:hAnsi="Palatino Linotype"/>
          <w:szCs w:val="22"/>
        </w:rPr>
        <w:t xml:space="preserve"> para realizar propuestas al consejo estatal y darlos a conocer a la sociedad</w:t>
      </w:r>
      <w:r w:rsidRPr="00E0220E" w:rsidR="00B66497">
        <w:rPr>
          <w:rFonts w:ascii="Palatino Linotype" w:hAnsi="Palatino Linotype"/>
          <w:szCs w:val="22"/>
        </w:rPr>
        <w:t>,</w:t>
      </w:r>
      <w:r w:rsidRPr="00E0220E">
        <w:rPr>
          <w:rFonts w:ascii="Palatino Linotype" w:hAnsi="Palatino Linotype"/>
          <w:szCs w:val="22"/>
        </w:rPr>
        <w:t xml:space="preserve"> y </w:t>
      </w:r>
    </w:p>
    <w:p w:rsidRPr="00E0220E" w:rsidR="00D91F93" w:rsidP="00D91F93" w:rsidRDefault="00D91F93" w14:paraId="7A47CF47" w14:textId="7FB4E4AC">
      <w:pPr>
        <w:pStyle w:val="Prrafodelista"/>
        <w:numPr>
          <w:ilvl w:val="0"/>
          <w:numId w:val="33"/>
        </w:numPr>
        <w:spacing w:line="360" w:lineRule="auto"/>
        <w:jc w:val="both"/>
        <w:rPr>
          <w:rFonts w:ascii="Palatino Linotype" w:hAnsi="Palatino Linotype"/>
          <w:b/>
          <w:szCs w:val="22"/>
        </w:rPr>
      </w:pPr>
      <w:r w:rsidRPr="00E0220E">
        <w:rPr>
          <w:rFonts w:ascii="Palatino Linotype" w:hAnsi="Palatino Linotype"/>
          <w:b/>
          <w:szCs w:val="22"/>
        </w:rPr>
        <w:t xml:space="preserve">Realizar actividades para apoyar y fortalecer la educación en su localidad. </w:t>
      </w:r>
    </w:p>
    <w:p w:rsidRPr="00E0220E" w:rsidR="00BF7425" w:rsidP="0024622D" w:rsidRDefault="00BF7425" w14:paraId="2B0B4A1A" w14:textId="77777777">
      <w:pPr>
        <w:spacing w:line="360" w:lineRule="auto"/>
        <w:jc w:val="both"/>
        <w:rPr>
          <w:rFonts w:ascii="Palatino Linotype" w:hAnsi="Palatino Linotype"/>
          <w:sz w:val="22"/>
          <w:szCs w:val="22"/>
        </w:rPr>
      </w:pPr>
    </w:p>
    <w:p w:rsidRPr="00E0220E" w:rsidR="006C5F36" w:rsidP="0024622D" w:rsidRDefault="00D91F93" w14:paraId="2439A968" w14:textId="6641B548">
      <w:pPr>
        <w:spacing w:line="360" w:lineRule="auto"/>
        <w:jc w:val="both"/>
        <w:rPr>
          <w:rFonts w:ascii="Palatino Linotype" w:hAnsi="Palatino Linotype"/>
          <w:sz w:val="22"/>
          <w:szCs w:val="22"/>
        </w:rPr>
      </w:pPr>
      <w:r w:rsidRPr="00E0220E">
        <w:rPr>
          <w:rFonts w:ascii="Palatino Linotype" w:hAnsi="Palatino Linotype"/>
          <w:sz w:val="22"/>
          <w:szCs w:val="22"/>
        </w:rPr>
        <w:t xml:space="preserve">Lo anterior toma relevancia, pues este Instituto localizó  </w:t>
      </w:r>
      <w:r w:rsidRPr="00E0220E" w:rsidR="006C5F36">
        <w:rPr>
          <w:rFonts w:ascii="Palatino Linotype" w:hAnsi="Palatino Linotype"/>
          <w:sz w:val="22"/>
          <w:szCs w:val="22"/>
        </w:rPr>
        <w:t xml:space="preserve">el Primer Informe de Gobierno y el Plan de Desarrollo Municipal (consultadas en las páginas </w:t>
      </w:r>
      <w:hyperlink w:history="1" r:id="rId9">
        <w:r w:rsidRPr="00E0220E" w:rsidR="006C5F36">
          <w:rPr>
            <w:rStyle w:val="Hipervnculo"/>
            <w:rFonts w:ascii="Palatino Linotype" w:hAnsi="Palatino Linotype"/>
            <w:sz w:val="22"/>
            <w:szCs w:val="22"/>
          </w:rPr>
          <w:t>https://www2.toluca.gob.mx/wp-content/uploads/2022/12/tol-pdf-gme-2224-v15-a1.pdf</w:t>
        </w:r>
      </w:hyperlink>
      <w:r w:rsidRPr="00E0220E" w:rsidR="006C5F36">
        <w:rPr>
          <w:rFonts w:ascii="Palatino Linotype" w:hAnsi="Palatino Linotype"/>
          <w:sz w:val="22"/>
          <w:szCs w:val="22"/>
        </w:rPr>
        <w:t xml:space="preserve"> y https://www2.toluca.gob.mx/wp-content/uploads/2022/04/tol-pdf-Plan_de_Desarrollo_Municipal-2022-2024.pdf , el primero de marzo de dos mil veintitrés a las dieciséis horas), de los cuales se desprende diversa información  tendientes al desarrollo  de la educación en las escuelas dentro del municipio tal como se desprende a continuación: </w:t>
      </w:r>
    </w:p>
    <w:p w:rsidRPr="00E0220E" w:rsidR="006C5F36" w:rsidP="0024622D" w:rsidRDefault="006C5F36" w14:paraId="3EFE6D73" w14:textId="128B7257">
      <w:pPr>
        <w:spacing w:line="360" w:lineRule="auto"/>
        <w:jc w:val="both"/>
        <w:rPr>
          <w:rFonts w:ascii="Palatino Linotype" w:hAnsi="Palatino Linotype"/>
          <w:sz w:val="22"/>
          <w:szCs w:val="22"/>
        </w:rPr>
      </w:pPr>
    </w:p>
    <w:p w:rsidRPr="00E0220E" w:rsidR="00D91F93" w:rsidP="006C5F36" w:rsidRDefault="006C5F36" w14:paraId="6EFB3D99" w14:textId="75C1D9A5">
      <w:pPr>
        <w:spacing w:line="360" w:lineRule="auto"/>
        <w:jc w:val="center"/>
        <w:rPr>
          <w:rFonts w:ascii="Palatino Linotype" w:hAnsi="Palatino Linotype"/>
          <w:sz w:val="22"/>
          <w:szCs w:val="22"/>
        </w:rPr>
      </w:pPr>
      <w:r w:rsidRPr="00E0220E">
        <w:rPr>
          <w:rFonts w:ascii="Palatino Linotype" w:hAnsi="Palatino Linotype"/>
          <w:noProof/>
          <w:sz w:val="22"/>
          <w:szCs w:val="22"/>
        </w:rPr>
        <w:drawing>
          <wp:inline distT="0" distB="0" distL="0" distR="0" wp14:anchorId="328CC993" wp14:editId="1F01DB03">
            <wp:extent cx="4901565" cy="10483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1565" cy="1048385"/>
                    </a:xfrm>
                    <a:prstGeom prst="rect">
                      <a:avLst/>
                    </a:prstGeom>
                    <a:noFill/>
                  </pic:spPr>
                </pic:pic>
              </a:graphicData>
            </a:graphic>
          </wp:inline>
        </w:drawing>
      </w:r>
    </w:p>
    <w:p w:rsidRPr="00E0220E" w:rsidR="00FF736E" w:rsidP="00FF736E" w:rsidRDefault="00FF736E" w14:paraId="4D050218" w14:textId="542E4283">
      <w:pPr>
        <w:spacing w:line="360" w:lineRule="auto"/>
        <w:jc w:val="center"/>
        <w:rPr>
          <w:noProof/>
        </w:rPr>
      </w:pPr>
      <w:r w:rsidRPr="00E0220E">
        <w:rPr>
          <w:noProof/>
        </w:rPr>
        <w:lastRenderedPageBreak/>
        <w:t>…</w:t>
      </w:r>
    </w:p>
    <w:p w:rsidRPr="00E0220E" w:rsidR="00FF736E" w:rsidP="00FF736E" w:rsidRDefault="00FF736E" w14:paraId="6A53A187" w14:textId="2568ADC2">
      <w:pPr>
        <w:spacing w:line="360" w:lineRule="auto"/>
        <w:jc w:val="center"/>
        <w:rPr>
          <w:noProof/>
        </w:rPr>
      </w:pPr>
      <w:r w:rsidRPr="00E0220E">
        <w:rPr>
          <w:noProof/>
        </w:rPr>
        <w:drawing>
          <wp:inline distT="0" distB="0" distL="0" distR="0" wp14:anchorId="60D20039" wp14:editId="1FDE9662">
            <wp:extent cx="5153025" cy="181451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88" t="27018" r="4181" b="21246"/>
                    <a:stretch/>
                  </pic:blipFill>
                  <pic:spPr bwMode="auto">
                    <a:xfrm>
                      <a:off x="0" y="0"/>
                      <a:ext cx="5153665" cy="1814737"/>
                    </a:xfrm>
                    <a:prstGeom prst="rect">
                      <a:avLst/>
                    </a:prstGeom>
                    <a:ln>
                      <a:noFill/>
                    </a:ln>
                    <a:extLst>
                      <a:ext uri="{53640926-AAD7-44D8-BBD7-CCE9431645EC}">
                        <a14:shadowObscured xmlns:a14="http://schemas.microsoft.com/office/drawing/2010/main"/>
                      </a:ext>
                    </a:extLst>
                  </pic:spPr>
                </pic:pic>
              </a:graphicData>
            </a:graphic>
          </wp:inline>
        </w:drawing>
      </w:r>
    </w:p>
    <w:p w:rsidRPr="00E0220E" w:rsidR="00FF736E" w:rsidP="006C5F36" w:rsidRDefault="00FF736E" w14:paraId="45434E1E" w14:textId="7E90FD02">
      <w:pPr>
        <w:spacing w:line="360" w:lineRule="auto"/>
        <w:jc w:val="center"/>
        <w:rPr>
          <w:noProof/>
        </w:rPr>
      </w:pPr>
      <w:r w:rsidRPr="00E0220E">
        <w:rPr>
          <w:noProof/>
        </w:rPr>
        <w:drawing>
          <wp:inline distT="0" distB="0" distL="0" distR="0" wp14:anchorId="498BB808" wp14:editId="13EA43DA">
            <wp:extent cx="5128895" cy="914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99" t="33537" r="4095" b="40390"/>
                    <a:stretch/>
                  </pic:blipFill>
                  <pic:spPr bwMode="auto">
                    <a:xfrm>
                      <a:off x="0" y="0"/>
                      <a:ext cx="5129212" cy="914457"/>
                    </a:xfrm>
                    <a:prstGeom prst="rect">
                      <a:avLst/>
                    </a:prstGeom>
                    <a:ln>
                      <a:noFill/>
                    </a:ln>
                    <a:extLst>
                      <a:ext uri="{53640926-AAD7-44D8-BBD7-CCE9431645EC}">
                        <a14:shadowObscured xmlns:a14="http://schemas.microsoft.com/office/drawing/2010/main"/>
                      </a:ext>
                    </a:extLst>
                  </pic:spPr>
                </pic:pic>
              </a:graphicData>
            </a:graphic>
          </wp:inline>
        </w:drawing>
      </w:r>
    </w:p>
    <w:p w:rsidRPr="00E0220E" w:rsidR="00FF736E" w:rsidP="006C5F36" w:rsidRDefault="00FF736E" w14:paraId="1B47382E" w14:textId="699DD15E">
      <w:pPr>
        <w:spacing w:line="360" w:lineRule="auto"/>
        <w:jc w:val="center"/>
        <w:rPr>
          <w:noProof/>
        </w:rPr>
      </w:pPr>
      <w:r w:rsidRPr="00E0220E">
        <w:rPr>
          <w:noProof/>
        </w:rPr>
        <w:t>…</w:t>
      </w:r>
    </w:p>
    <w:p w:rsidRPr="00E0220E" w:rsidR="00FF736E" w:rsidP="00FF736E" w:rsidRDefault="00FF736E" w14:paraId="7EA8FC01" w14:textId="1AC5DC52">
      <w:pPr>
        <w:spacing w:line="360" w:lineRule="auto"/>
        <w:jc w:val="center"/>
        <w:rPr>
          <w:rFonts w:ascii="Palatino Linotype" w:hAnsi="Palatino Linotype"/>
          <w:sz w:val="22"/>
          <w:szCs w:val="22"/>
        </w:rPr>
      </w:pPr>
      <w:r w:rsidRPr="00E0220E">
        <w:rPr>
          <w:rFonts w:ascii="Palatino Linotype" w:hAnsi="Palatino Linotype"/>
          <w:noProof/>
          <w:sz w:val="22"/>
          <w:szCs w:val="22"/>
        </w:rPr>
        <w:drawing>
          <wp:inline distT="0" distB="0" distL="0" distR="0" wp14:anchorId="71BA65F0" wp14:editId="2AB74CB0">
            <wp:extent cx="4962525" cy="143256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525" cy="1432560"/>
                    </a:xfrm>
                    <a:prstGeom prst="rect">
                      <a:avLst/>
                    </a:prstGeom>
                    <a:noFill/>
                  </pic:spPr>
                </pic:pic>
              </a:graphicData>
            </a:graphic>
          </wp:inline>
        </w:drawing>
      </w:r>
    </w:p>
    <w:p w:rsidRPr="00E0220E" w:rsidR="00FF736E" w:rsidP="006C5F36" w:rsidRDefault="00FF736E" w14:paraId="1C41F239" w14:textId="2B8FDB38">
      <w:pPr>
        <w:spacing w:line="360" w:lineRule="auto"/>
        <w:jc w:val="center"/>
        <w:rPr>
          <w:rFonts w:ascii="Palatino Linotype" w:hAnsi="Palatino Linotype"/>
          <w:sz w:val="22"/>
          <w:szCs w:val="22"/>
        </w:rPr>
      </w:pPr>
      <w:r w:rsidRPr="00E0220E">
        <w:rPr>
          <w:rFonts w:ascii="Palatino Linotype" w:hAnsi="Palatino Linotype"/>
          <w:noProof/>
          <w:sz w:val="22"/>
          <w:szCs w:val="22"/>
        </w:rPr>
        <w:drawing>
          <wp:inline distT="0" distB="0" distL="0" distR="0" wp14:anchorId="5131758D" wp14:editId="14841E6C">
            <wp:extent cx="4974590" cy="13169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4590" cy="1316990"/>
                    </a:xfrm>
                    <a:prstGeom prst="rect">
                      <a:avLst/>
                    </a:prstGeom>
                    <a:noFill/>
                  </pic:spPr>
                </pic:pic>
              </a:graphicData>
            </a:graphic>
          </wp:inline>
        </w:drawing>
      </w:r>
    </w:p>
    <w:p w:rsidRPr="00E0220E" w:rsidR="00FF736E" w:rsidP="0024622D" w:rsidRDefault="00FF736E" w14:paraId="38CE8637" w14:textId="6675FCFB">
      <w:pPr>
        <w:spacing w:line="360" w:lineRule="auto"/>
        <w:jc w:val="both"/>
        <w:rPr>
          <w:rFonts w:ascii="Palatino Linotype" w:hAnsi="Palatino Linotype" w:eastAsia="Calibri" w:cs="Tahoma"/>
          <w:bCs/>
          <w:color w:val="000000" w:themeColor="text1"/>
          <w:sz w:val="22"/>
          <w:szCs w:val="22"/>
          <w:lang w:eastAsia="en-US"/>
        </w:rPr>
      </w:pPr>
    </w:p>
    <w:p w:rsidRPr="00E0220E" w:rsidR="00FF736E" w:rsidP="0024622D" w:rsidRDefault="00FF736E" w14:paraId="5777105C" w14:textId="675069BD">
      <w:pPr>
        <w:spacing w:line="360" w:lineRule="auto"/>
        <w:jc w:val="both"/>
        <w:rPr>
          <w:rFonts w:ascii="Palatino Linotype" w:hAnsi="Palatino Linotype" w:eastAsia="Calibri" w:cs="Tahoma"/>
          <w:bCs/>
          <w:color w:val="000000" w:themeColor="text1"/>
          <w:sz w:val="22"/>
          <w:szCs w:val="22"/>
          <w:lang w:eastAsia="en-US"/>
        </w:rPr>
      </w:pPr>
      <w:r w:rsidRPr="00E0220E">
        <w:rPr>
          <w:rFonts w:ascii="Palatino Linotype" w:hAnsi="Palatino Linotype" w:eastAsia="Calibri" w:cs="Tahoma"/>
          <w:bCs/>
          <w:color w:val="000000" w:themeColor="text1"/>
          <w:sz w:val="22"/>
          <w:szCs w:val="22"/>
          <w:lang w:eastAsia="en-US"/>
        </w:rPr>
        <w:t>Conforme a lo anterior, se logra vislumbrar diversa información sobre el desarrollo educativo y la infraestructura educacional municipal en diversas modalidades y nivele</w:t>
      </w:r>
      <w:r w:rsidRPr="00E0220E" w:rsidR="00B66497">
        <w:rPr>
          <w:rFonts w:ascii="Palatino Linotype" w:hAnsi="Palatino Linotype" w:eastAsia="Calibri" w:cs="Tahoma"/>
          <w:bCs/>
          <w:color w:val="000000" w:themeColor="text1"/>
          <w:sz w:val="22"/>
          <w:szCs w:val="22"/>
          <w:lang w:eastAsia="en-US"/>
        </w:rPr>
        <w:t>s</w:t>
      </w:r>
      <w:r w:rsidRPr="00E0220E" w:rsidR="001A32D2">
        <w:rPr>
          <w:rFonts w:ascii="Palatino Linotype" w:hAnsi="Palatino Linotype" w:eastAsia="Calibri" w:cs="Tahoma"/>
          <w:bCs/>
          <w:color w:val="000000" w:themeColor="text1"/>
          <w:sz w:val="22"/>
          <w:szCs w:val="22"/>
          <w:lang w:eastAsia="en-US"/>
        </w:rPr>
        <w:t xml:space="preserve">, por lo que, se considera que el Sujeto Obligado si cuenta con competencia para conocer </w:t>
      </w:r>
      <w:r w:rsidRPr="00E0220E" w:rsidR="00B66497">
        <w:rPr>
          <w:rFonts w:ascii="Palatino Linotype" w:hAnsi="Palatino Linotype" w:eastAsia="Calibri" w:cs="Tahoma"/>
          <w:bCs/>
          <w:color w:val="000000" w:themeColor="text1"/>
          <w:sz w:val="22"/>
          <w:szCs w:val="22"/>
          <w:lang w:eastAsia="en-US"/>
        </w:rPr>
        <w:t xml:space="preserve">respecto </w:t>
      </w:r>
      <w:r w:rsidRPr="00E0220E" w:rsidR="00B66497">
        <w:rPr>
          <w:rFonts w:ascii="Palatino Linotype" w:hAnsi="Palatino Linotype" w:eastAsia="Calibri" w:cs="Tahoma"/>
          <w:bCs/>
          <w:color w:val="000000" w:themeColor="text1"/>
          <w:sz w:val="22"/>
          <w:szCs w:val="22"/>
          <w:lang w:eastAsia="en-US"/>
        </w:rPr>
        <w:lastRenderedPageBreak/>
        <w:t xml:space="preserve">a las escuelas que existen en el Municipio, lo cual da como resultado que el agravio sea </w:t>
      </w:r>
      <w:r w:rsidRPr="00E0220E" w:rsidR="00B66497">
        <w:rPr>
          <w:rFonts w:ascii="Palatino Linotype" w:hAnsi="Palatino Linotype" w:eastAsia="Calibri" w:cs="Tahoma"/>
          <w:b/>
          <w:color w:val="000000" w:themeColor="text1"/>
          <w:sz w:val="22"/>
          <w:szCs w:val="22"/>
          <w:lang w:eastAsia="en-US"/>
        </w:rPr>
        <w:t>FUNDADO.</w:t>
      </w:r>
    </w:p>
    <w:p w:rsidRPr="00E0220E" w:rsidR="00B66497" w:rsidP="0024622D" w:rsidRDefault="00B66497" w14:paraId="12F5686E" w14:textId="77777777">
      <w:pPr>
        <w:spacing w:line="360" w:lineRule="auto"/>
        <w:jc w:val="both"/>
        <w:rPr>
          <w:rFonts w:ascii="Palatino Linotype" w:hAnsi="Palatino Linotype" w:eastAsia="Calibri" w:cs="Tahoma"/>
          <w:bCs/>
          <w:color w:val="000000" w:themeColor="text1"/>
          <w:sz w:val="22"/>
          <w:szCs w:val="22"/>
          <w:lang w:eastAsia="en-US"/>
        </w:rPr>
      </w:pPr>
    </w:p>
    <w:p w:rsidRPr="00E0220E" w:rsidR="00925AC8" w:rsidP="0024622D" w:rsidRDefault="00FF736E" w14:paraId="42484CD4" w14:textId="27FE0464">
      <w:pPr>
        <w:spacing w:line="360" w:lineRule="auto"/>
        <w:jc w:val="both"/>
        <w:rPr>
          <w:rFonts w:ascii="Palatino Linotype" w:hAnsi="Palatino Linotype" w:eastAsia="Calibri" w:cs="Tahoma"/>
          <w:bCs/>
          <w:color w:val="000000" w:themeColor="text1"/>
          <w:sz w:val="22"/>
          <w:szCs w:val="22"/>
          <w:lang w:eastAsia="en-US"/>
        </w:rPr>
      </w:pPr>
      <w:r w:rsidRPr="00E0220E">
        <w:rPr>
          <w:rFonts w:ascii="Palatino Linotype" w:hAnsi="Palatino Linotype" w:eastAsia="Calibri" w:cs="Tahoma"/>
          <w:bCs/>
          <w:color w:val="000000" w:themeColor="text1"/>
          <w:sz w:val="22"/>
          <w:szCs w:val="22"/>
          <w:lang w:eastAsia="en-US"/>
        </w:rPr>
        <w:t>Por otra parte,</w:t>
      </w:r>
      <w:r w:rsidRPr="00E0220E" w:rsidR="00925AC8">
        <w:rPr>
          <w:rFonts w:ascii="Palatino Linotype" w:hAnsi="Palatino Linotype" w:eastAsia="Calibri" w:cs="Tahoma"/>
          <w:bCs/>
          <w:color w:val="000000" w:themeColor="text1"/>
          <w:sz w:val="22"/>
          <w:szCs w:val="22"/>
          <w:lang w:eastAsia="en-US"/>
        </w:rPr>
        <w:t xml:space="preserve"> la Secretaría de </w:t>
      </w:r>
      <w:r w:rsidRPr="00E0220E" w:rsidR="00C55014">
        <w:rPr>
          <w:rFonts w:ascii="Palatino Linotype" w:hAnsi="Palatino Linotype" w:eastAsia="Calibri" w:cs="Tahoma"/>
          <w:bCs/>
          <w:color w:val="000000" w:themeColor="text1"/>
          <w:sz w:val="22"/>
          <w:szCs w:val="22"/>
          <w:lang w:eastAsia="en-US"/>
        </w:rPr>
        <w:t>Educación</w:t>
      </w:r>
      <w:r w:rsidRPr="00E0220E" w:rsidR="00925AC8">
        <w:rPr>
          <w:rFonts w:ascii="Palatino Linotype" w:hAnsi="Palatino Linotype" w:eastAsia="Calibri" w:cs="Tahoma"/>
          <w:bCs/>
          <w:color w:val="000000" w:themeColor="text1"/>
          <w:sz w:val="22"/>
          <w:szCs w:val="22"/>
          <w:lang w:eastAsia="en-US"/>
        </w:rPr>
        <w:t xml:space="preserve">, en el apartado de </w:t>
      </w:r>
      <w:r w:rsidRPr="00E0220E" w:rsidR="00C55014">
        <w:rPr>
          <w:rFonts w:ascii="Palatino Linotype" w:hAnsi="Palatino Linotype" w:eastAsia="Calibri" w:cs="Tahoma"/>
          <w:bCs/>
          <w:color w:val="000000" w:themeColor="text1"/>
          <w:sz w:val="22"/>
          <w:szCs w:val="22"/>
          <w:lang w:eastAsia="en-US"/>
        </w:rPr>
        <w:t>Funciones</w:t>
      </w:r>
      <w:r w:rsidRPr="00E0220E" w:rsidR="00925AC8">
        <w:rPr>
          <w:rFonts w:ascii="Palatino Linotype" w:hAnsi="Palatino Linotype" w:eastAsia="Calibri" w:cs="Tahoma"/>
          <w:bCs/>
          <w:color w:val="000000" w:themeColor="text1"/>
          <w:sz w:val="22"/>
          <w:szCs w:val="22"/>
          <w:lang w:eastAsia="en-US"/>
        </w:rPr>
        <w:t xml:space="preserve"> (consultada en la liga electrónica </w:t>
      </w:r>
      <w:r w:rsidRPr="00E0220E" w:rsidR="00C55014">
        <w:rPr>
          <w:rStyle w:val="Hipervnculo"/>
          <w:rFonts w:ascii="Palatino Linotype" w:hAnsi="Palatino Linotype" w:eastAsia="Calibri" w:cs="Tahoma"/>
          <w:bCs/>
          <w:sz w:val="22"/>
          <w:szCs w:val="22"/>
          <w:lang w:eastAsia="en-US"/>
        </w:rPr>
        <w:t>https://seduc.edomex.gob.mx/funciones</w:t>
      </w:r>
      <w:r w:rsidRPr="00E0220E" w:rsidR="00925AC8">
        <w:rPr>
          <w:rFonts w:ascii="Palatino Linotype" w:hAnsi="Palatino Linotype" w:eastAsia="Calibri" w:cs="Tahoma"/>
          <w:bCs/>
          <w:color w:val="000000" w:themeColor="text1"/>
          <w:sz w:val="22"/>
          <w:szCs w:val="22"/>
          <w:lang w:eastAsia="en-US"/>
        </w:rPr>
        <w:t xml:space="preserve">, el </w:t>
      </w:r>
      <w:r w:rsidRPr="00E0220E" w:rsidR="00F13829">
        <w:rPr>
          <w:rFonts w:ascii="Palatino Linotype" w:hAnsi="Palatino Linotype" w:eastAsia="Calibri" w:cs="Tahoma"/>
          <w:bCs/>
          <w:color w:val="000000" w:themeColor="text1"/>
          <w:sz w:val="22"/>
          <w:szCs w:val="22"/>
          <w:lang w:eastAsia="en-US"/>
        </w:rPr>
        <w:t>veintisiete</w:t>
      </w:r>
      <w:r w:rsidRPr="00E0220E" w:rsidR="00C55014">
        <w:rPr>
          <w:rFonts w:ascii="Palatino Linotype" w:hAnsi="Palatino Linotype" w:eastAsia="Calibri" w:cs="Tahoma"/>
          <w:bCs/>
          <w:color w:val="000000" w:themeColor="text1"/>
          <w:sz w:val="22"/>
          <w:szCs w:val="22"/>
          <w:lang w:eastAsia="en-US"/>
        </w:rPr>
        <w:t xml:space="preserve"> de febrero </w:t>
      </w:r>
      <w:r w:rsidRPr="00E0220E" w:rsidR="00925AC8">
        <w:rPr>
          <w:rFonts w:ascii="Palatino Linotype" w:hAnsi="Palatino Linotype" w:eastAsia="Calibri" w:cs="Tahoma"/>
          <w:bCs/>
          <w:color w:val="000000" w:themeColor="text1"/>
          <w:sz w:val="22"/>
          <w:szCs w:val="22"/>
          <w:lang w:eastAsia="en-US"/>
        </w:rPr>
        <w:t>de dos mil veinti</w:t>
      </w:r>
      <w:r w:rsidRPr="00E0220E" w:rsidR="00C55014">
        <w:rPr>
          <w:rFonts w:ascii="Palatino Linotype" w:hAnsi="Palatino Linotype" w:eastAsia="Calibri" w:cs="Tahoma"/>
          <w:bCs/>
          <w:color w:val="000000" w:themeColor="text1"/>
          <w:sz w:val="22"/>
          <w:szCs w:val="22"/>
          <w:lang w:eastAsia="en-US"/>
        </w:rPr>
        <w:t>trés</w:t>
      </w:r>
      <w:r w:rsidRPr="00E0220E" w:rsidR="00925AC8">
        <w:rPr>
          <w:rFonts w:ascii="Palatino Linotype" w:hAnsi="Palatino Linotype" w:eastAsia="Calibri" w:cs="Tahoma"/>
          <w:bCs/>
          <w:color w:val="000000" w:themeColor="text1"/>
          <w:sz w:val="22"/>
          <w:szCs w:val="22"/>
          <w:lang w:eastAsia="en-US"/>
        </w:rPr>
        <w:t xml:space="preserve">, a las trece horas) </w:t>
      </w:r>
      <w:r w:rsidRPr="00E0220E" w:rsidR="0047302E">
        <w:rPr>
          <w:rFonts w:ascii="Palatino Linotype" w:hAnsi="Palatino Linotype" w:eastAsia="Calibri" w:cs="Tahoma"/>
          <w:bCs/>
          <w:color w:val="000000" w:themeColor="text1"/>
          <w:sz w:val="22"/>
          <w:szCs w:val="22"/>
          <w:lang w:eastAsia="en-US"/>
        </w:rPr>
        <w:t>se encarga de</w:t>
      </w:r>
      <w:r w:rsidRPr="00E0220E" w:rsidR="00C55014">
        <w:rPr>
          <w:rFonts w:ascii="Palatino Linotype" w:hAnsi="Palatino Linotype" w:eastAsia="Calibri" w:cs="Tahoma"/>
          <w:b/>
          <w:bCs/>
          <w:color w:val="000000" w:themeColor="text1"/>
          <w:sz w:val="22"/>
          <w:szCs w:val="22"/>
          <w:lang w:eastAsia="en-US"/>
        </w:rPr>
        <w:t xml:space="preserve"> planear, dirigir, controlar y evaluar la operatividad de los servicios de educación en sus diferentes tipos, niveles, modalidades y vertientes</w:t>
      </w:r>
      <w:r w:rsidRPr="00E0220E" w:rsidR="00C55014">
        <w:rPr>
          <w:rFonts w:ascii="Palatino Linotype" w:hAnsi="Palatino Linotype" w:eastAsia="Calibri" w:cs="Tahoma"/>
          <w:bCs/>
          <w:color w:val="000000" w:themeColor="text1"/>
          <w:sz w:val="22"/>
          <w:szCs w:val="22"/>
          <w:lang w:eastAsia="en-US"/>
        </w:rPr>
        <w:t>, en observancia de los planes y programas de desarrollo educativo autorizados.</w:t>
      </w:r>
    </w:p>
    <w:p w:rsidRPr="00E0220E" w:rsidR="00C55014" w:rsidP="0024622D" w:rsidRDefault="00C55014" w14:paraId="2AABF0E0" w14:textId="77777777">
      <w:pPr>
        <w:spacing w:line="360" w:lineRule="auto"/>
        <w:jc w:val="both"/>
        <w:rPr>
          <w:rFonts w:ascii="Palatino Linotype" w:hAnsi="Palatino Linotype" w:eastAsia="Calibri" w:cs="Tahoma"/>
          <w:bCs/>
          <w:color w:val="000000" w:themeColor="text1"/>
          <w:sz w:val="22"/>
          <w:szCs w:val="22"/>
          <w:lang w:eastAsia="en-US"/>
        </w:rPr>
      </w:pPr>
    </w:p>
    <w:p w:rsidRPr="00E0220E" w:rsidR="00925AC8" w:rsidP="0024622D" w:rsidRDefault="00925AC8" w14:paraId="649E7BFC" w14:textId="6BB40599">
      <w:pPr>
        <w:spacing w:line="360" w:lineRule="auto"/>
        <w:jc w:val="both"/>
        <w:rPr>
          <w:rFonts w:ascii="Palatino Linotype" w:hAnsi="Palatino Linotype" w:eastAsia="Calibri" w:cs="Tahoma"/>
          <w:bCs/>
          <w:color w:val="000000" w:themeColor="text1"/>
          <w:sz w:val="22"/>
          <w:szCs w:val="22"/>
          <w:lang w:eastAsia="en-US"/>
        </w:rPr>
      </w:pPr>
      <w:r w:rsidRPr="00E0220E">
        <w:rPr>
          <w:rFonts w:ascii="Palatino Linotype" w:hAnsi="Palatino Linotype" w:eastAsia="Calibri" w:cs="Tahoma"/>
          <w:bCs/>
          <w:color w:val="000000" w:themeColor="text1"/>
          <w:sz w:val="22"/>
          <w:szCs w:val="22"/>
          <w:lang w:eastAsia="en-US"/>
        </w:rPr>
        <w:t xml:space="preserve">Además, que el </w:t>
      </w:r>
      <w:r w:rsidRPr="00E0220E" w:rsidR="00C55014">
        <w:rPr>
          <w:rFonts w:ascii="Palatino Linotype" w:hAnsi="Palatino Linotype" w:eastAsia="Calibri" w:cs="Tahoma"/>
          <w:bCs/>
          <w:color w:val="000000" w:themeColor="text1"/>
          <w:sz w:val="22"/>
          <w:szCs w:val="22"/>
          <w:lang w:eastAsia="en-US"/>
        </w:rPr>
        <w:t>apartado de</w:t>
      </w:r>
      <w:r w:rsidRPr="00E0220E">
        <w:rPr>
          <w:rFonts w:ascii="Palatino Linotype" w:hAnsi="Palatino Linotype" w:eastAsia="Calibri" w:cs="Tahoma"/>
          <w:bCs/>
          <w:color w:val="000000" w:themeColor="text1"/>
          <w:sz w:val="22"/>
          <w:szCs w:val="22"/>
          <w:lang w:eastAsia="en-US"/>
        </w:rPr>
        <w:t xml:space="preserve"> “</w:t>
      </w:r>
      <w:r w:rsidRPr="00E0220E" w:rsidR="00C55014">
        <w:rPr>
          <w:rFonts w:ascii="Palatino Linotype" w:hAnsi="Palatino Linotype" w:eastAsia="Calibri" w:cs="Tahoma"/>
          <w:bCs/>
          <w:color w:val="000000" w:themeColor="text1"/>
          <w:sz w:val="22"/>
          <w:szCs w:val="22"/>
          <w:lang w:eastAsia="en-US"/>
        </w:rPr>
        <w:t>Escuelas</w:t>
      </w:r>
      <w:r w:rsidRPr="00E0220E">
        <w:rPr>
          <w:rFonts w:ascii="Palatino Linotype" w:hAnsi="Palatino Linotype" w:eastAsia="Calibri" w:cs="Tahoma"/>
          <w:bCs/>
          <w:color w:val="000000" w:themeColor="text1"/>
          <w:sz w:val="22"/>
          <w:szCs w:val="22"/>
          <w:lang w:eastAsia="en-US"/>
        </w:rPr>
        <w:t xml:space="preserve">” (consultado el día previamente referido, en la liga </w:t>
      </w:r>
      <w:r w:rsidRPr="00E0220E" w:rsidR="00C55014">
        <w:rPr>
          <w:rStyle w:val="Hipervnculo"/>
          <w:rFonts w:ascii="Palatino Linotype" w:hAnsi="Palatino Linotype" w:eastAsia="Calibri" w:cs="Tahoma"/>
          <w:bCs/>
          <w:sz w:val="22"/>
          <w:szCs w:val="22"/>
          <w:lang w:eastAsia="en-US"/>
        </w:rPr>
        <w:t>https://seduc.edomex.gob.mx/escuelas</w:t>
      </w:r>
      <w:r w:rsidRPr="00E0220E">
        <w:rPr>
          <w:rFonts w:ascii="Palatino Linotype" w:hAnsi="Palatino Linotype" w:eastAsia="Calibri" w:cs="Tahoma"/>
          <w:bCs/>
          <w:color w:val="000000" w:themeColor="text1"/>
          <w:sz w:val="22"/>
          <w:szCs w:val="22"/>
          <w:lang w:eastAsia="en-US"/>
        </w:rPr>
        <w:t xml:space="preserve">), precisa que </w:t>
      </w:r>
      <w:r w:rsidRPr="00E0220E" w:rsidR="00C55014">
        <w:rPr>
          <w:rFonts w:ascii="Palatino Linotype" w:hAnsi="Palatino Linotype" w:eastAsia="Calibri" w:cs="Tahoma"/>
          <w:bCs/>
          <w:color w:val="000000" w:themeColor="text1"/>
          <w:sz w:val="22"/>
          <w:szCs w:val="22"/>
          <w:lang w:eastAsia="en-US"/>
        </w:rPr>
        <w:t xml:space="preserve">la Secretaría de Educación cuenta con un directorio de las instituciones educativas que operan en los diferentes niveles educativos dentro del territorio del Estado de México, así como los requisitos a la incorporación de los estudios de educación básica, media superior y superior. </w:t>
      </w:r>
    </w:p>
    <w:p w:rsidRPr="00E0220E" w:rsidR="004C23F8" w:rsidP="0024622D" w:rsidRDefault="004C23F8" w14:paraId="5516087B" w14:textId="495041AE">
      <w:pPr>
        <w:spacing w:line="360" w:lineRule="auto"/>
        <w:jc w:val="both"/>
        <w:rPr>
          <w:rFonts w:ascii="Palatino Linotype" w:hAnsi="Palatino Linotype" w:eastAsia="Calibri" w:cs="Tahoma"/>
          <w:bCs/>
          <w:color w:val="000000" w:themeColor="text1"/>
          <w:sz w:val="22"/>
          <w:szCs w:val="22"/>
          <w:lang w:eastAsia="en-US"/>
        </w:rPr>
      </w:pPr>
    </w:p>
    <w:p w:rsidRPr="00E0220E" w:rsidR="0047302E" w:rsidP="0024622D" w:rsidRDefault="004634D9" w14:paraId="093A03ED" w14:textId="12940985">
      <w:pPr>
        <w:spacing w:line="360" w:lineRule="auto"/>
        <w:jc w:val="both"/>
        <w:rPr>
          <w:rFonts w:ascii="Palatino Linotype" w:hAnsi="Palatino Linotype" w:eastAsia="Calibri" w:cs="Tahoma"/>
          <w:bCs/>
          <w:color w:val="000000" w:themeColor="text1"/>
          <w:sz w:val="22"/>
          <w:szCs w:val="22"/>
          <w:lang w:eastAsia="en-US"/>
        </w:rPr>
      </w:pPr>
      <w:r w:rsidRPr="00E0220E">
        <w:rPr>
          <w:rFonts w:ascii="Palatino Linotype" w:hAnsi="Palatino Linotype" w:eastAsia="Calibri" w:cs="Tahoma"/>
          <w:bCs/>
          <w:color w:val="000000" w:themeColor="text1"/>
          <w:sz w:val="22"/>
          <w:szCs w:val="22"/>
          <w:lang w:eastAsia="en-US"/>
        </w:rPr>
        <w:t xml:space="preserve">Conforme a lo anterior, el Directorio de Instituciones Educativas </w:t>
      </w:r>
      <w:r w:rsidRPr="00E0220E" w:rsidR="00882F17">
        <w:rPr>
          <w:rFonts w:ascii="Palatino Linotype" w:hAnsi="Palatino Linotype" w:eastAsia="Calibri" w:cs="Tahoma"/>
          <w:bCs/>
          <w:color w:val="000000" w:themeColor="text1"/>
          <w:sz w:val="22"/>
          <w:szCs w:val="22"/>
          <w:lang w:eastAsia="en-US"/>
        </w:rPr>
        <w:t xml:space="preserve">(consultado en la liga electrónica </w:t>
      </w:r>
      <w:hyperlink w:history="1" r:id="rId15">
        <w:r w:rsidRPr="00E0220E" w:rsidR="00882F17">
          <w:rPr>
            <w:rStyle w:val="Hipervnculo"/>
            <w:rFonts w:ascii="Palatino Linotype" w:hAnsi="Palatino Linotype" w:eastAsia="Calibri" w:cs="Tahoma"/>
            <w:bCs/>
            <w:sz w:val="22"/>
            <w:szCs w:val="22"/>
            <w:lang w:eastAsia="en-US"/>
          </w:rPr>
          <w:t>https://seduc.edomex.gob.mx/sis/catalogoct/</w:t>
        </w:r>
      </w:hyperlink>
      <w:r w:rsidRPr="00E0220E" w:rsidR="00882F17">
        <w:rPr>
          <w:rFonts w:ascii="Palatino Linotype" w:hAnsi="Palatino Linotype" w:eastAsia="Calibri" w:cs="Tahoma"/>
          <w:bCs/>
          <w:color w:val="000000" w:themeColor="text1"/>
          <w:sz w:val="22"/>
          <w:szCs w:val="22"/>
          <w:lang w:eastAsia="en-US"/>
        </w:rPr>
        <w:t xml:space="preserve">) </w:t>
      </w:r>
      <w:r w:rsidRPr="00E0220E">
        <w:rPr>
          <w:rFonts w:ascii="Palatino Linotype" w:hAnsi="Palatino Linotype" w:eastAsia="Calibri" w:cs="Tahoma"/>
          <w:bCs/>
          <w:color w:val="000000" w:themeColor="text1"/>
          <w:sz w:val="22"/>
          <w:szCs w:val="22"/>
          <w:lang w:eastAsia="en-US"/>
        </w:rPr>
        <w:t>contiene el listado de escuelas q</w:t>
      </w:r>
      <w:r w:rsidRPr="00E0220E" w:rsidR="00882F17">
        <w:rPr>
          <w:rFonts w:ascii="Palatino Linotype" w:hAnsi="Palatino Linotype" w:eastAsia="Calibri" w:cs="Tahoma"/>
          <w:bCs/>
          <w:color w:val="000000" w:themeColor="text1"/>
          <w:sz w:val="22"/>
          <w:szCs w:val="22"/>
          <w:lang w:eastAsia="en-US"/>
        </w:rPr>
        <w:t xml:space="preserve">ue pertenecen a la Secretaría de Educación Federal o Estatal, mismo que permite la consulta por nivel educativo y municipio tal como se desprende a continuación:  </w:t>
      </w:r>
    </w:p>
    <w:p w:rsidRPr="00E0220E" w:rsidR="0047302E" w:rsidP="0024622D" w:rsidRDefault="0047302E" w14:paraId="11B55A44" w14:textId="77777777">
      <w:pPr>
        <w:spacing w:line="360" w:lineRule="auto"/>
        <w:jc w:val="both"/>
        <w:rPr>
          <w:noProof/>
          <w:lang w:eastAsia="es-MX"/>
        </w:rPr>
      </w:pPr>
    </w:p>
    <w:p w:rsidRPr="00E0220E" w:rsidR="00FA672A" w:rsidP="008E1719" w:rsidRDefault="00FA672A" w14:paraId="4A2F56FA" w14:textId="77777777">
      <w:pPr>
        <w:spacing w:line="360" w:lineRule="auto"/>
        <w:jc w:val="center"/>
        <w:rPr>
          <w:noProof/>
          <w:lang w:eastAsia="es-MX"/>
        </w:rPr>
      </w:pPr>
    </w:p>
    <w:p w:rsidRPr="00E0220E" w:rsidR="00FA672A" w:rsidP="00FA672A" w:rsidRDefault="00882F17" w14:paraId="52CFDA37" w14:textId="366EA068">
      <w:pPr>
        <w:spacing w:line="360" w:lineRule="auto"/>
        <w:jc w:val="center"/>
        <w:rPr>
          <w:rFonts w:ascii="Palatino Linotype" w:hAnsi="Palatino Linotype" w:eastAsia="Calibri" w:cs="Tahoma"/>
          <w:bCs/>
          <w:color w:val="000000" w:themeColor="text1"/>
          <w:sz w:val="22"/>
          <w:szCs w:val="22"/>
          <w:lang w:eastAsia="en-US"/>
        </w:rPr>
      </w:pPr>
      <w:r w:rsidRPr="00E0220E">
        <w:rPr>
          <w:noProof/>
          <w:lang w:eastAsia="es-MX"/>
        </w:rPr>
        <w:drawing>
          <wp:inline distT="0" distB="0" distL="0" distR="0" wp14:anchorId="2B97610C" wp14:editId="4C86F2BA">
            <wp:extent cx="5504179" cy="1690688"/>
            <wp:effectExtent l="0" t="0" r="190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027" t="22632" r="20061" b="44650"/>
                    <a:stretch/>
                  </pic:blipFill>
                  <pic:spPr bwMode="auto">
                    <a:xfrm>
                      <a:off x="0" y="0"/>
                      <a:ext cx="5552002" cy="1705378"/>
                    </a:xfrm>
                    <a:prstGeom prst="rect">
                      <a:avLst/>
                    </a:prstGeom>
                    <a:ln>
                      <a:noFill/>
                    </a:ln>
                    <a:extLst>
                      <a:ext uri="{53640926-AAD7-44D8-BBD7-CCE9431645EC}">
                        <a14:shadowObscured xmlns:a14="http://schemas.microsoft.com/office/drawing/2010/main"/>
                      </a:ext>
                    </a:extLst>
                  </pic:spPr>
                </pic:pic>
              </a:graphicData>
            </a:graphic>
          </wp:inline>
        </w:drawing>
      </w:r>
    </w:p>
    <w:p w:rsidRPr="00E0220E" w:rsidR="00FA672A" w:rsidP="00FA672A" w:rsidRDefault="00FA672A" w14:paraId="4D0C7565" w14:textId="77777777">
      <w:pPr>
        <w:spacing w:line="360" w:lineRule="auto"/>
        <w:jc w:val="center"/>
        <w:rPr>
          <w:rFonts w:ascii="Palatino Linotype" w:hAnsi="Palatino Linotype" w:eastAsia="Calibri" w:cs="Tahoma"/>
          <w:bCs/>
          <w:color w:val="000000" w:themeColor="text1"/>
          <w:sz w:val="22"/>
          <w:szCs w:val="22"/>
          <w:lang w:eastAsia="en-US"/>
        </w:rPr>
      </w:pPr>
    </w:p>
    <w:p w:rsidRPr="00E0220E" w:rsidR="00790564" w:rsidP="0024622D" w:rsidRDefault="00882F17" w14:paraId="4A9523A8" w14:textId="1528A1B2">
      <w:pPr>
        <w:spacing w:line="360" w:lineRule="auto"/>
        <w:jc w:val="both"/>
        <w:rPr>
          <w:rFonts w:ascii="Palatino Linotype" w:hAnsi="Palatino Linotype" w:cs="Tahoma"/>
          <w:bCs/>
          <w:iCs/>
          <w:sz w:val="22"/>
          <w:szCs w:val="22"/>
        </w:rPr>
      </w:pPr>
      <w:r w:rsidRPr="00E0220E">
        <w:rPr>
          <w:rFonts w:ascii="Palatino Linotype" w:hAnsi="Palatino Linotype" w:cs="Tahoma"/>
          <w:bCs/>
          <w:iCs/>
          <w:sz w:val="22"/>
          <w:szCs w:val="22"/>
        </w:rPr>
        <w:t>Precisado lo anterior, este Instituto realizó una búsqueda de las Escuelas Primarias dentro del Municipio de Toluca, del cual se obtuvo una relación con los siguientes rubros: C.C.T., Nombre del Centro de Trabajo, Subsistema, Modalidad, Turno, Sostenimiento, Localidad y Colonia, tal como se muestra en el siguiente extracto:</w:t>
      </w:r>
      <w:r w:rsidRPr="00E0220E" w:rsidR="00790564">
        <w:rPr>
          <w:rFonts w:ascii="Palatino Linotype" w:hAnsi="Palatino Linotype" w:cs="Tahoma"/>
          <w:bCs/>
          <w:iCs/>
          <w:sz w:val="22"/>
          <w:szCs w:val="22"/>
        </w:rPr>
        <w:t xml:space="preserve"> </w:t>
      </w:r>
    </w:p>
    <w:p w:rsidRPr="00E0220E" w:rsidR="00FA672A" w:rsidP="00790564" w:rsidRDefault="00FA672A" w14:paraId="16894684" w14:textId="77777777">
      <w:pPr>
        <w:tabs>
          <w:tab w:val="left" w:pos="2552"/>
        </w:tabs>
        <w:spacing w:line="360" w:lineRule="auto"/>
        <w:jc w:val="center"/>
        <w:rPr>
          <w:noProof/>
          <w:lang w:eastAsia="es-MX"/>
        </w:rPr>
      </w:pPr>
    </w:p>
    <w:p w:rsidRPr="00E0220E" w:rsidR="00882F17" w:rsidP="00790564" w:rsidRDefault="00882F17" w14:paraId="37FA8A1B" w14:textId="754C98A7">
      <w:pPr>
        <w:tabs>
          <w:tab w:val="left" w:pos="2552"/>
        </w:tabs>
        <w:spacing w:line="360" w:lineRule="auto"/>
        <w:jc w:val="center"/>
        <w:rPr>
          <w:rFonts w:ascii="Palatino Linotype" w:hAnsi="Palatino Linotype" w:cs="Tahoma"/>
          <w:bCs/>
          <w:iCs/>
          <w:sz w:val="22"/>
          <w:szCs w:val="22"/>
        </w:rPr>
      </w:pPr>
      <w:r w:rsidRPr="00E0220E">
        <w:rPr>
          <w:noProof/>
          <w:lang w:eastAsia="es-MX"/>
        </w:rPr>
        <w:drawing>
          <wp:inline distT="0" distB="0" distL="0" distR="0" wp14:anchorId="2EA05F38" wp14:editId="5AFE9FFD">
            <wp:extent cx="5510530" cy="2000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95" t="7846" r="4616" b="48242"/>
                    <a:stretch/>
                  </pic:blipFill>
                  <pic:spPr bwMode="auto">
                    <a:xfrm>
                      <a:off x="0" y="0"/>
                      <a:ext cx="5523541" cy="2004973"/>
                    </a:xfrm>
                    <a:prstGeom prst="rect">
                      <a:avLst/>
                    </a:prstGeom>
                    <a:ln>
                      <a:noFill/>
                    </a:ln>
                    <a:extLst>
                      <a:ext uri="{53640926-AAD7-44D8-BBD7-CCE9431645EC}">
                        <a14:shadowObscured xmlns:a14="http://schemas.microsoft.com/office/drawing/2010/main"/>
                      </a:ext>
                    </a:extLst>
                  </pic:spPr>
                </pic:pic>
              </a:graphicData>
            </a:graphic>
          </wp:inline>
        </w:drawing>
      </w:r>
    </w:p>
    <w:p w:rsidRPr="00E0220E" w:rsidR="0056765D" w:rsidP="0024622D" w:rsidRDefault="0056765D" w14:paraId="5B9AC624" w14:textId="77777777">
      <w:pPr>
        <w:spacing w:line="360" w:lineRule="auto"/>
        <w:jc w:val="both"/>
        <w:rPr>
          <w:rFonts w:ascii="Palatino Linotype" w:hAnsi="Palatino Linotype" w:cs="Tahoma"/>
          <w:bCs/>
          <w:iCs/>
          <w:sz w:val="22"/>
          <w:szCs w:val="22"/>
        </w:rPr>
      </w:pPr>
    </w:p>
    <w:p w:rsidRPr="00E0220E" w:rsidR="00B66497" w:rsidP="00B66497" w:rsidRDefault="003B4D47" w14:paraId="044A4E6A" w14:textId="381CA5C3">
      <w:pPr>
        <w:spacing w:line="360" w:lineRule="auto"/>
        <w:jc w:val="both"/>
        <w:rPr>
          <w:rFonts w:ascii="Palatino Linotype" w:hAnsi="Palatino Linotype" w:cs="Tahoma"/>
          <w:b/>
          <w:iCs/>
          <w:sz w:val="22"/>
          <w:szCs w:val="22"/>
        </w:rPr>
      </w:pPr>
      <w:r w:rsidRPr="00E0220E">
        <w:rPr>
          <w:rFonts w:ascii="Palatino Linotype" w:hAnsi="Palatino Linotype" w:cs="Tahoma"/>
          <w:bCs/>
          <w:iCs/>
          <w:sz w:val="22"/>
          <w:szCs w:val="22"/>
        </w:rPr>
        <w:t xml:space="preserve">Conforme a lo anterior, se logra vislumbrar </w:t>
      </w:r>
      <w:r w:rsidRPr="00E0220E" w:rsidR="00FA672A">
        <w:rPr>
          <w:rFonts w:ascii="Palatino Linotype" w:hAnsi="Palatino Linotype" w:cs="Tahoma"/>
          <w:bCs/>
          <w:iCs/>
          <w:sz w:val="22"/>
          <w:szCs w:val="22"/>
        </w:rPr>
        <w:t xml:space="preserve">la competencia concurrente entre el sujeto Obligado </w:t>
      </w:r>
      <w:r w:rsidRPr="00E0220E" w:rsidR="003B3E5D">
        <w:rPr>
          <w:rFonts w:ascii="Palatino Linotype" w:hAnsi="Palatino Linotype" w:cs="Tahoma"/>
          <w:bCs/>
          <w:iCs/>
          <w:sz w:val="22"/>
          <w:szCs w:val="22"/>
        </w:rPr>
        <w:t>y la</w:t>
      </w:r>
      <w:r w:rsidRPr="00E0220E" w:rsidR="00FA672A">
        <w:rPr>
          <w:rFonts w:ascii="Palatino Linotype" w:hAnsi="Palatino Linotype" w:cs="Tahoma"/>
          <w:bCs/>
          <w:iCs/>
          <w:sz w:val="22"/>
          <w:szCs w:val="22"/>
        </w:rPr>
        <w:t xml:space="preserve"> Secretaría de Educación del Gobierno del Estado de México, para </w:t>
      </w:r>
      <w:r w:rsidRPr="00E0220E" w:rsidR="00B66497">
        <w:rPr>
          <w:rFonts w:ascii="Palatino Linotype" w:hAnsi="Palatino Linotype" w:cs="Tahoma"/>
          <w:bCs/>
          <w:iCs/>
          <w:sz w:val="22"/>
          <w:szCs w:val="22"/>
        </w:rPr>
        <w:t>conocer de las escuelas que hay en el Municipio.</w:t>
      </w:r>
    </w:p>
    <w:p w:rsidRPr="00E0220E" w:rsidR="00B66497" w:rsidP="00B66497" w:rsidRDefault="00B66497" w14:paraId="1D3DA422" w14:textId="77777777">
      <w:pPr>
        <w:spacing w:line="360" w:lineRule="auto"/>
        <w:jc w:val="both"/>
        <w:rPr>
          <w:rFonts w:ascii="Palatino Linotype" w:hAnsi="Palatino Linotype" w:cs="Tahoma"/>
          <w:bCs/>
          <w:iCs/>
          <w:sz w:val="22"/>
          <w:szCs w:val="22"/>
        </w:rPr>
      </w:pPr>
    </w:p>
    <w:p w:rsidRPr="00E0220E" w:rsidR="00B66497" w:rsidP="00B66497" w:rsidRDefault="004C2B3B" w14:paraId="6123DD22" w14:textId="7E15B242">
      <w:pPr>
        <w:spacing w:line="360" w:lineRule="auto"/>
        <w:jc w:val="both"/>
        <w:rPr>
          <w:rFonts w:ascii="Palatino Linotype" w:hAnsi="Palatino Linotype"/>
          <w:sz w:val="22"/>
          <w:szCs w:val="22"/>
          <w:lang w:val="es-ES"/>
        </w:rPr>
      </w:pPr>
      <w:r w:rsidRPr="00E0220E">
        <w:rPr>
          <w:rFonts w:ascii="Palatino Linotype" w:hAnsi="Palatino Linotype" w:eastAsia="Calibri" w:cs="Tahoma"/>
          <w:bCs/>
          <w:sz w:val="22"/>
          <w:szCs w:val="22"/>
          <w:lang w:eastAsia="en-US"/>
        </w:rPr>
        <w:t xml:space="preserve">Conforme a lo anterior, se advierte que el Ayuntamiento de Toluca deberá realizar </w:t>
      </w:r>
      <w:r w:rsidRPr="00E0220E">
        <w:rPr>
          <w:rFonts w:ascii="Palatino Linotype" w:hAnsi="Palatino Linotype"/>
          <w:sz w:val="22"/>
          <w:szCs w:val="22"/>
          <w:lang w:val="es-ES"/>
        </w:rPr>
        <w:t xml:space="preserve">una búsqueda exhaustiva y razonable, en todos los archivos de las unidades administrativas competentes entre las cuales no podrá omitir </w:t>
      </w:r>
      <w:r w:rsidRPr="00E0220E" w:rsidR="004D2DC9">
        <w:rPr>
          <w:rFonts w:ascii="Palatino Linotype" w:hAnsi="Palatino Linotype"/>
          <w:sz w:val="22"/>
          <w:szCs w:val="22"/>
          <w:lang w:val="es-ES"/>
        </w:rPr>
        <w:t xml:space="preserve">a la </w:t>
      </w:r>
      <w:r w:rsidRPr="00E0220E" w:rsidR="004D2DC9">
        <w:rPr>
          <w:rFonts w:ascii="Palatino Linotype" w:hAnsi="Palatino Linotype"/>
          <w:sz w:val="22"/>
          <w:szCs w:val="22"/>
        </w:rPr>
        <w:t>Dirección de Prevención, Educación y Control Ambiental y la de Apoyo a la Juventud, así como, los servidores públicos adscritos al Consejo Municipal de Participación Social en la Educación, a efecto de que proporcione el documento donde conste el número de escuelas que conozca el Ayuntamiento, con el mayor grado de desagregación (Federales, Estatales o Privadas).</w:t>
      </w:r>
    </w:p>
    <w:p w:rsidRPr="00E0220E" w:rsidR="00B66497" w:rsidP="00B66497" w:rsidRDefault="00B66497" w14:paraId="41F55D80" w14:textId="18DC0C1E">
      <w:pPr>
        <w:spacing w:line="360" w:lineRule="auto"/>
        <w:jc w:val="both"/>
        <w:rPr>
          <w:rFonts w:ascii="Palatino Linotype" w:hAnsi="Palatino Linotype"/>
          <w:sz w:val="22"/>
          <w:szCs w:val="22"/>
          <w:lang w:val="es-ES"/>
        </w:rPr>
      </w:pPr>
    </w:p>
    <w:p w:rsidRPr="00E0220E" w:rsidR="00C5176C" w:rsidP="00B66497" w:rsidRDefault="00C5176C" w14:paraId="4CC99C3C" w14:textId="6D7B929E">
      <w:pPr>
        <w:spacing w:line="360" w:lineRule="auto"/>
        <w:jc w:val="both"/>
        <w:rPr>
          <w:rFonts w:ascii="Palatino Linotype" w:hAnsi="Palatino Linotype"/>
          <w:sz w:val="22"/>
          <w:szCs w:val="22"/>
          <w:lang w:val="es-ES"/>
        </w:rPr>
      </w:pPr>
    </w:p>
    <w:p w:rsidRPr="00E0220E" w:rsidR="00C5176C" w:rsidP="00B66497" w:rsidRDefault="00C5176C" w14:paraId="38B4BC06" w14:textId="77777777">
      <w:pPr>
        <w:spacing w:line="360" w:lineRule="auto"/>
        <w:jc w:val="both"/>
        <w:rPr>
          <w:rFonts w:ascii="Palatino Linotype" w:hAnsi="Palatino Linotype"/>
          <w:sz w:val="22"/>
          <w:szCs w:val="22"/>
          <w:lang w:val="es-ES"/>
        </w:rPr>
      </w:pPr>
    </w:p>
    <w:p w:rsidRPr="00E0220E" w:rsidR="004C2B3B" w:rsidP="004C2B3B" w:rsidRDefault="004C2B3B" w14:paraId="616A7538" w14:textId="77777777">
      <w:pPr>
        <w:spacing w:line="360" w:lineRule="auto"/>
        <w:jc w:val="both"/>
        <w:rPr>
          <w:rFonts w:ascii="Palatino Linotype" w:hAnsi="Palatino Linotype" w:cs="Tahoma"/>
          <w:iCs/>
          <w:sz w:val="22"/>
          <w:szCs w:val="22"/>
          <w:lang w:val="es-ES"/>
        </w:rPr>
      </w:pPr>
      <w:r w:rsidRPr="00E0220E">
        <w:rPr>
          <w:rFonts w:ascii="Palatino Linotype" w:hAnsi="Palatino Linotype" w:cs="Tahoma"/>
          <w:bCs/>
          <w:color w:val="0D0D0D"/>
          <w:sz w:val="22"/>
          <w:szCs w:val="22"/>
        </w:rPr>
        <w:t>D</w:t>
      </w:r>
      <w:r w:rsidRPr="00E0220E">
        <w:rPr>
          <w:rFonts w:ascii="Palatino Linotype" w:hAnsi="Palatino Linotype" w:eastAsiaTheme="minorHAnsi" w:cstheme="minorBidi"/>
          <w:bCs/>
          <w:iCs/>
          <w:color w:val="000000" w:themeColor="text1"/>
          <w:sz w:val="22"/>
          <w:szCs w:val="22"/>
          <w:lang w:eastAsia="en-US"/>
        </w:rPr>
        <w:t>icha situación toma sustento en</w:t>
      </w:r>
      <w:r w:rsidRPr="00E0220E">
        <w:rPr>
          <w:rFonts w:ascii="Palatino Linotype" w:hAnsi="Palatino Linotype" w:eastAsiaTheme="minorHAnsi" w:cstheme="minorBidi"/>
          <w:bCs/>
          <w:color w:val="000000" w:themeColor="text1"/>
          <w:sz w:val="22"/>
          <w:szCs w:val="22"/>
          <w:lang w:eastAsia="en-US"/>
        </w:rPr>
        <w:t xml:space="preserve"> el</w:t>
      </w:r>
      <w:r w:rsidRPr="00E0220E">
        <w:rPr>
          <w:rFonts w:ascii="Palatino Linotype" w:hAnsi="Palatino Linotype" w:eastAsiaTheme="minorHAnsi" w:cstheme="minorBidi"/>
          <w:color w:val="000000" w:themeColor="text1"/>
          <w:sz w:val="22"/>
          <w:szCs w:val="22"/>
          <w:lang w:eastAsia="en-US"/>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w:t>
      </w:r>
      <w:r w:rsidRPr="00E0220E">
        <w:rPr>
          <w:rFonts w:ascii="Palatino Linotype" w:hAnsi="Palatino Linotype" w:cs="Tahoma"/>
          <w:iCs/>
          <w:sz w:val="22"/>
          <w:szCs w:val="22"/>
          <w:lang w:val="es-ES"/>
        </w:rPr>
        <w:t>misma, ni presentarla conforme al interés del Solicitante.</w:t>
      </w:r>
    </w:p>
    <w:p w:rsidRPr="00E0220E" w:rsidR="004C2B3B" w:rsidP="004C2B3B" w:rsidRDefault="004C2B3B" w14:paraId="4C1FD68F" w14:textId="77777777">
      <w:pPr>
        <w:spacing w:line="360" w:lineRule="auto"/>
        <w:jc w:val="both"/>
        <w:rPr>
          <w:rFonts w:ascii="Palatino Linotype" w:hAnsi="Palatino Linotype" w:cs="Tahoma"/>
          <w:iCs/>
          <w:sz w:val="22"/>
          <w:szCs w:val="22"/>
          <w:lang w:val="es-ES"/>
        </w:rPr>
      </w:pPr>
    </w:p>
    <w:p w:rsidRPr="00E0220E" w:rsidR="004C2B3B" w:rsidP="004C2B3B" w:rsidRDefault="004C2B3B" w14:paraId="7C771765" w14:textId="77777777">
      <w:pPr>
        <w:spacing w:line="360" w:lineRule="auto"/>
        <w:jc w:val="both"/>
        <w:rPr>
          <w:rFonts w:ascii="Palatino Linotype" w:hAnsi="Palatino Linotype" w:eastAsiaTheme="minorHAnsi" w:cstheme="minorBidi"/>
          <w:color w:val="000000" w:themeColor="text1"/>
          <w:sz w:val="22"/>
          <w:szCs w:val="22"/>
          <w:lang w:eastAsia="en-US"/>
        </w:rPr>
      </w:pPr>
      <w:r w:rsidRPr="00E0220E">
        <w:rPr>
          <w:rFonts w:ascii="Palatino Linotype" w:hAnsi="Palatino Linotype" w:cs="Tahoma"/>
          <w:iCs/>
          <w:sz w:val="22"/>
          <w:szCs w:val="22"/>
          <w:lang w:val="es-ES"/>
        </w:rPr>
        <w:t>De esta manera, el derecho de acceso a la información pública se satisface en aquellos casos en que se entregue el soporte documental en el que conste la información solicitada, sin necesidad</w:t>
      </w:r>
      <w:r w:rsidRPr="00E0220E">
        <w:rPr>
          <w:rFonts w:ascii="Palatino Linotype" w:hAnsi="Palatino Linotype" w:eastAsiaTheme="minorHAnsi" w:cstheme="minorBidi"/>
          <w:color w:val="000000" w:themeColor="text1"/>
          <w:sz w:val="22"/>
          <w:szCs w:val="22"/>
          <w:lang w:val="es-ES" w:eastAsia="en-US"/>
        </w:rPr>
        <w:t xml:space="preserve"> de elaborar documentos </w:t>
      </w:r>
      <w:r w:rsidRPr="00E0220E">
        <w:rPr>
          <w:rFonts w:ascii="Palatino Linotype" w:hAnsi="Palatino Linotype" w:eastAsiaTheme="minorHAnsi" w:cstheme="minorBidi"/>
          <w:i/>
          <w:color w:val="000000" w:themeColor="text1"/>
          <w:sz w:val="22"/>
          <w:szCs w:val="22"/>
          <w:lang w:eastAsia="en-US"/>
        </w:rPr>
        <w:t>ad hoc</w:t>
      </w:r>
      <w:r w:rsidRPr="00E0220E">
        <w:rPr>
          <w:rFonts w:ascii="Palatino Linotype" w:hAnsi="Palatino Linotype" w:eastAsiaTheme="minorHAnsi" w:cstheme="minorBidi"/>
          <w:color w:val="000000" w:themeColor="text1"/>
          <w:sz w:val="22"/>
          <w:szCs w:val="22"/>
          <w:lang w:eastAsia="en-US"/>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rsidRPr="00E0220E" w:rsidR="004C2B3B" w:rsidP="004C2B3B" w:rsidRDefault="004C2B3B" w14:paraId="7FC969A9" w14:textId="77777777">
      <w:pPr>
        <w:spacing w:line="360" w:lineRule="auto"/>
        <w:jc w:val="both"/>
        <w:rPr>
          <w:rFonts w:ascii="Palatino Linotype" w:hAnsi="Palatino Linotype" w:cs="Tahoma"/>
          <w:iCs/>
          <w:sz w:val="22"/>
          <w:szCs w:val="22"/>
        </w:rPr>
      </w:pPr>
    </w:p>
    <w:p w:rsidRPr="00E0220E" w:rsidR="004C2B3B" w:rsidP="004C2B3B" w:rsidRDefault="004C2B3B" w14:paraId="6CE76EDB" w14:textId="77777777">
      <w:pPr>
        <w:spacing w:line="360" w:lineRule="auto"/>
        <w:jc w:val="both"/>
        <w:rPr>
          <w:rFonts w:ascii="Palatino Linotype" w:hAnsi="Palatino Linotype" w:eastAsiaTheme="minorHAnsi" w:cstheme="minorBidi"/>
          <w:color w:val="000000" w:themeColor="text1"/>
          <w:sz w:val="22"/>
          <w:szCs w:val="22"/>
          <w:lang w:val="es-ES" w:eastAsia="en-US"/>
        </w:rPr>
      </w:pPr>
      <w:r w:rsidRPr="00E0220E">
        <w:rPr>
          <w:rFonts w:ascii="Palatino Linotype" w:hAnsi="Palatino Linotype" w:eastAsiaTheme="minorHAnsi" w:cstheme="minorBidi"/>
          <w:color w:val="000000" w:themeColor="text1"/>
          <w:sz w:val="22"/>
          <w:szCs w:val="22"/>
          <w:lang w:val="es-ES" w:eastAsia="en-US"/>
        </w:rPr>
        <w:t>De tales circunstancias, se concluye que los sujetos obligados únicamente se encuentran constreñidos a proporcionar los documentos que den cuenta de la información solicitada, como obren en sus archivos, sin tener que elaborarlos a las necesidades del Recurrente; por lo cual, en el presente caso, el Sujeto Obligado deberá entregar la información tal y como obre en sus archivos.</w:t>
      </w:r>
    </w:p>
    <w:p w:rsidRPr="00E0220E" w:rsidR="004C2B3B" w:rsidP="0024622D" w:rsidRDefault="004C2B3B" w14:paraId="145DA0B7" w14:textId="77777777">
      <w:pPr>
        <w:spacing w:line="360" w:lineRule="auto"/>
        <w:jc w:val="both"/>
        <w:rPr>
          <w:rFonts w:ascii="Palatino Linotype" w:hAnsi="Palatino Linotype" w:eastAsia="Calibri" w:cs="Tahoma"/>
          <w:bCs/>
          <w:color w:val="000000" w:themeColor="text1"/>
          <w:sz w:val="22"/>
          <w:szCs w:val="22"/>
          <w:lang w:eastAsia="en-US"/>
        </w:rPr>
      </w:pPr>
    </w:p>
    <w:p w:rsidRPr="00E0220E" w:rsidR="00CF2A60" w:rsidP="0024622D" w:rsidRDefault="00CF2A60" w14:paraId="0BFA051C" w14:textId="77777777">
      <w:pPr>
        <w:spacing w:line="360" w:lineRule="auto"/>
        <w:jc w:val="both"/>
        <w:rPr>
          <w:rFonts w:ascii="Palatino Linotype" w:hAnsi="Palatino Linotype" w:eastAsia="Calibri" w:cs="Tahoma"/>
          <w:b/>
          <w:sz w:val="22"/>
          <w:szCs w:val="22"/>
          <w:lang w:eastAsia="en-US"/>
        </w:rPr>
      </w:pPr>
      <w:r w:rsidRPr="00E0220E">
        <w:rPr>
          <w:rFonts w:ascii="Palatino Linotype" w:hAnsi="Palatino Linotype" w:eastAsia="Calibri" w:cs="Tahoma"/>
          <w:b/>
          <w:sz w:val="22"/>
          <w:szCs w:val="22"/>
          <w:lang w:eastAsia="en-US"/>
        </w:rPr>
        <w:t xml:space="preserve">SEXTO. Decisión. </w:t>
      </w:r>
    </w:p>
    <w:p w:rsidRPr="00E0220E" w:rsidR="00CF2A60" w:rsidP="0024622D" w:rsidRDefault="00CF2A60" w14:paraId="11A2C581" w14:textId="77777777">
      <w:pPr>
        <w:spacing w:line="360" w:lineRule="auto"/>
        <w:jc w:val="both"/>
        <w:rPr>
          <w:rFonts w:ascii="Palatino Linotype" w:hAnsi="Palatino Linotype" w:eastAsia="Calibri" w:cs="Tahoma"/>
          <w:b/>
          <w:sz w:val="22"/>
          <w:szCs w:val="22"/>
          <w:lang w:eastAsia="en-US"/>
        </w:rPr>
      </w:pPr>
    </w:p>
    <w:p w:rsidRPr="00E0220E" w:rsidR="00CF2A60" w:rsidP="0024622D" w:rsidRDefault="004D2DC9" w14:paraId="39500409" w14:textId="6AA75AAA">
      <w:pPr>
        <w:tabs>
          <w:tab w:val="left" w:pos="4962"/>
        </w:tabs>
        <w:spacing w:line="360" w:lineRule="auto"/>
        <w:jc w:val="both"/>
        <w:rPr>
          <w:rFonts w:ascii="Palatino Linotype" w:hAnsi="Palatino Linotype" w:cs="Tahoma"/>
          <w:sz w:val="22"/>
          <w:szCs w:val="22"/>
        </w:rPr>
      </w:pPr>
      <w:r w:rsidRPr="00E0220E">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E0220E">
        <w:rPr>
          <w:rFonts w:ascii="Palatino Linotype" w:hAnsi="Palatino Linotype" w:cs="Tahoma"/>
          <w:b/>
          <w:sz w:val="22"/>
          <w:szCs w:val="22"/>
        </w:rPr>
        <w:t xml:space="preserve">REVOCAR </w:t>
      </w:r>
      <w:r w:rsidRPr="00E0220E">
        <w:rPr>
          <w:rFonts w:ascii="Palatino Linotype" w:hAnsi="Palatino Linotype" w:cs="Tahoma"/>
          <w:sz w:val="22"/>
          <w:szCs w:val="22"/>
        </w:rPr>
        <w:t xml:space="preserve">la repuesta otorgada por el Sujeto Obligado, a efecto de que, previa búsqueda exhaustiva y razonable en los archivos de las unidades administrativas competentes, entregue el documento donde conste el número de escuelas que conociera el Ayuntamiento </w:t>
      </w:r>
      <w:r w:rsidRPr="00E0220E">
        <w:rPr>
          <w:rFonts w:ascii="Palatino Linotype" w:hAnsi="Palatino Linotype" w:cs="Tahoma"/>
          <w:sz w:val="22"/>
          <w:szCs w:val="22"/>
        </w:rPr>
        <w:lastRenderedPageBreak/>
        <w:t>de Toluca, al treinta y uno de octubre de dos mil veintidós, con el mayor grado de desagregación posible (Federal, Estatal o Privadas).</w:t>
      </w:r>
    </w:p>
    <w:p w:rsidRPr="00E0220E" w:rsidR="004D2DC9" w:rsidP="0024622D" w:rsidRDefault="004D2DC9" w14:paraId="3273171E" w14:textId="77777777">
      <w:pPr>
        <w:tabs>
          <w:tab w:val="left" w:pos="4962"/>
        </w:tabs>
        <w:spacing w:line="360" w:lineRule="auto"/>
        <w:jc w:val="both"/>
        <w:rPr>
          <w:rFonts w:ascii="Palatino Linotype" w:hAnsi="Palatino Linotype" w:cs="Tahoma"/>
          <w:szCs w:val="22"/>
        </w:rPr>
      </w:pPr>
    </w:p>
    <w:p w:rsidRPr="00E0220E" w:rsidR="00CF2A60" w:rsidP="0024622D" w:rsidRDefault="00CF2A60" w14:paraId="4DB79906" w14:textId="77777777">
      <w:pPr>
        <w:spacing w:line="360" w:lineRule="auto"/>
        <w:jc w:val="both"/>
        <w:rPr>
          <w:rFonts w:ascii="Palatino Linotype" w:hAnsi="Palatino Linotype" w:eastAsia="Calibri" w:cs="Tahoma"/>
          <w:b/>
          <w:bCs/>
          <w:sz w:val="22"/>
          <w:szCs w:val="22"/>
          <w:lang w:eastAsia="en-US"/>
        </w:rPr>
      </w:pPr>
      <w:r w:rsidRPr="00E0220E">
        <w:rPr>
          <w:rFonts w:ascii="Palatino Linotype" w:hAnsi="Palatino Linotype" w:eastAsia="Calibri" w:cs="Tahoma"/>
          <w:b/>
          <w:bCs/>
          <w:sz w:val="22"/>
          <w:szCs w:val="22"/>
          <w:lang w:eastAsia="en-US"/>
        </w:rPr>
        <w:t>Términos de la Resolución para conocimiento del Particular.</w:t>
      </w:r>
    </w:p>
    <w:p w:rsidRPr="00E0220E" w:rsidR="00CF2A60" w:rsidP="0024622D" w:rsidRDefault="00CF2A60" w14:paraId="17764729" w14:textId="77777777">
      <w:pPr>
        <w:spacing w:line="360" w:lineRule="auto"/>
        <w:jc w:val="both"/>
        <w:rPr>
          <w:rFonts w:ascii="Palatino Linotype" w:hAnsi="Palatino Linotype" w:eastAsia="Calibri" w:cs="Tahoma"/>
          <w:b/>
          <w:bCs/>
          <w:sz w:val="22"/>
          <w:szCs w:val="22"/>
          <w:lang w:eastAsia="en-US"/>
        </w:rPr>
      </w:pPr>
    </w:p>
    <w:p w:rsidRPr="00E0220E" w:rsidR="0071724E" w:rsidP="0024622D" w:rsidRDefault="003B1674" w14:paraId="73BF4602" w14:textId="4E4CCA6E">
      <w:pPr>
        <w:widowControl w:val="0"/>
        <w:spacing w:line="360" w:lineRule="auto"/>
        <w:jc w:val="both"/>
        <w:rPr>
          <w:rFonts w:ascii="Palatino Linotype" w:hAnsi="Palatino Linotype" w:eastAsia="Calibri" w:cs="Tahoma"/>
          <w:bCs/>
          <w:iCs/>
          <w:color w:val="000000"/>
          <w:sz w:val="22"/>
          <w:szCs w:val="22"/>
          <w:lang w:eastAsia="en-US"/>
        </w:rPr>
      </w:pPr>
      <w:r w:rsidRPr="00E0220E">
        <w:rPr>
          <w:rFonts w:ascii="Palatino Linotype" w:hAnsi="Palatino Linotype" w:eastAsia="Calibri" w:cs="Tahoma"/>
          <w:bCs/>
          <w:iCs/>
          <w:color w:val="000000"/>
          <w:sz w:val="22"/>
          <w:szCs w:val="22"/>
          <w:lang w:eastAsia="en-US"/>
        </w:rPr>
        <w:t xml:space="preserve">Se le hace del conocimiento al Particular, que, en el presente caso, se le da </w:t>
      </w:r>
      <w:r w:rsidRPr="00E0220E" w:rsidR="004C2B3B">
        <w:rPr>
          <w:rFonts w:ascii="Palatino Linotype" w:hAnsi="Palatino Linotype" w:eastAsia="Calibri" w:cs="Tahoma"/>
          <w:bCs/>
          <w:iCs/>
          <w:color w:val="000000"/>
          <w:sz w:val="22"/>
          <w:szCs w:val="22"/>
          <w:lang w:eastAsia="en-US"/>
        </w:rPr>
        <w:t xml:space="preserve">e </w:t>
      </w:r>
      <w:r w:rsidRPr="00E0220E">
        <w:rPr>
          <w:rFonts w:ascii="Palatino Linotype" w:hAnsi="Palatino Linotype" w:eastAsia="Calibri" w:cs="Tahoma"/>
          <w:bCs/>
          <w:iCs/>
          <w:color w:val="000000"/>
          <w:sz w:val="22"/>
          <w:szCs w:val="22"/>
          <w:lang w:eastAsia="en-US"/>
        </w:rPr>
        <w:t xml:space="preserve">la razón pues el Sujeto Obligado </w:t>
      </w:r>
      <w:r w:rsidRPr="00E0220E" w:rsidR="004C2B3B">
        <w:rPr>
          <w:rFonts w:ascii="Palatino Linotype" w:hAnsi="Palatino Linotype" w:eastAsia="Calibri" w:cs="Tahoma"/>
          <w:bCs/>
          <w:iCs/>
          <w:color w:val="000000"/>
          <w:sz w:val="22"/>
          <w:szCs w:val="22"/>
          <w:lang w:eastAsia="en-US"/>
        </w:rPr>
        <w:t xml:space="preserve">comparte competencia </w:t>
      </w:r>
      <w:r w:rsidRPr="00E0220E">
        <w:rPr>
          <w:rFonts w:ascii="Palatino Linotype" w:hAnsi="Palatino Linotype" w:eastAsia="Calibri" w:cs="Tahoma"/>
          <w:bCs/>
          <w:iCs/>
          <w:color w:val="000000"/>
          <w:sz w:val="22"/>
          <w:szCs w:val="22"/>
          <w:lang w:eastAsia="en-US"/>
        </w:rPr>
        <w:t xml:space="preserve">para conocer sobre </w:t>
      </w:r>
      <w:r w:rsidRPr="00E0220E" w:rsidR="00A22F37">
        <w:rPr>
          <w:rFonts w:ascii="Palatino Linotype" w:hAnsi="Palatino Linotype" w:eastAsia="Calibri" w:cs="Tahoma"/>
          <w:bCs/>
          <w:iCs/>
          <w:color w:val="000000"/>
          <w:sz w:val="22"/>
          <w:szCs w:val="22"/>
          <w:lang w:eastAsia="en-US"/>
        </w:rPr>
        <w:t>ide las escuelas que hay dentro del territorio geográfico del municipio de Toluca</w:t>
      </w:r>
      <w:r w:rsidRPr="00E0220E" w:rsidR="004C2B3B">
        <w:rPr>
          <w:rFonts w:ascii="Palatino Linotype" w:hAnsi="Palatino Linotype" w:eastAsia="Calibri" w:cs="Tahoma"/>
          <w:bCs/>
          <w:iCs/>
          <w:color w:val="000000"/>
          <w:sz w:val="22"/>
          <w:szCs w:val="22"/>
          <w:lang w:eastAsia="en-US"/>
        </w:rPr>
        <w:t>.</w:t>
      </w:r>
    </w:p>
    <w:p w:rsidRPr="00E0220E" w:rsidR="003B1674" w:rsidP="0024622D" w:rsidRDefault="003B1674" w14:paraId="5B35B8D3" w14:textId="77777777">
      <w:pPr>
        <w:widowControl w:val="0"/>
        <w:spacing w:line="360" w:lineRule="auto"/>
        <w:jc w:val="both"/>
        <w:rPr>
          <w:rFonts w:ascii="Palatino Linotype" w:hAnsi="Palatino Linotype" w:eastAsia="Calibri" w:cs="Tahoma"/>
          <w:bCs/>
          <w:iCs/>
          <w:color w:val="000000" w:themeColor="text1"/>
          <w:sz w:val="22"/>
          <w:szCs w:val="22"/>
          <w:lang w:val="es-ES" w:eastAsia="en-US"/>
        </w:rPr>
      </w:pPr>
    </w:p>
    <w:p w:rsidRPr="00E0220E" w:rsidR="00C5176C" w:rsidP="00C5176C" w:rsidRDefault="00C5176C" w14:paraId="5C40BC4B"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eastAsia="es-ES_tradnl"/>
        </w:rPr>
      </w:pPr>
      <w:r w:rsidRPr="00E0220E">
        <w:rPr>
          <w:rFonts w:ascii="Palatino Linotype" w:hAnsi="Palatino Linotype" w:eastAsia="Calibri" w:cs="Tahoma"/>
          <w:bCs/>
          <w:iCs/>
          <w:sz w:val="22"/>
          <w:szCs w:val="22"/>
          <w:lang w:val="es-ES" w:eastAsia="es-ES_tradnl"/>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rsidRPr="00E0220E" w:rsidR="00C5176C" w:rsidP="00C5176C" w:rsidRDefault="00C5176C" w14:paraId="3A846E8D"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eastAsia="es-ES_tradnl"/>
        </w:rPr>
      </w:pPr>
    </w:p>
    <w:p w:rsidRPr="00E0220E" w:rsidR="00C5176C" w:rsidP="00C5176C" w:rsidRDefault="00C5176C" w14:paraId="0591E0E2" w14:textId="77777777">
      <w:pPr>
        <w:widowControl w:val="0"/>
        <w:autoSpaceDE w:val="0"/>
        <w:autoSpaceDN w:val="0"/>
        <w:adjustRightInd w:val="0"/>
        <w:spacing w:line="360" w:lineRule="auto"/>
        <w:jc w:val="both"/>
        <w:rPr>
          <w:rFonts w:ascii="Palatino Linotype" w:hAnsi="Palatino Linotype" w:eastAsia="Calibri" w:cs="Tahoma"/>
          <w:bCs/>
          <w:iCs/>
          <w:sz w:val="22"/>
          <w:szCs w:val="22"/>
          <w:lang w:val="es-ES" w:eastAsia="en-US"/>
        </w:rPr>
      </w:pPr>
      <w:r w:rsidRPr="00E0220E">
        <w:rPr>
          <w:rFonts w:ascii="Palatino Linotype" w:hAnsi="Palatino Linotype" w:eastAsia="Calibri" w:cs="Tahoma"/>
          <w:bCs/>
          <w:iCs/>
          <w:sz w:val="22"/>
          <w:szCs w:val="22"/>
          <w:lang w:eastAsia="en-US"/>
        </w:rPr>
        <w:t>La labor del Instituto de Transparencia, Acceso a la Información Pública y Protección de Datos Personales del Estado de México y Municipios, es apoyar a la población a acceder a la información pública y garantizar la protección de sus datos personales.</w:t>
      </w:r>
    </w:p>
    <w:p w:rsidRPr="00E0220E" w:rsidR="001B6873" w:rsidP="0024622D" w:rsidRDefault="001B6873" w14:paraId="4CF6F24F" w14:textId="77777777">
      <w:pPr>
        <w:spacing w:line="360" w:lineRule="auto"/>
        <w:jc w:val="both"/>
        <w:rPr>
          <w:rFonts w:ascii="Palatino Linotype" w:hAnsi="Palatino Linotype" w:eastAsia="Calibri" w:cs="Tahoma"/>
          <w:sz w:val="22"/>
          <w:szCs w:val="22"/>
        </w:rPr>
      </w:pPr>
    </w:p>
    <w:p w:rsidRPr="00E0220E" w:rsidR="001B6873" w:rsidP="0024622D" w:rsidRDefault="00836192" w14:paraId="0C0D077D" w14:textId="26F99F52">
      <w:pPr>
        <w:spacing w:line="360" w:lineRule="auto"/>
        <w:jc w:val="both"/>
        <w:rPr>
          <w:rFonts w:ascii="Palatino Linotype" w:hAnsi="Palatino Linotype" w:eastAsia="Calibri" w:cs="Tahoma"/>
          <w:bCs/>
          <w:sz w:val="22"/>
          <w:szCs w:val="22"/>
          <w:lang w:eastAsia="en-US"/>
        </w:rPr>
      </w:pPr>
      <w:r w:rsidRPr="00E0220E">
        <w:rPr>
          <w:rFonts w:ascii="Palatino Linotype" w:hAnsi="Palatino Linotype" w:eastAsia="Calibri" w:cs="Tahoma"/>
          <w:bCs/>
          <w:sz w:val="22"/>
          <w:szCs w:val="22"/>
          <w:lang w:eastAsia="en-US"/>
        </w:rPr>
        <w:t>Por lo expuesto y fundado, este Pleno:</w:t>
      </w:r>
    </w:p>
    <w:p w:rsidRPr="00E0220E" w:rsidR="00F13829" w:rsidP="0024622D" w:rsidRDefault="00F13829" w14:paraId="75DDC6C3" w14:textId="77777777">
      <w:pPr>
        <w:spacing w:line="360" w:lineRule="auto"/>
        <w:jc w:val="both"/>
        <w:rPr>
          <w:rFonts w:ascii="Palatino Linotype" w:hAnsi="Palatino Linotype" w:eastAsia="Calibri" w:cs="Tahoma"/>
          <w:bCs/>
          <w:sz w:val="22"/>
          <w:szCs w:val="22"/>
          <w:lang w:eastAsia="en-US"/>
        </w:rPr>
      </w:pPr>
    </w:p>
    <w:p w:rsidRPr="00E0220E" w:rsidR="00AE5D0C" w:rsidP="0024622D" w:rsidRDefault="00836192" w14:paraId="28C17053" w14:textId="6E630B3C">
      <w:pPr>
        <w:spacing w:line="360" w:lineRule="auto"/>
        <w:ind w:right="-91"/>
        <w:jc w:val="center"/>
        <w:rPr>
          <w:rFonts w:ascii="Palatino Linotype" w:hAnsi="Palatino Linotype" w:eastAsia="Calibri" w:cs="Tahoma"/>
          <w:b/>
          <w:bCs/>
          <w:sz w:val="22"/>
          <w:szCs w:val="22"/>
          <w:lang w:eastAsia="en-US"/>
        </w:rPr>
      </w:pPr>
      <w:r w:rsidRPr="00E0220E">
        <w:rPr>
          <w:rFonts w:ascii="Palatino Linotype" w:hAnsi="Palatino Linotype" w:eastAsia="Calibri" w:cs="Tahoma"/>
          <w:b/>
          <w:bCs/>
          <w:sz w:val="22"/>
          <w:szCs w:val="22"/>
          <w:lang w:eastAsia="en-US"/>
        </w:rPr>
        <w:t>R E S U E L V E:</w:t>
      </w:r>
    </w:p>
    <w:p w:rsidRPr="00E0220E" w:rsidR="00961C29" w:rsidP="0024622D" w:rsidRDefault="00961C29" w14:paraId="7EF83619" w14:textId="77777777">
      <w:pPr>
        <w:spacing w:line="360" w:lineRule="auto"/>
        <w:ind w:right="-91"/>
        <w:jc w:val="center"/>
        <w:rPr>
          <w:rFonts w:ascii="Palatino Linotype" w:hAnsi="Palatino Linotype" w:eastAsia="Calibri" w:cs="Tahoma"/>
          <w:b/>
          <w:bCs/>
          <w:sz w:val="22"/>
          <w:szCs w:val="22"/>
          <w:lang w:eastAsia="en-US"/>
        </w:rPr>
      </w:pPr>
    </w:p>
    <w:p w:rsidRPr="00E0220E" w:rsidR="00C5176C" w:rsidP="0024622D" w:rsidRDefault="00AE5D0C" w14:paraId="4F8C0EF4" w14:textId="34E2720E">
      <w:pPr>
        <w:spacing w:line="360" w:lineRule="auto"/>
        <w:contextualSpacing/>
        <w:jc w:val="both"/>
        <w:rPr>
          <w:rFonts w:ascii="Palatino Linotype" w:hAnsi="Palatino Linotype" w:eastAsia="Calibri" w:cs="Tahoma"/>
          <w:b/>
          <w:bCs/>
          <w:iCs/>
          <w:sz w:val="22"/>
          <w:szCs w:val="22"/>
          <w:lang w:eastAsia="en-US"/>
        </w:rPr>
      </w:pPr>
      <w:r w:rsidRPr="00E0220E">
        <w:rPr>
          <w:rFonts w:ascii="Palatino Linotype" w:hAnsi="Palatino Linotype" w:eastAsia="Calibri" w:cs="Tahoma"/>
          <w:b/>
          <w:bCs/>
          <w:iCs/>
          <w:sz w:val="22"/>
          <w:szCs w:val="22"/>
          <w:lang w:eastAsia="en-US"/>
        </w:rPr>
        <w:t xml:space="preserve">PRIMERO. </w:t>
      </w:r>
      <w:r w:rsidRPr="00E0220E" w:rsidR="00C5176C">
        <w:rPr>
          <w:rFonts w:ascii="Palatino Linotype" w:hAnsi="Palatino Linotype" w:cs="Tahoma"/>
          <w:iCs/>
          <w:sz w:val="22"/>
          <w:szCs w:val="22"/>
        </w:rPr>
        <w:t xml:space="preserve">Se </w:t>
      </w:r>
      <w:r w:rsidRPr="00E0220E" w:rsidR="00C5176C">
        <w:rPr>
          <w:rFonts w:ascii="Palatino Linotype" w:hAnsi="Palatino Linotype" w:cs="Tahoma"/>
          <w:b/>
          <w:bCs/>
          <w:iCs/>
          <w:sz w:val="22"/>
          <w:szCs w:val="22"/>
        </w:rPr>
        <w:t>REVOCA</w:t>
      </w:r>
      <w:r w:rsidRPr="00E0220E" w:rsidR="00C5176C">
        <w:rPr>
          <w:rFonts w:ascii="Palatino Linotype" w:hAnsi="Palatino Linotype" w:cs="Tahoma"/>
          <w:iCs/>
          <w:sz w:val="22"/>
          <w:szCs w:val="22"/>
        </w:rPr>
        <w:t xml:space="preserve"> la respuesta otorgada por el Ayuntamiento de Toluca, a la solicitud de acceso a la información </w:t>
      </w:r>
      <w:r w:rsidRPr="00E0220E" w:rsidR="00C5176C">
        <w:rPr>
          <w:rFonts w:ascii="Palatino Linotype" w:hAnsi="Palatino Linotype" w:cs="Tahoma"/>
          <w:bCs/>
          <w:color w:val="0D0D0D" w:themeColor="text1" w:themeTint="F2"/>
          <w:sz w:val="22"/>
          <w:szCs w:val="22"/>
        </w:rPr>
        <w:t>02320/TOLUCA/IP/2022</w:t>
      </w:r>
      <w:r w:rsidRPr="00E0220E" w:rsidR="00C5176C">
        <w:rPr>
          <w:rFonts w:ascii="Palatino Linotype" w:hAnsi="Palatino Linotype" w:cs="Tahoma"/>
          <w:iCs/>
          <w:sz w:val="22"/>
          <w:szCs w:val="22"/>
        </w:rPr>
        <w:t xml:space="preserve">, por resultar </w:t>
      </w:r>
      <w:r w:rsidRPr="00E0220E" w:rsidR="00C5176C">
        <w:rPr>
          <w:rFonts w:ascii="Palatino Linotype" w:hAnsi="Palatino Linotype" w:cs="Tahoma"/>
          <w:b/>
          <w:bCs/>
          <w:iCs/>
          <w:sz w:val="22"/>
          <w:szCs w:val="22"/>
        </w:rPr>
        <w:t>FUNDADOS</w:t>
      </w:r>
      <w:r w:rsidRPr="00E0220E" w:rsidR="00C5176C">
        <w:rPr>
          <w:rFonts w:ascii="Palatino Linotype" w:hAnsi="Palatino Linotype" w:cs="Tahoma"/>
          <w:iCs/>
          <w:sz w:val="22"/>
          <w:szCs w:val="22"/>
        </w:rPr>
        <w:t xml:space="preserve"> los agravios hechos valer por el Recurrente, en términos de los considerandos </w:t>
      </w:r>
      <w:r w:rsidRPr="00E0220E" w:rsidR="00C5176C">
        <w:rPr>
          <w:rFonts w:ascii="Palatino Linotype" w:hAnsi="Palatino Linotype" w:cs="Tahoma"/>
          <w:b/>
          <w:bCs/>
          <w:iCs/>
          <w:sz w:val="22"/>
          <w:szCs w:val="22"/>
        </w:rPr>
        <w:t>QUINTO</w:t>
      </w:r>
      <w:r w:rsidRPr="00E0220E" w:rsidR="00C5176C">
        <w:rPr>
          <w:rFonts w:ascii="Palatino Linotype" w:hAnsi="Palatino Linotype" w:cs="Tahoma"/>
          <w:iCs/>
          <w:sz w:val="22"/>
          <w:szCs w:val="22"/>
        </w:rPr>
        <w:t xml:space="preserve"> y </w:t>
      </w:r>
      <w:r w:rsidRPr="00E0220E" w:rsidR="00C5176C">
        <w:rPr>
          <w:rFonts w:ascii="Palatino Linotype" w:hAnsi="Palatino Linotype" w:cs="Tahoma"/>
          <w:b/>
          <w:bCs/>
          <w:iCs/>
          <w:sz w:val="22"/>
          <w:szCs w:val="22"/>
        </w:rPr>
        <w:t>SEXTO</w:t>
      </w:r>
      <w:r w:rsidRPr="00E0220E" w:rsidR="00C5176C">
        <w:rPr>
          <w:rFonts w:ascii="Palatino Linotype" w:hAnsi="Palatino Linotype" w:cs="Tahoma"/>
          <w:iCs/>
          <w:sz w:val="22"/>
          <w:szCs w:val="22"/>
        </w:rPr>
        <w:t xml:space="preserve"> de la presente Resolución.</w:t>
      </w:r>
    </w:p>
    <w:p w:rsidRPr="00E0220E" w:rsidR="00C5176C" w:rsidP="0024622D" w:rsidRDefault="00C5176C" w14:paraId="1DD12F3B" w14:textId="77777777">
      <w:pPr>
        <w:spacing w:line="360" w:lineRule="auto"/>
        <w:contextualSpacing/>
        <w:jc w:val="both"/>
        <w:rPr>
          <w:rFonts w:ascii="Palatino Linotype" w:hAnsi="Palatino Linotype" w:eastAsia="Calibri" w:cs="Tahoma"/>
          <w:b/>
          <w:bCs/>
          <w:iCs/>
          <w:sz w:val="22"/>
          <w:szCs w:val="22"/>
          <w:lang w:eastAsia="en-US"/>
        </w:rPr>
      </w:pPr>
    </w:p>
    <w:p w:rsidRPr="00E0220E" w:rsidR="004C2B3B" w:rsidP="004C2B3B" w:rsidRDefault="004C2B3B" w14:paraId="15909D35" w14:textId="135FE65E">
      <w:pPr>
        <w:spacing w:line="360" w:lineRule="auto"/>
        <w:jc w:val="both"/>
        <w:rPr>
          <w:rFonts w:ascii="Palatino Linotype" w:hAnsi="Palatino Linotype" w:eastAsia="Calibri" w:cs="Tahoma"/>
          <w:iCs/>
          <w:sz w:val="22"/>
          <w:szCs w:val="22"/>
          <w:lang w:eastAsia="es-ES_tradnl"/>
        </w:rPr>
      </w:pPr>
      <w:r w:rsidRPr="00E0220E">
        <w:rPr>
          <w:rFonts w:ascii="Palatino Linotype" w:hAnsi="Palatino Linotype" w:eastAsia="Calibri" w:cs="Tahoma"/>
          <w:b/>
          <w:bCs/>
          <w:sz w:val="22"/>
          <w:szCs w:val="22"/>
        </w:rPr>
        <w:lastRenderedPageBreak/>
        <w:t xml:space="preserve">SEGUNDO. </w:t>
      </w:r>
      <w:r w:rsidRPr="00E0220E">
        <w:rPr>
          <w:rFonts w:ascii="Palatino Linotype" w:hAnsi="Palatino Linotype" w:cs="Arial"/>
          <w:sz w:val="22"/>
          <w:szCs w:val="24"/>
          <w:lang w:val="es-ES_tradnl"/>
        </w:rPr>
        <w:t>S</w:t>
      </w:r>
      <w:r w:rsidRPr="00E0220E">
        <w:rPr>
          <w:rFonts w:ascii="Palatino Linotype" w:hAnsi="Palatino Linotype" w:cs="Tahoma"/>
          <w:bCs/>
          <w:iCs/>
          <w:sz w:val="22"/>
          <w:szCs w:val="22"/>
          <w:lang w:val="es-ES_tradnl"/>
        </w:rPr>
        <w:t xml:space="preserve">e </w:t>
      </w:r>
      <w:r w:rsidRPr="00E0220E">
        <w:rPr>
          <w:rFonts w:ascii="Palatino Linotype" w:hAnsi="Palatino Linotype" w:cs="Tahoma"/>
          <w:b/>
          <w:bCs/>
          <w:iCs/>
          <w:caps/>
          <w:sz w:val="22"/>
          <w:szCs w:val="22"/>
          <w:lang w:val="es-ES_tradnl"/>
        </w:rPr>
        <w:t>ordena</w:t>
      </w:r>
      <w:r w:rsidRPr="00E0220E">
        <w:rPr>
          <w:rFonts w:ascii="Palatino Linotype" w:hAnsi="Palatino Linotype" w:cs="Tahoma"/>
          <w:bCs/>
          <w:iCs/>
          <w:sz w:val="22"/>
          <w:szCs w:val="22"/>
          <w:lang w:val="es-ES_tradnl"/>
        </w:rPr>
        <w:t xml:space="preserve"> al Ayuntamiento de Toluca,</w:t>
      </w:r>
      <w:r w:rsidRPr="00E0220E">
        <w:rPr>
          <w:rFonts w:ascii="Palatino Linotype" w:hAnsi="Palatino Linotype" w:cs="Tahoma"/>
          <w:bCs/>
          <w:sz w:val="22"/>
          <w:szCs w:val="22"/>
          <w:lang w:val="es-ES_tradnl"/>
        </w:rPr>
        <w:t xml:space="preserve"> </w:t>
      </w:r>
      <w:r w:rsidRPr="00E0220E">
        <w:rPr>
          <w:rFonts w:ascii="Palatino Linotype" w:hAnsi="Palatino Linotype" w:cs="Tahoma"/>
          <w:bCs/>
          <w:sz w:val="22"/>
          <w:szCs w:val="22"/>
        </w:rPr>
        <w:t xml:space="preserve">a efecto de que, previa </w:t>
      </w:r>
      <w:r w:rsidRPr="00E0220E">
        <w:rPr>
          <w:rFonts w:ascii="Palatino Linotype" w:hAnsi="Palatino Linotype" w:eastAsia="Calibri" w:cs="Tahoma"/>
          <w:iCs/>
          <w:sz w:val="22"/>
          <w:szCs w:val="22"/>
          <w:lang w:eastAsia="es-ES_tradnl"/>
        </w:rPr>
        <w:t>búsqueda exhaustiva y razonable, en todas las áreas competentes</w:t>
      </w:r>
      <w:r w:rsidRPr="00E0220E">
        <w:rPr>
          <w:rFonts w:ascii="Palatino Linotype" w:hAnsi="Palatino Linotype" w:cs="Tahoma"/>
          <w:sz w:val="22"/>
          <w:szCs w:val="22"/>
        </w:rPr>
        <w:t>, entregue, a través del Sistema de Acceso a la Información Mexiquense (SAIMEX)</w:t>
      </w:r>
      <w:r w:rsidRPr="00E0220E">
        <w:rPr>
          <w:rFonts w:ascii="Palatino Linotype" w:hAnsi="Palatino Linotype" w:eastAsia="Calibri" w:cs="Tahoma"/>
          <w:iCs/>
          <w:sz w:val="22"/>
          <w:szCs w:val="22"/>
          <w:lang w:eastAsia="es-ES_tradnl"/>
        </w:rPr>
        <w:t xml:space="preserve">, </w:t>
      </w:r>
      <w:r w:rsidRPr="00E0220E" w:rsidR="00C5176C">
        <w:rPr>
          <w:rFonts w:ascii="Palatino Linotype" w:hAnsi="Palatino Linotype" w:eastAsia="Calibri" w:cs="Tahoma"/>
          <w:iCs/>
          <w:sz w:val="22"/>
          <w:szCs w:val="22"/>
          <w:lang w:eastAsia="es-ES_tradnl"/>
        </w:rPr>
        <w:t xml:space="preserve">el documento donde conste </w:t>
      </w:r>
      <w:r w:rsidRPr="00E0220E">
        <w:rPr>
          <w:rFonts w:ascii="Palatino Linotype" w:hAnsi="Palatino Linotype" w:eastAsia="Calibri" w:cs="Tahoma"/>
          <w:iCs/>
          <w:sz w:val="22"/>
          <w:szCs w:val="22"/>
          <w:lang w:eastAsia="es-ES_tradnl"/>
        </w:rPr>
        <w:t>lo siguiente:</w:t>
      </w:r>
    </w:p>
    <w:p w:rsidRPr="00E0220E" w:rsidR="004C2B3B" w:rsidP="004C2B3B" w:rsidRDefault="004C2B3B" w14:paraId="67EBB333" w14:textId="77777777">
      <w:pPr>
        <w:tabs>
          <w:tab w:val="left" w:pos="4962"/>
        </w:tabs>
        <w:spacing w:line="360" w:lineRule="auto"/>
        <w:jc w:val="both"/>
        <w:rPr>
          <w:rFonts w:ascii="Palatino Linotype" w:hAnsi="Palatino Linotype" w:eastAsia="Calibri" w:cs="Tahoma"/>
          <w:iCs/>
          <w:sz w:val="22"/>
          <w:szCs w:val="24"/>
          <w:lang w:eastAsia="es-ES_tradnl"/>
        </w:rPr>
      </w:pPr>
    </w:p>
    <w:p w:rsidRPr="00E0220E" w:rsidR="004C2B3B" w:rsidP="00C5176C" w:rsidRDefault="004C2B3B" w14:paraId="5846872A" w14:textId="22D16CB7">
      <w:pPr>
        <w:pStyle w:val="Prrafodelista"/>
        <w:numPr>
          <w:ilvl w:val="0"/>
          <w:numId w:val="34"/>
        </w:numPr>
        <w:autoSpaceDE w:val="0"/>
        <w:autoSpaceDN w:val="0"/>
        <w:adjustRightInd w:val="0"/>
        <w:spacing w:line="360" w:lineRule="auto"/>
        <w:jc w:val="both"/>
        <w:rPr>
          <w:rFonts w:ascii="Palatino Linotype" w:hAnsi="Palatino Linotype"/>
          <w:bCs/>
          <w:iCs/>
          <w:szCs w:val="22"/>
        </w:rPr>
      </w:pPr>
      <w:r w:rsidRPr="00E0220E">
        <w:rPr>
          <w:rFonts w:ascii="Palatino Linotype" w:hAnsi="Palatino Linotype"/>
          <w:bCs/>
          <w:iCs/>
          <w:szCs w:val="22"/>
          <w:lang w:val="es-ES"/>
        </w:rPr>
        <w:t xml:space="preserve">El </w:t>
      </w:r>
      <w:r w:rsidRPr="00E0220E" w:rsidR="00C5176C">
        <w:rPr>
          <w:rFonts w:ascii="Palatino Linotype" w:hAnsi="Palatino Linotype"/>
          <w:bCs/>
          <w:iCs/>
          <w:szCs w:val="22"/>
        </w:rPr>
        <w:t>el número de escuelas que conociera el Ayuntamiento de Toluca, al treinta y uno de octubre de dos mil veintidós, con el mayor grado de desagregación posible (Federal, Estatal o Privadas).</w:t>
      </w:r>
    </w:p>
    <w:p w:rsidRPr="00E0220E" w:rsidR="004C2B3B" w:rsidP="004C2B3B" w:rsidRDefault="004C2B3B" w14:paraId="24BC35B8" w14:textId="77777777">
      <w:pPr>
        <w:spacing w:line="360" w:lineRule="auto"/>
        <w:ind w:left="360"/>
        <w:jc w:val="both"/>
        <w:rPr>
          <w:rFonts w:ascii="Palatino Linotype" w:hAnsi="Palatino Linotype" w:cs="Tahoma"/>
          <w:szCs w:val="22"/>
        </w:rPr>
      </w:pPr>
    </w:p>
    <w:p w:rsidRPr="00E0220E" w:rsidR="00C5176C" w:rsidP="004C2B3B" w:rsidRDefault="004C2B3B" w14:paraId="443E4B5F" w14:textId="6DB75240">
      <w:pPr>
        <w:spacing w:line="360" w:lineRule="auto"/>
        <w:jc w:val="both"/>
        <w:rPr>
          <w:rFonts w:ascii="Palatino Linotype" w:hAnsi="Palatino Linotype" w:eastAsia="Calibri" w:cs="Tahoma"/>
          <w:b/>
          <w:bCs/>
          <w:sz w:val="22"/>
          <w:szCs w:val="22"/>
        </w:rPr>
      </w:pPr>
      <w:r w:rsidRPr="00E0220E">
        <w:rPr>
          <w:rFonts w:ascii="Palatino Linotype" w:hAnsi="Palatino Linotype" w:eastAsia="Calibri" w:cs="Tahoma"/>
          <w:b/>
          <w:bCs/>
          <w:sz w:val="22"/>
          <w:szCs w:val="22"/>
        </w:rPr>
        <w:t xml:space="preserve">TERCERO. </w:t>
      </w:r>
      <w:r w:rsidRPr="00E0220E" w:rsidR="00C5176C">
        <w:rPr>
          <w:rFonts w:ascii="Palatino Linotype" w:hAnsi="Palatino Linotype" w:eastAsia="Calibri" w:cs="Tahoma"/>
          <w:bCs/>
          <w:iCs/>
          <w:sz w:val="22"/>
          <w:szCs w:val="22"/>
          <w:lang w:val="es-ES_tradnl"/>
        </w:rPr>
        <w:t xml:space="preserve">Con fundamento en el artículo 179, párrafo segundo, de la Ley de Transparencia y Acceso a la Información Pública del Estado de México y Municipios, se hace del conocimiento del Recurrente que tiene derecho a interponer nuevamente Recurso de Revisión ante este Instituto, por la respuesta que dé el Sujeto Obligado, en cumplimiento a esta Resolución.  </w:t>
      </w:r>
    </w:p>
    <w:p w:rsidRPr="00E0220E" w:rsidR="00C5176C" w:rsidP="004C2B3B" w:rsidRDefault="00C5176C" w14:paraId="00663068" w14:textId="77777777">
      <w:pPr>
        <w:spacing w:line="360" w:lineRule="auto"/>
        <w:jc w:val="both"/>
        <w:rPr>
          <w:rFonts w:ascii="Palatino Linotype" w:hAnsi="Palatino Linotype" w:eastAsia="Calibri" w:cs="Tahoma"/>
          <w:b/>
          <w:bCs/>
          <w:sz w:val="22"/>
          <w:szCs w:val="22"/>
        </w:rPr>
      </w:pPr>
    </w:p>
    <w:p w:rsidRPr="00E0220E" w:rsidR="004C2B3B" w:rsidP="004C2B3B" w:rsidRDefault="00C5176C" w14:paraId="6365970D" w14:textId="178D3BDB">
      <w:pPr>
        <w:spacing w:line="360" w:lineRule="auto"/>
        <w:jc w:val="both"/>
        <w:rPr>
          <w:rFonts w:ascii="Palatino Linotype" w:hAnsi="Palatino Linotype" w:cs="Tahoma"/>
          <w:sz w:val="22"/>
          <w:szCs w:val="22"/>
        </w:rPr>
      </w:pPr>
      <w:r w:rsidRPr="00E0220E">
        <w:rPr>
          <w:rFonts w:ascii="Palatino Linotype" w:hAnsi="Palatino Linotype" w:eastAsia="Calibri" w:cs="Tahoma"/>
          <w:b/>
          <w:bCs/>
          <w:sz w:val="22"/>
          <w:szCs w:val="22"/>
        </w:rPr>
        <w:t xml:space="preserve">CUARTO. </w:t>
      </w:r>
      <w:r w:rsidRPr="00E0220E" w:rsidR="004C2B3B">
        <w:rPr>
          <w:rFonts w:ascii="Palatino Linotype" w:hAnsi="Palatino Linotype" w:cs="Tahoma"/>
          <w:b/>
          <w:sz w:val="22"/>
          <w:szCs w:val="22"/>
        </w:rPr>
        <w:t xml:space="preserve">NOTIFÍQUESE </w:t>
      </w:r>
      <w:r w:rsidRPr="00E0220E" w:rsidR="004C2B3B">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E0220E" w:rsidR="004C2B3B" w:rsidP="004C2B3B" w:rsidRDefault="004C2B3B" w14:paraId="4B60CB4D" w14:textId="77777777">
      <w:pPr>
        <w:spacing w:line="360" w:lineRule="auto"/>
        <w:jc w:val="both"/>
        <w:rPr>
          <w:rFonts w:ascii="Palatino Linotype" w:hAnsi="Palatino Linotype" w:cs="Tahoma"/>
          <w:sz w:val="22"/>
          <w:szCs w:val="22"/>
        </w:rPr>
      </w:pPr>
    </w:p>
    <w:p w:rsidRPr="00E0220E" w:rsidR="004C2B3B" w:rsidP="004C2B3B" w:rsidRDefault="004C2B3B" w14:paraId="5B64334B" w14:textId="77777777">
      <w:pPr>
        <w:spacing w:line="360" w:lineRule="auto"/>
        <w:jc w:val="both"/>
        <w:rPr>
          <w:rFonts w:ascii="Palatino Linotype" w:hAnsi="Palatino Linotype" w:cs="Arial"/>
          <w:bCs/>
          <w:sz w:val="22"/>
          <w:szCs w:val="22"/>
        </w:rPr>
      </w:pPr>
      <w:r w:rsidRPr="00E0220E">
        <w:rPr>
          <w:rFonts w:ascii="Palatino Linotype" w:hAnsi="Palatino Linotype" w:cs="Arial"/>
          <w:b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E0220E" w:rsidR="004C2B3B" w:rsidP="004C2B3B" w:rsidRDefault="004C2B3B" w14:paraId="2E10BAC9" w14:textId="77777777">
      <w:pPr>
        <w:spacing w:line="360" w:lineRule="auto"/>
        <w:ind w:right="-93"/>
        <w:jc w:val="both"/>
        <w:rPr>
          <w:rFonts w:ascii="Palatino Linotype" w:hAnsi="Palatino Linotype" w:cs="Tahoma"/>
          <w:sz w:val="22"/>
          <w:szCs w:val="22"/>
        </w:rPr>
      </w:pPr>
    </w:p>
    <w:p w:rsidRPr="00E0220E" w:rsidR="004C2B3B" w:rsidP="004C2B3B" w:rsidRDefault="00C5176C" w14:paraId="52DA7222" w14:textId="54D6CDC8">
      <w:pPr>
        <w:spacing w:line="360" w:lineRule="auto"/>
        <w:ind w:right="-93"/>
        <w:jc w:val="both"/>
        <w:rPr>
          <w:rFonts w:ascii="Palatino Linotype" w:hAnsi="Palatino Linotype" w:cs="Tahoma"/>
          <w:sz w:val="22"/>
          <w:szCs w:val="22"/>
        </w:rPr>
      </w:pPr>
      <w:r w:rsidRPr="00E0220E">
        <w:rPr>
          <w:rFonts w:ascii="Palatino Linotype" w:hAnsi="Palatino Linotype" w:eastAsia="Calibri" w:cs="Tahoma"/>
          <w:b/>
          <w:sz w:val="22"/>
          <w:szCs w:val="22"/>
          <w:lang w:eastAsia="es-MX"/>
        </w:rPr>
        <w:lastRenderedPageBreak/>
        <w:t>QUIN</w:t>
      </w:r>
      <w:r w:rsidRPr="00E0220E" w:rsidR="004C2B3B">
        <w:rPr>
          <w:rFonts w:ascii="Palatino Linotype" w:hAnsi="Palatino Linotype" w:eastAsia="Calibri" w:cs="Tahoma"/>
          <w:b/>
          <w:sz w:val="22"/>
          <w:szCs w:val="22"/>
          <w:lang w:eastAsia="es-MX"/>
        </w:rPr>
        <w:t>TO</w:t>
      </w:r>
      <w:r w:rsidRPr="00E0220E" w:rsidR="004C2B3B">
        <w:rPr>
          <w:rFonts w:ascii="Palatino Linotype" w:hAnsi="Palatino Linotype" w:eastAsia="Calibri" w:cs="Tahoma"/>
          <w:b/>
          <w:bCs/>
          <w:sz w:val="22"/>
          <w:szCs w:val="22"/>
          <w:lang w:eastAsia="en-US"/>
        </w:rPr>
        <w:t>.</w:t>
      </w:r>
      <w:r w:rsidRPr="00E0220E" w:rsidR="004C2B3B">
        <w:rPr>
          <w:rFonts w:ascii="Palatino Linotype" w:hAnsi="Palatino Linotype" w:eastAsia="Calibri" w:cs="Tahoma"/>
          <w:sz w:val="22"/>
          <w:szCs w:val="22"/>
          <w:lang w:eastAsia="es-MX"/>
        </w:rPr>
        <w:t xml:space="preserve"> </w:t>
      </w:r>
      <w:r w:rsidRPr="00E0220E" w:rsidR="004C2B3B">
        <w:rPr>
          <w:rFonts w:ascii="Palatino Linotype" w:hAnsi="Palatino Linotype" w:cs="Tahoma"/>
          <w:b/>
          <w:sz w:val="22"/>
          <w:szCs w:val="22"/>
        </w:rPr>
        <w:t>NOTIFÍQUESE</w:t>
      </w:r>
      <w:r w:rsidRPr="00E0220E" w:rsidR="004C2B3B">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E0220E" w:rsidR="00836192" w:rsidP="0024622D" w:rsidRDefault="00836192" w14:paraId="2244A856" w14:textId="77777777">
      <w:pPr>
        <w:spacing w:line="360" w:lineRule="auto"/>
        <w:jc w:val="both"/>
        <w:rPr>
          <w:rFonts w:ascii="Palatino Linotype" w:hAnsi="Palatino Linotype" w:cs="Arial"/>
          <w:b/>
          <w:bCs/>
          <w:color w:val="000000" w:themeColor="text1"/>
          <w:sz w:val="22"/>
          <w:szCs w:val="22"/>
        </w:rPr>
      </w:pPr>
    </w:p>
    <w:p w:rsidR="00E749CF" w:rsidP="0024622D" w:rsidRDefault="006B5DC1" w14:paraId="0E4C7770" w14:textId="7FA39C7B">
      <w:pPr>
        <w:spacing w:line="360" w:lineRule="auto"/>
        <w:ind w:right="-93"/>
        <w:jc w:val="both"/>
      </w:pPr>
      <w:r w:rsidRPr="00E0220E">
        <w:rPr>
          <w:rFonts w:ascii="Palatino Linotype" w:hAnsi="Palatino Linotype" w:eastAsia="Calibri" w:cs="Tahoma"/>
          <w:bCs/>
          <w:sz w:val="22"/>
          <w:szCs w:val="22"/>
          <w:lang w:eastAsia="en-US"/>
        </w:rPr>
        <w:t>ASÍ LO RESUELVE, POR </w:t>
      </w:r>
      <w:r w:rsidRPr="00E0220E">
        <w:rPr>
          <w:rFonts w:ascii="Palatino Linotype" w:hAnsi="Palatino Linotype" w:eastAsia="Calibri" w:cs="Tahoma"/>
          <w:b/>
          <w:bCs/>
          <w:sz w:val="22"/>
          <w:szCs w:val="22"/>
          <w:lang w:eastAsia="en-US"/>
        </w:rPr>
        <w:t>UNANIMIDAD</w:t>
      </w:r>
      <w:r w:rsidRPr="00E0220E">
        <w:rPr>
          <w:rFonts w:ascii="Palatino Linotype" w:hAnsi="Palatino Linotype" w:eastAsia="Calibri" w:cs="Tahoma"/>
          <w:bCs/>
          <w:sz w:val="22"/>
          <w:szCs w:val="22"/>
          <w:lang w:eastAsia="en-U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E0220E" w:rsidR="00A22F37">
        <w:rPr>
          <w:rFonts w:ascii="Palatino Linotype" w:hAnsi="Palatino Linotype" w:eastAsia="Calibri" w:cs="Tahoma"/>
          <w:bCs/>
          <w:sz w:val="22"/>
          <w:szCs w:val="22"/>
          <w:lang w:eastAsia="en-US"/>
        </w:rPr>
        <w:t>NOVENA</w:t>
      </w:r>
      <w:r w:rsidRPr="00E0220E">
        <w:rPr>
          <w:rFonts w:ascii="Palatino Linotype" w:hAnsi="Palatino Linotype" w:eastAsia="Calibri" w:cs="Tahoma"/>
          <w:bCs/>
          <w:sz w:val="22"/>
          <w:szCs w:val="22"/>
          <w:lang w:eastAsia="en-US"/>
        </w:rPr>
        <w:t xml:space="preserve"> SESIÓN ORDINARIA, CELEBRADA EL </w:t>
      </w:r>
      <w:r w:rsidRPr="00E0220E" w:rsidR="00A22F37">
        <w:rPr>
          <w:rFonts w:ascii="Palatino Linotype" w:hAnsi="Palatino Linotype" w:eastAsia="Calibri" w:cs="Tahoma"/>
          <w:bCs/>
          <w:sz w:val="22"/>
          <w:szCs w:val="22"/>
          <w:lang w:eastAsia="en-US"/>
        </w:rPr>
        <w:t xml:space="preserve">OCHO </w:t>
      </w:r>
      <w:r w:rsidRPr="00E0220E">
        <w:rPr>
          <w:rFonts w:ascii="Palatino Linotype" w:hAnsi="Palatino Linotype" w:eastAsia="Calibri" w:cs="Tahoma"/>
          <w:bCs/>
          <w:sz w:val="22"/>
          <w:szCs w:val="22"/>
          <w:lang w:eastAsia="en-US"/>
        </w:rPr>
        <w:t xml:space="preserve">DE </w:t>
      </w:r>
      <w:r w:rsidRPr="00E0220E" w:rsidR="00A22F37">
        <w:rPr>
          <w:rFonts w:ascii="Palatino Linotype" w:hAnsi="Palatino Linotype" w:eastAsia="Calibri" w:cs="Tahoma"/>
          <w:bCs/>
          <w:sz w:val="22"/>
          <w:szCs w:val="22"/>
          <w:lang w:eastAsia="en-US"/>
        </w:rPr>
        <w:t>NOVIEMBRE</w:t>
      </w:r>
      <w:r w:rsidRPr="00E0220E">
        <w:rPr>
          <w:rFonts w:ascii="Palatino Linotype" w:hAnsi="Palatino Linotype" w:eastAsia="Calibri" w:cs="Tahoma"/>
          <w:bCs/>
          <w:sz w:val="22"/>
          <w:szCs w:val="22"/>
          <w:lang w:eastAsia="en-US"/>
        </w:rPr>
        <w:t xml:space="preserve"> DE DOS MIL VEINTI</w:t>
      </w:r>
      <w:r w:rsidRPr="00E0220E" w:rsidR="00A22F37">
        <w:rPr>
          <w:rFonts w:ascii="Palatino Linotype" w:hAnsi="Palatino Linotype" w:eastAsia="Calibri" w:cs="Tahoma"/>
          <w:bCs/>
          <w:sz w:val="22"/>
          <w:szCs w:val="22"/>
          <w:lang w:eastAsia="en-US"/>
        </w:rPr>
        <w:t>TRÉS</w:t>
      </w:r>
      <w:r w:rsidRPr="00E0220E">
        <w:rPr>
          <w:rFonts w:ascii="Palatino Linotype" w:hAnsi="Palatino Linotype" w:eastAsia="Calibri" w:cs="Tahoma"/>
          <w:bCs/>
          <w:sz w:val="22"/>
          <w:szCs w:val="22"/>
          <w:lang w:eastAsia="en-US"/>
        </w:rPr>
        <w:t>, ANTE EL SECRETARIO TÉCNICO DEL PLENO, ALEXIS TAPIA RAMÍREZ.</w:t>
      </w:r>
      <w:r w:rsidR="00836192">
        <w:rPr>
          <w:rFonts w:ascii="Palatino Linotype" w:hAnsi="Palatino Linotype" w:eastAsia="Calibri" w:cs="Tahoma"/>
          <w:b/>
          <w:bCs/>
          <w:sz w:val="22"/>
          <w:szCs w:val="22"/>
          <w:lang w:eastAsia="en-US"/>
        </w:rPr>
        <w:br w:type="page"/>
      </w:r>
    </w:p>
    <w:sectPr w:rsidR="00E749CF" w:rsidSect="00C519FA">
      <w:headerReference w:type="even" r:id="rId18"/>
      <w:headerReference w:type="default" r:id="rId19"/>
      <w:footerReference w:type="even" r:id="rId20"/>
      <w:footerReference w:type="default" r:id="rId21"/>
      <w:headerReference w:type="first" r:id="rId22"/>
      <w:footerReference w:type="first" r:id="rId23"/>
      <w:pgSz w:w="12240" w:h="15840" w:orient="portrait"/>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0079D" w:rsidP="0095634C" w:rsidRDefault="0090079D" w14:paraId="19AC02B3" w14:textId="77777777">
      <w:r>
        <w:separator/>
      </w:r>
    </w:p>
  </w:endnote>
  <w:endnote w:type="continuationSeparator" w:id="0">
    <w:p w:rsidR="0090079D" w:rsidP="0095634C" w:rsidRDefault="0090079D" w14:paraId="7E2315C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25BA" w:rsidRDefault="00D37132" w14:paraId="5F8E97D8" w14:textId="77777777">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p>
  <w:p w:rsidR="00AA25BA" w:rsidRDefault="00E0220E" w14:paraId="7C6413FB"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1576908"/>
      <w:docPartObj>
        <w:docPartGallery w:val="Page Numbers (Bottom of Page)"/>
        <w:docPartUnique/>
      </w:docPartObj>
    </w:sdtPr>
    <w:sdtEndPr/>
    <w:sdtContent>
      <w:sdt>
        <w:sdtPr>
          <w:id w:val="736206068"/>
          <w:docPartObj>
            <w:docPartGallery w:val="Page Numbers (Top of Page)"/>
            <w:docPartUnique/>
          </w:docPartObj>
        </w:sdtPr>
        <w:sdtEndPr/>
        <w:sdtContent>
          <w:p w:rsidR="00AA25BA" w:rsidRDefault="00D37132" w14:paraId="3613C1FE" w14:textId="77777777">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D91F93">
              <w:rPr>
                <w:rFonts w:ascii="Palatino Linotype" w:hAnsi="Palatino Linotype"/>
                <w:b/>
                <w:bCs/>
                <w:noProof/>
                <w:sz w:val="22"/>
                <w:szCs w:val="22"/>
              </w:rPr>
              <w:t>23</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D91F93">
              <w:rPr>
                <w:rFonts w:ascii="Palatino Linotype" w:hAnsi="Palatino Linotype"/>
                <w:b/>
                <w:bCs/>
                <w:noProof/>
                <w:sz w:val="22"/>
                <w:szCs w:val="22"/>
              </w:rPr>
              <w:t>25</w:t>
            </w:r>
            <w:r w:rsidRPr="00AA25BA">
              <w:rPr>
                <w:rFonts w:ascii="Palatino Linotype" w:hAnsi="Palatino Linotype"/>
                <w:b/>
                <w:bCs/>
                <w:sz w:val="22"/>
                <w:szCs w:val="22"/>
              </w:rPr>
              <w:fldChar w:fldCharType="end"/>
            </w:r>
          </w:p>
        </w:sdtContent>
      </w:sdt>
    </w:sdtContent>
  </w:sdt>
  <w:p w:rsidR="00AA25BA" w:rsidRDefault="00E0220E" w14:paraId="2F0605D7"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A25BA" w:rsidR="00AA25BA" w:rsidRDefault="00D37132" w14:paraId="76DDF1F7" w14:textId="77777777">
    <w:pPr>
      <w:pStyle w:val="Piedepgina"/>
      <w:jc w:val="right"/>
      <w:rPr>
        <w:rFonts w:ascii="Palatino Linotype" w:hAnsi="Palatino Linotype"/>
        <w:sz w:val="22"/>
        <w:szCs w:val="22"/>
      </w:rPr>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8E1719">
      <w:rPr>
        <w:rFonts w:ascii="Palatino Linotype" w:hAnsi="Palatino Linotype"/>
        <w:b/>
        <w:bCs/>
        <w:noProof/>
        <w:sz w:val="22"/>
        <w:szCs w:val="22"/>
      </w:rPr>
      <w:t>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8E1719">
      <w:rPr>
        <w:rFonts w:ascii="Palatino Linotype" w:hAnsi="Palatino Linotype"/>
        <w:b/>
        <w:bCs/>
        <w:noProof/>
        <w:sz w:val="22"/>
        <w:szCs w:val="22"/>
      </w:rPr>
      <w:t>25</w:t>
    </w:r>
    <w:r w:rsidRPr="00AA25BA">
      <w:rPr>
        <w:rFonts w:ascii="Palatino Linotype" w:hAnsi="Palatino Linotype"/>
        <w:b/>
        <w:bCs/>
        <w:sz w:val="22"/>
        <w:szCs w:val="22"/>
      </w:rPr>
      <w:fldChar w:fldCharType="end"/>
    </w:r>
  </w:p>
  <w:p w:rsidR="00AA25BA" w:rsidRDefault="00E0220E" w14:paraId="3B988A6A"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0079D" w:rsidP="0095634C" w:rsidRDefault="0090079D" w14:paraId="48E8A60B" w14:textId="77777777">
      <w:r>
        <w:separator/>
      </w:r>
    </w:p>
  </w:footnote>
  <w:footnote w:type="continuationSeparator" w:id="0">
    <w:p w:rsidR="0090079D" w:rsidP="0095634C" w:rsidRDefault="0090079D" w14:paraId="7280510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705" w:type="dxa"/>
      <w:tblLayout w:type="fixed"/>
      <w:tblLook w:val="04A0" w:firstRow="1" w:lastRow="0" w:firstColumn="1" w:lastColumn="0" w:noHBand="0" w:noVBand="1"/>
    </w:tblPr>
    <w:tblGrid>
      <w:gridCol w:w="2972"/>
      <w:gridCol w:w="6733"/>
    </w:tblGrid>
    <w:tr w:rsidR="00C519FA" w:rsidTr="00C519FA" w14:paraId="79D54291" w14:textId="77777777">
      <w:trPr>
        <w:trHeight w:val="1435"/>
      </w:trPr>
      <w:tc>
        <w:tcPr>
          <w:tcW w:w="2972" w:type="dxa"/>
        </w:tcPr>
        <w:p w:rsidR="00C519FA" w:rsidP="00C519FA" w:rsidRDefault="00E0220E" w14:paraId="09131A3E" w14:textId="77777777">
          <w:pPr>
            <w:tabs>
              <w:tab w:val="right" w:pos="4273"/>
            </w:tabs>
            <w:spacing w:line="256" w:lineRule="auto"/>
            <w:rPr>
              <w:rFonts w:ascii="Garamond" w:hAnsi="Garamond" w:eastAsia="Calibri"/>
              <w:sz w:val="22"/>
              <w:szCs w:val="22"/>
              <w:lang w:eastAsia="en-US"/>
            </w:rPr>
          </w:pPr>
        </w:p>
      </w:tc>
      <w:tc>
        <w:tcPr>
          <w:tcW w:w="6733" w:type="dxa"/>
          <w:hideMark/>
        </w:tcPr>
        <w:tbl>
          <w:tblPr>
            <w:tblStyle w:val="Tablaconcuadrcula"/>
            <w:tblW w:w="5535" w:type="dxa"/>
            <w:tblInd w:w="32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47"/>
            <w:gridCol w:w="3088"/>
          </w:tblGrid>
          <w:tr w:rsidR="004605AA" w:rsidTr="005D2B6E" w14:paraId="3B03FB1C" w14:textId="77777777">
            <w:trPr>
              <w:trHeight w:val="144"/>
            </w:trPr>
            <w:tc>
              <w:tcPr>
                <w:tcW w:w="2447" w:type="dxa"/>
                <w:hideMark/>
              </w:tcPr>
              <w:p w:rsidRPr="008A245E" w:rsidR="004605AA" w:rsidP="004605AA" w:rsidRDefault="00D37132" w14:paraId="3CE26B04" w14:textId="77777777">
                <w:pPr>
                  <w:tabs>
                    <w:tab w:val="right" w:pos="8838"/>
                  </w:tabs>
                  <w:ind w:left="-69" w:right="-105"/>
                  <w:rPr>
                    <w:rFonts w:ascii="Palatino Linotype" w:hAnsi="Palatino Linotype" w:eastAsia="Calibri" w:cs="Tahoma"/>
                    <w:b/>
                    <w:sz w:val="22"/>
                    <w:szCs w:val="22"/>
                    <w:lang w:eastAsia="en-US"/>
                  </w:rPr>
                </w:pPr>
                <w:r w:rsidRPr="008A245E">
                  <w:rPr>
                    <w:rFonts w:ascii="Palatino Linotype" w:hAnsi="Palatino Linotype" w:eastAsia="Calibri" w:cs="Tahoma"/>
                    <w:b/>
                    <w:sz w:val="22"/>
                    <w:szCs w:val="22"/>
                    <w:lang w:eastAsia="en-US"/>
                  </w:rPr>
                  <w:t>Recurso de Revisión:</w:t>
                </w:r>
              </w:p>
            </w:tc>
            <w:tc>
              <w:tcPr>
                <w:tcW w:w="3088" w:type="dxa"/>
                <w:hideMark/>
              </w:tcPr>
              <w:p w:rsidRPr="008A245E" w:rsidR="004605AA" w:rsidP="004605AA" w:rsidRDefault="00D37132" w14:paraId="55305A45" w14:textId="77777777">
                <w:pPr>
                  <w:tabs>
                    <w:tab w:val="right" w:pos="8838"/>
                  </w:tabs>
                  <w:ind w:left="-74" w:right="-105"/>
                  <w:jc w:val="both"/>
                  <w:rPr>
                    <w:rFonts w:ascii="Palatino Linotype" w:hAnsi="Palatino Linotype" w:eastAsia="Calibri" w:cs="Tahoma"/>
                    <w:bCs/>
                    <w:sz w:val="22"/>
                    <w:szCs w:val="22"/>
                    <w:lang w:eastAsia="en-US"/>
                  </w:rPr>
                </w:pPr>
                <w:r w:rsidRPr="008A245E">
                  <w:rPr>
                    <w:rFonts w:ascii="Palatino Linotype" w:hAnsi="Palatino Linotype" w:eastAsia="Calibri" w:cs="Tahoma"/>
                    <w:bCs/>
                    <w:sz w:val="22"/>
                    <w:szCs w:val="22"/>
                    <w:lang w:val="es-MX" w:eastAsia="en-US"/>
                  </w:rPr>
                  <w:t>02946/INFOEM/IP/RR/2021</w:t>
                </w:r>
              </w:p>
            </w:tc>
          </w:tr>
          <w:tr w:rsidR="004605AA" w:rsidTr="005D2B6E" w14:paraId="15071BA1" w14:textId="77777777">
            <w:trPr>
              <w:trHeight w:val="283"/>
            </w:trPr>
            <w:tc>
              <w:tcPr>
                <w:tcW w:w="2447" w:type="dxa"/>
                <w:hideMark/>
              </w:tcPr>
              <w:p w:rsidRPr="008A245E" w:rsidR="004605AA" w:rsidP="004605AA" w:rsidRDefault="00D37132" w14:paraId="22C5262F" w14:textId="77777777">
                <w:pPr>
                  <w:tabs>
                    <w:tab w:val="right" w:pos="8838"/>
                  </w:tabs>
                  <w:ind w:left="-74" w:right="-105"/>
                  <w:rPr>
                    <w:rFonts w:ascii="Palatino Linotype" w:hAnsi="Palatino Linotype" w:eastAsia="Calibri" w:cs="Tahoma"/>
                    <w:b/>
                    <w:sz w:val="22"/>
                    <w:szCs w:val="22"/>
                    <w:lang w:eastAsia="en-US"/>
                  </w:rPr>
                </w:pPr>
                <w:r w:rsidRPr="008A245E">
                  <w:rPr>
                    <w:rFonts w:ascii="Palatino Linotype" w:hAnsi="Palatino Linotype" w:eastAsia="Calibri" w:cs="Tahoma"/>
                    <w:b/>
                    <w:sz w:val="22"/>
                    <w:szCs w:val="22"/>
                    <w:lang w:eastAsia="en-US"/>
                  </w:rPr>
                  <w:t>Sujeto Obligado:</w:t>
                </w:r>
              </w:p>
            </w:tc>
            <w:tc>
              <w:tcPr>
                <w:tcW w:w="3088" w:type="dxa"/>
                <w:hideMark/>
              </w:tcPr>
              <w:p w:rsidRPr="008A245E" w:rsidR="004605AA" w:rsidP="004605AA" w:rsidRDefault="00D37132" w14:paraId="005697B8" w14:textId="77777777">
                <w:pPr>
                  <w:tabs>
                    <w:tab w:val="left" w:pos="2834"/>
                    <w:tab w:val="right" w:pos="8838"/>
                  </w:tabs>
                  <w:ind w:left="-74" w:right="-105"/>
                  <w:jc w:val="both"/>
                  <w:rPr>
                    <w:rFonts w:ascii="Palatino Linotype" w:hAnsi="Palatino Linotype" w:eastAsia="Calibri" w:cs="Tahoma"/>
                    <w:b/>
                    <w:sz w:val="22"/>
                    <w:szCs w:val="22"/>
                    <w:lang w:eastAsia="en-US"/>
                  </w:rPr>
                </w:pPr>
                <w:r w:rsidRPr="008A245E">
                  <w:rPr>
                    <w:rFonts w:ascii="Palatino Linotype" w:hAnsi="Palatino Linotype" w:eastAsia="Calibri" w:cs="Tahoma"/>
                    <w:sz w:val="22"/>
                    <w:szCs w:val="22"/>
                    <w:lang w:val="es-MX" w:eastAsia="en-US"/>
                  </w:rPr>
                  <w:t>Ayuntamiento de San Antonio la Isla</w:t>
                </w:r>
              </w:p>
            </w:tc>
          </w:tr>
          <w:tr w:rsidR="004605AA" w:rsidTr="005D2B6E" w14:paraId="4E4D191A" w14:textId="77777777">
            <w:trPr>
              <w:trHeight w:val="283"/>
            </w:trPr>
            <w:tc>
              <w:tcPr>
                <w:tcW w:w="2447" w:type="dxa"/>
                <w:hideMark/>
              </w:tcPr>
              <w:p w:rsidRPr="008A245E" w:rsidR="004605AA" w:rsidP="004605AA" w:rsidRDefault="00D37132" w14:paraId="4CBBA24A" w14:textId="77777777">
                <w:pPr>
                  <w:tabs>
                    <w:tab w:val="right" w:pos="8838"/>
                  </w:tabs>
                  <w:ind w:left="-74" w:right="-105"/>
                  <w:rPr>
                    <w:rFonts w:ascii="Palatino Linotype" w:hAnsi="Palatino Linotype" w:eastAsia="Calibri" w:cs="Tahoma"/>
                    <w:b/>
                    <w:sz w:val="22"/>
                    <w:szCs w:val="22"/>
                    <w:lang w:eastAsia="en-US"/>
                  </w:rPr>
                </w:pPr>
                <w:r w:rsidRPr="008A245E">
                  <w:rPr>
                    <w:rFonts w:ascii="Palatino Linotype" w:hAnsi="Palatino Linotype" w:eastAsia="Calibri" w:cs="Tahoma"/>
                    <w:b/>
                    <w:sz w:val="22"/>
                    <w:szCs w:val="22"/>
                    <w:lang w:eastAsia="en-US"/>
                  </w:rPr>
                  <w:t>Comisionado Ponente:</w:t>
                </w:r>
              </w:p>
            </w:tc>
            <w:tc>
              <w:tcPr>
                <w:tcW w:w="3088" w:type="dxa"/>
              </w:tcPr>
              <w:p w:rsidRPr="008A245E" w:rsidR="004605AA" w:rsidP="004605AA" w:rsidRDefault="00D37132" w14:paraId="554DDEEF" w14:textId="77777777">
                <w:pPr>
                  <w:tabs>
                    <w:tab w:val="right" w:pos="8838"/>
                  </w:tabs>
                  <w:ind w:left="-74" w:right="-105"/>
                  <w:jc w:val="both"/>
                  <w:rPr>
                    <w:rFonts w:ascii="Palatino Linotype" w:hAnsi="Palatino Linotype" w:eastAsia="Calibri" w:cs="Tahoma"/>
                    <w:sz w:val="22"/>
                    <w:szCs w:val="22"/>
                    <w:lang w:eastAsia="en-US"/>
                  </w:rPr>
                </w:pPr>
                <w:r w:rsidRPr="008A245E">
                  <w:rPr>
                    <w:rFonts w:ascii="Palatino Linotype" w:hAnsi="Palatino Linotype" w:eastAsia="Calibri" w:cs="Tahoma"/>
                    <w:sz w:val="22"/>
                    <w:szCs w:val="22"/>
                    <w:lang w:eastAsia="en-US"/>
                  </w:rPr>
                  <w:t>Luis Gustavo Parra Noriega</w:t>
                </w:r>
              </w:p>
              <w:p w:rsidRPr="008A245E" w:rsidR="004605AA" w:rsidP="004605AA" w:rsidRDefault="00E0220E" w14:paraId="276E5204" w14:textId="77777777">
                <w:pPr>
                  <w:tabs>
                    <w:tab w:val="right" w:pos="8838"/>
                  </w:tabs>
                  <w:ind w:left="-74" w:right="-105"/>
                  <w:jc w:val="both"/>
                  <w:rPr>
                    <w:rFonts w:ascii="Palatino Linotype" w:hAnsi="Palatino Linotype" w:eastAsia="Calibri" w:cs="Tahoma"/>
                    <w:b/>
                    <w:sz w:val="22"/>
                    <w:szCs w:val="22"/>
                    <w:lang w:eastAsia="en-US"/>
                  </w:rPr>
                </w:pPr>
              </w:p>
            </w:tc>
          </w:tr>
        </w:tbl>
        <w:p w:rsidR="00C519FA" w:rsidP="00C519FA" w:rsidRDefault="00E0220E" w14:paraId="7EC8D661" w14:textId="77777777">
          <w:pPr>
            <w:tabs>
              <w:tab w:val="right" w:pos="8838"/>
            </w:tabs>
            <w:spacing w:line="256" w:lineRule="auto"/>
            <w:ind w:left="-28"/>
            <w:jc w:val="both"/>
            <w:rPr>
              <w:rFonts w:ascii="Arial" w:hAnsi="Arial" w:eastAsia="Calibri" w:cs="Arial"/>
              <w:b/>
              <w:sz w:val="22"/>
              <w:szCs w:val="22"/>
              <w:lang w:eastAsia="en-US"/>
            </w:rPr>
          </w:pPr>
        </w:p>
      </w:tc>
    </w:tr>
  </w:tbl>
  <w:p w:rsidR="00C519FA" w:rsidRDefault="00836192" w14:paraId="0567B448" w14:textId="61DE527E">
    <w:pPr>
      <w:pStyle w:val="Encabezado"/>
    </w:pPr>
    <w:r>
      <w:rPr>
        <w:rFonts w:ascii="Garamond" w:hAnsi="Garamond" w:eastAsia="Calibri"/>
        <w:noProof/>
        <w:sz w:val="22"/>
        <w:szCs w:val="22"/>
        <w:lang w:eastAsia="es-MX"/>
      </w:rPr>
      <w:drawing>
        <wp:anchor distT="0" distB="0" distL="114300" distR="114300" simplePos="0" relativeHeight="251656704" behindDoc="1" locked="0" layoutInCell="0" allowOverlap="1" wp14:anchorId="00BE5D96" wp14:editId="7F04452A">
          <wp:simplePos x="0" y="0"/>
          <wp:positionH relativeFrom="margin">
            <wp:posOffset>-1381125</wp:posOffset>
          </wp:positionH>
          <wp:positionV relativeFrom="margin">
            <wp:posOffset>-1611630</wp:posOffset>
          </wp:positionV>
          <wp:extent cx="5612130" cy="7308215"/>
          <wp:effectExtent l="0" t="0" r="7620"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308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705" w:type="dxa"/>
      <w:tblLayout w:type="fixed"/>
      <w:tblLook w:val="04A0" w:firstRow="1" w:lastRow="0" w:firstColumn="1" w:lastColumn="0" w:noHBand="0" w:noVBand="1"/>
    </w:tblPr>
    <w:tblGrid>
      <w:gridCol w:w="2972"/>
      <w:gridCol w:w="6733"/>
    </w:tblGrid>
    <w:tr w:rsidR="00C519FA" w:rsidTr="00C519FA" w14:paraId="6E062579" w14:textId="77777777">
      <w:trPr>
        <w:trHeight w:val="1435"/>
      </w:trPr>
      <w:tc>
        <w:tcPr>
          <w:tcW w:w="2972" w:type="dxa"/>
        </w:tcPr>
        <w:p w:rsidR="00C519FA" w:rsidP="00C519FA" w:rsidRDefault="007D2BD0" w14:paraId="0B7A3F48" w14:textId="72A6E07E">
          <w:pPr>
            <w:tabs>
              <w:tab w:val="right" w:pos="4273"/>
            </w:tabs>
            <w:spacing w:line="256" w:lineRule="auto"/>
            <w:rPr>
              <w:rFonts w:ascii="Garamond" w:hAnsi="Garamond" w:eastAsia="Calibri"/>
              <w:sz w:val="22"/>
              <w:szCs w:val="22"/>
              <w:lang w:eastAsia="en-US"/>
            </w:rPr>
          </w:pPr>
          <w:r>
            <w:rPr>
              <w:rFonts w:ascii="Garamond" w:hAnsi="Garamond" w:eastAsia="Calibri"/>
              <w:noProof/>
              <w:sz w:val="22"/>
              <w:szCs w:val="22"/>
              <w:lang w:eastAsia="es-MX"/>
            </w:rPr>
            <w:drawing>
              <wp:anchor distT="0" distB="0" distL="114300" distR="114300" simplePos="0" relativeHeight="251657728" behindDoc="1" locked="0" layoutInCell="0" allowOverlap="1" wp14:anchorId="2218FD0A" wp14:editId="7B52229C">
                <wp:simplePos x="0" y="0"/>
                <wp:positionH relativeFrom="margin">
                  <wp:posOffset>-1145540</wp:posOffset>
                </wp:positionH>
                <wp:positionV relativeFrom="margin">
                  <wp:posOffset>-396240</wp:posOffset>
                </wp:positionV>
                <wp:extent cx="7836195" cy="10204432"/>
                <wp:effectExtent l="0" t="0" r="0"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6195" cy="10204432"/>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hideMark/>
        </w:tcPr>
        <w:p w:rsidR="00755B38" w:rsidRDefault="00755B38" w14:paraId="749D89BF" w14:textId="77777777"/>
        <w:tbl>
          <w:tblPr>
            <w:tblStyle w:val="Tablaconcuadrcula"/>
            <w:tblW w:w="5670" w:type="dxa"/>
            <w:tblInd w:w="4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19"/>
            <w:gridCol w:w="3251"/>
          </w:tblGrid>
          <w:tr w:rsidR="00C519FA" w:rsidTr="002E4BC1" w14:paraId="391D395B" w14:textId="77777777">
            <w:trPr>
              <w:trHeight w:val="168"/>
            </w:trPr>
            <w:tc>
              <w:tcPr>
                <w:tcW w:w="2419" w:type="dxa"/>
                <w:hideMark/>
              </w:tcPr>
              <w:p w:rsidR="00F13829" w:rsidP="00C519FA" w:rsidRDefault="00F13829" w14:paraId="51B62AEA" w14:textId="77777777">
                <w:pPr>
                  <w:tabs>
                    <w:tab w:val="right" w:pos="8838"/>
                  </w:tabs>
                  <w:ind w:left="-69" w:right="-105"/>
                  <w:rPr>
                    <w:rFonts w:ascii="Palatino Linotype" w:hAnsi="Palatino Linotype" w:eastAsia="Calibri" w:cs="Tahoma"/>
                    <w:b/>
                    <w:sz w:val="22"/>
                    <w:szCs w:val="22"/>
                    <w:lang w:eastAsia="en-US"/>
                  </w:rPr>
                </w:pPr>
              </w:p>
              <w:p w:rsidRPr="008A245E" w:rsidR="00C519FA" w:rsidP="00C519FA" w:rsidRDefault="00D37132" w14:paraId="6BDA7469" w14:textId="77777777">
                <w:pPr>
                  <w:tabs>
                    <w:tab w:val="right" w:pos="8838"/>
                  </w:tabs>
                  <w:ind w:left="-69" w:right="-105"/>
                  <w:rPr>
                    <w:rFonts w:ascii="Palatino Linotype" w:hAnsi="Palatino Linotype" w:eastAsia="Calibri" w:cs="Tahoma"/>
                    <w:b/>
                    <w:sz w:val="22"/>
                    <w:szCs w:val="22"/>
                    <w:lang w:eastAsia="en-US"/>
                  </w:rPr>
                </w:pPr>
                <w:r w:rsidRPr="008A245E">
                  <w:rPr>
                    <w:rFonts w:ascii="Palatino Linotype" w:hAnsi="Palatino Linotype" w:eastAsia="Calibri" w:cs="Tahoma"/>
                    <w:b/>
                    <w:sz w:val="22"/>
                    <w:szCs w:val="22"/>
                    <w:lang w:eastAsia="en-US"/>
                  </w:rPr>
                  <w:t>Recurso de Revisión:</w:t>
                </w:r>
              </w:p>
            </w:tc>
            <w:tc>
              <w:tcPr>
                <w:tcW w:w="3251" w:type="dxa"/>
                <w:hideMark/>
              </w:tcPr>
              <w:p w:rsidR="00F13829" w:rsidP="00C519FA" w:rsidRDefault="00F13829" w14:paraId="5499328A" w14:textId="77777777">
                <w:pPr>
                  <w:tabs>
                    <w:tab w:val="right" w:pos="8838"/>
                  </w:tabs>
                  <w:ind w:left="-74" w:right="-105"/>
                  <w:jc w:val="both"/>
                  <w:rPr>
                    <w:rFonts w:ascii="Palatino Linotype" w:hAnsi="Palatino Linotype" w:eastAsia="Calibri" w:cs="Tahoma"/>
                    <w:bCs/>
                    <w:sz w:val="22"/>
                    <w:szCs w:val="22"/>
                    <w:lang w:val="es-MX" w:eastAsia="en-US"/>
                  </w:rPr>
                </w:pPr>
              </w:p>
              <w:p w:rsidRPr="008A245E" w:rsidR="00C519FA" w:rsidP="00C519FA" w:rsidRDefault="002E4BC1" w14:paraId="36B0D662" w14:textId="17C4B5A8">
                <w:pPr>
                  <w:tabs>
                    <w:tab w:val="right" w:pos="8838"/>
                  </w:tabs>
                  <w:ind w:left="-74" w:right="-105"/>
                  <w:jc w:val="both"/>
                  <w:rPr>
                    <w:rFonts w:ascii="Palatino Linotype" w:hAnsi="Palatino Linotype" w:eastAsia="Calibri" w:cs="Tahoma"/>
                    <w:bCs/>
                    <w:sz w:val="22"/>
                    <w:szCs w:val="22"/>
                    <w:lang w:eastAsia="en-US"/>
                  </w:rPr>
                </w:pPr>
                <w:r w:rsidRPr="002E4BC1">
                  <w:rPr>
                    <w:rFonts w:ascii="Palatino Linotype" w:hAnsi="Palatino Linotype" w:eastAsia="Calibri" w:cs="Tahoma"/>
                    <w:bCs/>
                    <w:sz w:val="22"/>
                    <w:szCs w:val="22"/>
                    <w:lang w:val="es-MX" w:eastAsia="en-US"/>
                  </w:rPr>
                  <w:t>16851/INFOEM/IP/RR/2022</w:t>
                </w:r>
              </w:p>
            </w:tc>
          </w:tr>
          <w:tr w:rsidR="00C519FA" w:rsidTr="002E4BC1" w14:paraId="15A802B1" w14:textId="77777777">
            <w:trPr>
              <w:trHeight w:val="331"/>
            </w:trPr>
            <w:tc>
              <w:tcPr>
                <w:tcW w:w="2419" w:type="dxa"/>
                <w:hideMark/>
              </w:tcPr>
              <w:p w:rsidRPr="008A245E" w:rsidR="00C519FA" w:rsidP="00C519FA" w:rsidRDefault="00D37132" w14:paraId="312E240A" w14:textId="77777777">
                <w:pPr>
                  <w:tabs>
                    <w:tab w:val="right" w:pos="8838"/>
                  </w:tabs>
                  <w:ind w:left="-74" w:right="-105"/>
                  <w:rPr>
                    <w:rFonts w:ascii="Palatino Linotype" w:hAnsi="Palatino Linotype" w:eastAsia="Calibri" w:cs="Tahoma"/>
                    <w:b/>
                    <w:sz w:val="22"/>
                    <w:szCs w:val="22"/>
                    <w:lang w:eastAsia="en-US"/>
                  </w:rPr>
                </w:pPr>
                <w:r w:rsidRPr="008A245E">
                  <w:rPr>
                    <w:rFonts w:ascii="Palatino Linotype" w:hAnsi="Palatino Linotype" w:eastAsia="Calibri" w:cs="Tahoma"/>
                    <w:b/>
                    <w:sz w:val="22"/>
                    <w:szCs w:val="22"/>
                    <w:lang w:eastAsia="en-US"/>
                  </w:rPr>
                  <w:t>Sujeto Obligado:</w:t>
                </w:r>
              </w:p>
            </w:tc>
            <w:tc>
              <w:tcPr>
                <w:tcW w:w="3251" w:type="dxa"/>
                <w:hideMark/>
              </w:tcPr>
              <w:p w:rsidRPr="008A245E" w:rsidR="00C519FA" w:rsidP="00C519FA" w:rsidRDefault="002E4BC1" w14:paraId="52294E27" w14:textId="19F65084">
                <w:pPr>
                  <w:tabs>
                    <w:tab w:val="left" w:pos="2834"/>
                    <w:tab w:val="right" w:pos="8838"/>
                  </w:tabs>
                  <w:ind w:left="-74" w:right="-105"/>
                  <w:jc w:val="both"/>
                  <w:rPr>
                    <w:rFonts w:ascii="Palatino Linotype" w:hAnsi="Palatino Linotype" w:eastAsia="Calibri" w:cs="Tahoma"/>
                    <w:b/>
                    <w:sz w:val="22"/>
                    <w:szCs w:val="22"/>
                    <w:lang w:eastAsia="en-US"/>
                  </w:rPr>
                </w:pPr>
                <w:r w:rsidRPr="002E4BC1">
                  <w:rPr>
                    <w:rFonts w:ascii="Palatino Linotype" w:hAnsi="Palatino Linotype" w:eastAsia="Calibri" w:cs="Tahoma"/>
                    <w:sz w:val="22"/>
                    <w:szCs w:val="22"/>
                    <w:lang w:val="es-MX" w:eastAsia="en-US"/>
                  </w:rPr>
                  <w:t>Ayuntamiento de Toluca</w:t>
                </w:r>
              </w:p>
            </w:tc>
          </w:tr>
          <w:tr w:rsidR="00C519FA" w:rsidTr="002E4BC1" w14:paraId="445FEB22" w14:textId="77777777">
            <w:trPr>
              <w:trHeight w:val="331"/>
            </w:trPr>
            <w:tc>
              <w:tcPr>
                <w:tcW w:w="2419" w:type="dxa"/>
                <w:hideMark/>
              </w:tcPr>
              <w:p w:rsidRPr="008A245E" w:rsidR="00C519FA" w:rsidP="00C519FA" w:rsidRDefault="00D37132" w14:paraId="697BEF94" w14:textId="77777777">
                <w:pPr>
                  <w:tabs>
                    <w:tab w:val="right" w:pos="8838"/>
                  </w:tabs>
                  <w:ind w:left="-74" w:right="-105"/>
                  <w:rPr>
                    <w:rFonts w:ascii="Palatino Linotype" w:hAnsi="Palatino Linotype" w:eastAsia="Calibri" w:cs="Tahoma"/>
                    <w:b/>
                    <w:sz w:val="22"/>
                    <w:szCs w:val="22"/>
                    <w:lang w:eastAsia="en-US"/>
                  </w:rPr>
                </w:pPr>
                <w:r w:rsidRPr="008A245E">
                  <w:rPr>
                    <w:rFonts w:ascii="Palatino Linotype" w:hAnsi="Palatino Linotype" w:eastAsia="Calibri" w:cs="Tahoma"/>
                    <w:b/>
                    <w:sz w:val="22"/>
                    <w:szCs w:val="22"/>
                    <w:lang w:eastAsia="en-US"/>
                  </w:rPr>
                  <w:t>Comisionado Ponente:</w:t>
                </w:r>
              </w:p>
            </w:tc>
            <w:tc>
              <w:tcPr>
                <w:tcW w:w="3251" w:type="dxa"/>
              </w:tcPr>
              <w:p w:rsidRPr="007D2BD0" w:rsidR="00C519FA" w:rsidP="007D2BD0" w:rsidRDefault="00D37132" w14:paraId="5032B53E" w14:textId="3D883E2B">
                <w:pPr>
                  <w:tabs>
                    <w:tab w:val="right" w:pos="8838"/>
                  </w:tabs>
                  <w:ind w:left="-74" w:right="-105"/>
                  <w:jc w:val="both"/>
                  <w:rPr>
                    <w:rFonts w:ascii="Palatino Linotype" w:hAnsi="Palatino Linotype" w:eastAsia="Calibri" w:cs="Tahoma"/>
                    <w:sz w:val="22"/>
                    <w:szCs w:val="22"/>
                    <w:lang w:eastAsia="en-US"/>
                  </w:rPr>
                </w:pPr>
                <w:r w:rsidRPr="008A245E">
                  <w:rPr>
                    <w:rFonts w:ascii="Palatino Linotype" w:hAnsi="Palatino Linotype" w:eastAsia="Calibri" w:cs="Tahoma"/>
                    <w:sz w:val="22"/>
                    <w:szCs w:val="22"/>
                    <w:lang w:eastAsia="en-US"/>
                  </w:rPr>
                  <w:t>Luis Gustavo Parra Noriega</w:t>
                </w:r>
              </w:p>
            </w:tc>
          </w:tr>
        </w:tbl>
        <w:p w:rsidR="00C519FA" w:rsidP="00C519FA" w:rsidRDefault="00E0220E" w14:paraId="2ECC4880" w14:textId="77777777">
          <w:pPr>
            <w:tabs>
              <w:tab w:val="right" w:pos="8838"/>
            </w:tabs>
            <w:spacing w:line="256" w:lineRule="auto"/>
            <w:ind w:left="-28"/>
            <w:jc w:val="both"/>
            <w:rPr>
              <w:rFonts w:ascii="Arial" w:hAnsi="Arial" w:eastAsia="Calibri" w:cs="Arial"/>
              <w:b/>
              <w:sz w:val="22"/>
              <w:szCs w:val="22"/>
              <w:lang w:eastAsia="en-US"/>
            </w:rPr>
          </w:pPr>
        </w:p>
      </w:tc>
    </w:tr>
  </w:tbl>
  <w:p w:rsidR="00C519FA" w:rsidRDefault="00E0220E" w14:paraId="7CD87E07" w14:textId="34F6945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27" w:type="dxa"/>
      <w:tblLayout w:type="fixed"/>
      <w:tblLook w:val="04A0" w:firstRow="1" w:lastRow="0" w:firstColumn="1" w:lastColumn="0" w:noHBand="0" w:noVBand="1"/>
    </w:tblPr>
    <w:tblGrid>
      <w:gridCol w:w="2694"/>
      <w:gridCol w:w="6733"/>
    </w:tblGrid>
    <w:tr w:rsidR="00C519FA" w:rsidTr="247D8ECF" w14:paraId="3DF2FA98" w14:textId="77777777">
      <w:trPr>
        <w:trHeight w:val="1435"/>
      </w:trPr>
      <w:tc>
        <w:tcPr>
          <w:tcW w:w="2694" w:type="dxa"/>
          <w:tcMar/>
        </w:tcPr>
        <w:p w:rsidR="00C519FA" w:rsidP="00C519FA" w:rsidRDefault="00E0220E" w14:paraId="41C68381" w14:textId="77777777">
          <w:pPr>
            <w:tabs>
              <w:tab w:val="right" w:pos="4273"/>
            </w:tabs>
            <w:spacing w:line="256" w:lineRule="auto"/>
            <w:rPr>
              <w:rFonts w:ascii="Garamond" w:hAnsi="Garamond" w:eastAsia="Calibri"/>
              <w:sz w:val="22"/>
              <w:szCs w:val="22"/>
              <w:lang w:eastAsia="en-US"/>
            </w:rPr>
          </w:pPr>
        </w:p>
      </w:tc>
      <w:tc>
        <w:tcPr>
          <w:tcW w:w="6733" w:type="dxa"/>
          <w:tcMar/>
          <w:hideMark/>
        </w:tcPr>
        <w:p w:rsidR="00B00F8E" w:rsidRDefault="00B00F8E" w14:paraId="5606C50C" w14:textId="77777777"/>
        <w:tbl>
          <w:tblPr>
            <w:tblStyle w:val="Tablaconcuadrcula"/>
            <w:tblW w:w="5562" w:type="dxa"/>
            <w:tblInd w:w="7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47"/>
            <w:gridCol w:w="3115"/>
          </w:tblGrid>
          <w:tr w:rsidRPr="0095634C" w:rsidR="00C519FA" w:rsidTr="247D8ECF" w14:paraId="37156598" w14:textId="77777777">
            <w:trPr>
              <w:trHeight w:val="144"/>
            </w:trPr>
            <w:tc>
              <w:tcPr>
                <w:tcW w:w="2447" w:type="dxa"/>
                <w:tcMar/>
                <w:hideMark/>
              </w:tcPr>
              <w:p w:rsidRPr="0095634C" w:rsidR="00C519FA" w:rsidP="00C519FA" w:rsidRDefault="00D37132" w14:paraId="77AFB3B7" w14:textId="77777777">
                <w:pPr>
                  <w:tabs>
                    <w:tab w:val="right" w:pos="8838"/>
                  </w:tabs>
                  <w:ind w:left="-69" w:right="-105"/>
                  <w:rPr>
                    <w:rFonts w:ascii="Palatino Linotype" w:hAnsi="Palatino Linotype" w:eastAsia="Calibri" w:cs="Tahoma"/>
                    <w:b/>
                    <w:sz w:val="22"/>
                    <w:szCs w:val="22"/>
                    <w:lang w:eastAsia="en-US"/>
                  </w:rPr>
                </w:pPr>
                <w:r w:rsidRPr="0095634C">
                  <w:rPr>
                    <w:rFonts w:ascii="Palatino Linotype" w:hAnsi="Palatino Linotype" w:eastAsia="Calibri" w:cs="Tahoma"/>
                    <w:b/>
                    <w:sz w:val="22"/>
                    <w:szCs w:val="22"/>
                    <w:lang w:eastAsia="en-US"/>
                  </w:rPr>
                  <w:t>Recurso de Revisión:</w:t>
                </w:r>
              </w:p>
            </w:tc>
            <w:tc>
              <w:tcPr>
                <w:tcW w:w="3115" w:type="dxa"/>
                <w:tcMar/>
                <w:hideMark/>
              </w:tcPr>
              <w:p w:rsidRPr="0095634C" w:rsidR="00C519FA" w:rsidP="00C519FA" w:rsidRDefault="002E4BC1" w14:paraId="2A8E7B1A" w14:textId="7AE330FB">
                <w:pPr>
                  <w:tabs>
                    <w:tab w:val="right" w:pos="8838"/>
                  </w:tabs>
                  <w:ind w:left="-74" w:right="-105"/>
                  <w:jc w:val="both"/>
                  <w:rPr>
                    <w:rFonts w:ascii="Palatino Linotype" w:hAnsi="Palatino Linotype" w:eastAsia="Calibri" w:cs="Tahoma"/>
                    <w:sz w:val="22"/>
                    <w:szCs w:val="22"/>
                    <w:lang w:eastAsia="en-US"/>
                  </w:rPr>
                </w:pPr>
                <w:r w:rsidRPr="002E4BC1">
                  <w:rPr>
                    <w:rFonts w:ascii="Palatino Linotype" w:hAnsi="Palatino Linotype" w:eastAsia="Calibri" w:cs="Tahoma"/>
                    <w:sz w:val="22"/>
                    <w:szCs w:val="22"/>
                    <w:lang w:val="es-MX" w:eastAsia="en-US"/>
                  </w:rPr>
                  <w:t>16851/INFOEM/IP/RR/2022</w:t>
                </w:r>
              </w:p>
            </w:tc>
          </w:tr>
          <w:tr w:rsidRPr="0095634C" w:rsidR="00C519FA" w:rsidTr="247D8ECF" w14:paraId="7B581380" w14:textId="77777777">
            <w:trPr>
              <w:trHeight w:val="144"/>
            </w:trPr>
            <w:tc>
              <w:tcPr>
                <w:tcW w:w="2447" w:type="dxa"/>
                <w:tcMar/>
                <w:hideMark/>
              </w:tcPr>
              <w:p w:rsidRPr="0095634C" w:rsidR="00C519FA" w:rsidP="00C519FA" w:rsidRDefault="00D37132" w14:paraId="4AE74731" w14:textId="77777777">
                <w:pPr>
                  <w:tabs>
                    <w:tab w:val="right" w:pos="8838"/>
                  </w:tabs>
                  <w:ind w:left="-74" w:right="-105"/>
                  <w:rPr>
                    <w:rFonts w:ascii="Palatino Linotype" w:hAnsi="Palatino Linotype" w:eastAsia="Calibri" w:cs="Tahoma"/>
                    <w:b/>
                    <w:sz w:val="22"/>
                    <w:szCs w:val="22"/>
                    <w:lang w:eastAsia="en-US"/>
                  </w:rPr>
                </w:pPr>
                <w:r w:rsidRPr="0095634C">
                  <w:rPr>
                    <w:rFonts w:ascii="Palatino Linotype" w:hAnsi="Palatino Linotype" w:eastAsia="Calibri" w:cs="Tahoma"/>
                    <w:b/>
                    <w:sz w:val="22"/>
                    <w:szCs w:val="22"/>
                    <w:lang w:eastAsia="en-US"/>
                  </w:rPr>
                  <w:t>Recurrente:</w:t>
                </w:r>
              </w:p>
            </w:tc>
            <w:tc>
              <w:tcPr>
                <w:tcW w:w="3115" w:type="dxa"/>
                <w:tcMar/>
              </w:tcPr>
              <w:p w:rsidRPr="0095634C" w:rsidR="00C519FA" w:rsidP="247D8ECF" w:rsidRDefault="002E4BC1" w14:paraId="25A30DE0" w14:textId="4D60DB25">
                <w:pPr>
                  <w:tabs>
                    <w:tab w:val="left" w:pos="3122"/>
                    <w:tab w:val="right" w:pos="8838"/>
                  </w:tabs>
                  <w:ind w:left="-74" w:right="-105"/>
                  <w:jc w:val="both"/>
                  <w:rPr>
                    <w:rFonts w:ascii="Palatino Linotype" w:hAnsi="Palatino Linotype" w:eastAsia="Calibri" w:cs="Tahoma"/>
                    <w:sz w:val="22"/>
                    <w:szCs w:val="22"/>
                    <w:highlight w:val="black"/>
                    <w:lang w:eastAsia="en-US"/>
                  </w:rPr>
                </w:pPr>
                <w:r w:rsidRPr="247D8ECF" w:rsidR="247D8ECF">
                  <w:rPr>
                    <w:rFonts w:ascii="Palatino Linotype" w:hAnsi="Palatino Linotype" w:eastAsia="Calibri" w:cs="Tahoma"/>
                    <w:sz w:val="22"/>
                    <w:szCs w:val="22"/>
                    <w:highlight w:val="black"/>
                    <w:lang w:eastAsia="en-US"/>
                  </w:rPr>
                  <w:t>XXXXXXXXXXXXXXXX</w:t>
                </w:r>
              </w:p>
            </w:tc>
          </w:tr>
          <w:tr w:rsidRPr="0095634C" w:rsidR="00C519FA" w:rsidTr="247D8ECF" w14:paraId="290EEB68" w14:textId="77777777">
            <w:trPr>
              <w:trHeight w:val="283"/>
            </w:trPr>
            <w:tc>
              <w:tcPr>
                <w:tcW w:w="2447" w:type="dxa"/>
                <w:tcMar/>
                <w:hideMark/>
              </w:tcPr>
              <w:p w:rsidRPr="0095634C" w:rsidR="00C519FA" w:rsidP="00C519FA" w:rsidRDefault="00D37132" w14:paraId="7CF1207D" w14:textId="77777777">
                <w:pPr>
                  <w:tabs>
                    <w:tab w:val="right" w:pos="8838"/>
                  </w:tabs>
                  <w:ind w:left="-74" w:right="-105"/>
                  <w:rPr>
                    <w:rFonts w:ascii="Palatino Linotype" w:hAnsi="Palatino Linotype" w:eastAsia="Calibri" w:cs="Tahoma"/>
                    <w:b/>
                    <w:sz w:val="22"/>
                    <w:szCs w:val="22"/>
                    <w:lang w:eastAsia="en-US"/>
                  </w:rPr>
                </w:pPr>
                <w:r w:rsidRPr="0095634C">
                  <w:rPr>
                    <w:rFonts w:ascii="Palatino Linotype" w:hAnsi="Palatino Linotype" w:eastAsia="Calibri" w:cs="Tahoma"/>
                    <w:b/>
                    <w:sz w:val="22"/>
                    <w:szCs w:val="22"/>
                    <w:lang w:eastAsia="en-US"/>
                  </w:rPr>
                  <w:t>Sujeto Obligado:</w:t>
                </w:r>
              </w:p>
            </w:tc>
            <w:tc>
              <w:tcPr>
                <w:tcW w:w="3115" w:type="dxa"/>
                <w:tcMar/>
                <w:hideMark/>
              </w:tcPr>
              <w:p w:rsidRPr="0095634C" w:rsidR="00C519FA" w:rsidP="00C519FA" w:rsidRDefault="002E4BC1" w14:paraId="49785984" w14:textId="33778188">
                <w:pPr>
                  <w:tabs>
                    <w:tab w:val="left" w:pos="2834"/>
                    <w:tab w:val="right" w:pos="8838"/>
                  </w:tabs>
                  <w:ind w:left="-74" w:right="-105"/>
                  <w:jc w:val="both"/>
                  <w:rPr>
                    <w:rFonts w:ascii="Palatino Linotype" w:hAnsi="Palatino Linotype" w:eastAsia="Calibri" w:cs="Tahoma"/>
                    <w:sz w:val="22"/>
                    <w:szCs w:val="22"/>
                    <w:lang w:eastAsia="en-US"/>
                  </w:rPr>
                </w:pPr>
                <w:r w:rsidRPr="002E4BC1">
                  <w:rPr>
                    <w:rFonts w:ascii="Palatino Linotype" w:hAnsi="Palatino Linotype" w:eastAsia="Calibri" w:cs="Tahoma"/>
                    <w:sz w:val="22"/>
                    <w:szCs w:val="22"/>
                    <w:lang w:val="es-MX" w:eastAsia="en-US"/>
                  </w:rPr>
                  <w:t>Ayuntamiento de Toluca</w:t>
                </w:r>
              </w:p>
            </w:tc>
          </w:tr>
          <w:tr w:rsidRPr="0095634C" w:rsidR="00C519FA" w:rsidTr="247D8ECF" w14:paraId="02379758" w14:textId="77777777">
            <w:trPr>
              <w:trHeight w:val="283"/>
            </w:trPr>
            <w:tc>
              <w:tcPr>
                <w:tcW w:w="2447" w:type="dxa"/>
                <w:tcMar/>
                <w:hideMark/>
              </w:tcPr>
              <w:p w:rsidRPr="0095634C" w:rsidR="00C519FA" w:rsidP="00C519FA" w:rsidRDefault="00D37132" w14:paraId="3C69AF13" w14:textId="77777777">
                <w:pPr>
                  <w:tabs>
                    <w:tab w:val="right" w:pos="8838"/>
                  </w:tabs>
                  <w:ind w:left="-74" w:right="-105"/>
                  <w:rPr>
                    <w:rFonts w:ascii="Palatino Linotype" w:hAnsi="Palatino Linotype" w:eastAsia="Calibri" w:cs="Tahoma"/>
                    <w:b/>
                    <w:sz w:val="22"/>
                    <w:szCs w:val="22"/>
                    <w:lang w:eastAsia="en-US"/>
                  </w:rPr>
                </w:pPr>
                <w:r w:rsidRPr="0095634C">
                  <w:rPr>
                    <w:rFonts w:ascii="Palatino Linotype" w:hAnsi="Palatino Linotype" w:eastAsia="Calibri" w:cs="Tahoma"/>
                    <w:b/>
                    <w:sz w:val="22"/>
                    <w:szCs w:val="22"/>
                    <w:lang w:eastAsia="en-US"/>
                  </w:rPr>
                  <w:t>Comisionado Ponente:</w:t>
                </w:r>
              </w:p>
            </w:tc>
            <w:tc>
              <w:tcPr>
                <w:tcW w:w="3115" w:type="dxa"/>
                <w:tcMar/>
              </w:tcPr>
              <w:p w:rsidRPr="00755B38" w:rsidR="00C519FA" w:rsidP="00755B38" w:rsidRDefault="00D37132" w14:paraId="4C4806BE" w14:textId="057529D5">
                <w:pPr>
                  <w:tabs>
                    <w:tab w:val="right" w:pos="8838"/>
                  </w:tabs>
                  <w:ind w:left="-74" w:right="-105"/>
                  <w:jc w:val="both"/>
                  <w:rPr>
                    <w:rFonts w:ascii="Palatino Linotype" w:hAnsi="Palatino Linotype" w:eastAsia="Calibri" w:cs="Tahoma"/>
                    <w:sz w:val="22"/>
                    <w:szCs w:val="22"/>
                    <w:lang w:eastAsia="en-US"/>
                  </w:rPr>
                </w:pPr>
                <w:r w:rsidRPr="0095634C">
                  <w:rPr>
                    <w:rFonts w:ascii="Palatino Linotype" w:hAnsi="Palatino Linotype" w:eastAsia="Calibri" w:cs="Tahoma"/>
                    <w:sz w:val="22"/>
                    <w:szCs w:val="22"/>
                    <w:lang w:eastAsia="en-US"/>
                  </w:rPr>
                  <w:t>Luis Gustavo Parra Noriega</w:t>
                </w:r>
              </w:p>
            </w:tc>
          </w:tr>
        </w:tbl>
        <w:p w:rsidR="00C519FA" w:rsidP="00C519FA" w:rsidRDefault="00E0220E" w14:paraId="29B5C929" w14:textId="77777777">
          <w:pPr>
            <w:tabs>
              <w:tab w:val="right" w:pos="8838"/>
            </w:tabs>
            <w:spacing w:line="256" w:lineRule="auto"/>
            <w:ind w:left="-28"/>
            <w:jc w:val="both"/>
            <w:rPr>
              <w:rFonts w:ascii="Arial" w:hAnsi="Arial" w:eastAsia="Calibri" w:cs="Arial"/>
              <w:b/>
              <w:sz w:val="22"/>
              <w:szCs w:val="22"/>
              <w:lang w:eastAsia="en-US"/>
            </w:rPr>
          </w:pPr>
        </w:p>
      </w:tc>
    </w:tr>
  </w:tbl>
  <w:p w:rsidR="00C519FA" w:rsidRDefault="00E0220E" w14:paraId="2D847BC0" w14:textId="77777777">
    <w:pPr>
      <w:pStyle w:val="Encabezado"/>
    </w:pPr>
    <w:r>
      <w:rPr>
        <w:rFonts w:ascii="Garamond" w:hAnsi="Garamond" w:eastAsia="Calibri"/>
        <w:noProof/>
        <w:sz w:val="22"/>
        <w:szCs w:val="22"/>
        <w:lang w:eastAsia="en-US"/>
      </w:rPr>
      <w:pict w14:anchorId="33B02F4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99.75pt;margin-top:-122.1pt;width:663.5pt;height:12in;z-index:-251657728;mso-position-horizontal-relative:margin;mso-position-vertical-relative:margin" o:spid="_x0000_s1025"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312A"/>
    <w:multiLevelType w:val="hybridMultilevel"/>
    <w:tmpl w:val="87C4DA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18D0099"/>
    <w:multiLevelType w:val="hybridMultilevel"/>
    <w:tmpl w:val="33C0D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DC7849"/>
    <w:multiLevelType w:val="hybridMultilevel"/>
    <w:tmpl w:val="D5EE99A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1E183FF6"/>
    <w:multiLevelType w:val="hybridMultilevel"/>
    <w:tmpl w:val="16C00548"/>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4" w15:restartNumberingAfterBreak="0">
    <w:nsid w:val="1E345828"/>
    <w:multiLevelType w:val="hybridMultilevel"/>
    <w:tmpl w:val="704EDE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FBA60E1"/>
    <w:multiLevelType w:val="hybridMultilevel"/>
    <w:tmpl w:val="2A62481A"/>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16B472C"/>
    <w:multiLevelType w:val="hybridMultilevel"/>
    <w:tmpl w:val="54C0A9CC"/>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8" w15:restartNumberingAfterBreak="0">
    <w:nsid w:val="30A85813"/>
    <w:multiLevelType w:val="hybridMultilevel"/>
    <w:tmpl w:val="2EFCE9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2546DC5"/>
    <w:multiLevelType w:val="hybridMultilevel"/>
    <w:tmpl w:val="B8644C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C176C78"/>
    <w:multiLevelType w:val="hybridMultilevel"/>
    <w:tmpl w:val="1BF85C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716E83"/>
    <w:multiLevelType w:val="hybridMultilevel"/>
    <w:tmpl w:val="F14481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D9F47C7"/>
    <w:multiLevelType w:val="hybridMultilevel"/>
    <w:tmpl w:val="06DED0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DFD6483"/>
    <w:multiLevelType w:val="hybridMultilevel"/>
    <w:tmpl w:val="9BB4DB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0B5342B"/>
    <w:multiLevelType w:val="hybridMultilevel"/>
    <w:tmpl w:val="2CECA6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A684249"/>
    <w:multiLevelType w:val="hybridMultilevel"/>
    <w:tmpl w:val="4A005A1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B651E0F"/>
    <w:multiLevelType w:val="hybridMultilevel"/>
    <w:tmpl w:val="D5DC0712"/>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7" w15:restartNumberingAfterBreak="0">
    <w:nsid w:val="4EC3423A"/>
    <w:multiLevelType w:val="hybridMultilevel"/>
    <w:tmpl w:val="DA9E80D0"/>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18" w15:restartNumberingAfterBreak="0">
    <w:nsid w:val="4FE420D2"/>
    <w:multiLevelType w:val="hybridMultilevel"/>
    <w:tmpl w:val="C4B87E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25A10EE"/>
    <w:multiLevelType w:val="hybridMultilevel"/>
    <w:tmpl w:val="6C4283F2"/>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20" w15:restartNumberingAfterBreak="0">
    <w:nsid w:val="57017AF5"/>
    <w:multiLevelType w:val="hybridMultilevel"/>
    <w:tmpl w:val="9AEA926A"/>
    <w:lvl w:ilvl="0" w:tplc="8A988F1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5ECA45D3"/>
    <w:multiLevelType w:val="hybridMultilevel"/>
    <w:tmpl w:val="C4E062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613C0CC1"/>
    <w:multiLevelType w:val="hybridMultilevel"/>
    <w:tmpl w:val="48AEB93A"/>
    <w:lvl w:ilvl="0" w:tplc="5ED6B0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1A00AF4"/>
    <w:multiLevelType w:val="hybridMultilevel"/>
    <w:tmpl w:val="3B50DFAC"/>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5" w15:restartNumberingAfterBreak="0">
    <w:nsid w:val="66E36A86"/>
    <w:multiLevelType w:val="hybridMultilevel"/>
    <w:tmpl w:val="D2AA815E"/>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15:restartNumberingAfterBreak="0">
    <w:nsid w:val="6F154D0C"/>
    <w:multiLevelType w:val="hybridMultilevel"/>
    <w:tmpl w:val="196240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2EE5368"/>
    <w:multiLevelType w:val="hybridMultilevel"/>
    <w:tmpl w:val="2506A4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5422B96"/>
    <w:multiLevelType w:val="hybridMultilevel"/>
    <w:tmpl w:val="B164EBC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1" w15:restartNumberingAfterBreak="0">
    <w:nsid w:val="75CC7057"/>
    <w:multiLevelType w:val="hybridMultilevel"/>
    <w:tmpl w:val="13DEB03E"/>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8193A00"/>
    <w:multiLevelType w:val="hybridMultilevel"/>
    <w:tmpl w:val="8088485C"/>
    <w:lvl w:ilvl="0" w:tplc="0C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735035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95922391">
    <w:abstractNumId w:val="16"/>
  </w:num>
  <w:num w:numId="3" w16cid:durableId="513955576">
    <w:abstractNumId w:val="1"/>
  </w:num>
  <w:num w:numId="4" w16cid:durableId="1509636851">
    <w:abstractNumId w:val="14"/>
  </w:num>
  <w:num w:numId="5" w16cid:durableId="906577632">
    <w:abstractNumId w:val="13"/>
  </w:num>
  <w:num w:numId="6" w16cid:durableId="1148403611">
    <w:abstractNumId w:val="5"/>
  </w:num>
  <w:num w:numId="7" w16cid:durableId="760487007">
    <w:abstractNumId w:val="31"/>
  </w:num>
  <w:num w:numId="8" w16cid:durableId="1101102382">
    <w:abstractNumId w:val="0"/>
  </w:num>
  <w:num w:numId="9" w16cid:durableId="75790391">
    <w:abstractNumId w:val="21"/>
  </w:num>
  <w:num w:numId="10" w16cid:durableId="1787309134">
    <w:abstractNumId w:val="22"/>
  </w:num>
  <w:num w:numId="11" w16cid:durableId="1882938681">
    <w:abstractNumId w:val="4"/>
  </w:num>
  <w:num w:numId="12" w16cid:durableId="948318001">
    <w:abstractNumId w:val="19"/>
  </w:num>
  <w:num w:numId="13" w16cid:durableId="796221724">
    <w:abstractNumId w:val="28"/>
  </w:num>
  <w:num w:numId="14" w16cid:durableId="794105710">
    <w:abstractNumId w:val="9"/>
  </w:num>
  <w:num w:numId="15" w16cid:durableId="1522161441">
    <w:abstractNumId w:val="24"/>
  </w:num>
  <w:num w:numId="16" w16cid:durableId="2036612865">
    <w:abstractNumId w:val="32"/>
  </w:num>
  <w:num w:numId="17" w16cid:durableId="668749814">
    <w:abstractNumId w:val="2"/>
  </w:num>
  <w:num w:numId="18" w16cid:durableId="411781881">
    <w:abstractNumId w:val="20"/>
  </w:num>
  <w:num w:numId="19" w16cid:durableId="1372878168">
    <w:abstractNumId w:val="7"/>
  </w:num>
  <w:num w:numId="20" w16cid:durableId="1897007541">
    <w:abstractNumId w:val="30"/>
  </w:num>
  <w:num w:numId="21" w16cid:durableId="1569728506">
    <w:abstractNumId w:val="11"/>
  </w:num>
  <w:num w:numId="22" w16cid:durableId="7532121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853719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23971099">
    <w:abstractNumId w:val="18"/>
  </w:num>
  <w:num w:numId="25" w16cid:durableId="1297419554">
    <w:abstractNumId w:val="12"/>
  </w:num>
  <w:num w:numId="26" w16cid:durableId="1674514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60123320">
    <w:abstractNumId w:val="3"/>
  </w:num>
  <w:num w:numId="28" w16cid:durableId="245959437">
    <w:abstractNumId w:val="6"/>
  </w:num>
  <w:num w:numId="29" w16cid:durableId="1838956629">
    <w:abstractNumId w:val="10"/>
  </w:num>
  <w:num w:numId="30" w16cid:durableId="882256828">
    <w:abstractNumId w:val="23"/>
  </w:num>
  <w:num w:numId="31" w16cid:durableId="1944723223">
    <w:abstractNumId w:val="8"/>
  </w:num>
  <w:num w:numId="32" w16cid:durableId="483275462">
    <w:abstractNumId w:val="27"/>
  </w:num>
  <w:num w:numId="33" w16cid:durableId="1477527578">
    <w:abstractNumId w:val="17"/>
  </w:num>
  <w:num w:numId="34" w16cid:durableId="21355568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192"/>
    <w:rsid w:val="00005BAA"/>
    <w:rsid w:val="00007534"/>
    <w:rsid w:val="00022C39"/>
    <w:rsid w:val="00024273"/>
    <w:rsid w:val="00047219"/>
    <w:rsid w:val="000506E9"/>
    <w:rsid w:val="000565F2"/>
    <w:rsid w:val="000608EB"/>
    <w:rsid w:val="000626F3"/>
    <w:rsid w:val="00066610"/>
    <w:rsid w:val="0007586D"/>
    <w:rsid w:val="000849BD"/>
    <w:rsid w:val="00084A01"/>
    <w:rsid w:val="00094BB1"/>
    <w:rsid w:val="000A3F89"/>
    <w:rsid w:val="000A4F1B"/>
    <w:rsid w:val="000A58EE"/>
    <w:rsid w:val="000A6377"/>
    <w:rsid w:val="000A6D0E"/>
    <w:rsid w:val="000B3087"/>
    <w:rsid w:val="000B7ED7"/>
    <w:rsid w:val="000C6A5E"/>
    <w:rsid w:val="000D42FE"/>
    <w:rsid w:val="000D77EA"/>
    <w:rsid w:val="000D7EB2"/>
    <w:rsid w:val="000E0240"/>
    <w:rsid w:val="000F2857"/>
    <w:rsid w:val="00104D7E"/>
    <w:rsid w:val="00121F26"/>
    <w:rsid w:val="0012296F"/>
    <w:rsid w:val="00130F94"/>
    <w:rsid w:val="0013794C"/>
    <w:rsid w:val="00141242"/>
    <w:rsid w:val="00160192"/>
    <w:rsid w:val="00160BED"/>
    <w:rsid w:val="00161E09"/>
    <w:rsid w:val="00170695"/>
    <w:rsid w:val="00174B3D"/>
    <w:rsid w:val="001A2DD6"/>
    <w:rsid w:val="001A32D2"/>
    <w:rsid w:val="001A6B7A"/>
    <w:rsid w:val="001A75F6"/>
    <w:rsid w:val="001B6873"/>
    <w:rsid w:val="001D1818"/>
    <w:rsid w:val="001D7603"/>
    <w:rsid w:val="001F3838"/>
    <w:rsid w:val="001F4A4B"/>
    <w:rsid w:val="001F5C48"/>
    <w:rsid w:val="00202644"/>
    <w:rsid w:val="00211B95"/>
    <w:rsid w:val="00213A5A"/>
    <w:rsid w:val="00230F62"/>
    <w:rsid w:val="00231A8C"/>
    <w:rsid w:val="00235CE7"/>
    <w:rsid w:val="0024466A"/>
    <w:rsid w:val="0024622D"/>
    <w:rsid w:val="002476E5"/>
    <w:rsid w:val="0025140F"/>
    <w:rsid w:val="00257CC5"/>
    <w:rsid w:val="002747DD"/>
    <w:rsid w:val="00274919"/>
    <w:rsid w:val="00275A69"/>
    <w:rsid w:val="00276C92"/>
    <w:rsid w:val="00281696"/>
    <w:rsid w:val="002907E0"/>
    <w:rsid w:val="002A1427"/>
    <w:rsid w:val="002A4913"/>
    <w:rsid w:val="002C2674"/>
    <w:rsid w:val="002C42E8"/>
    <w:rsid w:val="002D2338"/>
    <w:rsid w:val="002E4BC1"/>
    <w:rsid w:val="002E75CA"/>
    <w:rsid w:val="002F4964"/>
    <w:rsid w:val="0030752D"/>
    <w:rsid w:val="00307A43"/>
    <w:rsid w:val="00310DE3"/>
    <w:rsid w:val="00316110"/>
    <w:rsid w:val="00351FB0"/>
    <w:rsid w:val="00361539"/>
    <w:rsid w:val="00366F72"/>
    <w:rsid w:val="00375D3D"/>
    <w:rsid w:val="00383E91"/>
    <w:rsid w:val="003843D7"/>
    <w:rsid w:val="00392421"/>
    <w:rsid w:val="00394135"/>
    <w:rsid w:val="00396CB6"/>
    <w:rsid w:val="003A1940"/>
    <w:rsid w:val="003A3252"/>
    <w:rsid w:val="003A3625"/>
    <w:rsid w:val="003B1674"/>
    <w:rsid w:val="003B3E2D"/>
    <w:rsid w:val="003B3E5D"/>
    <w:rsid w:val="003B4D47"/>
    <w:rsid w:val="003D0DA5"/>
    <w:rsid w:val="003D1134"/>
    <w:rsid w:val="003D1F3F"/>
    <w:rsid w:val="003D3706"/>
    <w:rsid w:val="003D4E7B"/>
    <w:rsid w:val="003D6308"/>
    <w:rsid w:val="003E046E"/>
    <w:rsid w:val="003E1986"/>
    <w:rsid w:val="003F04D2"/>
    <w:rsid w:val="003F4A60"/>
    <w:rsid w:val="0040040C"/>
    <w:rsid w:val="004042A4"/>
    <w:rsid w:val="00404C68"/>
    <w:rsid w:val="00410D13"/>
    <w:rsid w:val="00414E74"/>
    <w:rsid w:val="0042103F"/>
    <w:rsid w:val="00423962"/>
    <w:rsid w:val="004247F0"/>
    <w:rsid w:val="00424D82"/>
    <w:rsid w:val="004255FE"/>
    <w:rsid w:val="004417B6"/>
    <w:rsid w:val="0044419C"/>
    <w:rsid w:val="00454419"/>
    <w:rsid w:val="004634D9"/>
    <w:rsid w:val="00471953"/>
    <w:rsid w:val="0047302E"/>
    <w:rsid w:val="004763E5"/>
    <w:rsid w:val="0048127C"/>
    <w:rsid w:val="0049748B"/>
    <w:rsid w:val="004A0555"/>
    <w:rsid w:val="004A0BF6"/>
    <w:rsid w:val="004A6B19"/>
    <w:rsid w:val="004B218A"/>
    <w:rsid w:val="004B4916"/>
    <w:rsid w:val="004B5166"/>
    <w:rsid w:val="004C23F8"/>
    <w:rsid w:val="004C2B3B"/>
    <w:rsid w:val="004C3562"/>
    <w:rsid w:val="004D2DC9"/>
    <w:rsid w:val="004D6299"/>
    <w:rsid w:val="004E02C5"/>
    <w:rsid w:val="004F07FB"/>
    <w:rsid w:val="00502E9F"/>
    <w:rsid w:val="00504814"/>
    <w:rsid w:val="00507592"/>
    <w:rsid w:val="00514206"/>
    <w:rsid w:val="005164C7"/>
    <w:rsid w:val="0051795D"/>
    <w:rsid w:val="00522842"/>
    <w:rsid w:val="00523125"/>
    <w:rsid w:val="00525A8B"/>
    <w:rsid w:val="00530E2A"/>
    <w:rsid w:val="00534797"/>
    <w:rsid w:val="00545AC9"/>
    <w:rsid w:val="00546555"/>
    <w:rsid w:val="00557323"/>
    <w:rsid w:val="005626A1"/>
    <w:rsid w:val="0056758B"/>
    <w:rsid w:val="0056765D"/>
    <w:rsid w:val="005726A2"/>
    <w:rsid w:val="005864BF"/>
    <w:rsid w:val="00586904"/>
    <w:rsid w:val="00590D0A"/>
    <w:rsid w:val="005914CC"/>
    <w:rsid w:val="00596B4A"/>
    <w:rsid w:val="005A1F35"/>
    <w:rsid w:val="005A79E2"/>
    <w:rsid w:val="005C07B0"/>
    <w:rsid w:val="005D2E5D"/>
    <w:rsid w:val="005E073D"/>
    <w:rsid w:val="005E3569"/>
    <w:rsid w:val="005E4A8A"/>
    <w:rsid w:val="005E4EE4"/>
    <w:rsid w:val="006046B1"/>
    <w:rsid w:val="006157BB"/>
    <w:rsid w:val="006208B0"/>
    <w:rsid w:val="00621704"/>
    <w:rsid w:val="006248CB"/>
    <w:rsid w:val="00630E56"/>
    <w:rsid w:val="00630EB5"/>
    <w:rsid w:val="006424C6"/>
    <w:rsid w:val="00647F54"/>
    <w:rsid w:val="00650F54"/>
    <w:rsid w:val="00651A66"/>
    <w:rsid w:val="0066126D"/>
    <w:rsid w:val="00672ADC"/>
    <w:rsid w:val="00675A95"/>
    <w:rsid w:val="0069089F"/>
    <w:rsid w:val="006B5A03"/>
    <w:rsid w:val="006B5DC1"/>
    <w:rsid w:val="006C59AB"/>
    <w:rsid w:val="006C5F36"/>
    <w:rsid w:val="006D4281"/>
    <w:rsid w:val="006F1504"/>
    <w:rsid w:val="006F1A32"/>
    <w:rsid w:val="006F2998"/>
    <w:rsid w:val="006F29FC"/>
    <w:rsid w:val="00713AA7"/>
    <w:rsid w:val="00715A13"/>
    <w:rsid w:val="0071724E"/>
    <w:rsid w:val="00746888"/>
    <w:rsid w:val="00755B38"/>
    <w:rsid w:val="007563E0"/>
    <w:rsid w:val="00765BA5"/>
    <w:rsid w:val="0077039D"/>
    <w:rsid w:val="00775120"/>
    <w:rsid w:val="0078436D"/>
    <w:rsid w:val="00790564"/>
    <w:rsid w:val="007A7DE9"/>
    <w:rsid w:val="007B1E8E"/>
    <w:rsid w:val="007B4264"/>
    <w:rsid w:val="007B7200"/>
    <w:rsid w:val="007B7A1E"/>
    <w:rsid w:val="007D06F3"/>
    <w:rsid w:val="007D2BD0"/>
    <w:rsid w:val="007D3EE1"/>
    <w:rsid w:val="007E611F"/>
    <w:rsid w:val="007F5A69"/>
    <w:rsid w:val="007F7D7B"/>
    <w:rsid w:val="008110DA"/>
    <w:rsid w:val="00823065"/>
    <w:rsid w:val="00831399"/>
    <w:rsid w:val="00836192"/>
    <w:rsid w:val="00836CE5"/>
    <w:rsid w:val="008455E3"/>
    <w:rsid w:val="00852B8C"/>
    <w:rsid w:val="0086262C"/>
    <w:rsid w:val="00871DE3"/>
    <w:rsid w:val="00877872"/>
    <w:rsid w:val="00882F17"/>
    <w:rsid w:val="00886008"/>
    <w:rsid w:val="008A30AE"/>
    <w:rsid w:val="008B0751"/>
    <w:rsid w:val="008B0ADF"/>
    <w:rsid w:val="008B5B2C"/>
    <w:rsid w:val="008D065B"/>
    <w:rsid w:val="008D0BE8"/>
    <w:rsid w:val="008E1719"/>
    <w:rsid w:val="0090021E"/>
    <w:rsid w:val="0090079D"/>
    <w:rsid w:val="00901698"/>
    <w:rsid w:val="00917F65"/>
    <w:rsid w:val="00920B51"/>
    <w:rsid w:val="009219A8"/>
    <w:rsid w:val="009220A2"/>
    <w:rsid w:val="00925AC8"/>
    <w:rsid w:val="00926AED"/>
    <w:rsid w:val="00932E46"/>
    <w:rsid w:val="0093476C"/>
    <w:rsid w:val="00937375"/>
    <w:rsid w:val="00940F71"/>
    <w:rsid w:val="00942E82"/>
    <w:rsid w:val="009447E4"/>
    <w:rsid w:val="009473E5"/>
    <w:rsid w:val="00954786"/>
    <w:rsid w:val="0095634C"/>
    <w:rsid w:val="00956DBB"/>
    <w:rsid w:val="0096030F"/>
    <w:rsid w:val="00961C29"/>
    <w:rsid w:val="00971DE8"/>
    <w:rsid w:val="00985BD9"/>
    <w:rsid w:val="00987E45"/>
    <w:rsid w:val="009914FC"/>
    <w:rsid w:val="0099190D"/>
    <w:rsid w:val="00993A49"/>
    <w:rsid w:val="009A6A7F"/>
    <w:rsid w:val="009D0B60"/>
    <w:rsid w:val="009D0EAF"/>
    <w:rsid w:val="009E0FA6"/>
    <w:rsid w:val="009E2FB9"/>
    <w:rsid w:val="009E36CA"/>
    <w:rsid w:val="009E63D6"/>
    <w:rsid w:val="009E7D9C"/>
    <w:rsid w:val="009F3053"/>
    <w:rsid w:val="00A047C2"/>
    <w:rsid w:val="00A10051"/>
    <w:rsid w:val="00A10576"/>
    <w:rsid w:val="00A1187B"/>
    <w:rsid w:val="00A12F9C"/>
    <w:rsid w:val="00A149AB"/>
    <w:rsid w:val="00A22F37"/>
    <w:rsid w:val="00A259EF"/>
    <w:rsid w:val="00A264D5"/>
    <w:rsid w:val="00A317C4"/>
    <w:rsid w:val="00A4060C"/>
    <w:rsid w:val="00A6038A"/>
    <w:rsid w:val="00A61B02"/>
    <w:rsid w:val="00A7366F"/>
    <w:rsid w:val="00A828B7"/>
    <w:rsid w:val="00A84C18"/>
    <w:rsid w:val="00A8545A"/>
    <w:rsid w:val="00A854F9"/>
    <w:rsid w:val="00A8670F"/>
    <w:rsid w:val="00AB0CC4"/>
    <w:rsid w:val="00AB1859"/>
    <w:rsid w:val="00AB1DB6"/>
    <w:rsid w:val="00AD49A5"/>
    <w:rsid w:val="00AE38E0"/>
    <w:rsid w:val="00AE5D0C"/>
    <w:rsid w:val="00AE6491"/>
    <w:rsid w:val="00AF1BE3"/>
    <w:rsid w:val="00AF331C"/>
    <w:rsid w:val="00B00F8E"/>
    <w:rsid w:val="00B16987"/>
    <w:rsid w:val="00B204C6"/>
    <w:rsid w:val="00B312A0"/>
    <w:rsid w:val="00B350F7"/>
    <w:rsid w:val="00B5029F"/>
    <w:rsid w:val="00B51BBC"/>
    <w:rsid w:val="00B60A60"/>
    <w:rsid w:val="00B61001"/>
    <w:rsid w:val="00B62828"/>
    <w:rsid w:val="00B633C1"/>
    <w:rsid w:val="00B6391B"/>
    <w:rsid w:val="00B64B2F"/>
    <w:rsid w:val="00B66497"/>
    <w:rsid w:val="00B725E2"/>
    <w:rsid w:val="00B86CB4"/>
    <w:rsid w:val="00BA0249"/>
    <w:rsid w:val="00BA64F6"/>
    <w:rsid w:val="00BB3D12"/>
    <w:rsid w:val="00BB6DA1"/>
    <w:rsid w:val="00BC1956"/>
    <w:rsid w:val="00BD0552"/>
    <w:rsid w:val="00BD402D"/>
    <w:rsid w:val="00BE3FD4"/>
    <w:rsid w:val="00BE6B4C"/>
    <w:rsid w:val="00BF1A54"/>
    <w:rsid w:val="00BF2061"/>
    <w:rsid w:val="00BF2B49"/>
    <w:rsid w:val="00BF7425"/>
    <w:rsid w:val="00C108A7"/>
    <w:rsid w:val="00C10FE7"/>
    <w:rsid w:val="00C43D9A"/>
    <w:rsid w:val="00C45523"/>
    <w:rsid w:val="00C5176C"/>
    <w:rsid w:val="00C54A2A"/>
    <w:rsid w:val="00C55014"/>
    <w:rsid w:val="00C550BF"/>
    <w:rsid w:val="00C63B22"/>
    <w:rsid w:val="00C80901"/>
    <w:rsid w:val="00C857B1"/>
    <w:rsid w:val="00C9586A"/>
    <w:rsid w:val="00CA20F4"/>
    <w:rsid w:val="00CA2942"/>
    <w:rsid w:val="00CA3066"/>
    <w:rsid w:val="00CA3D0C"/>
    <w:rsid w:val="00CB7549"/>
    <w:rsid w:val="00CC409B"/>
    <w:rsid w:val="00CC4A2B"/>
    <w:rsid w:val="00CD4DB4"/>
    <w:rsid w:val="00CD7D3C"/>
    <w:rsid w:val="00CE6117"/>
    <w:rsid w:val="00CE6FBD"/>
    <w:rsid w:val="00CF2A60"/>
    <w:rsid w:val="00CF6D4F"/>
    <w:rsid w:val="00D06AB1"/>
    <w:rsid w:val="00D251D1"/>
    <w:rsid w:val="00D33435"/>
    <w:rsid w:val="00D33CDC"/>
    <w:rsid w:val="00D36A60"/>
    <w:rsid w:val="00D37132"/>
    <w:rsid w:val="00D41CFA"/>
    <w:rsid w:val="00D42E58"/>
    <w:rsid w:val="00D4637F"/>
    <w:rsid w:val="00D618BD"/>
    <w:rsid w:val="00D772FA"/>
    <w:rsid w:val="00D86214"/>
    <w:rsid w:val="00D91F93"/>
    <w:rsid w:val="00D9643B"/>
    <w:rsid w:val="00DA15E4"/>
    <w:rsid w:val="00DA36EA"/>
    <w:rsid w:val="00DB299F"/>
    <w:rsid w:val="00DB3945"/>
    <w:rsid w:val="00DB3B13"/>
    <w:rsid w:val="00DC23F9"/>
    <w:rsid w:val="00DD5B01"/>
    <w:rsid w:val="00DD6F15"/>
    <w:rsid w:val="00DE25AA"/>
    <w:rsid w:val="00DF4C52"/>
    <w:rsid w:val="00E0220E"/>
    <w:rsid w:val="00E03B6C"/>
    <w:rsid w:val="00E102F7"/>
    <w:rsid w:val="00E10784"/>
    <w:rsid w:val="00E12FF2"/>
    <w:rsid w:val="00E22CD8"/>
    <w:rsid w:val="00E24695"/>
    <w:rsid w:val="00E40B0B"/>
    <w:rsid w:val="00E40D83"/>
    <w:rsid w:val="00E4176B"/>
    <w:rsid w:val="00E4341A"/>
    <w:rsid w:val="00E438B3"/>
    <w:rsid w:val="00E4516B"/>
    <w:rsid w:val="00E4656C"/>
    <w:rsid w:val="00E66FD9"/>
    <w:rsid w:val="00E749CF"/>
    <w:rsid w:val="00E82D16"/>
    <w:rsid w:val="00E87C5B"/>
    <w:rsid w:val="00E950B4"/>
    <w:rsid w:val="00EA7CDF"/>
    <w:rsid w:val="00EE1986"/>
    <w:rsid w:val="00EE21F3"/>
    <w:rsid w:val="00EF47B1"/>
    <w:rsid w:val="00F13829"/>
    <w:rsid w:val="00F17764"/>
    <w:rsid w:val="00F245A5"/>
    <w:rsid w:val="00F316A7"/>
    <w:rsid w:val="00F50AD9"/>
    <w:rsid w:val="00F52199"/>
    <w:rsid w:val="00F54161"/>
    <w:rsid w:val="00F55277"/>
    <w:rsid w:val="00F56BE6"/>
    <w:rsid w:val="00F56FDA"/>
    <w:rsid w:val="00F57945"/>
    <w:rsid w:val="00F63667"/>
    <w:rsid w:val="00F642A7"/>
    <w:rsid w:val="00F67994"/>
    <w:rsid w:val="00F70958"/>
    <w:rsid w:val="00F83F45"/>
    <w:rsid w:val="00F8437C"/>
    <w:rsid w:val="00F846C1"/>
    <w:rsid w:val="00F86B39"/>
    <w:rsid w:val="00F95318"/>
    <w:rsid w:val="00F95A71"/>
    <w:rsid w:val="00FA2832"/>
    <w:rsid w:val="00FA672A"/>
    <w:rsid w:val="00FB0455"/>
    <w:rsid w:val="00FB4630"/>
    <w:rsid w:val="00FB7E62"/>
    <w:rsid w:val="00FD238F"/>
    <w:rsid w:val="00FD3144"/>
    <w:rsid w:val="00FD6DF3"/>
    <w:rsid w:val="00FE0DFB"/>
    <w:rsid w:val="00FF736E"/>
    <w:rsid w:val="247D8E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BB918"/>
  <w15:chartTrackingRefBased/>
  <w15:docId w15:val="{105D70A6-AB9E-4A59-B6CD-3CB4F1394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5176C"/>
    <w:pPr>
      <w:spacing w:after="0" w:line="240" w:lineRule="auto"/>
    </w:pPr>
    <w:rPr>
      <w:rFonts w:ascii="Times New Roman" w:hAnsi="Times New Roman" w:eastAsia="Times New Roman" w:cs="Times New Roman"/>
      <w:sz w:val="20"/>
      <w:szCs w:val="20"/>
      <w:lang w:eastAsia="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aliases w:val="Hipervínculo1,Hipervínculo11,Hipervínculo12,Hipervínculo13,Hipervínculo14,Hipervínculo15"/>
    <w:basedOn w:val="Fuentedeprrafopredeter"/>
    <w:uiPriority w:val="99"/>
    <w:unhideWhenUsed/>
    <w:qFormat/>
    <w:rsid w:val="00836192"/>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836192"/>
    <w:rPr>
      <w:rFonts w:ascii="Century Gothic" w:hAnsi="Century Gothic" w:eastAsia="Times New Roman"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6192"/>
    <w:pPr>
      <w:ind w:left="720"/>
      <w:contextualSpacing/>
    </w:pPr>
    <w:rPr>
      <w:rFonts w:ascii="Century Gothic" w:hAnsi="Century Gothic"/>
      <w:sz w:val="22"/>
      <w:szCs w:val="24"/>
    </w:rPr>
  </w:style>
  <w:style w:type="table" w:styleId="Tablaconcuadrcula">
    <w:name w:val="Table Grid"/>
    <w:basedOn w:val="Tablanormal"/>
    <w:uiPriority w:val="39"/>
    <w:rsid w:val="0083619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cabezado">
    <w:name w:val="header"/>
    <w:basedOn w:val="Normal"/>
    <w:link w:val="EncabezadoCar"/>
    <w:uiPriority w:val="99"/>
    <w:unhideWhenUsed/>
    <w:rsid w:val="00836192"/>
    <w:pPr>
      <w:tabs>
        <w:tab w:val="center" w:pos="4419"/>
        <w:tab w:val="right" w:pos="8838"/>
      </w:tabs>
    </w:pPr>
  </w:style>
  <w:style w:type="character" w:styleId="EncabezadoCar" w:customStyle="1">
    <w:name w:val="Encabezado Car"/>
    <w:basedOn w:val="Fuentedeprrafopredeter"/>
    <w:link w:val="Encabezado"/>
    <w:uiPriority w:val="99"/>
    <w:rsid w:val="00836192"/>
    <w:rPr>
      <w:rFonts w:ascii="Times New Roman" w:hAnsi="Times New Roman" w:eastAsia="Times New Roman" w:cs="Times New Roman"/>
      <w:sz w:val="20"/>
      <w:szCs w:val="20"/>
      <w:lang w:eastAsia="es-ES"/>
    </w:rPr>
  </w:style>
  <w:style w:type="paragraph" w:styleId="Piedepgina">
    <w:name w:val="footer"/>
    <w:basedOn w:val="Normal"/>
    <w:link w:val="PiedepginaCar"/>
    <w:uiPriority w:val="99"/>
    <w:unhideWhenUsed/>
    <w:rsid w:val="00836192"/>
    <w:pPr>
      <w:tabs>
        <w:tab w:val="center" w:pos="4419"/>
        <w:tab w:val="right" w:pos="8838"/>
      </w:tabs>
    </w:pPr>
  </w:style>
  <w:style w:type="character" w:styleId="PiedepginaCar" w:customStyle="1">
    <w:name w:val="Pie de página Car"/>
    <w:basedOn w:val="Fuentedeprrafopredeter"/>
    <w:link w:val="Piedepgina"/>
    <w:uiPriority w:val="99"/>
    <w:rsid w:val="00836192"/>
    <w:rPr>
      <w:rFonts w:ascii="Times New Roman" w:hAnsi="Times New Roman" w:eastAsia="Times New Roman" w:cs="Times New Roman"/>
      <w:sz w:val="20"/>
      <w:szCs w:val="20"/>
      <w:lang w:eastAsia="es-ES"/>
    </w:rPr>
  </w:style>
  <w:style w:type="paragraph" w:styleId="NormalWeb">
    <w:name w:val="Normal (Web)"/>
    <w:basedOn w:val="Normal"/>
    <w:uiPriority w:val="99"/>
    <w:unhideWhenUsed/>
    <w:rsid w:val="00836192"/>
    <w:pPr>
      <w:spacing w:after="160" w:line="259" w:lineRule="auto"/>
      <w:jc w:val="both"/>
    </w:pPr>
    <w:rPr>
      <w:rFonts w:eastAsiaTheme="minorHAnsi"/>
      <w:color w:val="000000" w:themeColor="text1"/>
      <w:sz w:val="24"/>
      <w:szCs w:val="24"/>
      <w:lang w:eastAsia="en-US"/>
    </w:rPr>
  </w:style>
  <w:style w:type="character" w:styleId="Hipervnculovisitado">
    <w:name w:val="FollowedHyperlink"/>
    <w:basedOn w:val="Fuentedeprrafopredeter"/>
    <w:uiPriority w:val="99"/>
    <w:semiHidden/>
    <w:unhideWhenUsed/>
    <w:rsid w:val="00504814"/>
    <w:rPr>
      <w:color w:val="954F72" w:themeColor="followedHyperlink"/>
      <w:u w:val="single"/>
    </w:rPr>
  </w:style>
  <w:style w:type="character" w:styleId="Mencinsinresolver1" w:customStyle="1">
    <w:name w:val="Mención sin resolver1"/>
    <w:basedOn w:val="Fuentedeprrafopredeter"/>
    <w:uiPriority w:val="99"/>
    <w:semiHidden/>
    <w:unhideWhenUsed/>
    <w:rsid w:val="00410D13"/>
    <w:rPr>
      <w:color w:val="605E5C"/>
      <w:shd w:val="clear" w:color="auto" w:fill="E1DFDD"/>
    </w:rPr>
  </w:style>
  <w:style w:type="character" w:styleId="Mencinsinresolver">
    <w:name w:val="Unresolved Mention"/>
    <w:basedOn w:val="Fuentedeprrafopredeter"/>
    <w:uiPriority w:val="99"/>
    <w:semiHidden/>
    <w:unhideWhenUsed/>
    <w:rsid w:val="006C5F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33145">
      <w:bodyDiv w:val="1"/>
      <w:marLeft w:val="0"/>
      <w:marRight w:val="0"/>
      <w:marTop w:val="0"/>
      <w:marBottom w:val="0"/>
      <w:divBdr>
        <w:top w:val="none" w:sz="0" w:space="0" w:color="auto"/>
        <w:left w:val="none" w:sz="0" w:space="0" w:color="auto"/>
        <w:bottom w:val="none" w:sz="0" w:space="0" w:color="auto"/>
        <w:right w:val="none" w:sz="0" w:space="0" w:color="auto"/>
      </w:divBdr>
    </w:div>
    <w:div w:id="136841091">
      <w:bodyDiv w:val="1"/>
      <w:marLeft w:val="0"/>
      <w:marRight w:val="0"/>
      <w:marTop w:val="0"/>
      <w:marBottom w:val="0"/>
      <w:divBdr>
        <w:top w:val="none" w:sz="0" w:space="0" w:color="auto"/>
        <w:left w:val="none" w:sz="0" w:space="0" w:color="auto"/>
        <w:bottom w:val="none" w:sz="0" w:space="0" w:color="auto"/>
        <w:right w:val="none" w:sz="0" w:space="0" w:color="auto"/>
      </w:divBdr>
    </w:div>
    <w:div w:id="438645319">
      <w:bodyDiv w:val="1"/>
      <w:marLeft w:val="0"/>
      <w:marRight w:val="0"/>
      <w:marTop w:val="0"/>
      <w:marBottom w:val="0"/>
      <w:divBdr>
        <w:top w:val="none" w:sz="0" w:space="0" w:color="auto"/>
        <w:left w:val="none" w:sz="0" w:space="0" w:color="auto"/>
        <w:bottom w:val="none" w:sz="0" w:space="0" w:color="auto"/>
        <w:right w:val="none" w:sz="0" w:space="0" w:color="auto"/>
      </w:divBdr>
    </w:div>
    <w:div w:id="459805247">
      <w:bodyDiv w:val="1"/>
      <w:marLeft w:val="0"/>
      <w:marRight w:val="0"/>
      <w:marTop w:val="0"/>
      <w:marBottom w:val="0"/>
      <w:divBdr>
        <w:top w:val="none" w:sz="0" w:space="0" w:color="auto"/>
        <w:left w:val="none" w:sz="0" w:space="0" w:color="auto"/>
        <w:bottom w:val="none" w:sz="0" w:space="0" w:color="auto"/>
        <w:right w:val="none" w:sz="0" w:space="0" w:color="auto"/>
      </w:divBdr>
    </w:div>
    <w:div w:id="686444989">
      <w:bodyDiv w:val="1"/>
      <w:marLeft w:val="0"/>
      <w:marRight w:val="0"/>
      <w:marTop w:val="0"/>
      <w:marBottom w:val="0"/>
      <w:divBdr>
        <w:top w:val="none" w:sz="0" w:space="0" w:color="auto"/>
        <w:left w:val="none" w:sz="0" w:space="0" w:color="auto"/>
        <w:bottom w:val="none" w:sz="0" w:space="0" w:color="auto"/>
        <w:right w:val="none" w:sz="0" w:space="0" w:color="auto"/>
      </w:divBdr>
    </w:div>
    <w:div w:id="960183657">
      <w:bodyDiv w:val="1"/>
      <w:marLeft w:val="0"/>
      <w:marRight w:val="0"/>
      <w:marTop w:val="0"/>
      <w:marBottom w:val="0"/>
      <w:divBdr>
        <w:top w:val="none" w:sz="0" w:space="0" w:color="auto"/>
        <w:left w:val="none" w:sz="0" w:space="0" w:color="auto"/>
        <w:bottom w:val="none" w:sz="0" w:space="0" w:color="auto"/>
        <w:right w:val="none" w:sz="0" w:space="0" w:color="auto"/>
      </w:divBdr>
    </w:div>
    <w:div w:id="980622864">
      <w:bodyDiv w:val="1"/>
      <w:marLeft w:val="0"/>
      <w:marRight w:val="0"/>
      <w:marTop w:val="0"/>
      <w:marBottom w:val="0"/>
      <w:divBdr>
        <w:top w:val="none" w:sz="0" w:space="0" w:color="auto"/>
        <w:left w:val="none" w:sz="0" w:space="0" w:color="auto"/>
        <w:bottom w:val="none" w:sz="0" w:space="0" w:color="auto"/>
        <w:right w:val="none" w:sz="0" w:space="0" w:color="auto"/>
      </w:divBdr>
    </w:div>
    <w:div w:id="1078135645">
      <w:bodyDiv w:val="1"/>
      <w:marLeft w:val="0"/>
      <w:marRight w:val="0"/>
      <w:marTop w:val="0"/>
      <w:marBottom w:val="0"/>
      <w:divBdr>
        <w:top w:val="none" w:sz="0" w:space="0" w:color="auto"/>
        <w:left w:val="none" w:sz="0" w:space="0" w:color="auto"/>
        <w:bottom w:val="none" w:sz="0" w:space="0" w:color="auto"/>
        <w:right w:val="none" w:sz="0" w:space="0" w:color="auto"/>
      </w:divBdr>
    </w:div>
    <w:div w:id="1507597338">
      <w:bodyDiv w:val="1"/>
      <w:marLeft w:val="0"/>
      <w:marRight w:val="0"/>
      <w:marTop w:val="0"/>
      <w:marBottom w:val="0"/>
      <w:divBdr>
        <w:top w:val="none" w:sz="0" w:space="0" w:color="auto"/>
        <w:left w:val="none" w:sz="0" w:space="0" w:color="auto"/>
        <w:bottom w:val="none" w:sz="0" w:space="0" w:color="auto"/>
        <w:right w:val="none" w:sz="0" w:space="0" w:color="auto"/>
      </w:divBdr>
    </w:div>
    <w:div w:id="1674913033">
      <w:bodyDiv w:val="1"/>
      <w:marLeft w:val="0"/>
      <w:marRight w:val="0"/>
      <w:marTop w:val="0"/>
      <w:marBottom w:val="0"/>
      <w:divBdr>
        <w:top w:val="none" w:sz="0" w:space="0" w:color="auto"/>
        <w:left w:val="none" w:sz="0" w:space="0" w:color="auto"/>
        <w:bottom w:val="none" w:sz="0" w:space="0" w:color="auto"/>
        <w:right w:val="none" w:sz="0" w:space="0" w:color="auto"/>
      </w:divBdr>
    </w:div>
    <w:div w:id="1682782398">
      <w:bodyDiv w:val="1"/>
      <w:marLeft w:val="0"/>
      <w:marRight w:val="0"/>
      <w:marTop w:val="0"/>
      <w:marBottom w:val="0"/>
      <w:divBdr>
        <w:top w:val="none" w:sz="0" w:space="0" w:color="auto"/>
        <w:left w:val="none" w:sz="0" w:space="0" w:color="auto"/>
        <w:bottom w:val="none" w:sz="0" w:space="0" w:color="auto"/>
        <w:right w:val="none" w:sz="0" w:space="0" w:color="auto"/>
      </w:divBdr>
    </w:div>
    <w:div w:id="1851484890">
      <w:bodyDiv w:val="1"/>
      <w:marLeft w:val="0"/>
      <w:marRight w:val="0"/>
      <w:marTop w:val="0"/>
      <w:marBottom w:val="0"/>
      <w:divBdr>
        <w:top w:val="none" w:sz="0" w:space="0" w:color="auto"/>
        <w:left w:val="none" w:sz="0" w:space="0" w:color="auto"/>
        <w:bottom w:val="none" w:sz="0" w:space="0" w:color="auto"/>
        <w:right w:val="none" w:sz="0" w:space="0" w:color="auto"/>
      </w:divBdr>
    </w:div>
    <w:div w:id="1913391181">
      <w:bodyDiv w:val="1"/>
      <w:marLeft w:val="0"/>
      <w:marRight w:val="0"/>
      <w:marTop w:val="0"/>
      <w:marBottom w:val="0"/>
      <w:divBdr>
        <w:top w:val="none" w:sz="0" w:space="0" w:color="auto"/>
        <w:left w:val="none" w:sz="0" w:space="0" w:color="auto"/>
        <w:bottom w:val="none" w:sz="0" w:space="0" w:color="auto"/>
        <w:right w:val="none" w:sz="0" w:space="0" w:color="auto"/>
      </w:divBdr>
    </w:div>
    <w:div w:id="1928032856">
      <w:bodyDiv w:val="1"/>
      <w:marLeft w:val="0"/>
      <w:marRight w:val="0"/>
      <w:marTop w:val="0"/>
      <w:marBottom w:val="0"/>
      <w:divBdr>
        <w:top w:val="none" w:sz="0" w:space="0" w:color="auto"/>
        <w:left w:val="none" w:sz="0" w:space="0" w:color="auto"/>
        <w:bottom w:val="none" w:sz="0" w:space="0" w:color="auto"/>
        <w:right w:val="none" w:sz="0" w:space="0" w:color="auto"/>
      </w:divBdr>
    </w:div>
    <w:div w:id="1984313276">
      <w:bodyDiv w:val="1"/>
      <w:marLeft w:val="0"/>
      <w:marRight w:val="0"/>
      <w:marTop w:val="0"/>
      <w:marBottom w:val="0"/>
      <w:divBdr>
        <w:top w:val="none" w:sz="0" w:space="0" w:color="auto"/>
        <w:left w:val="none" w:sz="0" w:space="0" w:color="auto"/>
        <w:bottom w:val="none" w:sz="0" w:space="0" w:color="auto"/>
        <w:right w:val="none" w:sz="0" w:space="0" w:color="auto"/>
      </w:divBdr>
    </w:div>
    <w:div w:id="2113353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javascript:AbrirModal(1)" TargetMode="External" Id="rId8" /><Relationship Type="http://schemas.openxmlformats.org/officeDocument/2006/relationships/image" Target="media/image4.png" Id="rId13" /><Relationship Type="http://schemas.openxmlformats.org/officeDocument/2006/relationships/header" Target="header1.xml" Id="rId18" /><Relationship Type="http://schemas.openxmlformats.org/officeDocument/2006/relationships/styles" Target="styles.xml" Id="rId3" /><Relationship Type="http://schemas.openxmlformats.org/officeDocument/2006/relationships/footer" Target="footer2.xm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7.pn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hyperlink" Target="https://seduc.edomex.gob.mx/sis/catalogoct/" TargetMode="External" Id="rId15" /><Relationship Type="http://schemas.openxmlformats.org/officeDocument/2006/relationships/footer" Target="footer3.xml" Id="rId23" /><Relationship Type="http://schemas.openxmlformats.org/officeDocument/2006/relationships/image" Target="media/image1.png" Id="rId10" /><Relationship Type="http://schemas.openxmlformats.org/officeDocument/2006/relationships/header" Target="header2.xml" Id="rId19" /><Relationship Type="http://schemas.openxmlformats.org/officeDocument/2006/relationships/settings" Target="settings.xml" Id="rId4" /><Relationship Type="http://schemas.openxmlformats.org/officeDocument/2006/relationships/hyperlink" Target="https://www2.toluca.gob.mx/wp-content/uploads/2022/12/tol-pdf-gme-2224-v15-a1.pdf" TargetMode="External" Id="rId9" /><Relationship Type="http://schemas.openxmlformats.org/officeDocument/2006/relationships/image" Target="media/image5.png" Id="rId14" /><Relationship Type="http://schemas.openxmlformats.org/officeDocument/2006/relationships/header" Target="header3.xml" Id="rId22" /><Relationship Type="http://schemas.openxmlformats.org/officeDocument/2006/relationships/glossaryDocument" Target="glossary/document.xml" Id="Re777c18241b74fb5" /></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09bb59f-9b12-4d36-b7a9-4f2d61087d13}"/>
      </w:docPartPr>
      <w:docPartBody>
        <w:p w14:paraId="526AE187">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2DC00-29D6-462C-A481-DD9DB2AAEB5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oswaldo</dc:creator>
  <keywords/>
  <dc:description/>
  <lastModifiedBy>Denisse Eduarte</lastModifiedBy>
  <revision>4</revision>
  <dcterms:created xsi:type="dcterms:W3CDTF">2023-03-08T03:49:00.0000000Z</dcterms:created>
  <dcterms:modified xsi:type="dcterms:W3CDTF">2023-04-14T06:40:50.7866961Z</dcterms:modified>
</coreProperties>
</file>