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A2A9AB"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a cinco de julio de dos mil veintitrés. </w:t>
      </w:r>
    </w:p>
    <w:p w14:paraId="1454057A" w14:textId="602CE16D"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b/>
        </w:rPr>
        <w:t>VISTO</w:t>
      </w:r>
      <w:r w:rsidRPr="000E564D">
        <w:rPr>
          <w:rFonts w:ascii="Palatino Linotype" w:eastAsia="Palatino Linotype" w:hAnsi="Palatino Linotype" w:cs="Palatino Linotype"/>
        </w:rPr>
        <w:t xml:space="preserve"> el expediente formado con motivo del recurso de revisión </w:t>
      </w:r>
      <w:r w:rsidRPr="000E564D">
        <w:rPr>
          <w:rFonts w:ascii="Palatino Linotype" w:eastAsia="Palatino Linotype" w:hAnsi="Palatino Linotype" w:cs="Palatino Linotype"/>
          <w:b/>
        </w:rPr>
        <w:t>16479/INFOEM/IP/RR/2022</w:t>
      </w:r>
      <w:r w:rsidRPr="000E564D">
        <w:rPr>
          <w:rFonts w:ascii="Palatino Linotype" w:eastAsia="Palatino Linotype" w:hAnsi="Palatino Linotype" w:cs="Palatino Linotype"/>
        </w:rPr>
        <w:t>, interpuesto por</w:t>
      </w:r>
      <w:r w:rsidRPr="000E564D">
        <w:rPr>
          <w:rFonts w:ascii="Palatino Linotype" w:eastAsia="Palatino Linotype" w:hAnsi="Palatino Linotype" w:cs="Palatino Linotype"/>
          <w:b/>
        </w:rPr>
        <w:t xml:space="preserve"> </w:t>
      </w:r>
      <w:r w:rsidR="00AA045C">
        <w:rPr>
          <w:rFonts w:ascii="Palatino Linotype" w:eastAsia="Palatino Linotype" w:hAnsi="Palatino Linotype" w:cs="Palatino Linotype"/>
          <w:b/>
        </w:rPr>
        <w:t>XXXXXX XXXXX XXXXXX</w:t>
      </w:r>
      <w:r w:rsidRPr="000E564D">
        <w:rPr>
          <w:rFonts w:ascii="Palatino Linotype" w:eastAsia="Palatino Linotype" w:hAnsi="Palatino Linotype" w:cs="Palatino Linotype"/>
        </w:rPr>
        <w:t>, en lo sucesivo</w:t>
      </w:r>
      <w:r w:rsidRPr="000E564D">
        <w:rPr>
          <w:rFonts w:ascii="Palatino Linotype" w:eastAsia="Palatino Linotype" w:hAnsi="Palatino Linotype" w:cs="Palatino Linotype"/>
          <w:b/>
        </w:rPr>
        <w:t xml:space="preserve"> </w:t>
      </w:r>
      <w:r w:rsidRPr="000E564D">
        <w:rPr>
          <w:rFonts w:ascii="Palatino Linotype" w:eastAsia="Palatino Linotype" w:hAnsi="Palatino Linotype" w:cs="Palatino Linotype"/>
        </w:rPr>
        <w:t xml:space="preserve">la parte </w:t>
      </w:r>
      <w:r w:rsidRPr="000E564D">
        <w:rPr>
          <w:rFonts w:ascii="Palatino Linotype" w:eastAsia="Palatino Linotype" w:hAnsi="Palatino Linotype" w:cs="Palatino Linotype"/>
          <w:b/>
        </w:rPr>
        <w:t>Recurrente,</w:t>
      </w:r>
      <w:r w:rsidRPr="000E564D">
        <w:rPr>
          <w:rFonts w:ascii="Palatino Linotype" w:eastAsia="Palatino Linotype" w:hAnsi="Palatino Linotype" w:cs="Palatino Linotype"/>
        </w:rPr>
        <w:t xml:space="preserve"> en contra de la respuesta a su solicitud por parte del </w:t>
      </w:r>
      <w:r w:rsidRPr="000E564D">
        <w:rPr>
          <w:rFonts w:ascii="Palatino Linotype" w:eastAsia="Palatino Linotype" w:hAnsi="Palatino Linotype" w:cs="Palatino Linotype"/>
          <w:b/>
        </w:rPr>
        <w:t xml:space="preserve">Ayuntamiento de Toluca, </w:t>
      </w:r>
      <w:r w:rsidRPr="000E564D">
        <w:rPr>
          <w:rFonts w:ascii="Palatino Linotype" w:eastAsia="Palatino Linotype" w:hAnsi="Palatino Linotype" w:cs="Palatino Linotype"/>
        </w:rPr>
        <w:t xml:space="preserve">en lo sucesivo el </w:t>
      </w:r>
      <w:r w:rsidRPr="000E564D">
        <w:rPr>
          <w:rFonts w:ascii="Palatino Linotype" w:eastAsia="Palatino Linotype" w:hAnsi="Palatino Linotype" w:cs="Palatino Linotype"/>
          <w:b/>
        </w:rPr>
        <w:t xml:space="preserve">Sujeto Obligado, </w:t>
      </w:r>
      <w:r w:rsidRPr="000E564D">
        <w:rPr>
          <w:rFonts w:ascii="Palatino Linotype" w:eastAsia="Palatino Linotype" w:hAnsi="Palatino Linotype" w:cs="Palatino Linotype"/>
        </w:rPr>
        <w:t xml:space="preserve">se procede a dictar la presente resolución con base en los siguientes: </w:t>
      </w:r>
    </w:p>
    <w:p w14:paraId="7662D2A3" w14:textId="77777777" w:rsidR="00525649" w:rsidRPr="000E564D" w:rsidRDefault="00B04106">
      <w:pPr>
        <w:spacing w:before="240" w:after="240" w:line="360" w:lineRule="auto"/>
        <w:jc w:val="center"/>
        <w:rPr>
          <w:rFonts w:ascii="Palatino Linotype" w:eastAsia="Palatino Linotype" w:hAnsi="Palatino Linotype" w:cs="Palatino Linotype"/>
          <w:b/>
        </w:rPr>
      </w:pPr>
      <w:r w:rsidRPr="000E564D">
        <w:rPr>
          <w:rFonts w:ascii="Palatino Linotype" w:eastAsia="Palatino Linotype" w:hAnsi="Palatino Linotype" w:cs="Palatino Linotype"/>
          <w:b/>
        </w:rPr>
        <w:t>I. A N T E C E D E N T E S</w:t>
      </w:r>
    </w:p>
    <w:p w14:paraId="4837B5B2"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b/>
        </w:rPr>
        <w:t>1. Solicitud de acceso a la información.</w:t>
      </w:r>
      <w:r w:rsidRPr="000E564D">
        <w:rPr>
          <w:rFonts w:ascii="Palatino Linotype" w:eastAsia="Palatino Linotype" w:hAnsi="Palatino Linotype" w:cs="Palatino Linotype"/>
        </w:rPr>
        <w:t xml:space="preserve"> Con fecha </w:t>
      </w:r>
      <w:r w:rsidRPr="000E564D">
        <w:rPr>
          <w:rFonts w:ascii="Palatino Linotype" w:eastAsia="Palatino Linotype" w:hAnsi="Palatino Linotype" w:cs="Palatino Linotype"/>
          <w:b/>
        </w:rPr>
        <w:t>diecinueve de octubre de</w:t>
      </w:r>
      <w:r w:rsidRPr="000E564D">
        <w:rPr>
          <w:rFonts w:ascii="Palatino Linotype" w:eastAsia="Palatino Linotype" w:hAnsi="Palatino Linotype" w:cs="Palatino Linotype"/>
        </w:rPr>
        <w:t xml:space="preserve"> </w:t>
      </w:r>
      <w:r w:rsidRPr="000E564D">
        <w:rPr>
          <w:rFonts w:ascii="Palatino Linotype" w:eastAsia="Palatino Linotype" w:hAnsi="Palatino Linotype" w:cs="Palatino Linotype"/>
          <w:b/>
        </w:rPr>
        <w:t>dos mil veintidós,</w:t>
      </w:r>
      <w:r w:rsidRPr="000E564D">
        <w:rPr>
          <w:rFonts w:ascii="Palatino Linotype" w:eastAsia="Palatino Linotype" w:hAnsi="Palatino Linotype" w:cs="Palatino Linotype"/>
        </w:rPr>
        <w:t xml:space="preserve"> la parte </w:t>
      </w:r>
      <w:r w:rsidRPr="000E564D">
        <w:rPr>
          <w:rFonts w:ascii="Palatino Linotype" w:eastAsia="Palatino Linotype" w:hAnsi="Palatino Linotype" w:cs="Palatino Linotype"/>
          <w:b/>
        </w:rPr>
        <w:t xml:space="preserve">Recurrente </w:t>
      </w:r>
      <w:r w:rsidRPr="000E564D">
        <w:rPr>
          <w:rFonts w:ascii="Palatino Linotype" w:eastAsia="Palatino Linotype" w:hAnsi="Palatino Linotype" w:cs="Palatino Linotype"/>
        </w:rPr>
        <w:t xml:space="preserve">presentó, a través del Sistema de Acceso a la Información Mexiquense, en lo subsecuente el </w:t>
      </w:r>
      <w:r w:rsidRPr="000E564D">
        <w:rPr>
          <w:rFonts w:ascii="Palatino Linotype" w:eastAsia="Palatino Linotype" w:hAnsi="Palatino Linotype" w:cs="Palatino Linotype"/>
          <w:b/>
        </w:rPr>
        <w:t>SAIMEX,</w:t>
      </w:r>
      <w:r w:rsidRPr="000E564D">
        <w:rPr>
          <w:rFonts w:ascii="Palatino Linotype" w:eastAsia="Palatino Linotype" w:hAnsi="Palatino Linotype" w:cs="Palatino Linotype"/>
        </w:rPr>
        <w:t xml:space="preserve"> ante el </w:t>
      </w:r>
      <w:r w:rsidRPr="000E564D">
        <w:rPr>
          <w:rFonts w:ascii="Palatino Linotype" w:eastAsia="Palatino Linotype" w:hAnsi="Palatino Linotype" w:cs="Palatino Linotype"/>
          <w:b/>
        </w:rPr>
        <w:t>Sujeto Obligado</w:t>
      </w:r>
      <w:r w:rsidRPr="000E564D">
        <w:rPr>
          <w:rFonts w:ascii="Palatino Linotype" w:eastAsia="Palatino Linotype" w:hAnsi="Palatino Linotype" w:cs="Palatino Linotype"/>
        </w:rPr>
        <w:t>, la solicitud de acceso a la información pública, a la que se le asignó el número</w:t>
      </w:r>
      <w:r w:rsidRPr="000E564D">
        <w:rPr>
          <w:rFonts w:ascii="Palatino Linotype" w:eastAsia="Palatino Linotype" w:hAnsi="Palatino Linotype" w:cs="Palatino Linotype"/>
          <w:b/>
        </w:rPr>
        <w:t xml:space="preserve"> 02233/TOLUCA/IP/2022, </w:t>
      </w:r>
      <w:r w:rsidRPr="000E564D">
        <w:rPr>
          <w:rFonts w:ascii="Palatino Linotype" w:eastAsia="Palatino Linotype" w:hAnsi="Palatino Linotype" w:cs="Palatino Linotype"/>
        </w:rPr>
        <w:t xml:space="preserve">mediante la cual requirió la información siguiente: </w:t>
      </w:r>
    </w:p>
    <w:p w14:paraId="1C423885" w14:textId="77777777" w:rsidR="00525649" w:rsidRPr="000E564D" w:rsidRDefault="00B04106">
      <w:pPr>
        <w:spacing w:before="240" w:after="240"/>
        <w:ind w:left="851" w:right="902"/>
        <w:jc w:val="both"/>
        <w:rPr>
          <w:rFonts w:ascii="Palatino Linotype" w:eastAsia="Palatino Linotype" w:hAnsi="Palatino Linotype" w:cs="Palatino Linotype"/>
          <w:b/>
          <w:i/>
          <w:sz w:val="22"/>
          <w:szCs w:val="22"/>
        </w:rPr>
      </w:pPr>
      <w:bookmarkStart w:id="0" w:name="_heading=h.gjdgxs" w:colFirst="0" w:colLast="0"/>
      <w:bookmarkEnd w:id="0"/>
      <w:r w:rsidRPr="000E564D">
        <w:rPr>
          <w:rFonts w:ascii="Palatino Linotype" w:eastAsia="Palatino Linotype" w:hAnsi="Palatino Linotype" w:cs="Palatino Linotype"/>
          <w:i/>
          <w:sz w:val="22"/>
          <w:szCs w:val="22"/>
        </w:rPr>
        <w:t xml:space="preserve"> “Solicito las renuncias de todos los servidores públicos, de enero a octubre del año 2022, así como sus Formatos Únicos de Personal por baja y alta con la nueva categoría como personal de confianza, todo a partir de enero a octubre del año 2022. De nueva cuenta vuelvo a solicitarlos, ya que el personal de la Unidad de Transparencia y del ayuntamiento, hackeó mi cuenta de </w:t>
      </w:r>
      <w:proofErr w:type="spellStart"/>
      <w:r w:rsidRPr="000E564D">
        <w:rPr>
          <w:rFonts w:ascii="Palatino Linotype" w:eastAsia="Palatino Linotype" w:hAnsi="Palatino Linotype" w:cs="Palatino Linotype"/>
          <w:i/>
          <w:sz w:val="22"/>
          <w:szCs w:val="22"/>
        </w:rPr>
        <w:t>Saimex</w:t>
      </w:r>
      <w:proofErr w:type="spellEnd"/>
      <w:r w:rsidRPr="000E564D">
        <w:rPr>
          <w:rFonts w:ascii="Palatino Linotype" w:eastAsia="Palatino Linotype" w:hAnsi="Palatino Linotype" w:cs="Palatino Linotype"/>
          <w:i/>
          <w:sz w:val="22"/>
          <w:szCs w:val="22"/>
        </w:rPr>
        <w:t xml:space="preserve">, al desistirse por </w:t>
      </w:r>
      <w:proofErr w:type="spellStart"/>
      <w:r w:rsidRPr="000E564D">
        <w:rPr>
          <w:rFonts w:ascii="Palatino Linotype" w:eastAsia="Palatino Linotype" w:hAnsi="Palatino Linotype" w:cs="Palatino Linotype"/>
          <w:i/>
          <w:sz w:val="22"/>
          <w:szCs w:val="22"/>
        </w:rPr>
        <w:t>mi</w:t>
      </w:r>
      <w:proofErr w:type="spellEnd"/>
      <w:r w:rsidRPr="000E564D">
        <w:rPr>
          <w:rFonts w:ascii="Palatino Linotype" w:eastAsia="Palatino Linotype" w:hAnsi="Palatino Linotype" w:cs="Palatino Linotype"/>
          <w:i/>
          <w:sz w:val="22"/>
          <w:szCs w:val="22"/>
        </w:rPr>
        <w:t>, de varios recursos de revisión que había interpuesto, con anterioridad. Por tal motivo voy a volver a solicitar todo lo que había solicitado desde el mes de enero a la fecha.</w:t>
      </w:r>
      <w:r w:rsidRPr="000E564D">
        <w:rPr>
          <w:rFonts w:ascii="Palatino Linotype" w:eastAsia="Palatino Linotype" w:hAnsi="Palatino Linotype" w:cs="Palatino Linotype"/>
          <w:b/>
          <w:i/>
          <w:sz w:val="22"/>
          <w:szCs w:val="22"/>
        </w:rPr>
        <w:t>”</w:t>
      </w:r>
      <w:r w:rsidRPr="000E564D">
        <w:rPr>
          <w:rFonts w:ascii="Palatino Linotype" w:eastAsia="Palatino Linotype" w:hAnsi="Palatino Linotype" w:cs="Palatino Linotype"/>
          <w:i/>
          <w:sz w:val="22"/>
          <w:szCs w:val="22"/>
        </w:rPr>
        <w:t xml:space="preserve"> (sic) </w:t>
      </w:r>
    </w:p>
    <w:p w14:paraId="337F0B67" w14:textId="77777777" w:rsidR="00525649" w:rsidRPr="000E564D" w:rsidRDefault="00B04106">
      <w:pPr>
        <w:spacing w:before="240" w:after="240" w:line="360" w:lineRule="auto"/>
        <w:jc w:val="both"/>
        <w:rPr>
          <w:rFonts w:ascii="Palatino Linotype" w:eastAsia="Palatino Linotype" w:hAnsi="Palatino Linotype" w:cs="Palatino Linotype"/>
        </w:rPr>
      </w:pPr>
      <w:bookmarkStart w:id="1" w:name="_heading=h.3dy6vkm" w:colFirst="0" w:colLast="0"/>
      <w:bookmarkEnd w:id="1"/>
      <w:r w:rsidRPr="000E564D">
        <w:rPr>
          <w:rFonts w:ascii="Palatino Linotype" w:eastAsia="Palatino Linotype" w:hAnsi="Palatino Linotype" w:cs="Palatino Linotype"/>
          <w:b/>
        </w:rPr>
        <w:t>Modalidad de Entrega:</w:t>
      </w:r>
      <w:r w:rsidRPr="000E564D">
        <w:rPr>
          <w:rFonts w:ascii="Palatino Linotype" w:eastAsia="Palatino Linotype" w:hAnsi="Palatino Linotype" w:cs="Palatino Linotype"/>
        </w:rPr>
        <w:t xml:space="preserve"> a través </w:t>
      </w:r>
      <w:r w:rsidRPr="000E564D">
        <w:rPr>
          <w:rFonts w:ascii="Palatino Linotype" w:eastAsia="Palatino Linotype" w:hAnsi="Palatino Linotype" w:cs="Palatino Linotype"/>
          <w:b/>
        </w:rPr>
        <w:t>de SAIMEX.</w:t>
      </w:r>
    </w:p>
    <w:p w14:paraId="2BE53407" w14:textId="77777777" w:rsidR="00525649" w:rsidRPr="000E564D" w:rsidRDefault="00B04106">
      <w:pPr>
        <w:spacing w:before="240" w:after="240" w:line="360" w:lineRule="auto"/>
        <w:jc w:val="both"/>
        <w:rPr>
          <w:rFonts w:ascii="Palatino Linotype" w:eastAsia="Palatino Linotype" w:hAnsi="Palatino Linotype" w:cs="Palatino Linotype"/>
          <w:b/>
        </w:rPr>
      </w:pPr>
      <w:r w:rsidRPr="000E564D">
        <w:rPr>
          <w:rFonts w:ascii="Palatino Linotype" w:eastAsia="Palatino Linotype" w:hAnsi="Palatino Linotype" w:cs="Palatino Linotype"/>
          <w:b/>
        </w:rPr>
        <w:lastRenderedPageBreak/>
        <w:t xml:space="preserve">2. Respuesta. </w:t>
      </w:r>
      <w:r w:rsidRPr="000E564D">
        <w:rPr>
          <w:rFonts w:ascii="Palatino Linotype" w:eastAsia="Palatino Linotype" w:hAnsi="Palatino Linotype" w:cs="Palatino Linotype"/>
        </w:rPr>
        <w:t>Con fecha</w:t>
      </w:r>
      <w:r w:rsidRPr="000E564D">
        <w:rPr>
          <w:rFonts w:ascii="Palatino Linotype" w:eastAsia="Palatino Linotype" w:hAnsi="Palatino Linotype" w:cs="Palatino Linotype"/>
          <w:b/>
        </w:rPr>
        <w:t xml:space="preserve"> diez de noviembre de dos mil veintidós</w:t>
      </w:r>
      <w:r w:rsidRPr="000E564D">
        <w:rPr>
          <w:rFonts w:ascii="Palatino Linotype" w:eastAsia="Palatino Linotype" w:hAnsi="Palatino Linotype" w:cs="Palatino Linotype"/>
        </w:rPr>
        <w:t xml:space="preserve">, el </w:t>
      </w:r>
      <w:r w:rsidRPr="000E564D">
        <w:rPr>
          <w:rFonts w:ascii="Palatino Linotype" w:eastAsia="Palatino Linotype" w:hAnsi="Palatino Linotype" w:cs="Palatino Linotype"/>
          <w:b/>
        </w:rPr>
        <w:t xml:space="preserve">Sujeto Obligado </w:t>
      </w:r>
      <w:r w:rsidRPr="000E564D">
        <w:rPr>
          <w:rFonts w:ascii="Palatino Linotype" w:eastAsia="Palatino Linotype" w:hAnsi="Palatino Linotype" w:cs="Palatino Linotype"/>
        </w:rPr>
        <w:t xml:space="preserve">envió su respuesta a la solicitud de acceso a la información a través de SAIMEX, sustancialmente en los términos siguientes:   </w:t>
      </w:r>
    </w:p>
    <w:p w14:paraId="1309C092" w14:textId="77777777" w:rsidR="00525649" w:rsidRPr="000E564D" w:rsidRDefault="00B04106">
      <w:pPr>
        <w:spacing w:before="240" w:after="240"/>
        <w:ind w:left="851" w:right="902"/>
        <w:jc w:val="both"/>
        <w:rPr>
          <w:rFonts w:ascii="Palatino Linotype" w:eastAsia="Palatino Linotype" w:hAnsi="Palatino Linotype" w:cs="Palatino Linotype"/>
          <w:b/>
          <w:i/>
          <w:sz w:val="22"/>
          <w:szCs w:val="22"/>
        </w:rPr>
      </w:pPr>
      <w:r w:rsidRPr="000E564D">
        <w:rPr>
          <w:rFonts w:ascii="Palatino Linotype" w:eastAsia="Palatino Linotype" w:hAnsi="Palatino Linotype" w:cs="Palatino Linotype"/>
          <w:i/>
          <w:sz w:val="22"/>
          <w:szCs w:val="22"/>
        </w:rPr>
        <w:t>“…En atención a la solicitud con folio 02233/TOLUCA/IP/2022, me permito adjuntar al presente la respuesta correspondiente y anexo...” (sic)</w:t>
      </w:r>
    </w:p>
    <w:p w14:paraId="782D5436" w14:textId="77777777" w:rsidR="00525649" w:rsidRPr="000E564D" w:rsidRDefault="00B04106">
      <w:pPr>
        <w:spacing w:before="240" w:after="240" w:line="360" w:lineRule="auto"/>
        <w:ind w:right="49"/>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El </w:t>
      </w:r>
      <w:r w:rsidRPr="000E564D">
        <w:rPr>
          <w:rFonts w:ascii="Palatino Linotype" w:eastAsia="Palatino Linotype" w:hAnsi="Palatino Linotype" w:cs="Palatino Linotype"/>
          <w:b/>
        </w:rPr>
        <w:t>Sujeto Obligado</w:t>
      </w:r>
      <w:r w:rsidRPr="000E564D">
        <w:rPr>
          <w:rFonts w:ascii="Palatino Linotype" w:eastAsia="Palatino Linotype" w:hAnsi="Palatino Linotype" w:cs="Palatino Linotype"/>
        </w:rPr>
        <w:t xml:space="preserve"> adjuntó lo siguiente:</w:t>
      </w:r>
    </w:p>
    <w:p w14:paraId="7E049E24" w14:textId="77777777" w:rsidR="00525649" w:rsidRPr="000E564D" w:rsidRDefault="00B04106">
      <w:pPr>
        <w:spacing w:before="240" w:after="240" w:line="360" w:lineRule="auto"/>
        <w:ind w:right="49"/>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 Escrito de fecha diez de noviembre de dos mil veintidós, signado por la Titular de la Unidad de Transparencia, mediante el cual informa que la Dirección General de Administración hizo entrega de las renuncias de todos los servidores públicos de enero a octubre de dos mil veintidós, así como los Formatos Únicos de Personal por baja y alta, en versión pública aprobada mediante los acuerdos AT/CT/01/2022 y AT/CT/02/2022 de la Sexagésima Septuagésima Séptima Sesión Extraordinaria del Comité de Transparencia del Municipio de Toluca, de fecha nueve de noviembre de dos mil veintidós, refiriendo que dichos documentos se adjuntaban. </w:t>
      </w:r>
    </w:p>
    <w:p w14:paraId="1233B51B" w14:textId="77777777" w:rsidR="00525649" w:rsidRPr="000E564D" w:rsidRDefault="00B04106">
      <w:pPr>
        <w:spacing w:before="240" w:after="240" w:line="360" w:lineRule="auto"/>
        <w:ind w:right="49"/>
        <w:jc w:val="both"/>
        <w:rPr>
          <w:rFonts w:ascii="Palatino Linotype" w:eastAsia="Palatino Linotype" w:hAnsi="Palatino Linotype" w:cs="Palatino Linotype"/>
        </w:rPr>
      </w:pPr>
      <w:r w:rsidRPr="000E564D">
        <w:rPr>
          <w:rFonts w:ascii="Palatino Linotype" w:eastAsia="Palatino Linotype" w:hAnsi="Palatino Linotype" w:cs="Palatino Linotype"/>
        </w:rPr>
        <w:t>- Documento constante de doscientas ochenta y cinco hojas, que contiene, en versión pública, diversos Formatos Únicos de Personal, FUP, de altas y bajas, así como cartas de renuncia, de enero a septiembre de dos mil veintidós.</w:t>
      </w:r>
    </w:p>
    <w:p w14:paraId="64B7812E" w14:textId="77777777" w:rsidR="00525649" w:rsidRPr="000E564D" w:rsidRDefault="00B04106">
      <w:pPr>
        <w:spacing w:before="240" w:after="240" w:line="360" w:lineRule="auto"/>
        <w:ind w:right="49"/>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 Acta de la Sexcentésima Septuagésima Séptima Sesión Extraordinaria del Comité de Transparencia, mediante la cual, derivado de las propuestas presentadas por la Servidora Pública Habilitada de la Dirección General de Administración, para dar respuesta a la solicitud de información número 02223/TOLUCA/IP/2022, se sometió a consideración de los integrantes del Comité, el análisis y aprobación de la propuesta de clasificación como información confidencial de forma parcial, respecto </w:t>
      </w:r>
      <w:r w:rsidRPr="000E564D">
        <w:rPr>
          <w:rFonts w:ascii="Palatino Linotype" w:eastAsia="Palatino Linotype" w:hAnsi="Palatino Linotype" w:cs="Palatino Linotype"/>
        </w:rPr>
        <w:lastRenderedPageBreak/>
        <w:t>a los datos personales contenidos en el Formato Único de Personal, FUP, y en las renuncias, con fundamento en los artículos 2, fracciones II y IV de la Ley de Protección de Datos Personales en Posesión de Sujetos Obligados del Estado de México y Municipios; 24 fracción XIV, 143, fracción I y demás aplicables a la Ley de Transparencia y Acceso a la Información Pública del Estado de México y Municipios; así como el análisis y aprobación de la propuesta de clasificación como información reservada de manera parcial, por un periodo de dos años, de la información referente a nombre completo de los servidores públicos adscritos a la Dirección General de Seguridad y Protección contenidos en el Formato Único de Personal, FUP, y en las renuncias, con fundamento en los artículos 104, fracciones I y II, 113, fracciones I y V de la Ley General de Transparencia y Acceso a la Información Pública; 129, fracciones I y II, y 140, fracción X de la Ley de Transparencia y Acceso a la Información Pública del Estado de México y Municipios.</w:t>
      </w:r>
    </w:p>
    <w:p w14:paraId="6EE3C0A3" w14:textId="77777777" w:rsidR="00525649" w:rsidRPr="000E564D" w:rsidRDefault="00B04106">
      <w:pPr>
        <w:spacing w:before="240" w:after="240" w:line="360" w:lineRule="auto"/>
        <w:ind w:right="49"/>
        <w:jc w:val="both"/>
        <w:rPr>
          <w:rFonts w:ascii="Palatino Linotype" w:eastAsia="Palatino Linotype" w:hAnsi="Palatino Linotype" w:cs="Palatino Linotype"/>
        </w:rPr>
      </w:pPr>
      <w:r w:rsidRPr="000E564D">
        <w:rPr>
          <w:rFonts w:ascii="Palatino Linotype" w:eastAsia="Palatino Linotype" w:hAnsi="Palatino Linotype" w:cs="Palatino Linotype"/>
          <w:b/>
        </w:rPr>
        <w:t xml:space="preserve">3. Interposición del recurso de revisión. </w:t>
      </w:r>
      <w:r w:rsidRPr="000E564D">
        <w:rPr>
          <w:rFonts w:ascii="Palatino Linotype" w:eastAsia="Palatino Linotype" w:hAnsi="Palatino Linotype" w:cs="Palatino Linotype"/>
        </w:rPr>
        <w:t xml:space="preserve">Inconforme con los términos de la respuesta emitida por parte del </w:t>
      </w:r>
      <w:r w:rsidRPr="000E564D">
        <w:rPr>
          <w:rFonts w:ascii="Palatino Linotype" w:eastAsia="Palatino Linotype" w:hAnsi="Palatino Linotype" w:cs="Palatino Linotype"/>
          <w:b/>
        </w:rPr>
        <w:t>Sujeto Obligado</w:t>
      </w:r>
      <w:r w:rsidRPr="000E564D">
        <w:rPr>
          <w:rFonts w:ascii="Palatino Linotype" w:eastAsia="Palatino Linotype" w:hAnsi="Palatino Linotype" w:cs="Palatino Linotype"/>
        </w:rPr>
        <w:t xml:space="preserve">, </w:t>
      </w:r>
      <w:r w:rsidRPr="000E564D">
        <w:rPr>
          <w:rFonts w:ascii="Palatino Linotype" w:eastAsia="Palatino Linotype" w:hAnsi="Palatino Linotype" w:cs="Palatino Linotype"/>
          <w:b/>
        </w:rPr>
        <w:t>veintidós de noviembre de dos mil veintidós,</w:t>
      </w:r>
      <w:r w:rsidRPr="000E564D">
        <w:rPr>
          <w:rFonts w:ascii="Palatino Linotype" w:eastAsia="Palatino Linotype" w:hAnsi="Palatino Linotype" w:cs="Palatino Linotype"/>
        </w:rPr>
        <w:t xml:space="preserve"> la parte </w:t>
      </w:r>
      <w:r w:rsidRPr="000E564D">
        <w:rPr>
          <w:rFonts w:ascii="Palatino Linotype" w:eastAsia="Palatino Linotype" w:hAnsi="Palatino Linotype" w:cs="Palatino Linotype"/>
          <w:b/>
        </w:rPr>
        <w:t>Recurrente</w:t>
      </w:r>
      <w:r w:rsidRPr="000E564D">
        <w:rPr>
          <w:rFonts w:ascii="Palatino Linotype" w:eastAsia="Palatino Linotype" w:hAnsi="Palatino Linotype" w:cs="Palatino Linotype"/>
        </w:rPr>
        <w:t xml:space="preserve"> interpuso el recurso de revisión a través de </w:t>
      </w:r>
      <w:r w:rsidRPr="000E564D">
        <w:rPr>
          <w:rFonts w:ascii="Palatino Linotype" w:eastAsia="Palatino Linotype" w:hAnsi="Palatino Linotype" w:cs="Palatino Linotype"/>
          <w:b/>
        </w:rPr>
        <w:t xml:space="preserve">SAIMEX, </w:t>
      </w:r>
      <w:r w:rsidRPr="000E564D">
        <w:rPr>
          <w:rFonts w:ascii="Palatino Linotype" w:eastAsia="Palatino Linotype" w:hAnsi="Palatino Linotype" w:cs="Palatino Linotype"/>
        </w:rPr>
        <w:t>en donde se manifestó de la siguiente manera:</w:t>
      </w:r>
    </w:p>
    <w:p w14:paraId="326221E1" w14:textId="77777777" w:rsidR="00525649" w:rsidRPr="000E564D" w:rsidRDefault="00B04106">
      <w:pPr>
        <w:tabs>
          <w:tab w:val="left" w:pos="2745"/>
        </w:tabs>
        <w:spacing w:before="240" w:after="240" w:line="360" w:lineRule="auto"/>
        <w:jc w:val="both"/>
        <w:rPr>
          <w:rFonts w:ascii="Palatino Linotype" w:eastAsia="Palatino Linotype" w:hAnsi="Palatino Linotype" w:cs="Palatino Linotype"/>
          <w:b/>
        </w:rPr>
      </w:pPr>
      <w:r w:rsidRPr="000E564D">
        <w:rPr>
          <w:rFonts w:ascii="Palatino Linotype" w:eastAsia="Palatino Linotype" w:hAnsi="Palatino Linotype" w:cs="Palatino Linotype"/>
          <w:b/>
        </w:rPr>
        <w:t xml:space="preserve">Acto impugnado: </w:t>
      </w:r>
    </w:p>
    <w:p w14:paraId="79BA8788" w14:textId="77777777" w:rsidR="00525649" w:rsidRPr="000E564D" w:rsidRDefault="00B04106">
      <w:pPr>
        <w:tabs>
          <w:tab w:val="left" w:pos="2745"/>
        </w:tabs>
        <w:spacing w:before="240" w:after="240"/>
        <w:ind w:left="851" w:right="90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“La respuesta que fue entregada por la Unidad de Transparencia.” (sic)</w:t>
      </w:r>
    </w:p>
    <w:p w14:paraId="03EE6199" w14:textId="77777777" w:rsidR="00525649" w:rsidRPr="000E564D" w:rsidRDefault="00B04106">
      <w:pPr>
        <w:spacing w:line="360" w:lineRule="auto"/>
        <w:jc w:val="both"/>
        <w:rPr>
          <w:rFonts w:ascii="Palatino Linotype" w:eastAsia="Palatino Linotype" w:hAnsi="Palatino Linotype" w:cs="Palatino Linotype"/>
        </w:rPr>
      </w:pPr>
      <w:bookmarkStart w:id="2" w:name="_heading=h.30j0zll" w:colFirst="0" w:colLast="0"/>
      <w:bookmarkEnd w:id="2"/>
      <w:r w:rsidRPr="000E564D">
        <w:rPr>
          <w:rFonts w:ascii="Palatino Linotype" w:eastAsia="Palatino Linotype" w:hAnsi="Palatino Linotype" w:cs="Palatino Linotype"/>
          <w:b/>
        </w:rPr>
        <w:t>Y Razones o motivos de inconformidad</w:t>
      </w:r>
      <w:r w:rsidRPr="000E564D">
        <w:rPr>
          <w:rFonts w:ascii="Palatino Linotype" w:eastAsia="Palatino Linotype" w:hAnsi="Palatino Linotype" w:cs="Palatino Linotype"/>
        </w:rPr>
        <w:t>:</w:t>
      </w:r>
    </w:p>
    <w:p w14:paraId="6B22E15A" w14:textId="77777777" w:rsidR="00525649" w:rsidRPr="000E564D" w:rsidRDefault="00B04106">
      <w:pPr>
        <w:spacing w:line="360" w:lineRule="auto"/>
        <w:jc w:val="center"/>
        <w:rPr>
          <w:rFonts w:ascii="Palatino Linotype" w:eastAsia="Palatino Linotype" w:hAnsi="Palatino Linotype" w:cs="Palatino Linotype"/>
          <w:i/>
        </w:rPr>
      </w:pPr>
      <w:r w:rsidRPr="000E564D">
        <w:rPr>
          <w:rFonts w:ascii="Palatino Linotype" w:eastAsia="Palatino Linotype" w:hAnsi="Palatino Linotype" w:cs="Palatino Linotype"/>
        </w:rPr>
        <w:t>“</w:t>
      </w:r>
      <w:r w:rsidRPr="000E564D">
        <w:rPr>
          <w:rFonts w:ascii="Palatino Linotype" w:eastAsia="Palatino Linotype" w:hAnsi="Palatino Linotype" w:cs="Palatino Linotype"/>
          <w:i/>
          <w:sz w:val="22"/>
          <w:szCs w:val="22"/>
        </w:rPr>
        <w:t>No me entregaron todo lo que solicité vía transparencia</w:t>
      </w:r>
      <w:r w:rsidRPr="000E564D">
        <w:rPr>
          <w:rFonts w:ascii="Palatino Linotype" w:eastAsia="Palatino Linotype" w:hAnsi="Palatino Linotype" w:cs="Palatino Linotype"/>
        </w:rPr>
        <w:t>.</w:t>
      </w:r>
      <w:r w:rsidRPr="000E564D">
        <w:rPr>
          <w:rFonts w:ascii="Palatino Linotype" w:eastAsia="Palatino Linotype" w:hAnsi="Palatino Linotype" w:cs="Palatino Linotype"/>
          <w:b/>
        </w:rPr>
        <w:t xml:space="preserve">” </w:t>
      </w:r>
      <w:r w:rsidRPr="000E564D">
        <w:rPr>
          <w:rFonts w:ascii="Palatino Linotype" w:eastAsia="Palatino Linotype" w:hAnsi="Palatino Linotype" w:cs="Palatino Linotype"/>
          <w:i/>
        </w:rPr>
        <w:t>(sic)</w:t>
      </w:r>
    </w:p>
    <w:p w14:paraId="342C316F" w14:textId="77777777" w:rsidR="00525649" w:rsidRPr="000E564D" w:rsidRDefault="00B04106">
      <w:pPr>
        <w:spacing w:before="240" w:after="240" w:line="360" w:lineRule="auto"/>
        <w:ind w:right="51"/>
        <w:jc w:val="both"/>
        <w:rPr>
          <w:rFonts w:ascii="Palatino Linotype" w:eastAsia="Palatino Linotype" w:hAnsi="Palatino Linotype" w:cs="Palatino Linotype"/>
        </w:rPr>
      </w:pPr>
      <w:r w:rsidRPr="000E564D">
        <w:rPr>
          <w:rFonts w:ascii="Palatino Linotype" w:eastAsia="Palatino Linotype" w:hAnsi="Palatino Linotype" w:cs="Palatino Linotype"/>
          <w:b/>
        </w:rPr>
        <w:lastRenderedPageBreak/>
        <w:t xml:space="preserve">5. Turno. </w:t>
      </w:r>
      <w:r w:rsidRPr="000E564D">
        <w:rPr>
          <w:rFonts w:ascii="Palatino Linotype" w:eastAsia="Palatino Linotype" w:hAnsi="Palatino Linotype" w:cs="Palatino Linotype"/>
        </w:rPr>
        <w:t xml:space="preserve">De conformidad con el artículo 185 fracción I de la Ley de Transparencia y Acceso a la Información Pública del Estado de México y Municipios vigente, el presente recurso de revisión se turnó por el sistema electrónico del Instituto de Transparencia, Acceso a la Información Pública y Protección de Datos Personales del Estado de México y Municipios, a la Comisionada </w:t>
      </w:r>
      <w:r w:rsidRPr="000E564D">
        <w:rPr>
          <w:rFonts w:ascii="Palatino Linotype" w:eastAsia="Palatino Linotype" w:hAnsi="Palatino Linotype" w:cs="Palatino Linotype"/>
          <w:b/>
        </w:rPr>
        <w:t xml:space="preserve">Guadalupe Ramírez Peña, </w:t>
      </w:r>
      <w:r w:rsidRPr="000E564D">
        <w:rPr>
          <w:rFonts w:ascii="Palatino Linotype" w:eastAsia="Palatino Linotype" w:hAnsi="Palatino Linotype" w:cs="Palatino Linotype"/>
        </w:rPr>
        <w:t xml:space="preserve">a efecto de que analizara sobre su admisión o su </w:t>
      </w:r>
      <w:proofErr w:type="spellStart"/>
      <w:r w:rsidRPr="000E564D">
        <w:rPr>
          <w:rFonts w:ascii="Palatino Linotype" w:eastAsia="Palatino Linotype" w:hAnsi="Palatino Linotype" w:cs="Palatino Linotype"/>
        </w:rPr>
        <w:t>desechamiento</w:t>
      </w:r>
      <w:proofErr w:type="spellEnd"/>
      <w:r w:rsidRPr="000E564D">
        <w:rPr>
          <w:rFonts w:ascii="Palatino Linotype" w:eastAsia="Palatino Linotype" w:hAnsi="Palatino Linotype" w:cs="Palatino Linotype"/>
        </w:rPr>
        <w:t>.</w:t>
      </w:r>
    </w:p>
    <w:p w14:paraId="1E712CFE"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b/>
        </w:rPr>
        <w:t>6. Admisión del Recurso de revisión.</w:t>
      </w:r>
      <w:r w:rsidRPr="000E564D">
        <w:rPr>
          <w:rFonts w:ascii="Palatino Linotype" w:eastAsia="Palatino Linotype" w:hAnsi="Palatino Linotype" w:cs="Palatino Linotype"/>
        </w:rPr>
        <w:t xml:space="preserve"> Con fecha</w:t>
      </w:r>
      <w:r w:rsidRPr="000E564D">
        <w:rPr>
          <w:rFonts w:ascii="Palatino Linotype" w:eastAsia="Palatino Linotype" w:hAnsi="Palatino Linotype" w:cs="Palatino Linotype"/>
          <w:b/>
        </w:rPr>
        <w:t xml:space="preserve"> veinticinco de noviembre de dos mil veintidós, </w:t>
      </w:r>
      <w:r w:rsidRPr="000E564D">
        <w:rPr>
          <w:rFonts w:ascii="Palatino Linotype" w:eastAsia="Palatino Linotype" w:hAnsi="Palatino Linotype" w:cs="Palatino Linotype"/>
        </w:rPr>
        <w:t xml:space="preserve">este Instituto de Transparencia, Acceso a la Información Pública y Protección de Datos Personales del Estado de México y Municipios, admitió a trámite el recurso de revisión que ahora se resuelve, dando un plazo máximo de siete días hábiles para que las partes manifestaran lo que a su derecho resultara conveniente, ofrecieran pruebas, formularan alegatos y el </w:t>
      </w:r>
      <w:r w:rsidRPr="000E564D">
        <w:rPr>
          <w:rFonts w:ascii="Palatino Linotype" w:eastAsia="Palatino Linotype" w:hAnsi="Palatino Linotype" w:cs="Palatino Linotype"/>
          <w:b/>
        </w:rPr>
        <w:t xml:space="preserve">Sujeto Obligado </w:t>
      </w:r>
      <w:r w:rsidRPr="000E564D">
        <w:rPr>
          <w:rFonts w:ascii="Palatino Linotype" w:eastAsia="Palatino Linotype" w:hAnsi="Palatino Linotype" w:cs="Palatino Linotype"/>
        </w:rPr>
        <w:t>presentara su informe justificado.</w:t>
      </w:r>
    </w:p>
    <w:p w14:paraId="76D7D28E" w14:textId="77777777" w:rsidR="00525649" w:rsidRPr="000E564D" w:rsidRDefault="00B04106">
      <w:pPr>
        <w:spacing w:before="240" w:after="240" w:line="360" w:lineRule="auto"/>
        <w:jc w:val="both"/>
        <w:rPr>
          <w:rFonts w:ascii="Palatino Linotype" w:eastAsia="Palatino Linotype" w:hAnsi="Palatino Linotype" w:cs="Palatino Linotype"/>
        </w:rPr>
      </w:pPr>
      <w:bookmarkStart w:id="3" w:name="_heading=h.2s8eyo1" w:colFirst="0" w:colLast="0"/>
      <w:bookmarkEnd w:id="3"/>
      <w:r w:rsidRPr="000E564D">
        <w:rPr>
          <w:rFonts w:ascii="Palatino Linotype" w:eastAsia="Palatino Linotype" w:hAnsi="Palatino Linotype" w:cs="Palatino Linotype"/>
          <w:b/>
        </w:rPr>
        <w:t>7. Manifestaciones</w:t>
      </w:r>
      <w:r w:rsidRPr="000E564D">
        <w:rPr>
          <w:rFonts w:ascii="Palatino Linotype" w:eastAsia="Palatino Linotype" w:hAnsi="Palatino Linotype" w:cs="Palatino Linotype"/>
        </w:rPr>
        <w:t xml:space="preserve">. En fecha </w:t>
      </w:r>
      <w:r w:rsidRPr="000E564D">
        <w:rPr>
          <w:rFonts w:ascii="Palatino Linotype" w:eastAsia="Palatino Linotype" w:hAnsi="Palatino Linotype" w:cs="Palatino Linotype"/>
          <w:b/>
        </w:rPr>
        <w:t xml:space="preserve">seis de diciembre de dos mil veintidós, </w:t>
      </w:r>
      <w:r w:rsidRPr="000E564D">
        <w:rPr>
          <w:rFonts w:ascii="Palatino Linotype" w:eastAsia="Palatino Linotype" w:hAnsi="Palatino Linotype" w:cs="Palatino Linotype"/>
        </w:rPr>
        <w:t xml:space="preserve">el </w:t>
      </w:r>
      <w:r w:rsidRPr="000E564D">
        <w:rPr>
          <w:rFonts w:ascii="Palatino Linotype" w:eastAsia="Palatino Linotype" w:hAnsi="Palatino Linotype" w:cs="Palatino Linotype"/>
          <w:b/>
        </w:rPr>
        <w:t xml:space="preserve">Sujeto Obligado </w:t>
      </w:r>
      <w:r w:rsidRPr="000E564D">
        <w:rPr>
          <w:rFonts w:ascii="Palatino Linotype" w:eastAsia="Palatino Linotype" w:hAnsi="Palatino Linotype" w:cs="Palatino Linotype"/>
        </w:rPr>
        <w:t>remitió, a través de SAIMEX, su informe justificado, mediante el cual, la Unidad de Transparencia ratifica en todas y cada una de las partes la respuesta de inicio, asimismo, respecto de los motivos de inconformidad aducidos menciona que de acuerdo con los archivos que se encuentran adjuntos a la respuesta, se observa que es la información requerida y que obra en los archivos del Sujeto Obligado.</w:t>
      </w:r>
    </w:p>
    <w:p w14:paraId="50B579F6"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Una vez analizados los documentos referidos, los mismos se hicieron del conocimiento de la persona solicitante con la finalidad de que manifestara lo que a su derecho estimara conveniente, siendo omisa en ejercer dicha prerrogativa.</w:t>
      </w:r>
    </w:p>
    <w:p w14:paraId="5D14AD41"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b/>
        </w:rPr>
        <w:lastRenderedPageBreak/>
        <w:t>8. Ampliación del término para resolver</w:t>
      </w:r>
      <w:r w:rsidRPr="000E564D">
        <w:rPr>
          <w:rFonts w:ascii="Palatino Linotype" w:eastAsia="Palatino Linotype" w:hAnsi="Palatino Linotype" w:cs="Palatino Linotype"/>
        </w:rPr>
        <w:t xml:space="preserve">. En fecha </w:t>
      </w:r>
      <w:r w:rsidRPr="000E564D">
        <w:rPr>
          <w:rFonts w:ascii="Palatino Linotype" w:eastAsia="Palatino Linotype" w:hAnsi="Palatino Linotype" w:cs="Palatino Linotype"/>
          <w:b/>
        </w:rPr>
        <w:t>veintinueve de mayo de dos mil veintitrés</w:t>
      </w:r>
      <w:r w:rsidRPr="000E564D">
        <w:rPr>
          <w:rFonts w:ascii="Palatino Linotype" w:eastAsia="Palatino Linotype" w:hAnsi="Palatino Linotype" w:cs="Palatino Linotype"/>
        </w:rPr>
        <w:t>, se amplió el término para resolver el recurso de revisión en términos del artículo 181 párrafo tercero de la Ley de Transparencia y Acceso a la Información Pública del Estado de México y Municipios.</w:t>
      </w:r>
    </w:p>
    <w:p w14:paraId="7D477D1D"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Este organismo garante no pasa por alto justificar, que el plazo para emitir la resolución en el presente asunto encuentra justificación en el alto número de recursos de revisión recibidos dentro del año dos mil veintidós, que, en comparación con los recibidos el año dos mil veintiuno, se incrementó aproximadamente un 300%, circunstancia atípica que ha rebasado las capacidades técnicas y humanas del personal encargado de la proyección de las resoluciones a dichos medios de impugnación.</w:t>
      </w:r>
    </w:p>
    <w:p w14:paraId="3A97ADF5"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Por ello, es menester precisar que,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órganos jurisdiccionales federales, aplicables también en procedimientos análogos, como el que nos ocupa.</w:t>
      </w:r>
    </w:p>
    <w:p w14:paraId="67F9638C"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656CE001"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En ese sentido, el legislador fijó los términos procesales en las leyes, de manera general, sin que pudiera prever la variada gama de casos que son resueltos por los </w:t>
      </w:r>
      <w:r w:rsidRPr="000E564D">
        <w:rPr>
          <w:rFonts w:ascii="Palatino Linotype" w:eastAsia="Palatino Linotype" w:hAnsi="Palatino Linotype" w:cs="Palatino Linotype"/>
        </w:rPr>
        <w:lastRenderedPageBreak/>
        <w:t xml:space="preserve">órganos jurisdiccionales o cuasi jurisdiccionales, tanto por la complejidad de los hechos, como por el número de casos que conocen. </w:t>
      </w:r>
    </w:p>
    <w:p w14:paraId="1CDA60A8" w14:textId="77777777" w:rsidR="00525649" w:rsidRPr="000E564D" w:rsidRDefault="00B04106">
      <w:pPr>
        <w:spacing w:before="240" w:after="240" w:line="360" w:lineRule="auto"/>
        <w:jc w:val="both"/>
        <w:rPr>
          <w:rFonts w:ascii="Palatino Linotype" w:eastAsia="Palatino Linotype" w:hAnsi="Palatino Linotype" w:cs="Palatino Linotype"/>
          <w:strike/>
        </w:rPr>
      </w:pPr>
      <w:r w:rsidRPr="000E564D">
        <w:rPr>
          <w:rFonts w:ascii="Palatino Linotype" w:eastAsia="Palatino Linotype" w:hAnsi="Palatino Linotype" w:cs="Palatino Linotype"/>
        </w:rPr>
        <w:t xml:space="preserve">Por ello, excepcionalmente, si un asunto es resuelto con posterioridad a los plazos señalados por la norma debe analizarse la razonabilidad del tiempo necesario para su resolución, atentos a los siguientes criterios: </w:t>
      </w:r>
    </w:p>
    <w:p w14:paraId="00BABBCA" w14:textId="77777777" w:rsidR="00525649" w:rsidRPr="000E564D" w:rsidRDefault="00B04106">
      <w:pPr>
        <w:numPr>
          <w:ilvl w:val="0"/>
          <w:numId w:val="1"/>
        </w:num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Complejidad del Asunto: La complejidad de la prueba, la pluralidad de sujetos procesales, el tiempo transcurrido, las características y contexto del recurso. </w:t>
      </w:r>
    </w:p>
    <w:p w14:paraId="16C2F50C" w14:textId="77777777" w:rsidR="00525649" w:rsidRPr="000E564D" w:rsidRDefault="00B04106">
      <w:pPr>
        <w:numPr>
          <w:ilvl w:val="0"/>
          <w:numId w:val="1"/>
        </w:num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Actividad Procesal del interesado. Acciones u omisiones del interesado.</w:t>
      </w:r>
    </w:p>
    <w:p w14:paraId="503F9DD5" w14:textId="77777777" w:rsidR="00525649" w:rsidRPr="000E564D" w:rsidRDefault="00B04106">
      <w:pPr>
        <w:numPr>
          <w:ilvl w:val="0"/>
          <w:numId w:val="1"/>
        </w:num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Conducta de la Autoridad: Las Acciones u omisiones realizadas en el procedimiento. Así como si la autoridad actuó con la debida diligencia.</w:t>
      </w:r>
    </w:p>
    <w:p w14:paraId="3396DCDE" w14:textId="77777777" w:rsidR="00525649" w:rsidRPr="000E564D" w:rsidRDefault="00B04106">
      <w:pPr>
        <w:spacing w:before="240" w:after="240" w:line="360" w:lineRule="auto"/>
        <w:ind w:left="567"/>
        <w:jc w:val="both"/>
        <w:rPr>
          <w:rFonts w:ascii="Palatino Linotype" w:eastAsia="Palatino Linotype" w:hAnsi="Palatino Linotype" w:cs="Palatino Linotype"/>
        </w:rPr>
      </w:pPr>
      <w:r w:rsidRPr="000E564D">
        <w:rPr>
          <w:rFonts w:ascii="Palatino Linotype" w:eastAsia="Palatino Linotype" w:hAnsi="Palatino Linotype" w:cs="Palatino Linotype"/>
        </w:rPr>
        <w:t>d) La afectación generada en la situación jurídica de la persona involucrada en el proceso: Violación a sus derechos humanos.</w:t>
      </w:r>
    </w:p>
    <w:p w14:paraId="3DA402C5"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580B1C67" w14:textId="77777777" w:rsidR="00525649" w:rsidRPr="000E564D" w:rsidRDefault="00B04106">
      <w:pPr>
        <w:spacing w:before="240" w:after="240" w:line="360" w:lineRule="auto"/>
        <w:jc w:val="both"/>
        <w:rPr>
          <w:rFonts w:ascii="Palatino Linotype" w:eastAsia="Palatino Linotype" w:hAnsi="Palatino Linotype" w:cs="Palatino Linotype"/>
          <w:b/>
        </w:rPr>
      </w:pPr>
      <w:r w:rsidRPr="000E564D">
        <w:rPr>
          <w:rFonts w:ascii="Palatino Linotype" w:eastAsia="Palatino Linotype" w:hAnsi="Palatino Linotype" w:cs="Palatino Linotype"/>
        </w:rPr>
        <w:t xml:space="preserve">Argumento que encuentra sustento en la jurisprudencia P./J. 32/92 emitida por el Pleno de la Suprema Corte de Justicia de la Nación de rubro </w:t>
      </w:r>
      <w:r w:rsidRPr="000E564D">
        <w:rPr>
          <w:rFonts w:ascii="Palatino Linotype" w:eastAsia="Palatino Linotype" w:hAnsi="Palatino Linotype" w:cs="Palatino Linotype"/>
          <w:i/>
        </w:rPr>
        <w:t xml:space="preserve">“TÉRMINOS </w:t>
      </w:r>
      <w:r w:rsidRPr="000E564D">
        <w:rPr>
          <w:rFonts w:ascii="Palatino Linotype" w:eastAsia="Palatino Linotype" w:hAnsi="Palatino Linotype" w:cs="Palatino Linotype"/>
          <w:i/>
        </w:rPr>
        <w:lastRenderedPageBreak/>
        <w:t>PROCESALES. PARA DETERMINAR SI UN FUNCIONARIO JUDICIAL ACTUÓ INDEBIDAMENTE POR NO RESPETARLOS SE DEBE ATENDER AL PRESUPUESTO QUE CONSIDERÓ EL LEGISLADOR AL FIJARLOS Y LAS CARACTERÍSTICAS DEL CASO.”</w:t>
      </w:r>
      <w:r w:rsidRPr="000E564D">
        <w:rPr>
          <w:rFonts w:ascii="Palatino Linotype" w:eastAsia="Palatino Linotype" w:hAnsi="Palatino Linotype" w:cs="Palatino Linotype"/>
        </w:rPr>
        <w:t>, visible en la Gaceta del Seminario Judicial de la Federación con el registro digital 205635.</w:t>
      </w:r>
    </w:p>
    <w:p w14:paraId="3D4D7748"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5FE5D328"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Al respecto, también son de considerar los criterios sostenidos por el Cuarto Tribunal Colegiado en Materia Administrativa del Primer Circuito, cuyos rubros y datos de identificación son los siguientes:</w:t>
      </w:r>
    </w:p>
    <w:p w14:paraId="0EE282BF" w14:textId="77777777" w:rsidR="00525649" w:rsidRPr="000E564D" w:rsidRDefault="00B04106">
      <w:pPr>
        <w:spacing w:before="240" w:after="240"/>
        <w:ind w:left="851" w:right="902"/>
        <w:jc w:val="both"/>
        <w:rPr>
          <w:rFonts w:ascii="Palatino Linotype" w:eastAsia="Palatino Linotype" w:hAnsi="Palatino Linotype" w:cs="Palatino Linotype"/>
          <w:sz w:val="22"/>
          <w:szCs w:val="22"/>
        </w:rPr>
      </w:pPr>
      <w:r w:rsidRPr="000E564D">
        <w:rPr>
          <w:rFonts w:ascii="Palatino Linotype" w:eastAsia="Palatino Linotype" w:hAnsi="Palatino Linotype" w:cs="Palatino Linotype"/>
        </w:rPr>
        <w:t xml:space="preserve"> </w:t>
      </w:r>
      <w:r w:rsidRPr="000E564D">
        <w:rPr>
          <w:rFonts w:ascii="Palatino Linotype" w:eastAsia="Palatino Linotype" w:hAnsi="Palatino Linotype" w:cs="Palatino Linotype"/>
          <w:i/>
          <w:sz w:val="22"/>
          <w:szCs w:val="22"/>
        </w:rPr>
        <w:t>“</w:t>
      </w:r>
      <w:r w:rsidRPr="000E564D">
        <w:rPr>
          <w:rFonts w:ascii="Palatino Linotype" w:eastAsia="Palatino Linotype" w:hAnsi="Palatino Linotype" w:cs="Palatino Linotype"/>
          <w:b/>
          <w:i/>
          <w:sz w:val="22"/>
          <w:szCs w:val="22"/>
        </w:rPr>
        <w:t>PLAZO RAZONABLE PARA RESOLVER. DIMENSIÓN Y EFECTOS DE ESTE CONCEPTO CUANDO SE ADUCE EXCESIVA CARGA DE TRABAJO</w:t>
      </w:r>
      <w:r w:rsidRPr="000E564D">
        <w:rPr>
          <w:rFonts w:ascii="Palatino Linotype" w:eastAsia="Palatino Linotype" w:hAnsi="Palatino Linotype" w:cs="Palatino Linotype"/>
          <w:i/>
          <w:sz w:val="22"/>
          <w:szCs w:val="22"/>
        </w:rPr>
        <w:t>.”</w:t>
      </w:r>
      <w:r w:rsidRPr="000E564D">
        <w:rPr>
          <w:rFonts w:ascii="Palatino Linotype" w:eastAsia="Palatino Linotype" w:hAnsi="Palatino Linotype" w:cs="Palatino Linotype"/>
          <w:sz w:val="22"/>
          <w:szCs w:val="22"/>
        </w:rPr>
        <w:t xml:space="preserve"> consultable en el Seminario Judicial de la Federación y su gaceta, con el registro digital 2002351.</w:t>
      </w:r>
    </w:p>
    <w:p w14:paraId="22BE8B5E" w14:textId="77777777" w:rsidR="00525649" w:rsidRPr="000E564D" w:rsidRDefault="00B04106">
      <w:pPr>
        <w:spacing w:before="240" w:after="240"/>
        <w:ind w:left="851" w:right="902"/>
        <w:jc w:val="both"/>
        <w:rPr>
          <w:rFonts w:ascii="Palatino Linotype" w:eastAsia="Palatino Linotype" w:hAnsi="Palatino Linotype" w:cs="Palatino Linotype"/>
          <w:sz w:val="22"/>
          <w:szCs w:val="22"/>
        </w:rPr>
      </w:pPr>
      <w:r w:rsidRPr="000E564D">
        <w:rPr>
          <w:rFonts w:ascii="Palatino Linotype" w:eastAsia="Palatino Linotype" w:hAnsi="Palatino Linotype" w:cs="Palatino Linotype"/>
          <w:i/>
          <w:sz w:val="22"/>
          <w:szCs w:val="22"/>
        </w:rPr>
        <w:t>“</w:t>
      </w:r>
      <w:r w:rsidRPr="000E564D">
        <w:rPr>
          <w:rFonts w:ascii="Palatino Linotype" w:eastAsia="Palatino Linotype" w:hAnsi="Palatino Linotype" w:cs="Palatino Linotype"/>
          <w:b/>
          <w:i/>
          <w:sz w:val="22"/>
          <w:szCs w:val="22"/>
        </w:rPr>
        <w:t>PLAZO RAZONABLE PARA RESOLVER. CONCEPTO Y ELEMENTOS QUE LO INTEGRAN A LA LUZ DEL DERECHO INTERNACIONAL DE LOS DERECHOS HUMANOS</w:t>
      </w:r>
      <w:r w:rsidRPr="000E564D">
        <w:rPr>
          <w:rFonts w:ascii="Palatino Linotype" w:eastAsia="Palatino Linotype" w:hAnsi="Palatino Linotype" w:cs="Palatino Linotype"/>
          <w:i/>
          <w:sz w:val="22"/>
          <w:szCs w:val="22"/>
        </w:rPr>
        <w:t>.”</w:t>
      </w:r>
      <w:r w:rsidRPr="000E564D">
        <w:rPr>
          <w:rFonts w:ascii="Palatino Linotype" w:eastAsia="Palatino Linotype" w:hAnsi="Palatino Linotype" w:cs="Palatino Linotype"/>
          <w:sz w:val="22"/>
          <w:szCs w:val="22"/>
        </w:rPr>
        <w:t xml:space="preserve">, visible en el </w:t>
      </w:r>
      <w:r w:rsidRPr="000E564D">
        <w:rPr>
          <w:rFonts w:ascii="Palatino Linotype" w:eastAsia="Palatino Linotype" w:hAnsi="Palatino Linotype" w:cs="Palatino Linotype"/>
          <w:sz w:val="22"/>
          <w:szCs w:val="22"/>
        </w:rPr>
        <w:lastRenderedPageBreak/>
        <w:t>Seminario Judicial de la Federación y su gaceta, con el registro digital 2002350.</w:t>
      </w:r>
    </w:p>
    <w:p w14:paraId="02F54E8C"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Por ello, este organismo garante comprometido con la tutela de los derechos humanos confiados, señala que este exceso del plazo legal para resolver el presente asunto, resulta de carácter excepcional.</w:t>
      </w:r>
    </w:p>
    <w:p w14:paraId="17D30995"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b/>
        </w:rPr>
        <w:t xml:space="preserve">9. Cierre de instrucción. </w:t>
      </w:r>
      <w:r w:rsidRPr="000E564D">
        <w:rPr>
          <w:rFonts w:ascii="Palatino Linotype" w:eastAsia="Palatino Linotype" w:hAnsi="Palatino Linotype" w:cs="Palatino Linotype"/>
        </w:rPr>
        <w:t xml:space="preserve">Una vez transcurrido el periodo otorgado a las partes para realizar sus manifestaciones y no habiendo documentos que integrar al expediente, con fecha </w:t>
      </w:r>
      <w:r w:rsidRPr="000E564D">
        <w:rPr>
          <w:rFonts w:ascii="Palatino Linotype" w:eastAsia="Palatino Linotype" w:hAnsi="Palatino Linotype" w:cs="Palatino Linotype"/>
          <w:b/>
        </w:rPr>
        <w:t xml:space="preserve">veintiocho de junio de dos mil veintitrés, </w:t>
      </w:r>
      <w:r w:rsidRPr="000E564D">
        <w:rPr>
          <w:rFonts w:ascii="Palatino Linotype" w:eastAsia="Palatino Linotype" w:hAnsi="Palatino Linotype" w:cs="Palatino Linotype"/>
        </w:rPr>
        <w:t>la Comisionada Ponente determinó el cierre de instrucción en términos de la fracción VI del artículo 185 de la Ley de Transparencia y Acceso a la Información Pública del Estado de México y Municipios</w:t>
      </w:r>
    </w:p>
    <w:p w14:paraId="16235FDE"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En razón de que fue debidamente sustanciado el expediente electrónico y no existe diligencia pendiente de desahogo, se emite la Resolución que conforme a Derecho proceda, de acuerdo con los siguientes: </w:t>
      </w:r>
    </w:p>
    <w:p w14:paraId="66217DBF" w14:textId="77777777" w:rsidR="00525649" w:rsidRPr="000E564D" w:rsidRDefault="00B04106">
      <w:pPr>
        <w:widowControl w:val="0"/>
        <w:spacing w:before="240" w:after="240" w:line="360" w:lineRule="auto"/>
        <w:jc w:val="center"/>
        <w:rPr>
          <w:rFonts w:ascii="Palatino Linotype" w:eastAsia="Palatino Linotype" w:hAnsi="Palatino Linotype" w:cs="Palatino Linotype"/>
          <w:b/>
        </w:rPr>
      </w:pPr>
      <w:r w:rsidRPr="000E564D">
        <w:rPr>
          <w:rFonts w:ascii="Palatino Linotype" w:eastAsia="Palatino Linotype" w:hAnsi="Palatino Linotype" w:cs="Palatino Linotype"/>
          <w:b/>
        </w:rPr>
        <w:t>II. C O N S I D E R A N D O S</w:t>
      </w:r>
    </w:p>
    <w:p w14:paraId="2DE1E7C6"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b/>
        </w:rPr>
        <w:t>Primero. Competencia.</w:t>
      </w:r>
      <w:r w:rsidRPr="000E564D">
        <w:rPr>
          <w:rFonts w:ascii="Palatino Linotype" w:eastAsia="Palatino Linotype" w:hAnsi="Palatino Linotype" w:cs="Palatino Linotype"/>
        </w:rPr>
        <w:t xml:space="preserve"> 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trigésimo, trigésimo primero y trigésimo segundo fracciones IV y V de la Constitución Política del Estado Libre y Soberano de México; 2, fracción II; 29, 36 fracciones I y II; 176, 178, 181, 185, fracción I, 186 y 188 de la Ley Transparencia y Acceso a la Información </w:t>
      </w:r>
      <w:r w:rsidRPr="000E564D">
        <w:rPr>
          <w:rFonts w:ascii="Palatino Linotype" w:eastAsia="Palatino Linotype" w:hAnsi="Palatino Linotype" w:cs="Palatino Linotype"/>
        </w:rPr>
        <w:lastRenderedPageBreak/>
        <w:t>Pública del Estado de México y Municipios; 9, fracciones I y XXIII y 11 del Reglamento Interior del Instituto de Transparencia, Acceso a la Información Pública y Protección de Datos Personales del Estado de México y Municipios.</w:t>
      </w:r>
    </w:p>
    <w:p w14:paraId="4E85532C" w14:textId="77777777" w:rsidR="00525649" w:rsidRPr="000E564D" w:rsidRDefault="00B04106">
      <w:pPr>
        <w:spacing w:before="240" w:after="240" w:line="360" w:lineRule="auto"/>
        <w:jc w:val="both"/>
        <w:rPr>
          <w:rFonts w:ascii="Palatino Linotype" w:eastAsia="Palatino Linotype" w:hAnsi="Palatino Linotype" w:cs="Palatino Linotype"/>
        </w:rPr>
      </w:pPr>
      <w:bookmarkStart w:id="4" w:name="_heading=h.tyjcwt" w:colFirst="0" w:colLast="0"/>
      <w:bookmarkEnd w:id="4"/>
      <w:r w:rsidRPr="000E564D">
        <w:rPr>
          <w:rFonts w:ascii="Palatino Linotype" w:eastAsia="Palatino Linotype" w:hAnsi="Palatino Linotype" w:cs="Palatino Linotype"/>
          <w:b/>
        </w:rPr>
        <w:t>Segundo. Oportunidad y Procedibilidad del Recurso de Revisión</w:t>
      </w:r>
      <w:r w:rsidRPr="000E564D">
        <w:rPr>
          <w:rFonts w:ascii="Palatino Linotype" w:eastAsia="Palatino Linotype" w:hAnsi="Palatino Linotype" w:cs="Palatino Linotype"/>
        </w:rPr>
        <w:t>. Previo al estudio del fondo del asunto, se procede a analizar los requisitos de oportunidad y procedibilidad que debe reunir el recurso de revisión interpuesto, previstos en los artículos 178 y 180 de la Ley de Transparencia y Acceso a la Información Pública del Estado de México y Municipios.</w:t>
      </w:r>
    </w:p>
    <w:p w14:paraId="6BD49A52"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El recurso de revisión fue interpuesto dentro del plazo de quince días hábiles, previsto en el artículo 178 de la Ley de Transparencia y Acceso a la Información Pública del Estado de México y Municipios, toda vez que el </w:t>
      </w:r>
      <w:r w:rsidRPr="000E564D">
        <w:rPr>
          <w:rFonts w:ascii="Palatino Linotype" w:eastAsia="Palatino Linotype" w:hAnsi="Palatino Linotype" w:cs="Palatino Linotype"/>
          <w:b/>
        </w:rPr>
        <w:t xml:space="preserve">Sujeto Obligado </w:t>
      </w:r>
      <w:r w:rsidRPr="000E564D">
        <w:rPr>
          <w:rFonts w:ascii="Palatino Linotype" w:eastAsia="Palatino Linotype" w:hAnsi="Palatino Linotype" w:cs="Palatino Linotype"/>
        </w:rPr>
        <w:t xml:space="preserve">remitió la respuesta a la solicitud de información el día </w:t>
      </w:r>
      <w:r w:rsidR="00D6304E" w:rsidRPr="000E564D">
        <w:rPr>
          <w:rFonts w:ascii="Palatino Linotype" w:eastAsia="Palatino Linotype" w:hAnsi="Palatino Linotype" w:cs="Palatino Linotype"/>
          <w:b/>
        </w:rPr>
        <w:t>diez de noviembre</w:t>
      </w:r>
      <w:r w:rsidRPr="000E564D">
        <w:rPr>
          <w:rFonts w:ascii="Palatino Linotype" w:eastAsia="Palatino Linotype" w:hAnsi="Palatino Linotype" w:cs="Palatino Linotype"/>
          <w:b/>
        </w:rPr>
        <w:t xml:space="preserve"> de dos mil veintidós, </w:t>
      </w:r>
      <w:r w:rsidRPr="000E564D">
        <w:rPr>
          <w:rFonts w:ascii="Palatino Linotype" w:eastAsia="Palatino Linotype" w:hAnsi="Palatino Linotype" w:cs="Palatino Linotype"/>
        </w:rPr>
        <w:t xml:space="preserve">mientras que el recurso de revisión interpuesto por la parte </w:t>
      </w:r>
      <w:r w:rsidRPr="000E564D">
        <w:rPr>
          <w:rFonts w:ascii="Palatino Linotype" w:eastAsia="Palatino Linotype" w:hAnsi="Palatino Linotype" w:cs="Palatino Linotype"/>
          <w:b/>
        </w:rPr>
        <w:t>Recurrente</w:t>
      </w:r>
      <w:r w:rsidRPr="000E564D">
        <w:rPr>
          <w:rFonts w:ascii="Palatino Linotype" w:eastAsia="Palatino Linotype" w:hAnsi="Palatino Linotype" w:cs="Palatino Linotype"/>
        </w:rPr>
        <w:t xml:space="preserve">, se tuvo por presentado el día </w:t>
      </w:r>
      <w:r w:rsidR="00D6304E" w:rsidRPr="000E564D">
        <w:rPr>
          <w:rFonts w:ascii="Palatino Linotype" w:eastAsia="Palatino Linotype" w:hAnsi="Palatino Linotype" w:cs="Palatino Linotype"/>
          <w:b/>
        </w:rPr>
        <w:t>veintidós de noviembre</w:t>
      </w:r>
      <w:r w:rsidRPr="000E564D">
        <w:rPr>
          <w:rFonts w:ascii="Palatino Linotype" w:eastAsia="Palatino Linotype" w:hAnsi="Palatino Linotype" w:cs="Palatino Linotype"/>
        </w:rPr>
        <w:t xml:space="preserve"> </w:t>
      </w:r>
      <w:r w:rsidRPr="000E564D">
        <w:rPr>
          <w:rFonts w:ascii="Palatino Linotype" w:eastAsia="Palatino Linotype" w:hAnsi="Palatino Linotype" w:cs="Palatino Linotype"/>
          <w:b/>
        </w:rPr>
        <w:t>de dos mil veintidós</w:t>
      </w:r>
      <w:r w:rsidRPr="000E564D">
        <w:rPr>
          <w:rFonts w:ascii="Palatino Linotype" w:eastAsia="Palatino Linotype" w:hAnsi="Palatino Linotype" w:cs="Palatino Linotype"/>
        </w:rPr>
        <w:t xml:space="preserve">, esto es al </w:t>
      </w:r>
      <w:r w:rsidR="00D6304E" w:rsidRPr="000E564D">
        <w:rPr>
          <w:rFonts w:ascii="Palatino Linotype" w:eastAsia="Palatino Linotype" w:hAnsi="Palatino Linotype" w:cs="Palatino Linotype"/>
        </w:rPr>
        <w:t>séptimo</w:t>
      </w:r>
      <w:r w:rsidRPr="000E564D">
        <w:rPr>
          <w:rFonts w:ascii="Palatino Linotype" w:eastAsia="Palatino Linotype" w:hAnsi="Palatino Linotype" w:cs="Palatino Linotype"/>
        </w:rPr>
        <w:t xml:space="preserve"> día hábil en que tuvo conocimiento de la respuesta impugnada. En este sentido, se concluye que el presente recurso de revisión se encuentra dentro de los márgenes temporales previstos en las disposiciones legales referidas.</w:t>
      </w:r>
    </w:p>
    <w:p w14:paraId="563125BD" w14:textId="77777777" w:rsidR="00525649" w:rsidRPr="000E564D" w:rsidRDefault="00B04106">
      <w:pPr>
        <w:spacing w:before="240" w:after="240" w:line="360" w:lineRule="auto"/>
        <w:jc w:val="both"/>
        <w:rPr>
          <w:rFonts w:ascii="Palatino Linotype" w:eastAsia="Palatino Linotype" w:hAnsi="Palatino Linotype" w:cs="Palatino Linotype"/>
        </w:rPr>
      </w:pPr>
      <w:bookmarkStart w:id="5" w:name="_heading=h.3znysh7" w:colFirst="0" w:colLast="0"/>
      <w:bookmarkEnd w:id="5"/>
      <w:r w:rsidRPr="000E564D">
        <w:rPr>
          <w:rFonts w:ascii="Palatino Linotype" w:eastAsia="Palatino Linotype" w:hAnsi="Palatino Linotype" w:cs="Palatino Linotype"/>
        </w:rPr>
        <w:t>Al mismo tiempo, por cuanto hace a la procedibilidad del recurso de revisión, una vez realizado el análisis de los formatos de interposición del recurso, se concluye la acreditación plena de los elementos formales precisados por el artículo 180 de la Ley de Transparencia y Acceso a la Información Pública del Estado de México y Municipios, en atención a que fue presentado mediante el formato visible en el SAIMEX.</w:t>
      </w:r>
    </w:p>
    <w:p w14:paraId="36819781"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lastRenderedPageBreak/>
        <w:t xml:space="preserve">Finalmente, se advierte que resulta procedente la interposición del recurso, según lo manifestado por la parte </w:t>
      </w:r>
      <w:r w:rsidRPr="000E564D">
        <w:rPr>
          <w:rFonts w:ascii="Palatino Linotype" w:eastAsia="Palatino Linotype" w:hAnsi="Palatino Linotype" w:cs="Palatino Linotype"/>
          <w:b/>
        </w:rPr>
        <w:t>Recurrente</w:t>
      </w:r>
      <w:r w:rsidRPr="000E564D">
        <w:rPr>
          <w:rFonts w:ascii="Palatino Linotype" w:eastAsia="Palatino Linotype" w:hAnsi="Palatino Linotype" w:cs="Palatino Linotype"/>
        </w:rPr>
        <w:t xml:space="preserve"> en sus motivos de inconformidad, de acuerdo al artículo 179, fracción V del ordenamiento legal citado, que a la letra dice: </w:t>
      </w:r>
    </w:p>
    <w:p w14:paraId="249E1385" w14:textId="77777777" w:rsidR="00525649" w:rsidRPr="000E564D" w:rsidRDefault="00B04106">
      <w:pPr>
        <w:spacing w:before="120" w:after="120"/>
        <w:ind w:left="993"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w:t>
      </w:r>
      <w:r w:rsidRPr="000E564D">
        <w:rPr>
          <w:rFonts w:ascii="Palatino Linotype" w:eastAsia="Palatino Linotype" w:hAnsi="Palatino Linotype" w:cs="Palatino Linotype"/>
          <w:b/>
          <w:i/>
          <w:sz w:val="22"/>
          <w:szCs w:val="22"/>
        </w:rPr>
        <w:t>Artículo 179.</w:t>
      </w:r>
      <w:r w:rsidRPr="000E564D">
        <w:rPr>
          <w:rFonts w:ascii="Palatino Linotype" w:eastAsia="Palatino Linotype" w:hAnsi="Palatino Linotype" w:cs="Palatino Linotype"/>
          <w:i/>
          <w:sz w:val="22"/>
          <w:szCs w:val="22"/>
        </w:rPr>
        <w:t xml:space="preserve"> El recurso de revisión es un medio de protección que la Ley otorga a los particulares, para hacer valer su derecho de acceso a la información pública, y procederá en contra de las siguientes causas:</w:t>
      </w:r>
    </w:p>
    <w:p w14:paraId="5F5F9F1F" w14:textId="77777777" w:rsidR="00525649" w:rsidRPr="000E564D" w:rsidRDefault="00B04106">
      <w:pPr>
        <w:tabs>
          <w:tab w:val="left" w:pos="7936"/>
        </w:tabs>
        <w:spacing w:before="120" w:after="120"/>
        <w:ind w:left="1134" w:right="902"/>
        <w:jc w:val="both"/>
        <w:rPr>
          <w:rFonts w:ascii="Palatino Linotype" w:eastAsia="Palatino Linotype" w:hAnsi="Palatino Linotype" w:cs="Palatino Linotype"/>
          <w:b/>
          <w:i/>
          <w:sz w:val="22"/>
          <w:szCs w:val="22"/>
        </w:rPr>
      </w:pPr>
      <w:r w:rsidRPr="000E564D">
        <w:rPr>
          <w:rFonts w:ascii="Palatino Linotype" w:eastAsia="Palatino Linotype" w:hAnsi="Palatino Linotype" w:cs="Palatino Linotype"/>
          <w:b/>
          <w:i/>
          <w:sz w:val="22"/>
          <w:szCs w:val="22"/>
        </w:rPr>
        <w:t>...</w:t>
      </w:r>
    </w:p>
    <w:p w14:paraId="72683EE0" w14:textId="77777777" w:rsidR="00525649" w:rsidRPr="000E564D" w:rsidRDefault="00B04106">
      <w:pPr>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 xml:space="preserve">V. </w:t>
      </w:r>
      <w:r w:rsidRPr="000E564D">
        <w:rPr>
          <w:rFonts w:ascii="Palatino Linotype" w:eastAsia="Palatino Linotype" w:hAnsi="Palatino Linotype" w:cs="Palatino Linotype"/>
          <w:i/>
          <w:sz w:val="22"/>
          <w:szCs w:val="22"/>
        </w:rPr>
        <w:t>La entrega de información incompleta;”</w:t>
      </w:r>
    </w:p>
    <w:p w14:paraId="244116AE" w14:textId="77777777" w:rsidR="00525649" w:rsidRPr="000E564D" w:rsidRDefault="00B04106">
      <w:pPr>
        <w:spacing w:before="240" w:after="240" w:line="360" w:lineRule="auto"/>
        <w:jc w:val="both"/>
        <w:rPr>
          <w:rFonts w:ascii="Palatino Linotype" w:eastAsia="Palatino Linotype" w:hAnsi="Palatino Linotype" w:cs="Palatino Linotype"/>
          <w:b/>
        </w:rPr>
      </w:pPr>
      <w:r w:rsidRPr="000E564D">
        <w:rPr>
          <w:rFonts w:ascii="Palatino Linotype" w:eastAsia="Palatino Linotype" w:hAnsi="Palatino Linotype" w:cs="Palatino Linotype"/>
          <w:b/>
        </w:rPr>
        <w:t xml:space="preserve">Tercero. Materia de la revisión. </w:t>
      </w:r>
      <w:r w:rsidRPr="000E564D">
        <w:rPr>
          <w:rFonts w:ascii="Palatino Linotype" w:eastAsia="Palatino Linotype" w:hAnsi="Palatino Linotype" w:cs="Palatino Linotype"/>
        </w:rPr>
        <w:t xml:space="preserve">De la revisión a las constancias y documentos que obran en el expediente electrónico se advierte, que el tema sobre el que este Organismo Garante de Transparencia y Acceso a la Información se pronunciará será: </w:t>
      </w:r>
      <w:r w:rsidRPr="000E564D">
        <w:rPr>
          <w:rFonts w:ascii="Palatino Linotype" w:eastAsia="Palatino Linotype" w:hAnsi="Palatino Linotype" w:cs="Palatino Linotype"/>
          <w:b/>
        </w:rPr>
        <w:t xml:space="preserve">verificar si la información proporcionada en respuesta y en informe por el Sujeto Obligado es adecuada y suficiente para satisfacer el derecho de acceso a la información pública </w:t>
      </w:r>
      <w:r w:rsidRPr="000E564D">
        <w:rPr>
          <w:rFonts w:ascii="Palatino Linotype" w:eastAsia="Palatino Linotype" w:hAnsi="Palatino Linotype" w:cs="Palatino Linotype"/>
        </w:rPr>
        <w:t xml:space="preserve">de la parte </w:t>
      </w:r>
      <w:r w:rsidRPr="000E564D">
        <w:rPr>
          <w:rFonts w:ascii="Palatino Linotype" w:eastAsia="Palatino Linotype" w:hAnsi="Palatino Linotype" w:cs="Palatino Linotype"/>
          <w:b/>
        </w:rPr>
        <w:t>Recurrente</w:t>
      </w:r>
      <w:r w:rsidRPr="000E564D">
        <w:rPr>
          <w:rFonts w:ascii="Palatino Linotype" w:eastAsia="Palatino Linotype" w:hAnsi="Palatino Linotype" w:cs="Palatino Linotype"/>
        </w:rPr>
        <w:t>, o en su defecto, en caso de ser procedente, ordenar la entrega de información oportuna.</w:t>
      </w:r>
    </w:p>
    <w:p w14:paraId="700FDC10" w14:textId="77777777" w:rsidR="00525649" w:rsidRPr="000E564D" w:rsidRDefault="00B04106">
      <w:pPr>
        <w:spacing w:before="240" w:after="240" w:line="360" w:lineRule="auto"/>
        <w:ind w:right="51"/>
        <w:jc w:val="both"/>
        <w:rPr>
          <w:rFonts w:ascii="Palatino Linotype" w:eastAsia="Palatino Linotype" w:hAnsi="Palatino Linotype" w:cs="Palatino Linotype"/>
        </w:rPr>
      </w:pPr>
      <w:bookmarkStart w:id="6" w:name="_heading=h.2et92p0" w:colFirst="0" w:colLast="0"/>
      <w:bookmarkEnd w:id="6"/>
      <w:r w:rsidRPr="000E564D">
        <w:rPr>
          <w:rFonts w:ascii="Palatino Linotype" w:eastAsia="Palatino Linotype" w:hAnsi="Palatino Linotype" w:cs="Palatino Linotype"/>
          <w:b/>
        </w:rPr>
        <w:t xml:space="preserve">Cuarto. Estudio del asunto. </w:t>
      </w:r>
      <w:r w:rsidRPr="000E564D">
        <w:rPr>
          <w:rFonts w:ascii="Palatino Linotype" w:eastAsia="Palatino Linotype" w:hAnsi="Palatino Linotype" w:cs="Palatino Linotype"/>
        </w:rPr>
        <w:t xml:space="preserve">Del análisis de la solicitud de información, motivo del recurso de revisión que ahora se resuelve se advierte que la parte </w:t>
      </w:r>
      <w:r w:rsidRPr="000E564D">
        <w:rPr>
          <w:rFonts w:ascii="Palatino Linotype" w:eastAsia="Palatino Linotype" w:hAnsi="Palatino Linotype" w:cs="Palatino Linotype"/>
          <w:b/>
        </w:rPr>
        <w:t>Recurrente</w:t>
      </w:r>
      <w:r w:rsidRPr="000E564D">
        <w:rPr>
          <w:rFonts w:ascii="Palatino Linotype" w:eastAsia="Palatino Linotype" w:hAnsi="Palatino Linotype" w:cs="Palatino Linotype"/>
        </w:rPr>
        <w:t xml:space="preserve"> requirió al </w:t>
      </w:r>
      <w:r w:rsidRPr="000E564D">
        <w:rPr>
          <w:rFonts w:ascii="Palatino Linotype" w:eastAsia="Palatino Linotype" w:hAnsi="Palatino Linotype" w:cs="Palatino Linotype"/>
          <w:b/>
        </w:rPr>
        <w:t xml:space="preserve">Sujeto Obligado </w:t>
      </w:r>
      <w:r w:rsidRPr="000E564D">
        <w:rPr>
          <w:rFonts w:ascii="Palatino Linotype" w:eastAsia="Palatino Linotype" w:hAnsi="Palatino Linotype" w:cs="Palatino Linotype"/>
        </w:rPr>
        <w:t>le proporcione, información consistente en lo siguiente:</w:t>
      </w:r>
    </w:p>
    <w:p w14:paraId="2B7A3D43" w14:textId="77777777" w:rsidR="00525649" w:rsidRPr="000E564D" w:rsidRDefault="00B04106">
      <w:pPr>
        <w:spacing w:before="240" w:after="240" w:line="360" w:lineRule="auto"/>
        <w:ind w:left="284" w:right="51"/>
        <w:jc w:val="both"/>
        <w:rPr>
          <w:rFonts w:ascii="Palatino Linotype" w:eastAsia="Palatino Linotype" w:hAnsi="Palatino Linotype" w:cs="Palatino Linotype"/>
        </w:rPr>
      </w:pPr>
      <w:r w:rsidRPr="000E564D">
        <w:rPr>
          <w:rFonts w:ascii="Palatino Linotype" w:eastAsia="Palatino Linotype" w:hAnsi="Palatino Linotype" w:cs="Palatino Linotype"/>
        </w:rPr>
        <w:t>1. Renuncias de todos los servidores públicos, de enero a octubre del año 2022.</w:t>
      </w:r>
    </w:p>
    <w:p w14:paraId="0B8CF91A" w14:textId="77777777" w:rsidR="00525649" w:rsidRPr="000E564D" w:rsidRDefault="00B04106">
      <w:pPr>
        <w:spacing w:before="240" w:after="240" w:line="360" w:lineRule="auto"/>
        <w:ind w:left="284" w:right="51"/>
        <w:jc w:val="both"/>
        <w:rPr>
          <w:rFonts w:ascii="Palatino Linotype" w:eastAsia="Palatino Linotype" w:hAnsi="Palatino Linotype" w:cs="Palatino Linotype"/>
        </w:rPr>
      </w:pPr>
      <w:r w:rsidRPr="000E564D">
        <w:rPr>
          <w:rFonts w:ascii="Palatino Linotype" w:eastAsia="Palatino Linotype" w:hAnsi="Palatino Linotype" w:cs="Palatino Linotype"/>
        </w:rPr>
        <w:t>2. Formatos Únicos de Personal por baja y alta, de los servidores públicos referidos en el punto anterior, con la nueva categoría como personal de confianza.</w:t>
      </w:r>
    </w:p>
    <w:p w14:paraId="3A3D120B" w14:textId="77777777" w:rsidR="00525649" w:rsidRPr="000E564D" w:rsidRDefault="00B04106">
      <w:pPr>
        <w:spacing w:before="240" w:after="240" w:line="360" w:lineRule="auto"/>
        <w:ind w:right="49"/>
        <w:jc w:val="both"/>
        <w:rPr>
          <w:rFonts w:ascii="Palatino Linotype" w:eastAsia="Palatino Linotype" w:hAnsi="Palatino Linotype" w:cs="Palatino Linotype"/>
        </w:rPr>
      </w:pPr>
      <w:r w:rsidRPr="000E564D">
        <w:rPr>
          <w:rFonts w:ascii="Palatino Linotype" w:eastAsia="Palatino Linotype" w:hAnsi="Palatino Linotype" w:cs="Palatino Linotype"/>
        </w:rPr>
        <w:lastRenderedPageBreak/>
        <w:t>No pasa desapercibido que la persona solicitante realizó diversos planteamientos subjetivos, como parte de su solicitud de información tales como “</w:t>
      </w:r>
      <w:r w:rsidRPr="000E564D">
        <w:rPr>
          <w:rFonts w:ascii="Palatino Linotype" w:eastAsia="Palatino Linotype" w:hAnsi="Palatino Linotype" w:cs="Palatino Linotype"/>
          <w:i/>
        </w:rPr>
        <w:t xml:space="preserve">De nueva cuenta vuelvo a solicitarlos, ya que el personal de la Unidad de Transparencia y del ayuntamiento, hackeó mi cuenta de </w:t>
      </w:r>
      <w:proofErr w:type="spellStart"/>
      <w:r w:rsidRPr="000E564D">
        <w:rPr>
          <w:rFonts w:ascii="Palatino Linotype" w:eastAsia="Palatino Linotype" w:hAnsi="Palatino Linotype" w:cs="Palatino Linotype"/>
          <w:i/>
        </w:rPr>
        <w:t>Saimex</w:t>
      </w:r>
      <w:proofErr w:type="spellEnd"/>
      <w:r w:rsidRPr="000E564D">
        <w:rPr>
          <w:rFonts w:ascii="Palatino Linotype" w:eastAsia="Palatino Linotype" w:hAnsi="Palatino Linotype" w:cs="Palatino Linotype"/>
          <w:i/>
        </w:rPr>
        <w:t xml:space="preserve">, al desistirse por </w:t>
      </w:r>
      <w:proofErr w:type="spellStart"/>
      <w:r w:rsidRPr="000E564D">
        <w:rPr>
          <w:rFonts w:ascii="Palatino Linotype" w:eastAsia="Palatino Linotype" w:hAnsi="Palatino Linotype" w:cs="Palatino Linotype"/>
          <w:i/>
        </w:rPr>
        <w:t>mi</w:t>
      </w:r>
      <w:proofErr w:type="spellEnd"/>
      <w:r w:rsidRPr="000E564D">
        <w:rPr>
          <w:rFonts w:ascii="Palatino Linotype" w:eastAsia="Palatino Linotype" w:hAnsi="Palatino Linotype" w:cs="Palatino Linotype"/>
          <w:i/>
        </w:rPr>
        <w:t>, de varios recursos de revisión que había interpuesto, con anterioridad. Por tal motivo voy a volver a solicitar todo lo que había solicitado desde el mes de enero a la fecha</w:t>
      </w:r>
      <w:r w:rsidRPr="000E564D">
        <w:rPr>
          <w:rFonts w:ascii="Palatino Linotype" w:eastAsia="Palatino Linotype" w:hAnsi="Palatino Linotype" w:cs="Palatino Linotype"/>
        </w:rPr>
        <w:t>” (</w:t>
      </w:r>
      <w:r w:rsidRPr="000E564D">
        <w:rPr>
          <w:rFonts w:ascii="Palatino Linotype" w:eastAsia="Palatino Linotype" w:hAnsi="Palatino Linotype" w:cs="Palatino Linotype"/>
          <w:i/>
        </w:rPr>
        <w:t>sic</w:t>
      </w:r>
      <w:r w:rsidRPr="000E564D">
        <w:rPr>
          <w:rFonts w:ascii="Palatino Linotype" w:eastAsia="Palatino Linotype" w:hAnsi="Palatino Linotype" w:cs="Palatino Linotype"/>
        </w:rPr>
        <w:t>) ante lo cual se puntualiza que el derecho al acceso a la información pública constituye una prerrogativa para acceder a documentos o registros de información pública generada o en posesión de los sujetos obligados,  motivo por el cual, este Organismo Garante reitera que dichas manifestaciones no son susceptibles de ser tomadas en consideración, toda vez que, no constituyen el ejercicio de un derecho de acceso a la información pública, sino más bien el ejercicio de un derecho de expresión, cuya finalidad consiste en dar mayor énfasis a sus requerimientos. En este sentido, se trata de manifestaciones sobre las cuales este Instituto no está facultado para pronunciarse.</w:t>
      </w:r>
    </w:p>
    <w:p w14:paraId="53EA014B" w14:textId="77777777" w:rsidR="00525649" w:rsidRPr="000E564D" w:rsidRDefault="00B04106">
      <w:pPr>
        <w:spacing w:before="240" w:after="240" w:line="360" w:lineRule="auto"/>
        <w:ind w:right="49"/>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En respuesta, el </w:t>
      </w:r>
      <w:r w:rsidRPr="000E564D">
        <w:rPr>
          <w:rFonts w:ascii="Palatino Linotype" w:eastAsia="Palatino Linotype" w:hAnsi="Palatino Linotype" w:cs="Palatino Linotype"/>
          <w:b/>
        </w:rPr>
        <w:t>Sujeto Obligado</w:t>
      </w:r>
      <w:r w:rsidRPr="000E564D">
        <w:rPr>
          <w:rFonts w:ascii="Palatino Linotype" w:eastAsia="Palatino Linotype" w:hAnsi="Palatino Linotype" w:cs="Palatino Linotype"/>
        </w:rPr>
        <w:t xml:space="preserve">, a través de la Unidad de Transparencia, hizo del conocimiento de la persona solicitante el pronunciamiento de la Dirección General de Administración, área que en atención a la solicitud, hizo entrega de las renuncias de todos los servidores públicos de enero a octubre de dos mil veintidós, así como los Formatos Únicos de Personal por baja y alta, en versión pública, así como del acta de la Sexagésima Septuagésima Séptima Sesión Extraordinaria del Comité de Transparencia del Municipio de Toluca mediante la cual se aprobó la propuesta de clasificación como información confidencial de forma parcial, respecto a los datos personales contenidos en el Formato Único de Personal, FUP, y en las renuncias, así como de la clasificación como información reservada de manera parcial, de la </w:t>
      </w:r>
      <w:r w:rsidRPr="000E564D">
        <w:rPr>
          <w:rFonts w:ascii="Palatino Linotype" w:eastAsia="Palatino Linotype" w:hAnsi="Palatino Linotype" w:cs="Palatino Linotype"/>
        </w:rPr>
        <w:lastRenderedPageBreak/>
        <w:t>información referente a nombre completo de los servidores públicos adscritos a la Dirección General de Seguridad y Protección contenidos en los documentos ya referidos.</w:t>
      </w:r>
    </w:p>
    <w:p w14:paraId="53407728"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Al no estar conforme con los términos de la respuesta otorgada a su solicitud, la persona solicitante interpuso el recurso de revisión que ahora nos ocupa, en el que señaló como acto impugnado que no se le entregó todo lo que solicitó vía transparencia.</w:t>
      </w:r>
    </w:p>
    <w:p w14:paraId="6B281C5C" w14:textId="77777777" w:rsidR="00525649" w:rsidRPr="000E564D" w:rsidRDefault="00B04106">
      <w:pPr>
        <w:spacing w:before="280" w:after="28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Una vez admitido el recurso de revisión, en términos del artículo 185 fracción II</w:t>
      </w:r>
      <w:r w:rsidRPr="000E564D">
        <w:rPr>
          <w:rFonts w:ascii="Palatino Linotype" w:eastAsia="Palatino Linotype" w:hAnsi="Palatino Linotype" w:cs="Palatino Linotype"/>
          <w:vertAlign w:val="superscript"/>
        </w:rPr>
        <w:footnoteReference w:id="1"/>
      </w:r>
      <w:r w:rsidRPr="000E564D">
        <w:rPr>
          <w:rFonts w:ascii="Palatino Linotype" w:eastAsia="Palatino Linotype" w:hAnsi="Palatino Linotype" w:cs="Palatino Linotype"/>
        </w:rPr>
        <w:t xml:space="preserve"> de la Ley de Transparencia y Acceso a la Información Pública del Estado de México y Municipios, se integró el expediente y se puso a disposición de las partes para que, en un plazo máximo de siete días hábiles, manifestaran lo que a su derecho resultara conveniente.</w:t>
      </w:r>
    </w:p>
    <w:p w14:paraId="7CD4E5A9" w14:textId="77777777" w:rsidR="00525649" w:rsidRPr="000E564D" w:rsidRDefault="00B04106">
      <w:pPr>
        <w:spacing w:before="280" w:after="28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En tal sentido, el </w:t>
      </w:r>
      <w:r w:rsidRPr="000E564D">
        <w:rPr>
          <w:rFonts w:ascii="Palatino Linotype" w:eastAsia="Palatino Linotype" w:hAnsi="Palatino Linotype" w:cs="Palatino Linotype"/>
          <w:b/>
        </w:rPr>
        <w:t>Sujeto Obligado</w:t>
      </w:r>
      <w:r w:rsidRPr="000E564D">
        <w:rPr>
          <w:rFonts w:ascii="Palatino Linotype" w:eastAsia="Palatino Linotype" w:hAnsi="Palatino Linotype" w:cs="Palatino Linotype"/>
        </w:rPr>
        <w:t>, a través de la U</w:t>
      </w:r>
      <w:r w:rsidR="00BA2EDB" w:rsidRPr="000E564D">
        <w:rPr>
          <w:rFonts w:ascii="Palatino Linotype" w:eastAsia="Palatino Linotype" w:hAnsi="Palatino Linotype" w:cs="Palatino Linotype"/>
        </w:rPr>
        <w:t xml:space="preserve">nidad de Transparencia ratificó </w:t>
      </w:r>
      <w:r w:rsidRPr="000E564D">
        <w:rPr>
          <w:rFonts w:ascii="Palatino Linotype" w:eastAsia="Palatino Linotype" w:hAnsi="Palatino Linotype" w:cs="Palatino Linotype"/>
        </w:rPr>
        <w:t>en todas y cada una de las partes la respuesta de inicio, asimismo, respecto de los motivos de inconformidad aducidos menciona que de acuerdo con los archivos que se encuentran adjuntos a la respuesta, se observa que es la información requerida y que obra en los archivos del Sujeto Obligado.</w:t>
      </w:r>
    </w:p>
    <w:p w14:paraId="0E7B887F" w14:textId="77777777" w:rsidR="00525649" w:rsidRPr="000E564D" w:rsidRDefault="00B04106">
      <w:pPr>
        <w:spacing w:before="240" w:after="240" w:line="360" w:lineRule="auto"/>
        <w:ind w:right="49"/>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En esta tesitura, de las constancias que integran los expedientes electrónicos relacionados con el recurso de revisión materia de estudio, se colige que el </w:t>
      </w:r>
      <w:r w:rsidRPr="000E564D">
        <w:rPr>
          <w:rFonts w:ascii="Palatino Linotype" w:eastAsia="Palatino Linotype" w:hAnsi="Palatino Linotype" w:cs="Palatino Linotype"/>
          <w:b/>
        </w:rPr>
        <w:t>Sujeto Obligado</w:t>
      </w:r>
      <w:r w:rsidRPr="000E564D">
        <w:rPr>
          <w:rFonts w:ascii="Palatino Linotype" w:eastAsia="Palatino Linotype" w:hAnsi="Palatino Linotype" w:cs="Palatino Linotype"/>
        </w:rPr>
        <w:t xml:space="preserve"> no niega la competencia para conocer de la información solicitada, sino </w:t>
      </w:r>
      <w:r w:rsidRPr="000E564D">
        <w:rPr>
          <w:rFonts w:ascii="Palatino Linotype" w:eastAsia="Palatino Linotype" w:hAnsi="Palatino Linotype" w:cs="Palatino Linotype"/>
        </w:rPr>
        <w:lastRenderedPageBreak/>
        <w:t>por el contrario, con la respuesta pronunciada asevera que es competente para conocer de la solicitud de información</w:t>
      </w:r>
      <w:r w:rsidRPr="000E564D">
        <w:rPr>
          <w:rFonts w:ascii="Palatino Linotype" w:eastAsia="Palatino Linotype" w:hAnsi="Palatino Linotype" w:cs="Palatino Linotype"/>
          <w:i/>
          <w:sz w:val="20"/>
          <w:szCs w:val="20"/>
        </w:rPr>
        <w:t xml:space="preserve">, </w:t>
      </w:r>
      <w:r w:rsidRPr="000E564D">
        <w:rPr>
          <w:rFonts w:ascii="Palatino Linotype" w:eastAsia="Palatino Linotype" w:hAnsi="Palatino Linotype" w:cs="Palatino Linotype"/>
        </w:rPr>
        <w:t xml:space="preserve">lo anterior es así, ya que el estudio enunciado tiene por objeto determinar si </w:t>
      </w:r>
      <w:r w:rsidRPr="000E564D">
        <w:t>los</w:t>
      </w:r>
      <w:r w:rsidRPr="000E564D">
        <w:rPr>
          <w:rFonts w:ascii="Palatino Linotype" w:eastAsia="Palatino Linotype" w:hAnsi="Palatino Linotype" w:cs="Palatino Linotype"/>
        </w:rPr>
        <w:t xml:space="preserve"> Sujeto</w:t>
      </w:r>
      <w:r w:rsidRPr="000E564D">
        <w:t>s</w:t>
      </w:r>
      <w:r w:rsidRPr="000E564D">
        <w:rPr>
          <w:rFonts w:ascii="Palatino Linotype" w:eastAsia="Palatino Linotype" w:hAnsi="Palatino Linotype" w:cs="Palatino Linotype"/>
        </w:rPr>
        <w:t xml:space="preserve"> Obligado</w:t>
      </w:r>
      <w:r w:rsidRPr="000E564D">
        <w:t>s</w:t>
      </w:r>
      <w:r w:rsidRPr="000E564D">
        <w:rPr>
          <w:rFonts w:ascii="Palatino Linotype" w:eastAsia="Palatino Linotype" w:hAnsi="Palatino Linotype" w:cs="Palatino Linotype"/>
        </w:rPr>
        <w:t xml:space="preserve"> generan, poseen o administran  la información solicitada, sin embargo, en aquellos casos en que </w:t>
      </w:r>
      <w:r w:rsidRPr="000E564D">
        <w:t>e</w:t>
      </w:r>
      <w:r w:rsidRPr="000E564D">
        <w:rPr>
          <w:rFonts w:ascii="Palatino Linotype" w:eastAsia="Palatino Linotype" w:hAnsi="Palatino Linotype" w:cs="Palatino Linotype"/>
        </w:rPr>
        <w:t>st</w:t>
      </w:r>
      <w:r w:rsidRPr="000E564D">
        <w:t xml:space="preserve">os </w:t>
      </w:r>
      <w:r w:rsidRPr="000E564D">
        <w:rPr>
          <w:rFonts w:ascii="Palatino Linotype" w:eastAsia="Palatino Linotype" w:hAnsi="Palatino Linotype" w:cs="Palatino Linotype"/>
        </w:rPr>
        <w:t>ha</w:t>
      </w:r>
      <w:r w:rsidRPr="000E564D">
        <w:t>n</w:t>
      </w:r>
      <w:r w:rsidRPr="000E564D">
        <w:rPr>
          <w:rFonts w:ascii="Palatino Linotype" w:eastAsia="Palatino Linotype" w:hAnsi="Palatino Linotype" w:cs="Palatino Linotype"/>
        </w:rPr>
        <w:t xml:space="preserve"> asumido la competencia, sería ocioso y a nada práctico nos conduciría su estudio, ya que, se insiste, el ente obligado asumió la competencia referida, motivo por el cual se actualiza el supuesto previsto en el artículo 12 de la legislación aplicable en la materia. </w:t>
      </w:r>
    </w:p>
    <w:p w14:paraId="34302C9B" w14:textId="77777777" w:rsidR="00525649" w:rsidRPr="000E564D" w:rsidRDefault="00B04106">
      <w:pPr>
        <w:spacing w:before="240" w:after="240"/>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“Artículo 12. Quienes generen, recopilen, administren, manejen, procesen, archiven o conserven información pública serán responsables de la misma</w:t>
      </w:r>
      <w:r w:rsidRPr="000E564D">
        <w:rPr>
          <w:rFonts w:ascii="Palatino Linotype" w:eastAsia="Palatino Linotype" w:hAnsi="Palatino Linotype" w:cs="Palatino Linotype"/>
          <w:i/>
          <w:sz w:val="22"/>
          <w:szCs w:val="22"/>
        </w:rPr>
        <w:t xml:space="preserve"> en los términos de las disposiciones jurídicas aplicables. </w:t>
      </w:r>
    </w:p>
    <w:p w14:paraId="372C0030" w14:textId="77777777" w:rsidR="00525649" w:rsidRPr="000E564D" w:rsidRDefault="00B04106">
      <w:pPr>
        <w:spacing w:before="240" w:after="240"/>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Los sujetos obligados sólo proporcionarán la información pública que se les requiera y que obre en sus archivos y en el estado en que ésta se encuentre</w:t>
      </w:r>
      <w:r w:rsidRPr="000E564D">
        <w:rPr>
          <w:rFonts w:ascii="Palatino Linotype" w:eastAsia="Palatino Linotype" w:hAnsi="Palatino Linotype" w:cs="Palatino Linotype"/>
          <w:i/>
          <w:sz w:val="22"/>
          <w:szCs w:val="22"/>
        </w:rPr>
        <w:t>. La obligación de proporcionar información no comprende el procesamiento de la misma, ni el presentarla conforme al interés del solicitante; no estarán obligados a generarla, resumirla, efectuar cálculos o practicar investigaciones.”</w:t>
      </w:r>
    </w:p>
    <w:p w14:paraId="2E100F06" w14:textId="77777777" w:rsidR="00525649" w:rsidRPr="000E564D" w:rsidRDefault="00B04106">
      <w:pPr>
        <w:pBdr>
          <w:top w:val="nil"/>
          <w:left w:val="nil"/>
          <w:bottom w:val="nil"/>
          <w:right w:val="nil"/>
          <w:between w:val="nil"/>
        </w:pBdr>
        <w:spacing w:before="280" w:after="28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Por consiguiente, se procede al análisis de los requerimientos planteados por persona solicitante y las </w:t>
      </w:r>
      <w:proofErr w:type="gramStart"/>
      <w:r w:rsidRPr="000E564D">
        <w:rPr>
          <w:rFonts w:ascii="Palatino Linotype" w:eastAsia="Palatino Linotype" w:hAnsi="Palatino Linotype" w:cs="Palatino Linotype"/>
        </w:rPr>
        <w:t>respuestas proporcionada</w:t>
      </w:r>
      <w:proofErr w:type="gramEnd"/>
      <w:r w:rsidRPr="000E564D">
        <w:rPr>
          <w:rFonts w:ascii="Palatino Linotype" w:eastAsia="Palatino Linotype" w:hAnsi="Palatino Linotype" w:cs="Palatino Linotype"/>
        </w:rPr>
        <w:t xml:space="preserve"> por el </w:t>
      </w:r>
      <w:r w:rsidRPr="000E564D">
        <w:rPr>
          <w:rFonts w:ascii="Palatino Linotype" w:eastAsia="Palatino Linotype" w:hAnsi="Palatino Linotype" w:cs="Palatino Linotype"/>
          <w:b/>
        </w:rPr>
        <w:t>Sujeto Obligado</w:t>
      </w:r>
      <w:r w:rsidRPr="000E564D">
        <w:rPr>
          <w:rFonts w:ascii="Palatino Linotype" w:eastAsia="Palatino Linotype" w:hAnsi="Palatino Linotype" w:cs="Palatino Linotype"/>
        </w:rPr>
        <w:t xml:space="preserve">, a efecto de determinar si el derecho de acceso se satisfizo con las mismas, o en su defecto, señalar los documentos que en el ejercicio de sus atribuciones pudo haber generado, y que, de manera enunciativa más no limitativa, pudieran colmar dicho derecho. </w:t>
      </w:r>
    </w:p>
    <w:p w14:paraId="391D2E00"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Así las cosas, no obsta mencionar que de las constancias que obran en los expedientes en los que se actúa, se advierte que, en observancia de lo previsto en los </w:t>
      </w:r>
      <w:r w:rsidRPr="000E564D">
        <w:rPr>
          <w:rFonts w:ascii="Palatino Linotype" w:eastAsia="Palatino Linotype" w:hAnsi="Palatino Linotype" w:cs="Palatino Linotype"/>
        </w:rPr>
        <w:lastRenderedPageBreak/>
        <w:t>artículos 53</w:t>
      </w:r>
      <w:r w:rsidRPr="000E564D">
        <w:rPr>
          <w:rFonts w:ascii="Palatino Linotype" w:eastAsia="Palatino Linotype" w:hAnsi="Palatino Linotype" w:cs="Palatino Linotype"/>
          <w:vertAlign w:val="superscript"/>
        </w:rPr>
        <w:footnoteReference w:id="2"/>
      </w:r>
      <w:r w:rsidRPr="000E564D">
        <w:rPr>
          <w:rFonts w:ascii="Palatino Linotype" w:eastAsia="Palatino Linotype" w:hAnsi="Palatino Linotype" w:cs="Palatino Linotype"/>
        </w:rPr>
        <w:t xml:space="preserve"> fracciones II y IV y  162</w:t>
      </w:r>
      <w:r w:rsidRPr="000E564D">
        <w:rPr>
          <w:rFonts w:ascii="Palatino Linotype" w:eastAsia="Palatino Linotype" w:hAnsi="Palatino Linotype" w:cs="Palatino Linotype"/>
          <w:vertAlign w:val="superscript"/>
        </w:rPr>
        <w:footnoteReference w:id="3"/>
      </w:r>
      <w:r w:rsidRPr="000E564D">
        <w:rPr>
          <w:rFonts w:ascii="Palatino Linotype" w:eastAsia="Palatino Linotype" w:hAnsi="Palatino Linotype" w:cs="Palatino Linotype"/>
        </w:rPr>
        <w:t xml:space="preserve"> de la Ley de la Materia, la Unidad de Transparencia turnó la solicitud al área que, de acuerdo con sus facultades, competencias y funciones, pudieran contar con la información materia de misma, esto es a la Dirección General de Administración, que de conformidad con el Código Reglamentario Municipal de Toluca, tiene conferidas las siguientes atribuciones en su parte conducente:</w:t>
      </w:r>
    </w:p>
    <w:p w14:paraId="2F7A8128" w14:textId="77777777" w:rsidR="00525649" w:rsidRPr="000E564D" w:rsidRDefault="00B04106">
      <w:pPr>
        <w:spacing w:before="120" w:after="120"/>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 xml:space="preserve"> “Artículo 3.40.</w:t>
      </w:r>
      <w:r w:rsidRPr="000E564D">
        <w:rPr>
          <w:rFonts w:ascii="Palatino Linotype" w:eastAsia="Palatino Linotype" w:hAnsi="Palatino Linotype" w:cs="Palatino Linotype"/>
          <w:i/>
          <w:sz w:val="22"/>
          <w:szCs w:val="22"/>
        </w:rPr>
        <w:t xml:space="preserve"> La o el titular de la </w:t>
      </w:r>
      <w:r w:rsidRPr="000E564D">
        <w:rPr>
          <w:rFonts w:ascii="Palatino Linotype" w:eastAsia="Palatino Linotype" w:hAnsi="Palatino Linotype" w:cs="Palatino Linotype"/>
          <w:b/>
          <w:i/>
          <w:sz w:val="22"/>
          <w:szCs w:val="22"/>
        </w:rPr>
        <w:t>Dirección General de Administración</w:t>
      </w:r>
      <w:r w:rsidRPr="000E564D">
        <w:rPr>
          <w:rFonts w:ascii="Palatino Linotype" w:eastAsia="Palatino Linotype" w:hAnsi="Palatino Linotype" w:cs="Palatino Linotype"/>
          <w:i/>
          <w:sz w:val="22"/>
          <w:szCs w:val="22"/>
        </w:rPr>
        <w:t>, tiene las siguientes atribuciones:</w:t>
      </w:r>
    </w:p>
    <w:p w14:paraId="09B99621" w14:textId="77777777" w:rsidR="00525649" w:rsidRPr="000E564D" w:rsidRDefault="00B04106">
      <w:pPr>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w:t>
      </w:r>
      <w:r w:rsidRPr="000E564D">
        <w:rPr>
          <w:rFonts w:ascii="Palatino Linotype" w:eastAsia="Palatino Linotype" w:hAnsi="Palatino Linotype" w:cs="Palatino Linotype"/>
          <w:i/>
          <w:sz w:val="22"/>
          <w:szCs w:val="22"/>
        </w:rPr>
        <w:t xml:space="preserve"> </w:t>
      </w:r>
      <w:r w:rsidRPr="000E564D">
        <w:rPr>
          <w:rFonts w:ascii="Palatino Linotype" w:eastAsia="Palatino Linotype" w:hAnsi="Palatino Linotype" w:cs="Palatino Linotype"/>
          <w:b/>
          <w:i/>
          <w:sz w:val="22"/>
          <w:szCs w:val="22"/>
        </w:rPr>
        <w:t>Coordinar y dirigir los sistemas de reclutamiento, selección, contratación</w:t>
      </w:r>
      <w:r w:rsidRPr="000E564D">
        <w:rPr>
          <w:rFonts w:ascii="Palatino Linotype" w:eastAsia="Palatino Linotype" w:hAnsi="Palatino Linotype" w:cs="Palatino Linotype"/>
          <w:i/>
          <w:sz w:val="22"/>
          <w:szCs w:val="22"/>
        </w:rPr>
        <w:t xml:space="preserve"> e inducción y desarrollo de personal;</w:t>
      </w:r>
    </w:p>
    <w:p w14:paraId="2FC1251D" w14:textId="77777777" w:rsidR="00525649" w:rsidRPr="000E564D" w:rsidRDefault="00B04106">
      <w:pPr>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w:t>
      </w:r>
    </w:p>
    <w:p w14:paraId="1FB99B0F" w14:textId="77777777" w:rsidR="00525649" w:rsidRPr="000E564D" w:rsidRDefault="00B04106">
      <w:pPr>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III.</w:t>
      </w:r>
      <w:r w:rsidRPr="000E564D">
        <w:rPr>
          <w:rFonts w:ascii="Palatino Linotype" w:eastAsia="Palatino Linotype" w:hAnsi="Palatino Linotype" w:cs="Palatino Linotype"/>
          <w:i/>
          <w:sz w:val="22"/>
          <w:szCs w:val="22"/>
        </w:rPr>
        <w:t xml:space="preserve"> Autorizar las altas, bajas, cambios, permisos, licencias, comisiones del personal, entre otras, para su trámite y efectos;”</w:t>
      </w:r>
    </w:p>
    <w:p w14:paraId="2E7E59E7" w14:textId="77777777" w:rsidR="00525649" w:rsidRPr="000E564D" w:rsidRDefault="00B04106">
      <w:pPr>
        <w:spacing w:before="240" w:after="240" w:line="360" w:lineRule="auto"/>
        <w:ind w:right="51"/>
        <w:jc w:val="both"/>
        <w:rPr>
          <w:rFonts w:ascii="Palatino Linotype" w:eastAsia="Palatino Linotype" w:hAnsi="Palatino Linotype" w:cs="Palatino Linotype"/>
        </w:rPr>
      </w:pPr>
      <w:r w:rsidRPr="000E564D">
        <w:rPr>
          <w:rFonts w:ascii="Palatino Linotype" w:eastAsia="Palatino Linotype" w:hAnsi="Palatino Linotype" w:cs="Palatino Linotype"/>
        </w:rPr>
        <w:t>Del precepto citado se desprende que la Dirección General de Administración tiene a su cargo, entre otras atribuciones, la de coordinar y dirigir los sistemas de reclutamiento, selección y contratación de personal, así como autorizar las altas y bajas, concluyendo que es el área legalmente facultada para proporcionar la información materia de la solicitud.</w:t>
      </w:r>
    </w:p>
    <w:p w14:paraId="404BC963"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Acotado lo anterior, se procede al análisis de los requerimientos planteados por la persona solicitante, así como de la información remitida por el </w:t>
      </w:r>
      <w:r w:rsidRPr="000E564D">
        <w:rPr>
          <w:rFonts w:ascii="Palatino Linotype" w:eastAsia="Palatino Linotype" w:hAnsi="Palatino Linotype" w:cs="Palatino Linotype"/>
          <w:b/>
        </w:rPr>
        <w:t xml:space="preserve">Sujeto Obligado, </w:t>
      </w:r>
      <w:r w:rsidRPr="000E564D">
        <w:rPr>
          <w:rFonts w:ascii="Palatino Linotype" w:eastAsia="Palatino Linotype" w:hAnsi="Palatino Linotype" w:cs="Palatino Linotype"/>
        </w:rPr>
        <w:t xml:space="preserve">con la finalidad de determinar si la misma es suficiente para tener por atendido el </w:t>
      </w:r>
      <w:r w:rsidRPr="000E564D">
        <w:rPr>
          <w:rFonts w:ascii="Palatino Linotype" w:eastAsia="Palatino Linotype" w:hAnsi="Palatino Linotype" w:cs="Palatino Linotype"/>
        </w:rPr>
        <w:lastRenderedPageBreak/>
        <w:t>derecho de acceso a la información, y, para un mejor entendimiento, dicho análisis se efectuará a través de la siguiente tabla:</w:t>
      </w:r>
    </w:p>
    <w:tbl>
      <w:tblPr>
        <w:tblStyle w:val="af9"/>
        <w:tblW w:w="88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611A6" w:rsidRPr="000E564D" w14:paraId="1C92AB8E" w14:textId="77777777">
        <w:trPr>
          <w:jc w:val="center"/>
        </w:trPr>
        <w:tc>
          <w:tcPr>
            <w:tcW w:w="2942" w:type="dxa"/>
            <w:shd w:val="clear" w:color="auto" w:fill="BFBFBF"/>
            <w:vAlign w:val="center"/>
          </w:tcPr>
          <w:p w14:paraId="3679A5F8" w14:textId="77777777" w:rsidR="00525649" w:rsidRPr="000E564D" w:rsidRDefault="00B04106">
            <w:pPr>
              <w:spacing w:before="120" w:after="120"/>
              <w:jc w:val="center"/>
              <w:rPr>
                <w:rFonts w:ascii="Palatino Linotype" w:eastAsia="Palatino Linotype" w:hAnsi="Palatino Linotype" w:cs="Palatino Linotype"/>
                <w:b/>
                <w:sz w:val="20"/>
                <w:szCs w:val="20"/>
              </w:rPr>
            </w:pPr>
            <w:r w:rsidRPr="000E564D">
              <w:rPr>
                <w:rFonts w:ascii="Palatino Linotype" w:eastAsia="Palatino Linotype" w:hAnsi="Palatino Linotype" w:cs="Palatino Linotype"/>
                <w:b/>
                <w:sz w:val="20"/>
                <w:szCs w:val="20"/>
              </w:rPr>
              <w:t>REQUERIMIENTO</w:t>
            </w:r>
          </w:p>
        </w:tc>
        <w:tc>
          <w:tcPr>
            <w:tcW w:w="2943" w:type="dxa"/>
            <w:shd w:val="clear" w:color="auto" w:fill="BFBFBF"/>
            <w:vAlign w:val="center"/>
          </w:tcPr>
          <w:p w14:paraId="73E0EE1D" w14:textId="77777777" w:rsidR="00525649" w:rsidRPr="000E564D" w:rsidRDefault="00B04106">
            <w:pPr>
              <w:spacing w:before="120" w:after="120"/>
              <w:jc w:val="both"/>
              <w:rPr>
                <w:rFonts w:ascii="Palatino Linotype" w:eastAsia="Palatino Linotype" w:hAnsi="Palatino Linotype" w:cs="Palatino Linotype"/>
                <w:b/>
                <w:sz w:val="20"/>
                <w:szCs w:val="20"/>
              </w:rPr>
            </w:pPr>
            <w:r w:rsidRPr="000E564D">
              <w:rPr>
                <w:rFonts w:ascii="Palatino Linotype" w:eastAsia="Palatino Linotype" w:hAnsi="Palatino Linotype" w:cs="Palatino Linotype"/>
                <w:b/>
                <w:sz w:val="20"/>
                <w:szCs w:val="20"/>
              </w:rPr>
              <w:t>INFORMACIÓN REMITIDA</w:t>
            </w:r>
          </w:p>
        </w:tc>
        <w:tc>
          <w:tcPr>
            <w:tcW w:w="2943" w:type="dxa"/>
            <w:shd w:val="clear" w:color="auto" w:fill="BFBFBF"/>
            <w:vAlign w:val="center"/>
          </w:tcPr>
          <w:p w14:paraId="171BB244" w14:textId="77777777" w:rsidR="00525649" w:rsidRPr="000E564D" w:rsidRDefault="00B04106">
            <w:pPr>
              <w:spacing w:before="120" w:after="120"/>
              <w:jc w:val="center"/>
              <w:rPr>
                <w:rFonts w:ascii="Palatino Linotype" w:eastAsia="Palatino Linotype" w:hAnsi="Palatino Linotype" w:cs="Palatino Linotype"/>
                <w:b/>
                <w:sz w:val="20"/>
                <w:szCs w:val="20"/>
              </w:rPr>
            </w:pPr>
            <w:r w:rsidRPr="000E564D">
              <w:rPr>
                <w:rFonts w:ascii="Palatino Linotype" w:eastAsia="Palatino Linotype" w:hAnsi="Palatino Linotype" w:cs="Palatino Linotype"/>
                <w:b/>
                <w:sz w:val="20"/>
                <w:szCs w:val="20"/>
              </w:rPr>
              <w:t>¿SATISFACE EL DERECHO DE ACCESO?</w:t>
            </w:r>
          </w:p>
        </w:tc>
      </w:tr>
      <w:tr w:rsidR="00B611A6" w:rsidRPr="000E564D" w14:paraId="3B966E5E" w14:textId="77777777">
        <w:trPr>
          <w:jc w:val="center"/>
        </w:trPr>
        <w:tc>
          <w:tcPr>
            <w:tcW w:w="2942" w:type="dxa"/>
            <w:shd w:val="clear" w:color="auto" w:fill="auto"/>
          </w:tcPr>
          <w:p w14:paraId="41CC19B0" w14:textId="77777777" w:rsidR="00525649" w:rsidRPr="000E564D" w:rsidRDefault="00B04106">
            <w:pPr>
              <w:spacing w:before="120" w:after="120"/>
              <w:jc w:val="both"/>
              <w:rPr>
                <w:rFonts w:ascii="Palatino Linotype" w:eastAsia="Palatino Linotype" w:hAnsi="Palatino Linotype" w:cs="Palatino Linotype"/>
                <w:sz w:val="20"/>
                <w:szCs w:val="20"/>
              </w:rPr>
            </w:pPr>
            <w:r w:rsidRPr="000E564D">
              <w:rPr>
                <w:rFonts w:ascii="Palatino Linotype" w:eastAsia="Palatino Linotype" w:hAnsi="Palatino Linotype" w:cs="Palatino Linotype"/>
                <w:sz w:val="20"/>
                <w:szCs w:val="20"/>
              </w:rPr>
              <w:t>1. Renuncias de todos los servidores públicos, de enero a octubre del año 2022.</w:t>
            </w:r>
          </w:p>
          <w:p w14:paraId="4E024A21" w14:textId="77777777" w:rsidR="00525649" w:rsidRPr="000E564D" w:rsidRDefault="00B04106">
            <w:pPr>
              <w:spacing w:before="120" w:after="120"/>
              <w:jc w:val="both"/>
              <w:rPr>
                <w:rFonts w:ascii="Palatino Linotype" w:eastAsia="Palatino Linotype" w:hAnsi="Palatino Linotype" w:cs="Palatino Linotype"/>
                <w:b/>
                <w:sz w:val="20"/>
                <w:szCs w:val="20"/>
              </w:rPr>
            </w:pPr>
            <w:r w:rsidRPr="000E564D">
              <w:rPr>
                <w:rFonts w:ascii="Palatino Linotype" w:eastAsia="Palatino Linotype" w:hAnsi="Palatino Linotype" w:cs="Palatino Linotype"/>
                <w:sz w:val="20"/>
                <w:szCs w:val="20"/>
              </w:rPr>
              <w:t>2. Formatos Únicos de Personal por baja y alta de los servidores públicos referidos en el punto anterior, con la nueva categoría como personal de confianza.</w:t>
            </w:r>
          </w:p>
        </w:tc>
        <w:tc>
          <w:tcPr>
            <w:tcW w:w="2943" w:type="dxa"/>
            <w:shd w:val="clear" w:color="auto" w:fill="auto"/>
          </w:tcPr>
          <w:p w14:paraId="48E2C1FC" w14:textId="77777777" w:rsidR="00525649" w:rsidRPr="000E564D" w:rsidRDefault="00B04106">
            <w:pPr>
              <w:spacing w:before="120" w:after="120"/>
              <w:jc w:val="both"/>
              <w:rPr>
                <w:rFonts w:ascii="Palatino Linotype" w:eastAsia="Palatino Linotype" w:hAnsi="Palatino Linotype" w:cs="Palatino Linotype"/>
                <w:sz w:val="20"/>
                <w:szCs w:val="20"/>
              </w:rPr>
            </w:pPr>
            <w:r w:rsidRPr="000E564D">
              <w:rPr>
                <w:rFonts w:ascii="Palatino Linotype" w:eastAsia="Palatino Linotype" w:hAnsi="Palatino Linotype" w:cs="Palatino Linotype"/>
                <w:sz w:val="20"/>
                <w:szCs w:val="20"/>
              </w:rPr>
              <w:t xml:space="preserve">A través de la </w:t>
            </w:r>
            <w:r w:rsidRPr="000E564D">
              <w:rPr>
                <w:rFonts w:ascii="Palatino Linotype" w:eastAsia="Palatino Linotype" w:hAnsi="Palatino Linotype" w:cs="Palatino Linotype"/>
                <w:b/>
                <w:sz w:val="20"/>
                <w:szCs w:val="20"/>
              </w:rPr>
              <w:t>Dirección General de Administración</w:t>
            </w:r>
            <w:r w:rsidRPr="000E564D">
              <w:rPr>
                <w:rFonts w:ascii="Palatino Linotype" w:eastAsia="Palatino Linotype" w:hAnsi="Palatino Linotype" w:cs="Palatino Linotype"/>
                <w:sz w:val="20"/>
                <w:szCs w:val="20"/>
              </w:rPr>
              <w:t>, quien manifestó que hacía entrega de las renuncias de todos los servidores públicos de enero a octubre de dos mil veintidós, así como los Formatos Únicos de Personal por baja y alta, en versión pública.</w:t>
            </w:r>
          </w:p>
          <w:p w14:paraId="3E38ACE6" w14:textId="77777777" w:rsidR="00525649" w:rsidRPr="000E564D" w:rsidRDefault="00B04106">
            <w:pPr>
              <w:spacing w:before="120" w:after="120"/>
              <w:jc w:val="both"/>
              <w:rPr>
                <w:rFonts w:ascii="Palatino Linotype" w:eastAsia="Palatino Linotype" w:hAnsi="Palatino Linotype" w:cs="Palatino Linotype"/>
                <w:sz w:val="20"/>
                <w:szCs w:val="20"/>
              </w:rPr>
            </w:pPr>
            <w:r w:rsidRPr="000E564D">
              <w:rPr>
                <w:rFonts w:ascii="Palatino Linotype" w:eastAsia="Palatino Linotype" w:hAnsi="Palatino Linotype" w:cs="Palatino Linotype"/>
                <w:sz w:val="20"/>
                <w:szCs w:val="20"/>
              </w:rPr>
              <w:t xml:space="preserve">Anexos: </w:t>
            </w:r>
          </w:p>
          <w:p w14:paraId="1F4DD0EB" w14:textId="77777777" w:rsidR="00525649" w:rsidRPr="000E564D" w:rsidRDefault="00B04106">
            <w:pPr>
              <w:spacing w:before="120" w:after="120"/>
              <w:jc w:val="both"/>
              <w:rPr>
                <w:rFonts w:ascii="Palatino Linotype" w:eastAsia="Palatino Linotype" w:hAnsi="Palatino Linotype" w:cs="Palatino Linotype"/>
                <w:sz w:val="20"/>
                <w:szCs w:val="20"/>
              </w:rPr>
            </w:pPr>
            <w:r w:rsidRPr="000E564D">
              <w:rPr>
                <w:rFonts w:ascii="Palatino Linotype" w:eastAsia="Palatino Linotype" w:hAnsi="Palatino Linotype" w:cs="Palatino Linotype"/>
                <w:sz w:val="20"/>
                <w:szCs w:val="20"/>
              </w:rPr>
              <w:t xml:space="preserve">- Documento constante </w:t>
            </w:r>
            <w:proofErr w:type="gramStart"/>
            <w:r w:rsidRPr="000E564D">
              <w:rPr>
                <w:rFonts w:ascii="Palatino Linotype" w:eastAsia="Palatino Linotype" w:hAnsi="Palatino Linotype" w:cs="Palatino Linotype"/>
                <w:sz w:val="20"/>
                <w:szCs w:val="20"/>
              </w:rPr>
              <w:t>de  doscientas</w:t>
            </w:r>
            <w:proofErr w:type="gramEnd"/>
            <w:r w:rsidRPr="000E564D">
              <w:rPr>
                <w:rFonts w:ascii="Palatino Linotype" w:eastAsia="Palatino Linotype" w:hAnsi="Palatino Linotype" w:cs="Palatino Linotype"/>
                <w:sz w:val="20"/>
                <w:szCs w:val="20"/>
              </w:rPr>
              <w:t xml:space="preserve"> ochenta y cinco hojas, que contiene, en versión pública:</w:t>
            </w:r>
          </w:p>
          <w:p w14:paraId="0754874A" w14:textId="77777777" w:rsidR="00525649" w:rsidRPr="000E564D" w:rsidRDefault="00B04106">
            <w:pPr>
              <w:spacing w:before="120" w:after="120"/>
              <w:ind w:left="206"/>
              <w:jc w:val="both"/>
              <w:rPr>
                <w:rFonts w:ascii="Palatino Linotype" w:eastAsia="Palatino Linotype" w:hAnsi="Palatino Linotype" w:cs="Palatino Linotype"/>
                <w:sz w:val="20"/>
                <w:szCs w:val="20"/>
              </w:rPr>
            </w:pPr>
            <w:r w:rsidRPr="000E564D">
              <w:rPr>
                <w:rFonts w:ascii="Palatino Linotype" w:eastAsia="Palatino Linotype" w:hAnsi="Palatino Linotype" w:cs="Palatino Linotype"/>
                <w:sz w:val="20"/>
                <w:szCs w:val="20"/>
              </w:rPr>
              <w:t xml:space="preserve">* Formatos Únicos de Personal, FUP, de altas y bajas, </w:t>
            </w:r>
          </w:p>
          <w:p w14:paraId="50D6D309" w14:textId="77777777" w:rsidR="00525649" w:rsidRPr="000E564D" w:rsidRDefault="00B04106">
            <w:pPr>
              <w:spacing w:before="120" w:after="120"/>
              <w:ind w:left="206"/>
              <w:jc w:val="both"/>
              <w:rPr>
                <w:rFonts w:ascii="Palatino Linotype" w:eastAsia="Palatino Linotype" w:hAnsi="Palatino Linotype" w:cs="Palatino Linotype"/>
                <w:sz w:val="20"/>
                <w:szCs w:val="20"/>
              </w:rPr>
            </w:pPr>
            <w:r w:rsidRPr="000E564D">
              <w:rPr>
                <w:rFonts w:ascii="Palatino Linotype" w:eastAsia="Palatino Linotype" w:hAnsi="Palatino Linotype" w:cs="Palatino Linotype"/>
                <w:sz w:val="20"/>
                <w:szCs w:val="20"/>
              </w:rPr>
              <w:t>* Cartas de renuncia, de enero a septiembre de dos mil veintidós.</w:t>
            </w:r>
          </w:p>
          <w:p w14:paraId="5C6AE01A" w14:textId="77777777" w:rsidR="00525649" w:rsidRPr="000E564D" w:rsidRDefault="00B04106">
            <w:pPr>
              <w:spacing w:before="120" w:after="120"/>
              <w:jc w:val="both"/>
              <w:rPr>
                <w:rFonts w:ascii="Palatino Linotype" w:eastAsia="Palatino Linotype" w:hAnsi="Palatino Linotype" w:cs="Palatino Linotype"/>
                <w:b/>
                <w:sz w:val="20"/>
                <w:szCs w:val="20"/>
              </w:rPr>
            </w:pPr>
            <w:r w:rsidRPr="000E564D">
              <w:rPr>
                <w:rFonts w:ascii="Palatino Linotype" w:eastAsia="Palatino Linotype" w:hAnsi="Palatino Linotype" w:cs="Palatino Linotype"/>
                <w:b/>
                <w:sz w:val="20"/>
                <w:szCs w:val="20"/>
              </w:rPr>
              <w:t xml:space="preserve">- </w:t>
            </w:r>
            <w:r w:rsidRPr="000E564D">
              <w:rPr>
                <w:rFonts w:ascii="Palatino Linotype" w:eastAsia="Palatino Linotype" w:hAnsi="Palatino Linotype" w:cs="Palatino Linotype"/>
                <w:sz w:val="20"/>
                <w:szCs w:val="20"/>
              </w:rPr>
              <w:t xml:space="preserve">Acta de la Sexcentésima Septuagésima Séptima Sesión Extraordinaria del Comité de Transparencia, mediante la cual, se sometió a consideración de los integrantes del Comité, el análisis y aprobación de la propuesta de clasificación como información confidencial de forma parcial, respecto a los datos personales contenidos en el Formato </w:t>
            </w:r>
            <w:r w:rsidRPr="000E564D">
              <w:rPr>
                <w:rFonts w:ascii="Palatino Linotype" w:eastAsia="Palatino Linotype" w:hAnsi="Palatino Linotype" w:cs="Palatino Linotype"/>
                <w:sz w:val="20"/>
                <w:szCs w:val="20"/>
              </w:rPr>
              <w:lastRenderedPageBreak/>
              <w:t>Único de Personal, FUP, y en las renuncias; así como el análisis y aprobación de la propuesta de clasificación como información reservada de manera parcial, por un periodo de dos años, de la información referente a nombre completo de los servidores públicos adscritos a la Dirección General de Seguridad y Protección contenidos en el Formato Único de Personal, FUP, y en las renuncias.</w:t>
            </w:r>
          </w:p>
        </w:tc>
        <w:tc>
          <w:tcPr>
            <w:tcW w:w="2943" w:type="dxa"/>
            <w:shd w:val="clear" w:color="auto" w:fill="auto"/>
          </w:tcPr>
          <w:p w14:paraId="0B242B80" w14:textId="77777777" w:rsidR="00525649" w:rsidRPr="000E564D" w:rsidRDefault="00B04106">
            <w:pPr>
              <w:spacing w:before="120" w:after="120"/>
              <w:jc w:val="center"/>
              <w:rPr>
                <w:rFonts w:ascii="Palatino Linotype" w:eastAsia="Palatino Linotype" w:hAnsi="Palatino Linotype" w:cs="Palatino Linotype"/>
                <w:b/>
                <w:sz w:val="20"/>
                <w:szCs w:val="20"/>
              </w:rPr>
            </w:pPr>
            <w:r w:rsidRPr="000E564D">
              <w:rPr>
                <w:rFonts w:ascii="Palatino Linotype" w:eastAsia="Palatino Linotype" w:hAnsi="Palatino Linotype" w:cs="Palatino Linotype"/>
                <w:b/>
                <w:sz w:val="20"/>
                <w:szCs w:val="20"/>
              </w:rPr>
              <w:lastRenderedPageBreak/>
              <w:t>PARCIALMENTE</w:t>
            </w:r>
          </w:p>
          <w:p w14:paraId="05A5901D" w14:textId="77777777" w:rsidR="00525649" w:rsidRPr="000E564D" w:rsidRDefault="00B04106">
            <w:pPr>
              <w:spacing w:before="120" w:after="120"/>
              <w:jc w:val="both"/>
              <w:rPr>
                <w:rFonts w:ascii="Palatino Linotype" w:eastAsia="Palatino Linotype" w:hAnsi="Palatino Linotype" w:cs="Palatino Linotype"/>
                <w:b/>
                <w:sz w:val="20"/>
                <w:szCs w:val="20"/>
              </w:rPr>
            </w:pPr>
            <w:r w:rsidRPr="000E564D">
              <w:rPr>
                <w:rFonts w:ascii="Palatino Linotype" w:eastAsia="Palatino Linotype" w:hAnsi="Palatino Linotype" w:cs="Palatino Linotype"/>
                <w:sz w:val="16"/>
                <w:szCs w:val="16"/>
              </w:rPr>
              <w:t>No se remitió información de la Dirección General de Seguridad y Protección.</w:t>
            </w:r>
          </w:p>
        </w:tc>
      </w:tr>
    </w:tbl>
    <w:p w14:paraId="1514F114" w14:textId="77777777" w:rsidR="00525649" w:rsidRPr="000E564D" w:rsidRDefault="00B04106">
      <w:pPr>
        <w:spacing w:before="240" w:after="240" w:line="360" w:lineRule="auto"/>
        <w:ind w:right="51"/>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Como se advierte en la tabla anterior, el </w:t>
      </w:r>
      <w:r w:rsidRPr="000E564D">
        <w:rPr>
          <w:rFonts w:ascii="Palatino Linotype" w:eastAsia="Palatino Linotype" w:hAnsi="Palatino Linotype" w:cs="Palatino Linotype"/>
          <w:b/>
        </w:rPr>
        <w:t xml:space="preserve">Sujeto Obligado, </w:t>
      </w:r>
      <w:r w:rsidRPr="000E564D">
        <w:rPr>
          <w:rFonts w:ascii="Palatino Linotype" w:eastAsia="Palatino Linotype" w:hAnsi="Palatino Linotype" w:cs="Palatino Linotype"/>
        </w:rPr>
        <w:t xml:space="preserve">a través del área competente proporcionó los documentos que fueron solicitados por la persona solicitante, esto es, los escritos de renuncia y los Formatos Únicos de Personal por baja y alta, los cuales fueron remitidos en versión pública, en la cual se testaron datos personales como: CURP, RFC con </w:t>
      </w:r>
      <w:proofErr w:type="spellStart"/>
      <w:r w:rsidRPr="000E564D">
        <w:rPr>
          <w:rFonts w:ascii="Palatino Linotype" w:eastAsia="Palatino Linotype" w:hAnsi="Palatino Linotype" w:cs="Palatino Linotype"/>
        </w:rPr>
        <w:t>homoclave</w:t>
      </w:r>
      <w:proofErr w:type="spellEnd"/>
      <w:r w:rsidRPr="000E564D">
        <w:rPr>
          <w:rFonts w:ascii="Palatino Linotype" w:eastAsia="Palatino Linotype" w:hAnsi="Palatino Linotype" w:cs="Palatino Linotype"/>
        </w:rPr>
        <w:t xml:space="preserve">, clave de ISSEMyM, domicilio, numero de empleado, estado civil, lugar y fecha de nacimiento, género, huella dactilar y teléfono particular, de conformidad con el punto tres del Acta de la Sexcentésima Septuagésima Séptima Sesión Extraordinaria del Comité de Transparencia, al tratarse de información privada y darte personales concernientes a personas físicas  susceptibles de clasificarse como confidenciales de conformidad con el los artículos 2, fracciones II y IV de la Ley de Protección de Datos Personales en Posesión de Sujetos Obligados del Estado de México y Municipios; 24 fracción XIV, 143, fracción I y demás aplicables a la Ley de Transparencia y Acceso a la Información Pública del Estado de México y Municipios, aprobando el Comité la </w:t>
      </w:r>
      <w:r w:rsidRPr="000E564D">
        <w:rPr>
          <w:rFonts w:ascii="Palatino Linotype" w:eastAsia="Palatino Linotype" w:hAnsi="Palatino Linotype" w:cs="Palatino Linotype"/>
        </w:rPr>
        <w:lastRenderedPageBreak/>
        <w:t>propuesta de clasificación presentada por la Dirección General de Administración, mediante el acuerdo AT/CT/01/2022.</w:t>
      </w:r>
    </w:p>
    <w:p w14:paraId="5F715971" w14:textId="77777777" w:rsidR="00525649" w:rsidRPr="000E564D" w:rsidRDefault="00B04106">
      <w:pPr>
        <w:spacing w:before="240" w:after="240" w:line="360" w:lineRule="auto"/>
        <w:ind w:right="49"/>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No obstante de lo anterior, si bien el </w:t>
      </w:r>
      <w:r w:rsidRPr="000E564D">
        <w:rPr>
          <w:rFonts w:ascii="Palatino Linotype" w:eastAsia="Palatino Linotype" w:hAnsi="Palatino Linotype" w:cs="Palatino Linotype"/>
          <w:b/>
        </w:rPr>
        <w:t xml:space="preserve">Sujeto Obligado </w:t>
      </w:r>
      <w:r w:rsidRPr="000E564D">
        <w:rPr>
          <w:rFonts w:ascii="Palatino Linotype" w:eastAsia="Palatino Linotype" w:hAnsi="Palatino Linotype" w:cs="Palatino Linotype"/>
        </w:rPr>
        <w:t>remitió los documentos idóneos para atender la solicitud de información; que el área competente para generar, administrar o poseer la información de mérito, manifestó que dichas documentales correspondían al periodo señalado por la persona solicitante, esto es de enero a octubre de dos mil veintidós; asimismo, que de conformidad con el criterio 31-10</w:t>
      </w:r>
      <w:r w:rsidRPr="000E564D">
        <w:rPr>
          <w:rFonts w:ascii="Palatino Linotype" w:eastAsia="Palatino Linotype" w:hAnsi="Palatino Linotype" w:cs="Palatino Linotype"/>
          <w:vertAlign w:val="superscript"/>
        </w:rPr>
        <w:footnoteReference w:id="4"/>
      </w:r>
      <w:r w:rsidRPr="000E564D">
        <w:rPr>
          <w:rFonts w:ascii="Palatino Linotype" w:eastAsia="Palatino Linotype" w:hAnsi="Palatino Linotype" w:cs="Palatino Linotype"/>
        </w:rPr>
        <w:t xml:space="preserve"> emitido por el entonces Instituto Federal de Acceso a la Información y Protección de Datos (IFAI) ahora Instituto Nacional de Transparencia, Acceso a la Información, y Protección de Datos Personales (INAI), este Organismo Garante no está facultado para dudar de la veracidad de lo manifestado por parte de los entes públicos, lo cierto es que</w:t>
      </w:r>
      <w:r w:rsidRPr="000E564D">
        <w:rPr>
          <w:rFonts w:ascii="Palatino Linotype" w:eastAsia="Palatino Linotype" w:hAnsi="Palatino Linotype" w:cs="Palatino Linotype"/>
          <w:b/>
        </w:rPr>
        <w:t xml:space="preserve"> no puede tenerse por satisfecho el Derecho de acceso de la persona solicitante, en virtud de que del análisis efectuado se advirtió que </w:t>
      </w:r>
      <w:r w:rsidRPr="000E564D">
        <w:rPr>
          <w:rFonts w:ascii="Palatino Linotype" w:eastAsia="Palatino Linotype" w:hAnsi="Palatino Linotype" w:cs="Palatino Linotype"/>
          <w:b/>
          <w:u w:val="single"/>
        </w:rPr>
        <w:t>no se remitió información de los servidores públicos de la Dirección General de Seguridad y Protección,</w:t>
      </w:r>
      <w:r w:rsidRPr="000E564D">
        <w:rPr>
          <w:rFonts w:ascii="Palatino Linotype" w:eastAsia="Palatino Linotype" w:hAnsi="Palatino Linotype" w:cs="Palatino Linotype"/>
          <w:b/>
        </w:rPr>
        <w:t xml:space="preserve"> </w:t>
      </w:r>
      <w:r w:rsidRPr="000E564D">
        <w:rPr>
          <w:rFonts w:ascii="Palatino Linotype" w:eastAsia="Palatino Linotype" w:hAnsi="Palatino Linotype" w:cs="Palatino Linotype"/>
        </w:rPr>
        <w:t xml:space="preserve">siendo de suma importancia mencionar que de conformidad con el punto cuatro del Acta de la Sexcentésima Septuagésima Séptima Sesión Extraordinaria del Comité de Transparencia, se sometió a consideración de los integrantes del Comité la clasificación del nombre completo de los servidores públicos adscritos a la </w:t>
      </w:r>
      <w:r w:rsidRPr="000E564D">
        <w:rPr>
          <w:rFonts w:ascii="Palatino Linotype" w:eastAsia="Palatino Linotype" w:hAnsi="Palatino Linotype" w:cs="Palatino Linotype"/>
          <w:b/>
        </w:rPr>
        <w:t xml:space="preserve">Dirección General de Seguridad y Protección, </w:t>
      </w:r>
      <w:r w:rsidRPr="000E564D">
        <w:rPr>
          <w:rFonts w:ascii="Palatino Linotype" w:eastAsia="Palatino Linotype" w:hAnsi="Palatino Linotype" w:cs="Palatino Linotype"/>
        </w:rPr>
        <w:lastRenderedPageBreak/>
        <w:t>contenidos en el Formato Único de Personal, FUP, y en las renuncias,  como información reservada de manera parcial, por un periodo de dos años, a propuesta de la Dirección General de Administración, con fundamento en los artículos 104, fracciones I y II, 113, fracciones I y V de la Ley General de Transparencia y Acceso a la Información Pública; 129, fracciones I y II, y 140, fracción X de la Ley de Transparencia y Acceso a la Información Pública del Estado de México y Municipios, aprobando el Comité de transparencia dicha clasificación mediante el acuerdo AT/CT/02/2022.</w:t>
      </w:r>
    </w:p>
    <w:p w14:paraId="1A812157" w14:textId="77777777" w:rsidR="00525649" w:rsidRPr="000E564D" w:rsidRDefault="00B04106">
      <w:pPr>
        <w:spacing w:before="240" w:after="240" w:line="360" w:lineRule="auto"/>
        <w:ind w:right="49"/>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Con base en lo anterior, toda vez que el </w:t>
      </w:r>
      <w:r w:rsidRPr="000E564D">
        <w:rPr>
          <w:rFonts w:ascii="Palatino Linotype" w:eastAsia="Palatino Linotype" w:hAnsi="Palatino Linotype" w:cs="Palatino Linotype"/>
          <w:b/>
        </w:rPr>
        <w:t xml:space="preserve">Sujeto Obligado </w:t>
      </w:r>
      <w:r w:rsidRPr="000E564D">
        <w:rPr>
          <w:rFonts w:ascii="Palatino Linotype" w:eastAsia="Palatino Linotype" w:hAnsi="Palatino Linotype" w:cs="Palatino Linotype"/>
        </w:rPr>
        <w:t xml:space="preserve">clasificó el nombre de los servidores públicos de la </w:t>
      </w:r>
      <w:r w:rsidRPr="000E564D">
        <w:rPr>
          <w:rFonts w:ascii="Palatino Linotype" w:eastAsia="Palatino Linotype" w:hAnsi="Palatino Linotype" w:cs="Palatino Linotype"/>
          <w:b/>
          <w:u w:val="single"/>
        </w:rPr>
        <w:t>Dirección General de Seguridad y Protección</w:t>
      </w:r>
      <w:r w:rsidRPr="000E564D">
        <w:rPr>
          <w:rFonts w:ascii="Palatino Linotype" w:eastAsia="Palatino Linotype" w:hAnsi="Palatino Linotype" w:cs="Palatino Linotype"/>
        </w:rPr>
        <w:t xml:space="preserve"> en el Formato Único de Personal, FUP, y en las renuncias, se entiende que reconoció de manera explícita que cuenta con dicha información, no </w:t>
      </w:r>
      <w:proofErr w:type="gramStart"/>
      <w:r w:rsidRPr="000E564D">
        <w:rPr>
          <w:rFonts w:ascii="Palatino Linotype" w:eastAsia="Palatino Linotype" w:hAnsi="Palatino Linotype" w:cs="Palatino Linotype"/>
        </w:rPr>
        <w:t>obstante</w:t>
      </w:r>
      <w:proofErr w:type="gramEnd"/>
      <w:r w:rsidRPr="000E564D">
        <w:rPr>
          <w:rFonts w:ascii="Palatino Linotype" w:eastAsia="Palatino Linotype" w:hAnsi="Palatino Linotype" w:cs="Palatino Linotype"/>
        </w:rPr>
        <w:t xml:space="preserve"> las documentales correspondientes no fueron remitidas, siendo procedente ordenar la entrega del soporte documental, en versión pública para tener por satisfecha la solicitud de información.</w:t>
      </w:r>
    </w:p>
    <w:p w14:paraId="66E8BF8D" w14:textId="77777777" w:rsidR="00525649" w:rsidRPr="000E564D" w:rsidRDefault="00B04106">
      <w:pPr>
        <w:spacing w:line="360" w:lineRule="auto"/>
        <w:ind w:right="49"/>
        <w:jc w:val="both"/>
        <w:rPr>
          <w:rFonts w:ascii="Palatino Linotype" w:eastAsia="Palatino Linotype" w:hAnsi="Palatino Linotype" w:cs="Palatino Linotype"/>
        </w:rPr>
      </w:pPr>
      <w:r w:rsidRPr="000E564D">
        <w:rPr>
          <w:rFonts w:ascii="Palatino Linotype" w:eastAsia="Palatino Linotype" w:hAnsi="Palatino Linotype" w:cs="Palatino Linotype"/>
        </w:rPr>
        <w:t>Sirve de sustento a lo anterior, el criterio orientador 29/10 emitido por el Instituto Nacional de Transparencia, Acceso a la Información y Protección de Datos Personales, INAI</w:t>
      </w:r>
      <w:r w:rsidRPr="000E564D">
        <w:rPr>
          <w:rFonts w:ascii="Palatino Linotype" w:eastAsia="Palatino Linotype" w:hAnsi="Palatino Linotype" w:cs="Palatino Linotype"/>
          <w:b/>
        </w:rPr>
        <w:t xml:space="preserve">, </w:t>
      </w:r>
      <w:r w:rsidRPr="000E564D">
        <w:rPr>
          <w:rFonts w:ascii="Palatino Linotype" w:eastAsia="Palatino Linotype" w:hAnsi="Palatino Linotype" w:cs="Palatino Linotype"/>
        </w:rPr>
        <w:t xml:space="preserve">el cual refiere lo siguiente: </w:t>
      </w:r>
    </w:p>
    <w:p w14:paraId="0A095FDD" w14:textId="77777777" w:rsidR="00525649" w:rsidRPr="000E564D" w:rsidRDefault="00B04106">
      <w:pPr>
        <w:spacing w:before="240" w:after="240"/>
        <w:ind w:left="851" w:right="900"/>
        <w:jc w:val="both"/>
        <w:rPr>
          <w:rFonts w:ascii="Palatino Linotype" w:eastAsia="Palatino Linotype" w:hAnsi="Palatino Linotype" w:cs="Palatino Linotype"/>
        </w:rPr>
      </w:pPr>
      <w:r w:rsidRPr="000E564D">
        <w:rPr>
          <w:rFonts w:ascii="Palatino Linotype" w:eastAsia="Palatino Linotype" w:hAnsi="Palatino Linotype" w:cs="Palatino Linotype"/>
          <w:b/>
          <w:i/>
          <w:sz w:val="22"/>
          <w:szCs w:val="22"/>
        </w:rPr>
        <w:t xml:space="preserve">“La clasificación y la inexistencia de información son conceptos que no pueden coexistir. </w:t>
      </w:r>
      <w:r w:rsidRPr="000E564D">
        <w:rPr>
          <w:rFonts w:ascii="Palatino Linotype" w:eastAsia="Palatino Linotype" w:hAnsi="Palatino Linotype" w:cs="Palatino Linotype"/>
          <w:i/>
          <w:sz w:val="22"/>
          <w:szCs w:val="22"/>
        </w:rPr>
        <w:t xml:space="preserve">La inexistencia implica necesariamente que la información no se encuentra en los archivos de la autoridad, no obstante que la dependencia o entidad cuente con facultades para poseer dicha información. En este sentido, la inexistencia es una calidad que se atribuye a la información solicitada. Por su parte, la clasificación es una característica que adquiere la información concreta contenida en un </w:t>
      </w:r>
      <w:proofErr w:type="gramStart"/>
      <w:r w:rsidRPr="000E564D">
        <w:rPr>
          <w:rFonts w:ascii="Palatino Linotype" w:eastAsia="Palatino Linotype" w:hAnsi="Palatino Linotype" w:cs="Palatino Linotype"/>
          <w:i/>
          <w:sz w:val="22"/>
          <w:szCs w:val="22"/>
        </w:rPr>
        <w:t>documento  específico</w:t>
      </w:r>
      <w:proofErr w:type="gramEnd"/>
      <w:r w:rsidRPr="000E564D">
        <w:rPr>
          <w:rFonts w:ascii="Palatino Linotype" w:eastAsia="Palatino Linotype" w:hAnsi="Palatino Linotype" w:cs="Palatino Linotype"/>
          <w:i/>
          <w:sz w:val="22"/>
          <w:szCs w:val="22"/>
        </w:rPr>
        <w:t xml:space="preserve">,  siempre  que  se  encuentre  en  los supuestos  establecidos  en  los  artículos  13  y  14  de  la  Ley  Federal  de </w:t>
      </w:r>
      <w:r w:rsidRPr="000E564D">
        <w:rPr>
          <w:rFonts w:ascii="Palatino Linotype" w:eastAsia="Palatino Linotype" w:hAnsi="Palatino Linotype" w:cs="Palatino Linotype"/>
          <w:i/>
          <w:sz w:val="22"/>
          <w:szCs w:val="22"/>
        </w:rPr>
        <w:lastRenderedPageBreak/>
        <w:t xml:space="preserve">Transparencia y Acceso a la Información Pública Gubernamental, para el caso de la información reservada, y 18 del mismo ordenamiento, para el caso de la información confidencial. Por lo anterior, </w:t>
      </w:r>
      <w:r w:rsidRPr="000E564D">
        <w:rPr>
          <w:rFonts w:ascii="Palatino Linotype" w:eastAsia="Palatino Linotype" w:hAnsi="Palatino Linotype" w:cs="Palatino Linotype"/>
          <w:b/>
          <w:i/>
          <w:sz w:val="22"/>
          <w:szCs w:val="22"/>
        </w:rPr>
        <w:t>la clasificación y la inexistencia no coexisten entre sí, en virtud de que la clasificación de información implica invariablemente la existencia de un documento o documentos determinados, mientras que la inexistencia conlleva la ausencia de los mismos en los archivos de la dependencia o entidad de que se trate</w:t>
      </w:r>
      <w:r w:rsidRPr="000E564D">
        <w:rPr>
          <w:rFonts w:ascii="Palatino Linotype" w:eastAsia="Palatino Linotype" w:hAnsi="Palatino Linotype" w:cs="Palatino Linotype"/>
          <w:i/>
          <w:sz w:val="22"/>
          <w:szCs w:val="22"/>
        </w:rPr>
        <w:t>.”</w:t>
      </w:r>
    </w:p>
    <w:p w14:paraId="24AF5A62" w14:textId="77777777" w:rsidR="00525649" w:rsidRPr="000E564D" w:rsidRDefault="00B04106">
      <w:pPr>
        <w:spacing w:before="240" w:after="240" w:line="360" w:lineRule="auto"/>
        <w:ind w:right="51"/>
        <w:jc w:val="both"/>
        <w:rPr>
          <w:rFonts w:ascii="Palatino Linotype" w:eastAsia="Palatino Linotype" w:hAnsi="Palatino Linotype" w:cs="Palatino Linotype"/>
        </w:rPr>
      </w:pPr>
      <w:r w:rsidRPr="000E564D">
        <w:rPr>
          <w:rFonts w:ascii="Palatino Linotype" w:eastAsia="Palatino Linotype" w:hAnsi="Palatino Linotype" w:cs="Palatino Linotype"/>
        </w:rPr>
        <w:t>En las relatadas circunstancias, a efecto de dar cumplimiento a la presente resolución, es oportuno mencionar que el derecho de acceso a la información puede ser restringido de manera excepcional por razones de interés público, en los términos de las causas legítimas y estrictamente necesarias previstas por la Ley, a través de la clasificación de la información como confidencial o reservada para permitir el acceso, como se desprende del artículo 91 de la Ley de la Materia que es del tenor literal siguiente:</w:t>
      </w:r>
    </w:p>
    <w:p w14:paraId="762B24CF" w14:textId="77777777" w:rsidR="00525649" w:rsidRPr="000E564D" w:rsidRDefault="00B04106">
      <w:pPr>
        <w:ind w:left="851" w:right="90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 xml:space="preserve">“Artículo 91. </w:t>
      </w:r>
      <w:r w:rsidRPr="000E564D">
        <w:rPr>
          <w:rFonts w:ascii="Palatino Linotype" w:eastAsia="Palatino Linotype" w:hAnsi="Palatino Linotype" w:cs="Palatino Linotype"/>
          <w:i/>
          <w:sz w:val="22"/>
          <w:szCs w:val="22"/>
        </w:rPr>
        <w:t>El acceso a la información pública será restringido excepcionalmente, cuando ésta sea clasificada como reservada o confidencial.”</w:t>
      </w:r>
    </w:p>
    <w:p w14:paraId="703016C7"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Siendo importante mencionar que la restricción al derecho de acceso a la información implica necesariamente una clasificación, la cual debe entenderse como el proceso mediante el cual el Sujeto Obligado determina que la información en su poder, actualiza alguno de los supuestos de reserva o confidencialidad, de conformidad con las normas aplicables.</w:t>
      </w:r>
    </w:p>
    <w:p w14:paraId="7FE6BA9D"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Así, se entiende como información reservada aquella que se clasifica de manera temporal cuya divulgación pueda causar algún daño; y como información confidencial, la relacionada con los secretos bancario, fiduciario, industrial, comercial, fiscal, bursátil y postal, cuya titularidad corresponde a particulares, sujetos de derecho internacional o a sujetos obligados cuando no involucren el </w:t>
      </w:r>
      <w:r w:rsidRPr="000E564D">
        <w:rPr>
          <w:rFonts w:ascii="Palatino Linotype" w:eastAsia="Palatino Linotype" w:hAnsi="Palatino Linotype" w:cs="Palatino Linotype"/>
        </w:rPr>
        <w:lastRenderedPageBreak/>
        <w:t>ejercicio de recursos públicos, así como la información privada contenida en documentos públicos o privados que refiera a la vida privada y/o los datos personales, que no son de acceso público</w:t>
      </w:r>
      <w:r w:rsidRPr="000E564D">
        <w:rPr>
          <w:rFonts w:ascii="Palatino Linotype" w:eastAsia="Palatino Linotype" w:hAnsi="Palatino Linotype" w:cs="Palatino Linotype"/>
          <w:sz w:val="18"/>
          <w:szCs w:val="18"/>
        </w:rPr>
        <w:t xml:space="preserve">. </w:t>
      </w:r>
    </w:p>
    <w:p w14:paraId="51920FA5"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En lo que concierne a la información clasificada como reservada, para que el acceso a la información pública pueda ser restringido, se deben actualizar los supuestos establecidos en el artículo 113 de la y Ley General de Transparencia Acceso a la Información Pública y el artículo 140 de la Ley de Transparencia y Acceso a la Información Pública del Estado de México y Municipios, que a la letra señalan lo siguiente:</w:t>
      </w:r>
    </w:p>
    <w:p w14:paraId="6B6F1B75" w14:textId="77777777" w:rsidR="00525649" w:rsidRPr="000E564D" w:rsidRDefault="00B04106">
      <w:pPr>
        <w:spacing w:before="120" w:after="120"/>
        <w:ind w:left="851"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“Artículo 113.</w:t>
      </w:r>
      <w:r w:rsidRPr="000E564D">
        <w:rPr>
          <w:rFonts w:ascii="Palatino Linotype" w:eastAsia="Palatino Linotype" w:hAnsi="Palatino Linotype" w:cs="Palatino Linotype"/>
          <w:i/>
          <w:sz w:val="22"/>
          <w:szCs w:val="22"/>
        </w:rPr>
        <w:t xml:space="preserve"> Como información reservada podrá clasificarse aquella cuya publicación:</w:t>
      </w:r>
    </w:p>
    <w:p w14:paraId="207D54A3" w14:textId="77777777" w:rsidR="00525649" w:rsidRPr="000E564D" w:rsidRDefault="00B04106">
      <w:pPr>
        <w:spacing w:before="120" w:after="120"/>
        <w:ind w:left="1134"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 xml:space="preserve"> I.</w:t>
      </w:r>
      <w:r w:rsidRPr="000E564D">
        <w:rPr>
          <w:rFonts w:ascii="Palatino Linotype" w:eastAsia="Palatino Linotype" w:hAnsi="Palatino Linotype" w:cs="Palatino Linotype"/>
          <w:i/>
          <w:sz w:val="22"/>
          <w:szCs w:val="22"/>
        </w:rPr>
        <w:t xml:space="preserve"> Comprometa la seguridad nacional, la seguridad pública o la defensa nacional y cuente con un propósito genuino y un efecto demostrable; </w:t>
      </w:r>
    </w:p>
    <w:p w14:paraId="0324B1E2" w14:textId="77777777" w:rsidR="00525649" w:rsidRPr="000E564D" w:rsidRDefault="00B04106">
      <w:pPr>
        <w:spacing w:before="120" w:after="120"/>
        <w:ind w:left="1134"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II.</w:t>
      </w:r>
      <w:r w:rsidRPr="000E564D">
        <w:rPr>
          <w:rFonts w:ascii="Palatino Linotype" w:eastAsia="Palatino Linotype" w:hAnsi="Palatino Linotype" w:cs="Palatino Linotype"/>
          <w:i/>
          <w:sz w:val="22"/>
          <w:szCs w:val="22"/>
        </w:rPr>
        <w:t xml:space="preserve"> Pueda menoscabar la conducción de las negociaciones y relaciones internacionales; </w:t>
      </w:r>
      <w:r w:rsidRPr="000E564D">
        <w:rPr>
          <w:rFonts w:ascii="Palatino Linotype" w:eastAsia="Palatino Linotype" w:hAnsi="Palatino Linotype" w:cs="Palatino Linotype"/>
          <w:i/>
          <w:sz w:val="22"/>
          <w:szCs w:val="22"/>
        </w:rPr>
        <w:br/>
      </w:r>
      <w:r w:rsidRPr="000E564D">
        <w:rPr>
          <w:rFonts w:ascii="Palatino Linotype" w:eastAsia="Palatino Linotype" w:hAnsi="Palatino Linotype" w:cs="Palatino Linotype"/>
          <w:b/>
          <w:i/>
          <w:sz w:val="22"/>
          <w:szCs w:val="22"/>
        </w:rPr>
        <w:t>III.</w:t>
      </w:r>
      <w:r w:rsidRPr="000E564D">
        <w:rPr>
          <w:rFonts w:ascii="Palatino Linotype" w:eastAsia="Palatino Linotype" w:hAnsi="Palatino Linotype" w:cs="Palatino Linotype"/>
          <w:i/>
          <w:sz w:val="22"/>
          <w:szCs w:val="22"/>
        </w:rPr>
        <w:t xml:space="preserve"> Se entregue al Estado mexicano expresamente con ese carácter o el de confidencial por otro u otros sujetos de derecho internacional, excepto cuando se trate de violaciones graves de derechos humanos o delitos de lesa humanidad de conformidad con el derecho internacional; </w:t>
      </w:r>
    </w:p>
    <w:p w14:paraId="31C8D536" w14:textId="77777777" w:rsidR="00525649" w:rsidRPr="000E564D" w:rsidRDefault="00B04106">
      <w:pPr>
        <w:spacing w:before="120" w:after="120"/>
        <w:ind w:left="1134"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IV.</w:t>
      </w:r>
      <w:r w:rsidRPr="000E564D">
        <w:rPr>
          <w:rFonts w:ascii="Palatino Linotype" w:eastAsia="Palatino Linotype" w:hAnsi="Palatino Linotype" w:cs="Palatino Linotype"/>
          <w:i/>
          <w:sz w:val="22"/>
          <w:szCs w:val="22"/>
        </w:rPr>
        <w:t xml:space="preserve"> Pueda afectar la efectividad de las medidas adoptadas en relación con las políticas en materia monetaria, cambiaria o del sistema financiero del país; pueda poner en riesgo la estabilidad de las instituciones financieras susceptibles de ser consideradas de riesgo sistémico o del sistema financiero del país, pueda comprometer la seguridad en la provisión de moneda nacional al país, o pueda incrementar el costo de operaciones financieras que realicen los sujetos obligados del sector público federal; </w:t>
      </w:r>
    </w:p>
    <w:p w14:paraId="00A8559C" w14:textId="77777777" w:rsidR="00525649" w:rsidRPr="000E564D" w:rsidRDefault="00B04106">
      <w:pPr>
        <w:spacing w:before="120" w:after="120"/>
        <w:ind w:left="1134"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V.</w:t>
      </w:r>
      <w:r w:rsidRPr="000E564D">
        <w:rPr>
          <w:rFonts w:ascii="Palatino Linotype" w:eastAsia="Palatino Linotype" w:hAnsi="Palatino Linotype" w:cs="Palatino Linotype"/>
          <w:i/>
          <w:sz w:val="22"/>
          <w:szCs w:val="22"/>
        </w:rPr>
        <w:t xml:space="preserve"> Pueda poner en riesgo la vida, seguridad o salud de una persona física; </w:t>
      </w:r>
    </w:p>
    <w:p w14:paraId="54E8F5BF" w14:textId="77777777" w:rsidR="00525649" w:rsidRPr="000E564D" w:rsidRDefault="00B04106">
      <w:pPr>
        <w:spacing w:before="120" w:after="120"/>
        <w:ind w:left="1134"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VI</w:t>
      </w:r>
      <w:r w:rsidRPr="000E564D">
        <w:rPr>
          <w:rFonts w:ascii="Palatino Linotype" w:eastAsia="Palatino Linotype" w:hAnsi="Palatino Linotype" w:cs="Palatino Linotype"/>
          <w:i/>
          <w:sz w:val="22"/>
          <w:szCs w:val="22"/>
        </w:rPr>
        <w:t xml:space="preserve">. Obstruya las actividades de verificación, inspección y auditoría relativas al cumplimiento de las leyes o afecte la recaudación de contribuciones; </w:t>
      </w:r>
    </w:p>
    <w:p w14:paraId="08288372" w14:textId="77777777" w:rsidR="00525649" w:rsidRPr="000E564D" w:rsidRDefault="00B04106">
      <w:pPr>
        <w:spacing w:before="120" w:after="120"/>
        <w:ind w:left="1134"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VII.</w:t>
      </w:r>
      <w:r w:rsidRPr="000E564D">
        <w:rPr>
          <w:rFonts w:ascii="Palatino Linotype" w:eastAsia="Palatino Linotype" w:hAnsi="Palatino Linotype" w:cs="Palatino Linotype"/>
          <w:i/>
          <w:sz w:val="22"/>
          <w:szCs w:val="22"/>
        </w:rPr>
        <w:t xml:space="preserve"> Obstruya la prevención o persecución de los delitos; </w:t>
      </w:r>
    </w:p>
    <w:p w14:paraId="1547704D" w14:textId="77777777" w:rsidR="00525649" w:rsidRPr="000E564D" w:rsidRDefault="00B04106">
      <w:pPr>
        <w:spacing w:before="120" w:after="120"/>
        <w:ind w:left="1134"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lastRenderedPageBreak/>
        <w:t>VIII.</w:t>
      </w:r>
      <w:r w:rsidRPr="000E564D">
        <w:rPr>
          <w:rFonts w:ascii="Palatino Linotype" w:eastAsia="Palatino Linotype" w:hAnsi="Palatino Linotype" w:cs="Palatino Linotype"/>
          <w:i/>
          <w:sz w:val="22"/>
          <w:szCs w:val="22"/>
        </w:rPr>
        <w:t xml:space="preserve"> La que contenga las opiniones, recomendaciones o puntos de vista que formen parte del proceso deliberativo de los servidores públicos, hasta en tanto no sea adoptada la decisión definitiva, la cual deberá estar documentada; </w:t>
      </w:r>
    </w:p>
    <w:p w14:paraId="70AC032D" w14:textId="77777777" w:rsidR="00525649" w:rsidRPr="000E564D" w:rsidRDefault="00B04106">
      <w:pPr>
        <w:spacing w:before="120" w:after="120"/>
        <w:ind w:left="1134"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IX.</w:t>
      </w:r>
      <w:r w:rsidRPr="000E564D">
        <w:rPr>
          <w:rFonts w:ascii="Palatino Linotype" w:eastAsia="Palatino Linotype" w:hAnsi="Palatino Linotype" w:cs="Palatino Linotype"/>
          <w:i/>
          <w:sz w:val="22"/>
          <w:szCs w:val="22"/>
        </w:rPr>
        <w:t xml:space="preserve"> Obstruya los procedimientos para fincar responsabilidad a los Servidores Públicos, en tanto no se haya dictado la resolución administrativa; </w:t>
      </w:r>
    </w:p>
    <w:p w14:paraId="1202C0F3" w14:textId="77777777" w:rsidR="00525649" w:rsidRPr="000E564D" w:rsidRDefault="00B04106">
      <w:pPr>
        <w:spacing w:before="120" w:after="120"/>
        <w:ind w:left="1134"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X.</w:t>
      </w:r>
      <w:r w:rsidRPr="000E564D">
        <w:rPr>
          <w:rFonts w:ascii="Palatino Linotype" w:eastAsia="Palatino Linotype" w:hAnsi="Palatino Linotype" w:cs="Palatino Linotype"/>
          <w:i/>
          <w:sz w:val="22"/>
          <w:szCs w:val="22"/>
        </w:rPr>
        <w:t xml:space="preserve"> Afecte los derechos del debido proceso; </w:t>
      </w:r>
    </w:p>
    <w:p w14:paraId="0EB0D776" w14:textId="77777777" w:rsidR="00525649" w:rsidRPr="000E564D" w:rsidRDefault="00B04106">
      <w:pPr>
        <w:spacing w:before="120" w:after="120"/>
        <w:ind w:left="1134"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XI.</w:t>
      </w:r>
      <w:r w:rsidRPr="000E564D">
        <w:rPr>
          <w:rFonts w:ascii="Palatino Linotype" w:eastAsia="Palatino Linotype" w:hAnsi="Palatino Linotype" w:cs="Palatino Linotype"/>
          <w:i/>
          <w:sz w:val="22"/>
          <w:szCs w:val="22"/>
        </w:rPr>
        <w:t xml:space="preserve"> Vulnere la conducción de los Expedientes judiciales o de los procedimientos administrativos seguidos en forma de juicio, en tanto no hayan causado estado;</w:t>
      </w:r>
    </w:p>
    <w:p w14:paraId="314691A6" w14:textId="77777777" w:rsidR="00525649" w:rsidRPr="000E564D" w:rsidRDefault="00B04106">
      <w:pPr>
        <w:spacing w:before="120" w:after="120"/>
        <w:ind w:left="851"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Artículo 140</w:t>
      </w:r>
      <w:r w:rsidRPr="000E564D">
        <w:rPr>
          <w:rFonts w:ascii="Palatino Linotype" w:eastAsia="Palatino Linotype" w:hAnsi="Palatino Linotype" w:cs="Palatino Linotype"/>
          <w:i/>
          <w:sz w:val="22"/>
          <w:szCs w:val="22"/>
        </w:rPr>
        <w:t xml:space="preserve">. El acceso a la información pública será restringido excepcionalmente, cuando por razones de interés público, ésta sea clasificada como reservada, conforme a los criterios siguientes: </w:t>
      </w:r>
    </w:p>
    <w:p w14:paraId="7B4E6797" w14:textId="77777777" w:rsidR="00525649" w:rsidRPr="000E564D" w:rsidRDefault="00B04106">
      <w:pPr>
        <w:spacing w:before="120" w:after="120"/>
        <w:ind w:left="1134"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w:t>
      </w:r>
      <w:r w:rsidRPr="000E564D">
        <w:rPr>
          <w:rFonts w:ascii="Palatino Linotype" w:eastAsia="Palatino Linotype" w:hAnsi="Palatino Linotype" w:cs="Palatino Linotype"/>
          <w:i/>
          <w:sz w:val="22"/>
          <w:szCs w:val="22"/>
        </w:rPr>
        <w:t xml:space="preserve">. Comprometa la seguridad pública y cuente con un propósito genuino y un efecto demostrable; </w:t>
      </w:r>
    </w:p>
    <w:p w14:paraId="09E90757" w14:textId="77777777" w:rsidR="00525649" w:rsidRPr="000E564D" w:rsidRDefault="00B04106">
      <w:pPr>
        <w:spacing w:before="120" w:after="120"/>
        <w:ind w:left="1134"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II.</w:t>
      </w:r>
      <w:r w:rsidRPr="000E564D">
        <w:rPr>
          <w:rFonts w:ascii="Palatino Linotype" w:eastAsia="Palatino Linotype" w:hAnsi="Palatino Linotype" w:cs="Palatino Linotype"/>
          <w:i/>
          <w:sz w:val="22"/>
          <w:szCs w:val="22"/>
        </w:rPr>
        <w:t xml:space="preserve"> Pueda menoscabar la conducción de las negociaciones y relaciones internacionales; </w:t>
      </w:r>
    </w:p>
    <w:p w14:paraId="4BCB5545" w14:textId="77777777" w:rsidR="00525649" w:rsidRPr="000E564D" w:rsidRDefault="00B04106">
      <w:pPr>
        <w:spacing w:before="120" w:after="120"/>
        <w:ind w:left="1134"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III.</w:t>
      </w:r>
      <w:r w:rsidRPr="000E564D">
        <w:rPr>
          <w:rFonts w:ascii="Palatino Linotype" w:eastAsia="Palatino Linotype" w:hAnsi="Palatino Linotype" w:cs="Palatino Linotype"/>
          <w:i/>
          <w:sz w:val="22"/>
          <w:szCs w:val="22"/>
        </w:rPr>
        <w:t xml:space="preserve"> Se entregue a la Entidad expresamente con ese carácter o el de confidencialidad por otro u otros sujetos de derecho internacional, excepto cuando se trate de violaciones graves de derechos humanos o delitos de lesa humanidad de conformidad con el derecho internacional; </w:t>
      </w:r>
    </w:p>
    <w:p w14:paraId="5293088A" w14:textId="77777777" w:rsidR="00525649" w:rsidRPr="000E564D" w:rsidRDefault="00B04106">
      <w:pPr>
        <w:spacing w:before="120" w:after="120"/>
        <w:ind w:left="1134"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IV.</w:t>
      </w:r>
      <w:r w:rsidRPr="000E564D">
        <w:rPr>
          <w:rFonts w:ascii="Palatino Linotype" w:eastAsia="Palatino Linotype" w:hAnsi="Palatino Linotype" w:cs="Palatino Linotype"/>
          <w:i/>
          <w:sz w:val="22"/>
          <w:szCs w:val="22"/>
        </w:rPr>
        <w:t xml:space="preserve"> Ponga en riesgo la vida, la seguridad o la salud de una persona física; </w:t>
      </w:r>
    </w:p>
    <w:p w14:paraId="6DBB731E" w14:textId="77777777" w:rsidR="00525649" w:rsidRPr="000E564D" w:rsidRDefault="00B04106">
      <w:pPr>
        <w:spacing w:before="120" w:after="120"/>
        <w:ind w:left="1134"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V</w:t>
      </w:r>
      <w:r w:rsidRPr="000E564D">
        <w:rPr>
          <w:rFonts w:ascii="Palatino Linotype" w:eastAsia="Palatino Linotype" w:hAnsi="Palatino Linotype" w:cs="Palatino Linotype"/>
          <w:i/>
          <w:sz w:val="22"/>
          <w:szCs w:val="22"/>
        </w:rPr>
        <w:t xml:space="preserve">. Aquella cuya divulgación obstruya o pueda causar un serio perjuicio a: </w:t>
      </w:r>
    </w:p>
    <w:p w14:paraId="4B3C2FB2" w14:textId="77777777" w:rsidR="00525649" w:rsidRPr="000E564D" w:rsidRDefault="00B04106">
      <w:pPr>
        <w:spacing w:before="120" w:after="120"/>
        <w:ind w:left="1418"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 xml:space="preserve">1. Las actividades de fiscalización, verificación, inspección, comprobación y auditoría sobre el cumplimiento de las Leyes; o </w:t>
      </w:r>
    </w:p>
    <w:p w14:paraId="5EFEABC9" w14:textId="77777777" w:rsidR="00525649" w:rsidRPr="000E564D" w:rsidRDefault="00B04106">
      <w:pPr>
        <w:spacing w:before="120" w:after="120"/>
        <w:ind w:left="1418"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 xml:space="preserve">2. La recaudación de las contribuciones. </w:t>
      </w:r>
    </w:p>
    <w:p w14:paraId="6B111BFA" w14:textId="77777777" w:rsidR="00525649" w:rsidRPr="000E564D" w:rsidRDefault="00B04106">
      <w:pPr>
        <w:spacing w:before="120" w:after="120"/>
        <w:ind w:left="1134"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VI</w:t>
      </w:r>
      <w:r w:rsidRPr="000E564D">
        <w:rPr>
          <w:rFonts w:ascii="Palatino Linotype" w:eastAsia="Palatino Linotype" w:hAnsi="Palatino Linotype" w:cs="Palatino Linotype"/>
          <w:i/>
          <w:sz w:val="22"/>
          <w:szCs w:val="22"/>
        </w:rPr>
        <w:t xml:space="preserve">. Pueda causar daño u obstruya la prevención o persecución de los delitos, altere el proceso de investigación de las carpetas de investigación,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 </w:t>
      </w:r>
    </w:p>
    <w:p w14:paraId="0A6B3D7C" w14:textId="77777777" w:rsidR="00525649" w:rsidRPr="000E564D" w:rsidRDefault="00B04106">
      <w:pPr>
        <w:spacing w:before="120" w:after="120"/>
        <w:ind w:left="1134"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VII.</w:t>
      </w:r>
      <w:r w:rsidRPr="000E564D">
        <w:rPr>
          <w:rFonts w:ascii="Palatino Linotype" w:eastAsia="Palatino Linotype" w:hAnsi="Palatino Linotype" w:cs="Palatino Linotype"/>
          <w:i/>
          <w:sz w:val="22"/>
          <w:szCs w:val="22"/>
        </w:rPr>
        <w:t xml:space="preserve"> La que contengan las opiniones, recomendaciones o puntos de vista que formen parte del proceso deliberativo de los servidores públicos, hasta en tanto sea adoptada la decisión definitiva, la cual deberá estar documentada; </w:t>
      </w:r>
    </w:p>
    <w:p w14:paraId="4F2274AB" w14:textId="77777777" w:rsidR="00525649" w:rsidRPr="000E564D" w:rsidRDefault="00B04106">
      <w:pPr>
        <w:spacing w:before="120" w:after="120"/>
        <w:ind w:left="1134"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lastRenderedPageBreak/>
        <w:t>VIII.</w:t>
      </w:r>
      <w:r w:rsidRPr="000E564D">
        <w:rPr>
          <w:rFonts w:ascii="Palatino Linotype" w:eastAsia="Palatino Linotype" w:hAnsi="Palatino Linotype" w:cs="Palatino Linotype"/>
          <w:i/>
          <w:sz w:val="22"/>
          <w:szCs w:val="22"/>
        </w:rPr>
        <w:t xml:space="preserve"> Vulnere la conducción de los expedientes judiciales o de los procedimientos administrativos seguidos en forma de juicio, en tanto no hayan quedado firmes; </w:t>
      </w:r>
    </w:p>
    <w:p w14:paraId="77E2ADEB" w14:textId="77777777" w:rsidR="00525649" w:rsidRPr="000E564D" w:rsidRDefault="00B04106">
      <w:pPr>
        <w:spacing w:before="120" w:after="120"/>
        <w:ind w:left="1134"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IX</w:t>
      </w:r>
      <w:r w:rsidRPr="000E564D">
        <w:rPr>
          <w:rFonts w:ascii="Palatino Linotype" w:eastAsia="Palatino Linotype" w:hAnsi="Palatino Linotype" w:cs="Palatino Linotype"/>
          <w:i/>
          <w:sz w:val="22"/>
          <w:szCs w:val="22"/>
        </w:rPr>
        <w:t xml:space="preserve">. Se encuentre contenida dentro de las investigaciones de hechos que la Ley señale como delitos y se tramiten ante el Ministerio Público; </w:t>
      </w:r>
    </w:p>
    <w:p w14:paraId="4E36FC7E" w14:textId="77777777" w:rsidR="00525649" w:rsidRPr="000E564D" w:rsidRDefault="00B04106">
      <w:pPr>
        <w:spacing w:before="120" w:after="120"/>
        <w:ind w:left="1134"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X.</w:t>
      </w:r>
      <w:r w:rsidRPr="000E564D">
        <w:rPr>
          <w:rFonts w:ascii="Palatino Linotype" w:eastAsia="Palatino Linotype" w:hAnsi="Palatino Linotype" w:cs="Palatino Linotype"/>
          <w:i/>
          <w:sz w:val="22"/>
          <w:szCs w:val="22"/>
        </w:rPr>
        <w:t xml:space="preserve"> El daño que pueda producirse con la publicación de la información sea mayor que el interés público de conocer la información de referencia, siempre que esté directamente relacionado con procesos o procedimientos administrativos o judiciales que no hayan quedado firmes; </w:t>
      </w:r>
    </w:p>
    <w:p w14:paraId="2E814BCF" w14:textId="77777777" w:rsidR="00525649" w:rsidRPr="000E564D" w:rsidRDefault="00B04106">
      <w:pPr>
        <w:spacing w:before="120" w:after="120"/>
        <w:ind w:left="1134"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 xml:space="preserve">Cuando se trate de información sobre estudios y proyectos cuya divulgación pueda causar daños al interés del Estado o suponga un riesgo para su realización, siempre que esté directamente relacionado con procesos o procedimientos administrativos o judiciales que no hayan quedado firmes; y </w:t>
      </w:r>
    </w:p>
    <w:p w14:paraId="31461C77" w14:textId="77777777" w:rsidR="00525649" w:rsidRPr="000E564D" w:rsidRDefault="00B04106">
      <w:pPr>
        <w:spacing w:before="120" w:after="120"/>
        <w:ind w:left="1134"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XI.</w:t>
      </w:r>
      <w:r w:rsidRPr="000E564D">
        <w:rPr>
          <w:rFonts w:ascii="Palatino Linotype" w:eastAsia="Palatino Linotype" w:hAnsi="Palatino Linotype" w:cs="Palatino Linotype"/>
          <w:i/>
          <w:sz w:val="22"/>
          <w:szCs w:val="22"/>
        </w:rPr>
        <w:t xml:space="preserve"> Las que por disposición expresa de una ley tengan tal carácter, siempre que sean acordes con las bases, principios y disposiciones establecidos en esta Ley y no la contravengan; así como las previstas en tratados internacionales.”</w:t>
      </w:r>
    </w:p>
    <w:p w14:paraId="69BEDA05"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Es así que, si bien es cierto el derecho de acceso a la información pública se satisface en aquellos casos en que se entregue el soporte documental en que conste la información requerida, también lo es que el derecho de acceso a la información pública puede ser restringido cuando se trate de información clasificada como </w:t>
      </w:r>
      <w:r w:rsidRPr="000E564D">
        <w:rPr>
          <w:rFonts w:ascii="Palatino Linotype" w:eastAsia="Palatino Linotype" w:hAnsi="Palatino Linotype" w:cs="Palatino Linotype"/>
          <w:b/>
        </w:rPr>
        <w:t>Reservada</w:t>
      </w:r>
      <w:r w:rsidRPr="000E564D">
        <w:rPr>
          <w:rFonts w:ascii="Palatino Linotype" w:eastAsia="Palatino Linotype" w:hAnsi="Palatino Linotype" w:cs="Palatino Linotype"/>
        </w:rPr>
        <w:t xml:space="preserve">, delimitando una serie de hipótesis de hecho en las cuales descansa la posibilidad de reserva de información, por lo que, dentro la información que generen, posean o administren los Sujetos Obligados, se considerará reservada cuando su divulgación pueda causar un daño en términos de lo establecido en la Ley, de manera enunciativa más no limitativa, cuando comprometa la seguridad pública; ponga en riesgo la vida, la seguridad o la salud de una persona física; aquella que obstruya o pueda causar un serio perjuicio a las actividades de fiscalización, verificación, inspección, comprobación y auditoría sobre el cumplimiento de las Leyes; vulnere la conducción de los expedientes judiciales; que </w:t>
      </w:r>
      <w:r w:rsidRPr="000E564D">
        <w:rPr>
          <w:rFonts w:ascii="Palatino Linotype" w:eastAsia="Palatino Linotype" w:hAnsi="Palatino Linotype" w:cs="Palatino Linotype"/>
        </w:rPr>
        <w:lastRenderedPageBreak/>
        <w:t>el daño que pueda producirse con la publicación de la información sea mayor que el interés público de conocer la información de referencia, siempre que esté directamente relacionado con procesos o procedimientos administrativos o judiciales que no hayan quedado firmes; o que por disposición expresa de una ley tengan tal carácter.</w:t>
      </w:r>
    </w:p>
    <w:p w14:paraId="59BED505" w14:textId="77777777" w:rsidR="00525649" w:rsidRPr="000E564D" w:rsidRDefault="00B04106">
      <w:pPr>
        <w:spacing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No obstante, en términos generales, las Leyes de la materia disponen que, para proceder a realizar la reserva de la información, no basta que se refiera a alguno de los supuestos que enmarque, en este caso, el artículo 140 de la Ley de Transparencia y Acceso a la Información Pública del Estado de México y Municipios, sino que, es necesario que la autoridad demuestre que la divulgación de la información, puede causar un daño al interés público protegido.</w:t>
      </w:r>
    </w:p>
    <w:p w14:paraId="08FF0D8B" w14:textId="77777777" w:rsidR="00525649" w:rsidRPr="000E564D" w:rsidRDefault="00525649">
      <w:pPr>
        <w:spacing w:line="360" w:lineRule="auto"/>
        <w:jc w:val="both"/>
        <w:rPr>
          <w:rFonts w:ascii="Palatino Linotype" w:eastAsia="Palatino Linotype" w:hAnsi="Palatino Linotype" w:cs="Palatino Linotype"/>
          <w:sz w:val="10"/>
          <w:szCs w:val="10"/>
        </w:rPr>
      </w:pPr>
    </w:p>
    <w:p w14:paraId="3BB7301D" w14:textId="77777777" w:rsidR="00525649" w:rsidRPr="000E564D" w:rsidRDefault="00B04106">
      <w:pPr>
        <w:spacing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Dicha valoración, debe realizarse caso por caso, a través de lo que se conoce como la llamada </w:t>
      </w:r>
      <w:r w:rsidRPr="000E564D">
        <w:rPr>
          <w:rFonts w:ascii="Palatino Linotype" w:eastAsia="Palatino Linotype" w:hAnsi="Palatino Linotype" w:cs="Palatino Linotype"/>
          <w:i/>
        </w:rPr>
        <w:t>“prueba de daño”</w:t>
      </w:r>
      <w:r w:rsidRPr="000E564D">
        <w:rPr>
          <w:rFonts w:ascii="Palatino Linotype" w:eastAsia="Palatino Linotype" w:hAnsi="Palatino Linotype" w:cs="Palatino Linotype"/>
        </w:rPr>
        <w:t xml:space="preserve">, que consiste en exponer los argumentos y razones, basados en elementos objetivos o verificables, a partir de los cuales se derive que la divulgación de información, en particular, puede afectar, poner en riesgo o dañar el interés protegido, ello conforme a los artículos 129 y 134, último párrafo de la Ley de Transparencia y Acceso a la Información Pública del Estado de México y Municipios, en relación con los diversos 104 y 108, último párrafo, de la Ley General de Transparencia y Acceso a la Información Pública; asimismo, esta no debe basarse en meras especulaciones o suposiciones, sino en elementos objetivos que deban evaluar que existe un riego actual e inminente. </w:t>
      </w:r>
    </w:p>
    <w:p w14:paraId="7DBD9F39" w14:textId="77777777" w:rsidR="00525649" w:rsidRPr="000E564D" w:rsidRDefault="00525649">
      <w:pPr>
        <w:spacing w:line="360" w:lineRule="auto"/>
        <w:jc w:val="both"/>
        <w:rPr>
          <w:rFonts w:ascii="Palatino Linotype" w:eastAsia="Palatino Linotype" w:hAnsi="Palatino Linotype" w:cs="Palatino Linotype"/>
          <w:sz w:val="10"/>
          <w:szCs w:val="10"/>
        </w:rPr>
      </w:pPr>
    </w:p>
    <w:p w14:paraId="6E9253FA" w14:textId="77777777" w:rsidR="00525649" w:rsidRPr="000E564D" w:rsidRDefault="00B04106">
      <w:pPr>
        <w:spacing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Siendo importante referir, lo que al respecto establece el Lineamiento Segundo, fracción XIII de los Lineamientos Generales en Materia de Clasificación y </w:t>
      </w:r>
      <w:r w:rsidRPr="000E564D">
        <w:rPr>
          <w:rFonts w:ascii="Palatino Linotype" w:eastAsia="Palatino Linotype" w:hAnsi="Palatino Linotype" w:cs="Palatino Linotype"/>
        </w:rPr>
        <w:lastRenderedPageBreak/>
        <w:t>Desclasificación de la Información, así como para la elaboración de Versiones Públicas, que a la letra dice:</w:t>
      </w:r>
    </w:p>
    <w:p w14:paraId="7EAC8AD6" w14:textId="77777777" w:rsidR="00525649" w:rsidRPr="000E564D" w:rsidRDefault="00525649">
      <w:pPr>
        <w:spacing w:line="360" w:lineRule="auto"/>
        <w:jc w:val="both"/>
        <w:rPr>
          <w:rFonts w:ascii="Palatino Linotype" w:eastAsia="Palatino Linotype" w:hAnsi="Palatino Linotype" w:cs="Palatino Linotype"/>
        </w:rPr>
      </w:pPr>
    </w:p>
    <w:p w14:paraId="3C573F09" w14:textId="77777777" w:rsidR="00525649" w:rsidRPr="000E564D" w:rsidRDefault="00B04106">
      <w:pPr>
        <w:spacing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Siendo importante referir, lo que al respecto establece el Lineamiento Segundo, fracción XIII, de los Lineamientos Generales en Materia de Clasificación y Desclasificación de la Información, así como para la elaboración de Versiones Públicas, que a la letra dice:</w:t>
      </w:r>
    </w:p>
    <w:p w14:paraId="7A1A0984" w14:textId="77777777" w:rsidR="00525649" w:rsidRPr="000E564D" w:rsidRDefault="00525649">
      <w:pPr>
        <w:spacing w:line="360" w:lineRule="auto"/>
        <w:jc w:val="both"/>
        <w:rPr>
          <w:rFonts w:ascii="Palatino Linotype" w:eastAsia="Palatino Linotype" w:hAnsi="Palatino Linotype" w:cs="Palatino Linotype"/>
          <w:sz w:val="10"/>
          <w:szCs w:val="10"/>
        </w:rPr>
      </w:pPr>
    </w:p>
    <w:p w14:paraId="53EC1792" w14:textId="77777777" w:rsidR="00525649" w:rsidRPr="000E564D" w:rsidRDefault="00B04106">
      <w:pPr>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“Segundo.</w:t>
      </w:r>
      <w:r w:rsidRPr="000E564D">
        <w:rPr>
          <w:rFonts w:ascii="Palatino Linotype" w:eastAsia="Palatino Linotype" w:hAnsi="Palatino Linotype" w:cs="Palatino Linotype"/>
          <w:i/>
          <w:sz w:val="22"/>
          <w:szCs w:val="22"/>
        </w:rPr>
        <w:t xml:space="preserve"> Para efectos de los presentes Lineamientos Generales, se entenderá por: </w:t>
      </w:r>
    </w:p>
    <w:p w14:paraId="23511761" w14:textId="77777777" w:rsidR="00525649" w:rsidRPr="000E564D" w:rsidRDefault="00B04106">
      <w:pPr>
        <w:ind w:left="1134" w:right="902"/>
        <w:jc w:val="both"/>
        <w:rPr>
          <w:rFonts w:ascii="Palatino Linotype" w:eastAsia="Palatino Linotype" w:hAnsi="Palatino Linotype" w:cs="Palatino Linotype"/>
          <w:b/>
          <w:i/>
          <w:sz w:val="22"/>
          <w:szCs w:val="22"/>
        </w:rPr>
      </w:pPr>
      <w:r w:rsidRPr="000E564D">
        <w:rPr>
          <w:rFonts w:ascii="Palatino Linotype" w:eastAsia="Palatino Linotype" w:hAnsi="Palatino Linotype" w:cs="Palatino Linotype"/>
          <w:b/>
          <w:i/>
          <w:sz w:val="22"/>
          <w:szCs w:val="22"/>
        </w:rPr>
        <w:t>...</w:t>
      </w:r>
    </w:p>
    <w:p w14:paraId="78FAA7D2" w14:textId="77777777" w:rsidR="00525649" w:rsidRPr="000E564D" w:rsidRDefault="00B04106">
      <w:pPr>
        <w:ind w:left="1134" w:right="902"/>
        <w:jc w:val="both"/>
        <w:rPr>
          <w:rFonts w:ascii="Palatino Linotype" w:eastAsia="Palatino Linotype" w:hAnsi="Palatino Linotype" w:cs="Palatino Linotype"/>
          <w:b/>
          <w:i/>
          <w:sz w:val="22"/>
          <w:szCs w:val="22"/>
        </w:rPr>
      </w:pPr>
      <w:r w:rsidRPr="000E564D">
        <w:rPr>
          <w:rFonts w:ascii="Palatino Linotype" w:eastAsia="Palatino Linotype" w:hAnsi="Palatino Linotype" w:cs="Palatino Linotype"/>
          <w:b/>
          <w:i/>
          <w:sz w:val="22"/>
          <w:szCs w:val="22"/>
        </w:rPr>
        <w:t>XIII.    Prueba de daño</w:t>
      </w:r>
      <w:r w:rsidRPr="000E564D">
        <w:rPr>
          <w:rFonts w:ascii="Palatino Linotype" w:eastAsia="Palatino Linotype" w:hAnsi="Palatino Linotype" w:cs="Palatino Linotype"/>
          <w:i/>
          <w:sz w:val="22"/>
          <w:szCs w:val="22"/>
        </w:rPr>
        <w:t>: La argumentación fundada y motivada que deben realizar los sujetos obligados tendiente a acreditar que la divulgación de información lesiona el interés jurídicamente protegido por la normativa aplicable y que el daño que puede producirse con la publicidad de la información es mayor que el interés de conocerla;</w:t>
      </w:r>
      <w:r w:rsidRPr="000E564D">
        <w:rPr>
          <w:rFonts w:ascii="Palatino Linotype" w:eastAsia="Palatino Linotype" w:hAnsi="Palatino Linotype" w:cs="Palatino Linotype"/>
          <w:b/>
          <w:i/>
          <w:sz w:val="22"/>
          <w:szCs w:val="22"/>
        </w:rPr>
        <w:t>”</w:t>
      </w:r>
    </w:p>
    <w:p w14:paraId="43051D59"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En tal virtud, conforme al artículo 49, fracción VIII, de la Ley de Transparencia y Acceso a la Información Pública del Estado de México y Municipios, los Comités de Transparencia, tienen la atribución de aprobar, modificar o revocar la clasificación de la información, mientras que el artículo 128 de la misma Ley, indica que en los casos en que se niegue el acceso a la información, por actualizarse alguno de los supuestos de clasificación, el Comité de Transparencia, deberá confirmar, modificar o revocar la decisión y que para motivar la clasificación de la información y la ampliación del plazo de reserva, se deberán de señalar las razones, motivos o circunstancias especiales que llevaron al Sujeto Obligado a concluir que el caso particular se ajusta al supuesto previsto por la norma legal invocada como fundamento; siendo que, además, el Sujeto Obligado debe, en todo momento, aplicar una prueba de daño.</w:t>
      </w:r>
    </w:p>
    <w:p w14:paraId="3643B520"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lastRenderedPageBreak/>
        <w:t>De este modo, conforme al artículo 132 de la Ley de Transparencia y Acceso a la Información Pública del Estado de México y Municipios, para clasificar la información se debe de atender a lo dispuesto por la normativa y aplicar, de manera estricta, las excepciones del derecho de acceso a la información y sólo podrán invocarlas cuando acrediten su procedencia, debiendo clasificar la información en el momento en que:</w:t>
      </w:r>
    </w:p>
    <w:p w14:paraId="5E8865A3" w14:textId="77777777" w:rsidR="00525649" w:rsidRPr="000E564D" w:rsidRDefault="00B04106">
      <w:pPr>
        <w:numPr>
          <w:ilvl w:val="0"/>
          <w:numId w:val="2"/>
        </w:numPr>
        <w:spacing w:line="360" w:lineRule="auto"/>
        <w:ind w:left="851"/>
        <w:jc w:val="both"/>
        <w:rPr>
          <w:rFonts w:ascii="Palatino Linotype" w:eastAsia="Palatino Linotype" w:hAnsi="Palatino Linotype" w:cs="Palatino Linotype"/>
        </w:rPr>
      </w:pPr>
      <w:r w:rsidRPr="000E564D">
        <w:rPr>
          <w:rFonts w:ascii="Palatino Linotype" w:eastAsia="Palatino Linotype" w:hAnsi="Palatino Linotype" w:cs="Palatino Linotype"/>
        </w:rPr>
        <w:t>Se reciba una solicitud de acceso a la información.</w:t>
      </w:r>
    </w:p>
    <w:p w14:paraId="31B01653" w14:textId="77777777" w:rsidR="00525649" w:rsidRPr="000E564D" w:rsidRDefault="00B04106">
      <w:pPr>
        <w:numPr>
          <w:ilvl w:val="0"/>
          <w:numId w:val="2"/>
        </w:numPr>
        <w:spacing w:line="360" w:lineRule="auto"/>
        <w:ind w:left="851"/>
        <w:jc w:val="both"/>
        <w:rPr>
          <w:rFonts w:ascii="Palatino Linotype" w:eastAsia="Palatino Linotype" w:hAnsi="Palatino Linotype" w:cs="Palatino Linotype"/>
        </w:rPr>
      </w:pPr>
      <w:r w:rsidRPr="000E564D">
        <w:rPr>
          <w:rFonts w:ascii="Palatino Linotype" w:eastAsia="Palatino Linotype" w:hAnsi="Palatino Linotype" w:cs="Palatino Linotype"/>
        </w:rPr>
        <w:t>Se determine mediante resolución de autoridad competente.</w:t>
      </w:r>
    </w:p>
    <w:p w14:paraId="4B554E82" w14:textId="77777777" w:rsidR="00525649" w:rsidRPr="000E564D" w:rsidRDefault="00B04106">
      <w:pPr>
        <w:numPr>
          <w:ilvl w:val="0"/>
          <w:numId w:val="2"/>
        </w:numPr>
        <w:spacing w:line="360" w:lineRule="auto"/>
        <w:ind w:left="851"/>
        <w:jc w:val="both"/>
        <w:rPr>
          <w:rFonts w:ascii="Palatino Linotype" w:eastAsia="Palatino Linotype" w:hAnsi="Palatino Linotype" w:cs="Palatino Linotype"/>
        </w:rPr>
      </w:pPr>
      <w:r w:rsidRPr="000E564D">
        <w:rPr>
          <w:rFonts w:ascii="Palatino Linotype" w:eastAsia="Palatino Linotype" w:hAnsi="Palatino Linotype" w:cs="Palatino Linotype"/>
        </w:rPr>
        <w:t>Se generen versiones públicas para dar cumplimiento a las obligaciones de transparencia previstas en la Ley.</w:t>
      </w:r>
    </w:p>
    <w:p w14:paraId="22B1C1B2" w14:textId="77777777" w:rsidR="00525649" w:rsidRPr="000E564D" w:rsidRDefault="00525649">
      <w:pPr>
        <w:spacing w:line="360" w:lineRule="auto"/>
        <w:jc w:val="both"/>
        <w:rPr>
          <w:rFonts w:ascii="Palatino Linotype" w:eastAsia="Palatino Linotype" w:hAnsi="Palatino Linotype" w:cs="Palatino Linotype"/>
          <w:sz w:val="10"/>
          <w:szCs w:val="10"/>
        </w:rPr>
      </w:pPr>
    </w:p>
    <w:p w14:paraId="186095CB" w14:textId="77777777" w:rsidR="00525649" w:rsidRPr="000E564D" w:rsidRDefault="00B04106">
      <w:pPr>
        <w:spacing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Situación que se robustece con el artículo 141 de la misma Ley, que señala que las causales de reserva previstas, se deberán fundar y motivar, a través de la aplicación de la prueba de daño.</w:t>
      </w:r>
    </w:p>
    <w:p w14:paraId="4C5F5534" w14:textId="77777777" w:rsidR="00525649" w:rsidRPr="000E564D" w:rsidRDefault="00525649">
      <w:pPr>
        <w:spacing w:line="360" w:lineRule="auto"/>
        <w:jc w:val="both"/>
        <w:rPr>
          <w:rFonts w:ascii="Palatino Linotype" w:eastAsia="Palatino Linotype" w:hAnsi="Palatino Linotype" w:cs="Palatino Linotype"/>
          <w:sz w:val="10"/>
          <w:szCs w:val="10"/>
        </w:rPr>
      </w:pPr>
    </w:p>
    <w:p w14:paraId="0054782C" w14:textId="77777777" w:rsidR="00525649" w:rsidRPr="000E564D" w:rsidRDefault="00B04106">
      <w:pPr>
        <w:spacing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Igualmente, la clasificación de la información debe estar sustentada en el Acuerdo de Clasificación correspondiente, en el que, de manera fundada y motivada, se establezcan las hipótesis normativas aplicables al caso concreto y se analice la prueba de daño que prevé el artículo 129 de la Ley de Transparencia de mérito, a saber:</w:t>
      </w:r>
    </w:p>
    <w:p w14:paraId="4392E003" w14:textId="77777777" w:rsidR="00525649" w:rsidRPr="000E564D" w:rsidRDefault="00B04106">
      <w:pPr>
        <w:spacing w:before="240" w:after="240"/>
        <w:ind w:left="851" w:right="90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“Artículo 129</w:t>
      </w:r>
      <w:r w:rsidRPr="000E564D">
        <w:rPr>
          <w:rFonts w:ascii="Palatino Linotype" w:eastAsia="Palatino Linotype" w:hAnsi="Palatino Linotype" w:cs="Palatino Linotype"/>
          <w:i/>
          <w:sz w:val="22"/>
          <w:szCs w:val="22"/>
        </w:rPr>
        <w:t>. En la aplicación de la prueba de daño, el sujeto obligado deberá precisar las razones objetivas por las que la apertura de la información generaría una afectación, justificando que:</w:t>
      </w:r>
    </w:p>
    <w:p w14:paraId="74A8BD7D" w14:textId="77777777" w:rsidR="00525649" w:rsidRPr="000E564D" w:rsidRDefault="00B04106">
      <w:pPr>
        <w:spacing w:before="240" w:after="240"/>
        <w:ind w:left="1134" w:right="90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w:t>
      </w:r>
      <w:r w:rsidRPr="000E564D">
        <w:rPr>
          <w:rFonts w:ascii="Palatino Linotype" w:eastAsia="Palatino Linotype" w:hAnsi="Palatino Linotype" w:cs="Palatino Linotype"/>
          <w:i/>
          <w:sz w:val="22"/>
          <w:szCs w:val="22"/>
        </w:rPr>
        <w:t xml:space="preserve">. La divulgación de la información representa un riesgo real, demostrable e identificable del perjuicio significativo al interés público o a la seguridad pública; </w:t>
      </w:r>
    </w:p>
    <w:p w14:paraId="087A49F1" w14:textId="77777777" w:rsidR="00525649" w:rsidRPr="000E564D" w:rsidRDefault="00B04106">
      <w:pPr>
        <w:spacing w:before="240" w:after="240"/>
        <w:ind w:left="1134" w:right="90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lastRenderedPageBreak/>
        <w:t>II.</w:t>
      </w:r>
      <w:r w:rsidRPr="000E564D">
        <w:rPr>
          <w:rFonts w:ascii="Palatino Linotype" w:eastAsia="Palatino Linotype" w:hAnsi="Palatino Linotype" w:cs="Palatino Linotype"/>
          <w:i/>
          <w:sz w:val="22"/>
          <w:szCs w:val="22"/>
        </w:rPr>
        <w:t xml:space="preserve"> El riesgo de perjuicio que supondría la divulgación supera el interés público general de que se difunda; y</w:t>
      </w:r>
    </w:p>
    <w:p w14:paraId="56735AD2" w14:textId="77777777" w:rsidR="00525649" w:rsidRPr="000E564D" w:rsidRDefault="00B04106">
      <w:pPr>
        <w:spacing w:before="240" w:after="240"/>
        <w:ind w:left="1134" w:right="90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III.</w:t>
      </w:r>
      <w:r w:rsidRPr="000E564D">
        <w:rPr>
          <w:rFonts w:ascii="Palatino Linotype" w:eastAsia="Palatino Linotype" w:hAnsi="Palatino Linotype" w:cs="Palatino Linotype"/>
          <w:i/>
          <w:sz w:val="22"/>
          <w:szCs w:val="22"/>
        </w:rPr>
        <w:t xml:space="preserve"> La limitación se adecua al principio de proporcionalidad y representa el medio menos restrictivo disponible representa el medio menos restrictivo disponible para evitar el perjuicio.”</w:t>
      </w:r>
    </w:p>
    <w:p w14:paraId="227013F1"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Al respecto, debe entenderse que la primera fracción consiste en verificar que existe un riesgo de publicar determinada información para el interés público o la seguridad pública, no implica, por el contrario, argumentar individualmente un riesgo real, demostrable e identificable, pues se entraría en una dinámica usar argumentos repetitivos en categorías de definición vaga. Por lo que el segundo paso de la prueba de daño es que, una vez que se acreditó el riesgo de hacer pública la información, es necesario ponderarlo con el interés público general de que se difunda esa información, demostrando que el primero </w:t>
      </w:r>
      <w:r w:rsidRPr="000E564D">
        <w:rPr>
          <w:rFonts w:ascii="Palatino Linotype" w:eastAsia="Palatino Linotype" w:hAnsi="Palatino Linotype" w:cs="Palatino Linotype"/>
          <w:sz w:val="22"/>
          <w:szCs w:val="22"/>
        </w:rPr>
        <w:t xml:space="preserve">-el riesgo al divulgarse- </w:t>
      </w:r>
      <w:r w:rsidRPr="000E564D">
        <w:rPr>
          <w:rFonts w:ascii="Palatino Linotype" w:eastAsia="Palatino Linotype" w:hAnsi="Palatino Linotype" w:cs="Palatino Linotype"/>
        </w:rPr>
        <w:t xml:space="preserve">supera al segundo </w:t>
      </w:r>
      <w:r w:rsidRPr="000E564D">
        <w:rPr>
          <w:rFonts w:ascii="Palatino Linotype" w:eastAsia="Palatino Linotype" w:hAnsi="Palatino Linotype" w:cs="Palatino Linotype"/>
          <w:sz w:val="22"/>
          <w:szCs w:val="22"/>
        </w:rPr>
        <w:t>-el interés de que se conozca-</w:t>
      </w:r>
      <w:r w:rsidRPr="000E564D">
        <w:rPr>
          <w:rFonts w:ascii="Palatino Linotype" w:eastAsia="Palatino Linotype" w:hAnsi="Palatino Linotype" w:cs="Palatino Linotype"/>
        </w:rPr>
        <w:t>. Mientras que la tercera fracción es una guía de cómo realizar dicha ponderación a través del principio de proporcionalidad. Es decir, se debe determinar, en resumen, la idoneidad, necesidad y proporcionalidad de la reserva de la información frente al interés público de divulgarla. Además, se deben explorar las alternativas a través de las cuales se puede conseguir un menor daño a los intereses en pugna, o verificar que el medio que se eligió para reservar la información es el más benigno.</w:t>
      </w:r>
    </w:p>
    <w:p w14:paraId="40B9BC5F"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En el mismo tenor el Lineamiento Trigésimo Tercero, de los Lineamientos Generales en Materia de Clasificación y Desclasificación de la Información, dispone lo siguiente:</w:t>
      </w:r>
    </w:p>
    <w:p w14:paraId="307C6EB7" w14:textId="77777777" w:rsidR="00525649" w:rsidRPr="000E564D" w:rsidRDefault="00B04106">
      <w:pPr>
        <w:spacing w:before="120" w:after="120"/>
        <w:ind w:left="851" w:right="758"/>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lastRenderedPageBreak/>
        <w:t>“</w:t>
      </w:r>
      <w:r w:rsidRPr="000E564D">
        <w:rPr>
          <w:rFonts w:ascii="Palatino Linotype" w:eastAsia="Palatino Linotype" w:hAnsi="Palatino Linotype" w:cs="Palatino Linotype"/>
          <w:b/>
          <w:i/>
          <w:sz w:val="22"/>
          <w:szCs w:val="22"/>
        </w:rPr>
        <w:t>Trigésimo tercero</w:t>
      </w:r>
      <w:r w:rsidRPr="000E564D">
        <w:rPr>
          <w:rFonts w:ascii="Palatino Linotype" w:eastAsia="Palatino Linotype" w:hAnsi="Palatino Linotype" w:cs="Palatino Linotype"/>
          <w:i/>
          <w:sz w:val="22"/>
          <w:szCs w:val="22"/>
        </w:rPr>
        <w:t>. Para la aplicación de la prueba de daño a la que hace referencia el artículo 104 de la Ley General, los sujetos obligados atenderán lo siguiente:</w:t>
      </w:r>
    </w:p>
    <w:p w14:paraId="30B03308" w14:textId="77777777" w:rsidR="00525649" w:rsidRPr="000E564D" w:rsidRDefault="00B04106">
      <w:pPr>
        <w:tabs>
          <w:tab w:val="left" w:pos="1701"/>
        </w:tabs>
        <w:spacing w:before="120" w:after="120"/>
        <w:ind w:left="1134" w:right="760"/>
        <w:jc w:val="both"/>
        <w:rPr>
          <w:rFonts w:ascii="Palatino Linotype" w:eastAsia="Palatino Linotype" w:hAnsi="Palatino Linotype" w:cs="Palatino Linotype"/>
          <w:b/>
          <w:i/>
          <w:sz w:val="20"/>
          <w:szCs w:val="20"/>
        </w:rPr>
      </w:pPr>
      <w:r w:rsidRPr="000E564D">
        <w:rPr>
          <w:rFonts w:ascii="Palatino Linotype" w:eastAsia="Palatino Linotype" w:hAnsi="Palatino Linotype" w:cs="Palatino Linotype"/>
          <w:b/>
          <w:i/>
          <w:sz w:val="22"/>
          <w:szCs w:val="22"/>
        </w:rPr>
        <w:t xml:space="preserve">I. </w:t>
      </w:r>
      <w:r w:rsidRPr="000E564D">
        <w:rPr>
          <w:rFonts w:ascii="Palatino Linotype" w:eastAsia="Palatino Linotype" w:hAnsi="Palatino Linotype" w:cs="Palatino Linotype"/>
          <w:i/>
          <w:sz w:val="22"/>
          <w:szCs w:val="22"/>
        </w:rPr>
        <w:t>Se deberá fundar la clasificación, al citar la fracción y la hipótesis de la causal aplicable del artículo 113 de la Ley General, vinculándola con el Lineamiento específico del presente ordenamiento y cuando corresponda, el supuesto normativo que expresamente le otorga el carácter de información reservada;</w:t>
      </w:r>
    </w:p>
    <w:p w14:paraId="72A2777F" w14:textId="77777777" w:rsidR="00525649" w:rsidRPr="000E564D" w:rsidRDefault="00B04106">
      <w:pPr>
        <w:tabs>
          <w:tab w:val="left" w:pos="1701"/>
        </w:tabs>
        <w:spacing w:before="120" w:after="120"/>
        <w:ind w:left="1134" w:right="76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II</w:t>
      </w:r>
      <w:r w:rsidRPr="000E564D">
        <w:rPr>
          <w:rFonts w:ascii="Palatino Linotype" w:eastAsia="Palatino Linotype" w:hAnsi="Palatino Linotype" w:cs="Palatino Linotype"/>
          <w:i/>
          <w:sz w:val="22"/>
          <w:szCs w:val="22"/>
        </w:rPr>
        <w:t>. Se deberá motivar la clasificación, señalando las circunstancias de modo, tiempo y lugar que acrediten el vínculo entre la difusión de la información y la afectación al interés público o a la seguridad nacional;</w:t>
      </w:r>
    </w:p>
    <w:p w14:paraId="5DCF28D0" w14:textId="77777777" w:rsidR="00525649" w:rsidRPr="000E564D" w:rsidRDefault="00B04106">
      <w:pPr>
        <w:tabs>
          <w:tab w:val="left" w:pos="1701"/>
        </w:tabs>
        <w:spacing w:before="120" w:after="120"/>
        <w:ind w:left="1134" w:right="76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III.</w:t>
      </w:r>
      <w:r w:rsidRPr="000E564D">
        <w:rPr>
          <w:rFonts w:ascii="Palatino Linotype" w:eastAsia="Palatino Linotype" w:hAnsi="Palatino Linotype" w:cs="Palatino Linotype"/>
          <w:i/>
          <w:sz w:val="22"/>
          <w:szCs w:val="22"/>
        </w:rPr>
        <w:t xml:space="preserve"> Se deberán precisar las razones objetivas por las que la apertura de la información generaría un riesgo de perjuicio real, demostrable e identificable al interés jurídico tutelado de que se trate;</w:t>
      </w:r>
    </w:p>
    <w:p w14:paraId="6F5DA022" w14:textId="77777777" w:rsidR="00525649" w:rsidRPr="000E564D" w:rsidRDefault="00B04106">
      <w:pPr>
        <w:tabs>
          <w:tab w:val="left" w:pos="1701"/>
        </w:tabs>
        <w:spacing w:before="120" w:after="120"/>
        <w:ind w:left="1134" w:right="760"/>
        <w:jc w:val="both"/>
        <w:rPr>
          <w:rFonts w:ascii="Palatino Linotype" w:eastAsia="Palatino Linotype" w:hAnsi="Palatino Linotype" w:cs="Palatino Linotype"/>
          <w:b/>
          <w:i/>
          <w:sz w:val="22"/>
          <w:szCs w:val="22"/>
        </w:rPr>
      </w:pPr>
      <w:r w:rsidRPr="000E564D">
        <w:rPr>
          <w:rFonts w:ascii="Palatino Linotype" w:eastAsia="Palatino Linotype" w:hAnsi="Palatino Linotype" w:cs="Palatino Linotype"/>
          <w:b/>
          <w:i/>
          <w:sz w:val="22"/>
          <w:szCs w:val="22"/>
        </w:rPr>
        <w:t>IV.</w:t>
      </w:r>
      <w:r w:rsidRPr="000E564D">
        <w:rPr>
          <w:rFonts w:ascii="Palatino Linotype" w:eastAsia="Palatino Linotype" w:hAnsi="Palatino Linotype" w:cs="Palatino Linotype"/>
          <w:i/>
          <w:sz w:val="22"/>
          <w:szCs w:val="22"/>
        </w:rPr>
        <w:t xml:space="preserve"> Mediante una ponderación entre la medida restrictiva y el derecho de acceso a la información, deberán justificar y probar objetivamente mediante los elementos señalados en la fracción anterior, que la publicidad de la información solicitada generaría un riesgo de perjuicio que supera al interés público de que la información se difunda;</w:t>
      </w:r>
      <w:r w:rsidRPr="000E564D">
        <w:rPr>
          <w:rFonts w:ascii="Palatino Linotype" w:eastAsia="Palatino Linotype" w:hAnsi="Palatino Linotype" w:cs="Palatino Linotype"/>
          <w:b/>
          <w:i/>
          <w:sz w:val="22"/>
          <w:szCs w:val="22"/>
        </w:rPr>
        <w:t xml:space="preserve"> </w:t>
      </w:r>
    </w:p>
    <w:p w14:paraId="75D519C1" w14:textId="77777777" w:rsidR="00525649" w:rsidRPr="000E564D" w:rsidRDefault="00B04106">
      <w:pPr>
        <w:tabs>
          <w:tab w:val="left" w:pos="1701"/>
        </w:tabs>
        <w:spacing w:before="120" w:after="120"/>
        <w:ind w:left="1134" w:right="760"/>
        <w:jc w:val="both"/>
        <w:rPr>
          <w:rFonts w:ascii="Palatino Linotype" w:eastAsia="Palatino Linotype" w:hAnsi="Palatino Linotype" w:cs="Palatino Linotype"/>
          <w:b/>
          <w:i/>
          <w:sz w:val="22"/>
          <w:szCs w:val="22"/>
        </w:rPr>
      </w:pPr>
      <w:r w:rsidRPr="000E564D">
        <w:rPr>
          <w:rFonts w:ascii="Palatino Linotype" w:eastAsia="Palatino Linotype" w:hAnsi="Palatino Linotype" w:cs="Palatino Linotype"/>
          <w:b/>
          <w:i/>
          <w:sz w:val="22"/>
          <w:szCs w:val="22"/>
        </w:rPr>
        <w:t>V</w:t>
      </w:r>
      <w:r w:rsidRPr="000E564D">
        <w:rPr>
          <w:rFonts w:ascii="Palatino Linotype" w:eastAsia="Palatino Linotype" w:hAnsi="Palatino Linotype" w:cs="Palatino Linotype"/>
          <w:i/>
          <w:sz w:val="22"/>
          <w:szCs w:val="22"/>
        </w:rPr>
        <w:t>. Deberán elegir y justificar la opción de excepción al derecho de acceso a la información que menos lo restrinja y que sea adecuada y proporcional para evitar el perjuicio al interés público, evitando siempre que sea posible la reserva absoluta de documentos o expedientes; y</w:t>
      </w:r>
      <w:r w:rsidRPr="000E564D">
        <w:rPr>
          <w:rFonts w:ascii="Palatino Linotype" w:eastAsia="Palatino Linotype" w:hAnsi="Palatino Linotype" w:cs="Palatino Linotype"/>
          <w:b/>
          <w:i/>
          <w:sz w:val="22"/>
          <w:szCs w:val="22"/>
        </w:rPr>
        <w:t xml:space="preserve"> </w:t>
      </w:r>
    </w:p>
    <w:p w14:paraId="0B4A066A" w14:textId="77777777" w:rsidR="00525649" w:rsidRPr="000E564D" w:rsidRDefault="00B04106">
      <w:pPr>
        <w:tabs>
          <w:tab w:val="left" w:pos="1701"/>
        </w:tabs>
        <w:spacing w:before="120" w:after="120"/>
        <w:ind w:left="1134" w:right="76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VI</w:t>
      </w:r>
      <w:r w:rsidRPr="000E564D">
        <w:rPr>
          <w:rFonts w:ascii="Palatino Linotype" w:eastAsia="Palatino Linotype" w:hAnsi="Palatino Linotype" w:cs="Palatino Linotype"/>
          <w:i/>
          <w:sz w:val="22"/>
          <w:szCs w:val="22"/>
        </w:rPr>
        <w:t>. En los casos en que se determine la clasificación total de la información, se deberán especificar en la prueba de daño, con la mayor claridad y precisión posible, los aspectos relevantes de la información clasificada que ayuden a cumplir con el objetivo de brindar certeza al solicitante.”</w:t>
      </w:r>
    </w:p>
    <w:p w14:paraId="31E4C961"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De tal manera, las limitaciones al acceso a la información deben sustentarse en una adecuada clasificación que debe distinguir y tomar en cuenta qué información puede generar un daño desproporcionado o innecesario a valores jurídicamente protegidos.</w:t>
      </w:r>
    </w:p>
    <w:p w14:paraId="310E62E9"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Lo anterior, encuentra sustento en la Tesis de la Décima Época, publicada en la Gaceta del Semanario Judicial de la Federación, sección Tribunales Colegiados de </w:t>
      </w:r>
      <w:r w:rsidRPr="000E564D">
        <w:rPr>
          <w:rFonts w:ascii="Palatino Linotype" w:eastAsia="Palatino Linotype" w:hAnsi="Palatino Linotype" w:cs="Palatino Linotype"/>
        </w:rPr>
        <w:lastRenderedPageBreak/>
        <w:t>Circuito, Libro 5, de fecha abril de 2014, pág. 1523, Registro, 2, 006,299. I.1o.A.E.3 K (10a.), que literalmente señala:</w:t>
      </w:r>
    </w:p>
    <w:p w14:paraId="0FF541DD" w14:textId="77777777" w:rsidR="00525649" w:rsidRPr="000E564D" w:rsidRDefault="00525649">
      <w:pPr>
        <w:spacing w:line="360" w:lineRule="auto"/>
        <w:jc w:val="both"/>
        <w:rPr>
          <w:rFonts w:ascii="Palatino Linotype" w:eastAsia="Palatino Linotype" w:hAnsi="Palatino Linotype" w:cs="Palatino Linotype"/>
          <w:sz w:val="10"/>
          <w:szCs w:val="10"/>
        </w:rPr>
      </w:pPr>
    </w:p>
    <w:p w14:paraId="4EEC7E1F" w14:textId="77777777" w:rsidR="00525649" w:rsidRPr="000E564D" w:rsidRDefault="00B04106">
      <w:pPr>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w:t>
      </w:r>
      <w:r w:rsidRPr="000E564D">
        <w:rPr>
          <w:rFonts w:ascii="Palatino Linotype" w:eastAsia="Palatino Linotype" w:hAnsi="Palatino Linotype" w:cs="Palatino Linotype"/>
          <w:b/>
          <w:i/>
          <w:sz w:val="22"/>
          <w:szCs w:val="22"/>
        </w:rPr>
        <w:t>INFORMACIÓN RESERVADA. APLICACIÓN DE LA "PRUEBA DE DAÑO E INTERÉS PÚBLICO" PARA DETERMINAR LO ADECUADO DE LA APORTADA CON ESA CLASIFICACIÓN EN EL JUICIO DE AMPARO POR LA AUTORIDAD RESPONSABLE, A EFECTO DE HACER VIABLE LA DEFENSA EFECTIVA DEL QUEJOSO.</w:t>
      </w:r>
      <w:r w:rsidRPr="000E564D">
        <w:rPr>
          <w:rFonts w:ascii="Palatino Linotype" w:eastAsia="Palatino Linotype" w:hAnsi="Palatino Linotype" w:cs="Palatino Linotype"/>
          <w:i/>
          <w:sz w:val="22"/>
          <w:szCs w:val="22"/>
        </w:rPr>
        <w:t xml:space="preserve"> Una adecuada clasificación de la información pública debe tomar en cuenta y distinguir, en el contexto general de un documento, cuál es la específica y precisa, cuya divulgación puede generar un daño desproporcionado o innecesario a valores jurídicamente protegidos, lo cual debe evitarse, en la medida de lo posible, frente a aquella que debe ser accesible al quejoso en el amparo para hacer viable su defensa efectiva y cuestionar violaciones a derechos fundamentales, lo que implica un interés público en abrir o desclasificar la información necesaria para ese efecto, cuando la autoridad responsable que la aporta al juicio la clasifica como reservada. Por tanto, es necesario distinguir esas diferencias y formular una idónea y adecuada clasificación de la información, generando así una regla individualizada y pertinente para el caso, a través de aplicar la "prueba de daño e interés público" ex </w:t>
      </w:r>
      <w:proofErr w:type="spellStart"/>
      <w:r w:rsidRPr="000E564D">
        <w:rPr>
          <w:rFonts w:ascii="Palatino Linotype" w:eastAsia="Palatino Linotype" w:hAnsi="Palatino Linotype" w:cs="Palatino Linotype"/>
          <w:i/>
          <w:sz w:val="22"/>
          <w:szCs w:val="22"/>
        </w:rPr>
        <w:t>officio</w:t>
      </w:r>
      <w:proofErr w:type="spellEnd"/>
      <w:r w:rsidRPr="000E564D">
        <w:rPr>
          <w:rFonts w:ascii="Palatino Linotype" w:eastAsia="Palatino Linotype" w:hAnsi="Palatino Linotype" w:cs="Palatino Linotype"/>
          <w:i/>
          <w:sz w:val="22"/>
          <w:szCs w:val="22"/>
        </w:rPr>
        <w:t>, con el propósito de obtener una versión que sea pública para la parte interesada.” (sic)</w:t>
      </w:r>
    </w:p>
    <w:p w14:paraId="61AF4600"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Prueba de daño, que cobra relevancia puesto que sí ésta no arroja resultados contundentes sobre un posible peligro, deberá de publicarse o difundirse la información.</w:t>
      </w:r>
    </w:p>
    <w:p w14:paraId="1C1D4691"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Asimismo, de conformidad con los artículos 108 de la Ley General de Transparencia y Acceso a la Información Pública y 134 de la Ley de Transparencia y Acceso a la Información Pública del Estado de México y Municipios, los Sujetos Obligados no pueden emitir acuerdos de carácter general ni particular que clasifiquen documentos o información como reservada, ya que dicha clasificación ya sea parcial o total, debe estar acorde con la actualización de los supuestos definidos; resaltándose además que, la clasificación de la información se debe realizar </w:t>
      </w:r>
      <w:r w:rsidRPr="000E564D">
        <w:rPr>
          <w:rFonts w:ascii="Palatino Linotype" w:eastAsia="Palatino Linotype" w:hAnsi="Palatino Linotype" w:cs="Palatino Linotype"/>
        </w:rPr>
        <w:lastRenderedPageBreak/>
        <w:t>conforme a un análisis caso por caso, mediante la aplicación de la enunciada prueba de daño.</w:t>
      </w:r>
    </w:p>
    <w:p w14:paraId="2A28F6FA"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De este modo, es necesario que el Sujeto Obligado, al aplicar la prueba de daño, distinga entre los supuestos por los cuales puede invocar la reserva de la información y cuáles de manera clara y específica son los que le atañen a la información que se solicite; situación que le hará permisible distinguir diferencias y formular una idónea y adecuada clasificación de la información, generando así, una regla individualizada y pertinente para el caso, a través de la aplicación de dicha prueba, con el propósito de obtener, una versión pública o acuerdo conforme a lo solicitado.</w:t>
      </w:r>
    </w:p>
    <w:p w14:paraId="0097A78C"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Aunado a lo anterior, se tiene que conforme al Lineamiento Octavo, de los Lineamientos Generales en materia de Clasificación y Desclasificación de la Información, para fundar la clasificación de la información se debe señalar el artículo, fracción, inciso, párrafo o numeral de la Ley o tratado internacional suscrito por el Estado Mexicano que expresamente le otorgue el carácter de reservada, mientras que para motivar la clasificación se deben señalar las razones o circunstancias especiales que lo llevaron a concluir que el caso particular se ajusta al supuesto previsto por la norma legal invocada como fundamento</w:t>
      </w:r>
      <w:r w:rsidRPr="000E564D">
        <w:rPr>
          <w:rFonts w:ascii="Arial" w:eastAsia="Arial" w:hAnsi="Arial" w:cs="Arial"/>
        </w:rPr>
        <w:t xml:space="preserve">, </w:t>
      </w:r>
      <w:r w:rsidRPr="000E564D">
        <w:rPr>
          <w:rFonts w:ascii="Palatino Linotype" w:eastAsia="Palatino Linotype" w:hAnsi="Palatino Linotype" w:cs="Palatino Linotype"/>
        </w:rPr>
        <w:t>reiterando que en el caso específico de la reserva, la motivación de la clasificación deberá comprender el análisis de la prueba de daño a que hace referencia el artículo 104 de la Ley General, en relación con el artículo trigésimo tercero de los Lineamientos, así como las circunstancias que justifican el establecimiento de determinado plazo de reserva, en otras palabras, para clasificar la información como reservada, el acuerdo respectivo debe estar debidamente fundado y motivado.</w:t>
      </w:r>
    </w:p>
    <w:p w14:paraId="5503475A" w14:textId="77777777" w:rsidR="00525649" w:rsidRPr="000E564D" w:rsidRDefault="00B04106">
      <w:pPr>
        <w:spacing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lastRenderedPageBreak/>
        <w:t>Sirve de sustento a lo anterior, la Tesis jurisprudencial número I.</w:t>
      </w:r>
      <w:proofErr w:type="gramStart"/>
      <w:r w:rsidRPr="000E564D">
        <w:rPr>
          <w:rFonts w:ascii="Palatino Linotype" w:eastAsia="Palatino Linotype" w:hAnsi="Palatino Linotype" w:cs="Palatino Linotype"/>
        </w:rPr>
        <w:t>4º.A.</w:t>
      </w:r>
      <w:proofErr w:type="gramEnd"/>
      <w:r w:rsidRPr="000E564D">
        <w:rPr>
          <w:rFonts w:ascii="Palatino Linotype" w:eastAsia="Palatino Linotype" w:hAnsi="Palatino Linotype" w:cs="Palatino Linotype"/>
        </w:rPr>
        <w:t xml:space="preserve"> J/43, publicada en el Semanario Judicial de la Federación y su Gaceta, bajo el número de registro 175,082; que a la letra dice:</w:t>
      </w:r>
    </w:p>
    <w:p w14:paraId="79D528F3" w14:textId="77777777" w:rsidR="00525649" w:rsidRPr="000E564D" w:rsidRDefault="00525649">
      <w:pPr>
        <w:spacing w:line="360" w:lineRule="auto"/>
        <w:jc w:val="both"/>
        <w:rPr>
          <w:rFonts w:ascii="Palatino Linotype" w:eastAsia="Palatino Linotype" w:hAnsi="Palatino Linotype" w:cs="Palatino Linotype"/>
          <w:sz w:val="10"/>
          <w:szCs w:val="10"/>
        </w:rPr>
      </w:pPr>
    </w:p>
    <w:p w14:paraId="0190F51B" w14:textId="77777777" w:rsidR="00525649" w:rsidRPr="000E564D" w:rsidRDefault="00B04106">
      <w:pPr>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w:t>
      </w:r>
      <w:r w:rsidRPr="000E564D">
        <w:rPr>
          <w:rFonts w:ascii="Palatino Linotype" w:eastAsia="Palatino Linotype" w:hAnsi="Palatino Linotype" w:cs="Palatino Linotype"/>
          <w:b/>
          <w:i/>
          <w:sz w:val="22"/>
          <w:szCs w:val="22"/>
        </w:rPr>
        <w:t>FUNDAMENTACIÓN Y MOTIVACIÓN. EL ASPECTO FORMAL DE LA GARANTÍA Y SU FINALIDAD SE TRADUCEN EN EXPLICAR, JUSTIFICAR, POSIBILITAR LA DEFENSA Y COMUNICAR LA DECISIÓN. </w:t>
      </w:r>
      <w:r w:rsidRPr="000E564D">
        <w:rPr>
          <w:rFonts w:ascii="Palatino Linotype" w:eastAsia="Palatino Linotype" w:hAnsi="Palatino Linotype" w:cs="Palatino Linotype"/>
          <w:i/>
          <w:sz w:val="22"/>
          <w:szCs w:val="22"/>
        </w:rPr>
        <w:t>El contenido formal de la garantía de legalidad prevista en el artículo 16 constitucional relativa a la fundamentación y motivación tiene como propósito primordial y ratio que el justiciable </w:t>
      </w:r>
      <w:r w:rsidRPr="000E564D">
        <w:rPr>
          <w:rFonts w:ascii="Palatino Linotype" w:eastAsia="Palatino Linotype" w:hAnsi="Palatino Linotype" w:cs="Palatino Linotype"/>
          <w:b/>
          <w:i/>
          <w:sz w:val="22"/>
          <w:szCs w:val="22"/>
        </w:rPr>
        <w:t>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w:t>
      </w:r>
      <w:r w:rsidRPr="000E564D">
        <w:rPr>
          <w:rFonts w:ascii="Palatino Linotype" w:eastAsia="Palatino Linotype" w:hAnsi="Palatino Linotype" w:cs="Palatino Linotype"/>
          <w:i/>
          <w:sz w:val="22"/>
          <w:szCs w:val="22"/>
        </w:rPr>
        <w:t>.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w:t>
      </w:r>
      <w:r w:rsidRPr="000E564D">
        <w:rPr>
          <w:rFonts w:ascii="Palatino Linotype" w:eastAsia="Palatino Linotype" w:hAnsi="Palatino Linotype" w:cs="Palatino Linotype"/>
          <w:b/>
          <w:i/>
          <w:sz w:val="22"/>
          <w:szCs w:val="22"/>
        </w:rPr>
        <w:t>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w:t>
      </w:r>
      <w:r w:rsidRPr="000E564D">
        <w:rPr>
          <w:rFonts w:ascii="Palatino Linotype" w:eastAsia="Palatino Linotype" w:hAnsi="Palatino Linotype" w:cs="Palatino Linotype"/>
          <w:i/>
          <w:sz w:val="22"/>
          <w:szCs w:val="22"/>
        </w:rPr>
        <w:t> del que se deduzca la relación de pertenencia lógica de los hechos al derecho invocado, que es la subsunción.”</w:t>
      </w:r>
    </w:p>
    <w:p w14:paraId="3117C5FB"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En el caso concreto, si bien se coincide con la Servidora Pública Habilitada de la Dirección General de Administración respecto al hecho de que la información concerniente a los servidores públicos adscritos a la Dirección General de Seguridad y Protección, pudiera actualizar alguna causal de reserva, ya que como ha sido mencionado, el derecho de acceso no es absoluto, sino que, como toda garantía, se halla sujeto a limitaciones o excepciones que se sustentan en las disposiciones normativas aplicables, lo cierto es que dicho argumento es aplicable específicamente respecto de los </w:t>
      </w:r>
      <w:r w:rsidRPr="000E564D">
        <w:rPr>
          <w:rFonts w:ascii="Palatino Linotype" w:eastAsia="Palatino Linotype" w:hAnsi="Palatino Linotype" w:cs="Palatino Linotype"/>
          <w:b/>
          <w:u w:val="single"/>
        </w:rPr>
        <w:t xml:space="preserve">integrantes de las corporaciones policiacas activos con funciones </w:t>
      </w:r>
      <w:r w:rsidRPr="000E564D">
        <w:rPr>
          <w:rFonts w:ascii="Palatino Linotype" w:eastAsia="Palatino Linotype" w:hAnsi="Palatino Linotype" w:cs="Palatino Linotype"/>
          <w:b/>
          <w:u w:val="single"/>
        </w:rPr>
        <w:lastRenderedPageBreak/>
        <w:t>operativas</w:t>
      </w:r>
      <w:r w:rsidRPr="000E564D">
        <w:rPr>
          <w:rFonts w:ascii="Palatino Linotype" w:eastAsia="Palatino Linotype" w:hAnsi="Palatino Linotype" w:cs="Palatino Linotype"/>
        </w:rPr>
        <w:t xml:space="preserve">, al considerar que la divulgación de determinada información pudiera ponerles en riesgo, esto es así derivado de las funciones encomendadas en términos del artículo 21 párrafo noveno de la Constitución Política de los Estados Unidos Mexicanos, de las cuales comprende la prevención de los delitos, investigación y persecución para hacerla efectiva, lo cual permite a este Organismo Garante proteger los datos de los servidores públicos que integran dicha Dirección, </w:t>
      </w:r>
      <w:r w:rsidRPr="000E564D">
        <w:rPr>
          <w:rFonts w:ascii="Palatino Linotype" w:eastAsia="Palatino Linotype" w:hAnsi="Palatino Linotype" w:cs="Palatino Linotype"/>
          <w:b/>
          <w:u w:val="single"/>
        </w:rPr>
        <w:t>s</w:t>
      </w:r>
      <w:r w:rsidR="00DD149E" w:rsidRPr="000E564D">
        <w:rPr>
          <w:rFonts w:ascii="Palatino Linotype" w:eastAsia="Palatino Linotype" w:hAnsi="Palatino Linotype" w:cs="Palatino Linotype"/>
          <w:b/>
          <w:u w:val="single"/>
        </w:rPr>
        <w:t xml:space="preserve">ólo por cuanto hace al nombre, </w:t>
      </w:r>
      <w:r w:rsidRPr="000E564D">
        <w:rPr>
          <w:rFonts w:ascii="Palatino Linotype" w:eastAsia="Palatino Linotype" w:hAnsi="Palatino Linotype" w:cs="Palatino Linotype"/>
          <w:b/>
          <w:u w:val="single"/>
        </w:rPr>
        <w:t>cargo</w:t>
      </w:r>
      <w:r w:rsidR="00DD149E" w:rsidRPr="000E564D">
        <w:rPr>
          <w:rFonts w:ascii="Palatino Linotype" w:eastAsia="Palatino Linotype" w:hAnsi="Palatino Linotype" w:cs="Palatino Linotype"/>
          <w:b/>
          <w:u w:val="single"/>
        </w:rPr>
        <w:t xml:space="preserve">  y horario laboral</w:t>
      </w:r>
      <w:r w:rsidRPr="000E564D">
        <w:rPr>
          <w:rFonts w:ascii="Palatino Linotype" w:eastAsia="Palatino Linotype" w:hAnsi="Palatino Linotype" w:cs="Palatino Linotype"/>
          <w:b/>
          <w:u w:val="single"/>
        </w:rPr>
        <w:t>,</w:t>
      </w:r>
      <w:r w:rsidRPr="000E564D">
        <w:rPr>
          <w:rFonts w:ascii="Palatino Linotype" w:eastAsia="Palatino Linotype" w:hAnsi="Palatino Linotype" w:cs="Palatino Linotype"/>
        </w:rPr>
        <w:t xml:space="preserve"> dejando intocable información que por su naturaleza conciernen a la ciudadanía por referirse a información de carácter público; como la relacionada con el rubro de percepciones, área de adscripción, y, en su caso, motivo de baja, que es materia del presente asunto, circunstancia que en nada afecta al derecho tutelado por este Organismo Garante, sino por el contrario también reafirma su compromiso con la rendición de cuentas del Estado y la protección a grupos vulnerables de acuerdo al cargo de Seguridad Municipal.</w:t>
      </w:r>
    </w:p>
    <w:p w14:paraId="7812F85C"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En este tenor, mediante el Sexcentésima Septuagésima Séptima Sesión Extraordinaria del Comité de Transparencia del Comité de Transparencia, el </w:t>
      </w:r>
      <w:r w:rsidRPr="000E564D">
        <w:rPr>
          <w:rFonts w:ascii="Palatino Linotype" w:eastAsia="Palatino Linotype" w:hAnsi="Palatino Linotype" w:cs="Palatino Linotype"/>
          <w:b/>
        </w:rPr>
        <w:t xml:space="preserve">Sujeto Obligado </w:t>
      </w:r>
      <w:r w:rsidRPr="000E564D">
        <w:rPr>
          <w:rFonts w:ascii="Palatino Linotype" w:eastAsia="Palatino Linotype" w:hAnsi="Palatino Linotype" w:cs="Palatino Linotype"/>
        </w:rPr>
        <w:t xml:space="preserve">clasificó específicamente, como información reservada, el </w:t>
      </w:r>
      <w:r w:rsidRPr="000E564D">
        <w:rPr>
          <w:rFonts w:ascii="Palatino Linotype" w:eastAsia="Palatino Linotype" w:hAnsi="Palatino Linotype" w:cs="Palatino Linotype"/>
          <w:i/>
        </w:rPr>
        <w:t xml:space="preserve">nombre completo de los servidores públicos adscritos a la Dirección General de Seguridad y Protección, </w:t>
      </w:r>
      <w:r w:rsidRPr="000E564D">
        <w:rPr>
          <w:rFonts w:ascii="Palatino Linotype" w:eastAsia="Palatino Linotype" w:hAnsi="Palatino Linotype" w:cs="Palatino Linotype"/>
        </w:rPr>
        <w:t>contenidos en el Formato Únicos de Personal, FUP, y las renuncias, por un periodo de dos años, adscritos a la  Dirección General de Seguridad Pública y Protección, clasificación que invariablemente incluye aquellos que ostentan cargos de mandos medios y superiores, así como los que desempeñan funciones administrativas, sin que la información de éstos se ajuste al supuesto previsto por la norma legal invocada como fundamento.</w:t>
      </w:r>
    </w:p>
    <w:p w14:paraId="0ACEE663"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lastRenderedPageBreak/>
        <w:t>Lo mismo ocurre respecto de los servidores públicos dados de baja sin importar las funciones que desempeñaban, toda vez que estos ya no tienen propiamente encomendadas funciones en materia de seguridad pública, o bien, la consecución de la investigación de probables hechos delictivos y/o faltas administrativas.</w:t>
      </w:r>
    </w:p>
    <w:p w14:paraId="3E6910B3"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En consecuencia, el Sexcentésima Septuagésima Séptima Sesión Extraordinaria del Comité de Transparencia, es insuficiente para restringir el Derecho de acceso a la información de la persona solicitante, al no haberse acreditado, de manera fundada y motivada, las razones por las cuales la difusión de la  información solicitada del personal adscrito a la Dirección General de Seguridad Pública y Protección, que ostenta cargos de mandos medios y superiores, así como el que desempeña funciones administrativas, y de los servidores públicos dados de baja que desempeñaban funciones operativas, lesiona el interés jurídicamente protegido por la Ley, que el menoscabo o daño que puede producirse con la publicidad de la información es mayor que el interés de conocerla, y, que por consiguiente deba clasificarse como reservada.</w:t>
      </w:r>
    </w:p>
    <w:p w14:paraId="5FB2675C"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Aunado a lo anterior, es imprescindible mencionar </w:t>
      </w:r>
      <w:proofErr w:type="gramStart"/>
      <w:r w:rsidRPr="000E564D">
        <w:rPr>
          <w:rFonts w:ascii="Palatino Linotype" w:eastAsia="Palatino Linotype" w:hAnsi="Palatino Linotype" w:cs="Palatino Linotype"/>
        </w:rPr>
        <w:t>que</w:t>
      </w:r>
      <w:proofErr w:type="gramEnd"/>
      <w:r w:rsidRPr="000E564D">
        <w:rPr>
          <w:rFonts w:ascii="Palatino Linotype" w:eastAsia="Palatino Linotype" w:hAnsi="Palatino Linotype" w:cs="Palatino Linotype"/>
        </w:rPr>
        <w:t xml:space="preserve"> del análisis efectuado por este Organismo Garante, se advirtió que el Acta emitida por el Comité de Transparencia, no cumple con la totalidad de las formalidades precisadas en líneas anteriores, así como con el Lineamiento Quincuagésimo primero de los Lineamientos Generales en Materia de Clasificación y Desclasificación de la Información, que es del tenor literal siguiente:</w:t>
      </w:r>
    </w:p>
    <w:p w14:paraId="5A34276F" w14:textId="77777777" w:rsidR="00525649" w:rsidRPr="000E564D" w:rsidRDefault="00B04106">
      <w:pPr>
        <w:spacing w:before="120" w:after="120"/>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w:t>
      </w:r>
      <w:r w:rsidRPr="000E564D">
        <w:rPr>
          <w:rFonts w:ascii="Palatino Linotype" w:eastAsia="Palatino Linotype" w:hAnsi="Palatino Linotype" w:cs="Palatino Linotype"/>
          <w:b/>
          <w:i/>
          <w:sz w:val="22"/>
          <w:szCs w:val="22"/>
        </w:rPr>
        <w:t>Quincuagésimo primero.</w:t>
      </w:r>
      <w:r w:rsidRPr="000E564D">
        <w:rPr>
          <w:rFonts w:ascii="Palatino Linotype" w:eastAsia="Palatino Linotype" w:hAnsi="Palatino Linotype" w:cs="Palatino Linotype"/>
          <w:i/>
          <w:sz w:val="22"/>
          <w:szCs w:val="22"/>
        </w:rPr>
        <w:t xml:space="preserve"> Toda acta del Comité de Transparencia deberá contener:</w:t>
      </w:r>
    </w:p>
    <w:p w14:paraId="1DD9C690" w14:textId="77777777" w:rsidR="00525649" w:rsidRPr="000E564D" w:rsidRDefault="00B04106">
      <w:pPr>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w:t>
      </w:r>
      <w:r w:rsidRPr="000E564D">
        <w:rPr>
          <w:rFonts w:ascii="Palatino Linotype" w:eastAsia="Palatino Linotype" w:hAnsi="Palatino Linotype" w:cs="Palatino Linotype"/>
          <w:i/>
          <w:sz w:val="22"/>
          <w:szCs w:val="22"/>
        </w:rPr>
        <w:t xml:space="preserve"> El número de sesión y fecha;</w:t>
      </w:r>
    </w:p>
    <w:p w14:paraId="46A331BE" w14:textId="77777777" w:rsidR="00525649" w:rsidRPr="000E564D" w:rsidRDefault="00B04106">
      <w:pPr>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lastRenderedPageBreak/>
        <w:t>II.</w:t>
      </w:r>
      <w:r w:rsidRPr="000E564D">
        <w:rPr>
          <w:rFonts w:ascii="Palatino Linotype" w:eastAsia="Palatino Linotype" w:hAnsi="Palatino Linotype" w:cs="Palatino Linotype"/>
          <w:i/>
          <w:sz w:val="22"/>
          <w:szCs w:val="22"/>
        </w:rPr>
        <w:t xml:space="preserve"> El nombre del área que solicitó la clasificación de información;</w:t>
      </w:r>
    </w:p>
    <w:p w14:paraId="7DB81F09" w14:textId="77777777" w:rsidR="00525649" w:rsidRPr="000E564D" w:rsidRDefault="00B04106">
      <w:pPr>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III.</w:t>
      </w:r>
      <w:r w:rsidRPr="000E564D">
        <w:rPr>
          <w:rFonts w:ascii="Palatino Linotype" w:eastAsia="Palatino Linotype" w:hAnsi="Palatino Linotype" w:cs="Palatino Linotype"/>
          <w:i/>
          <w:sz w:val="22"/>
          <w:szCs w:val="22"/>
        </w:rPr>
        <w:t xml:space="preserve"> La fundamentación legal y motivación correspondiente;</w:t>
      </w:r>
    </w:p>
    <w:p w14:paraId="1B8B9462" w14:textId="77777777" w:rsidR="00525649" w:rsidRPr="000E564D" w:rsidRDefault="00B04106">
      <w:pPr>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IV</w:t>
      </w:r>
      <w:r w:rsidRPr="000E564D">
        <w:rPr>
          <w:rFonts w:ascii="Palatino Linotype" w:eastAsia="Palatino Linotype" w:hAnsi="Palatino Linotype" w:cs="Palatino Linotype"/>
          <w:i/>
          <w:sz w:val="22"/>
          <w:szCs w:val="22"/>
        </w:rPr>
        <w:t xml:space="preserve">. La resolución o resoluciones aprobadas; y </w:t>
      </w:r>
    </w:p>
    <w:p w14:paraId="54C82DAC" w14:textId="77777777" w:rsidR="00525649" w:rsidRPr="000E564D" w:rsidRDefault="00B04106">
      <w:pPr>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V.</w:t>
      </w:r>
      <w:r w:rsidRPr="000E564D">
        <w:rPr>
          <w:rFonts w:ascii="Palatino Linotype" w:eastAsia="Palatino Linotype" w:hAnsi="Palatino Linotype" w:cs="Palatino Linotype"/>
          <w:i/>
          <w:sz w:val="22"/>
          <w:szCs w:val="22"/>
        </w:rPr>
        <w:t xml:space="preserve"> La rúbrica o firma digital de cada integrante del Comité de Transparencia.</w:t>
      </w:r>
    </w:p>
    <w:p w14:paraId="1E8CF08F" w14:textId="77777777" w:rsidR="00525649" w:rsidRPr="000E564D" w:rsidRDefault="00B04106">
      <w:pPr>
        <w:spacing w:before="120" w:after="120"/>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Las resoluciones del Comité en las que se haya determinado confirmar o modificar la clasificación de información pública como reservada, deberán incluir, cuando menos:</w:t>
      </w:r>
    </w:p>
    <w:p w14:paraId="1FF565F5" w14:textId="77777777" w:rsidR="00525649" w:rsidRPr="000E564D" w:rsidRDefault="00B04106">
      <w:pPr>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w:t>
      </w:r>
      <w:r w:rsidRPr="000E564D">
        <w:rPr>
          <w:rFonts w:ascii="Palatino Linotype" w:eastAsia="Palatino Linotype" w:hAnsi="Palatino Linotype" w:cs="Palatino Linotype"/>
          <w:i/>
          <w:sz w:val="22"/>
          <w:szCs w:val="22"/>
        </w:rPr>
        <w:t xml:space="preserve"> Los motivos y razonamientos que sustenten la confirmación o modificación de la prueba de daño;</w:t>
      </w:r>
    </w:p>
    <w:p w14:paraId="245530D6" w14:textId="77777777" w:rsidR="00525649" w:rsidRPr="000E564D" w:rsidRDefault="00B04106">
      <w:pPr>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II</w:t>
      </w:r>
      <w:r w:rsidRPr="000E564D">
        <w:rPr>
          <w:rFonts w:ascii="Palatino Linotype" w:eastAsia="Palatino Linotype" w:hAnsi="Palatino Linotype" w:cs="Palatino Linotype"/>
          <w:i/>
          <w:sz w:val="22"/>
          <w:szCs w:val="22"/>
        </w:rPr>
        <w:t xml:space="preserve">. Descripción de las partes o secciones reservadas, en caso de clasificación parcial; </w:t>
      </w:r>
    </w:p>
    <w:p w14:paraId="733F4A7F" w14:textId="77777777" w:rsidR="00525649" w:rsidRPr="000E564D" w:rsidRDefault="00B04106">
      <w:pPr>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III</w:t>
      </w:r>
      <w:r w:rsidRPr="000E564D">
        <w:rPr>
          <w:rFonts w:ascii="Palatino Linotype" w:eastAsia="Palatino Linotype" w:hAnsi="Palatino Linotype" w:cs="Palatino Linotype"/>
          <w:i/>
          <w:sz w:val="22"/>
          <w:szCs w:val="22"/>
        </w:rPr>
        <w:t>. El periodo por el que mantendrá su clasificación y fecha de expiración; y</w:t>
      </w:r>
    </w:p>
    <w:p w14:paraId="5E19D249" w14:textId="77777777" w:rsidR="00525649" w:rsidRPr="000E564D" w:rsidRDefault="00B04106">
      <w:pPr>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IV</w:t>
      </w:r>
      <w:r w:rsidRPr="000E564D">
        <w:rPr>
          <w:rFonts w:ascii="Palatino Linotype" w:eastAsia="Palatino Linotype" w:hAnsi="Palatino Linotype" w:cs="Palatino Linotype"/>
          <w:i/>
          <w:sz w:val="22"/>
          <w:szCs w:val="22"/>
        </w:rPr>
        <w:t>. El nombre del titular y área encargada de realizar la versión pública del documento, en su caso.</w:t>
      </w:r>
    </w:p>
    <w:p w14:paraId="1FA526F1" w14:textId="77777777" w:rsidR="00525649" w:rsidRPr="000E564D" w:rsidRDefault="00B04106">
      <w:pPr>
        <w:spacing w:before="120" w:after="120"/>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En los casos en que se clasifique la información como reservada siempre se entregará o anexará la prueba de daño con la respuesta al solicitante.</w:t>
      </w:r>
    </w:p>
    <w:p w14:paraId="1DD3BF06" w14:textId="77777777" w:rsidR="00525649" w:rsidRPr="000E564D" w:rsidRDefault="00B04106">
      <w:pPr>
        <w:spacing w:before="120" w:after="120"/>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 xml:space="preserve">En los casos de resoluciones del Comité de Transparencia en las que se confirme la clasificación de información confidencial solo se deberán de identificar los tipos de datos protegidos, de conformidad con el lineamiento trigésimo octavo.” </w:t>
      </w:r>
    </w:p>
    <w:p w14:paraId="5F5409FE"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Para un mejor entendimiento, la afirmación anterior se sustenta en el siguiente cuadro: </w:t>
      </w:r>
    </w:p>
    <w:tbl>
      <w:tblPr>
        <w:tblStyle w:val="afa"/>
        <w:tblW w:w="8835"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5245"/>
        <w:gridCol w:w="1752"/>
      </w:tblGrid>
      <w:tr w:rsidR="00B611A6" w:rsidRPr="000E564D" w14:paraId="0362EB8A" w14:textId="77777777">
        <w:tc>
          <w:tcPr>
            <w:tcW w:w="1838"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61033AF" w14:textId="77777777" w:rsidR="00525649" w:rsidRPr="000E564D" w:rsidRDefault="00B04106">
            <w:pPr>
              <w:jc w:val="center"/>
              <w:rPr>
                <w:rFonts w:ascii="Palatino Linotype" w:eastAsia="Palatino Linotype" w:hAnsi="Palatino Linotype" w:cs="Palatino Linotype"/>
                <w:b/>
                <w:sz w:val="20"/>
                <w:szCs w:val="20"/>
              </w:rPr>
            </w:pPr>
            <w:r w:rsidRPr="000E564D">
              <w:rPr>
                <w:rFonts w:ascii="Palatino Linotype" w:eastAsia="Palatino Linotype" w:hAnsi="Palatino Linotype" w:cs="Palatino Linotype"/>
                <w:b/>
                <w:sz w:val="20"/>
                <w:szCs w:val="20"/>
              </w:rPr>
              <w:t>REQUISITOS</w:t>
            </w:r>
          </w:p>
        </w:tc>
        <w:tc>
          <w:tcPr>
            <w:tcW w:w="524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69B9552" w14:textId="77777777" w:rsidR="00525649" w:rsidRPr="000E564D" w:rsidRDefault="00B04106">
            <w:pPr>
              <w:jc w:val="center"/>
              <w:rPr>
                <w:rFonts w:ascii="Palatino Linotype" w:eastAsia="Palatino Linotype" w:hAnsi="Palatino Linotype" w:cs="Palatino Linotype"/>
                <w:b/>
                <w:sz w:val="20"/>
                <w:szCs w:val="20"/>
              </w:rPr>
            </w:pPr>
            <w:r w:rsidRPr="000E564D">
              <w:rPr>
                <w:rFonts w:ascii="Palatino Linotype" w:eastAsia="Palatino Linotype" w:hAnsi="Palatino Linotype" w:cs="Palatino Linotype"/>
                <w:b/>
                <w:sz w:val="20"/>
                <w:szCs w:val="20"/>
              </w:rPr>
              <w:t>ACUERDO</w:t>
            </w:r>
          </w:p>
        </w:tc>
        <w:tc>
          <w:tcPr>
            <w:tcW w:w="1752"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9BC2EF9" w14:textId="77777777" w:rsidR="00525649" w:rsidRPr="000E564D" w:rsidRDefault="00B04106">
            <w:pPr>
              <w:jc w:val="center"/>
              <w:rPr>
                <w:rFonts w:ascii="Palatino Linotype" w:eastAsia="Palatino Linotype" w:hAnsi="Palatino Linotype" w:cs="Palatino Linotype"/>
                <w:b/>
                <w:sz w:val="20"/>
                <w:szCs w:val="20"/>
              </w:rPr>
            </w:pPr>
            <w:r w:rsidRPr="000E564D">
              <w:rPr>
                <w:rFonts w:ascii="Palatino Linotype" w:eastAsia="Palatino Linotype" w:hAnsi="Palatino Linotype" w:cs="Palatino Linotype"/>
                <w:b/>
                <w:sz w:val="20"/>
                <w:szCs w:val="20"/>
              </w:rPr>
              <w:t>¿CUMPLE?</w:t>
            </w:r>
          </w:p>
        </w:tc>
      </w:tr>
      <w:tr w:rsidR="00B611A6" w:rsidRPr="000E564D" w14:paraId="5E0A323E" w14:textId="77777777">
        <w:trPr>
          <w:trHeight w:val="1794"/>
        </w:trPr>
        <w:tc>
          <w:tcPr>
            <w:tcW w:w="1838" w:type="dxa"/>
            <w:tcBorders>
              <w:top w:val="single" w:sz="4" w:space="0" w:color="000000"/>
              <w:left w:val="single" w:sz="4" w:space="0" w:color="000000"/>
              <w:bottom w:val="single" w:sz="4" w:space="0" w:color="000000"/>
              <w:right w:val="single" w:sz="4" w:space="0" w:color="000000"/>
            </w:tcBorders>
            <w:vAlign w:val="center"/>
          </w:tcPr>
          <w:p w14:paraId="04F2C1E3" w14:textId="77777777" w:rsidR="00525649" w:rsidRPr="000E564D" w:rsidRDefault="00B04106">
            <w:pPr>
              <w:widowControl w:val="0"/>
              <w:jc w:val="center"/>
              <w:rPr>
                <w:rFonts w:ascii="Palatino Linotype" w:eastAsia="Palatino Linotype" w:hAnsi="Palatino Linotype" w:cs="Palatino Linotype"/>
                <w:b/>
                <w:sz w:val="20"/>
                <w:szCs w:val="20"/>
              </w:rPr>
            </w:pPr>
            <w:r w:rsidRPr="000E564D">
              <w:rPr>
                <w:rFonts w:ascii="Palatino Linotype" w:eastAsia="Palatino Linotype" w:hAnsi="Palatino Linotype" w:cs="Palatino Linotype"/>
                <w:b/>
                <w:sz w:val="20"/>
                <w:szCs w:val="20"/>
              </w:rPr>
              <w:t>Numero de Sesión y fecha.</w:t>
            </w:r>
          </w:p>
        </w:tc>
        <w:tc>
          <w:tcPr>
            <w:tcW w:w="5245" w:type="dxa"/>
            <w:tcBorders>
              <w:top w:val="single" w:sz="4" w:space="0" w:color="000000"/>
              <w:left w:val="single" w:sz="4" w:space="0" w:color="000000"/>
              <w:bottom w:val="single" w:sz="4" w:space="0" w:color="000000"/>
              <w:right w:val="single" w:sz="4" w:space="0" w:color="000000"/>
            </w:tcBorders>
            <w:vAlign w:val="center"/>
          </w:tcPr>
          <w:p w14:paraId="7004D024" w14:textId="77777777" w:rsidR="00525649" w:rsidRPr="000E564D" w:rsidRDefault="00B04106">
            <w:pPr>
              <w:spacing w:before="240" w:after="240" w:line="360" w:lineRule="auto"/>
              <w:jc w:val="center"/>
              <w:rPr>
                <w:rFonts w:ascii="Palatino Linotype" w:eastAsia="Palatino Linotype" w:hAnsi="Palatino Linotype" w:cs="Palatino Linotype"/>
              </w:rPr>
            </w:pPr>
            <w:r w:rsidRPr="000E564D">
              <w:object w:dxaOrig="5025" w:dyaOrig="1230" w14:anchorId="52710C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1.5pt;height:61pt" o:ole="">
                  <v:imagedata r:id="rId8" o:title=""/>
                </v:shape>
                <o:OLEObject Type="Embed" ProgID="PBrush" ShapeID="_x0000_i1025" DrawAspect="Content" ObjectID="_1752656860" r:id="rId9"/>
              </w:object>
            </w:r>
          </w:p>
        </w:tc>
        <w:tc>
          <w:tcPr>
            <w:tcW w:w="1752" w:type="dxa"/>
            <w:tcBorders>
              <w:top w:val="single" w:sz="4" w:space="0" w:color="000000"/>
              <w:left w:val="single" w:sz="4" w:space="0" w:color="000000"/>
              <w:bottom w:val="single" w:sz="4" w:space="0" w:color="000000"/>
              <w:right w:val="single" w:sz="4" w:space="0" w:color="000000"/>
            </w:tcBorders>
            <w:vAlign w:val="center"/>
          </w:tcPr>
          <w:p w14:paraId="03B1FB81" w14:textId="77777777" w:rsidR="00525649" w:rsidRPr="000E564D" w:rsidRDefault="00B04106">
            <w:pPr>
              <w:spacing w:before="240" w:after="240" w:line="360" w:lineRule="auto"/>
              <w:jc w:val="center"/>
              <w:rPr>
                <w:rFonts w:ascii="Palatino Linotype" w:eastAsia="Palatino Linotype" w:hAnsi="Palatino Linotype" w:cs="Palatino Linotype"/>
                <w:b/>
                <w:sz w:val="20"/>
                <w:szCs w:val="20"/>
              </w:rPr>
            </w:pPr>
            <w:r w:rsidRPr="000E564D">
              <w:rPr>
                <w:rFonts w:ascii="Palatino Linotype" w:eastAsia="Palatino Linotype" w:hAnsi="Palatino Linotype" w:cs="Palatino Linotype"/>
                <w:b/>
                <w:sz w:val="20"/>
                <w:szCs w:val="20"/>
              </w:rPr>
              <w:t>SI</w:t>
            </w:r>
          </w:p>
        </w:tc>
      </w:tr>
      <w:tr w:rsidR="00B611A6" w:rsidRPr="000E564D" w14:paraId="7E9648A1" w14:textId="77777777">
        <w:tc>
          <w:tcPr>
            <w:tcW w:w="1838" w:type="dxa"/>
            <w:tcBorders>
              <w:top w:val="single" w:sz="4" w:space="0" w:color="000000"/>
              <w:left w:val="single" w:sz="4" w:space="0" w:color="000000"/>
              <w:bottom w:val="single" w:sz="4" w:space="0" w:color="000000"/>
              <w:right w:val="single" w:sz="4" w:space="0" w:color="000000"/>
            </w:tcBorders>
            <w:vAlign w:val="center"/>
          </w:tcPr>
          <w:p w14:paraId="48365F12" w14:textId="77777777" w:rsidR="00525649" w:rsidRPr="000E564D" w:rsidRDefault="00B04106">
            <w:pPr>
              <w:widowControl w:val="0"/>
              <w:jc w:val="center"/>
              <w:rPr>
                <w:rFonts w:ascii="Palatino Linotype" w:eastAsia="Palatino Linotype" w:hAnsi="Palatino Linotype" w:cs="Palatino Linotype"/>
                <w:b/>
                <w:sz w:val="20"/>
                <w:szCs w:val="20"/>
              </w:rPr>
            </w:pPr>
            <w:r w:rsidRPr="000E564D">
              <w:rPr>
                <w:rFonts w:ascii="Palatino Linotype" w:eastAsia="Palatino Linotype" w:hAnsi="Palatino Linotype" w:cs="Palatino Linotype"/>
                <w:b/>
                <w:sz w:val="20"/>
                <w:szCs w:val="20"/>
              </w:rPr>
              <w:lastRenderedPageBreak/>
              <w:t>Nombre del área que solicitó la clasificación de la información, e información solicitada</w:t>
            </w:r>
          </w:p>
        </w:tc>
        <w:tc>
          <w:tcPr>
            <w:tcW w:w="5245" w:type="dxa"/>
            <w:tcBorders>
              <w:top w:val="single" w:sz="4" w:space="0" w:color="000000"/>
              <w:left w:val="single" w:sz="4" w:space="0" w:color="000000"/>
              <w:bottom w:val="single" w:sz="4" w:space="0" w:color="000000"/>
              <w:right w:val="single" w:sz="4" w:space="0" w:color="000000"/>
            </w:tcBorders>
            <w:vAlign w:val="center"/>
          </w:tcPr>
          <w:p w14:paraId="68EA1A9D" w14:textId="77777777" w:rsidR="00525649" w:rsidRPr="000E564D" w:rsidRDefault="00B04106">
            <w:pPr>
              <w:spacing w:before="240" w:after="240" w:line="360" w:lineRule="auto"/>
              <w:jc w:val="center"/>
              <w:rPr>
                <w:rFonts w:ascii="Palatino Linotype" w:eastAsia="Palatino Linotype" w:hAnsi="Palatino Linotype" w:cs="Palatino Linotype"/>
              </w:rPr>
            </w:pPr>
            <w:r w:rsidRPr="000E564D">
              <w:object w:dxaOrig="5025" w:dyaOrig="2955" w14:anchorId="55EF903F">
                <v:shape id="_x0000_i1026" type="#_x0000_t75" style="width:251.5pt;height:147.5pt" o:ole="">
                  <v:imagedata r:id="rId10" o:title=""/>
                </v:shape>
                <o:OLEObject Type="Embed" ProgID="PBrush" ShapeID="_x0000_i1026" DrawAspect="Content" ObjectID="_1752656861" r:id="rId11"/>
              </w:object>
            </w:r>
          </w:p>
        </w:tc>
        <w:tc>
          <w:tcPr>
            <w:tcW w:w="1752" w:type="dxa"/>
            <w:tcBorders>
              <w:top w:val="single" w:sz="4" w:space="0" w:color="000000"/>
              <w:left w:val="single" w:sz="4" w:space="0" w:color="000000"/>
              <w:bottom w:val="single" w:sz="4" w:space="0" w:color="000000"/>
              <w:right w:val="single" w:sz="4" w:space="0" w:color="000000"/>
            </w:tcBorders>
            <w:vAlign w:val="center"/>
          </w:tcPr>
          <w:p w14:paraId="780BFA82" w14:textId="77777777" w:rsidR="00525649" w:rsidRPr="000E564D" w:rsidRDefault="00B04106">
            <w:pPr>
              <w:spacing w:before="240" w:after="240" w:line="360" w:lineRule="auto"/>
              <w:jc w:val="center"/>
              <w:rPr>
                <w:rFonts w:ascii="Palatino Linotype" w:eastAsia="Palatino Linotype" w:hAnsi="Palatino Linotype" w:cs="Palatino Linotype"/>
                <w:b/>
                <w:sz w:val="20"/>
                <w:szCs w:val="20"/>
              </w:rPr>
            </w:pPr>
            <w:r w:rsidRPr="000E564D">
              <w:rPr>
                <w:rFonts w:ascii="Palatino Linotype" w:eastAsia="Palatino Linotype" w:hAnsi="Palatino Linotype" w:cs="Palatino Linotype"/>
                <w:b/>
                <w:sz w:val="20"/>
                <w:szCs w:val="20"/>
              </w:rPr>
              <w:t>SI</w:t>
            </w:r>
          </w:p>
        </w:tc>
      </w:tr>
      <w:tr w:rsidR="00B611A6" w:rsidRPr="000E564D" w14:paraId="4812207E" w14:textId="77777777">
        <w:tc>
          <w:tcPr>
            <w:tcW w:w="1838" w:type="dxa"/>
            <w:tcBorders>
              <w:top w:val="single" w:sz="4" w:space="0" w:color="000000"/>
              <w:left w:val="single" w:sz="4" w:space="0" w:color="000000"/>
              <w:bottom w:val="single" w:sz="4" w:space="0" w:color="000000"/>
              <w:right w:val="single" w:sz="4" w:space="0" w:color="000000"/>
            </w:tcBorders>
            <w:vAlign w:val="center"/>
          </w:tcPr>
          <w:p w14:paraId="666D4EFC" w14:textId="77777777" w:rsidR="00525649" w:rsidRPr="000E564D" w:rsidRDefault="00B04106">
            <w:pPr>
              <w:widowControl w:val="0"/>
              <w:jc w:val="center"/>
              <w:rPr>
                <w:rFonts w:ascii="Palatino Linotype" w:eastAsia="Palatino Linotype" w:hAnsi="Palatino Linotype" w:cs="Palatino Linotype"/>
                <w:sz w:val="20"/>
                <w:szCs w:val="20"/>
              </w:rPr>
            </w:pPr>
            <w:r w:rsidRPr="000E564D">
              <w:rPr>
                <w:rFonts w:ascii="Palatino Linotype" w:eastAsia="Palatino Linotype" w:hAnsi="Palatino Linotype" w:cs="Palatino Linotype"/>
                <w:b/>
                <w:sz w:val="20"/>
                <w:szCs w:val="20"/>
              </w:rPr>
              <w:t>Fundamento de la clasificación</w:t>
            </w:r>
            <w:r w:rsidRPr="000E564D">
              <w:rPr>
                <w:rFonts w:ascii="Palatino Linotype" w:eastAsia="Palatino Linotype" w:hAnsi="Palatino Linotype" w:cs="Palatino Linotype"/>
                <w:sz w:val="20"/>
                <w:szCs w:val="20"/>
              </w:rPr>
              <w:t>.</w:t>
            </w:r>
          </w:p>
          <w:p w14:paraId="0A7BF530" w14:textId="77777777" w:rsidR="00525649" w:rsidRPr="000E564D" w:rsidRDefault="00B04106">
            <w:pPr>
              <w:widowControl w:val="0"/>
              <w:jc w:val="center"/>
              <w:rPr>
                <w:rFonts w:ascii="Palatino Linotype" w:eastAsia="Palatino Linotype" w:hAnsi="Palatino Linotype" w:cs="Palatino Linotype"/>
                <w:sz w:val="20"/>
                <w:szCs w:val="20"/>
              </w:rPr>
            </w:pPr>
            <w:r w:rsidRPr="000E564D">
              <w:rPr>
                <w:rFonts w:ascii="Palatino Linotype" w:eastAsia="Palatino Linotype" w:hAnsi="Palatino Linotype" w:cs="Palatino Linotype"/>
                <w:sz w:val="20"/>
                <w:szCs w:val="20"/>
              </w:rPr>
              <w:t xml:space="preserve">De conformidad con el párrafo primero del Lineamiento octavo de los Lineamientos de Clasificación y Desclasificación de la Información. </w:t>
            </w:r>
          </w:p>
        </w:tc>
        <w:tc>
          <w:tcPr>
            <w:tcW w:w="5245" w:type="dxa"/>
            <w:tcBorders>
              <w:top w:val="single" w:sz="4" w:space="0" w:color="000000"/>
              <w:left w:val="single" w:sz="4" w:space="0" w:color="000000"/>
              <w:bottom w:val="single" w:sz="4" w:space="0" w:color="000000"/>
              <w:right w:val="single" w:sz="4" w:space="0" w:color="000000"/>
            </w:tcBorders>
            <w:vAlign w:val="center"/>
          </w:tcPr>
          <w:p w14:paraId="5079EB88" w14:textId="77777777" w:rsidR="00525649" w:rsidRPr="000E564D" w:rsidRDefault="00B04106">
            <w:pPr>
              <w:spacing w:before="240" w:after="240" w:line="360" w:lineRule="auto"/>
              <w:jc w:val="center"/>
            </w:pPr>
            <w:r w:rsidRPr="000E564D">
              <w:object w:dxaOrig="5025" w:dyaOrig="1590" w14:anchorId="627DA60A">
                <v:shape id="_x0000_i1027" type="#_x0000_t75" style="width:251.5pt;height:79.5pt" o:ole="">
                  <v:imagedata r:id="rId12" o:title="" cropbottom="42685f"/>
                </v:shape>
                <o:OLEObject Type="Embed" ProgID="PBrush" ShapeID="_x0000_i1027" DrawAspect="Content" ObjectID="_1752656862" r:id="rId13"/>
              </w:object>
            </w:r>
          </w:p>
          <w:p w14:paraId="704DA9FA" w14:textId="77777777" w:rsidR="00525649" w:rsidRPr="000E564D" w:rsidRDefault="00B04106">
            <w:pPr>
              <w:spacing w:before="240" w:after="240" w:line="360" w:lineRule="auto"/>
              <w:jc w:val="center"/>
            </w:pPr>
            <w:r w:rsidRPr="000E564D">
              <w:object w:dxaOrig="5025" w:dyaOrig="2970" w14:anchorId="0957AFB8">
                <v:shape id="_x0000_i1028" type="#_x0000_t75" style="width:251.5pt;height:148pt" o:ole="">
                  <v:imagedata r:id="rId12" o:title="" croptop="22851f"/>
                </v:shape>
                <o:OLEObject Type="Embed" ProgID="PBrush" ShapeID="_x0000_i1028" DrawAspect="Content" ObjectID="_1752656863" r:id="rId14"/>
              </w:object>
            </w:r>
            <w:r w:rsidRPr="000E564D">
              <w:object w:dxaOrig="5025" w:dyaOrig="450" w14:anchorId="03FCD068">
                <v:shape id="_x0000_i1029" type="#_x0000_t75" style="width:251.5pt;height:22.5pt" o:ole="">
                  <v:imagedata r:id="rId15" o:title=""/>
                </v:shape>
                <o:OLEObject Type="Embed" ProgID="PBrush" ShapeID="_x0000_i1029" DrawAspect="Content" ObjectID="_1752656864" r:id="rId16"/>
              </w:object>
            </w:r>
            <w:r w:rsidRPr="000E564D">
              <w:object w:dxaOrig="5025" w:dyaOrig="3585" w14:anchorId="14D3DFDB">
                <v:shape id="_x0000_i1030" type="#_x0000_t75" style="width:251.5pt;height:179pt" o:ole="">
                  <v:imagedata r:id="rId17" o:title=""/>
                </v:shape>
                <o:OLEObject Type="Embed" ProgID="PBrush" ShapeID="_x0000_i1030" DrawAspect="Content" ObjectID="_1752656865" r:id="rId18"/>
              </w:object>
            </w:r>
          </w:p>
          <w:p w14:paraId="6E7ED966" w14:textId="77777777" w:rsidR="00525649" w:rsidRPr="000E564D" w:rsidRDefault="00B04106">
            <w:pPr>
              <w:spacing w:before="240" w:after="240" w:line="360" w:lineRule="auto"/>
              <w:jc w:val="center"/>
            </w:pPr>
            <w:r w:rsidRPr="000E564D">
              <w:object w:dxaOrig="5025" w:dyaOrig="2700" w14:anchorId="1F3F7F45">
                <v:shape id="_x0000_i1031" type="#_x0000_t75" style="width:251.5pt;height:135pt" o:ole="">
                  <v:imagedata r:id="rId19" o:title="" cropbottom="27759f"/>
                </v:shape>
                <o:OLEObject Type="Embed" ProgID="PBrush" ShapeID="_x0000_i1031" DrawAspect="Content" ObjectID="_1752656866" r:id="rId20"/>
              </w:object>
            </w:r>
          </w:p>
        </w:tc>
        <w:tc>
          <w:tcPr>
            <w:tcW w:w="1752" w:type="dxa"/>
            <w:tcBorders>
              <w:top w:val="single" w:sz="4" w:space="0" w:color="000000"/>
              <w:left w:val="single" w:sz="4" w:space="0" w:color="000000"/>
              <w:bottom w:val="single" w:sz="4" w:space="0" w:color="000000"/>
              <w:right w:val="single" w:sz="4" w:space="0" w:color="000000"/>
            </w:tcBorders>
            <w:vAlign w:val="center"/>
          </w:tcPr>
          <w:p w14:paraId="13670862" w14:textId="77777777" w:rsidR="00525649" w:rsidRPr="000E564D" w:rsidRDefault="00B04106">
            <w:pPr>
              <w:spacing w:before="120" w:after="120"/>
              <w:jc w:val="center"/>
              <w:rPr>
                <w:rFonts w:ascii="Palatino Linotype" w:eastAsia="Palatino Linotype" w:hAnsi="Palatino Linotype" w:cs="Palatino Linotype"/>
                <w:b/>
                <w:sz w:val="12"/>
                <w:szCs w:val="12"/>
              </w:rPr>
            </w:pPr>
            <w:r w:rsidRPr="000E564D">
              <w:rPr>
                <w:rFonts w:ascii="Palatino Linotype" w:eastAsia="Palatino Linotype" w:hAnsi="Palatino Linotype" w:cs="Palatino Linotype"/>
                <w:b/>
                <w:sz w:val="12"/>
                <w:szCs w:val="12"/>
              </w:rPr>
              <w:lastRenderedPageBreak/>
              <w:t>PARCIALMENTE</w:t>
            </w:r>
          </w:p>
          <w:p w14:paraId="72B9417C" w14:textId="77777777" w:rsidR="00525649" w:rsidRPr="000E564D" w:rsidRDefault="00B04106">
            <w:pPr>
              <w:spacing w:before="120" w:after="120"/>
              <w:jc w:val="both"/>
              <w:rPr>
                <w:rFonts w:ascii="Palatino Linotype" w:eastAsia="Palatino Linotype" w:hAnsi="Palatino Linotype" w:cs="Palatino Linotype"/>
                <w:b/>
                <w:sz w:val="20"/>
                <w:szCs w:val="20"/>
              </w:rPr>
            </w:pPr>
            <w:r w:rsidRPr="000E564D">
              <w:rPr>
                <w:rFonts w:ascii="Palatino Linotype" w:eastAsia="Palatino Linotype" w:hAnsi="Palatino Linotype" w:cs="Palatino Linotype"/>
                <w:sz w:val="14"/>
                <w:szCs w:val="14"/>
              </w:rPr>
              <w:t xml:space="preserve">En virtud de que si bien señala el artículo, fracción, inciso, párrafo o numeral de diversas Leyes, con excepción de los artículos 113, fracción V, de la Ley de Transparencia General, y  140, fracción IV de la Ley de Transparencia Local, los demás fundamentos citados no le otorgan expresamente el carácter de reserva a la información solicitada, ya que no se requirió </w:t>
            </w:r>
            <w:r w:rsidRPr="000E564D">
              <w:rPr>
                <w:rFonts w:ascii="Palatino Linotype" w:eastAsia="Palatino Linotype" w:hAnsi="Palatino Linotype" w:cs="Palatino Linotype"/>
                <w:b/>
                <w:sz w:val="14"/>
                <w:szCs w:val="14"/>
              </w:rPr>
              <w:t>información contenida en las Bases de Datos del Sistema Nacional  de Información,</w:t>
            </w:r>
            <w:r w:rsidRPr="000E564D">
              <w:rPr>
                <w:rFonts w:ascii="Palatino Linotype" w:eastAsia="Palatino Linotype" w:hAnsi="Palatino Linotype" w:cs="Palatino Linotype"/>
                <w:sz w:val="14"/>
                <w:szCs w:val="14"/>
              </w:rPr>
              <w:t xml:space="preserve"> en Registros nacionales, el Sistema Estatal, ni aquella relacionada con datos personales obtenidos por las autoridades de Seguridad Pública</w:t>
            </w:r>
            <w:r w:rsidRPr="000E564D">
              <w:rPr>
                <w:rFonts w:ascii="Palatino Linotype" w:eastAsia="Palatino Linotype" w:hAnsi="Palatino Linotype" w:cs="Palatino Linotype"/>
                <w:sz w:val="16"/>
                <w:szCs w:val="16"/>
              </w:rPr>
              <w:t>.</w:t>
            </w:r>
          </w:p>
        </w:tc>
      </w:tr>
      <w:tr w:rsidR="00B611A6" w:rsidRPr="000E564D" w14:paraId="0549215D" w14:textId="77777777">
        <w:tc>
          <w:tcPr>
            <w:tcW w:w="1838" w:type="dxa"/>
            <w:tcBorders>
              <w:top w:val="single" w:sz="4" w:space="0" w:color="000000"/>
              <w:left w:val="single" w:sz="4" w:space="0" w:color="000000"/>
              <w:bottom w:val="single" w:sz="4" w:space="0" w:color="000000"/>
              <w:right w:val="single" w:sz="4" w:space="0" w:color="000000"/>
            </w:tcBorders>
            <w:vAlign w:val="center"/>
          </w:tcPr>
          <w:p w14:paraId="7A7551B8" w14:textId="77777777" w:rsidR="00525649" w:rsidRPr="000E564D" w:rsidRDefault="00B04106">
            <w:pPr>
              <w:widowControl w:val="0"/>
              <w:jc w:val="center"/>
              <w:rPr>
                <w:rFonts w:ascii="Palatino Linotype" w:eastAsia="Palatino Linotype" w:hAnsi="Palatino Linotype" w:cs="Palatino Linotype"/>
                <w:sz w:val="20"/>
                <w:szCs w:val="20"/>
              </w:rPr>
            </w:pPr>
            <w:r w:rsidRPr="000E564D">
              <w:rPr>
                <w:rFonts w:ascii="Palatino Linotype" w:eastAsia="Palatino Linotype" w:hAnsi="Palatino Linotype" w:cs="Palatino Linotype"/>
                <w:b/>
                <w:sz w:val="20"/>
                <w:szCs w:val="20"/>
              </w:rPr>
              <w:lastRenderedPageBreak/>
              <w:t>Motivación de la clasificación</w:t>
            </w:r>
            <w:r w:rsidRPr="000E564D">
              <w:rPr>
                <w:rFonts w:ascii="Palatino Linotype" w:eastAsia="Palatino Linotype" w:hAnsi="Palatino Linotype" w:cs="Palatino Linotype"/>
                <w:sz w:val="20"/>
                <w:szCs w:val="20"/>
              </w:rPr>
              <w:t>.</w:t>
            </w:r>
          </w:p>
          <w:p w14:paraId="01CCF8C8" w14:textId="77777777" w:rsidR="00525649" w:rsidRPr="000E564D" w:rsidRDefault="00B04106">
            <w:pPr>
              <w:widowControl w:val="0"/>
              <w:jc w:val="center"/>
              <w:rPr>
                <w:rFonts w:ascii="Palatino Linotype" w:eastAsia="Palatino Linotype" w:hAnsi="Palatino Linotype" w:cs="Palatino Linotype"/>
                <w:sz w:val="20"/>
                <w:szCs w:val="20"/>
              </w:rPr>
            </w:pPr>
            <w:r w:rsidRPr="000E564D">
              <w:rPr>
                <w:rFonts w:ascii="Palatino Linotype" w:eastAsia="Palatino Linotype" w:hAnsi="Palatino Linotype" w:cs="Palatino Linotype"/>
                <w:sz w:val="20"/>
                <w:szCs w:val="20"/>
              </w:rPr>
              <w:t>De conformidad con el párrafo segundo del Lineamiento octavo de los Lineamientos de Clasificación y Desclasificación de la Información.</w:t>
            </w:r>
          </w:p>
        </w:tc>
        <w:tc>
          <w:tcPr>
            <w:tcW w:w="5245" w:type="dxa"/>
            <w:tcBorders>
              <w:top w:val="single" w:sz="4" w:space="0" w:color="000000"/>
              <w:left w:val="single" w:sz="4" w:space="0" w:color="000000"/>
              <w:bottom w:val="single" w:sz="4" w:space="0" w:color="000000"/>
              <w:right w:val="single" w:sz="4" w:space="0" w:color="000000"/>
            </w:tcBorders>
            <w:vAlign w:val="center"/>
          </w:tcPr>
          <w:p w14:paraId="2F70CABA" w14:textId="77777777" w:rsidR="00525649" w:rsidRPr="000E564D" w:rsidRDefault="00B04106">
            <w:pPr>
              <w:spacing w:before="240" w:after="240" w:line="360" w:lineRule="auto"/>
              <w:jc w:val="center"/>
              <w:rPr>
                <w:rFonts w:ascii="Palatino Linotype" w:eastAsia="Palatino Linotype" w:hAnsi="Palatino Linotype" w:cs="Palatino Linotype"/>
              </w:rPr>
            </w:pPr>
            <w:r w:rsidRPr="000E564D">
              <w:object w:dxaOrig="5025" w:dyaOrig="1725" w14:anchorId="62024212">
                <v:shape id="_x0000_i1032" type="#_x0000_t75" style="width:251.5pt;height:86.5pt" o:ole="">
                  <v:imagedata r:id="rId21" o:title=""/>
                </v:shape>
                <o:OLEObject Type="Embed" ProgID="PBrush" ShapeID="_x0000_i1032" DrawAspect="Content" ObjectID="_1752656867" r:id="rId22"/>
              </w:object>
            </w:r>
          </w:p>
        </w:tc>
        <w:tc>
          <w:tcPr>
            <w:tcW w:w="1752" w:type="dxa"/>
            <w:tcBorders>
              <w:top w:val="single" w:sz="4" w:space="0" w:color="000000"/>
              <w:left w:val="single" w:sz="4" w:space="0" w:color="000000"/>
              <w:bottom w:val="single" w:sz="4" w:space="0" w:color="000000"/>
              <w:right w:val="single" w:sz="4" w:space="0" w:color="000000"/>
            </w:tcBorders>
            <w:vAlign w:val="center"/>
          </w:tcPr>
          <w:p w14:paraId="151E12A6" w14:textId="77777777" w:rsidR="00525649" w:rsidRPr="000E564D" w:rsidRDefault="00B04106">
            <w:pPr>
              <w:spacing w:before="240" w:after="240" w:line="360" w:lineRule="auto"/>
              <w:jc w:val="center"/>
              <w:rPr>
                <w:rFonts w:ascii="Palatino Linotype" w:eastAsia="Palatino Linotype" w:hAnsi="Palatino Linotype" w:cs="Palatino Linotype"/>
                <w:b/>
                <w:sz w:val="12"/>
                <w:szCs w:val="12"/>
              </w:rPr>
            </w:pPr>
            <w:r w:rsidRPr="000E564D">
              <w:rPr>
                <w:rFonts w:ascii="Palatino Linotype" w:eastAsia="Palatino Linotype" w:hAnsi="Palatino Linotype" w:cs="Palatino Linotype"/>
                <w:b/>
                <w:sz w:val="12"/>
                <w:szCs w:val="12"/>
              </w:rPr>
              <w:t>PARCIALMENTE</w:t>
            </w:r>
          </w:p>
          <w:p w14:paraId="3DBE22F3" w14:textId="77777777" w:rsidR="00525649" w:rsidRPr="000E564D" w:rsidRDefault="00B04106">
            <w:pPr>
              <w:spacing w:before="240" w:after="240"/>
              <w:jc w:val="both"/>
              <w:rPr>
                <w:rFonts w:ascii="Palatino Linotype" w:eastAsia="Palatino Linotype" w:hAnsi="Palatino Linotype" w:cs="Palatino Linotype"/>
                <w:sz w:val="14"/>
                <w:szCs w:val="14"/>
              </w:rPr>
            </w:pPr>
            <w:r w:rsidRPr="000E564D">
              <w:rPr>
                <w:rFonts w:ascii="Palatino Linotype" w:eastAsia="Palatino Linotype" w:hAnsi="Palatino Linotype" w:cs="Palatino Linotype"/>
                <w:sz w:val="14"/>
                <w:szCs w:val="14"/>
              </w:rPr>
              <w:t xml:space="preserve">En virtud de que </w:t>
            </w:r>
            <w:r w:rsidRPr="000E564D">
              <w:rPr>
                <w:rFonts w:ascii="Palatino Linotype" w:eastAsia="Palatino Linotype" w:hAnsi="Palatino Linotype" w:cs="Palatino Linotype"/>
                <w:b/>
                <w:sz w:val="14"/>
                <w:szCs w:val="14"/>
              </w:rPr>
              <w:t>no señaló las razones o circunstancias especiales que lo llevaron a concluir que el caso particular se ajusta al supuesto</w:t>
            </w:r>
            <w:r w:rsidRPr="000E564D">
              <w:rPr>
                <w:rFonts w:ascii="Palatino Linotype" w:eastAsia="Palatino Linotype" w:hAnsi="Palatino Linotype" w:cs="Palatino Linotype"/>
                <w:sz w:val="14"/>
                <w:szCs w:val="14"/>
              </w:rPr>
              <w:t xml:space="preserve"> </w:t>
            </w:r>
            <w:r w:rsidRPr="000E564D">
              <w:rPr>
                <w:rFonts w:ascii="Palatino Linotype" w:eastAsia="Palatino Linotype" w:hAnsi="Palatino Linotype" w:cs="Palatino Linotype"/>
                <w:b/>
                <w:sz w:val="14"/>
                <w:szCs w:val="14"/>
              </w:rPr>
              <w:t>previsto por la norma</w:t>
            </w:r>
            <w:r w:rsidRPr="000E564D">
              <w:rPr>
                <w:rFonts w:ascii="Palatino Linotype" w:eastAsia="Palatino Linotype" w:hAnsi="Palatino Linotype" w:cs="Palatino Linotype"/>
                <w:sz w:val="14"/>
                <w:szCs w:val="14"/>
              </w:rPr>
              <w:t xml:space="preserve"> </w:t>
            </w:r>
            <w:r w:rsidRPr="000E564D">
              <w:rPr>
                <w:rFonts w:ascii="Palatino Linotype" w:eastAsia="Palatino Linotype" w:hAnsi="Palatino Linotype" w:cs="Palatino Linotype"/>
                <w:b/>
                <w:sz w:val="14"/>
                <w:szCs w:val="14"/>
              </w:rPr>
              <w:t xml:space="preserve">legal </w:t>
            </w:r>
            <w:r w:rsidRPr="000E564D">
              <w:rPr>
                <w:rFonts w:ascii="Palatino Linotype" w:eastAsia="Palatino Linotype" w:hAnsi="Palatino Linotype" w:cs="Palatino Linotype"/>
                <w:b/>
                <w:sz w:val="14"/>
                <w:szCs w:val="14"/>
                <w:u w:val="single"/>
              </w:rPr>
              <w:t>invocada como fundamento</w:t>
            </w:r>
            <w:r w:rsidRPr="000E564D">
              <w:rPr>
                <w:rFonts w:ascii="Palatino Linotype" w:eastAsia="Palatino Linotype" w:hAnsi="Palatino Linotype" w:cs="Palatino Linotype"/>
                <w:sz w:val="14"/>
                <w:szCs w:val="14"/>
              </w:rPr>
              <w:t>.</w:t>
            </w:r>
          </w:p>
          <w:p w14:paraId="424FAA68" w14:textId="77777777" w:rsidR="00525649" w:rsidRPr="000E564D" w:rsidRDefault="00B04106">
            <w:pPr>
              <w:spacing w:before="240" w:after="240"/>
              <w:jc w:val="both"/>
              <w:rPr>
                <w:rFonts w:ascii="Palatino Linotype" w:eastAsia="Palatino Linotype" w:hAnsi="Palatino Linotype" w:cs="Palatino Linotype"/>
                <w:b/>
                <w:sz w:val="20"/>
                <w:szCs w:val="20"/>
              </w:rPr>
            </w:pPr>
            <w:r w:rsidRPr="000E564D">
              <w:rPr>
                <w:rFonts w:ascii="Palatino Linotype" w:eastAsia="Palatino Linotype" w:hAnsi="Palatino Linotype" w:cs="Palatino Linotype"/>
                <w:sz w:val="14"/>
                <w:szCs w:val="14"/>
              </w:rPr>
              <w:t>Ya que como se señaló en el apartado anterior, no todo el fundamento legal invocado se relaciona con la materia de la solicitud, y aquel que se adecua, no es aplicable a todos los servidores públicos adscritos a la Dirección de Seguridad Pública y Protección.</w:t>
            </w:r>
          </w:p>
        </w:tc>
      </w:tr>
      <w:tr w:rsidR="00B611A6" w:rsidRPr="000E564D" w14:paraId="3CF2F282" w14:textId="77777777">
        <w:tc>
          <w:tcPr>
            <w:tcW w:w="1838" w:type="dxa"/>
            <w:tcBorders>
              <w:top w:val="single" w:sz="4" w:space="0" w:color="000000"/>
              <w:left w:val="single" w:sz="4" w:space="0" w:color="000000"/>
              <w:bottom w:val="single" w:sz="4" w:space="0" w:color="000000"/>
              <w:right w:val="single" w:sz="4" w:space="0" w:color="000000"/>
            </w:tcBorders>
            <w:vAlign w:val="center"/>
          </w:tcPr>
          <w:p w14:paraId="6191AE7F" w14:textId="77777777" w:rsidR="00525649" w:rsidRPr="000E564D" w:rsidRDefault="00B04106">
            <w:pPr>
              <w:widowControl w:val="0"/>
              <w:jc w:val="center"/>
              <w:rPr>
                <w:rFonts w:ascii="Palatino Linotype" w:eastAsia="Palatino Linotype" w:hAnsi="Palatino Linotype" w:cs="Palatino Linotype"/>
                <w:b/>
                <w:sz w:val="20"/>
                <w:szCs w:val="20"/>
              </w:rPr>
            </w:pPr>
            <w:r w:rsidRPr="000E564D">
              <w:rPr>
                <w:rFonts w:ascii="Palatino Linotype" w:eastAsia="Palatino Linotype" w:hAnsi="Palatino Linotype" w:cs="Palatino Linotype"/>
                <w:b/>
                <w:sz w:val="20"/>
                <w:szCs w:val="20"/>
              </w:rPr>
              <w:t>Resolución o resoluciones aprobadas</w:t>
            </w:r>
          </w:p>
        </w:tc>
        <w:tc>
          <w:tcPr>
            <w:tcW w:w="5245" w:type="dxa"/>
            <w:tcBorders>
              <w:top w:val="single" w:sz="4" w:space="0" w:color="000000"/>
              <w:left w:val="single" w:sz="4" w:space="0" w:color="000000"/>
              <w:bottom w:val="single" w:sz="4" w:space="0" w:color="000000"/>
              <w:right w:val="single" w:sz="4" w:space="0" w:color="000000"/>
            </w:tcBorders>
            <w:vAlign w:val="center"/>
          </w:tcPr>
          <w:p w14:paraId="2CE02371" w14:textId="77777777" w:rsidR="00525649" w:rsidRPr="000E564D" w:rsidRDefault="00B04106">
            <w:pPr>
              <w:spacing w:before="240" w:after="240" w:line="360" w:lineRule="auto"/>
              <w:jc w:val="center"/>
            </w:pPr>
            <w:r w:rsidRPr="000E564D">
              <w:object w:dxaOrig="5025" w:dyaOrig="2400" w14:anchorId="0BAD9BBC">
                <v:shape id="_x0000_i1033" type="#_x0000_t75" style="width:251.5pt;height:120pt" o:ole="">
                  <v:imagedata r:id="rId23" o:title=""/>
                </v:shape>
                <o:OLEObject Type="Embed" ProgID="PBrush" ShapeID="_x0000_i1033" DrawAspect="Content" ObjectID="_1752656868" r:id="rId24"/>
              </w:object>
            </w:r>
            <w:r w:rsidRPr="000E564D">
              <w:object w:dxaOrig="4995" w:dyaOrig="855" w14:anchorId="1E3C440E">
                <v:shape id="_x0000_i1034" type="#_x0000_t75" style="width:249.5pt;height:42.5pt" o:ole="">
                  <v:imagedata r:id="rId25" o:title="" croptop="1595f"/>
                </v:shape>
                <o:OLEObject Type="Embed" ProgID="PBrush" ShapeID="_x0000_i1034" DrawAspect="Content" ObjectID="_1752656869" r:id="rId26"/>
              </w:object>
            </w:r>
          </w:p>
        </w:tc>
        <w:tc>
          <w:tcPr>
            <w:tcW w:w="1752" w:type="dxa"/>
            <w:tcBorders>
              <w:top w:val="single" w:sz="4" w:space="0" w:color="000000"/>
              <w:left w:val="single" w:sz="4" w:space="0" w:color="000000"/>
              <w:bottom w:val="single" w:sz="4" w:space="0" w:color="000000"/>
              <w:right w:val="single" w:sz="4" w:space="0" w:color="000000"/>
            </w:tcBorders>
            <w:vAlign w:val="center"/>
          </w:tcPr>
          <w:p w14:paraId="2DBC6FB5" w14:textId="77777777" w:rsidR="00525649" w:rsidRPr="000E564D" w:rsidRDefault="00B04106">
            <w:pPr>
              <w:spacing w:before="240" w:after="240" w:line="360" w:lineRule="auto"/>
              <w:jc w:val="center"/>
              <w:rPr>
                <w:rFonts w:ascii="Palatino Linotype" w:eastAsia="Palatino Linotype" w:hAnsi="Palatino Linotype" w:cs="Palatino Linotype"/>
                <w:b/>
                <w:sz w:val="12"/>
                <w:szCs w:val="12"/>
              </w:rPr>
            </w:pPr>
            <w:r w:rsidRPr="000E564D">
              <w:rPr>
                <w:rFonts w:ascii="Palatino Linotype" w:eastAsia="Palatino Linotype" w:hAnsi="Palatino Linotype" w:cs="Palatino Linotype"/>
                <w:b/>
                <w:sz w:val="12"/>
                <w:szCs w:val="12"/>
              </w:rPr>
              <w:t>PARCIALMENTE</w:t>
            </w:r>
          </w:p>
          <w:p w14:paraId="31163B70" w14:textId="77777777" w:rsidR="00525649" w:rsidRPr="000E564D" w:rsidRDefault="00B04106">
            <w:pPr>
              <w:spacing w:before="240" w:after="240"/>
              <w:jc w:val="both"/>
              <w:rPr>
                <w:rFonts w:ascii="Palatino Linotype" w:eastAsia="Palatino Linotype" w:hAnsi="Palatino Linotype" w:cs="Palatino Linotype"/>
                <w:sz w:val="12"/>
                <w:szCs w:val="12"/>
              </w:rPr>
            </w:pPr>
            <w:r w:rsidRPr="000E564D">
              <w:rPr>
                <w:rFonts w:ascii="Palatino Linotype" w:eastAsia="Palatino Linotype" w:hAnsi="Palatino Linotype" w:cs="Palatino Linotype"/>
                <w:sz w:val="16"/>
                <w:szCs w:val="16"/>
              </w:rPr>
              <w:t>Al haberse clasificado de manera general la información solicitada, de la Dirección de Seguridad Pública y Protección.</w:t>
            </w:r>
          </w:p>
        </w:tc>
      </w:tr>
      <w:tr w:rsidR="00B611A6" w:rsidRPr="000E564D" w14:paraId="3ACE5EC6" w14:textId="77777777">
        <w:tc>
          <w:tcPr>
            <w:tcW w:w="1838" w:type="dxa"/>
            <w:tcBorders>
              <w:top w:val="single" w:sz="4" w:space="0" w:color="000000"/>
              <w:left w:val="single" w:sz="4" w:space="0" w:color="000000"/>
              <w:bottom w:val="single" w:sz="4" w:space="0" w:color="000000"/>
              <w:right w:val="single" w:sz="4" w:space="0" w:color="000000"/>
            </w:tcBorders>
            <w:vAlign w:val="center"/>
          </w:tcPr>
          <w:p w14:paraId="4F4E2F41" w14:textId="77777777" w:rsidR="00525649" w:rsidRPr="000E564D" w:rsidRDefault="00B04106">
            <w:pPr>
              <w:widowControl w:val="0"/>
              <w:jc w:val="center"/>
              <w:rPr>
                <w:rFonts w:ascii="Palatino Linotype" w:eastAsia="Palatino Linotype" w:hAnsi="Palatino Linotype" w:cs="Palatino Linotype"/>
                <w:b/>
                <w:sz w:val="20"/>
                <w:szCs w:val="20"/>
              </w:rPr>
            </w:pPr>
            <w:r w:rsidRPr="000E564D">
              <w:rPr>
                <w:rFonts w:ascii="Palatino Linotype" w:eastAsia="Palatino Linotype" w:hAnsi="Palatino Linotype" w:cs="Palatino Linotype"/>
                <w:b/>
                <w:sz w:val="20"/>
                <w:szCs w:val="20"/>
              </w:rPr>
              <w:t>Nombre y firma de los integrantes del Comité</w:t>
            </w:r>
          </w:p>
        </w:tc>
        <w:tc>
          <w:tcPr>
            <w:tcW w:w="5245" w:type="dxa"/>
            <w:tcBorders>
              <w:top w:val="single" w:sz="4" w:space="0" w:color="000000"/>
              <w:left w:val="single" w:sz="4" w:space="0" w:color="000000"/>
              <w:bottom w:val="single" w:sz="4" w:space="0" w:color="000000"/>
              <w:right w:val="single" w:sz="4" w:space="0" w:color="000000"/>
            </w:tcBorders>
            <w:vAlign w:val="center"/>
          </w:tcPr>
          <w:p w14:paraId="0577BC24" w14:textId="77777777" w:rsidR="00525649" w:rsidRPr="000E564D" w:rsidRDefault="00525649">
            <w:pPr>
              <w:widowControl w:val="0"/>
              <w:pBdr>
                <w:top w:val="nil"/>
                <w:left w:val="nil"/>
                <w:bottom w:val="nil"/>
                <w:right w:val="nil"/>
                <w:between w:val="nil"/>
              </w:pBdr>
              <w:spacing w:line="276" w:lineRule="auto"/>
              <w:rPr>
                <w:rFonts w:ascii="Palatino Linotype" w:eastAsia="Palatino Linotype" w:hAnsi="Palatino Linotype" w:cs="Palatino Linotype"/>
                <w:b/>
                <w:sz w:val="20"/>
                <w:szCs w:val="20"/>
              </w:rPr>
            </w:pPr>
          </w:p>
          <w:tbl>
            <w:tblPr>
              <w:tblStyle w:val="afb"/>
              <w:tblW w:w="5019"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1673"/>
              <w:gridCol w:w="1673"/>
              <w:gridCol w:w="1673"/>
            </w:tblGrid>
            <w:tr w:rsidR="00B611A6" w:rsidRPr="000E564D" w14:paraId="4161AE7C" w14:textId="77777777">
              <w:trPr>
                <w:jc w:val="center"/>
              </w:trPr>
              <w:tc>
                <w:tcPr>
                  <w:tcW w:w="1673" w:type="dxa"/>
                </w:tcPr>
                <w:p w14:paraId="5D79574A" w14:textId="77777777" w:rsidR="00525649" w:rsidRPr="000E564D" w:rsidRDefault="00B04106">
                  <w:pPr>
                    <w:spacing w:before="240" w:after="240" w:line="360" w:lineRule="auto"/>
                    <w:jc w:val="center"/>
                  </w:pPr>
                  <w:r w:rsidRPr="000E564D">
                    <w:object w:dxaOrig="915" w:dyaOrig="450" w14:anchorId="090B8EE0">
                      <v:shape id="_x0000_i1035" type="#_x0000_t75" style="width:46pt;height:22.5pt" o:ole="">
                        <v:imagedata r:id="rId27" o:title=""/>
                      </v:shape>
                      <o:OLEObject Type="Embed" ProgID="PBrush" ShapeID="_x0000_i1035" DrawAspect="Content" ObjectID="_1752656870" r:id="rId28"/>
                    </w:object>
                  </w:r>
                </w:p>
              </w:tc>
              <w:tc>
                <w:tcPr>
                  <w:tcW w:w="1673" w:type="dxa"/>
                </w:tcPr>
                <w:p w14:paraId="1316A427" w14:textId="77777777" w:rsidR="00525649" w:rsidRPr="000E564D" w:rsidRDefault="00B04106">
                  <w:pPr>
                    <w:spacing w:before="240" w:after="240" w:line="360" w:lineRule="auto"/>
                    <w:jc w:val="center"/>
                  </w:pPr>
                  <w:r w:rsidRPr="000E564D">
                    <w:object w:dxaOrig="900" w:dyaOrig="330" w14:anchorId="1B74ED49">
                      <v:shape id="_x0000_i1036" type="#_x0000_t75" style="width:45pt;height:16.5pt" o:ole="">
                        <v:imagedata r:id="rId29" o:title=""/>
                      </v:shape>
                      <o:OLEObject Type="Embed" ProgID="PBrush" ShapeID="_x0000_i1036" DrawAspect="Content" ObjectID="_1752656871" r:id="rId30"/>
                    </w:object>
                  </w:r>
                </w:p>
              </w:tc>
              <w:tc>
                <w:tcPr>
                  <w:tcW w:w="1673" w:type="dxa"/>
                </w:tcPr>
                <w:p w14:paraId="66A41FB7" w14:textId="77777777" w:rsidR="00525649" w:rsidRPr="000E564D" w:rsidRDefault="00B04106">
                  <w:pPr>
                    <w:spacing w:before="240" w:after="240" w:line="360" w:lineRule="auto"/>
                    <w:jc w:val="center"/>
                  </w:pPr>
                  <w:r w:rsidRPr="000E564D">
                    <w:object w:dxaOrig="960" w:dyaOrig="420" w14:anchorId="6FBFCF0D">
                      <v:shape id="_x0000_i1037" type="#_x0000_t75" style="width:47.5pt;height:21pt" o:ole="">
                        <v:imagedata r:id="rId31" o:title=""/>
                      </v:shape>
                      <o:OLEObject Type="Embed" ProgID="PBrush" ShapeID="_x0000_i1037" DrawAspect="Content" ObjectID="_1752656872" r:id="rId32"/>
                    </w:object>
                  </w:r>
                </w:p>
              </w:tc>
            </w:tr>
          </w:tbl>
          <w:p w14:paraId="5B6FA050" w14:textId="77777777" w:rsidR="00525649" w:rsidRPr="000E564D" w:rsidRDefault="00525649">
            <w:pPr>
              <w:spacing w:before="240" w:after="240" w:line="360" w:lineRule="auto"/>
            </w:pPr>
          </w:p>
        </w:tc>
        <w:tc>
          <w:tcPr>
            <w:tcW w:w="1752" w:type="dxa"/>
            <w:tcBorders>
              <w:top w:val="single" w:sz="4" w:space="0" w:color="000000"/>
              <w:left w:val="single" w:sz="4" w:space="0" w:color="000000"/>
              <w:bottom w:val="single" w:sz="4" w:space="0" w:color="000000"/>
              <w:right w:val="single" w:sz="4" w:space="0" w:color="000000"/>
            </w:tcBorders>
            <w:vAlign w:val="center"/>
          </w:tcPr>
          <w:p w14:paraId="64661206" w14:textId="77777777" w:rsidR="00525649" w:rsidRPr="000E564D" w:rsidRDefault="00B04106">
            <w:pPr>
              <w:spacing w:before="240" w:after="240" w:line="360" w:lineRule="auto"/>
              <w:jc w:val="center"/>
              <w:rPr>
                <w:rFonts w:ascii="Palatino Linotype" w:eastAsia="Palatino Linotype" w:hAnsi="Palatino Linotype" w:cs="Palatino Linotype"/>
                <w:b/>
                <w:sz w:val="20"/>
                <w:szCs w:val="20"/>
              </w:rPr>
            </w:pPr>
            <w:r w:rsidRPr="000E564D">
              <w:rPr>
                <w:rFonts w:ascii="Palatino Linotype" w:eastAsia="Palatino Linotype" w:hAnsi="Palatino Linotype" w:cs="Palatino Linotype"/>
                <w:b/>
                <w:sz w:val="20"/>
                <w:szCs w:val="20"/>
              </w:rPr>
              <w:t>SI</w:t>
            </w:r>
          </w:p>
        </w:tc>
      </w:tr>
      <w:tr w:rsidR="00B611A6" w:rsidRPr="000E564D" w14:paraId="75BA5DDC" w14:textId="77777777">
        <w:tc>
          <w:tcPr>
            <w:tcW w:w="8835" w:type="dxa"/>
            <w:gridSpan w:val="3"/>
            <w:tcBorders>
              <w:top w:val="single" w:sz="4" w:space="0" w:color="000000"/>
              <w:left w:val="single" w:sz="4" w:space="0" w:color="000000"/>
              <w:bottom w:val="single" w:sz="4" w:space="0" w:color="000000"/>
              <w:right w:val="single" w:sz="4" w:space="0" w:color="000000"/>
            </w:tcBorders>
            <w:vAlign w:val="center"/>
          </w:tcPr>
          <w:p w14:paraId="1A16AFAB" w14:textId="77777777" w:rsidR="00525649" w:rsidRPr="000E564D" w:rsidRDefault="00B04106">
            <w:pPr>
              <w:widowControl w:val="0"/>
              <w:shd w:val="clear" w:color="auto" w:fill="BFBFBF"/>
              <w:spacing w:before="120" w:after="120"/>
              <w:jc w:val="center"/>
              <w:rPr>
                <w:rFonts w:ascii="Palatino Linotype" w:eastAsia="Palatino Linotype" w:hAnsi="Palatino Linotype" w:cs="Palatino Linotype"/>
                <w:b/>
                <w:sz w:val="20"/>
                <w:szCs w:val="20"/>
              </w:rPr>
            </w:pPr>
            <w:r w:rsidRPr="000E564D">
              <w:rPr>
                <w:rFonts w:ascii="Palatino Linotype" w:eastAsia="Palatino Linotype" w:hAnsi="Palatino Linotype" w:cs="Palatino Linotype"/>
                <w:b/>
                <w:sz w:val="20"/>
                <w:szCs w:val="20"/>
              </w:rPr>
              <w:t>Análisis de la prueba de daño.</w:t>
            </w:r>
          </w:p>
          <w:p w14:paraId="735DEF83" w14:textId="77777777" w:rsidR="00525649" w:rsidRPr="000E564D" w:rsidRDefault="00B04106">
            <w:pPr>
              <w:shd w:val="clear" w:color="auto" w:fill="BFBFBF"/>
              <w:spacing w:before="120" w:after="120"/>
              <w:jc w:val="center"/>
              <w:rPr>
                <w:rFonts w:ascii="Palatino Linotype" w:eastAsia="Palatino Linotype" w:hAnsi="Palatino Linotype" w:cs="Palatino Linotype"/>
                <w:b/>
                <w:sz w:val="12"/>
                <w:szCs w:val="12"/>
              </w:rPr>
            </w:pPr>
            <w:r w:rsidRPr="000E564D">
              <w:rPr>
                <w:rFonts w:ascii="Palatino Linotype" w:eastAsia="Palatino Linotype" w:hAnsi="Palatino Linotype" w:cs="Palatino Linotype"/>
                <w:sz w:val="20"/>
                <w:szCs w:val="20"/>
              </w:rPr>
              <w:t xml:space="preserve">De conformidad con el párrafo tercero del Lineamiento octavo, y el Lineamiento Trigésimo </w:t>
            </w:r>
            <w:proofErr w:type="gramStart"/>
            <w:r w:rsidRPr="000E564D">
              <w:rPr>
                <w:rFonts w:ascii="Palatino Linotype" w:eastAsia="Palatino Linotype" w:hAnsi="Palatino Linotype" w:cs="Palatino Linotype"/>
                <w:sz w:val="20"/>
                <w:szCs w:val="20"/>
              </w:rPr>
              <w:t>tercero  de</w:t>
            </w:r>
            <w:proofErr w:type="gramEnd"/>
            <w:r w:rsidRPr="000E564D">
              <w:rPr>
                <w:rFonts w:ascii="Palatino Linotype" w:eastAsia="Palatino Linotype" w:hAnsi="Palatino Linotype" w:cs="Palatino Linotype"/>
                <w:sz w:val="20"/>
                <w:szCs w:val="20"/>
              </w:rPr>
              <w:t xml:space="preserve"> los Lineamientos de Clasificación y Desclasificación de la Información.</w:t>
            </w:r>
          </w:p>
        </w:tc>
      </w:tr>
      <w:tr w:rsidR="00B611A6" w:rsidRPr="000E564D" w14:paraId="21863F09" w14:textId="77777777">
        <w:tc>
          <w:tcPr>
            <w:tcW w:w="1838" w:type="dxa"/>
            <w:tcBorders>
              <w:top w:val="single" w:sz="4" w:space="0" w:color="000000"/>
              <w:left w:val="single" w:sz="4" w:space="0" w:color="000000"/>
              <w:bottom w:val="single" w:sz="4" w:space="0" w:color="000000"/>
              <w:right w:val="single" w:sz="4" w:space="0" w:color="000000"/>
            </w:tcBorders>
            <w:vAlign w:val="center"/>
          </w:tcPr>
          <w:p w14:paraId="09AFC912" w14:textId="77777777" w:rsidR="00525649" w:rsidRPr="000E564D" w:rsidRDefault="00B04106">
            <w:pPr>
              <w:widowControl w:val="0"/>
              <w:jc w:val="center"/>
              <w:rPr>
                <w:rFonts w:ascii="Palatino Linotype" w:eastAsia="Palatino Linotype" w:hAnsi="Palatino Linotype" w:cs="Palatino Linotype"/>
                <w:b/>
                <w:sz w:val="20"/>
                <w:szCs w:val="20"/>
              </w:rPr>
            </w:pPr>
            <w:r w:rsidRPr="000E564D">
              <w:rPr>
                <w:rFonts w:ascii="Palatino Linotype" w:eastAsia="Palatino Linotype" w:hAnsi="Palatino Linotype" w:cs="Palatino Linotype"/>
                <w:b/>
                <w:sz w:val="20"/>
                <w:szCs w:val="20"/>
              </w:rPr>
              <w:lastRenderedPageBreak/>
              <w:t xml:space="preserve">I. </w:t>
            </w:r>
            <w:r w:rsidRPr="000E564D">
              <w:rPr>
                <w:rFonts w:ascii="Palatino Linotype" w:eastAsia="Palatino Linotype" w:hAnsi="Palatino Linotype" w:cs="Palatino Linotype"/>
                <w:sz w:val="20"/>
                <w:szCs w:val="20"/>
              </w:rPr>
              <w:t>Fundamento de conformidad con el artículo 113 de la Ley General, y 140 de la Ley Local, vinculado con el Lineamiento específico los Lineamientos de Clasificación y Desclasificación de la Información</w:t>
            </w:r>
            <w:r w:rsidRPr="000E564D">
              <w:rPr>
                <w:rFonts w:ascii="Palatino Linotype" w:eastAsia="Palatino Linotype" w:hAnsi="Palatino Linotype" w:cs="Palatino Linotype"/>
                <w:b/>
                <w:sz w:val="20"/>
                <w:szCs w:val="20"/>
              </w:rPr>
              <w:t>;</w:t>
            </w:r>
          </w:p>
        </w:tc>
        <w:tc>
          <w:tcPr>
            <w:tcW w:w="5245" w:type="dxa"/>
            <w:tcBorders>
              <w:top w:val="single" w:sz="4" w:space="0" w:color="000000"/>
              <w:left w:val="single" w:sz="4" w:space="0" w:color="000000"/>
              <w:bottom w:val="single" w:sz="4" w:space="0" w:color="000000"/>
              <w:right w:val="single" w:sz="4" w:space="0" w:color="000000"/>
            </w:tcBorders>
          </w:tcPr>
          <w:p w14:paraId="37C16CAA" w14:textId="77777777" w:rsidR="00525649" w:rsidRPr="000E564D" w:rsidRDefault="00B04106">
            <w:pPr>
              <w:spacing w:before="240" w:after="240" w:line="360" w:lineRule="auto"/>
              <w:jc w:val="both"/>
            </w:pPr>
            <w:r w:rsidRPr="000E564D">
              <w:object w:dxaOrig="5025" w:dyaOrig="1590" w14:anchorId="2C771524">
                <v:shape id="_x0000_i1038" type="#_x0000_t75" style="width:251.5pt;height:79.5pt" o:ole="">
                  <v:imagedata r:id="rId12" o:title="" cropbottom="42685f"/>
                </v:shape>
                <o:OLEObject Type="Embed" ProgID="PBrush" ShapeID="_x0000_i1038" DrawAspect="Content" ObjectID="_1752656873" r:id="rId33"/>
              </w:object>
            </w:r>
          </w:p>
          <w:p w14:paraId="12728748" w14:textId="77777777" w:rsidR="00525649" w:rsidRPr="000E564D" w:rsidRDefault="00B04106">
            <w:pPr>
              <w:spacing w:before="240" w:after="240" w:line="360" w:lineRule="auto"/>
              <w:jc w:val="both"/>
            </w:pPr>
            <w:r w:rsidRPr="000E564D">
              <w:object w:dxaOrig="5025" w:dyaOrig="405" w14:anchorId="6F72E3D0">
                <v:shape id="_x0000_i1039" type="#_x0000_t75" style="width:251.5pt;height:20pt" o:ole="">
                  <v:imagedata r:id="rId12" o:title="" croptop="22851f" cropbottom="36861f"/>
                </v:shape>
                <o:OLEObject Type="Embed" ProgID="PBrush" ShapeID="_x0000_i1039" DrawAspect="Content" ObjectID="_1752656874" r:id="rId34"/>
              </w:object>
            </w:r>
          </w:p>
          <w:p w14:paraId="4EBCA09C" w14:textId="77777777" w:rsidR="00525649" w:rsidRPr="000E564D" w:rsidRDefault="00B04106">
            <w:pPr>
              <w:spacing w:before="240" w:after="240" w:line="360" w:lineRule="auto"/>
              <w:jc w:val="both"/>
            </w:pPr>
            <w:r w:rsidRPr="000E564D">
              <w:object w:dxaOrig="5025" w:dyaOrig="1290" w14:anchorId="259A8552">
                <v:shape id="_x0000_i1040" type="#_x0000_t75" style="width:251.5pt;height:64.5pt" o:ole="">
                  <v:imagedata r:id="rId12" o:title="" croptop="46925f"/>
                </v:shape>
                <o:OLEObject Type="Embed" ProgID="PBrush" ShapeID="_x0000_i1040" DrawAspect="Content" ObjectID="_1752656875" r:id="rId35"/>
              </w:object>
            </w:r>
          </w:p>
        </w:tc>
        <w:tc>
          <w:tcPr>
            <w:tcW w:w="1752" w:type="dxa"/>
            <w:tcBorders>
              <w:top w:val="single" w:sz="4" w:space="0" w:color="000000"/>
              <w:left w:val="single" w:sz="4" w:space="0" w:color="000000"/>
              <w:bottom w:val="single" w:sz="4" w:space="0" w:color="000000"/>
              <w:right w:val="single" w:sz="4" w:space="0" w:color="000000"/>
            </w:tcBorders>
            <w:vAlign w:val="center"/>
          </w:tcPr>
          <w:p w14:paraId="356A5724" w14:textId="77777777" w:rsidR="00525649" w:rsidRPr="000E564D" w:rsidRDefault="00B04106">
            <w:pPr>
              <w:spacing w:before="240" w:after="240"/>
              <w:jc w:val="center"/>
              <w:rPr>
                <w:rFonts w:ascii="Palatino Linotype" w:eastAsia="Palatino Linotype" w:hAnsi="Palatino Linotype" w:cs="Palatino Linotype"/>
                <w:b/>
                <w:sz w:val="12"/>
                <w:szCs w:val="12"/>
              </w:rPr>
            </w:pPr>
            <w:r w:rsidRPr="000E564D">
              <w:rPr>
                <w:rFonts w:ascii="Palatino Linotype" w:eastAsia="Palatino Linotype" w:hAnsi="Palatino Linotype" w:cs="Palatino Linotype"/>
                <w:sz w:val="18"/>
                <w:szCs w:val="18"/>
              </w:rPr>
              <w:t xml:space="preserve"> </w:t>
            </w:r>
            <w:r w:rsidRPr="000E564D">
              <w:rPr>
                <w:rFonts w:ascii="Palatino Linotype" w:eastAsia="Palatino Linotype" w:hAnsi="Palatino Linotype" w:cs="Palatino Linotype"/>
                <w:b/>
                <w:sz w:val="12"/>
                <w:szCs w:val="12"/>
              </w:rPr>
              <w:t>PARCIALMENTE</w:t>
            </w:r>
          </w:p>
          <w:p w14:paraId="4B9DCB15" w14:textId="77777777" w:rsidR="00525649" w:rsidRPr="000E564D" w:rsidRDefault="00B04106">
            <w:pPr>
              <w:spacing w:before="240" w:after="240"/>
              <w:jc w:val="both"/>
              <w:rPr>
                <w:rFonts w:ascii="Palatino Linotype" w:eastAsia="Palatino Linotype" w:hAnsi="Palatino Linotype" w:cs="Palatino Linotype"/>
                <w:sz w:val="16"/>
                <w:szCs w:val="16"/>
              </w:rPr>
            </w:pPr>
            <w:r w:rsidRPr="000E564D">
              <w:rPr>
                <w:rFonts w:ascii="Palatino Linotype" w:eastAsia="Palatino Linotype" w:hAnsi="Palatino Linotype" w:cs="Palatino Linotype"/>
                <w:sz w:val="16"/>
                <w:szCs w:val="16"/>
              </w:rPr>
              <w:t xml:space="preserve">Si bien se señaló como fundamento los artículos 113, fracción V de la Ley General y 140, fracción IV, de la Ley Local, </w:t>
            </w:r>
            <w:r w:rsidRPr="000E564D">
              <w:rPr>
                <w:rFonts w:ascii="Palatino Linotype" w:eastAsia="Palatino Linotype" w:hAnsi="Palatino Linotype" w:cs="Palatino Linotype"/>
                <w:b/>
                <w:sz w:val="16"/>
                <w:szCs w:val="16"/>
              </w:rPr>
              <w:t xml:space="preserve">no se vinculó con el lineamiento específico, </w:t>
            </w:r>
            <w:r w:rsidRPr="000E564D">
              <w:rPr>
                <w:rFonts w:ascii="Palatino Linotype" w:eastAsia="Palatino Linotype" w:hAnsi="Palatino Linotype" w:cs="Palatino Linotype"/>
                <w:sz w:val="16"/>
                <w:szCs w:val="16"/>
              </w:rPr>
              <w:t>de los Lineamientos de Clasificación y Desclasificación de la Información,</w:t>
            </w:r>
            <w:r w:rsidRPr="000E564D">
              <w:rPr>
                <w:rFonts w:ascii="Palatino Linotype" w:eastAsia="Palatino Linotype" w:hAnsi="Palatino Linotype" w:cs="Palatino Linotype"/>
                <w:b/>
                <w:sz w:val="16"/>
                <w:szCs w:val="16"/>
              </w:rPr>
              <w:t xml:space="preserve"> </w:t>
            </w:r>
            <w:r w:rsidRPr="000E564D">
              <w:rPr>
                <w:rFonts w:ascii="Palatino Linotype" w:eastAsia="Palatino Linotype" w:hAnsi="Palatino Linotype" w:cs="Palatino Linotype"/>
                <w:sz w:val="16"/>
                <w:szCs w:val="16"/>
              </w:rPr>
              <w:t>es decir, el Lineamiento Vigésimo tercero.</w:t>
            </w:r>
          </w:p>
          <w:p w14:paraId="7F84B7A5" w14:textId="77777777" w:rsidR="00525649" w:rsidRPr="000E564D" w:rsidRDefault="00525649">
            <w:pPr>
              <w:spacing w:before="240" w:after="240"/>
              <w:jc w:val="both"/>
              <w:rPr>
                <w:rFonts w:ascii="Palatino Linotype" w:eastAsia="Palatino Linotype" w:hAnsi="Palatino Linotype" w:cs="Palatino Linotype"/>
                <w:sz w:val="18"/>
                <w:szCs w:val="18"/>
              </w:rPr>
            </w:pPr>
          </w:p>
        </w:tc>
      </w:tr>
      <w:tr w:rsidR="00B611A6" w:rsidRPr="000E564D" w14:paraId="552E66BB" w14:textId="77777777">
        <w:trPr>
          <w:trHeight w:val="5133"/>
        </w:trPr>
        <w:tc>
          <w:tcPr>
            <w:tcW w:w="1838" w:type="dxa"/>
            <w:tcBorders>
              <w:top w:val="single" w:sz="4" w:space="0" w:color="000000"/>
              <w:left w:val="single" w:sz="4" w:space="0" w:color="000000"/>
              <w:bottom w:val="single" w:sz="4" w:space="0" w:color="000000"/>
              <w:right w:val="single" w:sz="4" w:space="0" w:color="000000"/>
            </w:tcBorders>
            <w:vAlign w:val="center"/>
          </w:tcPr>
          <w:p w14:paraId="362D0D1E" w14:textId="77777777" w:rsidR="00525649" w:rsidRPr="000E564D" w:rsidRDefault="00B04106">
            <w:pPr>
              <w:widowControl w:val="0"/>
              <w:jc w:val="center"/>
              <w:rPr>
                <w:rFonts w:ascii="Palatino Linotype" w:eastAsia="Palatino Linotype" w:hAnsi="Palatino Linotype" w:cs="Palatino Linotype"/>
                <w:b/>
                <w:sz w:val="20"/>
                <w:szCs w:val="20"/>
              </w:rPr>
            </w:pPr>
            <w:r w:rsidRPr="000E564D">
              <w:rPr>
                <w:rFonts w:ascii="Palatino Linotype" w:eastAsia="Palatino Linotype" w:hAnsi="Palatino Linotype" w:cs="Palatino Linotype"/>
                <w:b/>
                <w:sz w:val="20"/>
                <w:szCs w:val="20"/>
              </w:rPr>
              <w:t xml:space="preserve">II. </w:t>
            </w:r>
            <w:r w:rsidRPr="000E564D">
              <w:rPr>
                <w:rFonts w:ascii="Palatino Linotype" w:eastAsia="Palatino Linotype" w:hAnsi="Palatino Linotype" w:cs="Palatino Linotype"/>
                <w:sz w:val="20"/>
                <w:szCs w:val="20"/>
              </w:rPr>
              <w:t>Motivación, señalando las circunstancias de modo, tiempo y lugar.</w:t>
            </w:r>
          </w:p>
        </w:tc>
        <w:tc>
          <w:tcPr>
            <w:tcW w:w="5245" w:type="dxa"/>
            <w:tcBorders>
              <w:top w:val="single" w:sz="4" w:space="0" w:color="000000"/>
              <w:left w:val="single" w:sz="4" w:space="0" w:color="000000"/>
              <w:bottom w:val="single" w:sz="4" w:space="0" w:color="000000"/>
              <w:right w:val="single" w:sz="4" w:space="0" w:color="000000"/>
            </w:tcBorders>
            <w:vAlign w:val="center"/>
          </w:tcPr>
          <w:p w14:paraId="795D115C" w14:textId="77777777" w:rsidR="00525649" w:rsidRPr="000E564D" w:rsidRDefault="00B04106">
            <w:pPr>
              <w:spacing w:before="240" w:after="240" w:line="360" w:lineRule="auto"/>
              <w:jc w:val="center"/>
            </w:pPr>
            <w:r w:rsidRPr="000E564D">
              <w:object w:dxaOrig="5025" w:dyaOrig="1365" w14:anchorId="33F95DDA">
                <v:shape id="_x0000_i1041" type="#_x0000_t75" style="width:251.5pt;height:68.5pt" o:ole="">
                  <v:imagedata r:id="rId36" o:title="" cropbottom="45699f"/>
                </v:shape>
                <o:OLEObject Type="Embed" ProgID="PBrush" ShapeID="_x0000_i1041" DrawAspect="Content" ObjectID="_1752656876" r:id="rId37"/>
              </w:object>
            </w:r>
          </w:p>
          <w:p w14:paraId="026FF1FC" w14:textId="77777777" w:rsidR="00525649" w:rsidRPr="000E564D" w:rsidRDefault="00B04106">
            <w:pPr>
              <w:spacing w:before="240" w:after="240" w:line="360" w:lineRule="auto"/>
              <w:jc w:val="center"/>
            </w:pPr>
            <w:r w:rsidRPr="000E564D">
              <w:object w:dxaOrig="5025" w:dyaOrig="915" w14:anchorId="00923D7B">
                <v:shape id="_x0000_i1042" type="#_x0000_t75" style="width:251.5pt;height:46pt" o:ole="">
                  <v:imagedata r:id="rId36" o:title="" croptop="52262f"/>
                </v:shape>
                <o:OLEObject Type="Embed" ProgID="PBrush" ShapeID="_x0000_i1042" DrawAspect="Content" ObjectID="_1752656877" r:id="rId38"/>
              </w:object>
            </w:r>
          </w:p>
          <w:p w14:paraId="1BA2F1E4" w14:textId="77777777" w:rsidR="00525649" w:rsidRPr="000E564D" w:rsidRDefault="00B04106">
            <w:pPr>
              <w:spacing w:before="240" w:after="240" w:line="360" w:lineRule="auto"/>
              <w:jc w:val="center"/>
            </w:pPr>
            <w:r w:rsidRPr="000E564D">
              <w:object w:dxaOrig="5025" w:dyaOrig="2145" w14:anchorId="054D3D87">
                <v:shape id="_x0000_i1043" type="#_x0000_t75" style="width:251.5pt;height:107pt" o:ole="">
                  <v:imagedata r:id="rId39" o:title="" cropbottom="36019f"/>
                </v:shape>
                <o:OLEObject Type="Embed" ProgID="PBrush" ShapeID="_x0000_i1043" DrawAspect="Content" ObjectID="_1752656878" r:id="rId40"/>
              </w:object>
            </w:r>
          </w:p>
          <w:p w14:paraId="55268B26" w14:textId="77777777" w:rsidR="00525649" w:rsidRPr="000E564D" w:rsidRDefault="00B04106">
            <w:pPr>
              <w:spacing w:before="240" w:after="240" w:line="360" w:lineRule="auto"/>
              <w:jc w:val="center"/>
            </w:pPr>
            <w:r w:rsidRPr="000E564D">
              <w:object w:dxaOrig="5025" w:dyaOrig="435" w14:anchorId="7F3E0D1A">
                <v:shape id="_x0000_i1044" type="#_x0000_t75" style="width:251.5pt;height:22pt" o:ole="">
                  <v:imagedata r:id="rId39" o:title="" croptop="59655f"/>
                </v:shape>
                <o:OLEObject Type="Embed" ProgID="PBrush" ShapeID="_x0000_i1044" DrawAspect="Content" ObjectID="_1752656879" r:id="rId41"/>
              </w:object>
            </w:r>
          </w:p>
        </w:tc>
        <w:tc>
          <w:tcPr>
            <w:tcW w:w="1752" w:type="dxa"/>
            <w:tcBorders>
              <w:top w:val="single" w:sz="4" w:space="0" w:color="000000"/>
              <w:left w:val="single" w:sz="4" w:space="0" w:color="000000"/>
              <w:bottom w:val="single" w:sz="4" w:space="0" w:color="000000"/>
              <w:right w:val="single" w:sz="4" w:space="0" w:color="000000"/>
            </w:tcBorders>
            <w:vAlign w:val="center"/>
          </w:tcPr>
          <w:p w14:paraId="42B5210C" w14:textId="77777777" w:rsidR="00525649" w:rsidRPr="000E564D" w:rsidRDefault="00B04106">
            <w:pPr>
              <w:spacing w:before="240" w:after="240"/>
              <w:jc w:val="center"/>
              <w:rPr>
                <w:rFonts w:ascii="Palatino Linotype" w:eastAsia="Palatino Linotype" w:hAnsi="Palatino Linotype" w:cs="Palatino Linotype"/>
                <w:b/>
                <w:sz w:val="12"/>
                <w:szCs w:val="12"/>
              </w:rPr>
            </w:pPr>
            <w:r w:rsidRPr="000E564D">
              <w:rPr>
                <w:rFonts w:ascii="Palatino Linotype" w:eastAsia="Palatino Linotype" w:hAnsi="Palatino Linotype" w:cs="Palatino Linotype"/>
                <w:b/>
                <w:sz w:val="12"/>
                <w:szCs w:val="12"/>
              </w:rPr>
              <w:t>PARCIALMENTE</w:t>
            </w:r>
          </w:p>
          <w:p w14:paraId="39C1A6F2" w14:textId="77777777" w:rsidR="00525649" w:rsidRPr="000E564D" w:rsidRDefault="00B04106">
            <w:pPr>
              <w:spacing w:before="240" w:after="240"/>
              <w:jc w:val="both"/>
              <w:rPr>
                <w:rFonts w:ascii="Palatino Linotype" w:eastAsia="Palatino Linotype" w:hAnsi="Palatino Linotype" w:cs="Palatino Linotype"/>
                <w:sz w:val="18"/>
                <w:szCs w:val="18"/>
              </w:rPr>
            </w:pPr>
            <w:r w:rsidRPr="000E564D">
              <w:rPr>
                <w:rFonts w:ascii="Palatino Linotype" w:eastAsia="Palatino Linotype" w:hAnsi="Palatino Linotype" w:cs="Palatino Linotype"/>
                <w:sz w:val="16"/>
                <w:szCs w:val="16"/>
              </w:rPr>
              <w:t xml:space="preserve">No se acreditan las circunstancias de modo, tiempo y lugar, </w:t>
            </w:r>
            <w:proofErr w:type="gramStart"/>
            <w:r w:rsidRPr="000E564D">
              <w:rPr>
                <w:rFonts w:ascii="Palatino Linotype" w:eastAsia="Palatino Linotype" w:hAnsi="Palatino Linotype" w:cs="Palatino Linotype"/>
                <w:sz w:val="16"/>
                <w:szCs w:val="16"/>
              </w:rPr>
              <w:t>ni  el</w:t>
            </w:r>
            <w:proofErr w:type="gramEnd"/>
            <w:r w:rsidRPr="000E564D">
              <w:rPr>
                <w:rFonts w:ascii="Palatino Linotype" w:eastAsia="Palatino Linotype" w:hAnsi="Palatino Linotype" w:cs="Palatino Linotype"/>
                <w:sz w:val="16"/>
                <w:szCs w:val="16"/>
              </w:rPr>
              <w:t xml:space="preserve"> vínculo entre la difusión de la información y la afectación al interés público o a la seguridad nacional, respecto de la información solicitada, de todos los servidores públicos adscritos a la Dirección de Seguridad Pública y Protección.</w:t>
            </w:r>
          </w:p>
        </w:tc>
      </w:tr>
      <w:tr w:rsidR="00B611A6" w:rsidRPr="000E564D" w14:paraId="786EC3BA" w14:textId="77777777">
        <w:tc>
          <w:tcPr>
            <w:tcW w:w="1838" w:type="dxa"/>
            <w:tcBorders>
              <w:top w:val="single" w:sz="4" w:space="0" w:color="000000"/>
              <w:left w:val="single" w:sz="4" w:space="0" w:color="000000"/>
              <w:bottom w:val="single" w:sz="4" w:space="0" w:color="000000"/>
              <w:right w:val="single" w:sz="4" w:space="0" w:color="000000"/>
            </w:tcBorders>
            <w:vAlign w:val="center"/>
          </w:tcPr>
          <w:p w14:paraId="70280573" w14:textId="77777777" w:rsidR="00525649" w:rsidRPr="000E564D" w:rsidRDefault="00B04106">
            <w:pPr>
              <w:widowControl w:val="0"/>
              <w:jc w:val="center"/>
              <w:rPr>
                <w:rFonts w:ascii="Palatino Linotype" w:eastAsia="Palatino Linotype" w:hAnsi="Palatino Linotype" w:cs="Palatino Linotype"/>
                <w:sz w:val="20"/>
                <w:szCs w:val="20"/>
              </w:rPr>
            </w:pPr>
            <w:r w:rsidRPr="000E564D">
              <w:rPr>
                <w:rFonts w:ascii="Palatino Linotype" w:eastAsia="Palatino Linotype" w:hAnsi="Palatino Linotype" w:cs="Palatino Linotype"/>
                <w:b/>
                <w:sz w:val="20"/>
                <w:szCs w:val="20"/>
              </w:rPr>
              <w:lastRenderedPageBreak/>
              <w:t>III.</w:t>
            </w:r>
            <w:r w:rsidRPr="000E564D">
              <w:rPr>
                <w:rFonts w:ascii="Palatino Linotype" w:eastAsia="Palatino Linotype" w:hAnsi="Palatino Linotype" w:cs="Palatino Linotype"/>
                <w:sz w:val="20"/>
                <w:szCs w:val="20"/>
              </w:rPr>
              <w:t xml:space="preserve"> Razones objetivas por las que la apertura de la información generaría un riesgo de perjuicio real, demostrable e identificable al interés jurídico tutelado.</w:t>
            </w:r>
          </w:p>
        </w:tc>
        <w:tc>
          <w:tcPr>
            <w:tcW w:w="5245" w:type="dxa"/>
            <w:tcBorders>
              <w:top w:val="single" w:sz="4" w:space="0" w:color="000000"/>
              <w:left w:val="single" w:sz="4" w:space="0" w:color="000000"/>
              <w:bottom w:val="single" w:sz="4" w:space="0" w:color="000000"/>
              <w:right w:val="single" w:sz="4" w:space="0" w:color="000000"/>
            </w:tcBorders>
            <w:vAlign w:val="center"/>
          </w:tcPr>
          <w:p w14:paraId="4A65EDBC" w14:textId="77777777" w:rsidR="00525649" w:rsidRPr="000E564D" w:rsidRDefault="00B04106">
            <w:pPr>
              <w:spacing w:before="240" w:after="240" w:line="360" w:lineRule="auto"/>
              <w:jc w:val="both"/>
            </w:pPr>
            <w:r w:rsidRPr="000E564D">
              <w:object w:dxaOrig="5025" w:dyaOrig="4395" w14:anchorId="0A899877">
                <v:shape id="_x0000_i1045" type="#_x0000_t75" style="width:251.5pt;height:219.5pt" o:ole="">
                  <v:imagedata r:id="rId42" o:title=""/>
                </v:shape>
                <o:OLEObject Type="Embed" ProgID="PBrush" ShapeID="_x0000_i1045" DrawAspect="Content" ObjectID="_1752656880" r:id="rId43"/>
              </w:object>
            </w:r>
          </w:p>
        </w:tc>
        <w:tc>
          <w:tcPr>
            <w:tcW w:w="1752" w:type="dxa"/>
            <w:tcBorders>
              <w:top w:val="single" w:sz="4" w:space="0" w:color="000000"/>
              <w:left w:val="single" w:sz="4" w:space="0" w:color="000000"/>
              <w:bottom w:val="single" w:sz="4" w:space="0" w:color="000000"/>
              <w:right w:val="single" w:sz="4" w:space="0" w:color="000000"/>
            </w:tcBorders>
            <w:vAlign w:val="center"/>
          </w:tcPr>
          <w:p w14:paraId="435E20EF" w14:textId="77777777" w:rsidR="00525649" w:rsidRPr="000E564D" w:rsidRDefault="00B04106">
            <w:pPr>
              <w:spacing w:before="240" w:after="240"/>
              <w:jc w:val="center"/>
              <w:rPr>
                <w:rFonts w:ascii="Palatino Linotype" w:eastAsia="Palatino Linotype" w:hAnsi="Palatino Linotype" w:cs="Palatino Linotype"/>
                <w:b/>
                <w:sz w:val="12"/>
                <w:szCs w:val="12"/>
              </w:rPr>
            </w:pPr>
            <w:r w:rsidRPr="000E564D">
              <w:rPr>
                <w:rFonts w:ascii="Palatino Linotype" w:eastAsia="Palatino Linotype" w:hAnsi="Palatino Linotype" w:cs="Palatino Linotype"/>
                <w:b/>
                <w:sz w:val="12"/>
                <w:szCs w:val="12"/>
              </w:rPr>
              <w:t>PARCIALMENTE</w:t>
            </w:r>
          </w:p>
          <w:p w14:paraId="0D225049" w14:textId="77777777" w:rsidR="00525649" w:rsidRPr="000E564D" w:rsidRDefault="00B04106">
            <w:pPr>
              <w:spacing w:before="240" w:after="240"/>
              <w:jc w:val="both"/>
              <w:rPr>
                <w:rFonts w:ascii="Palatino Linotype" w:eastAsia="Palatino Linotype" w:hAnsi="Palatino Linotype" w:cs="Palatino Linotype"/>
                <w:b/>
                <w:sz w:val="12"/>
                <w:szCs w:val="12"/>
              </w:rPr>
            </w:pPr>
            <w:r w:rsidRPr="000E564D">
              <w:rPr>
                <w:rFonts w:ascii="Palatino Linotype" w:eastAsia="Palatino Linotype" w:hAnsi="Palatino Linotype" w:cs="Palatino Linotype"/>
                <w:sz w:val="16"/>
                <w:szCs w:val="16"/>
              </w:rPr>
              <w:t>No se precisan las razones objetivas por las que la apertura de la información generaría un riesgo de perjuicio real, demostrable e identificable al interés jurídico tutelado respecto de la información solicitada, de todos los servidores públicos adscritos a la Dirección de Seguridad Pública y Protección.</w:t>
            </w:r>
          </w:p>
        </w:tc>
      </w:tr>
      <w:tr w:rsidR="00B611A6" w:rsidRPr="000E564D" w14:paraId="223CBE6F" w14:textId="77777777">
        <w:tc>
          <w:tcPr>
            <w:tcW w:w="1838" w:type="dxa"/>
            <w:tcBorders>
              <w:top w:val="single" w:sz="4" w:space="0" w:color="000000"/>
              <w:left w:val="single" w:sz="4" w:space="0" w:color="000000"/>
              <w:bottom w:val="single" w:sz="4" w:space="0" w:color="000000"/>
              <w:right w:val="single" w:sz="4" w:space="0" w:color="000000"/>
            </w:tcBorders>
            <w:vAlign w:val="center"/>
          </w:tcPr>
          <w:p w14:paraId="4C57B426" w14:textId="77777777" w:rsidR="00525649" w:rsidRPr="000E564D" w:rsidRDefault="00B04106">
            <w:pPr>
              <w:widowControl w:val="0"/>
              <w:jc w:val="center"/>
              <w:rPr>
                <w:rFonts w:ascii="Palatino Linotype" w:eastAsia="Palatino Linotype" w:hAnsi="Palatino Linotype" w:cs="Palatino Linotype"/>
                <w:b/>
                <w:sz w:val="20"/>
                <w:szCs w:val="20"/>
              </w:rPr>
            </w:pPr>
            <w:r w:rsidRPr="000E564D">
              <w:rPr>
                <w:rFonts w:ascii="Palatino Linotype" w:eastAsia="Palatino Linotype" w:hAnsi="Palatino Linotype" w:cs="Palatino Linotype"/>
                <w:b/>
                <w:sz w:val="20"/>
                <w:szCs w:val="20"/>
              </w:rPr>
              <w:t xml:space="preserve">IV. </w:t>
            </w:r>
            <w:r w:rsidRPr="000E564D">
              <w:rPr>
                <w:rFonts w:ascii="Palatino Linotype" w:eastAsia="Palatino Linotype" w:hAnsi="Palatino Linotype" w:cs="Palatino Linotype"/>
                <w:sz w:val="20"/>
                <w:szCs w:val="20"/>
              </w:rPr>
              <w:t>Ponderación entre la medida restrictiva y el derecho de acceso a la información.</w:t>
            </w:r>
          </w:p>
        </w:tc>
        <w:tc>
          <w:tcPr>
            <w:tcW w:w="5245" w:type="dxa"/>
            <w:tcBorders>
              <w:top w:val="single" w:sz="4" w:space="0" w:color="000000"/>
              <w:left w:val="single" w:sz="4" w:space="0" w:color="000000"/>
              <w:bottom w:val="single" w:sz="4" w:space="0" w:color="000000"/>
              <w:right w:val="single" w:sz="4" w:space="0" w:color="000000"/>
            </w:tcBorders>
            <w:vAlign w:val="center"/>
          </w:tcPr>
          <w:p w14:paraId="5BA70020" w14:textId="77777777" w:rsidR="00525649" w:rsidRPr="000E564D" w:rsidRDefault="00B04106">
            <w:pPr>
              <w:spacing w:before="240" w:after="240" w:line="360" w:lineRule="auto"/>
              <w:jc w:val="center"/>
              <w:rPr>
                <w:rFonts w:ascii="Palatino Linotype" w:eastAsia="Palatino Linotype" w:hAnsi="Palatino Linotype" w:cs="Palatino Linotype"/>
              </w:rPr>
            </w:pPr>
            <w:r w:rsidRPr="000E564D">
              <w:object w:dxaOrig="5025" w:dyaOrig="2730" w14:anchorId="5BAAC4C0">
                <v:shape id="_x0000_i1046" type="#_x0000_t75" style="width:251.5pt;height:136.5pt" o:ole="">
                  <v:imagedata r:id="rId44" o:title=""/>
                </v:shape>
                <o:OLEObject Type="Embed" ProgID="PBrush" ShapeID="_x0000_i1046" DrawAspect="Content" ObjectID="_1752656881" r:id="rId45"/>
              </w:object>
            </w:r>
          </w:p>
        </w:tc>
        <w:tc>
          <w:tcPr>
            <w:tcW w:w="1752" w:type="dxa"/>
            <w:tcBorders>
              <w:top w:val="single" w:sz="4" w:space="0" w:color="000000"/>
              <w:left w:val="single" w:sz="4" w:space="0" w:color="000000"/>
              <w:bottom w:val="single" w:sz="4" w:space="0" w:color="000000"/>
              <w:right w:val="single" w:sz="4" w:space="0" w:color="000000"/>
            </w:tcBorders>
            <w:vAlign w:val="center"/>
          </w:tcPr>
          <w:p w14:paraId="30BCC22A" w14:textId="77777777" w:rsidR="00525649" w:rsidRPr="000E564D" w:rsidRDefault="00B04106">
            <w:pPr>
              <w:spacing w:before="240" w:after="240" w:line="360" w:lineRule="auto"/>
              <w:jc w:val="center"/>
              <w:rPr>
                <w:rFonts w:ascii="Palatino Linotype" w:eastAsia="Palatino Linotype" w:hAnsi="Palatino Linotype" w:cs="Palatino Linotype"/>
                <w:b/>
                <w:sz w:val="20"/>
                <w:szCs w:val="20"/>
              </w:rPr>
            </w:pPr>
            <w:r w:rsidRPr="000E564D">
              <w:rPr>
                <w:rFonts w:ascii="Palatino Linotype" w:eastAsia="Palatino Linotype" w:hAnsi="Palatino Linotype" w:cs="Palatino Linotype"/>
                <w:b/>
                <w:sz w:val="20"/>
                <w:szCs w:val="20"/>
              </w:rPr>
              <w:t>NO</w:t>
            </w:r>
          </w:p>
          <w:p w14:paraId="5471865F" w14:textId="77777777" w:rsidR="00525649" w:rsidRPr="000E564D" w:rsidRDefault="00B04106">
            <w:pPr>
              <w:spacing w:before="240" w:after="240"/>
              <w:jc w:val="both"/>
              <w:rPr>
                <w:rFonts w:ascii="Palatino Linotype" w:eastAsia="Palatino Linotype" w:hAnsi="Palatino Linotype" w:cs="Palatino Linotype"/>
                <w:sz w:val="16"/>
                <w:szCs w:val="16"/>
              </w:rPr>
            </w:pPr>
            <w:r w:rsidRPr="000E564D">
              <w:rPr>
                <w:rFonts w:ascii="Palatino Linotype" w:eastAsia="Palatino Linotype" w:hAnsi="Palatino Linotype" w:cs="Palatino Linotype"/>
                <w:sz w:val="16"/>
                <w:szCs w:val="16"/>
              </w:rPr>
              <w:t>No se prueba de manera objetiva que la publicidad de la información solicitada generaría un riesgo de perjuicio que supera al interés público de que la información se difunda.</w:t>
            </w:r>
          </w:p>
        </w:tc>
      </w:tr>
      <w:tr w:rsidR="00B611A6" w:rsidRPr="000E564D" w14:paraId="238E5C07" w14:textId="77777777">
        <w:tc>
          <w:tcPr>
            <w:tcW w:w="1838" w:type="dxa"/>
            <w:tcBorders>
              <w:top w:val="single" w:sz="4" w:space="0" w:color="000000"/>
              <w:left w:val="single" w:sz="4" w:space="0" w:color="000000"/>
              <w:bottom w:val="single" w:sz="4" w:space="0" w:color="000000"/>
              <w:right w:val="single" w:sz="4" w:space="0" w:color="000000"/>
            </w:tcBorders>
            <w:vAlign w:val="center"/>
          </w:tcPr>
          <w:p w14:paraId="0F626C96" w14:textId="77777777" w:rsidR="00525649" w:rsidRPr="000E564D" w:rsidRDefault="00B04106">
            <w:pPr>
              <w:widowControl w:val="0"/>
              <w:jc w:val="center"/>
              <w:rPr>
                <w:rFonts w:ascii="Palatino Linotype" w:eastAsia="Palatino Linotype" w:hAnsi="Palatino Linotype" w:cs="Palatino Linotype"/>
                <w:b/>
                <w:sz w:val="20"/>
                <w:szCs w:val="20"/>
              </w:rPr>
            </w:pPr>
            <w:r w:rsidRPr="000E564D">
              <w:rPr>
                <w:rFonts w:ascii="Palatino Linotype" w:eastAsia="Palatino Linotype" w:hAnsi="Palatino Linotype" w:cs="Palatino Linotype"/>
                <w:b/>
                <w:sz w:val="20"/>
                <w:szCs w:val="20"/>
              </w:rPr>
              <w:t xml:space="preserve">V. </w:t>
            </w:r>
            <w:r w:rsidRPr="000E564D">
              <w:rPr>
                <w:rFonts w:ascii="Palatino Linotype" w:eastAsia="Palatino Linotype" w:hAnsi="Palatino Linotype" w:cs="Palatino Linotype"/>
                <w:sz w:val="20"/>
                <w:szCs w:val="20"/>
              </w:rPr>
              <w:t xml:space="preserve">Elección y justificación de la opción de excepción al derecho de acceso a la información que menos lo restrinja, y que se adecue </w:t>
            </w:r>
            <w:r w:rsidRPr="000E564D">
              <w:rPr>
                <w:rFonts w:ascii="Palatino Linotype" w:eastAsia="Palatino Linotype" w:hAnsi="Palatino Linotype" w:cs="Palatino Linotype"/>
                <w:sz w:val="18"/>
                <w:szCs w:val="18"/>
              </w:rPr>
              <w:t>proporcionalmente</w:t>
            </w:r>
            <w:r w:rsidRPr="000E564D">
              <w:rPr>
                <w:rFonts w:ascii="Palatino Linotype" w:eastAsia="Palatino Linotype" w:hAnsi="Palatino Linotype" w:cs="Palatino Linotype"/>
                <w:sz w:val="20"/>
                <w:szCs w:val="20"/>
              </w:rPr>
              <w:t>, evitando el perjuicio al interés público.</w:t>
            </w:r>
            <w:r w:rsidRPr="000E564D">
              <w:rPr>
                <w:rFonts w:ascii="Palatino Linotype" w:eastAsia="Palatino Linotype" w:hAnsi="Palatino Linotype" w:cs="Palatino Linotype"/>
                <w:b/>
                <w:sz w:val="20"/>
                <w:szCs w:val="20"/>
              </w:rPr>
              <w:t xml:space="preserve"> </w:t>
            </w:r>
          </w:p>
        </w:tc>
        <w:tc>
          <w:tcPr>
            <w:tcW w:w="5245" w:type="dxa"/>
            <w:tcBorders>
              <w:top w:val="single" w:sz="4" w:space="0" w:color="000000"/>
              <w:left w:val="single" w:sz="4" w:space="0" w:color="000000"/>
              <w:bottom w:val="single" w:sz="4" w:space="0" w:color="000000"/>
              <w:right w:val="single" w:sz="4" w:space="0" w:color="000000"/>
            </w:tcBorders>
            <w:vAlign w:val="center"/>
          </w:tcPr>
          <w:p w14:paraId="4DEC7C2D" w14:textId="77777777" w:rsidR="00525649" w:rsidRPr="000E564D" w:rsidRDefault="00B04106">
            <w:pPr>
              <w:spacing w:before="240" w:after="240" w:line="360" w:lineRule="auto"/>
              <w:jc w:val="center"/>
              <w:rPr>
                <w:rFonts w:ascii="Palatino Linotype" w:eastAsia="Palatino Linotype" w:hAnsi="Palatino Linotype" w:cs="Palatino Linotype"/>
                <w:sz w:val="22"/>
                <w:szCs w:val="22"/>
              </w:rPr>
            </w:pPr>
            <w:r w:rsidRPr="000E564D">
              <w:rPr>
                <w:rFonts w:ascii="Palatino Linotype" w:eastAsia="Palatino Linotype" w:hAnsi="Palatino Linotype" w:cs="Palatino Linotype"/>
                <w:sz w:val="20"/>
                <w:szCs w:val="20"/>
              </w:rPr>
              <w:t>No se advierte justificación que acredite que la medida es la menos restrictiva al interés público</w:t>
            </w:r>
          </w:p>
        </w:tc>
        <w:tc>
          <w:tcPr>
            <w:tcW w:w="1752" w:type="dxa"/>
            <w:tcBorders>
              <w:top w:val="single" w:sz="4" w:space="0" w:color="000000"/>
              <w:left w:val="single" w:sz="4" w:space="0" w:color="000000"/>
              <w:bottom w:val="single" w:sz="4" w:space="0" w:color="000000"/>
              <w:right w:val="single" w:sz="4" w:space="0" w:color="000000"/>
            </w:tcBorders>
            <w:vAlign w:val="center"/>
          </w:tcPr>
          <w:p w14:paraId="0464A158" w14:textId="77777777" w:rsidR="00525649" w:rsidRPr="000E564D" w:rsidRDefault="00B04106">
            <w:pPr>
              <w:spacing w:before="240" w:after="240"/>
              <w:jc w:val="center"/>
              <w:rPr>
                <w:rFonts w:ascii="Palatino Linotype" w:eastAsia="Palatino Linotype" w:hAnsi="Palatino Linotype" w:cs="Palatino Linotype"/>
                <w:b/>
                <w:sz w:val="12"/>
                <w:szCs w:val="12"/>
              </w:rPr>
            </w:pPr>
            <w:r w:rsidRPr="000E564D">
              <w:rPr>
                <w:rFonts w:ascii="Palatino Linotype" w:eastAsia="Palatino Linotype" w:hAnsi="Palatino Linotype" w:cs="Palatino Linotype"/>
                <w:b/>
                <w:sz w:val="20"/>
                <w:szCs w:val="20"/>
              </w:rPr>
              <w:t>NO</w:t>
            </w:r>
          </w:p>
        </w:tc>
      </w:tr>
      <w:tr w:rsidR="00B611A6" w:rsidRPr="000E564D" w14:paraId="608D46FF" w14:textId="77777777">
        <w:tc>
          <w:tcPr>
            <w:tcW w:w="1838" w:type="dxa"/>
            <w:tcBorders>
              <w:top w:val="single" w:sz="4" w:space="0" w:color="000000"/>
              <w:left w:val="single" w:sz="4" w:space="0" w:color="000000"/>
              <w:bottom w:val="single" w:sz="4" w:space="0" w:color="000000"/>
              <w:right w:val="single" w:sz="4" w:space="0" w:color="000000"/>
            </w:tcBorders>
            <w:vAlign w:val="center"/>
          </w:tcPr>
          <w:p w14:paraId="276D2EB8" w14:textId="77777777" w:rsidR="00525649" w:rsidRPr="000E564D" w:rsidRDefault="00B04106">
            <w:pPr>
              <w:widowControl w:val="0"/>
              <w:jc w:val="center"/>
              <w:rPr>
                <w:rFonts w:ascii="Palatino Linotype" w:eastAsia="Palatino Linotype" w:hAnsi="Palatino Linotype" w:cs="Palatino Linotype"/>
                <w:b/>
                <w:sz w:val="20"/>
                <w:szCs w:val="20"/>
              </w:rPr>
            </w:pPr>
            <w:r w:rsidRPr="000E564D">
              <w:rPr>
                <w:rFonts w:ascii="Palatino Linotype" w:eastAsia="Palatino Linotype" w:hAnsi="Palatino Linotype" w:cs="Palatino Linotype"/>
                <w:b/>
                <w:sz w:val="20"/>
                <w:szCs w:val="20"/>
              </w:rPr>
              <w:lastRenderedPageBreak/>
              <w:t xml:space="preserve">VI. </w:t>
            </w:r>
            <w:r w:rsidRPr="000E564D">
              <w:rPr>
                <w:rFonts w:ascii="Palatino Linotype" w:eastAsia="Palatino Linotype" w:hAnsi="Palatino Linotype" w:cs="Palatino Linotype"/>
                <w:sz w:val="20"/>
                <w:szCs w:val="20"/>
              </w:rPr>
              <w:t>En los casos en que se determine la clasificación total de la información, especificar con la mayor claridad y precisión posible, los aspectos relevantes de la información clasificada que ayuden a cumplir con el objetivo de brindar certeza al solicitante</w:t>
            </w:r>
            <w:r w:rsidRPr="000E564D">
              <w:rPr>
                <w:rFonts w:ascii="Palatino Linotype" w:eastAsia="Palatino Linotype" w:hAnsi="Palatino Linotype" w:cs="Palatino Linotype"/>
                <w:b/>
                <w:sz w:val="20"/>
                <w:szCs w:val="20"/>
              </w:rPr>
              <w:t>.</w:t>
            </w:r>
          </w:p>
        </w:tc>
        <w:tc>
          <w:tcPr>
            <w:tcW w:w="5245" w:type="dxa"/>
            <w:tcBorders>
              <w:top w:val="single" w:sz="4" w:space="0" w:color="000000"/>
              <w:left w:val="single" w:sz="4" w:space="0" w:color="000000"/>
              <w:bottom w:val="single" w:sz="4" w:space="0" w:color="000000"/>
              <w:right w:val="single" w:sz="4" w:space="0" w:color="000000"/>
            </w:tcBorders>
            <w:vAlign w:val="center"/>
          </w:tcPr>
          <w:p w14:paraId="22A608D6" w14:textId="77777777" w:rsidR="00525649" w:rsidRPr="000E564D" w:rsidRDefault="00B04106">
            <w:pPr>
              <w:spacing w:before="240" w:after="240" w:line="360" w:lineRule="auto"/>
              <w:jc w:val="center"/>
              <w:rPr>
                <w:rFonts w:ascii="Palatino Linotype" w:eastAsia="Palatino Linotype" w:hAnsi="Palatino Linotype" w:cs="Palatino Linotype"/>
                <w:b/>
              </w:rPr>
            </w:pPr>
            <w:r w:rsidRPr="000E564D">
              <w:rPr>
                <w:rFonts w:ascii="Palatino Linotype" w:eastAsia="Palatino Linotype" w:hAnsi="Palatino Linotype" w:cs="Palatino Linotype"/>
                <w:sz w:val="20"/>
                <w:szCs w:val="20"/>
              </w:rPr>
              <w:t>No se advierten los aspectos relevantes de la información clasificada que ayuden a cumplir con el objetivo de brindar certeza al solicitante, al haberse clasificado la totalidad de la información de la Dirección de Seguridad Pública y Protección</w:t>
            </w:r>
            <w:r w:rsidRPr="000E564D">
              <w:rPr>
                <w:rFonts w:ascii="Palatino Linotype" w:eastAsia="Palatino Linotype" w:hAnsi="Palatino Linotype" w:cs="Palatino Linotype"/>
                <w:b/>
                <w:sz w:val="22"/>
                <w:szCs w:val="22"/>
              </w:rPr>
              <w:t>.</w:t>
            </w:r>
          </w:p>
        </w:tc>
        <w:tc>
          <w:tcPr>
            <w:tcW w:w="1752" w:type="dxa"/>
            <w:tcBorders>
              <w:top w:val="single" w:sz="4" w:space="0" w:color="000000"/>
              <w:left w:val="single" w:sz="4" w:space="0" w:color="000000"/>
              <w:bottom w:val="single" w:sz="4" w:space="0" w:color="000000"/>
              <w:right w:val="single" w:sz="4" w:space="0" w:color="000000"/>
            </w:tcBorders>
            <w:vAlign w:val="center"/>
          </w:tcPr>
          <w:p w14:paraId="56ADB1DD" w14:textId="77777777" w:rsidR="00525649" w:rsidRPr="000E564D" w:rsidRDefault="00B04106">
            <w:pPr>
              <w:spacing w:before="240" w:after="240" w:line="360" w:lineRule="auto"/>
              <w:jc w:val="center"/>
              <w:rPr>
                <w:rFonts w:ascii="Palatino Linotype" w:eastAsia="Palatino Linotype" w:hAnsi="Palatino Linotype" w:cs="Palatino Linotype"/>
                <w:b/>
                <w:sz w:val="12"/>
                <w:szCs w:val="12"/>
              </w:rPr>
            </w:pPr>
            <w:r w:rsidRPr="000E564D">
              <w:rPr>
                <w:rFonts w:ascii="Palatino Linotype" w:eastAsia="Palatino Linotype" w:hAnsi="Palatino Linotype" w:cs="Palatino Linotype"/>
                <w:b/>
                <w:sz w:val="20"/>
                <w:szCs w:val="20"/>
              </w:rPr>
              <w:t>NO</w:t>
            </w:r>
          </w:p>
        </w:tc>
      </w:tr>
      <w:tr w:rsidR="00B611A6" w:rsidRPr="000E564D" w14:paraId="2CA4FC4B" w14:textId="77777777">
        <w:tc>
          <w:tcPr>
            <w:tcW w:w="1838" w:type="dxa"/>
            <w:tcBorders>
              <w:top w:val="single" w:sz="4" w:space="0" w:color="000000"/>
              <w:left w:val="single" w:sz="4" w:space="0" w:color="000000"/>
              <w:bottom w:val="single" w:sz="4" w:space="0" w:color="000000"/>
              <w:right w:val="single" w:sz="4" w:space="0" w:color="000000"/>
            </w:tcBorders>
            <w:vAlign w:val="center"/>
          </w:tcPr>
          <w:p w14:paraId="26E98B11" w14:textId="77777777" w:rsidR="00525649" w:rsidRPr="000E564D" w:rsidRDefault="00B04106">
            <w:pPr>
              <w:widowControl w:val="0"/>
              <w:jc w:val="center"/>
              <w:rPr>
                <w:rFonts w:ascii="Palatino Linotype" w:eastAsia="Palatino Linotype" w:hAnsi="Palatino Linotype" w:cs="Palatino Linotype"/>
                <w:sz w:val="20"/>
                <w:szCs w:val="20"/>
              </w:rPr>
            </w:pPr>
            <w:r w:rsidRPr="000E564D">
              <w:rPr>
                <w:rFonts w:ascii="Palatino Linotype" w:eastAsia="Palatino Linotype" w:hAnsi="Palatino Linotype" w:cs="Palatino Linotype"/>
                <w:sz w:val="20"/>
                <w:szCs w:val="20"/>
              </w:rPr>
              <w:t>Periodo por el que mantendrá su clasificación y fecha de expiración</w:t>
            </w:r>
          </w:p>
        </w:tc>
        <w:tc>
          <w:tcPr>
            <w:tcW w:w="5245" w:type="dxa"/>
            <w:tcBorders>
              <w:top w:val="single" w:sz="4" w:space="0" w:color="000000"/>
              <w:left w:val="single" w:sz="4" w:space="0" w:color="000000"/>
              <w:bottom w:val="single" w:sz="4" w:space="0" w:color="000000"/>
              <w:right w:val="single" w:sz="4" w:space="0" w:color="000000"/>
            </w:tcBorders>
            <w:vAlign w:val="center"/>
          </w:tcPr>
          <w:p w14:paraId="6888CA43" w14:textId="77777777" w:rsidR="00525649" w:rsidRPr="000E564D" w:rsidRDefault="00B04106">
            <w:pPr>
              <w:spacing w:before="240" w:after="240" w:line="360" w:lineRule="auto"/>
              <w:jc w:val="center"/>
            </w:pPr>
            <w:r w:rsidRPr="000E564D">
              <w:object w:dxaOrig="5025" w:dyaOrig="675" w14:anchorId="414AEA71">
                <v:shape id="_x0000_i1047" type="#_x0000_t75" style="width:251.5pt;height:33.5pt" o:ole="">
                  <v:imagedata r:id="rId46" o:title=""/>
                </v:shape>
                <o:OLEObject Type="Embed" ProgID="PBrush" ShapeID="_x0000_i1047" DrawAspect="Content" ObjectID="_1752656882" r:id="rId47"/>
              </w:object>
            </w:r>
          </w:p>
        </w:tc>
        <w:tc>
          <w:tcPr>
            <w:tcW w:w="1752" w:type="dxa"/>
            <w:tcBorders>
              <w:top w:val="single" w:sz="4" w:space="0" w:color="000000"/>
              <w:left w:val="single" w:sz="4" w:space="0" w:color="000000"/>
              <w:bottom w:val="single" w:sz="4" w:space="0" w:color="000000"/>
              <w:right w:val="single" w:sz="4" w:space="0" w:color="000000"/>
            </w:tcBorders>
            <w:vAlign w:val="center"/>
          </w:tcPr>
          <w:p w14:paraId="62C46A4B" w14:textId="77777777" w:rsidR="00525649" w:rsidRPr="000E564D" w:rsidRDefault="00B04106">
            <w:pPr>
              <w:spacing w:before="240" w:after="240"/>
              <w:jc w:val="center"/>
              <w:rPr>
                <w:rFonts w:ascii="Palatino Linotype" w:eastAsia="Palatino Linotype" w:hAnsi="Palatino Linotype" w:cs="Palatino Linotype"/>
                <w:b/>
                <w:sz w:val="12"/>
                <w:szCs w:val="12"/>
              </w:rPr>
            </w:pPr>
            <w:r w:rsidRPr="000E564D">
              <w:rPr>
                <w:rFonts w:ascii="Palatino Linotype" w:eastAsia="Palatino Linotype" w:hAnsi="Palatino Linotype" w:cs="Palatino Linotype"/>
                <w:b/>
                <w:sz w:val="12"/>
                <w:szCs w:val="12"/>
              </w:rPr>
              <w:t>PARCIALMENTE</w:t>
            </w:r>
          </w:p>
          <w:p w14:paraId="242EA60D" w14:textId="77777777" w:rsidR="00525649" w:rsidRPr="000E564D" w:rsidRDefault="00B04106">
            <w:pPr>
              <w:spacing w:before="240" w:after="240"/>
              <w:jc w:val="both"/>
              <w:rPr>
                <w:rFonts w:ascii="Palatino Linotype" w:eastAsia="Palatino Linotype" w:hAnsi="Palatino Linotype" w:cs="Palatino Linotype"/>
                <w:sz w:val="12"/>
                <w:szCs w:val="12"/>
              </w:rPr>
            </w:pPr>
            <w:r w:rsidRPr="000E564D">
              <w:rPr>
                <w:rFonts w:ascii="Palatino Linotype" w:eastAsia="Palatino Linotype" w:hAnsi="Palatino Linotype" w:cs="Palatino Linotype"/>
                <w:sz w:val="16"/>
                <w:szCs w:val="16"/>
              </w:rPr>
              <w:t>No se señala la fecha de expiración.</w:t>
            </w:r>
          </w:p>
        </w:tc>
      </w:tr>
    </w:tbl>
    <w:p w14:paraId="506F8C3B"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Derivado de lo expuesto, se estima que, para tener por satisfecho el requerimiento de información, </w:t>
      </w:r>
      <w:r w:rsidRPr="000E564D">
        <w:rPr>
          <w:rFonts w:ascii="Palatino Linotype" w:eastAsia="Palatino Linotype" w:hAnsi="Palatino Linotype" w:cs="Palatino Linotype"/>
          <w:b/>
          <w:u w:val="single"/>
        </w:rPr>
        <w:t>por cuanto hace a la Dirección General de Seguridad Pública y Protección,</w:t>
      </w:r>
      <w:r w:rsidRPr="000E564D">
        <w:rPr>
          <w:rFonts w:ascii="Palatino Linotype" w:eastAsia="Palatino Linotype" w:hAnsi="Palatino Linotype" w:cs="Palatino Linotype"/>
        </w:rPr>
        <w:t xml:space="preserve"> lo procedente es ordenar al </w:t>
      </w:r>
      <w:r w:rsidRPr="000E564D">
        <w:rPr>
          <w:rFonts w:ascii="Palatino Linotype" w:eastAsia="Palatino Linotype" w:hAnsi="Palatino Linotype" w:cs="Palatino Linotype"/>
          <w:b/>
        </w:rPr>
        <w:t xml:space="preserve">Sujeto Obligado </w:t>
      </w:r>
      <w:r w:rsidRPr="000E564D">
        <w:rPr>
          <w:rFonts w:ascii="Palatino Linotype" w:eastAsia="Palatino Linotype" w:hAnsi="Palatino Linotype" w:cs="Palatino Linotype"/>
        </w:rPr>
        <w:t>haga entrega de la información consistente en lo siguiente:</w:t>
      </w:r>
    </w:p>
    <w:p w14:paraId="62639C1B"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Del uno de enero al diecinueve de octubre de dos mil veintidós:</w:t>
      </w:r>
    </w:p>
    <w:p w14:paraId="2268AE7F" w14:textId="77777777" w:rsidR="005A6232" w:rsidRPr="000E564D" w:rsidRDefault="00B04106">
      <w:pPr>
        <w:spacing w:before="240" w:after="240" w:line="360" w:lineRule="auto"/>
        <w:ind w:left="426"/>
        <w:jc w:val="both"/>
        <w:rPr>
          <w:rFonts w:ascii="Palatino Linotype" w:eastAsia="Palatino Linotype" w:hAnsi="Palatino Linotype" w:cs="Palatino Linotype"/>
          <w:b/>
        </w:rPr>
      </w:pPr>
      <w:r w:rsidRPr="000E564D">
        <w:rPr>
          <w:rFonts w:ascii="Palatino Linotype" w:eastAsia="Palatino Linotype" w:hAnsi="Palatino Linotype" w:cs="Palatino Linotype"/>
        </w:rPr>
        <w:t xml:space="preserve">a. Formato Único de Personal, FUP, </w:t>
      </w:r>
      <w:r w:rsidR="00D6304E" w:rsidRPr="000E564D">
        <w:rPr>
          <w:rFonts w:ascii="Palatino Linotype" w:eastAsia="Palatino Linotype" w:hAnsi="Palatino Linotype" w:cs="Palatino Linotype"/>
        </w:rPr>
        <w:t xml:space="preserve">Formato Único de Personal, FUP </w:t>
      </w:r>
      <w:r w:rsidR="00D6304E" w:rsidRPr="000E564D">
        <w:rPr>
          <w:rFonts w:ascii="Palatino Linotype" w:eastAsia="Palatino Linotype" w:hAnsi="Palatino Linotype" w:cs="Palatino Linotype"/>
          <w:b/>
        </w:rPr>
        <w:t>de baja</w:t>
      </w:r>
      <w:r w:rsidR="00D6304E" w:rsidRPr="000E564D">
        <w:rPr>
          <w:rFonts w:ascii="Palatino Linotype" w:eastAsia="Palatino Linotype" w:hAnsi="Palatino Linotype" w:cs="Palatino Linotype"/>
        </w:rPr>
        <w:t xml:space="preserve"> y renuncia de los servidores públicos </w:t>
      </w:r>
      <w:r w:rsidR="005A6232" w:rsidRPr="000E564D">
        <w:rPr>
          <w:rFonts w:ascii="Palatino Linotype" w:eastAsia="Palatino Linotype" w:hAnsi="Palatino Linotype" w:cs="Palatino Linotype"/>
          <w:b/>
        </w:rPr>
        <w:t>dados de baja.</w:t>
      </w:r>
    </w:p>
    <w:p w14:paraId="24FB0D30" w14:textId="77777777" w:rsidR="00525649" w:rsidRPr="000E564D" w:rsidRDefault="00B04106">
      <w:pPr>
        <w:spacing w:before="240" w:after="240" w:line="360" w:lineRule="auto"/>
        <w:ind w:left="426"/>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b. </w:t>
      </w:r>
      <w:r w:rsidR="00D6304E" w:rsidRPr="000E564D">
        <w:rPr>
          <w:rFonts w:ascii="Palatino Linotype" w:eastAsia="Palatino Linotype" w:hAnsi="Palatino Linotype" w:cs="Palatino Linotype"/>
        </w:rPr>
        <w:t xml:space="preserve">Formato Único de Personal, FUP, de los servidores públicos </w:t>
      </w:r>
      <w:r w:rsidR="00D6304E" w:rsidRPr="000E564D">
        <w:rPr>
          <w:rFonts w:ascii="Palatino Linotype" w:eastAsia="Palatino Linotype" w:hAnsi="Palatino Linotype" w:cs="Palatino Linotype"/>
          <w:b/>
        </w:rPr>
        <w:t>dados de alta</w:t>
      </w:r>
      <w:r w:rsidR="00D6304E" w:rsidRPr="000E564D">
        <w:rPr>
          <w:rFonts w:ascii="Palatino Linotype" w:eastAsia="Palatino Linotype" w:hAnsi="Palatino Linotype" w:cs="Palatino Linotype"/>
        </w:rPr>
        <w:t>, que desempeñan cargos de mandos medios y superior</w:t>
      </w:r>
      <w:r w:rsidR="005A6232" w:rsidRPr="000E564D">
        <w:rPr>
          <w:rFonts w:ascii="Palatino Linotype" w:eastAsia="Palatino Linotype" w:hAnsi="Palatino Linotype" w:cs="Palatino Linotype"/>
        </w:rPr>
        <w:t>es, y funciones administrativas</w:t>
      </w:r>
      <w:r w:rsidR="00D6304E" w:rsidRPr="000E564D">
        <w:rPr>
          <w:rFonts w:ascii="Palatino Linotype" w:eastAsia="Palatino Linotype" w:hAnsi="Palatino Linotype" w:cs="Palatino Linotype"/>
        </w:rPr>
        <w:t>.</w:t>
      </w:r>
    </w:p>
    <w:p w14:paraId="4E35B61D" w14:textId="77777777" w:rsidR="00D6304E" w:rsidRPr="000E564D" w:rsidRDefault="00B04106" w:rsidP="00D6304E">
      <w:pPr>
        <w:spacing w:before="240" w:after="240" w:line="360" w:lineRule="auto"/>
        <w:ind w:left="567"/>
        <w:jc w:val="both"/>
        <w:rPr>
          <w:rFonts w:ascii="Palatino Linotype" w:eastAsia="Palatino Linotype" w:hAnsi="Palatino Linotype" w:cs="Palatino Linotype"/>
        </w:rPr>
      </w:pPr>
      <w:r w:rsidRPr="000E564D">
        <w:rPr>
          <w:rFonts w:ascii="Palatino Linotype" w:eastAsia="Palatino Linotype" w:hAnsi="Palatino Linotype" w:cs="Palatino Linotype"/>
        </w:rPr>
        <w:lastRenderedPageBreak/>
        <w:t xml:space="preserve">c. </w:t>
      </w:r>
      <w:r w:rsidR="00D6304E" w:rsidRPr="000E564D">
        <w:rPr>
          <w:rFonts w:ascii="Palatino Linotype" w:eastAsia="Palatino Linotype" w:hAnsi="Palatino Linotype" w:cs="Palatino Linotype"/>
        </w:rPr>
        <w:t xml:space="preserve">Formato Único de Personal, FUP, de los servidores públicos </w:t>
      </w:r>
      <w:r w:rsidR="00D6304E" w:rsidRPr="000E564D">
        <w:rPr>
          <w:rFonts w:ascii="Palatino Linotype" w:eastAsia="Palatino Linotype" w:hAnsi="Palatino Linotype" w:cs="Palatino Linotype"/>
          <w:b/>
        </w:rPr>
        <w:t>dados de alta</w:t>
      </w:r>
      <w:r w:rsidR="00D6304E" w:rsidRPr="000E564D">
        <w:rPr>
          <w:rFonts w:ascii="Palatino Linotype" w:eastAsia="Palatino Linotype" w:hAnsi="Palatino Linotype" w:cs="Palatino Linotype"/>
        </w:rPr>
        <w:t>, que desempeñan funciones operativas, testando el nombre completo</w:t>
      </w:r>
      <w:r w:rsidR="005A6232" w:rsidRPr="000E564D">
        <w:rPr>
          <w:rFonts w:ascii="Palatino Linotype" w:eastAsia="Palatino Linotype" w:hAnsi="Palatino Linotype" w:cs="Palatino Linotype"/>
        </w:rPr>
        <w:t>, cargo y horario laboral</w:t>
      </w:r>
      <w:r w:rsidR="00D6304E" w:rsidRPr="000E564D">
        <w:rPr>
          <w:rFonts w:ascii="Palatino Linotype" w:eastAsia="Palatino Linotype" w:hAnsi="Palatino Linotype" w:cs="Palatino Linotype"/>
        </w:rPr>
        <w:t>.</w:t>
      </w:r>
    </w:p>
    <w:p w14:paraId="7D9861E7"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Debiendo para tal efecto emitir la versión pública en términos del considerando siguiente.</w:t>
      </w:r>
    </w:p>
    <w:p w14:paraId="59F0E649" w14:textId="77777777" w:rsidR="00D6304E" w:rsidRPr="000E564D" w:rsidRDefault="00D6304E" w:rsidP="00D6304E">
      <w:pPr>
        <w:spacing w:before="240" w:after="240" w:line="360" w:lineRule="auto"/>
        <w:jc w:val="both"/>
        <w:rPr>
          <w:rFonts w:ascii="Palatino Linotype" w:eastAsia="Palatino Linotype" w:hAnsi="Palatino Linotype" w:cs="Palatino Linotype"/>
        </w:rPr>
      </w:pPr>
      <w:r w:rsidRPr="000E564D">
        <w:rPr>
          <w:rFonts w:ascii="Palatino Linotype" w:hAnsi="Palatino Linotype"/>
        </w:rPr>
        <w:t xml:space="preserve">Sin embargo, toda vez que del pronunciamiento emitido por la Dirección General de Administración no se desprende de forma clara la actualización de todos y cada los supuestos que se mencionan, para el caso de que no se llegara a localizar información por no haberse generado respecto de algún rubro, </w:t>
      </w:r>
      <w:r w:rsidRPr="000E564D">
        <w:rPr>
          <w:rFonts w:ascii="Palatino Linotype" w:eastAsia="Palatino Linotype" w:hAnsi="Palatino Linotype" w:cs="Palatino Linotype"/>
        </w:rPr>
        <w:t>bastará con que así se haga del conocimiento de la persona solicitante para tener por colmado su derecho de acceso a la información, en términos de lo dispuesto por el artículo 19, párrafo segundo de la Ley de Transparencia y Acceso a la Información Pública del Estado de México y Municipios, a saber:</w:t>
      </w:r>
    </w:p>
    <w:p w14:paraId="09BF52AB" w14:textId="77777777" w:rsidR="00D6304E" w:rsidRPr="000E564D" w:rsidRDefault="00D6304E" w:rsidP="00D6304E">
      <w:pPr>
        <w:spacing w:before="120" w:after="120"/>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w:t>
      </w:r>
      <w:r w:rsidRPr="000E564D">
        <w:rPr>
          <w:rFonts w:ascii="Palatino Linotype" w:eastAsia="Palatino Linotype" w:hAnsi="Palatino Linotype" w:cs="Palatino Linotype"/>
          <w:b/>
          <w:i/>
          <w:sz w:val="22"/>
          <w:szCs w:val="22"/>
        </w:rPr>
        <w:t>Artículo 19</w:t>
      </w:r>
      <w:r w:rsidRPr="000E564D">
        <w:rPr>
          <w:rFonts w:ascii="Palatino Linotype" w:eastAsia="Palatino Linotype" w:hAnsi="Palatino Linotype" w:cs="Palatino Linotype"/>
          <w:i/>
          <w:sz w:val="22"/>
          <w:szCs w:val="22"/>
        </w:rPr>
        <w:t>…</w:t>
      </w:r>
    </w:p>
    <w:p w14:paraId="0BD31CED" w14:textId="77777777" w:rsidR="00D6304E" w:rsidRPr="000E564D" w:rsidRDefault="00D6304E" w:rsidP="00D6304E">
      <w:pPr>
        <w:spacing w:before="120" w:after="120"/>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En los casos en que ciertas facultades, competencias o funciones no se hayan ejercido, se debe motivar la respuesta en función de las causas que motiven tal circunstancia.”</w:t>
      </w:r>
    </w:p>
    <w:p w14:paraId="3D09696B" w14:textId="77777777" w:rsidR="00D6304E" w:rsidRPr="000E564D" w:rsidRDefault="00D6304E" w:rsidP="00D6304E">
      <w:pPr>
        <w:spacing w:before="240" w:after="240" w:line="360" w:lineRule="auto"/>
        <w:jc w:val="both"/>
        <w:rPr>
          <w:rFonts w:ascii="Palatino Linotype" w:hAnsi="Palatino Linotype"/>
          <w:i/>
          <w:iCs/>
          <w:sz w:val="22"/>
          <w:szCs w:val="22"/>
        </w:rPr>
      </w:pPr>
      <w:r w:rsidRPr="000E564D">
        <w:rPr>
          <w:rFonts w:ascii="Palatino Linotype" w:hAnsi="Palatino Linotype" w:cs="Arial"/>
        </w:rPr>
        <w:t>Siendo im</w:t>
      </w:r>
      <w:r w:rsidRPr="000E564D">
        <w:rPr>
          <w:rFonts w:ascii="Palatino Linotype" w:hAnsi="Palatino Linotype"/>
        </w:rPr>
        <w:t xml:space="preserve">procedente, en tal supuesto, la entrega de documento alguno, o en su caso, el Acuerdo de Inexistencia, toda vez que el pronunciamiento del </w:t>
      </w:r>
      <w:r w:rsidRPr="000E564D">
        <w:rPr>
          <w:rFonts w:ascii="Palatino Linotype" w:hAnsi="Palatino Linotype" w:cs="Arial"/>
          <w:b/>
        </w:rPr>
        <w:t>Sujeto Obligado</w:t>
      </w:r>
      <w:r w:rsidRPr="000E564D">
        <w:rPr>
          <w:rFonts w:ascii="Palatino Linotype" w:hAnsi="Palatino Linotype" w:cs="Arial"/>
        </w:rPr>
        <w:t xml:space="preserve"> </w:t>
      </w:r>
      <w:r w:rsidRPr="000E564D">
        <w:rPr>
          <w:rFonts w:ascii="Palatino Linotype" w:hAnsi="Palatino Linotype"/>
        </w:rPr>
        <w:t xml:space="preserve">declararía en automática la inexistencia de la información solicitada de modo que no existe obligación de justificar o allegar pruebas, y por ende no tiene aplicación lo </w:t>
      </w:r>
      <w:r w:rsidRPr="000E564D">
        <w:rPr>
          <w:rFonts w:ascii="Palatino Linotype" w:hAnsi="Palatino Linotype"/>
        </w:rPr>
        <w:lastRenderedPageBreak/>
        <w:t>estatuido en el artículo 49, fracción XIII</w:t>
      </w:r>
      <w:r w:rsidRPr="000E564D">
        <w:rPr>
          <w:rStyle w:val="Refdenotaalpie"/>
          <w:rFonts w:ascii="Palatino Linotype" w:hAnsi="Palatino Linotype"/>
        </w:rPr>
        <w:footnoteReference w:id="5"/>
      </w:r>
      <w:r w:rsidRPr="000E564D">
        <w:rPr>
          <w:rFonts w:ascii="Palatino Linotype" w:hAnsi="Palatino Linotype"/>
        </w:rPr>
        <w:t xml:space="preserve"> de la Ley de Transparencia y Acceso a la Información Pública del Estado de México y Municipios.</w:t>
      </w:r>
    </w:p>
    <w:p w14:paraId="2D1E05FD" w14:textId="77777777" w:rsidR="00525649" w:rsidRPr="000E564D" w:rsidRDefault="00B04106">
      <w:pPr>
        <w:spacing w:before="240" w:after="240" w:line="360" w:lineRule="auto"/>
        <w:ind w:right="51"/>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De lo hasta aquí expuesto, se concluye que los motivos de inconformidad de la parte </w:t>
      </w:r>
      <w:r w:rsidRPr="000E564D">
        <w:rPr>
          <w:rFonts w:ascii="Palatino Linotype" w:eastAsia="Palatino Linotype" w:hAnsi="Palatino Linotype" w:cs="Palatino Linotype"/>
          <w:b/>
        </w:rPr>
        <w:t xml:space="preserve">Recurrente </w:t>
      </w:r>
      <w:r w:rsidRPr="000E564D">
        <w:rPr>
          <w:rFonts w:ascii="Palatino Linotype" w:eastAsia="Palatino Linotype" w:hAnsi="Palatino Linotype" w:cs="Palatino Linotype"/>
        </w:rPr>
        <w:t xml:space="preserve">devienen fundados, siendo procedente </w:t>
      </w:r>
      <w:r w:rsidRPr="000E564D">
        <w:rPr>
          <w:rFonts w:ascii="Palatino Linotype" w:eastAsia="Palatino Linotype" w:hAnsi="Palatino Linotype" w:cs="Palatino Linotype"/>
          <w:i/>
        </w:rPr>
        <w:t>Modificar</w:t>
      </w:r>
      <w:r w:rsidRPr="000E564D">
        <w:rPr>
          <w:rFonts w:ascii="Palatino Linotype" w:eastAsia="Palatino Linotype" w:hAnsi="Palatino Linotype" w:cs="Palatino Linotype"/>
        </w:rPr>
        <w:t xml:space="preserve"> las respuestas proporcionadas por el </w:t>
      </w:r>
      <w:r w:rsidRPr="000E564D">
        <w:rPr>
          <w:rFonts w:ascii="Palatino Linotype" w:eastAsia="Palatino Linotype" w:hAnsi="Palatino Linotype" w:cs="Palatino Linotype"/>
          <w:b/>
        </w:rPr>
        <w:t xml:space="preserve">Sujeto Obligado </w:t>
      </w:r>
      <w:r w:rsidRPr="000E564D">
        <w:rPr>
          <w:rFonts w:ascii="Palatino Linotype" w:eastAsia="Palatino Linotype" w:hAnsi="Palatino Linotype" w:cs="Palatino Linotype"/>
        </w:rPr>
        <w:t>en términos del artículo 186 fracción III de la Ley de Transparencia y Acceso a la Información Pública del Estado de México y Municipios.</w:t>
      </w:r>
    </w:p>
    <w:p w14:paraId="73D885C3" w14:textId="77777777" w:rsidR="00525649" w:rsidRPr="000E564D" w:rsidRDefault="00B04106">
      <w:pPr>
        <w:spacing w:before="240" w:after="240" w:line="360" w:lineRule="auto"/>
        <w:ind w:right="51"/>
        <w:jc w:val="both"/>
        <w:rPr>
          <w:rFonts w:ascii="Palatino Linotype" w:eastAsia="Palatino Linotype" w:hAnsi="Palatino Linotype" w:cs="Palatino Linotype"/>
        </w:rPr>
      </w:pPr>
      <w:r w:rsidRPr="000E564D">
        <w:rPr>
          <w:rFonts w:ascii="Palatino Linotype" w:eastAsia="Palatino Linotype" w:hAnsi="Palatino Linotype" w:cs="Palatino Linotype"/>
          <w:b/>
        </w:rPr>
        <w:t xml:space="preserve">Quinto. Versión Pública. </w:t>
      </w:r>
      <w:r w:rsidRPr="000E564D">
        <w:rPr>
          <w:rFonts w:ascii="Palatino Linotype" w:eastAsia="Palatino Linotype" w:hAnsi="Palatino Linotype" w:cs="Palatino Linotype"/>
        </w:rPr>
        <w:t>Como fue debidamente apuntado, el </w:t>
      </w:r>
      <w:r w:rsidRPr="000E564D">
        <w:rPr>
          <w:rFonts w:ascii="Palatino Linotype" w:eastAsia="Palatino Linotype" w:hAnsi="Palatino Linotype" w:cs="Palatino Linotype"/>
          <w:b/>
        </w:rPr>
        <w:t>Sujeto Obligado</w:t>
      </w:r>
      <w:r w:rsidRPr="000E564D">
        <w:rPr>
          <w:rFonts w:ascii="Palatino Linotype" w:eastAsia="Palatino Linotype" w:hAnsi="Palatino Linotype" w:cs="Palatino Linotype"/>
        </w:rPr>
        <w:t> debe satisfacer la solicitud de acceso a la información; sin embargo, dada la naturaleza de la información de la cual se ordena su entrega, deberá hacerse en versión pública, toda vez que en los documentos que se ordenan, existe la posibilidad de que obren datos que son considerados confidenciales, cuyo acceso debe ser restringido que deben testarse al momento de la versión pública, atento a lo siguiente:</w:t>
      </w:r>
    </w:p>
    <w:p w14:paraId="54907549" w14:textId="77777777" w:rsidR="00525649" w:rsidRPr="000E564D" w:rsidRDefault="00B04106">
      <w:pPr>
        <w:spacing w:before="240" w:after="240" w:line="360" w:lineRule="auto"/>
        <w:ind w:right="49"/>
        <w:jc w:val="both"/>
        <w:rPr>
          <w:rFonts w:ascii="Palatino Linotype" w:eastAsia="Palatino Linotype" w:hAnsi="Palatino Linotype" w:cs="Palatino Linotype"/>
        </w:rPr>
      </w:pPr>
      <w:r w:rsidRPr="000E564D">
        <w:rPr>
          <w:rFonts w:ascii="Palatino Linotype" w:eastAsia="Palatino Linotype" w:hAnsi="Palatino Linotype" w:cs="Palatino Linotype"/>
        </w:rPr>
        <w:t>El derecho de acceso a la información pública tiene como limitante el respeto a la intimidad y a la vida privada de las personas, es por ello que este Instituto debe cuidar que los datos personales que obren en poder de los Sujetos Obligados sean protegidos y únicamente se den a conocer aquéllos que garanticen la rendición de cuentas y la transparencia en el ejercicio de las atribuciones que tienen conferidas.</w:t>
      </w:r>
    </w:p>
    <w:p w14:paraId="44F05DA4" w14:textId="77777777" w:rsidR="00525649" w:rsidRPr="000E564D" w:rsidRDefault="00B04106">
      <w:pPr>
        <w:spacing w:before="240" w:after="240" w:line="360" w:lineRule="auto"/>
        <w:ind w:right="49"/>
        <w:jc w:val="both"/>
        <w:rPr>
          <w:rFonts w:ascii="Palatino Linotype" w:eastAsia="Palatino Linotype" w:hAnsi="Palatino Linotype" w:cs="Palatino Linotype"/>
        </w:rPr>
      </w:pPr>
      <w:r w:rsidRPr="000E564D">
        <w:rPr>
          <w:rFonts w:ascii="Palatino Linotype" w:eastAsia="Palatino Linotype" w:hAnsi="Palatino Linotype" w:cs="Palatino Linotype"/>
        </w:rPr>
        <w:lastRenderedPageBreak/>
        <w:t>De este modo, en armonía entre los principios constitucionales de máxima publicidad y de protección de datos personales, la ley permite la elaboración de versiones públicas en las que se suprima aquella información relacionada con la vida privada de las personas.</w:t>
      </w:r>
    </w:p>
    <w:p w14:paraId="54453A8A" w14:textId="77777777" w:rsidR="00525649" w:rsidRPr="000E564D" w:rsidRDefault="00B04106">
      <w:pPr>
        <w:spacing w:before="240" w:after="240" w:line="360" w:lineRule="auto"/>
        <w:ind w:right="49"/>
        <w:jc w:val="both"/>
        <w:rPr>
          <w:rFonts w:ascii="Palatino Linotype" w:eastAsia="Palatino Linotype" w:hAnsi="Palatino Linotype" w:cs="Palatino Linotype"/>
        </w:rPr>
      </w:pPr>
      <w:r w:rsidRPr="000E564D">
        <w:rPr>
          <w:rFonts w:ascii="Palatino Linotype" w:eastAsia="Palatino Linotype" w:hAnsi="Palatino Linotype" w:cs="Palatino Linotype"/>
        </w:rPr>
        <w:t>Al respecto, los artículos 3, fracciones IX, XX, XXI, XXXII, XLV; 6, 91, 137, 143 fracción I, de la Ley de Transparencia y Acceso a la Información Pública del Estado de México y Municipios vigente establecen:</w:t>
      </w:r>
    </w:p>
    <w:p w14:paraId="7EE3916D" w14:textId="77777777" w:rsidR="00525649" w:rsidRPr="000E564D" w:rsidRDefault="00B04106">
      <w:pPr>
        <w:spacing w:before="120" w:after="120"/>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rPr>
        <w:t> </w:t>
      </w:r>
      <w:r w:rsidRPr="000E564D">
        <w:rPr>
          <w:rFonts w:ascii="Palatino Linotype" w:eastAsia="Palatino Linotype" w:hAnsi="Palatino Linotype" w:cs="Palatino Linotype"/>
          <w:i/>
        </w:rPr>
        <w:t>“</w:t>
      </w:r>
      <w:r w:rsidRPr="000E564D">
        <w:rPr>
          <w:rFonts w:ascii="Palatino Linotype" w:eastAsia="Palatino Linotype" w:hAnsi="Palatino Linotype" w:cs="Palatino Linotype"/>
          <w:b/>
          <w:i/>
          <w:sz w:val="22"/>
          <w:szCs w:val="22"/>
        </w:rPr>
        <w:t>Artículo 3.</w:t>
      </w:r>
      <w:r w:rsidRPr="000E564D">
        <w:rPr>
          <w:rFonts w:ascii="Palatino Linotype" w:eastAsia="Palatino Linotype" w:hAnsi="Palatino Linotype" w:cs="Palatino Linotype"/>
          <w:i/>
          <w:sz w:val="22"/>
          <w:szCs w:val="22"/>
        </w:rPr>
        <w:t xml:space="preserve"> Para los efectos de la presente Ley se entenderá por:</w:t>
      </w:r>
    </w:p>
    <w:p w14:paraId="7B4F05DE" w14:textId="77777777" w:rsidR="00525649" w:rsidRPr="000E564D" w:rsidRDefault="00B04106">
      <w:pPr>
        <w:tabs>
          <w:tab w:val="left" w:pos="1276"/>
        </w:tabs>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w:t>
      </w:r>
    </w:p>
    <w:p w14:paraId="21A11ED8" w14:textId="77777777" w:rsidR="00525649" w:rsidRPr="000E564D" w:rsidRDefault="00B04106">
      <w:pPr>
        <w:tabs>
          <w:tab w:val="left" w:pos="1276"/>
        </w:tabs>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IX. Datos personales</w:t>
      </w:r>
      <w:r w:rsidRPr="000E564D">
        <w:rPr>
          <w:rFonts w:ascii="Palatino Linotype" w:eastAsia="Palatino Linotype" w:hAnsi="Palatino Linotype" w:cs="Palatino Linotype"/>
          <w:i/>
          <w:sz w:val="22"/>
          <w:szCs w:val="22"/>
        </w:rPr>
        <w:t>: La información concerniente a una persona, identificada o identificable según lo dispuesto por la Ley de Protección de Datos Personales del Estado de México;</w:t>
      </w:r>
    </w:p>
    <w:p w14:paraId="3D290E6C" w14:textId="77777777" w:rsidR="00525649" w:rsidRPr="000E564D" w:rsidRDefault="00B04106">
      <w:pPr>
        <w:tabs>
          <w:tab w:val="left" w:pos="1276"/>
        </w:tabs>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w:t>
      </w:r>
    </w:p>
    <w:p w14:paraId="6B1B29C9" w14:textId="77777777" w:rsidR="00525649" w:rsidRPr="000E564D" w:rsidRDefault="00B04106">
      <w:pPr>
        <w:tabs>
          <w:tab w:val="left" w:pos="1276"/>
        </w:tabs>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XX. Información clasificada</w:t>
      </w:r>
      <w:r w:rsidRPr="000E564D">
        <w:rPr>
          <w:rFonts w:ascii="Palatino Linotype" w:eastAsia="Palatino Linotype" w:hAnsi="Palatino Linotype" w:cs="Palatino Linotype"/>
          <w:i/>
          <w:sz w:val="22"/>
          <w:szCs w:val="22"/>
        </w:rPr>
        <w:t>: Aquella considerada por la presente Ley como reservada o confidencial;</w:t>
      </w:r>
    </w:p>
    <w:p w14:paraId="0C1EFB16" w14:textId="77777777" w:rsidR="00525649" w:rsidRPr="000E564D" w:rsidRDefault="00B04106">
      <w:pPr>
        <w:tabs>
          <w:tab w:val="left" w:pos="1276"/>
        </w:tabs>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XXI. Información confidencial</w:t>
      </w:r>
      <w:r w:rsidRPr="000E564D">
        <w:rPr>
          <w:rFonts w:ascii="Palatino Linotype" w:eastAsia="Palatino Linotype" w:hAnsi="Palatino Linotype" w:cs="Palatino Linotype"/>
          <w:i/>
          <w:sz w:val="22"/>
          <w:szCs w:val="22"/>
        </w:rPr>
        <w:t>: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1B93203C" w14:textId="77777777" w:rsidR="00525649" w:rsidRPr="000E564D" w:rsidRDefault="00B04106">
      <w:pPr>
        <w:tabs>
          <w:tab w:val="left" w:pos="1276"/>
        </w:tabs>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w:t>
      </w:r>
    </w:p>
    <w:p w14:paraId="76485BD6" w14:textId="77777777" w:rsidR="00525649" w:rsidRPr="000E564D" w:rsidRDefault="00B04106">
      <w:pPr>
        <w:tabs>
          <w:tab w:val="left" w:pos="1276"/>
        </w:tabs>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XXXII. Protección de Datos Personales</w:t>
      </w:r>
      <w:r w:rsidRPr="000E564D">
        <w:rPr>
          <w:rFonts w:ascii="Palatino Linotype" w:eastAsia="Palatino Linotype" w:hAnsi="Palatino Linotype" w:cs="Palatino Linotype"/>
          <w:i/>
          <w:sz w:val="22"/>
          <w:szCs w:val="22"/>
        </w:rPr>
        <w:t>: Derecho humano que tutela la privacidad de datos personales en poder de los sujetos obligados y sujetos particulares;</w:t>
      </w:r>
    </w:p>
    <w:p w14:paraId="50F809DE" w14:textId="77777777" w:rsidR="00525649" w:rsidRPr="000E564D" w:rsidRDefault="00B04106">
      <w:pPr>
        <w:tabs>
          <w:tab w:val="left" w:pos="1276"/>
        </w:tabs>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w:t>
      </w:r>
    </w:p>
    <w:p w14:paraId="569F5D7E" w14:textId="77777777" w:rsidR="00525649" w:rsidRPr="000E564D" w:rsidRDefault="00B04106">
      <w:pPr>
        <w:tabs>
          <w:tab w:val="left" w:pos="1276"/>
        </w:tabs>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XLV. Versión pública</w:t>
      </w:r>
      <w:r w:rsidRPr="000E564D">
        <w:rPr>
          <w:rFonts w:ascii="Palatino Linotype" w:eastAsia="Palatino Linotype" w:hAnsi="Palatino Linotype" w:cs="Palatino Linotype"/>
          <w:i/>
          <w:sz w:val="22"/>
          <w:szCs w:val="22"/>
        </w:rPr>
        <w:t>: Documento en el que se elimine, suprime o borra la información clasificada como reservada o confidencial para permitir su acceso.</w:t>
      </w:r>
    </w:p>
    <w:p w14:paraId="3AD28E6E" w14:textId="77777777" w:rsidR="00525649" w:rsidRPr="000E564D" w:rsidRDefault="00B04106">
      <w:pPr>
        <w:spacing w:before="120" w:after="120"/>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 Artículo 6</w:t>
      </w:r>
      <w:r w:rsidRPr="000E564D">
        <w:rPr>
          <w:rFonts w:ascii="Palatino Linotype" w:eastAsia="Palatino Linotype" w:hAnsi="Palatino Linotype" w:cs="Palatino Linotype"/>
          <w:i/>
          <w:sz w:val="22"/>
          <w:szCs w:val="22"/>
        </w:rPr>
        <w:t xml:space="preserve">. Los datos personales son irrenunciables, intransferibles e indelegables, por lo que los sujetos obligados no deberán proporcionar o hacer pública la información que contenga, con excepción de aquellos casos en que </w:t>
      </w:r>
      <w:r w:rsidRPr="000E564D">
        <w:rPr>
          <w:rFonts w:ascii="Palatino Linotype" w:eastAsia="Palatino Linotype" w:hAnsi="Palatino Linotype" w:cs="Palatino Linotype"/>
          <w:i/>
          <w:sz w:val="22"/>
          <w:szCs w:val="22"/>
        </w:rPr>
        <w:lastRenderedPageBreak/>
        <w:t>deban hacerlo en observancia de las disposiciones aplicables. En el caso de los derechos de acceso, rectificación, cancelación u oposición; los principios, procedimientos, medidas de seguridad en el tratamiento y demás disposiciones en materia de datos personales, se deberá estar a lo dispuesto en las leyes de la materia.</w:t>
      </w:r>
    </w:p>
    <w:p w14:paraId="3AAEDBC4" w14:textId="77777777" w:rsidR="00525649" w:rsidRPr="000E564D" w:rsidRDefault="00B04106">
      <w:pPr>
        <w:spacing w:before="120" w:after="120"/>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 (…)</w:t>
      </w:r>
    </w:p>
    <w:p w14:paraId="6131C4D2" w14:textId="77777777" w:rsidR="00525649" w:rsidRPr="000E564D" w:rsidRDefault="00B04106">
      <w:pPr>
        <w:spacing w:before="120" w:after="120"/>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Artículo 91.</w:t>
      </w:r>
      <w:r w:rsidRPr="000E564D">
        <w:rPr>
          <w:rFonts w:ascii="Palatino Linotype" w:eastAsia="Palatino Linotype" w:hAnsi="Palatino Linotype" w:cs="Palatino Linotype"/>
          <w:i/>
          <w:sz w:val="22"/>
          <w:szCs w:val="22"/>
        </w:rPr>
        <w:t xml:space="preserve"> El acceso a la información pública será restringido excepcionalmente, cuando ésta sea clasificada como reservada o confidencial.</w:t>
      </w:r>
    </w:p>
    <w:p w14:paraId="4D58853A" w14:textId="77777777" w:rsidR="00525649" w:rsidRPr="000E564D" w:rsidRDefault="00B04106">
      <w:pPr>
        <w:spacing w:before="120" w:after="120"/>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w:t>
      </w:r>
    </w:p>
    <w:p w14:paraId="57FBF336" w14:textId="77777777" w:rsidR="00525649" w:rsidRPr="000E564D" w:rsidRDefault="00B04106">
      <w:pPr>
        <w:spacing w:before="120" w:after="120"/>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Artículo 137.</w:t>
      </w:r>
      <w:r w:rsidRPr="000E564D">
        <w:rPr>
          <w:rFonts w:ascii="Palatino Linotype" w:eastAsia="Palatino Linotype" w:hAnsi="Palatino Linotype" w:cs="Palatino Linotype"/>
          <w:i/>
          <w:sz w:val="22"/>
          <w:szCs w:val="22"/>
        </w:rPr>
        <w:t xml:space="preserve"> 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 de manera genérica y fundando y motivando su clasificación.</w:t>
      </w:r>
    </w:p>
    <w:p w14:paraId="77AE4318" w14:textId="77777777" w:rsidR="00525649" w:rsidRPr="000E564D" w:rsidRDefault="00B04106">
      <w:pPr>
        <w:spacing w:before="120" w:after="120"/>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 Artículo 143.</w:t>
      </w:r>
      <w:r w:rsidRPr="000E564D">
        <w:rPr>
          <w:rFonts w:ascii="Palatino Linotype" w:eastAsia="Palatino Linotype" w:hAnsi="Palatino Linotype" w:cs="Palatino Linotype"/>
          <w:i/>
          <w:sz w:val="22"/>
          <w:szCs w:val="22"/>
        </w:rPr>
        <w:t xml:space="preserve"> Para los efectos de esta Ley se considera información confidencial, la clasificada como tal, de manera permanente, por su naturaleza, cuando:</w:t>
      </w:r>
    </w:p>
    <w:p w14:paraId="7350DFCF" w14:textId="77777777" w:rsidR="00525649" w:rsidRPr="000E564D" w:rsidRDefault="00B04106">
      <w:pPr>
        <w:spacing w:before="120" w:after="120"/>
        <w:ind w:left="1134"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w:t>
      </w:r>
      <w:r w:rsidRPr="000E564D">
        <w:rPr>
          <w:rFonts w:ascii="Palatino Linotype" w:eastAsia="Palatino Linotype" w:hAnsi="Palatino Linotype" w:cs="Palatino Linotype"/>
          <w:i/>
          <w:sz w:val="22"/>
          <w:szCs w:val="22"/>
        </w:rPr>
        <w:t xml:space="preserve"> Se refiera a la información privada y los datos personales concernientes a una persona física o jurídico colectiva identificada o identificable...”</w:t>
      </w:r>
    </w:p>
    <w:p w14:paraId="00A6FE37" w14:textId="77777777" w:rsidR="00525649" w:rsidRPr="000E564D" w:rsidRDefault="00B04106">
      <w:pPr>
        <w:spacing w:before="240" w:after="240" w:line="360" w:lineRule="auto"/>
        <w:ind w:right="50"/>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De los preceptos anteriores se desprende que cuando un documento que vaya a ser entregado vía acceso a la información pública, contenga tanto información de interés público como información que debe ser clasificada, se hará la entrega del mismo, testando las secciones o datos que deban ser clasificados; por ende el </w:t>
      </w:r>
      <w:r w:rsidRPr="000E564D">
        <w:rPr>
          <w:rFonts w:ascii="Palatino Linotype" w:eastAsia="Palatino Linotype" w:hAnsi="Palatino Linotype" w:cs="Palatino Linotype"/>
          <w:b/>
        </w:rPr>
        <w:t>Sujeto Obligado</w:t>
      </w:r>
      <w:r w:rsidRPr="000E564D">
        <w:rPr>
          <w:rFonts w:ascii="Palatino Linotype" w:eastAsia="Palatino Linotype" w:hAnsi="Palatino Linotype" w:cs="Palatino Linotype"/>
        </w:rPr>
        <w:t xml:space="preserve"> deberá proceder a testar los datos personales que se encuentre contenidos en los documentos a entregar para satisfacer el derecho de acceso a la información pública de la parte Recurrente, esto es, los datos concernientes a una persona identificada o identificable, o aquellos datos que tengan el carácter de sensibles, es decir los que afectan  la esfera más íntima de su titular o cuya utilización indebida pueda dar origen a discriminación o conlleven un riesgo grave para aquel de acuerdo a los que señala la fracción XII del artículo 4 de la Ley de Protección de Datos Personales en posesión de Sujeto Obligados del Estado de México.</w:t>
      </w:r>
    </w:p>
    <w:p w14:paraId="21733AC1" w14:textId="77777777" w:rsidR="00525649" w:rsidRPr="000E564D" w:rsidRDefault="00B04106">
      <w:pPr>
        <w:spacing w:before="240" w:after="240" w:line="360" w:lineRule="auto"/>
        <w:ind w:right="50"/>
        <w:jc w:val="both"/>
        <w:rPr>
          <w:rFonts w:ascii="Palatino Linotype" w:eastAsia="Palatino Linotype" w:hAnsi="Palatino Linotype" w:cs="Palatino Linotype"/>
        </w:rPr>
      </w:pPr>
      <w:r w:rsidRPr="000E564D">
        <w:rPr>
          <w:rFonts w:ascii="Palatino Linotype" w:eastAsia="Palatino Linotype" w:hAnsi="Palatino Linotype" w:cs="Palatino Linotype"/>
        </w:rPr>
        <w:lastRenderedPageBreak/>
        <w:t>Datos que deberá clasificar como confidenciales por tratarse precisamente de información privada, puesto que los datos personales son irrenunciables, intransferibles e indelegables y los Sujetos Obligados no deberán hacer entrega de los mismos a personas ajenas a su titular.</w:t>
      </w:r>
    </w:p>
    <w:p w14:paraId="5CA1CF7C"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En el caso específico, dada la naturaleza de la información que se ordena, si bien tiene el carácter información pública en razón de que se trata de documentos que se encuentran en posesión del </w:t>
      </w:r>
      <w:r w:rsidRPr="000E564D">
        <w:rPr>
          <w:rFonts w:ascii="Palatino Linotype" w:eastAsia="Palatino Linotype" w:hAnsi="Palatino Linotype" w:cs="Palatino Linotype"/>
          <w:b/>
        </w:rPr>
        <w:t>Sujeto Obligado</w:t>
      </w:r>
      <w:r w:rsidRPr="000E564D">
        <w:rPr>
          <w:rFonts w:ascii="Palatino Linotype" w:eastAsia="Palatino Linotype" w:hAnsi="Palatino Linotype" w:cs="Palatino Linotype"/>
        </w:rPr>
        <w:t xml:space="preserve">, derivado del ejercicio de sus atribuciones, tal como quedo acotado en el cuerpo de la presente Resolución, también contienen los datos personales de servidores públicos, que de hacerse públicos afectarían su intimidad y vida privada; es por ello que es criterio reiterado en las resoluciones de este Pleno que, además de los datos especificados en la Ley de Transparencia y Acceso a la Información Pública del Estado de México y Municipios, se consideran confidenciales y por tanto deben testarse al momento de la elaboración de versiones públicas, de manera enunciativa más no limitativa, el </w:t>
      </w:r>
      <w:r w:rsidRPr="000E564D">
        <w:rPr>
          <w:rFonts w:ascii="Palatino Linotype" w:eastAsia="Palatino Linotype" w:hAnsi="Palatino Linotype" w:cs="Palatino Linotype"/>
          <w:b/>
        </w:rPr>
        <w:t>Registro Federal de Contribuyentes</w:t>
      </w:r>
      <w:r w:rsidRPr="000E564D">
        <w:rPr>
          <w:rFonts w:ascii="Palatino Linotype" w:eastAsia="Palatino Linotype" w:hAnsi="Palatino Linotype" w:cs="Palatino Linotype"/>
        </w:rPr>
        <w:t xml:space="preserve"> (RFC), la </w:t>
      </w:r>
      <w:r w:rsidRPr="000E564D">
        <w:rPr>
          <w:rFonts w:ascii="Palatino Linotype" w:eastAsia="Palatino Linotype" w:hAnsi="Palatino Linotype" w:cs="Palatino Linotype"/>
          <w:b/>
        </w:rPr>
        <w:t>Clave Única de Registro de Población</w:t>
      </w:r>
      <w:r w:rsidRPr="000E564D">
        <w:rPr>
          <w:rFonts w:ascii="Palatino Linotype" w:eastAsia="Palatino Linotype" w:hAnsi="Palatino Linotype" w:cs="Palatino Linotype"/>
        </w:rPr>
        <w:t xml:space="preserve"> (CURP), la </w:t>
      </w:r>
      <w:r w:rsidRPr="000E564D">
        <w:rPr>
          <w:rFonts w:ascii="Palatino Linotype" w:eastAsia="Palatino Linotype" w:hAnsi="Palatino Linotype" w:cs="Palatino Linotype"/>
          <w:b/>
        </w:rPr>
        <w:t>Clave de cualquier tipo de seguridad social</w:t>
      </w:r>
      <w:r w:rsidRPr="000E564D">
        <w:rPr>
          <w:rFonts w:ascii="Palatino Linotype" w:eastAsia="Palatino Linotype" w:hAnsi="Palatino Linotype" w:cs="Palatino Linotype"/>
        </w:rPr>
        <w:t xml:space="preserve"> (ISSEMYM, u otros), </w:t>
      </w:r>
      <w:r w:rsidRPr="000E564D">
        <w:rPr>
          <w:rFonts w:ascii="Palatino Linotype" w:eastAsia="Palatino Linotype" w:hAnsi="Palatino Linotype" w:cs="Palatino Linotype"/>
          <w:b/>
        </w:rPr>
        <w:t xml:space="preserve">número de empleado, </w:t>
      </w:r>
      <w:r w:rsidRPr="000E564D">
        <w:rPr>
          <w:rFonts w:ascii="Palatino Linotype" w:eastAsia="Palatino Linotype" w:hAnsi="Palatino Linotype" w:cs="Palatino Linotype"/>
        </w:rPr>
        <w:t>entre otros,</w:t>
      </w:r>
      <w:r w:rsidRPr="000E564D">
        <w:rPr>
          <w:rFonts w:ascii="Palatino Linotype" w:eastAsia="Palatino Linotype" w:hAnsi="Palatino Linotype" w:cs="Palatino Linotype"/>
          <w:b/>
        </w:rPr>
        <w:t xml:space="preserve"> </w:t>
      </w:r>
      <w:r w:rsidRPr="000E564D">
        <w:rPr>
          <w:rFonts w:ascii="Palatino Linotype" w:eastAsia="Palatino Linotype" w:hAnsi="Palatino Linotype" w:cs="Palatino Linotype"/>
        </w:rPr>
        <w:t xml:space="preserve">bajo las siguientes consideraciones. </w:t>
      </w:r>
    </w:p>
    <w:p w14:paraId="46A1B76D" w14:textId="77777777" w:rsidR="00525649" w:rsidRPr="000E564D" w:rsidRDefault="00B04106">
      <w:pPr>
        <w:spacing w:before="240" w:after="240" w:line="360" w:lineRule="auto"/>
        <w:ind w:right="50"/>
        <w:jc w:val="both"/>
        <w:rPr>
          <w:rFonts w:ascii="Palatino Linotype" w:eastAsia="Palatino Linotype" w:hAnsi="Palatino Linotype" w:cs="Palatino Linotype"/>
        </w:rPr>
      </w:pPr>
      <w:r w:rsidRPr="000E564D">
        <w:rPr>
          <w:rFonts w:ascii="Palatino Linotype" w:eastAsia="Palatino Linotype" w:hAnsi="Palatino Linotype" w:cs="Palatino Linotype"/>
        </w:rPr>
        <w:t>Datos que deberá clasificar como confidenciales por tratarse precisamente de información privada, puesto que los datos personales son irrenunciables, intransferibles e indelegables y los Sujetos Obligados no deberán hacer entrega de los mismos a personas ajenas a su titular.</w:t>
      </w:r>
    </w:p>
    <w:p w14:paraId="4506BDFE"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Por cuanto hace al Registro Federal de Contribuyentes de las personas físicas, constituye un dato personal, pues se genera con caracteres alfanuméricos a partir </w:t>
      </w:r>
      <w:r w:rsidRPr="000E564D">
        <w:rPr>
          <w:rFonts w:ascii="Palatino Linotype" w:eastAsia="Palatino Linotype" w:hAnsi="Palatino Linotype" w:cs="Palatino Linotype"/>
        </w:rPr>
        <w:lastRenderedPageBreak/>
        <w:t xml:space="preserve">del nombre y la fecha de nacimiento de cada persona, y finalmente la </w:t>
      </w:r>
      <w:proofErr w:type="spellStart"/>
      <w:r w:rsidRPr="000E564D">
        <w:rPr>
          <w:rFonts w:ascii="Palatino Linotype" w:eastAsia="Palatino Linotype" w:hAnsi="Palatino Linotype" w:cs="Palatino Linotype"/>
        </w:rPr>
        <w:t>homoclave</w:t>
      </w:r>
      <w:proofErr w:type="spellEnd"/>
      <w:r w:rsidRPr="000E564D">
        <w:rPr>
          <w:rFonts w:ascii="Palatino Linotype" w:eastAsia="Palatino Linotype" w:hAnsi="Palatino Linotype" w:cs="Palatino Linotype"/>
        </w:rPr>
        <w:t>, por lo que para su obtención es necesario acreditar ante la autoridad fiscal previamente la identidad de la persona, su fecha de nacimiento, entre otros aspectos.</w:t>
      </w:r>
    </w:p>
    <w:p w14:paraId="2EB39A9B"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Ahora bien, las personas físicas tramitan su inscripción en el registro con el propósito de realizar —mediante esa clave de identificación— operaciones o actividades de naturaleza fiscal, la cual, les permite hacerse identificables respecto de una situación fiscal determinada.</w:t>
      </w:r>
    </w:p>
    <w:p w14:paraId="3B3F0446"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Lo anterior es compartido por el Instituto Nacional de Transparencia, Acceso a la Información y Protección de Datos Personales, INAI, a través del Criterio 19/17, el cual es del tenor literal siguiente:</w:t>
      </w:r>
    </w:p>
    <w:p w14:paraId="7B93D4B5" w14:textId="77777777" w:rsidR="00525649" w:rsidRPr="000E564D" w:rsidRDefault="00B04106">
      <w:pPr>
        <w:ind w:left="851" w:right="90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 xml:space="preserve"> “Registro Federal de Contribuyentes (RFC) de personas físicas</w:t>
      </w:r>
      <w:r w:rsidRPr="000E564D">
        <w:rPr>
          <w:rFonts w:ascii="Palatino Linotype" w:eastAsia="Palatino Linotype" w:hAnsi="Palatino Linotype" w:cs="Palatino Linotype"/>
          <w:i/>
          <w:sz w:val="22"/>
          <w:szCs w:val="22"/>
        </w:rPr>
        <w:t>. El RFC es una clave de carácter fiscal, única e irrepetible, que permite identificar al titular, su edad y fecha de nacimiento, por lo que es un dato personal de carácter confidencial.”</w:t>
      </w:r>
    </w:p>
    <w:p w14:paraId="71541771"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Así, el Registro Federal de Contribuyentes, RFC, se vincula al nombre de su titular y permite identificar la edad de la persona, su fecha de nacimiento, así como su </w:t>
      </w:r>
      <w:proofErr w:type="spellStart"/>
      <w:r w:rsidRPr="000E564D">
        <w:rPr>
          <w:rFonts w:ascii="Palatino Linotype" w:eastAsia="Palatino Linotype" w:hAnsi="Palatino Linotype" w:cs="Palatino Linotype"/>
        </w:rPr>
        <w:t>homoclave</w:t>
      </w:r>
      <w:proofErr w:type="spellEnd"/>
      <w:r w:rsidRPr="000E564D">
        <w:rPr>
          <w:rFonts w:ascii="Palatino Linotype" w:eastAsia="Palatino Linotype" w:hAnsi="Palatino Linotype" w:cs="Palatino Linotype"/>
        </w:rPr>
        <w:t>, la cual es única e irrepetible y determina la identificación de dicha persona para efectos fiscales, por lo que constituye un dato personal que concierne a una persona física identificada e identificable en términos de los artículos 3, fracción IX de la Ley de Transparencia y Acceso a la Información Pública del Estado de México y Municipios, y  4 fracciones XI y XII de la Ley de Protección de Datos Personales en Posesión de los Sujetos Obligados del Estado de México y Municipios.</w:t>
      </w:r>
    </w:p>
    <w:p w14:paraId="42143546"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De igual manera la Clave Única de Registro de Población, CURP, constituye un dato personal, ya que tiene como finalidad registrar a cada una de las personas que </w:t>
      </w:r>
      <w:r w:rsidRPr="000E564D">
        <w:rPr>
          <w:rFonts w:ascii="Palatino Linotype" w:eastAsia="Palatino Linotype" w:hAnsi="Palatino Linotype" w:cs="Palatino Linotype"/>
        </w:rPr>
        <w:lastRenderedPageBreak/>
        <w:t>integran la población del país, con datos que permitan certificar y acreditar fehacientemente su identidad, en virtud de que se integra por datos personales que únicamente le conciernen a un particular como son su fecha de nacimiento, su nombre, sus apellidos y su lugar de nacimiento; información que permite distinguirlo del resto de los habitantes, por tal motivo, se considera que es de carácter confidencial.</w:t>
      </w:r>
    </w:p>
    <w:p w14:paraId="1C4C9593"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Argumento que es compartido por el Instituto Nacional de Transparencia, Acceso a la Información y Protección de Datos Personales, INAI, conforme al criterio 18/17, el cual refiere:</w:t>
      </w:r>
    </w:p>
    <w:p w14:paraId="4112E565" w14:textId="77777777" w:rsidR="00525649" w:rsidRPr="000E564D" w:rsidRDefault="00B04106">
      <w:pPr>
        <w:ind w:left="851" w:right="851"/>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 xml:space="preserve"> “Clave Única de Registro de Población (CURP). </w:t>
      </w:r>
      <w:r w:rsidRPr="000E564D">
        <w:rPr>
          <w:rFonts w:ascii="Palatino Linotype" w:eastAsia="Palatino Linotype" w:hAnsi="Palatino Linotype" w:cs="Palatino Linotype"/>
          <w:i/>
          <w:sz w:val="22"/>
          <w:szCs w:val="22"/>
        </w:rPr>
        <w:t>La 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w:t>
      </w:r>
    </w:p>
    <w:p w14:paraId="0CF727FD"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Por lo que respecta a la clave de seguridad social, en virtud de que su divulgación no aporta a la transparencia o a la rendición de cuentas y sí provoca una transgresión a la vida privada e intimidad de la persona, esta información también resulta ser de carácter confidencial.</w:t>
      </w:r>
    </w:p>
    <w:p w14:paraId="00C5D5A7"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Con relación al </w:t>
      </w:r>
      <w:r w:rsidRPr="000E564D">
        <w:rPr>
          <w:rFonts w:ascii="Palatino Linotype" w:eastAsia="Palatino Linotype" w:hAnsi="Palatino Linotype" w:cs="Palatino Linotype"/>
          <w:b/>
        </w:rPr>
        <w:t>número de empleado</w:t>
      </w:r>
      <w:r w:rsidRPr="000E564D">
        <w:rPr>
          <w:rFonts w:ascii="Palatino Linotype" w:eastAsia="Palatino Linotype" w:hAnsi="Palatino Linotype" w:cs="Palatino Linotype"/>
        </w:rPr>
        <w:t xml:space="preserve"> debe precisarse que este constituye un código, en virtud del cual, los trabajadores pueden acceder a un sistema de datos o información de la dependencia o entidad a la que pertenecen, a fin de presentar </w:t>
      </w:r>
      <w:r w:rsidRPr="000E564D">
        <w:rPr>
          <w:rFonts w:ascii="Palatino Linotype" w:eastAsia="Palatino Linotype" w:hAnsi="Palatino Linotype" w:cs="Palatino Linotype"/>
        </w:rPr>
        <w:lastRenderedPageBreak/>
        <w:t>consultas relacionadas con su situación laboral particular, siendo un número único, permanente e intransferible que se asigna para llevar un registro de los trabajadores</w:t>
      </w:r>
      <w:r w:rsidRPr="000E564D">
        <w:rPr>
          <w:rFonts w:ascii="Palatino Linotype" w:eastAsia="Palatino Linotype" w:hAnsi="Palatino Linotype" w:cs="Palatino Linotype"/>
          <w:vertAlign w:val="superscript"/>
        </w:rPr>
        <w:footnoteReference w:id="6"/>
      </w:r>
      <w:r w:rsidRPr="000E564D">
        <w:rPr>
          <w:rFonts w:ascii="Palatino Linotype" w:eastAsia="Palatino Linotype" w:hAnsi="Palatino Linotype" w:cs="Palatino Linotype"/>
        </w:rPr>
        <w:t>.</w:t>
      </w:r>
    </w:p>
    <w:p w14:paraId="40A218BF"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Bajo esos argumentos, se entendería que la información relativa al número de empleado constituye información confidencial al tratarse de un número de identificación personal a través del cual se puede consultar la situación laboral personal, empero el Pleno del el Instituto Nacional de Transparencia, Acceso a la Información, y Protección de Datos Personales, </w:t>
      </w:r>
      <w:proofErr w:type="gramStart"/>
      <w:r w:rsidRPr="000E564D">
        <w:rPr>
          <w:rFonts w:ascii="Palatino Linotype" w:eastAsia="Palatino Linotype" w:hAnsi="Palatino Linotype" w:cs="Palatino Linotype"/>
        </w:rPr>
        <w:t>INAI  se</w:t>
      </w:r>
      <w:proofErr w:type="gramEnd"/>
      <w:r w:rsidRPr="000E564D">
        <w:rPr>
          <w:rFonts w:ascii="Palatino Linotype" w:eastAsia="Palatino Linotype" w:hAnsi="Palatino Linotype" w:cs="Palatino Linotype"/>
        </w:rPr>
        <w:t xml:space="preserve"> ha pronunciado sobre su publicidad, a través del criterio 06/19, que indica lo siguiente:</w:t>
      </w:r>
    </w:p>
    <w:p w14:paraId="259C3041" w14:textId="77777777" w:rsidR="00525649" w:rsidRPr="000E564D" w:rsidRDefault="00B04106">
      <w:pPr>
        <w:tabs>
          <w:tab w:val="left" w:pos="7655"/>
        </w:tabs>
        <w:spacing w:before="240" w:after="240"/>
        <w:ind w:left="993" w:right="99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 xml:space="preserve">“Número de empleado. </w:t>
      </w:r>
      <w:r w:rsidRPr="000E564D">
        <w:rPr>
          <w:rFonts w:ascii="Palatino Linotype" w:eastAsia="Palatino Linotype" w:hAnsi="Palatino Linotype" w:cs="Palatino Linotype"/>
          <w:i/>
          <w:sz w:val="22"/>
          <w:szCs w:val="22"/>
        </w:rPr>
        <w:t>Cuando el número de empleado o su equivalente, se integra con datos personales de los trabajadores o funciona como una clave de acceso que no requiere adicionalmente de una contraseña para ingresar a sistemas o bases de datos personales, procede su clasificación como información confidencial.”</w:t>
      </w:r>
    </w:p>
    <w:p w14:paraId="73F3FCE2"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En atención al criterio de interpretación, se advierten dos supuestos para catalogar la información concerniente al número de empleado o equivalente, el primero es considerar la información como confidencial, siempre y cuando se integre con datos personales o que permita acceder a ellos sin necesidad de alguna contraseña, y el segundo supuesto es considerar que la información es susceptible de entregarse siempre que requiera una contraseña para acceder a los datos personales o cuando su conformación no revele los mismos, por consiguiente, en el caso concreto, el </w:t>
      </w:r>
      <w:r w:rsidRPr="000E564D">
        <w:rPr>
          <w:rFonts w:ascii="Palatino Linotype" w:eastAsia="Palatino Linotype" w:hAnsi="Palatino Linotype" w:cs="Palatino Linotype"/>
          <w:b/>
        </w:rPr>
        <w:t>Sujeto Obligado</w:t>
      </w:r>
      <w:r w:rsidRPr="000E564D">
        <w:rPr>
          <w:rFonts w:ascii="Palatino Linotype" w:eastAsia="Palatino Linotype" w:hAnsi="Palatino Linotype" w:cs="Palatino Linotype"/>
        </w:rPr>
        <w:t xml:space="preserve"> deberá acatar lo establecido y de ser procedente, entregará el número de empleado o equivalente de los servidores públicos materia de la </w:t>
      </w:r>
      <w:r w:rsidRPr="000E564D">
        <w:rPr>
          <w:rFonts w:ascii="Palatino Linotype" w:eastAsia="Palatino Linotype" w:hAnsi="Palatino Linotype" w:cs="Palatino Linotype"/>
        </w:rPr>
        <w:lastRenderedPageBreak/>
        <w:t>solicitud, o en su caso, los clasificará como información confidencial, a través del Acuerdo emitido por su Comité de Transparencia conforme a la Ley de la Materia.</w:t>
      </w:r>
    </w:p>
    <w:p w14:paraId="7239710B"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Por otro lado, respecto de la información de la  Dirección General de Seguridad Pública y Protección, pudiera existir información que ponga en riesgo los integrantes de las corporaciones policiacas </w:t>
      </w:r>
      <w:r w:rsidRPr="000E564D">
        <w:rPr>
          <w:rFonts w:ascii="Palatino Linotype" w:eastAsia="Palatino Linotype" w:hAnsi="Palatino Linotype" w:cs="Palatino Linotype"/>
          <w:b/>
          <w:u w:val="single"/>
        </w:rPr>
        <w:t>activos,</w:t>
      </w:r>
      <w:r w:rsidRPr="000E564D">
        <w:rPr>
          <w:rFonts w:ascii="Palatino Linotype" w:eastAsia="Palatino Linotype" w:hAnsi="Palatino Linotype" w:cs="Palatino Linotype"/>
        </w:rPr>
        <w:t xml:space="preserve"> esto es así derivado de las funciones encomendadas en términos del artículo 21 párrafo noveno de la Constitución Política de los Estados Unidos Mexicanos, de las cuales comprende la prevención de los delitos, investigación y persecución para hacerla efectiva, lo cual permite a esta Ponencia proteger los datos de los servidores públicos que integran dicha Dirección </w:t>
      </w:r>
      <w:r w:rsidRPr="000E564D">
        <w:rPr>
          <w:rFonts w:ascii="Palatino Linotype" w:eastAsia="Palatino Linotype" w:hAnsi="Palatino Linotype" w:cs="Palatino Linotype"/>
          <w:b/>
          <w:u w:val="single"/>
        </w:rPr>
        <w:t>sólo por cuanto hace al nombre, cargo y horario</w:t>
      </w:r>
      <w:r w:rsidR="005A6232" w:rsidRPr="000E564D">
        <w:rPr>
          <w:rFonts w:ascii="Palatino Linotype" w:eastAsia="Palatino Linotype" w:hAnsi="Palatino Linotype" w:cs="Palatino Linotype"/>
          <w:b/>
          <w:u w:val="single"/>
        </w:rPr>
        <w:t xml:space="preserve"> laboral</w:t>
      </w:r>
      <w:r w:rsidRPr="000E564D">
        <w:rPr>
          <w:rFonts w:ascii="Palatino Linotype" w:eastAsia="Palatino Linotype" w:hAnsi="Palatino Linotype" w:cs="Palatino Linotype"/>
        </w:rPr>
        <w:t xml:space="preserve">, por lo que deberá testarse de igual manera esta información de los servidores públicos de la Policía Municipal </w:t>
      </w:r>
      <w:r w:rsidRPr="000E564D">
        <w:rPr>
          <w:rFonts w:ascii="Palatino Linotype" w:eastAsia="Palatino Linotype" w:hAnsi="Palatino Linotype" w:cs="Palatino Linotype"/>
          <w:b/>
        </w:rPr>
        <w:t>que desempeñen funciones operativas</w:t>
      </w:r>
      <w:r w:rsidRPr="000E564D">
        <w:rPr>
          <w:rFonts w:ascii="Palatino Linotype" w:eastAsia="Palatino Linotype" w:hAnsi="Palatino Linotype" w:cs="Palatino Linotype"/>
        </w:rPr>
        <w:t>.</w:t>
      </w:r>
    </w:p>
    <w:p w14:paraId="20B2B872"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Al respecto, la información </w:t>
      </w:r>
      <w:r w:rsidRPr="000E564D">
        <w:rPr>
          <w:rFonts w:ascii="Palatino Linotype" w:eastAsia="Palatino Linotype" w:hAnsi="Palatino Linotype" w:cs="Palatino Linotype"/>
          <w:b/>
        </w:rPr>
        <w:t>de los elementos que realizan funciones operativas, entre ellos su nombre, cargo, así como su horario de entrada y salida deben ser protegidos</w:t>
      </w:r>
      <w:r w:rsidRPr="000E564D">
        <w:rPr>
          <w:rFonts w:ascii="Palatino Linotype" w:eastAsia="Palatino Linotype" w:hAnsi="Palatino Linotype" w:cs="Palatino Linotype"/>
        </w:rPr>
        <w:t xml:space="preserve"> con la finalidad de evitar la identificación de las personas al amparo de la protección a la vida, salud y seguridad; porque los miembros de las instituciones policiales o que realizan actividades operativas en materia de seguridad pública, se encuentran en un régimen de excepción a diferencia de los servidores públicos con funciones administrativas, ello obedece a que el sólo ejercicio de las funciones que tienen encomendadas lleva implícito el riesgo a su integridad, toda vez que son responsables de procurar el orden, la estabilidad y la defensa de la sociedad a la que pertenecen, lo que se traduce en la prevención de delitos y combate a los delincuentes.</w:t>
      </w:r>
    </w:p>
    <w:p w14:paraId="035AB43A"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lastRenderedPageBreak/>
        <w:t>Asimismo, respecto a la hora de entrada y salida, al dar cuenta de manera puntual del horario de trabajo que determinado servidor público cumplió, durante cierto periodo de tiempo, se considera que su publicidad, en el caso concreto, pudiera poner en riesgo la integridad física de los elementos de seguridad pública dedicados a actividades operativas, al permitir que sea identificada la jornada laboral de determinado elemento y por tanto poner en riesgo su vida, más aún, suponiendo sin conceder, que el interés de la persona solicitante pudiera versar en conocer concretamente dichos datos con la finalidad de identificar a determinado elemento o elementos que pudieran haber participado en alguna detención en cumplimiento de sus funciones.</w:t>
      </w:r>
    </w:p>
    <w:p w14:paraId="49C0BB22"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Es importante mencionar que la causal de reserva puede ubicarse en los supuestos previstos por los artículos 140 fracción IV de la Ley de Transparencia y  Acceso a la Información Pública del Estado de México y Municipios, que a su vez se vincula con la diversa del artículo 113 fracción V de la Ley General de Transparencia y Acceso a la Información Pública, así como los requisitos previstos por los numerales Vigésimo tercero y Trigésimo tercero, de los Lineamientos generales en materia de clasificación y desclasificación de la información, así como para la elaboración de versiones públicas, al aplicar la prueba de daño correspondiente.</w:t>
      </w:r>
    </w:p>
    <w:p w14:paraId="01D7EBAF"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Como se ha referido es procedente la clasificación de la información como reservada, con el fin de no poner en riesgo su vida, salud y seguridad, dado que los hace identificables, y para no comprometer el cumplimiento de los objetivos en materia de seguridad pública, o bien, la consecución de la investigación de probables hechos delictivos y/o faltas administrativas; así como evitar que células delictivas neutralizar las acciones en materia de seguridad pública para la preservación del </w:t>
      </w:r>
      <w:r w:rsidRPr="000E564D">
        <w:rPr>
          <w:rFonts w:ascii="Palatino Linotype" w:eastAsia="Palatino Linotype" w:hAnsi="Palatino Linotype" w:cs="Palatino Linotype"/>
        </w:rPr>
        <w:lastRenderedPageBreak/>
        <w:t>orden y la paz pública, por lo que, no se trata de una medida desproporcional, ni excesiva.</w:t>
      </w:r>
    </w:p>
    <w:p w14:paraId="5379545E"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En ese entendido, la leyenda de clasificación que se genere, deberá establecer ambos supuestos de clasificación: reserva y confidencialidad, en congruencia con los requisitos establecidos en los lineamientos citados.</w:t>
      </w:r>
    </w:p>
    <w:p w14:paraId="70A6720A" w14:textId="77777777" w:rsidR="00525649" w:rsidRPr="000E564D" w:rsidRDefault="00B04106">
      <w:pPr>
        <w:spacing w:before="120" w:after="12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En este marco, cabe señalar que, si bien es cierto este Instituto de Transparencia, Acceso a la Información Pública y Protección de Datos Personales del Estado de México y Municipios tiene la misión de garantizar el derecho de acceso a la información pública de los particulares; también lo es que debe cuidar la protección de datos personales y sobre todo cuando traen implícito que se ponga en riesgo la vida o integridad de una persona, resulta necesario traer por analogía, el criterio de interpretación histórico 06/09, emitido por el entonces Instituto Federal de Acceso a la Información y Protección de Datos ahora Instituto Nacional de Transparencia, Acceso a la Información y Protección de Datos Personales, INAI, que establece lo siguiente:</w:t>
      </w:r>
    </w:p>
    <w:p w14:paraId="3C71DCF3" w14:textId="77777777" w:rsidR="00525649" w:rsidRPr="000E564D" w:rsidRDefault="00B04106">
      <w:pPr>
        <w:tabs>
          <w:tab w:val="left" w:pos="4962"/>
        </w:tabs>
        <w:spacing w:before="120" w:after="120"/>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“Nombres de servidores públicos dedicados a actividades en materia de seguridad, por excepción pueden considerarse información reservada.</w:t>
      </w:r>
      <w:r w:rsidRPr="000E564D">
        <w:rPr>
          <w:rFonts w:ascii="Palatino Linotype" w:eastAsia="Palatino Linotype" w:hAnsi="Palatino Linotype" w:cs="Palatino Linotype"/>
          <w:i/>
          <w:sz w:val="22"/>
          <w:szCs w:val="22"/>
        </w:rPr>
        <w:t xml:space="preserve"> De conformidad con el artículo 7, fracciones I y III de la Ley Federal de Transparencia y Acceso a la Información Pública Gubernamental el nombre de los servidores públicos es información de naturaleza pública. No </w:t>
      </w:r>
      <w:proofErr w:type="gramStart"/>
      <w:r w:rsidRPr="000E564D">
        <w:rPr>
          <w:rFonts w:ascii="Palatino Linotype" w:eastAsia="Palatino Linotype" w:hAnsi="Palatino Linotype" w:cs="Palatino Linotype"/>
          <w:i/>
          <w:sz w:val="22"/>
          <w:szCs w:val="22"/>
        </w:rPr>
        <w:t>obstante</w:t>
      </w:r>
      <w:proofErr w:type="gramEnd"/>
      <w:r w:rsidRPr="000E564D">
        <w:rPr>
          <w:rFonts w:ascii="Palatino Linotype" w:eastAsia="Palatino Linotype" w:hAnsi="Palatino Linotype" w:cs="Palatino Linotype"/>
          <w:i/>
          <w:sz w:val="22"/>
          <w:szCs w:val="22"/>
        </w:rPr>
        <w:t xml:space="preserve"> lo anterior, el mismo precepto establece la posibilidad de que existan excepciones a las obligaciones ahí establecidas cuando la información actualice algunos de los supuestos de reserva o confidencialidad previstos en los artículos 13, 14 y 18 de la citada ley. En este sentido, se debe señalar que existen funciones a cargo de servidores públicos, tendientes a garantizar de manera directa la seguridad nacional y pública, a través de acciones preventivas y correctivas encaminadas a combatir a la delincuencia en sus diferentes manifestaciones. Así, es pertinente señalar que en el artículo 13, fracción I de la ley de referencia se establece que podrá clasificarse </w:t>
      </w:r>
      <w:r w:rsidRPr="000E564D">
        <w:rPr>
          <w:rFonts w:ascii="Palatino Linotype" w:eastAsia="Palatino Linotype" w:hAnsi="Palatino Linotype" w:cs="Palatino Linotype"/>
          <w:i/>
          <w:sz w:val="22"/>
          <w:szCs w:val="22"/>
        </w:rPr>
        <w:lastRenderedPageBreak/>
        <w:t>aquella información cuya difusión pueda comprometer la seguridad nacional y pública. En este orden de ideas, una de las formas en que la delincuencia puede llegar a poner en riesgo la seguridad del país es precisamente anulando, impidiendo u obstaculizando la actuación de los servidores públicos que realizan funciones de carácter operativo, mediante el conocimiento de dicha situación, por lo que la reserva de la relación de los nombres y las funciones que desempeñan los servidores públicos que prestan sus servicios en áreas de seguridad nacional o pública, puede llegar a constituirse en un componente fundamental en el esfuerzo que realiza el Estado Mexicano para garantizar la seguridad del país en sus diferentes vertientes.”(Sic)</w:t>
      </w:r>
    </w:p>
    <w:p w14:paraId="77361EBB" w14:textId="77777777" w:rsidR="00525649" w:rsidRPr="000E564D" w:rsidRDefault="00B04106">
      <w:pPr>
        <w:spacing w:before="240" w:after="240" w:line="360" w:lineRule="auto"/>
        <w:jc w:val="both"/>
        <w:rPr>
          <w:rFonts w:ascii="Palatino Linotype" w:eastAsia="Palatino Linotype" w:hAnsi="Palatino Linotype" w:cs="Palatino Linotype"/>
          <w:b/>
        </w:rPr>
      </w:pPr>
      <w:r w:rsidRPr="000E564D">
        <w:rPr>
          <w:rFonts w:ascii="Palatino Linotype" w:eastAsia="Palatino Linotype" w:hAnsi="Palatino Linotype" w:cs="Palatino Linotype"/>
        </w:rPr>
        <w:t xml:space="preserve">De dicho criterio, se desprende que existen funciones a cargo de servidores públicos, tendentes a garantizar de manera directa la seguridad pública, a través de acciones preventivas y correctivas, encaminadas a combatir a la delincuencia en sus diferentes manifestaciones; por lo que, una forma en que la delincuencia puede llegar a poner en riesgo la seguridad del País, Estado y Municipio, anulando, impidiendo u obstaculizando la actuación de los servidores públicos que realizan </w:t>
      </w:r>
      <w:r w:rsidRPr="000E564D">
        <w:rPr>
          <w:rFonts w:ascii="Palatino Linotype" w:eastAsia="Palatino Linotype" w:hAnsi="Palatino Linotype" w:cs="Palatino Linotype"/>
          <w:b/>
        </w:rPr>
        <w:t>funciones de carácter operativo.</w:t>
      </w:r>
    </w:p>
    <w:p w14:paraId="7245DE92" w14:textId="77777777" w:rsidR="00525649" w:rsidRPr="000E564D" w:rsidRDefault="00B04106">
      <w:pPr>
        <w:spacing w:before="240" w:after="36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Sirven de sustento a lo anterior las tesis jurisprudenciales emitidas por la Suprema corte de Justicia de la Nación, que son del literal siguiente:</w:t>
      </w:r>
    </w:p>
    <w:p w14:paraId="7D7883F1" w14:textId="77777777" w:rsidR="00525649" w:rsidRPr="000E564D" w:rsidRDefault="00B04106">
      <w:pPr>
        <w:spacing w:before="120" w:after="120"/>
        <w:ind w:left="851" w:right="760"/>
        <w:jc w:val="both"/>
        <w:rPr>
          <w:rFonts w:ascii="Palatino Linotype" w:eastAsia="Palatino Linotype" w:hAnsi="Palatino Linotype" w:cs="Palatino Linotype"/>
          <w:b/>
          <w:i/>
          <w:sz w:val="22"/>
          <w:szCs w:val="22"/>
        </w:rPr>
      </w:pPr>
      <w:r w:rsidRPr="000E564D">
        <w:rPr>
          <w:rFonts w:ascii="Palatino Linotype" w:eastAsia="Palatino Linotype" w:hAnsi="Palatino Linotype" w:cs="Palatino Linotype"/>
          <w:b/>
          <w:i/>
          <w:sz w:val="22"/>
          <w:szCs w:val="22"/>
        </w:rPr>
        <w:t xml:space="preserve">“DERECHO A LA INFORMACIÓN. SU EJERCICIO SE ENCUENTRA LIMITADO TANTO POR LOS INTERESES NACIONALES Y DE LA SOCIEDAD, COMO POR LOS DERECHOS DE TERCEROS. </w:t>
      </w:r>
      <w:r w:rsidRPr="000E564D">
        <w:rPr>
          <w:rFonts w:ascii="Palatino Linotype" w:eastAsia="Palatino Linotype" w:hAnsi="Palatino Linotype" w:cs="Palatino Linotype"/>
          <w:i/>
          <w:sz w:val="22"/>
          <w:szCs w:val="22"/>
        </w:rPr>
        <w:t xml:space="preserve">El derecho a la información consagrado en la última parte del artículo 6o. de la Constitución Federal no es absoluto, sino que, como toda garantía, se halla sujeto a limitaciones o excepciones que se sustentan, fundamentalmente, en la protección de la seguridad nacional y en el respeto tanto a los intereses de la sociedad como a los derechos de los gobernados, limitaciones que, incluso, han dado origen a la figura jurídica del secreto de información que se conoce en la doctrina como "reserva de información" o "secreto burocrático". En estas condiciones, al encontrarse obligado el Estado, como sujeto pasivo de la citada garantía, a velar por dichos intereses, con apego a las normas constitucionales y legales, el mencionado derecho no puede ser </w:t>
      </w:r>
      <w:r w:rsidRPr="000E564D">
        <w:rPr>
          <w:rFonts w:ascii="Palatino Linotype" w:eastAsia="Palatino Linotype" w:hAnsi="Palatino Linotype" w:cs="Palatino Linotype"/>
          <w:i/>
          <w:sz w:val="22"/>
          <w:szCs w:val="22"/>
        </w:rPr>
        <w:lastRenderedPageBreak/>
        <w:t xml:space="preserve">garantizado indiscriminadamente, sino que el respeto a su ejercicio encuentra excepciones que lo regulan y a su vez lo garantizan, en atención a la materia a que se refiera; así, en cuanto a la seguridad nacional, se tienen normas que, por un lado, </w:t>
      </w:r>
      <w:r w:rsidRPr="000E564D">
        <w:rPr>
          <w:rFonts w:ascii="Palatino Linotype" w:eastAsia="Palatino Linotype" w:hAnsi="Palatino Linotype" w:cs="Palatino Linotype"/>
          <w:b/>
          <w:i/>
          <w:sz w:val="22"/>
          <w:szCs w:val="22"/>
        </w:rPr>
        <w:t>restringen el acceso a la información en esta materia, en razón de que su conocimiento público puede generar daños a los intereses nacionales y, por el otro, sancionan la inobservancia de esa reserva;</w:t>
      </w:r>
      <w:r w:rsidRPr="000E564D">
        <w:rPr>
          <w:rFonts w:ascii="Palatino Linotype" w:eastAsia="Palatino Linotype" w:hAnsi="Palatino Linotype" w:cs="Palatino Linotype"/>
          <w:i/>
          <w:sz w:val="22"/>
          <w:szCs w:val="22"/>
        </w:rPr>
        <w:t xml:space="preserve"> por lo que hace al interés social, se cuenta con normas que tienden a proteger la averiguación de los delitos, la salud y la moral públicas, </w:t>
      </w:r>
      <w:r w:rsidRPr="000E564D">
        <w:rPr>
          <w:rFonts w:ascii="Palatino Linotype" w:eastAsia="Palatino Linotype" w:hAnsi="Palatino Linotype" w:cs="Palatino Linotype"/>
          <w:b/>
          <w:i/>
          <w:sz w:val="22"/>
          <w:szCs w:val="22"/>
        </w:rPr>
        <w:t>mientras que por lo que respecta a la protección de la persona existen normas que protegen el derecho a la vida o a la privacidad de los gobernados.</w:t>
      </w:r>
      <w:r w:rsidRPr="000E564D">
        <w:rPr>
          <w:rFonts w:ascii="Palatino Linotype" w:eastAsia="Palatino Linotype" w:hAnsi="Palatino Linotype" w:cs="Palatino Linotype"/>
          <w:i/>
          <w:sz w:val="22"/>
          <w:szCs w:val="22"/>
        </w:rPr>
        <w:t>”</w:t>
      </w:r>
    </w:p>
    <w:p w14:paraId="136AACF7" w14:textId="77777777" w:rsidR="00525649" w:rsidRPr="000E564D" w:rsidRDefault="00B04106">
      <w:pPr>
        <w:spacing w:before="120" w:after="120"/>
        <w:ind w:left="851" w:right="76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“TRANSPARENCIA Y ACCESO A LA INFORMACIÓN PÚBLICA GUBERNAMENTAL. EL ARTÍCULO 14, FRACCIÓN I, DE LA LEY FEDERAL RELATIVA, NO VIOLA LA GARANTÍA DE ACCESO A LA INFORMACIÓN.</w:t>
      </w:r>
      <w:r w:rsidRPr="000E564D">
        <w:rPr>
          <w:rFonts w:ascii="Palatino Linotype" w:eastAsia="Palatino Linotype" w:hAnsi="Palatino Linotype" w:cs="Palatino Linotype"/>
          <w:i/>
          <w:sz w:val="22"/>
          <w:szCs w:val="22"/>
        </w:rPr>
        <w:t xml:space="preserve"> El Tribunal en Pleno de la Suprema Corte de Justicia de la Nación en la tesis P. LX/2000 de rubro: "DERECHO A LA INFORMACIÓN. SU EJERCICIO SE ENCUENTRA LIMITADO TANTO POR LOS INTERESES NACIONALES Y DE LA SOCIEDAD, COMO POR LOS DERECHOS DE TERCEROS.", publicada en el Semanario Judicial de la Federación y su Gaceta, Novena Época, Tomo XI, abril de 2000, página 74, estableció que el ejercicio del derecho a la información no es irrestricto, sino que tiene límites que se sustentan en la protección de la seguridad nacional y en el respeto a los intereses de la sociedad y a los derechos de los gobernados, en atención a la materia de que se trate. En ese sentido, el citado precepto, al remitir a diversas normas ordinarias que establezcan restricciones a la información, no viola la garantía de acceso a la información contenida en el artículo 6o. de la Constitución Política de los Estados Unidos Mexicanos, porque es jurídicamente adecuado que en las leyes reguladoras de cada materia, </w:t>
      </w:r>
      <w:r w:rsidRPr="000E564D">
        <w:rPr>
          <w:rFonts w:ascii="Palatino Linotype" w:eastAsia="Palatino Linotype" w:hAnsi="Palatino Linotype" w:cs="Palatino Linotype"/>
          <w:b/>
          <w:i/>
          <w:sz w:val="22"/>
          <w:szCs w:val="22"/>
        </w:rPr>
        <w:t>el legislador federal o local establezca las restricciones correspondientes y clasifique a determinados datos como confidenciales o reservados, con la condición de que tales límites atiendan a intereses públicos o de los particulares y encuentren justificación racional en función del bien jurídico a proteger, es decir, que exista proporcionalidad y congruencia entre el derecho fundamental de que se trata y la razón que motive la restricción legislativa correspondiente</w:t>
      </w:r>
      <w:r w:rsidRPr="000E564D">
        <w:rPr>
          <w:rFonts w:ascii="Palatino Linotype" w:eastAsia="Palatino Linotype" w:hAnsi="Palatino Linotype" w:cs="Palatino Linotype"/>
          <w:i/>
          <w:sz w:val="22"/>
          <w:szCs w:val="22"/>
        </w:rPr>
        <w:t>, la cual debe ser adecuada y necesaria para alcanzar el fin perseguido, de manera que las ventajas obtenidas con la reserva compensen el sacrificio que ésta implique para los titulares de la garantía individual mencionada o para la sociedad en general.”</w:t>
      </w:r>
    </w:p>
    <w:p w14:paraId="7E7A2F4E" w14:textId="77777777" w:rsidR="00525649" w:rsidRPr="000E564D" w:rsidRDefault="00B04106">
      <w:pPr>
        <w:widowControl w:val="0"/>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El Acuerdo de Clasificación de Información, se emitirá en términos de lo dispuesto tanto como en los en los artículos 128 y 129 de la Ley de Transparencia y Acceso a la </w:t>
      </w:r>
      <w:r w:rsidRPr="000E564D">
        <w:rPr>
          <w:rFonts w:ascii="Palatino Linotype" w:eastAsia="Palatino Linotype" w:hAnsi="Palatino Linotype" w:cs="Palatino Linotype"/>
        </w:rPr>
        <w:lastRenderedPageBreak/>
        <w:t xml:space="preserve">Información Pública del Estado de México y Municipios, como en los Lineamientos Generales en Materia de Clasificación y Desclasificación de la Información, así como para la elaboración de Versiones Públicas, publicados en el Diario Oficial de la Federación en fecha quince de abril de la presente anualidad, mediante ACUERDO del Consejo Nacional del Sistema Nacional de Transparencia, Acceso a la Información Pública y Protección de Datos Personales, motivando la referida clasificación al señalar las </w:t>
      </w:r>
      <w:r w:rsidRPr="000E564D">
        <w:rPr>
          <w:rFonts w:ascii="Palatino Linotype" w:eastAsia="Palatino Linotype" w:hAnsi="Palatino Linotype" w:cs="Palatino Linotype"/>
          <w:b/>
          <w:u w:val="single"/>
        </w:rPr>
        <w:t>razones, motivos o circunstancias especiales</w:t>
      </w:r>
      <w:r w:rsidRPr="000E564D">
        <w:rPr>
          <w:rFonts w:ascii="Palatino Linotype" w:eastAsia="Palatino Linotype" w:hAnsi="Palatino Linotype" w:cs="Palatino Linotype"/>
        </w:rPr>
        <w:t xml:space="preserve"> que lo llevaron a concluir que el caso concreto, se ajustó a los supuestos previstos en la normatividad legal invocada como fundamento, para dichos efectos, debe proceder a su vez a realizar una prueba de daño, en la que se justificaran las razones, motivos y circunstancias que avalen que la divulgación de la información representa un riesgo real, demostrable e identificable de perjuicio significativo al interés público o a la seguridad nacional; que el riesgo de perjuicio que supondría la divulgación supera el interés público general de que se difunda, y que la limitación sea adecuada al principio de proporcionalidad y representa el medio menos restrictivo disponible para evitar el perjuicio.</w:t>
      </w:r>
    </w:p>
    <w:p w14:paraId="3075D0A7" w14:textId="77777777" w:rsidR="00525649" w:rsidRPr="000E564D" w:rsidRDefault="00B04106">
      <w:pPr>
        <w:spacing w:before="240" w:after="240" w:line="360" w:lineRule="auto"/>
        <w:ind w:right="50"/>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En tal contexto, es de señalar que la clasificación de la información no opera con la simple supresión de datos que se haga en los documentos de que se trate o con la simple decisión que tome el Servidor Público Habilitado o el </w:t>
      </w:r>
      <w:proofErr w:type="gramStart"/>
      <w:r w:rsidRPr="000E564D">
        <w:rPr>
          <w:rFonts w:ascii="Palatino Linotype" w:eastAsia="Palatino Linotype" w:hAnsi="Palatino Linotype" w:cs="Palatino Linotype"/>
        </w:rPr>
        <w:t>Responsable</w:t>
      </w:r>
      <w:proofErr w:type="gramEnd"/>
      <w:r w:rsidRPr="000E564D">
        <w:rPr>
          <w:rFonts w:ascii="Palatino Linotype" w:eastAsia="Palatino Linotype" w:hAnsi="Palatino Linotype" w:cs="Palatino Linotype"/>
        </w:rPr>
        <w:t xml:space="preserve"> de la Unidad de Transparencia del Sujeto Obligado, sino que ello deberá realizarse en términos de lo que disponen los artículos 49 fracción VIII, 53, fracción X y 59, fracción V, de la Ley en consulta, cuyo sentido literal es el siguiente:</w:t>
      </w:r>
    </w:p>
    <w:p w14:paraId="32D26053" w14:textId="77777777" w:rsidR="00525649" w:rsidRPr="000E564D" w:rsidRDefault="00B04106">
      <w:pPr>
        <w:spacing w:before="120" w:after="120"/>
        <w:ind w:left="851" w:right="90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“Artículo 49.</w:t>
      </w:r>
      <w:r w:rsidRPr="000E564D">
        <w:rPr>
          <w:rFonts w:ascii="Palatino Linotype" w:eastAsia="Palatino Linotype" w:hAnsi="Palatino Linotype" w:cs="Palatino Linotype"/>
          <w:i/>
          <w:sz w:val="22"/>
          <w:szCs w:val="22"/>
        </w:rPr>
        <w:t xml:space="preserve"> </w:t>
      </w:r>
      <w:r w:rsidRPr="000E564D">
        <w:rPr>
          <w:rFonts w:ascii="Palatino Linotype" w:eastAsia="Palatino Linotype" w:hAnsi="Palatino Linotype" w:cs="Palatino Linotype"/>
          <w:b/>
          <w:i/>
          <w:sz w:val="22"/>
          <w:szCs w:val="22"/>
        </w:rPr>
        <w:t>Los Comités de Transparencia</w:t>
      </w:r>
      <w:r w:rsidRPr="000E564D">
        <w:rPr>
          <w:rFonts w:ascii="Palatino Linotype" w:eastAsia="Palatino Linotype" w:hAnsi="Palatino Linotype" w:cs="Palatino Linotype"/>
          <w:i/>
          <w:sz w:val="22"/>
          <w:szCs w:val="22"/>
        </w:rPr>
        <w:t xml:space="preserve"> tendrán las siguientes atribuciones:</w:t>
      </w:r>
    </w:p>
    <w:p w14:paraId="4BC618D5" w14:textId="77777777" w:rsidR="00525649" w:rsidRPr="000E564D" w:rsidRDefault="00B04106">
      <w:pPr>
        <w:spacing w:before="120" w:after="120"/>
        <w:ind w:left="993" w:right="90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lastRenderedPageBreak/>
        <w:t>VIII. Aprobar, modificar o revocar la clasificación de la información</w:t>
      </w:r>
      <w:r w:rsidRPr="000E564D">
        <w:rPr>
          <w:rFonts w:ascii="Palatino Linotype" w:eastAsia="Palatino Linotype" w:hAnsi="Palatino Linotype" w:cs="Palatino Linotype"/>
          <w:i/>
          <w:sz w:val="22"/>
          <w:szCs w:val="22"/>
        </w:rPr>
        <w:t>…”</w:t>
      </w:r>
    </w:p>
    <w:p w14:paraId="09B38491" w14:textId="77777777" w:rsidR="00525649" w:rsidRPr="000E564D" w:rsidRDefault="00B04106">
      <w:pPr>
        <w:spacing w:before="120" w:after="120"/>
        <w:ind w:left="851" w:right="90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w:t>
      </w:r>
      <w:r w:rsidRPr="000E564D">
        <w:rPr>
          <w:rFonts w:ascii="Palatino Linotype" w:eastAsia="Palatino Linotype" w:hAnsi="Palatino Linotype" w:cs="Palatino Linotype"/>
          <w:b/>
          <w:i/>
          <w:sz w:val="22"/>
          <w:szCs w:val="22"/>
        </w:rPr>
        <w:t>Artículo 53.</w:t>
      </w:r>
      <w:r w:rsidRPr="000E564D">
        <w:rPr>
          <w:rFonts w:ascii="Palatino Linotype" w:eastAsia="Palatino Linotype" w:hAnsi="Palatino Linotype" w:cs="Palatino Linotype"/>
          <w:i/>
          <w:sz w:val="22"/>
          <w:szCs w:val="22"/>
        </w:rPr>
        <w:t xml:space="preserve"> Las </w:t>
      </w:r>
      <w:r w:rsidRPr="000E564D">
        <w:rPr>
          <w:rFonts w:ascii="Palatino Linotype" w:eastAsia="Palatino Linotype" w:hAnsi="Palatino Linotype" w:cs="Palatino Linotype"/>
          <w:b/>
          <w:i/>
          <w:sz w:val="22"/>
          <w:szCs w:val="22"/>
        </w:rPr>
        <w:t>Unidades de Transparencia</w:t>
      </w:r>
      <w:r w:rsidRPr="000E564D">
        <w:rPr>
          <w:rFonts w:ascii="Palatino Linotype" w:eastAsia="Palatino Linotype" w:hAnsi="Palatino Linotype" w:cs="Palatino Linotype"/>
          <w:i/>
          <w:sz w:val="22"/>
          <w:szCs w:val="22"/>
        </w:rPr>
        <w:t xml:space="preserve"> tendrán las siguientes </w:t>
      </w:r>
      <w:r w:rsidRPr="000E564D">
        <w:rPr>
          <w:rFonts w:ascii="Palatino Linotype" w:eastAsia="Palatino Linotype" w:hAnsi="Palatino Linotype" w:cs="Palatino Linotype"/>
          <w:b/>
          <w:i/>
          <w:sz w:val="22"/>
          <w:szCs w:val="22"/>
        </w:rPr>
        <w:t>funciones</w:t>
      </w:r>
      <w:r w:rsidRPr="000E564D">
        <w:rPr>
          <w:rFonts w:ascii="Palatino Linotype" w:eastAsia="Palatino Linotype" w:hAnsi="Palatino Linotype" w:cs="Palatino Linotype"/>
          <w:i/>
          <w:sz w:val="22"/>
          <w:szCs w:val="22"/>
        </w:rPr>
        <w:t>:</w:t>
      </w:r>
    </w:p>
    <w:p w14:paraId="46F15257" w14:textId="77777777" w:rsidR="00525649" w:rsidRPr="000E564D" w:rsidRDefault="00B04106">
      <w:pPr>
        <w:spacing w:before="120" w:after="120"/>
        <w:ind w:left="993" w:right="90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X. Presentar ante el Comité, el proyecto de clasificación de información</w:t>
      </w:r>
      <w:r w:rsidRPr="000E564D">
        <w:rPr>
          <w:rFonts w:ascii="Palatino Linotype" w:eastAsia="Palatino Linotype" w:hAnsi="Palatino Linotype" w:cs="Palatino Linotype"/>
          <w:i/>
          <w:sz w:val="22"/>
          <w:szCs w:val="22"/>
        </w:rPr>
        <w:t xml:space="preserve">…” </w:t>
      </w:r>
    </w:p>
    <w:p w14:paraId="32F0BF21" w14:textId="77777777" w:rsidR="00525649" w:rsidRPr="000E564D" w:rsidRDefault="00B04106">
      <w:pPr>
        <w:spacing w:before="120" w:after="120"/>
        <w:ind w:left="851" w:right="90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“Artículo 59.</w:t>
      </w:r>
      <w:r w:rsidRPr="000E564D">
        <w:rPr>
          <w:rFonts w:ascii="Palatino Linotype" w:eastAsia="Palatino Linotype" w:hAnsi="Palatino Linotype" w:cs="Palatino Linotype"/>
          <w:i/>
          <w:sz w:val="22"/>
          <w:szCs w:val="22"/>
        </w:rPr>
        <w:t xml:space="preserve"> Los </w:t>
      </w:r>
      <w:r w:rsidRPr="000E564D">
        <w:rPr>
          <w:rFonts w:ascii="Palatino Linotype" w:eastAsia="Palatino Linotype" w:hAnsi="Palatino Linotype" w:cs="Palatino Linotype"/>
          <w:b/>
          <w:i/>
          <w:sz w:val="22"/>
          <w:szCs w:val="22"/>
        </w:rPr>
        <w:t>servidores públicos habilitados</w:t>
      </w:r>
      <w:r w:rsidRPr="000E564D">
        <w:rPr>
          <w:rFonts w:ascii="Palatino Linotype" w:eastAsia="Palatino Linotype" w:hAnsi="Palatino Linotype" w:cs="Palatino Linotype"/>
          <w:i/>
          <w:sz w:val="22"/>
          <w:szCs w:val="22"/>
        </w:rPr>
        <w:t xml:space="preserve"> tendrán las </w:t>
      </w:r>
      <w:r w:rsidRPr="000E564D">
        <w:rPr>
          <w:rFonts w:ascii="Palatino Linotype" w:eastAsia="Palatino Linotype" w:hAnsi="Palatino Linotype" w:cs="Palatino Linotype"/>
          <w:b/>
          <w:i/>
          <w:sz w:val="22"/>
          <w:szCs w:val="22"/>
        </w:rPr>
        <w:t>funciones</w:t>
      </w:r>
      <w:r w:rsidRPr="000E564D">
        <w:rPr>
          <w:rFonts w:ascii="Palatino Linotype" w:eastAsia="Palatino Linotype" w:hAnsi="Palatino Linotype" w:cs="Palatino Linotype"/>
          <w:i/>
          <w:sz w:val="22"/>
          <w:szCs w:val="22"/>
        </w:rPr>
        <w:t xml:space="preserve"> siguientes:</w:t>
      </w:r>
    </w:p>
    <w:p w14:paraId="58E12190" w14:textId="77777777" w:rsidR="00525649" w:rsidRPr="000E564D" w:rsidRDefault="00B04106">
      <w:pPr>
        <w:spacing w:before="120" w:after="120"/>
        <w:ind w:left="851" w:right="90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V. Integrar y presentar al responsable de la Unidad de Transparencia la propuesta de clasificación de información</w:t>
      </w:r>
      <w:r w:rsidRPr="000E564D">
        <w:rPr>
          <w:rFonts w:ascii="Palatino Linotype" w:eastAsia="Palatino Linotype" w:hAnsi="Palatino Linotype" w:cs="Palatino Linotype"/>
          <w:i/>
          <w:sz w:val="22"/>
          <w:szCs w:val="22"/>
        </w:rPr>
        <w:t>, la cual tendrá los fundamentos y argumentos en que se basa dicha propuesta…”</w:t>
      </w:r>
    </w:p>
    <w:p w14:paraId="4FD18394"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Denotándose de dichos elementos normativos que el determinar la clasificación de la información es un trabajo en conjunto tanto de los Servidores Públicos Habilitados, de las Unidades de Transparencia y del Comité de Transparencia del Sujeto Obligado, teniendo el deber los primeros de ellos de presentar ante la Unidad de Transparencia la propuesta de la clasificación de la información, para que luego ésta presente ante al Comité de Transparencia de así resultar procedente el proyecto de clasificación de la información y finalmente sea éste último quien apruebe, modifique o revoque la clasificación de la información solicitada.</w:t>
      </w:r>
    </w:p>
    <w:p w14:paraId="33B19EAE"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Para lo cual, a su vez en el caso de información de carácter confidencial, se debe atender a lo que señala el artículo 149 de la Ley de Transparencia Local vigente, que se lee como sigue:</w:t>
      </w:r>
    </w:p>
    <w:p w14:paraId="402151DA" w14:textId="77777777" w:rsidR="00525649" w:rsidRPr="000E564D" w:rsidRDefault="00B04106">
      <w:pPr>
        <w:spacing w:after="240"/>
        <w:ind w:left="851" w:right="90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w:t>
      </w:r>
      <w:r w:rsidRPr="000E564D">
        <w:rPr>
          <w:rFonts w:ascii="Palatino Linotype" w:eastAsia="Palatino Linotype" w:hAnsi="Palatino Linotype" w:cs="Palatino Linotype"/>
          <w:b/>
          <w:i/>
          <w:sz w:val="22"/>
          <w:szCs w:val="22"/>
        </w:rPr>
        <w:t>Artículo 149.</w:t>
      </w:r>
      <w:r w:rsidRPr="000E564D">
        <w:rPr>
          <w:rFonts w:ascii="Palatino Linotype" w:eastAsia="Palatino Linotype" w:hAnsi="Palatino Linotype" w:cs="Palatino Linotype"/>
          <w:i/>
          <w:sz w:val="22"/>
          <w:szCs w:val="22"/>
        </w:rPr>
        <w:t xml:space="preserve"> El </w:t>
      </w:r>
      <w:r w:rsidRPr="000E564D">
        <w:rPr>
          <w:rFonts w:ascii="Palatino Linotype" w:eastAsia="Palatino Linotype" w:hAnsi="Palatino Linotype" w:cs="Palatino Linotype"/>
          <w:b/>
          <w:i/>
          <w:sz w:val="22"/>
          <w:szCs w:val="22"/>
        </w:rPr>
        <w:t>acuerdo que clasifique la información como confidencial</w:t>
      </w:r>
      <w:r w:rsidRPr="000E564D">
        <w:rPr>
          <w:rFonts w:ascii="Palatino Linotype" w:eastAsia="Palatino Linotype" w:hAnsi="Palatino Linotype" w:cs="Palatino Linotype"/>
          <w:i/>
          <w:sz w:val="22"/>
          <w:szCs w:val="22"/>
        </w:rPr>
        <w:t xml:space="preserve"> deberá contener un razonamiento lógico en el que demuestre que la información se encuentra en alguna o algunas de las hipótesis previstas en la presente Ley.” (Sic)</w:t>
      </w:r>
    </w:p>
    <w:p w14:paraId="594DED76" w14:textId="77777777" w:rsidR="00525649" w:rsidRPr="000E564D" w:rsidRDefault="00B04106">
      <w:pPr>
        <w:spacing w:before="240" w:after="240" w:line="360" w:lineRule="auto"/>
        <w:ind w:right="51"/>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Es decir, el </w:t>
      </w:r>
      <w:r w:rsidRPr="000E564D">
        <w:rPr>
          <w:rFonts w:ascii="Palatino Linotype" w:eastAsia="Palatino Linotype" w:hAnsi="Palatino Linotype" w:cs="Palatino Linotype"/>
          <w:b/>
        </w:rPr>
        <w:t>Sujeto Obligado</w:t>
      </w:r>
      <w:r w:rsidRPr="000E564D">
        <w:rPr>
          <w:rFonts w:ascii="Palatino Linotype" w:eastAsia="Palatino Linotype" w:hAnsi="Palatino Linotype" w:cs="Palatino Linotype"/>
        </w:rPr>
        <w:t xml:space="preserve"> a través de su Comité de Transparencia, deberá elaborar acuerdo que contenga un razonamiento lógico con el que se demuestre que </w:t>
      </w:r>
      <w:r w:rsidRPr="000E564D">
        <w:rPr>
          <w:rFonts w:ascii="Palatino Linotype" w:eastAsia="Palatino Linotype" w:hAnsi="Palatino Linotype" w:cs="Palatino Linotype"/>
        </w:rPr>
        <w:lastRenderedPageBreak/>
        <w:t>la información que se testa de las versiones públicas que se sirva elaborar, encuadra en alguna de las hipótesis que contempla la Ley de la Materia en su artículo 143; ya que de lo contrario, se crearía la incertidumbre jurídica en relación a si lo entregado es formalmente una versión pública, o un documento ilegible, incompleto o tachado; en otras palabras si no se exponen de manera puntual las razones de la versión pública de la documentación entregada se estaría violentando el derecho de acceso a la información de la parte solicitante.</w:t>
      </w:r>
    </w:p>
    <w:p w14:paraId="1D9BBCD5" w14:textId="77777777" w:rsidR="00525649" w:rsidRPr="000E564D" w:rsidRDefault="00B04106">
      <w:pPr>
        <w:spacing w:before="240" w:after="240" w:line="360" w:lineRule="auto"/>
        <w:ind w:right="49"/>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Por último, respecto a la versión pública de los documentos que contenga la información solicitada, cabe señalar que el Comité de Transparencia del </w:t>
      </w:r>
      <w:r w:rsidRPr="000E564D">
        <w:rPr>
          <w:rFonts w:ascii="Palatino Linotype" w:eastAsia="Palatino Linotype" w:hAnsi="Palatino Linotype" w:cs="Palatino Linotype"/>
          <w:b/>
        </w:rPr>
        <w:t>Sujeto Obligado</w:t>
      </w:r>
      <w:r w:rsidRPr="000E564D">
        <w:rPr>
          <w:rFonts w:ascii="Palatino Linotype" w:eastAsia="Palatino Linotype" w:hAnsi="Palatino Linotype" w:cs="Palatino Linotype"/>
        </w:rPr>
        <w:t>, deberá emitir el acuerdo de clasificación de información debidamente fundado y motivado, en términos del numeral 132, fracciones II y III de la Ley de Transparencia y Acceso a la Información Pública del Estado de México y Municipios, así como los Lineamientos Segundo, fracción XVIII, y del Cuarto al Décimo Primero de los “Lineamientos Generales en materia de Clasificación y Desclasificación de la Información, así como para la elaboración de Versiones Públicas”, que literalmente expresan:</w:t>
      </w:r>
    </w:p>
    <w:p w14:paraId="7AA7FF9B" w14:textId="77777777" w:rsidR="00525649" w:rsidRPr="000E564D" w:rsidRDefault="00B04106">
      <w:pPr>
        <w:tabs>
          <w:tab w:val="left" w:pos="8222"/>
        </w:tabs>
        <w:spacing w:before="120" w:after="120"/>
        <w:ind w:left="851" w:right="1134"/>
        <w:jc w:val="both"/>
        <w:rPr>
          <w:rFonts w:ascii="Palatino Linotype" w:eastAsia="Palatino Linotype" w:hAnsi="Palatino Linotype" w:cs="Palatino Linotype"/>
          <w:b/>
          <w:i/>
          <w:sz w:val="22"/>
          <w:szCs w:val="22"/>
        </w:rPr>
      </w:pPr>
      <w:r w:rsidRPr="000E564D">
        <w:rPr>
          <w:rFonts w:ascii="Palatino Linotype" w:eastAsia="Palatino Linotype" w:hAnsi="Palatino Linotype" w:cs="Palatino Linotype"/>
          <w:i/>
          <w:sz w:val="22"/>
          <w:szCs w:val="22"/>
        </w:rPr>
        <w:t>“</w:t>
      </w:r>
      <w:r w:rsidRPr="000E564D">
        <w:rPr>
          <w:rFonts w:ascii="Palatino Linotype" w:eastAsia="Palatino Linotype" w:hAnsi="Palatino Linotype" w:cs="Palatino Linotype"/>
          <w:b/>
          <w:i/>
          <w:sz w:val="22"/>
          <w:szCs w:val="22"/>
        </w:rPr>
        <w:t>Artículo 132.</w:t>
      </w:r>
      <w:r w:rsidRPr="000E564D">
        <w:rPr>
          <w:rFonts w:ascii="Palatino Linotype" w:eastAsia="Palatino Linotype" w:hAnsi="Palatino Linotype" w:cs="Palatino Linotype"/>
          <w:i/>
          <w:sz w:val="22"/>
          <w:szCs w:val="22"/>
        </w:rPr>
        <w:t xml:space="preserve"> </w:t>
      </w:r>
      <w:r w:rsidRPr="000E564D">
        <w:rPr>
          <w:rFonts w:ascii="Palatino Linotype" w:eastAsia="Palatino Linotype" w:hAnsi="Palatino Linotype" w:cs="Palatino Linotype"/>
          <w:b/>
          <w:i/>
          <w:sz w:val="22"/>
          <w:szCs w:val="22"/>
        </w:rPr>
        <w:t>La clasificación de la información se llevará a cabo en el momento en que:</w:t>
      </w:r>
    </w:p>
    <w:p w14:paraId="1A05E169" w14:textId="77777777" w:rsidR="00525649" w:rsidRPr="000E564D" w:rsidRDefault="00B04106">
      <w:pPr>
        <w:tabs>
          <w:tab w:val="left" w:pos="8222"/>
        </w:tabs>
        <w:spacing w:before="120" w:after="120"/>
        <w:ind w:left="1134" w:right="1134"/>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w:t>
      </w:r>
    </w:p>
    <w:p w14:paraId="6EA5359C" w14:textId="77777777" w:rsidR="00525649" w:rsidRPr="000E564D" w:rsidRDefault="00B04106">
      <w:pPr>
        <w:tabs>
          <w:tab w:val="left" w:pos="8222"/>
        </w:tabs>
        <w:spacing w:before="120" w:after="120"/>
        <w:ind w:left="1134" w:right="1134"/>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II.</w:t>
      </w:r>
      <w:r w:rsidRPr="000E564D">
        <w:rPr>
          <w:rFonts w:ascii="Palatino Linotype" w:eastAsia="Palatino Linotype" w:hAnsi="Palatino Linotype" w:cs="Palatino Linotype"/>
          <w:i/>
          <w:sz w:val="22"/>
          <w:szCs w:val="22"/>
        </w:rPr>
        <w:t xml:space="preserve"> Se determine mediante resolución de autoridad competente; o</w:t>
      </w:r>
    </w:p>
    <w:p w14:paraId="530691EA" w14:textId="77777777" w:rsidR="00525649" w:rsidRPr="000E564D" w:rsidRDefault="00B04106">
      <w:pPr>
        <w:tabs>
          <w:tab w:val="left" w:pos="8222"/>
        </w:tabs>
        <w:spacing w:before="120" w:after="120"/>
        <w:ind w:left="1134" w:right="1134"/>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III</w:t>
      </w:r>
      <w:r w:rsidRPr="000E564D">
        <w:rPr>
          <w:rFonts w:ascii="Palatino Linotype" w:eastAsia="Palatino Linotype" w:hAnsi="Palatino Linotype" w:cs="Palatino Linotype"/>
          <w:i/>
          <w:sz w:val="22"/>
          <w:szCs w:val="22"/>
        </w:rPr>
        <w:t xml:space="preserve">. </w:t>
      </w:r>
      <w:r w:rsidRPr="000E564D">
        <w:rPr>
          <w:rFonts w:ascii="Palatino Linotype" w:eastAsia="Palatino Linotype" w:hAnsi="Palatino Linotype" w:cs="Palatino Linotype"/>
          <w:b/>
          <w:i/>
          <w:sz w:val="22"/>
          <w:szCs w:val="22"/>
        </w:rPr>
        <w:t>Se generen versiones públicas para dar cumplimiento a las obligaciones de transparencia previstas en esta Ley</w:t>
      </w:r>
      <w:r w:rsidRPr="000E564D">
        <w:rPr>
          <w:rFonts w:ascii="Palatino Linotype" w:eastAsia="Palatino Linotype" w:hAnsi="Palatino Linotype" w:cs="Palatino Linotype"/>
          <w:i/>
          <w:sz w:val="22"/>
          <w:szCs w:val="22"/>
        </w:rPr>
        <w:t>.”</w:t>
      </w:r>
    </w:p>
    <w:p w14:paraId="3E189BBE" w14:textId="77777777" w:rsidR="00525649" w:rsidRPr="000E564D" w:rsidRDefault="00525649">
      <w:pPr>
        <w:tabs>
          <w:tab w:val="left" w:pos="8222"/>
        </w:tabs>
        <w:spacing w:before="120" w:after="120"/>
        <w:ind w:left="851" w:right="1134"/>
        <w:jc w:val="both"/>
        <w:rPr>
          <w:rFonts w:ascii="Palatino Linotype" w:eastAsia="Palatino Linotype" w:hAnsi="Palatino Linotype" w:cs="Palatino Linotype"/>
          <w:i/>
          <w:sz w:val="22"/>
          <w:szCs w:val="22"/>
        </w:rPr>
      </w:pPr>
    </w:p>
    <w:p w14:paraId="511BAAC7" w14:textId="77777777" w:rsidR="00525649" w:rsidRPr="000E564D" w:rsidRDefault="00B04106">
      <w:pPr>
        <w:tabs>
          <w:tab w:val="left" w:pos="8222"/>
        </w:tabs>
        <w:spacing w:before="120" w:after="120"/>
        <w:ind w:left="851" w:right="1134"/>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w:t>
      </w:r>
      <w:proofErr w:type="gramStart"/>
      <w:r w:rsidRPr="000E564D">
        <w:rPr>
          <w:rFonts w:ascii="Palatino Linotype" w:eastAsia="Palatino Linotype" w:hAnsi="Palatino Linotype" w:cs="Palatino Linotype"/>
          <w:b/>
          <w:i/>
          <w:sz w:val="22"/>
          <w:szCs w:val="22"/>
        </w:rPr>
        <w:t>Segundo.-</w:t>
      </w:r>
      <w:proofErr w:type="gramEnd"/>
      <w:r w:rsidRPr="000E564D">
        <w:rPr>
          <w:rFonts w:ascii="Palatino Linotype" w:eastAsia="Palatino Linotype" w:hAnsi="Palatino Linotype" w:cs="Palatino Linotype"/>
          <w:i/>
          <w:sz w:val="22"/>
          <w:szCs w:val="22"/>
        </w:rPr>
        <w:t xml:space="preserve"> Para efectos de los presentes Lineamientos Generales, se entenderá por:</w:t>
      </w:r>
    </w:p>
    <w:p w14:paraId="2D737D92" w14:textId="77777777" w:rsidR="00525649" w:rsidRPr="000E564D" w:rsidRDefault="00B04106">
      <w:pPr>
        <w:tabs>
          <w:tab w:val="left" w:pos="8222"/>
        </w:tabs>
        <w:spacing w:before="120" w:after="120"/>
        <w:ind w:left="1134" w:right="1134"/>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lastRenderedPageBreak/>
        <w:t>XVIII.</w:t>
      </w:r>
      <w:r w:rsidRPr="000E564D">
        <w:rPr>
          <w:rFonts w:ascii="Palatino Linotype" w:eastAsia="Palatino Linotype" w:hAnsi="Palatino Linotype" w:cs="Palatino Linotype"/>
          <w:i/>
          <w:sz w:val="22"/>
          <w:szCs w:val="22"/>
        </w:rPr>
        <w:t xml:space="preserve"> </w:t>
      </w:r>
      <w:r w:rsidRPr="000E564D">
        <w:rPr>
          <w:rFonts w:ascii="Palatino Linotype" w:eastAsia="Palatino Linotype" w:hAnsi="Palatino Linotype" w:cs="Palatino Linotype"/>
          <w:b/>
          <w:i/>
          <w:sz w:val="22"/>
          <w:szCs w:val="22"/>
        </w:rPr>
        <w:t>Versión pública:</w:t>
      </w:r>
      <w:r w:rsidRPr="000E564D">
        <w:rPr>
          <w:rFonts w:ascii="Palatino Linotype" w:eastAsia="Palatino Linotype" w:hAnsi="Palatino Linotype" w:cs="Palatino Linotype"/>
          <w:i/>
          <w:sz w:val="22"/>
          <w:szCs w:val="22"/>
        </w:rPr>
        <w:t xml:space="preserve"> El documento a partir del que se otorga acceso a la información, en el que se testan partes o secciones clasificadas, indicando el contenido de éstas de manera genérica, </w:t>
      </w:r>
      <w:r w:rsidRPr="000E564D">
        <w:rPr>
          <w:rFonts w:ascii="Palatino Linotype" w:eastAsia="Palatino Linotype" w:hAnsi="Palatino Linotype" w:cs="Palatino Linotype"/>
          <w:b/>
          <w:i/>
          <w:sz w:val="22"/>
          <w:szCs w:val="22"/>
        </w:rPr>
        <w:t>fundando y motivando la</w:t>
      </w:r>
      <w:r w:rsidRPr="000E564D">
        <w:rPr>
          <w:rFonts w:ascii="Palatino Linotype" w:eastAsia="Palatino Linotype" w:hAnsi="Palatino Linotype" w:cs="Palatino Linotype"/>
          <w:i/>
          <w:sz w:val="22"/>
          <w:szCs w:val="22"/>
        </w:rPr>
        <w:t xml:space="preserve"> </w:t>
      </w:r>
      <w:r w:rsidRPr="000E564D">
        <w:rPr>
          <w:rFonts w:ascii="Palatino Linotype" w:eastAsia="Palatino Linotype" w:hAnsi="Palatino Linotype" w:cs="Palatino Linotype"/>
          <w:b/>
          <w:i/>
          <w:sz w:val="22"/>
          <w:szCs w:val="22"/>
        </w:rPr>
        <w:t>reserva o confidencialidad</w:t>
      </w:r>
      <w:r w:rsidRPr="000E564D">
        <w:rPr>
          <w:rFonts w:ascii="Palatino Linotype" w:eastAsia="Palatino Linotype" w:hAnsi="Palatino Linotype" w:cs="Palatino Linotype"/>
          <w:i/>
          <w:sz w:val="22"/>
          <w:szCs w:val="22"/>
        </w:rPr>
        <w:t>, a través de la resolución que para tal efecto emita el Comité de Transparencia.</w:t>
      </w:r>
    </w:p>
    <w:p w14:paraId="42A50562" w14:textId="77777777" w:rsidR="00525649" w:rsidRPr="000E564D" w:rsidRDefault="00B04106">
      <w:pPr>
        <w:tabs>
          <w:tab w:val="left" w:pos="8222"/>
        </w:tabs>
        <w:spacing w:before="120" w:after="120"/>
        <w:ind w:left="851" w:right="1134"/>
        <w:jc w:val="both"/>
        <w:rPr>
          <w:rFonts w:ascii="Palatino Linotype" w:eastAsia="Palatino Linotype" w:hAnsi="Palatino Linotype" w:cs="Palatino Linotype"/>
          <w:b/>
          <w:i/>
          <w:sz w:val="22"/>
          <w:szCs w:val="22"/>
        </w:rPr>
      </w:pPr>
      <w:r w:rsidRPr="000E564D">
        <w:rPr>
          <w:rFonts w:ascii="Palatino Linotype" w:eastAsia="Palatino Linotype" w:hAnsi="Palatino Linotype" w:cs="Palatino Linotype"/>
          <w:b/>
          <w:i/>
          <w:sz w:val="22"/>
          <w:szCs w:val="22"/>
        </w:rPr>
        <w:t>...</w:t>
      </w:r>
    </w:p>
    <w:p w14:paraId="4FCC550C" w14:textId="77777777" w:rsidR="00525649" w:rsidRPr="000E564D" w:rsidRDefault="00B04106">
      <w:pPr>
        <w:tabs>
          <w:tab w:val="left" w:pos="8222"/>
        </w:tabs>
        <w:spacing w:before="120" w:after="120"/>
        <w:ind w:left="851" w:right="1134"/>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Cuarto.</w:t>
      </w:r>
      <w:r w:rsidRPr="000E564D">
        <w:rPr>
          <w:rFonts w:ascii="Palatino Linotype" w:eastAsia="Palatino Linotype" w:hAnsi="Palatino Linotype" w:cs="Palatino Linotype"/>
          <w:i/>
          <w:sz w:val="22"/>
          <w:szCs w:val="22"/>
        </w:rPr>
        <w:t xml:space="preserve"> </w:t>
      </w:r>
      <w:r w:rsidRPr="000E564D">
        <w:rPr>
          <w:rFonts w:ascii="Palatino Linotype" w:eastAsia="Palatino Linotype" w:hAnsi="Palatino Linotype" w:cs="Palatino Linotype"/>
          <w:b/>
          <w:i/>
          <w:sz w:val="22"/>
          <w:szCs w:val="22"/>
        </w:rPr>
        <w:t>Para clasificar la información como</w:t>
      </w:r>
      <w:r w:rsidRPr="000E564D">
        <w:rPr>
          <w:rFonts w:ascii="Palatino Linotype" w:eastAsia="Palatino Linotype" w:hAnsi="Palatino Linotype" w:cs="Palatino Linotype"/>
          <w:i/>
          <w:sz w:val="22"/>
          <w:szCs w:val="22"/>
        </w:rPr>
        <w:t xml:space="preserve"> </w:t>
      </w:r>
      <w:r w:rsidRPr="000E564D">
        <w:rPr>
          <w:rFonts w:ascii="Palatino Linotype" w:eastAsia="Palatino Linotype" w:hAnsi="Palatino Linotype" w:cs="Palatino Linotype"/>
          <w:b/>
          <w:i/>
          <w:sz w:val="22"/>
          <w:szCs w:val="22"/>
        </w:rPr>
        <w:t>reservada o</w:t>
      </w:r>
      <w:r w:rsidRPr="000E564D">
        <w:rPr>
          <w:rFonts w:ascii="Palatino Linotype" w:eastAsia="Palatino Linotype" w:hAnsi="Palatino Linotype" w:cs="Palatino Linotype"/>
          <w:i/>
          <w:sz w:val="22"/>
          <w:szCs w:val="22"/>
        </w:rPr>
        <w:t xml:space="preserve"> </w:t>
      </w:r>
      <w:r w:rsidRPr="000E564D">
        <w:rPr>
          <w:rFonts w:ascii="Palatino Linotype" w:eastAsia="Palatino Linotype" w:hAnsi="Palatino Linotype" w:cs="Palatino Linotype"/>
          <w:b/>
          <w:i/>
          <w:sz w:val="22"/>
          <w:szCs w:val="22"/>
        </w:rPr>
        <w:t>confidencial, de manera total o parcial, el titular del área del sujeto obligado deberá atender lo dispuesto por el Título Sexto de la Ley General</w:t>
      </w:r>
      <w:r w:rsidRPr="000E564D">
        <w:rPr>
          <w:rFonts w:ascii="Palatino Linotype" w:eastAsia="Palatino Linotype" w:hAnsi="Palatino Linotype" w:cs="Palatino Linotype"/>
          <w:i/>
          <w:sz w:val="22"/>
          <w:szCs w:val="22"/>
        </w:rPr>
        <w:t>,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6CE77C08" w14:textId="77777777" w:rsidR="00525649" w:rsidRPr="000E564D" w:rsidRDefault="00B04106">
      <w:pPr>
        <w:tabs>
          <w:tab w:val="left" w:pos="8222"/>
        </w:tabs>
        <w:spacing w:before="120" w:after="120"/>
        <w:ind w:left="851" w:right="1134"/>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Los sujetos obligados deberán aplicar, de manera estricta, las excepciones al derecho de acceso a la información y sólo podrán invocarlas cuando acrediten su procedencia.</w:t>
      </w:r>
    </w:p>
    <w:p w14:paraId="078E3479" w14:textId="77777777" w:rsidR="00525649" w:rsidRPr="000E564D" w:rsidRDefault="00B04106">
      <w:pPr>
        <w:tabs>
          <w:tab w:val="left" w:pos="8222"/>
        </w:tabs>
        <w:spacing w:before="120" w:after="120"/>
        <w:ind w:left="851" w:right="1134"/>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Quinto.</w:t>
      </w:r>
      <w:r w:rsidRPr="000E564D">
        <w:rPr>
          <w:rFonts w:ascii="Palatino Linotype" w:eastAsia="Palatino Linotype" w:hAnsi="Palatino Linotype" w:cs="Palatino Linotype"/>
          <w:i/>
          <w:sz w:val="22"/>
          <w:szCs w:val="22"/>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757FB948" w14:textId="77777777" w:rsidR="00525649" w:rsidRPr="000E564D" w:rsidRDefault="00B04106">
      <w:pPr>
        <w:tabs>
          <w:tab w:val="left" w:pos="8222"/>
        </w:tabs>
        <w:spacing w:before="120" w:after="120"/>
        <w:ind w:left="851" w:right="1134"/>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Sexto.</w:t>
      </w:r>
      <w:r w:rsidRPr="000E564D">
        <w:rPr>
          <w:rFonts w:ascii="Palatino Linotype" w:eastAsia="Palatino Linotype" w:hAnsi="Palatino Linotype" w:cs="Palatino Linotype"/>
          <w:i/>
          <w:sz w:val="22"/>
          <w:szCs w:val="22"/>
        </w:rPr>
        <w:t xml:space="preserve"> Se deroga.</w:t>
      </w:r>
    </w:p>
    <w:p w14:paraId="3FF3E941" w14:textId="77777777" w:rsidR="00525649" w:rsidRPr="000E564D" w:rsidRDefault="00B04106">
      <w:pPr>
        <w:tabs>
          <w:tab w:val="left" w:pos="8222"/>
        </w:tabs>
        <w:spacing w:before="120" w:after="120"/>
        <w:ind w:left="851" w:right="1134"/>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Séptimo.</w:t>
      </w:r>
      <w:r w:rsidRPr="000E564D">
        <w:rPr>
          <w:rFonts w:ascii="Palatino Linotype" w:eastAsia="Palatino Linotype" w:hAnsi="Palatino Linotype" w:cs="Palatino Linotype"/>
          <w:i/>
          <w:sz w:val="22"/>
          <w:szCs w:val="22"/>
        </w:rPr>
        <w:t xml:space="preserve"> La clasificación de la información se llevará a cabo en el momento en que:</w:t>
      </w:r>
    </w:p>
    <w:p w14:paraId="0B484440" w14:textId="77777777" w:rsidR="00525649" w:rsidRPr="000E564D" w:rsidRDefault="00B04106">
      <w:pPr>
        <w:tabs>
          <w:tab w:val="left" w:pos="8222"/>
        </w:tabs>
        <w:spacing w:before="120" w:after="120"/>
        <w:ind w:left="1134" w:right="1134"/>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w:t>
      </w:r>
      <w:r w:rsidRPr="000E564D">
        <w:rPr>
          <w:rFonts w:ascii="Palatino Linotype" w:eastAsia="Palatino Linotype" w:hAnsi="Palatino Linotype" w:cs="Palatino Linotype"/>
          <w:i/>
          <w:sz w:val="22"/>
          <w:szCs w:val="22"/>
        </w:rPr>
        <w:t xml:space="preserve"> Se reciba una solicitud de acceso a la información;</w:t>
      </w:r>
    </w:p>
    <w:p w14:paraId="6E6EF25C" w14:textId="77777777" w:rsidR="00525649" w:rsidRPr="000E564D" w:rsidRDefault="00B04106">
      <w:pPr>
        <w:tabs>
          <w:tab w:val="left" w:pos="8222"/>
        </w:tabs>
        <w:spacing w:before="120" w:after="120"/>
        <w:ind w:left="1134" w:right="1134"/>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II.</w:t>
      </w:r>
      <w:r w:rsidRPr="000E564D">
        <w:rPr>
          <w:rFonts w:ascii="Palatino Linotype" w:eastAsia="Palatino Linotype" w:hAnsi="Palatino Linotype" w:cs="Palatino Linotype"/>
          <w:i/>
          <w:sz w:val="22"/>
          <w:szCs w:val="22"/>
        </w:rPr>
        <w:t xml:space="preserve"> Se determine mediante resolución del Comité de Transparencia, el órgano garante competente, o en cumplimiento a una sentencia del Poder Judicial; o</w:t>
      </w:r>
    </w:p>
    <w:p w14:paraId="3154AC95" w14:textId="77777777" w:rsidR="00525649" w:rsidRPr="000E564D" w:rsidRDefault="00B04106">
      <w:pPr>
        <w:tabs>
          <w:tab w:val="left" w:pos="8222"/>
        </w:tabs>
        <w:spacing w:before="120" w:after="120"/>
        <w:ind w:left="1134" w:right="1134"/>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III.</w:t>
      </w:r>
      <w:r w:rsidRPr="000E564D">
        <w:rPr>
          <w:rFonts w:ascii="Palatino Linotype" w:eastAsia="Palatino Linotype" w:hAnsi="Palatino Linotype" w:cs="Palatino Linotype"/>
          <w:i/>
          <w:sz w:val="22"/>
          <w:szCs w:val="22"/>
        </w:rPr>
        <w:t xml:space="preserve"> Se generen versiones públicas para dar cumplimiento a las obligaciones de transparencia previstas en la Ley General, la Ley Federal y las correspondientes de las entidades federativas.</w:t>
      </w:r>
    </w:p>
    <w:p w14:paraId="186D9F08" w14:textId="77777777" w:rsidR="00525649" w:rsidRPr="000E564D" w:rsidRDefault="00B04106">
      <w:pPr>
        <w:tabs>
          <w:tab w:val="left" w:pos="8222"/>
        </w:tabs>
        <w:spacing w:before="120" w:after="120"/>
        <w:ind w:left="851" w:right="1134"/>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lastRenderedPageBreak/>
        <w:t>Los titulares de las áreas deberán revisar la clasificación al momento de la recepción de una solicitud de acceso, para verificar</w:t>
      </w:r>
      <w:r w:rsidRPr="000E564D">
        <w:t xml:space="preserve">, </w:t>
      </w:r>
      <w:r w:rsidRPr="000E564D">
        <w:rPr>
          <w:rFonts w:ascii="Palatino Linotype" w:eastAsia="Palatino Linotype" w:hAnsi="Palatino Linotype" w:cs="Palatino Linotype"/>
          <w:i/>
          <w:sz w:val="22"/>
          <w:szCs w:val="22"/>
        </w:rPr>
        <w:t>conforme a su naturaleza, si encuadra en una causal de reserva o de confidencialidad.</w:t>
      </w:r>
    </w:p>
    <w:p w14:paraId="407AB3A6" w14:textId="77777777" w:rsidR="00525649" w:rsidRPr="000E564D" w:rsidRDefault="00B04106">
      <w:pPr>
        <w:tabs>
          <w:tab w:val="left" w:pos="8222"/>
        </w:tabs>
        <w:spacing w:before="120" w:after="120"/>
        <w:ind w:left="851" w:right="1134"/>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Octavo.</w:t>
      </w:r>
      <w:r w:rsidRPr="000E564D">
        <w:rPr>
          <w:rFonts w:ascii="Palatino Linotype" w:eastAsia="Palatino Linotype" w:hAnsi="Palatino Linotype" w:cs="Palatino Linotype"/>
          <w:i/>
          <w:sz w:val="22"/>
          <w:szCs w:val="22"/>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14:paraId="3E4AB48E" w14:textId="77777777" w:rsidR="00525649" w:rsidRPr="000E564D" w:rsidRDefault="00B04106">
      <w:pPr>
        <w:tabs>
          <w:tab w:val="left" w:pos="8222"/>
        </w:tabs>
        <w:spacing w:before="120" w:after="120"/>
        <w:ind w:left="851" w:right="1134"/>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Para motivar la clasificación se deberán señalar las razones o circunstancias especiales que lo llevaron a concluir que el caso particular se ajusta al supuesto previsto por la norma legal invocada como fundamento.</w:t>
      </w:r>
    </w:p>
    <w:p w14:paraId="52FD8FD7" w14:textId="77777777" w:rsidR="00525649" w:rsidRPr="000E564D" w:rsidRDefault="00B04106">
      <w:pPr>
        <w:tabs>
          <w:tab w:val="left" w:pos="8222"/>
        </w:tabs>
        <w:spacing w:before="120" w:after="120"/>
        <w:ind w:left="851" w:right="1134"/>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En caso de referirse a información reservada, la motivación de la clasificación deberá comprender el análisis de la prueba de daño a que hace referencia el artículo 104 de la Ley General, en relación con el artículo trigésimo tercero de los presentes lineamientos, así como las circunstancias que justifican el establecimiento de determinado plazo de reserva.</w:t>
      </w:r>
    </w:p>
    <w:p w14:paraId="6484064B" w14:textId="77777777" w:rsidR="00525649" w:rsidRPr="000E564D" w:rsidRDefault="00B04106">
      <w:pPr>
        <w:tabs>
          <w:tab w:val="left" w:pos="8222"/>
        </w:tabs>
        <w:spacing w:before="120" w:after="120"/>
        <w:ind w:left="851" w:right="1134"/>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Noveno.</w:t>
      </w:r>
      <w:r w:rsidRPr="000E564D">
        <w:rPr>
          <w:rFonts w:ascii="Palatino Linotype" w:eastAsia="Palatino Linotype" w:hAnsi="Palatino Linotype" w:cs="Palatino Linotype"/>
          <w:i/>
          <w:sz w:val="22"/>
          <w:szCs w:val="22"/>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37F24742" w14:textId="77777777" w:rsidR="00525649" w:rsidRPr="000E564D" w:rsidRDefault="00B04106">
      <w:pPr>
        <w:tabs>
          <w:tab w:val="left" w:pos="8222"/>
        </w:tabs>
        <w:spacing w:before="120" w:after="120"/>
        <w:ind w:left="851" w:right="1134"/>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Décimo.</w:t>
      </w:r>
      <w:r w:rsidRPr="000E564D">
        <w:rPr>
          <w:rFonts w:ascii="Palatino Linotype" w:eastAsia="Palatino Linotype" w:hAnsi="Palatino Linotype" w:cs="Palatino Linotype"/>
          <w:i/>
          <w:sz w:val="22"/>
          <w:szCs w:val="22"/>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w:t>
      </w:r>
      <w:proofErr w:type="spellStart"/>
      <w:r w:rsidRPr="000E564D">
        <w:rPr>
          <w:rFonts w:ascii="Palatino Linotype" w:eastAsia="Palatino Linotype" w:hAnsi="Palatino Linotype" w:cs="Palatino Linotype"/>
          <w:i/>
          <w:sz w:val="22"/>
          <w:szCs w:val="22"/>
        </w:rPr>
        <w:t>wn</w:t>
      </w:r>
      <w:proofErr w:type="spellEnd"/>
      <w:r w:rsidRPr="000E564D">
        <w:rPr>
          <w:rFonts w:ascii="Palatino Linotype" w:eastAsia="Palatino Linotype" w:hAnsi="Palatino Linotype" w:cs="Palatino Linotype"/>
          <w:i/>
          <w:sz w:val="22"/>
          <w:szCs w:val="22"/>
        </w:rPr>
        <w:t xml:space="preserve"> los términos de la Ley General de Archivos, Lineamientos para la Organización y Conservación de Archivos y demás normatividad aplicable.</w:t>
      </w:r>
    </w:p>
    <w:p w14:paraId="64A48AE9" w14:textId="77777777" w:rsidR="00525649" w:rsidRPr="000E564D" w:rsidRDefault="00B04106">
      <w:pPr>
        <w:tabs>
          <w:tab w:val="left" w:pos="8222"/>
        </w:tabs>
        <w:spacing w:before="120" w:after="120"/>
        <w:ind w:left="851" w:right="1134"/>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En ausencia de los titulares de las áreas, la información será clasificada o desclasificada por la persona que lo supla, en términos de la normativa que rija la actuación del sujeto obligado.</w:t>
      </w:r>
    </w:p>
    <w:p w14:paraId="177207FB" w14:textId="77777777" w:rsidR="00525649" w:rsidRPr="000E564D" w:rsidRDefault="00B04106">
      <w:pPr>
        <w:tabs>
          <w:tab w:val="left" w:pos="8222"/>
        </w:tabs>
        <w:spacing w:before="120" w:after="120"/>
        <w:ind w:left="851" w:right="1134"/>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Décimo primero.</w:t>
      </w:r>
      <w:r w:rsidRPr="000E564D">
        <w:rPr>
          <w:rFonts w:ascii="Palatino Linotype" w:eastAsia="Palatino Linotype" w:hAnsi="Palatino Linotype" w:cs="Palatino Linotype"/>
          <w:i/>
          <w:sz w:val="22"/>
          <w:szCs w:val="22"/>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 </w:t>
      </w:r>
    </w:p>
    <w:p w14:paraId="0CA8DAEA" w14:textId="77777777" w:rsidR="00525649" w:rsidRPr="000E564D" w:rsidRDefault="00B04106">
      <w:pPr>
        <w:spacing w:before="240" w:after="240" w:line="360" w:lineRule="auto"/>
        <w:ind w:right="50"/>
        <w:jc w:val="both"/>
        <w:rPr>
          <w:rFonts w:ascii="Palatino Linotype" w:eastAsia="Palatino Linotype" w:hAnsi="Palatino Linotype" w:cs="Palatino Linotype"/>
        </w:rPr>
      </w:pPr>
      <w:r w:rsidRPr="000E564D">
        <w:rPr>
          <w:rFonts w:ascii="Palatino Linotype" w:eastAsia="Palatino Linotype" w:hAnsi="Palatino Linotype" w:cs="Palatino Linotype"/>
        </w:rPr>
        <w:lastRenderedPageBreak/>
        <w:t>Asimismo, deberá observar el Lineamiento Quincuagésimo segundo de los Lineamientos Generales en Materia de Clasificación y Desclasificación de la Información, así como para la Elaboración de Versiones Públicas, a saber:</w:t>
      </w:r>
    </w:p>
    <w:p w14:paraId="44E2F55C" w14:textId="77777777" w:rsidR="00525649" w:rsidRPr="000E564D" w:rsidRDefault="00B04106">
      <w:pPr>
        <w:spacing w:before="120" w:after="120"/>
        <w:ind w:left="851" w:right="90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“Quincuagésimo segundo</w:t>
      </w:r>
      <w:r w:rsidRPr="000E564D">
        <w:rPr>
          <w:rFonts w:ascii="Palatino Linotype" w:eastAsia="Palatino Linotype" w:hAnsi="Palatino Linotype" w:cs="Palatino Linotype"/>
          <w:i/>
          <w:sz w:val="22"/>
          <w:szCs w:val="22"/>
        </w:rPr>
        <w:t>. Para la clasificación y elaboración de versiones públicas de documentos que contengan información clasificada como reservada o confidencial, las áreas de los sujetos obligados deberán tomar las medidas pertinentes tendientes a asegurar que el espacio utilizado para testar la información no podrá ser empleado para la sobreposición de contenido distinto al autorizado por el Comité.</w:t>
      </w:r>
    </w:p>
    <w:p w14:paraId="51EBA6A8" w14:textId="77777777" w:rsidR="00525649" w:rsidRPr="000E564D" w:rsidRDefault="00B04106">
      <w:pPr>
        <w:spacing w:before="120" w:after="120"/>
        <w:ind w:left="851" w:right="90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 xml:space="preserve">En el caso </w:t>
      </w:r>
      <w:proofErr w:type="spellStart"/>
      <w:r w:rsidRPr="000E564D">
        <w:rPr>
          <w:rFonts w:ascii="Palatino Linotype" w:eastAsia="Palatino Linotype" w:hAnsi="Palatino Linotype" w:cs="Palatino Linotype"/>
          <w:i/>
          <w:sz w:val="22"/>
          <w:szCs w:val="22"/>
        </w:rPr>
        <w:t>especifico</w:t>
      </w:r>
      <w:proofErr w:type="spellEnd"/>
      <w:r w:rsidRPr="000E564D">
        <w:rPr>
          <w:rFonts w:ascii="Palatino Linotype" w:eastAsia="Palatino Linotype" w:hAnsi="Palatino Linotype" w:cs="Palatino Linotype"/>
          <w:i/>
          <w:sz w:val="22"/>
          <w:szCs w:val="22"/>
        </w:rPr>
        <w:t xml:space="preserve"> de la clasificación y elaboración de versiones públicas de documentos que contengan información confidencial, las áreas de los sujetos obligados deberán: </w:t>
      </w:r>
    </w:p>
    <w:p w14:paraId="58656BDF" w14:textId="77777777" w:rsidR="00525649" w:rsidRPr="000E564D" w:rsidRDefault="00B04106">
      <w:pPr>
        <w:spacing w:before="120" w:after="120"/>
        <w:ind w:left="1134" w:right="90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w:t>
      </w:r>
      <w:r w:rsidRPr="000E564D">
        <w:rPr>
          <w:rFonts w:ascii="Palatino Linotype" w:eastAsia="Palatino Linotype" w:hAnsi="Palatino Linotype" w:cs="Palatino Linotype"/>
          <w:i/>
          <w:sz w:val="22"/>
          <w:szCs w:val="22"/>
        </w:rPr>
        <w:t xml:space="preserve"> Fijar la fecha en que se elaboró la versión pública y la fecha en la cual el Comité de Transparencia confirmó dicha versión;</w:t>
      </w:r>
    </w:p>
    <w:p w14:paraId="45E838FB" w14:textId="77777777" w:rsidR="00525649" w:rsidRPr="000E564D" w:rsidRDefault="00B04106">
      <w:pPr>
        <w:spacing w:before="120" w:after="120"/>
        <w:ind w:left="1134" w:right="90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II.</w:t>
      </w:r>
      <w:r w:rsidRPr="000E564D">
        <w:rPr>
          <w:rFonts w:ascii="Palatino Linotype" w:eastAsia="Palatino Linotype" w:hAnsi="Palatino Linotype" w:cs="Palatino Linotype"/>
          <w:i/>
          <w:sz w:val="22"/>
          <w:szCs w:val="22"/>
        </w:rPr>
        <w:t xml:space="preserve"> Señalar dentro del documento el tipo de información confidencial que fue testada en cada caso específico, de conformidad con el lineamiento trigésimo octavo; y</w:t>
      </w:r>
    </w:p>
    <w:p w14:paraId="78DECF65" w14:textId="77777777" w:rsidR="00525649" w:rsidRPr="000E564D" w:rsidRDefault="00B04106">
      <w:pPr>
        <w:spacing w:before="120" w:after="120"/>
        <w:ind w:left="1134" w:right="90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t>III.</w:t>
      </w:r>
      <w:r w:rsidRPr="000E564D">
        <w:rPr>
          <w:rFonts w:ascii="Palatino Linotype" w:eastAsia="Palatino Linotype" w:hAnsi="Palatino Linotype" w:cs="Palatino Linotype"/>
          <w:i/>
          <w:sz w:val="22"/>
          <w:szCs w:val="22"/>
        </w:rPr>
        <w:t xml:space="preserve"> Señalar las personas o instancias autorizadas a acceder a la información clasificada.</w:t>
      </w:r>
    </w:p>
    <w:p w14:paraId="16C74A35" w14:textId="77777777" w:rsidR="00525649" w:rsidRPr="000E564D" w:rsidRDefault="00B04106">
      <w:pPr>
        <w:spacing w:before="120" w:after="120"/>
        <w:ind w:left="851" w:right="900"/>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En los documentos de difusión electrónica, señalar en la primera hoja y en el nombre del archivo, que la versión pública corresponde a un documento que contiene información confidencial.”</w:t>
      </w:r>
    </w:p>
    <w:p w14:paraId="7676981C" w14:textId="77777777" w:rsidR="00525649" w:rsidRPr="000E564D" w:rsidRDefault="00B04106">
      <w:pPr>
        <w:spacing w:before="240" w:after="240" w:line="360" w:lineRule="auto"/>
        <w:ind w:right="50"/>
        <w:jc w:val="both"/>
        <w:rPr>
          <w:rFonts w:ascii="Palatino Linotype" w:eastAsia="Palatino Linotype" w:hAnsi="Palatino Linotype" w:cs="Palatino Linotype"/>
          <w:sz w:val="22"/>
          <w:szCs w:val="22"/>
        </w:rPr>
      </w:pPr>
      <w:r w:rsidRPr="000E564D">
        <w:rPr>
          <w:rFonts w:ascii="Palatino Linotype" w:eastAsia="Palatino Linotype" w:hAnsi="Palatino Linotype" w:cs="Palatino Linotype"/>
        </w:rPr>
        <w:t xml:space="preserve">Así como el Lineamiento Quincuagésimo tercero de los Lineamientos Generales en Materia de Clasificación y Desclasificación de la Información </w:t>
      </w:r>
      <w:proofErr w:type="spellStart"/>
      <w:r w:rsidRPr="000E564D">
        <w:rPr>
          <w:rFonts w:ascii="Palatino Linotype" w:eastAsia="Palatino Linotype" w:hAnsi="Palatino Linotype" w:cs="Palatino Linotype"/>
        </w:rPr>
        <w:t>supraindicados</w:t>
      </w:r>
      <w:proofErr w:type="spellEnd"/>
      <w:r w:rsidRPr="000E564D">
        <w:rPr>
          <w:rFonts w:ascii="Palatino Linotype" w:eastAsia="Palatino Linotype" w:hAnsi="Palatino Linotype" w:cs="Palatino Linotype"/>
        </w:rPr>
        <w:t xml:space="preserve">, que establece los formatos para la clasificación de los documentos, conforme a lo siguiente: </w:t>
      </w:r>
    </w:p>
    <w:p w14:paraId="3EB6679A" w14:textId="77777777" w:rsidR="00525649" w:rsidRPr="000E564D" w:rsidRDefault="00B04106">
      <w:pPr>
        <w:ind w:left="851" w:right="900"/>
        <w:jc w:val="center"/>
        <w:rPr>
          <w:rFonts w:ascii="Palatino Linotype" w:eastAsia="Palatino Linotype" w:hAnsi="Palatino Linotype" w:cs="Palatino Linotype"/>
          <w:b/>
          <w:i/>
          <w:sz w:val="22"/>
          <w:szCs w:val="22"/>
        </w:rPr>
      </w:pPr>
      <w:r w:rsidRPr="000E564D">
        <w:rPr>
          <w:rFonts w:ascii="Palatino Linotype" w:eastAsia="Palatino Linotype" w:hAnsi="Palatino Linotype" w:cs="Palatino Linotype"/>
          <w:b/>
          <w:i/>
          <w:sz w:val="22"/>
          <w:szCs w:val="22"/>
        </w:rPr>
        <w:t>CAPÍTULO VIII</w:t>
      </w:r>
    </w:p>
    <w:p w14:paraId="76B15B7B" w14:textId="77777777" w:rsidR="00525649" w:rsidRPr="000E564D" w:rsidRDefault="00B04106">
      <w:pPr>
        <w:ind w:left="851" w:right="900"/>
        <w:jc w:val="center"/>
        <w:rPr>
          <w:rFonts w:ascii="Palatino Linotype" w:eastAsia="Palatino Linotype" w:hAnsi="Palatino Linotype" w:cs="Palatino Linotype"/>
          <w:b/>
          <w:i/>
          <w:sz w:val="22"/>
          <w:szCs w:val="22"/>
        </w:rPr>
      </w:pPr>
      <w:r w:rsidRPr="000E564D">
        <w:rPr>
          <w:rFonts w:ascii="Palatino Linotype" w:eastAsia="Palatino Linotype" w:hAnsi="Palatino Linotype" w:cs="Palatino Linotype"/>
          <w:b/>
          <w:i/>
          <w:sz w:val="22"/>
          <w:szCs w:val="22"/>
        </w:rPr>
        <w:t xml:space="preserve">DE LOS ELEMENTOS PARA LA CLASIFICACIÓN </w:t>
      </w:r>
    </w:p>
    <w:p w14:paraId="0D0F640A" w14:textId="77777777" w:rsidR="00525649" w:rsidRPr="000E564D" w:rsidRDefault="00B04106">
      <w:pPr>
        <w:ind w:left="851" w:right="900"/>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w:t>
      </w:r>
    </w:p>
    <w:p w14:paraId="227D8BE8" w14:textId="77777777" w:rsidR="00525649" w:rsidRPr="000E564D" w:rsidRDefault="00B04106">
      <w:pPr>
        <w:spacing w:before="120" w:after="120"/>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b/>
          <w:i/>
          <w:sz w:val="22"/>
          <w:szCs w:val="22"/>
        </w:rPr>
        <w:lastRenderedPageBreak/>
        <w:t xml:space="preserve">Quincuagésimo tercero. </w:t>
      </w:r>
      <w:r w:rsidRPr="000E564D">
        <w:rPr>
          <w:rFonts w:ascii="Palatino Linotype" w:eastAsia="Palatino Linotype" w:hAnsi="Palatino Linotype" w:cs="Palatino Linotype"/>
          <w:b/>
          <w:i/>
          <w:sz w:val="22"/>
          <w:szCs w:val="22"/>
          <w:u w:val="single"/>
        </w:rPr>
        <w:t>El formato para señalar la clasificación de un documento o expediente que contenga información reservada</w:t>
      </w:r>
      <w:r w:rsidRPr="000E564D">
        <w:rPr>
          <w:rFonts w:ascii="Palatino Linotype" w:eastAsia="Palatino Linotype" w:hAnsi="Palatino Linotype" w:cs="Palatino Linotype"/>
          <w:b/>
          <w:i/>
          <w:sz w:val="22"/>
          <w:szCs w:val="22"/>
        </w:rPr>
        <w:t xml:space="preserve">, </w:t>
      </w:r>
      <w:r w:rsidRPr="000E564D">
        <w:rPr>
          <w:rFonts w:ascii="Palatino Linotype" w:eastAsia="Palatino Linotype" w:hAnsi="Palatino Linotype" w:cs="Palatino Linotype"/>
          <w:i/>
          <w:sz w:val="22"/>
          <w:szCs w:val="22"/>
        </w:rPr>
        <w:t xml:space="preserve">es el siguiente: </w:t>
      </w:r>
    </w:p>
    <w:p w14:paraId="456D0691" w14:textId="77777777" w:rsidR="00525649" w:rsidRPr="000E564D" w:rsidRDefault="00B04106">
      <w:pPr>
        <w:spacing w:before="120" w:after="120"/>
        <w:ind w:left="851" w:right="902"/>
        <w:jc w:val="both"/>
        <w:rPr>
          <w:rFonts w:ascii="Palatino Linotype" w:eastAsia="Palatino Linotype" w:hAnsi="Palatino Linotype" w:cs="Palatino Linotype"/>
          <w:b/>
          <w:i/>
          <w:sz w:val="22"/>
          <w:szCs w:val="22"/>
        </w:rPr>
      </w:pPr>
      <w:r w:rsidRPr="000E564D">
        <w:rPr>
          <w:rFonts w:ascii="Palatino Linotype" w:eastAsia="Palatino Linotype" w:hAnsi="Palatino Linotype" w:cs="Palatino Linotype"/>
          <w:b/>
          <w:i/>
          <w:noProof/>
          <w:sz w:val="22"/>
          <w:szCs w:val="22"/>
        </w:rPr>
        <w:drawing>
          <wp:inline distT="0" distB="0" distL="0" distR="0" wp14:anchorId="7210D215" wp14:editId="0A585217">
            <wp:extent cx="4297680" cy="296754"/>
            <wp:effectExtent l="0" t="0" r="0" b="0"/>
            <wp:docPr id="113222389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8"/>
                    <a:srcRect b="95730"/>
                    <a:stretch>
                      <a:fillRect/>
                    </a:stretch>
                  </pic:blipFill>
                  <pic:spPr>
                    <a:xfrm>
                      <a:off x="0" y="0"/>
                      <a:ext cx="4297680" cy="296754"/>
                    </a:xfrm>
                    <a:prstGeom prst="rect">
                      <a:avLst/>
                    </a:prstGeom>
                    <a:ln/>
                  </pic:spPr>
                </pic:pic>
              </a:graphicData>
            </a:graphic>
          </wp:inline>
        </w:drawing>
      </w:r>
    </w:p>
    <w:p w14:paraId="02A1C6DD" w14:textId="77777777" w:rsidR="00525649" w:rsidRPr="000E564D" w:rsidRDefault="00B04106">
      <w:pPr>
        <w:spacing w:before="120" w:after="120"/>
        <w:ind w:left="851" w:right="902"/>
        <w:jc w:val="both"/>
        <w:rPr>
          <w:rFonts w:ascii="Palatino Linotype" w:eastAsia="Palatino Linotype" w:hAnsi="Palatino Linotype" w:cs="Palatino Linotype"/>
          <w:b/>
          <w:i/>
          <w:sz w:val="22"/>
          <w:szCs w:val="22"/>
        </w:rPr>
      </w:pPr>
      <w:r w:rsidRPr="000E564D">
        <w:rPr>
          <w:rFonts w:ascii="Palatino Linotype" w:eastAsia="Palatino Linotype" w:hAnsi="Palatino Linotype" w:cs="Palatino Linotype"/>
          <w:b/>
          <w:i/>
          <w:noProof/>
          <w:sz w:val="22"/>
          <w:szCs w:val="22"/>
        </w:rPr>
        <w:drawing>
          <wp:inline distT="0" distB="0" distL="0" distR="0" wp14:anchorId="7951E38A" wp14:editId="55932542">
            <wp:extent cx="4333240" cy="771525"/>
            <wp:effectExtent l="0" t="0" r="0" b="0"/>
            <wp:docPr id="113222389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8"/>
                    <a:srcRect t="30907" b="57915"/>
                    <a:stretch>
                      <a:fillRect/>
                    </a:stretch>
                  </pic:blipFill>
                  <pic:spPr>
                    <a:xfrm>
                      <a:off x="0" y="0"/>
                      <a:ext cx="4333240" cy="771525"/>
                    </a:xfrm>
                    <a:prstGeom prst="rect">
                      <a:avLst/>
                    </a:prstGeom>
                    <a:ln/>
                  </pic:spPr>
                </pic:pic>
              </a:graphicData>
            </a:graphic>
          </wp:inline>
        </w:drawing>
      </w:r>
    </w:p>
    <w:p w14:paraId="1356CC21" w14:textId="77777777" w:rsidR="00525649" w:rsidRPr="000E564D" w:rsidRDefault="00B04106">
      <w:pPr>
        <w:spacing w:before="120" w:after="120"/>
        <w:ind w:left="851" w:right="902"/>
        <w:jc w:val="both"/>
        <w:rPr>
          <w:rFonts w:ascii="Palatino Linotype" w:eastAsia="Palatino Linotype" w:hAnsi="Palatino Linotype" w:cs="Palatino Linotype"/>
          <w:b/>
          <w:i/>
          <w:sz w:val="22"/>
          <w:szCs w:val="22"/>
        </w:rPr>
      </w:pPr>
      <w:r w:rsidRPr="000E564D">
        <w:rPr>
          <w:rFonts w:ascii="Palatino Linotype" w:eastAsia="Palatino Linotype" w:hAnsi="Palatino Linotype" w:cs="Palatino Linotype"/>
          <w:b/>
          <w:i/>
          <w:noProof/>
          <w:sz w:val="22"/>
          <w:szCs w:val="22"/>
        </w:rPr>
        <w:drawing>
          <wp:inline distT="0" distB="0" distL="0" distR="0" wp14:anchorId="09094632" wp14:editId="43D6B13F">
            <wp:extent cx="4333240" cy="4007485"/>
            <wp:effectExtent l="0" t="0" r="0" b="0"/>
            <wp:docPr id="113222389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8"/>
                    <a:srcRect t="41946" b="1"/>
                    <a:stretch>
                      <a:fillRect/>
                    </a:stretch>
                  </pic:blipFill>
                  <pic:spPr>
                    <a:xfrm>
                      <a:off x="0" y="0"/>
                      <a:ext cx="4333240" cy="4007485"/>
                    </a:xfrm>
                    <a:prstGeom prst="rect">
                      <a:avLst/>
                    </a:prstGeom>
                    <a:ln/>
                  </pic:spPr>
                </pic:pic>
              </a:graphicData>
            </a:graphic>
          </wp:inline>
        </w:drawing>
      </w:r>
    </w:p>
    <w:p w14:paraId="03E1B82E" w14:textId="77777777" w:rsidR="00525649" w:rsidRPr="000E564D" w:rsidRDefault="00B04106">
      <w:pPr>
        <w:spacing w:before="120" w:after="120"/>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Los documentos que integren un expediente reservado en su totalidad no deberán marcarse en lo individual.</w:t>
      </w:r>
    </w:p>
    <w:p w14:paraId="05636AF2" w14:textId="77777777" w:rsidR="00525649" w:rsidRPr="000E564D" w:rsidRDefault="00B04106">
      <w:pPr>
        <w:spacing w:before="120" w:after="120"/>
        <w:ind w:left="851" w:right="902"/>
        <w:jc w:val="both"/>
        <w:rPr>
          <w:rFonts w:ascii="Palatino Linotype" w:eastAsia="Palatino Linotype" w:hAnsi="Palatino Linotype" w:cs="Palatino Linotype"/>
          <w:i/>
          <w:sz w:val="22"/>
          <w:szCs w:val="22"/>
        </w:rPr>
      </w:pPr>
      <w:r w:rsidRPr="000E564D">
        <w:rPr>
          <w:rFonts w:ascii="Palatino Linotype" w:eastAsia="Palatino Linotype" w:hAnsi="Palatino Linotype" w:cs="Palatino Linotype"/>
          <w:i/>
          <w:sz w:val="22"/>
          <w:szCs w:val="22"/>
        </w:rPr>
        <w:t>Una vez desclasificados los expedientes, si existieren documentos que tuvieran el carácter de reservados deberán permanecer o ser marcados.”</w:t>
      </w:r>
    </w:p>
    <w:p w14:paraId="520A7C29"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Así, con fundamento en lo prescrito en los artículos 5 párrafos trigésimo, trigésimo primero y trigésimo segundo de la Constitución Política del Estado Libre y Soberano </w:t>
      </w:r>
      <w:r w:rsidRPr="000E564D">
        <w:rPr>
          <w:rFonts w:ascii="Palatino Linotype" w:eastAsia="Palatino Linotype" w:hAnsi="Palatino Linotype" w:cs="Palatino Linotype"/>
        </w:rPr>
        <w:lastRenderedPageBreak/>
        <w:t>de México; 2, fracción II; 29, 36 fracciones I y II; 176, 178, 181, 185 y 186 fracción II de la Ley de Transparencia y Acceso a la Información Pública del Estado de México y Municipios, este Pleno:</w:t>
      </w:r>
    </w:p>
    <w:p w14:paraId="774A1E36" w14:textId="77777777" w:rsidR="00525649" w:rsidRPr="000E564D" w:rsidRDefault="00B04106">
      <w:pPr>
        <w:pBdr>
          <w:top w:val="nil"/>
          <w:left w:val="nil"/>
          <w:bottom w:val="nil"/>
          <w:right w:val="nil"/>
          <w:between w:val="nil"/>
        </w:pBdr>
        <w:spacing w:before="240" w:after="240" w:line="360" w:lineRule="auto"/>
        <w:jc w:val="center"/>
        <w:rPr>
          <w:rFonts w:ascii="Palatino Linotype" w:eastAsia="Palatino Linotype" w:hAnsi="Palatino Linotype" w:cs="Palatino Linotype"/>
          <w:b/>
        </w:rPr>
      </w:pPr>
      <w:r w:rsidRPr="000E564D">
        <w:rPr>
          <w:rFonts w:ascii="Palatino Linotype" w:eastAsia="Palatino Linotype" w:hAnsi="Palatino Linotype" w:cs="Palatino Linotype"/>
          <w:b/>
        </w:rPr>
        <w:t>III. R E S U E L V E</w:t>
      </w:r>
    </w:p>
    <w:p w14:paraId="7175FE57" w14:textId="77777777" w:rsidR="00525649" w:rsidRPr="000E564D" w:rsidRDefault="00B04106">
      <w:pPr>
        <w:spacing w:before="240" w:after="240" w:line="360" w:lineRule="auto"/>
        <w:jc w:val="both"/>
        <w:rPr>
          <w:rFonts w:ascii="Palatino Linotype" w:eastAsia="Palatino Linotype" w:hAnsi="Palatino Linotype" w:cs="Palatino Linotype"/>
          <w:b/>
        </w:rPr>
      </w:pPr>
      <w:bookmarkStart w:id="7" w:name="_heading=h.lnxbz9" w:colFirst="0" w:colLast="0"/>
      <w:bookmarkEnd w:id="7"/>
      <w:r w:rsidRPr="000E564D">
        <w:rPr>
          <w:rFonts w:ascii="Palatino Linotype" w:eastAsia="Palatino Linotype" w:hAnsi="Palatino Linotype" w:cs="Palatino Linotype"/>
          <w:b/>
        </w:rPr>
        <w:t xml:space="preserve">Primero. </w:t>
      </w:r>
      <w:r w:rsidRPr="000E564D">
        <w:rPr>
          <w:rFonts w:ascii="Palatino Linotype" w:eastAsia="Palatino Linotype" w:hAnsi="Palatino Linotype" w:cs="Palatino Linotype"/>
        </w:rPr>
        <w:t xml:space="preserve">Resultan </w:t>
      </w:r>
      <w:r w:rsidRPr="000E564D">
        <w:rPr>
          <w:rFonts w:ascii="Palatino Linotype" w:eastAsia="Palatino Linotype" w:hAnsi="Palatino Linotype" w:cs="Palatino Linotype"/>
          <w:b/>
        </w:rPr>
        <w:t>fundados</w:t>
      </w:r>
      <w:r w:rsidRPr="000E564D">
        <w:rPr>
          <w:rFonts w:ascii="Palatino Linotype" w:eastAsia="Palatino Linotype" w:hAnsi="Palatino Linotype" w:cs="Palatino Linotype"/>
        </w:rPr>
        <w:t xml:space="preserve"> los motivos de inconformidad hechos valer por la parte </w:t>
      </w:r>
      <w:r w:rsidRPr="000E564D">
        <w:rPr>
          <w:rFonts w:ascii="Palatino Linotype" w:eastAsia="Palatino Linotype" w:hAnsi="Palatino Linotype" w:cs="Palatino Linotype"/>
          <w:b/>
        </w:rPr>
        <w:t>Recurrente</w:t>
      </w:r>
      <w:r w:rsidRPr="000E564D">
        <w:rPr>
          <w:rFonts w:ascii="Palatino Linotype" w:eastAsia="Palatino Linotype" w:hAnsi="Palatino Linotype" w:cs="Palatino Linotype"/>
        </w:rPr>
        <w:t xml:space="preserve">, en el recurso de revisión </w:t>
      </w:r>
      <w:r w:rsidRPr="000E564D">
        <w:rPr>
          <w:rFonts w:ascii="Palatino Linotype" w:eastAsia="Palatino Linotype" w:hAnsi="Palatino Linotype" w:cs="Palatino Linotype"/>
          <w:b/>
        </w:rPr>
        <w:t xml:space="preserve">16749/INFOEM/IP/RR/2022, </w:t>
      </w:r>
      <w:r w:rsidRPr="000E564D">
        <w:rPr>
          <w:rFonts w:ascii="Palatino Linotype" w:eastAsia="Palatino Linotype" w:hAnsi="Palatino Linotype" w:cs="Palatino Linotype"/>
        </w:rPr>
        <w:t xml:space="preserve">por lo que, en términos del Considerando </w:t>
      </w:r>
      <w:r w:rsidRPr="000E564D">
        <w:rPr>
          <w:rFonts w:ascii="Palatino Linotype" w:eastAsia="Palatino Linotype" w:hAnsi="Palatino Linotype" w:cs="Palatino Linotype"/>
          <w:b/>
        </w:rPr>
        <w:t>Cuarto</w:t>
      </w:r>
      <w:r w:rsidRPr="000E564D">
        <w:rPr>
          <w:rFonts w:ascii="Palatino Linotype" w:eastAsia="Palatino Linotype" w:hAnsi="Palatino Linotype" w:cs="Palatino Linotype"/>
        </w:rPr>
        <w:t xml:space="preserve"> de la presente resolución, se</w:t>
      </w:r>
      <w:r w:rsidRPr="000E564D">
        <w:rPr>
          <w:rFonts w:ascii="Palatino Linotype" w:eastAsia="Palatino Linotype" w:hAnsi="Palatino Linotype" w:cs="Palatino Linotype"/>
          <w:b/>
        </w:rPr>
        <w:t xml:space="preserve"> Modifica </w:t>
      </w:r>
      <w:r w:rsidRPr="000E564D">
        <w:rPr>
          <w:rFonts w:ascii="Palatino Linotype" w:eastAsia="Palatino Linotype" w:hAnsi="Palatino Linotype" w:cs="Palatino Linotype"/>
        </w:rPr>
        <w:t>la respuesta</w:t>
      </w:r>
      <w:r w:rsidRPr="000E564D">
        <w:rPr>
          <w:rFonts w:ascii="Palatino Linotype" w:eastAsia="Palatino Linotype" w:hAnsi="Palatino Linotype" w:cs="Palatino Linotype"/>
          <w:b/>
        </w:rPr>
        <w:t xml:space="preserve"> </w:t>
      </w:r>
      <w:r w:rsidRPr="000E564D">
        <w:rPr>
          <w:rFonts w:ascii="Palatino Linotype" w:eastAsia="Palatino Linotype" w:hAnsi="Palatino Linotype" w:cs="Palatino Linotype"/>
        </w:rPr>
        <w:t xml:space="preserve">del </w:t>
      </w:r>
      <w:r w:rsidRPr="000E564D">
        <w:rPr>
          <w:rFonts w:ascii="Palatino Linotype" w:eastAsia="Palatino Linotype" w:hAnsi="Palatino Linotype" w:cs="Palatino Linotype"/>
          <w:b/>
        </w:rPr>
        <w:t>Sujeto Obligado.</w:t>
      </w:r>
    </w:p>
    <w:p w14:paraId="56AB5234"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b/>
        </w:rPr>
        <w:t>Segundo.</w:t>
      </w:r>
      <w:r w:rsidRPr="000E564D">
        <w:rPr>
          <w:rFonts w:ascii="Palatino Linotype" w:eastAsia="Palatino Linotype" w:hAnsi="Palatino Linotype" w:cs="Palatino Linotype"/>
        </w:rPr>
        <w:t xml:space="preserve"> Se </w:t>
      </w:r>
      <w:r w:rsidRPr="000E564D">
        <w:rPr>
          <w:rFonts w:ascii="Palatino Linotype" w:eastAsia="Palatino Linotype" w:hAnsi="Palatino Linotype" w:cs="Palatino Linotype"/>
          <w:b/>
        </w:rPr>
        <w:t>Ordena</w:t>
      </w:r>
      <w:r w:rsidRPr="000E564D">
        <w:rPr>
          <w:rFonts w:ascii="Palatino Linotype" w:eastAsia="Palatino Linotype" w:hAnsi="Palatino Linotype" w:cs="Palatino Linotype"/>
        </w:rPr>
        <w:t xml:space="preserve"> al </w:t>
      </w:r>
      <w:r w:rsidRPr="000E564D">
        <w:rPr>
          <w:rFonts w:ascii="Palatino Linotype" w:eastAsia="Palatino Linotype" w:hAnsi="Palatino Linotype" w:cs="Palatino Linotype"/>
          <w:b/>
        </w:rPr>
        <w:t>Sujeto Obligado</w:t>
      </w:r>
      <w:r w:rsidRPr="000E564D">
        <w:rPr>
          <w:rFonts w:ascii="Palatino Linotype" w:eastAsia="Palatino Linotype" w:hAnsi="Palatino Linotype" w:cs="Palatino Linotype"/>
        </w:rPr>
        <w:t xml:space="preserve">, en términos de los Considerandos </w:t>
      </w:r>
      <w:r w:rsidRPr="000E564D">
        <w:rPr>
          <w:rFonts w:ascii="Palatino Linotype" w:eastAsia="Palatino Linotype" w:hAnsi="Palatino Linotype" w:cs="Palatino Linotype"/>
          <w:b/>
        </w:rPr>
        <w:t xml:space="preserve">Cuarto </w:t>
      </w:r>
      <w:r w:rsidRPr="000E564D">
        <w:rPr>
          <w:rFonts w:ascii="Palatino Linotype" w:eastAsia="Palatino Linotype" w:hAnsi="Palatino Linotype" w:cs="Palatino Linotype"/>
        </w:rPr>
        <w:t xml:space="preserve">y </w:t>
      </w:r>
      <w:r w:rsidRPr="000E564D">
        <w:rPr>
          <w:rFonts w:ascii="Palatino Linotype" w:eastAsia="Palatino Linotype" w:hAnsi="Palatino Linotype" w:cs="Palatino Linotype"/>
          <w:b/>
        </w:rPr>
        <w:t xml:space="preserve">Quinto </w:t>
      </w:r>
      <w:r w:rsidRPr="000E564D">
        <w:rPr>
          <w:rFonts w:ascii="Palatino Linotype" w:eastAsia="Palatino Linotype" w:hAnsi="Palatino Linotype" w:cs="Palatino Linotype"/>
        </w:rPr>
        <w:t>de esta resolución, haga entrega, vía SAIMEX, en versión pública, de lo siguiente:</w:t>
      </w:r>
    </w:p>
    <w:p w14:paraId="057D85D0" w14:textId="77777777" w:rsidR="00525649" w:rsidRPr="000E564D" w:rsidRDefault="00B04106">
      <w:pPr>
        <w:spacing w:before="240" w:after="240" w:line="360" w:lineRule="auto"/>
        <w:ind w:left="284"/>
        <w:jc w:val="both"/>
        <w:rPr>
          <w:rFonts w:ascii="Palatino Linotype" w:eastAsia="Palatino Linotype" w:hAnsi="Palatino Linotype" w:cs="Palatino Linotype"/>
        </w:rPr>
      </w:pPr>
      <w:r w:rsidRPr="000E564D">
        <w:rPr>
          <w:rFonts w:ascii="Palatino Linotype" w:eastAsia="Palatino Linotype" w:hAnsi="Palatino Linotype" w:cs="Palatino Linotype"/>
        </w:rPr>
        <w:t>1. De la Dirección General de Seguridad Pública y Protección del uno de enero al diecinueve de octubre de dos mil veintidós:</w:t>
      </w:r>
    </w:p>
    <w:p w14:paraId="3B8325C6" w14:textId="77777777" w:rsidR="00525649" w:rsidRPr="000E564D" w:rsidRDefault="00B04106">
      <w:pPr>
        <w:spacing w:before="240" w:after="240" w:line="360" w:lineRule="auto"/>
        <w:ind w:left="567"/>
        <w:jc w:val="both"/>
        <w:rPr>
          <w:rFonts w:ascii="Palatino Linotype" w:eastAsia="Palatino Linotype" w:hAnsi="Palatino Linotype" w:cs="Palatino Linotype"/>
        </w:rPr>
      </w:pPr>
      <w:r w:rsidRPr="000E564D">
        <w:rPr>
          <w:rFonts w:ascii="Palatino Linotype" w:eastAsia="Palatino Linotype" w:hAnsi="Palatino Linotype" w:cs="Palatino Linotype"/>
        </w:rPr>
        <w:t>a. Formato Único de Personal, FUP</w:t>
      </w:r>
      <w:r w:rsidR="00005307" w:rsidRPr="000E564D">
        <w:rPr>
          <w:rFonts w:ascii="Palatino Linotype" w:eastAsia="Palatino Linotype" w:hAnsi="Palatino Linotype" w:cs="Palatino Linotype"/>
        </w:rPr>
        <w:t xml:space="preserve"> </w:t>
      </w:r>
      <w:r w:rsidR="00005307" w:rsidRPr="000E564D">
        <w:rPr>
          <w:rFonts w:ascii="Palatino Linotype" w:eastAsia="Palatino Linotype" w:hAnsi="Palatino Linotype" w:cs="Palatino Linotype"/>
          <w:b/>
        </w:rPr>
        <w:t>de baja</w:t>
      </w:r>
      <w:r w:rsidRPr="000E564D">
        <w:rPr>
          <w:rFonts w:ascii="Palatino Linotype" w:eastAsia="Palatino Linotype" w:hAnsi="Palatino Linotype" w:cs="Palatino Linotype"/>
        </w:rPr>
        <w:t xml:space="preserve"> y renuncia de los servidores públicos </w:t>
      </w:r>
      <w:r w:rsidR="005A6232" w:rsidRPr="000E564D">
        <w:rPr>
          <w:rFonts w:ascii="Palatino Linotype" w:eastAsia="Palatino Linotype" w:hAnsi="Palatino Linotype" w:cs="Palatino Linotype"/>
          <w:b/>
        </w:rPr>
        <w:t>dados de baja</w:t>
      </w:r>
      <w:r w:rsidRPr="000E564D">
        <w:rPr>
          <w:rFonts w:ascii="Palatino Linotype" w:eastAsia="Palatino Linotype" w:hAnsi="Palatino Linotype" w:cs="Palatino Linotype"/>
        </w:rPr>
        <w:t>.</w:t>
      </w:r>
    </w:p>
    <w:p w14:paraId="314CF306" w14:textId="77777777" w:rsidR="00525649" w:rsidRPr="000E564D" w:rsidRDefault="00B04106">
      <w:pPr>
        <w:spacing w:before="240" w:after="240" w:line="360" w:lineRule="auto"/>
        <w:ind w:left="567"/>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b. Formato Único de Personal, FUP, de los servidores públicos </w:t>
      </w:r>
      <w:r w:rsidRPr="000E564D">
        <w:rPr>
          <w:rFonts w:ascii="Palatino Linotype" w:eastAsia="Palatino Linotype" w:hAnsi="Palatino Linotype" w:cs="Palatino Linotype"/>
          <w:b/>
        </w:rPr>
        <w:t>dados de alta</w:t>
      </w:r>
      <w:r w:rsidRPr="000E564D">
        <w:rPr>
          <w:rFonts w:ascii="Palatino Linotype" w:eastAsia="Palatino Linotype" w:hAnsi="Palatino Linotype" w:cs="Palatino Linotype"/>
        </w:rPr>
        <w:t>, que desempeñan cargos de mandos medios y superior</w:t>
      </w:r>
      <w:r w:rsidR="005A6232" w:rsidRPr="000E564D">
        <w:rPr>
          <w:rFonts w:ascii="Palatino Linotype" w:eastAsia="Palatino Linotype" w:hAnsi="Palatino Linotype" w:cs="Palatino Linotype"/>
        </w:rPr>
        <w:t>es, y funciones administrativas</w:t>
      </w:r>
      <w:r w:rsidRPr="000E564D">
        <w:rPr>
          <w:rFonts w:ascii="Palatino Linotype" w:eastAsia="Palatino Linotype" w:hAnsi="Palatino Linotype" w:cs="Palatino Linotype"/>
        </w:rPr>
        <w:t>.</w:t>
      </w:r>
    </w:p>
    <w:p w14:paraId="7013FBB4" w14:textId="77777777" w:rsidR="00525649" w:rsidRPr="000E564D" w:rsidRDefault="00B04106" w:rsidP="005A6232">
      <w:pPr>
        <w:spacing w:before="240" w:after="240" w:line="360" w:lineRule="auto"/>
        <w:ind w:left="567"/>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c. Formato Único de Personal, FUP, de los servidores públicos </w:t>
      </w:r>
      <w:r w:rsidRPr="000E564D">
        <w:rPr>
          <w:rFonts w:ascii="Palatino Linotype" w:eastAsia="Palatino Linotype" w:hAnsi="Palatino Linotype" w:cs="Palatino Linotype"/>
          <w:b/>
        </w:rPr>
        <w:t>dados de alta</w:t>
      </w:r>
      <w:r w:rsidR="00D6304E" w:rsidRPr="000E564D">
        <w:rPr>
          <w:rFonts w:ascii="Palatino Linotype" w:eastAsia="Palatino Linotype" w:hAnsi="Palatino Linotype" w:cs="Palatino Linotype"/>
        </w:rPr>
        <w:t>,</w:t>
      </w:r>
      <w:r w:rsidRPr="000E564D">
        <w:rPr>
          <w:rFonts w:ascii="Palatino Linotype" w:eastAsia="Palatino Linotype" w:hAnsi="Palatino Linotype" w:cs="Palatino Linotype"/>
        </w:rPr>
        <w:t xml:space="preserve"> que desempeñan funciones operativas, </w:t>
      </w:r>
      <w:r w:rsidR="005A6232" w:rsidRPr="000E564D">
        <w:rPr>
          <w:rFonts w:ascii="Palatino Linotype" w:eastAsia="Palatino Linotype" w:hAnsi="Palatino Linotype" w:cs="Palatino Linotype"/>
        </w:rPr>
        <w:t>testando el nombre completo, cargo y horario laboral</w:t>
      </w:r>
      <w:r w:rsidRPr="000E564D">
        <w:rPr>
          <w:rFonts w:ascii="Palatino Linotype" w:eastAsia="Palatino Linotype" w:hAnsi="Palatino Linotype" w:cs="Palatino Linotype"/>
        </w:rPr>
        <w:t>.</w:t>
      </w:r>
    </w:p>
    <w:p w14:paraId="49AC1004" w14:textId="77777777" w:rsidR="00525649" w:rsidRPr="000E564D" w:rsidRDefault="00B04106">
      <w:pPr>
        <w:spacing w:before="240" w:after="240"/>
        <w:ind w:left="284"/>
        <w:jc w:val="both"/>
        <w:rPr>
          <w:rFonts w:ascii="Palatino Linotype" w:eastAsia="Palatino Linotype" w:hAnsi="Palatino Linotype" w:cs="Palatino Linotype"/>
          <w:i/>
          <w:sz w:val="20"/>
          <w:szCs w:val="20"/>
        </w:rPr>
      </w:pPr>
      <w:r w:rsidRPr="000E564D">
        <w:rPr>
          <w:rFonts w:ascii="Palatino Linotype" w:eastAsia="Palatino Linotype" w:hAnsi="Palatino Linotype" w:cs="Palatino Linotype"/>
          <w:i/>
          <w:sz w:val="20"/>
          <w:szCs w:val="20"/>
        </w:rPr>
        <w:lastRenderedPageBreak/>
        <w:t xml:space="preserve">Para la entrega en versión pública, se deberá entregar el Acuerdo del Comité de Transparencia en términos de la Ley de Transparencia y Acceso a la Información Pública del Estado de México y Municipios, en el que funde y motive las razones sobre los datos que se supriman o eliminen y se ponga a disposición de la parte </w:t>
      </w:r>
      <w:r w:rsidRPr="000E564D">
        <w:rPr>
          <w:rFonts w:ascii="Palatino Linotype" w:eastAsia="Palatino Linotype" w:hAnsi="Palatino Linotype" w:cs="Palatino Linotype"/>
          <w:b/>
          <w:i/>
          <w:sz w:val="20"/>
          <w:szCs w:val="20"/>
        </w:rPr>
        <w:t>Recurrente</w:t>
      </w:r>
      <w:r w:rsidRPr="000E564D">
        <w:rPr>
          <w:rFonts w:ascii="Palatino Linotype" w:eastAsia="Palatino Linotype" w:hAnsi="Palatino Linotype" w:cs="Palatino Linotype"/>
          <w:i/>
          <w:sz w:val="20"/>
          <w:szCs w:val="20"/>
        </w:rPr>
        <w:t>.</w:t>
      </w:r>
    </w:p>
    <w:p w14:paraId="68EF4B62" w14:textId="77777777" w:rsidR="00D6304E" w:rsidRPr="000E564D" w:rsidRDefault="00D6304E" w:rsidP="00D6304E">
      <w:pPr>
        <w:spacing w:before="240" w:after="240"/>
        <w:ind w:left="284" w:right="51"/>
        <w:jc w:val="both"/>
        <w:rPr>
          <w:rFonts w:ascii="Palatino Linotype" w:eastAsia="Palatino Linotype" w:hAnsi="Palatino Linotype" w:cs="Palatino Linotype"/>
          <w:i/>
          <w:sz w:val="20"/>
          <w:szCs w:val="20"/>
        </w:rPr>
      </w:pPr>
      <w:r w:rsidRPr="000E564D">
        <w:rPr>
          <w:rFonts w:ascii="Palatino Linotype" w:eastAsia="Palatino Linotype" w:hAnsi="Palatino Linotype" w:cs="Palatino Linotype"/>
          <w:i/>
          <w:sz w:val="20"/>
          <w:szCs w:val="20"/>
        </w:rPr>
        <w:t xml:space="preserve">En el supuesto que la información ordenada, en alguno de los incisos del punto 1, no obre en los archivos del </w:t>
      </w:r>
      <w:r w:rsidRPr="000E564D">
        <w:rPr>
          <w:rFonts w:ascii="Palatino Linotype" w:eastAsia="Palatino Linotype" w:hAnsi="Palatino Linotype" w:cs="Palatino Linotype"/>
          <w:b/>
          <w:i/>
          <w:sz w:val="20"/>
          <w:szCs w:val="20"/>
        </w:rPr>
        <w:t xml:space="preserve">Sujeto Obligado, </w:t>
      </w:r>
      <w:r w:rsidRPr="000E564D">
        <w:rPr>
          <w:rFonts w:ascii="Palatino Linotype" w:eastAsia="Palatino Linotype" w:hAnsi="Palatino Linotype" w:cs="Palatino Linotype"/>
          <w:bCs/>
          <w:i/>
          <w:sz w:val="20"/>
          <w:szCs w:val="20"/>
        </w:rPr>
        <w:t>por no haberse generado, bastará con que así se haga</w:t>
      </w:r>
      <w:r w:rsidRPr="000E564D">
        <w:rPr>
          <w:rFonts w:ascii="Palatino Linotype" w:eastAsia="Palatino Linotype" w:hAnsi="Palatino Linotype" w:cs="Palatino Linotype"/>
          <w:i/>
          <w:sz w:val="20"/>
          <w:szCs w:val="20"/>
        </w:rPr>
        <w:t xml:space="preserve"> del conocimiento de la parte </w:t>
      </w:r>
      <w:r w:rsidRPr="000E564D">
        <w:rPr>
          <w:rFonts w:ascii="Palatino Linotype" w:eastAsia="Palatino Linotype" w:hAnsi="Palatino Linotype" w:cs="Palatino Linotype"/>
          <w:b/>
          <w:i/>
          <w:sz w:val="20"/>
          <w:szCs w:val="20"/>
        </w:rPr>
        <w:t>Recurrente</w:t>
      </w:r>
      <w:r w:rsidRPr="000E564D">
        <w:rPr>
          <w:rFonts w:ascii="Palatino Linotype" w:eastAsia="Palatino Linotype" w:hAnsi="Palatino Linotype" w:cs="Palatino Linotype"/>
          <w:i/>
          <w:sz w:val="20"/>
          <w:szCs w:val="20"/>
        </w:rPr>
        <w:t>, en términos del artículo 19, párrafo segundo de la Ley de Transparencia y Acceso a la Información Pública del Estado de México y Municipios</w:t>
      </w:r>
    </w:p>
    <w:p w14:paraId="3F2BD7F3" w14:textId="77777777" w:rsidR="00525649" w:rsidRPr="000E564D" w:rsidRDefault="00B04106">
      <w:pPr>
        <w:spacing w:before="240" w:after="240" w:line="360" w:lineRule="auto"/>
        <w:jc w:val="both"/>
        <w:rPr>
          <w:rFonts w:ascii="Palatino Linotype" w:eastAsia="Palatino Linotype" w:hAnsi="Palatino Linotype" w:cs="Palatino Linotype"/>
          <w:b/>
        </w:rPr>
      </w:pPr>
      <w:r w:rsidRPr="000E564D">
        <w:rPr>
          <w:rFonts w:ascii="Palatino Linotype" w:eastAsia="Palatino Linotype" w:hAnsi="Palatino Linotype" w:cs="Palatino Linotype"/>
          <w:b/>
        </w:rPr>
        <w:t xml:space="preserve">Tercero. Notifíquese, </w:t>
      </w:r>
      <w:r w:rsidRPr="000E564D">
        <w:rPr>
          <w:rFonts w:ascii="Palatino Linotype" w:eastAsia="Palatino Linotype" w:hAnsi="Palatino Linotype" w:cs="Palatino Linotype"/>
        </w:rPr>
        <w:t xml:space="preserve">vía </w:t>
      </w:r>
      <w:r w:rsidRPr="000E564D">
        <w:rPr>
          <w:rFonts w:ascii="Palatino Linotype" w:eastAsia="Palatino Linotype" w:hAnsi="Palatino Linotype" w:cs="Palatino Linotype"/>
          <w:b/>
        </w:rPr>
        <w:t>SAIMEX</w:t>
      </w:r>
      <w:r w:rsidRPr="000E564D">
        <w:rPr>
          <w:rFonts w:ascii="Palatino Linotype" w:eastAsia="Palatino Linotype" w:hAnsi="Palatino Linotype" w:cs="Palatino Linotype"/>
        </w:rPr>
        <w:t xml:space="preserve">, al Titular de la Unidad de Transparencia del </w:t>
      </w:r>
      <w:r w:rsidRPr="000E564D">
        <w:rPr>
          <w:rFonts w:ascii="Palatino Linotype" w:eastAsia="Palatino Linotype" w:hAnsi="Palatino Linotype" w:cs="Palatino Linotype"/>
          <w:b/>
        </w:rPr>
        <w:t>Sujeto Obligado,</w:t>
      </w:r>
      <w:r w:rsidRPr="000E564D">
        <w:rPr>
          <w:rFonts w:ascii="Palatino Linotype" w:eastAsia="Palatino Linotype" w:hAnsi="Palatino Linotype" w:cs="Palatino Linotype"/>
        </w:rPr>
        <w:t xml:space="preserve"> la presente resolución para que conforme a los artículos 186, último párrafo y 189, párrafo segundo y 194 de la Ley de Transparencia y Acceso a la Información Pública del Estado de México y Municipios;  dé cumplimiento a lo ordenado dentro del plazo de treinta días hábiles, e informe a este Instituto en un plazo de tres días hábiles siguientes sobre el cumplimiento dado a la presente, y, se le apercibe que en caso de negarse a cumplir la presente resolución o hacerlo de manera parcial, se le impondrá una medida de apremio de conformidad con lo previsto en los artículos 198, 200, fracción III; 214, 215 y 216 de la Ley  de Transparencia y Acceso a la Información Pública del Estado de México y Municipios.</w:t>
      </w:r>
    </w:p>
    <w:p w14:paraId="10086DF5"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rPr>
        <w:t xml:space="preserve">De conformidad con el artículo 198 de la Ley de Transparencia y Acceso a la Información Pública del Estado de México y Municipios, de considerarlo procedente, el </w:t>
      </w:r>
      <w:r w:rsidRPr="000E564D">
        <w:rPr>
          <w:rFonts w:ascii="Palatino Linotype" w:eastAsia="Palatino Linotype" w:hAnsi="Palatino Linotype" w:cs="Palatino Linotype"/>
          <w:b/>
        </w:rPr>
        <w:t>Sujeto Obligado</w:t>
      </w:r>
      <w:r w:rsidRPr="000E564D">
        <w:rPr>
          <w:rFonts w:ascii="Palatino Linotype" w:eastAsia="Palatino Linotype" w:hAnsi="Palatino Linotype" w:cs="Palatino Linotype"/>
        </w:rPr>
        <w:t xml:space="preserve"> de manera fundada y motivada, podrá solicitar una ampliación de plazo para el cumplimiento de la presente resolución.</w:t>
      </w:r>
    </w:p>
    <w:p w14:paraId="2E6EF9F7" w14:textId="77777777" w:rsidR="00525649" w:rsidRPr="000E564D" w:rsidRDefault="00B04106">
      <w:pPr>
        <w:spacing w:before="240" w:after="240" w:line="360" w:lineRule="auto"/>
        <w:jc w:val="both"/>
        <w:rPr>
          <w:rFonts w:ascii="Palatino Linotype" w:eastAsia="Palatino Linotype" w:hAnsi="Palatino Linotype" w:cs="Palatino Linotype"/>
        </w:rPr>
      </w:pPr>
      <w:r w:rsidRPr="000E564D">
        <w:rPr>
          <w:rFonts w:ascii="Palatino Linotype" w:eastAsia="Palatino Linotype" w:hAnsi="Palatino Linotype" w:cs="Palatino Linotype"/>
          <w:b/>
        </w:rPr>
        <w:t xml:space="preserve">Cuarto.  Notifíquese, </w:t>
      </w:r>
      <w:r w:rsidRPr="000E564D">
        <w:rPr>
          <w:rFonts w:ascii="Palatino Linotype" w:eastAsia="Palatino Linotype" w:hAnsi="Palatino Linotype" w:cs="Palatino Linotype"/>
        </w:rPr>
        <w:t xml:space="preserve">vía </w:t>
      </w:r>
      <w:r w:rsidRPr="000E564D">
        <w:rPr>
          <w:rFonts w:ascii="Palatino Linotype" w:eastAsia="Palatino Linotype" w:hAnsi="Palatino Linotype" w:cs="Palatino Linotype"/>
          <w:b/>
        </w:rPr>
        <w:t>SAIMEX</w:t>
      </w:r>
      <w:r w:rsidRPr="000E564D">
        <w:rPr>
          <w:rFonts w:ascii="Palatino Linotype" w:eastAsia="Palatino Linotype" w:hAnsi="Palatino Linotype" w:cs="Palatino Linotype"/>
        </w:rPr>
        <w:t xml:space="preserve">, a la parte </w:t>
      </w:r>
      <w:r w:rsidRPr="000E564D">
        <w:rPr>
          <w:rFonts w:ascii="Palatino Linotype" w:eastAsia="Palatino Linotype" w:hAnsi="Palatino Linotype" w:cs="Palatino Linotype"/>
          <w:b/>
        </w:rPr>
        <w:t xml:space="preserve">Recurrente </w:t>
      </w:r>
      <w:r w:rsidRPr="000E564D">
        <w:rPr>
          <w:rFonts w:ascii="Palatino Linotype" w:eastAsia="Palatino Linotype" w:hAnsi="Palatino Linotype" w:cs="Palatino Linotype"/>
        </w:rPr>
        <w:t xml:space="preserve">la presente resolución, así como, que de conformidad con lo establecido en el artículo 196 de la Ley de Transparencia y Acceso a la Información Pública del Estado de México y Municipios, </w:t>
      </w:r>
      <w:r w:rsidRPr="000E564D">
        <w:rPr>
          <w:rFonts w:ascii="Palatino Linotype" w:eastAsia="Palatino Linotype" w:hAnsi="Palatino Linotype" w:cs="Palatino Linotype"/>
        </w:rPr>
        <w:lastRenderedPageBreak/>
        <w:t>en caso de que considere que le causa algún perjuicio podrá impugnarla vía Juicio de Amparo en los términos de las leyes aplicables.</w:t>
      </w:r>
    </w:p>
    <w:p w14:paraId="727847C7" w14:textId="77777777" w:rsidR="00525649" w:rsidRPr="000E564D" w:rsidRDefault="00B04106">
      <w:pPr>
        <w:spacing w:line="360" w:lineRule="auto"/>
        <w:jc w:val="both"/>
        <w:rPr>
          <w:rFonts w:ascii="Palatino Linotype" w:eastAsia="Palatino Linotype" w:hAnsi="Palatino Linotype" w:cs="Palatino Linotype"/>
        </w:rPr>
      </w:pPr>
      <w:bookmarkStart w:id="8" w:name="_heading=h.17dp8vu" w:colFirst="0" w:colLast="0"/>
      <w:bookmarkEnd w:id="8"/>
      <w:r w:rsidRPr="000E564D">
        <w:rPr>
          <w:rFonts w:ascii="Palatino Linotype" w:eastAsia="Palatino Linotype" w:hAnsi="Palatino Linotype" w:cs="Palatino Linotype"/>
        </w:rPr>
        <w:t>ASÍ LO RESUELVE, POR UNANIMIDAD DE VOTOS, EL PLENO DEL INSTITUTO DE TRANSPARENCIA, ACCESO A LA INFORMACIÓN PÚBLICA Y PROTECCIÓN DE DATOS PERSONALES DEL ESTADO DE MÉXICO Y MUNICIPIOS, CONFORMADO POR LOS COMISIONADOS JOSÉ MARTÍNEZ VILCHIS, MARÍA DEL ROSARIO MEJÍA AYALA</w:t>
      </w:r>
      <w:r w:rsidR="00741A88" w:rsidRPr="000E564D">
        <w:rPr>
          <w:rFonts w:ascii="Palatino Linotype" w:eastAsia="Palatino Linotype" w:hAnsi="Palatino Linotype" w:cs="Palatino Linotype"/>
        </w:rPr>
        <w:t>; EMITIENDO VOTO PARTICULAR</w:t>
      </w:r>
      <w:r w:rsidRPr="000E564D">
        <w:rPr>
          <w:rFonts w:ascii="Palatino Linotype" w:eastAsia="Palatino Linotype" w:hAnsi="Palatino Linotype" w:cs="Palatino Linotype"/>
        </w:rPr>
        <w:t>, SHARON CRISTINA MORALES MARTÍNEZ, LUIS GUSTAVO PARRA NORIEGA</w:t>
      </w:r>
      <w:r w:rsidR="00741A88" w:rsidRPr="000E564D">
        <w:rPr>
          <w:rFonts w:ascii="Palatino Linotype" w:eastAsia="Palatino Linotype" w:hAnsi="Palatino Linotype" w:cs="Palatino Linotype"/>
        </w:rPr>
        <w:t>; EMITIENDO VOTO PARTICULAR</w:t>
      </w:r>
      <w:r w:rsidRPr="000E564D">
        <w:rPr>
          <w:rFonts w:ascii="Palatino Linotype" w:eastAsia="Palatino Linotype" w:hAnsi="Palatino Linotype" w:cs="Palatino Linotype"/>
        </w:rPr>
        <w:t xml:space="preserve"> Y GUADALUPE RAMÍREZ PEÑA; EN LA VIGÉSIMO QUINTA SESIÓN ORDINARIA, CELEBRADA EL CINCO DE JULIO DE DOS MIL VEINTITRÉS, ANTE EL SECRETARIO TÉCNICO DEL PLENO ALEXIS TAPIA RAMÍREZ.</w:t>
      </w:r>
    </w:p>
    <w:p w14:paraId="0B668F56" w14:textId="77777777" w:rsidR="00525649" w:rsidRPr="00B611A6" w:rsidRDefault="00741A88">
      <w:pPr>
        <w:rPr>
          <w:rFonts w:ascii="Palatino Linotype" w:eastAsia="Palatino Linotype" w:hAnsi="Palatino Linotype" w:cs="Palatino Linotype"/>
        </w:rPr>
      </w:pPr>
      <w:r w:rsidRPr="000E564D">
        <w:rPr>
          <w:rFonts w:ascii="Palatino Linotype" w:eastAsia="Palatino Linotype" w:hAnsi="Palatino Linotype" w:cs="Palatino Linotype"/>
          <w:noProof/>
        </w:rPr>
        <mc:AlternateContent>
          <mc:Choice Requires="wps">
            <w:drawing>
              <wp:anchor distT="0" distB="0" distL="114300" distR="114300" simplePos="0" relativeHeight="251659264" behindDoc="0" locked="0" layoutInCell="1" allowOverlap="1" wp14:anchorId="1E5AA9DC" wp14:editId="17332CF3">
                <wp:simplePos x="0" y="0"/>
                <wp:positionH relativeFrom="margin">
                  <wp:align>right</wp:align>
                </wp:positionH>
                <wp:positionV relativeFrom="paragraph">
                  <wp:posOffset>31750</wp:posOffset>
                </wp:positionV>
                <wp:extent cx="5514975" cy="3619500"/>
                <wp:effectExtent l="38100" t="19050" r="66675" b="95250"/>
                <wp:wrapNone/>
                <wp:docPr id="1" name="Conector recto 1"/>
                <wp:cNvGraphicFramePr/>
                <a:graphic xmlns:a="http://schemas.openxmlformats.org/drawingml/2006/main">
                  <a:graphicData uri="http://schemas.microsoft.com/office/word/2010/wordprocessingShape">
                    <wps:wsp>
                      <wps:cNvCnPr/>
                      <wps:spPr>
                        <a:xfrm>
                          <a:off x="0" y="0"/>
                          <a:ext cx="5514975" cy="361950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F142D7" id="Conector recto 1" o:spid="_x0000_s1026" style="position:absolute;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83.05pt,2.5pt" to="817.3pt,2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" strokecolor="black [3200]" strokeweight="2pt">
                <v:shadow on="t" color="black" opacity="24903f" origin=",.5" offset="0,.55556mm"/>
                <w10:wrap anchorx="margin"/>
              </v:line>
            </w:pict>
          </mc:Fallback>
        </mc:AlternateContent>
      </w:r>
    </w:p>
    <w:p w14:paraId="78959B66" w14:textId="77777777" w:rsidR="00525649" w:rsidRPr="00B611A6" w:rsidRDefault="00525649">
      <w:pPr>
        <w:rPr>
          <w:rFonts w:ascii="Palatino Linotype" w:eastAsia="Palatino Linotype" w:hAnsi="Palatino Linotype" w:cs="Palatino Linotype"/>
        </w:rPr>
      </w:pPr>
    </w:p>
    <w:p w14:paraId="1E778AFF" w14:textId="77777777" w:rsidR="00525649" w:rsidRPr="00B611A6" w:rsidRDefault="00525649">
      <w:pPr>
        <w:rPr>
          <w:rFonts w:ascii="Palatino Linotype" w:eastAsia="Palatino Linotype" w:hAnsi="Palatino Linotype" w:cs="Palatino Linotype"/>
        </w:rPr>
      </w:pPr>
    </w:p>
    <w:p w14:paraId="6B1C24B0" w14:textId="77777777" w:rsidR="00525649" w:rsidRPr="00B611A6" w:rsidRDefault="00525649">
      <w:pPr>
        <w:rPr>
          <w:rFonts w:ascii="Palatino Linotype" w:eastAsia="Palatino Linotype" w:hAnsi="Palatino Linotype" w:cs="Palatino Linotype"/>
        </w:rPr>
      </w:pPr>
    </w:p>
    <w:p w14:paraId="31B85BCA" w14:textId="77777777" w:rsidR="00525649" w:rsidRPr="00B611A6" w:rsidRDefault="00525649">
      <w:pPr>
        <w:rPr>
          <w:rFonts w:ascii="Palatino Linotype" w:eastAsia="Palatino Linotype" w:hAnsi="Palatino Linotype" w:cs="Palatino Linotype"/>
        </w:rPr>
      </w:pPr>
    </w:p>
    <w:p w14:paraId="08A624EF" w14:textId="77777777" w:rsidR="00525649" w:rsidRPr="00B611A6" w:rsidRDefault="00525649">
      <w:pPr>
        <w:rPr>
          <w:rFonts w:ascii="Palatino Linotype" w:eastAsia="Palatino Linotype" w:hAnsi="Palatino Linotype" w:cs="Palatino Linotype"/>
        </w:rPr>
      </w:pPr>
    </w:p>
    <w:p w14:paraId="68E3A26A" w14:textId="77777777" w:rsidR="00525649" w:rsidRPr="00B611A6" w:rsidRDefault="00525649">
      <w:pPr>
        <w:rPr>
          <w:rFonts w:ascii="Palatino Linotype" w:eastAsia="Palatino Linotype" w:hAnsi="Palatino Linotype" w:cs="Palatino Linotype"/>
        </w:rPr>
      </w:pPr>
    </w:p>
    <w:p w14:paraId="7FDAA22F" w14:textId="77777777" w:rsidR="00525649" w:rsidRPr="00B611A6" w:rsidRDefault="00525649">
      <w:pPr>
        <w:rPr>
          <w:rFonts w:ascii="Palatino Linotype" w:eastAsia="Palatino Linotype" w:hAnsi="Palatino Linotype" w:cs="Palatino Linotype"/>
        </w:rPr>
      </w:pPr>
    </w:p>
    <w:p w14:paraId="018CD193" w14:textId="77777777" w:rsidR="00525649" w:rsidRPr="00B611A6" w:rsidRDefault="00525649">
      <w:pPr>
        <w:rPr>
          <w:rFonts w:ascii="Palatino Linotype" w:eastAsia="Palatino Linotype" w:hAnsi="Palatino Linotype" w:cs="Palatino Linotype"/>
        </w:rPr>
      </w:pPr>
    </w:p>
    <w:p w14:paraId="1250A87B" w14:textId="77777777" w:rsidR="00525649" w:rsidRPr="00B611A6" w:rsidRDefault="00525649">
      <w:pPr>
        <w:rPr>
          <w:rFonts w:ascii="Palatino Linotype" w:eastAsia="Palatino Linotype" w:hAnsi="Palatino Linotype" w:cs="Palatino Linotype"/>
        </w:rPr>
      </w:pPr>
    </w:p>
    <w:p w14:paraId="3B5C3361" w14:textId="77777777" w:rsidR="00525649" w:rsidRPr="00B611A6" w:rsidRDefault="00525649">
      <w:pPr>
        <w:rPr>
          <w:rFonts w:ascii="Palatino Linotype" w:eastAsia="Palatino Linotype" w:hAnsi="Palatino Linotype" w:cs="Palatino Linotype"/>
        </w:rPr>
      </w:pPr>
    </w:p>
    <w:p w14:paraId="5B2BD429" w14:textId="77777777" w:rsidR="00525649" w:rsidRPr="00B611A6" w:rsidRDefault="00525649">
      <w:pPr>
        <w:spacing w:line="360" w:lineRule="auto"/>
        <w:jc w:val="both"/>
        <w:rPr>
          <w:rFonts w:ascii="Palatino Linotype" w:eastAsia="Palatino Linotype" w:hAnsi="Palatino Linotype" w:cs="Palatino Linotype"/>
        </w:rPr>
      </w:pPr>
      <w:bookmarkStart w:id="9" w:name="_heading=h.3rdcrjn" w:colFirst="0" w:colLast="0"/>
      <w:bookmarkEnd w:id="9"/>
    </w:p>
    <w:p w14:paraId="3B7708CE" w14:textId="77777777" w:rsidR="00525649" w:rsidRPr="00B611A6" w:rsidRDefault="00525649">
      <w:pPr>
        <w:spacing w:line="360" w:lineRule="auto"/>
        <w:jc w:val="both"/>
        <w:rPr>
          <w:rFonts w:ascii="Palatino Linotype" w:eastAsia="Palatino Linotype" w:hAnsi="Palatino Linotype" w:cs="Palatino Linotype"/>
        </w:rPr>
      </w:pPr>
    </w:p>
    <w:p w14:paraId="60998D7E" w14:textId="77777777" w:rsidR="00525649" w:rsidRPr="00B611A6" w:rsidRDefault="00525649">
      <w:pPr>
        <w:spacing w:line="360" w:lineRule="auto"/>
        <w:jc w:val="both"/>
        <w:rPr>
          <w:rFonts w:ascii="Palatino Linotype" w:eastAsia="Palatino Linotype" w:hAnsi="Palatino Linotype" w:cs="Palatino Linotype"/>
        </w:rPr>
      </w:pPr>
    </w:p>
    <w:p w14:paraId="7DD5FFA0" w14:textId="77777777" w:rsidR="00525649" w:rsidRPr="00B611A6" w:rsidRDefault="00525649">
      <w:pPr>
        <w:spacing w:line="360" w:lineRule="auto"/>
        <w:jc w:val="both"/>
        <w:rPr>
          <w:rFonts w:ascii="Palatino Linotype" w:eastAsia="Palatino Linotype" w:hAnsi="Palatino Linotype" w:cs="Palatino Linotype"/>
        </w:rPr>
      </w:pPr>
      <w:bookmarkStart w:id="10" w:name="_heading=h.1t3h5sf" w:colFirst="0" w:colLast="0"/>
      <w:bookmarkEnd w:id="10"/>
    </w:p>
    <w:p w14:paraId="15BC89B3" w14:textId="77777777" w:rsidR="00525649" w:rsidRPr="00B611A6" w:rsidRDefault="00525649">
      <w:pPr>
        <w:spacing w:line="360" w:lineRule="auto"/>
        <w:jc w:val="both"/>
        <w:rPr>
          <w:rFonts w:ascii="Palatino Linotype" w:eastAsia="Palatino Linotype" w:hAnsi="Palatino Linotype" w:cs="Palatino Linotype"/>
        </w:rPr>
      </w:pPr>
    </w:p>
    <w:p w14:paraId="7CFB5324" w14:textId="77777777" w:rsidR="00525649" w:rsidRPr="00B611A6" w:rsidRDefault="00525649">
      <w:pPr>
        <w:spacing w:line="360" w:lineRule="auto"/>
        <w:jc w:val="both"/>
        <w:rPr>
          <w:rFonts w:ascii="Palatino Linotype" w:eastAsia="Palatino Linotype" w:hAnsi="Palatino Linotype" w:cs="Palatino Linotype"/>
        </w:rPr>
      </w:pPr>
    </w:p>
    <w:p w14:paraId="50B19858" w14:textId="77777777" w:rsidR="00525649" w:rsidRPr="00B611A6" w:rsidRDefault="00525649">
      <w:pPr>
        <w:spacing w:line="360" w:lineRule="auto"/>
        <w:jc w:val="both"/>
        <w:rPr>
          <w:rFonts w:ascii="Palatino Linotype" w:eastAsia="Palatino Linotype" w:hAnsi="Palatino Linotype" w:cs="Palatino Linotype"/>
        </w:rPr>
      </w:pPr>
    </w:p>
    <w:p w14:paraId="482E4302" w14:textId="77777777" w:rsidR="00525649" w:rsidRPr="00B611A6" w:rsidRDefault="00525649">
      <w:pPr>
        <w:spacing w:line="360" w:lineRule="auto"/>
        <w:jc w:val="both"/>
        <w:rPr>
          <w:rFonts w:ascii="Palatino Linotype" w:eastAsia="Palatino Linotype" w:hAnsi="Palatino Linotype" w:cs="Palatino Linotype"/>
        </w:rPr>
      </w:pPr>
    </w:p>
    <w:p w14:paraId="31CD71CE" w14:textId="77777777" w:rsidR="00525649" w:rsidRPr="00B611A6" w:rsidRDefault="00525649">
      <w:pPr>
        <w:spacing w:line="360" w:lineRule="auto"/>
        <w:jc w:val="both"/>
        <w:rPr>
          <w:rFonts w:ascii="Palatino Linotype" w:eastAsia="Palatino Linotype" w:hAnsi="Palatino Linotype" w:cs="Palatino Linotype"/>
        </w:rPr>
      </w:pPr>
    </w:p>
    <w:p w14:paraId="3193A9A7" w14:textId="77777777" w:rsidR="00525649" w:rsidRPr="00B611A6" w:rsidRDefault="00525649">
      <w:pPr>
        <w:spacing w:line="360" w:lineRule="auto"/>
        <w:jc w:val="both"/>
        <w:rPr>
          <w:rFonts w:ascii="Palatino Linotype" w:eastAsia="Palatino Linotype" w:hAnsi="Palatino Linotype" w:cs="Palatino Linotype"/>
        </w:rPr>
      </w:pPr>
    </w:p>
    <w:p w14:paraId="08E03FE4" w14:textId="77777777" w:rsidR="00525649" w:rsidRPr="00B611A6" w:rsidRDefault="00525649">
      <w:pPr>
        <w:spacing w:line="360" w:lineRule="auto"/>
        <w:jc w:val="both"/>
        <w:rPr>
          <w:rFonts w:ascii="Palatino Linotype" w:eastAsia="Palatino Linotype" w:hAnsi="Palatino Linotype" w:cs="Palatino Linotype"/>
        </w:rPr>
      </w:pPr>
    </w:p>
    <w:p w14:paraId="1DFFC79A" w14:textId="77777777" w:rsidR="00525649" w:rsidRPr="00B611A6" w:rsidRDefault="00525649">
      <w:pPr>
        <w:spacing w:line="360" w:lineRule="auto"/>
        <w:jc w:val="both"/>
        <w:rPr>
          <w:rFonts w:ascii="Palatino Linotype" w:eastAsia="Palatino Linotype" w:hAnsi="Palatino Linotype" w:cs="Palatino Linotype"/>
        </w:rPr>
      </w:pPr>
    </w:p>
    <w:p w14:paraId="78991424" w14:textId="77777777" w:rsidR="00525649" w:rsidRPr="00B611A6" w:rsidRDefault="00525649">
      <w:pPr>
        <w:spacing w:line="360" w:lineRule="auto"/>
        <w:jc w:val="both"/>
        <w:rPr>
          <w:rFonts w:ascii="Palatino Linotype" w:eastAsia="Palatino Linotype" w:hAnsi="Palatino Linotype" w:cs="Palatino Linotype"/>
        </w:rPr>
      </w:pPr>
    </w:p>
    <w:p w14:paraId="23A6A7EF" w14:textId="77777777" w:rsidR="00525649" w:rsidRPr="00B611A6" w:rsidRDefault="00525649">
      <w:pPr>
        <w:spacing w:line="360" w:lineRule="auto"/>
        <w:jc w:val="both"/>
        <w:rPr>
          <w:rFonts w:ascii="Palatino Linotype" w:eastAsia="Palatino Linotype" w:hAnsi="Palatino Linotype" w:cs="Palatino Linotype"/>
        </w:rPr>
      </w:pPr>
    </w:p>
    <w:p w14:paraId="4B85433B" w14:textId="77777777" w:rsidR="00525649" w:rsidRPr="00B611A6" w:rsidRDefault="00525649">
      <w:pPr>
        <w:spacing w:line="360" w:lineRule="auto"/>
        <w:jc w:val="both"/>
        <w:rPr>
          <w:rFonts w:ascii="Palatino Linotype" w:eastAsia="Palatino Linotype" w:hAnsi="Palatino Linotype" w:cs="Palatino Linotype"/>
        </w:rPr>
      </w:pPr>
    </w:p>
    <w:sectPr w:rsidR="00525649" w:rsidRPr="00B611A6">
      <w:headerReference w:type="default" r:id="rId49"/>
      <w:footerReference w:type="default" r:id="rId50"/>
      <w:headerReference w:type="first" r:id="rId51"/>
      <w:footerReference w:type="first" r:id="rId52"/>
      <w:pgSz w:w="12240" w:h="15840"/>
      <w:pgMar w:top="1985" w:right="1701" w:bottom="1701"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329ECA" w14:textId="77777777" w:rsidR="00AE3360" w:rsidRDefault="00AE3360">
      <w:r>
        <w:separator/>
      </w:r>
    </w:p>
  </w:endnote>
  <w:endnote w:type="continuationSeparator" w:id="0">
    <w:p w14:paraId="42845B7A" w14:textId="77777777" w:rsidR="00AE3360" w:rsidRDefault="00AE33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Liberation Serif">
    <w:panose1 w:val="00000000000000000000"/>
    <w:charset w:val="00"/>
    <w:family w:val="roman"/>
    <w:notTrueType/>
    <w:pitch w:val="default"/>
  </w:font>
  <w:font w:name="DejaVu Sans">
    <w:panose1 w:val="00000000000000000000"/>
    <w:charset w:val="00"/>
    <w:family w:val="roman"/>
    <w:notTrueType/>
    <w:pitch w:val="default"/>
  </w:font>
  <w:font w:name="Lohit Hindi">
    <w:panose1 w:val="00000000000000000000"/>
    <w:charset w:val="00"/>
    <w:family w:val="roman"/>
    <w:notTrueType/>
    <w:pitch w:val="default"/>
  </w:font>
  <w:font w:name="Helvetica">
    <w:panose1 w:val="020B0504020202020204"/>
    <w:charset w:val="00"/>
    <w:family w:val="swiss"/>
    <w:notTrueType/>
    <w:pitch w:val="variable"/>
    <w:sig w:usb0="00000003" w:usb1="00000000" w:usb2="00000000" w:usb3="00000000" w:csb0="00000001" w:csb1="00000000"/>
  </w:font>
  <w:font w:name="Myriad Pro">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729656" w14:textId="77777777" w:rsidR="00B04106" w:rsidRDefault="00B04106">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3277FC">
      <w:rPr>
        <w:rFonts w:ascii="Palatino Linotype" w:eastAsia="Palatino Linotype" w:hAnsi="Palatino Linotype" w:cs="Palatino Linotype"/>
        <w:b/>
        <w:noProof/>
        <w:color w:val="000000"/>
        <w:sz w:val="20"/>
        <w:szCs w:val="20"/>
      </w:rPr>
      <w:t>2</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3277FC">
      <w:rPr>
        <w:rFonts w:ascii="Palatino Linotype" w:eastAsia="Palatino Linotype" w:hAnsi="Palatino Linotype" w:cs="Palatino Linotype"/>
        <w:b/>
        <w:noProof/>
        <w:color w:val="000000"/>
        <w:sz w:val="20"/>
        <w:szCs w:val="20"/>
      </w:rPr>
      <w:t>63</w:t>
    </w:r>
    <w:r>
      <w:rPr>
        <w:rFonts w:ascii="Palatino Linotype" w:eastAsia="Palatino Linotype" w:hAnsi="Palatino Linotype" w:cs="Palatino Linotype"/>
        <w:b/>
        <w:color w:val="000000"/>
        <w:sz w:val="20"/>
        <w:szCs w:val="20"/>
      </w:rPr>
      <w:fldChar w:fldCharType="end"/>
    </w:r>
  </w:p>
  <w:p w14:paraId="74FE219A" w14:textId="77777777" w:rsidR="00B04106" w:rsidRDefault="00B04106">
    <w:pPr>
      <w:pBdr>
        <w:top w:val="nil"/>
        <w:left w:val="nil"/>
        <w:bottom w:val="nil"/>
        <w:right w:val="nil"/>
        <w:between w:val="nil"/>
      </w:pBdr>
      <w:tabs>
        <w:tab w:val="center" w:pos="4252"/>
        <w:tab w:val="right" w:pos="8504"/>
      </w:tabs>
      <w:ind w:firstLine="708"/>
      <w:rPr>
        <w:rFonts w:ascii="Cambria" w:eastAsia="Cambria" w:hAnsi="Cambria" w:cs="Cambria"/>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725DE4" w14:textId="77777777" w:rsidR="00B04106" w:rsidRDefault="00B04106">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3277FC">
      <w:rPr>
        <w:rFonts w:ascii="Palatino Linotype" w:eastAsia="Palatino Linotype" w:hAnsi="Palatino Linotype" w:cs="Palatino Linotype"/>
        <w:b/>
        <w:noProof/>
        <w:color w:val="000000"/>
        <w:sz w:val="20"/>
        <w:szCs w:val="20"/>
      </w:rPr>
      <w:t>1</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3277FC">
      <w:rPr>
        <w:rFonts w:ascii="Palatino Linotype" w:eastAsia="Palatino Linotype" w:hAnsi="Palatino Linotype" w:cs="Palatino Linotype"/>
        <w:b/>
        <w:noProof/>
        <w:color w:val="000000"/>
        <w:sz w:val="20"/>
        <w:szCs w:val="20"/>
      </w:rPr>
      <w:t>63</w:t>
    </w:r>
    <w:r>
      <w:rPr>
        <w:rFonts w:ascii="Palatino Linotype" w:eastAsia="Palatino Linotype" w:hAnsi="Palatino Linotype" w:cs="Palatino Linotype"/>
        <w:b/>
        <w:color w:val="000000"/>
        <w:sz w:val="20"/>
        <w:szCs w:val="20"/>
      </w:rPr>
      <w:fldChar w:fldCharType="end"/>
    </w:r>
  </w:p>
  <w:p w14:paraId="7788AB46" w14:textId="77777777" w:rsidR="00B04106" w:rsidRDefault="00B04106">
    <w:pPr>
      <w:pBdr>
        <w:top w:val="nil"/>
        <w:left w:val="nil"/>
        <w:bottom w:val="nil"/>
        <w:right w:val="nil"/>
        <w:between w:val="nil"/>
      </w:pBdr>
      <w:tabs>
        <w:tab w:val="center" w:pos="4252"/>
        <w:tab w:val="right" w:pos="8504"/>
      </w:tabs>
      <w:rPr>
        <w:rFonts w:ascii="Cambria" w:eastAsia="Cambria" w:hAnsi="Cambria" w:cs="Cambria"/>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501975" w14:textId="77777777" w:rsidR="00AE3360" w:rsidRDefault="00AE3360">
      <w:r>
        <w:separator/>
      </w:r>
    </w:p>
  </w:footnote>
  <w:footnote w:type="continuationSeparator" w:id="0">
    <w:p w14:paraId="63A19AD8" w14:textId="77777777" w:rsidR="00AE3360" w:rsidRDefault="00AE3360">
      <w:r>
        <w:continuationSeparator/>
      </w:r>
    </w:p>
  </w:footnote>
  <w:footnote w:id="1">
    <w:p w14:paraId="4B6C08A3" w14:textId="77777777" w:rsidR="00B04106" w:rsidRDefault="00B04106">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w:t>
      </w:r>
      <w:r>
        <w:rPr>
          <w:rFonts w:ascii="Palatino Linotype" w:eastAsia="Palatino Linotype" w:hAnsi="Palatino Linotype" w:cs="Palatino Linotype"/>
          <w:b/>
          <w:color w:val="000000"/>
          <w:sz w:val="16"/>
          <w:szCs w:val="16"/>
        </w:rPr>
        <w:t>Artículo 185.</w:t>
      </w:r>
      <w:r>
        <w:rPr>
          <w:rFonts w:ascii="Palatino Linotype" w:eastAsia="Palatino Linotype" w:hAnsi="Palatino Linotype" w:cs="Palatino Linotype"/>
          <w:color w:val="000000"/>
          <w:sz w:val="16"/>
          <w:szCs w:val="16"/>
        </w:rPr>
        <w:t xml:space="preserve"> El Instituto resolverá el recurso de revisión conforme a lo siguiente: (…)</w:t>
      </w:r>
    </w:p>
    <w:p w14:paraId="0A942012" w14:textId="77777777" w:rsidR="00B04106" w:rsidRDefault="00B04106">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II. Admitido el recurso de revisión, la o el Comisionado ponente deberá integrar un expediente y ponerlo a disposición de las partes, para que, en un plazo máximo de siete días hábiles, manifiesten lo que a su derecho convenga;”</w:t>
      </w:r>
    </w:p>
  </w:footnote>
  <w:footnote w:id="2">
    <w:p w14:paraId="6F9F179F" w14:textId="77777777" w:rsidR="00B04106" w:rsidRDefault="00B04106">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Artículo 53. Las Unidades de Transparencia tendrán las siguientes funciones:</w:t>
      </w:r>
    </w:p>
    <w:p w14:paraId="455A1ABC" w14:textId="77777777" w:rsidR="00B04106" w:rsidRDefault="00B04106">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II. Recibir, tramitar y dar respuesta a las solicitudes de acceso a la información;</w:t>
      </w:r>
    </w:p>
    <w:p w14:paraId="2CC06E66" w14:textId="77777777" w:rsidR="00B04106" w:rsidRDefault="00B04106">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IV. Realizar, con efectividad, los trámites internos necesarios para la atención de las solicitudes de acceso a la información;</w:t>
      </w:r>
    </w:p>
  </w:footnote>
  <w:footnote w:id="3">
    <w:p w14:paraId="6D57F932" w14:textId="77777777" w:rsidR="00B04106" w:rsidRDefault="00B04106">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Artículo 162. Las unidades de transparencia deberán garantizar que las solicitudes se turnen a todas las Áreas competentes que cuenten con la información o deban tenerla de acuerdo a sus facultades, competencias y funciones, con el objeto de que realicen una búsqueda exhaustiva y razonable de la información solicitada.</w:t>
      </w:r>
    </w:p>
  </w:footnote>
  <w:footnote w:id="4">
    <w:p w14:paraId="62FFF191" w14:textId="77777777" w:rsidR="00B04106" w:rsidRDefault="00B04106">
      <w:pPr>
        <w:tabs>
          <w:tab w:val="right" w:pos="0"/>
        </w:tabs>
        <w:ind w:right="49"/>
        <w:jc w:val="both"/>
        <w:rPr>
          <w:rFonts w:ascii="Palatino Linotype" w:eastAsia="Palatino Linotype" w:hAnsi="Palatino Linotype" w:cs="Palatino Linotype"/>
          <w:i/>
          <w:sz w:val="16"/>
          <w:szCs w:val="16"/>
        </w:rPr>
      </w:pPr>
      <w:r>
        <w:rPr>
          <w:vertAlign w:val="superscript"/>
        </w:rPr>
        <w:footnoteRef/>
      </w:r>
      <w:r>
        <w:rPr>
          <w:rFonts w:ascii="Palatino Linotype" w:eastAsia="Palatino Linotype" w:hAnsi="Palatino Linotype" w:cs="Palatino Linotype"/>
          <w:sz w:val="16"/>
          <w:szCs w:val="16"/>
        </w:rPr>
        <w:t xml:space="preserve"> </w:t>
      </w:r>
      <w:r>
        <w:rPr>
          <w:rFonts w:ascii="Palatino Linotype" w:eastAsia="Palatino Linotype" w:hAnsi="Palatino Linotype" w:cs="Palatino Linotype"/>
          <w:i/>
          <w:sz w:val="16"/>
          <w:szCs w:val="16"/>
        </w:rPr>
        <w:t>“</w:t>
      </w:r>
      <w:r>
        <w:rPr>
          <w:rFonts w:ascii="Palatino Linotype" w:eastAsia="Palatino Linotype" w:hAnsi="Palatino Linotype" w:cs="Palatino Linotype"/>
          <w:b/>
          <w:i/>
          <w:sz w:val="16"/>
          <w:szCs w:val="16"/>
        </w:rPr>
        <w:t>El Instituto Federal de Acceso a la Información y Protección de Datos no cuenta con facultades para pronunciarse respecto de la veracidad de los documentos proporcionados por los sujetos obligados.</w:t>
      </w:r>
      <w:r>
        <w:rPr>
          <w:rFonts w:ascii="Palatino Linotype" w:eastAsia="Palatino Linotype" w:hAnsi="Palatino Linotype" w:cs="Palatino Linotype"/>
          <w:i/>
          <w:sz w:val="16"/>
          <w:szCs w:val="16"/>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footnote>
  <w:footnote w:id="5">
    <w:p w14:paraId="0FE33201" w14:textId="77777777" w:rsidR="00D6304E" w:rsidRPr="00CC2244" w:rsidRDefault="00D6304E" w:rsidP="00D6304E">
      <w:pPr>
        <w:pStyle w:val="Textonotapie"/>
        <w:jc w:val="both"/>
        <w:rPr>
          <w:rFonts w:ascii="Palatino Linotype" w:hAnsi="Palatino Linotype"/>
          <w:sz w:val="16"/>
          <w:szCs w:val="16"/>
        </w:rPr>
      </w:pPr>
      <w:r w:rsidRPr="00CC2244">
        <w:rPr>
          <w:rStyle w:val="Refdenotaalpie"/>
          <w:rFonts w:ascii="Palatino Linotype" w:hAnsi="Palatino Linotype"/>
          <w:sz w:val="16"/>
          <w:szCs w:val="16"/>
        </w:rPr>
        <w:footnoteRef/>
      </w:r>
      <w:r w:rsidRPr="00CC2244">
        <w:rPr>
          <w:rFonts w:ascii="Palatino Linotype" w:hAnsi="Palatino Linotype"/>
          <w:sz w:val="16"/>
          <w:szCs w:val="16"/>
        </w:rPr>
        <w:t xml:space="preserve"> Artículo 49. Los Comités de Transparencia tendrán las siguientes atribuciones:</w:t>
      </w:r>
    </w:p>
    <w:p w14:paraId="1A01FA2D" w14:textId="77777777" w:rsidR="00D6304E" w:rsidRPr="00CC2244" w:rsidRDefault="00D6304E" w:rsidP="00D6304E">
      <w:pPr>
        <w:pStyle w:val="Textonotapie"/>
        <w:jc w:val="both"/>
        <w:rPr>
          <w:rFonts w:ascii="Palatino Linotype" w:hAnsi="Palatino Linotype"/>
          <w:sz w:val="16"/>
          <w:szCs w:val="16"/>
        </w:rPr>
      </w:pPr>
      <w:r w:rsidRPr="00CC2244">
        <w:rPr>
          <w:rFonts w:ascii="Palatino Linotype" w:hAnsi="Palatino Linotype"/>
          <w:sz w:val="16"/>
          <w:szCs w:val="16"/>
        </w:rPr>
        <w:t>XIII. Dictaminar las declaratorias de inexistencia de la información que les remitan las unidades administrativas y resolver en consecuencia;</w:t>
      </w:r>
    </w:p>
  </w:footnote>
  <w:footnote w:id="6">
    <w:p w14:paraId="58E75176" w14:textId="77777777" w:rsidR="00B04106" w:rsidRDefault="00B04106">
      <w:pPr>
        <w:tabs>
          <w:tab w:val="right" w:pos="0"/>
        </w:tabs>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Resolución RRA2431/17 del Instituto Nacional de Transparencia, Acceso a la Información Pública y Protección de Datos Personales.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AA9F9" w14:textId="77777777" w:rsidR="00B04106" w:rsidRDefault="00B04106">
    <w:pPr>
      <w:rPr>
        <w:rFonts w:ascii="Cambria" w:eastAsia="Cambria" w:hAnsi="Cambria" w:cs="Cambria"/>
        <w:color w:val="000000"/>
      </w:rPr>
    </w:pPr>
    <w:r>
      <w:rPr>
        <w:noProof/>
      </w:rPr>
      <w:drawing>
        <wp:anchor distT="0" distB="0" distL="0" distR="0" simplePos="0" relativeHeight="251658240" behindDoc="1" locked="0" layoutInCell="1" hidden="0" allowOverlap="1" wp14:anchorId="2AA6EABE" wp14:editId="608847D3">
          <wp:simplePos x="0" y="0"/>
          <wp:positionH relativeFrom="column">
            <wp:posOffset>-1080115</wp:posOffset>
          </wp:positionH>
          <wp:positionV relativeFrom="paragraph">
            <wp:posOffset>-488292</wp:posOffset>
          </wp:positionV>
          <wp:extent cx="7809865" cy="10165715"/>
          <wp:effectExtent l="0" t="0" r="0" b="0"/>
          <wp:wrapNone/>
          <wp:docPr id="113222389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
                  <a:srcRect/>
                  <a:stretch>
                    <a:fillRect/>
                  </a:stretch>
                </pic:blipFill>
                <pic:spPr>
                  <a:xfrm>
                    <a:off x="0" y="0"/>
                    <a:ext cx="7809865" cy="10165715"/>
                  </a:xfrm>
                  <a:prstGeom prst="rect">
                    <a:avLst/>
                  </a:prstGeom>
                  <a:ln/>
                </pic:spPr>
              </pic:pic>
            </a:graphicData>
          </a:graphic>
        </wp:anchor>
      </w:drawing>
    </w:r>
  </w:p>
  <w:tbl>
    <w:tblPr>
      <w:tblStyle w:val="afd"/>
      <w:tblW w:w="5953" w:type="dxa"/>
      <w:tblInd w:w="3261" w:type="dxa"/>
      <w:tblLayout w:type="fixed"/>
      <w:tblLook w:val="0400" w:firstRow="0" w:lastRow="0" w:firstColumn="0" w:lastColumn="0" w:noHBand="0" w:noVBand="1"/>
    </w:tblPr>
    <w:tblGrid>
      <w:gridCol w:w="2489"/>
      <w:gridCol w:w="3464"/>
    </w:tblGrid>
    <w:tr w:rsidR="00B04106" w14:paraId="504BCD4F" w14:textId="77777777">
      <w:tc>
        <w:tcPr>
          <w:tcW w:w="2489" w:type="dxa"/>
          <w:shd w:val="clear" w:color="auto" w:fill="auto"/>
        </w:tcPr>
        <w:p w14:paraId="1B1789FB" w14:textId="77777777" w:rsidR="00B04106" w:rsidRDefault="00B04106">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464" w:type="dxa"/>
          <w:shd w:val="clear" w:color="auto" w:fill="auto"/>
          <w:vAlign w:val="center"/>
        </w:tcPr>
        <w:p w14:paraId="71151176" w14:textId="77777777" w:rsidR="00B04106" w:rsidRDefault="00B04106">
          <w:pPr>
            <w:ind w:right="17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16749/INFOEM/IP/RR/2022</w:t>
          </w:r>
        </w:p>
      </w:tc>
    </w:tr>
    <w:tr w:rsidR="00B04106" w14:paraId="393FB3CA" w14:textId="77777777">
      <w:trPr>
        <w:trHeight w:val="228"/>
      </w:trPr>
      <w:tc>
        <w:tcPr>
          <w:tcW w:w="2489" w:type="dxa"/>
          <w:shd w:val="clear" w:color="auto" w:fill="auto"/>
          <w:vAlign w:val="center"/>
        </w:tcPr>
        <w:p w14:paraId="071029D7" w14:textId="77777777" w:rsidR="00B04106" w:rsidRDefault="00B04106">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464" w:type="dxa"/>
          <w:shd w:val="clear" w:color="auto" w:fill="auto"/>
          <w:vAlign w:val="center"/>
        </w:tcPr>
        <w:p w14:paraId="1221E44A" w14:textId="77777777" w:rsidR="00B04106" w:rsidRDefault="00B04106">
          <w:pPr>
            <w:ind w:left="-45" w:right="176"/>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Toluca</w:t>
          </w:r>
        </w:p>
      </w:tc>
    </w:tr>
    <w:tr w:rsidR="00B04106" w14:paraId="2D38CD64" w14:textId="77777777">
      <w:tc>
        <w:tcPr>
          <w:tcW w:w="2489" w:type="dxa"/>
          <w:shd w:val="clear" w:color="auto" w:fill="auto"/>
          <w:vAlign w:val="center"/>
        </w:tcPr>
        <w:p w14:paraId="5BE11C1B" w14:textId="77777777" w:rsidR="00B04106" w:rsidRDefault="00B04106">
          <w:pPr>
            <w:ind w:right="-108"/>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464" w:type="dxa"/>
          <w:shd w:val="clear" w:color="auto" w:fill="auto"/>
          <w:vAlign w:val="center"/>
        </w:tcPr>
        <w:p w14:paraId="66001BD6" w14:textId="77777777" w:rsidR="00B04106" w:rsidRDefault="00B04106">
          <w:pPr>
            <w:ind w:right="17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772C3756" w14:textId="77777777" w:rsidR="00B04106" w:rsidRDefault="00B04106">
    <w:pPr>
      <w:rPr>
        <w:rFonts w:ascii="Cambria" w:eastAsia="Cambria" w:hAnsi="Cambria" w:cs="Cambria"/>
        <w:color w:val="000000"/>
      </w:rPr>
    </w:pPr>
    <w:r>
      <w:rPr>
        <w:rFonts w:ascii="Cambria" w:eastAsia="Cambria" w:hAnsi="Cambria" w:cs="Cambria"/>
        <w:color w:val="00000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35CEAF" w14:textId="77777777" w:rsidR="00B04106" w:rsidRDefault="00B04106">
    <w:pPr>
      <w:widowControl w:val="0"/>
      <w:pBdr>
        <w:top w:val="nil"/>
        <w:left w:val="nil"/>
        <w:bottom w:val="nil"/>
        <w:right w:val="nil"/>
        <w:between w:val="nil"/>
      </w:pBdr>
      <w:spacing w:line="276" w:lineRule="auto"/>
      <w:rPr>
        <w:rFonts w:ascii="Palatino Linotype" w:eastAsia="Palatino Linotype" w:hAnsi="Palatino Linotype" w:cs="Palatino Linotype"/>
        <w:color w:val="000000"/>
        <w:sz w:val="16"/>
        <w:szCs w:val="16"/>
      </w:rPr>
    </w:pPr>
    <w:r>
      <w:rPr>
        <w:noProof/>
      </w:rPr>
      <w:drawing>
        <wp:anchor distT="0" distB="0" distL="0" distR="0" simplePos="0" relativeHeight="251659264" behindDoc="1" locked="0" layoutInCell="1" hidden="0" allowOverlap="1" wp14:anchorId="67384A75" wp14:editId="758D5E6A">
          <wp:simplePos x="0" y="0"/>
          <wp:positionH relativeFrom="column">
            <wp:posOffset>-1079499</wp:posOffset>
          </wp:positionH>
          <wp:positionV relativeFrom="paragraph">
            <wp:posOffset>-254570</wp:posOffset>
          </wp:positionV>
          <wp:extent cx="7809865" cy="10165715"/>
          <wp:effectExtent l="0" t="0" r="0" b="0"/>
          <wp:wrapNone/>
          <wp:docPr id="113222389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
                  <a:srcRect/>
                  <a:stretch>
                    <a:fillRect/>
                  </a:stretch>
                </pic:blipFill>
                <pic:spPr>
                  <a:xfrm>
                    <a:off x="0" y="0"/>
                    <a:ext cx="7809865" cy="10165715"/>
                  </a:xfrm>
                  <a:prstGeom prst="rect">
                    <a:avLst/>
                  </a:prstGeom>
                  <a:ln/>
                </pic:spPr>
              </pic:pic>
            </a:graphicData>
          </a:graphic>
        </wp:anchor>
      </w:drawing>
    </w:r>
  </w:p>
  <w:tbl>
    <w:tblPr>
      <w:tblStyle w:val="afc"/>
      <w:tblW w:w="5670" w:type="dxa"/>
      <w:tblInd w:w="3261" w:type="dxa"/>
      <w:tblLayout w:type="fixed"/>
      <w:tblLook w:val="0400" w:firstRow="0" w:lastRow="0" w:firstColumn="0" w:lastColumn="0" w:noHBand="0" w:noVBand="1"/>
    </w:tblPr>
    <w:tblGrid>
      <w:gridCol w:w="2551"/>
      <w:gridCol w:w="3119"/>
    </w:tblGrid>
    <w:tr w:rsidR="00B04106" w14:paraId="3C2F9767" w14:textId="77777777">
      <w:tc>
        <w:tcPr>
          <w:tcW w:w="2551" w:type="dxa"/>
          <w:shd w:val="clear" w:color="auto" w:fill="auto"/>
          <w:vAlign w:val="center"/>
        </w:tcPr>
        <w:p w14:paraId="0A4705D1" w14:textId="77777777" w:rsidR="00B04106" w:rsidRDefault="00B04106">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119" w:type="dxa"/>
          <w:shd w:val="clear" w:color="auto" w:fill="auto"/>
          <w:vAlign w:val="center"/>
        </w:tcPr>
        <w:p w14:paraId="61B6C850" w14:textId="77777777" w:rsidR="00B04106" w:rsidRDefault="00B04106">
          <w:pPr>
            <w:tabs>
              <w:tab w:val="left" w:pos="3153"/>
            </w:tabs>
            <w:ind w:left="-4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16749/INFOEM/IP/RR/2022</w:t>
          </w:r>
        </w:p>
      </w:tc>
    </w:tr>
    <w:tr w:rsidR="00B04106" w14:paraId="411EA06B" w14:textId="77777777">
      <w:trPr>
        <w:trHeight w:val="130"/>
      </w:trPr>
      <w:tc>
        <w:tcPr>
          <w:tcW w:w="2551" w:type="dxa"/>
          <w:shd w:val="clear" w:color="auto" w:fill="auto"/>
          <w:vAlign w:val="center"/>
        </w:tcPr>
        <w:p w14:paraId="08D02B4E" w14:textId="77777777" w:rsidR="00B04106" w:rsidRDefault="00B04106">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119" w:type="dxa"/>
          <w:shd w:val="clear" w:color="auto" w:fill="auto"/>
          <w:vAlign w:val="center"/>
        </w:tcPr>
        <w:p w14:paraId="3519FD7E" w14:textId="44CA1F04" w:rsidR="00B04106" w:rsidRDefault="00AA045C">
          <w:pPr>
            <w:ind w:left="-4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XXXXXX XXXXX XXXXXX</w:t>
          </w:r>
        </w:p>
      </w:tc>
    </w:tr>
    <w:tr w:rsidR="00B04106" w14:paraId="5D168F4F" w14:textId="77777777">
      <w:trPr>
        <w:trHeight w:val="228"/>
      </w:trPr>
      <w:tc>
        <w:tcPr>
          <w:tcW w:w="2551" w:type="dxa"/>
          <w:shd w:val="clear" w:color="auto" w:fill="auto"/>
          <w:vAlign w:val="center"/>
        </w:tcPr>
        <w:p w14:paraId="4EFCF3F3" w14:textId="77777777" w:rsidR="00B04106" w:rsidRDefault="00B04106">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119" w:type="dxa"/>
          <w:shd w:val="clear" w:color="auto" w:fill="auto"/>
          <w:vAlign w:val="center"/>
        </w:tcPr>
        <w:p w14:paraId="59278B44" w14:textId="77777777" w:rsidR="00B04106" w:rsidRDefault="00B04106">
          <w:pPr>
            <w:ind w:left="-45" w:right="176"/>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Toluca</w:t>
          </w:r>
        </w:p>
      </w:tc>
    </w:tr>
    <w:tr w:rsidR="00B04106" w14:paraId="2297A2EE" w14:textId="77777777">
      <w:tc>
        <w:tcPr>
          <w:tcW w:w="2551" w:type="dxa"/>
          <w:shd w:val="clear" w:color="auto" w:fill="auto"/>
          <w:vAlign w:val="center"/>
        </w:tcPr>
        <w:p w14:paraId="4584C136" w14:textId="77777777" w:rsidR="00B04106" w:rsidRDefault="00B04106">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119" w:type="dxa"/>
          <w:shd w:val="clear" w:color="auto" w:fill="auto"/>
          <w:vAlign w:val="center"/>
        </w:tcPr>
        <w:p w14:paraId="10F50398" w14:textId="77777777" w:rsidR="00B04106" w:rsidRDefault="00B04106">
          <w:pPr>
            <w:ind w:left="-45"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2E524D98" w14:textId="77777777" w:rsidR="00B04106" w:rsidRDefault="00B04106">
    <w:pPr>
      <w:pBdr>
        <w:top w:val="nil"/>
        <w:left w:val="nil"/>
        <w:bottom w:val="nil"/>
        <w:right w:val="nil"/>
        <w:between w:val="nil"/>
      </w:pBdr>
      <w:tabs>
        <w:tab w:val="center" w:pos="4252"/>
        <w:tab w:val="right" w:pos="8504"/>
      </w:tabs>
      <w:rPr>
        <w:rFonts w:ascii="Cambria" w:eastAsia="Cambria" w:hAnsi="Cambria" w:cs="Cambria"/>
        <w:color w:val="000000"/>
      </w:rPr>
    </w:pPr>
  </w:p>
  <w:p w14:paraId="26777E7C" w14:textId="77777777" w:rsidR="00B04106" w:rsidRDefault="00B0410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E514DB"/>
    <w:multiLevelType w:val="multilevel"/>
    <w:tmpl w:val="76286A34"/>
    <w:lvl w:ilvl="0">
      <w:start w:val="1"/>
      <w:numFmt w:val="decimal"/>
      <w:pStyle w:val="Listaconvietas3"/>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75947F50"/>
    <w:multiLevelType w:val="multilevel"/>
    <w:tmpl w:val="D86645B8"/>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5649"/>
    <w:rsid w:val="00005307"/>
    <w:rsid w:val="000E0764"/>
    <w:rsid w:val="000E564D"/>
    <w:rsid w:val="000F4D38"/>
    <w:rsid w:val="003277FC"/>
    <w:rsid w:val="00334184"/>
    <w:rsid w:val="003C5995"/>
    <w:rsid w:val="003E500E"/>
    <w:rsid w:val="00422E25"/>
    <w:rsid w:val="00525649"/>
    <w:rsid w:val="005365C9"/>
    <w:rsid w:val="00560964"/>
    <w:rsid w:val="005A6232"/>
    <w:rsid w:val="0061641D"/>
    <w:rsid w:val="006865F7"/>
    <w:rsid w:val="006F3ED8"/>
    <w:rsid w:val="00741A88"/>
    <w:rsid w:val="00793CB2"/>
    <w:rsid w:val="008B2679"/>
    <w:rsid w:val="00AA045C"/>
    <w:rsid w:val="00AE3360"/>
    <w:rsid w:val="00B04106"/>
    <w:rsid w:val="00B5472C"/>
    <w:rsid w:val="00B611A6"/>
    <w:rsid w:val="00BA2EDB"/>
    <w:rsid w:val="00BE690D"/>
    <w:rsid w:val="00D6304E"/>
    <w:rsid w:val="00DD149E"/>
    <w:rsid w:val="00E304CF"/>
    <w:rsid w:val="00E6128C"/>
    <w:rsid w:val="00ED3014"/>
    <w:rsid w:val="00FC67D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49"/>
    <o:shapelayout v:ext="edit">
      <o:idmap v:ext="edit" data="1"/>
    </o:shapelayout>
  </w:shapeDefaults>
  <w:decimalSymbol w:val="."/>
  <w:listSeparator w:val=","/>
  <w14:docId w14:val="62D86B9F"/>
  <w15:docId w15:val="{F13B77CC-7949-450C-80E8-8EF086E9E9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2902"/>
  </w:style>
  <w:style w:type="paragraph" w:styleId="Ttulo1">
    <w:name w:val="heading 1"/>
    <w:basedOn w:val="Normal"/>
    <w:next w:val="Normal"/>
    <w:link w:val="Ttulo1Car"/>
    <w:uiPriority w:val="9"/>
    <w:qFormat/>
    <w:rsid w:val="00603D72"/>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603D7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semiHidden/>
    <w:unhideWhenUsed/>
    <w:qFormat/>
    <w:rsid w:val="003B73CD"/>
    <w:pPr>
      <w:keepNext/>
      <w:tabs>
        <w:tab w:val="num" w:pos="2160"/>
      </w:tabs>
      <w:spacing w:before="240" w:after="60"/>
      <w:ind w:left="2160" w:hanging="720"/>
      <w:outlineLvl w:val="2"/>
    </w:pPr>
    <w:rPr>
      <w:rFonts w:asciiTheme="majorHAnsi" w:eastAsiaTheme="majorEastAsia" w:hAnsiTheme="majorHAnsi" w:cstheme="majorBidi"/>
      <w:b/>
      <w:bCs/>
      <w:sz w:val="26"/>
      <w:szCs w:val="26"/>
      <w:lang w:val="en-US" w:eastAsia="en-US"/>
    </w:rPr>
  </w:style>
  <w:style w:type="paragraph" w:styleId="Ttulo4">
    <w:name w:val="heading 4"/>
    <w:basedOn w:val="Normal"/>
    <w:next w:val="Normal"/>
    <w:link w:val="Ttulo4Car"/>
    <w:uiPriority w:val="9"/>
    <w:semiHidden/>
    <w:unhideWhenUsed/>
    <w:qFormat/>
    <w:rsid w:val="003B73CD"/>
    <w:pPr>
      <w:keepNext/>
      <w:tabs>
        <w:tab w:val="num" w:pos="2880"/>
      </w:tabs>
      <w:spacing w:before="240" w:after="60"/>
      <w:ind w:left="2880" w:hanging="720"/>
      <w:outlineLvl w:val="3"/>
    </w:pPr>
    <w:rPr>
      <w:rFonts w:asciiTheme="minorHAnsi" w:eastAsiaTheme="minorEastAsia" w:hAnsiTheme="minorHAnsi" w:cstheme="minorBidi"/>
      <w:b/>
      <w:bCs/>
      <w:sz w:val="28"/>
      <w:szCs w:val="28"/>
      <w:lang w:val="en-US" w:eastAsia="en-US"/>
    </w:rPr>
  </w:style>
  <w:style w:type="paragraph" w:styleId="Ttulo5">
    <w:name w:val="heading 5"/>
    <w:basedOn w:val="Normal"/>
    <w:next w:val="Normal"/>
    <w:link w:val="Ttulo5Car"/>
    <w:uiPriority w:val="9"/>
    <w:semiHidden/>
    <w:unhideWhenUsed/>
    <w:qFormat/>
    <w:rsid w:val="003B73CD"/>
    <w:pPr>
      <w:tabs>
        <w:tab w:val="num" w:pos="3600"/>
      </w:tabs>
      <w:spacing w:before="240" w:after="60"/>
      <w:ind w:left="3600" w:hanging="720"/>
      <w:outlineLvl w:val="4"/>
    </w:pPr>
    <w:rPr>
      <w:rFonts w:asciiTheme="minorHAnsi" w:eastAsiaTheme="minorEastAsia" w:hAnsiTheme="minorHAnsi" w:cstheme="minorBidi"/>
      <w:b/>
      <w:bCs/>
      <w:i/>
      <w:iCs/>
      <w:sz w:val="26"/>
      <w:szCs w:val="26"/>
      <w:lang w:val="en-US" w:eastAsia="en-US"/>
    </w:rPr>
  </w:style>
  <w:style w:type="paragraph" w:styleId="Ttulo6">
    <w:name w:val="heading 6"/>
    <w:basedOn w:val="Normal"/>
    <w:next w:val="Normal"/>
    <w:link w:val="Ttulo6Car"/>
    <w:uiPriority w:val="9"/>
    <w:semiHidden/>
    <w:unhideWhenUsed/>
    <w:qFormat/>
    <w:rsid w:val="003B73CD"/>
    <w:pPr>
      <w:tabs>
        <w:tab w:val="num" w:pos="4320"/>
      </w:tabs>
      <w:spacing w:before="240" w:after="60"/>
      <w:ind w:left="4320" w:hanging="720"/>
      <w:outlineLvl w:val="5"/>
    </w:pPr>
    <w:rPr>
      <w:b/>
      <w:bCs/>
      <w:sz w:val="22"/>
      <w:szCs w:val="22"/>
      <w:lang w:val="en-US" w:eastAsia="en-US"/>
    </w:rPr>
  </w:style>
  <w:style w:type="paragraph" w:styleId="Ttulo7">
    <w:name w:val="heading 7"/>
    <w:basedOn w:val="Normal"/>
    <w:next w:val="Normal"/>
    <w:link w:val="Ttulo7Car"/>
    <w:uiPriority w:val="9"/>
    <w:semiHidden/>
    <w:unhideWhenUsed/>
    <w:qFormat/>
    <w:rsid w:val="003B73CD"/>
    <w:pPr>
      <w:tabs>
        <w:tab w:val="num" w:pos="5040"/>
      </w:tabs>
      <w:spacing w:before="240" w:after="60"/>
      <w:ind w:left="5040" w:hanging="720"/>
      <w:outlineLvl w:val="6"/>
    </w:pPr>
    <w:rPr>
      <w:rFonts w:asciiTheme="minorHAnsi" w:eastAsiaTheme="minorEastAsia" w:hAnsiTheme="minorHAnsi" w:cstheme="minorBidi"/>
      <w:lang w:val="en-US" w:eastAsia="en-US"/>
    </w:rPr>
  </w:style>
  <w:style w:type="paragraph" w:styleId="Ttulo8">
    <w:name w:val="heading 8"/>
    <w:basedOn w:val="Normal"/>
    <w:next w:val="Normal"/>
    <w:link w:val="Ttulo8Car"/>
    <w:uiPriority w:val="9"/>
    <w:semiHidden/>
    <w:unhideWhenUsed/>
    <w:qFormat/>
    <w:rsid w:val="003B73CD"/>
    <w:pPr>
      <w:tabs>
        <w:tab w:val="num" w:pos="5760"/>
      </w:tabs>
      <w:spacing w:before="240" w:after="60"/>
      <w:ind w:left="5760" w:hanging="720"/>
      <w:outlineLvl w:val="7"/>
    </w:pPr>
    <w:rPr>
      <w:rFonts w:asciiTheme="minorHAnsi" w:eastAsiaTheme="minorEastAsia" w:hAnsiTheme="minorHAnsi" w:cstheme="minorBidi"/>
      <w:i/>
      <w:iCs/>
      <w:lang w:val="en-US" w:eastAsia="en-US"/>
    </w:rPr>
  </w:style>
  <w:style w:type="paragraph" w:styleId="Ttulo9">
    <w:name w:val="heading 9"/>
    <w:basedOn w:val="Normal"/>
    <w:next w:val="Normal"/>
    <w:link w:val="Ttulo9Car"/>
    <w:uiPriority w:val="9"/>
    <w:semiHidden/>
    <w:unhideWhenUsed/>
    <w:qFormat/>
    <w:rsid w:val="003B73CD"/>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table" w:customStyle="1" w:styleId="TableNormal5">
    <w:name w:val="Table Normal"/>
    <w:tblPr>
      <w:tblCellMar>
        <w:top w:w="0" w:type="dxa"/>
        <w:left w:w="0" w:type="dxa"/>
        <w:bottom w:w="0" w:type="dxa"/>
        <w:right w:w="0" w:type="dxa"/>
      </w:tblCellMar>
    </w:tblPr>
  </w:style>
  <w:style w:type="table" w:customStyle="1" w:styleId="TableNormal6">
    <w:name w:val="Table Normal"/>
    <w:tblPr>
      <w:tblCellMar>
        <w:top w:w="0" w:type="dxa"/>
        <w:left w:w="0" w:type="dxa"/>
        <w:bottom w:w="0" w:type="dxa"/>
        <w:right w:w="0" w:type="dxa"/>
      </w:tblCellMar>
    </w:tblPr>
  </w:style>
  <w:style w:type="table" w:customStyle="1" w:styleId="TableNormal7">
    <w:name w:val="Table Normal"/>
    <w:tblPr>
      <w:tblCellMar>
        <w:top w:w="0" w:type="dxa"/>
        <w:left w:w="0" w:type="dxa"/>
        <w:bottom w:w="0" w:type="dxa"/>
        <w:right w:w="0" w:type="dxa"/>
      </w:tblCellMar>
    </w:tblPr>
  </w:style>
  <w:style w:type="table" w:customStyle="1" w:styleId="TableNormal8">
    <w:name w:val="Table Normal"/>
    <w:tblPr>
      <w:tblCellMar>
        <w:top w:w="0" w:type="dxa"/>
        <w:left w:w="0" w:type="dxa"/>
        <w:bottom w:w="0" w:type="dxa"/>
        <w:right w:w="0" w:type="dxa"/>
      </w:tblCellMar>
    </w:tblPr>
  </w:style>
  <w:style w:type="table" w:customStyle="1" w:styleId="TableNormal9">
    <w:name w:val="Table Normal"/>
    <w:tblPr>
      <w:tblCellMar>
        <w:top w:w="0" w:type="dxa"/>
        <w:left w:w="0" w:type="dxa"/>
        <w:bottom w:w="0" w:type="dxa"/>
        <w:right w:w="0" w:type="dxa"/>
      </w:tblCellMar>
    </w:tblPr>
  </w:style>
  <w:style w:type="table" w:customStyle="1" w:styleId="TableNormal90">
    <w:name w:val="Table Normal9"/>
    <w:tblPr>
      <w:tblCellMar>
        <w:top w:w="0" w:type="dxa"/>
        <w:left w:w="0" w:type="dxa"/>
        <w:bottom w:w="0" w:type="dxa"/>
        <w:right w:w="0" w:type="dxa"/>
      </w:tblCellMar>
    </w:tblPr>
  </w:style>
  <w:style w:type="table" w:customStyle="1" w:styleId="TableNormal80">
    <w:name w:val="Table Normal8"/>
    <w:tblPr>
      <w:tblCellMar>
        <w:top w:w="0" w:type="dxa"/>
        <w:left w:w="0" w:type="dxa"/>
        <w:bottom w:w="0" w:type="dxa"/>
        <w:right w:w="0" w:type="dxa"/>
      </w:tblCellMar>
    </w:tblPr>
  </w:style>
  <w:style w:type="table" w:customStyle="1" w:styleId="TableNormal70">
    <w:name w:val="Table Normal7"/>
    <w:tblPr>
      <w:tblCellMar>
        <w:top w:w="0" w:type="dxa"/>
        <w:left w:w="0" w:type="dxa"/>
        <w:bottom w:w="0" w:type="dxa"/>
        <w:right w:w="0" w:type="dxa"/>
      </w:tblCellMar>
    </w:tblPr>
  </w:style>
  <w:style w:type="table" w:customStyle="1" w:styleId="TableNormal60">
    <w:name w:val="Table Normal6"/>
    <w:tblPr>
      <w:tblCellMar>
        <w:top w:w="0" w:type="dxa"/>
        <w:left w:w="0" w:type="dxa"/>
        <w:bottom w:w="0" w:type="dxa"/>
        <w:right w:w="0" w:type="dxa"/>
      </w:tblCellMar>
    </w:tblPr>
  </w:style>
  <w:style w:type="table" w:customStyle="1" w:styleId="TableNormal50">
    <w:name w:val="Table Normal5"/>
    <w:tblPr>
      <w:tblCellMar>
        <w:top w:w="0" w:type="dxa"/>
        <w:left w:w="0" w:type="dxa"/>
        <w:bottom w:w="0" w:type="dxa"/>
        <w:right w:w="0" w:type="dxa"/>
      </w:tblCellMar>
    </w:tblPr>
  </w:style>
  <w:style w:type="table" w:customStyle="1" w:styleId="TableNormal40">
    <w:name w:val="Table Normal4"/>
    <w:tblPr>
      <w:tblCellMar>
        <w:top w:w="0" w:type="dxa"/>
        <w:left w:w="0" w:type="dxa"/>
        <w:bottom w:w="0" w:type="dxa"/>
        <w:right w:w="0" w:type="dxa"/>
      </w:tblCellMar>
    </w:tblPr>
  </w:style>
  <w:style w:type="table" w:customStyle="1" w:styleId="TableNormal30">
    <w:name w:val="Table Normal3"/>
    <w:tblPr>
      <w:tblCellMar>
        <w:top w:w="0" w:type="dxa"/>
        <w:left w:w="0" w:type="dxa"/>
        <w:bottom w:w="0" w:type="dxa"/>
        <w:right w:w="0" w:type="dxa"/>
      </w:tblCellMar>
    </w:tblPr>
  </w:style>
  <w:style w:type="table" w:customStyle="1" w:styleId="TableNormal20">
    <w:name w:val="Table Normal2"/>
    <w:tblPr>
      <w:tblCellMar>
        <w:top w:w="0" w:type="dxa"/>
        <w:left w:w="0" w:type="dxa"/>
        <w:bottom w:w="0" w:type="dxa"/>
        <w:right w:w="0" w:type="dxa"/>
      </w:tblCellMar>
    </w:tblPr>
  </w:style>
  <w:style w:type="table" w:customStyle="1" w:styleId="TableNormal10">
    <w:name w:val="Table Normal1"/>
    <w:tblPr>
      <w:tblCellMar>
        <w:top w:w="0" w:type="dxa"/>
        <w:left w:w="0" w:type="dxa"/>
        <w:bottom w:w="0" w:type="dxa"/>
        <w:right w:w="0" w:type="dxa"/>
      </w:tblCellMar>
    </w:tblPr>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70703E"/>
    <w:pPr>
      <w:ind w:left="720"/>
      <w:contextualSpacing/>
    </w:pPr>
  </w:style>
  <w:style w:type="character" w:styleId="Hipervnculo">
    <w:name w:val="Hyperlink"/>
    <w:basedOn w:val="Fuentedeprrafopredeter"/>
    <w:uiPriority w:val="99"/>
    <w:unhideWhenUsed/>
    <w:rsid w:val="00FD7589"/>
    <w:rPr>
      <w:color w:val="0000FF"/>
      <w:u w:val="single"/>
    </w:rPr>
  </w:style>
  <w:style w:type="character" w:customStyle="1" w:styleId="apple-converted-space">
    <w:name w:val="apple-converted-space"/>
    <w:basedOn w:val="Fuentedeprrafopredeter"/>
    <w:rsid w:val="00FD7589"/>
  </w:style>
  <w:style w:type="paragraph" w:customStyle="1" w:styleId="Listavistosa-nfasis11">
    <w:name w:val="Lista vistosa - Énfasis 11"/>
    <w:basedOn w:val="Normal"/>
    <w:link w:val="Listavistosa-nfasis1Car"/>
    <w:uiPriority w:val="34"/>
    <w:qFormat/>
    <w:rsid w:val="000D2D89"/>
    <w:pPr>
      <w:ind w:left="708"/>
    </w:pPr>
  </w:style>
  <w:style w:type="character" w:customStyle="1" w:styleId="Listavistosa-nfasis1Car">
    <w:name w:val="Lista vistosa - Énfasis 1 Car"/>
    <w:link w:val="Listavistosa-nfasis11"/>
    <w:uiPriority w:val="34"/>
    <w:locked/>
    <w:rsid w:val="000D2D89"/>
    <w:rPr>
      <w:rFonts w:ascii="Times New Roman" w:eastAsia="Times New Roman" w:hAnsi="Times New Roman" w:cs="Times New Roman"/>
      <w:lang w:val="es-ES"/>
    </w:rPr>
  </w:style>
  <w:style w:type="paragraph" w:customStyle="1" w:styleId="Texto">
    <w:name w:val="Texto"/>
    <w:basedOn w:val="Normal"/>
    <w:link w:val="TextoCar"/>
    <w:rsid w:val="000470FE"/>
    <w:pPr>
      <w:spacing w:after="101" w:line="216" w:lineRule="exact"/>
      <w:ind w:firstLine="288"/>
      <w:jc w:val="both"/>
    </w:pPr>
    <w:rPr>
      <w:rFonts w:ascii="Arial" w:hAnsi="Arial" w:cs="Arial"/>
      <w:sz w:val="18"/>
      <w:szCs w:val="18"/>
    </w:rPr>
  </w:style>
  <w:style w:type="paragraph" w:styleId="NormalWeb">
    <w:name w:val="Normal (Web)"/>
    <w:basedOn w:val="Normal"/>
    <w:uiPriority w:val="99"/>
    <w:rsid w:val="000470FE"/>
    <w:pPr>
      <w:spacing w:before="100" w:beforeAutospacing="1" w:after="100" w:afterAutospacing="1"/>
    </w:pPr>
  </w:style>
  <w:style w:type="character" w:customStyle="1" w:styleId="apple-style-span">
    <w:name w:val="apple-style-span"/>
    <w:rsid w:val="008846E7"/>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7E1FF4"/>
    <w:rPr>
      <w:rFonts w:ascii="Times New Roman" w:eastAsia="Times New Roman" w:hAnsi="Times New Roman" w:cs="Times New Roman"/>
      <w:lang w:val="es-ES"/>
    </w:rPr>
  </w:style>
  <w:style w:type="character" w:styleId="Textoennegrita">
    <w:name w:val="Strong"/>
    <w:uiPriority w:val="22"/>
    <w:qFormat/>
    <w:rsid w:val="003D1B5F"/>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2944C8"/>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2944C8"/>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iPriority w:val="99"/>
    <w:unhideWhenUsed/>
    <w:qFormat/>
    <w:rsid w:val="002944C8"/>
    <w:rPr>
      <w:vertAlign w:val="superscript"/>
    </w:rPr>
  </w:style>
  <w:style w:type="paragraph" w:styleId="Sinespaciado">
    <w:name w:val="No Spacing"/>
    <w:aliases w:val="Francesa"/>
    <w:link w:val="SinespaciadoCar"/>
    <w:uiPriority w:val="1"/>
    <w:qFormat/>
    <w:rsid w:val="002944C8"/>
  </w:style>
  <w:style w:type="paragraph" w:styleId="Textoindependiente2">
    <w:name w:val="Body Text 2"/>
    <w:basedOn w:val="Normal"/>
    <w:link w:val="Textoindependiente2Car"/>
    <w:uiPriority w:val="99"/>
    <w:unhideWhenUsed/>
    <w:rsid w:val="002944C8"/>
    <w:pPr>
      <w:spacing w:after="120" w:line="480" w:lineRule="auto"/>
    </w:pPr>
  </w:style>
  <w:style w:type="character" w:customStyle="1" w:styleId="Textoindependiente2Car">
    <w:name w:val="Texto independiente 2 Car"/>
    <w:basedOn w:val="Fuentedeprrafopredeter"/>
    <w:link w:val="Textoindependiente2"/>
    <w:uiPriority w:val="99"/>
    <w:rsid w:val="002944C8"/>
    <w:rPr>
      <w:rFonts w:ascii="Times New Roman" w:eastAsia="Times New Roman" w:hAnsi="Times New Roman" w:cs="Times New Roman"/>
      <w:lang w:val="es-ES"/>
    </w:rPr>
  </w:style>
  <w:style w:type="paragraph" w:styleId="Textosinformato">
    <w:name w:val="Plain Text"/>
    <w:basedOn w:val="Normal"/>
    <w:link w:val="TextosinformatoCar"/>
    <w:rsid w:val="002944C8"/>
    <w:rPr>
      <w:rFonts w:ascii="Courier New" w:hAnsi="Courier New"/>
      <w:sz w:val="20"/>
      <w:szCs w:val="20"/>
    </w:rPr>
  </w:style>
  <w:style w:type="character" w:customStyle="1" w:styleId="TextosinformatoCar">
    <w:name w:val="Texto sin formato Car"/>
    <w:basedOn w:val="Fuentedeprrafopredeter"/>
    <w:link w:val="Textosinformato"/>
    <w:rsid w:val="002944C8"/>
    <w:rPr>
      <w:rFonts w:ascii="Courier New" w:eastAsia="Times New Roman" w:hAnsi="Courier New" w:cs="Times New Roman"/>
      <w:sz w:val="20"/>
      <w:szCs w:val="20"/>
      <w:lang w:val="es-ES"/>
    </w:rPr>
  </w:style>
  <w:style w:type="paragraph" w:customStyle="1" w:styleId="Standard">
    <w:name w:val="Standard"/>
    <w:rsid w:val="002944C8"/>
    <w:pPr>
      <w:widowControl w:val="0"/>
      <w:suppressAutoHyphens/>
      <w:autoSpaceDN w:val="0"/>
      <w:textAlignment w:val="baseline"/>
    </w:pPr>
    <w:rPr>
      <w:rFonts w:ascii="Liberation Serif" w:eastAsia="DejaVu Sans" w:hAnsi="Liberation Serif" w:cs="Lohit Hindi"/>
      <w:kern w:val="3"/>
      <w:lang w:eastAsia="zh-CN" w:bidi="hi-IN"/>
    </w:rPr>
  </w:style>
  <w:style w:type="character" w:customStyle="1" w:styleId="negritas1">
    <w:name w:val="negritas1"/>
    <w:rsid w:val="002944C8"/>
    <w:rPr>
      <w:rFonts w:ascii="Arial" w:hAnsi="Arial" w:cs="Arial" w:hint="default"/>
      <w:b/>
      <w:bCs/>
      <w:sz w:val="18"/>
      <w:szCs w:val="18"/>
    </w:rPr>
  </w:style>
  <w:style w:type="paragraph" w:customStyle="1" w:styleId="Pa2">
    <w:name w:val="Pa2"/>
    <w:basedOn w:val="Normal"/>
    <w:next w:val="Normal"/>
    <w:uiPriority w:val="99"/>
    <w:rsid w:val="002944C8"/>
    <w:pPr>
      <w:autoSpaceDE w:val="0"/>
      <w:autoSpaceDN w:val="0"/>
      <w:adjustRightInd w:val="0"/>
      <w:spacing w:line="240" w:lineRule="atLeast"/>
    </w:pPr>
    <w:rPr>
      <w:rFonts w:ascii="Helvetica" w:hAnsi="Helvetica"/>
      <w:lang w:val="es-ES_tradnl" w:eastAsia="es-ES_tradnl"/>
    </w:rPr>
  </w:style>
  <w:style w:type="paragraph" w:customStyle="1" w:styleId="Default">
    <w:name w:val="Default"/>
    <w:rsid w:val="002944C8"/>
    <w:pPr>
      <w:autoSpaceDE w:val="0"/>
      <w:autoSpaceDN w:val="0"/>
      <w:adjustRightInd w:val="0"/>
    </w:pPr>
    <w:rPr>
      <w:rFonts w:ascii="Arial" w:eastAsiaTheme="minorHAnsi" w:hAnsi="Arial" w:cs="Arial"/>
      <w:color w:val="000000"/>
      <w:lang w:eastAsia="en-US"/>
    </w:rPr>
  </w:style>
  <w:style w:type="character" w:customStyle="1" w:styleId="f">
    <w:name w:val="f"/>
    <w:basedOn w:val="Fuentedeprrafopredeter"/>
    <w:rsid w:val="002944C8"/>
  </w:style>
  <w:style w:type="paragraph" w:customStyle="1" w:styleId="q">
    <w:name w:val="q"/>
    <w:basedOn w:val="Normal"/>
    <w:rsid w:val="002944C8"/>
    <w:pPr>
      <w:spacing w:before="100" w:beforeAutospacing="1" w:after="100" w:afterAutospacing="1"/>
    </w:pPr>
  </w:style>
  <w:style w:type="character" w:customStyle="1" w:styleId="d">
    <w:name w:val="d"/>
    <w:basedOn w:val="Fuentedeprrafopredeter"/>
    <w:rsid w:val="002944C8"/>
  </w:style>
  <w:style w:type="character" w:customStyle="1" w:styleId="b">
    <w:name w:val="b"/>
    <w:basedOn w:val="Fuentedeprrafopredeter"/>
    <w:rsid w:val="002944C8"/>
  </w:style>
  <w:style w:type="character" w:customStyle="1" w:styleId="k">
    <w:name w:val="k"/>
    <w:basedOn w:val="Fuentedeprrafopredeter"/>
    <w:rsid w:val="002944C8"/>
  </w:style>
  <w:style w:type="character" w:customStyle="1" w:styleId="h">
    <w:name w:val="h"/>
    <w:basedOn w:val="Fuentedeprrafopredeter"/>
    <w:rsid w:val="002944C8"/>
  </w:style>
  <w:style w:type="character" w:styleId="Hipervnculovisitado">
    <w:name w:val="FollowedHyperlink"/>
    <w:basedOn w:val="Fuentedeprrafopredeter"/>
    <w:uiPriority w:val="99"/>
    <w:semiHidden/>
    <w:unhideWhenUsed/>
    <w:rsid w:val="002944C8"/>
    <w:rPr>
      <w:color w:val="800080" w:themeColor="followedHyperlink"/>
      <w:u w:val="single"/>
    </w:rPr>
  </w:style>
  <w:style w:type="character" w:styleId="CitaHTML">
    <w:name w:val="HTML Cite"/>
    <w:uiPriority w:val="99"/>
    <w:semiHidden/>
    <w:unhideWhenUsed/>
    <w:rsid w:val="00B85C7C"/>
    <w:rPr>
      <w:i/>
      <w:iCs/>
    </w:rPr>
  </w:style>
  <w:style w:type="character" w:customStyle="1" w:styleId="SinespaciadoCar">
    <w:name w:val="Sin espaciado Car"/>
    <w:aliases w:val="Francesa Car"/>
    <w:link w:val="Sinespaciado"/>
    <w:uiPriority w:val="1"/>
    <w:locked/>
    <w:rsid w:val="00270539"/>
    <w:rPr>
      <w:rFonts w:ascii="Times New Roman" w:eastAsia="Times New Roman" w:hAnsi="Times New Roman" w:cs="Times New Roman"/>
      <w:lang w:val="es-MX"/>
    </w:rPr>
  </w:style>
  <w:style w:type="character" w:customStyle="1" w:styleId="medium">
    <w:name w:val="medium"/>
    <w:basedOn w:val="Fuentedeprrafopredeter"/>
    <w:rsid w:val="00354DB7"/>
  </w:style>
  <w:style w:type="table" w:styleId="Tablaconcuadrcula">
    <w:name w:val="Table Grid"/>
    <w:basedOn w:val="Tablanormal"/>
    <w:uiPriority w:val="59"/>
    <w:rsid w:val="00BB3A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meroconsecutivo">
    <w:name w:val="numeroconsecutivo"/>
    <w:basedOn w:val="Fuentedeprrafopredeter"/>
    <w:rsid w:val="00615060"/>
  </w:style>
  <w:style w:type="character" w:customStyle="1" w:styleId="titulorubrolgt">
    <w:name w:val="titulorubrolgt"/>
    <w:basedOn w:val="Fuentedeprrafopredeter"/>
    <w:rsid w:val="00615060"/>
  </w:style>
  <w:style w:type="character" w:customStyle="1" w:styleId="ctr">
    <w:name w:val="ctr"/>
    <w:basedOn w:val="Fuentedeprrafopredeter"/>
    <w:rsid w:val="00615060"/>
  </w:style>
  <w:style w:type="paragraph" w:styleId="Textonotaalfinal">
    <w:name w:val="endnote text"/>
    <w:basedOn w:val="Normal"/>
    <w:link w:val="TextonotaalfinalCar"/>
    <w:uiPriority w:val="99"/>
    <w:semiHidden/>
    <w:unhideWhenUsed/>
    <w:rsid w:val="00D25E88"/>
    <w:rPr>
      <w:sz w:val="20"/>
      <w:szCs w:val="20"/>
    </w:rPr>
  </w:style>
  <w:style w:type="character" w:customStyle="1" w:styleId="TextonotaalfinalCar">
    <w:name w:val="Texto nota al final Car"/>
    <w:basedOn w:val="Fuentedeprrafopredeter"/>
    <w:link w:val="Textonotaalfinal"/>
    <w:uiPriority w:val="99"/>
    <w:semiHidden/>
    <w:rsid w:val="00D25E88"/>
    <w:rPr>
      <w:rFonts w:ascii="Times New Roman" w:eastAsia="Times New Roman" w:hAnsi="Times New Roman" w:cs="Times New Roman"/>
      <w:sz w:val="20"/>
      <w:szCs w:val="20"/>
      <w:lang w:val="es-ES"/>
    </w:rPr>
  </w:style>
  <w:style w:type="character" w:styleId="Refdenotaalfinal">
    <w:name w:val="endnote reference"/>
    <w:basedOn w:val="Fuentedeprrafopredeter"/>
    <w:uiPriority w:val="99"/>
    <w:semiHidden/>
    <w:unhideWhenUsed/>
    <w:rsid w:val="00D25E88"/>
    <w:rPr>
      <w:vertAlign w:val="superscript"/>
    </w:rPr>
  </w:style>
  <w:style w:type="character" w:customStyle="1" w:styleId="A1">
    <w:name w:val="A1"/>
    <w:uiPriority w:val="99"/>
    <w:rsid w:val="00EC4ECD"/>
    <w:rPr>
      <w:rFonts w:ascii="Myriad Pro" w:hAnsi="Myriad Pro" w:cs="Myriad Pro" w:hint="default"/>
      <w:color w:val="000000"/>
      <w:sz w:val="22"/>
      <w:szCs w:val="22"/>
    </w:rPr>
  </w:style>
  <w:style w:type="paragraph" w:customStyle="1" w:styleId="Pa9">
    <w:name w:val="Pa9"/>
    <w:basedOn w:val="Normal"/>
    <w:next w:val="Normal"/>
    <w:uiPriority w:val="99"/>
    <w:rsid w:val="00EC4ECD"/>
    <w:pPr>
      <w:autoSpaceDE w:val="0"/>
      <w:autoSpaceDN w:val="0"/>
      <w:adjustRightInd w:val="0"/>
      <w:spacing w:line="241" w:lineRule="atLeast"/>
    </w:pPr>
    <w:rPr>
      <w:rFonts w:ascii="Myriad Pro" w:eastAsiaTheme="minorHAnsi" w:hAnsi="Myriad Pro" w:cstheme="minorBidi"/>
      <w:lang w:eastAsia="en-US"/>
    </w:rPr>
  </w:style>
  <w:style w:type="paragraph" w:customStyle="1" w:styleId="Pa5">
    <w:name w:val="Pa5"/>
    <w:basedOn w:val="Normal"/>
    <w:next w:val="Normal"/>
    <w:uiPriority w:val="99"/>
    <w:rsid w:val="00EC4ECD"/>
    <w:pPr>
      <w:autoSpaceDE w:val="0"/>
      <w:autoSpaceDN w:val="0"/>
      <w:adjustRightInd w:val="0"/>
      <w:spacing w:line="201" w:lineRule="atLeast"/>
    </w:pPr>
    <w:rPr>
      <w:rFonts w:ascii="Myriad Pro" w:eastAsiaTheme="minorHAnsi" w:hAnsi="Myriad Pro" w:cstheme="minorBidi"/>
      <w:lang w:eastAsia="en-US"/>
    </w:rPr>
  </w:style>
  <w:style w:type="paragraph" w:customStyle="1" w:styleId="m5127500252372250437gmail-paragraph">
    <w:name w:val="m_5127500252372250437gmail-paragraph"/>
    <w:basedOn w:val="Normal"/>
    <w:rsid w:val="00980B7E"/>
    <w:pPr>
      <w:spacing w:before="100" w:beforeAutospacing="1" w:after="100" w:afterAutospacing="1"/>
    </w:pPr>
  </w:style>
  <w:style w:type="character" w:customStyle="1" w:styleId="nombrefraccder">
    <w:name w:val="nombrefraccder"/>
    <w:basedOn w:val="Fuentedeprrafopredeter"/>
    <w:rsid w:val="009B4A68"/>
  </w:style>
  <w:style w:type="character" w:customStyle="1" w:styleId="numberfraccder">
    <w:name w:val="numberfraccder"/>
    <w:basedOn w:val="Fuentedeprrafopredeter"/>
    <w:rsid w:val="009B4A68"/>
  </w:style>
  <w:style w:type="character" w:customStyle="1" w:styleId="TextoCar">
    <w:name w:val="Texto Car"/>
    <w:link w:val="Texto"/>
    <w:locked/>
    <w:rsid w:val="002B0963"/>
    <w:rPr>
      <w:rFonts w:ascii="Arial" w:eastAsia="Times New Roman" w:hAnsi="Arial" w:cs="Arial"/>
      <w:sz w:val="18"/>
      <w:szCs w:val="18"/>
      <w:lang w:val="es-MX"/>
    </w:rPr>
  </w:style>
  <w:style w:type="character" w:styleId="nfasis">
    <w:name w:val="Emphasis"/>
    <w:basedOn w:val="Fuentedeprrafopredeter"/>
    <w:uiPriority w:val="20"/>
    <w:qFormat/>
    <w:rsid w:val="00C536F2"/>
    <w:rPr>
      <w:i/>
      <w:iCs/>
    </w:rPr>
  </w:style>
  <w:style w:type="character" w:customStyle="1" w:styleId="normaltextrun">
    <w:name w:val="normaltextrun"/>
    <w:basedOn w:val="Fuentedeprrafopredeter"/>
    <w:rsid w:val="0011437B"/>
  </w:style>
  <w:style w:type="character" w:customStyle="1" w:styleId="m5127500252372250437gmail-normaltextrun">
    <w:name w:val="m_5127500252372250437gmail-normaltextrun"/>
    <w:basedOn w:val="Fuentedeprrafopredeter"/>
    <w:rsid w:val="0011437B"/>
  </w:style>
  <w:style w:type="paragraph" w:customStyle="1" w:styleId="m-60081275284358516gmail-msolistparagraph">
    <w:name w:val="m_-60081275284358516gmail-msolistparagraph"/>
    <w:basedOn w:val="Normal"/>
    <w:rsid w:val="00207C90"/>
    <w:pPr>
      <w:spacing w:before="100" w:beforeAutospacing="1" w:after="100" w:afterAutospacing="1"/>
    </w:pPr>
  </w:style>
  <w:style w:type="paragraph" w:customStyle="1" w:styleId="ANOTACION">
    <w:name w:val="ANOTACION"/>
    <w:basedOn w:val="Normal"/>
    <w:link w:val="ANOTACIONCar"/>
    <w:rsid w:val="001B5A73"/>
    <w:pPr>
      <w:spacing w:before="101" w:after="101" w:line="216" w:lineRule="atLeast"/>
      <w:jc w:val="center"/>
    </w:pPr>
    <w:rPr>
      <w:b/>
      <w:sz w:val="18"/>
      <w:szCs w:val="20"/>
      <w:lang w:val="es-ES_tradnl"/>
    </w:rPr>
  </w:style>
  <w:style w:type="character" w:customStyle="1" w:styleId="ANOTACIONCar">
    <w:name w:val="ANOTACION Car"/>
    <w:link w:val="ANOTACION"/>
    <w:locked/>
    <w:rsid w:val="001B5A73"/>
    <w:rPr>
      <w:rFonts w:ascii="Times New Roman" w:eastAsia="Times New Roman" w:hAnsi="Times New Roman" w:cs="Times New Roman"/>
      <w:b/>
      <w:sz w:val="18"/>
      <w:szCs w:val="20"/>
    </w:rPr>
  </w:style>
  <w:style w:type="paragraph" w:customStyle="1" w:styleId="j">
    <w:name w:val="j"/>
    <w:basedOn w:val="Normal"/>
    <w:rsid w:val="007B00BD"/>
    <w:pPr>
      <w:spacing w:before="100" w:beforeAutospacing="1" w:after="100" w:afterAutospacing="1"/>
    </w:pPr>
  </w:style>
  <w:style w:type="character" w:customStyle="1" w:styleId="nacep">
    <w:name w:val="n_acep"/>
    <w:basedOn w:val="Fuentedeprrafopredeter"/>
    <w:rsid w:val="007B00BD"/>
  </w:style>
  <w:style w:type="paragraph" w:customStyle="1" w:styleId="k5">
    <w:name w:val="k5"/>
    <w:basedOn w:val="Normal"/>
    <w:rsid w:val="007B00BD"/>
    <w:pPr>
      <w:spacing w:before="100" w:beforeAutospacing="1" w:after="100" w:afterAutospacing="1"/>
    </w:pPr>
  </w:style>
  <w:style w:type="paragraph" w:customStyle="1" w:styleId="m">
    <w:name w:val="m"/>
    <w:basedOn w:val="Normal"/>
    <w:rsid w:val="007B00BD"/>
    <w:pPr>
      <w:spacing w:before="100" w:beforeAutospacing="1" w:after="100" w:afterAutospacing="1"/>
    </w:pPr>
  </w:style>
  <w:style w:type="character" w:styleId="Refdecomentario">
    <w:name w:val="annotation reference"/>
    <w:basedOn w:val="Fuentedeprrafopredeter"/>
    <w:uiPriority w:val="99"/>
    <w:semiHidden/>
    <w:unhideWhenUsed/>
    <w:rsid w:val="003219FE"/>
    <w:rPr>
      <w:sz w:val="16"/>
      <w:szCs w:val="16"/>
    </w:rPr>
  </w:style>
  <w:style w:type="paragraph" w:styleId="Textocomentario">
    <w:name w:val="annotation text"/>
    <w:basedOn w:val="Normal"/>
    <w:link w:val="TextocomentarioCar"/>
    <w:uiPriority w:val="99"/>
    <w:semiHidden/>
    <w:unhideWhenUsed/>
    <w:rsid w:val="003219FE"/>
    <w:rPr>
      <w:sz w:val="20"/>
      <w:szCs w:val="20"/>
    </w:rPr>
  </w:style>
  <w:style w:type="character" w:customStyle="1" w:styleId="TextocomentarioCar">
    <w:name w:val="Texto comentario Car"/>
    <w:basedOn w:val="Fuentedeprrafopredeter"/>
    <w:link w:val="Textocomentario"/>
    <w:uiPriority w:val="99"/>
    <w:semiHidden/>
    <w:rsid w:val="003219FE"/>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3219FE"/>
    <w:rPr>
      <w:b/>
      <w:bCs/>
    </w:rPr>
  </w:style>
  <w:style w:type="character" w:customStyle="1" w:styleId="AsuntodelcomentarioCar">
    <w:name w:val="Asunto del comentario Car"/>
    <w:basedOn w:val="TextocomentarioCar"/>
    <w:link w:val="Asuntodelcomentario"/>
    <w:uiPriority w:val="99"/>
    <w:semiHidden/>
    <w:rsid w:val="003219FE"/>
    <w:rPr>
      <w:rFonts w:ascii="Times New Roman" w:eastAsia="Times New Roman" w:hAnsi="Times New Roman" w:cs="Times New Roman"/>
      <w:b/>
      <w:bCs/>
      <w:sz w:val="20"/>
      <w:szCs w:val="20"/>
      <w:lang w:val="es-ES"/>
    </w:rPr>
  </w:style>
  <w:style w:type="paragraph" w:customStyle="1" w:styleId="FAFunotente1">
    <w:name w:val="FA Fu?notente1"/>
    <w:basedOn w:val="Normal"/>
    <w:next w:val="Textonotapie"/>
    <w:uiPriority w:val="99"/>
    <w:unhideWhenUsed/>
    <w:rsid w:val="00A403D3"/>
    <w:rPr>
      <w:rFonts w:asciiTheme="minorHAnsi" w:eastAsia="Cambria" w:hAnsiTheme="minorHAnsi" w:cstheme="minorBidi"/>
      <w:sz w:val="20"/>
      <w:szCs w:val="20"/>
      <w:lang w:eastAsia="en-US"/>
    </w:rPr>
  </w:style>
  <w:style w:type="character" w:customStyle="1" w:styleId="Ttulo1Car">
    <w:name w:val="Título 1 Car"/>
    <w:basedOn w:val="Fuentedeprrafopredeter"/>
    <w:link w:val="Ttulo1"/>
    <w:uiPriority w:val="9"/>
    <w:rsid w:val="00603D72"/>
    <w:rPr>
      <w:rFonts w:asciiTheme="majorHAnsi" w:eastAsiaTheme="majorEastAsia" w:hAnsiTheme="majorHAnsi" w:cstheme="majorBidi"/>
      <w:color w:val="365F91" w:themeColor="accent1" w:themeShade="BF"/>
      <w:sz w:val="32"/>
      <w:szCs w:val="32"/>
      <w:lang w:val="es-ES"/>
    </w:rPr>
  </w:style>
  <w:style w:type="character" w:customStyle="1" w:styleId="Ttulo2Car">
    <w:name w:val="Título 2 Car"/>
    <w:basedOn w:val="Fuentedeprrafopredeter"/>
    <w:link w:val="Ttulo2"/>
    <w:uiPriority w:val="9"/>
    <w:rsid w:val="00603D72"/>
    <w:rPr>
      <w:rFonts w:asciiTheme="majorHAnsi" w:eastAsiaTheme="majorEastAsia" w:hAnsiTheme="majorHAnsi" w:cstheme="majorBidi"/>
      <w:color w:val="365F91" w:themeColor="accent1" w:themeShade="BF"/>
      <w:sz w:val="26"/>
      <w:szCs w:val="26"/>
      <w:lang w:val="es-ES"/>
    </w:rPr>
  </w:style>
  <w:style w:type="paragraph" w:styleId="Lista">
    <w:name w:val="List"/>
    <w:basedOn w:val="Normal"/>
    <w:uiPriority w:val="99"/>
    <w:unhideWhenUsed/>
    <w:rsid w:val="00603D72"/>
    <w:pPr>
      <w:ind w:left="283" w:hanging="283"/>
      <w:contextualSpacing/>
    </w:pPr>
  </w:style>
  <w:style w:type="paragraph" w:styleId="Lista2">
    <w:name w:val="List 2"/>
    <w:basedOn w:val="Normal"/>
    <w:uiPriority w:val="99"/>
    <w:unhideWhenUsed/>
    <w:rsid w:val="00603D72"/>
    <w:pPr>
      <w:ind w:left="566" w:hanging="283"/>
      <w:contextualSpacing/>
    </w:pPr>
  </w:style>
  <w:style w:type="paragraph" w:styleId="Lista3">
    <w:name w:val="List 3"/>
    <w:basedOn w:val="Normal"/>
    <w:uiPriority w:val="99"/>
    <w:unhideWhenUsed/>
    <w:rsid w:val="00603D72"/>
    <w:pPr>
      <w:ind w:left="849" w:hanging="283"/>
      <w:contextualSpacing/>
    </w:pPr>
  </w:style>
  <w:style w:type="paragraph" w:styleId="Listaconvietas3">
    <w:name w:val="List Bullet 3"/>
    <w:basedOn w:val="Normal"/>
    <w:uiPriority w:val="99"/>
    <w:unhideWhenUsed/>
    <w:rsid w:val="00603D72"/>
    <w:pPr>
      <w:numPr>
        <w:numId w:val="2"/>
      </w:numPr>
      <w:contextualSpacing/>
    </w:pPr>
  </w:style>
  <w:style w:type="paragraph" w:styleId="Continuarlista">
    <w:name w:val="List Continue"/>
    <w:basedOn w:val="Normal"/>
    <w:uiPriority w:val="99"/>
    <w:unhideWhenUsed/>
    <w:rsid w:val="00603D72"/>
    <w:pPr>
      <w:spacing w:after="120"/>
      <w:ind w:left="283"/>
      <w:contextualSpacing/>
    </w:pPr>
  </w:style>
  <w:style w:type="paragraph" w:styleId="Continuarlista2">
    <w:name w:val="List Continue 2"/>
    <w:basedOn w:val="Normal"/>
    <w:uiPriority w:val="99"/>
    <w:unhideWhenUsed/>
    <w:rsid w:val="00603D72"/>
    <w:pPr>
      <w:spacing w:after="120"/>
      <w:ind w:left="566"/>
      <w:contextualSpacing/>
    </w:pPr>
  </w:style>
  <w:style w:type="paragraph" w:styleId="Textoindependiente">
    <w:name w:val="Body Text"/>
    <w:basedOn w:val="Normal"/>
    <w:link w:val="TextoindependienteCar"/>
    <w:uiPriority w:val="99"/>
    <w:unhideWhenUsed/>
    <w:rsid w:val="00603D72"/>
    <w:pPr>
      <w:spacing w:after="120"/>
    </w:pPr>
  </w:style>
  <w:style w:type="character" w:customStyle="1" w:styleId="TextoindependienteCar">
    <w:name w:val="Texto independiente Car"/>
    <w:basedOn w:val="Fuentedeprrafopredeter"/>
    <w:link w:val="Textoindependiente"/>
    <w:uiPriority w:val="99"/>
    <w:rsid w:val="00603D72"/>
    <w:rPr>
      <w:rFonts w:ascii="Times New Roman" w:eastAsia="Times New Roman" w:hAnsi="Times New Roman" w:cs="Times New Roman"/>
      <w:lang w:val="es-ES"/>
    </w:rPr>
  </w:style>
  <w:style w:type="paragraph" w:styleId="Sangradetextonormal">
    <w:name w:val="Body Text Indent"/>
    <w:basedOn w:val="Normal"/>
    <w:link w:val="SangradetextonormalCar"/>
    <w:uiPriority w:val="99"/>
    <w:unhideWhenUsed/>
    <w:rsid w:val="00603D72"/>
    <w:pPr>
      <w:spacing w:after="120"/>
      <w:ind w:left="283"/>
    </w:pPr>
  </w:style>
  <w:style w:type="character" w:customStyle="1" w:styleId="SangradetextonormalCar">
    <w:name w:val="Sangría de texto normal Car"/>
    <w:basedOn w:val="Fuentedeprrafopredeter"/>
    <w:link w:val="Sangradetextonormal"/>
    <w:uiPriority w:val="99"/>
    <w:rsid w:val="00603D72"/>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603D72"/>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603D72"/>
    <w:rPr>
      <w:rFonts w:ascii="Times New Roman" w:eastAsia="Times New Roman" w:hAnsi="Times New Roman" w:cs="Times New Roman"/>
      <w:lang w:val="es-ES"/>
    </w:rPr>
  </w:style>
  <w:style w:type="paragraph" w:customStyle="1" w:styleId="paragraph">
    <w:name w:val="paragraph"/>
    <w:basedOn w:val="Normal"/>
    <w:rsid w:val="00E34821"/>
    <w:pPr>
      <w:spacing w:before="100" w:beforeAutospacing="1" w:after="100" w:afterAutospacing="1"/>
    </w:pPr>
  </w:style>
  <w:style w:type="paragraph" w:customStyle="1" w:styleId="n2">
    <w:name w:val="n2"/>
    <w:basedOn w:val="Normal"/>
    <w:rsid w:val="009D307C"/>
    <w:pPr>
      <w:spacing w:before="100" w:beforeAutospacing="1" w:after="100" w:afterAutospacing="1"/>
    </w:pPr>
  </w:style>
  <w:style w:type="character" w:customStyle="1" w:styleId="u">
    <w:name w:val="u"/>
    <w:basedOn w:val="Fuentedeprrafopredeter"/>
    <w:rsid w:val="009D307C"/>
  </w:style>
  <w:style w:type="paragraph" w:customStyle="1" w:styleId="j1">
    <w:name w:val="j1"/>
    <w:basedOn w:val="Normal"/>
    <w:rsid w:val="009D307C"/>
    <w:pPr>
      <w:spacing w:before="100" w:beforeAutospacing="1" w:after="100" w:afterAutospacing="1"/>
    </w:pPr>
  </w:style>
  <w:style w:type="paragraph" w:customStyle="1" w:styleId="j2">
    <w:name w:val="j2"/>
    <w:basedOn w:val="Normal"/>
    <w:rsid w:val="009D307C"/>
    <w:pPr>
      <w:spacing w:before="100" w:beforeAutospacing="1" w:after="100" w:afterAutospacing="1"/>
    </w:pPr>
  </w:style>
  <w:style w:type="table" w:styleId="Tabladelista1clara-nfasis1">
    <w:name w:val="List Table 1 Light Accent 1"/>
    <w:basedOn w:val="Tablanormal"/>
    <w:uiPriority w:val="46"/>
    <w:rsid w:val="00A01B91"/>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Mencinsinresolver1">
    <w:name w:val="Mención sin resolver1"/>
    <w:basedOn w:val="Fuentedeprrafopredeter"/>
    <w:uiPriority w:val="99"/>
    <w:semiHidden/>
    <w:unhideWhenUsed/>
    <w:rsid w:val="00457753"/>
    <w:rPr>
      <w:color w:val="605E5C"/>
      <w:shd w:val="clear" w:color="auto" w:fill="E1DFDD"/>
    </w:rPr>
  </w:style>
  <w:style w:type="character" w:customStyle="1" w:styleId="Mencinsinresolver2">
    <w:name w:val="Mención sin resolver2"/>
    <w:basedOn w:val="Fuentedeprrafopredeter"/>
    <w:uiPriority w:val="99"/>
    <w:semiHidden/>
    <w:unhideWhenUsed/>
    <w:rsid w:val="00CE48D4"/>
    <w:rPr>
      <w:color w:val="605E5C"/>
      <w:shd w:val="clear" w:color="auto" w:fill="E1DFDD"/>
    </w:rPr>
  </w:style>
  <w:style w:type="table" w:customStyle="1" w:styleId="Tabladelista1clara-nfasis11">
    <w:name w:val="Tabla de lista 1 clara - Énfasis 11"/>
    <w:basedOn w:val="Tablanormal"/>
    <w:uiPriority w:val="46"/>
    <w:rsid w:val="008F79FD"/>
    <w:rPr>
      <w:rFonts w:eastAsia="MS Mincho"/>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Ttulo3Car">
    <w:name w:val="Título 3 Car"/>
    <w:basedOn w:val="Fuentedeprrafopredeter"/>
    <w:link w:val="Ttulo3"/>
    <w:uiPriority w:val="9"/>
    <w:semiHidden/>
    <w:rsid w:val="003B73CD"/>
    <w:rPr>
      <w:rFonts w:asciiTheme="majorHAnsi" w:eastAsiaTheme="majorEastAsia" w:hAnsiTheme="majorHAnsi" w:cstheme="majorBidi"/>
      <w:b/>
      <w:bCs/>
      <w:sz w:val="26"/>
      <w:szCs w:val="26"/>
      <w:lang w:val="en-US" w:eastAsia="en-US"/>
    </w:rPr>
  </w:style>
  <w:style w:type="character" w:customStyle="1" w:styleId="Ttulo4Car">
    <w:name w:val="Título 4 Car"/>
    <w:basedOn w:val="Fuentedeprrafopredeter"/>
    <w:link w:val="Ttulo4"/>
    <w:uiPriority w:val="9"/>
    <w:semiHidden/>
    <w:rsid w:val="003B73CD"/>
    <w:rPr>
      <w:b/>
      <w:bCs/>
      <w:sz w:val="28"/>
      <w:szCs w:val="28"/>
      <w:lang w:val="en-US" w:eastAsia="en-US"/>
    </w:rPr>
  </w:style>
  <w:style w:type="character" w:customStyle="1" w:styleId="Ttulo5Car">
    <w:name w:val="Título 5 Car"/>
    <w:basedOn w:val="Fuentedeprrafopredeter"/>
    <w:link w:val="Ttulo5"/>
    <w:uiPriority w:val="9"/>
    <w:semiHidden/>
    <w:rsid w:val="003B73CD"/>
    <w:rPr>
      <w:b/>
      <w:bCs/>
      <w:i/>
      <w:iCs/>
      <w:sz w:val="26"/>
      <w:szCs w:val="26"/>
      <w:lang w:val="en-US" w:eastAsia="en-US"/>
    </w:rPr>
  </w:style>
  <w:style w:type="character" w:customStyle="1" w:styleId="Ttulo6Car">
    <w:name w:val="Título 6 Car"/>
    <w:basedOn w:val="Fuentedeprrafopredeter"/>
    <w:link w:val="Ttulo6"/>
    <w:semiHidden/>
    <w:rsid w:val="003B73CD"/>
    <w:rPr>
      <w:rFonts w:ascii="Times New Roman" w:eastAsia="Times New Roman" w:hAnsi="Times New Roman" w:cs="Times New Roman"/>
      <w:b/>
      <w:bCs/>
      <w:sz w:val="22"/>
      <w:szCs w:val="22"/>
      <w:lang w:val="en-US" w:eastAsia="en-US"/>
    </w:rPr>
  </w:style>
  <w:style w:type="character" w:customStyle="1" w:styleId="Ttulo7Car">
    <w:name w:val="Título 7 Car"/>
    <w:basedOn w:val="Fuentedeprrafopredeter"/>
    <w:link w:val="Ttulo7"/>
    <w:uiPriority w:val="9"/>
    <w:semiHidden/>
    <w:rsid w:val="003B73CD"/>
    <w:rPr>
      <w:lang w:val="en-US" w:eastAsia="en-US"/>
    </w:rPr>
  </w:style>
  <w:style w:type="character" w:customStyle="1" w:styleId="Ttulo8Car">
    <w:name w:val="Título 8 Car"/>
    <w:basedOn w:val="Fuentedeprrafopredeter"/>
    <w:link w:val="Ttulo8"/>
    <w:uiPriority w:val="9"/>
    <w:semiHidden/>
    <w:rsid w:val="003B73CD"/>
    <w:rPr>
      <w:i/>
      <w:iCs/>
      <w:lang w:val="en-US" w:eastAsia="en-US"/>
    </w:rPr>
  </w:style>
  <w:style w:type="character" w:customStyle="1" w:styleId="Ttulo9Car">
    <w:name w:val="Título 9 Car"/>
    <w:basedOn w:val="Fuentedeprrafopredeter"/>
    <w:link w:val="Ttulo9"/>
    <w:uiPriority w:val="9"/>
    <w:semiHidden/>
    <w:rsid w:val="003B73CD"/>
    <w:rPr>
      <w:rFonts w:asciiTheme="majorHAnsi" w:eastAsiaTheme="majorEastAsia" w:hAnsiTheme="majorHAnsi" w:cstheme="majorBidi"/>
      <w:sz w:val="22"/>
      <w:szCs w:val="22"/>
      <w:lang w:val="en-US" w:eastAsia="en-US"/>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5">
    <w:name w:val="5"/>
    <w:basedOn w:val="TableNormal10"/>
    <w:tblPr>
      <w:tblStyleRowBandSize w:val="1"/>
      <w:tblStyleColBandSize w:val="1"/>
      <w:tblCellMar>
        <w:left w:w="108" w:type="dxa"/>
        <w:right w:w="108"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4">
    <w:name w:val="4"/>
    <w:basedOn w:val="TableNormal10"/>
    <w:tblPr>
      <w:tblStyleRowBandSize w:val="1"/>
      <w:tblStyleColBandSize w:val="1"/>
      <w:tblCellMar>
        <w:left w:w="115" w:type="dxa"/>
        <w:right w:w="115" w:type="dxa"/>
      </w:tblCellMar>
    </w:tblPr>
  </w:style>
  <w:style w:type="table" w:customStyle="1" w:styleId="3">
    <w:name w:val="3"/>
    <w:basedOn w:val="TableNormal10"/>
    <w:tblPr>
      <w:tblStyleRowBandSize w:val="1"/>
      <w:tblStyleColBandSize w:val="1"/>
      <w:tblCellMar>
        <w:left w:w="115" w:type="dxa"/>
        <w:right w:w="115" w:type="dxa"/>
      </w:tblCellMar>
    </w:tblPr>
  </w:style>
  <w:style w:type="character" w:customStyle="1" w:styleId="Mencinsinresolver3">
    <w:name w:val="Mención sin resolver3"/>
    <w:basedOn w:val="Fuentedeprrafopredeter"/>
    <w:uiPriority w:val="99"/>
    <w:semiHidden/>
    <w:unhideWhenUsed/>
    <w:rsid w:val="0094565C"/>
    <w:rPr>
      <w:color w:val="605E5C"/>
      <w:shd w:val="clear" w:color="auto" w:fill="E1DFDD"/>
    </w:rPr>
  </w:style>
  <w:style w:type="table" w:customStyle="1" w:styleId="2">
    <w:name w:val="2"/>
    <w:basedOn w:val="TableNormal10"/>
    <w:tblPr>
      <w:tblStyleRowBandSize w:val="1"/>
      <w:tblStyleColBandSize w:val="1"/>
      <w:tblCellMar>
        <w:left w:w="115" w:type="dxa"/>
        <w:right w:w="115" w:type="dxa"/>
      </w:tblCellMar>
    </w:tblPr>
  </w:style>
  <w:style w:type="table" w:customStyle="1" w:styleId="1">
    <w:name w:val="1"/>
    <w:basedOn w:val="TableNormal10"/>
    <w:tblPr>
      <w:tblStyleRowBandSize w:val="1"/>
      <w:tblStyleColBandSize w:val="1"/>
      <w:tblCellMar>
        <w:left w:w="115" w:type="dxa"/>
        <w:right w:w="115" w:type="dxa"/>
      </w:tblCellMar>
    </w:tblPr>
  </w:style>
  <w:style w:type="table" w:customStyle="1" w:styleId="9">
    <w:name w:val="9"/>
    <w:basedOn w:val="TableNormal20"/>
    <w:tblPr>
      <w:tblStyleRowBandSize w:val="1"/>
      <w:tblStyleColBandSize w:val="1"/>
      <w:tblCellMar>
        <w:left w:w="115" w:type="dxa"/>
        <w:right w:w="115" w:type="dxa"/>
      </w:tblCellMar>
    </w:tblPr>
  </w:style>
  <w:style w:type="table" w:customStyle="1" w:styleId="8">
    <w:name w:val="8"/>
    <w:basedOn w:val="TableNormal20"/>
    <w:tblPr>
      <w:tblStyleRowBandSize w:val="1"/>
      <w:tblStyleColBandSize w:val="1"/>
      <w:tblCellMar>
        <w:left w:w="115" w:type="dxa"/>
        <w:right w:w="115" w:type="dxa"/>
      </w:tblCellMar>
    </w:tblPr>
  </w:style>
  <w:style w:type="table" w:customStyle="1" w:styleId="7">
    <w:name w:val="7"/>
    <w:basedOn w:val="TableNormal30"/>
    <w:tblPr>
      <w:tblStyleRowBandSize w:val="1"/>
      <w:tblStyleColBandSize w:val="1"/>
      <w:tblCellMar>
        <w:left w:w="115" w:type="dxa"/>
        <w:right w:w="115" w:type="dxa"/>
      </w:tblCellMar>
    </w:tblPr>
  </w:style>
  <w:style w:type="table" w:customStyle="1" w:styleId="6">
    <w:name w:val="6"/>
    <w:basedOn w:val="TableNormal30"/>
    <w:tblPr>
      <w:tblStyleRowBandSize w:val="1"/>
      <w:tblStyleColBandSize w:val="1"/>
      <w:tblCellMar>
        <w:left w:w="115" w:type="dxa"/>
        <w:right w:w="115" w:type="dxa"/>
      </w:tblCellMar>
    </w:tblPr>
  </w:style>
  <w:style w:type="table" w:customStyle="1" w:styleId="20">
    <w:name w:val="20"/>
    <w:basedOn w:val="TableNormal40"/>
    <w:tblPr>
      <w:tblStyleRowBandSize w:val="1"/>
      <w:tblStyleColBandSize w:val="1"/>
      <w:tblCellMar>
        <w:left w:w="115" w:type="dxa"/>
        <w:right w:w="115" w:type="dxa"/>
      </w:tblCellMar>
    </w:tblPr>
  </w:style>
  <w:style w:type="table" w:customStyle="1" w:styleId="19">
    <w:name w:val="19"/>
    <w:basedOn w:val="TableNormal40"/>
    <w:tblPr>
      <w:tblStyleRowBandSize w:val="1"/>
      <w:tblStyleColBandSize w:val="1"/>
      <w:tblCellMar>
        <w:left w:w="115" w:type="dxa"/>
        <w:right w:w="115" w:type="dxa"/>
      </w:tblCellMar>
    </w:tblPr>
  </w:style>
  <w:style w:type="table" w:customStyle="1" w:styleId="18">
    <w:name w:val="18"/>
    <w:basedOn w:val="TableNormal50"/>
    <w:tblPr>
      <w:tblStyleRowBandSize w:val="1"/>
      <w:tblStyleColBandSize w:val="1"/>
      <w:tblCellMar>
        <w:left w:w="115" w:type="dxa"/>
        <w:right w:w="115" w:type="dxa"/>
      </w:tblCellMar>
    </w:tblPr>
  </w:style>
  <w:style w:type="table" w:customStyle="1" w:styleId="17">
    <w:name w:val="17"/>
    <w:basedOn w:val="TableNormal50"/>
    <w:tblPr>
      <w:tblStyleRowBandSize w:val="1"/>
      <w:tblStyleColBandSize w:val="1"/>
      <w:tblCellMar>
        <w:left w:w="115" w:type="dxa"/>
        <w:right w:w="115" w:type="dxa"/>
      </w:tblCellMar>
    </w:tblPr>
  </w:style>
  <w:style w:type="table" w:customStyle="1" w:styleId="16">
    <w:name w:val="16"/>
    <w:basedOn w:val="TableNormal60"/>
    <w:tblPr>
      <w:tblStyleRowBandSize w:val="1"/>
      <w:tblStyleColBandSize w:val="1"/>
      <w:tblCellMar>
        <w:left w:w="115" w:type="dxa"/>
        <w:right w:w="115" w:type="dxa"/>
      </w:tblCellMar>
    </w:tblPr>
  </w:style>
  <w:style w:type="table" w:customStyle="1" w:styleId="15">
    <w:name w:val="15"/>
    <w:basedOn w:val="TableNormal60"/>
    <w:tblPr>
      <w:tblStyleRowBandSize w:val="1"/>
      <w:tblStyleColBandSize w:val="1"/>
      <w:tblCellMar>
        <w:left w:w="115" w:type="dxa"/>
        <w:right w:w="115" w:type="dxa"/>
      </w:tblCellMar>
    </w:tblPr>
  </w:style>
  <w:style w:type="table" w:customStyle="1" w:styleId="14">
    <w:name w:val="14"/>
    <w:basedOn w:val="TableNormal70"/>
    <w:tblPr>
      <w:tblStyleRowBandSize w:val="1"/>
      <w:tblStyleColBandSize w:val="1"/>
      <w:tblCellMar>
        <w:left w:w="115" w:type="dxa"/>
        <w:right w:w="115" w:type="dxa"/>
      </w:tblCellMar>
    </w:tblPr>
  </w:style>
  <w:style w:type="table" w:customStyle="1" w:styleId="13">
    <w:name w:val="13"/>
    <w:basedOn w:val="TableNormal70"/>
    <w:tblPr>
      <w:tblStyleRowBandSize w:val="1"/>
      <w:tblStyleColBandSize w:val="1"/>
      <w:tblCellMar>
        <w:left w:w="115" w:type="dxa"/>
        <w:right w:w="115" w:type="dxa"/>
      </w:tblCellMar>
    </w:tblPr>
  </w:style>
  <w:style w:type="character" w:customStyle="1" w:styleId="rse6dlih">
    <w:name w:val="rse6dlih"/>
    <w:basedOn w:val="Fuentedeprrafopredeter"/>
    <w:rsid w:val="00190860"/>
  </w:style>
  <w:style w:type="table" w:customStyle="1" w:styleId="12">
    <w:name w:val="12"/>
    <w:basedOn w:val="TableNormal80"/>
    <w:tblPr>
      <w:tblStyleRowBandSize w:val="1"/>
      <w:tblStyleColBandSize w:val="1"/>
      <w:tblCellMar>
        <w:left w:w="108" w:type="dxa"/>
        <w:right w:w="108"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11">
    <w:name w:val="11"/>
    <w:basedOn w:val="TableNormal80"/>
    <w:tblPr>
      <w:tblStyleRowBandSize w:val="1"/>
      <w:tblStyleColBandSize w:val="1"/>
      <w:tblCellMar>
        <w:left w:w="115" w:type="dxa"/>
        <w:right w:w="115" w:type="dxa"/>
      </w:tblCellMar>
    </w:tblPr>
  </w:style>
  <w:style w:type="table" w:customStyle="1" w:styleId="10">
    <w:name w:val="10"/>
    <w:basedOn w:val="TableNormal80"/>
    <w:tblPr>
      <w:tblStyleRowBandSize w:val="1"/>
      <w:tblStyleColBandSize w:val="1"/>
      <w:tblCellMar>
        <w:left w:w="115" w:type="dxa"/>
        <w:right w:w="115" w:type="dxa"/>
      </w:tblCellMar>
    </w:tblPr>
  </w:style>
  <w:style w:type="table" w:customStyle="1" w:styleId="24">
    <w:name w:val="24"/>
    <w:basedOn w:val="TableNormal90"/>
    <w:tblPr>
      <w:tblStyleRowBandSize w:val="1"/>
      <w:tblStyleColBandSize w:val="1"/>
      <w:tblCellMar>
        <w:left w:w="115" w:type="dxa"/>
        <w:right w:w="115" w:type="dxa"/>
      </w:tblCellMar>
    </w:tblPr>
  </w:style>
  <w:style w:type="table" w:customStyle="1" w:styleId="23">
    <w:name w:val="23"/>
    <w:basedOn w:val="TableNormal90"/>
    <w:tblPr>
      <w:tblStyleRowBandSize w:val="1"/>
      <w:tblStyleColBandSize w:val="1"/>
      <w:tblCellMar>
        <w:left w:w="108" w:type="dxa"/>
        <w:right w:w="108"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22">
    <w:name w:val="22"/>
    <w:basedOn w:val="TableNormal90"/>
    <w:tblPr>
      <w:tblStyleRowBandSize w:val="1"/>
      <w:tblStyleColBandSize w:val="1"/>
      <w:tblCellMar>
        <w:left w:w="115" w:type="dxa"/>
        <w:right w:w="115" w:type="dxa"/>
      </w:tblCellMar>
    </w:tblPr>
  </w:style>
  <w:style w:type="table" w:customStyle="1" w:styleId="21">
    <w:name w:val="21"/>
    <w:basedOn w:val="TableNormal90"/>
    <w:tblPr>
      <w:tblStyleRowBandSize w:val="1"/>
      <w:tblStyleColBandSize w:val="1"/>
      <w:tblCellMar>
        <w:left w:w="115" w:type="dxa"/>
        <w:right w:w="115" w:type="dxa"/>
      </w:tblCellMar>
    </w:tblPr>
  </w:style>
  <w:style w:type="table" w:customStyle="1" w:styleId="a">
    <w:basedOn w:val="TableNormal9"/>
    <w:tblPr>
      <w:tblStyleRowBandSize w:val="1"/>
      <w:tblStyleColBandSize w:val="1"/>
      <w:tblCellMar>
        <w:left w:w="108" w:type="dxa"/>
        <w:right w:w="108"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0">
    <w:basedOn w:val="TableNormal9"/>
    <w:tblPr>
      <w:tblStyleRowBandSize w:val="1"/>
      <w:tblStyleColBandSize w:val="1"/>
      <w:tblCellMar>
        <w:left w:w="115" w:type="dxa"/>
        <w:right w:w="115" w:type="dxa"/>
      </w:tblCellMar>
    </w:tblPr>
  </w:style>
  <w:style w:type="table" w:customStyle="1" w:styleId="a2">
    <w:basedOn w:val="TableNormal9"/>
    <w:tblPr>
      <w:tblStyleRowBandSize w:val="1"/>
      <w:tblStyleColBandSize w:val="1"/>
      <w:tblCellMar>
        <w:left w:w="115" w:type="dxa"/>
        <w:right w:w="115" w:type="dxa"/>
      </w:tblCellMar>
    </w:tblPr>
  </w:style>
  <w:style w:type="table" w:customStyle="1" w:styleId="a3">
    <w:basedOn w:val="TableNormal8"/>
    <w:tblPr>
      <w:tblStyleRowBandSize w:val="1"/>
      <w:tblStyleColBandSize w:val="1"/>
      <w:tblCellMar>
        <w:left w:w="115" w:type="dxa"/>
        <w:right w:w="115"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4">
    <w:basedOn w:val="TableNormal8"/>
    <w:tblPr>
      <w:tblStyleRowBandSize w:val="1"/>
      <w:tblStyleColBandSize w:val="1"/>
      <w:tblCellMar>
        <w:left w:w="115" w:type="dxa"/>
        <w:right w:w="115" w:type="dxa"/>
      </w:tblCellMar>
    </w:tblPr>
  </w:style>
  <w:style w:type="table" w:customStyle="1" w:styleId="a5">
    <w:basedOn w:val="TableNormal8"/>
    <w:tblPr>
      <w:tblStyleRowBandSize w:val="1"/>
      <w:tblStyleColBandSize w:val="1"/>
      <w:tblCellMar>
        <w:left w:w="115" w:type="dxa"/>
        <w:right w:w="115" w:type="dxa"/>
      </w:tblCellMar>
    </w:tblPr>
  </w:style>
  <w:style w:type="table" w:customStyle="1" w:styleId="a6">
    <w:basedOn w:val="TableNormal7"/>
    <w:tblPr>
      <w:tblStyleRowBandSize w:val="1"/>
      <w:tblStyleColBandSize w:val="1"/>
      <w:tblCellMar>
        <w:left w:w="108" w:type="dxa"/>
        <w:right w:w="108"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7">
    <w:basedOn w:val="TableNormal7"/>
    <w:tblPr>
      <w:tblStyleRowBandSize w:val="1"/>
      <w:tblStyleColBandSize w:val="1"/>
      <w:tblCellMar>
        <w:left w:w="115" w:type="dxa"/>
        <w:right w:w="115" w:type="dxa"/>
      </w:tblCellMar>
    </w:tblPr>
  </w:style>
  <w:style w:type="table" w:customStyle="1" w:styleId="a8">
    <w:basedOn w:val="TableNormal7"/>
    <w:tblPr>
      <w:tblStyleRowBandSize w:val="1"/>
      <w:tblStyleColBandSize w:val="1"/>
      <w:tblCellMar>
        <w:left w:w="115" w:type="dxa"/>
        <w:right w:w="115" w:type="dxa"/>
      </w:tblCellMar>
    </w:tblPr>
  </w:style>
  <w:style w:type="character" w:customStyle="1" w:styleId="Mencinsinresolver4">
    <w:name w:val="Mención sin resolver4"/>
    <w:basedOn w:val="Fuentedeprrafopredeter"/>
    <w:uiPriority w:val="99"/>
    <w:semiHidden/>
    <w:unhideWhenUsed/>
    <w:rsid w:val="00B70D09"/>
    <w:rPr>
      <w:color w:val="605E5C"/>
      <w:shd w:val="clear" w:color="auto" w:fill="E1DFDD"/>
    </w:rPr>
  </w:style>
  <w:style w:type="table" w:customStyle="1" w:styleId="a9">
    <w:basedOn w:val="TableNormal6"/>
    <w:tblPr>
      <w:tblStyleRowBandSize w:val="1"/>
      <w:tblStyleColBandSize w:val="1"/>
      <w:tblCellMar>
        <w:left w:w="108" w:type="dxa"/>
        <w:right w:w="108"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a">
    <w:basedOn w:val="TableNormal6"/>
    <w:tblPr>
      <w:tblStyleRowBandSize w:val="1"/>
      <w:tblStyleColBandSize w:val="1"/>
      <w:tblCellMar>
        <w:left w:w="115" w:type="dxa"/>
        <w:right w:w="115" w:type="dxa"/>
      </w:tblCellMar>
    </w:tblPr>
  </w:style>
  <w:style w:type="table" w:customStyle="1" w:styleId="ab">
    <w:basedOn w:val="TableNormal6"/>
    <w:tblPr>
      <w:tblStyleRowBandSize w:val="1"/>
      <w:tblStyleColBandSize w:val="1"/>
      <w:tblCellMar>
        <w:left w:w="115" w:type="dxa"/>
        <w:right w:w="115" w:type="dxa"/>
      </w:tblCellMar>
    </w:tblPr>
  </w:style>
  <w:style w:type="paragraph" w:styleId="Saludo">
    <w:name w:val="Salutation"/>
    <w:basedOn w:val="Normal"/>
    <w:next w:val="Normal"/>
    <w:link w:val="SaludoCar"/>
    <w:uiPriority w:val="99"/>
    <w:unhideWhenUsed/>
    <w:rsid w:val="00E47E56"/>
  </w:style>
  <w:style w:type="character" w:customStyle="1" w:styleId="SaludoCar">
    <w:name w:val="Saludo Car"/>
    <w:basedOn w:val="Fuentedeprrafopredeter"/>
    <w:link w:val="Saludo"/>
    <w:uiPriority w:val="99"/>
    <w:rsid w:val="00E47E56"/>
  </w:style>
  <w:style w:type="paragraph" w:styleId="Listaconvietas">
    <w:name w:val="List Bullet"/>
    <w:basedOn w:val="Normal"/>
    <w:uiPriority w:val="99"/>
    <w:unhideWhenUsed/>
    <w:rsid w:val="00E47E56"/>
    <w:pPr>
      <w:tabs>
        <w:tab w:val="num" w:pos="720"/>
      </w:tabs>
      <w:ind w:left="720" w:hanging="720"/>
      <w:contextualSpacing/>
    </w:pPr>
  </w:style>
  <w:style w:type="paragraph" w:styleId="Listaconvietas2">
    <w:name w:val="List Bullet 2"/>
    <w:basedOn w:val="Normal"/>
    <w:uiPriority w:val="99"/>
    <w:unhideWhenUsed/>
    <w:rsid w:val="00E47E56"/>
    <w:pPr>
      <w:tabs>
        <w:tab w:val="num" w:pos="720"/>
      </w:tabs>
      <w:ind w:left="720" w:hanging="720"/>
      <w:contextualSpacing/>
    </w:pPr>
  </w:style>
  <w:style w:type="paragraph" w:styleId="Descripcin">
    <w:name w:val="caption"/>
    <w:basedOn w:val="Normal"/>
    <w:next w:val="Normal"/>
    <w:uiPriority w:val="35"/>
    <w:unhideWhenUsed/>
    <w:qFormat/>
    <w:rsid w:val="00E47E56"/>
    <w:pPr>
      <w:spacing w:after="200"/>
    </w:pPr>
    <w:rPr>
      <w:i/>
      <w:iCs/>
      <w:color w:val="1F497D" w:themeColor="text2"/>
      <w:sz w:val="18"/>
      <w:szCs w:val="18"/>
    </w:rPr>
  </w:style>
  <w:style w:type="table" w:customStyle="1" w:styleId="ac">
    <w:basedOn w:val="TableNormal5"/>
    <w:tblPr>
      <w:tblStyleRowBandSize w:val="1"/>
      <w:tblStyleColBandSize w:val="1"/>
      <w:tblCellMar>
        <w:left w:w="108" w:type="dxa"/>
        <w:right w:w="108" w:type="dxa"/>
      </w:tblCellMar>
    </w:tblPr>
  </w:style>
  <w:style w:type="table" w:customStyle="1" w:styleId="ad">
    <w:basedOn w:val="TableNormal5"/>
    <w:tblPr>
      <w:tblStyleRowBandSize w:val="1"/>
      <w:tblStyleColBandSize w:val="1"/>
      <w:tblCellMar>
        <w:left w:w="108" w:type="dxa"/>
        <w:right w:w="108" w:type="dxa"/>
      </w:tblCellMar>
    </w:tblPr>
  </w:style>
  <w:style w:type="table" w:customStyle="1" w:styleId="ae">
    <w:basedOn w:val="TableNormal5"/>
    <w:tblPr>
      <w:tblStyleRowBandSize w:val="1"/>
      <w:tblStyleColBandSize w:val="1"/>
      <w:tblCellMar>
        <w:left w:w="108" w:type="dxa"/>
        <w:right w:w="108" w:type="dxa"/>
      </w:tblCellMar>
    </w:tblPr>
  </w:style>
  <w:style w:type="table" w:customStyle="1" w:styleId="af">
    <w:basedOn w:val="TableNormal5"/>
    <w:tblPr>
      <w:tblStyleRowBandSize w:val="1"/>
      <w:tblStyleColBandSize w:val="1"/>
      <w:tblCellMar>
        <w:left w:w="115" w:type="dxa"/>
        <w:right w:w="115" w:type="dxa"/>
      </w:tblCellMar>
    </w:tblPr>
  </w:style>
  <w:style w:type="table" w:customStyle="1" w:styleId="af0">
    <w:basedOn w:val="TableNormal5"/>
    <w:tblPr>
      <w:tblStyleRowBandSize w:val="1"/>
      <w:tblStyleColBandSize w:val="1"/>
      <w:tblCellMar>
        <w:left w:w="115" w:type="dxa"/>
        <w:right w:w="115" w:type="dxa"/>
      </w:tblCellMar>
    </w:tblPr>
  </w:style>
  <w:style w:type="table" w:customStyle="1" w:styleId="af1">
    <w:basedOn w:val="TableNormal4"/>
    <w:tblPr>
      <w:tblStyleRowBandSize w:val="1"/>
      <w:tblStyleColBandSize w:val="1"/>
      <w:tblCellMar>
        <w:left w:w="115" w:type="dxa"/>
        <w:right w:w="115" w:type="dxa"/>
      </w:tblCellMar>
    </w:tblPr>
  </w:style>
  <w:style w:type="table" w:customStyle="1" w:styleId="af2">
    <w:basedOn w:val="TableNormal4"/>
    <w:tblPr>
      <w:tblStyleRowBandSize w:val="1"/>
      <w:tblStyleColBandSize w:val="1"/>
      <w:tblCellMar>
        <w:left w:w="115" w:type="dxa"/>
        <w:right w:w="115" w:type="dxa"/>
      </w:tblCellMar>
    </w:tblPr>
  </w:style>
  <w:style w:type="table" w:customStyle="1" w:styleId="af3">
    <w:basedOn w:val="TableNormal3"/>
    <w:tblPr>
      <w:tblStyleRowBandSize w:val="1"/>
      <w:tblStyleColBandSize w:val="1"/>
      <w:tblCellMar>
        <w:left w:w="115" w:type="dxa"/>
        <w:right w:w="115" w:type="dxa"/>
      </w:tblCellMar>
    </w:tblPr>
  </w:style>
  <w:style w:type="table" w:customStyle="1" w:styleId="af4">
    <w:basedOn w:val="TableNormal3"/>
    <w:tblPr>
      <w:tblStyleRowBandSize w:val="1"/>
      <w:tblStyleColBandSize w:val="1"/>
      <w:tblCellMar>
        <w:left w:w="115" w:type="dxa"/>
        <w:right w:w="115" w:type="dxa"/>
      </w:tblCellMar>
    </w:tblPr>
  </w:style>
  <w:style w:type="character" w:customStyle="1" w:styleId="Mencinsinresolver5">
    <w:name w:val="Mención sin resolver5"/>
    <w:basedOn w:val="Fuentedeprrafopredeter"/>
    <w:uiPriority w:val="99"/>
    <w:semiHidden/>
    <w:unhideWhenUsed/>
    <w:rsid w:val="00C70AEE"/>
    <w:rPr>
      <w:color w:val="605E5C"/>
      <w:shd w:val="clear" w:color="auto" w:fill="E1DFDD"/>
    </w:rPr>
  </w:style>
  <w:style w:type="table" w:customStyle="1" w:styleId="af5">
    <w:basedOn w:val="TableNormal2"/>
    <w:tblPr>
      <w:tblStyleRowBandSize w:val="1"/>
      <w:tblStyleColBandSize w:val="1"/>
      <w:tblCellMar>
        <w:left w:w="115" w:type="dxa"/>
        <w:right w:w="115" w:type="dxa"/>
      </w:tblCellMar>
    </w:tblPr>
  </w:style>
  <w:style w:type="table" w:customStyle="1" w:styleId="af6">
    <w:basedOn w:val="TableNormal2"/>
    <w:tblPr>
      <w:tblStyleRowBandSize w:val="1"/>
      <w:tblStyleColBandSize w:val="1"/>
      <w:tblCellMar>
        <w:left w:w="115" w:type="dxa"/>
        <w:right w:w="115" w:type="dxa"/>
      </w:tblCellMar>
    </w:tblPr>
  </w:style>
  <w:style w:type="table" w:customStyle="1" w:styleId="af7">
    <w:basedOn w:val="TableNormal1"/>
    <w:tblPr>
      <w:tblStyleRowBandSize w:val="1"/>
      <w:tblStyleColBandSize w:val="1"/>
      <w:tblCellMar>
        <w:left w:w="115" w:type="dxa"/>
        <w:right w:w="115" w:type="dxa"/>
      </w:tblCellMar>
    </w:tblPr>
  </w:style>
  <w:style w:type="table" w:customStyle="1" w:styleId="af8">
    <w:basedOn w:val="TableNormal1"/>
    <w:tblPr>
      <w:tblStyleRowBandSize w:val="1"/>
      <w:tblStyleColBandSize w:val="1"/>
      <w:tblCellMar>
        <w:left w:w="115" w:type="dxa"/>
        <w:right w:w="115" w:type="dxa"/>
      </w:tblCellMar>
    </w:tblPr>
  </w:style>
  <w:style w:type="table" w:customStyle="1" w:styleId="af9">
    <w:basedOn w:val="TableNormal0"/>
    <w:tblPr>
      <w:tblStyleRowBandSize w:val="1"/>
      <w:tblStyleColBandSize w:val="1"/>
      <w:tblCellMar>
        <w:left w:w="115" w:type="dxa"/>
        <w:right w:w="115" w:type="dxa"/>
      </w:tblCellMar>
    </w:tblPr>
  </w:style>
  <w:style w:type="table" w:customStyle="1" w:styleId="afa">
    <w:basedOn w:val="TableNormal0"/>
    <w:tblPr>
      <w:tblStyleRowBandSize w:val="1"/>
      <w:tblStyleColBandSize w:val="1"/>
      <w:tblCellMar>
        <w:left w:w="115" w:type="dxa"/>
        <w:right w:w="115" w:type="dxa"/>
      </w:tblCellMar>
    </w:tblPr>
  </w:style>
  <w:style w:type="table" w:customStyle="1" w:styleId="afb">
    <w:basedOn w:val="TableNormal0"/>
    <w:tblPr>
      <w:tblStyleRowBandSize w:val="1"/>
      <w:tblStyleColBandSize w:val="1"/>
      <w:tblCellMar>
        <w:left w:w="115" w:type="dxa"/>
        <w:right w:w="115" w:type="dxa"/>
      </w:tblCellMar>
    </w:tblPr>
  </w:style>
  <w:style w:type="table" w:customStyle="1" w:styleId="afc">
    <w:basedOn w:val="TableNormal0"/>
    <w:tblPr>
      <w:tblStyleRowBandSize w:val="1"/>
      <w:tblStyleColBandSize w:val="1"/>
      <w:tblCellMar>
        <w:left w:w="115" w:type="dxa"/>
        <w:right w:w="115" w:type="dxa"/>
      </w:tblCellMar>
    </w:tblPr>
  </w:style>
  <w:style w:type="table" w:customStyle="1" w:styleId="afd">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oleObject" Target="embeddings/oleObject6.bin"/><Relationship Id="rId26" Type="http://schemas.openxmlformats.org/officeDocument/2006/relationships/oleObject" Target="embeddings/oleObject10.bin"/><Relationship Id="rId39" Type="http://schemas.openxmlformats.org/officeDocument/2006/relationships/image" Target="media/image14.png"/><Relationship Id="rId21" Type="http://schemas.openxmlformats.org/officeDocument/2006/relationships/image" Target="media/image7.png"/><Relationship Id="rId34" Type="http://schemas.openxmlformats.org/officeDocument/2006/relationships/oleObject" Target="embeddings/oleObject15.bin"/><Relationship Id="rId42" Type="http://schemas.openxmlformats.org/officeDocument/2006/relationships/image" Target="media/image15.png"/><Relationship Id="rId47" Type="http://schemas.openxmlformats.org/officeDocument/2006/relationships/oleObject" Target="embeddings/oleObject23.bin"/><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5.bin"/><Relationship Id="rId29" Type="http://schemas.openxmlformats.org/officeDocument/2006/relationships/image" Target="media/image11.png"/><Relationship Id="rId11" Type="http://schemas.openxmlformats.org/officeDocument/2006/relationships/oleObject" Target="embeddings/oleObject2.bin"/><Relationship Id="rId24" Type="http://schemas.openxmlformats.org/officeDocument/2006/relationships/oleObject" Target="embeddings/oleObject9.bin"/><Relationship Id="rId32" Type="http://schemas.openxmlformats.org/officeDocument/2006/relationships/oleObject" Target="embeddings/oleObject13.bin"/><Relationship Id="rId37" Type="http://schemas.openxmlformats.org/officeDocument/2006/relationships/oleObject" Target="embeddings/oleObject17.bin"/><Relationship Id="rId40" Type="http://schemas.openxmlformats.org/officeDocument/2006/relationships/oleObject" Target="embeddings/oleObject19.bin"/><Relationship Id="rId45" Type="http://schemas.openxmlformats.org/officeDocument/2006/relationships/oleObject" Target="embeddings/oleObject22.bin"/><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6.png"/><Relationship Id="rId31" Type="http://schemas.openxmlformats.org/officeDocument/2006/relationships/image" Target="media/image12.png"/><Relationship Id="rId44" Type="http://schemas.openxmlformats.org/officeDocument/2006/relationships/image" Target="media/image16.pn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0.png"/><Relationship Id="rId30" Type="http://schemas.openxmlformats.org/officeDocument/2006/relationships/oleObject" Target="embeddings/oleObject12.bin"/><Relationship Id="rId35" Type="http://schemas.openxmlformats.org/officeDocument/2006/relationships/oleObject" Target="embeddings/oleObject16.bin"/><Relationship Id="rId43" Type="http://schemas.openxmlformats.org/officeDocument/2006/relationships/oleObject" Target="embeddings/oleObject21.bin"/><Relationship Id="rId48" Type="http://schemas.openxmlformats.org/officeDocument/2006/relationships/image" Target="media/image18.png"/><Relationship Id="rId8" Type="http://schemas.openxmlformats.org/officeDocument/2006/relationships/image" Target="media/image1.png"/><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oleObject" Target="embeddings/oleObject14.bin"/><Relationship Id="rId38" Type="http://schemas.openxmlformats.org/officeDocument/2006/relationships/oleObject" Target="embeddings/oleObject18.bin"/><Relationship Id="rId46" Type="http://schemas.openxmlformats.org/officeDocument/2006/relationships/image" Target="media/image17.png"/><Relationship Id="rId20" Type="http://schemas.openxmlformats.org/officeDocument/2006/relationships/oleObject" Target="embeddings/oleObject7.bin"/><Relationship Id="rId41" Type="http://schemas.openxmlformats.org/officeDocument/2006/relationships/oleObject" Target="embeddings/oleObject20.bin"/><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oleObject" Target="embeddings/oleObject11.bin"/><Relationship Id="rId36" Type="http://schemas.openxmlformats.org/officeDocument/2006/relationships/image" Target="media/image13.png"/><Relationship Id="rId4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_rels/header2.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L1MUyE6KI309/JG1fCeYDEGPxbA==">CgMxLjAyCGguZ2pkZ3hzMgloLjNkeTZ2a20yCWguMzBqMHpsbDIJaC4yczhleW8xMghoLnR5amN3dDIJaC4zem55c2g3MgloLjJldDkycDAyCGgubG54Yno5MgloLjE3ZHA4dnUyCWguM3JkY3JqbjIJaC4xdDNoNXNmOAByITFlU202anZLMmhzdGU4SlE4UUdsWkpwM1NCbDFYejhweg==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63</Pages>
  <Words>15775</Words>
  <Characters>86766</Characters>
  <Application>Microsoft Office Word</Application>
  <DocSecurity>4</DocSecurity>
  <Lines>723</Lines>
  <Paragraphs>204</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102337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iMac</dc:creator>
  <cp:lastModifiedBy>Maricela Villagomez</cp:lastModifiedBy>
  <cp:revision>2</cp:revision>
  <cp:lastPrinted>2023-07-07T19:37:00Z</cp:lastPrinted>
  <dcterms:created xsi:type="dcterms:W3CDTF">2023-08-04T18:21:00Z</dcterms:created>
  <dcterms:modified xsi:type="dcterms:W3CDTF">2023-08-04T18:21:00Z</dcterms:modified>
</cp:coreProperties>
</file>