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32D3D" w14:textId="644B709F" w:rsidR="00EA0416" w:rsidRPr="00C90A68" w:rsidRDefault="00E7255E" w:rsidP="000956B7">
      <w:pPr>
        <w:shd w:val="clear" w:color="auto" w:fill="FFFFFF"/>
        <w:spacing w:after="0" w:line="360" w:lineRule="auto"/>
        <w:jc w:val="both"/>
        <w:rPr>
          <w:rFonts w:ascii="Palatino Linotype" w:eastAsia="Times New Roman" w:hAnsi="Palatino Linotype" w:cs="Arial"/>
          <w:color w:val="000000"/>
          <w:sz w:val="24"/>
          <w:szCs w:val="24"/>
          <w:lang w:eastAsia="es-MX"/>
        </w:rPr>
      </w:pPr>
      <w:r w:rsidRPr="00C90A6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w:t>
      </w:r>
      <w:r w:rsidR="008B152A" w:rsidRPr="00C90A68">
        <w:rPr>
          <w:rFonts w:ascii="Palatino Linotype" w:eastAsia="Times New Roman" w:hAnsi="Palatino Linotype" w:cs="Arial"/>
          <w:color w:val="000000"/>
          <w:sz w:val="24"/>
          <w:szCs w:val="24"/>
          <w:lang w:eastAsia="es-MX"/>
        </w:rPr>
        <w:t>en Metepec, Estado de México, a treinta</w:t>
      </w:r>
      <w:r w:rsidR="000257F1" w:rsidRPr="00C90A68">
        <w:rPr>
          <w:rFonts w:ascii="Palatino Linotype" w:eastAsia="Times New Roman" w:hAnsi="Palatino Linotype" w:cs="Arial"/>
          <w:color w:val="000000"/>
          <w:sz w:val="24"/>
          <w:szCs w:val="24"/>
          <w:lang w:eastAsia="es-MX"/>
        </w:rPr>
        <w:t xml:space="preserve"> de agosto</w:t>
      </w:r>
      <w:r w:rsidR="00443285" w:rsidRPr="00C90A68">
        <w:rPr>
          <w:rFonts w:ascii="Palatino Linotype" w:eastAsia="Times New Roman" w:hAnsi="Palatino Linotype" w:cs="Arial"/>
          <w:color w:val="000000"/>
          <w:sz w:val="24"/>
          <w:szCs w:val="24"/>
          <w:lang w:eastAsia="es-MX"/>
        </w:rPr>
        <w:t xml:space="preserve"> </w:t>
      </w:r>
      <w:r w:rsidRPr="00C90A68">
        <w:rPr>
          <w:rFonts w:ascii="Palatino Linotype" w:eastAsia="Times New Roman" w:hAnsi="Palatino Linotype" w:cs="Arial"/>
          <w:color w:val="000000"/>
          <w:sz w:val="24"/>
          <w:szCs w:val="24"/>
          <w:lang w:eastAsia="es-MX"/>
        </w:rPr>
        <w:t>de dos mil veintitrés.</w:t>
      </w:r>
    </w:p>
    <w:p w14:paraId="7CD4B9A2" w14:textId="77777777" w:rsidR="00E7255E" w:rsidRPr="00C90A68" w:rsidRDefault="00E7255E" w:rsidP="000956B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7E27829" w14:textId="34C0FC2D" w:rsidR="00E7255E" w:rsidRPr="00C90A68" w:rsidRDefault="00E7255E" w:rsidP="000956B7">
      <w:pPr>
        <w:tabs>
          <w:tab w:val="left" w:pos="1701"/>
        </w:tabs>
        <w:spacing w:after="0" w:line="360" w:lineRule="auto"/>
        <w:jc w:val="both"/>
        <w:rPr>
          <w:rFonts w:ascii="Palatino Linotype" w:hAnsi="Palatino Linotype" w:cs="Arial"/>
          <w:b/>
          <w:sz w:val="24"/>
          <w:szCs w:val="24"/>
        </w:rPr>
      </w:pPr>
      <w:r w:rsidRPr="00C90A68">
        <w:rPr>
          <w:rFonts w:ascii="Palatino Linotype" w:hAnsi="Palatino Linotype" w:cs="Arial"/>
          <w:b/>
          <w:sz w:val="24"/>
          <w:szCs w:val="24"/>
        </w:rPr>
        <w:t>VISTO</w:t>
      </w:r>
      <w:r w:rsidRPr="00C90A68">
        <w:rPr>
          <w:rFonts w:ascii="Palatino Linotype" w:hAnsi="Palatino Linotype" w:cs="Arial"/>
          <w:sz w:val="24"/>
          <w:szCs w:val="24"/>
        </w:rPr>
        <w:t xml:space="preserve"> el expediente electrónico formado con motivo del recurso de revisión número </w:t>
      </w:r>
      <w:r w:rsidR="001872B4" w:rsidRPr="00C90A68">
        <w:rPr>
          <w:rFonts w:ascii="Palatino Linotype" w:hAnsi="Palatino Linotype" w:cs="Arial"/>
          <w:b/>
          <w:sz w:val="24"/>
          <w:szCs w:val="24"/>
        </w:rPr>
        <w:t>1</w:t>
      </w:r>
      <w:r w:rsidR="000257F1" w:rsidRPr="00C90A68">
        <w:rPr>
          <w:rFonts w:ascii="Palatino Linotype" w:hAnsi="Palatino Linotype" w:cs="Arial"/>
          <w:b/>
          <w:sz w:val="24"/>
          <w:szCs w:val="24"/>
        </w:rPr>
        <w:t>3775</w:t>
      </w:r>
      <w:r w:rsidR="001872B4" w:rsidRPr="00C90A68">
        <w:rPr>
          <w:rFonts w:ascii="Palatino Linotype" w:hAnsi="Palatino Linotype" w:cs="Arial"/>
          <w:b/>
          <w:sz w:val="24"/>
          <w:szCs w:val="24"/>
        </w:rPr>
        <w:t>/INFOEM/ICR-</w:t>
      </w:r>
      <w:r w:rsidR="000257F1" w:rsidRPr="00C90A68">
        <w:rPr>
          <w:rFonts w:ascii="Palatino Linotype" w:hAnsi="Palatino Linotype" w:cs="Arial"/>
          <w:b/>
          <w:sz w:val="24"/>
          <w:szCs w:val="24"/>
        </w:rPr>
        <w:t>03</w:t>
      </w:r>
      <w:r w:rsidR="001872B4" w:rsidRPr="00C90A68">
        <w:rPr>
          <w:rFonts w:ascii="Palatino Linotype" w:hAnsi="Palatino Linotype" w:cs="Arial"/>
          <w:b/>
          <w:sz w:val="24"/>
          <w:szCs w:val="24"/>
        </w:rPr>
        <w:t>/IP/RR/2022</w:t>
      </w:r>
      <w:r w:rsidRPr="00C90A68">
        <w:rPr>
          <w:rFonts w:ascii="Palatino Linotype" w:hAnsi="Palatino Linotype" w:cs="Arial"/>
          <w:sz w:val="24"/>
          <w:szCs w:val="24"/>
        </w:rPr>
        <w:t xml:space="preserve">, </w:t>
      </w:r>
      <w:r w:rsidRPr="00C90A68">
        <w:rPr>
          <w:rFonts w:ascii="Palatino Linotype" w:eastAsia="Palatino Linotype" w:hAnsi="Palatino Linotype" w:cs="Palatino Linotype"/>
          <w:color w:val="000000"/>
          <w:sz w:val="24"/>
          <w:szCs w:val="24"/>
        </w:rPr>
        <w:t>interpuesto por e</w:t>
      </w:r>
      <w:r w:rsidR="000257F1" w:rsidRPr="00C90A68">
        <w:rPr>
          <w:rFonts w:ascii="Palatino Linotype" w:eastAsia="Palatino Linotype" w:hAnsi="Palatino Linotype" w:cs="Palatino Linotype"/>
          <w:color w:val="000000"/>
          <w:sz w:val="24"/>
          <w:szCs w:val="24"/>
        </w:rPr>
        <w:t xml:space="preserve">l </w:t>
      </w:r>
      <w:r w:rsidR="000257F1" w:rsidRPr="00C90A68">
        <w:rPr>
          <w:rFonts w:ascii="Palatino Linotype" w:eastAsia="Palatino Linotype" w:hAnsi="Palatino Linotype" w:cs="Palatino Linotype"/>
          <w:b/>
          <w:bCs/>
          <w:color w:val="000000"/>
          <w:sz w:val="24"/>
          <w:szCs w:val="24"/>
        </w:rPr>
        <w:t xml:space="preserve">C. </w:t>
      </w:r>
      <w:r w:rsidR="00B11A2B" w:rsidRPr="00C90A68">
        <w:rPr>
          <w:rFonts w:ascii="Palatino Linotype" w:eastAsia="Palatino Linotype" w:hAnsi="Palatino Linotype" w:cs="Palatino Linotype"/>
          <w:b/>
          <w:bCs/>
          <w:color w:val="000000"/>
          <w:sz w:val="24"/>
          <w:szCs w:val="24"/>
        </w:rPr>
        <w:t>XXXXXXXXXXXXXXXXX</w:t>
      </w:r>
      <w:r w:rsidRPr="00C90A68">
        <w:rPr>
          <w:rFonts w:ascii="Palatino Linotype" w:hAnsi="Palatino Linotype" w:cs="Arial"/>
          <w:sz w:val="24"/>
          <w:szCs w:val="24"/>
        </w:rPr>
        <w:t xml:space="preserve">, quien en lo sucesivo y para efectos prácticos se le denominara </w:t>
      </w:r>
      <w:r w:rsidRPr="00C90A68">
        <w:rPr>
          <w:rFonts w:ascii="Palatino Linotype" w:hAnsi="Palatino Linotype" w:cs="Arial"/>
          <w:b/>
          <w:sz w:val="24"/>
          <w:szCs w:val="24"/>
        </w:rPr>
        <w:t>el Recurrente</w:t>
      </w:r>
      <w:r w:rsidRPr="00C90A68">
        <w:rPr>
          <w:rFonts w:ascii="Palatino Linotype" w:hAnsi="Palatino Linotype" w:cs="Arial"/>
          <w:sz w:val="24"/>
          <w:szCs w:val="24"/>
        </w:rPr>
        <w:t xml:space="preserve">, en contra del </w:t>
      </w:r>
      <w:r w:rsidRPr="00C90A68">
        <w:rPr>
          <w:rFonts w:ascii="Palatino Linotype" w:hAnsi="Palatino Linotype" w:cs="Arial"/>
          <w:b/>
          <w:sz w:val="24"/>
          <w:szCs w:val="24"/>
        </w:rPr>
        <w:t>Sujeto Obligado</w:t>
      </w:r>
      <w:r w:rsidRPr="00C90A68">
        <w:rPr>
          <w:rFonts w:ascii="Palatino Linotype" w:hAnsi="Palatino Linotype" w:cs="Arial"/>
          <w:sz w:val="24"/>
          <w:szCs w:val="24"/>
        </w:rPr>
        <w:t xml:space="preserve"> </w:t>
      </w:r>
      <w:r w:rsidR="001872B4" w:rsidRPr="00C90A68">
        <w:rPr>
          <w:rFonts w:ascii="Palatino Linotype" w:hAnsi="Palatino Linotype" w:cs="Arial"/>
          <w:b/>
          <w:sz w:val="24"/>
          <w:szCs w:val="24"/>
        </w:rPr>
        <w:t xml:space="preserve">Ayuntamiento de </w:t>
      </w:r>
      <w:r w:rsidR="000257F1" w:rsidRPr="00C90A68">
        <w:rPr>
          <w:rFonts w:ascii="Palatino Linotype" w:hAnsi="Palatino Linotype" w:cs="Arial"/>
          <w:b/>
          <w:sz w:val="24"/>
          <w:szCs w:val="24"/>
        </w:rPr>
        <w:t>Tultepec</w:t>
      </w:r>
      <w:r w:rsidRPr="00C90A68">
        <w:rPr>
          <w:rFonts w:ascii="Palatino Linotype" w:hAnsi="Palatino Linotype" w:cs="Arial"/>
          <w:b/>
          <w:sz w:val="24"/>
          <w:szCs w:val="24"/>
        </w:rPr>
        <w:t xml:space="preserve">, </w:t>
      </w:r>
      <w:r w:rsidRPr="00C90A68">
        <w:rPr>
          <w:rFonts w:ascii="Palatino Linotype" w:hAnsi="Palatino Linotype" w:cs="Arial"/>
          <w:sz w:val="24"/>
          <w:szCs w:val="24"/>
        </w:rPr>
        <w:t xml:space="preserve">en cumplimiento a la determinación del diverso con número </w:t>
      </w:r>
      <w:r w:rsidRPr="00C90A68">
        <w:rPr>
          <w:rFonts w:ascii="Palatino Linotype" w:hAnsi="Palatino Linotype" w:cs="Arial"/>
          <w:b/>
          <w:sz w:val="24"/>
          <w:szCs w:val="24"/>
        </w:rPr>
        <w:t>1</w:t>
      </w:r>
      <w:r w:rsidR="000257F1" w:rsidRPr="00C90A68">
        <w:rPr>
          <w:rFonts w:ascii="Palatino Linotype" w:hAnsi="Palatino Linotype" w:cs="Arial"/>
          <w:b/>
          <w:sz w:val="24"/>
          <w:szCs w:val="24"/>
        </w:rPr>
        <w:t>3775</w:t>
      </w:r>
      <w:r w:rsidRPr="00C90A68">
        <w:rPr>
          <w:rFonts w:ascii="Palatino Linotype" w:hAnsi="Palatino Linotype" w:cs="Arial"/>
          <w:b/>
          <w:sz w:val="24"/>
          <w:szCs w:val="24"/>
        </w:rPr>
        <w:t xml:space="preserve">/INFOEM/IP/RR/2022, </w:t>
      </w:r>
      <w:r w:rsidRPr="00C90A68">
        <w:rPr>
          <w:rFonts w:ascii="Palatino Linotype" w:hAnsi="Palatino Linotype" w:cs="Arial"/>
          <w:sz w:val="24"/>
          <w:szCs w:val="24"/>
        </w:rPr>
        <w:t>se procede a dictar la presente resolución.</w:t>
      </w:r>
    </w:p>
    <w:p w14:paraId="16287D8F" w14:textId="77777777" w:rsidR="00E7255E" w:rsidRPr="00C90A68" w:rsidRDefault="00E7255E" w:rsidP="000956B7">
      <w:pPr>
        <w:tabs>
          <w:tab w:val="left" w:pos="6960"/>
        </w:tabs>
        <w:spacing w:after="0" w:line="360" w:lineRule="auto"/>
        <w:jc w:val="both"/>
        <w:rPr>
          <w:rFonts w:ascii="Palatino Linotype" w:hAnsi="Palatino Linotype" w:cs="Arial"/>
          <w:sz w:val="24"/>
          <w:szCs w:val="24"/>
        </w:rPr>
      </w:pPr>
    </w:p>
    <w:p w14:paraId="2A65A76D" w14:textId="77777777" w:rsidR="00E7255E" w:rsidRPr="00C90A68" w:rsidRDefault="00E7255E" w:rsidP="000956B7">
      <w:pPr>
        <w:spacing w:after="0" w:line="360" w:lineRule="auto"/>
        <w:jc w:val="center"/>
        <w:rPr>
          <w:rFonts w:ascii="Palatino Linotype" w:hAnsi="Palatino Linotype" w:cs="Arial"/>
          <w:b/>
          <w:sz w:val="28"/>
          <w:szCs w:val="24"/>
        </w:rPr>
      </w:pPr>
      <w:r w:rsidRPr="00C90A68">
        <w:rPr>
          <w:rFonts w:ascii="Palatino Linotype" w:hAnsi="Palatino Linotype" w:cs="Arial"/>
          <w:b/>
          <w:sz w:val="28"/>
          <w:szCs w:val="24"/>
        </w:rPr>
        <w:t>A N T E C E D E N T E S</w:t>
      </w:r>
    </w:p>
    <w:p w14:paraId="18D4B739" w14:textId="77777777" w:rsidR="00E7255E" w:rsidRPr="00C90A68" w:rsidRDefault="00E7255E" w:rsidP="000956B7">
      <w:pPr>
        <w:spacing w:after="0" w:line="360" w:lineRule="auto"/>
        <w:rPr>
          <w:rFonts w:ascii="Palatino Linotype" w:hAnsi="Palatino Linotype" w:cs="Arial"/>
          <w:b/>
          <w:sz w:val="24"/>
          <w:szCs w:val="24"/>
        </w:rPr>
      </w:pPr>
    </w:p>
    <w:p w14:paraId="3385C925" w14:textId="77777777" w:rsidR="00E7255E" w:rsidRPr="00C90A68" w:rsidRDefault="00E7255E" w:rsidP="000956B7">
      <w:pPr>
        <w:spacing w:after="0" w:line="360" w:lineRule="auto"/>
        <w:jc w:val="both"/>
        <w:rPr>
          <w:rFonts w:ascii="Palatino Linotype" w:hAnsi="Palatino Linotype" w:cs="Arial"/>
          <w:b/>
          <w:sz w:val="28"/>
          <w:szCs w:val="28"/>
        </w:rPr>
      </w:pPr>
      <w:r w:rsidRPr="00C90A68">
        <w:rPr>
          <w:rFonts w:ascii="Palatino Linotype" w:hAnsi="Palatino Linotype" w:cs="Arial"/>
          <w:b/>
          <w:sz w:val="28"/>
          <w:szCs w:val="28"/>
        </w:rPr>
        <w:t>PRIMERO. De la solicitud de información.</w:t>
      </w:r>
    </w:p>
    <w:p w14:paraId="2E825633" w14:textId="466392EA" w:rsidR="001872B4" w:rsidRPr="00C90A68" w:rsidRDefault="001872B4" w:rsidP="000956B7">
      <w:pPr>
        <w:spacing w:after="0" w:line="360" w:lineRule="auto"/>
        <w:jc w:val="both"/>
        <w:rPr>
          <w:rFonts w:ascii="Palatino Linotype" w:hAnsi="Palatino Linotype" w:cs="Arial"/>
          <w:sz w:val="24"/>
          <w:szCs w:val="24"/>
        </w:rPr>
      </w:pPr>
      <w:r w:rsidRPr="00C90A68">
        <w:rPr>
          <w:rFonts w:ascii="Palatino Linotype" w:hAnsi="Palatino Linotype" w:cs="Arial"/>
          <w:sz w:val="24"/>
          <w:szCs w:val="24"/>
        </w:rPr>
        <w:t xml:space="preserve">Con fecha </w:t>
      </w:r>
      <w:r w:rsidR="000257F1" w:rsidRPr="00C90A68">
        <w:rPr>
          <w:rFonts w:ascii="Palatino Linotype" w:hAnsi="Palatino Linotype" w:cs="Arial"/>
          <w:sz w:val="24"/>
          <w:szCs w:val="24"/>
        </w:rPr>
        <w:t>once de julio</w:t>
      </w:r>
      <w:r w:rsidRPr="00C90A68">
        <w:rPr>
          <w:rFonts w:ascii="Palatino Linotype" w:hAnsi="Palatino Linotype" w:cs="Arial"/>
          <w:sz w:val="24"/>
          <w:szCs w:val="24"/>
        </w:rPr>
        <w:t xml:space="preserve"> de dos mil veintidós, </w:t>
      </w:r>
      <w:r w:rsidRPr="00C90A68">
        <w:rPr>
          <w:rFonts w:ascii="Palatino Linotype" w:hAnsi="Palatino Linotype" w:cs="Arial"/>
          <w:b/>
          <w:sz w:val="24"/>
          <w:szCs w:val="24"/>
        </w:rPr>
        <w:t>el Recurrente</w:t>
      </w:r>
      <w:r w:rsidRPr="00C90A68">
        <w:rPr>
          <w:rFonts w:ascii="Palatino Linotype" w:hAnsi="Palatino Linotype" w:cs="Arial"/>
          <w:sz w:val="24"/>
          <w:szCs w:val="24"/>
        </w:rPr>
        <w:t xml:space="preserve"> presentó a través del Sistema de Acceso a la Información Mexiquense, en lo posterior el </w:t>
      </w:r>
      <w:r w:rsidRPr="00C90A68">
        <w:rPr>
          <w:rFonts w:ascii="Palatino Linotype" w:hAnsi="Palatino Linotype" w:cs="Arial"/>
          <w:b/>
          <w:sz w:val="24"/>
          <w:szCs w:val="24"/>
        </w:rPr>
        <w:t>SAIMEX</w:t>
      </w:r>
      <w:r w:rsidRPr="00C90A68">
        <w:rPr>
          <w:rFonts w:ascii="Palatino Linotype" w:hAnsi="Palatino Linotype" w:cs="Arial"/>
          <w:sz w:val="24"/>
          <w:szCs w:val="24"/>
        </w:rPr>
        <w:t xml:space="preserve">, ante </w:t>
      </w:r>
      <w:r w:rsidRPr="00C90A68">
        <w:rPr>
          <w:rFonts w:ascii="Palatino Linotype" w:hAnsi="Palatino Linotype" w:cs="Arial"/>
          <w:b/>
          <w:sz w:val="24"/>
          <w:szCs w:val="24"/>
        </w:rPr>
        <w:t>el Sujeto Obligado</w:t>
      </w:r>
      <w:r w:rsidRPr="00C90A68">
        <w:rPr>
          <w:rFonts w:ascii="Palatino Linotype" w:hAnsi="Palatino Linotype" w:cs="Arial"/>
          <w:sz w:val="24"/>
          <w:szCs w:val="24"/>
        </w:rPr>
        <w:t>, solicitud de acceso a la información pública, registrada bajo el número de expediente</w:t>
      </w:r>
      <w:r w:rsidR="000257F1" w:rsidRPr="00C90A68">
        <w:rPr>
          <w:rFonts w:ascii="Verdana" w:hAnsi="Verdana"/>
          <w:b/>
          <w:bCs/>
          <w:color w:val="FF0000"/>
        </w:rPr>
        <w:t xml:space="preserve"> </w:t>
      </w:r>
      <w:r w:rsidR="000257F1" w:rsidRPr="00C90A68">
        <w:rPr>
          <w:rFonts w:ascii="Palatino Linotype" w:hAnsi="Palatino Linotype" w:cs="Arial"/>
          <w:b/>
          <w:bCs/>
          <w:sz w:val="24"/>
          <w:szCs w:val="24"/>
        </w:rPr>
        <w:t>00161/TULTEPEC/IP/2022</w:t>
      </w:r>
      <w:r w:rsidRPr="00C90A68">
        <w:rPr>
          <w:rFonts w:ascii="Palatino Linotype" w:hAnsi="Palatino Linotype" w:cs="Arial"/>
          <w:sz w:val="24"/>
          <w:szCs w:val="24"/>
          <w:lang w:eastAsia="es-MX"/>
        </w:rPr>
        <w:t>,</w:t>
      </w:r>
      <w:r w:rsidRPr="00C90A68">
        <w:rPr>
          <w:rFonts w:ascii="Palatino Linotype" w:hAnsi="Palatino Linotype" w:cs="Arial"/>
          <w:b/>
          <w:sz w:val="24"/>
          <w:szCs w:val="24"/>
          <w:lang w:eastAsia="es-MX"/>
        </w:rPr>
        <w:t xml:space="preserve"> </w:t>
      </w:r>
      <w:r w:rsidRPr="00C90A68">
        <w:rPr>
          <w:rFonts w:ascii="Palatino Linotype" w:hAnsi="Palatino Linotype" w:cs="Arial"/>
          <w:sz w:val="24"/>
          <w:szCs w:val="24"/>
        </w:rPr>
        <w:t>mediante la cual solicitó información en el tenor siguiente:</w:t>
      </w:r>
    </w:p>
    <w:p w14:paraId="5931C07C" w14:textId="77777777" w:rsidR="001872B4" w:rsidRPr="00C90A68" w:rsidRDefault="001872B4" w:rsidP="000956B7">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64B24CB5" w14:textId="1A6473F6" w:rsidR="001872B4" w:rsidRPr="00C90A68" w:rsidRDefault="001872B4" w:rsidP="000956B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C90A68">
        <w:rPr>
          <w:rFonts w:ascii="Palatino Linotype" w:eastAsia="Times New Roman" w:hAnsi="Palatino Linotype" w:cs="Times New Roman"/>
          <w:i/>
          <w:szCs w:val="24"/>
          <w:lang w:val="es-ES_tradnl" w:eastAsia="es-ES"/>
        </w:rPr>
        <w:t>“</w:t>
      </w:r>
      <w:r w:rsidR="000257F1" w:rsidRPr="00C90A68">
        <w:rPr>
          <w:rFonts w:ascii="Palatino Linotype" w:eastAsia="Times New Roman" w:hAnsi="Palatino Linotype" w:cs="Times New Roman"/>
          <w:i/>
          <w:szCs w:val="24"/>
          <w:lang w:eastAsia="es-ES"/>
        </w:rPr>
        <w:t xml:space="preserve">Sobre la persona de nombre Juan Manuel López Sánchez aspirante a gobernador del Edomex por su partido, pido que el área de recursos humanos, personal o la que corresponda me informe con un SI o un NO lo siguiente: ¿Esa persona de nombre Juan Manuel López Sánchez fue dado de alta como parte de los asesores de la quinta regidora que por casualidad es su hermana? (contestar con un sí o un no); ¿Esa persona de nombre Juan Manuel López Sánchez fue dado de alta por el área que administra al personal en este año 2022? (contestar </w:t>
      </w:r>
      <w:r w:rsidR="000257F1" w:rsidRPr="00C90A68">
        <w:rPr>
          <w:rFonts w:ascii="Palatino Linotype" w:eastAsia="Times New Roman" w:hAnsi="Palatino Linotype" w:cs="Times New Roman"/>
          <w:i/>
          <w:szCs w:val="24"/>
          <w:lang w:eastAsia="es-ES"/>
        </w:rPr>
        <w:lastRenderedPageBreak/>
        <w:t>con un sí o un no); ¿Esta persona de nombre Juan Manuel López Sánchez cobra actualmente en el gobierno del municipio de Tultepec? (contestar con un sí o un no). ----- En caso de que la respuesta a esta última pregunta sea un sí, entregar una copia de algún recibo de nómina o pago vía lista de raya o cualquier otra forma de pago de este año 2022------ ¿De acuerdo con el expediente de la pasada administración 2019-2021 esta persona de nombre Juan Manuel López Sánchez trabajó o formó parte de la planta laboral del gobierno local? (contestar con un sí o un no). ----En caso de que la respuesta a esta última pregunta sea un sí, entregar una copia de algún recibo de nómina o pago vía lista de raya o cualquier otra forma de pago de cualquier quincena de 2019 a 2021-----. Por último les pido no mentir, robar y no traicionar al pueblo e informar de manera verídica lo que se solicita.</w:t>
      </w:r>
      <w:r w:rsidRPr="00C90A68">
        <w:rPr>
          <w:rFonts w:ascii="Palatino Linotype" w:eastAsia="Times New Roman" w:hAnsi="Palatino Linotype" w:cs="Times New Roman"/>
          <w:i/>
          <w:szCs w:val="24"/>
          <w:lang w:val="es-ES_tradnl" w:eastAsia="es-ES"/>
        </w:rPr>
        <w:t>.”</w:t>
      </w:r>
    </w:p>
    <w:p w14:paraId="273598AB" w14:textId="77777777" w:rsidR="001872B4" w:rsidRPr="00C90A68" w:rsidRDefault="001872B4" w:rsidP="000956B7">
      <w:pPr>
        <w:spacing w:after="0" w:line="360" w:lineRule="auto"/>
        <w:jc w:val="both"/>
        <w:rPr>
          <w:rFonts w:ascii="Palatino Linotype" w:eastAsia="Times New Roman" w:hAnsi="Palatino Linotype" w:cs="Times New Roman"/>
          <w:sz w:val="24"/>
          <w:szCs w:val="24"/>
          <w:lang w:val="es-ES_tradnl" w:eastAsia="es-ES"/>
        </w:rPr>
      </w:pPr>
      <w:r w:rsidRPr="00C90A68">
        <w:rPr>
          <w:rFonts w:ascii="Palatino Linotype" w:eastAsia="Times New Roman" w:hAnsi="Palatino Linotype" w:cs="Times New Roman"/>
          <w:sz w:val="24"/>
          <w:szCs w:val="24"/>
          <w:lang w:val="es-ES_tradnl" w:eastAsia="es-ES"/>
        </w:rPr>
        <w:t xml:space="preserve">Modalidad de entrega: </w:t>
      </w:r>
      <w:r w:rsidRPr="00C90A68">
        <w:rPr>
          <w:rFonts w:ascii="Palatino Linotype" w:eastAsia="Times New Roman" w:hAnsi="Palatino Linotype" w:cs="Times New Roman"/>
          <w:b/>
          <w:i/>
          <w:sz w:val="24"/>
          <w:szCs w:val="24"/>
          <w:lang w:val="es-ES_tradnl" w:eastAsia="es-ES"/>
        </w:rPr>
        <w:t>A través del SAIMEX</w:t>
      </w:r>
    </w:p>
    <w:p w14:paraId="4E2E9496" w14:textId="77777777" w:rsidR="001872B4" w:rsidRPr="00C90A68" w:rsidRDefault="001872B4" w:rsidP="000956B7">
      <w:pPr>
        <w:spacing w:after="0" w:line="360" w:lineRule="auto"/>
        <w:jc w:val="both"/>
        <w:rPr>
          <w:rFonts w:ascii="Palatino Linotype" w:eastAsia="Times New Roman" w:hAnsi="Palatino Linotype" w:cs="Times New Roman"/>
          <w:sz w:val="24"/>
          <w:szCs w:val="24"/>
          <w:lang w:val="es-ES_tradnl" w:eastAsia="es-ES"/>
        </w:rPr>
      </w:pPr>
    </w:p>
    <w:p w14:paraId="6C072EBB" w14:textId="463FCC95" w:rsidR="00E7255E" w:rsidRPr="00C90A68" w:rsidRDefault="00E7255E" w:rsidP="000956B7">
      <w:pPr>
        <w:spacing w:after="0" w:line="360" w:lineRule="auto"/>
        <w:jc w:val="both"/>
        <w:rPr>
          <w:rFonts w:ascii="Palatino Linotype" w:hAnsi="Palatino Linotype" w:cs="Arial"/>
          <w:b/>
          <w:sz w:val="24"/>
          <w:szCs w:val="24"/>
        </w:rPr>
      </w:pPr>
      <w:r w:rsidRPr="00C90A68">
        <w:rPr>
          <w:rFonts w:ascii="Palatino Linotype" w:hAnsi="Palatino Linotype" w:cs="Arial"/>
          <w:b/>
          <w:sz w:val="28"/>
          <w:szCs w:val="24"/>
        </w:rPr>
        <w:t>SEGUNDO</w:t>
      </w:r>
      <w:r w:rsidRPr="00C90A68">
        <w:rPr>
          <w:rFonts w:ascii="Palatino Linotype" w:hAnsi="Palatino Linotype" w:cs="Arial"/>
          <w:b/>
          <w:sz w:val="24"/>
          <w:szCs w:val="24"/>
        </w:rPr>
        <w:t xml:space="preserve">. De la </w:t>
      </w:r>
      <w:r w:rsidR="008B152A" w:rsidRPr="00C90A68">
        <w:rPr>
          <w:rFonts w:ascii="Palatino Linotype" w:hAnsi="Palatino Linotype" w:cs="Arial"/>
          <w:b/>
          <w:sz w:val="24"/>
          <w:szCs w:val="24"/>
        </w:rPr>
        <w:t xml:space="preserve">Prorroga y </w:t>
      </w:r>
      <w:r w:rsidRPr="00C90A68">
        <w:rPr>
          <w:rFonts w:ascii="Palatino Linotype" w:hAnsi="Palatino Linotype" w:cs="Arial"/>
          <w:b/>
          <w:sz w:val="24"/>
          <w:szCs w:val="24"/>
        </w:rPr>
        <w:t>falta de respuesta del Sujeto Obligado.</w:t>
      </w:r>
    </w:p>
    <w:p w14:paraId="6A98BFE1" w14:textId="7FFF5D2C" w:rsidR="00E7255E" w:rsidRPr="00C90A68" w:rsidRDefault="001872B4" w:rsidP="000956B7">
      <w:pPr>
        <w:spacing w:after="0" w:line="360" w:lineRule="auto"/>
        <w:jc w:val="both"/>
        <w:rPr>
          <w:rFonts w:ascii="Palatino Linotype" w:hAnsi="Palatino Linotype" w:cs="Arial"/>
          <w:sz w:val="24"/>
          <w:szCs w:val="24"/>
        </w:rPr>
      </w:pPr>
      <w:r w:rsidRPr="00C90A68">
        <w:rPr>
          <w:rFonts w:ascii="Palatino Linotype" w:hAnsi="Palatino Linotype" w:cs="Arial"/>
          <w:sz w:val="24"/>
          <w:szCs w:val="24"/>
        </w:rPr>
        <w:t xml:space="preserve">En el expediente electrónico SAIMEX, se aprecia que el </w:t>
      </w:r>
      <w:r w:rsidRPr="00C90A68">
        <w:rPr>
          <w:rFonts w:ascii="Palatino Linotype" w:hAnsi="Palatino Linotype" w:cs="Arial"/>
          <w:b/>
          <w:sz w:val="24"/>
          <w:szCs w:val="24"/>
        </w:rPr>
        <w:t>Sujeto Obligado</w:t>
      </w:r>
      <w:r w:rsidRPr="00C90A68">
        <w:rPr>
          <w:rFonts w:ascii="Palatino Linotype" w:hAnsi="Palatino Linotype" w:cs="Arial"/>
          <w:sz w:val="24"/>
          <w:szCs w:val="24"/>
        </w:rPr>
        <w:t xml:space="preserve"> </w:t>
      </w:r>
      <w:r w:rsidR="008B152A" w:rsidRPr="00C90A68">
        <w:rPr>
          <w:rFonts w:ascii="Palatino Linotype" w:hAnsi="Palatino Linotype" w:cs="Arial"/>
          <w:sz w:val="24"/>
          <w:szCs w:val="24"/>
        </w:rPr>
        <w:t xml:space="preserve">emitió una prórroga el día 12 de agosto para atender la solicitud sin embargo se advierte que </w:t>
      </w:r>
      <w:r w:rsidRPr="00C90A68">
        <w:rPr>
          <w:rFonts w:ascii="Palatino Linotype" w:hAnsi="Palatino Linotype" w:cs="Arial"/>
          <w:sz w:val="24"/>
          <w:szCs w:val="24"/>
        </w:rPr>
        <w:t xml:space="preserve">fue omiso en dar respuesta a la solicitud de información presentada por el </w:t>
      </w:r>
      <w:r w:rsidRPr="00C90A68">
        <w:rPr>
          <w:rFonts w:ascii="Palatino Linotype" w:hAnsi="Palatino Linotype" w:cs="Arial"/>
          <w:b/>
          <w:sz w:val="24"/>
          <w:szCs w:val="24"/>
        </w:rPr>
        <w:t>Recurrente</w:t>
      </w:r>
      <w:r w:rsidRPr="00C90A68">
        <w:rPr>
          <w:rFonts w:ascii="Palatino Linotype" w:hAnsi="Palatino Linotype" w:cs="Arial"/>
          <w:sz w:val="24"/>
          <w:szCs w:val="24"/>
        </w:rPr>
        <w:t xml:space="preserve">. Derivado de lo anterior, se constituye la figura de la </w:t>
      </w:r>
      <w:r w:rsidRPr="00C90A68">
        <w:rPr>
          <w:rFonts w:ascii="Palatino Linotype" w:hAnsi="Palatino Linotype" w:cs="Arial"/>
          <w:b/>
          <w:sz w:val="24"/>
          <w:szCs w:val="24"/>
        </w:rPr>
        <w:t>NEGATIVA FICTA</w:t>
      </w:r>
      <w:r w:rsidRPr="00C90A68">
        <w:rPr>
          <w:rFonts w:ascii="Palatino Linotype" w:hAnsi="Palatino Linotype" w:cs="Arial"/>
          <w:sz w:val="24"/>
          <w:szCs w:val="24"/>
        </w:rPr>
        <w:t>, cuya esencia consiste en atribuir un efecto negativo de la autoridad administrativa frente a las instancias y solicitudes que hagan los particulares.</w:t>
      </w:r>
    </w:p>
    <w:p w14:paraId="01061600" w14:textId="77777777" w:rsidR="00E7255E" w:rsidRPr="00C90A68" w:rsidRDefault="00E7255E" w:rsidP="000956B7">
      <w:pPr>
        <w:spacing w:after="0" w:line="360" w:lineRule="auto"/>
        <w:jc w:val="both"/>
        <w:rPr>
          <w:rFonts w:ascii="Palatino Linotype" w:hAnsi="Palatino Linotype" w:cs="Arial"/>
          <w:sz w:val="24"/>
          <w:szCs w:val="24"/>
        </w:rPr>
      </w:pPr>
    </w:p>
    <w:p w14:paraId="6186A9C2" w14:textId="744232F3" w:rsidR="00E7255E" w:rsidRPr="00C90A68" w:rsidRDefault="00E7255E" w:rsidP="000956B7">
      <w:pPr>
        <w:spacing w:after="0" w:line="360" w:lineRule="auto"/>
        <w:jc w:val="both"/>
        <w:rPr>
          <w:rFonts w:ascii="Palatino Linotype" w:hAnsi="Palatino Linotype" w:cs="Arial"/>
          <w:b/>
          <w:sz w:val="26"/>
          <w:szCs w:val="26"/>
        </w:rPr>
      </w:pPr>
      <w:r w:rsidRPr="00C90A68">
        <w:rPr>
          <w:rFonts w:ascii="Palatino Linotype" w:hAnsi="Palatino Linotype" w:cs="Arial"/>
          <w:b/>
          <w:sz w:val="28"/>
          <w:szCs w:val="28"/>
        </w:rPr>
        <w:t xml:space="preserve">TERCERO. </w:t>
      </w:r>
      <w:r w:rsidRPr="00C90A68">
        <w:rPr>
          <w:rFonts w:ascii="Palatino Linotype" w:hAnsi="Palatino Linotype" w:cs="Arial"/>
          <w:b/>
          <w:sz w:val="26"/>
          <w:szCs w:val="26"/>
        </w:rPr>
        <w:t>De la interposición de</w:t>
      </w:r>
      <w:r w:rsidR="000257F1" w:rsidRPr="00C90A68">
        <w:rPr>
          <w:rFonts w:ascii="Palatino Linotype" w:hAnsi="Palatino Linotype" w:cs="Arial"/>
          <w:b/>
          <w:sz w:val="26"/>
          <w:szCs w:val="26"/>
        </w:rPr>
        <w:t>l</w:t>
      </w:r>
      <w:r w:rsidRPr="00C90A68">
        <w:rPr>
          <w:rFonts w:ascii="Palatino Linotype" w:hAnsi="Palatino Linotype" w:cs="Arial"/>
          <w:b/>
          <w:sz w:val="26"/>
          <w:szCs w:val="26"/>
        </w:rPr>
        <w:t xml:space="preserve"> recurso de revisión </w:t>
      </w:r>
    </w:p>
    <w:p w14:paraId="132BBBC4" w14:textId="77777777" w:rsidR="00643650" w:rsidRPr="00C90A68" w:rsidRDefault="00643650" w:rsidP="000956B7">
      <w:pPr>
        <w:spacing w:after="0" w:line="360" w:lineRule="auto"/>
        <w:jc w:val="both"/>
        <w:rPr>
          <w:rFonts w:ascii="Palatino Linotype" w:hAnsi="Palatino Linotype" w:cs="Arial"/>
          <w:b/>
          <w:sz w:val="28"/>
          <w:szCs w:val="28"/>
        </w:rPr>
      </w:pPr>
    </w:p>
    <w:p w14:paraId="062B5451" w14:textId="0D2D1786" w:rsidR="001872B4" w:rsidRPr="00C90A68" w:rsidRDefault="001872B4" w:rsidP="000956B7">
      <w:pPr>
        <w:spacing w:after="0" w:line="360" w:lineRule="auto"/>
        <w:jc w:val="both"/>
        <w:rPr>
          <w:rFonts w:ascii="Palatino Linotype" w:hAnsi="Palatino Linotype" w:cs="Arial"/>
          <w:sz w:val="24"/>
          <w:szCs w:val="24"/>
        </w:rPr>
      </w:pPr>
      <w:r w:rsidRPr="00C90A68">
        <w:rPr>
          <w:rFonts w:ascii="Palatino Linotype" w:hAnsi="Palatino Linotype" w:cs="Arial"/>
          <w:sz w:val="24"/>
          <w:szCs w:val="24"/>
        </w:rPr>
        <w:t xml:space="preserve">Inconforme ante la falta de respuesta por parte del </w:t>
      </w:r>
      <w:r w:rsidRPr="00C90A68">
        <w:rPr>
          <w:rFonts w:ascii="Palatino Linotype" w:hAnsi="Palatino Linotype" w:cs="Arial"/>
          <w:b/>
          <w:sz w:val="24"/>
          <w:szCs w:val="24"/>
        </w:rPr>
        <w:t>Sujeto Obligado</w:t>
      </w:r>
      <w:r w:rsidRPr="00C90A68">
        <w:rPr>
          <w:rFonts w:ascii="Palatino Linotype" w:hAnsi="Palatino Linotype" w:cs="Arial"/>
          <w:sz w:val="24"/>
          <w:szCs w:val="24"/>
        </w:rPr>
        <w:t xml:space="preserve">, el ahora </w:t>
      </w:r>
      <w:r w:rsidRPr="00C90A68">
        <w:rPr>
          <w:rFonts w:ascii="Palatino Linotype" w:hAnsi="Palatino Linotype" w:cs="Arial"/>
          <w:b/>
          <w:sz w:val="24"/>
          <w:szCs w:val="24"/>
        </w:rPr>
        <w:t>Recurrente</w:t>
      </w:r>
      <w:r w:rsidRPr="00C90A68">
        <w:rPr>
          <w:rFonts w:ascii="Palatino Linotype" w:hAnsi="Palatino Linotype" w:cs="Arial"/>
          <w:sz w:val="24"/>
          <w:szCs w:val="24"/>
        </w:rPr>
        <w:t xml:space="preserve"> en fecha </w:t>
      </w:r>
      <w:r w:rsidR="000257F1" w:rsidRPr="00C90A68">
        <w:rPr>
          <w:rFonts w:ascii="Palatino Linotype" w:hAnsi="Palatino Linotype" w:cs="Arial"/>
          <w:sz w:val="24"/>
          <w:szCs w:val="24"/>
        </w:rPr>
        <w:t>veinticinco de agosto</w:t>
      </w:r>
      <w:r w:rsidRPr="00C90A68">
        <w:rPr>
          <w:rFonts w:ascii="Palatino Linotype" w:hAnsi="Palatino Linotype" w:cs="Arial"/>
          <w:sz w:val="24"/>
          <w:szCs w:val="24"/>
        </w:rPr>
        <w:t xml:space="preserve"> de dos mil veintidós, interpuso recurso de revisión, que fue registrado</w:t>
      </w:r>
      <w:r w:rsidRPr="00C90A68">
        <w:rPr>
          <w:rFonts w:ascii="Palatino Linotype" w:hAnsi="Palatino Linotype" w:cs="Arial"/>
          <w:b/>
          <w:sz w:val="24"/>
          <w:szCs w:val="24"/>
        </w:rPr>
        <w:t xml:space="preserve"> </w:t>
      </w:r>
      <w:r w:rsidRPr="00C90A68">
        <w:rPr>
          <w:rFonts w:ascii="Palatino Linotype" w:hAnsi="Palatino Linotype" w:cs="Arial"/>
          <w:sz w:val="24"/>
          <w:szCs w:val="24"/>
        </w:rPr>
        <w:t xml:space="preserve">en el sistema electrónico con número de expediente </w:t>
      </w:r>
      <w:r w:rsidRPr="00C90A68">
        <w:rPr>
          <w:rFonts w:ascii="Palatino Linotype" w:hAnsi="Palatino Linotype" w:cs="Arial"/>
          <w:b/>
          <w:bCs/>
          <w:sz w:val="24"/>
          <w:szCs w:val="24"/>
          <w:lang w:eastAsia="es-MX"/>
        </w:rPr>
        <w:t>1</w:t>
      </w:r>
      <w:r w:rsidR="000257F1" w:rsidRPr="00C90A68">
        <w:rPr>
          <w:rFonts w:ascii="Palatino Linotype" w:hAnsi="Palatino Linotype" w:cs="Arial"/>
          <w:b/>
          <w:bCs/>
          <w:sz w:val="24"/>
          <w:szCs w:val="24"/>
          <w:lang w:eastAsia="es-MX"/>
        </w:rPr>
        <w:t>3775</w:t>
      </w:r>
      <w:r w:rsidRPr="00C90A68">
        <w:rPr>
          <w:rFonts w:ascii="Palatino Linotype" w:hAnsi="Palatino Linotype" w:cs="Arial"/>
          <w:b/>
          <w:bCs/>
          <w:sz w:val="24"/>
          <w:szCs w:val="24"/>
          <w:lang w:eastAsia="es-MX"/>
        </w:rPr>
        <w:t>/INFOEM/IP/RR/2022</w:t>
      </w:r>
      <w:r w:rsidRPr="00C90A68">
        <w:rPr>
          <w:rFonts w:ascii="Palatino Linotype" w:hAnsi="Palatino Linotype" w:cs="Arial"/>
          <w:sz w:val="24"/>
          <w:szCs w:val="24"/>
        </w:rPr>
        <w:t>, aduciendo como acto impugnado y razones o motivos de inconformidad, los siguientes:</w:t>
      </w:r>
    </w:p>
    <w:p w14:paraId="474E6863" w14:textId="77777777" w:rsidR="001872B4" w:rsidRPr="00C90A68" w:rsidRDefault="001872B4" w:rsidP="000956B7">
      <w:pPr>
        <w:spacing w:after="0" w:line="360" w:lineRule="auto"/>
        <w:jc w:val="both"/>
        <w:rPr>
          <w:rFonts w:ascii="Palatino Linotype" w:hAnsi="Palatino Linotype" w:cs="Arial"/>
          <w:b/>
          <w:sz w:val="24"/>
          <w:szCs w:val="24"/>
        </w:rPr>
      </w:pPr>
    </w:p>
    <w:p w14:paraId="613396C4" w14:textId="77777777" w:rsidR="00643650" w:rsidRPr="00C90A68" w:rsidRDefault="00643650" w:rsidP="000956B7">
      <w:pPr>
        <w:spacing w:after="0" w:line="360" w:lineRule="auto"/>
        <w:jc w:val="both"/>
        <w:rPr>
          <w:rFonts w:ascii="Palatino Linotype" w:hAnsi="Palatino Linotype" w:cs="Arial"/>
          <w:b/>
          <w:sz w:val="24"/>
          <w:szCs w:val="24"/>
        </w:rPr>
      </w:pPr>
    </w:p>
    <w:p w14:paraId="26078A50" w14:textId="77777777" w:rsidR="001872B4" w:rsidRPr="00C90A68" w:rsidRDefault="001872B4" w:rsidP="000956B7">
      <w:pPr>
        <w:spacing w:after="0" w:line="360" w:lineRule="auto"/>
        <w:jc w:val="both"/>
        <w:rPr>
          <w:rFonts w:ascii="Palatino Linotype" w:eastAsia="Times New Roman" w:hAnsi="Palatino Linotype" w:cs="Arial"/>
          <w:b/>
          <w:sz w:val="24"/>
          <w:szCs w:val="24"/>
          <w:lang w:val="es-ES" w:eastAsia="es-ES"/>
        </w:rPr>
      </w:pPr>
      <w:r w:rsidRPr="00C90A68">
        <w:rPr>
          <w:rFonts w:ascii="Palatino Linotype" w:eastAsia="Times New Roman" w:hAnsi="Palatino Linotype" w:cs="Arial"/>
          <w:b/>
          <w:sz w:val="24"/>
          <w:szCs w:val="24"/>
          <w:lang w:val="es-ES" w:eastAsia="es-ES"/>
        </w:rPr>
        <w:t>Acto Impugnado:</w:t>
      </w:r>
    </w:p>
    <w:p w14:paraId="0A51EB91" w14:textId="77777777" w:rsidR="001872B4" w:rsidRPr="00C90A68" w:rsidRDefault="001872B4" w:rsidP="000956B7">
      <w:pPr>
        <w:spacing w:after="0" w:line="360" w:lineRule="auto"/>
        <w:jc w:val="both"/>
        <w:rPr>
          <w:rFonts w:ascii="Palatino Linotype" w:eastAsia="Times New Roman" w:hAnsi="Palatino Linotype" w:cs="Arial"/>
          <w:b/>
          <w:sz w:val="24"/>
          <w:szCs w:val="24"/>
          <w:lang w:val="es-ES" w:eastAsia="es-ES"/>
        </w:rPr>
      </w:pPr>
    </w:p>
    <w:p w14:paraId="03C6DE9D" w14:textId="0EAAB49C" w:rsidR="001872B4" w:rsidRPr="00C90A68" w:rsidRDefault="001872B4" w:rsidP="000956B7">
      <w:pPr>
        <w:spacing w:after="0" w:line="240" w:lineRule="auto"/>
        <w:ind w:left="567" w:right="567"/>
        <w:jc w:val="both"/>
        <w:rPr>
          <w:rFonts w:ascii="Palatino Linotype" w:hAnsi="Palatino Linotype"/>
          <w:i/>
          <w:color w:val="000000"/>
        </w:rPr>
      </w:pPr>
      <w:r w:rsidRPr="00C90A68">
        <w:rPr>
          <w:rFonts w:ascii="Palatino Linotype" w:hAnsi="Palatino Linotype" w:cs="Arial"/>
          <w:i/>
        </w:rPr>
        <w:t>“</w:t>
      </w:r>
      <w:r w:rsidR="000257F1" w:rsidRPr="00C90A68">
        <w:rPr>
          <w:rFonts w:ascii="Palatino Linotype" w:hAnsi="Palatino Linotype" w:cs="Arial"/>
          <w:i/>
        </w:rPr>
        <w:t>La falta de respuesta a la solicitud de información.</w:t>
      </w:r>
      <w:r w:rsidRPr="00C90A68">
        <w:rPr>
          <w:rFonts w:ascii="Palatino Linotype" w:hAnsi="Palatino Linotype"/>
          <w:i/>
          <w:color w:val="000000"/>
        </w:rPr>
        <w:t>” (sic)</w:t>
      </w:r>
    </w:p>
    <w:p w14:paraId="7F56E4B4" w14:textId="77777777" w:rsidR="001872B4" w:rsidRPr="00C90A68" w:rsidRDefault="001872B4" w:rsidP="000956B7">
      <w:pPr>
        <w:spacing w:after="0" w:line="360" w:lineRule="auto"/>
        <w:jc w:val="both"/>
        <w:rPr>
          <w:rFonts w:ascii="Palatino Linotype" w:hAnsi="Palatino Linotype" w:cs="Arial"/>
          <w:sz w:val="24"/>
          <w:szCs w:val="24"/>
        </w:rPr>
      </w:pPr>
    </w:p>
    <w:p w14:paraId="4390CC05" w14:textId="77777777" w:rsidR="001872B4" w:rsidRPr="00C90A68" w:rsidRDefault="001872B4" w:rsidP="000956B7">
      <w:pPr>
        <w:spacing w:after="0" w:line="360" w:lineRule="auto"/>
        <w:jc w:val="both"/>
        <w:rPr>
          <w:rFonts w:ascii="Palatino Linotype" w:hAnsi="Palatino Linotype" w:cs="Arial"/>
          <w:sz w:val="28"/>
          <w:szCs w:val="24"/>
        </w:rPr>
      </w:pPr>
      <w:r w:rsidRPr="00C90A68">
        <w:rPr>
          <w:rFonts w:ascii="Palatino Linotype" w:hAnsi="Palatino Linotype" w:cs="Arial"/>
          <w:b/>
          <w:sz w:val="24"/>
        </w:rPr>
        <w:t>Razones o motivos de inconformidad:</w:t>
      </w:r>
    </w:p>
    <w:p w14:paraId="24EFB4C2" w14:textId="77777777" w:rsidR="001872B4" w:rsidRPr="00C90A68" w:rsidRDefault="001872B4" w:rsidP="000956B7">
      <w:pPr>
        <w:spacing w:after="0" w:line="360" w:lineRule="auto"/>
        <w:jc w:val="both"/>
        <w:rPr>
          <w:rFonts w:ascii="Palatino Linotype" w:hAnsi="Palatino Linotype" w:cs="Arial"/>
          <w:sz w:val="24"/>
          <w:szCs w:val="24"/>
        </w:rPr>
      </w:pPr>
    </w:p>
    <w:p w14:paraId="1AF64142" w14:textId="5ADA6BD0" w:rsidR="001872B4" w:rsidRPr="00C90A68" w:rsidRDefault="001872B4" w:rsidP="000956B7">
      <w:pPr>
        <w:spacing w:after="0" w:line="240" w:lineRule="auto"/>
        <w:ind w:left="567" w:right="567"/>
        <w:jc w:val="both"/>
        <w:rPr>
          <w:rFonts w:ascii="Palatino Linotype" w:hAnsi="Palatino Linotype" w:cs="Arial"/>
          <w:i/>
          <w:szCs w:val="24"/>
        </w:rPr>
      </w:pPr>
      <w:r w:rsidRPr="00C90A68">
        <w:rPr>
          <w:rFonts w:ascii="Palatino Linotype" w:hAnsi="Palatino Linotype" w:cs="Arial"/>
          <w:i/>
          <w:szCs w:val="24"/>
        </w:rPr>
        <w:t>“</w:t>
      </w:r>
      <w:r w:rsidR="000257F1" w:rsidRPr="00C90A68">
        <w:rPr>
          <w:rFonts w:ascii="Palatino Linotype" w:hAnsi="Palatino Linotype" w:cs="Arial"/>
          <w:i/>
          <w:szCs w:val="24"/>
        </w:rPr>
        <w:t>No se ha entregado la información a pesar de que ya concluyó el plazo de prórroga autorizada para la entrega.</w:t>
      </w:r>
      <w:r w:rsidRPr="00C90A68">
        <w:rPr>
          <w:rFonts w:ascii="Palatino Linotype" w:hAnsi="Palatino Linotype" w:cs="Arial"/>
          <w:i/>
          <w:szCs w:val="24"/>
        </w:rPr>
        <w:t>”</w:t>
      </w:r>
      <w:r w:rsidR="000257F1" w:rsidRPr="00C90A68">
        <w:rPr>
          <w:rFonts w:ascii="Palatino Linotype" w:hAnsi="Palatino Linotype" w:cs="Arial"/>
          <w:i/>
          <w:szCs w:val="24"/>
        </w:rPr>
        <w:t xml:space="preserve"> (Sic)</w:t>
      </w:r>
    </w:p>
    <w:p w14:paraId="74323F17" w14:textId="77777777" w:rsidR="001872B4" w:rsidRPr="00C90A68" w:rsidRDefault="001872B4" w:rsidP="000956B7">
      <w:pPr>
        <w:spacing w:after="0" w:line="360" w:lineRule="auto"/>
        <w:ind w:right="49"/>
        <w:jc w:val="both"/>
        <w:rPr>
          <w:rFonts w:ascii="Palatino Linotype" w:eastAsia="Times New Roman" w:hAnsi="Palatino Linotype" w:cs="Arial"/>
          <w:sz w:val="24"/>
          <w:lang w:eastAsia="es-ES"/>
        </w:rPr>
      </w:pPr>
    </w:p>
    <w:p w14:paraId="46AB4573" w14:textId="676381FC" w:rsidR="00E7255E" w:rsidRPr="00C90A68" w:rsidRDefault="00E7255E" w:rsidP="000956B7">
      <w:pPr>
        <w:spacing w:after="0" w:line="360" w:lineRule="auto"/>
        <w:ind w:right="49"/>
        <w:jc w:val="both"/>
        <w:rPr>
          <w:rFonts w:ascii="Palatino Linotype" w:eastAsia="Times New Roman" w:hAnsi="Palatino Linotype" w:cs="Arial"/>
          <w:b/>
          <w:sz w:val="28"/>
          <w:lang w:eastAsia="es-ES"/>
        </w:rPr>
      </w:pPr>
      <w:r w:rsidRPr="00C90A68">
        <w:rPr>
          <w:rFonts w:ascii="Palatino Linotype" w:eastAsia="Times New Roman" w:hAnsi="Palatino Linotype" w:cs="Arial"/>
          <w:b/>
          <w:sz w:val="28"/>
          <w:lang w:eastAsia="es-ES"/>
        </w:rPr>
        <w:t xml:space="preserve">CUARTO. </w:t>
      </w:r>
      <w:r w:rsidRPr="00C90A68">
        <w:rPr>
          <w:rFonts w:ascii="Palatino Linotype" w:eastAsia="Times New Roman" w:hAnsi="Palatino Linotype" w:cs="Arial"/>
          <w:b/>
          <w:sz w:val="26"/>
          <w:szCs w:val="26"/>
          <w:lang w:eastAsia="es-ES"/>
        </w:rPr>
        <w:t xml:space="preserve">Del trámite y sustanciación del recurso de revisión </w:t>
      </w:r>
      <w:r w:rsidR="000257F1" w:rsidRPr="00C90A68">
        <w:rPr>
          <w:rFonts w:ascii="Palatino Linotype" w:eastAsia="Times New Roman" w:hAnsi="Palatino Linotype" w:cs="Arial"/>
          <w:b/>
          <w:sz w:val="26"/>
          <w:szCs w:val="26"/>
          <w:lang w:eastAsia="es-ES"/>
        </w:rPr>
        <w:t>13775</w:t>
      </w:r>
      <w:r w:rsidRPr="00C90A68">
        <w:rPr>
          <w:rFonts w:ascii="Palatino Linotype" w:eastAsia="Times New Roman" w:hAnsi="Palatino Linotype" w:cs="Arial"/>
          <w:b/>
          <w:sz w:val="26"/>
          <w:szCs w:val="26"/>
          <w:lang w:eastAsia="es-ES"/>
        </w:rPr>
        <w:t>/INFOEM/IP/RR/2022.</w:t>
      </w:r>
    </w:p>
    <w:p w14:paraId="33941C6D" w14:textId="77777777" w:rsidR="00E7255E" w:rsidRPr="00C90A68" w:rsidRDefault="00E7255E" w:rsidP="000956B7">
      <w:pPr>
        <w:spacing w:after="0" w:line="360" w:lineRule="auto"/>
        <w:ind w:right="49"/>
        <w:jc w:val="both"/>
        <w:rPr>
          <w:rFonts w:ascii="Palatino Linotype" w:eastAsia="Times New Roman" w:hAnsi="Palatino Linotype" w:cs="Arial"/>
          <w:sz w:val="24"/>
          <w:szCs w:val="24"/>
          <w:lang w:val="es-ES" w:eastAsia="es-ES"/>
        </w:rPr>
      </w:pPr>
    </w:p>
    <w:p w14:paraId="54135EA8" w14:textId="77777777" w:rsidR="00E7255E" w:rsidRPr="00C90A68" w:rsidRDefault="00E7255E" w:rsidP="000956B7">
      <w:pPr>
        <w:numPr>
          <w:ilvl w:val="0"/>
          <w:numId w:val="2"/>
        </w:numPr>
        <w:spacing w:after="0" w:line="360" w:lineRule="auto"/>
        <w:ind w:right="49"/>
        <w:contextualSpacing/>
        <w:jc w:val="both"/>
        <w:rPr>
          <w:rFonts w:ascii="Palatino Linotype" w:eastAsia="Times New Roman" w:hAnsi="Palatino Linotype" w:cs="Arial"/>
          <w:sz w:val="26"/>
          <w:szCs w:val="26"/>
          <w:lang w:val="es-ES" w:eastAsia="es-ES"/>
        </w:rPr>
      </w:pPr>
      <w:r w:rsidRPr="00C90A68">
        <w:rPr>
          <w:rFonts w:ascii="Palatino Linotype" w:eastAsia="Times New Roman" w:hAnsi="Palatino Linotype" w:cs="Arial"/>
          <w:b/>
          <w:sz w:val="26"/>
          <w:szCs w:val="26"/>
          <w:lang w:val="es-ES" w:eastAsia="es-ES"/>
        </w:rPr>
        <w:t>Turno del recurso de revisión.</w:t>
      </w:r>
    </w:p>
    <w:p w14:paraId="062343CD" w14:textId="0642E175" w:rsidR="00E7255E" w:rsidRPr="00C90A68" w:rsidRDefault="001872B4" w:rsidP="000956B7">
      <w:pPr>
        <w:spacing w:after="0" w:line="360" w:lineRule="auto"/>
        <w:ind w:right="49"/>
        <w:jc w:val="both"/>
        <w:rPr>
          <w:rFonts w:ascii="Palatino Linotype" w:eastAsia="Times New Roman" w:hAnsi="Palatino Linotype" w:cs="Arial"/>
          <w:sz w:val="24"/>
          <w:szCs w:val="24"/>
          <w:lang w:val="es-ES_tradnl" w:eastAsia="es-ES"/>
        </w:rPr>
      </w:pPr>
      <w:r w:rsidRPr="00C90A68">
        <w:rPr>
          <w:rFonts w:ascii="Palatino Linotype" w:eastAsia="Times New Roman" w:hAnsi="Palatino Linotype" w:cs="Arial"/>
          <w:sz w:val="24"/>
          <w:szCs w:val="24"/>
          <w:lang w:val="es-ES" w:eastAsia="es-ES"/>
        </w:rPr>
        <w:t xml:space="preserve">En fecha </w:t>
      </w:r>
      <w:r w:rsidR="000257F1" w:rsidRPr="00C90A68">
        <w:rPr>
          <w:rFonts w:ascii="Palatino Linotype" w:hAnsi="Palatino Linotype" w:cs="Arial"/>
          <w:sz w:val="24"/>
          <w:szCs w:val="24"/>
        </w:rPr>
        <w:t>veinticinco de agosto</w:t>
      </w:r>
      <w:r w:rsidRPr="00C90A68">
        <w:rPr>
          <w:rFonts w:ascii="Palatino Linotype" w:hAnsi="Palatino Linotype" w:cs="Arial"/>
          <w:sz w:val="24"/>
          <w:szCs w:val="24"/>
        </w:rPr>
        <w:t xml:space="preserve"> de dos mil veintidós</w:t>
      </w:r>
      <w:r w:rsidRPr="00C90A68">
        <w:rPr>
          <w:rFonts w:ascii="Palatino Linotype" w:eastAsia="Times New Roman" w:hAnsi="Palatino Linotype" w:cs="Arial"/>
          <w:sz w:val="24"/>
          <w:szCs w:val="24"/>
          <w:lang w:val="es-ES" w:eastAsia="es-ES"/>
        </w:rPr>
        <w:t xml:space="preserve">, el </w:t>
      </w:r>
      <w:r w:rsidRPr="00C90A68">
        <w:rPr>
          <w:rFonts w:ascii="Palatino Linotype" w:eastAsia="Times New Roman" w:hAnsi="Palatino Linotype" w:cs="Arial"/>
          <w:sz w:val="24"/>
          <w:szCs w:val="24"/>
          <w:lang w:val="es-ES_tradnl" w:eastAsia="es-ES"/>
        </w:rPr>
        <w:t>recurso de que</w:t>
      </w:r>
      <w:r w:rsidRPr="00C90A68">
        <w:rPr>
          <w:rFonts w:ascii="Palatino Linotype" w:eastAsia="Times New Roman" w:hAnsi="Palatino Linotype" w:cs="Arial"/>
          <w:sz w:val="24"/>
          <w:szCs w:val="24"/>
          <w:lang w:val="es-ES" w:eastAsia="es-ES"/>
        </w:rPr>
        <w:t xml:space="preserve"> se trata</w:t>
      </w:r>
      <w:r w:rsidRPr="00C90A68">
        <w:rPr>
          <w:rFonts w:ascii="Palatino Linotype" w:eastAsia="Times New Roman" w:hAnsi="Palatino Linotype" w:cs="Arial"/>
          <w:sz w:val="24"/>
          <w:szCs w:val="24"/>
          <w:lang w:val="es-ES_tradnl" w:eastAsia="es-ES"/>
        </w:rPr>
        <w:t xml:space="preserve"> se envió electrónicamente al Instituto de </w:t>
      </w:r>
      <w:r w:rsidRPr="00C90A68">
        <w:rPr>
          <w:rFonts w:ascii="Palatino Linotype" w:eastAsia="Arial Unicode MS" w:hAnsi="Palatino Linotype" w:cs="Arial"/>
          <w:sz w:val="24"/>
          <w:szCs w:val="24"/>
          <w:lang w:val="es-ES" w:eastAsia="es-ES"/>
        </w:rPr>
        <w:t>Transparencia</w:t>
      </w:r>
      <w:r w:rsidRPr="00C90A6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C90A68">
        <w:rPr>
          <w:rFonts w:ascii="Palatino Linotype" w:eastAsia="Times New Roman" w:hAnsi="Palatino Linotype" w:cs="Times New Roman"/>
          <w:sz w:val="24"/>
          <w:szCs w:val="24"/>
          <w:lang w:val="es-ES" w:eastAsia="es-ES"/>
        </w:rPr>
        <w:t>Ley de Transparencia y Acceso a la Información Pública del Estado de México y Municipios</w:t>
      </w:r>
      <w:r w:rsidRPr="00C90A68">
        <w:rPr>
          <w:rFonts w:ascii="Palatino Linotype" w:eastAsia="Times New Roman" w:hAnsi="Palatino Linotype" w:cs="Arial"/>
          <w:sz w:val="24"/>
          <w:szCs w:val="24"/>
          <w:lang w:val="es-ES_tradnl" w:eastAsia="es-ES"/>
        </w:rPr>
        <w:t>, se turnó a través del</w:t>
      </w:r>
      <w:r w:rsidRPr="00C90A68">
        <w:rPr>
          <w:rFonts w:ascii="Palatino Linotype" w:eastAsia="Arial Unicode MS" w:hAnsi="Palatino Linotype" w:cs="Arial"/>
          <w:sz w:val="24"/>
          <w:szCs w:val="24"/>
          <w:lang w:val="es-ES_tradnl" w:eastAsia="es-ES"/>
        </w:rPr>
        <w:t xml:space="preserve"> </w:t>
      </w:r>
      <w:r w:rsidRPr="00C90A68">
        <w:rPr>
          <w:rFonts w:ascii="Palatino Linotype" w:eastAsia="Arial Unicode MS" w:hAnsi="Palatino Linotype" w:cs="Arial"/>
          <w:b/>
          <w:sz w:val="24"/>
          <w:szCs w:val="24"/>
          <w:lang w:val="es-ES_tradnl" w:eastAsia="es-ES"/>
        </w:rPr>
        <w:t>SAIMEX</w:t>
      </w:r>
      <w:r w:rsidRPr="00C90A68">
        <w:rPr>
          <w:rFonts w:ascii="Palatino Linotype" w:eastAsia="Times New Roman" w:hAnsi="Palatino Linotype" w:cs="Times New Roman"/>
          <w:sz w:val="24"/>
          <w:szCs w:val="24"/>
          <w:lang w:val="es-ES" w:eastAsia="es-ES"/>
        </w:rPr>
        <w:t xml:space="preserve"> al </w:t>
      </w:r>
      <w:r w:rsidRPr="00C90A68">
        <w:rPr>
          <w:rFonts w:ascii="Palatino Linotype" w:eastAsia="Times New Roman" w:hAnsi="Palatino Linotype" w:cs="Arial"/>
          <w:sz w:val="24"/>
          <w:szCs w:val="24"/>
          <w:lang w:val="es-ES_tradnl" w:eastAsia="es-ES"/>
        </w:rPr>
        <w:t xml:space="preserve">Comisionado Presidente </w:t>
      </w:r>
      <w:r w:rsidRPr="00C90A68">
        <w:rPr>
          <w:rFonts w:ascii="Palatino Linotype" w:eastAsia="Times New Roman" w:hAnsi="Palatino Linotype" w:cs="Arial"/>
          <w:b/>
          <w:sz w:val="24"/>
          <w:szCs w:val="24"/>
          <w:lang w:val="es-ES_tradnl" w:eastAsia="es-ES"/>
        </w:rPr>
        <w:t xml:space="preserve">JOSÉ MARTÍNEZ VILCHIS, </w:t>
      </w:r>
      <w:r w:rsidRPr="00C90A68">
        <w:rPr>
          <w:rFonts w:ascii="Palatino Linotype" w:eastAsia="Times New Roman" w:hAnsi="Palatino Linotype" w:cs="Arial"/>
          <w:sz w:val="24"/>
          <w:szCs w:val="24"/>
          <w:lang w:val="es-ES_tradnl" w:eastAsia="es-ES"/>
        </w:rPr>
        <w:t>a efecto de que decretara su admisión o desechamiento.</w:t>
      </w:r>
    </w:p>
    <w:p w14:paraId="11ECD11D" w14:textId="77777777" w:rsidR="00E7255E" w:rsidRPr="00C90A68" w:rsidRDefault="00E7255E" w:rsidP="000956B7">
      <w:pPr>
        <w:spacing w:after="0" w:line="360" w:lineRule="auto"/>
        <w:ind w:right="49"/>
        <w:jc w:val="both"/>
        <w:rPr>
          <w:rFonts w:ascii="Palatino Linotype" w:eastAsia="Times New Roman" w:hAnsi="Palatino Linotype" w:cs="Arial"/>
          <w:sz w:val="24"/>
          <w:szCs w:val="24"/>
          <w:lang w:val="es-ES_tradnl" w:eastAsia="es-ES"/>
        </w:rPr>
      </w:pPr>
    </w:p>
    <w:p w14:paraId="451EFD82" w14:textId="500A34DD" w:rsidR="00E7255E" w:rsidRPr="00C90A68" w:rsidRDefault="00E7255E" w:rsidP="000956B7">
      <w:pPr>
        <w:numPr>
          <w:ilvl w:val="0"/>
          <w:numId w:val="2"/>
        </w:numPr>
        <w:spacing w:after="0" w:line="360" w:lineRule="auto"/>
        <w:ind w:right="49"/>
        <w:contextualSpacing/>
        <w:jc w:val="both"/>
        <w:rPr>
          <w:rFonts w:ascii="Palatino Linotype" w:eastAsia="Times New Roman" w:hAnsi="Palatino Linotype" w:cs="Arial"/>
          <w:b/>
          <w:sz w:val="26"/>
          <w:szCs w:val="26"/>
          <w:lang w:val="es-ES_tradnl" w:eastAsia="es-ES"/>
        </w:rPr>
      </w:pPr>
      <w:r w:rsidRPr="00C90A68">
        <w:rPr>
          <w:rFonts w:ascii="Palatino Linotype" w:eastAsia="Times New Roman" w:hAnsi="Palatino Linotype" w:cs="Arial"/>
          <w:b/>
          <w:sz w:val="26"/>
          <w:szCs w:val="26"/>
          <w:lang w:val="es-ES_tradnl" w:eastAsia="es-ES"/>
        </w:rPr>
        <w:t>De la admisión de</w:t>
      </w:r>
      <w:r w:rsidR="003931DA" w:rsidRPr="00C90A68">
        <w:rPr>
          <w:rFonts w:ascii="Palatino Linotype" w:eastAsia="Times New Roman" w:hAnsi="Palatino Linotype" w:cs="Arial"/>
          <w:b/>
          <w:sz w:val="26"/>
          <w:szCs w:val="26"/>
          <w:lang w:val="es-ES_tradnl" w:eastAsia="es-ES"/>
        </w:rPr>
        <w:t>l</w:t>
      </w:r>
      <w:r w:rsidRPr="00C90A68">
        <w:rPr>
          <w:rFonts w:ascii="Palatino Linotype" w:eastAsia="Times New Roman" w:hAnsi="Palatino Linotype" w:cs="Arial"/>
          <w:b/>
          <w:sz w:val="26"/>
          <w:szCs w:val="26"/>
          <w:lang w:val="es-ES_tradnl" w:eastAsia="es-ES"/>
        </w:rPr>
        <w:t xml:space="preserve">  Recurso de revisión</w:t>
      </w:r>
    </w:p>
    <w:p w14:paraId="50F03200" w14:textId="27207AE4" w:rsidR="00E7255E" w:rsidRPr="00C90A68" w:rsidRDefault="001872B4" w:rsidP="000956B7">
      <w:pPr>
        <w:spacing w:after="0" w:line="360" w:lineRule="auto"/>
        <w:ind w:right="49"/>
        <w:jc w:val="both"/>
        <w:rPr>
          <w:rFonts w:ascii="Palatino Linotype" w:eastAsia="Times New Roman" w:hAnsi="Palatino Linotype" w:cs="Arial"/>
          <w:sz w:val="24"/>
          <w:szCs w:val="24"/>
          <w:lang w:val="es-ES_tradnl" w:eastAsia="es-ES"/>
        </w:rPr>
      </w:pPr>
      <w:r w:rsidRPr="00C90A68">
        <w:rPr>
          <w:rFonts w:ascii="Palatino Linotype" w:eastAsia="Times New Roman" w:hAnsi="Palatino Linotype" w:cs="Arial"/>
          <w:sz w:val="24"/>
          <w:szCs w:val="24"/>
          <w:lang w:val="es-ES_tradnl" w:eastAsia="es-ES"/>
        </w:rPr>
        <w:t>E</w:t>
      </w:r>
      <w:r w:rsidRPr="00C90A68">
        <w:rPr>
          <w:rFonts w:ascii="Palatino Linotype" w:eastAsia="Times New Roman" w:hAnsi="Palatino Linotype" w:cs="Arial"/>
          <w:sz w:val="24"/>
          <w:szCs w:val="24"/>
          <w:lang w:val="es-ES" w:eastAsia="es-ES"/>
        </w:rPr>
        <w:t xml:space="preserve">n fecha </w:t>
      </w:r>
      <w:r w:rsidR="000257F1" w:rsidRPr="00C90A68">
        <w:rPr>
          <w:rFonts w:ascii="Palatino Linotype" w:hAnsi="Palatino Linotype" w:cs="Arial"/>
          <w:sz w:val="24"/>
          <w:szCs w:val="24"/>
        </w:rPr>
        <w:t>treinta y uno de agosto</w:t>
      </w:r>
      <w:r w:rsidRPr="00C90A68">
        <w:rPr>
          <w:rFonts w:ascii="Palatino Linotype" w:hAnsi="Palatino Linotype" w:cs="Arial"/>
          <w:sz w:val="24"/>
          <w:szCs w:val="24"/>
        </w:rPr>
        <w:t xml:space="preserve"> de dos mil veintidós</w:t>
      </w:r>
      <w:r w:rsidRPr="00C90A68">
        <w:rPr>
          <w:rFonts w:ascii="Palatino Linotype" w:eastAsia="Times New Roman" w:hAnsi="Palatino Linotype" w:cs="Arial"/>
          <w:sz w:val="24"/>
          <w:szCs w:val="24"/>
          <w:lang w:val="es-ES" w:eastAsia="es-ES"/>
        </w:rPr>
        <w:t xml:space="preserve">, atento a lo dispuesto en el </w:t>
      </w:r>
      <w:r w:rsidRPr="00C90A68">
        <w:rPr>
          <w:rFonts w:ascii="Palatino Linotype" w:eastAsia="Times New Roman" w:hAnsi="Palatino Linotype" w:cs="Arial"/>
          <w:sz w:val="24"/>
          <w:szCs w:val="24"/>
          <w:lang w:val="es-ES_tradnl" w:eastAsia="es-ES"/>
        </w:rPr>
        <w:t>artículo</w:t>
      </w:r>
      <w:r w:rsidRPr="00C90A68">
        <w:rPr>
          <w:rFonts w:ascii="Palatino Linotype" w:eastAsia="Times New Roman" w:hAnsi="Palatino Linotype" w:cs="Arial"/>
          <w:sz w:val="24"/>
          <w:szCs w:val="24"/>
          <w:lang w:val="es-ES" w:eastAsia="es-ES"/>
        </w:rPr>
        <w:t xml:space="preserve"> 185 fracciones I, II y IV </w:t>
      </w:r>
      <w:r w:rsidRPr="00C90A68">
        <w:rPr>
          <w:rFonts w:ascii="Palatino Linotype" w:eastAsia="Times New Roman" w:hAnsi="Palatino Linotype" w:cs="Arial"/>
          <w:sz w:val="24"/>
          <w:szCs w:val="24"/>
          <w:lang w:val="es-ES_tradnl" w:eastAsia="es-ES"/>
        </w:rPr>
        <w:t xml:space="preserve">de la </w:t>
      </w:r>
      <w:r w:rsidRPr="00C90A68">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C90A68">
        <w:rPr>
          <w:rFonts w:ascii="Palatino Linotype" w:eastAsia="Times New Roman" w:hAnsi="Palatino Linotype" w:cs="Arial"/>
          <w:sz w:val="24"/>
          <w:szCs w:val="24"/>
          <w:lang w:val="es-ES" w:eastAsia="es-ES"/>
        </w:rPr>
        <w:t xml:space="preserve">cordó la admisión a trámite del </w:t>
      </w:r>
      <w:r w:rsidRPr="00C90A68">
        <w:rPr>
          <w:rFonts w:ascii="Palatino Linotype" w:eastAsia="Times New Roman" w:hAnsi="Palatino Linotype" w:cs="Arial"/>
          <w:sz w:val="24"/>
          <w:szCs w:val="24"/>
          <w:lang w:val="es-ES" w:eastAsia="es-ES"/>
        </w:rPr>
        <w:lastRenderedPageBreak/>
        <w:t>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29BB18AC" w14:textId="77777777" w:rsidR="00E7255E" w:rsidRPr="00C90A68" w:rsidRDefault="00E7255E" w:rsidP="000956B7">
      <w:pPr>
        <w:spacing w:after="0" w:line="360" w:lineRule="auto"/>
        <w:ind w:right="49"/>
        <w:jc w:val="both"/>
        <w:rPr>
          <w:rFonts w:ascii="Palatino Linotype" w:eastAsia="Times New Roman" w:hAnsi="Palatino Linotype" w:cs="Arial"/>
          <w:sz w:val="24"/>
          <w:szCs w:val="24"/>
          <w:lang w:val="es-ES" w:eastAsia="es-ES"/>
        </w:rPr>
      </w:pPr>
    </w:p>
    <w:p w14:paraId="09AE3CD4" w14:textId="77777777" w:rsidR="00E7255E" w:rsidRPr="00C90A68" w:rsidRDefault="00E7255E" w:rsidP="000956B7">
      <w:pPr>
        <w:numPr>
          <w:ilvl w:val="0"/>
          <w:numId w:val="2"/>
        </w:numPr>
        <w:spacing w:after="0" w:line="360" w:lineRule="auto"/>
        <w:contextualSpacing/>
        <w:jc w:val="both"/>
        <w:rPr>
          <w:rFonts w:ascii="Palatino Linotype" w:hAnsi="Palatino Linotype" w:cs="Arial"/>
          <w:b/>
          <w:sz w:val="26"/>
          <w:szCs w:val="26"/>
        </w:rPr>
      </w:pPr>
      <w:r w:rsidRPr="00C90A68">
        <w:rPr>
          <w:rFonts w:ascii="Palatino Linotype" w:hAnsi="Palatino Linotype" w:cs="Arial"/>
          <w:b/>
          <w:sz w:val="26"/>
          <w:szCs w:val="26"/>
        </w:rPr>
        <w:t>De la etapa de instrucción.</w:t>
      </w:r>
    </w:p>
    <w:p w14:paraId="7C604949" w14:textId="77777777" w:rsidR="00E7255E" w:rsidRPr="00C90A68" w:rsidRDefault="00E7255E" w:rsidP="000956B7">
      <w:pPr>
        <w:spacing w:after="0" w:line="360" w:lineRule="auto"/>
        <w:jc w:val="both"/>
        <w:rPr>
          <w:rFonts w:ascii="Palatino Linotype" w:hAnsi="Palatino Linotype" w:cs="Arial"/>
          <w:sz w:val="24"/>
          <w:szCs w:val="24"/>
        </w:rPr>
      </w:pPr>
      <w:r w:rsidRPr="00C90A68">
        <w:rPr>
          <w:rFonts w:ascii="Palatino Linotype" w:hAnsi="Palatino Linotype" w:cs="Arial"/>
          <w:sz w:val="24"/>
          <w:szCs w:val="24"/>
        </w:rPr>
        <w:t>Una vez abierta la etapa de instrucción, se advierte que tanto el Sujeto Obligado como el Recurrente, fueron omisos en rendir dentro del término de Ley, su informe justificado y sus a efecto que presentara las manifestaciones que a sus intereses conviniera, respectivamente.</w:t>
      </w:r>
    </w:p>
    <w:p w14:paraId="14E85F2C" w14:textId="77777777" w:rsidR="00E7255E" w:rsidRPr="00C90A68" w:rsidRDefault="00E7255E" w:rsidP="000956B7">
      <w:pPr>
        <w:spacing w:after="0" w:line="360" w:lineRule="auto"/>
        <w:jc w:val="both"/>
        <w:rPr>
          <w:rFonts w:ascii="Palatino Linotype" w:hAnsi="Palatino Linotype" w:cs="Arial"/>
          <w:sz w:val="24"/>
          <w:szCs w:val="24"/>
        </w:rPr>
      </w:pPr>
    </w:p>
    <w:p w14:paraId="3197D2F5" w14:textId="77777777" w:rsidR="00E7255E" w:rsidRPr="00C90A68" w:rsidRDefault="00E7255E" w:rsidP="000956B7">
      <w:pPr>
        <w:spacing w:after="0" w:line="360" w:lineRule="auto"/>
        <w:jc w:val="both"/>
        <w:rPr>
          <w:rFonts w:ascii="Palatino Linotype" w:hAnsi="Palatino Linotype" w:cs="Arial"/>
          <w:sz w:val="24"/>
          <w:szCs w:val="24"/>
        </w:rPr>
      </w:pPr>
      <w:r w:rsidRPr="00C90A68">
        <w:rPr>
          <w:rFonts w:ascii="Palatino Linotype" w:hAnsi="Palatino Linotype" w:cs="Arial"/>
          <w:sz w:val="24"/>
          <w:szCs w:val="24"/>
        </w:rPr>
        <w:t>Así mismo se aprecia que no se llevaron a cabo audiencias durante la sustanciación del recurso de revisión, ni se ofrecieron pruebas por parte del hoy Recurrente; todo lo anterior en términos de los artículos 185 fracciones II y IV, y 195 de la Ley de Transparencia y Acceso a la Información Pública del Estado de México y Municipios.</w:t>
      </w:r>
    </w:p>
    <w:p w14:paraId="2884CEC8" w14:textId="77777777" w:rsidR="00E7255E" w:rsidRPr="00C90A68" w:rsidRDefault="00E7255E" w:rsidP="000956B7">
      <w:pPr>
        <w:spacing w:after="0" w:line="360" w:lineRule="auto"/>
        <w:jc w:val="both"/>
        <w:rPr>
          <w:rFonts w:ascii="Palatino Linotype" w:hAnsi="Palatino Linotype" w:cs="Arial"/>
          <w:sz w:val="24"/>
          <w:szCs w:val="24"/>
          <w:lang w:val="es-ES"/>
        </w:rPr>
      </w:pPr>
    </w:p>
    <w:p w14:paraId="09FD96F7" w14:textId="77777777" w:rsidR="00E7255E" w:rsidRPr="00C90A68" w:rsidRDefault="00E7255E" w:rsidP="000956B7">
      <w:pPr>
        <w:numPr>
          <w:ilvl w:val="0"/>
          <w:numId w:val="2"/>
        </w:numPr>
        <w:spacing w:after="0" w:line="360" w:lineRule="auto"/>
        <w:contextualSpacing/>
        <w:jc w:val="both"/>
        <w:rPr>
          <w:rFonts w:ascii="Palatino Linotype" w:hAnsi="Palatino Linotype" w:cs="Arial"/>
          <w:b/>
          <w:sz w:val="26"/>
          <w:szCs w:val="26"/>
        </w:rPr>
      </w:pPr>
      <w:r w:rsidRPr="00C90A68">
        <w:rPr>
          <w:rFonts w:ascii="Palatino Linotype" w:hAnsi="Palatino Linotype" w:cs="Arial"/>
          <w:b/>
          <w:sz w:val="26"/>
          <w:szCs w:val="26"/>
        </w:rPr>
        <w:t>Del cierre de instrucción.</w:t>
      </w:r>
    </w:p>
    <w:p w14:paraId="60954012" w14:textId="22FAECB9" w:rsidR="00E7255E" w:rsidRPr="00C90A68" w:rsidRDefault="001872B4" w:rsidP="000956B7">
      <w:pPr>
        <w:spacing w:after="0" w:line="360" w:lineRule="auto"/>
        <w:jc w:val="both"/>
        <w:rPr>
          <w:rFonts w:ascii="Palatino Linotype" w:hAnsi="Palatino Linotype" w:cs="Arial"/>
          <w:sz w:val="24"/>
          <w:szCs w:val="24"/>
        </w:rPr>
      </w:pPr>
      <w:r w:rsidRPr="00C90A6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2728AE" w:rsidRPr="00C90A68">
        <w:rPr>
          <w:rFonts w:ascii="Palatino Linotype" w:hAnsi="Palatino Linotype" w:cs="Arial"/>
          <w:sz w:val="24"/>
          <w:szCs w:val="24"/>
        </w:rPr>
        <w:t>trece de septiembre</w:t>
      </w:r>
      <w:r w:rsidR="00FA21CD" w:rsidRPr="00C90A68">
        <w:rPr>
          <w:rFonts w:ascii="Palatino Linotype" w:hAnsi="Palatino Linotype" w:cs="Arial"/>
          <w:sz w:val="24"/>
          <w:szCs w:val="24"/>
        </w:rPr>
        <w:t xml:space="preserve"> de dos mil veintidós</w:t>
      </w:r>
      <w:r w:rsidR="00FA21CD" w:rsidRPr="00C90A68">
        <w:rPr>
          <w:rStyle w:val="Refdecomentario"/>
        </w:rPr>
        <w:t>,</w:t>
      </w:r>
      <w:r w:rsidRPr="00C90A68">
        <w:rPr>
          <w:rFonts w:ascii="Palatino Linotype" w:hAnsi="Palatino Linotype" w:cs="Arial"/>
          <w:sz w:val="24"/>
          <w:szCs w:val="24"/>
        </w:rPr>
        <w:t xml:space="preserve"> en términos del artículo 185 fracción VI de la Ley de Transparencia y Acceso a la Información Pública del Estado de México y Municipios, ordenándose turnar los expedientes a la resolución que en derecho proceda.</w:t>
      </w:r>
    </w:p>
    <w:p w14:paraId="58C7D12C" w14:textId="77777777" w:rsidR="00E7255E" w:rsidRPr="00C90A68" w:rsidRDefault="00E7255E" w:rsidP="000956B7">
      <w:pPr>
        <w:spacing w:after="0" w:line="360" w:lineRule="auto"/>
        <w:jc w:val="both"/>
        <w:rPr>
          <w:rFonts w:ascii="Palatino Linotype" w:hAnsi="Palatino Linotype" w:cs="Arial"/>
          <w:sz w:val="24"/>
          <w:szCs w:val="24"/>
        </w:rPr>
      </w:pPr>
    </w:p>
    <w:p w14:paraId="04B06EA3" w14:textId="79E5ABFE" w:rsidR="00E7255E" w:rsidRPr="00C90A68" w:rsidRDefault="00E7255E" w:rsidP="000956B7">
      <w:pPr>
        <w:numPr>
          <w:ilvl w:val="0"/>
          <w:numId w:val="2"/>
        </w:numPr>
        <w:spacing w:after="0" w:line="360" w:lineRule="auto"/>
        <w:ind w:left="851"/>
        <w:contextualSpacing/>
        <w:jc w:val="both"/>
        <w:rPr>
          <w:rFonts w:ascii="Palatino Linotype" w:hAnsi="Palatino Linotype" w:cs="Arial"/>
          <w:b/>
          <w:sz w:val="26"/>
          <w:szCs w:val="26"/>
        </w:rPr>
      </w:pPr>
      <w:r w:rsidRPr="00C90A68">
        <w:rPr>
          <w:rFonts w:ascii="Palatino Linotype" w:hAnsi="Palatino Linotype" w:cs="Arial"/>
          <w:b/>
          <w:sz w:val="26"/>
          <w:szCs w:val="26"/>
        </w:rPr>
        <w:lastRenderedPageBreak/>
        <w:t xml:space="preserve">Resolución del recurso de revisión </w:t>
      </w:r>
      <w:r w:rsidR="002728AE" w:rsidRPr="00C90A68">
        <w:rPr>
          <w:rFonts w:ascii="Palatino Linotype" w:hAnsi="Palatino Linotype" w:cs="Arial"/>
          <w:b/>
          <w:sz w:val="26"/>
          <w:szCs w:val="26"/>
        </w:rPr>
        <w:t>13775</w:t>
      </w:r>
      <w:r w:rsidRPr="00C90A68">
        <w:rPr>
          <w:rFonts w:ascii="Palatino Linotype" w:hAnsi="Palatino Linotype" w:cs="Arial"/>
          <w:b/>
          <w:sz w:val="26"/>
          <w:szCs w:val="26"/>
        </w:rPr>
        <w:t>/INFOEM/IP/RR/202</w:t>
      </w:r>
      <w:r w:rsidR="00FA21CD" w:rsidRPr="00C90A68">
        <w:rPr>
          <w:rFonts w:ascii="Palatino Linotype" w:hAnsi="Palatino Linotype" w:cs="Arial"/>
          <w:b/>
          <w:sz w:val="26"/>
          <w:szCs w:val="26"/>
        </w:rPr>
        <w:t>2</w:t>
      </w:r>
    </w:p>
    <w:p w14:paraId="7F911B08" w14:textId="63BED66B" w:rsidR="00E7255E" w:rsidRPr="00C90A68" w:rsidRDefault="00E7255E" w:rsidP="000956B7">
      <w:pPr>
        <w:spacing w:after="0" w:line="360" w:lineRule="auto"/>
        <w:jc w:val="both"/>
        <w:rPr>
          <w:rFonts w:ascii="Palatino Linotype" w:hAnsi="Palatino Linotype" w:cs="Arial"/>
          <w:sz w:val="24"/>
          <w:szCs w:val="24"/>
        </w:rPr>
      </w:pPr>
      <w:r w:rsidRPr="00C90A68">
        <w:rPr>
          <w:rFonts w:ascii="Palatino Linotype" w:hAnsi="Palatino Linotype" w:cs="Arial"/>
          <w:sz w:val="24"/>
          <w:szCs w:val="24"/>
        </w:rPr>
        <w:t xml:space="preserve">En la </w:t>
      </w:r>
      <w:r w:rsidR="002728AE" w:rsidRPr="00C90A68">
        <w:rPr>
          <w:rFonts w:ascii="Palatino Linotype" w:hAnsi="Palatino Linotype" w:cs="Arial"/>
          <w:sz w:val="24"/>
          <w:szCs w:val="24"/>
        </w:rPr>
        <w:t>Trigésima Quinta Sesión</w:t>
      </w:r>
      <w:r w:rsidRPr="00C90A68">
        <w:rPr>
          <w:rFonts w:ascii="Palatino Linotype" w:hAnsi="Palatino Linotype" w:cs="Arial"/>
          <w:sz w:val="24"/>
          <w:szCs w:val="24"/>
        </w:rPr>
        <w:t xml:space="preserve"> Ordinaria celebrada </w:t>
      </w:r>
      <w:r w:rsidR="002728AE" w:rsidRPr="00C90A68">
        <w:rPr>
          <w:rFonts w:ascii="Palatino Linotype" w:hAnsi="Palatino Linotype" w:cs="Arial"/>
          <w:sz w:val="24"/>
          <w:szCs w:val="24"/>
        </w:rPr>
        <w:t>el veintiocho de septiembre de dos mil veintidós</w:t>
      </w:r>
      <w:r w:rsidRPr="00C90A68">
        <w:rPr>
          <w:rFonts w:ascii="Palatino Linotype" w:hAnsi="Palatino Linotype" w:cs="Arial"/>
          <w:sz w:val="24"/>
          <w:szCs w:val="24"/>
        </w:rPr>
        <w:t>, el Pleno del Instituto de Transparencia, Accesos la Información Pública y Protección de Datos Personales del Estado de México y Municipios aprobó por unanimidad de votos, la Resolución del Recurso de Revisión, en la cual se determinó objetivamente lo siguiente:</w:t>
      </w:r>
    </w:p>
    <w:p w14:paraId="7CC70E78" w14:textId="77777777" w:rsidR="00E7255E" w:rsidRPr="00C90A68" w:rsidRDefault="00E7255E" w:rsidP="000956B7">
      <w:pPr>
        <w:spacing w:after="0" w:line="360" w:lineRule="auto"/>
        <w:jc w:val="both"/>
        <w:rPr>
          <w:rFonts w:ascii="Palatino Linotype" w:hAnsi="Palatino Linotype" w:cs="Arial"/>
          <w:sz w:val="24"/>
          <w:szCs w:val="24"/>
        </w:rPr>
      </w:pPr>
    </w:p>
    <w:p w14:paraId="1A9178E3" w14:textId="14D372A0" w:rsidR="002728AE" w:rsidRPr="00C90A68" w:rsidRDefault="00E7255E" w:rsidP="00643650">
      <w:pPr>
        <w:tabs>
          <w:tab w:val="left" w:pos="8647"/>
        </w:tabs>
        <w:spacing w:after="0" w:line="240" w:lineRule="auto"/>
        <w:ind w:left="567" w:right="567"/>
        <w:jc w:val="both"/>
        <w:rPr>
          <w:rFonts w:ascii="Palatino Linotype" w:hAnsi="Palatino Linotype" w:cs="Arial"/>
          <w:bCs/>
          <w:i/>
          <w:sz w:val="24"/>
          <w:szCs w:val="24"/>
        </w:rPr>
      </w:pPr>
      <w:r w:rsidRPr="00C90A68">
        <w:rPr>
          <w:rFonts w:ascii="Palatino Linotype" w:hAnsi="Palatino Linotype" w:cs="Arial"/>
          <w:b/>
          <w:i/>
        </w:rPr>
        <w:t>“</w:t>
      </w:r>
      <w:r w:rsidR="002728AE" w:rsidRPr="00C90A68">
        <w:rPr>
          <w:rFonts w:ascii="Palatino Linotype" w:hAnsi="Palatino Linotype" w:cs="Arial"/>
          <w:b/>
          <w:i/>
          <w:sz w:val="24"/>
          <w:szCs w:val="24"/>
        </w:rPr>
        <w:t>PRIMERO</w:t>
      </w:r>
      <w:r w:rsidR="002728AE" w:rsidRPr="00C90A68">
        <w:rPr>
          <w:rFonts w:ascii="Palatino Linotype" w:hAnsi="Palatino Linotype" w:cs="Arial"/>
          <w:bCs/>
          <w:i/>
          <w:sz w:val="24"/>
          <w:szCs w:val="24"/>
        </w:rPr>
        <w:t>. Resultan fundadas las razones o motivos de inconformidad hechos</w:t>
      </w:r>
      <w:r w:rsidR="00643650" w:rsidRPr="00C90A68">
        <w:rPr>
          <w:rFonts w:ascii="Palatino Linotype" w:hAnsi="Palatino Linotype" w:cs="Arial"/>
          <w:bCs/>
          <w:i/>
          <w:sz w:val="24"/>
          <w:szCs w:val="24"/>
        </w:rPr>
        <w:t xml:space="preserve"> </w:t>
      </w:r>
      <w:r w:rsidR="002728AE" w:rsidRPr="00C90A68">
        <w:rPr>
          <w:rFonts w:ascii="Palatino Linotype" w:hAnsi="Palatino Linotype" w:cs="Arial"/>
          <w:bCs/>
          <w:i/>
          <w:sz w:val="24"/>
          <w:szCs w:val="24"/>
        </w:rPr>
        <w:t xml:space="preserve">valer por el Recurrente, en términos del considerando </w:t>
      </w:r>
      <w:r w:rsidR="002728AE" w:rsidRPr="00C90A68">
        <w:rPr>
          <w:rFonts w:ascii="Palatino Linotype" w:hAnsi="Palatino Linotype" w:cs="Arial"/>
          <w:b/>
          <w:i/>
          <w:sz w:val="24"/>
          <w:szCs w:val="24"/>
        </w:rPr>
        <w:t>CUARTO</w:t>
      </w:r>
      <w:r w:rsidR="002728AE" w:rsidRPr="00C90A68">
        <w:rPr>
          <w:rFonts w:ascii="Palatino Linotype" w:hAnsi="Palatino Linotype" w:cs="Arial"/>
          <w:bCs/>
          <w:i/>
          <w:sz w:val="24"/>
          <w:szCs w:val="24"/>
        </w:rPr>
        <w:t>, de la presente</w:t>
      </w:r>
      <w:r w:rsidR="008B152A" w:rsidRPr="00C90A68">
        <w:rPr>
          <w:rFonts w:ascii="Palatino Linotype" w:hAnsi="Palatino Linotype" w:cs="Arial"/>
          <w:bCs/>
          <w:i/>
          <w:sz w:val="24"/>
          <w:szCs w:val="24"/>
        </w:rPr>
        <w:t xml:space="preserve"> </w:t>
      </w:r>
      <w:r w:rsidR="002728AE" w:rsidRPr="00C90A68">
        <w:rPr>
          <w:rFonts w:ascii="Palatino Linotype" w:hAnsi="Palatino Linotype" w:cs="Arial"/>
          <w:bCs/>
          <w:i/>
          <w:sz w:val="24"/>
          <w:szCs w:val="24"/>
        </w:rPr>
        <w:t>resolución.</w:t>
      </w:r>
    </w:p>
    <w:p w14:paraId="02A6532E" w14:textId="77777777" w:rsidR="008B152A" w:rsidRPr="00C90A68" w:rsidRDefault="008B152A" w:rsidP="002728AE">
      <w:pPr>
        <w:tabs>
          <w:tab w:val="left" w:pos="8647"/>
        </w:tabs>
        <w:spacing w:after="0" w:line="240" w:lineRule="auto"/>
        <w:ind w:left="567" w:right="567"/>
        <w:jc w:val="both"/>
        <w:rPr>
          <w:rFonts w:ascii="Palatino Linotype" w:hAnsi="Palatino Linotype" w:cs="Arial"/>
          <w:bCs/>
          <w:i/>
          <w:sz w:val="24"/>
          <w:szCs w:val="24"/>
        </w:rPr>
      </w:pPr>
    </w:p>
    <w:p w14:paraId="59D76F42" w14:textId="77777777" w:rsidR="002728AE" w:rsidRPr="00C90A68" w:rsidRDefault="002728AE" w:rsidP="002728AE">
      <w:pPr>
        <w:tabs>
          <w:tab w:val="left" w:pos="8647"/>
        </w:tabs>
        <w:spacing w:after="0" w:line="240" w:lineRule="auto"/>
        <w:ind w:left="567" w:right="567"/>
        <w:jc w:val="both"/>
        <w:rPr>
          <w:rFonts w:ascii="Palatino Linotype" w:hAnsi="Palatino Linotype" w:cs="Arial"/>
          <w:bCs/>
          <w:i/>
          <w:sz w:val="24"/>
          <w:szCs w:val="24"/>
        </w:rPr>
      </w:pPr>
      <w:r w:rsidRPr="00C90A68">
        <w:rPr>
          <w:rFonts w:ascii="Palatino Linotype" w:hAnsi="Palatino Linotype" w:cs="Arial"/>
          <w:b/>
          <w:i/>
          <w:sz w:val="24"/>
          <w:szCs w:val="24"/>
        </w:rPr>
        <w:t>SEGUNDO</w:t>
      </w:r>
      <w:r w:rsidRPr="00C90A68">
        <w:rPr>
          <w:rFonts w:ascii="Palatino Linotype" w:hAnsi="Palatino Linotype" w:cs="Arial"/>
          <w:bCs/>
          <w:i/>
          <w:sz w:val="24"/>
          <w:szCs w:val="24"/>
        </w:rPr>
        <w:t xml:space="preserve">. Se </w:t>
      </w:r>
      <w:r w:rsidRPr="00C90A68">
        <w:rPr>
          <w:rFonts w:ascii="Palatino Linotype" w:hAnsi="Palatino Linotype" w:cs="Arial"/>
          <w:b/>
          <w:i/>
          <w:sz w:val="24"/>
          <w:szCs w:val="24"/>
        </w:rPr>
        <w:t>ORDENA</w:t>
      </w:r>
      <w:r w:rsidRPr="00C90A68">
        <w:rPr>
          <w:rFonts w:ascii="Palatino Linotype" w:hAnsi="Palatino Linotype" w:cs="Arial"/>
          <w:bCs/>
          <w:i/>
          <w:sz w:val="24"/>
          <w:szCs w:val="24"/>
        </w:rPr>
        <w:t xml:space="preserve"> al Sujeto Obligado atienda la solicitud de información</w:t>
      </w:r>
    </w:p>
    <w:p w14:paraId="3EAF2465" w14:textId="1B214B60" w:rsidR="002728AE" w:rsidRPr="00C90A68" w:rsidRDefault="002728AE" w:rsidP="008B152A">
      <w:pPr>
        <w:tabs>
          <w:tab w:val="left" w:pos="8647"/>
        </w:tabs>
        <w:spacing w:after="0" w:line="240" w:lineRule="auto"/>
        <w:ind w:left="567" w:right="567"/>
        <w:jc w:val="both"/>
        <w:rPr>
          <w:rFonts w:ascii="Palatino Linotype" w:hAnsi="Palatino Linotype" w:cs="Arial"/>
          <w:bCs/>
          <w:i/>
          <w:sz w:val="24"/>
          <w:szCs w:val="24"/>
        </w:rPr>
      </w:pPr>
      <w:r w:rsidRPr="00C90A68">
        <w:rPr>
          <w:rFonts w:ascii="Palatino Linotype" w:hAnsi="Palatino Linotype" w:cs="Arial"/>
          <w:b/>
          <w:i/>
          <w:sz w:val="24"/>
          <w:szCs w:val="24"/>
        </w:rPr>
        <w:t>00161/TULTEPEC/IP/2022;</w:t>
      </w:r>
      <w:r w:rsidRPr="00C90A68">
        <w:rPr>
          <w:rFonts w:ascii="Palatino Linotype" w:hAnsi="Palatino Linotype" w:cs="Arial"/>
          <w:bCs/>
          <w:i/>
          <w:sz w:val="24"/>
          <w:szCs w:val="24"/>
        </w:rPr>
        <w:t xml:space="preserve"> en términos del Considerando </w:t>
      </w:r>
      <w:r w:rsidRPr="00C90A68">
        <w:rPr>
          <w:rFonts w:ascii="Palatino Linotype" w:hAnsi="Palatino Linotype" w:cs="Arial"/>
          <w:b/>
          <w:i/>
          <w:sz w:val="24"/>
          <w:szCs w:val="24"/>
        </w:rPr>
        <w:t>CUARTO</w:t>
      </w:r>
      <w:r w:rsidRPr="00C90A68">
        <w:rPr>
          <w:rFonts w:ascii="Palatino Linotype" w:hAnsi="Palatino Linotype" w:cs="Arial"/>
          <w:bCs/>
          <w:i/>
          <w:sz w:val="24"/>
          <w:szCs w:val="24"/>
        </w:rPr>
        <w:t xml:space="preserve"> de esta</w:t>
      </w:r>
      <w:r w:rsidR="008B152A" w:rsidRPr="00C90A68">
        <w:rPr>
          <w:rFonts w:ascii="Palatino Linotype" w:hAnsi="Palatino Linotype" w:cs="Arial"/>
          <w:bCs/>
          <w:i/>
          <w:sz w:val="24"/>
          <w:szCs w:val="24"/>
        </w:rPr>
        <w:t xml:space="preserve"> </w:t>
      </w:r>
      <w:r w:rsidRPr="00C90A68">
        <w:rPr>
          <w:rFonts w:ascii="Palatino Linotype" w:hAnsi="Palatino Linotype" w:cs="Arial"/>
          <w:bCs/>
          <w:i/>
          <w:sz w:val="24"/>
          <w:szCs w:val="24"/>
        </w:rPr>
        <w:t xml:space="preserve">resolución vía Sistema de Acceso a la Información Mexiquense </w:t>
      </w:r>
      <w:r w:rsidRPr="00C90A68">
        <w:rPr>
          <w:rFonts w:ascii="Palatino Linotype" w:hAnsi="Palatino Linotype" w:cs="Arial"/>
          <w:b/>
          <w:i/>
          <w:sz w:val="24"/>
          <w:szCs w:val="24"/>
        </w:rPr>
        <w:t>(SAIMEX).</w:t>
      </w:r>
    </w:p>
    <w:p w14:paraId="512C229F" w14:textId="77777777" w:rsidR="008B152A" w:rsidRPr="00C90A68" w:rsidRDefault="008B152A" w:rsidP="002728AE">
      <w:pPr>
        <w:tabs>
          <w:tab w:val="left" w:pos="8647"/>
        </w:tabs>
        <w:spacing w:after="0" w:line="240" w:lineRule="auto"/>
        <w:ind w:left="567" w:right="567"/>
        <w:jc w:val="both"/>
        <w:rPr>
          <w:rFonts w:ascii="Palatino Linotype" w:hAnsi="Palatino Linotype" w:cs="Arial"/>
          <w:b/>
          <w:i/>
          <w:sz w:val="24"/>
          <w:szCs w:val="24"/>
        </w:rPr>
      </w:pPr>
    </w:p>
    <w:p w14:paraId="0EE12398" w14:textId="77777777" w:rsidR="00643650" w:rsidRPr="00C90A68" w:rsidRDefault="002728AE" w:rsidP="008B152A">
      <w:pPr>
        <w:tabs>
          <w:tab w:val="left" w:pos="8647"/>
        </w:tabs>
        <w:spacing w:after="0" w:line="240" w:lineRule="auto"/>
        <w:ind w:left="567" w:right="567"/>
        <w:jc w:val="both"/>
        <w:rPr>
          <w:rFonts w:ascii="Palatino Linotype" w:hAnsi="Palatino Linotype" w:cs="Arial"/>
          <w:bCs/>
          <w:i/>
          <w:sz w:val="24"/>
          <w:szCs w:val="24"/>
        </w:rPr>
      </w:pPr>
      <w:r w:rsidRPr="00C90A68">
        <w:rPr>
          <w:rFonts w:ascii="Palatino Linotype" w:hAnsi="Palatino Linotype" w:cs="Arial"/>
          <w:b/>
          <w:i/>
          <w:sz w:val="24"/>
          <w:szCs w:val="24"/>
        </w:rPr>
        <w:t>TERCERO. Notifíquese</w:t>
      </w:r>
      <w:r w:rsidRPr="00C90A68">
        <w:rPr>
          <w:rFonts w:ascii="Palatino Linotype" w:hAnsi="Palatino Linotype" w:cs="Arial"/>
          <w:bCs/>
          <w:i/>
          <w:sz w:val="24"/>
          <w:szCs w:val="24"/>
        </w:rPr>
        <w:t xml:space="preserve"> al Titular de la Unidad de Transparencia del </w:t>
      </w:r>
      <w:r w:rsidRPr="00C90A68">
        <w:rPr>
          <w:rFonts w:ascii="Palatino Linotype" w:hAnsi="Palatino Linotype" w:cs="Arial"/>
          <w:b/>
          <w:bCs/>
          <w:i/>
          <w:sz w:val="24"/>
          <w:szCs w:val="24"/>
        </w:rPr>
        <w:t>Sujeto</w:t>
      </w:r>
      <w:r w:rsidR="008B152A" w:rsidRPr="00C90A68">
        <w:rPr>
          <w:rFonts w:ascii="Palatino Linotype" w:hAnsi="Palatino Linotype" w:cs="Arial"/>
          <w:b/>
          <w:bCs/>
          <w:i/>
          <w:sz w:val="24"/>
          <w:szCs w:val="24"/>
        </w:rPr>
        <w:t xml:space="preserve"> </w:t>
      </w:r>
      <w:r w:rsidRPr="00C90A68">
        <w:rPr>
          <w:rFonts w:ascii="Palatino Linotype" w:hAnsi="Palatino Linotype" w:cs="Arial"/>
          <w:b/>
          <w:bCs/>
          <w:i/>
          <w:sz w:val="24"/>
          <w:szCs w:val="24"/>
        </w:rPr>
        <w:t>Obligado</w:t>
      </w:r>
      <w:r w:rsidRPr="00C90A68">
        <w:rPr>
          <w:rFonts w:ascii="Palatino Linotype" w:hAnsi="Palatino Linotype" w:cs="Arial"/>
          <w:bCs/>
          <w:i/>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p>
    <w:p w14:paraId="3CE4F54B" w14:textId="77777777" w:rsidR="00643650" w:rsidRPr="00C90A68" w:rsidRDefault="00643650" w:rsidP="008B152A">
      <w:pPr>
        <w:tabs>
          <w:tab w:val="left" w:pos="8647"/>
        </w:tabs>
        <w:spacing w:after="0" w:line="240" w:lineRule="auto"/>
        <w:ind w:left="567" w:right="567"/>
        <w:jc w:val="both"/>
        <w:rPr>
          <w:rFonts w:ascii="Palatino Linotype" w:hAnsi="Palatino Linotype" w:cs="Arial"/>
          <w:bCs/>
          <w:i/>
          <w:sz w:val="24"/>
          <w:szCs w:val="24"/>
        </w:rPr>
      </w:pPr>
    </w:p>
    <w:p w14:paraId="421B47CC" w14:textId="6E1F2BEC" w:rsidR="00E7255E" w:rsidRPr="00C90A68" w:rsidRDefault="00E7255E" w:rsidP="008B152A">
      <w:pPr>
        <w:tabs>
          <w:tab w:val="left" w:pos="8647"/>
        </w:tabs>
        <w:spacing w:after="0" w:line="240" w:lineRule="auto"/>
        <w:ind w:left="567" w:right="567"/>
        <w:jc w:val="both"/>
        <w:rPr>
          <w:rFonts w:ascii="Palatino Linotype" w:hAnsi="Palatino Linotype" w:cs="Arial"/>
          <w:bCs/>
          <w:i/>
          <w:sz w:val="24"/>
          <w:szCs w:val="24"/>
        </w:rPr>
      </w:pPr>
      <w:r w:rsidRPr="00C90A68">
        <w:rPr>
          <w:rFonts w:ascii="Palatino Linotype" w:hAnsi="Palatino Linotype" w:cs="Arial"/>
          <w:i/>
        </w:rPr>
        <w:t>(…)</w:t>
      </w:r>
      <w:r w:rsidR="002728AE" w:rsidRPr="00C90A68">
        <w:rPr>
          <w:rFonts w:ascii="Palatino Linotype" w:hAnsi="Palatino Linotype" w:cs="Arial"/>
          <w:i/>
        </w:rPr>
        <w:t>” (Sic)</w:t>
      </w:r>
    </w:p>
    <w:p w14:paraId="2B9E4663" w14:textId="77777777" w:rsidR="00E7255E" w:rsidRPr="00C90A68" w:rsidRDefault="00E7255E" w:rsidP="000956B7">
      <w:pPr>
        <w:spacing w:after="0" w:line="360" w:lineRule="auto"/>
        <w:jc w:val="both"/>
        <w:rPr>
          <w:rFonts w:ascii="Palatino Linotype" w:hAnsi="Palatino Linotype" w:cs="Arial"/>
          <w:sz w:val="24"/>
          <w:szCs w:val="24"/>
        </w:rPr>
      </w:pPr>
    </w:p>
    <w:p w14:paraId="71FEFF4E" w14:textId="40DF9AA8" w:rsidR="00E7255E" w:rsidRPr="00C90A68" w:rsidRDefault="00E7255E" w:rsidP="000956B7">
      <w:pPr>
        <w:numPr>
          <w:ilvl w:val="0"/>
          <w:numId w:val="2"/>
        </w:numPr>
        <w:spacing w:after="0" w:line="360" w:lineRule="auto"/>
        <w:contextualSpacing/>
        <w:jc w:val="both"/>
        <w:rPr>
          <w:rFonts w:ascii="Palatino Linotype" w:hAnsi="Palatino Linotype" w:cs="Arial"/>
          <w:b/>
          <w:sz w:val="26"/>
          <w:szCs w:val="26"/>
        </w:rPr>
      </w:pPr>
      <w:r w:rsidRPr="00C90A68">
        <w:rPr>
          <w:rFonts w:ascii="Palatino Linotype" w:hAnsi="Palatino Linotype" w:cs="Arial"/>
          <w:b/>
          <w:sz w:val="26"/>
          <w:szCs w:val="26"/>
        </w:rPr>
        <w:t>Notificación de la resolución del recurso de revisión 1</w:t>
      </w:r>
      <w:r w:rsidR="002728AE" w:rsidRPr="00C90A68">
        <w:rPr>
          <w:rFonts w:ascii="Palatino Linotype" w:hAnsi="Palatino Linotype" w:cs="Arial"/>
          <w:b/>
          <w:sz w:val="26"/>
          <w:szCs w:val="26"/>
        </w:rPr>
        <w:t>3775</w:t>
      </w:r>
      <w:r w:rsidRPr="00C90A68">
        <w:rPr>
          <w:rFonts w:ascii="Palatino Linotype" w:hAnsi="Palatino Linotype" w:cs="Arial"/>
          <w:b/>
          <w:sz w:val="26"/>
          <w:szCs w:val="26"/>
        </w:rPr>
        <w:t>/INFOEM/I</w:t>
      </w:r>
      <w:r w:rsidR="00FA21CD" w:rsidRPr="00C90A68">
        <w:rPr>
          <w:rFonts w:ascii="Palatino Linotype" w:hAnsi="Palatino Linotype" w:cs="Arial"/>
          <w:b/>
          <w:sz w:val="26"/>
          <w:szCs w:val="26"/>
        </w:rPr>
        <w:t>P</w:t>
      </w:r>
      <w:r w:rsidRPr="00C90A68">
        <w:rPr>
          <w:rFonts w:ascii="Palatino Linotype" w:hAnsi="Palatino Linotype" w:cs="Arial"/>
          <w:b/>
          <w:sz w:val="26"/>
          <w:szCs w:val="26"/>
        </w:rPr>
        <w:t>/RR/2022</w:t>
      </w:r>
    </w:p>
    <w:p w14:paraId="5E954E24" w14:textId="13EAE45B" w:rsidR="00E7255E" w:rsidRPr="00C90A68" w:rsidRDefault="00E7255E" w:rsidP="000956B7">
      <w:pPr>
        <w:spacing w:after="0" w:line="360" w:lineRule="auto"/>
        <w:jc w:val="both"/>
        <w:rPr>
          <w:rFonts w:ascii="Palatino Linotype" w:hAnsi="Palatino Linotype" w:cs="Arial"/>
          <w:sz w:val="24"/>
          <w:szCs w:val="24"/>
        </w:rPr>
      </w:pPr>
      <w:r w:rsidRPr="00C90A68">
        <w:rPr>
          <w:rFonts w:ascii="Palatino Linotype" w:hAnsi="Palatino Linotype" w:cs="Arial"/>
          <w:sz w:val="24"/>
          <w:szCs w:val="24"/>
        </w:rPr>
        <w:t xml:space="preserve">De conformidad con las constancias que integran el expediente virtual, se advierte que el día </w:t>
      </w:r>
      <w:r w:rsidR="002728AE" w:rsidRPr="00C90A68">
        <w:rPr>
          <w:rFonts w:ascii="Palatino Linotype" w:hAnsi="Palatino Linotype" w:cs="Arial"/>
          <w:sz w:val="24"/>
          <w:szCs w:val="24"/>
        </w:rPr>
        <w:t>tres de octubre</w:t>
      </w:r>
      <w:r w:rsidR="001872B4" w:rsidRPr="00C90A68">
        <w:rPr>
          <w:rFonts w:ascii="Palatino Linotype" w:hAnsi="Palatino Linotype" w:cs="Arial"/>
          <w:sz w:val="24"/>
          <w:szCs w:val="24"/>
        </w:rPr>
        <w:t xml:space="preserve"> de dos mil veinti</w:t>
      </w:r>
      <w:r w:rsidR="002728AE" w:rsidRPr="00C90A68">
        <w:rPr>
          <w:rFonts w:ascii="Palatino Linotype" w:hAnsi="Palatino Linotype" w:cs="Arial"/>
          <w:sz w:val="24"/>
          <w:szCs w:val="24"/>
        </w:rPr>
        <w:t>dós</w:t>
      </w:r>
      <w:r w:rsidRPr="00C90A68">
        <w:rPr>
          <w:rFonts w:ascii="Palatino Linotype" w:hAnsi="Palatino Linotype" w:cs="Arial"/>
          <w:sz w:val="24"/>
          <w:szCs w:val="24"/>
        </w:rPr>
        <w:t>, se notificó a las partes, por medio del Sistema de Acceso a la Información Mexiquense (SAIMEX, la resolución de los Medios de Impugnación previamente referidos.</w:t>
      </w:r>
    </w:p>
    <w:p w14:paraId="261DD5C6" w14:textId="77777777" w:rsidR="00443285" w:rsidRPr="00C90A68" w:rsidRDefault="00443285" w:rsidP="000956B7">
      <w:pPr>
        <w:spacing w:after="0" w:line="360" w:lineRule="auto"/>
        <w:jc w:val="both"/>
        <w:rPr>
          <w:rFonts w:ascii="Palatino Linotype" w:hAnsi="Palatino Linotype" w:cs="Arial"/>
          <w:sz w:val="24"/>
          <w:szCs w:val="24"/>
        </w:rPr>
      </w:pPr>
    </w:p>
    <w:p w14:paraId="619ED010" w14:textId="0B82A567" w:rsidR="00443285" w:rsidRPr="00C90A68" w:rsidRDefault="00443285" w:rsidP="00443285">
      <w:pPr>
        <w:pStyle w:val="Prrafodelista"/>
        <w:numPr>
          <w:ilvl w:val="0"/>
          <w:numId w:val="2"/>
        </w:numPr>
        <w:spacing w:line="360" w:lineRule="auto"/>
        <w:jc w:val="both"/>
        <w:rPr>
          <w:rFonts w:ascii="Palatino Linotype" w:hAnsi="Palatino Linotype" w:cs="Arial"/>
          <w:b/>
          <w:sz w:val="26"/>
          <w:szCs w:val="26"/>
        </w:rPr>
      </w:pPr>
      <w:r w:rsidRPr="00C90A68">
        <w:rPr>
          <w:rFonts w:ascii="Palatino Linotype" w:hAnsi="Palatino Linotype" w:cs="Arial"/>
          <w:b/>
          <w:sz w:val="26"/>
          <w:szCs w:val="26"/>
        </w:rPr>
        <w:t>Del acuerdo de incumplimiento de la resolución.</w:t>
      </w:r>
    </w:p>
    <w:p w14:paraId="20E3B031" w14:textId="0F4FC9B7" w:rsidR="00E7255E" w:rsidRPr="00C90A68" w:rsidRDefault="00443285" w:rsidP="000956B7">
      <w:pPr>
        <w:spacing w:after="0" w:line="360" w:lineRule="auto"/>
        <w:jc w:val="both"/>
        <w:rPr>
          <w:rFonts w:ascii="Palatino Linotype" w:hAnsi="Palatino Linotype" w:cs="Arial"/>
          <w:sz w:val="24"/>
          <w:szCs w:val="24"/>
        </w:rPr>
      </w:pPr>
      <w:r w:rsidRPr="00C90A68">
        <w:rPr>
          <w:rFonts w:ascii="Palatino Linotype" w:hAnsi="Palatino Linotype" w:cs="Arial"/>
          <w:sz w:val="24"/>
          <w:szCs w:val="24"/>
        </w:rPr>
        <w:t xml:space="preserve">Una vez concluido el término otorgado al Sujeto Obligado para que diera cumplimiento a la resolución, en el expediente electrónico, se observa que fue omiso en dar cumplimiento a dicha resolución, por lo que, en fecha </w:t>
      </w:r>
      <w:r w:rsidR="002728AE" w:rsidRPr="00C90A68">
        <w:rPr>
          <w:rFonts w:ascii="Palatino Linotype" w:hAnsi="Palatino Linotype" w:cs="Arial"/>
          <w:sz w:val="24"/>
          <w:szCs w:val="24"/>
        </w:rPr>
        <w:t>dieciocho de octubre</w:t>
      </w:r>
      <w:r w:rsidRPr="00C90A68">
        <w:rPr>
          <w:rFonts w:ascii="Palatino Linotype" w:hAnsi="Palatino Linotype" w:cs="Arial"/>
          <w:sz w:val="24"/>
          <w:szCs w:val="24"/>
        </w:rPr>
        <w:t xml:space="preserve"> de dos mil veinti</w:t>
      </w:r>
      <w:r w:rsidR="002728AE" w:rsidRPr="00C90A68">
        <w:rPr>
          <w:rFonts w:ascii="Palatino Linotype" w:hAnsi="Palatino Linotype" w:cs="Arial"/>
          <w:sz w:val="24"/>
          <w:szCs w:val="24"/>
        </w:rPr>
        <w:t>dós</w:t>
      </w:r>
      <w:r w:rsidRPr="00C90A68">
        <w:rPr>
          <w:rFonts w:ascii="Palatino Linotype" w:hAnsi="Palatino Linotype" w:cs="Arial"/>
          <w:sz w:val="24"/>
          <w:szCs w:val="24"/>
        </w:rPr>
        <w:t>, se emitió y notifico a las partes, el acuerdo de incumplimiento.</w:t>
      </w:r>
    </w:p>
    <w:p w14:paraId="2E10049C" w14:textId="77777777" w:rsidR="00443285" w:rsidRPr="00C90A68" w:rsidRDefault="00443285" w:rsidP="000956B7">
      <w:pPr>
        <w:spacing w:after="0" w:line="360" w:lineRule="auto"/>
        <w:jc w:val="both"/>
        <w:rPr>
          <w:rFonts w:ascii="Palatino Linotype" w:hAnsi="Palatino Linotype" w:cs="Arial"/>
          <w:sz w:val="24"/>
          <w:szCs w:val="24"/>
        </w:rPr>
      </w:pPr>
    </w:p>
    <w:p w14:paraId="59EB1DF8" w14:textId="52AA4B18" w:rsidR="00E7255E" w:rsidRPr="00C90A68" w:rsidRDefault="00E7255E" w:rsidP="000956B7">
      <w:pPr>
        <w:spacing w:after="0" w:line="360" w:lineRule="auto"/>
        <w:jc w:val="both"/>
        <w:rPr>
          <w:rFonts w:ascii="Palatino Linotype" w:hAnsi="Palatino Linotype" w:cs="Arial"/>
          <w:b/>
          <w:sz w:val="26"/>
          <w:szCs w:val="26"/>
        </w:rPr>
      </w:pPr>
      <w:r w:rsidRPr="00C90A68">
        <w:rPr>
          <w:rFonts w:ascii="Palatino Linotype" w:hAnsi="Palatino Linotype" w:cs="Arial"/>
          <w:b/>
          <w:sz w:val="26"/>
          <w:szCs w:val="26"/>
        </w:rPr>
        <w:t xml:space="preserve">QUINTO. De la interposición del recurso de revisión </w:t>
      </w:r>
      <w:r w:rsidR="001872B4" w:rsidRPr="00C90A68">
        <w:rPr>
          <w:rFonts w:ascii="Palatino Linotype" w:hAnsi="Palatino Linotype" w:cs="Arial"/>
          <w:b/>
          <w:sz w:val="26"/>
          <w:szCs w:val="26"/>
        </w:rPr>
        <w:t>1</w:t>
      </w:r>
      <w:r w:rsidR="002728AE" w:rsidRPr="00C90A68">
        <w:rPr>
          <w:rFonts w:ascii="Palatino Linotype" w:hAnsi="Palatino Linotype" w:cs="Arial"/>
          <w:b/>
          <w:sz w:val="26"/>
          <w:szCs w:val="26"/>
        </w:rPr>
        <w:t>3775</w:t>
      </w:r>
      <w:r w:rsidR="001872B4" w:rsidRPr="00C90A68">
        <w:rPr>
          <w:rFonts w:ascii="Palatino Linotype" w:hAnsi="Palatino Linotype" w:cs="Arial"/>
          <w:b/>
          <w:sz w:val="26"/>
          <w:szCs w:val="26"/>
        </w:rPr>
        <w:t>/INFOEM/ICR-</w:t>
      </w:r>
      <w:r w:rsidR="002728AE" w:rsidRPr="00C90A68">
        <w:rPr>
          <w:rFonts w:ascii="Palatino Linotype" w:hAnsi="Palatino Linotype" w:cs="Arial"/>
          <w:b/>
          <w:sz w:val="26"/>
          <w:szCs w:val="26"/>
        </w:rPr>
        <w:t>03</w:t>
      </w:r>
      <w:r w:rsidR="001872B4" w:rsidRPr="00C90A68">
        <w:rPr>
          <w:rFonts w:ascii="Palatino Linotype" w:hAnsi="Palatino Linotype" w:cs="Arial"/>
          <w:b/>
          <w:sz w:val="26"/>
          <w:szCs w:val="26"/>
        </w:rPr>
        <w:t>/IP/RR/2022</w:t>
      </w:r>
    </w:p>
    <w:p w14:paraId="2BE98897" w14:textId="46EC12C5" w:rsidR="00E7255E" w:rsidRPr="00C90A68" w:rsidRDefault="00E7255E" w:rsidP="000956B7">
      <w:pPr>
        <w:spacing w:after="0" w:line="360" w:lineRule="auto"/>
        <w:jc w:val="both"/>
        <w:rPr>
          <w:rFonts w:ascii="Palatino Linotype" w:hAnsi="Palatino Linotype" w:cs="Arial"/>
          <w:sz w:val="24"/>
          <w:szCs w:val="24"/>
          <w:lang w:val="es-ES"/>
        </w:rPr>
      </w:pPr>
      <w:r w:rsidRPr="00C90A68">
        <w:rPr>
          <w:rFonts w:ascii="Palatino Linotype" w:hAnsi="Palatino Linotype" w:cs="Arial"/>
          <w:sz w:val="24"/>
          <w:szCs w:val="24"/>
        </w:rPr>
        <w:t xml:space="preserve">De las constancias que integran el expediente del recurso de revisión </w:t>
      </w:r>
      <w:r w:rsidR="001872B4" w:rsidRPr="00C90A68">
        <w:rPr>
          <w:rFonts w:ascii="Palatino Linotype" w:hAnsi="Palatino Linotype" w:cs="Arial"/>
          <w:b/>
          <w:sz w:val="24"/>
          <w:szCs w:val="24"/>
        </w:rPr>
        <w:t>1</w:t>
      </w:r>
      <w:r w:rsidR="002728AE" w:rsidRPr="00C90A68">
        <w:rPr>
          <w:rFonts w:ascii="Palatino Linotype" w:hAnsi="Palatino Linotype" w:cs="Arial"/>
          <w:b/>
          <w:sz w:val="24"/>
          <w:szCs w:val="24"/>
        </w:rPr>
        <w:t>3775</w:t>
      </w:r>
      <w:r w:rsidR="001872B4" w:rsidRPr="00C90A68">
        <w:rPr>
          <w:rFonts w:ascii="Palatino Linotype" w:hAnsi="Palatino Linotype" w:cs="Arial"/>
          <w:b/>
          <w:sz w:val="24"/>
          <w:szCs w:val="24"/>
        </w:rPr>
        <w:t>/INFOEM/IP/RR/2022</w:t>
      </w:r>
      <w:r w:rsidRPr="00C90A68">
        <w:rPr>
          <w:rFonts w:ascii="Palatino Linotype" w:hAnsi="Palatino Linotype" w:cs="Arial"/>
          <w:sz w:val="24"/>
          <w:szCs w:val="24"/>
        </w:rPr>
        <w:t>, se advierte que, en</w:t>
      </w:r>
      <w:r w:rsidRPr="00C90A68">
        <w:rPr>
          <w:rFonts w:ascii="Palatino Linotype" w:hAnsi="Palatino Linotype" w:cs="Arial"/>
          <w:sz w:val="24"/>
          <w:szCs w:val="24"/>
          <w:lang w:val="es-ES"/>
        </w:rPr>
        <w:t xml:space="preserve"> fecha </w:t>
      </w:r>
      <w:r w:rsidR="008B152A" w:rsidRPr="00C90A68">
        <w:rPr>
          <w:rFonts w:ascii="Palatino Linotype" w:hAnsi="Palatino Linotype" w:cs="Arial"/>
          <w:sz w:val="24"/>
          <w:szCs w:val="24"/>
          <w:lang w:val="es-ES"/>
        </w:rPr>
        <w:t>nueve</w:t>
      </w:r>
      <w:r w:rsidR="002728AE" w:rsidRPr="00C90A68">
        <w:rPr>
          <w:rFonts w:ascii="Palatino Linotype" w:hAnsi="Palatino Linotype" w:cs="Arial"/>
          <w:sz w:val="24"/>
          <w:szCs w:val="24"/>
          <w:lang w:val="es-ES"/>
        </w:rPr>
        <w:t xml:space="preserve"> de enero</w:t>
      </w:r>
      <w:r w:rsidR="001872B4" w:rsidRPr="00C90A68">
        <w:rPr>
          <w:rFonts w:ascii="Palatino Linotype" w:hAnsi="Palatino Linotype" w:cs="Arial"/>
          <w:sz w:val="24"/>
          <w:szCs w:val="24"/>
          <w:lang w:val="es-ES"/>
        </w:rPr>
        <w:t xml:space="preserve"> </w:t>
      </w:r>
      <w:r w:rsidRPr="00C90A68">
        <w:rPr>
          <w:rFonts w:ascii="Palatino Linotype" w:hAnsi="Palatino Linotype" w:cs="Arial"/>
          <w:sz w:val="24"/>
          <w:szCs w:val="24"/>
          <w:lang w:val="es-ES"/>
        </w:rPr>
        <w:t xml:space="preserve">de dos mil </w:t>
      </w:r>
      <w:r w:rsidR="001872B4" w:rsidRPr="00C90A68">
        <w:rPr>
          <w:rFonts w:ascii="Palatino Linotype" w:hAnsi="Palatino Linotype" w:cs="Arial"/>
          <w:sz w:val="24"/>
          <w:szCs w:val="24"/>
          <w:lang w:val="es-ES"/>
        </w:rPr>
        <w:t>veintitrés</w:t>
      </w:r>
      <w:r w:rsidRPr="00C90A68">
        <w:rPr>
          <w:rFonts w:ascii="Palatino Linotype" w:hAnsi="Palatino Linotype" w:cs="Arial"/>
          <w:sz w:val="24"/>
          <w:szCs w:val="24"/>
          <w:lang w:val="es-ES"/>
        </w:rPr>
        <w:t xml:space="preserve">, el </w:t>
      </w:r>
      <w:r w:rsidRPr="00C90A68">
        <w:rPr>
          <w:rFonts w:ascii="Palatino Linotype" w:hAnsi="Palatino Linotype" w:cs="Arial"/>
          <w:b/>
          <w:sz w:val="24"/>
          <w:szCs w:val="24"/>
          <w:lang w:val="es-ES"/>
        </w:rPr>
        <w:t>Recurrente</w:t>
      </w:r>
      <w:r w:rsidRPr="00C90A68">
        <w:rPr>
          <w:rFonts w:ascii="Palatino Linotype" w:hAnsi="Palatino Linotype" w:cs="Arial"/>
          <w:sz w:val="24"/>
          <w:szCs w:val="24"/>
          <w:lang w:val="es-ES"/>
        </w:rPr>
        <w:t xml:space="preserve"> interpuso nuevo recurso de revisión en este Instituto, a través del Sistema de Acceso a la Información Mexiquense (SAIMEX), en contra del cumplimiento a la resolución referida en el Antecedente CUARTO, en el cual hizo valer como acto impugnado y razones o motivos de inconformidad los siguientes:</w:t>
      </w:r>
    </w:p>
    <w:p w14:paraId="129DA9DF" w14:textId="6998DCF7" w:rsidR="00E7255E" w:rsidRPr="00C90A68" w:rsidRDefault="00E7255E" w:rsidP="000956B7">
      <w:pPr>
        <w:spacing w:after="0" w:line="360" w:lineRule="auto"/>
        <w:jc w:val="both"/>
        <w:rPr>
          <w:rFonts w:ascii="Palatino Linotype" w:hAnsi="Palatino Linotype" w:cs="Arial"/>
          <w:b/>
          <w:sz w:val="24"/>
          <w:szCs w:val="24"/>
          <w:lang w:val="es-ES"/>
        </w:rPr>
      </w:pPr>
      <w:r w:rsidRPr="00C90A68">
        <w:rPr>
          <w:rFonts w:ascii="Palatino Linotype" w:hAnsi="Palatino Linotype" w:cs="Arial"/>
          <w:b/>
          <w:sz w:val="24"/>
          <w:szCs w:val="24"/>
          <w:lang w:val="es-ES"/>
        </w:rPr>
        <w:t>Acto impugnado:</w:t>
      </w:r>
    </w:p>
    <w:p w14:paraId="458A8882" w14:textId="3AB1D664" w:rsidR="00E7255E" w:rsidRPr="00C90A68" w:rsidRDefault="00E7255E" w:rsidP="000956B7">
      <w:pPr>
        <w:spacing w:after="0" w:line="240" w:lineRule="auto"/>
        <w:ind w:left="567" w:right="567"/>
        <w:jc w:val="both"/>
        <w:rPr>
          <w:rFonts w:ascii="Palatino Linotype" w:hAnsi="Palatino Linotype" w:cs="Arial"/>
          <w:i/>
          <w:szCs w:val="24"/>
          <w:lang w:val="es-ES"/>
        </w:rPr>
      </w:pPr>
      <w:r w:rsidRPr="00C90A68">
        <w:rPr>
          <w:rFonts w:ascii="Palatino Linotype" w:hAnsi="Palatino Linotype" w:cs="Arial"/>
          <w:i/>
          <w:szCs w:val="24"/>
          <w:lang w:val="es-ES"/>
        </w:rPr>
        <w:t>“</w:t>
      </w:r>
      <w:r w:rsidR="001F05B4" w:rsidRPr="00C90A68">
        <w:rPr>
          <w:rFonts w:ascii="Palatino Linotype" w:hAnsi="Palatino Linotype" w:cs="Arial"/>
          <w:i/>
          <w:szCs w:val="24"/>
        </w:rPr>
        <w:t>sin respuesta</w:t>
      </w:r>
      <w:r w:rsidRPr="00C90A68">
        <w:rPr>
          <w:rFonts w:ascii="Palatino Linotype" w:hAnsi="Palatino Linotype" w:cs="Arial"/>
          <w:i/>
          <w:szCs w:val="24"/>
          <w:lang w:val="es-ES"/>
        </w:rPr>
        <w:t>”</w:t>
      </w:r>
      <w:r w:rsidR="001F05B4" w:rsidRPr="00C90A68">
        <w:rPr>
          <w:rFonts w:ascii="Palatino Linotype" w:hAnsi="Palatino Linotype" w:cs="Arial"/>
          <w:i/>
          <w:szCs w:val="24"/>
          <w:lang w:val="es-ES"/>
        </w:rPr>
        <w:t xml:space="preserve"> (Sic)</w:t>
      </w:r>
    </w:p>
    <w:p w14:paraId="6EA3BB6A" w14:textId="77777777" w:rsidR="00E7255E" w:rsidRPr="00C90A68" w:rsidRDefault="00E7255E" w:rsidP="000956B7">
      <w:pPr>
        <w:spacing w:after="0" w:line="360" w:lineRule="auto"/>
        <w:jc w:val="both"/>
        <w:rPr>
          <w:rFonts w:ascii="Palatino Linotype" w:hAnsi="Palatino Linotype" w:cs="Arial"/>
          <w:sz w:val="24"/>
          <w:szCs w:val="24"/>
          <w:lang w:val="es-ES"/>
        </w:rPr>
      </w:pPr>
    </w:p>
    <w:p w14:paraId="304C88FF" w14:textId="2861E1EC" w:rsidR="00FA21CD" w:rsidRPr="00C90A68" w:rsidRDefault="00E7255E" w:rsidP="000956B7">
      <w:pPr>
        <w:spacing w:after="0" w:line="360" w:lineRule="auto"/>
        <w:jc w:val="both"/>
        <w:rPr>
          <w:rFonts w:ascii="Palatino Linotype" w:hAnsi="Palatino Linotype" w:cs="Arial"/>
          <w:b/>
          <w:sz w:val="24"/>
          <w:szCs w:val="24"/>
          <w:lang w:val="es-ES"/>
        </w:rPr>
      </w:pPr>
      <w:r w:rsidRPr="00C90A68">
        <w:rPr>
          <w:rFonts w:ascii="Palatino Linotype" w:hAnsi="Palatino Linotype" w:cs="Arial"/>
          <w:b/>
          <w:sz w:val="24"/>
          <w:szCs w:val="24"/>
          <w:lang w:val="es-ES"/>
        </w:rPr>
        <w:t>Razones o motivos de inconformidad:</w:t>
      </w:r>
    </w:p>
    <w:p w14:paraId="019B72A2" w14:textId="0EA40A2A" w:rsidR="00E7255E" w:rsidRPr="00C90A68" w:rsidRDefault="00E7255E" w:rsidP="000956B7">
      <w:pPr>
        <w:spacing w:after="0" w:line="240" w:lineRule="auto"/>
        <w:ind w:left="567" w:right="567"/>
        <w:jc w:val="both"/>
        <w:rPr>
          <w:rFonts w:ascii="Palatino Linotype" w:hAnsi="Palatino Linotype" w:cs="Arial"/>
          <w:i/>
          <w:lang w:val="es-ES"/>
        </w:rPr>
      </w:pPr>
      <w:r w:rsidRPr="00C90A68">
        <w:rPr>
          <w:rFonts w:ascii="Palatino Linotype" w:hAnsi="Palatino Linotype" w:cs="Arial"/>
          <w:i/>
          <w:lang w:val="es-ES"/>
        </w:rPr>
        <w:t>“</w:t>
      </w:r>
      <w:r w:rsidR="001F05B4" w:rsidRPr="00C90A68">
        <w:rPr>
          <w:rFonts w:ascii="Palatino Linotype" w:hAnsi="Palatino Linotype" w:cs="Arial"/>
          <w:i/>
        </w:rPr>
        <w:t>sin respuesta</w:t>
      </w:r>
      <w:r w:rsidRPr="00C90A68">
        <w:rPr>
          <w:rFonts w:ascii="Palatino Linotype" w:hAnsi="Palatino Linotype" w:cs="Arial"/>
          <w:i/>
          <w:lang w:val="es-ES"/>
        </w:rPr>
        <w:t>”</w:t>
      </w:r>
      <w:r w:rsidR="001F05B4" w:rsidRPr="00C90A68">
        <w:rPr>
          <w:rFonts w:ascii="Palatino Linotype" w:hAnsi="Palatino Linotype" w:cs="Arial"/>
          <w:i/>
          <w:lang w:val="es-ES"/>
        </w:rPr>
        <w:t xml:space="preserve"> (Sic)</w:t>
      </w:r>
    </w:p>
    <w:p w14:paraId="43895079" w14:textId="77777777" w:rsidR="00E7255E" w:rsidRPr="00C90A68" w:rsidRDefault="00E7255E" w:rsidP="000956B7">
      <w:pPr>
        <w:spacing w:after="0" w:line="360" w:lineRule="auto"/>
        <w:jc w:val="both"/>
        <w:rPr>
          <w:rFonts w:ascii="Palatino Linotype" w:hAnsi="Palatino Linotype" w:cs="Arial"/>
          <w:sz w:val="24"/>
          <w:szCs w:val="26"/>
          <w:lang w:val="es-ES"/>
        </w:rPr>
      </w:pPr>
    </w:p>
    <w:p w14:paraId="05E0FE77" w14:textId="03764E3A" w:rsidR="00E7255E" w:rsidRPr="00C90A68" w:rsidRDefault="00E7255E" w:rsidP="000956B7">
      <w:pPr>
        <w:spacing w:after="0" w:line="360" w:lineRule="auto"/>
        <w:jc w:val="both"/>
        <w:rPr>
          <w:rFonts w:ascii="Palatino Linotype" w:hAnsi="Palatino Linotype" w:cs="Arial"/>
          <w:b/>
          <w:sz w:val="26"/>
          <w:szCs w:val="26"/>
          <w:lang w:val="es-ES"/>
        </w:rPr>
      </w:pPr>
      <w:r w:rsidRPr="00C90A68">
        <w:rPr>
          <w:rFonts w:ascii="Palatino Linotype" w:hAnsi="Palatino Linotype" w:cs="Arial"/>
          <w:b/>
          <w:sz w:val="26"/>
          <w:szCs w:val="26"/>
          <w:lang w:val="es-ES"/>
        </w:rPr>
        <w:t>SEXTO.</w:t>
      </w:r>
      <w:r w:rsidRPr="00C90A68">
        <w:rPr>
          <w:rFonts w:ascii="Palatino Linotype" w:hAnsi="Palatino Linotype" w:cs="Arial"/>
          <w:sz w:val="26"/>
          <w:szCs w:val="26"/>
          <w:lang w:val="es-ES"/>
        </w:rPr>
        <w:t xml:space="preserve"> </w:t>
      </w:r>
      <w:r w:rsidRPr="00C90A68">
        <w:rPr>
          <w:rFonts w:ascii="Palatino Linotype" w:hAnsi="Palatino Linotype" w:cs="Arial"/>
          <w:b/>
          <w:sz w:val="26"/>
          <w:szCs w:val="26"/>
          <w:lang w:val="es-ES"/>
        </w:rPr>
        <w:t xml:space="preserve">Del turno del recurso de revisión </w:t>
      </w:r>
      <w:r w:rsidR="00FA21CD" w:rsidRPr="00C90A68">
        <w:rPr>
          <w:rFonts w:ascii="Palatino Linotype" w:hAnsi="Palatino Linotype" w:cs="Arial"/>
          <w:b/>
          <w:sz w:val="26"/>
          <w:szCs w:val="26"/>
        </w:rPr>
        <w:t>1</w:t>
      </w:r>
      <w:r w:rsidR="001F05B4" w:rsidRPr="00C90A68">
        <w:rPr>
          <w:rFonts w:ascii="Palatino Linotype" w:hAnsi="Palatino Linotype" w:cs="Arial"/>
          <w:b/>
          <w:sz w:val="26"/>
          <w:szCs w:val="26"/>
        </w:rPr>
        <w:t>3755</w:t>
      </w:r>
      <w:r w:rsidR="00FA21CD" w:rsidRPr="00C90A68">
        <w:rPr>
          <w:rFonts w:ascii="Palatino Linotype" w:hAnsi="Palatino Linotype" w:cs="Arial"/>
          <w:b/>
          <w:sz w:val="26"/>
          <w:szCs w:val="26"/>
        </w:rPr>
        <w:t>/INFOEM/ICR-</w:t>
      </w:r>
      <w:r w:rsidR="001F05B4" w:rsidRPr="00C90A68">
        <w:rPr>
          <w:rFonts w:ascii="Palatino Linotype" w:hAnsi="Palatino Linotype" w:cs="Arial"/>
          <w:b/>
          <w:sz w:val="26"/>
          <w:szCs w:val="26"/>
        </w:rPr>
        <w:t>03</w:t>
      </w:r>
      <w:r w:rsidR="00FA21CD" w:rsidRPr="00C90A68">
        <w:rPr>
          <w:rFonts w:ascii="Palatino Linotype" w:hAnsi="Palatino Linotype" w:cs="Arial"/>
          <w:b/>
          <w:sz w:val="26"/>
          <w:szCs w:val="26"/>
        </w:rPr>
        <w:t>/IP/RR/2022</w:t>
      </w:r>
    </w:p>
    <w:p w14:paraId="238EC544" w14:textId="63701859" w:rsidR="00E7255E" w:rsidRPr="00C90A68" w:rsidRDefault="00E7255E" w:rsidP="000956B7">
      <w:pPr>
        <w:spacing w:after="0" w:line="360" w:lineRule="auto"/>
        <w:jc w:val="both"/>
        <w:rPr>
          <w:rFonts w:ascii="Palatino Linotype" w:hAnsi="Palatino Linotype" w:cs="Arial"/>
          <w:sz w:val="24"/>
          <w:szCs w:val="24"/>
        </w:rPr>
      </w:pPr>
      <w:r w:rsidRPr="00C90A68">
        <w:rPr>
          <w:rFonts w:ascii="Palatino Linotype" w:hAnsi="Palatino Linotype" w:cs="Arial"/>
          <w:sz w:val="24"/>
          <w:szCs w:val="24"/>
        </w:rPr>
        <w:t xml:space="preserve">El </w:t>
      </w:r>
      <w:r w:rsidR="0094527D" w:rsidRPr="00C90A68">
        <w:rPr>
          <w:rFonts w:ascii="Palatino Linotype" w:hAnsi="Palatino Linotype" w:cs="Arial"/>
          <w:sz w:val="24"/>
          <w:szCs w:val="24"/>
        </w:rPr>
        <w:t>seis de enero</w:t>
      </w:r>
      <w:r w:rsidR="001872B4" w:rsidRPr="00C90A68">
        <w:rPr>
          <w:rFonts w:ascii="Palatino Linotype" w:hAnsi="Palatino Linotype" w:cs="Arial"/>
          <w:sz w:val="24"/>
          <w:szCs w:val="24"/>
        </w:rPr>
        <w:t xml:space="preserve"> de dos mil veintitrés</w:t>
      </w:r>
      <w:r w:rsidRPr="00C90A68">
        <w:rPr>
          <w:rFonts w:ascii="Palatino Linotype" w:hAnsi="Palatino Linotype" w:cs="Arial"/>
          <w:sz w:val="24"/>
          <w:szCs w:val="24"/>
        </w:rPr>
        <w:t xml:space="preserve">, el Sistema de Acceso a la Información Mexiquense (SAIMEX), asignó con número de expediente </w:t>
      </w:r>
      <w:r w:rsidR="001872B4" w:rsidRPr="00C90A68">
        <w:rPr>
          <w:rFonts w:ascii="Palatino Linotype" w:hAnsi="Palatino Linotype" w:cs="Arial"/>
          <w:b/>
          <w:sz w:val="26"/>
          <w:szCs w:val="26"/>
        </w:rPr>
        <w:t>1</w:t>
      </w:r>
      <w:r w:rsidR="0094527D" w:rsidRPr="00C90A68">
        <w:rPr>
          <w:rFonts w:ascii="Palatino Linotype" w:hAnsi="Palatino Linotype" w:cs="Arial"/>
          <w:b/>
          <w:sz w:val="26"/>
          <w:szCs w:val="26"/>
        </w:rPr>
        <w:t>3775</w:t>
      </w:r>
      <w:r w:rsidR="001872B4" w:rsidRPr="00C90A68">
        <w:rPr>
          <w:rFonts w:ascii="Palatino Linotype" w:hAnsi="Palatino Linotype" w:cs="Arial"/>
          <w:b/>
          <w:sz w:val="26"/>
          <w:szCs w:val="26"/>
        </w:rPr>
        <w:t>/INFOEM/ICR-</w:t>
      </w:r>
      <w:r w:rsidR="0094527D" w:rsidRPr="00C90A68">
        <w:rPr>
          <w:rFonts w:ascii="Palatino Linotype" w:hAnsi="Palatino Linotype" w:cs="Arial"/>
          <w:b/>
          <w:sz w:val="26"/>
          <w:szCs w:val="26"/>
        </w:rPr>
        <w:t>03</w:t>
      </w:r>
      <w:r w:rsidR="001872B4" w:rsidRPr="00C90A68">
        <w:rPr>
          <w:rFonts w:ascii="Palatino Linotype" w:hAnsi="Palatino Linotype" w:cs="Arial"/>
          <w:b/>
          <w:sz w:val="26"/>
          <w:szCs w:val="26"/>
        </w:rPr>
        <w:t>/IP/RR/2022</w:t>
      </w:r>
      <w:r w:rsidR="00DA1029" w:rsidRPr="00C90A68">
        <w:rPr>
          <w:rFonts w:ascii="Palatino Linotype" w:hAnsi="Palatino Linotype" w:cs="Arial"/>
          <w:b/>
          <w:sz w:val="26"/>
          <w:szCs w:val="26"/>
        </w:rPr>
        <w:t>,</w:t>
      </w:r>
      <w:r w:rsidRPr="00C90A68">
        <w:rPr>
          <w:rFonts w:ascii="Palatino Linotype" w:hAnsi="Palatino Linotype" w:cs="Arial"/>
          <w:sz w:val="24"/>
          <w:szCs w:val="24"/>
        </w:rPr>
        <w:t xml:space="preserve"> al medio de impugnación que nos ocupa, con base en el sistema </w:t>
      </w:r>
      <w:r w:rsidRPr="00C90A68">
        <w:rPr>
          <w:rFonts w:ascii="Palatino Linotype" w:hAnsi="Palatino Linotype" w:cs="Arial"/>
          <w:sz w:val="24"/>
          <w:szCs w:val="24"/>
        </w:rPr>
        <w:lastRenderedPageBreak/>
        <w:t xml:space="preserve">aprobado por el Pleno de este Órgano Garante y lo turnó al Comisionado Presidente </w:t>
      </w:r>
      <w:r w:rsidRPr="00C90A68">
        <w:rPr>
          <w:rFonts w:ascii="Palatino Linotype" w:hAnsi="Palatino Linotype" w:cs="Arial"/>
          <w:b/>
          <w:sz w:val="24"/>
          <w:szCs w:val="24"/>
        </w:rPr>
        <w:t>José Martínez Vilchis</w:t>
      </w:r>
      <w:r w:rsidRPr="00C90A68">
        <w:rPr>
          <w:rFonts w:ascii="Palatino Linotype" w:hAnsi="Palatino Linotype" w:cs="Arial"/>
          <w:sz w:val="24"/>
          <w:szCs w:val="24"/>
        </w:rPr>
        <w:t>, para los efectos del artículo 185, fracción I de la Ley de Transparencia y Acceso a la Información Pública del Estado de México y Municipios.</w:t>
      </w:r>
    </w:p>
    <w:p w14:paraId="373297B9" w14:textId="77777777" w:rsidR="00E7255E" w:rsidRPr="00C90A68" w:rsidRDefault="00E7255E" w:rsidP="000956B7">
      <w:pPr>
        <w:spacing w:after="0" w:line="360" w:lineRule="auto"/>
        <w:jc w:val="both"/>
        <w:rPr>
          <w:rFonts w:ascii="Palatino Linotype" w:hAnsi="Palatino Linotype" w:cs="Arial"/>
          <w:sz w:val="24"/>
          <w:szCs w:val="24"/>
        </w:rPr>
      </w:pPr>
    </w:p>
    <w:p w14:paraId="2AF35BC4" w14:textId="548A0F6A" w:rsidR="00E7255E" w:rsidRPr="00C90A68" w:rsidRDefault="00E7255E" w:rsidP="000956B7">
      <w:pPr>
        <w:spacing w:after="0" w:line="360" w:lineRule="auto"/>
        <w:jc w:val="both"/>
        <w:rPr>
          <w:rFonts w:ascii="Palatino Linotype" w:hAnsi="Palatino Linotype" w:cs="Arial"/>
          <w:b/>
          <w:sz w:val="24"/>
          <w:szCs w:val="24"/>
        </w:rPr>
      </w:pPr>
      <w:r w:rsidRPr="00C90A68">
        <w:rPr>
          <w:rFonts w:ascii="Palatino Linotype" w:hAnsi="Palatino Linotype" w:cs="Arial"/>
          <w:b/>
          <w:sz w:val="26"/>
          <w:szCs w:val="26"/>
        </w:rPr>
        <w:t xml:space="preserve">SÉPTIMO. De la admisión del recurso de revisión </w:t>
      </w:r>
      <w:r w:rsidR="00DA1029" w:rsidRPr="00C90A68">
        <w:rPr>
          <w:rFonts w:ascii="Palatino Linotype" w:hAnsi="Palatino Linotype" w:cs="Arial"/>
          <w:b/>
          <w:sz w:val="26"/>
          <w:szCs w:val="26"/>
        </w:rPr>
        <w:t>1</w:t>
      </w:r>
      <w:r w:rsidR="0094527D" w:rsidRPr="00C90A68">
        <w:rPr>
          <w:rFonts w:ascii="Palatino Linotype" w:hAnsi="Palatino Linotype" w:cs="Arial"/>
          <w:b/>
          <w:sz w:val="26"/>
          <w:szCs w:val="26"/>
        </w:rPr>
        <w:t>3775</w:t>
      </w:r>
      <w:r w:rsidR="00DA1029" w:rsidRPr="00C90A68">
        <w:rPr>
          <w:rFonts w:ascii="Palatino Linotype" w:hAnsi="Palatino Linotype" w:cs="Arial"/>
          <w:b/>
          <w:sz w:val="26"/>
          <w:szCs w:val="26"/>
        </w:rPr>
        <w:t>/INFOEM/ICR-</w:t>
      </w:r>
      <w:r w:rsidR="0094527D" w:rsidRPr="00C90A68">
        <w:rPr>
          <w:rFonts w:ascii="Palatino Linotype" w:hAnsi="Palatino Linotype" w:cs="Arial"/>
          <w:b/>
          <w:sz w:val="26"/>
          <w:szCs w:val="26"/>
        </w:rPr>
        <w:t>03</w:t>
      </w:r>
      <w:r w:rsidR="00DA1029" w:rsidRPr="00C90A68">
        <w:rPr>
          <w:rFonts w:ascii="Palatino Linotype" w:hAnsi="Palatino Linotype" w:cs="Arial"/>
          <w:b/>
          <w:sz w:val="26"/>
          <w:szCs w:val="26"/>
        </w:rPr>
        <w:t>/IP/RR/2022</w:t>
      </w:r>
    </w:p>
    <w:p w14:paraId="55143396" w14:textId="6D7EB04F" w:rsidR="00DA1029" w:rsidRPr="00C90A68" w:rsidRDefault="00E7255E" w:rsidP="000956B7">
      <w:pPr>
        <w:spacing w:after="0" w:line="360" w:lineRule="auto"/>
        <w:jc w:val="both"/>
        <w:rPr>
          <w:rFonts w:ascii="Palatino Linotype" w:hAnsi="Palatino Linotype" w:cs="Arial"/>
          <w:sz w:val="24"/>
          <w:szCs w:val="24"/>
          <w:lang w:val="es-ES_tradnl"/>
        </w:rPr>
      </w:pPr>
      <w:r w:rsidRPr="00C90A68">
        <w:rPr>
          <w:rFonts w:ascii="Palatino Linotype" w:hAnsi="Palatino Linotype" w:cs="Arial"/>
          <w:sz w:val="24"/>
          <w:szCs w:val="24"/>
          <w:lang w:val="es-ES_tradnl"/>
        </w:rPr>
        <w:t xml:space="preserve">El </w:t>
      </w:r>
      <w:r w:rsidR="0094527D" w:rsidRPr="00C90A68">
        <w:rPr>
          <w:rFonts w:ascii="Palatino Linotype" w:hAnsi="Palatino Linotype" w:cs="Arial"/>
          <w:sz w:val="24"/>
          <w:szCs w:val="24"/>
          <w:lang w:val="es-ES_tradnl"/>
        </w:rPr>
        <w:t>dieciséis de enero</w:t>
      </w:r>
      <w:r w:rsidR="00DA1029" w:rsidRPr="00C90A68">
        <w:rPr>
          <w:rFonts w:ascii="Palatino Linotype" w:hAnsi="Palatino Linotype" w:cs="Arial"/>
          <w:sz w:val="24"/>
          <w:szCs w:val="24"/>
          <w:lang w:val="es-ES_tradnl"/>
        </w:rPr>
        <w:t xml:space="preserve"> de dos mil veintitrés</w:t>
      </w:r>
      <w:r w:rsidRPr="00C90A68">
        <w:rPr>
          <w:rFonts w:ascii="Palatino Linotype" w:hAnsi="Palatino Linotype" w:cs="Arial"/>
          <w:sz w:val="24"/>
          <w:szCs w:val="24"/>
          <w:lang w:val="es-ES_tradnl"/>
        </w:rPr>
        <w:t xml:space="preserve">, se acordó la admisión del recurso de revisión interpuesto por el </w:t>
      </w:r>
      <w:r w:rsidRPr="00C90A68">
        <w:rPr>
          <w:rFonts w:ascii="Palatino Linotype" w:hAnsi="Palatino Linotype" w:cs="Arial"/>
          <w:b/>
          <w:sz w:val="24"/>
          <w:szCs w:val="24"/>
          <w:lang w:val="es-ES_tradnl"/>
        </w:rPr>
        <w:t>Recurrente</w:t>
      </w:r>
      <w:r w:rsidRPr="00C90A68">
        <w:rPr>
          <w:rFonts w:ascii="Palatino Linotype" w:hAnsi="Palatino Linotype" w:cs="Arial"/>
          <w:sz w:val="24"/>
          <w:szCs w:val="24"/>
          <w:lang w:val="es-ES_tradnl"/>
        </w:rPr>
        <w:t xml:space="preserve"> en contra del </w:t>
      </w:r>
      <w:r w:rsidRPr="00C90A68">
        <w:rPr>
          <w:rFonts w:ascii="Palatino Linotype" w:hAnsi="Palatino Linotype" w:cs="Arial"/>
          <w:b/>
          <w:sz w:val="24"/>
          <w:szCs w:val="24"/>
          <w:lang w:val="es-ES_tradnl"/>
        </w:rPr>
        <w:t>Sujeto</w:t>
      </w:r>
      <w:r w:rsidRPr="00C90A68">
        <w:rPr>
          <w:rFonts w:ascii="Palatino Linotype" w:hAnsi="Palatino Linotype" w:cs="Arial"/>
          <w:sz w:val="24"/>
          <w:szCs w:val="24"/>
          <w:lang w:val="es-ES_tradnl"/>
        </w:rPr>
        <w:t xml:space="preserve"> </w:t>
      </w:r>
      <w:r w:rsidRPr="00C90A68">
        <w:rPr>
          <w:rFonts w:ascii="Palatino Linotype" w:hAnsi="Palatino Linotype" w:cs="Arial"/>
          <w:b/>
          <w:sz w:val="24"/>
          <w:szCs w:val="24"/>
          <w:lang w:val="es-ES_tradnl"/>
        </w:rPr>
        <w:t>Obligado</w:t>
      </w:r>
      <w:r w:rsidRPr="00C90A68">
        <w:rPr>
          <w:rFonts w:ascii="Palatino Linotype" w:hAnsi="Palatino Linotype" w:cs="Arial"/>
          <w:sz w:val="24"/>
          <w:szCs w:val="24"/>
          <w:lang w:val="es-ES_tradnl"/>
        </w:rPr>
        <w:t xml:space="preserve">,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030BE2FA" w14:textId="41C59798" w:rsidR="00DA1029" w:rsidRPr="00C90A68" w:rsidRDefault="00DA1029" w:rsidP="000956B7">
      <w:pPr>
        <w:spacing w:after="0" w:line="360" w:lineRule="auto"/>
        <w:jc w:val="both"/>
        <w:rPr>
          <w:rFonts w:ascii="Palatino Linotype" w:hAnsi="Palatino Linotype" w:cs="Arial"/>
          <w:sz w:val="24"/>
          <w:szCs w:val="24"/>
          <w:lang w:val="es-ES_tradnl"/>
        </w:rPr>
      </w:pPr>
    </w:p>
    <w:p w14:paraId="663C5A0E" w14:textId="0088E447" w:rsidR="003336BF" w:rsidRPr="00C90A68" w:rsidRDefault="003336BF" w:rsidP="003336BF">
      <w:pPr>
        <w:spacing w:after="0" w:line="360" w:lineRule="auto"/>
        <w:jc w:val="both"/>
        <w:rPr>
          <w:rFonts w:ascii="Palatino Linotype" w:hAnsi="Palatino Linotype" w:cs="Arial"/>
          <w:sz w:val="24"/>
          <w:szCs w:val="24"/>
          <w:lang w:val="es-ES_tradnl"/>
        </w:rPr>
      </w:pPr>
      <w:r w:rsidRPr="00C90A68">
        <w:rPr>
          <w:rFonts w:ascii="Palatino Linotype" w:hAnsi="Palatino Linotype" w:cs="Arial"/>
          <w:b/>
          <w:sz w:val="28"/>
          <w:szCs w:val="28"/>
        </w:rPr>
        <w:t>OCTAVO. De la etapa de manifestaciones y cierre de instrucción.</w:t>
      </w:r>
    </w:p>
    <w:p w14:paraId="54558247" w14:textId="77777777" w:rsidR="003336BF" w:rsidRPr="00C90A68" w:rsidRDefault="003336BF" w:rsidP="000956B7">
      <w:pPr>
        <w:spacing w:after="0" w:line="360" w:lineRule="auto"/>
        <w:jc w:val="both"/>
        <w:rPr>
          <w:rFonts w:ascii="Palatino Linotype" w:hAnsi="Palatino Linotype" w:cs="Arial"/>
          <w:sz w:val="24"/>
          <w:szCs w:val="24"/>
          <w:lang w:val="es-ES_tradnl"/>
        </w:rPr>
      </w:pPr>
    </w:p>
    <w:p w14:paraId="7A0F505B" w14:textId="11366293" w:rsidR="00DA1029" w:rsidRPr="00C90A68" w:rsidRDefault="00DA1029" w:rsidP="000956B7">
      <w:pPr>
        <w:spacing w:after="0" w:line="360" w:lineRule="auto"/>
        <w:jc w:val="both"/>
        <w:rPr>
          <w:rFonts w:ascii="Palatino Linotype" w:hAnsi="Palatino Linotype" w:cs="Arial"/>
          <w:sz w:val="24"/>
          <w:szCs w:val="24"/>
          <w:lang w:val="es-ES_tradnl"/>
        </w:rPr>
      </w:pPr>
      <w:r w:rsidRPr="00C90A68">
        <w:rPr>
          <w:rFonts w:ascii="Palatino Linotype" w:hAnsi="Palatino Linotype" w:cs="Arial"/>
          <w:sz w:val="24"/>
          <w:szCs w:val="24"/>
          <w:lang w:val="es-ES_tradnl"/>
        </w:rPr>
        <w:t xml:space="preserve">Cabe señalar, que las partes fueron omisas en emitir manifestaciones o alegatos, por lo que en fecha </w:t>
      </w:r>
      <w:r w:rsidR="0094527D" w:rsidRPr="00C90A68">
        <w:rPr>
          <w:rFonts w:ascii="Palatino Linotype" w:hAnsi="Palatino Linotype" w:cs="Arial"/>
          <w:sz w:val="24"/>
          <w:szCs w:val="24"/>
          <w:lang w:val="es-ES_tradnl"/>
        </w:rPr>
        <w:t>primero de febrero</w:t>
      </w:r>
      <w:r w:rsidRPr="00C90A68">
        <w:rPr>
          <w:rFonts w:ascii="Palatino Linotype" w:hAnsi="Palatino Linotype" w:cs="Arial"/>
          <w:sz w:val="24"/>
          <w:szCs w:val="24"/>
          <w:lang w:val="es-ES_tradnl"/>
        </w:rPr>
        <w:t xml:space="preserve"> de dos mil veintitrés, al no existir diligencias pendientes por desahogar, se emiti</w:t>
      </w:r>
      <w:r w:rsidR="0094527D" w:rsidRPr="00C90A68">
        <w:rPr>
          <w:rFonts w:ascii="Palatino Linotype" w:hAnsi="Palatino Linotype" w:cs="Arial"/>
          <w:sz w:val="24"/>
          <w:szCs w:val="24"/>
          <w:lang w:val="es-ES_tradnl"/>
        </w:rPr>
        <w:t>ó</w:t>
      </w:r>
      <w:r w:rsidRPr="00C90A68">
        <w:rPr>
          <w:rFonts w:ascii="Palatino Linotype" w:hAnsi="Palatino Linotype" w:cs="Arial"/>
          <w:sz w:val="24"/>
          <w:szCs w:val="24"/>
          <w:lang w:val="es-ES_tradnl"/>
        </w:rPr>
        <w:t xml:space="preserve"> acuerdo</w:t>
      </w:r>
      <w:r w:rsidR="0094527D" w:rsidRPr="00C90A68">
        <w:rPr>
          <w:rFonts w:ascii="Palatino Linotype" w:hAnsi="Palatino Linotype" w:cs="Arial"/>
          <w:sz w:val="24"/>
          <w:szCs w:val="24"/>
          <w:lang w:val="es-ES_tradnl"/>
        </w:rPr>
        <w:t xml:space="preserve"> </w:t>
      </w:r>
      <w:r w:rsidRPr="00C90A68">
        <w:rPr>
          <w:rFonts w:ascii="Palatino Linotype" w:hAnsi="Palatino Linotype" w:cs="Arial"/>
          <w:sz w:val="24"/>
          <w:szCs w:val="24"/>
          <w:lang w:val="es-ES_tradnl"/>
        </w:rPr>
        <w:t>por medio d</w:t>
      </w:r>
      <w:r w:rsidR="0094527D" w:rsidRPr="00C90A68">
        <w:rPr>
          <w:rFonts w:ascii="Palatino Linotype" w:hAnsi="Palatino Linotype" w:cs="Arial"/>
          <w:sz w:val="24"/>
          <w:szCs w:val="24"/>
          <w:lang w:val="es-ES_tradnl"/>
        </w:rPr>
        <w:t>el</w:t>
      </w:r>
      <w:r w:rsidRPr="00C90A68">
        <w:rPr>
          <w:rFonts w:ascii="Palatino Linotype" w:hAnsi="Palatino Linotype" w:cs="Arial"/>
          <w:sz w:val="24"/>
          <w:szCs w:val="24"/>
          <w:lang w:val="es-ES_tradnl"/>
        </w:rPr>
        <w:t xml:space="preserve"> cual se declaró cerrada la instrucción y se determinó pasar los expedientes a resolución, en términos de lo dispuesto en los artículos 185, fracciones VI y VIII de la Ley de Transparencia y Acceso a la Información Pública del Estado de México y Municipios, mismos que fueron notificados el mismo día, a través del Sistema de Acceso a la Información Mexiquense (SAIMEX).</w:t>
      </w:r>
    </w:p>
    <w:p w14:paraId="388AB476" w14:textId="77777777" w:rsidR="00E7255E" w:rsidRPr="00C90A68" w:rsidRDefault="00E7255E" w:rsidP="000956B7">
      <w:pPr>
        <w:spacing w:after="0" w:line="360" w:lineRule="auto"/>
        <w:jc w:val="both"/>
        <w:rPr>
          <w:rFonts w:ascii="Palatino Linotype" w:hAnsi="Palatino Linotype" w:cs="Arial"/>
          <w:sz w:val="24"/>
          <w:szCs w:val="24"/>
          <w:lang w:val="es-ES_tradnl"/>
        </w:rPr>
      </w:pPr>
    </w:p>
    <w:p w14:paraId="3C39F7F2" w14:textId="4D84DB7F" w:rsidR="00DA1029" w:rsidRPr="00C90A68" w:rsidRDefault="003336BF" w:rsidP="000956B7">
      <w:pPr>
        <w:spacing w:after="0" w:line="360" w:lineRule="auto"/>
        <w:jc w:val="both"/>
        <w:rPr>
          <w:rFonts w:ascii="Palatino Linotype" w:hAnsi="Palatino Linotype" w:cs="Arial"/>
          <w:b/>
          <w:sz w:val="28"/>
          <w:szCs w:val="28"/>
        </w:rPr>
      </w:pPr>
      <w:r w:rsidRPr="00C90A68">
        <w:rPr>
          <w:rFonts w:ascii="Palatino Linotype" w:hAnsi="Palatino Linotype" w:cs="Arial"/>
          <w:b/>
          <w:sz w:val="28"/>
          <w:szCs w:val="28"/>
        </w:rPr>
        <w:lastRenderedPageBreak/>
        <w:t>NOVENO</w:t>
      </w:r>
      <w:r w:rsidR="00E7255E" w:rsidRPr="00C90A68">
        <w:rPr>
          <w:rFonts w:ascii="Palatino Linotype" w:hAnsi="Palatino Linotype" w:cs="Arial"/>
          <w:b/>
          <w:sz w:val="28"/>
          <w:szCs w:val="28"/>
        </w:rPr>
        <w:t>.</w:t>
      </w:r>
      <w:r w:rsidR="00DA1029" w:rsidRPr="00C90A68">
        <w:rPr>
          <w:rFonts w:ascii="Palatino Linotype" w:hAnsi="Palatino Linotype" w:cs="Arial"/>
          <w:b/>
          <w:sz w:val="28"/>
          <w:szCs w:val="28"/>
        </w:rPr>
        <w:t xml:space="preserve"> De la ampliación del término para emitir resolución.</w:t>
      </w:r>
    </w:p>
    <w:p w14:paraId="16E9DA08" w14:textId="3AB16C10" w:rsidR="00E7255E" w:rsidRPr="00C90A68" w:rsidRDefault="00E7255E" w:rsidP="000956B7">
      <w:pPr>
        <w:spacing w:after="0" w:line="360" w:lineRule="auto"/>
        <w:jc w:val="both"/>
        <w:rPr>
          <w:rFonts w:ascii="Palatino Linotype" w:hAnsi="Palatino Linotype" w:cs="Arial"/>
          <w:sz w:val="24"/>
          <w:szCs w:val="24"/>
        </w:rPr>
      </w:pPr>
      <w:r w:rsidRPr="00C90A68">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sidR="0094527D" w:rsidRPr="00C90A68">
        <w:rPr>
          <w:rFonts w:ascii="Palatino Linotype" w:hAnsi="Palatino Linotype" w:cs="Arial"/>
          <w:sz w:val="24"/>
          <w:szCs w:val="24"/>
        </w:rPr>
        <w:t>veintiuno de marzo</w:t>
      </w:r>
      <w:r w:rsidR="00FA21CD" w:rsidRPr="00C90A68">
        <w:rPr>
          <w:rFonts w:ascii="Palatino Linotype" w:hAnsi="Palatino Linotype" w:cs="Arial"/>
          <w:sz w:val="24"/>
          <w:szCs w:val="24"/>
        </w:rPr>
        <w:t xml:space="preserve"> </w:t>
      </w:r>
      <w:r w:rsidR="00DA1029" w:rsidRPr="00C90A68">
        <w:rPr>
          <w:rFonts w:ascii="Palatino Linotype" w:hAnsi="Palatino Linotype" w:cs="Arial"/>
          <w:sz w:val="24"/>
          <w:szCs w:val="24"/>
        </w:rPr>
        <w:t xml:space="preserve">de </w:t>
      </w:r>
      <w:r w:rsidRPr="00C90A68">
        <w:rPr>
          <w:rFonts w:ascii="Palatino Linotype" w:hAnsi="Palatino Linotype" w:cs="Arial"/>
          <w:sz w:val="24"/>
          <w:szCs w:val="24"/>
        </w:rPr>
        <w:t>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70C7200" w14:textId="77777777" w:rsidR="0025784D" w:rsidRPr="00C90A68" w:rsidRDefault="0025784D" w:rsidP="000956B7">
      <w:pPr>
        <w:spacing w:after="0" w:line="360" w:lineRule="auto"/>
        <w:jc w:val="both"/>
        <w:rPr>
          <w:rFonts w:ascii="Palatino Linotype" w:hAnsi="Palatino Linotype" w:cs="Arial"/>
          <w:sz w:val="24"/>
          <w:szCs w:val="24"/>
        </w:rPr>
      </w:pPr>
    </w:p>
    <w:p w14:paraId="3CE6AFED" w14:textId="77777777" w:rsidR="00FA21CD" w:rsidRPr="00C90A68" w:rsidRDefault="00FA21CD" w:rsidP="00FA21CD">
      <w:pPr>
        <w:spacing w:after="0" w:line="360" w:lineRule="auto"/>
        <w:ind w:right="49"/>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8F7EC96" w14:textId="77777777" w:rsidR="00FA21CD" w:rsidRPr="00C90A68" w:rsidRDefault="00FA21CD" w:rsidP="00FA21CD">
      <w:pPr>
        <w:spacing w:after="0" w:line="360" w:lineRule="auto"/>
        <w:ind w:right="49"/>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sz w:val="24"/>
          <w:szCs w:val="24"/>
          <w:lang w:val="es-ES" w:eastAsia="es-ES"/>
        </w:rPr>
        <w:t xml:space="preserve"> </w:t>
      </w:r>
    </w:p>
    <w:p w14:paraId="5A3C405C" w14:textId="77777777" w:rsidR="00FA21CD" w:rsidRPr="00C90A68" w:rsidRDefault="00FA21CD" w:rsidP="00FA21CD">
      <w:pPr>
        <w:spacing w:after="0" w:line="360" w:lineRule="auto"/>
        <w:ind w:right="49"/>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47DEBA7" w14:textId="77777777" w:rsidR="00FA21CD" w:rsidRPr="00C90A68" w:rsidRDefault="00FA21CD" w:rsidP="00FA21CD">
      <w:pPr>
        <w:spacing w:after="0" w:line="360" w:lineRule="auto"/>
        <w:ind w:right="49"/>
        <w:jc w:val="both"/>
        <w:rPr>
          <w:rFonts w:ascii="Palatino Linotype" w:eastAsia="Times New Roman" w:hAnsi="Palatino Linotype" w:cs="Arial"/>
          <w:sz w:val="24"/>
          <w:szCs w:val="24"/>
          <w:lang w:val="es-ES" w:eastAsia="es-ES"/>
        </w:rPr>
      </w:pPr>
    </w:p>
    <w:p w14:paraId="7DC64486" w14:textId="77777777" w:rsidR="00FA21CD" w:rsidRPr="00C90A68" w:rsidRDefault="00FA21CD" w:rsidP="00FA21CD">
      <w:pPr>
        <w:spacing w:after="0" w:line="360" w:lineRule="auto"/>
        <w:ind w:right="49"/>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sz w:val="24"/>
          <w:szCs w:val="24"/>
          <w:lang w:val="es-ES" w:eastAsia="es-E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A3FC73C" w14:textId="77777777" w:rsidR="00FA21CD" w:rsidRPr="00C90A68" w:rsidRDefault="00FA21CD" w:rsidP="00FA21CD">
      <w:pPr>
        <w:spacing w:after="0" w:line="360" w:lineRule="auto"/>
        <w:ind w:right="49"/>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sz w:val="24"/>
          <w:szCs w:val="24"/>
          <w:lang w:val="es-ES" w:eastAsia="es-ES"/>
        </w:rPr>
        <w:t xml:space="preserve"> </w:t>
      </w:r>
    </w:p>
    <w:p w14:paraId="3BCB1AB2" w14:textId="77777777" w:rsidR="00FA21CD" w:rsidRPr="00C90A68" w:rsidRDefault="00FA21CD" w:rsidP="00FA21CD">
      <w:pPr>
        <w:spacing w:after="0" w:line="360" w:lineRule="auto"/>
        <w:ind w:right="49"/>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9CBE698" w14:textId="77777777" w:rsidR="00FA21CD" w:rsidRPr="00C90A68" w:rsidRDefault="00FA21CD" w:rsidP="00FA21CD">
      <w:pPr>
        <w:spacing w:after="0" w:line="360" w:lineRule="auto"/>
        <w:ind w:right="49"/>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sz w:val="24"/>
          <w:szCs w:val="24"/>
          <w:lang w:val="es-ES" w:eastAsia="es-ES"/>
        </w:rPr>
        <w:t xml:space="preserve"> </w:t>
      </w:r>
    </w:p>
    <w:p w14:paraId="1E5A3D72" w14:textId="77777777" w:rsidR="00FA21CD" w:rsidRPr="00C90A68" w:rsidRDefault="00FA21CD" w:rsidP="00FA21CD">
      <w:pPr>
        <w:spacing w:after="0" w:line="360" w:lineRule="auto"/>
        <w:ind w:right="49"/>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sz w:val="24"/>
          <w:szCs w:val="24"/>
          <w:lang w:val="es-ES" w:eastAsia="es-ES"/>
        </w:rPr>
        <w:t>Por ello, excepcionalmente, si un asunto es resuelto con posterioridad a los plazos señalados por la norma debe analizarse la razonabilidad del tiempo necesario para su resolución, atentos a los siguientes criterios:</w:t>
      </w:r>
    </w:p>
    <w:p w14:paraId="06F40B5F" w14:textId="77777777" w:rsidR="00FA21CD" w:rsidRPr="00C90A68" w:rsidRDefault="00FA21CD" w:rsidP="00FA21CD">
      <w:pPr>
        <w:spacing w:after="0" w:line="360" w:lineRule="auto"/>
        <w:ind w:right="49"/>
        <w:jc w:val="both"/>
        <w:rPr>
          <w:rFonts w:ascii="Palatino Linotype" w:eastAsia="Times New Roman" w:hAnsi="Palatino Linotype" w:cs="Arial"/>
          <w:sz w:val="24"/>
          <w:szCs w:val="24"/>
          <w:lang w:val="es-ES" w:eastAsia="es-ES"/>
        </w:rPr>
      </w:pPr>
    </w:p>
    <w:p w14:paraId="5B64DD87" w14:textId="77777777" w:rsidR="00FA21CD" w:rsidRPr="00C90A68" w:rsidRDefault="00FA21CD" w:rsidP="00FA21CD">
      <w:pPr>
        <w:spacing w:after="0" w:line="360" w:lineRule="auto"/>
        <w:ind w:left="993" w:right="49" w:hanging="426"/>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b/>
          <w:sz w:val="24"/>
          <w:szCs w:val="24"/>
          <w:lang w:val="es-ES" w:eastAsia="es-ES"/>
        </w:rPr>
        <w:t xml:space="preserve">a) </w:t>
      </w:r>
      <w:r w:rsidRPr="00C90A68">
        <w:rPr>
          <w:rFonts w:ascii="Palatino Linotype" w:eastAsia="Times New Roman" w:hAnsi="Palatino Linotype" w:cs="Arial"/>
          <w:b/>
          <w:sz w:val="24"/>
          <w:szCs w:val="24"/>
          <w:lang w:val="es-ES" w:eastAsia="es-ES"/>
        </w:rPr>
        <w:tab/>
        <w:t>Complejidad del asunto:</w:t>
      </w:r>
      <w:r w:rsidRPr="00C90A68">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47936FB7" w14:textId="77777777" w:rsidR="00FA21CD" w:rsidRPr="00C90A68" w:rsidRDefault="00FA21CD" w:rsidP="00FA21CD">
      <w:pPr>
        <w:spacing w:after="0" w:line="360" w:lineRule="auto"/>
        <w:ind w:left="993" w:right="49" w:hanging="426"/>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b/>
          <w:sz w:val="24"/>
          <w:szCs w:val="24"/>
          <w:lang w:val="es-ES" w:eastAsia="es-ES"/>
        </w:rPr>
        <w:t xml:space="preserve">b) </w:t>
      </w:r>
      <w:r w:rsidRPr="00C90A68">
        <w:rPr>
          <w:rFonts w:ascii="Palatino Linotype" w:eastAsia="Times New Roman" w:hAnsi="Palatino Linotype" w:cs="Arial"/>
          <w:b/>
          <w:sz w:val="24"/>
          <w:szCs w:val="24"/>
          <w:lang w:val="es-ES" w:eastAsia="es-ES"/>
        </w:rPr>
        <w:tab/>
        <w:t>Actividad Procesal del interesado:</w:t>
      </w:r>
      <w:r w:rsidRPr="00C90A68">
        <w:rPr>
          <w:rFonts w:ascii="Palatino Linotype" w:eastAsia="Times New Roman" w:hAnsi="Palatino Linotype" w:cs="Arial"/>
          <w:sz w:val="24"/>
          <w:szCs w:val="24"/>
          <w:lang w:val="es-ES" w:eastAsia="es-ES"/>
        </w:rPr>
        <w:t xml:space="preserve"> Acciones u omisiones del interesado.</w:t>
      </w:r>
    </w:p>
    <w:p w14:paraId="7E3199FE" w14:textId="77777777" w:rsidR="00FA21CD" w:rsidRPr="00C90A68" w:rsidRDefault="00FA21CD" w:rsidP="00FA21CD">
      <w:pPr>
        <w:spacing w:after="0" w:line="360" w:lineRule="auto"/>
        <w:ind w:left="993" w:right="49" w:hanging="426"/>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b/>
          <w:sz w:val="24"/>
          <w:szCs w:val="24"/>
          <w:lang w:val="es-ES" w:eastAsia="es-ES"/>
        </w:rPr>
        <w:t xml:space="preserve">c) </w:t>
      </w:r>
      <w:r w:rsidRPr="00C90A68">
        <w:rPr>
          <w:rFonts w:ascii="Palatino Linotype" w:eastAsia="Times New Roman" w:hAnsi="Palatino Linotype" w:cs="Arial"/>
          <w:b/>
          <w:sz w:val="24"/>
          <w:szCs w:val="24"/>
          <w:lang w:val="es-ES" w:eastAsia="es-ES"/>
        </w:rPr>
        <w:tab/>
        <w:t>Conducta de la Autoridad:</w:t>
      </w:r>
      <w:r w:rsidRPr="00C90A68">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4FED8F4C" w14:textId="77777777" w:rsidR="00FA21CD" w:rsidRPr="00C90A68" w:rsidRDefault="00FA21CD" w:rsidP="00FA21CD">
      <w:pPr>
        <w:spacing w:after="0" w:line="360" w:lineRule="auto"/>
        <w:ind w:left="993" w:right="49" w:hanging="426"/>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b/>
          <w:sz w:val="24"/>
          <w:szCs w:val="24"/>
          <w:lang w:val="es-ES" w:eastAsia="es-ES"/>
        </w:rPr>
        <w:t xml:space="preserve">d) </w:t>
      </w:r>
      <w:r w:rsidRPr="00C90A68">
        <w:rPr>
          <w:rFonts w:ascii="Palatino Linotype" w:eastAsia="Times New Roman" w:hAnsi="Palatino Linotype" w:cs="Arial"/>
          <w:b/>
          <w:sz w:val="24"/>
          <w:szCs w:val="24"/>
          <w:lang w:val="es-ES" w:eastAsia="es-ES"/>
        </w:rPr>
        <w:tab/>
        <w:t>La afectación generada en la situación jurídica de la persona involucrada en el proceso:</w:t>
      </w:r>
      <w:r w:rsidRPr="00C90A68">
        <w:rPr>
          <w:rFonts w:ascii="Palatino Linotype" w:eastAsia="Times New Roman" w:hAnsi="Palatino Linotype" w:cs="Arial"/>
          <w:sz w:val="24"/>
          <w:szCs w:val="24"/>
          <w:lang w:val="es-ES" w:eastAsia="es-ES"/>
        </w:rPr>
        <w:t xml:space="preserve"> Violación a sus derechos humanos.</w:t>
      </w:r>
    </w:p>
    <w:p w14:paraId="679F3158" w14:textId="77777777" w:rsidR="00FA21CD" w:rsidRPr="00C90A68" w:rsidRDefault="00FA21CD" w:rsidP="00FA21CD">
      <w:pPr>
        <w:spacing w:after="0" w:line="360" w:lineRule="auto"/>
        <w:ind w:right="49"/>
        <w:jc w:val="both"/>
        <w:rPr>
          <w:rFonts w:ascii="Palatino Linotype" w:eastAsia="Times New Roman" w:hAnsi="Palatino Linotype" w:cs="Arial"/>
          <w:sz w:val="24"/>
          <w:szCs w:val="24"/>
          <w:lang w:val="es-ES" w:eastAsia="es-ES"/>
        </w:rPr>
      </w:pPr>
    </w:p>
    <w:p w14:paraId="6134FBE5" w14:textId="77777777" w:rsidR="00FA21CD" w:rsidRPr="00C90A68" w:rsidRDefault="00FA21CD" w:rsidP="00FA21CD">
      <w:pPr>
        <w:spacing w:after="0" w:line="360" w:lineRule="auto"/>
        <w:ind w:right="49"/>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B074DB" w14:textId="77777777" w:rsidR="00FA21CD" w:rsidRPr="00C90A68" w:rsidRDefault="00FA21CD" w:rsidP="00FA21CD">
      <w:pPr>
        <w:spacing w:after="0" w:line="360" w:lineRule="auto"/>
        <w:ind w:right="49"/>
        <w:jc w:val="both"/>
        <w:rPr>
          <w:rFonts w:ascii="Palatino Linotype" w:eastAsia="Times New Roman" w:hAnsi="Palatino Linotype" w:cs="Arial"/>
          <w:sz w:val="24"/>
          <w:szCs w:val="24"/>
          <w:lang w:val="es-ES" w:eastAsia="es-ES"/>
        </w:rPr>
      </w:pPr>
    </w:p>
    <w:p w14:paraId="347FC848" w14:textId="77777777" w:rsidR="00FA21CD" w:rsidRPr="00C90A68" w:rsidRDefault="00FA21CD" w:rsidP="00FA21CD">
      <w:pPr>
        <w:spacing w:after="0" w:line="360" w:lineRule="auto"/>
        <w:ind w:right="49"/>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5333A04" w14:textId="77777777" w:rsidR="00FA21CD" w:rsidRPr="00C90A68" w:rsidRDefault="00FA21CD" w:rsidP="00FA21CD">
      <w:pPr>
        <w:spacing w:after="0" w:line="360" w:lineRule="auto"/>
        <w:ind w:right="49"/>
        <w:jc w:val="both"/>
        <w:rPr>
          <w:rFonts w:ascii="Palatino Linotype" w:eastAsia="Times New Roman" w:hAnsi="Palatino Linotype" w:cs="Arial"/>
          <w:sz w:val="24"/>
          <w:szCs w:val="24"/>
          <w:lang w:val="es-ES" w:eastAsia="es-ES"/>
        </w:rPr>
      </w:pPr>
    </w:p>
    <w:p w14:paraId="39456659" w14:textId="77777777" w:rsidR="00FA21CD" w:rsidRPr="00C90A68" w:rsidRDefault="00FA21CD" w:rsidP="00FA21CD">
      <w:pPr>
        <w:spacing w:after="0" w:line="360" w:lineRule="auto"/>
        <w:ind w:right="49"/>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13DCEF4" w14:textId="77777777" w:rsidR="00443285" w:rsidRPr="00C90A68" w:rsidRDefault="00443285" w:rsidP="00FA21CD">
      <w:pPr>
        <w:spacing w:after="0" w:line="360" w:lineRule="auto"/>
        <w:ind w:right="49"/>
        <w:jc w:val="both"/>
        <w:rPr>
          <w:rFonts w:ascii="Palatino Linotype" w:eastAsia="Times New Roman" w:hAnsi="Palatino Linotype" w:cs="Arial"/>
          <w:sz w:val="24"/>
          <w:szCs w:val="24"/>
          <w:lang w:val="es-ES" w:eastAsia="es-ES"/>
        </w:rPr>
      </w:pPr>
    </w:p>
    <w:p w14:paraId="36743555" w14:textId="77777777" w:rsidR="00FA21CD" w:rsidRPr="00C90A68" w:rsidRDefault="00FA21CD" w:rsidP="00FA21CD">
      <w:pPr>
        <w:spacing w:after="0" w:line="360" w:lineRule="auto"/>
        <w:ind w:right="49"/>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232EBEEB" w14:textId="77777777" w:rsidR="00FA21CD" w:rsidRPr="00C90A68" w:rsidRDefault="00FA21CD" w:rsidP="00FA21CD">
      <w:pPr>
        <w:spacing w:after="0" w:line="360" w:lineRule="auto"/>
        <w:ind w:right="49"/>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sz w:val="24"/>
          <w:szCs w:val="24"/>
          <w:lang w:val="es-ES" w:eastAsia="es-ES"/>
        </w:rPr>
        <w:t xml:space="preserve"> </w:t>
      </w:r>
    </w:p>
    <w:p w14:paraId="535F0A52" w14:textId="77777777" w:rsidR="00FA21CD" w:rsidRPr="00C90A68" w:rsidRDefault="00FA21CD" w:rsidP="00FA21CD">
      <w:pPr>
        <w:spacing w:after="0" w:line="360" w:lineRule="auto"/>
        <w:ind w:right="49"/>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001BDA8A" w14:textId="77777777" w:rsidR="00FA21CD" w:rsidRPr="00C90A68" w:rsidRDefault="00FA21CD" w:rsidP="00FA21CD">
      <w:pPr>
        <w:spacing w:after="0" w:line="360" w:lineRule="auto"/>
        <w:ind w:right="49"/>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sz w:val="24"/>
          <w:szCs w:val="24"/>
          <w:lang w:val="es-ES" w:eastAsia="es-ES"/>
        </w:rPr>
        <w:t xml:space="preserve"> </w:t>
      </w:r>
    </w:p>
    <w:p w14:paraId="479B7F14" w14:textId="77777777" w:rsidR="00FA21CD" w:rsidRPr="00C90A68" w:rsidRDefault="00FA21CD" w:rsidP="00FA21CD">
      <w:pPr>
        <w:spacing w:after="0" w:line="360" w:lineRule="auto"/>
        <w:ind w:right="49"/>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10FC56B5" w14:textId="77777777" w:rsidR="00FA21CD" w:rsidRPr="00C90A68" w:rsidRDefault="00FA21CD" w:rsidP="00FA21CD">
      <w:pPr>
        <w:spacing w:after="0" w:line="360" w:lineRule="auto"/>
        <w:ind w:right="49"/>
        <w:jc w:val="both"/>
        <w:rPr>
          <w:rFonts w:ascii="Palatino Linotype" w:eastAsia="Times New Roman" w:hAnsi="Palatino Linotype" w:cs="Arial"/>
          <w:sz w:val="24"/>
          <w:szCs w:val="24"/>
          <w:lang w:val="es-ES" w:eastAsia="es-ES"/>
        </w:rPr>
      </w:pPr>
    </w:p>
    <w:p w14:paraId="3366FCC8" w14:textId="77777777" w:rsidR="00FA21CD" w:rsidRPr="00C90A68" w:rsidRDefault="00FA21CD" w:rsidP="00FA21CD">
      <w:pPr>
        <w:spacing w:after="0" w:line="360" w:lineRule="auto"/>
        <w:ind w:right="49"/>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245E1397" w14:textId="77777777" w:rsidR="00E7255E" w:rsidRPr="00C90A68" w:rsidRDefault="00E7255E" w:rsidP="000956B7">
      <w:pPr>
        <w:spacing w:after="0" w:line="360" w:lineRule="auto"/>
        <w:jc w:val="both"/>
        <w:rPr>
          <w:rFonts w:ascii="Palatino Linotype" w:hAnsi="Palatino Linotype" w:cs="Arial"/>
          <w:sz w:val="24"/>
          <w:szCs w:val="24"/>
          <w:lang w:val="es-ES_tradnl"/>
        </w:rPr>
      </w:pPr>
    </w:p>
    <w:p w14:paraId="4822418D" w14:textId="77777777" w:rsidR="00E7255E" w:rsidRPr="00C90A68" w:rsidRDefault="00E7255E" w:rsidP="000956B7">
      <w:pPr>
        <w:spacing w:after="0" w:line="360" w:lineRule="auto"/>
        <w:jc w:val="center"/>
        <w:rPr>
          <w:rFonts w:ascii="Palatino Linotype" w:hAnsi="Palatino Linotype" w:cs="Arial"/>
          <w:b/>
          <w:sz w:val="28"/>
          <w:szCs w:val="24"/>
        </w:rPr>
      </w:pPr>
      <w:r w:rsidRPr="00C90A68">
        <w:rPr>
          <w:rFonts w:ascii="Palatino Linotype" w:hAnsi="Palatino Linotype" w:cs="Arial"/>
          <w:b/>
          <w:sz w:val="28"/>
          <w:szCs w:val="24"/>
        </w:rPr>
        <w:t xml:space="preserve">C O N S I D E R A N D O </w:t>
      </w:r>
    </w:p>
    <w:p w14:paraId="653992D1" w14:textId="77777777" w:rsidR="00E7255E" w:rsidRPr="00C90A68" w:rsidRDefault="00E7255E" w:rsidP="000956B7">
      <w:pPr>
        <w:spacing w:after="0" w:line="360" w:lineRule="auto"/>
        <w:jc w:val="center"/>
        <w:rPr>
          <w:rFonts w:ascii="Palatino Linotype" w:hAnsi="Palatino Linotype" w:cs="Arial"/>
          <w:b/>
          <w:sz w:val="24"/>
          <w:szCs w:val="24"/>
        </w:rPr>
      </w:pPr>
    </w:p>
    <w:p w14:paraId="6CC23889" w14:textId="77777777" w:rsidR="00E7255E" w:rsidRPr="00C90A68" w:rsidRDefault="00E7255E" w:rsidP="000956B7">
      <w:pPr>
        <w:spacing w:after="0" w:line="360" w:lineRule="auto"/>
        <w:jc w:val="both"/>
        <w:rPr>
          <w:rFonts w:ascii="Palatino Linotype" w:hAnsi="Palatino Linotype" w:cs="Arial"/>
          <w:sz w:val="28"/>
          <w:szCs w:val="28"/>
        </w:rPr>
      </w:pPr>
      <w:r w:rsidRPr="00C90A68">
        <w:rPr>
          <w:rFonts w:ascii="Palatino Linotype" w:hAnsi="Palatino Linotype" w:cs="Arial"/>
          <w:b/>
          <w:sz w:val="28"/>
          <w:szCs w:val="28"/>
        </w:rPr>
        <w:t>PRIMERO. De la competencia</w:t>
      </w:r>
      <w:r w:rsidRPr="00C90A68">
        <w:rPr>
          <w:rFonts w:ascii="Palatino Linotype" w:hAnsi="Palatino Linotype" w:cs="Arial"/>
          <w:sz w:val="28"/>
          <w:szCs w:val="28"/>
        </w:rPr>
        <w:t>.</w:t>
      </w:r>
    </w:p>
    <w:p w14:paraId="71FFCD16" w14:textId="3067D835" w:rsidR="00E7255E" w:rsidRPr="00C90A68" w:rsidRDefault="00DA1029" w:rsidP="000956B7">
      <w:pPr>
        <w:spacing w:after="0" w:line="360" w:lineRule="auto"/>
        <w:jc w:val="both"/>
        <w:rPr>
          <w:rFonts w:ascii="Palatino Linotype" w:hAnsi="Palatino Linotype" w:cs="Arial"/>
          <w:sz w:val="24"/>
          <w:szCs w:val="24"/>
        </w:rPr>
      </w:pPr>
      <w:r w:rsidRPr="00C90A68">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w:t>
      </w:r>
      <w:r w:rsidR="00141EF9" w:rsidRPr="00C90A68">
        <w:rPr>
          <w:rFonts w:ascii="Palatino Linotype" w:hAnsi="Palatino Linotype" w:cs="Arial"/>
          <w:sz w:val="24"/>
          <w:szCs w:val="24"/>
        </w:rPr>
        <w:t>Mexicanos; 5, párrafos</w:t>
      </w:r>
      <w:r w:rsidRPr="00C90A68">
        <w:rPr>
          <w:rFonts w:ascii="Palatino Linotype" w:hAnsi="Palatino Linotype" w:cs="Arial"/>
          <w:sz w:val="24"/>
          <w:szCs w:val="24"/>
        </w:rPr>
        <w:t xml:space="preserve"> trigésimo </w:t>
      </w:r>
      <w:r w:rsidR="003336BF" w:rsidRPr="00C90A68">
        <w:rPr>
          <w:rFonts w:ascii="Palatino Linotype" w:hAnsi="Palatino Linotype" w:cs="Arial"/>
          <w:sz w:val="24"/>
          <w:szCs w:val="24"/>
        </w:rPr>
        <w:t>segundo</w:t>
      </w:r>
      <w:r w:rsidRPr="00C90A68">
        <w:rPr>
          <w:rFonts w:ascii="Palatino Linotype" w:hAnsi="Palatino Linotype" w:cs="Arial"/>
          <w:sz w:val="24"/>
          <w:szCs w:val="24"/>
        </w:rPr>
        <w:t xml:space="preserve"> y trigésimo </w:t>
      </w:r>
      <w:r w:rsidR="003336BF" w:rsidRPr="00C90A68">
        <w:rPr>
          <w:rFonts w:ascii="Palatino Linotype" w:hAnsi="Palatino Linotype" w:cs="Arial"/>
          <w:sz w:val="24"/>
          <w:szCs w:val="24"/>
        </w:rPr>
        <w:t>tercero</w:t>
      </w:r>
      <w:r w:rsidRPr="00C90A68">
        <w:rPr>
          <w:rFonts w:ascii="Palatino Linotype" w:hAnsi="Palatino Linotype" w:cs="Arial"/>
          <w:sz w:val="24"/>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D6BC5CA" w14:textId="77777777" w:rsidR="00E7255E" w:rsidRPr="00C90A68" w:rsidRDefault="00E7255E" w:rsidP="000956B7">
      <w:pPr>
        <w:spacing w:after="0" w:line="360" w:lineRule="auto"/>
        <w:jc w:val="both"/>
        <w:rPr>
          <w:rFonts w:ascii="Palatino Linotype" w:hAnsi="Palatino Linotype" w:cs="Arial"/>
          <w:sz w:val="24"/>
          <w:szCs w:val="24"/>
        </w:rPr>
      </w:pPr>
    </w:p>
    <w:p w14:paraId="3B39262E" w14:textId="77777777" w:rsidR="00443285" w:rsidRPr="00C90A68" w:rsidRDefault="00443285" w:rsidP="000956B7">
      <w:pPr>
        <w:autoSpaceDE w:val="0"/>
        <w:autoSpaceDN w:val="0"/>
        <w:adjustRightInd w:val="0"/>
        <w:spacing w:after="0" w:line="360" w:lineRule="auto"/>
        <w:jc w:val="both"/>
        <w:rPr>
          <w:rFonts w:ascii="Palatino Linotype" w:hAnsi="Palatino Linotype" w:cs="Arial"/>
          <w:sz w:val="24"/>
          <w:szCs w:val="28"/>
        </w:rPr>
      </w:pPr>
    </w:p>
    <w:p w14:paraId="6C8C7A33" w14:textId="77777777" w:rsidR="00E7255E" w:rsidRPr="00C90A68" w:rsidRDefault="00E7255E" w:rsidP="000956B7">
      <w:pPr>
        <w:autoSpaceDE w:val="0"/>
        <w:autoSpaceDN w:val="0"/>
        <w:adjustRightInd w:val="0"/>
        <w:spacing w:after="0" w:line="360" w:lineRule="auto"/>
        <w:jc w:val="both"/>
        <w:rPr>
          <w:rFonts w:ascii="Palatino Linotype" w:hAnsi="Palatino Linotype" w:cs="Arial"/>
          <w:b/>
          <w:sz w:val="28"/>
          <w:szCs w:val="28"/>
        </w:rPr>
      </w:pPr>
      <w:r w:rsidRPr="00C90A68">
        <w:rPr>
          <w:rFonts w:ascii="Palatino Linotype" w:hAnsi="Palatino Linotype" w:cs="Arial"/>
          <w:b/>
          <w:sz w:val="28"/>
          <w:szCs w:val="28"/>
        </w:rPr>
        <w:t xml:space="preserve">SEGUNDO. Alcances del recurso de revisión. </w:t>
      </w:r>
    </w:p>
    <w:p w14:paraId="6438F0F5" w14:textId="77777777" w:rsidR="00DA1029" w:rsidRPr="00C90A68" w:rsidRDefault="00DA1029" w:rsidP="000956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780DFB6" w14:textId="77777777" w:rsidR="00DA1029" w:rsidRPr="00C90A68" w:rsidRDefault="00DA1029" w:rsidP="000956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133ADC" w14:textId="77777777" w:rsidR="00DA1029" w:rsidRPr="00C90A68" w:rsidRDefault="00DA1029" w:rsidP="000956B7">
      <w:pPr>
        <w:autoSpaceDE w:val="0"/>
        <w:autoSpaceDN w:val="0"/>
        <w:adjustRightInd w:val="0"/>
        <w:spacing w:after="0" w:line="360" w:lineRule="auto"/>
        <w:jc w:val="both"/>
        <w:rPr>
          <w:rFonts w:ascii="Palatino Linotype" w:hAnsi="Palatino Linotype" w:cs="Arial"/>
          <w:sz w:val="24"/>
          <w:szCs w:val="24"/>
        </w:rPr>
      </w:pPr>
      <w:r w:rsidRPr="00C90A6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4AC5D992" w14:textId="77777777" w:rsidR="00DA1029" w:rsidRPr="00C90A68" w:rsidRDefault="00DA1029" w:rsidP="000956B7">
      <w:pPr>
        <w:autoSpaceDE w:val="0"/>
        <w:autoSpaceDN w:val="0"/>
        <w:adjustRightInd w:val="0"/>
        <w:spacing w:after="0" w:line="360" w:lineRule="auto"/>
        <w:jc w:val="both"/>
        <w:rPr>
          <w:rFonts w:ascii="Palatino Linotype" w:hAnsi="Palatino Linotype" w:cs="Arial"/>
          <w:sz w:val="24"/>
          <w:szCs w:val="24"/>
        </w:rPr>
      </w:pPr>
    </w:p>
    <w:p w14:paraId="2338931A" w14:textId="77777777" w:rsidR="00DA1029" w:rsidRPr="00C90A68" w:rsidRDefault="00DA1029" w:rsidP="000956B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90A68">
        <w:rPr>
          <w:rFonts w:ascii="Palatino Linotype" w:eastAsia="Times New Roman" w:hAnsi="Palatino Linotype" w:cs="Arial"/>
          <w:i/>
          <w:lang w:val="es-ES" w:eastAsia="es-ES"/>
        </w:rPr>
        <w:t>“</w:t>
      </w:r>
      <w:r w:rsidRPr="00C90A68">
        <w:rPr>
          <w:rFonts w:ascii="Palatino Linotype" w:eastAsia="Times New Roman" w:hAnsi="Palatino Linotype" w:cs="Arial"/>
          <w:b/>
          <w:i/>
          <w:lang w:val="es-ES" w:eastAsia="es-ES"/>
        </w:rPr>
        <w:t>Artículo 163.</w:t>
      </w:r>
      <w:r w:rsidRPr="00C90A68">
        <w:rPr>
          <w:rFonts w:ascii="Palatino Linotype" w:eastAsia="Times New Roman" w:hAnsi="Palatino Linotype" w:cs="Arial"/>
          <w:i/>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C7016D9" w14:textId="77777777" w:rsidR="00DA1029" w:rsidRPr="00C90A68" w:rsidRDefault="00DA1029" w:rsidP="000956B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90A6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3296AD6" w14:textId="77777777" w:rsidR="00DA1029" w:rsidRPr="00C90A68" w:rsidRDefault="00DA1029" w:rsidP="000956B7">
      <w:pPr>
        <w:autoSpaceDE w:val="0"/>
        <w:autoSpaceDN w:val="0"/>
        <w:adjustRightInd w:val="0"/>
        <w:spacing w:after="0" w:line="360" w:lineRule="auto"/>
        <w:jc w:val="both"/>
        <w:rPr>
          <w:rFonts w:ascii="Palatino Linotype" w:hAnsi="Palatino Linotype" w:cs="Arial"/>
          <w:sz w:val="24"/>
          <w:szCs w:val="24"/>
        </w:rPr>
      </w:pPr>
    </w:p>
    <w:p w14:paraId="66F44BB6" w14:textId="77777777" w:rsidR="00DA1029" w:rsidRPr="00C90A68" w:rsidRDefault="00DA1029" w:rsidP="000956B7">
      <w:pPr>
        <w:autoSpaceDE w:val="0"/>
        <w:autoSpaceDN w:val="0"/>
        <w:adjustRightInd w:val="0"/>
        <w:spacing w:after="0" w:line="360" w:lineRule="auto"/>
        <w:jc w:val="both"/>
        <w:rPr>
          <w:rFonts w:ascii="Palatino Linotype" w:hAnsi="Palatino Linotype" w:cs="Arial"/>
          <w:sz w:val="24"/>
          <w:szCs w:val="24"/>
        </w:rPr>
      </w:pPr>
      <w:r w:rsidRPr="00C90A68">
        <w:rPr>
          <w:rFonts w:ascii="Palatino Linotype" w:hAnsi="Palatino Linotype" w:cs="Arial"/>
          <w:sz w:val="24"/>
          <w:szCs w:val="24"/>
        </w:rPr>
        <w:t xml:space="preserve">De la interpretación al precepto legal inserto, se advierte que el plazo que les asiste a los </w:t>
      </w:r>
      <w:r w:rsidRPr="00C90A68">
        <w:rPr>
          <w:rFonts w:ascii="Palatino Linotype" w:hAnsi="Palatino Linotype" w:cs="Arial"/>
          <w:b/>
          <w:sz w:val="24"/>
          <w:szCs w:val="24"/>
        </w:rPr>
        <w:t>sujetos</w:t>
      </w:r>
      <w:r w:rsidRPr="00C90A68">
        <w:rPr>
          <w:rFonts w:ascii="Palatino Linotype" w:hAnsi="Palatino Linotype" w:cs="Arial"/>
          <w:sz w:val="24"/>
          <w:szCs w:val="24"/>
        </w:rPr>
        <w:t xml:space="preserve"> </w:t>
      </w:r>
      <w:r w:rsidRPr="00C90A68">
        <w:rPr>
          <w:rFonts w:ascii="Palatino Linotype" w:hAnsi="Palatino Linotype" w:cs="Arial"/>
          <w:b/>
          <w:sz w:val="24"/>
          <w:szCs w:val="24"/>
        </w:rPr>
        <w:t>obligados</w:t>
      </w:r>
      <w:r w:rsidRPr="00C90A68">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5097942" w14:textId="77777777" w:rsidR="00DA1029" w:rsidRPr="00C90A68" w:rsidRDefault="00DA1029" w:rsidP="000956B7">
      <w:pPr>
        <w:autoSpaceDE w:val="0"/>
        <w:autoSpaceDN w:val="0"/>
        <w:adjustRightInd w:val="0"/>
        <w:spacing w:after="0" w:line="360" w:lineRule="auto"/>
        <w:jc w:val="both"/>
        <w:rPr>
          <w:rFonts w:ascii="Palatino Linotype" w:hAnsi="Palatino Linotype" w:cs="Arial"/>
          <w:sz w:val="24"/>
          <w:szCs w:val="24"/>
        </w:rPr>
      </w:pPr>
    </w:p>
    <w:p w14:paraId="177DB84A" w14:textId="77777777" w:rsidR="00DA1029" w:rsidRPr="00C90A68" w:rsidRDefault="00DA1029" w:rsidP="000956B7">
      <w:pPr>
        <w:autoSpaceDE w:val="0"/>
        <w:autoSpaceDN w:val="0"/>
        <w:adjustRightInd w:val="0"/>
        <w:spacing w:after="0" w:line="360" w:lineRule="auto"/>
        <w:jc w:val="both"/>
        <w:rPr>
          <w:rFonts w:ascii="Palatino Linotype" w:hAnsi="Palatino Linotype" w:cs="Arial"/>
          <w:sz w:val="24"/>
          <w:szCs w:val="24"/>
        </w:rPr>
      </w:pPr>
      <w:r w:rsidRPr="00C90A68">
        <w:rPr>
          <w:rFonts w:ascii="Palatino Linotype" w:hAnsi="Palatino Linotype" w:cs="Arial"/>
          <w:sz w:val="24"/>
          <w:szCs w:val="24"/>
        </w:rPr>
        <w:t xml:space="preserve">Se constituye la figura jurídica de la </w:t>
      </w:r>
      <w:r w:rsidRPr="00C90A68">
        <w:rPr>
          <w:rFonts w:ascii="Palatino Linotype" w:hAnsi="Palatino Linotype" w:cs="Arial"/>
          <w:b/>
          <w:i/>
          <w:sz w:val="24"/>
          <w:szCs w:val="24"/>
        </w:rPr>
        <w:t>NEGATIVA FICTA</w:t>
      </w:r>
      <w:r w:rsidRPr="00C90A68">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4D13A428" w14:textId="77777777" w:rsidR="00DA1029" w:rsidRPr="00C90A68" w:rsidRDefault="00DA1029" w:rsidP="000956B7">
      <w:pPr>
        <w:spacing w:after="0" w:line="360" w:lineRule="auto"/>
        <w:rPr>
          <w:rFonts w:ascii="Palatino Linotype" w:hAnsi="Palatino Linotype"/>
          <w:sz w:val="24"/>
        </w:rPr>
      </w:pPr>
    </w:p>
    <w:p w14:paraId="058D71FE" w14:textId="77777777" w:rsidR="00DA1029" w:rsidRPr="00C90A68" w:rsidRDefault="00DA1029" w:rsidP="000956B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90A68">
        <w:rPr>
          <w:rFonts w:ascii="Palatino Linotype" w:eastAsia="Times New Roman" w:hAnsi="Palatino Linotype" w:cs="Arial"/>
          <w:i/>
          <w:lang w:val="es-ES" w:eastAsia="es-ES"/>
        </w:rPr>
        <w:t>“</w:t>
      </w:r>
      <w:r w:rsidRPr="00C90A68">
        <w:rPr>
          <w:rFonts w:ascii="Palatino Linotype" w:eastAsia="Times New Roman" w:hAnsi="Palatino Linotype" w:cs="Arial"/>
          <w:b/>
          <w:i/>
          <w:lang w:val="es-ES" w:eastAsia="es-ES"/>
        </w:rPr>
        <w:t>Artículo 178.</w:t>
      </w:r>
      <w:r w:rsidRPr="00C90A6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E5AE07D" w14:textId="77777777" w:rsidR="00DA1029" w:rsidRPr="00C90A68" w:rsidRDefault="00DA1029" w:rsidP="000956B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F62CC44" w14:textId="77777777" w:rsidR="00DA1029" w:rsidRPr="00C90A68" w:rsidRDefault="00DA1029" w:rsidP="000956B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90A6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C90A68">
        <w:rPr>
          <w:rFonts w:ascii="Palatino Linotype" w:eastAsia="Times New Roman" w:hAnsi="Palatino Linotype" w:cs="Arial"/>
          <w:i/>
          <w:lang w:val="es-ES" w:eastAsia="es-ES"/>
        </w:rPr>
        <w:t>, acompañado con el documento que pruebe la fecha en que presentó la solicitud.</w:t>
      </w:r>
    </w:p>
    <w:p w14:paraId="2C4310AA" w14:textId="77777777" w:rsidR="00DA1029" w:rsidRPr="00C90A68" w:rsidRDefault="00DA1029" w:rsidP="000956B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23E319EF" w14:textId="77777777" w:rsidR="00DA1029" w:rsidRPr="00C90A68" w:rsidRDefault="00DA1029" w:rsidP="000956B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90A6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5A66A6F0" w14:textId="77777777" w:rsidR="00DA1029" w:rsidRPr="00C90A68" w:rsidRDefault="00DA1029" w:rsidP="000956B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2F1F191C" w14:textId="77777777" w:rsidR="00DA1029" w:rsidRPr="00C90A68" w:rsidRDefault="00DA1029" w:rsidP="000956B7">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C90A68">
        <w:rPr>
          <w:rFonts w:ascii="Palatino Linotype" w:eastAsia="Times New Roman" w:hAnsi="Palatino Linotype" w:cs="Arial"/>
          <w:lang w:val="es-ES" w:eastAsia="es-ES"/>
        </w:rPr>
        <w:t>(Énfasis añadido)</w:t>
      </w:r>
    </w:p>
    <w:p w14:paraId="3B970D42" w14:textId="77777777" w:rsidR="00FA21CD" w:rsidRPr="00C90A68" w:rsidRDefault="00FA21CD" w:rsidP="000956B7">
      <w:pPr>
        <w:autoSpaceDE w:val="0"/>
        <w:autoSpaceDN w:val="0"/>
        <w:adjustRightInd w:val="0"/>
        <w:spacing w:after="0" w:line="360" w:lineRule="auto"/>
        <w:jc w:val="both"/>
        <w:rPr>
          <w:rFonts w:ascii="Palatino Linotype" w:hAnsi="Palatino Linotype" w:cs="Arial"/>
          <w:sz w:val="24"/>
          <w:szCs w:val="24"/>
        </w:rPr>
      </w:pPr>
    </w:p>
    <w:p w14:paraId="57130B6E" w14:textId="77777777" w:rsidR="00DA1029" w:rsidRPr="00C90A68" w:rsidRDefault="00DA1029" w:rsidP="000956B7">
      <w:pPr>
        <w:autoSpaceDE w:val="0"/>
        <w:autoSpaceDN w:val="0"/>
        <w:adjustRightInd w:val="0"/>
        <w:spacing w:after="0" w:line="360" w:lineRule="auto"/>
        <w:jc w:val="both"/>
        <w:rPr>
          <w:rFonts w:ascii="Palatino Linotype" w:hAnsi="Palatino Linotype" w:cs="Arial"/>
          <w:sz w:val="24"/>
          <w:szCs w:val="24"/>
        </w:rPr>
      </w:pPr>
      <w:r w:rsidRPr="00C90A6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C90A68">
        <w:rPr>
          <w:rFonts w:ascii="Palatino Linotype" w:hAnsi="Palatino Linotype" w:cs="Arial"/>
          <w:b/>
          <w:sz w:val="24"/>
          <w:szCs w:val="24"/>
        </w:rPr>
        <w:t>Sujeto Obligado</w:t>
      </w:r>
      <w:r w:rsidRPr="00C90A6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B62BB7A" w14:textId="77777777" w:rsidR="00E7255E" w:rsidRPr="00C90A68" w:rsidRDefault="00E7255E" w:rsidP="000956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9812485" w14:textId="77777777" w:rsidR="007B732E" w:rsidRPr="00C90A68" w:rsidRDefault="007B732E" w:rsidP="000956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BF2D08" w14:textId="0D9256C2" w:rsidR="00E7255E" w:rsidRPr="00C90A68" w:rsidRDefault="00E7255E" w:rsidP="000956B7">
      <w:pPr>
        <w:spacing w:after="0" w:line="360" w:lineRule="auto"/>
        <w:ind w:right="49"/>
        <w:jc w:val="both"/>
        <w:rPr>
          <w:rFonts w:ascii="Palatino Linotype" w:eastAsia="Times New Roman" w:hAnsi="Palatino Linotype" w:cs="Arial"/>
          <w:b/>
          <w:sz w:val="28"/>
          <w:szCs w:val="28"/>
          <w:lang w:val="es-ES" w:eastAsia="es-ES"/>
        </w:rPr>
      </w:pPr>
      <w:r w:rsidRPr="00C90A68">
        <w:rPr>
          <w:rFonts w:ascii="Palatino Linotype" w:eastAsia="Times New Roman" w:hAnsi="Palatino Linotype" w:cs="Arial"/>
          <w:b/>
          <w:sz w:val="28"/>
          <w:szCs w:val="28"/>
          <w:lang w:val="es-ES" w:eastAsia="es-ES"/>
        </w:rPr>
        <w:t>TERCERO.</w:t>
      </w:r>
      <w:r w:rsidRPr="00C90A68">
        <w:rPr>
          <w:rFonts w:ascii="Palatino Linotype" w:eastAsia="Times New Roman" w:hAnsi="Palatino Linotype" w:cs="Arial"/>
          <w:sz w:val="28"/>
          <w:szCs w:val="28"/>
          <w:lang w:val="es-ES" w:eastAsia="es-ES"/>
        </w:rPr>
        <w:t xml:space="preserve"> </w:t>
      </w:r>
      <w:r w:rsidRPr="00C90A68">
        <w:rPr>
          <w:rFonts w:ascii="Palatino Linotype" w:eastAsia="Times New Roman" w:hAnsi="Palatino Linotype" w:cs="Arial"/>
          <w:b/>
          <w:sz w:val="28"/>
          <w:szCs w:val="28"/>
          <w:lang w:val="es-ES" w:eastAsia="es-ES"/>
        </w:rPr>
        <w:t>De</w:t>
      </w:r>
      <w:r w:rsidR="003336BF" w:rsidRPr="00C90A68">
        <w:rPr>
          <w:rFonts w:ascii="Palatino Linotype" w:eastAsia="Times New Roman" w:hAnsi="Palatino Linotype" w:cs="Arial"/>
          <w:b/>
          <w:sz w:val="28"/>
          <w:szCs w:val="28"/>
          <w:lang w:val="es-ES" w:eastAsia="es-ES"/>
        </w:rPr>
        <w:t>l estudio de las</w:t>
      </w:r>
      <w:r w:rsidRPr="00C90A68">
        <w:rPr>
          <w:rFonts w:ascii="Palatino Linotype" w:eastAsia="Times New Roman" w:hAnsi="Palatino Linotype" w:cs="Arial"/>
          <w:b/>
          <w:sz w:val="28"/>
          <w:szCs w:val="28"/>
          <w:lang w:val="es-ES" w:eastAsia="es-ES"/>
        </w:rPr>
        <w:t xml:space="preserve"> causas de improcedencia</w:t>
      </w:r>
      <w:r w:rsidR="003336BF" w:rsidRPr="00C90A68">
        <w:rPr>
          <w:rFonts w:ascii="Palatino Linotype" w:eastAsia="Times New Roman" w:hAnsi="Palatino Linotype" w:cs="Arial"/>
          <w:b/>
          <w:sz w:val="28"/>
          <w:szCs w:val="28"/>
          <w:lang w:val="es-ES" w:eastAsia="es-ES"/>
        </w:rPr>
        <w:t xml:space="preserve"> y sobreseimiento</w:t>
      </w:r>
      <w:r w:rsidRPr="00C90A68">
        <w:rPr>
          <w:rFonts w:ascii="Palatino Linotype" w:eastAsia="Times New Roman" w:hAnsi="Palatino Linotype" w:cs="Arial"/>
          <w:b/>
          <w:sz w:val="28"/>
          <w:szCs w:val="28"/>
          <w:lang w:val="es-ES" w:eastAsia="es-ES"/>
        </w:rPr>
        <w:t xml:space="preserve">. </w:t>
      </w:r>
    </w:p>
    <w:p w14:paraId="53512361" w14:textId="77777777" w:rsidR="004F0379" w:rsidRPr="00C90A68" w:rsidRDefault="004F0379" w:rsidP="000956B7">
      <w:pPr>
        <w:spacing w:after="0" w:line="360" w:lineRule="auto"/>
        <w:ind w:right="49"/>
        <w:jc w:val="both"/>
        <w:rPr>
          <w:rFonts w:ascii="Palatino Linotype" w:eastAsia="Times New Roman" w:hAnsi="Palatino Linotype" w:cs="Arial"/>
          <w:b/>
          <w:sz w:val="28"/>
          <w:szCs w:val="28"/>
          <w:lang w:val="es-ES" w:eastAsia="es-ES"/>
        </w:rPr>
      </w:pPr>
    </w:p>
    <w:p w14:paraId="522F7388" w14:textId="77777777" w:rsidR="00E7255E" w:rsidRPr="00C90A68" w:rsidRDefault="00E7255E" w:rsidP="000956B7">
      <w:pPr>
        <w:spacing w:after="0" w:line="360" w:lineRule="auto"/>
        <w:ind w:right="49"/>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C90A68">
        <w:rPr>
          <w:rFonts w:ascii="Palatino Linotype" w:eastAsia="Times New Roman" w:hAnsi="Palatino Linotype" w:cs="Arial"/>
          <w:sz w:val="24"/>
          <w:szCs w:val="24"/>
          <w:vertAlign w:val="superscript"/>
          <w:lang w:val="es-ES" w:eastAsia="es-ES"/>
        </w:rPr>
        <w:footnoteReference w:id="1"/>
      </w:r>
      <w:r w:rsidRPr="00C90A68">
        <w:rPr>
          <w:rFonts w:ascii="Palatino Linotype" w:eastAsia="Times New Roman" w:hAnsi="Palatino Linotype" w:cs="Arial"/>
          <w:sz w:val="24"/>
          <w:szCs w:val="24"/>
          <w:lang w:val="es-ES" w:eastAsia="es-ES"/>
        </w:rPr>
        <w:t>.</w:t>
      </w:r>
    </w:p>
    <w:p w14:paraId="2CE47CF6" w14:textId="77777777" w:rsidR="00FA21CD" w:rsidRPr="00C90A68" w:rsidRDefault="00FA21CD" w:rsidP="000956B7">
      <w:pPr>
        <w:spacing w:after="0" w:line="360" w:lineRule="auto"/>
        <w:ind w:right="49"/>
        <w:jc w:val="both"/>
        <w:rPr>
          <w:rFonts w:ascii="Palatino Linotype" w:eastAsia="Times New Roman" w:hAnsi="Palatino Linotype" w:cs="Arial"/>
          <w:sz w:val="24"/>
          <w:szCs w:val="24"/>
          <w:lang w:val="es-ES" w:eastAsia="es-ES"/>
        </w:rPr>
      </w:pPr>
    </w:p>
    <w:p w14:paraId="01700A44" w14:textId="77777777" w:rsidR="00E7255E" w:rsidRPr="00C90A68" w:rsidRDefault="00E7255E" w:rsidP="000956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2468EB9" w14:textId="77777777" w:rsidR="00E7255E" w:rsidRPr="00C90A68" w:rsidRDefault="00E7255E" w:rsidP="000956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7DE15A5" w14:textId="77777777" w:rsidR="00E7255E" w:rsidRPr="00C90A68" w:rsidRDefault="00E7255E" w:rsidP="000956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sz w:val="24"/>
          <w:szCs w:val="24"/>
          <w:lang w:val="es-ES" w:eastAsia="es-ES"/>
        </w:rPr>
        <w:t>Asimismo, del artículo 179, fracción V, de la Ley de Transparencia y Acceso a la Información Pública del Estado de México y Municipios, se puede advertir que el recurso de revisión es procedente, entre otras cosas, cuando el Particular, se inconforme con la entrega de información incompleta. Además, el último párrafo, de dicho artículo, establece que procede un medio de impugnación, en contra de las respuestas otorgadas por los sujetos obligados, en cumplimiento a una resolución de otro diverso, en el cual, la controversia recaiga, en la falta de respuesta a una solicitud de información.</w:t>
      </w:r>
    </w:p>
    <w:p w14:paraId="0DF10FFE" w14:textId="77777777" w:rsidR="00E7255E" w:rsidRPr="00C90A68" w:rsidRDefault="00E7255E" w:rsidP="000956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FF4DD3" w14:textId="605CBDB3" w:rsidR="00E7255E" w:rsidRPr="00C90A68" w:rsidRDefault="00E7255E" w:rsidP="000956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sz w:val="24"/>
          <w:szCs w:val="24"/>
          <w:lang w:val="es-ES" w:eastAsia="es-ES"/>
        </w:rPr>
        <w:t xml:space="preserve">En ese orden de ideas, cabe referir que en el expediente con número de folio </w:t>
      </w:r>
      <w:r w:rsidRPr="00C90A68">
        <w:rPr>
          <w:rFonts w:ascii="Palatino Linotype" w:eastAsia="Times New Roman" w:hAnsi="Palatino Linotype" w:cs="Arial"/>
          <w:b/>
          <w:sz w:val="24"/>
          <w:szCs w:val="24"/>
          <w:lang w:val="es-ES" w:eastAsia="es-ES"/>
        </w:rPr>
        <w:t>1</w:t>
      </w:r>
      <w:r w:rsidR="00EA7002" w:rsidRPr="00C90A68">
        <w:rPr>
          <w:rFonts w:ascii="Palatino Linotype" w:eastAsia="Times New Roman" w:hAnsi="Palatino Linotype" w:cs="Arial"/>
          <w:b/>
          <w:sz w:val="24"/>
          <w:szCs w:val="24"/>
          <w:lang w:val="es-ES" w:eastAsia="es-ES"/>
        </w:rPr>
        <w:t>3775</w:t>
      </w:r>
      <w:r w:rsidRPr="00C90A68">
        <w:rPr>
          <w:rFonts w:ascii="Palatino Linotype" w:eastAsia="Times New Roman" w:hAnsi="Palatino Linotype" w:cs="Arial"/>
          <w:b/>
          <w:sz w:val="24"/>
          <w:szCs w:val="24"/>
          <w:lang w:val="es-ES" w:eastAsia="es-ES"/>
        </w:rPr>
        <w:t>/INFOEM/IP/RR/2022</w:t>
      </w:r>
      <w:r w:rsidRPr="00C90A68">
        <w:rPr>
          <w:rFonts w:ascii="Palatino Linotype" w:eastAsia="Times New Roman" w:hAnsi="Palatino Linotype" w:cs="Arial"/>
          <w:sz w:val="24"/>
          <w:szCs w:val="24"/>
          <w:lang w:val="es-ES" w:eastAsia="es-ES"/>
        </w:rPr>
        <w:t xml:space="preserve">, se dictó resolución, en la cual se determinó como causal de procedencia, la fracciones I y XI, del artículo 179 de la Ley de Transparencia y Acceso a la Información Pública del Estado de México y Municipios, es decir, de la falta de respuesta; además, se concluyó ORDENAR al Ayuntamiento de </w:t>
      </w:r>
      <w:r w:rsidR="00EA7002" w:rsidRPr="00C90A68">
        <w:rPr>
          <w:rFonts w:ascii="Palatino Linotype" w:eastAsia="Times New Roman" w:hAnsi="Palatino Linotype" w:cs="Arial"/>
          <w:sz w:val="24"/>
          <w:szCs w:val="24"/>
          <w:lang w:val="es-ES" w:eastAsia="es-ES"/>
        </w:rPr>
        <w:t>Tultepec</w:t>
      </w:r>
      <w:r w:rsidRPr="00C90A68">
        <w:rPr>
          <w:rFonts w:ascii="Palatino Linotype" w:eastAsia="Times New Roman" w:hAnsi="Palatino Linotype" w:cs="Arial"/>
          <w:sz w:val="24"/>
          <w:szCs w:val="24"/>
          <w:lang w:val="es-ES" w:eastAsia="es-ES"/>
        </w:rPr>
        <w:t>, atender y emitir respuesta a la solicitud de información con número</w:t>
      </w:r>
      <w:r w:rsidR="00EA7002" w:rsidRPr="00C90A68">
        <w:rPr>
          <w:rFonts w:ascii="Verdana" w:hAnsi="Verdana"/>
          <w:b/>
          <w:bCs/>
          <w:color w:val="FF0000"/>
        </w:rPr>
        <w:t xml:space="preserve"> </w:t>
      </w:r>
      <w:r w:rsidR="00EA7002" w:rsidRPr="00C90A68">
        <w:rPr>
          <w:rFonts w:ascii="Palatino Linotype" w:eastAsia="Times New Roman" w:hAnsi="Palatino Linotype" w:cs="Arial"/>
          <w:b/>
          <w:bCs/>
          <w:sz w:val="24"/>
          <w:szCs w:val="24"/>
          <w:lang w:eastAsia="es-ES"/>
        </w:rPr>
        <w:t>00161/TULTEPEC/IP/2022</w:t>
      </w:r>
      <w:r w:rsidRPr="00C90A68">
        <w:rPr>
          <w:rFonts w:ascii="Palatino Linotype" w:eastAsia="Times New Roman" w:hAnsi="Palatino Linotype" w:cs="Arial"/>
          <w:sz w:val="24"/>
          <w:szCs w:val="24"/>
          <w:lang w:val="es-ES" w:eastAsia="es-ES"/>
        </w:rPr>
        <w:t>, materia del presente recurso de revisión.</w:t>
      </w:r>
    </w:p>
    <w:p w14:paraId="1A7A8DC1" w14:textId="77777777" w:rsidR="00443285" w:rsidRPr="00C90A68" w:rsidRDefault="00443285" w:rsidP="000956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4598D97" w14:textId="77777777" w:rsidR="00DA1029" w:rsidRPr="00C90A68" w:rsidRDefault="00DA1029" w:rsidP="000956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90A68">
        <w:rPr>
          <w:rFonts w:ascii="Palatino Linotype" w:eastAsia="Times New Roman" w:hAnsi="Palatino Linotype" w:cs="Arial"/>
          <w:sz w:val="24"/>
          <w:szCs w:val="24"/>
          <w:lang w:val="es-ES" w:eastAsia="es-ES"/>
        </w:rPr>
        <w:t xml:space="preserve">Ahora bien, como quedó acreditado en el apartado de antecedentes, el </w:t>
      </w:r>
      <w:r w:rsidRPr="00C90A68">
        <w:rPr>
          <w:rFonts w:ascii="Palatino Linotype" w:eastAsia="Times New Roman" w:hAnsi="Palatino Linotype" w:cs="Arial"/>
          <w:b/>
          <w:sz w:val="24"/>
          <w:szCs w:val="24"/>
          <w:lang w:val="es-ES" w:eastAsia="es-ES"/>
        </w:rPr>
        <w:t>Sujeto Obligado</w:t>
      </w:r>
      <w:r w:rsidRPr="00C90A68">
        <w:rPr>
          <w:rFonts w:ascii="Palatino Linotype" w:eastAsia="Times New Roman" w:hAnsi="Palatino Linotype" w:cs="Arial"/>
          <w:sz w:val="24"/>
          <w:szCs w:val="24"/>
          <w:lang w:val="es-ES" w:eastAsia="es-ES"/>
        </w:rPr>
        <w:t xml:space="preserve"> continua siendo omiso, respecto a dar trámite y respuesta a las solicitudes de información, por lo que resultan fundadas las razones y motivos de inconformidad hechas valer por el </w:t>
      </w:r>
      <w:r w:rsidRPr="00C90A68">
        <w:rPr>
          <w:rFonts w:ascii="Palatino Linotype" w:eastAsia="Times New Roman" w:hAnsi="Palatino Linotype" w:cs="Arial"/>
          <w:b/>
          <w:sz w:val="24"/>
          <w:szCs w:val="24"/>
          <w:lang w:val="es-ES" w:eastAsia="es-ES"/>
        </w:rPr>
        <w:t>Recurrente</w:t>
      </w:r>
      <w:r w:rsidRPr="00C90A68">
        <w:rPr>
          <w:rFonts w:ascii="Palatino Linotype" w:eastAsia="Times New Roman" w:hAnsi="Palatino Linotype" w:cs="Arial"/>
          <w:sz w:val="24"/>
          <w:szCs w:val="24"/>
          <w:lang w:val="es-ES" w:eastAsia="es-ES"/>
        </w:rPr>
        <w:t>, en los nuevos recursos de revisión, al encuadrar de igual manera en la ya señalada fracciones I y XI del artículo 179 de la Ley de Transparencia local.</w:t>
      </w:r>
    </w:p>
    <w:p w14:paraId="1A99B01A" w14:textId="77777777" w:rsidR="00E7255E" w:rsidRPr="00C90A68" w:rsidRDefault="00E7255E" w:rsidP="000956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5058B8C" w14:textId="77777777" w:rsidR="00E7255E" w:rsidRPr="00C90A68" w:rsidRDefault="00E7255E" w:rsidP="000956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DFFF90" w14:textId="77777777" w:rsidR="004F0379" w:rsidRPr="00C90A68" w:rsidRDefault="004F0379" w:rsidP="004F0379">
      <w:pPr>
        <w:jc w:val="both"/>
        <w:rPr>
          <w:rFonts w:ascii="Palatino Linotype" w:hAnsi="Palatino Linotype"/>
          <w:sz w:val="24"/>
          <w:szCs w:val="24"/>
          <w:lang w:val="es-ES_tradnl" w:eastAsia="es-ES"/>
        </w:rPr>
      </w:pPr>
      <w:r w:rsidRPr="00C90A68">
        <w:rPr>
          <w:rFonts w:ascii="Palatino Linotype" w:hAnsi="Palatino Linotype"/>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w:t>
      </w:r>
      <w:r w:rsidRPr="00C90A68">
        <w:rPr>
          <w:rStyle w:val="Refdenotaalpie"/>
          <w:rFonts w:ascii="Palatino Linotype" w:eastAsiaTheme="minorEastAsia" w:hAnsi="Palatino Linotype" w:cs="Arial"/>
          <w:sz w:val="24"/>
          <w:szCs w:val="24"/>
          <w:lang w:val="es-ES_tradnl" w:eastAsia="es-ES"/>
        </w:rPr>
        <w:footnoteReference w:id="2"/>
      </w:r>
      <w:r w:rsidRPr="00C90A68">
        <w:rPr>
          <w:rFonts w:ascii="Palatino Linotype" w:hAnsi="Palatino Linotype"/>
          <w:sz w:val="24"/>
          <w:szCs w:val="24"/>
          <w:lang w:val="es-ES_tradnl" w:eastAsia="es-ES"/>
        </w:rPr>
        <w:t>, de rubro y texto:</w:t>
      </w:r>
    </w:p>
    <w:p w14:paraId="565C0443" w14:textId="77777777" w:rsidR="004F0379" w:rsidRPr="00C90A68" w:rsidRDefault="004F0379" w:rsidP="004F0379">
      <w:pPr>
        <w:jc w:val="both"/>
        <w:rPr>
          <w:rFonts w:ascii="Palatino Linotype" w:hAnsi="Palatino Linotype"/>
          <w:sz w:val="24"/>
          <w:szCs w:val="24"/>
          <w:lang w:val="es-ES_tradnl" w:eastAsia="es-ES"/>
        </w:rPr>
      </w:pPr>
    </w:p>
    <w:p w14:paraId="231C6D16" w14:textId="77777777" w:rsidR="004F0379" w:rsidRPr="00C90A68" w:rsidRDefault="004F0379" w:rsidP="004F0379">
      <w:pPr>
        <w:pStyle w:val="Sinespaciado"/>
        <w:rPr>
          <w:rFonts w:eastAsiaTheme="minorEastAsia"/>
          <w:b/>
          <w:sz w:val="24"/>
          <w:lang w:val="es-ES_tradnl"/>
        </w:rPr>
      </w:pPr>
      <w:r w:rsidRPr="00C90A68">
        <w:rPr>
          <w:rFonts w:eastAsiaTheme="minorEastAsia"/>
          <w:b/>
          <w:sz w:val="24"/>
          <w:lang w:val="es-ES_tradnl"/>
        </w:rPr>
        <w:t xml:space="preserve">IMPROCEDENCIA, CAUSALES DE. EN EL JUICIO DE AMPARO. </w:t>
      </w:r>
    </w:p>
    <w:p w14:paraId="1491AA4E" w14:textId="77777777" w:rsidR="004F0379" w:rsidRPr="00C90A68" w:rsidRDefault="004F0379" w:rsidP="004F0379">
      <w:pPr>
        <w:pStyle w:val="Sinespaciado"/>
        <w:rPr>
          <w:rFonts w:eastAsiaTheme="minorEastAsia"/>
          <w:sz w:val="24"/>
          <w:lang w:val="es-ES_tradnl"/>
        </w:rPr>
      </w:pPr>
      <w:r w:rsidRPr="00C90A68">
        <w:rPr>
          <w:rFonts w:eastAsiaTheme="minorEastAsia"/>
          <w:sz w:val="24"/>
          <w:lang w:val="es-ES_tradnl"/>
        </w:rPr>
        <w:t>Las causales de improcedencia del juicio de amparo, por ser de orden público deben estudiarse previamente, lo aleguen o no las partes, cualquiera que sea la instancia</w:t>
      </w:r>
    </w:p>
    <w:p w14:paraId="333F267D" w14:textId="77777777" w:rsidR="004F0379" w:rsidRPr="00C90A68" w:rsidRDefault="004F0379" w:rsidP="004F0379">
      <w:pPr>
        <w:jc w:val="both"/>
        <w:rPr>
          <w:rFonts w:ascii="Palatino Linotype" w:hAnsi="Palatino Linotype"/>
          <w:sz w:val="24"/>
          <w:szCs w:val="24"/>
          <w:lang w:val="es-ES_tradnl" w:eastAsia="es-ES"/>
        </w:rPr>
      </w:pPr>
    </w:p>
    <w:p w14:paraId="18B44D13" w14:textId="77777777" w:rsidR="004F0379" w:rsidRPr="00C90A68" w:rsidRDefault="004F0379" w:rsidP="004F0379">
      <w:pPr>
        <w:jc w:val="both"/>
        <w:rPr>
          <w:rFonts w:ascii="Palatino Linotype" w:hAnsi="Palatino Linotype"/>
          <w:sz w:val="24"/>
          <w:szCs w:val="24"/>
          <w:lang w:val="es-ES_tradnl" w:eastAsia="es-ES"/>
        </w:rPr>
      </w:pPr>
      <w:r w:rsidRPr="00C90A68">
        <w:rPr>
          <w:rFonts w:ascii="Palatino Linotype" w:hAnsi="Palatino Linotype"/>
          <w:sz w:val="24"/>
          <w:szCs w:val="24"/>
          <w:lang w:val="es-ES_tradnl" w:eastAsia="es-ES"/>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C90A68">
        <w:rPr>
          <w:rFonts w:ascii="Palatino Linotype" w:hAnsi="Palatino Linotype"/>
          <w:sz w:val="24"/>
          <w:szCs w:val="24"/>
          <w:vertAlign w:val="superscript"/>
          <w:lang w:val="es-ES_tradnl" w:eastAsia="es-ES"/>
        </w:rPr>
        <w:footnoteReference w:id="3"/>
      </w:r>
      <w:r w:rsidRPr="00C90A68">
        <w:rPr>
          <w:rFonts w:ascii="Palatino Linotype" w:hAnsi="Palatino Linotype"/>
          <w:sz w:val="24"/>
          <w:szCs w:val="24"/>
          <w:lang w:val="es-ES_tradnl" w:eastAsia="es-ES"/>
        </w:rPr>
        <w:t>.</w:t>
      </w:r>
    </w:p>
    <w:p w14:paraId="57FD8633" w14:textId="77777777" w:rsidR="004F0379" w:rsidRPr="00C90A68" w:rsidRDefault="004F0379" w:rsidP="004F0379">
      <w:pPr>
        <w:jc w:val="both"/>
        <w:rPr>
          <w:rFonts w:ascii="Palatino Linotype" w:hAnsi="Palatino Linotype"/>
          <w:sz w:val="24"/>
          <w:szCs w:val="24"/>
          <w:lang w:val="es-ES_tradnl" w:eastAsia="es-ES"/>
        </w:rPr>
      </w:pPr>
    </w:p>
    <w:p w14:paraId="34124A7D" w14:textId="77777777" w:rsidR="004F0379" w:rsidRPr="00C90A68" w:rsidRDefault="004F0379" w:rsidP="004F0379">
      <w:pPr>
        <w:jc w:val="both"/>
        <w:rPr>
          <w:rFonts w:ascii="Palatino Linotype" w:hAnsi="Palatino Linotype"/>
          <w:sz w:val="24"/>
          <w:szCs w:val="24"/>
          <w:lang w:val="es-ES_tradnl"/>
        </w:rPr>
      </w:pPr>
      <w:r w:rsidRPr="00C90A68">
        <w:rPr>
          <w:rFonts w:ascii="Palatino Linotype" w:hAnsi="Palatino Linotype"/>
          <w:sz w:val="24"/>
          <w:szCs w:val="24"/>
          <w:lang w:val="es-ES_tradnl"/>
        </w:rPr>
        <w:t>Para efectos del artículo 185, fracción I, el que suscribe procede a analizar las causales de procedencia establecidas en el artículo 179 de la Ley Local en la materia, para la interposición del segundo recurso de revisión en comento, por tratarse de una cuestión de orden público y de estudio preferente, preceptos legales que se citan a continuación para pronta referencia:</w:t>
      </w:r>
    </w:p>
    <w:p w14:paraId="3CC06FD5" w14:textId="77777777" w:rsidR="004F0379" w:rsidRPr="00C90A68" w:rsidRDefault="004F0379" w:rsidP="004F0379">
      <w:pPr>
        <w:spacing w:beforeLines="20" w:before="48" w:afterLines="20" w:after="48"/>
        <w:jc w:val="both"/>
        <w:rPr>
          <w:rFonts w:ascii="Palatino Linotype" w:hAnsi="Palatino Linotype" w:cs="Arial"/>
          <w:sz w:val="24"/>
          <w:szCs w:val="24"/>
          <w:lang w:val="es-ES_tradnl"/>
        </w:rPr>
      </w:pPr>
    </w:p>
    <w:p w14:paraId="3D8F10BA" w14:textId="77777777" w:rsidR="004F0379" w:rsidRPr="00C90A68" w:rsidRDefault="004F0379" w:rsidP="004F0379">
      <w:pPr>
        <w:pStyle w:val="Sinespaciado"/>
        <w:rPr>
          <w:rFonts w:eastAsia="Calibri"/>
          <w:sz w:val="24"/>
        </w:rPr>
      </w:pPr>
      <w:r w:rsidRPr="00C90A68">
        <w:rPr>
          <w:rFonts w:eastAsia="Calibri"/>
          <w:b/>
          <w:sz w:val="24"/>
        </w:rPr>
        <w:t xml:space="preserve">Artículo 185. </w:t>
      </w:r>
      <w:r w:rsidRPr="00C90A68">
        <w:rPr>
          <w:rFonts w:eastAsia="Calibri"/>
          <w:sz w:val="24"/>
        </w:rPr>
        <w:t xml:space="preserve">El Instituto resolverá el recurso de revisión conforme a lo siguiente: </w:t>
      </w:r>
    </w:p>
    <w:p w14:paraId="34817AF3" w14:textId="77777777" w:rsidR="004F0379" w:rsidRPr="00C90A68" w:rsidRDefault="004F0379" w:rsidP="004F0379">
      <w:pPr>
        <w:pStyle w:val="Sinespaciado"/>
        <w:rPr>
          <w:rFonts w:eastAsia="Calibri"/>
          <w:sz w:val="24"/>
        </w:rPr>
      </w:pPr>
      <w:r w:rsidRPr="00C90A68">
        <w:rPr>
          <w:rFonts w:eastAsia="Calibri"/>
          <w:b/>
          <w:sz w:val="24"/>
        </w:rPr>
        <w:t>I.</w:t>
      </w:r>
      <w:r w:rsidRPr="00C90A68">
        <w:rPr>
          <w:rFonts w:eastAsia="Calibri"/>
          <w:sz w:val="24"/>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w:t>
      </w:r>
    </w:p>
    <w:p w14:paraId="66568BC6" w14:textId="77777777" w:rsidR="004F0379" w:rsidRPr="00C90A68" w:rsidRDefault="004F0379" w:rsidP="004F0379">
      <w:pPr>
        <w:pStyle w:val="Sinespaciado"/>
        <w:rPr>
          <w:rFonts w:eastAsia="Calibri"/>
          <w:sz w:val="24"/>
        </w:rPr>
      </w:pPr>
      <w:r w:rsidRPr="00C90A68">
        <w:rPr>
          <w:sz w:val="24"/>
        </w:rPr>
        <w:t>(</w:t>
      </w:r>
      <w:r w:rsidRPr="00C90A68">
        <w:rPr>
          <w:rFonts w:eastAsia="Calibri"/>
          <w:sz w:val="24"/>
        </w:rPr>
        <w:t>…</w:t>
      </w:r>
      <w:r w:rsidRPr="00C90A68">
        <w:rPr>
          <w:sz w:val="24"/>
        </w:rPr>
        <w:t>)</w:t>
      </w:r>
    </w:p>
    <w:p w14:paraId="213D206B" w14:textId="77777777" w:rsidR="004F0379" w:rsidRPr="00C90A68" w:rsidRDefault="004F0379" w:rsidP="004F0379">
      <w:pPr>
        <w:pStyle w:val="Sinespaciado"/>
        <w:rPr>
          <w:rFonts w:eastAsia="Calibri"/>
          <w:sz w:val="24"/>
        </w:rPr>
      </w:pPr>
    </w:p>
    <w:p w14:paraId="41117B84" w14:textId="77777777" w:rsidR="004F0379" w:rsidRPr="00C90A68" w:rsidRDefault="004F0379" w:rsidP="004F0379">
      <w:pPr>
        <w:pStyle w:val="Sinespaciado"/>
        <w:rPr>
          <w:rFonts w:eastAsia="Calibri"/>
          <w:sz w:val="24"/>
        </w:rPr>
      </w:pPr>
      <w:r w:rsidRPr="00C90A68">
        <w:rPr>
          <w:rFonts w:eastAsia="Calibri"/>
          <w:b/>
          <w:sz w:val="24"/>
        </w:rPr>
        <w:t>Artículo 179</w:t>
      </w:r>
      <w:r w:rsidRPr="00C90A68">
        <w:rPr>
          <w:rFonts w:eastAsia="Calibri"/>
          <w:sz w:val="24"/>
        </w:rPr>
        <w:t xml:space="preserve">. El recurso de revisión es un medio de protección que la Ley otorga a los particulares, para hacer valer su derecho de acceso a la información pública, y procederá en contra de las siguientes causas: </w:t>
      </w:r>
    </w:p>
    <w:p w14:paraId="56BC5E34" w14:textId="77777777" w:rsidR="004F0379" w:rsidRPr="00C90A68" w:rsidRDefault="004F0379" w:rsidP="004F0379">
      <w:pPr>
        <w:pStyle w:val="Sinespaciado"/>
        <w:rPr>
          <w:rFonts w:eastAsia="Calibri"/>
          <w:sz w:val="24"/>
        </w:rPr>
      </w:pPr>
      <w:r w:rsidRPr="00C90A68">
        <w:rPr>
          <w:rFonts w:eastAsia="Calibri"/>
          <w:b/>
          <w:sz w:val="24"/>
        </w:rPr>
        <w:t>I.</w:t>
      </w:r>
      <w:r w:rsidRPr="00C90A68">
        <w:rPr>
          <w:rFonts w:eastAsia="Calibri"/>
          <w:sz w:val="24"/>
        </w:rPr>
        <w:t xml:space="preserve"> La negativa a la información solicitada; </w:t>
      </w:r>
    </w:p>
    <w:p w14:paraId="1376D646" w14:textId="77777777" w:rsidR="004F0379" w:rsidRPr="00C90A68" w:rsidRDefault="004F0379" w:rsidP="004F0379">
      <w:pPr>
        <w:pStyle w:val="Sinespaciado"/>
        <w:rPr>
          <w:rFonts w:eastAsia="Calibri"/>
          <w:sz w:val="24"/>
        </w:rPr>
      </w:pPr>
      <w:r w:rsidRPr="00C90A68">
        <w:rPr>
          <w:rFonts w:eastAsia="Calibri"/>
          <w:b/>
          <w:sz w:val="24"/>
        </w:rPr>
        <w:t>II.</w:t>
      </w:r>
      <w:r w:rsidRPr="00C90A68">
        <w:rPr>
          <w:rFonts w:eastAsia="Calibri"/>
          <w:sz w:val="24"/>
        </w:rPr>
        <w:t xml:space="preserve"> La clasificación de la información; </w:t>
      </w:r>
    </w:p>
    <w:p w14:paraId="5106E5B0" w14:textId="77777777" w:rsidR="004F0379" w:rsidRPr="00C90A68" w:rsidRDefault="004F0379" w:rsidP="004F0379">
      <w:pPr>
        <w:pStyle w:val="Sinespaciado"/>
        <w:rPr>
          <w:rFonts w:eastAsia="Calibri"/>
          <w:sz w:val="24"/>
        </w:rPr>
      </w:pPr>
      <w:r w:rsidRPr="00C90A68">
        <w:rPr>
          <w:rFonts w:eastAsia="Calibri"/>
          <w:b/>
          <w:sz w:val="24"/>
        </w:rPr>
        <w:t>III.</w:t>
      </w:r>
      <w:r w:rsidRPr="00C90A68">
        <w:rPr>
          <w:rFonts w:eastAsia="Calibri"/>
          <w:sz w:val="24"/>
        </w:rPr>
        <w:t xml:space="preserve"> La declaración de inexistencia de la información; </w:t>
      </w:r>
    </w:p>
    <w:p w14:paraId="10A67BDD" w14:textId="77777777" w:rsidR="004F0379" w:rsidRPr="00C90A68" w:rsidRDefault="004F0379" w:rsidP="004F0379">
      <w:pPr>
        <w:pStyle w:val="Sinespaciado"/>
        <w:rPr>
          <w:rFonts w:eastAsia="Calibri"/>
          <w:sz w:val="24"/>
        </w:rPr>
      </w:pPr>
      <w:r w:rsidRPr="00C90A68">
        <w:rPr>
          <w:rFonts w:eastAsia="Calibri"/>
          <w:b/>
          <w:sz w:val="24"/>
        </w:rPr>
        <w:t>IV.</w:t>
      </w:r>
      <w:r w:rsidRPr="00C90A68">
        <w:rPr>
          <w:rFonts w:eastAsia="Calibri"/>
          <w:sz w:val="24"/>
        </w:rPr>
        <w:t xml:space="preserve"> La declaración de incompetencia por el sujeto obligado; </w:t>
      </w:r>
    </w:p>
    <w:p w14:paraId="5DEA887A" w14:textId="77777777" w:rsidR="004F0379" w:rsidRPr="00C90A68" w:rsidRDefault="004F0379" w:rsidP="004F0379">
      <w:pPr>
        <w:pStyle w:val="Sinespaciado"/>
        <w:rPr>
          <w:rFonts w:eastAsia="Calibri"/>
          <w:sz w:val="24"/>
        </w:rPr>
      </w:pPr>
      <w:r w:rsidRPr="00C90A68">
        <w:rPr>
          <w:rFonts w:eastAsia="Calibri"/>
          <w:b/>
          <w:sz w:val="24"/>
        </w:rPr>
        <w:t>V.</w:t>
      </w:r>
      <w:r w:rsidRPr="00C90A68">
        <w:rPr>
          <w:rFonts w:eastAsia="Calibri"/>
          <w:sz w:val="24"/>
        </w:rPr>
        <w:t xml:space="preserve"> La entrega de información incompleta; </w:t>
      </w:r>
    </w:p>
    <w:p w14:paraId="09829D32" w14:textId="77777777" w:rsidR="004F0379" w:rsidRPr="00C90A68" w:rsidRDefault="004F0379" w:rsidP="004F0379">
      <w:pPr>
        <w:pStyle w:val="Sinespaciado"/>
        <w:rPr>
          <w:rFonts w:eastAsia="Calibri"/>
          <w:sz w:val="24"/>
        </w:rPr>
      </w:pPr>
      <w:r w:rsidRPr="00C90A68">
        <w:rPr>
          <w:rFonts w:eastAsia="Calibri"/>
          <w:b/>
          <w:sz w:val="24"/>
        </w:rPr>
        <w:t>VI.</w:t>
      </w:r>
      <w:r w:rsidRPr="00C90A68">
        <w:rPr>
          <w:rFonts w:eastAsia="Calibri"/>
          <w:sz w:val="24"/>
        </w:rPr>
        <w:t xml:space="preserve"> La entrega de información que no corresponda con lo solicitado; </w:t>
      </w:r>
    </w:p>
    <w:p w14:paraId="72D537B7" w14:textId="77777777" w:rsidR="004F0379" w:rsidRPr="00C90A68" w:rsidRDefault="004F0379" w:rsidP="004F0379">
      <w:pPr>
        <w:pStyle w:val="Sinespaciado"/>
        <w:rPr>
          <w:rFonts w:eastAsia="Calibri"/>
          <w:sz w:val="24"/>
        </w:rPr>
      </w:pPr>
      <w:r w:rsidRPr="00C90A68">
        <w:rPr>
          <w:rFonts w:eastAsia="Calibri"/>
          <w:b/>
          <w:sz w:val="24"/>
        </w:rPr>
        <w:t>VII.</w:t>
      </w:r>
      <w:r w:rsidRPr="00C90A68">
        <w:rPr>
          <w:rFonts w:eastAsia="Calibri"/>
          <w:sz w:val="24"/>
        </w:rPr>
        <w:t xml:space="preserve"> La falta de respuesta a una solicitud de acceso a la información; </w:t>
      </w:r>
    </w:p>
    <w:p w14:paraId="78C75C4A" w14:textId="77777777" w:rsidR="004F0379" w:rsidRPr="00C90A68" w:rsidRDefault="004F0379" w:rsidP="004F0379">
      <w:pPr>
        <w:pStyle w:val="Sinespaciado"/>
        <w:rPr>
          <w:rFonts w:eastAsia="Calibri"/>
          <w:sz w:val="24"/>
        </w:rPr>
      </w:pPr>
      <w:r w:rsidRPr="00C90A68">
        <w:rPr>
          <w:rFonts w:eastAsia="Calibri"/>
          <w:b/>
          <w:sz w:val="24"/>
        </w:rPr>
        <w:t>VIII.</w:t>
      </w:r>
      <w:r w:rsidRPr="00C90A68">
        <w:rPr>
          <w:rFonts w:eastAsia="Calibri"/>
          <w:sz w:val="24"/>
        </w:rPr>
        <w:t xml:space="preserve"> La notificación, entrega o puesta a disposición de información en una modalidad o formato distinto al solicitado; </w:t>
      </w:r>
    </w:p>
    <w:p w14:paraId="132C89FB" w14:textId="77777777" w:rsidR="004F0379" w:rsidRPr="00C90A68" w:rsidRDefault="004F0379" w:rsidP="004F0379">
      <w:pPr>
        <w:pStyle w:val="Sinespaciado"/>
        <w:rPr>
          <w:rFonts w:eastAsia="Calibri"/>
          <w:sz w:val="24"/>
        </w:rPr>
      </w:pPr>
      <w:r w:rsidRPr="00C90A68">
        <w:rPr>
          <w:rFonts w:eastAsia="Calibri"/>
          <w:b/>
          <w:sz w:val="24"/>
        </w:rPr>
        <w:t>IX.</w:t>
      </w:r>
      <w:r w:rsidRPr="00C90A68">
        <w:rPr>
          <w:rFonts w:eastAsia="Calibri"/>
          <w:sz w:val="24"/>
        </w:rPr>
        <w:t xml:space="preserve"> La entrega o puesta a disposición de información en un formato incomprensible y/o no accesible para el solicitante; </w:t>
      </w:r>
    </w:p>
    <w:p w14:paraId="2EB628D8" w14:textId="77777777" w:rsidR="004F0379" w:rsidRPr="00C90A68" w:rsidRDefault="004F0379" w:rsidP="004F0379">
      <w:pPr>
        <w:pStyle w:val="Sinespaciado"/>
        <w:rPr>
          <w:rFonts w:eastAsia="Calibri"/>
          <w:sz w:val="24"/>
        </w:rPr>
      </w:pPr>
      <w:r w:rsidRPr="00C90A68">
        <w:rPr>
          <w:rFonts w:eastAsia="Calibri"/>
          <w:b/>
          <w:sz w:val="24"/>
        </w:rPr>
        <w:t>X.</w:t>
      </w:r>
      <w:r w:rsidRPr="00C90A68">
        <w:rPr>
          <w:rFonts w:eastAsia="Calibri"/>
          <w:sz w:val="24"/>
        </w:rPr>
        <w:t xml:space="preserve"> Los costos o tiempos de entrega de la información; </w:t>
      </w:r>
    </w:p>
    <w:p w14:paraId="1D49A4F6" w14:textId="77777777" w:rsidR="004F0379" w:rsidRPr="00C90A68" w:rsidRDefault="004F0379" w:rsidP="004F0379">
      <w:pPr>
        <w:pStyle w:val="Sinespaciado"/>
        <w:rPr>
          <w:rFonts w:eastAsia="Calibri"/>
          <w:sz w:val="24"/>
        </w:rPr>
      </w:pPr>
      <w:r w:rsidRPr="00C90A68">
        <w:rPr>
          <w:rFonts w:eastAsia="Calibri"/>
          <w:b/>
          <w:sz w:val="24"/>
        </w:rPr>
        <w:t>XI.</w:t>
      </w:r>
      <w:r w:rsidRPr="00C90A68">
        <w:rPr>
          <w:rFonts w:eastAsia="Calibri"/>
          <w:sz w:val="24"/>
        </w:rPr>
        <w:t xml:space="preserve"> La falta de trámite a una solicitud; </w:t>
      </w:r>
    </w:p>
    <w:p w14:paraId="2D4A3794" w14:textId="77777777" w:rsidR="004F0379" w:rsidRPr="00C90A68" w:rsidRDefault="004F0379" w:rsidP="004F0379">
      <w:pPr>
        <w:pStyle w:val="Sinespaciado"/>
        <w:rPr>
          <w:rFonts w:eastAsia="Calibri"/>
          <w:sz w:val="24"/>
        </w:rPr>
      </w:pPr>
      <w:r w:rsidRPr="00C90A68">
        <w:rPr>
          <w:rFonts w:eastAsia="Calibri"/>
          <w:b/>
          <w:sz w:val="24"/>
        </w:rPr>
        <w:t>XII.</w:t>
      </w:r>
      <w:r w:rsidRPr="00C90A68">
        <w:rPr>
          <w:rFonts w:eastAsia="Calibri"/>
          <w:sz w:val="24"/>
        </w:rPr>
        <w:t xml:space="preserve"> La negativa a permitir la consulta directa de la información; </w:t>
      </w:r>
    </w:p>
    <w:p w14:paraId="1342E3D0" w14:textId="77777777" w:rsidR="004F0379" w:rsidRPr="00C90A68" w:rsidRDefault="004F0379" w:rsidP="004F0379">
      <w:pPr>
        <w:pStyle w:val="Sinespaciado"/>
        <w:rPr>
          <w:rFonts w:eastAsia="Calibri"/>
          <w:sz w:val="24"/>
        </w:rPr>
      </w:pPr>
      <w:r w:rsidRPr="00C90A68">
        <w:rPr>
          <w:rFonts w:eastAsia="Calibri"/>
          <w:b/>
          <w:sz w:val="24"/>
        </w:rPr>
        <w:t>XIII.</w:t>
      </w:r>
      <w:r w:rsidRPr="00C90A68">
        <w:rPr>
          <w:rFonts w:eastAsia="Calibri"/>
          <w:sz w:val="24"/>
        </w:rPr>
        <w:t xml:space="preserve"> La falta, deficiencia o insuficiencia de la fundamentación y/o motivación en la respuesta; y </w:t>
      </w:r>
    </w:p>
    <w:p w14:paraId="082A5B23" w14:textId="77777777" w:rsidR="004F0379" w:rsidRPr="00C90A68" w:rsidRDefault="004F0379" w:rsidP="004F0379">
      <w:pPr>
        <w:pStyle w:val="Sinespaciado"/>
        <w:rPr>
          <w:rFonts w:eastAsia="Calibri"/>
          <w:sz w:val="24"/>
        </w:rPr>
      </w:pPr>
      <w:r w:rsidRPr="00C90A68">
        <w:rPr>
          <w:rFonts w:eastAsia="Calibri"/>
          <w:b/>
          <w:sz w:val="24"/>
        </w:rPr>
        <w:t>XIV</w:t>
      </w:r>
      <w:r w:rsidRPr="00C90A68">
        <w:rPr>
          <w:rFonts w:eastAsia="Calibri"/>
          <w:sz w:val="24"/>
        </w:rPr>
        <w:t xml:space="preserve">. La orientación a un trámite específico. </w:t>
      </w:r>
    </w:p>
    <w:p w14:paraId="5BF70682" w14:textId="77777777" w:rsidR="004F0379" w:rsidRPr="00C90A68" w:rsidRDefault="004F0379" w:rsidP="004F0379">
      <w:pPr>
        <w:pStyle w:val="Sinespaciado"/>
        <w:rPr>
          <w:rFonts w:eastAsia="Calibri"/>
          <w:sz w:val="24"/>
        </w:rPr>
      </w:pPr>
    </w:p>
    <w:p w14:paraId="2EC19D4B" w14:textId="77777777" w:rsidR="004F0379" w:rsidRPr="00C90A68" w:rsidRDefault="004F0379" w:rsidP="004F0379">
      <w:pPr>
        <w:pStyle w:val="Sinespaciado"/>
        <w:rPr>
          <w:rFonts w:eastAsia="Calibri"/>
          <w:sz w:val="24"/>
        </w:rPr>
      </w:pPr>
      <w:r w:rsidRPr="00C90A68">
        <w:rPr>
          <w:rFonts w:eastAsia="Calibri"/>
          <w:b/>
          <w:sz w:val="24"/>
          <w:u w:val="single"/>
        </w:rPr>
        <w:t>La respuesta que den los sujetos obligados derivada de la resolución a un recurso de revisión que proceda por las causales señaladas en las fracciones</w:t>
      </w:r>
      <w:r w:rsidRPr="00C90A68">
        <w:rPr>
          <w:rFonts w:eastAsia="Calibri"/>
          <w:sz w:val="24"/>
        </w:rPr>
        <w:t xml:space="preserve"> IV, </w:t>
      </w:r>
      <w:r w:rsidRPr="00C90A68">
        <w:rPr>
          <w:rFonts w:eastAsia="Calibri"/>
          <w:b/>
          <w:sz w:val="24"/>
        </w:rPr>
        <w:t>VII</w:t>
      </w:r>
      <w:r w:rsidRPr="00C90A68">
        <w:rPr>
          <w:rFonts w:eastAsia="Calibri"/>
          <w:sz w:val="24"/>
        </w:rPr>
        <w:t xml:space="preserve">, IX, X, </w:t>
      </w:r>
      <w:r w:rsidRPr="00C90A68">
        <w:rPr>
          <w:rFonts w:eastAsia="Calibri"/>
          <w:b/>
          <w:sz w:val="24"/>
          <w:u w:val="single"/>
        </w:rPr>
        <w:t>XI</w:t>
      </w:r>
      <w:r w:rsidRPr="00C90A68">
        <w:rPr>
          <w:rFonts w:eastAsia="Calibri"/>
          <w:sz w:val="24"/>
        </w:rPr>
        <w:t xml:space="preserve"> y XII </w:t>
      </w:r>
      <w:r w:rsidRPr="00C90A68">
        <w:rPr>
          <w:rFonts w:eastAsia="Calibri"/>
          <w:b/>
          <w:sz w:val="24"/>
          <w:u w:val="single"/>
        </w:rPr>
        <w:t>es susceptible de ser impugnada de nueva cuenta, mediante recurso de revisión, ante el Instituto</w:t>
      </w:r>
      <w:r w:rsidRPr="00C90A68">
        <w:rPr>
          <w:rFonts w:eastAsia="Calibri"/>
          <w:sz w:val="24"/>
        </w:rPr>
        <w:t>.</w:t>
      </w:r>
    </w:p>
    <w:p w14:paraId="54BC0795" w14:textId="77777777" w:rsidR="004F0379" w:rsidRPr="00C90A68" w:rsidRDefault="004F0379" w:rsidP="004F0379">
      <w:pPr>
        <w:jc w:val="both"/>
        <w:rPr>
          <w:rFonts w:ascii="Palatino Linotype" w:hAnsi="Palatino Linotype"/>
          <w:sz w:val="24"/>
          <w:szCs w:val="24"/>
        </w:rPr>
      </w:pPr>
    </w:p>
    <w:p w14:paraId="4C7BC7F4" w14:textId="77777777" w:rsidR="004F0379" w:rsidRPr="00C90A68" w:rsidRDefault="004F0379" w:rsidP="004F0379">
      <w:pPr>
        <w:jc w:val="both"/>
        <w:rPr>
          <w:rFonts w:ascii="Palatino Linotype" w:hAnsi="Palatino Linotype"/>
          <w:sz w:val="24"/>
          <w:szCs w:val="24"/>
        </w:rPr>
      </w:pPr>
      <w:r w:rsidRPr="00C90A68">
        <w:rPr>
          <w:rFonts w:ascii="Palatino Linotype" w:hAnsi="Palatino Linotype"/>
          <w:sz w:val="24"/>
          <w:szCs w:val="24"/>
        </w:rPr>
        <w:t xml:space="preserve">Dicho precepto legal establece las causales de procedencia para la interposición del segundo recurso de revisión, tomando particular relevancia el último párrafo que, de manera clara y precisa establece, en el caso particular, </w:t>
      </w:r>
      <w:r w:rsidRPr="00C90A68">
        <w:rPr>
          <w:rFonts w:ascii="Palatino Linotype" w:hAnsi="Palatino Linotype"/>
          <w:b/>
          <w:sz w:val="24"/>
          <w:szCs w:val="24"/>
        </w:rPr>
        <w:t>la procedencia del segundo recurso de revisión contra la respuesta proporcionada por el Sujeto Obligado</w:t>
      </w:r>
      <w:r w:rsidRPr="00C90A68">
        <w:rPr>
          <w:rFonts w:ascii="Palatino Linotype" w:hAnsi="Palatino Linotype"/>
          <w:sz w:val="24"/>
          <w:szCs w:val="24"/>
        </w:rPr>
        <w:t xml:space="preserve"> derivada </w:t>
      </w:r>
      <w:r w:rsidRPr="00C90A68">
        <w:rPr>
          <w:rFonts w:ascii="Palatino Linotype" w:hAnsi="Palatino Linotype"/>
          <w:b/>
          <w:sz w:val="24"/>
          <w:szCs w:val="24"/>
        </w:rPr>
        <w:t>del cumplimiento a una resolución.</w:t>
      </w:r>
    </w:p>
    <w:p w14:paraId="43B2B9E7" w14:textId="77777777" w:rsidR="004F0379" w:rsidRPr="00C90A68" w:rsidRDefault="004F0379" w:rsidP="004F0379">
      <w:pPr>
        <w:jc w:val="both"/>
        <w:rPr>
          <w:rFonts w:ascii="Palatino Linotype" w:hAnsi="Palatino Linotype"/>
          <w:sz w:val="24"/>
          <w:szCs w:val="24"/>
        </w:rPr>
      </w:pPr>
    </w:p>
    <w:p w14:paraId="3A9299BA" w14:textId="77777777" w:rsidR="004F0379" w:rsidRPr="00C90A68" w:rsidRDefault="004F0379" w:rsidP="004F0379">
      <w:pPr>
        <w:jc w:val="both"/>
        <w:rPr>
          <w:rFonts w:ascii="Palatino Linotype" w:hAnsi="Palatino Linotype"/>
          <w:sz w:val="24"/>
          <w:szCs w:val="24"/>
        </w:rPr>
      </w:pPr>
      <w:r w:rsidRPr="00C90A68">
        <w:rPr>
          <w:rFonts w:ascii="Palatino Linotype" w:hAnsi="Palatino Linotype"/>
          <w:sz w:val="24"/>
          <w:szCs w:val="24"/>
        </w:rPr>
        <w:t xml:space="preserve">Circunstancia que en el presente caso </w:t>
      </w:r>
      <w:r w:rsidRPr="00C90A68">
        <w:rPr>
          <w:rFonts w:ascii="Palatino Linotype" w:hAnsi="Palatino Linotype"/>
          <w:b/>
          <w:sz w:val="24"/>
          <w:szCs w:val="24"/>
        </w:rPr>
        <w:t>no se actualiza</w:t>
      </w:r>
      <w:r w:rsidRPr="00C90A68">
        <w:rPr>
          <w:rFonts w:ascii="Palatino Linotype" w:hAnsi="Palatino Linotype"/>
          <w:sz w:val="24"/>
          <w:szCs w:val="24"/>
        </w:rPr>
        <w:t>, de conformidad con las consideraciones de hecho y derecho siguientes:</w:t>
      </w:r>
    </w:p>
    <w:p w14:paraId="25204100" w14:textId="77777777" w:rsidR="004F0379" w:rsidRPr="00C90A68" w:rsidRDefault="004F0379" w:rsidP="004F0379">
      <w:pPr>
        <w:jc w:val="both"/>
        <w:rPr>
          <w:rFonts w:ascii="Palatino Linotype" w:hAnsi="Palatino Linotype"/>
          <w:sz w:val="24"/>
          <w:szCs w:val="24"/>
        </w:rPr>
      </w:pPr>
    </w:p>
    <w:p w14:paraId="616A5AF7" w14:textId="50F398CF" w:rsidR="004F0379" w:rsidRPr="00C90A68" w:rsidRDefault="004F0379" w:rsidP="004F0379">
      <w:pPr>
        <w:pStyle w:val="Prrafodelista"/>
        <w:numPr>
          <w:ilvl w:val="0"/>
          <w:numId w:val="17"/>
        </w:numPr>
        <w:spacing w:line="360" w:lineRule="auto"/>
        <w:jc w:val="both"/>
        <w:rPr>
          <w:rFonts w:ascii="Palatino Linotype" w:eastAsia="Palatino Linotype" w:hAnsi="Palatino Linotype"/>
        </w:rPr>
      </w:pPr>
      <w:r w:rsidRPr="00C90A68">
        <w:rPr>
          <w:rFonts w:ascii="Palatino Linotype" w:eastAsia="Palatino Linotype" w:hAnsi="Palatino Linotype"/>
        </w:rPr>
        <w:t xml:space="preserve">En el </w:t>
      </w:r>
      <w:r w:rsidR="002F7B87" w:rsidRPr="00C90A68">
        <w:rPr>
          <w:rFonts w:ascii="Palatino Linotype" w:eastAsia="Palatino Linotype" w:hAnsi="Palatino Linotype"/>
          <w:b/>
        </w:rPr>
        <w:t>Antecedente CUARTO</w:t>
      </w:r>
      <w:r w:rsidRPr="00C90A68">
        <w:rPr>
          <w:rFonts w:ascii="Palatino Linotype" w:eastAsia="Palatino Linotype" w:hAnsi="Palatino Linotype"/>
        </w:rPr>
        <w:t>,</w:t>
      </w:r>
      <w:r w:rsidR="00EA0416" w:rsidRPr="00C90A68">
        <w:rPr>
          <w:rFonts w:ascii="Palatino Linotype" w:eastAsia="Palatino Linotype" w:hAnsi="Palatino Linotype"/>
        </w:rPr>
        <w:t xml:space="preserve"> fracción V</w:t>
      </w:r>
      <w:r w:rsidRPr="00C90A68">
        <w:rPr>
          <w:rFonts w:ascii="Palatino Linotype" w:eastAsia="Palatino Linotype" w:hAnsi="Palatino Linotype"/>
        </w:rPr>
        <w:t xml:space="preserve"> se acreditó la emisión de la resolución al recurso de revisión </w:t>
      </w:r>
      <w:r w:rsidR="002F7B87" w:rsidRPr="00C90A68">
        <w:rPr>
          <w:rFonts w:ascii="Palatino Linotype" w:eastAsia="Palatino Linotype" w:hAnsi="Palatino Linotype"/>
          <w:b/>
        </w:rPr>
        <w:t>13775</w:t>
      </w:r>
      <w:r w:rsidR="0044186A" w:rsidRPr="00C90A68">
        <w:rPr>
          <w:rFonts w:ascii="Palatino Linotype" w:eastAsia="Palatino Linotype" w:hAnsi="Palatino Linotype"/>
          <w:b/>
        </w:rPr>
        <w:t>/INFOEM/IP/RR/2022</w:t>
      </w:r>
      <w:r w:rsidRPr="00C90A68">
        <w:rPr>
          <w:rFonts w:ascii="Palatino Linotype" w:eastAsia="Palatino Linotype" w:hAnsi="Palatino Linotype"/>
        </w:rPr>
        <w:t xml:space="preserve">, al actualizarse la hipótesis prevista en la fracción VII del multicitado artículo 179 de la Ley de la materia; </w:t>
      </w:r>
    </w:p>
    <w:p w14:paraId="483097E3" w14:textId="6789D092" w:rsidR="004F0379" w:rsidRPr="00C90A68" w:rsidRDefault="004F0379" w:rsidP="004F0379">
      <w:pPr>
        <w:pStyle w:val="Prrafodelista"/>
        <w:numPr>
          <w:ilvl w:val="0"/>
          <w:numId w:val="17"/>
        </w:numPr>
        <w:spacing w:line="360" w:lineRule="auto"/>
        <w:jc w:val="both"/>
        <w:rPr>
          <w:rFonts w:ascii="Palatino Linotype" w:eastAsia="Palatino Linotype" w:hAnsi="Palatino Linotype"/>
        </w:rPr>
      </w:pPr>
      <w:r w:rsidRPr="00C90A68">
        <w:rPr>
          <w:rFonts w:ascii="Palatino Linotype" w:eastAsia="Palatino Linotype" w:hAnsi="Palatino Linotype"/>
        </w:rPr>
        <w:t xml:space="preserve">Conforme al </w:t>
      </w:r>
      <w:r w:rsidRPr="00C90A68">
        <w:rPr>
          <w:rFonts w:ascii="Palatino Linotype" w:eastAsia="Palatino Linotype" w:hAnsi="Palatino Linotype"/>
          <w:b/>
        </w:rPr>
        <w:t xml:space="preserve">Antecedente </w:t>
      </w:r>
      <w:r w:rsidR="004A60F3" w:rsidRPr="00C90A68">
        <w:rPr>
          <w:rFonts w:ascii="Palatino Linotype" w:eastAsia="Palatino Linotype" w:hAnsi="Palatino Linotype"/>
          <w:b/>
        </w:rPr>
        <w:t xml:space="preserve">CUARTO, fracción VII </w:t>
      </w:r>
      <w:r w:rsidRPr="00C90A68">
        <w:rPr>
          <w:rFonts w:ascii="Palatino Linotype" w:eastAsia="Palatino Linotype" w:hAnsi="Palatino Linotype"/>
        </w:rPr>
        <w:t xml:space="preserve">se observa que el Sujeto Obligado omitió dar cumplimiento a lo ordenado en la resolución del recurso de revisión </w:t>
      </w:r>
      <w:r w:rsidR="002F7B87" w:rsidRPr="00C90A68">
        <w:rPr>
          <w:rFonts w:ascii="Palatino Linotype" w:eastAsia="Palatino Linotype" w:hAnsi="Palatino Linotype"/>
          <w:b/>
        </w:rPr>
        <w:t>13775</w:t>
      </w:r>
      <w:r w:rsidR="0044186A" w:rsidRPr="00C90A68">
        <w:rPr>
          <w:rFonts w:ascii="Palatino Linotype" w:eastAsia="Palatino Linotype" w:hAnsi="Palatino Linotype"/>
          <w:b/>
        </w:rPr>
        <w:t>/INFOEM/IP/RR/2022</w:t>
      </w:r>
      <w:r w:rsidRPr="00C90A68">
        <w:rPr>
          <w:rFonts w:ascii="Palatino Linotype" w:eastAsia="Palatino Linotype" w:hAnsi="Palatino Linotype"/>
        </w:rPr>
        <w:t xml:space="preserve"> dentro del término establecido;</w:t>
      </w:r>
    </w:p>
    <w:p w14:paraId="0B3FB75C" w14:textId="77777777" w:rsidR="004F0379" w:rsidRPr="00C90A68" w:rsidRDefault="004F0379" w:rsidP="004F0379">
      <w:pPr>
        <w:pStyle w:val="Prrafodelista"/>
        <w:numPr>
          <w:ilvl w:val="0"/>
          <w:numId w:val="17"/>
        </w:numPr>
        <w:spacing w:line="360" w:lineRule="auto"/>
        <w:jc w:val="both"/>
        <w:rPr>
          <w:rFonts w:ascii="Palatino Linotype" w:eastAsia="Palatino Linotype" w:hAnsi="Palatino Linotype"/>
        </w:rPr>
      </w:pPr>
      <w:r w:rsidRPr="00C90A68">
        <w:rPr>
          <w:rFonts w:ascii="Palatino Linotype" w:eastAsia="Palatino Linotype" w:hAnsi="Palatino Linotype"/>
        </w:rPr>
        <w:t xml:space="preserve">Inconforme con la conducta reiterada por parte del Sujeto Obligado, el Recurrente hizo valer su derecho de poder interponer segundo recurso de revisión. </w:t>
      </w:r>
    </w:p>
    <w:p w14:paraId="2669FA5F" w14:textId="77777777" w:rsidR="004F0379" w:rsidRPr="00C90A68" w:rsidRDefault="004F0379" w:rsidP="004F0379">
      <w:pPr>
        <w:jc w:val="both"/>
        <w:rPr>
          <w:rFonts w:ascii="Palatino Linotype" w:eastAsia="Palatino Linotype" w:hAnsi="Palatino Linotype"/>
          <w:sz w:val="24"/>
          <w:szCs w:val="24"/>
        </w:rPr>
      </w:pPr>
    </w:p>
    <w:p w14:paraId="4AB6DFF5" w14:textId="77777777" w:rsidR="004F0379" w:rsidRPr="00C90A68" w:rsidRDefault="004F0379" w:rsidP="00E44CBD">
      <w:pPr>
        <w:spacing w:line="360" w:lineRule="auto"/>
        <w:jc w:val="both"/>
        <w:rPr>
          <w:rFonts w:ascii="Palatino Linotype" w:eastAsia="Palatino Linotype" w:hAnsi="Palatino Linotype"/>
          <w:sz w:val="24"/>
          <w:szCs w:val="24"/>
        </w:rPr>
      </w:pPr>
      <w:r w:rsidRPr="00C90A68">
        <w:rPr>
          <w:rFonts w:ascii="Palatino Linotype" w:eastAsia="Palatino Linotype" w:hAnsi="Palatino Linotype"/>
          <w:sz w:val="24"/>
          <w:szCs w:val="24"/>
        </w:rPr>
        <w:t xml:space="preserve">De conformidad con lo anterior, concatenado con las constancias del expediente electrónico, se logra concluir que, </w:t>
      </w:r>
      <w:r w:rsidRPr="00C90A68">
        <w:rPr>
          <w:rFonts w:ascii="Palatino Linotype" w:eastAsia="Palatino Linotype" w:hAnsi="Palatino Linotype"/>
          <w:b/>
          <w:sz w:val="24"/>
          <w:szCs w:val="24"/>
        </w:rPr>
        <w:t>no se acredita la procedencia de la interposición de segundo recurso de revisión</w:t>
      </w:r>
      <w:r w:rsidRPr="00C90A68">
        <w:rPr>
          <w:rFonts w:ascii="Palatino Linotype" w:eastAsia="Palatino Linotype" w:hAnsi="Palatino Linotype"/>
          <w:sz w:val="24"/>
          <w:szCs w:val="24"/>
        </w:rPr>
        <w:t xml:space="preserve">, al </w:t>
      </w:r>
      <w:r w:rsidRPr="00C90A68">
        <w:rPr>
          <w:rFonts w:ascii="Palatino Linotype" w:eastAsia="Palatino Linotype" w:hAnsi="Palatino Linotype"/>
          <w:b/>
          <w:sz w:val="24"/>
          <w:szCs w:val="24"/>
        </w:rPr>
        <w:t>establecerse de manera clara y precisa como requisito, la existencia de respuesta</w:t>
      </w:r>
      <w:r w:rsidRPr="00C90A68">
        <w:rPr>
          <w:rFonts w:ascii="Palatino Linotype" w:eastAsia="Palatino Linotype" w:hAnsi="Palatino Linotype"/>
          <w:sz w:val="24"/>
          <w:szCs w:val="24"/>
        </w:rPr>
        <w:t xml:space="preserve"> por parte del Sujeto Obligado, la cual habrá ser objeto de estudio y análisis en el segundo recurso de revisión.</w:t>
      </w:r>
    </w:p>
    <w:p w14:paraId="64BAA4DA" w14:textId="77777777" w:rsidR="004F0379" w:rsidRPr="00C90A68" w:rsidRDefault="004F0379" w:rsidP="004F0379">
      <w:pPr>
        <w:widowControl w:val="0"/>
        <w:spacing w:beforeLines="20" w:before="48" w:afterLines="20" w:after="48"/>
        <w:ind w:hanging="1"/>
        <w:jc w:val="both"/>
        <w:rPr>
          <w:rFonts w:ascii="Palatino Linotype" w:eastAsia="Palatino Linotype" w:hAnsi="Palatino Linotype"/>
          <w:sz w:val="24"/>
          <w:szCs w:val="24"/>
        </w:rPr>
      </w:pPr>
    </w:p>
    <w:p w14:paraId="675319C8" w14:textId="77777777" w:rsidR="004F0379" w:rsidRPr="00C90A68" w:rsidRDefault="004F0379" w:rsidP="00E44CBD">
      <w:pPr>
        <w:widowControl w:val="0"/>
        <w:spacing w:beforeLines="20" w:before="48" w:afterLines="20" w:after="48" w:line="360" w:lineRule="auto"/>
        <w:ind w:hanging="1"/>
        <w:jc w:val="both"/>
        <w:rPr>
          <w:rFonts w:ascii="Palatino Linotype" w:eastAsia="Palatino Linotype" w:hAnsi="Palatino Linotype"/>
          <w:sz w:val="24"/>
          <w:szCs w:val="24"/>
        </w:rPr>
      </w:pPr>
      <w:r w:rsidRPr="00C90A68">
        <w:rPr>
          <w:rFonts w:ascii="Palatino Linotype" w:eastAsia="Palatino Linotype" w:hAnsi="Palatino Linotype"/>
          <w:sz w:val="24"/>
          <w:szCs w:val="24"/>
        </w:rPr>
        <w:t>Consecuentemente, al carecer del elemento de procedencia de estudio y análisis, se actualiza la causa de improcedencia prevista en la fracción III del artículo 191 de la Ley de Transparencia y Acceso a la Información Pública del Estado de México y Municipios, que establece lo siguiente:</w:t>
      </w:r>
    </w:p>
    <w:p w14:paraId="7A10FEA5" w14:textId="77777777" w:rsidR="004F0379" w:rsidRPr="00C90A68" w:rsidRDefault="004F0379" w:rsidP="004F0379">
      <w:pPr>
        <w:widowControl w:val="0"/>
        <w:spacing w:beforeLines="20" w:before="48" w:afterLines="20" w:after="48"/>
        <w:ind w:hanging="1"/>
        <w:jc w:val="both"/>
        <w:rPr>
          <w:rFonts w:ascii="Palatino Linotype" w:eastAsia="Palatino Linotype" w:hAnsi="Palatino Linotype"/>
          <w:sz w:val="24"/>
          <w:szCs w:val="24"/>
        </w:rPr>
      </w:pPr>
    </w:p>
    <w:p w14:paraId="7905FCD8" w14:textId="77777777" w:rsidR="004F0379" w:rsidRPr="00C90A68" w:rsidRDefault="004F0379" w:rsidP="004F0379">
      <w:pPr>
        <w:pStyle w:val="Sinespaciado"/>
        <w:rPr>
          <w:rFonts w:eastAsia="Palatino Linotype"/>
          <w:sz w:val="24"/>
        </w:rPr>
      </w:pPr>
      <w:r w:rsidRPr="00C90A68">
        <w:rPr>
          <w:rFonts w:eastAsia="Palatino Linotype"/>
          <w:b/>
          <w:sz w:val="24"/>
        </w:rPr>
        <w:t>Artículo 191</w:t>
      </w:r>
      <w:r w:rsidRPr="00C90A68">
        <w:rPr>
          <w:rFonts w:eastAsia="Palatino Linotype"/>
          <w:sz w:val="24"/>
        </w:rPr>
        <w:t>. El recurso será desechado por improcedente cuando:</w:t>
      </w:r>
    </w:p>
    <w:p w14:paraId="75C1E2E0" w14:textId="77777777" w:rsidR="004F0379" w:rsidRPr="00C90A68" w:rsidRDefault="004F0379" w:rsidP="004F0379">
      <w:pPr>
        <w:pStyle w:val="Sinespaciado"/>
        <w:rPr>
          <w:rFonts w:eastAsia="Palatino Linotype"/>
          <w:sz w:val="24"/>
        </w:rPr>
      </w:pPr>
      <w:r w:rsidRPr="00C90A68">
        <w:rPr>
          <w:sz w:val="24"/>
        </w:rPr>
        <w:t>(…)</w:t>
      </w:r>
    </w:p>
    <w:p w14:paraId="2A29A7AF" w14:textId="77777777" w:rsidR="004F0379" w:rsidRPr="00C90A68" w:rsidRDefault="004F0379" w:rsidP="004F0379">
      <w:pPr>
        <w:pStyle w:val="Sinespaciado"/>
        <w:rPr>
          <w:rFonts w:eastAsia="Palatino Linotype"/>
          <w:b/>
          <w:sz w:val="24"/>
        </w:rPr>
      </w:pPr>
      <w:r w:rsidRPr="00C90A68">
        <w:rPr>
          <w:b/>
          <w:sz w:val="24"/>
        </w:rPr>
        <w:t xml:space="preserve">III. </w:t>
      </w:r>
      <w:r w:rsidRPr="00C90A68">
        <w:rPr>
          <w:rFonts w:eastAsia="Palatino Linotype"/>
          <w:b/>
          <w:sz w:val="24"/>
          <w:u w:val="single"/>
        </w:rPr>
        <w:t>No actualice alguno de los supuestos previstos en la presente Ley</w:t>
      </w:r>
      <w:r w:rsidRPr="00C90A68">
        <w:rPr>
          <w:rFonts w:eastAsia="Palatino Linotype"/>
          <w:b/>
          <w:sz w:val="24"/>
        </w:rPr>
        <w:t>;</w:t>
      </w:r>
    </w:p>
    <w:p w14:paraId="1B12A53D" w14:textId="77777777" w:rsidR="004F0379" w:rsidRPr="00C90A68" w:rsidRDefault="004F0379" w:rsidP="004F0379">
      <w:pPr>
        <w:widowControl w:val="0"/>
        <w:spacing w:beforeLines="20" w:before="48" w:afterLines="20" w:after="48"/>
        <w:jc w:val="both"/>
        <w:rPr>
          <w:rFonts w:ascii="Palatino Linotype" w:eastAsia="Palatino Linotype" w:hAnsi="Palatino Linotype"/>
          <w:sz w:val="24"/>
          <w:szCs w:val="24"/>
        </w:rPr>
      </w:pPr>
    </w:p>
    <w:p w14:paraId="2033162A" w14:textId="58FB6219" w:rsidR="004F0379" w:rsidRPr="00C90A68" w:rsidRDefault="004F0379" w:rsidP="00E44CBD">
      <w:pPr>
        <w:spacing w:line="360" w:lineRule="auto"/>
        <w:jc w:val="both"/>
        <w:rPr>
          <w:rFonts w:ascii="Palatino Linotype" w:eastAsiaTheme="minorEastAsia" w:hAnsi="Palatino Linotype" w:cs="Times New Roman"/>
          <w:sz w:val="24"/>
          <w:szCs w:val="24"/>
          <w:lang w:val="es-ES_tradnl" w:eastAsia="es-ES"/>
        </w:rPr>
      </w:pPr>
      <w:r w:rsidRPr="00C90A68">
        <w:rPr>
          <w:rFonts w:ascii="Palatino Linotype" w:eastAsia="Batang" w:hAnsi="Palatino Linotype" w:cs="Arial"/>
          <w:sz w:val="24"/>
          <w:szCs w:val="24"/>
          <w:lang w:val="es-ES" w:eastAsia="es-ES"/>
        </w:rPr>
        <w:t xml:space="preserve">En conclusión, resulta procedente determinar el </w:t>
      </w:r>
      <w:r w:rsidRPr="00C90A68">
        <w:rPr>
          <w:rFonts w:ascii="Palatino Linotype" w:eastAsia="Batang" w:hAnsi="Palatino Linotype" w:cs="Arial"/>
          <w:b/>
          <w:sz w:val="24"/>
          <w:szCs w:val="24"/>
          <w:lang w:val="es-ES" w:eastAsia="es-ES"/>
        </w:rPr>
        <w:t>sobreseimiento</w:t>
      </w:r>
      <w:r w:rsidRPr="00C90A68">
        <w:rPr>
          <w:rFonts w:ascii="Palatino Linotype" w:eastAsia="Batang" w:hAnsi="Palatino Linotype" w:cs="Arial"/>
          <w:sz w:val="24"/>
          <w:szCs w:val="24"/>
          <w:lang w:val="es-ES" w:eastAsia="es-ES"/>
        </w:rPr>
        <w:t xml:space="preserve"> del presente recurso de revisión por improcedente conforme </w:t>
      </w:r>
      <w:r w:rsidRPr="00C90A68">
        <w:rPr>
          <w:rFonts w:ascii="Palatino Linotype" w:eastAsiaTheme="minorEastAsia" w:hAnsi="Palatino Linotype" w:cs="Times New Roman"/>
          <w:sz w:val="24"/>
          <w:szCs w:val="24"/>
          <w:lang w:val="es-ES_tradnl" w:eastAsia="es-ES"/>
        </w:rPr>
        <w:t xml:space="preserve">las consideraciones de hecho y de derecho hechas valer en líneas precedentes que fueron materia de estudio, por ello </w:t>
      </w:r>
      <w:r w:rsidRPr="00C90A68">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C90A68">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C90A68">
        <w:rPr>
          <w:rFonts w:ascii="Palatino Linotype" w:eastAsiaTheme="minorEastAsia" w:hAnsi="Palatino Linotype" w:cs="Arial"/>
          <w:b/>
          <w:sz w:val="24"/>
          <w:szCs w:val="24"/>
          <w:lang w:val="es-ES_tradnl" w:eastAsia="es-ES"/>
        </w:rPr>
        <w:t xml:space="preserve">SOBRESEE </w:t>
      </w:r>
      <w:r w:rsidRPr="00C90A68">
        <w:rPr>
          <w:rFonts w:ascii="Palatino Linotype" w:eastAsiaTheme="minorEastAsia" w:hAnsi="Palatino Linotype" w:cs="Arial"/>
          <w:sz w:val="24"/>
          <w:szCs w:val="24"/>
          <w:lang w:val="es-ES_tradnl" w:eastAsia="es-ES"/>
        </w:rPr>
        <w:t xml:space="preserve">el recurso de revisión </w:t>
      </w:r>
      <w:r w:rsidR="002F7B87" w:rsidRPr="00C90A68">
        <w:rPr>
          <w:rFonts w:ascii="Palatino Linotype" w:hAnsi="Palatino Linotype" w:cs="Arial"/>
          <w:b/>
          <w:bCs/>
          <w:sz w:val="24"/>
          <w:szCs w:val="24"/>
        </w:rPr>
        <w:t>13775</w:t>
      </w:r>
      <w:r w:rsidR="004A60F3" w:rsidRPr="00C90A68">
        <w:rPr>
          <w:rFonts w:ascii="Palatino Linotype" w:hAnsi="Palatino Linotype" w:cs="Arial"/>
          <w:b/>
          <w:bCs/>
          <w:sz w:val="24"/>
          <w:szCs w:val="24"/>
        </w:rPr>
        <w:t>/INFOEM/ICR-03</w:t>
      </w:r>
      <w:r w:rsidR="00AD4E5B" w:rsidRPr="00C90A68">
        <w:rPr>
          <w:rFonts w:ascii="Palatino Linotype" w:hAnsi="Palatino Linotype" w:cs="Arial"/>
          <w:b/>
          <w:bCs/>
          <w:sz w:val="24"/>
          <w:szCs w:val="24"/>
        </w:rPr>
        <w:t>/IP/RR/2022</w:t>
      </w:r>
      <w:r w:rsidRPr="00C90A68">
        <w:rPr>
          <w:rFonts w:ascii="Palatino Linotype" w:eastAsiaTheme="minorEastAsia" w:hAnsi="Palatino Linotype" w:cs="Arial"/>
          <w:sz w:val="24"/>
          <w:szCs w:val="24"/>
          <w:lang w:val="es-ES_tradnl" w:eastAsia="es-ES"/>
        </w:rPr>
        <w:t>,</w:t>
      </w:r>
      <w:r w:rsidRPr="00C90A68">
        <w:rPr>
          <w:rFonts w:ascii="Palatino Linotype" w:eastAsiaTheme="minorEastAsia" w:hAnsi="Palatino Linotype" w:cs="Times New Roman"/>
          <w:sz w:val="24"/>
          <w:szCs w:val="24"/>
          <w:lang w:val="es-ES_tradnl" w:eastAsia="es-ES"/>
        </w:rPr>
        <w:t xml:space="preserve"> que ha s</w:t>
      </w:r>
      <w:r w:rsidR="002F7B87" w:rsidRPr="00C90A68">
        <w:rPr>
          <w:rFonts w:ascii="Palatino Linotype" w:eastAsiaTheme="minorEastAsia" w:hAnsi="Palatino Linotype" w:cs="Times New Roman"/>
          <w:sz w:val="24"/>
          <w:szCs w:val="24"/>
          <w:lang w:val="es-ES_tradnl" w:eastAsia="es-ES"/>
        </w:rPr>
        <w:t>ido materia del presente fallo.</w:t>
      </w:r>
    </w:p>
    <w:p w14:paraId="3F87CD99" w14:textId="77777777" w:rsidR="002F7B87" w:rsidRPr="00C90A68" w:rsidRDefault="002F7B87" w:rsidP="002F7B87">
      <w:pPr>
        <w:jc w:val="both"/>
        <w:rPr>
          <w:rFonts w:ascii="Palatino Linotype" w:eastAsiaTheme="minorEastAsia" w:hAnsi="Palatino Linotype" w:cs="Times New Roman"/>
          <w:sz w:val="24"/>
          <w:szCs w:val="24"/>
          <w:lang w:val="es-ES_tradnl" w:eastAsia="es-ES"/>
        </w:rPr>
      </w:pPr>
    </w:p>
    <w:p w14:paraId="1815BDB5" w14:textId="77777777" w:rsidR="0022642A" w:rsidRPr="00C90A68" w:rsidRDefault="0022642A" w:rsidP="0022642A">
      <w:pPr>
        <w:autoSpaceDE w:val="0"/>
        <w:autoSpaceDN w:val="0"/>
        <w:adjustRightInd w:val="0"/>
        <w:spacing w:line="360" w:lineRule="auto"/>
        <w:jc w:val="both"/>
        <w:rPr>
          <w:rFonts w:ascii="Palatino Linotype" w:hAnsi="Palatino Linotype"/>
          <w:sz w:val="24"/>
          <w:szCs w:val="24"/>
        </w:rPr>
      </w:pPr>
      <w:r w:rsidRPr="00C90A68">
        <w:rPr>
          <w:rFonts w:ascii="Palatino Linotype" w:hAnsi="Palatino Linotype"/>
          <w:sz w:val="24"/>
          <w:szCs w:val="24"/>
        </w:rPr>
        <w:t>Por lo antes expuesto y fundado es de resolverse y;</w:t>
      </w:r>
    </w:p>
    <w:p w14:paraId="4C0B04E2" w14:textId="77777777" w:rsidR="00E7255E" w:rsidRPr="00C90A68" w:rsidRDefault="00E7255E" w:rsidP="000956B7">
      <w:pPr>
        <w:autoSpaceDE w:val="0"/>
        <w:autoSpaceDN w:val="0"/>
        <w:adjustRightInd w:val="0"/>
        <w:spacing w:after="0" w:line="360" w:lineRule="auto"/>
        <w:jc w:val="both"/>
        <w:rPr>
          <w:rFonts w:ascii="Palatino Linotype" w:hAnsi="Palatino Linotype" w:cs="Arial"/>
          <w:sz w:val="24"/>
          <w:szCs w:val="24"/>
        </w:rPr>
      </w:pPr>
    </w:p>
    <w:p w14:paraId="5DC7390D" w14:textId="77777777" w:rsidR="00E7255E" w:rsidRPr="00C90A68" w:rsidRDefault="00E7255E" w:rsidP="000956B7">
      <w:pPr>
        <w:spacing w:after="0" w:line="360" w:lineRule="auto"/>
        <w:jc w:val="center"/>
        <w:rPr>
          <w:rFonts w:ascii="Palatino Linotype" w:eastAsia="Times New Roman" w:hAnsi="Palatino Linotype" w:cs="Times New Roman"/>
          <w:b/>
          <w:color w:val="000000"/>
          <w:sz w:val="28"/>
          <w:szCs w:val="24"/>
          <w:lang w:val="es-ES" w:eastAsia="es-ES"/>
        </w:rPr>
      </w:pPr>
      <w:r w:rsidRPr="00C90A68">
        <w:rPr>
          <w:rFonts w:ascii="Palatino Linotype" w:eastAsia="Times New Roman" w:hAnsi="Palatino Linotype" w:cs="Times New Roman"/>
          <w:b/>
          <w:color w:val="000000"/>
          <w:sz w:val="28"/>
          <w:szCs w:val="24"/>
          <w:lang w:val="es-ES" w:eastAsia="es-ES"/>
        </w:rPr>
        <w:t>SE    RESUELVE</w:t>
      </w:r>
    </w:p>
    <w:p w14:paraId="3EE49797" w14:textId="77777777" w:rsidR="00E7255E" w:rsidRPr="00C90A68" w:rsidRDefault="00E7255E" w:rsidP="002F7B87">
      <w:pPr>
        <w:spacing w:after="0" w:line="360" w:lineRule="auto"/>
        <w:jc w:val="center"/>
        <w:rPr>
          <w:rFonts w:ascii="Palatino Linotype" w:eastAsia="Times New Roman" w:hAnsi="Palatino Linotype" w:cs="Times New Roman"/>
          <w:b/>
          <w:color w:val="000000"/>
          <w:sz w:val="24"/>
          <w:szCs w:val="24"/>
          <w:lang w:val="es-ES" w:eastAsia="es-ES"/>
        </w:rPr>
      </w:pPr>
    </w:p>
    <w:p w14:paraId="67523161" w14:textId="4227693D" w:rsidR="002F7B87" w:rsidRPr="00C90A68" w:rsidRDefault="002F7B87" w:rsidP="002F7B87">
      <w:pPr>
        <w:tabs>
          <w:tab w:val="left" w:pos="8647"/>
        </w:tabs>
        <w:spacing w:line="360" w:lineRule="auto"/>
        <w:ind w:right="51"/>
        <w:jc w:val="both"/>
        <w:rPr>
          <w:rFonts w:ascii="Palatino Linotype" w:eastAsiaTheme="minorEastAsia" w:hAnsi="Palatino Linotype" w:cs="Arial"/>
          <w:sz w:val="24"/>
          <w:szCs w:val="24"/>
          <w:lang w:val="es-ES_tradnl" w:eastAsia="es-ES"/>
        </w:rPr>
      </w:pPr>
      <w:r w:rsidRPr="00C90A68">
        <w:rPr>
          <w:rFonts w:ascii="Palatino Linotype" w:eastAsiaTheme="minorEastAsia" w:hAnsi="Palatino Linotype" w:cs="Arial"/>
          <w:b/>
          <w:sz w:val="28"/>
          <w:szCs w:val="28"/>
          <w:lang w:val="es-ES_tradnl" w:eastAsia="es-ES"/>
        </w:rPr>
        <w:t>PRIMERO.</w:t>
      </w:r>
      <w:r w:rsidRPr="00C90A68">
        <w:rPr>
          <w:rFonts w:ascii="Palatino Linotype" w:eastAsiaTheme="minorEastAsia" w:hAnsi="Palatino Linotype" w:cs="Arial"/>
          <w:sz w:val="24"/>
          <w:szCs w:val="24"/>
          <w:lang w:val="es-ES_tradnl" w:eastAsia="es-ES"/>
        </w:rPr>
        <w:t xml:space="preserve"> Se </w:t>
      </w:r>
      <w:r w:rsidRPr="00C90A68">
        <w:rPr>
          <w:rFonts w:ascii="Palatino Linotype" w:eastAsiaTheme="minorEastAsia" w:hAnsi="Palatino Linotype" w:cs="Arial"/>
          <w:b/>
          <w:sz w:val="24"/>
          <w:szCs w:val="24"/>
          <w:lang w:val="es-ES_tradnl" w:eastAsia="es-ES"/>
        </w:rPr>
        <w:t>SOBRESEE</w:t>
      </w:r>
      <w:r w:rsidRPr="00C90A68">
        <w:rPr>
          <w:rFonts w:ascii="Palatino Linotype" w:eastAsiaTheme="minorEastAsia" w:hAnsi="Palatino Linotype" w:cs="Arial"/>
          <w:sz w:val="24"/>
          <w:szCs w:val="24"/>
          <w:lang w:val="es-ES_tradnl" w:eastAsia="es-ES"/>
        </w:rPr>
        <w:t xml:space="preserve"> el recurso de revisión número </w:t>
      </w:r>
      <w:r w:rsidR="004A60F3" w:rsidRPr="00C90A68">
        <w:rPr>
          <w:rFonts w:ascii="Palatino Linotype" w:hAnsi="Palatino Linotype" w:cs="Arial"/>
          <w:b/>
          <w:bCs/>
          <w:sz w:val="24"/>
          <w:szCs w:val="24"/>
        </w:rPr>
        <w:t>13755/INFOEM/ICR-03</w:t>
      </w:r>
      <w:r w:rsidR="00AD4E5B" w:rsidRPr="00C90A68">
        <w:rPr>
          <w:rFonts w:ascii="Palatino Linotype" w:hAnsi="Palatino Linotype" w:cs="Arial"/>
          <w:b/>
          <w:bCs/>
          <w:sz w:val="24"/>
          <w:szCs w:val="24"/>
        </w:rPr>
        <w:t>/IP/RR/2022</w:t>
      </w:r>
      <w:r w:rsidRPr="00C90A68">
        <w:rPr>
          <w:rFonts w:ascii="Palatino Linotype" w:eastAsiaTheme="minorEastAsia" w:hAnsi="Palatino Linotype" w:cs="Arial"/>
          <w:sz w:val="24"/>
          <w:szCs w:val="24"/>
          <w:lang w:val="es-ES_tradnl" w:eastAsia="es-ES"/>
        </w:rPr>
        <w:t xml:space="preserve">, por aparecer una causal de improcedencia, en términos de los artículos 191 fracción III; y 192 fracción IV de la Ley de Transparencia y Acceso a la Información Pública del Estado de México y Municipios, en términos del </w:t>
      </w:r>
      <w:r w:rsidRPr="00C90A68">
        <w:rPr>
          <w:rFonts w:ascii="Palatino Linotype" w:eastAsiaTheme="minorEastAsia" w:hAnsi="Palatino Linotype" w:cs="Arial"/>
          <w:b/>
          <w:sz w:val="24"/>
          <w:szCs w:val="24"/>
          <w:lang w:val="es-ES_tradnl" w:eastAsia="es-ES"/>
        </w:rPr>
        <w:t xml:space="preserve">Considerando </w:t>
      </w:r>
      <w:r w:rsidR="003336BF" w:rsidRPr="00C90A68">
        <w:rPr>
          <w:rFonts w:ascii="Palatino Linotype" w:eastAsiaTheme="minorEastAsia" w:hAnsi="Palatino Linotype" w:cs="Arial"/>
          <w:b/>
          <w:sz w:val="24"/>
          <w:szCs w:val="24"/>
          <w:lang w:val="es-ES_tradnl" w:eastAsia="es-ES"/>
        </w:rPr>
        <w:t>TERCERO</w:t>
      </w:r>
      <w:r w:rsidRPr="00C90A68">
        <w:rPr>
          <w:rFonts w:ascii="Palatino Linotype" w:eastAsiaTheme="minorEastAsia" w:hAnsi="Palatino Linotype" w:cs="Arial"/>
          <w:b/>
          <w:sz w:val="24"/>
          <w:szCs w:val="24"/>
          <w:lang w:val="es-ES_tradnl" w:eastAsia="es-ES"/>
        </w:rPr>
        <w:t xml:space="preserve"> </w:t>
      </w:r>
      <w:r w:rsidRPr="00C90A68">
        <w:rPr>
          <w:rFonts w:ascii="Palatino Linotype" w:eastAsiaTheme="minorEastAsia" w:hAnsi="Palatino Linotype" w:cs="Arial"/>
          <w:sz w:val="24"/>
          <w:szCs w:val="24"/>
          <w:lang w:val="es-ES_tradnl" w:eastAsia="es-ES"/>
        </w:rPr>
        <w:t>de la presente resolución.</w:t>
      </w:r>
    </w:p>
    <w:p w14:paraId="573D4581" w14:textId="77777777" w:rsidR="002F7B87" w:rsidRPr="00C90A68" w:rsidRDefault="002F7B87" w:rsidP="002F7B87">
      <w:pPr>
        <w:tabs>
          <w:tab w:val="left" w:pos="8647"/>
        </w:tabs>
        <w:spacing w:line="360" w:lineRule="auto"/>
        <w:ind w:right="51"/>
        <w:jc w:val="both"/>
        <w:rPr>
          <w:rFonts w:ascii="Palatino Linotype" w:eastAsiaTheme="minorEastAsia" w:hAnsi="Palatino Linotype" w:cs="Arial"/>
          <w:sz w:val="24"/>
          <w:szCs w:val="24"/>
          <w:lang w:val="es-ES_tradnl" w:eastAsia="es-ES"/>
        </w:rPr>
      </w:pPr>
    </w:p>
    <w:p w14:paraId="64A05BF3" w14:textId="77777777" w:rsidR="002F7B87" w:rsidRPr="00C90A68" w:rsidRDefault="002F7B87" w:rsidP="002F7B87">
      <w:pPr>
        <w:tabs>
          <w:tab w:val="left" w:pos="8647"/>
        </w:tabs>
        <w:spacing w:line="360" w:lineRule="auto"/>
        <w:ind w:right="51"/>
        <w:jc w:val="both"/>
        <w:rPr>
          <w:rFonts w:ascii="Palatino Linotype" w:eastAsiaTheme="minorEastAsia" w:hAnsi="Palatino Linotype" w:cs="Arial"/>
          <w:sz w:val="24"/>
          <w:szCs w:val="24"/>
          <w:lang w:val="es-ES_tradnl" w:eastAsia="es-ES"/>
        </w:rPr>
      </w:pPr>
      <w:r w:rsidRPr="00C90A68">
        <w:rPr>
          <w:rFonts w:ascii="Palatino Linotype" w:eastAsiaTheme="minorEastAsia" w:hAnsi="Palatino Linotype" w:cs="Arial"/>
          <w:b/>
          <w:sz w:val="28"/>
          <w:szCs w:val="28"/>
          <w:lang w:val="es-ES_tradnl" w:eastAsia="es-ES"/>
        </w:rPr>
        <w:t>SEGUNDO.</w:t>
      </w:r>
      <w:r w:rsidRPr="00C90A68">
        <w:rPr>
          <w:rFonts w:ascii="Palatino Linotype" w:eastAsiaTheme="minorEastAsia" w:hAnsi="Palatino Linotype" w:cs="Arial"/>
          <w:sz w:val="24"/>
          <w:szCs w:val="24"/>
          <w:lang w:val="es-ES_tradnl" w:eastAsia="es-ES"/>
        </w:rPr>
        <w:t xml:space="preserve"> </w:t>
      </w:r>
      <w:r w:rsidRPr="00C90A68">
        <w:rPr>
          <w:rFonts w:ascii="Palatino Linotype" w:eastAsiaTheme="minorEastAsia" w:hAnsi="Palatino Linotype" w:cs="Arial"/>
          <w:b/>
          <w:sz w:val="24"/>
          <w:szCs w:val="24"/>
          <w:lang w:val="es-ES_tradnl" w:eastAsia="es-ES"/>
        </w:rPr>
        <w:t>Notifíquese</w:t>
      </w:r>
      <w:r w:rsidRPr="00C90A68">
        <w:rPr>
          <w:rFonts w:ascii="Palatino Linotype" w:eastAsiaTheme="minorEastAsia" w:hAnsi="Palatino Linotype" w:cs="Arial"/>
          <w:sz w:val="24"/>
          <w:szCs w:val="24"/>
          <w:lang w:val="es-ES_tradnl" w:eastAsia="es-ES"/>
        </w:rPr>
        <w:t xml:space="preserve"> vía SAIMEX la presente resolución al Titular de la Unidad de Transparencia del Sujeto Obligado.</w:t>
      </w:r>
    </w:p>
    <w:p w14:paraId="76F45D4E" w14:textId="77777777" w:rsidR="002F7B87" w:rsidRPr="00C90A68" w:rsidRDefault="002F7B87" w:rsidP="002F7B87">
      <w:pPr>
        <w:tabs>
          <w:tab w:val="left" w:pos="8647"/>
        </w:tabs>
        <w:spacing w:line="360" w:lineRule="auto"/>
        <w:ind w:right="51"/>
        <w:jc w:val="both"/>
        <w:rPr>
          <w:rFonts w:ascii="Palatino Linotype" w:eastAsiaTheme="minorEastAsia" w:hAnsi="Palatino Linotype" w:cs="Arial"/>
          <w:sz w:val="24"/>
          <w:szCs w:val="24"/>
          <w:lang w:val="es-ES_tradnl" w:eastAsia="es-ES"/>
        </w:rPr>
      </w:pPr>
    </w:p>
    <w:p w14:paraId="17AC65FC" w14:textId="77777777" w:rsidR="002F7B87" w:rsidRPr="00C90A68" w:rsidRDefault="002F7B87" w:rsidP="002F7B87">
      <w:pPr>
        <w:spacing w:line="360" w:lineRule="auto"/>
        <w:jc w:val="both"/>
        <w:rPr>
          <w:rFonts w:eastAsia="Times New Roman" w:cs="Arial"/>
          <w:sz w:val="24"/>
          <w:szCs w:val="24"/>
          <w:lang w:val="es-ES" w:eastAsia="es-ES"/>
        </w:rPr>
      </w:pPr>
      <w:r w:rsidRPr="00C90A68">
        <w:rPr>
          <w:rFonts w:ascii="Palatino Linotype" w:eastAsia="Times New Roman" w:hAnsi="Palatino Linotype" w:cs="Arial"/>
          <w:b/>
          <w:sz w:val="28"/>
          <w:szCs w:val="28"/>
          <w:lang w:val="es-ES" w:eastAsia="es-ES"/>
        </w:rPr>
        <w:t>TERCERO</w:t>
      </w:r>
      <w:r w:rsidRPr="00C90A68">
        <w:rPr>
          <w:rFonts w:ascii="Palatino Linotype" w:eastAsia="Times New Roman" w:hAnsi="Palatino Linotype" w:cs="Arial"/>
          <w:b/>
          <w:sz w:val="24"/>
          <w:szCs w:val="24"/>
          <w:lang w:val="es-ES" w:eastAsia="es-ES"/>
        </w:rPr>
        <w:t>.</w:t>
      </w:r>
      <w:r w:rsidRPr="00C90A68">
        <w:rPr>
          <w:rFonts w:ascii="Palatino Linotype" w:eastAsia="Times New Roman" w:hAnsi="Palatino Linotype" w:cs="Arial"/>
          <w:sz w:val="24"/>
          <w:szCs w:val="24"/>
          <w:lang w:val="es-ES" w:eastAsia="es-ES"/>
        </w:rPr>
        <w:t xml:space="preserve"> </w:t>
      </w:r>
      <w:r w:rsidRPr="00C90A68">
        <w:rPr>
          <w:rFonts w:ascii="Palatino Linotype" w:eastAsia="Times New Roman" w:hAnsi="Palatino Linotype" w:cs="Arial"/>
          <w:b/>
          <w:sz w:val="24"/>
          <w:szCs w:val="24"/>
          <w:lang w:val="es-ES" w:eastAsia="es-ES"/>
        </w:rPr>
        <w:t>Notifíquese</w:t>
      </w:r>
      <w:r w:rsidRPr="00C90A68">
        <w:rPr>
          <w:rFonts w:ascii="Palatino Linotype" w:eastAsia="Times New Roman" w:hAnsi="Palatino Linotype" w:cs="Arial"/>
          <w:sz w:val="24"/>
          <w:szCs w:val="24"/>
          <w:lang w:val="es-ES" w:eastAsia="es-ES"/>
        </w:rPr>
        <w:t xml:space="preserve"> a través del</w:t>
      </w:r>
      <w:r w:rsidRPr="00C90A68">
        <w:rPr>
          <w:rFonts w:ascii="Palatino Linotype" w:eastAsia="Times New Roman" w:hAnsi="Palatino Linotype" w:cs="Times New Roman"/>
          <w:sz w:val="24"/>
          <w:szCs w:val="24"/>
          <w:lang w:val="es-ES" w:eastAsia="es-ES"/>
        </w:rPr>
        <w:t xml:space="preserve"> Sistema de Acceso a la Información Mexiquense (SAIMEX)</w:t>
      </w:r>
      <w:r w:rsidRPr="00C90A68">
        <w:rPr>
          <w:rFonts w:ascii="Palatino Linotype" w:eastAsia="Times New Roman" w:hAnsi="Palatino Linotype" w:cs="Arial"/>
          <w:sz w:val="24"/>
          <w:szCs w:val="24"/>
          <w:lang w:val="es-ES" w:eastAsia="es-ES"/>
        </w:rPr>
        <w:t>, al Recurrente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r w:rsidRPr="00C90A68">
        <w:rPr>
          <w:rFonts w:eastAsia="Times New Roman" w:cs="Arial"/>
          <w:sz w:val="24"/>
          <w:szCs w:val="24"/>
          <w:lang w:val="es-ES" w:eastAsia="es-ES"/>
        </w:rPr>
        <w:t>.</w:t>
      </w:r>
    </w:p>
    <w:p w14:paraId="0F981AD7" w14:textId="77777777" w:rsidR="00941311" w:rsidRPr="00C90A68" w:rsidRDefault="00941311" w:rsidP="000956B7">
      <w:pPr>
        <w:autoSpaceDE w:val="0"/>
        <w:autoSpaceDN w:val="0"/>
        <w:adjustRightInd w:val="0"/>
        <w:spacing w:after="0" w:line="360" w:lineRule="auto"/>
        <w:ind w:right="49"/>
        <w:jc w:val="both"/>
        <w:rPr>
          <w:rFonts w:ascii="Palatino Linotype" w:hAnsi="Palatino Linotype" w:cs="Arial"/>
          <w:sz w:val="24"/>
          <w:szCs w:val="24"/>
          <w:lang w:val="es-ES"/>
        </w:rPr>
      </w:pPr>
    </w:p>
    <w:p w14:paraId="5622424A" w14:textId="17D36279" w:rsidR="00E7255E" w:rsidRPr="00C90A68" w:rsidRDefault="00E7255E" w:rsidP="000956B7">
      <w:pPr>
        <w:spacing w:after="0" w:line="360" w:lineRule="auto"/>
        <w:jc w:val="both"/>
        <w:rPr>
          <w:rFonts w:ascii="Palatino Linotype" w:hAnsi="Palatino Linotype" w:cs="Arial"/>
          <w:sz w:val="24"/>
          <w:szCs w:val="24"/>
        </w:rPr>
      </w:pPr>
      <w:r w:rsidRPr="00C90A68">
        <w:rPr>
          <w:rFonts w:ascii="Palatino Linotype" w:hAnsi="Palatino Linotype" w:cs="Arial"/>
          <w:sz w:val="24"/>
          <w:szCs w:val="24"/>
        </w:rPr>
        <w:t>ASÍ LO RESUELVE, POR UNANIMIDAD DE VOTOS EL PLENO DEL</w:t>
      </w:r>
      <w:r w:rsidRPr="00C90A6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0A68">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A26F23" w:rsidRPr="00C90A68">
        <w:rPr>
          <w:rFonts w:ascii="Palatino Linotype" w:hAnsi="Palatino Linotype" w:cs="Arial"/>
          <w:sz w:val="24"/>
          <w:szCs w:val="24"/>
        </w:rPr>
        <w:t>TRIGÉ</w:t>
      </w:r>
      <w:r w:rsidR="00AD4E5B" w:rsidRPr="00C90A68">
        <w:rPr>
          <w:rFonts w:ascii="Palatino Linotype" w:hAnsi="Palatino Linotype" w:cs="Arial"/>
          <w:sz w:val="24"/>
          <w:szCs w:val="24"/>
        </w:rPr>
        <w:t>SIMA PRIMER</w:t>
      </w:r>
      <w:r w:rsidR="00AB7695" w:rsidRPr="00C90A68">
        <w:rPr>
          <w:rFonts w:ascii="Palatino Linotype" w:hAnsi="Palatino Linotype" w:cs="Arial"/>
          <w:sz w:val="24"/>
          <w:szCs w:val="24"/>
        </w:rPr>
        <w:t>A</w:t>
      </w:r>
      <w:r w:rsidR="00AD4E5B" w:rsidRPr="00C90A68">
        <w:rPr>
          <w:rFonts w:ascii="Palatino Linotype" w:hAnsi="Palatino Linotype" w:cs="Arial"/>
          <w:sz w:val="24"/>
          <w:szCs w:val="24"/>
        </w:rPr>
        <w:t xml:space="preserve"> </w:t>
      </w:r>
      <w:r w:rsidRPr="00C90A68">
        <w:rPr>
          <w:rFonts w:ascii="Palatino Linotype" w:hAnsi="Palatino Linotype" w:cs="Arial"/>
          <w:sz w:val="24"/>
          <w:szCs w:val="24"/>
        </w:rPr>
        <w:t xml:space="preserve">SESIÓN ORDINARIA CELEBRADA EL </w:t>
      </w:r>
      <w:r w:rsidR="00AD4E5B" w:rsidRPr="00C90A68">
        <w:rPr>
          <w:rFonts w:ascii="Palatino Linotype" w:hAnsi="Palatino Linotype" w:cs="Arial"/>
          <w:sz w:val="24"/>
          <w:szCs w:val="24"/>
        </w:rPr>
        <w:t>TREINTA</w:t>
      </w:r>
      <w:r w:rsidR="00F75EED" w:rsidRPr="00C90A68">
        <w:rPr>
          <w:rFonts w:ascii="Palatino Linotype" w:hAnsi="Palatino Linotype" w:cs="Arial"/>
          <w:sz w:val="24"/>
          <w:szCs w:val="24"/>
        </w:rPr>
        <w:t xml:space="preserve"> DE AGOSTO</w:t>
      </w:r>
      <w:r w:rsidRPr="00C90A68">
        <w:rPr>
          <w:rFonts w:ascii="Palatino Linotype" w:hAnsi="Palatino Linotype" w:cs="Arial"/>
          <w:sz w:val="24"/>
          <w:szCs w:val="24"/>
        </w:rPr>
        <w:t xml:space="preserve"> DE DOS MIL VEINTITRÉS, ANTE EL SECRETARIO TÉCNICO DEL PLENO, ALEXIS TAPIA RAMÍREZ. --------------------------------------</w:t>
      </w:r>
      <w:r w:rsidR="00A26F23" w:rsidRPr="00C90A68">
        <w:rPr>
          <w:rFonts w:ascii="Palatino Linotype" w:hAnsi="Palatino Linotype" w:cs="Arial"/>
          <w:sz w:val="24"/>
          <w:szCs w:val="24"/>
        </w:rPr>
        <w:t>-------</w:t>
      </w:r>
      <w:r w:rsidRPr="00C90A68">
        <w:rPr>
          <w:rFonts w:ascii="Palatino Linotype" w:hAnsi="Palatino Linotype" w:cs="Arial"/>
          <w:sz w:val="24"/>
          <w:szCs w:val="24"/>
        </w:rPr>
        <w:t>--------------------</w:t>
      </w:r>
    </w:p>
    <w:p w14:paraId="56741B0F" w14:textId="1A5A6C9B" w:rsidR="00AD4E5B" w:rsidRPr="00AD4E5B" w:rsidRDefault="00AD4E5B" w:rsidP="000956B7">
      <w:pPr>
        <w:spacing w:after="0" w:line="360" w:lineRule="auto"/>
        <w:jc w:val="both"/>
        <w:rPr>
          <w:rFonts w:ascii="Palatino Linotype" w:hAnsi="Palatino Linotype" w:cs="Arial"/>
          <w:sz w:val="24"/>
          <w:szCs w:val="24"/>
        </w:rPr>
      </w:pPr>
      <w:r w:rsidRPr="00C90A68">
        <w:rPr>
          <w:rFonts w:ascii="Palatino Linotype" w:hAnsi="Palatino Linotype" w:cs="Arial"/>
          <w:sz w:val="24"/>
          <w:szCs w:val="24"/>
        </w:rPr>
        <w:t>JMV/CCR/njmb</w:t>
      </w:r>
      <w:bookmarkStart w:id="0" w:name="_GoBack"/>
      <w:bookmarkEnd w:id="0"/>
    </w:p>
    <w:p w14:paraId="7B5604A5" w14:textId="77777777" w:rsidR="00E7255E" w:rsidRDefault="00E7255E" w:rsidP="000956B7">
      <w:pPr>
        <w:spacing w:after="0" w:line="360" w:lineRule="auto"/>
        <w:jc w:val="both"/>
        <w:rPr>
          <w:rFonts w:ascii="Palatino Linotype" w:hAnsi="Palatino Linotype" w:cs="Arial"/>
          <w:sz w:val="24"/>
          <w:szCs w:val="24"/>
        </w:rPr>
      </w:pPr>
    </w:p>
    <w:p w14:paraId="2DFD2022" w14:textId="77777777" w:rsidR="00E7255E" w:rsidRDefault="00E7255E" w:rsidP="000956B7">
      <w:pPr>
        <w:spacing w:after="0" w:line="360" w:lineRule="auto"/>
        <w:jc w:val="both"/>
        <w:rPr>
          <w:rFonts w:ascii="Palatino Linotype" w:hAnsi="Palatino Linotype" w:cs="Arial"/>
          <w:sz w:val="24"/>
          <w:szCs w:val="24"/>
        </w:rPr>
      </w:pPr>
    </w:p>
    <w:p w14:paraId="62C68B4C" w14:textId="77777777" w:rsidR="00E7255E" w:rsidRDefault="00E7255E" w:rsidP="000956B7">
      <w:pPr>
        <w:spacing w:after="0" w:line="360" w:lineRule="auto"/>
        <w:jc w:val="both"/>
        <w:rPr>
          <w:rFonts w:ascii="Palatino Linotype" w:hAnsi="Palatino Linotype" w:cs="Arial"/>
          <w:sz w:val="24"/>
          <w:szCs w:val="24"/>
        </w:rPr>
      </w:pPr>
    </w:p>
    <w:p w14:paraId="75DABF5E" w14:textId="77777777" w:rsidR="00E7255E" w:rsidRDefault="00E7255E" w:rsidP="000956B7">
      <w:pPr>
        <w:spacing w:after="0"/>
      </w:pPr>
    </w:p>
    <w:p w14:paraId="63EC7467" w14:textId="77777777" w:rsidR="00E7255E" w:rsidRDefault="00E7255E" w:rsidP="000956B7">
      <w:pPr>
        <w:spacing w:after="0"/>
      </w:pPr>
    </w:p>
    <w:p w14:paraId="013A8BFB" w14:textId="77777777" w:rsidR="00E7255E" w:rsidRDefault="00E7255E" w:rsidP="000956B7">
      <w:pPr>
        <w:spacing w:after="0"/>
      </w:pPr>
    </w:p>
    <w:p w14:paraId="3E18D9A0" w14:textId="77777777" w:rsidR="00E7255E" w:rsidRDefault="00E7255E" w:rsidP="000956B7">
      <w:pPr>
        <w:spacing w:after="0"/>
      </w:pPr>
    </w:p>
    <w:p w14:paraId="5A61A6DE" w14:textId="77777777" w:rsidR="00E7255E" w:rsidRDefault="00E7255E" w:rsidP="000956B7">
      <w:pPr>
        <w:spacing w:after="0"/>
      </w:pPr>
    </w:p>
    <w:p w14:paraId="6F4B6C7C" w14:textId="77777777" w:rsidR="00E7255E" w:rsidRDefault="00E7255E" w:rsidP="000956B7">
      <w:pPr>
        <w:spacing w:after="0"/>
      </w:pPr>
    </w:p>
    <w:p w14:paraId="3B8DC915" w14:textId="77777777" w:rsidR="00E7255E" w:rsidRDefault="00E7255E" w:rsidP="000956B7">
      <w:pPr>
        <w:spacing w:after="0"/>
      </w:pPr>
    </w:p>
    <w:p w14:paraId="4968042B" w14:textId="77777777" w:rsidR="00E7255E" w:rsidRDefault="00E7255E" w:rsidP="000956B7">
      <w:pPr>
        <w:spacing w:after="0"/>
      </w:pPr>
    </w:p>
    <w:p w14:paraId="3674C1C9" w14:textId="77777777" w:rsidR="00E7255E" w:rsidRDefault="00E7255E" w:rsidP="000956B7">
      <w:pPr>
        <w:spacing w:after="0"/>
      </w:pPr>
    </w:p>
    <w:p w14:paraId="383AFF88" w14:textId="77777777" w:rsidR="00E7255E" w:rsidRDefault="00E7255E" w:rsidP="000956B7">
      <w:pPr>
        <w:spacing w:after="0"/>
      </w:pPr>
    </w:p>
    <w:p w14:paraId="4A69D122" w14:textId="77777777" w:rsidR="00E7255E" w:rsidRDefault="00E7255E" w:rsidP="000956B7">
      <w:pPr>
        <w:spacing w:after="0"/>
      </w:pPr>
    </w:p>
    <w:p w14:paraId="6AA43C86" w14:textId="77777777" w:rsidR="002B02E6" w:rsidRDefault="002B02E6" w:rsidP="000956B7">
      <w:pPr>
        <w:spacing w:after="0"/>
      </w:pPr>
    </w:p>
    <w:p w14:paraId="39B2C562" w14:textId="77777777" w:rsidR="002B02E6" w:rsidRDefault="002B02E6" w:rsidP="000956B7">
      <w:pPr>
        <w:spacing w:after="0"/>
      </w:pPr>
    </w:p>
    <w:p w14:paraId="1A4B1F3D" w14:textId="77777777" w:rsidR="002B02E6" w:rsidRDefault="002B02E6" w:rsidP="000956B7">
      <w:pPr>
        <w:spacing w:after="0"/>
      </w:pPr>
    </w:p>
    <w:p w14:paraId="4EFA2A72" w14:textId="77777777" w:rsidR="002B02E6" w:rsidRDefault="002B02E6" w:rsidP="000956B7">
      <w:pPr>
        <w:spacing w:after="0"/>
      </w:pPr>
    </w:p>
    <w:p w14:paraId="6E3B3599" w14:textId="77777777" w:rsidR="002B02E6" w:rsidRDefault="002B02E6" w:rsidP="000956B7">
      <w:pPr>
        <w:spacing w:after="0"/>
      </w:pPr>
    </w:p>
    <w:p w14:paraId="708414C8" w14:textId="77777777" w:rsidR="002B02E6" w:rsidRDefault="002B02E6" w:rsidP="000956B7">
      <w:pPr>
        <w:spacing w:after="0"/>
      </w:pPr>
    </w:p>
    <w:p w14:paraId="161E3392" w14:textId="77777777" w:rsidR="002B02E6" w:rsidRDefault="002B02E6" w:rsidP="000956B7">
      <w:pPr>
        <w:spacing w:after="0"/>
      </w:pPr>
    </w:p>
    <w:p w14:paraId="1FAD25B5" w14:textId="77777777" w:rsidR="002B02E6" w:rsidRDefault="002B02E6" w:rsidP="000956B7">
      <w:pPr>
        <w:spacing w:after="0"/>
      </w:pPr>
    </w:p>
    <w:p w14:paraId="508C5709" w14:textId="77777777" w:rsidR="002B02E6" w:rsidRDefault="002B02E6" w:rsidP="000956B7">
      <w:pPr>
        <w:spacing w:after="0"/>
      </w:pPr>
    </w:p>
    <w:p w14:paraId="32F3DCA5" w14:textId="77777777" w:rsidR="002B02E6" w:rsidRDefault="002B02E6" w:rsidP="000956B7">
      <w:pPr>
        <w:spacing w:after="0"/>
      </w:pPr>
    </w:p>
    <w:p w14:paraId="506480C1" w14:textId="77777777" w:rsidR="002B02E6" w:rsidRDefault="002B02E6" w:rsidP="000956B7">
      <w:pPr>
        <w:spacing w:after="0"/>
      </w:pPr>
    </w:p>
    <w:p w14:paraId="3AAC4BA6" w14:textId="77777777" w:rsidR="002B02E6" w:rsidRDefault="002B02E6" w:rsidP="000956B7">
      <w:pPr>
        <w:spacing w:after="0"/>
      </w:pPr>
    </w:p>
    <w:p w14:paraId="7EDEE97B" w14:textId="77777777" w:rsidR="002B02E6" w:rsidRDefault="002B02E6" w:rsidP="000956B7">
      <w:pPr>
        <w:spacing w:after="0"/>
      </w:pPr>
    </w:p>
    <w:p w14:paraId="48B00D24" w14:textId="77777777" w:rsidR="002B02E6" w:rsidRDefault="002B02E6" w:rsidP="000956B7">
      <w:pPr>
        <w:spacing w:after="0"/>
      </w:pPr>
    </w:p>
    <w:p w14:paraId="24F508DA" w14:textId="77777777" w:rsidR="002B02E6" w:rsidRDefault="002B02E6" w:rsidP="000956B7">
      <w:pPr>
        <w:spacing w:after="0"/>
      </w:pPr>
    </w:p>
    <w:p w14:paraId="5888DF30" w14:textId="77777777" w:rsidR="00E7255E" w:rsidRDefault="00E7255E" w:rsidP="000956B7">
      <w:pPr>
        <w:spacing w:after="0"/>
      </w:pPr>
    </w:p>
    <w:p w14:paraId="15E72C7A" w14:textId="77777777" w:rsidR="00710802" w:rsidRDefault="00710802" w:rsidP="000956B7">
      <w:pPr>
        <w:spacing w:after="0"/>
      </w:pPr>
    </w:p>
    <w:sectPr w:rsidR="00710802" w:rsidSect="007C380E">
      <w:headerReference w:type="default" r:id="rId8"/>
      <w:footerReference w:type="default" r:id="rId9"/>
      <w:headerReference w:type="first" r:id="rId10"/>
      <w:footerReference w:type="first" r:id="rId11"/>
      <w:pgSz w:w="12240" w:h="15840"/>
      <w:pgMar w:top="1418" w:right="1469"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C67EF" w14:textId="77777777" w:rsidR="00AC5479" w:rsidRDefault="00AC5479" w:rsidP="00E7255E">
      <w:pPr>
        <w:spacing w:after="0" w:line="240" w:lineRule="auto"/>
      </w:pPr>
      <w:r>
        <w:separator/>
      </w:r>
    </w:p>
  </w:endnote>
  <w:endnote w:type="continuationSeparator" w:id="0">
    <w:p w14:paraId="4C000983" w14:textId="77777777" w:rsidR="00AC5479" w:rsidRDefault="00AC5479" w:rsidP="00E72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63B5C4E" w14:textId="065171C3" w:rsidR="004F0379" w:rsidRPr="002D6DD8" w:rsidRDefault="004F0379" w:rsidP="0071080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0A68">
              <w:rPr>
                <w:rFonts w:ascii="Palatino Linotype" w:hAnsi="Palatino Linotype"/>
                <w:bCs/>
                <w:noProof/>
                <w:sz w:val="20"/>
              </w:rPr>
              <w:t>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90A68">
              <w:rPr>
                <w:rFonts w:ascii="Palatino Linotype" w:hAnsi="Palatino Linotype"/>
                <w:bCs/>
                <w:noProof/>
                <w:sz w:val="20"/>
              </w:rPr>
              <w:t>8</w:t>
            </w:r>
            <w:r>
              <w:rPr>
                <w:rFonts w:ascii="Palatino Linotype" w:hAnsi="Palatino Linotype"/>
                <w:bCs/>
                <w:noProof/>
                <w:sz w:val="20"/>
              </w:rPr>
              <w:fldChar w:fldCharType="end"/>
            </w:r>
          </w:p>
        </w:sdtContent>
      </w:sdt>
    </w:sdtContent>
  </w:sdt>
  <w:p w14:paraId="7E50DBDF" w14:textId="77777777" w:rsidR="004F0379" w:rsidRDefault="004F037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71463" w14:textId="1ABA7429" w:rsidR="004F0379" w:rsidRPr="000B69FA" w:rsidRDefault="004F0379" w:rsidP="0071080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0A6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90A68">
      <w:rPr>
        <w:rFonts w:ascii="Palatino Linotype" w:hAnsi="Palatino Linotype"/>
        <w:bCs/>
        <w:noProof/>
        <w:sz w:val="20"/>
      </w:rPr>
      <w:t>9</w:t>
    </w:r>
    <w:r>
      <w:rPr>
        <w:rFonts w:ascii="Palatino Linotype" w:hAnsi="Palatino Linotype"/>
        <w:bCs/>
        <w:noProof/>
        <w:sz w:val="20"/>
      </w:rPr>
      <w:fldChar w:fldCharType="end"/>
    </w:r>
  </w:p>
  <w:p w14:paraId="34D5E9D7" w14:textId="77777777" w:rsidR="004F0379" w:rsidRDefault="004F03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34322" w14:textId="77777777" w:rsidR="00AC5479" w:rsidRDefault="00AC5479" w:rsidP="00E7255E">
      <w:pPr>
        <w:spacing w:after="0" w:line="240" w:lineRule="auto"/>
      </w:pPr>
      <w:r>
        <w:separator/>
      </w:r>
    </w:p>
  </w:footnote>
  <w:footnote w:type="continuationSeparator" w:id="0">
    <w:p w14:paraId="37443761" w14:textId="77777777" w:rsidR="00AC5479" w:rsidRDefault="00AC5479" w:rsidP="00E7255E">
      <w:pPr>
        <w:spacing w:after="0" w:line="240" w:lineRule="auto"/>
      </w:pPr>
      <w:r>
        <w:continuationSeparator/>
      </w:r>
    </w:p>
  </w:footnote>
  <w:footnote w:id="1">
    <w:p w14:paraId="1B94E889" w14:textId="77777777" w:rsidR="004F0379" w:rsidRPr="00946E1F" w:rsidRDefault="004F0379" w:rsidP="00E7255E">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463BD42" w14:textId="77777777" w:rsidR="004F0379" w:rsidRPr="00A070D9" w:rsidRDefault="004F0379" w:rsidP="004F0379">
      <w:pPr>
        <w:pStyle w:val="Textonotapie"/>
      </w:pPr>
      <w:r>
        <w:rPr>
          <w:rStyle w:val="Refdenotaalpie"/>
        </w:rPr>
        <w:footnoteRef/>
      </w:r>
      <w:r>
        <w:t xml:space="preserve"> Tesis II. 1o. J/5, </w:t>
      </w:r>
      <w:r>
        <w:rPr>
          <w:i/>
        </w:rPr>
        <w:t>Semanario Judicial de la Federación</w:t>
      </w:r>
      <w:r>
        <w:t>, Octava Época. tomo VII, mayo de 1991, pág. 95.</w:t>
      </w:r>
    </w:p>
  </w:footnote>
  <w:footnote w:id="3">
    <w:p w14:paraId="01604494" w14:textId="77777777" w:rsidR="004F0379" w:rsidRPr="00A070D9" w:rsidRDefault="004F0379" w:rsidP="004F0379">
      <w:pPr>
        <w:spacing w:line="240" w:lineRule="auto"/>
        <w:rPr>
          <w:b/>
          <w:bCs/>
          <w:i/>
          <w:sz w:val="18"/>
          <w:szCs w:val="18"/>
        </w:rPr>
      </w:pPr>
      <w:r w:rsidRPr="00A070D9">
        <w:rPr>
          <w:rStyle w:val="Refdenotaalpie"/>
          <w:sz w:val="18"/>
          <w:szCs w:val="18"/>
        </w:rPr>
        <w:footnoteRef/>
      </w:r>
      <w:r w:rsidRPr="00A070D9">
        <w:rPr>
          <w:sz w:val="18"/>
          <w:szCs w:val="18"/>
        </w:rPr>
        <w:t xml:space="preserve"> </w:t>
      </w:r>
      <w:r w:rsidRPr="00A070D9">
        <w:rPr>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65338CB3" w14:textId="77777777" w:rsidR="004F0379" w:rsidRPr="00A070D9" w:rsidRDefault="004F0379" w:rsidP="004F0379">
      <w:pPr>
        <w:spacing w:line="240" w:lineRule="auto"/>
        <w:rPr>
          <w:i/>
          <w:sz w:val="18"/>
          <w:szCs w:val="18"/>
        </w:rPr>
      </w:pPr>
      <w:r w:rsidRPr="00A070D9">
        <w:rPr>
          <w:i/>
          <w:sz w:val="18"/>
          <w:szCs w:val="18"/>
        </w:rPr>
        <w:t xml:space="preserve">Del examen de compatibilidad de los artículos </w:t>
      </w:r>
      <w:hyperlink r:id="rId3" w:history="1">
        <w:r w:rsidRPr="00A070D9">
          <w:rPr>
            <w:rStyle w:val="Hipervnculo"/>
            <w:i/>
            <w:sz w:val="18"/>
            <w:szCs w:val="18"/>
          </w:rPr>
          <w:t>73 y 74 de la Ley de Amparo</w:t>
        </w:r>
      </w:hyperlink>
      <w:r w:rsidRPr="00A070D9">
        <w:rPr>
          <w:rStyle w:val="apple-converted-space"/>
          <w:i/>
          <w:sz w:val="18"/>
          <w:szCs w:val="18"/>
        </w:rPr>
        <w:t xml:space="preserve"> </w:t>
      </w:r>
      <w:r w:rsidRPr="00A070D9">
        <w:rPr>
          <w:i/>
          <w:sz w:val="18"/>
          <w:szCs w:val="18"/>
        </w:rPr>
        <w:t xml:space="preserve">con el artículo </w:t>
      </w:r>
      <w:hyperlink r:id="rId4" w:history="1">
        <w:r w:rsidRPr="00A070D9">
          <w:rPr>
            <w:rStyle w:val="Hipervnculo"/>
            <w:i/>
            <w:sz w:val="18"/>
            <w:szCs w:val="18"/>
          </w:rPr>
          <w:t>25.1 de la Convención Americana sobre Derechos Humanos</w:t>
        </w:r>
      </w:hyperlink>
      <w:r w:rsidRPr="00A070D9">
        <w:rPr>
          <w:rStyle w:val="Hipervnculo"/>
          <w:i/>
          <w:sz w:val="18"/>
          <w:szCs w:val="18"/>
        </w:rPr>
        <w:t xml:space="preserve"> </w:t>
      </w:r>
      <w:r w:rsidRPr="00A070D9">
        <w:rPr>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070D9">
        <w:rPr>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4F0379" w14:paraId="601FF55A" w14:textId="77777777" w:rsidTr="00710802">
      <w:trPr>
        <w:trHeight w:val="227"/>
      </w:trPr>
      <w:tc>
        <w:tcPr>
          <w:tcW w:w="4820" w:type="dxa"/>
          <w:hideMark/>
        </w:tcPr>
        <w:p w14:paraId="7ED7E1FD" w14:textId="77777777" w:rsidR="004F0379" w:rsidRPr="00641471" w:rsidRDefault="004F0379" w:rsidP="0071080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3B059488" w14:textId="4E1BE7D1" w:rsidR="004F0379" w:rsidRPr="00641471" w:rsidRDefault="004F0379" w:rsidP="00710802">
          <w:pPr>
            <w:spacing w:after="120" w:line="256" w:lineRule="auto"/>
            <w:ind w:left="-486" w:right="214" w:firstLine="557"/>
            <w:jc w:val="right"/>
            <w:rPr>
              <w:rFonts w:ascii="Palatino Linotype" w:hAnsi="Palatino Linotype" w:cs="Arial"/>
              <w:b/>
              <w:szCs w:val="20"/>
            </w:rPr>
          </w:pPr>
          <w:r w:rsidRPr="007C380E">
            <w:rPr>
              <w:rFonts w:ascii="Palatino Linotype" w:hAnsi="Palatino Linotype" w:cs="Arial"/>
              <w:b/>
              <w:szCs w:val="20"/>
            </w:rPr>
            <w:t>13775/INFOEM/ICR-03/IP/RR/2022</w:t>
          </w:r>
        </w:p>
      </w:tc>
    </w:tr>
    <w:tr w:rsidR="004F0379" w14:paraId="57CA1510" w14:textId="77777777" w:rsidTr="00710802">
      <w:trPr>
        <w:trHeight w:val="242"/>
      </w:trPr>
      <w:tc>
        <w:tcPr>
          <w:tcW w:w="4820" w:type="dxa"/>
          <w:hideMark/>
        </w:tcPr>
        <w:p w14:paraId="451476A1" w14:textId="77777777" w:rsidR="004F0379" w:rsidRPr="00641471" w:rsidRDefault="004F0379" w:rsidP="0071080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3D17DEC6" w14:textId="49BE17C6" w:rsidR="004F0379" w:rsidRPr="00641471" w:rsidRDefault="004F0379" w:rsidP="00710802">
          <w:pPr>
            <w:spacing w:after="120" w:line="256" w:lineRule="auto"/>
            <w:ind w:left="-486" w:right="214" w:firstLine="284"/>
            <w:jc w:val="right"/>
            <w:rPr>
              <w:rFonts w:ascii="Palatino Linotype" w:hAnsi="Palatino Linotype" w:cs="Arial"/>
              <w:b/>
              <w:szCs w:val="20"/>
            </w:rPr>
          </w:pPr>
          <w:r w:rsidRPr="001872B4">
            <w:rPr>
              <w:rFonts w:ascii="Palatino Linotype" w:hAnsi="Palatino Linotype" w:cs="Arial"/>
              <w:b/>
              <w:sz w:val="24"/>
              <w:szCs w:val="24"/>
            </w:rPr>
            <w:t xml:space="preserve">Ayuntamiento de </w:t>
          </w:r>
          <w:r>
            <w:rPr>
              <w:rFonts w:ascii="Palatino Linotype" w:hAnsi="Palatino Linotype" w:cs="Arial"/>
              <w:b/>
              <w:sz w:val="24"/>
              <w:szCs w:val="24"/>
            </w:rPr>
            <w:t>Tultepec</w:t>
          </w:r>
        </w:p>
      </w:tc>
    </w:tr>
    <w:tr w:rsidR="004F0379" w14:paraId="675E1128" w14:textId="77777777" w:rsidTr="00710802">
      <w:trPr>
        <w:trHeight w:val="342"/>
      </w:trPr>
      <w:tc>
        <w:tcPr>
          <w:tcW w:w="4820" w:type="dxa"/>
          <w:hideMark/>
        </w:tcPr>
        <w:p w14:paraId="7E96FD6C" w14:textId="77777777" w:rsidR="004F0379" w:rsidRPr="00641471" w:rsidRDefault="004F0379" w:rsidP="00710802">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14:paraId="018506AF" w14:textId="77777777" w:rsidR="004F0379" w:rsidRPr="00641471" w:rsidRDefault="004F0379" w:rsidP="00710802">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1EC52478" w14:textId="77777777" w:rsidR="004F0379" w:rsidRPr="00AE046A" w:rsidRDefault="004F0379" w:rsidP="00710802">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8F843A7" wp14:editId="174857CE">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679"/>
      <w:gridCol w:w="5244"/>
    </w:tblGrid>
    <w:tr w:rsidR="004F0379" w14:paraId="3F5B63AE" w14:textId="77777777" w:rsidTr="00710802">
      <w:trPr>
        <w:trHeight w:val="227"/>
      </w:trPr>
      <w:tc>
        <w:tcPr>
          <w:tcW w:w="4679" w:type="dxa"/>
          <w:hideMark/>
        </w:tcPr>
        <w:p w14:paraId="232CDFA9" w14:textId="77777777" w:rsidR="004F0379" w:rsidRPr="00641471" w:rsidRDefault="004F0379" w:rsidP="0071080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244" w:type="dxa"/>
          <w:hideMark/>
        </w:tcPr>
        <w:p w14:paraId="0B8D1B42" w14:textId="549CB972" w:rsidR="004F0379" w:rsidRPr="00641471" w:rsidRDefault="004F0379" w:rsidP="00710802">
          <w:pPr>
            <w:spacing w:after="120" w:line="256" w:lineRule="auto"/>
            <w:ind w:left="-486" w:right="214" w:firstLine="558"/>
            <w:jc w:val="right"/>
            <w:rPr>
              <w:rFonts w:ascii="Palatino Linotype" w:hAnsi="Palatino Linotype" w:cs="Arial"/>
              <w:b/>
              <w:szCs w:val="20"/>
            </w:rPr>
          </w:pPr>
          <w:r w:rsidRPr="007C380E">
            <w:rPr>
              <w:rFonts w:ascii="Palatino Linotype" w:hAnsi="Palatino Linotype" w:cs="Arial"/>
              <w:b/>
              <w:szCs w:val="20"/>
            </w:rPr>
            <w:t>13775/INFOEM/ICR-03/IP/RR/2022</w:t>
          </w:r>
        </w:p>
      </w:tc>
    </w:tr>
    <w:tr w:rsidR="004F0379" w14:paraId="6295445D" w14:textId="77777777" w:rsidTr="00710802">
      <w:trPr>
        <w:trHeight w:val="242"/>
      </w:trPr>
      <w:tc>
        <w:tcPr>
          <w:tcW w:w="4679" w:type="dxa"/>
          <w:hideMark/>
        </w:tcPr>
        <w:p w14:paraId="300BE699" w14:textId="77777777" w:rsidR="004F0379" w:rsidRPr="00641471" w:rsidRDefault="004F0379" w:rsidP="0071080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244" w:type="dxa"/>
          <w:hideMark/>
        </w:tcPr>
        <w:p w14:paraId="539A53FF" w14:textId="124C6901" w:rsidR="004F0379" w:rsidRPr="00641471" w:rsidRDefault="004F0379" w:rsidP="00710802">
          <w:pPr>
            <w:spacing w:after="120" w:line="256" w:lineRule="auto"/>
            <w:ind w:left="-486" w:right="214" w:firstLine="284"/>
            <w:jc w:val="right"/>
            <w:rPr>
              <w:rFonts w:ascii="Palatino Linotype" w:hAnsi="Palatino Linotype" w:cs="Arial"/>
              <w:b/>
              <w:szCs w:val="20"/>
            </w:rPr>
          </w:pPr>
          <w:r w:rsidRPr="001872B4">
            <w:rPr>
              <w:rFonts w:ascii="Palatino Linotype" w:hAnsi="Palatino Linotype" w:cs="Arial"/>
              <w:b/>
              <w:szCs w:val="20"/>
            </w:rPr>
            <w:t xml:space="preserve">Ayuntamiento de </w:t>
          </w:r>
          <w:r>
            <w:rPr>
              <w:rFonts w:ascii="Palatino Linotype" w:hAnsi="Palatino Linotype" w:cs="Arial"/>
              <w:b/>
              <w:szCs w:val="20"/>
            </w:rPr>
            <w:t>Tultepec</w:t>
          </w:r>
        </w:p>
      </w:tc>
    </w:tr>
    <w:tr w:rsidR="004F0379" w14:paraId="7F4283DB" w14:textId="77777777" w:rsidTr="00710802">
      <w:trPr>
        <w:trHeight w:val="342"/>
      </w:trPr>
      <w:tc>
        <w:tcPr>
          <w:tcW w:w="4679" w:type="dxa"/>
        </w:tcPr>
        <w:p w14:paraId="136C7EC0" w14:textId="77777777" w:rsidR="004F0379" w:rsidRPr="00641471" w:rsidRDefault="004F0379" w:rsidP="0071080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244" w:type="dxa"/>
        </w:tcPr>
        <w:p w14:paraId="444752DB" w14:textId="3DB277D6" w:rsidR="004F0379" w:rsidRPr="00641471" w:rsidRDefault="00B11A2B" w:rsidP="00710802">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w:t>
          </w:r>
        </w:p>
      </w:tc>
    </w:tr>
    <w:tr w:rsidR="004F0379" w14:paraId="45CE8D99" w14:textId="77777777" w:rsidTr="00710802">
      <w:trPr>
        <w:trHeight w:val="342"/>
      </w:trPr>
      <w:tc>
        <w:tcPr>
          <w:tcW w:w="4679" w:type="dxa"/>
        </w:tcPr>
        <w:p w14:paraId="35C962C5" w14:textId="77777777" w:rsidR="004F0379" w:rsidRPr="00641471" w:rsidRDefault="004F0379" w:rsidP="0071080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244" w:type="dxa"/>
        </w:tcPr>
        <w:p w14:paraId="09DEDCF0" w14:textId="77777777" w:rsidR="004F0379" w:rsidRPr="00641471" w:rsidRDefault="004F0379" w:rsidP="00710802">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201AF915" w14:textId="77777777" w:rsidR="004F0379" w:rsidRPr="00C222C0" w:rsidRDefault="004F0379">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D5D3029" wp14:editId="0B0D62D3">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C53F6F"/>
    <w:multiLevelType w:val="hybridMultilevel"/>
    <w:tmpl w:val="CC10191E"/>
    <w:lvl w:ilvl="0" w:tplc="68949464">
      <w:start w:val="1"/>
      <w:numFmt w:val="upperRoman"/>
      <w:lvlText w:val="%1."/>
      <w:lvlJc w:val="righ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332FAF"/>
    <w:multiLevelType w:val="hybridMultilevel"/>
    <w:tmpl w:val="F8EC3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AC1E12"/>
    <w:multiLevelType w:val="hybridMultilevel"/>
    <w:tmpl w:val="BD1ED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7244CC"/>
    <w:multiLevelType w:val="hybridMultilevel"/>
    <w:tmpl w:val="1E96D454"/>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C37897"/>
    <w:multiLevelType w:val="hybridMultilevel"/>
    <w:tmpl w:val="F954B4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195827"/>
    <w:multiLevelType w:val="hybridMultilevel"/>
    <w:tmpl w:val="806085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265FBF"/>
    <w:multiLevelType w:val="hybridMultilevel"/>
    <w:tmpl w:val="2F38E856"/>
    <w:lvl w:ilvl="0" w:tplc="A8428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F41149"/>
    <w:multiLevelType w:val="hybridMultilevel"/>
    <w:tmpl w:val="6F9A099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D00256"/>
    <w:multiLevelType w:val="hybridMultilevel"/>
    <w:tmpl w:val="0D92EE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32F6FC8"/>
    <w:multiLevelType w:val="hybridMultilevel"/>
    <w:tmpl w:val="2E525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6507DCA"/>
    <w:multiLevelType w:val="hybridMultilevel"/>
    <w:tmpl w:val="DBA02CA0"/>
    <w:lvl w:ilvl="0" w:tplc="EBD87B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4E59B1"/>
    <w:multiLevelType w:val="hybridMultilevel"/>
    <w:tmpl w:val="2438C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3C6D58"/>
    <w:multiLevelType w:val="hybridMultilevel"/>
    <w:tmpl w:val="BC4C460A"/>
    <w:lvl w:ilvl="0" w:tplc="D4E62988">
      <w:start w:val="1"/>
      <w:numFmt w:val="upperRoman"/>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455BC8"/>
    <w:multiLevelType w:val="hybridMultilevel"/>
    <w:tmpl w:val="AB7AF0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0E4230"/>
    <w:multiLevelType w:val="hybridMultilevel"/>
    <w:tmpl w:val="028A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3"/>
  </w:num>
  <w:num w:numId="4">
    <w:abstractNumId w:val="15"/>
  </w:num>
  <w:num w:numId="5">
    <w:abstractNumId w:val="2"/>
  </w:num>
  <w:num w:numId="6">
    <w:abstractNumId w:val="3"/>
  </w:num>
  <w:num w:numId="7">
    <w:abstractNumId w:val="9"/>
  </w:num>
  <w:num w:numId="8">
    <w:abstractNumId w:val="11"/>
  </w:num>
  <w:num w:numId="9">
    <w:abstractNumId w:val="5"/>
  </w:num>
  <w:num w:numId="10">
    <w:abstractNumId w:val="4"/>
  </w:num>
  <w:num w:numId="11">
    <w:abstractNumId w:val="7"/>
  </w:num>
  <w:num w:numId="12">
    <w:abstractNumId w:val="0"/>
  </w:num>
  <w:num w:numId="13">
    <w:abstractNumId w:val="8"/>
  </w:num>
  <w:num w:numId="14">
    <w:abstractNumId w:val="12"/>
  </w:num>
  <w:num w:numId="15">
    <w:abstractNumId w:val="10"/>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55E"/>
    <w:rsid w:val="000257F1"/>
    <w:rsid w:val="000638CA"/>
    <w:rsid w:val="00091B7B"/>
    <w:rsid w:val="000956B7"/>
    <w:rsid w:val="00141EF9"/>
    <w:rsid w:val="00146730"/>
    <w:rsid w:val="001872B4"/>
    <w:rsid w:val="001878E2"/>
    <w:rsid w:val="001F05B4"/>
    <w:rsid w:val="0022642A"/>
    <w:rsid w:val="0025784D"/>
    <w:rsid w:val="002728AE"/>
    <w:rsid w:val="0028777E"/>
    <w:rsid w:val="002B02E6"/>
    <w:rsid w:val="002F0DBD"/>
    <w:rsid w:val="002F7B87"/>
    <w:rsid w:val="0032065F"/>
    <w:rsid w:val="003336BF"/>
    <w:rsid w:val="00334773"/>
    <w:rsid w:val="003931DA"/>
    <w:rsid w:val="003A268A"/>
    <w:rsid w:val="004202FC"/>
    <w:rsid w:val="00427875"/>
    <w:rsid w:val="0044186A"/>
    <w:rsid w:val="00443285"/>
    <w:rsid w:val="004602D4"/>
    <w:rsid w:val="00463E28"/>
    <w:rsid w:val="004A60F3"/>
    <w:rsid w:val="004F0379"/>
    <w:rsid w:val="005474B4"/>
    <w:rsid w:val="005D37C8"/>
    <w:rsid w:val="005D3E33"/>
    <w:rsid w:val="005D7912"/>
    <w:rsid w:val="005F0AC8"/>
    <w:rsid w:val="00600C5F"/>
    <w:rsid w:val="00604B5D"/>
    <w:rsid w:val="0062731C"/>
    <w:rsid w:val="00643650"/>
    <w:rsid w:val="00653E83"/>
    <w:rsid w:val="00654186"/>
    <w:rsid w:val="00680934"/>
    <w:rsid w:val="006B43C1"/>
    <w:rsid w:val="006F1FA7"/>
    <w:rsid w:val="00710802"/>
    <w:rsid w:val="0079411C"/>
    <w:rsid w:val="007A5BE8"/>
    <w:rsid w:val="007B732E"/>
    <w:rsid w:val="007C380E"/>
    <w:rsid w:val="007D3383"/>
    <w:rsid w:val="007E2BAA"/>
    <w:rsid w:val="00830B55"/>
    <w:rsid w:val="008A7E26"/>
    <w:rsid w:val="008B152A"/>
    <w:rsid w:val="008F7F0C"/>
    <w:rsid w:val="00915D8F"/>
    <w:rsid w:val="00941311"/>
    <w:rsid w:val="0094527D"/>
    <w:rsid w:val="009D3512"/>
    <w:rsid w:val="00A26F23"/>
    <w:rsid w:val="00A51522"/>
    <w:rsid w:val="00A56172"/>
    <w:rsid w:val="00A720C6"/>
    <w:rsid w:val="00A855AB"/>
    <w:rsid w:val="00AA61C1"/>
    <w:rsid w:val="00AB7695"/>
    <w:rsid w:val="00AC5479"/>
    <w:rsid w:val="00AD4E5B"/>
    <w:rsid w:val="00B0257D"/>
    <w:rsid w:val="00B11A2B"/>
    <w:rsid w:val="00B4346D"/>
    <w:rsid w:val="00B55F6B"/>
    <w:rsid w:val="00BA5F24"/>
    <w:rsid w:val="00BB206F"/>
    <w:rsid w:val="00BC3337"/>
    <w:rsid w:val="00BF3772"/>
    <w:rsid w:val="00C21F86"/>
    <w:rsid w:val="00C467F2"/>
    <w:rsid w:val="00C70AE5"/>
    <w:rsid w:val="00C90A68"/>
    <w:rsid w:val="00C97E62"/>
    <w:rsid w:val="00CC3A7B"/>
    <w:rsid w:val="00CC3B18"/>
    <w:rsid w:val="00CF7BB6"/>
    <w:rsid w:val="00D56003"/>
    <w:rsid w:val="00D65DBA"/>
    <w:rsid w:val="00D71064"/>
    <w:rsid w:val="00DA1029"/>
    <w:rsid w:val="00E44CBD"/>
    <w:rsid w:val="00E51CD1"/>
    <w:rsid w:val="00E537C2"/>
    <w:rsid w:val="00E7255E"/>
    <w:rsid w:val="00E87C3A"/>
    <w:rsid w:val="00EA0416"/>
    <w:rsid w:val="00EA7002"/>
    <w:rsid w:val="00F75EED"/>
    <w:rsid w:val="00FA0242"/>
    <w:rsid w:val="00FA21CD"/>
    <w:rsid w:val="00FE49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F89DC8"/>
  <w15:chartTrackingRefBased/>
  <w15:docId w15:val="{4A30F315-B534-4D0F-885A-AFDEDB13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5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55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7255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7255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7255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255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7255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7255E"/>
  </w:style>
  <w:style w:type="character" w:styleId="Hipervnculo">
    <w:name w:val="Hyperlink"/>
    <w:aliases w:val="Hipervínculo1,Hipervínculo11,Hipervínculo12,Hipervínculo13,Hipervínculo14,Hipervínculo15"/>
    <w:basedOn w:val="Fuentedeprrafopredeter"/>
    <w:uiPriority w:val="99"/>
    <w:unhideWhenUsed/>
    <w:rsid w:val="00E7255E"/>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7255E"/>
    <w:rPr>
      <w:vertAlign w:val="superscript"/>
    </w:rPr>
  </w:style>
  <w:style w:type="table" w:styleId="Tablaconcuadrcula">
    <w:name w:val="Table Grid"/>
    <w:basedOn w:val="Tablanormal"/>
    <w:uiPriority w:val="39"/>
    <w:rsid w:val="00B55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5600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56003"/>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semiHidden/>
    <w:unhideWhenUsed/>
    <w:rsid w:val="00915D8F"/>
    <w:rPr>
      <w:sz w:val="16"/>
      <w:szCs w:val="16"/>
    </w:rPr>
  </w:style>
  <w:style w:type="paragraph" w:styleId="Textocomentario">
    <w:name w:val="annotation text"/>
    <w:basedOn w:val="Normal"/>
    <w:link w:val="TextocomentarioCar"/>
    <w:uiPriority w:val="99"/>
    <w:semiHidden/>
    <w:unhideWhenUsed/>
    <w:rsid w:val="00915D8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15D8F"/>
    <w:rPr>
      <w:sz w:val="20"/>
      <w:szCs w:val="20"/>
    </w:rPr>
  </w:style>
  <w:style w:type="paragraph" w:styleId="Asuntodelcomentario">
    <w:name w:val="annotation subject"/>
    <w:basedOn w:val="Textocomentario"/>
    <w:next w:val="Textocomentario"/>
    <w:link w:val="AsuntodelcomentarioCar"/>
    <w:uiPriority w:val="99"/>
    <w:semiHidden/>
    <w:unhideWhenUsed/>
    <w:rsid w:val="00915D8F"/>
    <w:rPr>
      <w:b/>
      <w:bCs/>
    </w:rPr>
  </w:style>
  <w:style w:type="character" w:customStyle="1" w:styleId="AsuntodelcomentarioCar">
    <w:name w:val="Asunto del comentario Car"/>
    <w:basedOn w:val="TextocomentarioCar"/>
    <w:link w:val="Asuntodelcomentario"/>
    <w:uiPriority w:val="99"/>
    <w:semiHidden/>
    <w:rsid w:val="00915D8F"/>
    <w:rPr>
      <w:b/>
      <w:bCs/>
      <w:sz w:val="20"/>
      <w:szCs w:val="20"/>
    </w:rPr>
  </w:style>
  <w:style w:type="paragraph" w:styleId="Textodeglobo">
    <w:name w:val="Balloon Text"/>
    <w:basedOn w:val="Normal"/>
    <w:link w:val="TextodegloboCar"/>
    <w:uiPriority w:val="99"/>
    <w:semiHidden/>
    <w:unhideWhenUsed/>
    <w:rsid w:val="00915D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5D8F"/>
    <w:rPr>
      <w:rFonts w:ascii="Segoe UI" w:hAnsi="Segoe UI" w:cs="Segoe UI"/>
      <w:sz w:val="18"/>
      <w:szCs w:val="18"/>
    </w:rPr>
  </w:style>
  <w:style w:type="paragraph" w:styleId="Sinespaciado">
    <w:name w:val="No Spacing"/>
    <w:aliases w:val="fundamentos,Francesa,INAI"/>
    <w:link w:val="SinespaciadoCar"/>
    <w:uiPriority w:val="1"/>
    <w:qFormat/>
    <w:rsid w:val="004F0379"/>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4F0379"/>
    <w:rPr>
      <w:rFonts w:ascii="Palatino Linotype" w:eastAsia="Times New Roman" w:hAnsi="Palatino Linotype" w:cs="Times New Roman"/>
      <w:i/>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06036">
      <w:bodyDiv w:val="1"/>
      <w:marLeft w:val="0"/>
      <w:marRight w:val="0"/>
      <w:marTop w:val="0"/>
      <w:marBottom w:val="0"/>
      <w:divBdr>
        <w:top w:val="none" w:sz="0" w:space="0" w:color="auto"/>
        <w:left w:val="none" w:sz="0" w:space="0" w:color="auto"/>
        <w:bottom w:val="none" w:sz="0" w:space="0" w:color="auto"/>
        <w:right w:val="none" w:sz="0" w:space="0" w:color="auto"/>
      </w:divBdr>
    </w:div>
    <w:div w:id="203719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javascript:AbrirModal(1)"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javascript:AbrirModal(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2AA96-CF99-41F4-8D89-D7EB62A8B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4848</Words>
  <Characters>26665</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9</cp:revision>
  <dcterms:created xsi:type="dcterms:W3CDTF">2023-08-23T16:30:00Z</dcterms:created>
  <dcterms:modified xsi:type="dcterms:W3CDTF">2023-10-10T23:19:00Z</dcterms:modified>
</cp:coreProperties>
</file>