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veinticinco de enero del dos mil veintitrés. </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Visto</w:t>
      </w:r>
      <w:r w:rsidRPr="00FD3105">
        <w:rPr>
          <w:rFonts w:ascii="Palatino Linotype" w:eastAsia="Palatino Linotype" w:hAnsi="Palatino Linotype" w:cs="Palatino Linotype"/>
        </w:rPr>
        <w:t xml:space="preserve"> el expediente relativo al recurso de revisión </w:t>
      </w:r>
      <w:r w:rsidRPr="00FD3105">
        <w:rPr>
          <w:rFonts w:ascii="Palatino Linotype" w:eastAsia="Palatino Linotype" w:hAnsi="Palatino Linotype" w:cs="Palatino Linotype"/>
          <w:b/>
        </w:rPr>
        <w:t>14099/INFOEM/IP/RR/2022</w:t>
      </w:r>
      <w:r w:rsidRPr="00FD3105">
        <w:rPr>
          <w:rFonts w:ascii="Palatino Linotype" w:eastAsia="Palatino Linotype" w:hAnsi="Palatino Linotype" w:cs="Palatino Linotype"/>
        </w:rPr>
        <w:t xml:space="preserve">, interpuesto por </w:t>
      </w:r>
      <w:r w:rsidR="0068323F">
        <w:rPr>
          <w:rFonts w:ascii="Palatino Linotype" w:eastAsia="Palatino Linotype" w:hAnsi="Palatino Linotype" w:cs="Palatino Linotype"/>
          <w:b/>
        </w:rPr>
        <w:t>XXXXX XXXXXX XXXXXX</w:t>
      </w:r>
      <w:bookmarkStart w:id="0" w:name="_GoBack"/>
      <w:bookmarkEnd w:id="0"/>
      <w:r w:rsidRPr="00FD3105">
        <w:rPr>
          <w:rFonts w:ascii="Palatino Linotype" w:eastAsia="Palatino Linotype" w:hAnsi="Palatino Linotype" w:cs="Palatino Linotype"/>
          <w:b/>
        </w:rPr>
        <w:t>,</w:t>
      </w:r>
      <w:r w:rsidRPr="00FD3105">
        <w:rPr>
          <w:rFonts w:ascii="Palatino Linotype" w:eastAsia="Palatino Linotype" w:hAnsi="Palatino Linotype" w:cs="Palatino Linotype"/>
        </w:rPr>
        <w:t xml:space="preserve"> al cual en lo sucesivo se le denominara </w:t>
      </w:r>
      <w:r w:rsidRPr="00FD3105">
        <w:rPr>
          <w:rFonts w:ascii="Palatino Linotype" w:eastAsia="Palatino Linotype" w:hAnsi="Palatino Linotype" w:cs="Palatino Linotype"/>
          <w:b/>
        </w:rPr>
        <w:t>el RECURRENTE</w:t>
      </w:r>
      <w:r w:rsidRPr="00FD3105">
        <w:rPr>
          <w:rFonts w:ascii="Palatino Linotype" w:eastAsia="Palatino Linotype" w:hAnsi="Palatino Linotype" w:cs="Palatino Linotype"/>
        </w:rPr>
        <w:t xml:space="preserve">, en contra de la respuesta a su solicitud de información con número de folio </w:t>
      </w:r>
      <w:r w:rsidRPr="00FD3105">
        <w:rPr>
          <w:rFonts w:ascii="Palatino Linotype" w:eastAsia="Palatino Linotype" w:hAnsi="Palatino Linotype" w:cs="Palatino Linotype"/>
          <w:b/>
        </w:rPr>
        <w:t>00325/VACHASO/IP/2022</w:t>
      </w:r>
      <w:r w:rsidRPr="00FD3105">
        <w:rPr>
          <w:rFonts w:ascii="Palatino Linotype" w:eastAsia="Palatino Linotype" w:hAnsi="Palatino Linotype" w:cs="Palatino Linotype"/>
        </w:rPr>
        <w:t xml:space="preserve">, por parte del </w:t>
      </w:r>
      <w:r w:rsidRPr="00FD3105">
        <w:rPr>
          <w:rFonts w:ascii="Palatino Linotype" w:eastAsia="Palatino Linotype" w:hAnsi="Palatino Linotype" w:cs="Palatino Linotype"/>
          <w:b/>
        </w:rPr>
        <w:t>Ayuntamiento de Valle de Chalco Solidaridad</w:t>
      </w:r>
      <w:r w:rsidRPr="00FD3105">
        <w:rPr>
          <w:rFonts w:ascii="Palatino Linotype" w:eastAsia="Palatino Linotype" w:hAnsi="Palatino Linotype" w:cs="Palatino Linotype"/>
        </w:rPr>
        <w:t xml:space="preserve"> en lo sucesivo el </w:t>
      </w:r>
      <w:r w:rsidRPr="00FD3105">
        <w:rPr>
          <w:rFonts w:ascii="Palatino Linotype" w:eastAsia="Palatino Linotype" w:hAnsi="Palatino Linotype" w:cs="Palatino Linotype"/>
          <w:b/>
        </w:rPr>
        <w:t xml:space="preserve">SUJETO OBLIGADO; </w:t>
      </w:r>
      <w:r w:rsidRPr="00FD3105">
        <w:rPr>
          <w:rFonts w:ascii="Palatino Linotype" w:eastAsia="Palatino Linotype" w:hAnsi="Palatino Linotype" w:cs="Palatino Linotype"/>
        </w:rPr>
        <w:t>se procede a dictar la presente resolución, con base en los siguientes:</w:t>
      </w:r>
    </w:p>
    <w:p w:rsidR="00264E47" w:rsidRPr="00FD3105" w:rsidRDefault="003233E0">
      <w:pPr>
        <w:numPr>
          <w:ilvl w:val="0"/>
          <w:numId w:val="3"/>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FD3105">
        <w:rPr>
          <w:rFonts w:ascii="Palatino Linotype" w:eastAsia="Palatino Linotype" w:hAnsi="Palatino Linotype" w:cs="Palatino Linotype"/>
          <w:b/>
          <w:sz w:val="22"/>
          <w:szCs w:val="22"/>
        </w:rPr>
        <w:t>A N T E C E D E N T E S:</w:t>
      </w:r>
    </w:p>
    <w:p w:rsidR="00264E47" w:rsidRPr="00FD3105" w:rsidRDefault="003233E0">
      <w:pPr>
        <w:spacing w:before="240" w:after="240" w:line="360" w:lineRule="auto"/>
        <w:jc w:val="both"/>
        <w:rPr>
          <w:rFonts w:ascii="Palatino Linotype" w:eastAsia="Palatino Linotype" w:hAnsi="Palatino Linotype" w:cs="Palatino Linotype"/>
          <w:b/>
        </w:rPr>
      </w:pPr>
      <w:r w:rsidRPr="00FD3105">
        <w:rPr>
          <w:rFonts w:ascii="Palatino Linotype" w:eastAsia="Palatino Linotype" w:hAnsi="Palatino Linotype" w:cs="Palatino Linotype"/>
          <w:b/>
        </w:rPr>
        <w:t xml:space="preserve">1. Solicitud de acceso a la información. </w:t>
      </w:r>
      <w:r w:rsidRPr="00FD3105">
        <w:rPr>
          <w:rFonts w:ascii="Palatino Linotype" w:eastAsia="Palatino Linotype" w:hAnsi="Palatino Linotype" w:cs="Palatino Linotype"/>
        </w:rPr>
        <w:t>Con fecha cinco</w:t>
      </w:r>
      <w:r w:rsidRPr="00FD3105">
        <w:rPr>
          <w:rFonts w:ascii="Palatino Linotype" w:eastAsia="Palatino Linotype" w:hAnsi="Palatino Linotype" w:cs="Palatino Linotype"/>
          <w:sz w:val="36"/>
          <w:szCs w:val="36"/>
        </w:rPr>
        <w:t xml:space="preserve"> </w:t>
      </w:r>
      <w:r w:rsidRPr="00FD3105">
        <w:rPr>
          <w:rFonts w:ascii="Palatino Linotype" w:eastAsia="Palatino Linotype" w:hAnsi="Palatino Linotype" w:cs="Palatino Linotype"/>
        </w:rPr>
        <w:t xml:space="preserve">de agosto del dos mil veintidós, la parte </w:t>
      </w:r>
      <w:r w:rsidRPr="00FD3105">
        <w:rPr>
          <w:rFonts w:ascii="Palatino Linotype" w:eastAsia="Palatino Linotype" w:hAnsi="Palatino Linotype" w:cs="Palatino Linotype"/>
          <w:b/>
        </w:rPr>
        <w:t>RECURRENTE</w:t>
      </w:r>
      <w:r w:rsidRPr="00FD3105">
        <w:rPr>
          <w:rFonts w:ascii="Palatino Linotype" w:eastAsia="Palatino Linotype" w:hAnsi="Palatino Linotype" w:cs="Palatino Linotype"/>
        </w:rPr>
        <w:t xml:space="preserve"> presentó, a través del Sistema de Acceso a la Información Mexiquense, en lo subsecuente el </w:t>
      </w:r>
      <w:r w:rsidRPr="00FD3105">
        <w:rPr>
          <w:rFonts w:ascii="Palatino Linotype" w:eastAsia="Palatino Linotype" w:hAnsi="Palatino Linotype" w:cs="Palatino Linotype"/>
          <w:b/>
        </w:rPr>
        <w:t>SAIMEX</w:t>
      </w:r>
      <w:r w:rsidRPr="00FD3105">
        <w:rPr>
          <w:rFonts w:ascii="Palatino Linotype" w:eastAsia="Palatino Linotype" w:hAnsi="Palatino Linotype" w:cs="Palatino Linotype"/>
        </w:rPr>
        <w:t xml:space="preserve">, ante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la solicitud de acceso a la información pública, a la que se le asignó el número</w:t>
      </w:r>
      <w:r w:rsidRPr="00FD3105">
        <w:rPr>
          <w:rFonts w:ascii="Verdana" w:eastAsia="Verdana" w:hAnsi="Verdana" w:cs="Verdana"/>
          <w:b/>
        </w:rPr>
        <w:t> </w:t>
      </w:r>
      <w:r w:rsidRPr="00FD3105">
        <w:rPr>
          <w:rFonts w:ascii="Palatino Linotype" w:eastAsia="Palatino Linotype" w:hAnsi="Palatino Linotype" w:cs="Palatino Linotype"/>
          <w:b/>
        </w:rPr>
        <w:t xml:space="preserve">00325/VACHASO/IP/2022, </w:t>
      </w:r>
      <w:r w:rsidRPr="00FD3105">
        <w:rPr>
          <w:rFonts w:ascii="Palatino Linotype" w:eastAsia="Palatino Linotype" w:hAnsi="Palatino Linotype" w:cs="Palatino Linotype"/>
        </w:rPr>
        <w:t>mediante la cual solicitó acceder a la información siguiente:</w:t>
      </w:r>
    </w:p>
    <w:p w:rsidR="00264E47" w:rsidRPr="00FD3105" w:rsidRDefault="003233E0">
      <w:pPr>
        <w:spacing w:before="240" w:after="240"/>
        <w:ind w:left="851" w:right="90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“Solicitó saber que unidades administrativas se despliegan de tesorería” (Sic)</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 xml:space="preserve">Modalidad elegida para la entrega de la información: </w:t>
      </w:r>
      <w:r w:rsidRPr="00FD3105">
        <w:rPr>
          <w:rFonts w:ascii="Palatino Linotype" w:eastAsia="Palatino Linotype" w:hAnsi="Palatino Linotype" w:cs="Palatino Linotype"/>
        </w:rPr>
        <w:t>a través de SAIMEX.</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lastRenderedPageBreak/>
        <w:t xml:space="preserve">2. Respuesta. </w:t>
      </w:r>
      <w:r w:rsidRPr="00FD3105">
        <w:rPr>
          <w:rFonts w:ascii="Palatino Linotype" w:eastAsia="Palatino Linotype" w:hAnsi="Palatino Linotype" w:cs="Palatino Linotype"/>
        </w:rPr>
        <w:t xml:space="preserve">Con fecha veinticuatro de agosto del dos mil veintidós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envió su respuesta a la solicitud de acceso a la información a través del SAIMEX, la cual versa como sigue:</w:t>
      </w:r>
    </w:p>
    <w:p w:rsidR="00264E47" w:rsidRPr="00FD3105" w:rsidRDefault="003233E0">
      <w:pPr>
        <w:spacing w:before="240" w:after="240"/>
        <w:ind w:left="851" w:right="90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64E47" w:rsidRPr="00FD3105" w:rsidRDefault="003233E0">
      <w:pPr>
        <w:spacing w:before="240" w:after="240"/>
        <w:ind w:left="851" w:right="90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SE ANEXA OFICIO CON EL LISTADO DE LAS UNIDADES ADMINISTRATIVAS QUE SE DESPLIEGAN DE TESORERIA MUNICIPAL.</w:t>
      </w:r>
    </w:p>
    <w:p w:rsidR="00264E47" w:rsidRPr="00FD3105" w:rsidRDefault="003233E0">
      <w:pPr>
        <w:spacing w:before="240" w:after="240"/>
        <w:ind w:left="851" w:right="90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ATENTAMENTE</w:t>
      </w:r>
    </w:p>
    <w:p w:rsidR="00264E47" w:rsidRPr="00FD3105" w:rsidRDefault="003233E0">
      <w:pPr>
        <w:spacing w:before="240" w:after="240"/>
        <w:ind w:left="851" w:right="90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M. EN D. VALENTÍN GARCÍA RAMÍREZ” (Sic)</w:t>
      </w:r>
    </w:p>
    <w:p w:rsidR="00264E47" w:rsidRPr="00FD3105" w:rsidRDefault="00264E47">
      <w:pPr>
        <w:spacing w:before="240" w:line="360" w:lineRule="auto"/>
        <w:ind w:right="51"/>
        <w:jc w:val="both"/>
        <w:rPr>
          <w:rFonts w:ascii="Palatino Linotype" w:eastAsia="Palatino Linotype" w:hAnsi="Palatino Linotype" w:cs="Palatino Linotype"/>
        </w:rPr>
      </w:pPr>
    </w:p>
    <w:p w:rsidR="00264E47" w:rsidRPr="00FD3105" w:rsidRDefault="003233E0">
      <w:pPr>
        <w:spacing w:line="360" w:lineRule="auto"/>
        <w:ind w:right="51"/>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adjuntó a su respuesta el archivo electrónico siguiente: </w:t>
      </w:r>
    </w:p>
    <w:p w:rsidR="00264E47" w:rsidRPr="00FD3105" w:rsidRDefault="003233E0">
      <w:pPr>
        <w:spacing w:before="240" w:line="360" w:lineRule="auto"/>
        <w:ind w:right="49"/>
        <w:jc w:val="both"/>
        <w:rPr>
          <w:rFonts w:ascii="Palatino Linotype" w:eastAsia="Palatino Linotype" w:hAnsi="Palatino Linotype" w:cs="Palatino Linotype"/>
        </w:rPr>
      </w:pPr>
      <w:r w:rsidRPr="00FD3105">
        <w:rPr>
          <w:rFonts w:ascii="Palatino Linotype" w:eastAsia="Palatino Linotype" w:hAnsi="Palatino Linotype" w:cs="Palatino Linotype"/>
        </w:rPr>
        <w:t>“</w:t>
      </w:r>
      <w:hyperlink r:id="rId8">
        <w:r w:rsidRPr="00FD3105">
          <w:rPr>
            <w:rFonts w:ascii="Palatino Linotype" w:eastAsia="Palatino Linotype" w:hAnsi="Palatino Linotype" w:cs="Palatino Linotype"/>
          </w:rPr>
          <w:t>00325-VACHASO-IP-2022.pdf</w:t>
        </w:r>
      </w:hyperlink>
      <w:r w:rsidRPr="00FD3105">
        <w:rPr>
          <w:rFonts w:ascii="Palatino Linotype" w:eastAsia="Palatino Linotype" w:hAnsi="Palatino Linotype" w:cs="Palatino Linotype"/>
        </w:rPr>
        <w:t>”, el cual contiene la respuesta otorgada por el Tesorero Municipal, a través del cual informó que cuenta subdirecciones, coordinación y departamentos, los cuales enlisto, como se muestra enseguida en la siguiente imagen del oficio de mérito:</w:t>
      </w:r>
    </w:p>
    <w:p w:rsidR="00264E47" w:rsidRPr="00FD3105" w:rsidRDefault="00264E47">
      <w:pPr>
        <w:spacing w:before="240" w:line="360" w:lineRule="auto"/>
        <w:ind w:right="49"/>
        <w:jc w:val="both"/>
        <w:rPr>
          <w:rFonts w:ascii="Palatino Linotype" w:eastAsia="Palatino Linotype" w:hAnsi="Palatino Linotype" w:cs="Palatino Linotype"/>
        </w:rPr>
      </w:pPr>
    </w:p>
    <w:p w:rsidR="00264E47" w:rsidRPr="00FD3105" w:rsidRDefault="00264E47">
      <w:pPr>
        <w:spacing w:before="240" w:line="360" w:lineRule="auto"/>
        <w:ind w:right="49"/>
        <w:jc w:val="both"/>
        <w:rPr>
          <w:rFonts w:ascii="Palatino Linotype" w:eastAsia="Palatino Linotype" w:hAnsi="Palatino Linotype" w:cs="Palatino Linotype"/>
          <w:i/>
        </w:rPr>
      </w:pPr>
    </w:p>
    <w:p w:rsidR="00264E47" w:rsidRPr="00FD3105" w:rsidRDefault="00264E47">
      <w:pPr>
        <w:spacing w:line="360" w:lineRule="auto"/>
        <w:ind w:right="49"/>
        <w:jc w:val="both"/>
        <w:rPr>
          <w:rFonts w:ascii="Palatino Linotype" w:eastAsia="Palatino Linotype" w:hAnsi="Palatino Linotype" w:cs="Palatino Linotype"/>
        </w:rPr>
      </w:pPr>
    </w:p>
    <w:p w:rsidR="00264E47" w:rsidRPr="00FD3105" w:rsidRDefault="00264E47">
      <w:pPr>
        <w:spacing w:line="360" w:lineRule="auto"/>
        <w:ind w:right="49"/>
        <w:jc w:val="both"/>
        <w:rPr>
          <w:rFonts w:ascii="Palatino Linotype" w:eastAsia="Palatino Linotype" w:hAnsi="Palatino Linotype" w:cs="Palatino Linotype"/>
          <w:b/>
        </w:rPr>
      </w:pPr>
    </w:p>
    <w:p w:rsidR="00264E47" w:rsidRPr="00FD3105" w:rsidRDefault="00264E47">
      <w:pPr>
        <w:spacing w:line="360" w:lineRule="auto"/>
        <w:ind w:right="49"/>
        <w:jc w:val="both"/>
        <w:rPr>
          <w:rFonts w:ascii="Palatino Linotype" w:eastAsia="Palatino Linotype" w:hAnsi="Palatino Linotype" w:cs="Palatino Linotype"/>
          <w:b/>
        </w:rPr>
      </w:pPr>
    </w:p>
    <w:p w:rsidR="00264E47" w:rsidRPr="00FD3105" w:rsidRDefault="003233E0">
      <w:pPr>
        <w:spacing w:line="360" w:lineRule="auto"/>
        <w:ind w:right="49"/>
        <w:jc w:val="both"/>
        <w:rPr>
          <w:rFonts w:ascii="Palatino Linotype" w:eastAsia="Palatino Linotype" w:hAnsi="Palatino Linotype" w:cs="Palatino Linotype"/>
          <w:b/>
        </w:rPr>
      </w:pPr>
      <w:r w:rsidRPr="00FD3105">
        <w:rPr>
          <w:noProof/>
          <w:lang w:val="es-MX" w:eastAsia="es-MX"/>
        </w:rPr>
        <w:lastRenderedPageBreak/>
        <w:drawing>
          <wp:inline distT="0" distB="0" distL="0" distR="0">
            <wp:extent cx="5461000" cy="7054850"/>
            <wp:effectExtent l="0" t="0" r="0" b="0"/>
            <wp:docPr id="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43448" t="23545" r="22834" b="1993"/>
                    <a:stretch>
                      <a:fillRect/>
                    </a:stretch>
                  </pic:blipFill>
                  <pic:spPr>
                    <a:xfrm>
                      <a:off x="0" y="0"/>
                      <a:ext cx="5461000" cy="7054850"/>
                    </a:xfrm>
                    <a:prstGeom prst="rect">
                      <a:avLst/>
                    </a:prstGeom>
                    <a:ln/>
                  </pic:spPr>
                </pic:pic>
              </a:graphicData>
            </a:graphic>
          </wp:inline>
        </w:drawing>
      </w:r>
    </w:p>
    <w:p w:rsidR="00264E47" w:rsidRPr="00FD3105" w:rsidRDefault="003233E0">
      <w:pPr>
        <w:spacing w:line="360" w:lineRule="auto"/>
        <w:ind w:right="49"/>
        <w:jc w:val="both"/>
        <w:rPr>
          <w:rFonts w:ascii="Palatino Linotype" w:eastAsia="Palatino Linotype" w:hAnsi="Palatino Linotype" w:cs="Palatino Linotype"/>
        </w:rPr>
      </w:pPr>
      <w:r w:rsidRPr="00FD3105">
        <w:rPr>
          <w:rFonts w:ascii="Palatino Linotype" w:eastAsia="Palatino Linotype" w:hAnsi="Palatino Linotype" w:cs="Palatino Linotype"/>
          <w:b/>
        </w:rPr>
        <w:lastRenderedPageBreak/>
        <w:t xml:space="preserve">3. Interposición del recurso de revisión. </w:t>
      </w:r>
      <w:r w:rsidRPr="00FD3105">
        <w:rPr>
          <w:rFonts w:ascii="Palatino Linotype" w:eastAsia="Palatino Linotype" w:hAnsi="Palatino Linotype" w:cs="Palatino Linotype"/>
        </w:rPr>
        <w:t xml:space="preserve">Inconforme con la respuesta del </w:t>
      </w:r>
      <w:r w:rsidRPr="00FD3105">
        <w:rPr>
          <w:rFonts w:ascii="Palatino Linotype" w:eastAsia="Palatino Linotype" w:hAnsi="Palatino Linotype" w:cs="Palatino Linotype"/>
          <w:b/>
        </w:rPr>
        <w:t>SUJETO OBLIGADO el ahora RECURRENTE</w:t>
      </w:r>
      <w:r w:rsidRPr="00FD3105">
        <w:rPr>
          <w:rFonts w:ascii="Palatino Linotype" w:eastAsia="Palatino Linotype" w:hAnsi="Palatino Linotype" w:cs="Palatino Linotype"/>
        </w:rPr>
        <w:t xml:space="preserve"> interpuso recurso de revisión a través del SAIMEX, en fecha treinta y uno de agosto de dos mil veintidós, a través del cual expresó lo siguiente:</w:t>
      </w:r>
    </w:p>
    <w:p w:rsidR="00264E47" w:rsidRPr="00FD3105" w:rsidRDefault="00264E47">
      <w:pPr>
        <w:spacing w:line="360" w:lineRule="auto"/>
        <w:ind w:right="49"/>
        <w:jc w:val="both"/>
        <w:rPr>
          <w:rFonts w:ascii="Palatino Linotype" w:eastAsia="Palatino Linotype" w:hAnsi="Palatino Linotype" w:cs="Palatino Linotype"/>
        </w:rPr>
      </w:pPr>
    </w:p>
    <w:p w:rsidR="00264E47" w:rsidRPr="00FD3105" w:rsidRDefault="003233E0">
      <w:pPr>
        <w:spacing w:line="360" w:lineRule="auto"/>
        <w:rPr>
          <w:rFonts w:ascii="Palatino Linotype" w:eastAsia="Palatino Linotype" w:hAnsi="Palatino Linotype" w:cs="Palatino Linotype"/>
          <w:b/>
        </w:rPr>
      </w:pPr>
      <w:r w:rsidRPr="00FD3105">
        <w:rPr>
          <w:rFonts w:ascii="Palatino Linotype" w:eastAsia="Palatino Linotype" w:hAnsi="Palatino Linotype" w:cs="Palatino Linotype"/>
          <w:b/>
        </w:rPr>
        <w:t>a) Acto impugnado.</w:t>
      </w:r>
    </w:p>
    <w:p w:rsidR="00264E47" w:rsidRPr="00FD3105" w:rsidRDefault="003233E0">
      <w:pPr>
        <w:spacing w:after="240"/>
        <w:ind w:left="851" w:right="90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“Información incompleta” (Sic)</w:t>
      </w:r>
    </w:p>
    <w:p w:rsidR="00264E47" w:rsidRPr="00FD3105" w:rsidRDefault="003233E0">
      <w:pPr>
        <w:spacing w:line="360" w:lineRule="auto"/>
        <w:jc w:val="both"/>
        <w:rPr>
          <w:rFonts w:ascii="Palatino Linotype" w:eastAsia="Palatino Linotype" w:hAnsi="Palatino Linotype" w:cs="Palatino Linotype"/>
          <w:b/>
        </w:rPr>
      </w:pPr>
      <w:r w:rsidRPr="00FD3105">
        <w:rPr>
          <w:rFonts w:ascii="Palatino Linotype" w:eastAsia="Palatino Linotype" w:hAnsi="Palatino Linotype" w:cs="Palatino Linotype"/>
          <w:b/>
        </w:rPr>
        <w:t>b) Motivos de inconformidad.</w:t>
      </w:r>
    </w:p>
    <w:p w:rsidR="00264E47" w:rsidRPr="00FD3105" w:rsidRDefault="003233E0">
      <w:pPr>
        <w:spacing w:after="240"/>
        <w:ind w:left="851" w:right="90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“Información incompleta” (Sic)</w:t>
      </w:r>
    </w:p>
    <w:p w:rsidR="00264E47" w:rsidRPr="00FD3105" w:rsidRDefault="003233E0">
      <w:pPr>
        <w:spacing w:before="240" w:line="360" w:lineRule="auto"/>
        <w:jc w:val="both"/>
        <w:rPr>
          <w:rFonts w:ascii="Palatino Linotype" w:eastAsia="Palatino Linotype" w:hAnsi="Palatino Linotype" w:cs="Palatino Linotype"/>
          <w:b/>
        </w:rPr>
      </w:pPr>
      <w:r w:rsidRPr="00FD3105">
        <w:rPr>
          <w:rFonts w:ascii="Palatino Linotype" w:eastAsia="Palatino Linotype" w:hAnsi="Palatino Linotype" w:cs="Palatino Linotype"/>
          <w:b/>
        </w:rPr>
        <w:t xml:space="preserve">4. Turno. </w:t>
      </w:r>
      <w:r w:rsidRPr="00FD310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Pr="00FD3105">
        <w:rPr>
          <w:rFonts w:ascii="Palatino Linotype" w:eastAsia="Palatino Linotype" w:hAnsi="Palatino Linotype" w:cs="Palatino Linotype"/>
          <w:b/>
        </w:rPr>
        <w:t xml:space="preserve">14099/INFOEM/IP/RR/2022, </w:t>
      </w:r>
      <w:r w:rsidRPr="00FD3105">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FD3105">
        <w:rPr>
          <w:rFonts w:ascii="Palatino Linotype" w:eastAsia="Palatino Linotype" w:hAnsi="Palatino Linotype" w:cs="Palatino Linotype"/>
          <w:b/>
        </w:rPr>
        <w:t>Guadalupe Ramírez Peña</w:t>
      </w:r>
      <w:r w:rsidRPr="00FD3105">
        <w:rPr>
          <w:rFonts w:ascii="Palatino Linotype" w:eastAsia="Palatino Linotype" w:hAnsi="Palatino Linotype" w:cs="Palatino Linotype"/>
        </w:rPr>
        <w:t>, para su análisis, estudio, elaboración del proyecto y presentación ante el Pleno de este Instituto.</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553EC2">
      <w:pPr>
        <w:spacing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5</w:t>
      </w:r>
      <w:r w:rsidR="003233E0" w:rsidRPr="00FD3105">
        <w:rPr>
          <w:rFonts w:ascii="Palatino Linotype" w:eastAsia="Palatino Linotype" w:hAnsi="Palatino Linotype" w:cs="Palatino Linotype"/>
          <w:b/>
        </w:rPr>
        <w:t xml:space="preserve">. Admisión del recurso de revisión: </w:t>
      </w:r>
      <w:r w:rsidR="003233E0" w:rsidRPr="00FD3105">
        <w:rPr>
          <w:rFonts w:ascii="Palatino Linotype" w:eastAsia="Palatino Linotype" w:hAnsi="Palatino Linotype" w:cs="Palatino Linotype"/>
        </w:rPr>
        <w:t xml:space="preserve">En fecha cinco de septiembre de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sidR="003233E0" w:rsidRPr="00FD3105">
        <w:rPr>
          <w:rFonts w:ascii="Palatino Linotype" w:eastAsia="Palatino Linotype" w:hAnsi="Palatino Linotype" w:cs="Palatino Linotype"/>
          <w:b/>
        </w:rPr>
        <w:t>SUJETO OBLIGADO</w:t>
      </w:r>
      <w:r w:rsidR="003233E0" w:rsidRPr="00FD3105">
        <w:rPr>
          <w:rFonts w:ascii="Palatino Linotype" w:eastAsia="Palatino Linotype" w:hAnsi="Palatino Linotype" w:cs="Palatino Linotype"/>
        </w:rPr>
        <w:t xml:space="preserve"> presentara su informe justificado. </w:t>
      </w:r>
    </w:p>
    <w:p w:rsidR="00264E47" w:rsidRPr="00FD3105" w:rsidRDefault="00553EC2">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bookmarkStart w:id="1" w:name="_heading=h.gjdgxs" w:colFirst="0" w:colLast="0"/>
      <w:bookmarkEnd w:id="1"/>
      <w:r w:rsidRPr="00FD3105">
        <w:rPr>
          <w:rFonts w:ascii="Palatino Linotype" w:eastAsia="Palatino Linotype" w:hAnsi="Palatino Linotype" w:cs="Palatino Linotype"/>
          <w:b/>
        </w:rPr>
        <w:t>6</w:t>
      </w:r>
      <w:r w:rsidR="003233E0" w:rsidRPr="00FD3105">
        <w:rPr>
          <w:rFonts w:ascii="Palatino Linotype" w:eastAsia="Palatino Linotype" w:hAnsi="Palatino Linotype" w:cs="Palatino Linotype"/>
          <w:b/>
        </w:rPr>
        <w:t>. Manifestaciones</w:t>
      </w:r>
      <w:r w:rsidR="003233E0" w:rsidRPr="00FD3105">
        <w:rPr>
          <w:rFonts w:ascii="Palatino Linotype" w:eastAsia="Palatino Linotype" w:hAnsi="Palatino Linotype" w:cs="Palatino Linotype"/>
        </w:rPr>
        <w:t xml:space="preserve">: De las constancias que integran el expediente en que se actúa se </w:t>
      </w:r>
      <w:r w:rsidR="003233E0" w:rsidRPr="00FD3105">
        <w:rPr>
          <w:rFonts w:ascii="Palatino Linotype" w:eastAsia="Palatino Linotype" w:hAnsi="Palatino Linotype" w:cs="Palatino Linotype"/>
        </w:rPr>
        <w:lastRenderedPageBreak/>
        <w:t xml:space="preserve">advierte que el </w:t>
      </w:r>
      <w:r w:rsidR="003233E0" w:rsidRPr="00FD3105">
        <w:rPr>
          <w:rFonts w:ascii="Palatino Linotype" w:eastAsia="Palatino Linotype" w:hAnsi="Palatino Linotype" w:cs="Palatino Linotype"/>
          <w:b/>
        </w:rPr>
        <w:t>RECURRENT</w:t>
      </w:r>
      <w:r w:rsidR="003233E0" w:rsidRPr="00FD3105">
        <w:rPr>
          <w:rFonts w:ascii="Palatino Linotype" w:eastAsia="Palatino Linotype" w:hAnsi="Palatino Linotype" w:cs="Palatino Linotype"/>
        </w:rPr>
        <w:t>E, fue omiso en presentar sus alegatos o manifestación alguna.</w:t>
      </w: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Por su parte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de igual forma fue omiso en rendir su informe justificado.</w:t>
      </w:r>
    </w:p>
    <w:p w:rsidR="00264E47" w:rsidRPr="00FD3105" w:rsidRDefault="00264E47">
      <w:pPr>
        <w:spacing w:line="360" w:lineRule="auto"/>
        <w:jc w:val="both"/>
      </w:pPr>
    </w:p>
    <w:p w:rsidR="00264E47" w:rsidRPr="00FD3105" w:rsidRDefault="003233E0">
      <w:pPr>
        <w:spacing w:line="360" w:lineRule="auto"/>
        <w:jc w:val="both"/>
        <w:rPr>
          <w:rFonts w:ascii="Palatino Linotype" w:eastAsia="Palatino Linotype" w:hAnsi="Palatino Linotype" w:cs="Palatino Linotype"/>
        </w:rPr>
      </w:pPr>
      <w:r w:rsidRPr="00FD3105">
        <w:rPr>
          <w:noProof/>
          <w:lang w:val="es-MX" w:eastAsia="es-MX"/>
        </w:rPr>
        <w:drawing>
          <wp:inline distT="0" distB="0" distL="0" distR="0">
            <wp:extent cx="5568950" cy="1485900"/>
            <wp:effectExtent l="0" t="0" r="0" b="0"/>
            <wp:docPr id="8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14029" t="43067" r="14573" b="27953"/>
                    <a:stretch>
                      <a:fillRect/>
                    </a:stretch>
                  </pic:blipFill>
                  <pic:spPr>
                    <a:xfrm>
                      <a:off x="0" y="0"/>
                      <a:ext cx="5568950" cy="1485900"/>
                    </a:xfrm>
                    <a:prstGeom prst="rect">
                      <a:avLst/>
                    </a:prstGeom>
                    <a:ln/>
                  </pic:spPr>
                </pic:pic>
              </a:graphicData>
            </a:graphic>
          </wp:inline>
        </w:drawing>
      </w:r>
    </w:p>
    <w:p w:rsidR="00264E47" w:rsidRPr="00FD3105" w:rsidRDefault="00264E47">
      <w:pPr>
        <w:widowControl w:val="0"/>
        <w:spacing w:line="360" w:lineRule="auto"/>
        <w:jc w:val="both"/>
        <w:rPr>
          <w:rFonts w:ascii="Palatino Linotype" w:eastAsia="Palatino Linotype" w:hAnsi="Palatino Linotype" w:cs="Palatino Linotype"/>
          <w:b/>
        </w:rPr>
      </w:pPr>
    </w:p>
    <w:p w:rsidR="00264E47" w:rsidRPr="00FD3105" w:rsidRDefault="00553EC2">
      <w:pPr>
        <w:widowControl w:val="0"/>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7</w:t>
      </w:r>
      <w:r w:rsidR="003233E0" w:rsidRPr="00FD3105">
        <w:rPr>
          <w:rFonts w:ascii="Palatino Linotype" w:eastAsia="Palatino Linotype" w:hAnsi="Palatino Linotype" w:cs="Palatino Linotype"/>
          <w:b/>
        </w:rPr>
        <w:t>.- Ampliación del plazo.</w:t>
      </w:r>
      <w:r w:rsidR="003233E0" w:rsidRPr="00FD3105">
        <w:rPr>
          <w:rFonts w:ascii="Palatino Linotype" w:eastAsia="Palatino Linotype" w:hAnsi="Palatino Linotype" w:cs="Palatino Linotype"/>
        </w:rPr>
        <w:t xml:space="preserve"> En fecha dieciocho de enero del año dos mil veintitrés, con fundamento en el artículo 181, párrafo tercero de la Ley de Transparencia y Acceso a la Información Pública del Estado de México y Municipios, se acordó la ampliación del plazo para su resolución.</w:t>
      </w:r>
    </w:p>
    <w:p w:rsidR="00264E47" w:rsidRPr="00FD3105" w:rsidRDefault="00264E47">
      <w:pPr>
        <w:widowControl w:val="0"/>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w:t>
      </w:r>
      <w:r w:rsidR="00553EC2" w:rsidRPr="00FD3105">
        <w:rPr>
          <w:rFonts w:ascii="Palatino Linotype" w:eastAsia="Palatino Linotype" w:hAnsi="Palatino Linotype" w:cs="Palatino Linotype"/>
        </w:rPr>
        <w:t>en el año dos mil veintiuno</w:t>
      </w:r>
      <w:r w:rsidRPr="00FD3105">
        <w:rPr>
          <w:rFonts w:ascii="Palatino Linotype" w:eastAsia="Palatino Linotype" w:hAnsi="Palatino Linotype" w:cs="Palatino Linotype"/>
        </w:rPr>
        <w:t xml:space="preserve"> dentro del mismo periodo, se ha incrementado aproximadamente un 400%, circunstancia atípica que ha rebasado las capacidades técnicas y humanas del personal encargado de la proyección de las resoluciones a dichos medios de impugnación.</w:t>
      </w: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strike/>
        </w:rPr>
      </w:pPr>
      <w:r w:rsidRPr="00FD310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numPr>
          <w:ilvl w:val="0"/>
          <w:numId w:val="1"/>
        </w:num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264E47" w:rsidRPr="00FD3105" w:rsidRDefault="00264E47">
      <w:pPr>
        <w:spacing w:line="360" w:lineRule="auto"/>
        <w:ind w:left="927"/>
        <w:jc w:val="both"/>
        <w:rPr>
          <w:rFonts w:ascii="Palatino Linotype" w:eastAsia="Palatino Linotype" w:hAnsi="Palatino Linotype" w:cs="Palatino Linotype"/>
        </w:rPr>
      </w:pPr>
    </w:p>
    <w:p w:rsidR="00264E47" w:rsidRPr="00FD3105" w:rsidRDefault="003233E0">
      <w:pPr>
        <w:numPr>
          <w:ilvl w:val="0"/>
          <w:numId w:val="1"/>
        </w:num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Actividad Procesal del interesado. Acciones u omisiones del interesado.</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numPr>
          <w:ilvl w:val="0"/>
          <w:numId w:val="1"/>
        </w:num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Conducta de la Autoridad: Las Acciones u omisiones realizadas en el procedimiento. Así como si la autoridad actuó con la debida diligencia.</w:t>
      </w:r>
    </w:p>
    <w:p w:rsidR="00264E47" w:rsidRPr="00FD3105" w:rsidRDefault="00264E47">
      <w:pPr>
        <w:spacing w:line="360" w:lineRule="auto"/>
        <w:ind w:left="708"/>
        <w:rPr>
          <w:rFonts w:ascii="Palatino Linotype" w:eastAsia="Palatino Linotype" w:hAnsi="Palatino Linotype" w:cs="Palatino Linotype"/>
        </w:rPr>
      </w:pPr>
    </w:p>
    <w:p w:rsidR="00264E47" w:rsidRPr="00FD3105" w:rsidRDefault="003233E0">
      <w:pPr>
        <w:spacing w:line="360" w:lineRule="auto"/>
        <w:ind w:left="567"/>
        <w:jc w:val="both"/>
        <w:rPr>
          <w:rFonts w:ascii="Palatino Linotype" w:eastAsia="Palatino Linotype" w:hAnsi="Palatino Linotype" w:cs="Palatino Linotype"/>
        </w:rPr>
      </w:pPr>
      <w:r w:rsidRPr="00FD3105">
        <w:rPr>
          <w:rFonts w:ascii="Palatino Linotype" w:eastAsia="Palatino Linotype" w:hAnsi="Palatino Linotype" w:cs="Palatino Linotype"/>
        </w:rPr>
        <w:t>d) La afectación generada en la situación jurídica de la persona involucrada en el proceso: Violación a sus derechos humanos.</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b/>
        </w:rPr>
      </w:pPr>
      <w:r w:rsidRPr="00FD3105">
        <w:rPr>
          <w:rFonts w:ascii="Palatino Linotype" w:eastAsia="Palatino Linotype" w:hAnsi="Palatino Linotype" w:cs="Palatino Linotype"/>
        </w:rPr>
        <w:t>Argumento que encuentra sustento en la jurisprudencia P</w:t>
      </w:r>
      <w:proofErr w:type="gramStart"/>
      <w:r w:rsidRPr="00FD3105">
        <w:rPr>
          <w:rFonts w:ascii="Palatino Linotype" w:eastAsia="Palatino Linotype" w:hAnsi="Palatino Linotype" w:cs="Palatino Linotype"/>
        </w:rPr>
        <w:t>./</w:t>
      </w:r>
      <w:proofErr w:type="gramEnd"/>
      <w:r w:rsidRPr="00FD3105">
        <w:rPr>
          <w:rFonts w:ascii="Palatino Linotype" w:eastAsia="Palatino Linotype" w:hAnsi="Palatino Linotype" w:cs="Palatino Linotype"/>
        </w:rPr>
        <w:t xml:space="preserve">J. 32/92 emitida por el Pleno de la Suprema Corte de Justicia de la Nación de rubro </w:t>
      </w:r>
      <w:r w:rsidRPr="00FD310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FD3105">
        <w:rPr>
          <w:rFonts w:ascii="Palatino Linotype" w:eastAsia="Palatino Linotype" w:hAnsi="Palatino Linotype" w:cs="Palatino Linotype"/>
        </w:rPr>
        <w:t>, visible en la Gaceta del Seminario Judicial de la Federación con el registro digital 205635.</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 </w:t>
      </w:r>
      <w:r w:rsidRPr="00FD3105">
        <w:rPr>
          <w:rFonts w:ascii="Palatino Linotype" w:eastAsia="Palatino Linotype" w:hAnsi="Palatino Linotype" w:cs="Palatino Linotype"/>
          <w:i/>
        </w:rPr>
        <w:t>“PLAZO RAZONABLE PARA RESOLVER. DIMENSIÓN Y EFECTOS DE ESTE CONCEPTO CUANDO SE ADUCE EXCESIVA CARGA DE TRABAJO.”</w:t>
      </w:r>
      <w:r w:rsidRPr="00FD3105">
        <w:rPr>
          <w:rFonts w:ascii="Palatino Linotype" w:eastAsia="Palatino Linotype" w:hAnsi="Palatino Linotype" w:cs="Palatino Linotype"/>
        </w:rPr>
        <w:t xml:space="preserve"> consultable en el Seminario Judicial de la Federación y su gaceta, con el registro digital 2002351.</w:t>
      </w:r>
    </w:p>
    <w:p w:rsidR="00264E47" w:rsidRPr="00FD3105" w:rsidRDefault="00264E47">
      <w:pPr>
        <w:spacing w:line="360" w:lineRule="auto"/>
        <w:jc w:val="both"/>
        <w:rPr>
          <w:rFonts w:ascii="Palatino Linotype" w:eastAsia="Palatino Linotype" w:hAnsi="Palatino Linotype" w:cs="Palatino Linotype"/>
          <w:b/>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i/>
        </w:rPr>
        <w:t>“PLAZO RAZONABLE PARA RESOLVER. CONCEPTO Y ELEMENTOS QUE LO INTEGRAN A LA LUZ DEL DERECHO INTERNACIONAL DE LOS DERECHOS HUMANOS.”</w:t>
      </w:r>
      <w:r w:rsidRPr="00FD3105">
        <w:rPr>
          <w:rFonts w:ascii="Palatino Linotype" w:eastAsia="Palatino Linotype" w:hAnsi="Palatino Linotype" w:cs="Palatino Linotype"/>
        </w:rPr>
        <w:t>, visible en el Seminario Judicial de la Federación y su gaceta, con el registro digital 2002350.</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lastRenderedPageBreak/>
        <w:t>Por ello, este organismo garante comprometido con la tutela de los derechos humanos confiados, señala que este exceso de plazo legal para resolver el presente asunto, resulta de carácter excepcional.</w:t>
      </w:r>
    </w:p>
    <w:p w:rsidR="00264E47" w:rsidRPr="00FD3105" w:rsidRDefault="00264E47">
      <w:pPr>
        <w:spacing w:line="360" w:lineRule="auto"/>
        <w:jc w:val="both"/>
        <w:rPr>
          <w:rFonts w:ascii="Palatino Linotype" w:eastAsia="Palatino Linotype" w:hAnsi="Palatino Linotype" w:cs="Palatino Linotype"/>
          <w:b/>
        </w:rPr>
      </w:pPr>
    </w:p>
    <w:p w:rsidR="00264E47" w:rsidRPr="00FD3105" w:rsidRDefault="00553EC2">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8</w:t>
      </w:r>
      <w:r w:rsidR="003233E0" w:rsidRPr="00FD3105">
        <w:rPr>
          <w:rFonts w:ascii="Palatino Linotype" w:eastAsia="Palatino Linotype" w:hAnsi="Palatino Linotype" w:cs="Palatino Linotype"/>
          <w:b/>
        </w:rPr>
        <w:t xml:space="preserve">.- Cierre de instrucción. </w:t>
      </w:r>
      <w:r w:rsidR="003233E0" w:rsidRPr="00FD3105">
        <w:rPr>
          <w:rFonts w:ascii="Palatino Linotype" w:eastAsia="Palatino Linotype" w:hAnsi="Palatino Linotype" w:cs="Palatino Linotype"/>
        </w:rPr>
        <w:t>El dieciocho de enero de dos mil veintitrés la Comisionada ponente determinó el cierre de instrucción en términos de la fracción VI del artículo 185 de la Ley de Transparencia y Acceso a la Información Pública del Estado de México y Municipios.</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64E47" w:rsidRPr="00FD3105" w:rsidRDefault="003233E0">
      <w:pPr>
        <w:numPr>
          <w:ilvl w:val="0"/>
          <w:numId w:val="3"/>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bookmarkStart w:id="2" w:name="_heading=h.30j0zll" w:colFirst="0" w:colLast="0"/>
      <w:bookmarkEnd w:id="2"/>
      <w:r w:rsidRPr="00FD3105">
        <w:rPr>
          <w:rFonts w:ascii="Palatino Linotype" w:eastAsia="Palatino Linotype" w:hAnsi="Palatino Linotype" w:cs="Palatino Linotype"/>
          <w:b/>
          <w:sz w:val="22"/>
          <w:szCs w:val="22"/>
        </w:rPr>
        <w:t>C O N S I D E R A N D O:</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 xml:space="preserve">Primero. Competencia. </w:t>
      </w:r>
      <w:r w:rsidRPr="00FD3105">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w:t>
      </w:r>
      <w:r w:rsidRPr="00FD3105">
        <w:rPr>
          <w:rFonts w:ascii="Palatino Linotype" w:eastAsia="Palatino Linotype" w:hAnsi="Palatino Linotype" w:cs="Palatino Linotype"/>
        </w:rPr>
        <w:lastRenderedPageBreak/>
        <w:t>del Reglamento Interior del Instituto de Transparencia, Acceso a la Información Pública y Protección de Datos Personales del Estado de México y Municipios.</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 xml:space="preserve">Segundo. Oportunidad y </w:t>
      </w:r>
      <w:proofErr w:type="spellStart"/>
      <w:r w:rsidRPr="00FD3105">
        <w:rPr>
          <w:rFonts w:ascii="Palatino Linotype" w:eastAsia="Palatino Linotype" w:hAnsi="Palatino Linotype" w:cs="Palatino Linotype"/>
          <w:b/>
        </w:rPr>
        <w:t>Procedibilidad</w:t>
      </w:r>
      <w:proofErr w:type="spellEnd"/>
      <w:r w:rsidRPr="00FD3105">
        <w:rPr>
          <w:rFonts w:ascii="Palatino Linotype" w:eastAsia="Palatino Linotype" w:hAnsi="Palatino Linotype" w:cs="Palatino Linotype"/>
          <w:b/>
        </w:rPr>
        <w:t xml:space="preserve"> del Recurso de Revisión</w:t>
      </w:r>
      <w:r w:rsidRPr="00FD3105">
        <w:rPr>
          <w:rFonts w:ascii="Palatino Linotype" w:eastAsia="Palatino Linotype" w:hAnsi="Palatino Linotype" w:cs="Palatino Linotype"/>
        </w:rPr>
        <w:t xml:space="preserve">. De conformidad con los requisitos de Oportunidad y </w:t>
      </w:r>
      <w:proofErr w:type="spellStart"/>
      <w:r w:rsidRPr="00FD3105">
        <w:rPr>
          <w:rFonts w:ascii="Palatino Linotype" w:eastAsia="Palatino Linotype" w:hAnsi="Palatino Linotype" w:cs="Palatino Linotype"/>
        </w:rPr>
        <w:t>Procedibilidad</w:t>
      </w:r>
      <w:proofErr w:type="spellEnd"/>
      <w:r w:rsidRPr="00FD3105">
        <w:rPr>
          <w:rFonts w:ascii="Palatino Linotype" w:eastAsia="Palatino Linotype" w:hAnsi="Palatino Linotype" w:cs="Palatino Linotype"/>
        </w:rPr>
        <w:t xml:space="preserve">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emitió su respuesta a la solicitud planteada por el solicitante en fecha veinticuatro de agosto del año dos mil veintidós y la parte </w:t>
      </w:r>
      <w:r w:rsidRPr="00FD3105">
        <w:rPr>
          <w:rFonts w:ascii="Palatino Linotype" w:eastAsia="Palatino Linotype" w:hAnsi="Palatino Linotype" w:cs="Palatino Linotype"/>
          <w:b/>
        </w:rPr>
        <w:t>RECURRENTE</w:t>
      </w:r>
      <w:r w:rsidRPr="00FD3105">
        <w:rPr>
          <w:rFonts w:ascii="Palatino Linotype" w:eastAsia="Palatino Linotype" w:hAnsi="Palatino Linotype" w:cs="Palatino Linotype"/>
        </w:rPr>
        <w:t xml:space="preserve"> presentó su recurso de revisión el treinta y uno de agosto del mismo año; esto es, al quinto día hábil siguiente de aquel en que tuvo conocimiento de la respuesta; evidenciándose que la interposición del recurso se encuentra dentro de los márgenes temporales previstos en el citado precepto legal.</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V de la ley de la materia, que a la letra dice:</w:t>
      </w:r>
    </w:p>
    <w:p w:rsidR="00264E47" w:rsidRPr="00FD3105" w:rsidRDefault="003233E0">
      <w:pPr>
        <w:ind w:left="1276" w:right="1752"/>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lastRenderedPageBreak/>
        <w:t>“</w:t>
      </w:r>
      <w:r w:rsidRPr="00FD3105">
        <w:rPr>
          <w:rFonts w:ascii="Palatino Linotype" w:eastAsia="Palatino Linotype" w:hAnsi="Palatino Linotype" w:cs="Palatino Linotype"/>
          <w:b/>
          <w:i/>
          <w:sz w:val="22"/>
          <w:szCs w:val="22"/>
        </w:rPr>
        <w:t xml:space="preserve">Artículo 179. </w:t>
      </w:r>
      <w:r w:rsidRPr="00FD3105">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FD3105">
        <w:rPr>
          <w:rFonts w:ascii="Palatino Linotype" w:eastAsia="Palatino Linotype" w:hAnsi="Palatino Linotype" w:cs="Palatino Linotype"/>
          <w:i/>
        </w:rPr>
        <w:t>causas</w:t>
      </w:r>
      <w:r w:rsidRPr="00FD3105">
        <w:rPr>
          <w:rFonts w:ascii="Palatino Linotype" w:eastAsia="Palatino Linotype" w:hAnsi="Palatino Linotype" w:cs="Palatino Linotype"/>
          <w:i/>
          <w:sz w:val="22"/>
          <w:szCs w:val="22"/>
        </w:rPr>
        <w:t>:</w:t>
      </w:r>
    </w:p>
    <w:p w:rsidR="00264E47" w:rsidRPr="00FD3105" w:rsidRDefault="003233E0">
      <w:pPr>
        <w:ind w:left="1276" w:right="1752"/>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p>
    <w:p w:rsidR="00264E47" w:rsidRPr="00FD3105" w:rsidRDefault="003233E0">
      <w:pPr>
        <w:ind w:left="1276" w:right="1752"/>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V. La entrega de información incompleta…” (Sic)</w:t>
      </w:r>
    </w:p>
    <w:p w:rsidR="00264E47" w:rsidRPr="00FD3105" w:rsidRDefault="003233E0">
      <w:pPr>
        <w:spacing w:before="280" w:after="28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Tercero. Materia de Revisión</w:t>
      </w:r>
      <w:r w:rsidRPr="00FD3105">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FD3105">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FD3105">
        <w:rPr>
          <w:rFonts w:ascii="Palatino Linotype" w:eastAsia="Palatino Linotype" w:hAnsi="Palatino Linotype" w:cs="Palatino Linotype"/>
        </w:rPr>
        <w:t xml:space="preserve">del </w:t>
      </w:r>
      <w:r w:rsidRPr="00FD3105">
        <w:rPr>
          <w:rFonts w:ascii="Palatino Linotype" w:eastAsia="Palatino Linotype" w:hAnsi="Palatino Linotype" w:cs="Palatino Linotype"/>
          <w:b/>
        </w:rPr>
        <w:t>RECURRENTE</w:t>
      </w:r>
      <w:r w:rsidRPr="00FD3105">
        <w:rPr>
          <w:rFonts w:ascii="Palatino Linotype" w:eastAsia="Palatino Linotype" w:hAnsi="Palatino Linotype" w:cs="Palatino Linotype"/>
        </w:rPr>
        <w:t>, o en su defecto, en caso de ser procedente, ordenar la entrega de información.</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 xml:space="preserve">Cuarto. Estudio de fondo del asunto. </w:t>
      </w:r>
      <w:r w:rsidRPr="00FD3105">
        <w:rPr>
          <w:rFonts w:ascii="Palatino Linotype" w:eastAsia="Palatino Linotype" w:hAnsi="Palatino Linotype" w:cs="Palatino Linotype"/>
        </w:rPr>
        <w:t xml:space="preserve">Es conveniente analizar si la respuesta del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264E47" w:rsidRPr="00FD3105" w:rsidRDefault="003233E0">
      <w:pPr>
        <w:spacing w:before="240"/>
        <w:ind w:left="709" w:right="76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r w:rsidRPr="00FD3105">
        <w:rPr>
          <w:rFonts w:ascii="Palatino Linotype" w:eastAsia="Palatino Linotype" w:hAnsi="Palatino Linotype" w:cs="Palatino Linotype"/>
          <w:b/>
          <w:i/>
          <w:sz w:val="22"/>
          <w:szCs w:val="22"/>
        </w:rPr>
        <w:t>Artículo 4</w:t>
      </w:r>
      <w:r w:rsidRPr="00FD310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264E47" w:rsidRPr="00FD3105" w:rsidRDefault="003233E0">
      <w:pPr>
        <w:ind w:left="709" w:right="76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w:t>
      </w:r>
      <w:r w:rsidRPr="00FD3105">
        <w:rPr>
          <w:rFonts w:ascii="Palatino Linotype" w:eastAsia="Palatino Linotype" w:hAnsi="Palatino Linotype" w:cs="Palatino Linotype"/>
          <w:b/>
          <w:i/>
          <w:sz w:val="22"/>
          <w:szCs w:val="22"/>
        </w:rPr>
        <w:lastRenderedPageBreak/>
        <w:t>de manera permanente a cualquier persona</w:t>
      </w:r>
      <w:r w:rsidRPr="00FD310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264E47" w:rsidRPr="00FD3105" w:rsidRDefault="003233E0">
      <w:pPr>
        <w:ind w:left="709" w:right="760"/>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FD3105">
        <w:rPr>
          <w:rFonts w:ascii="Palatino Linotype" w:eastAsia="Palatino Linotype" w:hAnsi="Palatino Linotype" w:cs="Palatino Linotype"/>
          <w:i/>
          <w:sz w:val="22"/>
          <w:szCs w:val="22"/>
        </w:rPr>
        <w:t>.”(Sic)</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ind w:left="567" w:right="758"/>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“Artículo 12.-</w:t>
      </w:r>
      <w:r w:rsidRPr="00FD310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264E47" w:rsidRPr="00FD3105" w:rsidRDefault="00264E47">
      <w:pPr>
        <w:ind w:left="567" w:right="758"/>
        <w:jc w:val="both"/>
        <w:rPr>
          <w:rFonts w:ascii="Palatino Linotype" w:eastAsia="Palatino Linotype" w:hAnsi="Palatino Linotype" w:cs="Palatino Linotype"/>
          <w:i/>
          <w:sz w:val="22"/>
          <w:szCs w:val="22"/>
        </w:rPr>
      </w:pPr>
    </w:p>
    <w:p w:rsidR="00264E47" w:rsidRPr="00FD3105" w:rsidRDefault="003233E0">
      <w:pPr>
        <w:ind w:left="567" w:right="758"/>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D3105">
        <w:rPr>
          <w:rFonts w:ascii="Palatino Linotype" w:eastAsia="Palatino Linotype" w:hAnsi="Palatino Linotype" w:cs="Palatino Linotype"/>
          <w:i/>
          <w:sz w:val="22"/>
          <w:szCs w:val="22"/>
        </w:rPr>
        <w:t xml:space="preserve">. </w:t>
      </w:r>
      <w:r w:rsidRPr="00FD310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264E47" w:rsidRPr="00FD3105" w:rsidRDefault="00264E47">
      <w:pPr>
        <w:spacing w:line="360" w:lineRule="auto"/>
        <w:ind w:right="-93"/>
        <w:jc w:val="both"/>
        <w:rPr>
          <w:rFonts w:ascii="Palatino Linotype" w:eastAsia="Palatino Linotype" w:hAnsi="Palatino Linotype" w:cs="Palatino Linotype"/>
        </w:rPr>
      </w:pPr>
    </w:p>
    <w:p w:rsidR="00264E47" w:rsidRPr="00FD3105" w:rsidRDefault="003233E0">
      <w:pPr>
        <w:spacing w:line="360" w:lineRule="auto"/>
        <w:ind w:right="-93"/>
        <w:jc w:val="both"/>
        <w:rPr>
          <w:rFonts w:ascii="Palatino Linotype" w:eastAsia="Palatino Linotype" w:hAnsi="Palatino Linotype" w:cs="Palatino Linotype"/>
        </w:rPr>
      </w:pPr>
      <w:r w:rsidRPr="00FD3105">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rsidR="00264E47" w:rsidRPr="00FD3105" w:rsidRDefault="00264E47">
      <w:pPr>
        <w:spacing w:line="360" w:lineRule="auto"/>
        <w:ind w:right="-93"/>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b/>
        </w:rPr>
      </w:pPr>
      <w:r w:rsidRPr="00FD3105">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FD3105">
        <w:rPr>
          <w:rFonts w:ascii="Palatino Linotype" w:eastAsia="Palatino Linotype" w:hAnsi="Palatino Linotype" w:cs="Palatino Linotype"/>
          <w:b/>
        </w:rPr>
        <w:t xml:space="preserve"> </w:t>
      </w:r>
    </w:p>
    <w:p w:rsidR="00264E47" w:rsidRPr="00FD3105" w:rsidRDefault="00264E47">
      <w:pPr>
        <w:ind w:left="851" w:right="850"/>
        <w:jc w:val="both"/>
        <w:rPr>
          <w:rFonts w:ascii="Palatino Linotype" w:eastAsia="Palatino Linotype" w:hAnsi="Palatino Linotype" w:cs="Palatino Linotype"/>
        </w:rPr>
      </w:pPr>
    </w:p>
    <w:p w:rsidR="00264E47" w:rsidRPr="00FD3105" w:rsidRDefault="003233E0">
      <w:pPr>
        <w:ind w:left="851" w:right="90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r w:rsidRPr="00FD3105">
        <w:rPr>
          <w:rFonts w:ascii="Palatino Linotype" w:eastAsia="Palatino Linotype" w:hAnsi="Palatino Linotype" w:cs="Palatino Linotype"/>
          <w:b/>
          <w:i/>
          <w:sz w:val="22"/>
          <w:szCs w:val="22"/>
        </w:rPr>
        <w:t>No existe obligación de elaborar documentos ad hoc para atender las solicitudes de acceso a la información.</w:t>
      </w:r>
      <w:r w:rsidRPr="00FD3105">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264E47" w:rsidRPr="00FD3105" w:rsidRDefault="003233E0">
      <w:pPr>
        <w:ind w:left="851" w:right="90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 xml:space="preserve">Resoluciones: </w:t>
      </w:r>
    </w:p>
    <w:p w:rsidR="00264E47" w:rsidRPr="00FD3105" w:rsidRDefault="003233E0">
      <w:pPr>
        <w:ind w:left="851" w:right="901"/>
        <w:jc w:val="both"/>
        <w:rPr>
          <w:rFonts w:ascii="Palatino Linotype" w:eastAsia="Palatino Linotype" w:hAnsi="Palatino Linotype" w:cs="Palatino Linotype"/>
          <w:i/>
          <w:sz w:val="22"/>
          <w:szCs w:val="22"/>
        </w:rPr>
      </w:pPr>
      <w:r w:rsidRPr="00FD3105">
        <w:rPr>
          <w:rFonts w:ascii="Noto Sans Symbols" w:eastAsia="Noto Sans Symbols" w:hAnsi="Noto Sans Symbols" w:cs="Noto Sans Symbols"/>
          <w:i/>
          <w:sz w:val="22"/>
          <w:szCs w:val="22"/>
        </w:rPr>
        <w:t>∙</w:t>
      </w:r>
      <w:r w:rsidRPr="00FD3105">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264E47" w:rsidRPr="00FD3105" w:rsidRDefault="003233E0">
      <w:pPr>
        <w:ind w:left="851" w:right="901"/>
        <w:jc w:val="both"/>
        <w:rPr>
          <w:rFonts w:ascii="Palatino Linotype" w:eastAsia="Palatino Linotype" w:hAnsi="Palatino Linotype" w:cs="Palatino Linotype"/>
          <w:i/>
          <w:sz w:val="22"/>
          <w:szCs w:val="22"/>
        </w:rPr>
      </w:pPr>
      <w:r w:rsidRPr="00FD3105">
        <w:rPr>
          <w:rFonts w:ascii="Noto Sans Symbols" w:eastAsia="Noto Sans Symbols" w:hAnsi="Noto Sans Symbols" w:cs="Noto Sans Symbols"/>
          <w:i/>
          <w:sz w:val="22"/>
          <w:szCs w:val="22"/>
        </w:rPr>
        <w:t>∙</w:t>
      </w:r>
      <w:r w:rsidRPr="00FD3105">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264E47" w:rsidRPr="00FD3105" w:rsidRDefault="003233E0">
      <w:pPr>
        <w:ind w:left="851" w:right="901"/>
        <w:jc w:val="both"/>
        <w:rPr>
          <w:rFonts w:ascii="Palatino Linotype" w:eastAsia="Palatino Linotype" w:hAnsi="Palatino Linotype" w:cs="Palatino Linotype"/>
          <w:i/>
          <w:sz w:val="22"/>
          <w:szCs w:val="22"/>
        </w:rPr>
      </w:pPr>
      <w:r w:rsidRPr="00FD3105">
        <w:rPr>
          <w:rFonts w:ascii="Noto Sans Symbols" w:eastAsia="Noto Sans Symbols" w:hAnsi="Noto Sans Symbols" w:cs="Noto Sans Symbols"/>
          <w:i/>
          <w:sz w:val="22"/>
          <w:szCs w:val="22"/>
        </w:rPr>
        <w:t>∙</w:t>
      </w:r>
      <w:r w:rsidRPr="00FD3105">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264E47" w:rsidRPr="00FD3105" w:rsidRDefault="00264E47">
      <w:pPr>
        <w:spacing w:line="360" w:lineRule="auto"/>
        <w:ind w:right="-93"/>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ind w:right="49"/>
        <w:jc w:val="both"/>
        <w:rPr>
          <w:rFonts w:ascii="Palatino Linotype" w:eastAsia="Palatino Linotype" w:hAnsi="Palatino Linotype" w:cs="Palatino Linotype"/>
        </w:rPr>
      </w:pPr>
      <w:r w:rsidRPr="00FD3105">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264E47" w:rsidRPr="00FD3105" w:rsidRDefault="00264E47">
      <w:pPr>
        <w:spacing w:line="360" w:lineRule="auto"/>
        <w:ind w:right="49"/>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264E47" w:rsidRPr="00FD3105" w:rsidRDefault="00264E47">
      <w:pPr>
        <w:ind w:left="851" w:right="899"/>
        <w:jc w:val="both"/>
        <w:rPr>
          <w:rFonts w:ascii="Palatino Linotype" w:eastAsia="Palatino Linotype" w:hAnsi="Palatino Linotype" w:cs="Palatino Linotype"/>
          <w:i/>
          <w:sz w:val="22"/>
          <w:szCs w:val="22"/>
        </w:rPr>
      </w:pPr>
    </w:p>
    <w:p w:rsidR="00264E47" w:rsidRPr="00FD3105" w:rsidRDefault="003233E0">
      <w:pPr>
        <w:ind w:left="851" w:right="899"/>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r w:rsidRPr="00FD3105">
        <w:rPr>
          <w:rFonts w:ascii="Palatino Linotype" w:eastAsia="Palatino Linotype" w:hAnsi="Palatino Linotype" w:cs="Palatino Linotype"/>
          <w:b/>
          <w:i/>
          <w:sz w:val="22"/>
          <w:szCs w:val="22"/>
        </w:rPr>
        <w:t xml:space="preserve">Artículo 3. </w:t>
      </w:r>
      <w:r w:rsidRPr="00FD3105">
        <w:rPr>
          <w:rFonts w:ascii="Palatino Linotype" w:eastAsia="Palatino Linotype" w:hAnsi="Palatino Linotype" w:cs="Palatino Linotype"/>
          <w:i/>
          <w:sz w:val="22"/>
          <w:szCs w:val="22"/>
        </w:rPr>
        <w:t>Para los efectos de la presente Ley se entenderá por:</w:t>
      </w:r>
    </w:p>
    <w:p w:rsidR="00264E47" w:rsidRPr="00FD3105" w:rsidRDefault="003233E0">
      <w:pPr>
        <w:ind w:left="851" w:right="899"/>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p>
    <w:p w:rsidR="00264E47" w:rsidRPr="00FD3105" w:rsidRDefault="003233E0">
      <w:pPr>
        <w:ind w:left="851" w:right="899"/>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XI. Documento:</w:t>
      </w:r>
      <w:r w:rsidRPr="00FD3105">
        <w:rPr>
          <w:rFonts w:ascii="Palatino Linotype" w:eastAsia="Palatino Linotype" w:hAnsi="Palatino Linotype" w:cs="Palatino Linotype"/>
          <w:i/>
          <w:sz w:val="22"/>
          <w:szCs w:val="22"/>
        </w:rPr>
        <w:t xml:space="preserve"> Los expedientes, reportes, estudios, actas</w:t>
      </w:r>
      <w:r w:rsidRPr="00FD3105">
        <w:rPr>
          <w:rFonts w:ascii="Palatino Linotype" w:eastAsia="Palatino Linotype" w:hAnsi="Palatino Linotype" w:cs="Palatino Linotype"/>
          <w:b/>
          <w:i/>
          <w:sz w:val="22"/>
          <w:szCs w:val="22"/>
        </w:rPr>
        <w:t>,</w:t>
      </w:r>
      <w:r w:rsidRPr="00FD3105">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264E47" w:rsidRPr="00FD3105" w:rsidRDefault="00264E47">
      <w:pPr>
        <w:ind w:left="851" w:right="899"/>
        <w:jc w:val="both"/>
        <w:rPr>
          <w:rFonts w:ascii="Palatino Linotype" w:eastAsia="Palatino Linotype" w:hAnsi="Palatino Linotype" w:cs="Palatino Linotype"/>
          <w:sz w:val="22"/>
          <w:szCs w:val="22"/>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264E47" w:rsidRPr="00FD3105" w:rsidRDefault="00264E47">
      <w:pPr>
        <w:ind w:left="851" w:right="899"/>
        <w:jc w:val="both"/>
        <w:rPr>
          <w:rFonts w:ascii="Palatino Linotype" w:eastAsia="Palatino Linotype" w:hAnsi="Palatino Linotype" w:cs="Palatino Linotype"/>
        </w:rPr>
      </w:pPr>
    </w:p>
    <w:p w:rsidR="00264E47" w:rsidRPr="00FD3105" w:rsidRDefault="003233E0">
      <w:pPr>
        <w:ind w:left="851" w:right="899"/>
        <w:jc w:val="both"/>
        <w:rPr>
          <w:rFonts w:ascii="Palatino Linotype" w:eastAsia="Palatino Linotype" w:hAnsi="Palatino Linotype" w:cs="Palatino Linotype"/>
          <w:b/>
          <w:i/>
          <w:sz w:val="22"/>
          <w:szCs w:val="22"/>
        </w:rPr>
      </w:pPr>
      <w:r w:rsidRPr="00FD3105">
        <w:rPr>
          <w:rFonts w:ascii="Palatino Linotype" w:eastAsia="Palatino Linotype" w:hAnsi="Palatino Linotype" w:cs="Palatino Linotype"/>
          <w:b/>
          <w:sz w:val="22"/>
          <w:szCs w:val="22"/>
        </w:rPr>
        <w:t>“</w:t>
      </w:r>
      <w:r w:rsidRPr="00FD3105">
        <w:rPr>
          <w:rFonts w:ascii="Palatino Linotype" w:eastAsia="Palatino Linotype" w:hAnsi="Palatino Linotype" w:cs="Palatino Linotype"/>
          <w:b/>
          <w:i/>
          <w:sz w:val="22"/>
          <w:szCs w:val="22"/>
        </w:rPr>
        <w:t>CRITERIO 0002-11</w:t>
      </w:r>
    </w:p>
    <w:p w:rsidR="00264E47" w:rsidRPr="00FD3105" w:rsidRDefault="003233E0">
      <w:pPr>
        <w:ind w:left="851" w:right="899"/>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D310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264E47" w:rsidRPr="00FD3105" w:rsidRDefault="003233E0">
      <w:pPr>
        <w:ind w:left="851" w:right="899"/>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En consecuencia el acceso a la información se refiere a que se cumplan cualquiera de los siguientes tres supuestos:</w:t>
      </w:r>
    </w:p>
    <w:p w:rsidR="00264E47" w:rsidRPr="00FD3105" w:rsidRDefault="003233E0">
      <w:pPr>
        <w:ind w:left="851" w:right="899"/>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264E47" w:rsidRPr="00FD3105" w:rsidRDefault="003233E0">
      <w:pPr>
        <w:ind w:left="851" w:right="899"/>
        <w:jc w:val="both"/>
        <w:rPr>
          <w:rFonts w:ascii="Palatino Linotype" w:eastAsia="Palatino Linotype" w:hAnsi="Palatino Linotype" w:cs="Palatino Linotype"/>
          <w:b/>
          <w:i/>
          <w:sz w:val="22"/>
          <w:szCs w:val="22"/>
        </w:rPr>
      </w:pPr>
      <w:r w:rsidRPr="00FD3105">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264E47" w:rsidRPr="00FD3105" w:rsidRDefault="003233E0">
      <w:pPr>
        <w:ind w:left="851" w:right="899"/>
        <w:jc w:val="both"/>
        <w:rPr>
          <w:rFonts w:ascii="Palatino Linotype" w:eastAsia="Palatino Linotype" w:hAnsi="Palatino Linotype" w:cs="Palatino Linotype"/>
          <w:b/>
          <w:i/>
          <w:sz w:val="22"/>
          <w:szCs w:val="22"/>
        </w:rPr>
      </w:pPr>
      <w:r w:rsidRPr="00FD3105">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rsidR="00264E47" w:rsidRPr="00FD3105" w:rsidRDefault="00264E47">
      <w:pPr>
        <w:ind w:right="899"/>
        <w:jc w:val="both"/>
        <w:rPr>
          <w:rFonts w:ascii="Palatino Linotype" w:eastAsia="Palatino Linotype" w:hAnsi="Palatino Linotype" w:cs="Palatino Linotype"/>
          <w:b/>
          <w:i/>
          <w:sz w:val="22"/>
          <w:szCs w:val="22"/>
        </w:rPr>
      </w:pP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FD3105">
        <w:rPr>
          <w:rFonts w:ascii="Palatino Linotype" w:eastAsia="Palatino Linotype" w:hAnsi="Palatino Linotype" w:cs="Palatino Linotype"/>
          <w:b/>
        </w:rPr>
        <w:t>Ayuntamiento de Valle de Chalco Solidaridad,</w:t>
      </w:r>
      <w:r w:rsidRPr="00FD3105">
        <w:rPr>
          <w:rFonts w:ascii="Palatino Linotype" w:eastAsia="Palatino Linotype" w:hAnsi="Palatino Linotype" w:cs="Palatino Linotype"/>
        </w:rPr>
        <w:t xml:space="preserve"> lo siguiente:</w:t>
      </w:r>
    </w:p>
    <w:p w:rsidR="00264E47" w:rsidRPr="00FD3105" w:rsidRDefault="003233E0">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FD3105">
        <w:rPr>
          <w:rFonts w:ascii="Palatino Linotype" w:eastAsia="Palatino Linotype" w:hAnsi="Palatino Linotype" w:cs="Palatino Linotype"/>
          <w:sz w:val="22"/>
          <w:szCs w:val="22"/>
        </w:rPr>
        <w:t>Saber que unidades administrativas se despliegan de tesorería</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Por su parte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emitió su respuesta a través de su Tesorero Municipal, mediante el cual señaló que la Tesorería Municipal cuenta con Subdirecciones, Coordinación y Departamento, los cuales enlisto como se ve enseguida:</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noProof/>
          <w:lang w:val="es-MX" w:eastAsia="es-MX"/>
        </w:rPr>
        <w:drawing>
          <wp:inline distT="0" distB="0" distL="0" distR="0">
            <wp:extent cx="5634694" cy="2005569"/>
            <wp:effectExtent l="0" t="0" r="0" b="0"/>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42882" t="49312" r="24757" b="20077"/>
                    <a:stretch>
                      <a:fillRect/>
                    </a:stretch>
                  </pic:blipFill>
                  <pic:spPr>
                    <a:xfrm>
                      <a:off x="0" y="0"/>
                      <a:ext cx="5634694" cy="2005569"/>
                    </a:xfrm>
                    <a:prstGeom prst="rect">
                      <a:avLst/>
                    </a:prstGeom>
                    <a:ln/>
                  </pic:spPr>
                </pic:pic>
              </a:graphicData>
            </a:graphic>
          </wp:inline>
        </w:drawing>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Inconforme el </w:t>
      </w:r>
      <w:r w:rsidRPr="00FD3105">
        <w:rPr>
          <w:rFonts w:ascii="Palatino Linotype" w:eastAsia="Palatino Linotype" w:hAnsi="Palatino Linotype" w:cs="Palatino Linotype"/>
          <w:b/>
        </w:rPr>
        <w:t>RECURRENTE</w:t>
      </w:r>
      <w:r w:rsidRPr="00FD3105">
        <w:rPr>
          <w:rFonts w:ascii="Palatino Linotype" w:eastAsia="Palatino Linotype" w:hAnsi="Palatino Linotype" w:cs="Palatino Linotype"/>
        </w:rPr>
        <w:t xml:space="preserve"> con la respuesta, interpuso el Recurso de Revisión, en el que señaló en sus motivos de inconformidad que la información es incompleta.</w:t>
      </w:r>
    </w:p>
    <w:p w:rsidR="00264E47" w:rsidRPr="00FD3105" w:rsidRDefault="003233E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Una vez notificado el recurso de revisión al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este fue omiso en rendir su informe justificado.</w:t>
      </w: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lastRenderedPageBreak/>
        <w:t xml:space="preserve">Con base en lo precedente, se determina que la información proporcionada por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en su respuesta, cumple parcialmente con lo establecido por los artículos 4, 12, 24 último párrafo y 162 de la Ley de Transparencia y Acceso a la Información Pública del Estado de México y Municipios; por ello, los motivos de inconformidad acontecen fundados para modificar la respuesta del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en razón de las consideraciones de derecho que a continuación se exponen:</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pPr>
      <w:bookmarkStart w:id="3" w:name="_heading=h.3znysh7" w:colFirst="0" w:colLast="0"/>
      <w:bookmarkEnd w:id="3"/>
      <w:r w:rsidRPr="00FD3105">
        <w:rPr>
          <w:rFonts w:ascii="Palatino Linotype" w:eastAsia="Palatino Linotype" w:hAnsi="Palatino Linotype" w:cs="Palatino Linotype"/>
        </w:rPr>
        <w:t>Antes del estudio de fondo, se debe precisar 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información; es decir, al cinco de agosto del año dos mil veintidós, discernimiento que encuentra apoyado en los Criterios 1/2010 y 2/2010,  emitidos por el “Comité de Acceso a la Información y Protección de Datos personales” de la Suprema Corte de Justicia de la Nación, que disponen: </w:t>
      </w:r>
    </w:p>
    <w:p w:rsidR="00264E47" w:rsidRPr="00FD3105" w:rsidRDefault="00264E47"/>
    <w:p w:rsidR="00264E47" w:rsidRPr="00FD3105" w:rsidRDefault="003233E0">
      <w:pPr>
        <w:pBdr>
          <w:top w:val="nil"/>
          <w:left w:val="nil"/>
          <w:bottom w:val="nil"/>
          <w:right w:val="nil"/>
          <w:between w:val="nil"/>
        </w:pBdr>
        <w:ind w:left="851" w:right="900"/>
      </w:pPr>
      <w:r w:rsidRPr="00FD3105">
        <w:rPr>
          <w:rFonts w:ascii="Palatino Linotype" w:eastAsia="Palatino Linotype" w:hAnsi="Palatino Linotype" w:cs="Palatino Linotype"/>
          <w:i/>
          <w:sz w:val="22"/>
          <w:szCs w:val="22"/>
        </w:rPr>
        <w:t> “</w:t>
      </w:r>
      <w:r w:rsidRPr="00FD3105">
        <w:rPr>
          <w:rFonts w:ascii="Palatino Linotype" w:eastAsia="Palatino Linotype" w:hAnsi="Palatino Linotype" w:cs="Palatino Linotype"/>
          <w:b/>
          <w:i/>
          <w:sz w:val="22"/>
          <w:szCs w:val="22"/>
        </w:rPr>
        <w:t>Criterio 1/2010</w:t>
      </w:r>
    </w:p>
    <w:p w:rsidR="00264E47" w:rsidRPr="00FD3105" w:rsidRDefault="003233E0">
      <w:pPr>
        <w:pBdr>
          <w:top w:val="nil"/>
          <w:left w:val="nil"/>
          <w:bottom w:val="nil"/>
          <w:right w:val="nil"/>
          <w:between w:val="nil"/>
        </w:pBdr>
        <w:ind w:left="851" w:right="900"/>
        <w:jc w:val="both"/>
      </w:pPr>
      <w:r w:rsidRPr="00FD3105">
        <w:rPr>
          <w:rFonts w:ascii="Palatino Linotype" w:eastAsia="Palatino Linotype" w:hAnsi="Palatino Linotype" w:cs="Palatino Linotype"/>
          <w:b/>
          <w:i/>
          <w:sz w:val="22"/>
          <w:szCs w:val="22"/>
        </w:rPr>
        <w:t>SOLICITUD DE ACCESO A LA INFORMACIÓN. SU OTORGAMIENTO ES RESPECTO DE AQUELLA QUE EXISTA Y SE HUBIESE GENERADO AL MOMENTO DE LA PETICIÓN.</w:t>
      </w:r>
    </w:p>
    <w:p w:rsidR="00264E47" w:rsidRPr="00FD3105" w:rsidRDefault="003233E0">
      <w:pPr>
        <w:pBdr>
          <w:top w:val="nil"/>
          <w:left w:val="nil"/>
          <w:bottom w:val="nil"/>
          <w:right w:val="nil"/>
          <w:between w:val="nil"/>
        </w:pBdr>
        <w:ind w:left="851" w:right="900"/>
        <w:jc w:val="both"/>
      </w:pPr>
      <w:r w:rsidRPr="00FD3105">
        <w:rPr>
          <w:rFonts w:ascii="Palatino Linotype" w:eastAsia="Palatino Linotype" w:hAnsi="Palatino Linotype" w:cs="Palatino Linotype"/>
          <w:i/>
          <w:sz w:val="22"/>
          <w:szCs w:val="22"/>
        </w:rPr>
        <w:t xml:space="preserve">El otorgamiento de la información procede respecto de aquella que sea existente y se encuentre en posesión del órgano de Estado, al momento de la solicitud; por lo que resulta inconducente otorgar la que se genere en fecha futura, en tanto </w:t>
      </w:r>
      <w:r w:rsidRPr="00FD3105">
        <w:rPr>
          <w:rFonts w:ascii="Palatino Linotype" w:eastAsia="Palatino Linotype" w:hAnsi="Palatino Linotype" w:cs="Palatino Linotype"/>
          <w:i/>
          <w:sz w:val="22"/>
          <w:szCs w:val="22"/>
        </w:rPr>
        <w:lastRenderedPageBreak/>
        <w:t>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264E47" w:rsidRPr="00FD3105" w:rsidRDefault="003233E0">
      <w:pPr>
        <w:pBdr>
          <w:top w:val="nil"/>
          <w:left w:val="nil"/>
          <w:bottom w:val="nil"/>
          <w:right w:val="nil"/>
          <w:between w:val="nil"/>
        </w:pBdr>
        <w:ind w:left="851" w:right="900"/>
        <w:jc w:val="both"/>
      </w:pPr>
      <w:r w:rsidRPr="00FD3105">
        <w:rPr>
          <w:rFonts w:ascii="Palatino Linotype" w:eastAsia="Palatino Linotype" w:hAnsi="Palatino Linotype" w:cs="Palatino Linotype"/>
          <w:i/>
          <w:sz w:val="22"/>
          <w:szCs w:val="22"/>
        </w:rPr>
        <w:t>Clasificación de Información 69/2009-A. 30 de septiembre de 2009. Unanimidad de votos.”</w:t>
      </w:r>
    </w:p>
    <w:p w:rsidR="00264E47" w:rsidRPr="00FD3105" w:rsidRDefault="003233E0">
      <w:pPr>
        <w:pBdr>
          <w:top w:val="nil"/>
          <w:left w:val="nil"/>
          <w:bottom w:val="nil"/>
          <w:right w:val="nil"/>
          <w:between w:val="nil"/>
        </w:pBdr>
        <w:ind w:left="851" w:right="900"/>
      </w:pPr>
      <w:r w:rsidRPr="00FD3105">
        <w:rPr>
          <w:rFonts w:ascii="Palatino Linotype" w:eastAsia="Palatino Linotype" w:hAnsi="Palatino Linotype" w:cs="Palatino Linotype"/>
          <w:i/>
          <w:sz w:val="22"/>
          <w:szCs w:val="22"/>
        </w:rPr>
        <w:t>“</w:t>
      </w:r>
      <w:r w:rsidRPr="00FD3105">
        <w:rPr>
          <w:rFonts w:ascii="Palatino Linotype" w:eastAsia="Palatino Linotype" w:hAnsi="Palatino Linotype" w:cs="Palatino Linotype"/>
          <w:b/>
          <w:i/>
          <w:sz w:val="22"/>
          <w:szCs w:val="22"/>
        </w:rPr>
        <w:t>Criterio 2/2010.</w:t>
      </w:r>
    </w:p>
    <w:p w:rsidR="00264E47" w:rsidRPr="00FD3105" w:rsidRDefault="003233E0">
      <w:pPr>
        <w:pBdr>
          <w:top w:val="nil"/>
          <w:left w:val="nil"/>
          <w:bottom w:val="nil"/>
          <w:right w:val="nil"/>
          <w:between w:val="nil"/>
        </w:pBdr>
        <w:ind w:left="851" w:right="900"/>
        <w:jc w:val="both"/>
      </w:pPr>
      <w:r w:rsidRPr="00FD3105">
        <w:rPr>
          <w:rFonts w:ascii="Palatino Linotype" w:eastAsia="Palatino Linotype" w:hAnsi="Palatino Linotype" w:cs="Palatino Linotype"/>
          <w:b/>
          <w:i/>
          <w:sz w:val="22"/>
          <w:szCs w:val="22"/>
        </w:rPr>
        <w:t>SOLICITUD DE ACCESO A LA INFORMACIÓN. ES MATERIA DE ANÁLISIS Y OTORGAMIENTO LA GENERADA HASTA LA FECHA DE LA SOLICITUD EN CASO DE IMPRECISIÓN TEMPORAL. </w:t>
      </w:r>
    </w:p>
    <w:p w:rsidR="00264E47" w:rsidRPr="00FD3105" w:rsidRDefault="003233E0">
      <w:pPr>
        <w:pBdr>
          <w:top w:val="nil"/>
          <w:left w:val="nil"/>
          <w:bottom w:val="nil"/>
          <w:right w:val="nil"/>
          <w:between w:val="nil"/>
        </w:pBdr>
        <w:ind w:left="851" w:right="900"/>
        <w:jc w:val="both"/>
      </w:pPr>
      <w:r w:rsidRPr="00FD3105">
        <w:rPr>
          <w:rFonts w:ascii="Palatino Linotype" w:eastAsia="Palatino Linotype" w:hAnsi="Palatino Linotype" w:cs="Palatino Linotype"/>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264E47" w:rsidRPr="00FD3105" w:rsidRDefault="003233E0">
      <w:pPr>
        <w:pBdr>
          <w:top w:val="nil"/>
          <w:left w:val="nil"/>
          <w:bottom w:val="nil"/>
          <w:right w:val="nil"/>
          <w:between w:val="nil"/>
        </w:pBdr>
        <w:ind w:left="851" w:right="900"/>
        <w:jc w:val="both"/>
      </w:pPr>
      <w:r w:rsidRPr="00FD3105">
        <w:rPr>
          <w:rFonts w:ascii="Palatino Linotype" w:eastAsia="Palatino Linotype" w:hAnsi="Palatino Linotype" w:cs="Palatino Linotype"/>
          <w:i/>
          <w:sz w:val="22"/>
          <w:szCs w:val="22"/>
        </w:rPr>
        <w:t>Clasificación de Información 69/2009-A. 30 de septiembre de 2009. Unanimidad de votos.”(Sic)</w:t>
      </w:r>
    </w:p>
    <w:p w:rsidR="00264E47" w:rsidRPr="00FD3105" w:rsidRDefault="00264E47">
      <w:pPr>
        <w:spacing w:line="360" w:lineRule="auto"/>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Ahora bien, de una revisión a la respuesta con lo señalado por el Reglamento Orgánico de la Administración Pública Municipal del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el cual puede ser consultado en la siguiente liga electrónicos </w:t>
      </w:r>
      <w:hyperlink r:id="rId12">
        <w:r w:rsidRPr="00FD3105">
          <w:rPr>
            <w:rFonts w:ascii="Palatino Linotype" w:eastAsia="Palatino Linotype" w:hAnsi="Palatino Linotype" w:cs="Palatino Linotype"/>
            <w:u w:val="single"/>
          </w:rPr>
          <w:t>https://valledechalco.gob.mx/wp-content/uploads/2022/12/REGLAMENTO-ORGANICO-DE-LA-ADMINISTRACION-PUBLICA-MUNICIPAL.pdf</w:t>
        </w:r>
      </w:hyperlink>
      <w:r w:rsidRPr="00FD3105">
        <w:rPr>
          <w:rFonts w:ascii="Palatino Linotype" w:eastAsia="Palatino Linotype" w:hAnsi="Palatino Linotype" w:cs="Palatino Linotype"/>
        </w:rPr>
        <w:t>, para  mayor referencia, no se advierte que la Tesorería Municipal, sólo se conforme de las siguientes unidades administrativas:</w:t>
      </w:r>
    </w:p>
    <w:p w:rsidR="00264E47" w:rsidRPr="00FD3105" w:rsidRDefault="003233E0">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FD3105">
        <w:rPr>
          <w:noProof/>
          <w:lang w:val="es-MX" w:eastAsia="es-MX"/>
        </w:rPr>
        <w:lastRenderedPageBreak/>
        <w:drawing>
          <wp:inline distT="0" distB="0" distL="0" distR="0">
            <wp:extent cx="5368837" cy="1740901"/>
            <wp:effectExtent l="0" t="0" r="0" b="0"/>
            <wp:docPr id="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45228" t="50576" r="29677" b="21294"/>
                    <a:stretch>
                      <a:fillRect/>
                    </a:stretch>
                  </pic:blipFill>
                  <pic:spPr>
                    <a:xfrm>
                      <a:off x="0" y="0"/>
                      <a:ext cx="5368837" cy="1740901"/>
                    </a:xfrm>
                    <a:prstGeom prst="rect">
                      <a:avLst/>
                    </a:prstGeom>
                    <a:ln/>
                  </pic:spPr>
                </pic:pic>
              </a:graphicData>
            </a:graphic>
          </wp:inline>
        </w:drawing>
      </w:r>
    </w:p>
    <w:p w:rsidR="00264E47" w:rsidRPr="00FD3105" w:rsidRDefault="00553EC2">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Si no por ejemplo, en el citado Reglamento Orgánico se observa que la Tesorería Municipal, también cuenta con </w:t>
      </w:r>
      <w:proofErr w:type="gramStart"/>
      <w:r w:rsidRPr="00FD3105">
        <w:rPr>
          <w:rFonts w:ascii="Palatino Linotype" w:eastAsia="Palatino Linotype" w:hAnsi="Palatino Linotype" w:cs="Palatino Linotype"/>
        </w:rPr>
        <w:t>una</w:t>
      </w:r>
      <w:proofErr w:type="gramEnd"/>
      <w:r w:rsidRPr="00FD3105">
        <w:rPr>
          <w:rFonts w:ascii="Palatino Linotype" w:eastAsia="Palatino Linotype" w:hAnsi="Palatino Linotype" w:cs="Palatino Linotype"/>
        </w:rPr>
        <w:t xml:space="preserve"> área denominada Subdirección de Política Fiscal. </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Por consiguiente, los motivos de inconformidad del </w:t>
      </w:r>
      <w:r w:rsidRPr="00FD3105">
        <w:rPr>
          <w:rFonts w:ascii="Palatino Linotype" w:eastAsia="Palatino Linotype" w:hAnsi="Palatino Linotype" w:cs="Palatino Linotype"/>
          <w:b/>
        </w:rPr>
        <w:t>RECURRENTE</w:t>
      </w:r>
      <w:r w:rsidRPr="00FD3105">
        <w:rPr>
          <w:rFonts w:ascii="Palatino Linotype" w:eastAsia="Palatino Linotype" w:hAnsi="Palatino Linotype" w:cs="Palatino Linotype"/>
        </w:rPr>
        <w:t xml:space="preserve">, resultan fundados en razón de que efectivamente la información proporcionada en respuesta fue incompleta; máxime que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no siguió el procedimiento establecido por el artículo 162 de la Ley de Transparencia y Acceso a la Información Pública del Estado de México y Municipios, ya que, no se puede perder de vista que para otorgar respuesta a la solicitud inicial,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debió turnar la solicitud a las áreas en las que podría obrar la información de conformidad con la fracción XXXIX del artículo tercero de la legislación local vigente en materia de transparencia, el Servidor Público Habilitado es el competente para apoyar, gestionar y entregar la información: </w:t>
      </w:r>
    </w:p>
    <w:p w:rsidR="00264E47" w:rsidRPr="00FD3105" w:rsidRDefault="003233E0">
      <w:pPr>
        <w:spacing w:before="240" w:after="240"/>
        <w:ind w:left="709" w:right="902"/>
        <w:jc w:val="both"/>
        <w:rPr>
          <w:rFonts w:ascii="Palatino Linotype" w:eastAsia="Palatino Linotype" w:hAnsi="Palatino Linotype" w:cs="Palatino Linotype"/>
          <w:i/>
          <w:sz w:val="20"/>
          <w:szCs w:val="20"/>
        </w:rPr>
      </w:pPr>
      <w:r w:rsidRPr="00FD3105">
        <w:rPr>
          <w:rFonts w:ascii="Palatino Linotype" w:eastAsia="Palatino Linotype" w:hAnsi="Palatino Linotype" w:cs="Palatino Linotype"/>
          <w:i/>
          <w:sz w:val="20"/>
          <w:szCs w:val="20"/>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(Sic)</w:t>
      </w:r>
    </w:p>
    <w:p w:rsidR="00264E47" w:rsidRPr="00FD3105" w:rsidRDefault="003233E0">
      <w:pPr>
        <w:shd w:val="clear" w:color="auto" w:fill="FFFFFF"/>
        <w:spacing w:before="240" w:after="240" w:line="360" w:lineRule="auto"/>
        <w:jc w:val="both"/>
      </w:pPr>
      <w:r w:rsidRPr="00FD3105">
        <w:rPr>
          <w:rFonts w:ascii="Palatino Linotype" w:eastAsia="Palatino Linotype" w:hAnsi="Palatino Linotype" w:cs="Palatino Linotype"/>
        </w:rPr>
        <w:lastRenderedPageBreak/>
        <w:t>En este orden de ideas, se advierte que efectivamente la Unidad de Transparencia no cumplió con lo expresado en el artículo 162 de la Ley de Transparencia y Acceso a la Información Pública del Estado de México y Municipios, el cual menciona lo siguiente:</w:t>
      </w:r>
    </w:p>
    <w:p w:rsidR="00264E47" w:rsidRPr="00FD3105" w:rsidRDefault="003233E0">
      <w:pPr>
        <w:shd w:val="clear" w:color="auto" w:fill="FFFFFF"/>
        <w:spacing w:after="240" w:line="276" w:lineRule="auto"/>
        <w:ind w:left="993" w:right="1041"/>
        <w:jc w:val="both"/>
      </w:pPr>
      <w:r w:rsidRPr="00FD3105">
        <w:rPr>
          <w:rFonts w:ascii="Palatino Linotype" w:eastAsia="Palatino Linotype" w:hAnsi="Palatino Linotype" w:cs="Palatino Linotype"/>
          <w:b/>
          <w:i/>
          <w:sz w:val="22"/>
          <w:szCs w:val="22"/>
        </w:rPr>
        <w:t>“Artículo 162.</w:t>
      </w:r>
      <w:r w:rsidRPr="00FD3105">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rsidR="00264E47" w:rsidRPr="00FD3105" w:rsidRDefault="003233E0">
      <w:pPr>
        <w:shd w:val="clear" w:color="auto" w:fill="FFFFFF"/>
        <w:spacing w:line="360" w:lineRule="auto"/>
        <w:jc w:val="both"/>
      </w:pPr>
      <w:r w:rsidRPr="00FD3105">
        <w:rPr>
          <w:rFonts w:ascii="Palatino Linotype" w:eastAsia="Palatino Linotype" w:hAnsi="Palatino Linotype" w:cs="Palatino Linotype"/>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sidRPr="00FD3105">
        <w:rPr>
          <w:rFonts w:ascii="Palatino Linotype" w:eastAsia="Palatino Linotype" w:hAnsi="Palatino Linotype" w:cs="Palatino Linotype"/>
          <w:vertAlign w:val="superscript"/>
        </w:rPr>
        <w:footnoteReference w:id="1"/>
      </w:r>
      <w:r w:rsidRPr="00FD3105">
        <w:rPr>
          <w:rFonts w:ascii="Palatino Linotype" w:eastAsia="Palatino Linotype" w:hAnsi="Palatino Linotype" w:cs="Palatino Linotype"/>
        </w:rPr>
        <w:t>, para ello la misma norma establece que los sujetos obligados deberán otorgar el acceso a los documentos que obren 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264E47" w:rsidRPr="00FD3105" w:rsidRDefault="00264E47">
      <w:pPr>
        <w:shd w:val="clear" w:color="auto" w:fill="FFFFFF"/>
        <w:ind w:left="993" w:right="1041"/>
        <w:jc w:val="both"/>
        <w:rPr>
          <w:rFonts w:ascii="Palatino Linotype" w:eastAsia="Palatino Linotype" w:hAnsi="Palatino Linotype" w:cs="Palatino Linotype"/>
          <w:b/>
          <w:i/>
          <w:sz w:val="22"/>
          <w:szCs w:val="22"/>
        </w:rPr>
      </w:pPr>
    </w:p>
    <w:p w:rsidR="00264E47" w:rsidRPr="00FD3105" w:rsidRDefault="003233E0">
      <w:pPr>
        <w:shd w:val="clear" w:color="auto" w:fill="FFFFFF"/>
        <w:ind w:left="993" w:right="1041"/>
        <w:jc w:val="both"/>
      </w:pPr>
      <w:r w:rsidRPr="00FD3105">
        <w:rPr>
          <w:rFonts w:ascii="Palatino Linotype" w:eastAsia="Palatino Linotype" w:hAnsi="Palatino Linotype" w:cs="Palatino Linotype"/>
          <w:b/>
          <w:i/>
          <w:sz w:val="22"/>
          <w:szCs w:val="22"/>
        </w:rPr>
        <w:lastRenderedPageBreak/>
        <w:t>“Artículo 160. </w:t>
      </w:r>
      <w:r w:rsidRPr="00FD3105">
        <w:rPr>
          <w:rFonts w:ascii="Palatino Linotype" w:eastAsia="Palatino Linotype" w:hAnsi="Palatino Linotype" w:cs="Palatino Linotype"/>
          <w:i/>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264E47" w:rsidRPr="00FD3105" w:rsidRDefault="003233E0">
      <w:pPr>
        <w:shd w:val="clear" w:color="auto" w:fill="FFFFFF"/>
        <w:ind w:left="993" w:right="1041"/>
        <w:jc w:val="both"/>
      </w:pPr>
      <w:r w:rsidRPr="00FD3105">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264E47" w:rsidRPr="00FD3105" w:rsidRDefault="003233E0">
      <w:pPr>
        <w:shd w:val="clear" w:color="auto" w:fill="FFFFFF"/>
        <w:ind w:left="993" w:right="1041"/>
        <w:jc w:val="both"/>
      </w:pPr>
      <w:r w:rsidRPr="00FD3105">
        <w:rPr>
          <w:rFonts w:ascii="Palatino Linotype" w:eastAsia="Palatino Linotype" w:hAnsi="Palatino Linotype" w:cs="Palatino Linotype"/>
          <w:b/>
          <w:i/>
          <w:sz w:val="22"/>
          <w:szCs w:val="22"/>
        </w:rPr>
        <w:t>Artículo 163.</w:t>
      </w:r>
      <w:r w:rsidRPr="00FD3105">
        <w:rPr>
          <w:rFonts w:ascii="Palatino Linotype" w:eastAsia="Palatino Linotype" w:hAnsi="Palatino Linotype" w:cs="Palatino Linotype"/>
          <w:i/>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264E47" w:rsidRPr="00FD3105" w:rsidRDefault="003233E0">
      <w:pPr>
        <w:shd w:val="clear" w:color="auto" w:fill="FFFFFF"/>
        <w:ind w:left="993" w:right="1041"/>
        <w:jc w:val="both"/>
      </w:pPr>
      <w:r w:rsidRPr="00FD3105">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264E47" w:rsidRPr="00FD3105" w:rsidRDefault="003233E0">
      <w:pPr>
        <w:shd w:val="clear" w:color="auto" w:fill="FFFFFF"/>
        <w:ind w:left="993" w:right="1041"/>
        <w:jc w:val="both"/>
      </w:pPr>
      <w:r w:rsidRPr="00FD3105">
        <w:rPr>
          <w:rFonts w:ascii="Palatino Linotype" w:eastAsia="Palatino Linotype" w:hAnsi="Palatino Linotype" w:cs="Palatino Linotype"/>
          <w:b/>
          <w:i/>
          <w:sz w:val="22"/>
          <w:szCs w:val="22"/>
        </w:rPr>
        <w:t>Artículo 165.</w:t>
      </w:r>
      <w:r w:rsidRPr="00FD3105">
        <w:rPr>
          <w:rFonts w:ascii="Palatino Linotype" w:eastAsia="Palatino Linotype" w:hAnsi="Palatino Linotype" w:cs="Palatino Linotype"/>
          <w:i/>
          <w:sz w:val="22"/>
          <w:szCs w:val="22"/>
        </w:rPr>
        <w:t> Los sujetos obligados establecerán la forma y términos en que darán trámite interno a las solicitudes en materia de acceso a la información.</w:t>
      </w:r>
    </w:p>
    <w:p w:rsidR="00264E47" w:rsidRPr="00FD3105" w:rsidRDefault="003233E0">
      <w:pPr>
        <w:shd w:val="clear" w:color="auto" w:fill="FFFFFF"/>
        <w:ind w:left="993" w:right="1041"/>
        <w:jc w:val="both"/>
      </w:pPr>
      <w:r w:rsidRPr="00FD3105">
        <w:rPr>
          <w:rFonts w:ascii="Palatino Linotype" w:eastAsia="Palatino Linotype" w:hAnsi="Palatino Linotype" w:cs="Palatino Linotype"/>
          <w:i/>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264E47" w:rsidRPr="00FD3105" w:rsidRDefault="003233E0">
      <w:pPr>
        <w:shd w:val="clear" w:color="auto" w:fill="FFFFFF"/>
        <w:spacing w:after="240"/>
        <w:ind w:left="993" w:right="1041"/>
        <w:jc w:val="both"/>
      </w:pPr>
      <w:r w:rsidRPr="00FD3105">
        <w:rPr>
          <w:rFonts w:ascii="Palatino Linotype" w:eastAsia="Palatino Linotype" w:hAnsi="Palatino Linotype" w:cs="Palatino Linotype"/>
          <w:i/>
          <w:sz w:val="22"/>
          <w:szCs w:val="22"/>
        </w:rPr>
        <w:t>Ante la falta de respuesta a una solicitud en el plazo previsto y en caso de que proceda el acceso, los costos de reproducción y envío correrán a cargo del sujeto obligado.” (Sic)</w:t>
      </w:r>
    </w:p>
    <w:p w:rsidR="00264E47" w:rsidRPr="00FD3105" w:rsidRDefault="003233E0">
      <w:pPr>
        <w:shd w:val="clear" w:color="auto" w:fill="FFFFFF"/>
        <w:spacing w:before="240" w:after="240" w:line="360" w:lineRule="auto"/>
        <w:jc w:val="both"/>
      </w:pPr>
      <w:r w:rsidRPr="00FD3105">
        <w:rPr>
          <w:rFonts w:ascii="Palatino Linotype" w:eastAsia="Palatino Linotype" w:hAnsi="Palatino Linotype" w:cs="Palatino Linotype"/>
        </w:rPr>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sidRPr="00FD3105">
        <w:rPr>
          <w:rFonts w:ascii="Palatino Linotype" w:eastAsia="Palatino Linotype" w:hAnsi="Palatino Linotype" w:cs="Palatino Linotype"/>
          <w:vertAlign w:val="superscript"/>
        </w:rPr>
        <w:footnoteReference w:id="2"/>
      </w:r>
      <w:r w:rsidRPr="00FD3105">
        <w:rPr>
          <w:rFonts w:ascii="Palatino Linotype" w:eastAsia="Palatino Linotype" w:hAnsi="Palatino Linotype" w:cs="Palatino Linotype"/>
        </w:rPr>
        <w:t xml:space="preserve">, situación que no se advierte en el presente caso, toda vez que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a través de su Unidad de Transparencia </w:t>
      </w:r>
      <w:r w:rsidRPr="00FD3105">
        <w:rPr>
          <w:rFonts w:ascii="Palatino Linotype" w:eastAsia="Palatino Linotype" w:hAnsi="Palatino Linotype" w:cs="Palatino Linotype"/>
        </w:rPr>
        <w:lastRenderedPageBreak/>
        <w:t>no ha brindado el acceso a la información solicitada por el particular de manera completa,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264E47" w:rsidRPr="00FD3105" w:rsidRDefault="003233E0">
      <w:pPr>
        <w:spacing w:line="360" w:lineRule="auto"/>
        <w:ind w:right="51"/>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En mérito de lo anterior, se colige que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debió realizar una búsqueda exhaustiva y razonable de la información peticionada en todas las áreas competentes para que se pronunciaran respecto de la solicitud del particular, como pudieran ser de manera enunciativa más no limitada, la Presidencia Municipal y Dirección de Administración, en términos de lo señalado por los artículos 7 fracción VIII y 99 del Reglamento Orgánico de la Administración Pública Municipal del </w:t>
      </w:r>
      <w:r w:rsidRPr="00FD3105">
        <w:rPr>
          <w:rFonts w:ascii="Palatino Linotype" w:eastAsia="Palatino Linotype" w:hAnsi="Palatino Linotype" w:cs="Palatino Linotype"/>
          <w:b/>
        </w:rPr>
        <w:t xml:space="preserve">SUJETO OBLIGADO, </w:t>
      </w:r>
      <w:r w:rsidRPr="00FD3105">
        <w:rPr>
          <w:rFonts w:ascii="Palatino Linotype" w:eastAsia="Palatino Linotype" w:hAnsi="Palatino Linotype" w:cs="Palatino Linotype"/>
        </w:rPr>
        <w:t>que señalan:</w:t>
      </w:r>
    </w:p>
    <w:p w:rsidR="00264E47" w:rsidRPr="00FD3105" w:rsidRDefault="00264E47">
      <w:pPr>
        <w:spacing w:line="360" w:lineRule="auto"/>
        <w:ind w:right="51"/>
        <w:jc w:val="both"/>
        <w:rPr>
          <w:rFonts w:ascii="Palatino Linotype" w:eastAsia="Palatino Linotype" w:hAnsi="Palatino Linotype" w:cs="Palatino Linotype"/>
        </w:rPr>
      </w:pPr>
    </w:p>
    <w:p w:rsidR="00264E47" w:rsidRPr="00FD3105" w:rsidRDefault="003233E0">
      <w:pPr>
        <w:shd w:val="clear" w:color="auto" w:fill="FFFFFF"/>
        <w:ind w:left="993"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“Artículo 7. Son atribuciones del Presidente:</w:t>
      </w:r>
    </w:p>
    <w:p w:rsidR="00264E47" w:rsidRPr="00FD3105" w:rsidRDefault="003233E0">
      <w:pPr>
        <w:shd w:val="clear" w:color="auto" w:fill="FFFFFF"/>
        <w:ind w:left="993"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p>
    <w:p w:rsidR="00264E47" w:rsidRPr="00FD3105" w:rsidRDefault="003233E0">
      <w:pPr>
        <w:shd w:val="clear" w:color="auto" w:fill="FFFFFF"/>
        <w:ind w:left="993" w:right="1041"/>
        <w:jc w:val="both"/>
        <w:rPr>
          <w:rFonts w:ascii="Palatino Linotype" w:eastAsia="Palatino Linotype" w:hAnsi="Palatino Linotype" w:cs="Palatino Linotype"/>
          <w:b/>
          <w:i/>
          <w:sz w:val="22"/>
          <w:szCs w:val="22"/>
        </w:rPr>
      </w:pPr>
      <w:r w:rsidRPr="00FD3105">
        <w:rPr>
          <w:rFonts w:ascii="Palatino Linotype" w:eastAsia="Palatino Linotype" w:hAnsi="Palatino Linotype" w:cs="Palatino Linotype"/>
          <w:b/>
          <w:i/>
          <w:sz w:val="22"/>
          <w:szCs w:val="22"/>
        </w:rPr>
        <w:t>VIII. El Presidente, para el estudio y despacho de los asuntos, podrá crear dependencias y entidades que le estén subordinadas directamente, así como fusionar, modificar o suprimir las ya existentes, atendiendo a las necesidades socioeconómicas, así como de la capacidad administrativa y financiera.</w:t>
      </w:r>
    </w:p>
    <w:p w:rsidR="00264E47" w:rsidRPr="00FD3105" w:rsidRDefault="003233E0">
      <w:pPr>
        <w:shd w:val="clear" w:color="auto" w:fill="FFFFFF"/>
        <w:ind w:left="993"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p>
    <w:p w:rsidR="00264E47" w:rsidRPr="00FD3105" w:rsidRDefault="003233E0">
      <w:pPr>
        <w:shd w:val="clear" w:color="auto" w:fill="FFFFFF"/>
        <w:ind w:left="993"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Artículo 99. La Dirección de Administración</w:t>
      </w:r>
      <w:r w:rsidRPr="00FD3105">
        <w:rPr>
          <w:rFonts w:ascii="Palatino Linotype" w:eastAsia="Palatino Linotype" w:hAnsi="Palatino Linotype" w:cs="Palatino Linotype"/>
          <w:i/>
          <w:sz w:val="22"/>
          <w:szCs w:val="22"/>
        </w:rPr>
        <w:t xml:space="preserve"> integrará, en </w:t>
      </w:r>
      <w:r w:rsidRPr="00FD3105">
        <w:rPr>
          <w:rFonts w:ascii="Palatino Linotype" w:eastAsia="Palatino Linotype" w:hAnsi="Palatino Linotype" w:cs="Palatino Linotype"/>
          <w:b/>
          <w:i/>
          <w:sz w:val="22"/>
          <w:szCs w:val="22"/>
        </w:rPr>
        <w:t>coordinación con las demás dependencias administrativas del municipio</w:t>
      </w:r>
      <w:r w:rsidRPr="00FD3105">
        <w:rPr>
          <w:rFonts w:ascii="Palatino Linotype" w:eastAsia="Palatino Linotype" w:hAnsi="Palatino Linotype" w:cs="Palatino Linotype"/>
          <w:i/>
          <w:sz w:val="22"/>
          <w:szCs w:val="22"/>
        </w:rPr>
        <w:t>, el presupuesto anual de egresos, con la finalidad de proporcionar recursos humanos, recursos materiales y servicios para el mejor funcionamiento y desempeño de dichas dependencias, vigilando la debida disciplina financiera.” (Sic)</w:t>
      </w:r>
    </w:p>
    <w:p w:rsidR="00264E47" w:rsidRPr="00FD3105" w:rsidRDefault="00264E47">
      <w:pPr>
        <w:shd w:val="clear" w:color="auto" w:fill="FFFFFF"/>
        <w:ind w:left="993" w:right="1041"/>
        <w:jc w:val="both"/>
        <w:rPr>
          <w:rFonts w:ascii="Palatino Linotype" w:eastAsia="Palatino Linotype" w:hAnsi="Palatino Linotype" w:cs="Palatino Linotype"/>
          <w:i/>
          <w:sz w:val="22"/>
          <w:szCs w:val="22"/>
        </w:rPr>
      </w:pP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lastRenderedPageBreak/>
        <w:t>En ese sentido el documento en donde constaría de manera completa las unidades administrativas que integran la Tesorería Municipal del Ayuntamiento de Valle de Chalco Solidaridad, sería de manera iniciativa más no limitada, el organigrama o estructura orgánica del Ayuntamiento de Valle de Chalco Solidaridad, en razón de que se trata de una obligación de transparencia en términos de lo señalado por el artículo 92 fracción II, de la Ley de Transparencia y Acceso a la Información Pública del Estado de México y Municipios, que señala:</w:t>
      </w:r>
    </w:p>
    <w:p w:rsidR="00264E47" w:rsidRPr="00FD3105" w:rsidRDefault="003233E0">
      <w:pPr>
        <w:shd w:val="clear" w:color="auto" w:fill="FFFFFF"/>
        <w:ind w:left="993"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64E47" w:rsidRPr="00FD3105" w:rsidRDefault="003233E0">
      <w:pPr>
        <w:shd w:val="clear" w:color="auto" w:fill="FFFFFF"/>
        <w:ind w:left="993"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w:t>
      </w:r>
    </w:p>
    <w:p w:rsidR="00264E47" w:rsidRPr="00FD3105" w:rsidRDefault="003233E0">
      <w:pPr>
        <w:shd w:val="clear" w:color="auto" w:fill="FFFFFF"/>
        <w:ind w:left="993"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 (Sic)</w:t>
      </w:r>
    </w:p>
    <w:p w:rsidR="00264E47" w:rsidRPr="00FD3105" w:rsidRDefault="00264E47">
      <w:pPr>
        <w:shd w:val="clear" w:color="auto" w:fill="FFFFFF"/>
        <w:ind w:left="993" w:right="1041"/>
        <w:jc w:val="both"/>
        <w:rPr>
          <w:rFonts w:ascii="Palatino Linotype" w:eastAsia="Palatino Linotype" w:hAnsi="Palatino Linotype" w:cs="Palatino Linotype"/>
          <w:i/>
          <w:sz w:val="22"/>
          <w:szCs w:val="22"/>
        </w:rPr>
      </w:pPr>
    </w:p>
    <w:p w:rsidR="00264E47" w:rsidRPr="00FD3105" w:rsidRDefault="003233E0">
      <w:pPr>
        <w:spacing w:before="240" w:after="240" w:line="360" w:lineRule="auto"/>
        <w:ind w:right="-93"/>
        <w:jc w:val="both"/>
        <w:rPr>
          <w:rFonts w:ascii="Palatino Linotype" w:eastAsia="Palatino Linotype" w:hAnsi="Palatino Linotype" w:cs="Palatino Linotype"/>
        </w:rPr>
      </w:pPr>
      <w:r w:rsidRPr="00FD3105">
        <w:rPr>
          <w:rFonts w:ascii="Palatino Linotype" w:eastAsia="Palatino Linotype" w:hAnsi="Palatino Linotype" w:cs="Palatino Linotype"/>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que señala para su fracción II, lo siguiente:</w:t>
      </w:r>
    </w:p>
    <w:p w:rsidR="00264E47" w:rsidRPr="00FD3105" w:rsidRDefault="003233E0">
      <w:pPr>
        <w:numPr>
          <w:ilvl w:val="0"/>
          <w:numId w:val="3"/>
        </w:numPr>
        <w:pBdr>
          <w:top w:val="nil"/>
          <w:left w:val="nil"/>
          <w:bottom w:val="nil"/>
          <w:right w:val="nil"/>
          <w:between w:val="nil"/>
        </w:pBdr>
        <w:shd w:val="clear" w:color="auto" w:fill="FFFFFF"/>
        <w:ind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 xml:space="preserve">Su estructura orgánica completa, en un formato que permita vincular cada parte de la estructura, las atribuciones y responsabilidades que le corresponden a cada servidor público, prestador de servicios profesionales o </w:t>
      </w:r>
      <w:r w:rsidRPr="00FD3105">
        <w:rPr>
          <w:rFonts w:ascii="Palatino Linotype" w:eastAsia="Palatino Linotype" w:hAnsi="Palatino Linotype" w:cs="Palatino Linotype"/>
          <w:i/>
          <w:sz w:val="22"/>
          <w:szCs w:val="22"/>
        </w:rPr>
        <w:lastRenderedPageBreak/>
        <w:t>miembro de los sujetos obligados de conformidad con las disposiciones aplicables.</w:t>
      </w:r>
    </w:p>
    <w:p w:rsidR="00264E47" w:rsidRPr="00FD3105" w:rsidRDefault="00264E47">
      <w:pPr>
        <w:shd w:val="clear" w:color="auto" w:fill="FFFFFF"/>
        <w:ind w:left="360" w:right="1041"/>
        <w:jc w:val="both"/>
        <w:rPr>
          <w:rFonts w:ascii="Palatino Linotype" w:eastAsia="Palatino Linotype" w:hAnsi="Palatino Linotype" w:cs="Palatino Linotype"/>
          <w:i/>
          <w:sz w:val="22"/>
          <w:szCs w:val="22"/>
        </w:rPr>
      </w:pPr>
    </w:p>
    <w:p w:rsidR="00264E47" w:rsidRPr="00FD3105" w:rsidRDefault="003233E0">
      <w:pPr>
        <w:shd w:val="clear" w:color="auto" w:fill="FFFFFF"/>
        <w:ind w:left="360"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 xml:space="preserve"> El sujeto obligado incluirá la estructura orgánica que da cuenta de la distribución y orden de las funciones que se establecen para el cumplimiento de sus objetivos conforme a criterios de jerarquía y especialización, </w:t>
      </w:r>
      <w:r w:rsidRPr="00FD3105">
        <w:rPr>
          <w:rFonts w:ascii="Palatino Linotype" w:eastAsia="Palatino Linotype" w:hAnsi="Palatino Linotype" w:cs="Palatino Linotype"/>
          <w:b/>
          <w:i/>
          <w:sz w:val="22"/>
          <w:szCs w:val="22"/>
        </w:rPr>
        <w:t xml:space="preserve">ordenados mediante los catálogos de las áreas que integran el sujeto obligado; de tal forma que sea posible visualizar los niveles jerárquicos y sus relaciones de dependencia de acuerdo con el estatuto orgánico u otro ordenamiento que le aplique. </w:t>
      </w:r>
    </w:p>
    <w:p w:rsidR="00264E47" w:rsidRPr="00FD3105" w:rsidRDefault="003233E0">
      <w:pPr>
        <w:shd w:val="clear" w:color="auto" w:fill="FFFFFF"/>
        <w:ind w:left="360"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Se deberá publicar la estructura vigente, es decir, la que está en operación en el sujeto obligado y ha sido aprobada y/o dictaminada por la autoridad competente</w:t>
      </w:r>
      <w:r w:rsidRPr="00FD3105">
        <w:rPr>
          <w:rFonts w:ascii="Palatino Linotype" w:eastAsia="Palatino Linotype" w:hAnsi="Palatino Linotype" w:cs="Palatino Linotype"/>
          <w:i/>
          <w:sz w:val="22"/>
          <w:szCs w:val="22"/>
        </w:rPr>
        <w:t xml:space="preserve">. </w:t>
      </w:r>
    </w:p>
    <w:p w:rsidR="00264E47" w:rsidRPr="00FD3105" w:rsidRDefault="003233E0">
      <w:pPr>
        <w:shd w:val="clear" w:color="auto" w:fill="FFFFFF"/>
        <w:ind w:left="360"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 xml:space="preserve">En aquellos casos en los que dicha estructura no corresponda con la funcional, deberá especificarse cuáles puestos se encuentran en tránsito de aprobación por parte de las autoridades competentes. 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 </w:t>
      </w:r>
    </w:p>
    <w:p w:rsidR="00264E47" w:rsidRPr="00FD3105" w:rsidRDefault="003233E0">
      <w:pPr>
        <w:shd w:val="clear" w:color="auto" w:fill="FFFFFF"/>
        <w:ind w:left="360"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 xml:space="preserve">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La estructura orgánica deberá incluir al titular del sujeto obligado y todos los servidores públicos adscritos a las unidades administrativas, áreas, institutos o los que correspondan, incluido el personal de gabinete de apoyo </w:t>
      </w:r>
      <w:proofErr w:type="spellStart"/>
      <w:r w:rsidRPr="00FD3105">
        <w:rPr>
          <w:rFonts w:ascii="Palatino Linotype" w:eastAsia="Palatino Linotype" w:hAnsi="Palatino Linotype" w:cs="Palatino Linotype"/>
          <w:i/>
          <w:sz w:val="22"/>
          <w:szCs w:val="22"/>
        </w:rPr>
        <w:t>u</w:t>
      </w:r>
      <w:proofErr w:type="spellEnd"/>
      <w:r w:rsidRPr="00FD3105">
        <w:rPr>
          <w:rFonts w:ascii="Palatino Linotype" w:eastAsia="Palatino Linotype" w:hAnsi="Palatino Linotype" w:cs="Palatino Linotype"/>
          <w:i/>
          <w:sz w:val="22"/>
          <w:szCs w:val="22"/>
        </w:rPr>
        <w:t xml:space="preserve"> homólogo, prestadores de servicios profesionales, miembros de los sujetos obligados, así como los respectivos niveles de adjunto, homólogo o cualquier otro equivalente, según la denominación que se le dé. Asimismo, se publicará la estructura orgánica de la administración paramunicipal, desconcentrada y de los diversos institutos con que cuentan los municipios, ayuntamientos o delegaciones. </w:t>
      </w:r>
    </w:p>
    <w:p w:rsidR="00264E47" w:rsidRPr="00FD3105" w:rsidRDefault="003233E0">
      <w:pPr>
        <w:shd w:val="clear" w:color="auto" w:fill="FFFFFF"/>
        <w:ind w:left="360"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b/>
          <w:i/>
          <w:sz w:val="22"/>
          <w:szCs w:val="22"/>
        </w:rPr>
        <w:t>Por cada área registrada, el sujeto obligado deberá incluir la denominación de las áreas que le están subordinadas jerárquicamente, así como las atribuciones, responsabilidades y/o funciones conferidas por las disposiciones aplicables a los(as) servidores(as) públicos(as) y/o toda persona que desempeñe un empleo, cargo o comisión y/o ejerza actos de autoridad.</w:t>
      </w:r>
      <w:r w:rsidRPr="00FD3105">
        <w:rPr>
          <w:rFonts w:ascii="Palatino Linotype" w:eastAsia="Palatino Linotype" w:hAnsi="Palatino Linotype" w:cs="Palatino Linotype"/>
          <w:i/>
          <w:sz w:val="22"/>
          <w:szCs w:val="22"/>
        </w:rPr>
        <w:t xml:space="preserve"> </w:t>
      </w:r>
    </w:p>
    <w:p w:rsidR="00264E47" w:rsidRPr="00FD3105" w:rsidRDefault="003233E0">
      <w:pPr>
        <w:shd w:val="clear" w:color="auto" w:fill="FFFFFF"/>
        <w:ind w:left="360"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 xml:space="preserve">Asimismo, se deberá registrar, en su caso, el número de prestadores de servicios profesionales contratados y/o de los miembros integrados de conformidad con las disposiciones aplicables (por ejemplo, en puestos honoríficos o que realicen actos de </w:t>
      </w:r>
      <w:r w:rsidRPr="00FD3105">
        <w:rPr>
          <w:rFonts w:ascii="Palatino Linotype" w:eastAsia="Palatino Linotype" w:hAnsi="Palatino Linotype" w:cs="Palatino Linotype"/>
          <w:i/>
          <w:sz w:val="22"/>
          <w:szCs w:val="22"/>
        </w:rPr>
        <w:lastRenderedPageBreak/>
        <w:t xml:space="preserve">autoridad). 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 Además, se publicará un hipervínculo al organigrama completo, con el objetivo de visualizar la representación gráfica de la estructura orgánica, desde el puesto del titular del sujeto obligado hasta el nivel de jefatura de departamento </w:t>
      </w:r>
      <w:proofErr w:type="spellStart"/>
      <w:r w:rsidRPr="00FD3105">
        <w:rPr>
          <w:rFonts w:ascii="Palatino Linotype" w:eastAsia="Palatino Linotype" w:hAnsi="Palatino Linotype" w:cs="Palatino Linotype"/>
          <w:i/>
          <w:sz w:val="22"/>
          <w:szCs w:val="22"/>
        </w:rPr>
        <w:t>u</w:t>
      </w:r>
      <w:proofErr w:type="spellEnd"/>
      <w:r w:rsidRPr="00FD3105">
        <w:rPr>
          <w:rFonts w:ascii="Palatino Linotype" w:eastAsia="Palatino Linotype" w:hAnsi="Palatino Linotype" w:cs="Palatino Linotype"/>
          <w:i/>
          <w:sz w:val="22"/>
          <w:szCs w:val="22"/>
        </w:rPr>
        <w:t xml:space="preserve"> homólogo y, en su caso, los prestadores de servicios profesionales y/o cualquier otro tipo de personal adscrito. </w:t>
      </w:r>
    </w:p>
    <w:p w:rsidR="00264E47" w:rsidRPr="00FD3105" w:rsidRDefault="003233E0">
      <w:pPr>
        <w:shd w:val="clear" w:color="auto" w:fill="FFFFFF"/>
        <w:ind w:left="360" w:right="1041"/>
        <w:jc w:val="both"/>
        <w:rPr>
          <w:rFonts w:ascii="Palatino Linotype" w:eastAsia="Palatino Linotype" w:hAnsi="Palatino Linotype" w:cs="Palatino Linotype"/>
          <w:i/>
          <w:sz w:val="22"/>
          <w:szCs w:val="22"/>
        </w:rPr>
      </w:pPr>
      <w:r w:rsidRPr="00FD3105">
        <w:rPr>
          <w:rFonts w:ascii="Palatino Linotype" w:eastAsia="Palatino Linotype" w:hAnsi="Palatino Linotype" w:cs="Palatino Linotype"/>
          <w:i/>
          <w:sz w:val="22"/>
          <w:szCs w:val="22"/>
        </w:rPr>
        <w:t>Respecto de los sujetos obligados que no forman parte de los organismos gubernamentales la estructura orgánica hará referencia a los cargos equivalentes conforme a su normatividad interna…” (Sic)</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Razones por las cuales lo procedente es ordenar la búsqueda exhaustiva y razonable del documento en donde </w:t>
      </w:r>
      <w:proofErr w:type="gramStart"/>
      <w:r w:rsidRPr="00FD3105">
        <w:rPr>
          <w:rFonts w:ascii="Palatino Linotype" w:eastAsia="Palatino Linotype" w:hAnsi="Palatino Linotype" w:cs="Palatino Linotype"/>
        </w:rPr>
        <w:t>conste</w:t>
      </w:r>
      <w:proofErr w:type="gramEnd"/>
      <w:r w:rsidRPr="00FD3105">
        <w:rPr>
          <w:rFonts w:ascii="Palatino Linotype" w:eastAsia="Palatino Linotype" w:hAnsi="Palatino Linotype" w:cs="Palatino Linotype"/>
        </w:rPr>
        <w:t xml:space="preserve"> las unidades administrativas que se despliegan de la Tesorería Municipal de manera completa y vigente al cinco de agosto del año dos mil veintidós. </w:t>
      </w:r>
    </w:p>
    <w:p w:rsidR="00264E47" w:rsidRPr="00FD3105" w:rsidRDefault="003233E0">
      <w:pP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Así, con fundamento en lo prescrito en los artículos 5 párrafos vigésimo, vigésimo primero y vigésimo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264E47" w:rsidRPr="00FD3105" w:rsidRDefault="003233E0">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FD3105">
        <w:rPr>
          <w:rFonts w:ascii="Palatino Linotype" w:eastAsia="Palatino Linotype" w:hAnsi="Palatino Linotype" w:cs="Palatino Linotype"/>
          <w:b/>
          <w:sz w:val="22"/>
          <w:szCs w:val="22"/>
        </w:rPr>
        <w:t>R E S U E L V E:</w:t>
      </w: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 xml:space="preserve">Primero. </w:t>
      </w:r>
      <w:r w:rsidRPr="00FD3105">
        <w:rPr>
          <w:rFonts w:ascii="Palatino Linotype" w:eastAsia="Palatino Linotype" w:hAnsi="Palatino Linotype" w:cs="Palatino Linotype"/>
        </w:rPr>
        <w:t>Resulta</w:t>
      </w:r>
      <w:r w:rsidRPr="00FD3105">
        <w:rPr>
          <w:rFonts w:ascii="Palatino Linotype" w:eastAsia="Palatino Linotype" w:hAnsi="Palatino Linotype" w:cs="Palatino Linotype"/>
          <w:b/>
        </w:rPr>
        <w:t xml:space="preserve"> FUNDADO</w:t>
      </w:r>
      <w:r w:rsidRPr="00FD3105">
        <w:rPr>
          <w:rFonts w:ascii="Palatino Linotype" w:eastAsia="Palatino Linotype" w:hAnsi="Palatino Linotype" w:cs="Palatino Linotype"/>
        </w:rPr>
        <w:t xml:space="preserve"> el motivo de inconformidad hecho valer por el </w:t>
      </w:r>
      <w:r w:rsidRPr="00FD3105">
        <w:rPr>
          <w:rFonts w:ascii="Palatino Linotype" w:eastAsia="Palatino Linotype" w:hAnsi="Palatino Linotype" w:cs="Palatino Linotype"/>
          <w:b/>
        </w:rPr>
        <w:t>RECURRENTE</w:t>
      </w:r>
      <w:r w:rsidRPr="00FD3105">
        <w:rPr>
          <w:rFonts w:ascii="Palatino Linotype" w:eastAsia="Palatino Linotype" w:hAnsi="Palatino Linotype" w:cs="Palatino Linotype"/>
        </w:rPr>
        <w:t xml:space="preserve"> en el Recurso de Revisión </w:t>
      </w:r>
      <w:r w:rsidRPr="00FD3105">
        <w:rPr>
          <w:rFonts w:ascii="Palatino Linotype" w:eastAsia="Palatino Linotype" w:hAnsi="Palatino Linotype" w:cs="Palatino Linotype"/>
          <w:b/>
        </w:rPr>
        <w:t xml:space="preserve">14099/INFOEM/IP/RR/2022, </w:t>
      </w:r>
      <w:r w:rsidRPr="00FD3105">
        <w:rPr>
          <w:rFonts w:ascii="Palatino Linotype" w:eastAsia="Palatino Linotype" w:hAnsi="Palatino Linotype" w:cs="Palatino Linotype"/>
        </w:rPr>
        <w:t xml:space="preserve">por lo que, en términos del considerando </w:t>
      </w:r>
      <w:r w:rsidRPr="00FD3105">
        <w:rPr>
          <w:rFonts w:ascii="Palatino Linotype" w:eastAsia="Palatino Linotype" w:hAnsi="Palatino Linotype" w:cs="Palatino Linotype"/>
          <w:b/>
        </w:rPr>
        <w:t xml:space="preserve">Cuarto </w:t>
      </w:r>
      <w:r w:rsidRPr="00FD3105">
        <w:rPr>
          <w:rFonts w:ascii="Palatino Linotype" w:eastAsia="Palatino Linotype" w:hAnsi="Palatino Linotype" w:cs="Palatino Linotype"/>
        </w:rPr>
        <w:t xml:space="preserve">de esta resolución, se </w:t>
      </w:r>
      <w:r w:rsidRPr="00FD3105">
        <w:rPr>
          <w:rFonts w:ascii="Palatino Linotype" w:eastAsia="Palatino Linotype" w:hAnsi="Palatino Linotype" w:cs="Palatino Linotype"/>
          <w:b/>
        </w:rPr>
        <w:t xml:space="preserve">MODIFICA </w:t>
      </w:r>
      <w:r w:rsidRPr="00FD3105">
        <w:rPr>
          <w:rFonts w:ascii="Palatino Linotype" w:eastAsia="Palatino Linotype" w:hAnsi="Palatino Linotype" w:cs="Palatino Linotype"/>
        </w:rPr>
        <w:t xml:space="preserve">la respuesta emitida por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w:t>
      </w:r>
    </w:p>
    <w:p w:rsidR="00264E47" w:rsidRPr="00FD3105" w:rsidRDefault="00264E47">
      <w:pPr>
        <w:spacing w:line="360" w:lineRule="auto"/>
        <w:ind w:right="49"/>
        <w:jc w:val="both"/>
        <w:rPr>
          <w:rFonts w:ascii="Palatino Linotype" w:eastAsia="Palatino Linotype" w:hAnsi="Palatino Linotype" w:cs="Palatino Linotype"/>
          <w:b/>
        </w:rPr>
      </w:pPr>
    </w:p>
    <w:p w:rsidR="00264E47" w:rsidRPr="00FD3105" w:rsidRDefault="003233E0">
      <w:pPr>
        <w:spacing w:line="360" w:lineRule="auto"/>
        <w:ind w:right="49"/>
        <w:jc w:val="both"/>
        <w:rPr>
          <w:rFonts w:ascii="Palatino Linotype" w:eastAsia="Palatino Linotype" w:hAnsi="Palatino Linotype" w:cs="Palatino Linotype"/>
        </w:rPr>
      </w:pPr>
      <w:r w:rsidRPr="00FD3105">
        <w:rPr>
          <w:rFonts w:ascii="Palatino Linotype" w:eastAsia="Palatino Linotype" w:hAnsi="Palatino Linotype" w:cs="Palatino Linotype"/>
          <w:b/>
        </w:rPr>
        <w:lastRenderedPageBreak/>
        <w:t xml:space="preserve">Segundo. </w:t>
      </w:r>
      <w:r w:rsidRPr="00FD3105">
        <w:rPr>
          <w:rFonts w:ascii="Palatino Linotype" w:eastAsia="Palatino Linotype" w:hAnsi="Palatino Linotype" w:cs="Palatino Linotype"/>
        </w:rPr>
        <w:t>Se</w:t>
      </w:r>
      <w:r w:rsidRPr="00FD3105">
        <w:rPr>
          <w:rFonts w:ascii="Palatino Linotype" w:eastAsia="Palatino Linotype" w:hAnsi="Palatino Linotype" w:cs="Palatino Linotype"/>
          <w:b/>
        </w:rPr>
        <w:t xml:space="preserve"> ORDENA </w:t>
      </w:r>
      <w:r w:rsidRPr="00FD3105">
        <w:rPr>
          <w:rFonts w:ascii="Palatino Linotype" w:eastAsia="Palatino Linotype" w:hAnsi="Palatino Linotype" w:cs="Palatino Linotype"/>
        </w:rPr>
        <w:t xml:space="preserve">al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a que,</w:t>
      </w:r>
      <w:r w:rsidRPr="00FD3105">
        <w:rPr>
          <w:rFonts w:ascii="Palatino Linotype" w:eastAsia="Palatino Linotype" w:hAnsi="Palatino Linotype" w:cs="Palatino Linotype"/>
          <w:b/>
        </w:rPr>
        <w:t xml:space="preserve"> </w:t>
      </w:r>
      <w:r w:rsidRPr="00FD3105">
        <w:rPr>
          <w:rFonts w:ascii="Palatino Linotype" w:eastAsia="Palatino Linotype" w:hAnsi="Palatino Linotype" w:cs="Palatino Linotype"/>
        </w:rPr>
        <w:t>en términos del Considerando Cuarto, haga entrega vía Sistema de Acceso a la Información Mexiquense (SAIMEX), del documento en donde conste lo siguiente:</w:t>
      </w:r>
    </w:p>
    <w:p w:rsidR="00264E47" w:rsidRPr="00FD3105" w:rsidRDefault="003233E0">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rPr>
        <w:t xml:space="preserve">Las unidades administrativas que se despliegan de la Tesorería Municipal de manera completa y vigente al cinco de agosto del año dos mil veintidós. </w:t>
      </w: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Tercero. Notifíquese vía SAIMEX,</w:t>
      </w:r>
      <w:r w:rsidRPr="00FD3105">
        <w:rPr>
          <w:rFonts w:ascii="Palatino Linotype" w:eastAsia="Palatino Linotype" w:hAnsi="Palatino Linotype" w:cs="Palatino Linotype"/>
          <w:b/>
          <w:i/>
        </w:rPr>
        <w:t xml:space="preserve"> </w:t>
      </w:r>
      <w:r w:rsidRPr="00FD3105">
        <w:rPr>
          <w:rFonts w:ascii="Palatino Linotype" w:eastAsia="Palatino Linotype" w:hAnsi="Palatino Linotype" w:cs="Palatino Linotype"/>
        </w:rPr>
        <w:t>al Responsable de la Unidad de Transparencia del Sujeto Obligado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264E47" w:rsidRPr="00FD3105" w:rsidRDefault="00264E47">
      <w:pPr>
        <w:spacing w:line="360" w:lineRule="auto"/>
        <w:jc w:val="both"/>
        <w:rPr>
          <w:rFonts w:ascii="Palatino Linotype" w:eastAsia="Palatino Linotype" w:hAnsi="Palatino Linotype" w:cs="Palatino Linotype"/>
          <w:b/>
        </w:rPr>
      </w:pPr>
    </w:p>
    <w:p w:rsidR="00264E47" w:rsidRPr="00FD3105" w:rsidRDefault="003233E0">
      <w:pPr>
        <w:spacing w:line="360" w:lineRule="auto"/>
        <w:ind w:right="49"/>
        <w:jc w:val="both"/>
        <w:rPr>
          <w:rFonts w:ascii="Palatino Linotype" w:eastAsia="Palatino Linotype" w:hAnsi="Palatino Linotype" w:cs="Palatino Linotype"/>
        </w:rPr>
      </w:pPr>
      <w:r w:rsidRPr="00FD3105">
        <w:rPr>
          <w:rFonts w:ascii="Palatino Linotype" w:eastAsia="Palatino Linotype" w:hAnsi="Palatino Linotype" w:cs="Palatino Linotype"/>
          <w:b/>
        </w:rPr>
        <w:t>Cuarto. Notifíquese vía SAIMEX</w:t>
      </w:r>
      <w:r w:rsidRPr="00FD3105">
        <w:rPr>
          <w:rFonts w:ascii="Palatino Linotype" w:eastAsia="Palatino Linotype" w:hAnsi="Palatino Linotype" w:cs="Palatino Linotype"/>
        </w:rPr>
        <w:t xml:space="preserve">, a la parte </w:t>
      </w:r>
      <w:r w:rsidRPr="00FD3105">
        <w:rPr>
          <w:rFonts w:ascii="Palatino Linotype" w:eastAsia="Palatino Linotype" w:hAnsi="Palatino Linotype" w:cs="Palatino Linotype"/>
          <w:b/>
        </w:rPr>
        <w:t>RECURRENTE</w:t>
      </w:r>
      <w:r w:rsidRPr="00FD310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264E47" w:rsidRPr="00FD3105" w:rsidRDefault="00264E47">
      <w:pPr>
        <w:spacing w:line="360" w:lineRule="auto"/>
        <w:ind w:right="49"/>
        <w:jc w:val="both"/>
        <w:rPr>
          <w:rFonts w:ascii="Palatino Linotype" w:eastAsia="Palatino Linotype" w:hAnsi="Palatino Linotype" w:cs="Palatino Linotype"/>
        </w:rPr>
      </w:pPr>
    </w:p>
    <w:p w:rsidR="00264E47" w:rsidRPr="00FD3105" w:rsidRDefault="003233E0">
      <w:pPr>
        <w:spacing w:line="360" w:lineRule="auto"/>
        <w:jc w:val="both"/>
        <w:rPr>
          <w:rFonts w:ascii="Palatino Linotype" w:eastAsia="Palatino Linotype" w:hAnsi="Palatino Linotype" w:cs="Palatino Linotype"/>
        </w:rPr>
      </w:pPr>
      <w:r w:rsidRPr="00FD3105">
        <w:rPr>
          <w:rFonts w:ascii="Palatino Linotype" w:eastAsia="Palatino Linotype" w:hAnsi="Palatino Linotype" w:cs="Palatino Linotype"/>
          <w:b/>
        </w:rPr>
        <w:t>Quinto.</w:t>
      </w:r>
      <w:r w:rsidRPr="00FD3105">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FD3105">
        <w:rPr>
          <w:rFonts w:ascii="Palatino Linotype" w:eastAsia="Palatino Linotype" w:hAnsi="Palatino Linotype" w:cs="Palatino Linotype"/>
          <w:b/>
        </w:rPr>
        <w:t>SUJETO OBLIGADO</w:t>
      </w:r>
      <w:r w:rsidRPr="00FD3105">
        <w:rPr>
          <w:rFonts w:ascii="Palatino Linotype" w:eastAsia="Palatino Linotype" w:hAnsi="Palatino Linotype" w:cs="Palatino Linotype"/>
        </w:rPr>
        <w:t xml:space="preserve"> de manera fundada y motivada, podrá solicitar una ampliación de plazo para el cumplimiento de la presente resolución.</w:t>
      </w:r>
    </w:p>
    <w:p w:rsidR="00264E47" w:rsidRPr="00FD3105" w:rsidRDefault="003233E0">
      <w:pPr>
        <w:spacing w:before="240" w:after="240" w:line="360" w:lineRule="auto"/>
        <w:jc w:val="both"/>
        <w:rPr>
          <w:rFonts w:ascii="Palatino Linotype" w:eastAsia="Palatino Linotype" w:hAnsi="Palatino Linotype" w:cs="Palatino Linotype"/>
        </w:rPr>
        <w:sectPr w:rsidR="00264E47" w:rsidRPr="00FD3105">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FD3105">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DEL DOS MIL VEINTITRÉS, ANTE EL SECRETARIO TÉCNICO DEL PLENO ALEXIS TAPIA RAMÍREZ.                             </w:t>
      </w:r>
    </w:p>
    <w:p w:rsidR="00264E47" w:rsidRPr="00FD3105" w:rsidRDefault="00264E47">
      <w:pPr>
        <w:spacing w:before="240" w:after="240" w:line="360" w:lineRule="auto"/>
        <w:jc w:val="both"/>
        <w:rPr>
          <w:rFonts w:ascii="Palatino Linotype" w:eastAsia="Palatino Linotype" w:hAnsi="Palatino Linotype" w:cs="Palatino Linotype"/>
        </w:rPr>
      </w:pPr>
    </w:p>
    <w:sectPr w:rsidR="00264E47" w:rsidRPr="00FD3105">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317" w:rsidRDefault="00433317">
      <w:r>
        <w:separator/>
      </w:r>
    </w:p>
  </w:endnote>
  <w:endnote w:type="continuationSeparator" w:id="0">
    <w:p w:rsidR="00433317" w:rsidRDefault="0043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323F">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323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264E47" w:rsidRDefault="00264E47">
    <w:pPr>
      <w:pBdr>
        <w:top w:val="nil"/>
        <w:left w:val="nil"/>
        <w:bottom w:val="nil"/>
        <w:right w:val="nil"/>
        <w:between w:val="nil"/>
      </w:pBdr>
      <w:tabs>
        <w:tab w:val="center" w:pos="4252"/>
        <w:tab w:val="right" w:pos="8504"/>
      </w:tabs>
      <w:rPr>
        <w:color w:val="000000"/>
      </w:rPr>
    </w:pPr>
  </w:p>
  <w:p w:rsidR="00264E47" w:rsidRDefault="00264E47">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7" w:rsidRDefault="003233E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323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323F">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317" w:rsidRDefault="00433317">
      <w:r>
        <w:separator/>
      </w:r>
    </w:p>
  </w:footnote>
  <w:footnote w:type="continuationSeparator" w:id="0">
    <w:p w:rsidR="00433317" w:rsidRDefault="00433317">
      <w:r>
        <w:continuationSeparator/>
      </w:r>
    </w:p>
  </w:footnote>
  <w:footnote w:id="1">
    <w:p w:rsidR="00264E47" w:rsidRDefault="003233E0">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2">
    <w:p w:rsidR="00264E47" w:rsidRDefault="003233E0">
      <w:pP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7" w:rsidRDefault="00264E47">
    <w:pPr>
      <w:widowControl w:val="0"/>
      <w:pBdr>
        <w:top w:val="nil"/>
        <w:left w:val="nil"/>
        <w:bottom w:val="nil"/>
        <w:right w:val="nil"/>
        <w:between w:val="nil"/>
      </w:pBdr>
      <w:spacing w:line="276" w:lineRule="auto"/>
      <w:rPr>
        <w:rFonts w:ascii="Calibri" w:eastAsia="Calibri" w:hAnsi="Calibri" w:cs="Calibri"/>
        <w:color w:val="000000"/>
      </w:rPr>
    </w:pPr>
  </w:p>
  <w:tbl>
    <w:tblPr>
      <w:tblStyle w:val="af0"/>
      <w:tblW w:w="5528" w:type="dxa"/>
      <w:tblInd w:w="3261" w:type="dxa"/>
      <w:tblLayout w:type="fixed"/>
      <w:tblLook w:val="0400" w:firstRow="0" w:lastRow="0" w:firstColumn="0" w:lastColumn="0" w:noHBand="0" w:noVBand="1"/>
    </w:tblPr>
    <w:tblGrid>
      <w:gridCol w:w="2551"/>
      <w:gridCol w:w="2977"/>
    </w:tblGrid>
    <w:tr w:rsidR="00264E47">
      <w:tc>
        <w:tcPr>
          <w:tcW w:w="2551" w:type="dxa"/>
          <w:vAlign w:val="center"/>
        </w:tcPr>
        <w:p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264E47" w:rsidRDefault="003233E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14099/INFOEM/IP/RR/2022</w:t>
          </w:r>
        </w:p>
      </w:tc>
    </w:tr>
    <w:tr w:rsidR="00264E47">
      <w:trPr>
        <w:trHeight w:val="228"/>
      </w:trPr>
      <w:tc>
        <w:tcPr>
          <w:tcW w:w="2551" w:type="dxa"/>
          <w:vAlign w:val="center"/>
        </w:tcPr>
        <w:p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264E47" w:rsidRDefault="003233E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264E47">
      <w:tc>
        <w:tcPr>
          <w:tcW w:w="2551" w:type="dxa"/>
          <w:vAlign w:val="center"/>
        </w:tcPr>
        <w:p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64E47" w:rsidRDefault="003233E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-695767</wp:posOffset>
          </wp:positionH>
          <wp:positionV relativeFrom="paragraph">
            <wp:posOffset>-1200942</wp:posOffset>
          </wp:positionV>
          <wp:extent cx="7809876" cy="10165823"/>
          <wp:effectExtent l="0" t="0" r="0" b="0"/>
          <wp:wrapNone/>
          <wp:docPr id="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7" w:rsidRDefault="003233E0">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-846157</wp:posOffset>
          </wp:positionH>
          <wp:positionV relativeFrom="paragraph">
            <wp:posOffset>-171228</wp:posOffset>
          </wp:positionV>
          <wp:extent cx="7809876" cy="10165823"/>
          <wp:effectExtent l="0" t="0" r="0" b="0"/>
          <wp:wrapNone/>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
      <w:tblW w:w="5670" w:type="dxa"/>
      <w:tblInd w:w="3119" w:type="dxa"/>
      <w:tblLayout w:type="fixed"/>
      <w:tblLook w:val="0400" w:firstRow="0" w:lastRow="0" w:firstColumn="0" w:lastColumn="0" w:noHBand="0" w:noVBand="1"/>
    </w:tblPr>
    <w:tblGrid>
      <w:gridCol w:w="2551"/>
      <w:gridCol w:w="3119"/>
    </w:tblGrid>
    <w:tr w:rsidR="00264E47">
      <w:tc>
        <w:tcPr>
          <w:tcW w:w="2551" w:type="dxa"/>
          <w:vAlign w:val="center"/>
        </w:tcPr>
        <w:p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264E47" w:rsidRDefault="003233E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14099/INFOEM/IP/RR/2022. </w:t>
          </w:r>
        </w:p>
      </w:tc>
    </w:tr>
    <w:tr w:rsidR="00264E47">
      <w:tc>
        <w:tcPr>
          <w:tcW w:w="2551" w:type="dxa"/>
          <w:vAlign w:val="center"/>
        </w:tcPr>
        <w:p w:rsidR="00264E47" w:rsidRDefault="003233E0">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264E47" w:rsidRDefault="0068323F" w:rsidP="006832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XXXXXXX</w:t>
          </w:r>
        </w:p>
      </w:tc>
    </w:tr>
    <w:tr w:rsidR="00264E47">
      <w:trPr>
        <w:trHeight w:val="228"/>
      </w:trPr>
      <w:tc>
        <w:tcPr>
          <w:tcW w:w="2551" w:type="dxa"/>
          <w:vAlign w:val="center"/>
        </w:tcPr>
        <w:p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264E47" w:rsidRDefault="003233E0">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Valle de Chalco Solidaridad.</w:t>
          </w:r>
        </w:p>
      </w:tc>
    </w:tr>
    <w:tr w:rsidR="00264E47">
      <w:tc>
        <w:tcPr>
          <w:tcW w:w="2551" w:type="dxa"/>
          <w:vAlign w:val="center"/>
        </w:tcPr>
        <w:p w:rsidR="00264E47" w:rsidRDefault="003233E0">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264E47" w:rsidRDefault="003233E0">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4E47" w:rsidRDefault="00264E47">
    <w:pPr>
      <w:pBdr>
        <w:top w:val="nil"/>
        <w:left w:val="nil"/>
        <w:bottom w:val="nil"/>
        <w:right w:val="nil"/>
        <w:between w:val="nil"/>
      </w:pBdr>
      <w:tabs>
        <w:tab w:val="center" w:pos="4252"/>
        <w:tab w:val="right" w:pos="8504"/>
      </w:tabs>
      <w:jc w:val="both"/>
      <w:rPr>
        <w:rFonts w:ascii="Calibri" w:eastAsia="Calibri" w:hAnsi="Calibri" w:cs="Calibri"/>
        <w:color w:val="000000"/>
      </w:rPr>
    </w:pPr>
  </w:p>
  <w:p w:rsidR="00264E47" w:rsidRDefault="00264E47">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B23F5"/>
    <w:multiLevelType w:val="multilevel"/>
    <w:tmpl w:val="64047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B6728FA"/>
    <w:multiLevelType w:val="multilevel"/>
    <w:tmpl w:val="75C44BD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C232863"/>
    <w:multiLevelType w:val="multilevel"/>
    <w:tmpl w:val="0E5C58B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47"/>
    <w:rsid w:val="00234B9B"/>
    <w:rsid w:val="00264E47"/>
    <w:rsid w:val="003233E0"/>
    <w:rsid w:val="00334F3C"/>
    <w:rsid w:val="00433317"/>
    <w:rsid w:val="004F5862"/>
    <w:rsid w:val="00553EC2"/>
    <w:rsid w:val="0068323F"/>
    <w:rsid w:val="00751ED0"/>
    <w:rsid w:val="00E87BB1"/>
    <w:rsid w:val="00FD3105"/>
    <w:rsid w:val="00FD3F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E4FF5-9E4A-4428-BEB8-93219CB47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115" w:type="dxa"/>
        <w:bottom w:w="0" w:type="dxa"/>
        <w:right w:w="115" w:type="dxa"/>
      </w:tblCellMar>
    </w:tblPr>
  </w:style>
  <w:style w:type="table" w:customStyle="1" w:styleId="a1">
    <w:basedOn w:val="TableNormal2"/>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2"/>
    <w:tblPr>
      <w:tblStyleRowBandSize w:val="1"/>
      <w:tblStyleColBandSize w:val="1"/>
      <w:tblCellMar>
        <w:top w:w="0" w:type="dxa"/>
        <w:left w:w="108" w:type="dxa"/>
        <w:bottom w:w="0" w:type="dxa"/>
        <w:right w:w="108" w:type="dxa"/>
      </w:tblCellMar>
    </w:tblPr>
  </w:style>
  <w:style w:type="table" w:customStyle="1" w:styleId="a3">
    <w:basedOn w:val="TableNormal2"/>
    <w:tblPr>
      <w:tblStyleRowBandSize w:val="1"/>
      <w:tblStyleColBandSize w:val="1"/>
      <w:tblCellMar>
        <w:top w:w="0" w:type="dxa"/>
        <w:left w:w="108" w:type="dxa"/>
        <w:bottom w:w="0" w:type="dxa"/>
        <w:right w:w="108" w:type="dxa"/>
      </w:tblCellMar>
    </w:tblPr>
  </w:style>
  <w:style w:type="table" w:customStyle="1" w:styleId="a4">
    <w:basedOn w:val="TableNormal2"/>
    <w:tblPr>
      <w:tblStyleRowBandSize w:val="1"/>
      <w:tblStyleColBandSize w:val="1"/>
      <w:tblCellMar>
        <w:top w:w="0" w:type="dxa"/>
        <w:left w:w="108" w:type="dxa"/>
        <w:bottom w:w="0" w:type="dxa"/>
        <w:right w:w="108" w:type="dxa"/>
      </w:tblCellMar>
    </w:tblPr>
  </w:style>
  <w:style w:type="table" w:customStyle="1" w:styleId="a5">
    <w:basedOn w:val="TableNormal2"/>
    <w:tblPr>
      <w:tblStyleRowBandSize w:val="1"/>
      <w:tblStyleColBandSize w:val="1"/>
      <w:tblCellMar>
        <w:top w:w="0" w:type="dxa"/>
        <w:left w:w="108" w:type="dxa"/>
        <w:bottom w:w="0" w:type="dxa"/>
        <w:right w:w="108" w:type="dxa"/>
      </w:tblCellMar>
    </w:tblPr>
  </w:style>
  <w:style w:type="table" w:customStyle="1" w:styleId="a6">
    <w:basedOn w:val="TableNormal2"/>
    <w:tblPr>
      <w:tblStyleRowBandSize w:val="1"/>
      <w:tblStyleColBandSize w:val="1"/>
      <w:tblCellMar>
        <w:top w:w="0" w:type="dxa"/>
        <w:left w:w="108" w:type="dxa"/>
        <w:bottom w:w="0" w:type="dxa"/>
        <w:right w:w="108" w:type="dxa"/>
      </w:tblCellMar>
    </w:tblPr>
  </w:style>
  <w:style w:type="table" w:customStyle="1" w:styleId="a7">
    <w:basedOn w:val="TableNormal2"/>
    <w:tblPr>
      <w:tblStyleRowBandSize w:val="1"/>
      <w:tblStyleColBandSize w:val="1"/>
      <w:tblCellMar>
        <w:top w:w="0" w:type="dxa"/>
        <w:left w:w="108" w:type="dxa"/>
        <w:bottom w:w="0" w:type="dxa"/>
        <w:right w:w="108" w:type="dxa"/>
      </w:tblCellMar>
    </w:tblPr>
  </w:style>
  <w:style w:type="table" w:customStyle="1" w:styleId="a8">
    <w:basedOn w:val="TableNormal2"/>
    <w:tblPr>
      <w:tblStyleRowBandSize w:val="1"/>
      <w:tblStyleColBandSize w:val="1"/>
      <w:tblCellMar>
        <w:top w:w="0" w:type="dxa"/>
        <w:left w:w="108" w:type="dxa"/>
        <w:bottom w:w="0" w:type="dxa"/>
        <w:right w:w="108"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33198.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alledechalco.gob.mx/wp-content/uploads/2022/12/REGLAMENTO-ORGANICO-DE-LA-ADMINISTRACION-PUBLICA-MUNICIPAL.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R/S1FJ8niPO74+M19/9Lyj4Y8Q==">AMUW2mU3vHvTaLyWzv8TW6ClU2vQ0PkRFMXQKH+YOR9Tgh6lDyyx5OEGGQdH3tvnpFRtqDNHidB/ibmpEJLb68r6Dp3uXLbxYgi84Hc7Mtaf8tZ8NjqTKqM74FoT3GEzmGKd7cX6kqkoWxtWHq8Xj255s7mJxwjkgg==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6336</Words>
  <Characters>34853</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cp:lastPrinted>2023-01-27T17:03:00Z</cp:lastPrinted>
  <dcterms:created xsi:type="dcterms:W3CDTF">2023-02-01T18:49:00Z</dcterms:created>
  <dcterms:modified xsi:type="dcterms:W3CDTF">2023-02-01T18:49:00Z</dcterms:modified>
</cp:coreProperties>
</file>