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295686CB" w:rsidR="00B86D2D" w:rsidRPr="00F7226D"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F7226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F7226D">
        <w:rPr>
          <w:rFonts w:ascii="Palatino Linotype" w:eastAsiaTheme="minorEastAsia" w:hAnsi="Palatino Linotype" w:cstheme="minorBidi"/>
          <w:color w:val="000000" w:themeColor="text1"/>
          <w:lang w:val="es-ES_tradnl"/>
        </w:rPr>
        <w:t xml:space="preserve">n Metepec, Estado </w:t>
      </w:r>
      <w:r w:rsidR="00CD3039" w:rsidRPr="00F7226D">
        <w:rPr>
          <w:rFonts w:ascii="Palatino Linotype" w:eastAsiaTheme="minorEastAsia" w:hAnsi="Palatino Linotype" w:cstheme="minorBidi"/>
          <w:color w:val="000000" w:themeColor="text1"/>
          <w:lang w:val="es-ES_tradnl"/>
        </w:rPr>
        <w:t>de México; de siete</w:t>
      </w:r>
      <w:r w:rsidRPr="00F7226D">
        <w:rPr>
          <w:rFonts w:ascii="Palatino Linotype" w:eastAsiaTheme="minorEastAsia" w:hAnsi="Palatino Linotype" w:cstheme="minorBidi"/>
          <w:color w:val="000000" w:themeColor="text1"/>
          <w:lang w:val="es-MX"/>
        </w:rPr>
        <w:t xml:space="preserve"> (</w:t>
      </w:r>
      <w:r w:rsidR="00CD3039" w:rsidRPr="00F7226D">
        <w:rPr>
          <w:rFonts w:ascii="Palatino Linotype" w:eastAsiaTheme="minorEastAsia" w:hAnsi="Palatino Linotype" w:cstheme="minorBidi"/>
          <w:color w:val="000000" w:themeColor="text1"/>
          <w:lang w:val="es-MX"/>
        </w:rPr>
        <w:t>07</w:t>
      </w:r>
      <w:r w:rsidRPr="00F7226D">
        <w:rPr>
          <w:rFonts w:ascii="Palatino Linotype" w:eastAsiaTheme="minorEastAsia" w:hAnsi="Palatino Linotype" w:cstheme="minorBidi"/>
          <w:color w:val="000000" w:themeColor="text1"/>
          <w:lang w:val="es-MX"/>
        </w:rPr>
        <w:t>) de</w:t>
      </w:r>
      <w:r w:rsidR="00CD3039" w:rsidRPr="00F7226D">
        <w:rPr>
          <w:rFonts w:ascii="Palatino Linotype" w:eastAsiaTheme="minorEastAsia" w:hAnsi="Palatino Linotype" w:cstheme="minorBidi"/>
          <w:color w:val="000000" w:themeColor="text1"/>
          <w:lang w:val="es-MX"/>
        </w:rPr>
        <w:t xml:space="preserve"> junio</w:t>
      </w:r>
      <w:r w:rsidR="00861FD3" w:rsidRPr="00F7226D">
        <w:rPr>
          <w:rFonts w:ascii="Palatino Linotype" w:eastAsiaTheme="minorEastAsia" w:hAnsi="Palatino Linotype" w:cstheme="minorBidi"/>
          <w:color w:val="000000" w:themeColor="text1"/>
          <w:lang w:val="es-MX"/>
        </w:rPr>
        <w:t xml:space="preserve"> de dos mil veintitrés</w:t>
      </w:r>
      <w:r w:rsidRPr="00F7226D">
        <w:rPr>
          <w:rFonts w:ascii="Palatino Linotype" w:eastAsiaTheme="minorEastAsia" w:hAnsi="Palatino Linotype" w:cstheme="minorBidi"/>
          <w:color w:val="000000" w:themeColor="text1"/>
          <w:lang w:val="es-ES_tradnl"/>
        </w:rPr>
        <w:t xml:space="preserve">. </w:t>
      </w:r>
    </w:p>
    <w:p w14:paraId="56B1CCA3" w14:textId="7E4A43CE" w:rsidR="00D251BC" w:rsidRPr="00F7226D" w:rsidRDefault="001B067D" w:rsidP="00D251BC">
      <w:pPr>
        <w:tabs>
          <w:tab w:val="left" w:pos="3465"/>
        </w:tabs>
        <w:spacing w:before="240" w:after="360" w:line="360" w:lineRule="auto"/>
        <w:jc w:val="both"/>
        <w:rPr>
          <w:rFonts w:ascii="Palatino Linotype" w:hAnsi="Palatino Linotype"/>
        </w:rPr>
      </w:pPr>
      <w:r w:rsidRPr="00F7226D">
        <w:rPr>
          <w:rFonts w:ascii="Palatino Linotype" w:eastAsiaTheme="minorEastAsia" w:hAnsi="Palatino Linotype" w:cstheme="minorBidi"/>
          <w:b/>
          <w:color w:val="000000" w:themeColor="text1"/>
          <w:lang w:val="es-ES_tradnl"/>
        </w:rPr>
        <w:t>VISTO</w:t>
      </w:r>
      <w:r w:rsidRPr="00F7226D">
        <w:rPr>
          <w:rFonts w:ascii="Palatino Linotype" w:eastAsiaTheme="minorEastAsia" w:hAnsi="Palatino Linotype" w:cstheme="minorBidi"/>
          <w:color w:val="000000" w:themeColor="text1"/>
          <w:lang w:val="es-ES_tradnl"/>
        </w:rPr>
        <w:t xml:space="preserve"> el expediente electrónico formado con motivo del recurso de revisión</w:t>
      </w:r>
      <w:r w:rsidR="00BC242D" w:rsidRPr="00F7226D">
        <w:rPr>
          <w:rFonts w:ascii="Palatino Linotype" w:eastAsiaTheme="minorEastAsia" w:hAnsi="Palatino Linotype" w:cstheme="minorBidi"/>
          <w:color w:val="000000" w:themeColor="text1"/>
          <w:lang w:val="es-ES_tradnl"/>
        </w:rPr>
        <w:t xml:space="preserve"> </w:t>
      </w:r>
      <w:bookmarkStart w:id="0" w:name="_GoBack"/>
      <w:r w:rsidR="00861FD3" w:rsidRPr="00F7226D">
        <w:rPr>
          <w:rFonts w:ascii="Palatino Linotype" w:eastAsiaTheme="minorEastAsia" w:hAnsi="Palatino Linotype" w:cstheme="minorBidi"/>
          <w:b/>
          <w:bCs/>
          <w:color w:val="000000" w:themeColor="text1"/>
        </w:rPr>
        <w:t>01148</w:t>
      </w:r>
      <w:bookmarkEnd w:id="0"/>
      <w:r w:rsidR="00861FD3" w:rsidRPr="00F7226D">
        <w:rPr>
          <w:rFonts w:ascii="Palatino Linotype" w:eastAsiaTheme="minorEastAsia" w:hAnsi="Palatino Linotype" w:cstheme="minorBidi"/>
          <w:b/>
          <w:bCs/>
          <w:color w:val="000000" w:themeColor="text1"/>
        </w:rPr>
        <w:t>/INFOEM/IP/RR/2023</w:t>
      </w:r>
      <w:r w:rsidRPr="00F7226D">
        <w:rPr>
          <w:rFonts w:ascii="Palatino Linotype" w:eastAsiaTheme="minorEastAsia" w:hAnsi="Palatino Linotype" w:cstheme="minorBidi"/>
          <w:b/>
          <w:bCs/>
          <w:color w:val="000000" w:themeColor="text1"/>
          <w:lang w:val="es-ES_tradnl"/>
        </w:rPr>
        <w:t xml:space="preserve">, </w:t>
      </w:r>
      <w:r w:rsidRPr="00F7226D">
        <w:rPr>
          <w:rFonts w:ascii="Palatino Linotype" w:eastAsiaTheme="minorEastAsia" w:hAnsi="Palatino Linotype" w:cstheme="minorBidi"/>
          <w:color w:val="000000" w:themeColor="text1"/>
          <w:lang w:val="es-ES_tradnl"/>
        </w:rPr>
        <w:t xml:space="preserve">promovido por </w:t>
      </w:r>
      <w:r w:rsidR="00D251BC" w:rsidRPr="00F7226D">
        <w:rPr>
          <w:rFonts w:ascii="Palatino Linotype" w:eastAsiaTheme="minorEastAsia" w:hAnsi="Palatino Linotype" w:cstheme="minorBidi"/>
          <w:color w:val="000000" w:themeColor="text1"/>
          <w:lang w:val="es-ES_tradnl"/>
        </w:rPr>
        <w:t xml:space="preserve">un </w:t>
      </w:r>
      <w:r w:rsidR="00D251BC" w:rsidRPr="00CB7C0F">
        <w:rPr>
          <w:rFonts w:ascii="Palatino Linotype" w:eastAsiaTheme="minorEastAsia" w:hAnsi="Palatino Linotype" w:cstheme="minorBidi"/>
          <w:b/>
          <w:color w:val="000000" w:themeColor="text1"/>
          <w:lang w:val="es-ES_tradnl"/>
        </w:rPr>
        <w:t>usuario del Sistema de Acceso a la Información Mexiquense</w:t>
      </w:r>
      <w:r w:rsidR="00D251BC" w:rsidRPr="00F7226D">
        <w:rPr>
          <w:rFonts w:ascii="Palatino Linotype" w:eastAsiaTheme="minorEastAsia" w:hAnsi="Palatino Linotype" w:cstheme="minorBidi"/>
          <w:color w:val="000000" w:themeColor="text1"/>
          <w:lang w:val="es-ES_tradnl"/>
        </w:rPr>
        <w:t xml:space="preserve"> </w:t>
      </w:r>
      <w:r w:rsidR="00D251BC" w:rsidRPr="00F7226D">
        <w:rPr>
          <w:rFonts w:ascii="Palatino Linotype" w:eastAsiaTheme="minorEastAsia" w:hAnsi="Palatino Linotype" w:cstheme="minorBidi"/>
          <w:b/>
          <w:color w:val="000000" w:themeColor="text1"/>
          <w:lang w:val="es-ES_tradnl"/>
        </w:rPr>
        <w:t xml:space="preserve">(SAIMEX), </w:t>
      </w:r>
      <w:r w:rsidR="00D251BC" w:rsidRPr="00F7226D">
        <w:rPr>
          <w:rFonts w:ascii="Palatino Linotype" w:eastAsiaTheme="minorEastAsia" w:hAnsi="Palatino Linotype" w:cstheme="minorBidi"/>
          <w:color w:val="000000" w:themeColor="text1"/>
          <w:lang w:val="es-ES_tradnl"/>
        </w:rPr>
        <w:t>quien no proporcionó nombre</w:t>
      </w:r>
      <w:r w:rsidR="00CB7C0F">
        <w:rPr>
          <w:rFonts w:ascii="Palatino Linotype" w:eastAsiaTheme="minorEastAsia" w:hAnsi="Palatino Linotype" w:cstheme="minorBidi"/>
          <w:color w:val="000000" w:themeColor="text1"/>
          <w:lang w:val="es-ES_tradnl"/>
        </w:rPr>
        <w:t xml:space="preserve"> alguno</w:t>
      </w:r>
      <w:r w:rsidR="00D251BC" w:rsidRPr="00F7226D">
        <w:rPr>
          <w:rFonts w:ascii="Palatino Linotype" w:eastAsiaTheme="minorEastAsia" w:hAnsi="Palatino Linotype" w:cstheme="minorBidi"/>
          <w:color w:val="000000" w:themeColor="text1"/>
          <w:lang w:val="es-ES_tradnl"/>
        </w:rPr>
        <w:t xml:space="preserve"> o seudónimo para poder ser identificado, por lo que en lo sucesivo será identificado </w:t>
      </w:r>
      <w:r w:rsidR="00CB7C0F">
        <w:rPr>
          <w:rFonts w:ascii="Palatino Linotype" w:eastAsiaTheme="minorEastAsia" w:hAnsi="Palatino Linotype" w:cstheme="minorBidi"/>
          <w:color w:val="000000" w:themeColor="text1"/>
          <w:lang w:val="es-ES_tradnl"/>
        </w:rPr>
        <w:t>como el</w:t>
      </w:r>
      <w:r w:rsidR="00D251BC" w:rsidRPr="00F7226D">
        <w:rPr>
          <w:rFonts w:ascii="Palatino Linotype" w:eastAsiaTheme="minorEastAsia" w:hAnsi="Palatino Linotype" w:cstheme="minorBidi"/>
          <w:color w:val="000000" w:themeColor="text1"/>
          <w:lang w:val="es-ES_tradnl"/>
        </w:rPr>
        <w:t xml:space="preserve"> </w:t>
      </w:r>
      <w:r w:rsidR="00D251BC" w:rsidRPr="00F7226D">
        <w:rPr>
          <w:rFonts w:ascii="Palatino Linotype" w:eastAsiaTheme="minorEastAsia" w:hAnsi="Palatino Linotype" w:cstheme="minorBidi"/>
          <w:b/>
          <w:color w:val="000000" w:themeColor="text1"/>
          <w:lang w:val="es-ES_tradnl"/>
        </w:rPr>
        <w:t>RECURRENTE</w:t>
      </w:r>
      <w:r w:rsidR="00D251BC" w:rsidRPr="00F7226D">
        <w:rPr>
          <w:rFonts w:ascii="Palatino Linotype" w:eastAsiaTheme="minorEastAsia" w:hAnsi="Palatino Linotype" w:cstheme="minorBidi"/>
          <w:color w:val="000000" w:themeColor="text1"/>
          <w:lang w:val="es-ES_tradnl"/>
        </w:rPr>
        <w:t>, en contra de las respuestas del</w:t>
      </w:r>
      <w:r w:rsidR="005928B2" w:rsidRPr="00F7226D">
        <w:rPr>
          <w:rFonts w:ascii="Palatino Linotype" w:hAnsi="Palatino Linotype"/>
        </w:rPr>
        <w:t xml:space="preserve"> </w:t>
      </w:r>
      <w:r w:rsidR="00861FD3" w:rsidRPr="00F7226D">
        <w:rPr>
          <w:rFonts w:ascii="Palatino Linotype" w:hAnsi="Palatino Linotype"/>
          <w:b/>
        </w:rPr>
        <w:t>Ayuntamiento de Zinacantepec</w:t>
      </w:r>
      <w:r w:rsidR="00CB7C0F">
        <w:rPr>
          <w:rFonts w:ascii="Palatino Linotype" w:hAnsi="Palatino Linotype"/>
          <w:b/>
        </w:rPr>
        <w:t>,</w:t>
      </w:r>
      <w:r w:rsidR="00861FD3" w:rsidRPr="00F7226D">
        <w:rPr>
          <w:rFonts w:ascii="Palatino Linotype" w:hAnsi="Palatino Linotype"/>
        </w:rPr>
        <w:t xml:space="preserve"> </w:t>
      </w:r>
      <w:r w:rsidR="00D251BC" w:rsidRPr="00F7226D">
        <w:rPr>
          <w:rFonts w:ascii="Palatino Linotype" w:eastAsiaTheme="minorEastAsia" w:hAnsi="Palatino Linotype" w:cstheme="minorBidi"/>
          <w:color w:val="000000" w:themeColor="text1"/>
          <w:lang w:val="es-ES_tradnl"/>
        </w:rPr>
        <w:t xml:space="preserve">en </w:t>
      </w:r>
      <w:r w:rsidR="003505AB">
        <w:rPr>
          <w:rFonts w:ascii="Palatino Linotype" w:eastAsiaTheme="minorEastAsia" w:hAnsi="Palatino Linotype" w:cstheme="minorBidi"/>
          <w:color w:val="000000" w:themeColor="text1"/>
          <w:lang w:val="es-ES_tradnl"/>
        </w:rPr>
        <w:t>adelante</w:t>
      </w:r>
      <w:r w:rsidR="00D251BC" w:rsidRPr="00F7226D">
        <w:rPr>
          <w:rFonts w:ascii="Palatino Linotype" w:eastAsiaTheme="minorEastAsia" w:hAnsi="Palatino Linotype" w:cstheme="minorBidi"/>
          <w:color w:val="000000" w:themeColor="text1"/>
          <w:lang w:val="es-ES_tradnl"/>
        </w:rPr>
        <w:t xml:space="preserve"> el</w:t>
      </w:r>
      <w:r w:rsidR="00D251BC" w:rsidRPr="00F7226D">
        <w:rPr>
          <w:rFonts w:ascii="Palatino Linotype" w:eastAsiaTheme="minorEastAsia" w:hAnsi="Palatino Linotype" w:cstheme="minorBidi"/>
          <w:b/>
          <w:color w:val="000000" w:themeColor="text1"/>
          <w:lang w:val="es-ES_tradnl"/>
        </w:rPr>
        <w:t xml:space="preserve"> SUJETO OBLIGADO, </w:t>
      </w:r>
      <w:r w:rsidR="00D251BC" w:rsidRPr="00F7226D">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F7226D"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110470202"/>
      <w:r w:rsidRPr="00F7226D">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383C00D6" w:rsidR="00132CE1" w:rsidRPr="00F7226D" w:rsidRDefault="00EA0165" w:rsidP="00861FD3">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F7226D">
        <w:rPr>
          <w:rFonts w:ascii="Palatino Linotype" w:eastAsia="Calibri" w:hAnsi="Palatino Linotype" w:cs="Arial"/>
          <w:color w:val="000000" w:themeColor="text1"/>
        </w:rPr>
        <w:t>El</w:t>
      </w:r>
      <w:r w:rsidR="00F216D7" w:rsidRPr="00F7226D">
        <w:rPr>
          <w:rFonts w:ascii="Palatino Linotype" w:eastAsia="Calibri" w:hAnsi="Palatino Linotype" w:cs="Arial"/>
          <w:color w:val="000000" w:themeColor="text1"/>
        </w:rPr>
        <w:t xml:space="preserve"> </w:t>
      </w:r>
      <w:r w:rsidR="00861FD3" w:rsidRPr="00F7226D">
        <w:rPr>
          <w:rFonts w:ascii="Palatino Linotype" w:eastAsia="Calibri" w:hAnsi="Palatino Linotype" w:cs="Arial"/>
          <w:color w:val="000000" w:themeColor="text1"/>
        </w:rPr>
        <w:t>veintisiete</w:t>
      </w:r>
      <w:r w:rsidR="00416E00" w:rsidRPr="00F7226D">
        <w:rPr>
          <w:rFonts w:ascii="Palatino Linotype" w:eastAsia="Calibri" w:hAnsi="Palatino Linotype" w:cs="Arial"/>
          <w:color w:val="000000" w:themeColor="text1"/>
        </w:rPr>
        <w:t xml:space="preserve"> </w:t>
      </w:r>
      <w:r w:rsidRPr="00F7226D">
        <w:rPr>
          <w:rFonts w:ascii="Palatino Linotype" w:eastAsia="Calibri" w:hAnsi="Palatino Linotype" w:cs="Arial"/>
          <w:color w:val="000000" w:themeColor="text1"/>
        </w:rPr>
        <w:t>(</w:t>
      </w:r>
      <w:r w:rsidR="00861FD3" w:rsidRPr="00F7226D">
        <w:rPr>
          <w:rFonts w:ascii="Palatino Linotype" w:eastAsia="Calibri" w:hAnsi="Palatino Linotype" w:cs="Arial"/>
          <w:color w:val="000000" w:themeColor="text1"/>
        </w:rPr>
        <w:t>27</w:t>
      </w:r>
      <w:r w:rsidRPr="00F7226D">
        <w:rPr>
          <w:rFonts w:ascii="Palatino Linotype" w:eastAsia="Calibri" w:hAnsi="Palatino Linotype" w:cs="Arial"/>
          <w:color w:val="000000" w:themeColor="text1"/>
        </w:rPr>
        <w:t>) de</w:t>
      </w:r>
      <w:r w:rsidR="00861FD3" w:rsidRPr="00F7226D">
        <w:rPr>
          <w:rFonts w:ascii="Palatino Linotype" w:eastAsia="Calibri" w:hAnsi="Palatino Linotype" w:cs="Arial"/>
          <w:color w:val="000000" w:themeColor="text1"/>
        </w:rPr>
        <w:t xml:space="preserve"> enero</w:t>
      </w:r>
      <w:r w:rsidR="00197171" w:rsidRPr="00F7226D">
        <w:rPr>
          <w:rFonts w:ascii="Palatino Linotype" w:eastAsia="Calibri" w:hAnsi="Palatino Linotype" w:cs="Arial"/>
          <w:color w:val="000000" w:themeColor="text1"/>
        </w:rPr>
        <w:t xml:space="preserve"> </w:t>
      </w:r>
      <w:r w:rsidRPr="00F7226D">
        <w:rPr>
          <w:rFonts w:ascii="Palatino Linotype" w:eastAsia="Calibri" w:hAnsi="Palatino Linotype" w:cs="Arial"/>
          <w:color w:val="000000" w:themeColor="text1"/>
        </w:rPr>
        <w:t xml:space="preserve">de dos mil </w:t>
      </w:r>
      <w:r w:rsidR="00861FD3" w:rsidRPr="00F7226D">
        <w:rPr>
          <w:rFonts w:ascii="Palatino Linotype" w:eastAsia="Calibri" w:hAnsi="Palatino Linotype" w:cs="Arial"/>
          <w:color w:val="000000" w:themeColor="text1"/>
        </w:rPr>
        <w:t>veintitrés</w:t>
      </w:r>
      <w:r w:rsidRPr="00F7226D">
        <w:rPr>
          <w:rFonts w:ascii="Palatino Linotype" w:eastAsia="Calibri" w:hAnsi="Palatino Linotype" w:cs="Arial"/>
          <w:color w:val="000000" w:themeColor="text1"/>
        </w:rPr>
        <w:t xml:space="preserve">, </w:t>
      </w:r>
      <w:r w:rsidRPr="00F7226D">
        <w:rPr>
          <w:rFonts w:ascii="Palatino Linotype" w:eastAsiaTheme="minorEastAsia" w:hAnsi="Palatino Linotype" w:cstheme="minorBidi"/>
          <w:color w:val="000000" w:themeColor="text1"/>
          <w:lang w:val="es-ES_tradnl"/>
        </w:rPr>
        <w:t>el particular presentó</w:t>
      </w:r>
      <w:r w:rsidR="004E2BC2" w:rsidRPr="00F7226D">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F7226D">
        <w:rPr>
          <w:rFonts w:ascii="Palatino Linotype" w:eastAsiaTheme="minorEastAsia" w:hAnsi="Palatino Linotype" w:cstheme="minorBidi"/>
          <w:b/>
          <w:bCs/>
          <w:color w:val="000000" w:themeColor="text1"/>
          <w:lang w:val="es-ES_tradnl"/>
        </w:rPr>
        <w:t>SAIMEX</w:t>
      </w:r>
      <w:r w:rsidR="004E2BC2" w:rsidRPr="00F7226D">
        <w:rPr>
          <w:rFonts w:ascii="Palatino Linotype" w:eastAsiaTheme="minorEastAsia" w:hAnsi="Palatino Linotype" w:cstheme="minorBidi"/>
          <w:bCs/>
          <w:color w:val="000000" w:themeColor="text1"/>
          <w:lang w:val="es-ES_tradnl"/>
        </w:rPr>
        <w:t>)</w:t>
      </w:r>
      <w:r w:rsidRPr="00F7226D">
        <w:rPr>
          <w:rFonts w:ascii="Palatino Linotype" w:eastAsia="Calibri" w:hAnsi="Palatino Linotype" w:cs="Arial"/>
          <w:b/>
          <w:color w:val="000000" w:themeColor="text1"/>
        </w:rPr>
        <w:t xml:space="preserve">, </w:t>
      </w:r>
      <w:r w:rsidRPr="00F7226D">
        <w:rPr>
          <w:rFonts w:ascii="Palatino Linotype" w:eastAsia="Calibri" w:hAnsi="Palatino Linotype" w:cs="Arial"/>
          <w:color w:val="000000" w:themeColor="text1"/>
        </w:rPr>
        <w:t>la solicitud de información pública registrada con el número</w:t>
      </w:r>
      <w:r w:rsidR="00861FD3" w:rsidRPr="00F7226D">
        <w:rPr>
          <w:rFonts w:ascii="Palatino Linotype" w:eastAsia="Calibri" w:hAnsi="Palatino Linotype" w:cs="Arial"/>
          <w:b/>
          <w:bCs/>
          <w:color w:val="000000" w:themeColor="text1"/>
        </w:rPr>
        <w:t> 00135/ZINACANT/IP/2023</w:t>
      </w:r>
      <w:r w:rsidR="000965A1" w:rsidRPr="00F7226D">
        <w:rPr>
          <w:rFonts w:ascii="Palatino Linotype" w:eastAsia="Calibri" w:hAnsi="Palatino Linotype" w:cs="Arial"/>
          <w:b/>
          <w:bCs/>
          <w:color w:val="000000" w:themeColor="text1"/>
        </w:rPr>
        <w:t>,</w:t>
      </w:r>
      <w:r w:rsidRPr="00F7226D">
        <w:rPr>
          <w:rFonts w:ascii="Palatino Linotype" w:eastAsia="Calibri" w:hAnsi="Palatino Linotype" w:cs="Arial"/>
          <w:color w:val="000000" w:themeColor="text1"/>
        </w:rPr>
        <w:t xml:space="preserve"> mediante la cual requirió:</w:t>
      </w:r>
    </w:p>
    <w:p w14:paraId="05E88F19" w14:textId="6E996F69" w:rsidR="009E192F" w:rsidRPr="00F7226D"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F7226D">
        <w:rPr>
          <w:rFonts w:ascii="Palatino Linotype" w:eastAsiaTheme="minorEastAsia" w:hAnsi="Palatino Linotype" w:cstheme="minorBidi"/>
          <w:i/>
          <w:color w:val="000000" w:themeColor="text1"/>
          <w:lang w:val="es-ES_tradnl"/>
        </w:rPr>
        <w:t>“</w:t>
      </w:r>
      <w:r w:rsidR="00861FD3" w:rsidRPr="00F7226D">
        <w:rPr>
          <w:rFonts w:ascii="Palatino Linotype" w:eastAsiaTheme="minorEastAsia" w:hAnsi="Palatino Linotype" w:cstheme="minorBidi"/>
          <w:i/>
          <w:color w:val="000000" w:themeColor="text1"/>
          <w:lang w:val="es-ES_tradnl"/>
        </w:rPr>
        <w:t>SOLICITO TODAS LAS FACTURAS PAGADAS DE ENERO 2023</w:t>
      </w:r>
      <w:r w:rsidR="00CF2E99" w:rsidRPr="00F7226D">
        <w:rPr>
          <w:rFonts w:ascii="Palatino Linotype" w:eastAsiaTheme="minorEastAsia" w:hAnsi="Palatino Linotype" w:cstheme="minorBidi"/>
          <w:i/>
          <w:color w:val="000000" w:themeColor="text1"/>
          <w:lang w:val="es-ES_tradnl"/>
        </w:rPr>
        <w:t>.</w:t>
      </w:r>
      <w:r w:rsidRPr="00F7226D">
        <w:rPr>
          <w:rFonts w:ascii="Palatino Linotype" w:eastAsiaTheme="minorEastAsia" w:hAnsi="Palatino Linotype" w:cstheme="minorBidi"/>
          <w:i/>
          <w:color w:val="000000" w:themeColor="text1"/>
          <w:lang w:val="es-ES_tradnl"/>
        </w:rPr>
        <w:t xml:space="preserve">” </w:t>
      </w:r>
      <w:r w:rsidRPr="00F7226D">
        <w:rPr>
          <w:rFonts w:ascii="Palatino Linotype" w:eastAsiaTheme="minorEastAsia" w:hAnsi="Palatino Linotype" w:cstheme="minorBidi"/>
          <w:color w:val="000000" w:themeColor="text1"/>
          <w:lang w:val="es-ES_tradnl"/>
        </w:rPr>
        <w:t>(Sic).</w:t>
      </w:r>
    </w:p>
    <w:p w14:paraId="53251F25" w14:textId="63773C89" w:rsidR="00C452E3" w:rsidRPr="00F7226D" w:rsidRDefault="00A91CCB" w:rsidP="00C452E3">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F7226D">
        <w:rPr>
          <w:rFonts w:ascii="Palatino Linotype" w:eastAsia="Calibri" w:hAnsi="Palatino Linotype" w:cs="Arial"/>
          <w:lang w:val="es-AR"/>
        </w:rPr>
        <w:t xml:space="preserve">De las constancias </w:t>
      </w:r>
      <w:r w:rsidRPr="00F7226D">
        <w:rPr>
          <w:rFonts w:ascii="Palatino Linotype" w:hAnsi="Palatino Linotype" w:cs="Arial"/>
        </w:rPr>
        <w:t xml:space="preserve">que obran en el expediente, se aprecia que el entonces </w:t>
      </w:r>
      <w:r w:rsidRPr="00F7226D">
        <w:rPr>
          <w:rFonts w:ascii="Palatino Linotype" w:hAnsi="Palatino Linotype" w:cs="Arial"/>
          <w:b/>
        </w:rPr>
        <w:t>SOLICITANTE</w:t>
      </w:r>
      <w:r w:rsidRPr="00F7226D">
        <w:rPr>
          <w:rFonts w:ascii="Palatino Linotype" w:hAnsi="Palatino Linotype" w:cs="Arial"/>
        </w:rPr>
        <w:t xml:space="preserve"> señaló como modalidad de entrega de la información:</w:t>
      </w:r>
      <w:r w:rsidRPr="00F7226D">
        <w:rPr>
          <w:rFonts w:ascii="Palatino Linotype" w:hAnsi="Palatino Linotype" w:cs="Arial"/>
          <w:b/>
        </w:rPr>
        <w:t xml:space="preserve"> </w:t>
      </w:r>
      <w:r w:rsidRPr="00F7226D">
        <w:rPr>
          <w:rFonts w:ascii="Palatino Linotype" w:eastAsiaTheme="minorEastAsia" w:hAnsi="Palatino Linotype" w:cstheme="minorBidi"/>
          <w:b/>
          <w:lang w:val="es-ES_tradnl"/>
        </w:rPr>
        <w:t>A través del SAIMEX.</w:t>
      </w:r>
    </w:p>
    <w:p w14:paraId="5840271F" w14:textId="77777777" w:rsidR="000C6C38" w:rsidRPr="00F7226D" w:rsidRDefault="000C6C38" w:rsidP="000C6C38">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30279069" w14:textId="687E228A" w:rsidR="001815A0" w:rsidRPr="00F7226D" w:rsidRDefault="00861FD3" w:rsidP="00B02425">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F7226D">
        <w:rPr>
          <w:rFonts w:ascii="Palatino Linotype" w:eastAsia="Calibri" w:hAnsi="Palatino Linotype" w:cs="Arial"/>
          <w:lang w:val="es-AR"/>
        </w:rPr>
        <w:lastRenderedPageBreak/>
        <w:t>En fecha tres</w:t>
      </w:r>
      <w:r w:rsidR="00F205F0" w:rsidRPr="00F7226D">
        <w:rPr>
          <w:rFonts w:ascii="Palatino Linotype" w:eastAsia="Calibri" w:hAnsi="Palatino Linotype" w:cs="Arial"/>
          <w:lang w:val="es-AR"/>
        </w:rPr>
        <w:t xml:space="preserve"> </w:t>
      </w:r>
      <w:r w:rsidR="00C452E3" w:rsidRPr="00F7226D">
        <w:rPr>
          <w:rFonts w:ascii="Palatino Linotype" w:eastAsia="Calibri" w:hAnsi="Palatino Linotype" w:cs="Arial"/>
          <w:lang w:val="es-AR"/>
        </w:rPr>
        <w:t>(</w:t>
      </w:r>
      <w:r w:rsidRPr="00F7226D">
        <w:rPr>
          <w:rFonts w:ascii="Palatino Linotype" w:eastAsia="Calibri" w:hAnsi="Palatino Linotype" w:cs="Arial"/>
          <w:lang w:val="es-AR"/>
        </w:rPr>
        <w:t>03</w:t>
      </w:r>
      <w:r w:rsidR="00F205F0" w:rsidRPr="00F7226D">
        <w:rPr>
          <w:rFonts w:ascii="Palatino Linotype" w:eastAsia="Calibri" w:hAnsi="Palatino Linotype" w:cs="Arial"/>
          <w:lang w:val="es-AR"/>
        </w:rPr>
        <w:t xml:space="preserve">) </w:t>
      </w:r>
      <w:r w:rsidRPr="00F7226D">
        <w:rPr>
          <w:rFonts w:ascii="Palatino Linotype" w:eastAsia="Calibri" w:hAnsi="Palatino Linotype" w:cs="Arial"/>
          <w:lang w:val="es-AR"/>
        </w:rPr>
        <w:t xml:space="preserve">de febrero de dos mil veintitrés el </w:t>
      </w:r>
      <w:r w:rsidRPr="00F7226D">
        <w:rPr>
          <w:rFonts w:ascii="Palatino Linotype" w:eastAsia="Calibri" w:hAnsi="Palatino Linotype" w:cs="Arial"/>
          <w:b/>
          <w:lang w:val="es-AR"/>
        </w:rPr>
        <w:t xml:space="preserve">SUJETO OBLGADO </w:t>
      </w:r>
      <w:r w:rsidRPr="00F7226D">
        <w:rPr>
          <w:rFonts w:ascii="Palatino Linotype" w:eastAsia="Calibri" w:hAnsi="Palatino Linotype" w:cs="Arial"/>
          <w:lang w:val="es-AR"/>
        </w:rPr>
        <w:t>realizó una solicitud de aclaración en los siguientes términos:</w:t>
      </w:r>
    </w:p>
    <w:p w14:paraId="59BBE078" w14:textId="77777777" w:rsidR="00861FD3" w:rsidRPr="00F7226D" w:rsidRDefault="00861FD3" w:rsidP="00861FD3">
      <w:pPr>
        <w:pStyle w:val="Prrafodelista"/>
        <w:rPr>
          <w:rFonts w:ascii="Palatino Linotype" w:eastAsia="MS Mincho" w:hAnsi="Palatino Linotype"/>
          <w:lang w:val="es-ES_tradnl"/>
        </w:rPr>
      </w:pPr>
    </w:p>
    <w:p w14:paraId="0C8140B7" w14:textId="77777777" w:rsidR="00861FD3" w:rsidRPr="00F7226D" w:rsidRDefault="00861FD3" w:rsidP="00861FD3">
      <w:pPr>
        <w:pStyle w:val="Prrafodelista"/>
        <w:tabs>
          <w:tab w:val="left" w:pos="284"/>
        </w:tabs>
        <w:spacing w:before="240" w:after="240" w:line="360" w:lineRule="auto"/>
        <w:contextualSpacing/>
        <w:jc w:val="right"/>
        <w:rPr>
          <w:rFonts w:ascii="Palatino Linotype" w:eastAsia="MS Mincho" w:hAnsi="Palatino Linotype"/>
          <w:i/>
          <w:lang w:val="es-ES_tradnl"/>
        </w:rPr>
      </w:pPr>
      <w:r w:rsidRPr="00F7226D">
        <w:rPr>
          <w:rFonts w:ascii="Palatino Linotype" w:eastAsia="MS Mincho" w:hAnsi="Palatino Linotype"/>
          <w:i/>
          <w:lang w:val="es-ES_tradnl"/>
        </w:rPr>
        <w:t>“Zinacantepec, México a 03 de Febrero de 2023</w:t>
      </w:r>
    </w:p>
    <w:p w14:paraId="559C6307" w14:textId="77777777" w:rsidR="00861FD3" w:rsidRPr="00F7226D" w:rsidRDefault="00861FD3" w:rsidP="00861FD3">
      <w:pPr>
        <w:pStyle w:val="Prrafodelista"/>
        <w:tabs>
          <w:tab w:val="left" w:pos="284"/>
        </w:tabs>
        <w:spacing w:before="240" w:after="240" w:line="360" w:lineRule="auto"/>
        <w:contextualSpacing/>
        <w:jc w:val="right"/>
        <w:rPr>
          <w:rFonts w:ascii="Palatino Linotype" w:eastAsia="MS Mincho" w:hAnsi="Palatino Linotype"/>
          <w:i/>
          <w:lang w:val="es-ES_tradnl"/>
        </w:rPr>
      </w:pPr>
      <w:r w:rsidRPr="00F7226D">
        <w:rPr>
          <w:rFonts w:ascii="Palatino Linotype" w:eastAsia="MS Mincho" w:hAnsi="Palatino Linotype"/>
          <w:i/>
          <w:lang w:val="es-ES_tradnl"/>
        </w:rPr>
        <w:t>Nombre del solicitante: C. Solicitante</w:t>
      </w:r>
    </w:p>
    <w:p w14:paraId="6B8FE65F" w14:textId="77777777" w:rsidR="00861FD3" w:rsidRPr="00F7226D" w:rsidRDefault="00861FD3" w:rsidP="00861FD3">
      <w:pPr>
        <w:pStyle w:val="Prrafodelista"/>
        <w:tabs>
          <w:tab w:val="left" w:pos="284"/>
        </w:tabs>
        <w:spacing w:before="240" w:after="240" w:line="360" w:lineRule="auto"/>
        <w:contextualSpacing/>
        <w:jc w:val="right"/>
        <w:rPr>
          <w:rFonts w:ascii="Palatino Linotype" w:eastAsia="MS Mincho" w:hAnsi="Palatino Linotype"/>
          <w:i/>
          <w:lang w:val="es-ES_tradnl"/>
        </w:rPr>
      </w:pPr>
      <w:r w:rsidRPr="00F7226D">
        <w:rPr>
          <w:rFonts w:ascii="Palatino Linotype" w:eastAsia="MS Mincho" w:hAnsi="Palatino Linotype"/>
          <w:i/>
          <w:lang w:val="es-ES_tradnl"/>
        </w:rPr>
        <w:t>Folio de la solicitud: 00135/ZINACANT/IP/2023</w:t>
      </w:r>
    </w:p>
    <w:p w14:paraId="6BA7E7F5" w14:textId="77777777" w:rsidR="00861FD3" w:rsidRPr="00F7226D" w:rsidRDefault="00861FD3" w:rsidP="00861FD3">
      <w:pPr>
        <w:pStyle w:val="Prrafodelista"/>
        <w:tabs>
          <w:tab w:val="left" w:pos="284"/>
        </w:tabs>
        <w:spacing w:before="240" w:after="240" w:line="360" w:lineRule="auto"/>
        <w:contextualSpacing/>
        <w:jc w:val="right"/>
        <w:rPr>
          <w:rFonts w:ascii="Palatino Linotype" w:eastAsia="MS Mincho" w:hAnsi="Palatino Linotype"/>
          <w:i/>
          <w:lang w:val="es-ES_tradnl"/>
        </w:rPr>
      </w:pPr>
    </w:p>
    <w:p w14:paraId="0A85BAC2" w14:textId="77777777" w:rsidR="00861FD3" w:rsidRPr="00F7226D" w:rsidRDefault="00861FD3" w:rsidP="00861FD3">
      <w:pPr>
        <w:pStyle w:val="Prrafodelista"/>
        <w:tabs>
          <w:tab w:val="left" w:pos="284"/>
        </w:tabs>
        <w:spacing w:before="240" w:after="240" w:line="360" w:lineRule="auto"/>
        <w:contextualSpacing/>
        <w:jc w:val="both"/>
        <w:rPr>
          <w:rFonts w:ascii="Palatino Linotype" w:eastAsia="MS Mincho" w:hAnsi="Palatino Linotype"/>
          <w:i/>
          <w:lang w:val="es-ES_tradnl"/>
        </w:rPr>
      </w:pPr>
      <w:r w:rsidRPr="00F7226D">
        <w:rPr>
          <w:rFonts w:ascii="Palatino Linotype" w:eastAsia="MS Mincho" w:hAnsi="Palatino Linotype"/>
          <w:i/>
          <w:lang w:val="es-ES_tradnl"/>
        </w:rPr>
        <w:t>Con fundamento en el articulo 159 de la Ley de Transparencia y Acceso a la Información Pública del Estado de México y Municipios, se le requiere para que dentro del plazo de diez días hábiles realice lo siguiente:</w:t>
      </w:r>
    </w:p>
    <w:p w14:paraId="475A5BD9" w14:textId="77777777" w:rsidR="00861FD3" w:rsidRPr="00F7226D" w:rsidRDefault="00861FD3" w:rsidP="00861FD3">
      <w:pPr>
        <w:pStyle w:val="Prrafodelista"/>
        <w:tabs>
          <w:tab w:val="left" w:pos="284"/>
        </w:tabs>
        <w:spacing w:before="240" w:after="240" w:line="360" w:lineRule="auto"/>
        <w:contextualSpacing/>
        <w:jc w:val="both"/>
        <w:rPr>
          <w:rFonts w:ascii="Palatino Linotype" w:eastAsia="MS Mincho" w:hAnsi="Palatino Linotype"/>
          <w:i/>
          <w:lang w:val="es-ES_tradnl"/>
        </w:rPr>
      </w:pPr>
      <w:r w:rsidRPr="00F7226D">
        <w:rPr>
          <w:rFonts w:ascii="Palatino Linotype" w:eastAsia="MS Mincho" w:hAnsi="Palatino Linotype"/>
          <w:i/>
          <w:lang w:val="es-ES_tradnl"/>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37A92EC" w14:textId="7BFE12D1" w:rsidR="00861FD3" w:rsidRPr="00F7226D" w:rsidRDefault="00861FD3" w:rsidP="00861FD3">
      <w:pPr>
        <w:pStyle w:val="Prrafodelista"/>
        <w:tabs>
          <w:tab w:val="left" w:pos="284"/>
        </w:tabs>
        <w:spacing w:before="240" w:after="240" w:line="360" w:lineRule="auto"/>
        <w:contextualSpacing/>
        <w:jc w:val="both"/>
        <w:rPr>
          <w:rFonts w:ascii="Palatino Linotype" w:eastAsia="MS Mincho" w:hAnsi="Palatino Linotype"/>
          <w:i/>
          <w:lang w:val="es-ES_tradnl"/>
        </w:rPr>
      </w:pPr>
      <w:r w:rsidRPr="00F7226D">
        <w:rPr>
          <w:rFonts w:ascii="Palatino Linotype" w:eastAsia="MS Mincho" w:hAnsi="Palatino Linotype"/>
          <w:i/>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FDA61C4" w14:textId="77777777" w:rsidR="00861FD3" w:rsidRPr="00F7226D" w:rsidRDefault="00861FD3" w:rsidP="00861FD3">
      <w:pPr>
        <w:pStyle w:val="Prrafodelista"/>
        <w:tabs>
          <w:tab w:val="left" w:pos="284"/>
        </w:tabs>
        <w:spacing w:before="240" w:after="240" w:line="360" w:lineRule="auto"/>
        <w:contextualSpacing/>
        <w:jc w:val="both"/>
        <w:rPr>
          <w:rFonts w:ascii="Palatino Linotype" w:eastAsia="MS Mincho" w:hAnsi="Palatino Linotype"/>
          <w:i/>
          <w:lang w:val="es-ES_tradnl"/>
        </w:rPr>
      </w:pPr>
      <w:r w:rsidRPr="00F7226D">
        <w:rPr>
          <w:rFonts w:ascii="Palatino Linotype" w:eastAsia="MS Mincho" w:hAnsi="Palatino Linotype"/>
          <w:i/>
          <w:lang w:val="es-ES_tradnl"/>
        </w:rPr>
        <w:t>ATENTAMENTE</w:t>
      </w:r>
    </w:p>
    <w:p w14:paraId="04C6CD3A" w14:textId="77E59416" w:rsidR="00861FD3" w:rsidRPr="00F7226D" w:rsidRDefault="00861FD3" w:rsidP="00861FD3">
      <w:pPr>
        <w:pStyle w:val="Prrafodelista"/>
        <w:tabs>
          <w:tab w:val="left" w:pos="284"/>
        </w:tabs>
        <w:spacing w:before="240" w:after="240" w:line="360" w:lineRule="auto"/>
        <w:contextualSpacing/>
        <w:jc w:val="both"/>
        <w:rPr>
          <w:rFonts w:ascii="Palatino Linotype" w:eastAsia="MS Mincho" w:hAnsi="Palatino Linotype"/>
          <w:i/>
          <w:lang w:val="es-ES_tradnl"/>
        </w:rPr>
      </w:pPr>
      <w:r w:rsidRPr="00F7226D">
        <w:rPr>
          <w:rFonts w:ascii="Palatino Linotype" w:eastAsia="MS Mincho" w:hAnsi="Palatino Linotype"/>
          <w:i/>
          <w:lang w:val="es-ES_tradnl"/>
        </w:rPr>
        <w:t>ING. JESUS EMMANUEL ENCASTIN RENDON” (Sic)</w:t>
      </w:r>
    </w:p>
    <w:p w14:paraId="56E077BB" w14:textId="26FA7782" w:rsidR="006E050D" w:rsidRPr="00F7226D"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D6F01CF" w14:textId="516F9FC2" w:rsidR="00861FD3" w:rsidRPr="00F7226D" w:rsidRDefault="00386987"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F7226D">
        <w:rPr>
          <w:rFonts w:ascii="Palatino Linotype" w:eastAsia="MS Mincho" w:hAnsi="Palatino Linotype"/>
          <w:color w:val="000000" w:themeColor="text1"/>
          <w:lang w:val="es-ES_tradnl"/>
        </w:rPr>
        <w:t xml:space="preserve">Posteriormente, en fecha tres (03) de febrero el </w:t>
      </w:r>
      <w:r w:rsidR="00861FD3" w:rsidRPr="00F7226D">
        <w:rPr>
          <w:rFonts w:ascii="Palatino Linotype" w:eastAsia="MS Mincho" w:hAnsi="Palatino Linotype"/>
          <w:color w:val="000000" w:themeColor="text1"/>
          <w:lang w:val="es-ES_tradnl"/>
        </w:rPr>
        <w:t xml:space="preserve"> </w:t>
      </w:r>
      <w:r w:rsidR="00861FD3" w:rsidRPr="00F7226D">
        <w:rPr>
          <w:rFonts w:ascii="Palatino Linotype" w:eastAsia="MS Mincho" w:hAnsi="Palatino Linotype"/>
          <w:b/>
          <w:color w:val="000000" w:themeColor="text1"/>
          <w:lang w:val="es-ES_tradnl"/>
        </w:rPr>
        <w:t xml:space="preserve">PARTICULAR </w:t>
      </w:r>
      <w:r w:rsidR="00861FD3" w:rsidRPr="00F7226D">
        <w:rPr>
          <w:rFonts w:ascii="Palatino Linotype" w:eastAsia="MS Mincho" w:hAnsi="Palatino Linotype"/>
          <w:color w:val="000000" w:themeColor="text1"/>
          <w:lang w:val="es-ES_tradnl"/>
        </w:rPr>
        <w:t xml:space="preserve">atendió la solicitud de aclaración de la siguiente forma: </w:t>
      </w:r>
    </w:p>
    <w:p w14:paraId="21C33460" w14:textId="2A541CAC" w:rsidR="00861FD3" w:rsidRPr="00F7226D" w:rsidRDefault="00861FD3" w:rsidP="00861FD3">
      <w:pPr>
        <w:tabs>
          <w:tab w:val="left" w:pos="426"/>
        </w:tabs>
        <w:spacing w:before="240" w:after="240" w:line="360" w:lineRule="auto"/>
        <w:ind w:left="567" w:right="607"/>
        <w:contextualSpacing/>
        <w:jc w:val="both"/>
        <w:rPr>
          <w:rFonts w:ascii="Palatino Linotype" w:eastAsia="MS Mincho" w:hAnsi="Palatino Linotype"/>
          <w:color w:val="000000" w:themeColor="text1"/>
          <w:lang w:val="es-ES_tradnl"/>
        </w:rPr>
      </w:pPr>
      <w:r w:rsidRPr="00F7226D">
        <w:rPr>
          <w:rFonts w:ascii="Palatino Linotype" w:eastAsia="MS Mincho" w:hAnsi="Palatino Linotype"/>
          <w:color w:val="000000" w:themeColor="text1"/>
          <w:lang w:val="es-ES_tradnl"/>
        </w:rPr>
        <w:t>“</w:t>
      </w:r>
      <w:r w:rsidRPr="00F7226D">
        <w:rPr>
          <w:rFonts w:ascii="Palatino Linotype" w:eastAsia="MS Mincho" w:hAnsi="Palatino Linotype"/>
          <w:i/>
          <w:color w:val="000000" w:themeColor="text1"/>
          <w:lang w:val="es-ES_tradnl"/>
        </w:rPr>
        <w:t>QUE HAY QUE ACLARAR? DEJA DE SER INCOMPETENTE Y RESPONDE LAS SOLICITUDES</w:t>
      </w:r>
      <w:r w:rsidRPr="00F7226D">
        <w:rPr>
          <w:rFonts w:ascii="Palatino Linotype" w:eastAsia="MS Mincho" w:hAnsi="Palatino Linotype"/>
          <w:color w:val="000000" w:themeColor="text1"/>
          <w:lang w:val="es-ES_tradnl"/>
        </w:rPr>
        <w:t>” (Sic)</w:t>
      </w:r>
    </w:p>
    <w:p w14:paraId="05409F2F" w14:textId="77777777" w:rsidR="00861FD3" w:rsidRPr="00F7226D" w:rsidRDefault="00861FD3" w:rsidP="00861FD3">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15DF08D" w14:textId="77777777" w:rsidR="00861FD3" w:rsidRPr="00F7226D" w:rsidRDefault="00EA0165" w:rsidP="004859D4">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F7226D">
        <w:rPr>
          <w:rFonts w:ascii="Palatino Linotype" w:hAnsi="Palatino Linotype" w:cs="Arial"/>
          <w:color w:val="000000" w:themeColor="text1"/>
        </w:rPr>
        <w:t xml:space="preserve">Derivado de la respuesta emitida por el </w:t>
      </w:r>
      <w:r w:rsidRPr="00F7226D">
        <w:rPr>
          <w:rFonts w:ascii="Palatino Linotype" w:hAnsi="Palatino Linotype" w:cs="Arial"/>
          <w:b/>
          <w:color w:val="000000" w:themeColor="text1"/>
        </w:rPr>
        <w:t>SUJETO OBLIGADO</w:t>
      </w:r>
      <w:r w:rsidRPr="00F7226D">
        <w:rPr>
          <w:rFonts w:ascii="Palatino Linotype" w:hAnsi="Palatino Linotype" w:cs="Arial"/>
          <w:color w:val="000000" w:themeColor="text1"/>
        </w:rPr>
        <w:t>, e</w:t>
      </w:r>
      <w:r w:rsidR="00394E20" w:rsidRPr="00F7226D">
        <w:rPr>
          <w:rFonts w:ascii="Palatino Linotype" w:hAnsi="Palatino Linotype" w:cs="Arial"/>
          <w:color w:val="000000" w:themeColor="text1"/>
        </w:rPr>
        <w:t>l</w:t>
      </w:r>
      <w:r w:rsidR="00861FD3" w:rsidRPr="00F7226D">
        <w:rPr>
          <w:rFonts w:ascii="Palatino Linotype" w:hAnsi="Palatino Linotype" w:cs="Arial"/>
          <w:color w:val="000000" w:themeColor="text1"/>
        </w:rPr>
        <w:t xml:space="preserve"> veintiocho (28</w:t>
      </w:r>
      <w:r w:rsidR="00C6721C" w:rsidRPr="00F7226D">
        <w:rPr>
          <w:rFonts w:ascii="Palatino Linotype" w:hAnsi="Palatino Linotype" w:cs="Arial"/>
          <w:color w:val="000000" w:themeColor="text1"/>
        </w:rPr>
        <w:t>)</w:t>
      </w:r>
      <w:r w:rsidR="00394E20" w:rsidRPr="00F7226D">
        <w:rPr>
          <w:rFonts w:ascii="Palatino Linotype" w:hAnsi="Palatino Linotype" w:cs="Arial"/>
          <w:color w:val="000000" w:themeColor="text1"/>
        </w:rPr>
        <w:t xml:space="preserve"> </w:t>
      </w:r>
      <w:r w:rsidR="00C6721C" w:rsidRPr="00F7226D">
        <w:rPr>
          <w:rFonts w:ascii="Palatino Linotype" w:hAnsi="Palatino Linotype" w:cs="Arial"/>
          <w:color w:val="000000" w:themeColor="text1"/>
        </w:rPr>
        <w:t>de</w:t>
      </w:r>
      <w:r w:rsidR="00861FD3" w:rsidRPr="00F7226D">
        <w:rPr>
          <w:rFonts w:ascii="Palatino Linotype" w:hAnsi="Palatino Linotype" w:cs="Arial"/>
          <w:color w:val="000000" w:themeColor="text1"/>
        </w:rPr>
        <w:t xml:space="preserve"> febrero </w:t>
      </w:r>
      <w:r w:rsidRPr="00F7226D">
        <w:rPr>
          <w:rFonts w:ascii="Palatino Linotype" w:hAnsi="Palatino Linotype" w:cs="Arial"/>
          <w:color w:val="000000" w:themeColor="text1"/>
        </w:rPr>
        <w:t xml:space="preserve">de dos mil </w:t>
      </w:r>
      <w:r w:rsidR="00861FD3" w:rsidRPr="00F7226D">
        <w:rPr>
          <w:rFonts w:ascii="Palatino Linotype" w:hAnsi="Palatino Linotype" w:cs="Arial"/>
          <w:color w:val="000000" w:themeColor="text1"/>
        </w:rPr>
        <w:t>veintitrés</w:t>
      </w:r>
      <w:r w:rsidR="00C6721C" w:rsidRPr="00F7226D">
        <w:rPr>
          <w:rFonts w:ascii="Palatino Linotype" w:hAnsi="Palatino Linotype" w:cs="Arial"/>
          <w:color w:val="000000" w:themeColor="text1"/>
        </w:rPr>
        <w:t>,</w:t>
      </w:r>
      <w:r w:rsidRPr="00F7226D">
        <w:rPr>
          <w:rFonts w:ascii="Palatino Linotype" w:hAnsi="Palatino Linotype" w:cs="Arial"/>
          <w:color w:val="000000" w:themeColor="text1"/>
        </w:rPr>
        <w:t xml:space="preserve"> el particular interpuso el recurso de revisión</w:t>
      </w:r>
    </w:p>
    <w:p w14:paraId="4BB5C5BA" w14:textId="6F3985F6" w:rsidR="00EA0165" w:rsidRPr="00F7226D" w:rsidRDefault="00861FD3" w:rsidP="00861FD3">
      <w:pPr>
        <w:pStyle w:val="Prrafodelista"/>
        <w:tabs>
          <w:tab w:val="left" w:pos="0"/>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r w:rsidRPr="00F7226D">
        <w:rPr>
          <w:rFonts w:ascii="Palatino Linotype" w:eastAsiaTheme="minorEastAsia" w:hAnsi="Palatino Linotype" w:cstheme="minorBidi"/>
          <w:b/>
          <w:color w:val="000000" w:themeColor="text1"/>
        </w:rPr>
        <w:t>01148/INFOEM/IP/RR/2023</w:t>
      </w:r>
      <w:r w:rsidR="00EA0165" w:rsidRPr="00F7226D">
        <w:rPr>
          <w:rFonts w:ascii="Palatino Linotype" w:eastAsia="Calibri" w:hAnsi="Palatino Linotype" w:cs="Arial"/>
          <w:b/>
          <w:color w:val="000000" w:themeColor="text1"/>
        </w:rPr>
        <w:t>;</w:t>
      </w:r>
      <w:r w:rsidR="00EA0165" w:rsidRPr="00F7226D">
        <w:rPr>
          <w:rFonts w:ascii="Palatino Linotype" w:hAnsi="Palatino Linotype" w:cs="Arial"/>
          <w:color w:val="000000" w:themeColor="text1"/>
        </w:rPr>
        <w:t xml:space="preserve"> impugnación en la que refirió lo siguiente:</w:t>
      </w:r>
    </w:p>
    <w:p w14:paraId="176F4252" w14:textId="77777777" w:rsidR="00EA0165" w:rsidRPr="00F7226D"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12A86599" w:rsidR="00EA0165" w:rsidRPr="00F7226D" w:rsidRDefault="00EA0165" w:rsidP="00861FD3">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F7226D">
        <w:rPr>
          <w:rFonts w:ascii="Palatino Linotype" w:hAnsi="Palatino Linotype" w:cs="Arial"/>
          <w:b/>
          <w:color w:val="000000" w:themeColor="text1"/>
        </w:rPr>
        <w:t>Acto impugnado:</w:t>
      </w:r>
      <w:r w:rsidRPr="00F7226D">
        <w:rPr>
          <w:rFonts w:ascii="Palatino Linotype" w:hAnsi="Palatino Linotype" w:cs="Arial"/>
          <w:color w:val="000000" w:themeColor="text1"/>
        </w:rPr>
        <w:t xml:space="preserve"> </w:t>
      </w:r>
      <w:r w:rsidRPr="00F7226D">
        <w:rPr>
          <w:rFonts w:ascii="Palatino Linotype" w:hAnsi="Palatino Linotype" w:cs="Arial"/>
          <w:i/>
          <w:color w:val="000000" w:themeColor="text1"/>
        </w:rPr>
        <w:t>“</w:t>
      </w:r>
      <w:r w:rsidR="00861FD3" w:rsidRPr="00F7226D">
        <w:rPr>
          <w:rFonts w:ascii="Palatino Linotype" w:hAnsi="Palatino Linotype" w:cs="Arial"/>
          <w:i/>
          <w:color w:val="000000" w:themeColor="text1"/>
        </w:rPr>
        <w:t>NO ENTREGA INFORMACIÓN</w:t>
      </w:r>
      <w:r w:rsidR="00205107" w:rsidRPr="00F7226D">
        <w:rPr>
          <w:rFonts w:ascii="Palatino Linotype" w:hAnsi="Palatino Linotype" w:cs="Arial"/>
          <w:i/>
          <w:color w:val="000000" w:themeColor="text1"/>
        </w:rPr>
        <w:t>.</w:t>
      </w:r>
      <w:r w:rsidRPr="00F7226D">
        <w:rPr>
          <w:rFonts w:ascii="Palatino Linotype" w:hAnsi="Palatino Linotype" w:cs="Arial"/>
          <w:i/>
          <w:color w:val="000000" w:themeColor="text1"/>
        </w:rPr>
        <w:t>”</w:t>
      </w:r>
      <w:r w:rsidRPr="00F7226D">
        <w:rPr>
          <w:rFonts w:ascii="Palatino Linotype" w:hAnsi="Palatino Linotype" w:cs="Arial"/>
          <w:color w:val="000000" w:themeColor="text1"/>
        </w:rPr>
        <w:t xml:space="preserve"> (Sic).</w:t>
      </w:r>
    </w:p>
    <w:p w14:paraId="71C7D21F" w14:textId="77777777" w:rsidR="00EA0165" w:rsidRPr="00F7226D" w:rsidRDefault="00EA0165" w:rsidP="004859D4">
      <w:pPr>
        <w:tabs>
          <w:tab w:val="left" w:pos="0"/>
        </w:tabs>
        <w:spacing w:line="360" w:lineRule="auto"/>
        <w:ind w:left="720" w:right="909"/>
        <w:contextualSpacing/>
        <w:jc w:val="both"/>
        <w:rPr>
          <w:rFonts w:ascii="Palatino Linotype" w:hAnsi="Palatino Linotype" w:cs="Arial"/>
          <w:color w:val="000000" w:themeColor="text1"/>
        </w:rPr>
      </w:pPr>
    </w:p>
    <w:p w14:paraId="16E57192" w14:textId="1DA4DF40" w:rsidR="00EA0165" w:rsidRPr="00F7226D" w:rsidRDefault="00EA0165" w:rsidP="00861FD3">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F7226D">
        <w:rPr>
          <w:rFonts w:ascii="Palatino Linotype" w:hAnsi="Palatino Linotype" w:cs="Arial"/>
          <w:b/>
          <w:color w:val="000000" w:themeColor="text1"/>
        </w:rPr>
        <w:t>Razones o motivos de inconformidad:</w:t>
      </w:r>
      <w:r w:rsidRPr="00F7226D">
        <w:rPr>
          <w:rFonts w:ascii="Palatino Linotype" w:hAnsi="Palatino Linotype" w:cs="Arial"/>
          <w:color w:val="000000" w:themeColor="text1"/>
        </w:rPr>
        <w:t xml:space="preserve"> </w:t>
      </w:r>
      <w:r w:rsidRPr="00F7226D">
        <w:rPr>
          <w:rFonts w:ascii="Palatino Linotype" w:hAnsi="Palatino Linotype" w:cs="Arial"/>
          <w:i/>
          <w:color w:val="000000" w:themeColor="text1"/>
        </w:rPr>
        <w:t>“</w:t>
      </w:r>
      <w:r w:rsidR="00861FD3" w:rsidRPr="00F7226D">
        <w:rPr>
          <w:rFonts w:ascii="Palatino Linotype" w:hAnsi="Palatino Linotype" w:cs="Arial"/>
          <w:i/>
          <w:color w:val="000000" w:themeColor="text1"/>
        </w:rPr>
        <w:t>NO ENTREGA INFORMACIÓN</w:t>
      </w:r>
      <w:r w:rsidR="00205107" w:rsidRPr="00F7226D">
        <w:rPr>
          <w:rFonts w:ascii="Palatino Linotype" w:hAnsi="Palatino Linotype" w:cs="Arial"/>
          <w:i/>
          <w:color w:val="000000" w:themeColor="text1"/>
        </w:rPr>
        <w:t>.</w:t>
      </w:r>
      <w:r w:rsidRPr="00F7226D">
        <w:rPr>
          <w:rFonts w:ascii="Palatino Linotype" w:hAnsi="Palatino Linotype" w:cs="Arial"/>
          <w:i/>
          <w:color w:val="000000" w:themeColor="text1"/>
        </w:rPr>
        <w:t xml:space="preserve">” </w:t>
      </w:r>
      <w:r w:rsidRPr="00F7226D">
        <w:rPr>
          <w:rFonts w:ascii="Palatino Linotype" w:hAnsi="Palatino Linotype" w:cs="Arial"/>
          <w:color w:val="000000" w:themeColor="text1"/>
        </w:rPr>
        <w:t>(Sic).</w:t>
      </w:r>
    </w:p>
    <w:p w14:paraId="552C6645" w14:textId="77777777" w:rsidR="001B234C" w:rsidRPr="00F7226D"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F7226D"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7226D">
        <w:rPr>
          <w:rFonts w:ascii="Palatino Linotype" w:hAnsi="Palatino Linotype" w:cs="Arial"/>
          <w:color w:val="000000" w:themeColor="text1"/>
        </w:rPr>
        <w:t xml:space="preserve">Se registró el recurso de revisión bajo el número de expediente </w:t>
      </w:r>
      <w:r w:rsidRPr="00F7226D">
        <w:rPr>
          <w:rFonts w:ascii="Palatino Linotype" w:eastAsiaTheme="minorEastAsia" w:hAnsi="Palatino Linotype" w:cs="Arial"/>
          <w:bCs/>
          <w:color w:val="000000" w:themeColor="text1"/>
          <w:lang w:val="es-ES_tradnl"/>
        </w:rPr>
        <w:t xml:space="preserve">al rubro indicado, asimismo, con fundamento en lo dispuesto por el </w:t>
      </w:r>
      <w:r w:rsidRPr="00F7226D">
        <w:rPr>
          <w:rFonts w:ascii="Palatino Linotype" w:eastAsia="Calibri" w:hAnsi="Palatino Linotype" w:cs="Arial"/>
          <w:color w:val="000000" w:themeColor="text1"/>
        </w:rPr>
        <w:t xml:space="preserve">artículo 185 fracción I de la </w:t>
      </w:r>
      <w:r w:rsidRPr="00F7226D">
        <w:rPr>
          <w:rFonts w:ascii="Palatino Linotype" w:eastAsia="Calibri" w:hAnsi="Palatino Linotype" w:cs="Arial"/>
          <w:b/>
          <w:color w:val="000000" w:themeColor="text1"/>
        </w:rPr>
        <w:t xml:space="preserve">Ley de Transparencia y Acceso a la Información Pública del Estado de México y Municipios </w:t>
      </w:r>
      <w:r w:rsidR="005E6282" w:rsidRPr="00F7226D">
        <w:rPr>
          <w:rFonts w:ascii="Palatino Linotype" w:hAnsi="Palatino Linotype" w:cs="Arial"/>
          <w:color w:val="000000" w:themeColor="text1"/>
        </w:rPr>
        <w:t>se turnó a</w:t>
      </w:r>
      <w:r w:rsidR="00351568" w:rsidRPr="00F7226D">
        <w:rPr>
          <w:rFonts w:ascii="Palatino Linotype" w:hAnsi="Palatino Linotype" w:cs="Arial"/>
          <w:color w:val="000000" w:themeColor="text1"/>
        </w:rPr>
        <w:t xml:space="preserve"> la </w:t>
      </w:r>
      <w:r w:rsidR="00E3149E" w:rsidRPr="00F7226D">
        <w:rPr>
          <w:rFonts w:ascii="Palatino Linotype" w:hAnsi="Palatino Linotype" w:cs="Arial"/>
          <w:b/>
          <w:color w:val="000000" w:themeColor="text1"/>
        </w:rPr>
        <w:t>C</w:t>
      </w:r>
      <w:r w:rsidR="00351568" w:rsidRPr="00F7226D">
        <w:rPr>
          <w:rFonts w:ascii="Palatino Linotype" w:hAnsi="Palatino Linotype" w:cs="Arial"/>
          <w:b/>
          <w:color w:val="000000" w:themeColor="text1"/>
        </w:rPr>
        <w:t>omisionada María del Rosario Mejía Ayala</w:t>
      </w:r>
      <w:r w:rsidRPr="00F7226D">
        <w:rPr>
          <w:rFonts w:ascii="Palatino Linotype" w:hAnsi="Palatino Linotype" w:cs="Arial"/>
          <w:b/>
          <w:color w:val="000000" w:themeColor="text1"/>
        </w:rPr>
        <w:t xml:space="preserve">, </w:t>
      </w:r>
      <w:r w:rsidRPr="00F7226D">
        <w:rPr>
          <w:rFonts w:ascii="Palatino Linotype" w:hAnsi="Palatino Linotype" w:cs="Arial"/>
          <w:color w:val="000000" w:themeColor="text1"/>
        </w:rPr>
        <w:t xml:space="preserve">con el objeto de </w:t>
      </w:r>
      <w:r w:rsidRPr="00F7226D">
        <w:rPr>
          <w:rFonts w:ascii="Palatino Linotype" w:hAnsi="Palatino Linotype" w:cs="Arial"/>
          <w:color w:val="000000" w:themeColor="text1"/>
          <w:lang w:val="es-MX"/>
        </w:rPr>
        <w:t>su análisis.</w:t>
      </w:r>
    </w:p>
    <w:p w14:paraId="49F28BD1" w14:textId="77777777" w:rsidR="00EA0165" w:rsidRPr="00F7226D"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27FA277D" w14:textId="106D03FA" w:rsidR="00E16895" w:rsidRPr="00F7226D" w:rsidRDefault="00351568" w:rsidP="00E1689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7226D">
        <w:rPr>
          <w:rFonts w:ascii="Palatino Linotype" w:hAnsi="Palatino Linotype" w:cs="Arial"/>
          <w:color w:val="000000" w:themeColor="text1"/>
        </w:rPr>
        <w:t xml:space="preserve">La </w:t>
      </w:r>
      <w:r w:rsidRPr="00F7226D">
        <w:rPr>
          <w:rFonts w:ascii="Palatino Linotype" w:hAnsi="Palatino Linotype" w:cs="Arial"/>
          <w:b/>
          <w:color w:val="000000" w:themeColor="text1"/>
        </w:rPr>
        <w:t>Comisionada María del Rosario Mejía Ayala</w:t>
      </w:r>
      <w:r w:rsidR="00EA0165" w:rsidRPr="00F7226D">
        <w:rPr>
          <w:rFonts w:ascii="Palatino Linotype" w:eastAsia="Calibri" w:hAnsi="Palatino Linotype" w:cs="Arial"/>
          <w:color w:val="000000" w:themeColor="text1"/>
        </w:rPr>
        <w:t>, con fundamento en lo dispuesto por el artículo 185 fracción II de la ley de la materia, a</w:t>
      </w:r>
      <w:r w:rsidR="008D7419" w:rsidRPr="00F7226D">
        <w:rPr>
          <w:rFonts w:ascii="Palatino Linotype" w:eastAsia="Calibri" w:hAnsi="Palatino Linotype" w:cs="Arial"/>
          <w:color w:val="000000" w:themeColor="text1"/>
        </w:rPr>
        <w:t xml:space="preserve"> través del acuerdo </w:t>
      </w:r>
      <w:r w:rsidR="008D7419" w:rsidRPr="00F7226D">
        <w:rPr>
          <w:rFonts w:ascii="Palatino Linotype" w:eastAsia="Calibri" w:hAnsi="Palatino Linotype" w:cs="Arial"/>
          <w:color w:val="000000" w:themeColor="text1"/>
        </w:rPr>
        <w:lastRenderedPageBreak/>
        <w:t xml:space="preserve">de admisión </w:t>
      </w:r>
      <w:r w:rsidR="00EA0165" w:rsidRPr="00F7226D">
        <w:rPr>
          <w:rFonts w:ascii="Palatino Linotype" w:eastAsia="Calibri" w:hAnsi="Palatino Linotype" w:cs="Arial"/>
          <w:color w:val="000000" w:themeColor="text1"/>
        </w:rPr>
        <w:t>de</w:t>
      </w:r>
      <w:r w:rsidR="009E2112" w:rsidRPr="00F7226D">
        <w:rPr>
          <w:rFonts w:ascii="Palatino Linotype" w:eastAsia="Calibri" w:hAnsi="Palatino Linotype" w:cs="Arial"/>
          <w:color w:val="000000" w:themeColor="text1"/>
        </w:rPr>
        <w:t xml:space="preserve"> seis</w:t>
      </w:r>
      <w:r w:rsidR="00FF4C2A" w:rsidRPr="00F7226D">
        <w:rPr>
          <w:rFonts w:ascii="Palatino Linotype" w:eastAsia="Calibri" w:hAnsi="Palatino Linotype" w:cs="Arial"/>
          <w:color w:val="000000" w:themeColor="text1"/>
        </w:rPr>
        <w:t xml:space="preserve"> </w:t>
      </w:r>
      <w:r w:rsidR="00EA0165" w:rsidRPr="00F7226D">
        <w:rPr>
          <w:rFonts w:ascii="Palatino Linotype" w:eastAsia="Calibri" w:hAnsi="Palatino Linotype" w:cs="Arial"/>
          <w:color w:val="000000" w:themeColor="text1"/>
        </w:rPr>
        <w:t>(</w:t>
      </w:r>
      <w:r w:rsidR="009E2112" w:rsidRPr="00F7226D">
        <w:rPr>
          <w:rFonts w:ascii="Palatino Linotype" w:eastAsia="Calibri" w:hAnsi="Palatino Linotype" w:cs="Arial"/>
          <w:color w:val="000000" w:themeColor="text1"/>
        </w:rPr>
        <w:t>06</w:t>
      </w:r>
      <w:r w:rsidR="00EB5E03" w:rsidRPr="00F7226D">
        <w:rPr>
          <w:rFonts w:ascii="Palatino Linotype" w:eastAsia="Calibri" w:hAnsi="Palatino Linotype" w:cs="Arial"/>
          <w:color w:val="000000" w:themeColor="text1"/>
        </w:rPr>
        <w:t xml:space="preserve">) </w:t>
      </w:r>
      <w:r w:rsidR="00132CE1" w:rsidRPr="00F7226D">
        <w:rPr>
          <w:rFonts w:ascii="Palatino Linotype" w:eastAsia="Calibri" w:hAnsi="Palatino Linotype" w:cs="Arial"/>
          <w:color w:val="000000" w:themeColor="text1"/>
        </w:rPr>
        <w:t>de</w:t>
      </w:r>
      <w:r w:rsidR="009E2112" w:rsidRPr="00F7226D">
        <w:rPr>
          <w:rFonts w:ascii="Palatino Linotype" w:eastAsia="Calibri" w:hAnsi="Palatino Linotype" w:cs="Arial"/>
          <w:color w:val="000000" w:themeColor="text1"/>
        </w:rPr>
        <w:t xml:space="preserve"> marzo</w:t>
      </w:r>
      <w:r w:rsidR="00132CE1" w:rsidRPr="00F7226D">
        <w:rPr>
          <w:rFonts w:ascii="Palatino Linotype" w:eastAsia="Calibri" w:hAnsi="Palatino Linotype" w:cs="Arial"/>
          <w:color w:val="000000" w:themeColor="text1"/>
        </w:rPr>
        <w:t xml:space="preserve"> dos mil </w:t>
      </w:r>
      <w:r w:rsidR="009E2112" w:rsidRPr="00F7226D">
        <w:rPr>
          <w:rFonts w:ascii="Palatino Linotype" w:eastAsia="Calibri" w:hAnsi="Palatino Linotype" w:cs="Arial"/>
          <w:color w:val="000000" w:themeColor="text1"/>
        </w:rPr>
        <w:t>veintitrés</w:t>
      </w:r>
      <w:r w:rsidR="00EA0165" w:rsidRPr="00F7226D">
        <w:rPr>
          <w:rFonts w:ascii="Palatino Linotype" w:eastAsia="Calibri" w:hAnsi="Palatino Linotype" w:cs="Arial"/>
          <w:color w:val="000000" w:themeColor="text1"/>
        </w:rPr>
        <w:t xml:space="preserve">, puso a disposición de las partes el expediente electrónico </w:t>
      </w:r>
      <w:r w:rsidR="00EA0165" w:rsidRPr="00F7226D">
        <w:rPr>
          <w:rFonts w:ascii="Palatino Linotype" w:eastAsia="Calibri" w:hAnsi="Palatino Linotype" w:cs="Arial"/>
          <w:color w:val="000000" w:themeColor="text1"/>
          <w:lang w:val="es-ES_tradnl"/>
        </w:rPr>
        <w:t xml:space="preserve">vía </w:t>
      </w:r>
      <w:r w:rsidR="00EA0165" w:rsidRPr="00F7226D">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F7226D">
        <w:rPr>
          <w:rFonts w:ascii="Palatino Linotype" w:eastAsia="Calibri" w:hAnsi="Palatino Linotype" w:cs="Arial"/>
          <w:b/>
          <w:color w:val="000000" w:themeColor="text1"/>
        </w:rPr>
        <w:t>SUJETO OBLIGADO</w:t>
      </w:r>
      <w:r w:rsidR="00EA0165" w:rsidRPr="00F7226D">
        <w:rPr>
          <w:rFonts w:ascii="Palatino Linotype" w:eastAsia="Calibri" w:hAnsi="Palatino Linotype" w:cs="Arial"/>
          <w:color w:val="000000" w:themeColor="text1"/>
        </w:rPr>
        <w:t xml:space="preserve"> presentara el</w:t>
      </w:r>
      <w:r w:rsidR="00266490" w:rsidRPr="00F7226D">
        <w:rPr>
          <w:rFonts w:ascii="Palatino Linotype" w:eastAsia="Calibri" w:hAnsi="Palatino Linotype" w:cs="Arial"/>
          <w:color w:val="000000" w:themeColor="text1"/>
        </w:rPr>
        <w:t xml:space="preserve"> </w:t>
      </w:r>
      <w:r w:rsidR="00770DBB" w:rsidRPr="00F7226D">
        <w:rPr>
          <w:rFonts w:ascii="Palatino Linotype" w:eastAsia="Calibri" w:hAnsi="Palatino Linotype" w:cs="Arial"/>
          <w:color w:val="000000" w:themeColor="text1"/>
        </w:rPr>
        <w:t>i</w:t>
      </w:r>
      <w:bookmarkStart w:id="5" w:name="_Toc461555889"/>
      <w:bookmarkStart w:id="6" w:name="_Toc466371858"/>
      <w:r w:rsidR="00CF2E99" w:rsidRPr="00F7226D">
        <w:rPr>
          <w:rFonts w:ascii="Palatino Linotype" w:eastAsia="Calibri" w:hAnsi="Palatino Linotype" w:cs="Arial"/>
          <w:color w:val="000000" w:themeColor="text1"/>
        </w:rPr>
        <w:t>nforme justificado procedente.</w:t>
      </w:r>
    </w:p>
    <w:p w14:paraId="1E41E253" w14:textId="77777777" w:rsidR="00CF2E99" w:rsidRPr="00F7226D" w:rsidRDefault="00CF2E99" w:rsidP="00CF2E99">
      <w:pPr>
        <w:pStyle w:val="Prrafodelista"/>
        <w:rPr>
          <w:rFonts w:ascii="Palatino Linotype" w:eastAsia="Calibri" w:hAnsi="Palatino Linotype" w:cs="Arial"/>
          <w:color w:val="000000" w:themeColor="text1"/>
        </w:rPr>
      </w:pPr>
    </w:p>
    <w:p w14:paraId="15359848" w14:textId="77777777" w:rsidR="00E16895" w:rsidRPr="00F7226D" w:rsidRDefault="00E16895" w:rsidP="005A69A0">
      <w:pPr>
        <w:rPr>
          <w:rFonts w:ascii="Palatino Linotype" w:eastAsia="Calibri" w:hAnsi="Palatino Linotype" w:cs="Arial"/>
          <w:color w:val="000000"/>
        </w:rPr>
      </w:pPr>
    </w:p>
    <w:p w14:paraId="08B94448" w14:textId="3B740F36" w:rsidR="00E16895" w:rsidRPr="00F7226D" w:rsidRDefault="00C518A4" w:rsidP="00E1689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7226D">
        <w:rPr>
          <w:rFonts w:ascii="Palatino Linotype" w:eastAsia="Calibri" w:hAnsi="Palatino Linotype" w:cs="Arial"/>
          <w:color w:val="000000"/>
        </w:rPr>
        <w:t>E</w:t>
      </w:r>
      <w:r w:rsidR="009E2112" w:rsidRPr="00F7226D">
        <w:rPr>
          <w:rFonts w:ascii="Palatino Linotype" w:eastAsia="Calibri" w:hAnsi="Palatino Linotype" w:cs="Arial"/>
          <w:color w:val="000000"/>
        </w:rPr>
        <w:t>n fecha cuatro (04</w:t>
      </w:r>
      <w:r w:rsidR="00E16895" w:rsidRPr="00F7226D">
        <w:rPr>
          <w:rFonts w:ascii="Palatino Linotype" w:eastAsia="Calibri" w:hAnsi="Palatino Linotype" w:cs="Arial"/>
          <w:color w:val="000000"/>
        </w:rPr>
        <w:t>) de</w:t>
      </w:r>
      <w:r w:rsidR="00EB5E03" w:rsidRPr="00F7226D">
        <w:rPr>
          <w:rFonts w:ascii="Palatino Linotype" w:eastAsia="Calibri" w:hAnsi="Palatino Linotype" w:cs="Arial"/>
          <w:color w:val="000000"/>
        </w:rPr>
        <w:t xml:space="preserve"> </w:t>
      </w:r>
      <w:r w:rsidR="009E2112" w:rsidRPr="00F7226D">
        <w:rPr>
          <w:rFonts w:ascii="Palatino Linotype" w:eastAsia="Calibri" w:hAnsi="Palatino Linotype" w:cs="Arial"/>
          <w:color w:val="000000"/>
        </w:rPr>
        <w:t>abril</w:t>
      </w:r>
      <w:r w:rsidR="00EB5E03" w:rsidRPr="00F7226D">
        <w:rPr>
          <w:rFonts w:ascii="Palatino Linotype" w:eastAsia="Calibri" w:hAnsi="Palatino Linotype" w:cs="Arial"/>
          <w:color w:val="000000"/>
        </w:rPr>
        <w:t xml:space="preserve"> </w:t>
      </w:r>
      <w:r w:rsidR="009E2112" w:rsidRPr="00F7226D">
        <w:rPr>
          <w:rFonts w:ascii="Palatino Linotype" w:eastAsia="Calibri" w:hAnsi="Palatino Linotype" w:cs="Arial"/>
          <w:color w:val="000000"/>
        </w:rPr>
        <w:t>de dos mil veintitrés</w:t>
      </w:r>
      <w:r w:rsidR="00E16895" w:rsidRPr="00F7226D">
        <w:rPr>
          <w:rFonts w:ascii="Palatino Linotype" w:eastAsia="Calibri" w:hAnsi="Palatino Linotype" w:cs="Arial"/>
          <w:color w:val="000000"/>
        </w:rPr>
        <w:t xml:space="preserve"> el </w:t>
      </w:r>
      <w:r w:rsidR="00E16895" w:rsidRPr="00F7226D">
        <w:rPr>
          <w:rFonts w:ascii="Palatino Linotype" w:eastAsia="Calibri" w:hAnsi="Palatino Linotype" w:cs="Arial"/>
          <w:b/>
          <w:color w:val="000000"/>
        </w:rPr>
        <w:t xml:space="preserve">SUJETO OBLIGADO </w:t>
      </w:r>
      <w:r w:rsidR="00E16895" w:rsidRPr="00F7226D">
        <w:rPr>
          <w:rFonts w:ascii="Palatino Linotype" w:eastAsia="Calibri" w:hAnsi="Palatino Linotype" w:cs="Arial"/>
          <w:color w:val="000000"/>
        </w:rPr>
        <w:t xml:space="preserve">realizó entrega de un documento en calidad de informe justificado, mismo que se hizo de conocimiento del Recurrente mediante acuerdo de fecha </w:t>
      </w:r>
      <w:r w:rsidR="009E2112" w:rsidRPr="00F7226D">
        <w:rPr>
          <w:rFonts w:ascii="Palatino Linotype" w:eastAsia="Calibri" w:hAnsi="Palatino Linotype" w:cs="Arial"/>
          <w:color w:val="000000"/>
        </w:rPr>
        <w:t>trece (13</w:t>
      </w:r>
      <w:r w:rsidR="00E16895" w:rsidRPr="00F7226D">
        <w:rPr>
          <w:rFonts w:ascii="Palatino Linotype" w:eastAsia="Calibri" w:hAnsi="Palatino Linotype" w:cs="Arial"/>
          <w:color w:val="000000"/>
        </w:rPr>
        <w:t>) d</w:t>
      </w:r>
      <w:r w:rsidR="009E2112" w:rsidRPr="00F7226D">
        <w:rPr>
          <w:rFonts w:ascii="Palatino Linotype" w:eastAsia="Calibri" w:hAnsi="Palatino Linotype" w:cs="Arial"/>
          <w:color w:val="000000"/>
        </w:rPr>
        <w:t>e abril  de dos mil veintitrés</w:t>
      </w:r>
      <w:r w:rsidR="00E16895" w:rsidRPr="00F7226D">
        <w:rPr>
          <w:rFonts w:ascii="Palatino Linotype" w:eastAsia="Calibri" w:hAnsi="Palatino Linotype" w:cs="Arial"/>
          <w:color w:val="000000"/>
        </w:rPr>
        <w:t>, no obstante, y afecto de que no exista opacidad en la determinación se describe</w:t>
      </w:r>
      <w:r w:rsidR="00EB5E03" w:rsidRPr="00F7226D">
        <w:rPr>
          <w:rFonts w:ascii="Palatino Linotype" w:eastAsia="Calibri" w:hAnsi="Palatino Linotype" w:cs="Arial"/>
          <w:color w:val="000000"/>
        </w:rPr>
        <w:t>n</w:t>
      </w:r>
      <w:r w:rsidR="00E16895" w:rsidRPr="00F7226D">
        <w:rPr>
          <w:rFonts w:ascii="Palatino Linotype" w:eastAsia="Calibri" w:hAnsi="Palatino Linotype" w:cs="Arial"/>
          <w:color w:val="000000"/>
        </w:rPr>
        <w:t xml:space="preserve"> a continuación: </w:t>
      </w:r>
    </w:p>
    <w:p w14:paraId="467D4437" w14:textId="77777777" w:rsidR="00E16895" w:rsidRPr="00F7226D" w:rsidRDefault="00E16895" w:rsidP="00E16895">
      <w:pPr>
        <w:spacing w:line="360" w:lineRule="auto"/>
        <w:ind w:left="567" w:right="616"/>
        <w:rPr>
          <w:rFonts w:ascii="Palatino Linotype" w:eastAsia="Calibri" w:hAnsi="Palatino Linotype" w:cs="Arial"/>
          <w:b/>
          <w:color w:val="000000"/>
        </w:rPr>
      </w:pPr>
    </w:p>
    <w:p w14:paraId="32BD833D" w14:textId="05877C76" w:rsidR="00EB5E03" w:rsidRPr="00F7226D" w:rsidRDefault="009E2112" w:rsidP="00F41559">
      <w:pPr>
        <w:pStyle w:val="Prrafodelista"/>
        <w:numPr>
          <w:ilvl w:val="0"/>
          <w:numId w:val="4"/>
        </w:numPr>
        <w:tabs>
          <w:tab w:val="left" w:pos="284"/>
        </w:tabs>
        <w:spacing w:line="360" w:lineRule="auto"/>
        <w:ind w:left="426" w:right="1111" w:firstLine="0"/>
        <w:contextualSpacing/>
        <w:jc w:val="both"/>
        <w:rPr>
          <w:rFonts w:ascii="Palatino Linotype" w:eastAsia="Calibri" w:hAnsi="Palatino Linotype" w:cs="Arial"/>
          <w:b/>
          <w:color w:val="000000"/>
        </w:rPr>
      </w:pPr>
      <w:r w:rsidRPr="00F7226D">
        <w:rPr>
          <w:rFonts w:ascii="Palatino Linotype" w:hAnsi="Palatino Linotype"/>
          <w:b/>
        </w:rPr>
        <w:t>Zinacantepec 360.pdf</w:t>
      </w:r>
      <w:hyperlink r:id="rId8" w:history="1"/>
      <w:hyperlink r:id="rId9" w:history="1"/>
      <w:r w:rsidR="00E16895" w:rsidRPr="00F7226D">
        <w:rPr>
          <w:rFonts w:ascii="Palatino Linotype" w:eastAsia="Calibri" w:hAnsi="Palatino Linotype" w:cs="Arial"/>
          <w:b/>
          <w:color w:val="000000" w:themeColor="text1"/>
        </w:rPr>
        <w:t xml:space="preserve">: </w:t>
      </w:r>
      <w:r w:rsidR="00E16895" w:rsidRPr="00F7226D">
        <w:rPr>
          <w:rFonts w:ascii="Palatino Linotype" w:eastAsia="Calibri" w:hAnsi="Palatino Linotype" w:cs="Arial"/>
          <w:color w:val="000000"/>
        </w:rPr>
        <w:t>Documento elec</w:t>
      </w:r>
      <w:r w:rsidR="00C518A4" w:rsidRPr="00F7226D">
        <w:rPr>
          <w:rFonts w:ascii="Palatino Linotype" w:eastAsia="Calibri" w:hAnsi="Palatino Linotype" w:cs="Arial"/>
          <w:color w:val="000000"/>
        </w:rPr>
        <w:t>trónico que e</w:t>
      </w:r>
      <w:r w:rsidRPr="00F7226D">
        <w:rPr>
          <w:rFonts w:ascii="Palatino Linotype" w:eastAsia="Calibri" w:hAnsi="Palatino Linotype" w:cs="Arial"/>
          <w:color w:val="000000"/>
        </w:rPr>
        <w:t>n una</w:t>
      </w:r>
      <w:r w:rsidR="00EB5E03" w:rsidRPr="00F7226D">
        <w:rPr>
          <w:rFonts w:ascii="Palatino Linotype" w:eastAsia="Calibri" w:hAnsi="Palatino Linotype" w:cs="Arial"/>
          <w:color w:val="000000"/>
        </w:rPr>
        <w:t xml:space="preserve"> </w:t>
      </w:r>
      <w:r w:rsidRPr="00F7226D">
        <w:rPr>
          <w:rFonts w:ascii="Palatino Linotype" w:eastAsia="Calibri" w:hAnsi="Palatino Linotype" w:cs="Arial"/>
          <w:color w:val="000000"/>
        </w:rPr>
        <w:t>(01</w:t>
      </w:r>
      <w:r w:rsidR="00E16895" w:rsidRPr="00F7226D">
        <w:rPr>
          <w:rFonts w:ascii="Palatino Linotype" w:eastAsia="Calibri" w:hAnsi="Palatino Linotype" w:cs="Arial"/>
          <w:color w:val="000000"/>
        </w:rPr>
        <w:t>) hoja contiene el</w:t>
      </w:r>
      <w:r w:rsidR="005A69A0" w:rsidRPr="00F7226D">
        <w:rPr>
          <w:rFonts w:ascii="Palatino Linotype" w:eastAsia="Calibri" w:hAnsi="Palatino Linotype" w:cs="Arial"/>
          <w:color w:val="000000"/>
        </w:rPr>
        <w:t xml:space="preserve"> informe justificado</w:t>
      </w:r>
      <w:r w:rsidR="00EB5E03" w:rsidRPr="00F7226D">
        <w:rPr>
          <w:rFonts w:ascii="Palatino Linotype" w:eastAsia="Calibri" w:hAnsi="Palatino Linotype" w:cs="Arial"/>
          <w:color w:val="000000"/>
        </w:rPr>
        <w:t xml:space="preserve"> dirigido al Comisionada María del Rosario Mejía Ayala mediante el cual se refiere que:</w:t>
      </w:r>
    </w:p>
    <w:p w14:paraId="78DC8720" w14:textId="77777777" w:rsidR="00EB5E03" w:rsidRPr="00F7226D" w:rsidRDefault="00EB5E03" w:rsidP="00EB5E03">
      <w:pPr>
        <w:pStyle w:val="Prrafodelista"/>
        <w:tabs>
          <w:tab w:val="left" w:pos="284"/>
        </w:tabs>
        <w:spacing w:line="360" w:lineRule="auto"/>
        <w:ind w:left="426" w:right="1111"/>
        <w:contextualSpacing/>
        <w:jc w:val="both"/>
        <w:rPr>
          <w:b/>
        </w:rPr>
      </w:pPr>
    </w:p>
    <w:p w14:paraId="1F7F81FE" w14:textId="77777777" w:rsidR="009E2112" w:rsidRPr="00F7226D" w:rsidRDefault="00EB5E03" w:rsidP="00EB5E03">
      <w:pPr>
        <w:pStyle w:val="Prrafodelista"/>
        <w:tabs>
          <w:tab w:val="left" w:pos="284"/>
        </w:tabs>
        <w:spacing w:line="360" w:lineRule="auto"/>
        <w:ind w:left="426" w:right="1111"/>
        <w:contextualSpacing/>
        <w:jc w:val="both"/>
        <w:rPr>
          <w:rFonts w:ascii="Palatino Linotype" w:hAnsi="Palatino Linotype"/>
          <w:i/>
        </w:rPr>
      </w:pPr>
      <w:r w:rsidRPr="00F7226D">
        <w:rPr>
          <w:b/>
        </w:rPr>
        <w:t>“</w:t>
      </w:r>
      <w:r w:rsidR="009E2112" w:rsidRPr="00F7226D">
        <w:rPr>
          <w:rFonts w:ascii="Palatino Linotype" w:hAnsi="Palatino Linotype"/>
          <w:i/>
        </w:rPr>
        <w:t>Por medio del presente les envío un cordial saludo y del mismo modo de conformidad con lo señalado los artículos 163 segundo párrafo, 186 último párrafo y 198 segundo párrafo de la Ley Transparencia y Acceso a la Información Pública del Estado de México y Municipios relativos a la ampliación de plazos para la atención a las Solicitudes de Información.</w:t>
      </w:r>
    </w:p>
    <w:p w14:paraId="239AA3C4" w14:textId="77777777" w:rsidR="009E2112" w:rsidRPr="00F7226D" w:rsidRDefault="009E2112" w:rsidP="00EB5E03">
      <w:pPr>
        <w:pStyle w:val="Prrafodelista"/>
        <w:tabs>
          <w:tab w:val="left" w:pos="284"/>
        </w:tabs>
        <w:spacing w:line="360" w:lineRule="auto"/>
        <w:ind w:left="426" w:right="1111"/>
        <w:contextualSpacing/>
        <w:jc w:val="both"/>
        <w:rPr>
          <w:rFonts w:ascii="Palatino Linotype" w:hAnsi="Palatino Linotype"/>
          <w:i/>
        </w:rPr>
      </w:pPr>
    </w:p>
    <w:p w14:paraId="7E896327" w14:textId="77777777" w:rsidR="009E2112" w:rsidRPr="00F7226D" w:rsidRDefault="009E2112" w:rsidP="00EB5E03">
      <w:pPr>
        <w:pStyle w:val="Prrafodelista"/>
        <w:tabs>
          <w:tab w:val="left" w:pos="284"/>
        </w:tabs>
        <w:spacing w:line="360" w:lineRule="auto"/>
        <w:ind w:left="426" w:right="1111"/>
        <w:contextualSpacing/>
        <w:jc w:val="both"/>
        <w:rPr>
          <w:rFonts w:ascii="Palatino Linotype" w:hAnsi="Palatino Linotype"/>
          <w:i/>
        </w:rPr>
      </w:pPr>
      <w:r w:rsidRPr="00F7226D">
        <w:rPr>
          <w:rFonts w:ascii="Palatino Linotype" w:hAnsi="Palatino Linotype"/>
          <w:i/>
        </w:rPr>
        <w:lastRenderedPageBreak/>
        <w:t xml:space="preserve"> 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w:t>
      </w:r>
    </w:p>
    <w:p w14:paraId="5F5B7F77" w14:textId="77777777" w:rsidR="009E2112" w:rsidRPr="00F7226D" w:rsidRDefault="009E2112" w:rsidP="00EB5E03">
      <w:pPr>
        <w:pStyle w:val="Prrafodelista"/>
        <w:tabs>
          <w:tab w:val="left" w:pos="284"/>
        </w:tabs>
        <w:spacing w:line="360" w:lineRule="auto"/>
        <w:ind w:left="426" w:right="1111"/>
        <w:contextualSpacing/>
        <w:jc w:val="both"/>
        <w:rPr>
          <w:rFonts w:ascii="Palatino Linotype" w:hAnsi="Palatino Linotype"/>
          <w:i/>
        </w:rPr>
      </w:pPr>
    </w:p>
    <w:p w14:paraId="5435E0C1" w14:textId="77777777" w:rsidR="009E2112" w:rsidRPr="00F7226D" w:rsidRDefault="009E2112" w:rsidP="00EB5E03">
      <w:pPr>
        <w:pStyle w:val="Prrafodelista"/>
        <w:tabs>
          <w:tab w:val="left" w:pos="284"/>
        </w:tabs>
        <w:spacing w:line="360" w:lineRule="auto"/>
        <w:ind w:left="426" w:right="1111"/>
        <w:contextualSpacing/>
        <w:jc w:val="both"/>
        <w:rPr>
          <w:rFonts w:ascii="Palatino Linotype" w:hAnsi="Palatino Linotype"/>
          <w:i/>
        </w:rPr>
      </w:pPr>
      <w:r w:rsidRPr="00F7226D">
        <w:rPr>
          <w:rFonts w:ascii="Palatino Linotype" w:hAnsi="Palatino Linotype"/>
          <w:i/>
        </w:rPr>
        <w:t xml:space="preserve">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 </w:t>
      </w:r>
    </w:p>
    <w:p w14:paraId="3384D994" w14:textId="77777777" w:rsidR="009E2112" w:rsidRPr="00F7226D" w:rsidRDefault="009E2112" w:rsidP="00EB5E03">
      <w:pPr>
        <w:pStyle w:val="Prrafodelista"/>
        <w:tabs>
          <w:tab w:val="left" w:pos="284"/>
        </w:tabs>
        <w:spacing w:line="360" w:lineRule="auto"/>
        <w:ind w:left="426" w:right="1111"/>
        <w:contextualSpacing/>
        <w:jc w:val="both"/>
        <w:rPr>
          <w:rFonts w:ascii="Palatino Linotype" w:hAnsi="Palatino Linotype"/>
          <w:i/>
        </w:rPr>
      </w:pPr>
    </w:p>
    <w:p w14:paraId="0A9BCDB3" w14:textId="77777777" w:rsidR="009E2112" w:rsidRPr="00F7226D" w:rsidRDefault="009E2112" w:rsidP="00EB5E03">
      <w:pPr>
        <w:pStyle w:val="Prrafodelista"/>
        <w:tabs>
          <w:tab w:val="left" w:pos="284"/>
        </w:tabs>
        <w:spacing w:line="360" w:lineRule="auto"/>
        <w:ind w:left="426" w:right="1111"/>
        <w:contextualSpacing/>
        <w:jc w:val="both"/>
        <w:rPr>
          <w:rFonts w:ascii="Palatino Linotype" w:hAnsi="Palatino Linotype"/>
          <w:i/>
        </w:rPr>
      </w:pPr>
      <w:r w:rsidRPr="00F7226D">
        <w:rPr>
          <w:rFonts w:ascii="Palatino Linotype" w:hAnsi="Palatino Linotype"/>
          <w:i/>
        </w:rPr>
        <w:t xml:space="preserve">Bajo esa tesitura, es imperante señalar que, a fin de brindarle plena certeza y garantizar el Derecho de Acceso a la Información al hoy recurrente con la 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 </w:t>
      </w:r>
    </w:p>
    <w:p w14:paraId="21FBE155" w14:textId="77777777" w:rsidR="009E2112" w:rsidRPr="00F7226D" w:rsidRDefault="009E2112" w:rsidP="00EB5E03">
      <w:pPr>
        <w:pStyle w:val="Prrafodelista"/>
        <w:tabs>
          <w:tab w:val="left" w:pos="284"/>
        </w:tabs>
        <w:spacing w:line="360" w:lineRule="auto"/>
        <w:ind w:left="426" w:right="1111"/>
        <w:contextualSpacing/>
        <w:jc w:val="both"/>
        <w:rPr>
          <w:rFonts w:ascii="Palatino Linotype" w:hAnsi="Palatino Linotype"/>
          <w:i/>
        </w:rPr>
      </w:pPr>
    </w:p>
    <w:p w14:paraId="57004A47" w14:textId="77777777" w:rsidR="009E2112" w:rsidRPr="00F7226D" w:rsidRDefault="009E2112" w:rsidP="00EB5E03">
      <w:pPr>
        <w:pStyle w:val="Prrafodelista"/>
        <w:tabs>
          <w:tab w:val="left" w:pos="284"/>
        </w:tabs>
        <w:spacing w:line="360" w:lineRule="auto"/>
        <w:ind w:left="426" w:right="1111"/>
        <w:contextualSpacing/>
        <w:jc w:val="both"/>
        <w:rPr>
          <w:rFonts w:ascii="Palatino Linotype" w:hAnsi="Palatino Linotype"/>
          <w:i/>
        </w:rPr>
      </w:pPr>
      <w:r w:rsidRPr="00F7226D">
        <w:rPr>
          <w:rFonts w:ascii="Palatino Linotype" w:hAnsi="Palatino Linotype"/>
          <w:i/>
        </w:rPr>
        <w:lastRenderedPageBreak/>
        <w:t>Para hacer de su conocimiento que, en la Segunda Sesión Extraordinaria del Comité Municipal de Transparencia se aprobó la petición de ampliar los plazos para la atención a las Solicitudes de Información, siendo el siguiente acuerdo:</w:t>
      </w:r>
    </w:p>
    <w:p w14:paraId="2A85021F" w14:textId="77777777" w:rsidR="009E2112" w:rsidRPr="00F7226D" w:rsidRDefault="009E2112" w:rsidP="00EB5E03">
      <w:pPr>
        <w:pStyle w:val="Prrafodelista"/>
        <w:tabs>
          <w:tab w:val="left" w:pos="284"/>
        </w:tabs>
        <w:spacing w:line="360" w:lineRule="auto"/>
        <w:ind w:left="426" w:right="1111"/>
        <w:contextualSpacing/>
        <w:jc w:val="both"/>
        <w:rPr>
          <w:rFonts w:ascii="Palatino Linotype" w:hAnsi="Palatino Linotype"/>
          <w:i/>
        </w:rPr>
      </w:pPr>
      <w:r w:rsidRPr="00F7226D">
        <w:rPr>
          <w:rFonts w:ascii="Palatino Linotype" w:hAnsi="Palatino Linotype"/>
          <w:i/>
        </w:rPr>
        <w:t xml:space="preserve"> ACUERDO CT/EXT/0002/2023 Se aprueba por unanimidad de votos la generación del formato de ampliación de plazo para dar atención a las solicitudes interpuestas por la ciudadanía a través de las diferentes plataformas de Transparencia, por ello se instruye al Titular de la Unidad de Transparencia generar el formato pertinente para la ampliación de plazos de las Solicitudes cuando así se requiera. </w:t>
      </w:r>
    </w:p>
    <w:p w14:paraId="191DAF6D" w14:textId="77777777" w:rsidR="009E2112" w:rsidRPr="00F7226D" w:rsidRDefault="009E2112" w:rsidP="00EB5E03">
      <w:pPr>
        <w:pStyle w:val="Prrafodelista"/>
        <w:tabs>
          <w:tab w:val="left" w:pos="284"/>
        </w:tabs>
        <w:spacing w:line="360" w:lineRule="auto"/>
        <w:ind w:left="426" w:right="1111"/>
        <w:contextualSpacing/>
        <w:jc w:val="both"/>
        <w:rPr>
          <w:rFonts w:ascii="Palatino Linotype" w:hAnsi="Palatino Linotype"/>
          <w:i/>
        </w:rPr>
      </w:pPr>
    </w:p>
    <w:p w14:paraId="3F38D494" w14:textId="7915B72F" w:rsidR="00EB5E03" w:rsidRPr="00F7226D" w:rsidRDefault="009E2112" w:rsidP="00EB5E03">
      <w:pPr>
        <w:pStyle w:val="Prrafodelista"/>
        <w:tabs>
          <w:tab w:val="left" w:pos="284"/>
        </w:tabs>
        <w:spacing w:line="360" w:lineRule="auto"/>
        <w:ind w:left="426" w:right="1111"/>
        <w:contextualSpacing/>
        <w:jc w:val="both"/>
        <w:rPr>
          <w:rFonts w:ascii="Palatino Linotype" w:hAnsi="Palatino Linotype"/>
          <w:i/>
        </w:rPr>
      </w:pPr>
      <w:r w:rsidRPr="00F7226D">
        <w:rPr>
          <w:rFonts w:ascii="Palatino Linotype" w:hAnsi="Palatino Linotype"/>
          <w:i/>
        </w:rPr>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w:t>
      </w:r>
      <w:r w:rsidR="00EB5E03" w:rsidRPr="00F7226D">
        <w:rPr>
          <w:rFonts w:ascii="Palatino Linotype" w:hAnsi="Palatino Linotype"/>
          <w:i/>
        </w:rPr>
        <w:t>. “ (Sic)</w:t>
      </w:r>
    </w:p>
    <w:p w14:paraId="22DFA824" w14:textId="77777777" w:rsidR="009E2112" w:rsidRPr="00F7226D" w:rsidRDefault="009E2112" w:rsidP="00EB5E03">
      <w:pPr>
        <w:pStyle w:val="Prrafodelista"/>
        <w:tabs>
          <w:tab w:val="left" w:pos="284"/>
        </w:tabs>
        <w:spacing w:line="360" w:lineRule="auto"/>
        <w:ind w:left="426" w:right="1111"/>
        <w:contextualSpacing/>
        <w:jc w:val="both"/>
        <w:rPr>
          <w:rFonts w:ascii="Palatino Linotype" w:hAnsi="Palatino Linotype"/>
          <w:i/>
        </w:rPr>
      </w:pPr>
    </w:p>
    <w:p w14:paraId="11230816" w14:textId="1AD6B291" w:rsidR="00CD3039" w:rsidRPr="00F7226D" w:rsidRDefault="00731DB4" w:rsidP="00CD3039">
      <w:pPr>
        <w:numPr>
          <w:ilvl w:val="0"/>
          <w:numId w:val="2"/>
        </w:numPr>
        <w:spacing w:line="360" w:lineRule="auto"/>
        <w:ind w:left="0" w:firstLine="0"/>
        <w:jc w:val="both"/>
        <w:rPr>
          <w:rFonts w:ascii="Palatino Linotype" w:hAnsi="Palatino Linotype"/>
          <w:lang w:val="es-ES_tradnl" w:eastAsia="en-US"/>
        </w:rPr>
      </w:pPr>
      <w:bookmarkStart w:id="7" w:name="_Toc68804758"/>
      <w:r w:rsidRPr="00F7226D">
        <w:rPr>
          <w:rFonts w:ascii="Palatino Linotype" w:eastAsiaTheme="minorEastAsia" w:hAnsi="Palatino Linotype" w:cstheme="minorBidi"/>
          <w:color w:val="000000" w:themeColor="text1"/>
          <w:lang w:val="es-ES_tradnl"/>
        </w:rPr>
        <w:t>Así las cosas, la</w:t>
      </w:r>
      <w:r w:rsidRPr="00F7226D">
        <w:rPr>
          <w:rFonts w:ascii="Palatino Linotype" w:eastAsiaTheme="minorEastAsia" w:hAnsi="Palatino Linotype" w:cstheme="minorBidi"/>
          <w:b/>
          <w:color w:val="000000" w:themeColor="text1"/>
          <w:lang w:val="es-ES_tradnl"/>
        </w:rPr>
        <w:t xml:space="preserve"> Comisionada María del Rosario Mejía Ayala</w:t>
      </w:r>
      <w:r w:rsidRPr="00F7226D">
        <w:rPr>
          <w:rFonts w:ascii="Palatino Linotype" w:eastAsiaTheme="minorEastAsia" w:hAnsi="Palatino Linotype" w:cstheme="minorBidi"/>
          <w:color w:val="000000" w:themeColor="text1"/>
          <w:lang w:val="es-ES_tradnl"/>
        </w:rPr>
        <w:t xml:space="preserve"> decretó el cierre de instrucción media</w:t>
      </w:r>
      <w:r w:rsidR="009E2112" w:rsidRPr="00F7226D">
        <w:rPr>
          <w:rFonts w:ascii="Palatino Linotype" w:eastAsiaTheme="minorEastAsia" w:hAnsi="Palatino Linotype" w:cstheme="minorBidi"/>
          <w:color w:val="000000" w:themeColor="text1"/>
          <w:lang w:val="es-ES_tradnl"/>
        </w:rPr>
        <w:t>nte</w:t>
      </w:r>
      <w:r w:rsidR="00CD3039" w:rsidRPr="00F7226D">
        <w:rPr>
          <w:rFonts w:ascii="Palatino Linotype" w:eastAsiaTheme="minorEastAsia" w:hAnsi="Palatino Linotype" w:cstheme="minorBidi"/>
          <w:color w:val="000000" w:themeColor="text1"/>
          <w:lang w:val="es-ES_tradnl"/>
        </w:rPr>
        <w:t xml:space="preserve"> acuerdo de fecha </w:t>
      </w:r>
      <w:r w:rsidR="007F079D">
        <w:rPr>
          <w:rFonts w:ascii="Palatino Linotype" w:eastAsiaTheme="minorEastAsia" w:hAnsi="Palatino Linotype" w:cstheme="minorBidi"/>
          <w:color w:val="000000" w:themeColor="text1"/>
          <w:lang w:val="es-ES_tradnl"/>
        </w:rPr>
        <w:t>uno (01</w:t>
      </w:r>
      <w:r w:rsidRPr="00F7226D">
        <w:rPr>
          <w:rFonts w:ascii="Palatino Linotype" w:eastAsiaTheme="minorEastAsia" w:hAnsi="Palatino Linotype" w:cstheme="minorBidi"/>
          <w:color w:val="000000" w:themeColor="text1"/>
          <w:lang w:val="es-ES_tradnl"/>
        </w:rPr>
        <w:t>) de</w:t>
      </w:r>
      <w:r w:rsidR="007F079D">
        <w:rPr>
          <w:rFonts w:ascii="Palatino Linotype" w:eastAsiaTheme="minorEastAsia" w:hAnsi="Palatino Linotype" w:cstheme="minorBidi"/>
          <w:color w:val="000000" w:themeColor="text1"/>
          <w:lang w:val="es-ES_tradnl"/>
        </w:rPr>
        <w:t xml:space="preserve"> junio</w:t>
      </w:r>
      <w:r w:rsidR="009E2112" w:rsidRPr="00F7226D">
        <w:rPr>
          <w:rFonts w:ascii="Palatino Linotype" w:eastAsiaTheme="minorEastAsia" w:hAnsi="Palatino Linotype" w:cstheme="minorBidi"/>
          <w:color w:val="000000" w:themeColor="text1"/>
          <w:lang w:val="es-ES_tradnl"/>
        </w:rPr>
        <w:t xml:space="preserve"> de dos mil veintitrés</w:t>
      </w:r>
      <w:r w:rsidRPr="00F7226D">
        <w:rPr>
          <w:rFonts w:ascii="Palatino Linotype" w:eastAsiaTheme="minorEastAsia" w:hAnsi="Palatino Linotype" w:cstheme="minorBidi"/>
          <w:color w:val="000000" w:themeColor="text1"/>
          <w:lang w:val="es-ES_tradnl"/>
        </w:rPr>
        <w:t>.</w:t>
      </w:r>
    </w:p>
    <w:p w14:paraId="07F9E84C" w14:textId="77777777" w:rsidR="00CD3039" w:rsidRPr="00F7226D" w:rsidRDefault="00CD3039" w:rsidP="00CD3039">
      <w:pPr>
        <w:pStyle w:val="Prrafodelista"/>
        <w:rPr>
          <w:rFonts w:ascii="Palatino Linotype" w:eastAsia="Calibri" w:hAnsi="Palatino Linotype" w:cs="Arial"/>
          <w:lang w:val="es-MX"/>
        </w:rPr>
      </w:pPr>
    </w:p>
    <w:p w14:paraId="195156D8" w14:textId="5538A5BE" w:rsidR="00CD3039" w:rsidRPr="00F7226D" w:rsidRDefault="00CD3039" w:rsidP="00CD3039">
      <w:pPr>
        <w:numPr>
          <w:ilvl w:val="0"/>
          <w:numId w:val="12"/>
        </w:numPr>
        <w:spacing w:line="360" w:lineRule="auto"/>
        <w:ind w:left="0" w:firstLine="0"/>
        <w:jc w:val="both"/>
        <w:rPr>
          <w:rFonts w:ascii="Palatino Linotype" w:hAnsi="Palatino Linotype"/>
          <w:lang w:val="es-ES_tradnl" w:eastAsia="en-US"/>
        </w:rPr>
      </w:pPr>
      <w:r w:rsidRPr="00F7226D">
        <w:rPr>
          <w:rFonts w:ascii="Palatino Linotype" w:eastAsia="Calibri" w:hAnsi="Palatino Linotype" w:cs="Arial"/>
          <w:lang w:val="es-MX"/>
        </w:rPr>
        <w:t xml:space="preserve">El diecinueve (19) de abril de dos mil veintitrés, el Pleno del Instituto de Transparencia, Acceso a la Información Pública y Protección de Datos Personales del Estado de México y Municipios, durante la Décima Cuarta Sesión Ordinaria, </w:t>
      </w:r>
      <w:r w:rsidRPr="00F7226D">
        <w:rPr>
          <w:rFonts w:ascii="Palatino Linotype" w:eastAsia="Calibri" w:hAnsi="Palatino Linotype" w:cs="Arial"/>
          <w:lang w:val="es-MX"/>
        </w:rPr>
        <w:lastRenderedPageBreak/>
        <w:t>aprobó por mayoría de votos, la Resolución del Recurso de Revisión</w:t>
      </w:r>
      <w:r w:rsidRPr="00F7226D">
        <w:rPr>
          <w:rFonts w:ascii="Palatino Linotype" w:hAnsi="Palatino Linotype"/>
          <w:lang w:val="es-ES_tradnl" w:eastAsia="en-US"/>
        </w:rPr>
        <w:t xml:space="preserve"> </w:t>
      </w:r>
      <w:r w:rsidRPr="00F7226D">
        <w:rPr>
          <w:rFonts w:ascii="Palatino Linotype" w:hAnsi="Palatino Linotype"/>
          <w:b/>
          <w:lang w:eastAsia="en-US"/>
        </w:rPr>
        <w:t>01148</w:t>
      </w:r>
      <w:r w:rsidR="004A7292" w:rsidRPr="00F7226D">
        <w:rPr>
          <w:rFonts w:ascii="Palatino Linotype" w:hAnsi="Palatino Linotype"/>
          <w:b/>
          <w:lang w:eastAsia="en-US"/>
        </w:rPr>
        <w:t>/INFOEM/IP/RR/2023</w:t>
      </w:r>
      <w:r w:rsidRPr="00F7226D">
        <w:rPr>
          <w:rFonts w:ascii="Palatino Linotype" w:hAnsi="Palatino Linotype"/>
          <w:b/>
          <w:lang w:eastAsia="en-US"/>
        </w:rPr>
        <w:t xml:space="preserve">, </w:t>
      </w:r>
      <w:r w:rsidRPr="00F7226D">
        <w:rPr>
          <w:rFonts w:ascii="Palatino Linotype" w:eastAsia="Calibri" w:hAnsi="Palatino Linotype" w:cs="Arial"/>
          <w:lang w:val="es-MX"/>
        </w:rPr>
        <w:t>en la cual se determinó lo siguiente:</w:t>
      </w:r>
    </w:p>
    <w:p w14:paraId="607D6EE3" w14:textId="77777777" w:rsidR="00CD3039" w:rsidRPr="00F7226D" w:rsidRDefault="00CD3039" w:rsidP="00CD3039">
      <w:pPr>
        <w:suppressAutoHyphens/>
        <w:spacing w:line="360" w:lineRule="auto"/>
        <w:ind w:left="708"/>
        <w:jc w:val="both"/>
        <w:rPr>
          <w:rFonts w:ascii="Palatino Linotype" w:eastAsia="MS Mincho" w:hAnsi="Palatino Linotype"/>
          <w:b/>
          <w:color w:val="000000"/>
          <w:lang w:val="es-ES_tradnl" w:eastAsia="en-US"/>
        </w:rPr>
      </w:pPr>
    </w:p>
    <w:p w14:paraId="4713F32D" w14:textId="77777777" w:rsidR="00CD3039" w:rsidRPr="00F7226D" w:rsidRDefault="00CD3039" w:rsidP="00CD3039">
      <w:pPr>
        <w:suppressAutoHyphens/>
        <w:spacing w:line="360" w:lineRule="auto"/>
        <w:ind w:left="708"/>
        <w:jc w:val="both"/>
        <w:rPr>
          <w:rFonts w:ascii="Palatino Linotype" w:eastAsia="MS Mincho" w:hAnsi="Palatino Linotype"/>
          <w:b/>
          <w:i/>
          <w:color w:val="000000"/>
          <w:lang w:val="es-ES_tradnl" w:eastAsia="en-US"/>
        </w:rPr>
      </w:pPr>
    </w:p>
    <w:p w14:paraId="47E18DB3" w14:textId="77777777" w:rsidR="00CD3039" w:rsidRPr="00F7226D" w:rsidRDefault="00CD3039" w:rsidP="00CD3039">
      <w:pPr>
        <w:tabs>
          <w:tab w:val="left" w:pos="426"/>
        </w:tabs>
        <w:spacing w:line="360" w:lineRule="auto"/>
        <w:ind w:left="567" w:right="616"/>
        <w:contextualSpacing/>
        <w:jc w:val="both"/>
        <w:rPr>
          <w:rFonts w:ascii="Palatino Linotype" w:hAnsi="Palatino Linotype"/>
          <w:i/>
        </w:rPr>
      </w:pPr>
      <w:r w:rsidRPr="00F7226D">
        <w:rPr>
          <w:rFonts w:ascii="Palatino Linotype" w:hAnsi="Palatino Linotype"/>
          <w:i/>
          <w:lang w:val="es-MX"/>
        </w:rPr>
        <w:t>“</w:t>
      </w:r>
      <w:r w:rsidRPr="00F7226D">
        <w:rPr>
          <w:rFonts w:ascii="Palatino Linotype" w:hAnsi="Palatino Linotype"/>
          <w:b/>
          <w:i/>
        </w:rPr>
        <w:t>PRIMERO.</w:t>
      </w:r>
      <w:r w:rsidRPr="00F7226D">
        <w:rPr>
          <w:rFonts w:ascii="Palatino Linotype" w:hAnsi="Palatino Linotype"/>
          <w:i/>
        </w:rPr>
        <w:t xml:space="preserve"> Resultan fundadas las razones o motivos de inconformidad hechos valer en el recurso de revisión 01148/INFOEM/IP/RR/2023 en términos del Considerando CUARTO y SEXTO de la presente resolución. </w:t>
      </w:r>
    </w:p>
    <w:p w14:paraId="04A96351" w14:textId="77777777" w:rsidR="00CD3039" w:rsidRPr="00F7226D" w:rsidRDefault="00CD3039" w:rsidP="00CD3039">
      <w:pPr>
        <w:tabs>
          <w:tab w:val="left" w:pos="426"/>
        </w:tabs>
        <w:spacing w:line="360" w:lineRule="auto"/>
        <w:ind w:left="567" w:right="616"/>
        <w:contextualSpacing/>
        <w:jc w:val="both"/>
        <w:rPr>
          <w:rFonts w:ascii="Palatino Linotype" w:hAnsi="Palatino Linotype"/>
          <w:i/>
        </w:rPr>
      </w:pPr>
    </w:p>
    <w:p w14:paraId="214F23ED" w14:textId="77777777" w:rsidR="004A7292" w:rsidRPr="00F7226D" w:rsidRDefault="00CD3039" w:rsidP="00CD3039">
      <w:pPr>
        <w:tabs>
          <w:tab w:val="left" w:pos="426"/>
        </w:tabs>
        <w:spacing w:line="360" w:lineRule="auto"/>
        <w:ind w:left="567" w:right="616"/>
        <w:contextualSpacing/>
        <w:jc w:val="both"/>
        <w:rPr>
          <w:rFonts w:ascii="Palatino Linotype" w:hAnsi="Palatino Linotype"/>
          <w:i/>
        </w:rPr>
      </w:pPr>
      <w:r w:rsidRPr="00F7226D">
        <w:rPr>
          <w:rFonts w:ascii="Palatino Linotype" w:hAnsi="Palatino Linotype"/>
          <w:b/>
          <w:i/>
        </w:rPr>
        <w:t>SEGUNDO.</w:t>
      </w:r>
      <w:r w:rsidRPr="00F7226D">
        <w:rPr>
          <w:rFonts w:ascii="Palatino Linotype" w:hAnsi="Palatino Linotype"/>
          <w:i/>
        </w:rPr>
        <w:t xml:space="preserve"> Se ORDENA al Ayuntamiento de Zinacantepec dar atención a la solicitud de información 00135/ZINACANT/IP/2023 y entregar vía Sistema de Acceso a la Información Mexiquense (SAIMEX), de ser procedente en versión pública, los documentos en donde consten:</w:t>
      </w:r>
    </w:p>
    <w:p w14:paraId="58A162D8" w14:textId="77777777" w:rsidR="004A7292" w:rsidRPr="00F7226D" w:rsidRDefault="004A7292" w:rsidP="00CD3039">
      <w:pPr>
        <w:tabs>
          <w:tab w:val="left" w:pos="426"/>
        </w:tabs>
        <w:spacing w:line="360" w:lineRule="auto"/>
        <w:ind w:left="567" w:right="616"/>
        <w:contextualSpacing/>
        <w:jc w:val="both"/>
        <w:rPr>
          <w:rFonts w:ascii="Palatino Linotype" w:hAnsi="Palatino Linotype"/>
          <w:i/>
        </w:rPr>
      </w:pPr>
    </w:p>
    <w:p w14:paraId="7153C0C9" w14:textId="74220832" w:rsidR="00CD3039" w:rsidRPr="00F7226D" w:rsidRDefault="00CD3039" w:rsidP="00CD3039">
      <w:pPr>
        <w:tabs>
          <w:tab w:val="left" w:pos="426"/>
        </w:tabs>
        <w:spacing w:line="360" w:lineRule="auto"/>
        <w:ind w:left="567" w:right="616"/>
        <w:contextualSpacing/>
        <w:jc w:val="both"/>
        <w:rPr>
          <w:rFonts w:ascii="Palatino Linotype" w:hAnsi="Palatino Linotype"/>
          <w:i/>
        </w:rPr>
      </w:pPr>
      <w:r w:rsidRPr="00F7226D">
        <w:rPr>
          <w:rFonts w:ascii="Palatino Linotype" w:hAnsi="Palatino Linotype"/>
          <w:i/>
        </w:rPr>
        <w:t xml:space="preserve"> a) Facturas pagadas del primero (01) al veintisiete (27) de enero de dos mil veintitrés. Para efectos de lo anterior se deberá emitir el Acuerdo del Comité de Transparencia en términos de los artículos 49 fracción VIII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6FDB5F74" w14:textId="77777777" w:rsidR="00CD3039" w:rsidRPr="00F7226D" w:rsidRDefault="00CD3039" w:rsidP="00CD3039">
      <w:pPr>
        <w:tabs>
          <w:tab w:val="left" w:pos="426"/>
        </w:tabs>
        <w:spacing w:line="360" w:lineRule="auto"/>
        <w:ind w:left="567" w:right="616"/>
        <w:contextualSpacing/>
        <w:jc w:val="both"/>
        <w:rPr>
          <w:rFonts w:ascii="Palatino Linotype" w:hAnsi="Palatino Linotype"/>
          <w:i/>
        </w:rPr>
      </w:pPr>
    </w:p>
    <w:p w14:paraId="6364D0B9" w14:textId="3517DF39" w:rsidR="00CD3039" w:rsidRPr="00F7226D" w:rsidRDefault="00CD3039" w:rsidP="00CD3039">
      <w:pPr>
        <w:tabs>
          <w:tab w:val="left" w:pos="426"/>
        </w:tabs>
        <w:spacing w:line="360" w:lineRule="auto"/>
        <w:ind w:left="567" w:right="616"/>
        <w:contextualSpacing/>
        <w:jc w:val="both"/>
        <w:rPr>
          <w:rFonts w:ascii="Palatino Linotype" w:hAnsi="Palatino Linotype"/>
          <w:i/>
        </w:rPr>
      </w:pPr>
      <w:r w:rsidRPr="00F7226D">
        <w:rPr>
          <w:rFonts w:ascii="Palatino Linotype" w:hAnsi="Palatino Linotype"/>
          <w:b/>
          <w:i/>
        </w:rPr>
        <w:t>TERCERO.</w:t>
      </w:r>
      <w:r w:rsidRPr="00F7226D">
        <w:rPr>
          <w:rFonts w:ascii="Palatino Linotype" w:hAnsi="Palatino Linotype"/>
          <w:i/>
        </w:rPr>
        <w:t xml:space="preserve"> Notifíquese la presente resolución al Titular de la Unidad de Transparencia del Sujeto Obligado, para que conforme al artículo 186 último </w:t>
      </w:r>
      <w:r w:rsidRPr="00F7226D">
        <w:rPr>
          <w:rFonts w:ascii="Palatino Linotype" w:hAnsi="Palatino Linotype"/>
          <w:i/>
        </w:rPr>
        <w:lastRenderedPageBreak/>
        <w:t>párrafo, 189 segundo párrafo y 194 de la Ley de Transparencia y Acceso a la Información Pública del Estado de México y Municipios; dé cumplimiento a lo</w:t>
      </w:r>
    </w:p>
    <w:p w14:paraId="4259DBE6" w14:textId="77777777" w:rsidR="004A7292" w:rsidRPr="00F7226D" w:rsidRDefault="00CD3039" w:rsidP="00CD3039">
      <w:pPr>
        <w:tabs>
          <w:tab w:val="left" w:pos="426"/>
        </w:tabs>
        <w:spacing w:line="360" w:lineRule="auto"/>
        <w:ind w:left="567" w:right="616"/>
        <w:contextualSpacing/>
        <w:jc w:val="both"/>
        <w:rPr>
          <w:rFonts w:ascii="Palatino Linotype" w:hAnsi="Palatino Linotype"/>
          <w:i/>
        </w:rPr>
      </w:pPr>
      <w:r w:rsidRPr="00F7226D">
        <w:rPr>
          <w:rFonts w:ascii="Palatino Linotype" w:hAnsi="Palatino Linotype"/>
          <w:i/>
        </w:rPr>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5C4F1E8" w14:textId="77777777" w:rsidR="004A7292" w:rsidRPr="00F7226D" w:rsidRDefault="004A7292" w:rsidP="00CD3039">
      <w:pPr>
        <w:tabs>
          <w:tab w:val="left" w:pos="426"/>
        </w:tabs>
        <w:spacing w:line="360" w:lineRule="auto"/>
        <w:ind w:left="567" w:right="616"/>
        <w:contextualSpacing/>
        <w:jc w:val="both"/>
        <w:rPr>
          <w:rFonts w:ascii="Palatino Linotype" w:hAnsi="Palatino Linotype"/>
          <w:i/>
        </w:rPr>
      </w:pPr>
    </w:p>
    <w:p w14:paraId="7F812918" w14:textId="77777777" w:rsidR="004A7292" w:rsidRPr="00F7226D" w:rsidRDefault="00CD3039" w:rsidP="00CD3039">
      <w:pPr>
        <w:tabs>
          <w:tab w:val="left" w:pos="426"/>
        </w:tabs>
        <w:spacing w:line="360" w:lineRule="auto"/>
        <w:ind w:left="567" w:right="616"/>
        <w:contextualSpacing/>
        <w:jc w:val="both"/>
        <w:rPr>
          <w:rFonts w:ascii="Palatino Linotype" w:hAnsi="Palatino Linotype"/>
          <w:i/>
        </w:rPr>
      </w:pPr>
      <w:r w:rsidRPr="00F7226D">
        <w:rPr>
          <w:rFonts w:ascii="Palatino Linotype" w:hAnsi="Palatino Linotype"/>
          <w:i/>
        </w:rPr>
        <w:t xml:space="preserve"> </w:t>
      </w:r>
      <w:r w:rsidRPr="00F7226D">
        <w:rPr>
          <w:rFonts w:ascii="Palatino Linotype" w:hAnsi="Palatino Linotype"/>
          <w:b/>
          <w:i/>
        </w:rPr>
        <w:t>CUARTO.</w:t>
      </w:r>
      <w:r w:rsidRPr="00F7226D">
        <w:rPr>
          <w:rFonts w:ascii="Palatino Linotype" w:hAnsi="Palatino Linotype"/>
          <w:i/>
        </w:rPr>
        <w:t xml:space="preserve"> Notifíquese a la parte RECURRENTE la presente resolución vía Sistema de Acceso a Información Mexiquense (SAIMEX). </w:t>
      </w:r>
    </w:p>
    <w:p w14:paraId="74C9203D" w14:textId="77777777" w:rsidR="004A7292" w:rsidRPr="00F7226D" w:rsidRDefault="004A7292" w:rsidP="00CD3039">
      <w:pPr>
        <w:tabs>
          <w:tab w:val="left" w:pos="426"/>
        </w:tabs>
        <w:spacing w:line="360" w:lineRule="auto"/>
        <w:ind w:left="567" w:right="616"/>
        <w:contextualSpacing/>
        <w:jc w:val="both"/>
        <w:rPr>
          <w:rFonts w:ascii="Palatino Linotype" w:hAnsi="Palatino Linotype"/>
          <w:i/>
        </w:rPr>
      </w:pPr>
    </w:p>
    <w:p w14:paraId="62E6B59A" w14:textId="77777777" w:rsidR="004A7292" w:rsidRPr="00F7226D" w:rsidRDefault="00CD3039" w:rsidP="00CD3039">
      <w:pPr>
        <w:tabs>
          <w:tab w:val="left" w:pos="426"/>
        </w:tabs>
        <w:spacing w:line="360" w:lineRule="auto"/>
        <w:ind w:left="567" w:right="616"/>
        <w:contextualSpacing/>
        <w:jc w:val="both"/>
        <w:rPr>
          <w:rFonts w:ascii="Palatino Linotype" w:hAnsi="Palatino Linotype"/>
          <w:i/>
        </w:rPr>
      </w:pPr>
      <w:r w:rsidRPr="00F7226D">
        <w:rPr>
          <w:rFonts w:ascii="Palatino Linotype" w:hAnsi="Palatino Linotype"/>
          <w:b/>
          <w:i/>
        </w:rPr>
        <w:t>QUINTO.</w:t>
      </w:r>
      <w:r w:rsidRPr="00F7226D">
        <w:rPr>
          <w:rFonts w:ascii="Palatino Linotype" w:hAnsi="Palatino Linotype"/>
          <w:i/>
        </w:rPr>
        <w:t xml:space="preserve"> Se hace del conocimiento de la parte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236A62C" w14:textId="77777777" w:rsidR="004A7292" w:rsidRPr="00F7226D" w:rsidRDefault="004A7292" w:rsidP="00CD3039">
      <w:pPr>
        <w:tabs>
          <w:tab w:val="left" w:pos="426"/>
        </w:tabs>
        <w:spacing w:line="360" w:lineRule="auto"/>
        <w:ind w:left="567" w:right="616"/>
        <w:contextualSpacing/>
        <w:jc w:val="both"/>
        <w:rPr>
          <w:rFonts w:ascii="Palatino Linotype" w:hAnsi="Palatino Linotype"/>
          <w:i/>
        </w:rPr>
      </w:pPr>
    </w:p>
    <w:p w14:paraId="1591D541" w14:textId="77777777" w:rsidR="004A7292" w:rsidRPr="00F7226D" w:rsidRDefault="00CD3039" w:rsidP="00CD3039">
      <w:pPr>
        <w:tabs>
          <w:tab w:val="left" w:pos="426"/>
        </w:tabs>
        <w:spacing w:line="360" w:lineRule="auto"/>
        <w:ind w:left="567" w:right="616"/>
        <w:contextualSpacing/>
        <w:jc w:val="both"/>
        <w:rPr>
          <w:rFonts w:ascii="Palatino Linotype" w:hAnsi="Palatino Linotype"/>
          <w:i/>
        </w:rPr>
      </w:pPr>
      <w:r w:rsidRPr="00F7226D">
        <w:rPr>
          <w:rFonts w:ascii="Palatino Linotype" w:hAnsi="Palatino Linotype"/>
          <w:b/>
          <w:i/>
        </w:rPr>
        <w:t>SEXTO.</w:t>
      </w:r>
      <w:r w:rsidRPr="00F7226D">
        <w:rPr>
          <w:rFonts w:ascii="Palatino Linotype" w:hAnsi="Palatino Linotype"/>
          <w:i/>
        </w:rPr>
        <w:t xml:space="preserve"> Hágase del conocimiento de la parte RECURRENTE que las respuestas que dé el SUJETO OBLIGADO derivada de la presente resolución son susceptibles de ser impugnadas nuevamente, mediante recurso de revisión, ante el Instituto, en términos del artículo 179, último párrafo de la Ley de </w:t>
      </w:r>
      <w:r w:rsidRPr="00F7226D">
        <w:rPr>
          <w:rFonts w:ascii="Palatino Linotype" w:hAnsi="Palatino Linotype"/>
          <w:i/>
        </w:rPr>
        <w:lastRenderedPageBreak/>
        <w:t xml:space="preserve">Transparencia y Acceso a la Información Pública del Estado de México y Municipios. </w:t>
      </w:r>
    </w:p>
    <w:p w14:paraId="4FFA3D45" w14:textId="77777777" w:rsidR="004A7292" w:rsidRPr="00F7226D" w:rsidRDefault="004A7292" w:rsidP="00CD3039">
      <w:pPr>
        <w:tabs>
          <w:tab w:val="left" w:pos="426"/>
        </w:tabs>
        <w:spacing w:line="360" w:lineRule="auto"/>
        <w:ind w:left="567" w:right="616"/>
        <w:contextualSpacing/>
        <w:jc w:val="both"/>
        <w:rPr>
          <w:rFonts w:ascii="Palatino Linotype" w:hAnsi="Palatino Linotype"/>
          <w:i/>
        </w:rPr>
      </w:pPr>
    </w:p>
    <w:p w14:paraId="28EFCDC6" w14:textId="34D23E96" w:rsidR="00CD3039" w:rsidRPr="00F7226D" w:rsidRDefault="00CD3039" w:rsidP="004A7292">
      <w:pPr>
        <w:tabs>
          <w:tab w:val="left" w:pos="426"/>
        </w:tabs>
        <w:spacing w:line="360" w:lineRule="auto"/>
        <w:ind w:left="567" w:right="616"/>
        <w:contextualSpacing/>
        <w:jc w:val="both"/>
        <w:rPr>
          <w:rFonts w:ascii="Palatino Linotype" w:hAnsi="Palatino Linotype"/>
          <w:i/>
        </w:rPr>
      </w:pPr>
      <w:r w:rsidRPr="00F7226D">
        <w:rPr>
          <w:rFonts w:ascii="Palatino Linotype" w:hAnsi="Palatino Linotype"/>
          <w:b/>
          <w:i/>
        </w:rPr>
        <w:t>SÉPTIMO.</w:t>
      </w:r>
      <w:r w:rsidRPr="00F7226D">
        <w:rPr>
          <w:rFonts w:ascii="Palatino Linotype" w:hAnsi="Palatino Linotype"/>
          <w:i/>
        </w:rPr>
        <w:t xml:space="preserve"> Gírese oficio al área competente de este Instituto para hacer de su conocimiento la presente resolución, a fin de que en ejercicio de sus atribuciones y</w:t>
      </w:r>
      <w:r w:rsidR="004A7292" w:rsidRPr="00F7226D">
        <w:rPr>
          <w:rFonts w:ascii="Palatino Linotype" w:hAnsi="Palatino Linotype"/>
          <w:i/>
        </w:rPr>
        <w:t xml:space="preserve"> </w:t>
      </w:r>
      <w:r w:rsidRPr="00F7226D">
        <w:rPr>
          <w:rFonts w:ascii="Palatino Linotype" w:hAnsi="Palatino Linotype"/>
          <w:i/>
        </w:rPr>
        <w:t>de conformidad con el artículo 190, de la Ley de Transparencia y Acceso a la Información Pública del Estado de México y Municipios, determine lo conducente, en términos de lo señalado en el Considerando QUINTO de la presente resolución.”</w:t>
      </w:r>
      <w:r w:rsidRPr="00F7226D">
        <w:rPr>
          <w:rFonts w:ascii="Palatino Linotype" w:hAnsi="Palatino Linotype"/>
          <w:i/>
          <w:lang w:val="es-MX"/>
        </w:rPr>
        <w:t xml:space="preserve"> (Sic)</w:t>
      </w:r>
    </w:p>
    <w:p w14:paraId="12B5EC57" w14:textId="77777777" w:rsidR="00CD3039" w:rsidRPr="00F7226D" w:rsidRDefault="00CD3039" w:rsidP="00CD3039">
      <w:pPr>
        <w:tabs>
          <w:tab w:val="left" w:pos="426"/>
        </w:tabs>
        <w:spacing w:line="360" w:lineRule="auto"/>
        <w:ind w:right="616"/>
        <w:contextualSpacing/>
        <w:jc w:val="both"/>
        <w:rPr>
          <w:rFonts w:ascii="Palatino Linotype" w:eastAsia="MS Mincho" w:hAnsi="Palatino Linotype"/>
          <w:b/>
          <w:i/>
          <w:color w:val="000000"/>
          <w:lang w:val="es-ES_tradnl" w:eastAsia="en-US"/>
        </w:rPr>
      </w:pPr>
    </w:p>
    <w:p w14:paraId="68387D0D" w14:textId="31003C47" w:rsidR="00CD3039" w:rsidRPr="00F7226D" w:rsidRDefault="004A7292" w:rsidP="00CD3039">
      <w:pPr>
        <w:numPr>
          <w:ilvl w:val="0"/>
          <w:numId w:val="10"/>
        </w:numPr>
        <w:suppressAutoHyphens/>
        <w:spacing w:before="240" w:after="240" w:line="360" w:lineRule="auto"/>
        <w:ind w:left="0" w:firstLine="0"/>
        <w:contextualSpacing/>
        <w:jc w:val="both"/>
        <w:rPr>
          <w:rFonts w:ascii="Palatino Linotype" w:eastAsia="Calibri" w:hAnsi="Palatino Linotype" w:cs="Arial"/>
          <w:lang w:eastAsia="es-MX"/>
        </w:rPr>
      </w:pPr>
      <w:r w:rsidRPr="00F7226D">
        <w:rPr>
          <w:rFonts w:ascii="Palatino Linotype" w:eastAsia="Calibri" w:hAnsi="Palatino Linotype" w:cs="Arial"/>
          <w:lang w:eastAsia="es-MX"/>
        </w:rPr>
        <w:t>El veinticuatro (24</w:t>
      </w:r>
      <w:r w:rsidR="00CD3039" w:rsidRPr="00F7226D">
        <w:rPr>
          <w:rFonts w:ascii="Palatino Linotype" w:eastAsia="Calibri" w:hAnsi="Palatino Linotype" w:cs="Arial"/>
          <w:lang w:eastAsia="es-MX"/>
        </w:rPr>
        <w:t>) de</w:t>
      </w:r>
      <w:r w:rsidRPr="00F7226D">
        <w:rPr>
          <w:rFonts w:ascii="Palatino Linotype" w:eastAsia="Calibri" w:hAnsi="Palatino Linotype" w:cs="Arial"/>
          <w:lang w:eastAsia="es-MX"/>
        </w:rPr>
        <w:t xml:space="preserve"> abril</w:t>
      </w:r>
      <w:r w:rsidR="00CD3039" w:rsidRPr="00F7226D">
        <w:rPr>
          <w:rFonts w:ascii="Palatino Linotype" w:eastAsia="Calibri" w:hAnsi="Palatino Linotype" w:cs="Arial"/>
          <w:lang w:eastAsia="es-MX"/>
        </w:rPr>
        <w:t xml:space="preserve"> de dos mil veintitrés, se notificó por medio del Sistema de Acceso a la Información Mexiquense </w:t>
      </w:r>
      <w:r w:rsidR="00CD3039" w:rsidRPr="00F7226D">
        <w:rPr>
          <w:rFonts w:ascii="Palatino Linotype" w:eastAsia="Calibri" w:hAnsi="Palatino Linotype" w:cs="Arial"/>
          <w:b/>
          <w:lang w:eastAsia="es-MX"/>
        </w:rPr>
        <w:t xml:space="preserve">(SAIMEX) </w:t>
      </w:r>
      <w:r w:rsidR="00CD3039" w:rsidRPr="00F7226D">
        <w:rPr>
          <w:rFonts w:ascii="Palatino Linotype" w:eastAsia="Calibri" w:hAnsi="Palatino Linotype" w:cs="Arial"/>
          <w:lang w:eastAsia="es-MX"/>
        </w:rPr>
        <w:t xml:space="preserve">a las partes, la resolución de los Medios de Impugnación </w:t>
      </w:r>
      <w:r w:rsidRPr="00F7226D">
        <w:rPr>
          <w:rFonts w:ascii="Palatino Linotype" w:eastAsia="Calibri" w:hAnsi="Palatino Linotype" w:cs="Arial"/>
          <w:b/>
          <w:lang w:val="es-ES_tradnl" w:eastAsia="es-MX"/>
        </w:rPr>
        <w:t>01148/INFOEM/IP/RR/2023.</w:t>
      </w:r>
    </w:p>
    <w:p w14:paraId="5A224572" w14:textId="77777777" w:rsidR="00CD3039" w:rsidRPr="00F7226D" w:rsidRDefault="00CD3039" w:rsidP="00CD3039">
      <w:pPr>
        <w:spacing w:before="240" w:after="240" w:line="360" w:lineRule="auto"/>
        <w:contextualSpacing/>
        <w:jc w:val="both"/>
        <w:rPr>
          <w:rFonts w:ascii="Palatino Linotype" w:eastAsia="Calibri" w:hAnsi="Palatino Linotype" w:cs="Arial"/>
          <w:lang w:eastAsia="es-MX"/>
        </w:rPr>
      </w:pPr>
    </w:p>
    <w:p w14:paraId="6FCF0B91" w14:textId="6F1AC70D" w:rsidR="00CD3039" w:rsidRPr="00F7226D" w:rsidRDefault="00CD3039" w:rsidP="004A7292">
      <w:pPr>
        <w:numPr>
          <w:ilvl w:val="0"/>
          <w:numId w:val="10"/>
        </w:numPr>
        <w:tabs>
          <w:tab w:val="left" w:pos="567"/>
        </w:tabs>
        <w:suppressAutoHyphens/>
        <w:spacing w:before="240" w:after="240" w:line="360" w:lineRule="auto"/>
        <w:ind w:left="0" w:right="49" w:firstLine="0"/>
        <w:contextualSpacing/>
        <w:jc w:val="both"/>
        <w:rPr>
          <w:rFonts w:ascii="Palatino Linotype" w:eastAsia="Calibri" w:hAnsi="Palatino Linotype" w:cs="Arial"/>
          <w:lang w:eastAsia="es-MX"/>
        </w:rPr>
      </w:pPr>
      <w:r w:rsidRPr="00F7226D">
        <w:rPr>
          <w:rFonts w:ascii="Palatino Linotype" w:eastAsia="Calibri" w:hAnsi="Palatino Linotype" w:cs="Arial"/>
          <w:lang w:eastAsia="es-MX"/>
        </w:rPr>
        <w:t>Así las cosas, y en términos del artículo 179</w:t>
      </w:r>
      <w:r w:rsidRPr="00F7226D">
        <w:rPr>
          <w:rFonts w:ascii="Palatino Linotype" w:eastAsia="Calibri" w:hAnsi="Palatino Linotype" w:cs="Arial"/>
          <w:vertAlign w:val="superscript"/>
          <w:lang w:eastAsia="es-MX"/>
        </w:rPr>
        <w:footnoteReference w:id="1"/>
      </w:r>
      <w:r w:rsidRPr="00F7226D">
        <w:rPr>
          <w:rFonts w:ascii="Palatino Linotype" w:eastAsia="Calibri" w:hAnsi="Palatino Linotype" w:cs="Arial"/>
          <w:lang w:eastAsia="es-MX"/>
        </w:rPr>
        <w:t>, último párrafo de la Ley de Transparencia y Acceso a la Información Pública del Estado de Méx</w:t>
      </w:r>
      <w:r w:rsidR="004A7292" w:rsidRPr="00F7226D">
        <w:rPr>
          <w:rFonts w:ascii="Palatino Linotype" w:eastAsia="Calibri" w:hAnsi="Palatino Linotype" w:cs="Arial"/>
          <w:lang w:eastAsia="es-MX"/>
        </w:rPr>
        <w:t>ico y , Municipios el dieciséis (16</w:t>
      </w:r>
      <w:r w:rsidRPr="00F7226D">
        <w:rPr>
          <w:rFonts w:ascii="Palatino Linotype" w:eastAsia="Calibri" w:hAnsi="Palatino Linotype" w:cs="Arial"/>
          <w:lang w:eastAsia="es-MX"/>
        </w:rPr>
        <w:t xml:space="preserve">) </w:t>
      </w:r>
      <w:r w:rsidR="004A7292" w:rsidRPr="00F7226D">
        <w:rPr>
          <w:rFonts w:ascii="Palatino Linotype" w:eastAsia="Calibri" w:hAnsi="Palatino Linotype" w:cs="Arial"/>
          <w:lang w:eastAsia="es-MX"/>
        </w:rPr>
        <w:t>de mayo</w:t>
      </w:r>
      <w:r w:rsidRPr="00F7226D">
        <w:rPr>
          <w:rFonts w:ascii="Palatino Linotype" w:eastAsia="Calibri" w:hAnsi="Palatino Linotype" w:cs="Arial"/>
          <w:lang w:eastAsia="es-MX"/>
        </w:rPr>
        <w:t xml:space="preserve"> de dos mil veintitrés</w:t>
      </w:r>
      <w:r w:rsidRPr="00F7226D">
        <w:rPr>
          <w:rFonts w:ascii="Palatino Linotype" w:hAnsi="Palatino Linotype" w:cs="Tahoma"/>
          <w:lang w:eastAsia="es-MX"/>
        </w:rPr>
        <w:t>, el Particular interpuso los Recursos de Revisión</w:t>
      </w:r>
      <w:r w:rsidRPr="00F7226D">
        <w:rPr>
          <w:rFonts w:ascii="Palatino Linotype" w:eastAsia="Calibri" w:hAnsi="Palatino Linotype" w:cs="Arial"/>
          <w:lang w:eastAsia="es-MX"/>
        </w:rPr>
        <w:t xml:space="preserve"> </w:t>
      </w:r>
      <w:r w:rsidR="004A7292" w:rsidRPr="00F7226D">
        <w:rPr>
          <w:rFonts w:ascii="Palatino Linotype" w:eastAsia="Calibri" w:hAnsi="Palatino Linotype" w:cs="Arial"/>
          <w:b/>
          <w:lang w:eastAsia="es-MX"/>
        </w:rPr>
        <w:t>01148/INFOEM/ICR-254/IP/RR/2023</w:t>
      </w:r>
      <w:r w:rsidRPr="00F7226D">
        <w:rPr>
          <w:rFonts w:ascii="Palatino Linotype" w:hAnsi="Palatino Linotype" w:cs="Tahoma"/>
          <w:lang w:eastAsia="es-MX"/>
        </w:rPr>
        <w:t xml:space="preserve">, a través del Sistema de Acceso a la Información Mexiquense </w:t>
      </w:r>
      <w:r w:rsidRPr="00F7226D">
        <w:rPr>
          <w:rFonts w:ascii="Palatino Linotype" w:hAnsi="Palatino Linotype" w:cs="Tahoma"/>
          <w:b/>
          <w:lang w:eastAsia="es-MX"/>
        </w:rPr>
        <w:t>(SAIMEX),</w:t>
      </w:r>
      <w:r w:rsidRPr="00F7226D">
        <w:rPr>
          <w:rFonts w:ascii="Palatino Linotype" w:hAnsi="Palatino Linotype" w:cs="Tahoma"/>
          <w:lang w:eastAsia="es-MX"/>
        </w:rPr>
        <w:t xml:space="preserve"> en contra de la falta de </w:t>
      </w:r>
      <w:r w:rsidRPr="00F7226D">
        <w:rPr>
          <w:rFonts w:ascii="Palatino Linotype" w:hAnsi="Palatino Linotype" w:cs="Tahoma"/>
          <w:lang w:eastAsia="es-MX"/>
        </w:rPr>
        <w:lastRenderedPageBreak/>
        <w:t xml:space="preserve">cumplimiento a la resolución emitida en los recursos </w:t>
      </w:r>
      <w:r w:rsidR="004A7292" w:rsidRPr="00F7226D">
        <w:rPr>
          <w:rFonts w:ascii="Palatino Linotype" w:eastAsia="Calibri" w:hAnsi="Palatino Linotype" w:cs="Arial"/>
          <w:b/>
          <w:lang w:val="es-ES_tradnl" w:eastAsia="es-MX"/>
        </w:rPr>
        <w:t>1148/INFOEM/IP/RR/2022</w:t>
      </w:r>
      <w:r w:rsidRPr="00F7226D">
        <w:rPr>
          <w:rFonts w:ascii="Palatino Linotype" w:hAnsi="Palatino Linotype" w:cs="Tahoma"/>
          <w:lang w:eastAsia="es-MX"/>
        </w:rPr>
        <w:t>; manifestando como agravios , en todos los casos, los siguientes:</w:t>
      </w:r>
    </w:p>
    <w:p w14:paraId="74FB9BC1" w14:textId="77777777" w:rsidR="00CD3039" w:rsidRPr="00F7226D" w:rsidRDefault="00CD3039" w:rsidP="00CD3039">
      <w:pPr>
        <w:widowControl w:val="0"/>
        <w:spacing w:line="360" w:lineRule="auto"/>
        <w:ind w:left="567" w:right="1183" w:hanging="141"/>
        <w:contextualSpacing/>
        <w:jc w:val="both"/>
        <w:rPr>
          <w:rFonts w:ascii="Palatino Linotype" w:hAnsi="Palatino Linotype" w:cs="Tahoma"/>
          <w:b/>
          <w:bCs/>
          <w:lang w:eastAsia="es-MX"/>
        </w:rPr>
      </w:pPr>
    </w:p>
    <w:p w14:paraId="73933279" w14:textId="77777777" w:rsidR="00CD3039" w:rsidRPr="00F7226D" w:rsidRDefault="00CD3039" w:rsidP="00CD3039">
      <w:pPr>
        <w:numPr>
          <w:ilvl w:val="0"/>
          <w:numId w:val="11"/>
        </w:numPr>
        <w:suppressAutoHyphens/>
        <w:spacing w:line="360" w:lineRule="auto"/>
        <w:ind w:left="567" w:right="1183" w:hanging="141"/>
        <w:contextualSpacing/>
        <w:jc w:val="both"/>
        <w:rPr>
          <w:rFonts w:ascii="Palatino Linotype" w:hAnsi="Palatino Linotype"/>
          <w:b/>
          <w:i/>
          <w:lang w:eastAsia="en-US"/>
        </w:rPr>
      </w:pPr>
      <w:r w:rsidRPr="00F7226D">
        <w:rPr>
          <w:rFonts w:ascii="Palatino Linotype" w:hAnsi="Palatino Linotype"/>
          <w:b/>
          <w:lang w:eastAsia="en-US"/>
        </w:rPr>
        <w:t>Acto impugnado</w:t>
      </w:r>
      <w:r w:rsidRPr="00F7226D">
        <w:rPr>
          <w:rFonts w:ascii="Palatino Linotype" w:hAnsi="Palatino Linotype"/>
          <w:b/>
          <w:i/>
          <w:lang w:eastAsia="en-US"/>
        </w:rPr>
        <w:t xml:space="preserve">: </w:t>
      </w:r>
      <w:r w:rsidRPr="00F7226D">
        <w:rPr>
          <w:rFonts w:ascii="Palatino Linotype" w:hAnsi="Palatino Linotype"/>
          <w:i/>
          <w:lang w:eastAsia="en-US"/>
        </w:rPr>
        <w:t>“NO ENTREGA INFORMACIÓN</w:t>
      </w:r>
      <w:r w:rsidRPr="00F7226D">
        <w:rPr>
          <w:rFonts w:ascii="Palatino Linotype" w:hAnsi="Palatino Linotype"/>
          <w:i/>
          <w:lang w:eastAsia="es-MX"/>
        </w:rPr>
        <w:t>”</w:t>
      </w:r>
      <w:r w:rsidRPr="00F7226D">
        <w:rPr>
          <w:rFonts w:ascii="Palatino Linotype" w:eastAsia="Calibri" w:hAnsi="Palatino Linotype" w:cs="Arial"/>
          <w:i/>
          <w:lang w:eastAsia="en-US"/>
        </w:rPr>
        <w:t xml:space="preserve"> (Sic)</w:t>
      </w:r>
    </w:p>
    <w:p w14:paraId="7104336E" w14:textId="77777777" w:rsidR="00CD3039" w:rsidRPr="00F7226D" w:rsidRDefault="00CD3039" w:rsidP="00CD3039">
      <w:pPr>
        <w:spacing w:line="360" w:lineRule="auto"/>
        <w:ind w:left="567" w:right="1183"/>
        <w:contextualSpacing/>
        <w:jc w:val="both"/>
        <w:rPr>
          <w:rFonts w:ascii="Palatino Linotype" w:hAnsi="Palatino Linotype"/>
          <w:b/>
          <w:i/>
          <w:lang w:eastAsia="en-US"/>
        </w:rPr>
      </w:pPr>
      <w:r w:rsidRPr="00F7226D">
        <w:rPr>
          <w:rFonts w:ascii="Palatino Linotype" w:eastAsia="Calibri" w:hAnsi="Palatino Linotype" w:cs="Arial"/>
          <w:i/>
          <w:lang w:eastAsia="en-US"/>
        </w:rPr>
        <w:t xml:space="preserve"> </w:t>
      </w:r>
    </w:p>
    <w:p w14:paraId="4935FD52" w14:textId="77777777" w:rsidR="00CD3039" w:rsidRPr="00F7226D" w:rsidRDefault="00CD3039" w:rsidP="00CD3039">
      <w:pPr>
        <w:numPr>
          <w:ilvl w:val="0"/>
          <w:numId w:val="11"/>
        </w:numPr>
        <w:suppressAutoHyphens/>
        <w:spacing w:line="360" w:lineRule="auto"/>
        <w:ind w:left="567" w:right="1183" w:hanging="141"/>
        <w:contextualSpacing/>
        <w:jc w:val="both"/>
        <w:rPr>
          <w:rFonts w:ascii="Palatino Linotype" w:hAnsi="Palatino Linotype"/>
          <w:b/>
          <w:i/>
          <w:lang w:eastAsia="en-US"/>
        </w:rPr>
      </w:pPr>
      <w:r w:rsidRPr="00F7226D">
        <w:rPr>
          <w:rFonts w:ascii="Palatino Linotype" w:hAnsi="Palatino Linotype"/>
          <w:b/>
          <w:lang w:eastAsia="en-US"/>
        </w:rPr>
        <w:t xml:space="preserve">Razones o Motivos de inconformidad: </w:t>
      </w:r>
      <w:r w:rsidRPr="00F7226D">
        <w:rPr>
          <w:rFonts w:ascii="Palatino Linotype" w:hAnsi="Palatino Linotype"/>
          <w:i/>
          <w:lang w:eastAsia="es-MX"/>
        </w:rPr>
        <w:t>“NO ENTREGA INFORMACIÓN.” (</w:t>
      </w:r>
      <w:r w:rsidRPr="00F7226D">
        <w:rPr>
          <w:rFonts w:ascii="Palatino Linotype" w:hAnsi="Palatino Linotype"/>
          <w:i/>
          <w:lang w:eastAsia="en-US"/>
        </w:rPr>
        <w:t>Sic)</w:t>
      </w:r>
    </w:p>
    <w:p w14:paraId="3743FE18" w14:textId="77777777" w:rsidR="00CD3039" w:rsidRPr="00F7226D" w:rsidRDefault="00CD3039" w:rsidP="00CD3039">
      <w:pPr>
        <w:spacing w:line="360" w:lineRule="auto"/>
        <w:ind w:right="1183"/>
        <w:contextualSpacing/>
        <w:jc w:val="both"/>
        <w:rPr>
          <w:rFonts w:ascii="Palatino Linotype" w:hAnsi="Palatino Linotype"/>
          <w:b/>
          <w:i/>
          <w:lang w:val="es-MX"/>
        </w:rPr>
      </w:pPr>
    </w:p>
    <w:p w14:paraId="4677A740" w14:textId="501A4A0C" w:rsidR="00CD3039" w:rsidRPr="00F7226D" w:rsidRDefault="00CD3039" w:rsidP="00CD3039">
      <w:pPr>
        <w:numPr>
          <w:ilvl w:val="0"/>
          <w:numId w:val="10"/>
        </w:numPr>
        <w:suppressAutoHyphens/>
        <w:spacing w:before="240" w:after="240" w:line="360" w:lineRule="auto"/>
        <w:ind w:left="0" w:firstLine="0"/>
        <w:contextualSpacing/>
        <w:jc w:val="both"/>
        <w:rPr>
          <w:rFonts w:ascii="Palatino Linotype" w:hAnsi="Palatino Linotype"/>
          <w:i/>
          <w:lang w:val="es-ES_tradnl" w:eastAsia="en-US"/>
        </w:rPr>
      </w:pPr>
      <w:r w:rsidRPr="00F7226D">
        <w:rPr>
          <w:rFonts w:ascii="Palatino Linotype" w:hAnsi="Palatino Linotype" w:cs="Arial"/>
          <w:lang w:eastAsia="en-US"/>
        </w:rPr>
        <w:t xml:space="preserve">Se registraron los recursos de revisión bajo el número de expediente </w:t>
      </w:r>
      <w:r w:rsidRPr="00F7226D">
        <w:rPr>
          <w:rFonts w:ascii="Palatino Linotype" w:hAnsi="Palatino Linotype" w:cs="Arial"/>
          <w:bCs/>
          <w:lang w:val="es-ES_tradnl" w:eastAsia="en-US"/>
        </w:rPr>
        <w:t xml:space="preserve">al rubro indicado por lo que, la </w:t>
      </w:r>
      <w:r w:rsidRPr="00F7226D">
        <w:rPr>
          <w:rFonts w:ascii="Palatino Linotype" w:eastAsia="Calibri" w:hAnsi="Palatino Linotype" w:cs="Arial"/>
          <w:lang w:eastAsia="en-US"/>
        </w:rPr>
        <w:t xml:space="preserve"> Comisionada que resolvió, con fundamento en lo dispuesto por el artículo 185 fracción II de la ley de la materia, a través de los  </w:t>
      </w:r>
      <w:r w:rsidR="004A7292" w:rsidRPr="00F7226D">
        <w:rPr>
          <w:rFonts w:ascii="Palatino Linotype" w:eastAsia="Calibri" w:hAnsi="Palatino Linotype" w:cs="Arial"/>
          <w:lang w:eastAsia="en-US"/>
        </w:rPr>
        <w:t>acuerdo de admisión de fecha diecinueve (19</w:t>
      </w:r>
      <w:r w:rsidRPr="00F7226D">
        <w:rPr>
          <w:rFonts w:ascii="Palatino Linotype" w:eastAsia="Calibri" w:hAnsi="Palatino Linotype" w:cs="Arial"/>
          <w:lang w:eastAsia="en-US"/>
        </w:rPr>
        <w:t xml:space="preserve">) </w:t>
      </w:r>
      <w:r w:rsidR="004A7292" w:rsidRPr="00F7226D">
        <w:rPr>
          <w:rFonts w:ascii="Palatino Linotype" w:eastAsia="Calibri" w:hAnsi="Palatino Linotype" w:cs="Arial"/>
          <w:lang w:eastAsia="en-US"/>
        </w:rPr>
        <w:t>d</w:t>
      </w:r>
      <w:r w:rsidRPr="00F7226D">
        <w:rPr>
          <w:rFonts w:ascii="Palatino Linotype" w:eastAsia="Calibri" w:hAnsi="Palatino Linotype" w:cs="Arial"/>
          <w:lang w:eastAsia="en-US"/>
        </w:rPr>
        <w:t>e</w:t>
      </w:r>
      <w:r w:rsidR="004A7292" w:rsidRPr="00F7226D">
        <w:rPr>
          <w:rFonts w:ascii="Palatino Linotype" w:eastAsia="Calibri" w:hAnsi="Palatino Linotype" w:cs="Arial"/>
          <w:lang w:eastAsia="en-US"/>
        </w:rPr>
        <w:t xml:space="preserve"> mayo</w:t>
      </w:r>
      <w:r w:rsidRPr="00F7226D">
        <w:rPr>
          <w:rFonts w:ascii="Palatino Linotype" w:eastAsia="Calibri" w:hAnsi="Palatino Linotype" w:cs="Arial"/>
          <w:lang w:eastAsia="en-US"/>
        </w:rPr>
        <w:t xml:space="preserve"> de dos mil veintitrés, puso a disposición de las partes el expediente electrónico </w:t>
      </w:r>
      <w:r w:rsidRPr="00F7226D">
        <w:rPr>
          <w:rFonts w:ascii="Palatino Linotype" w:eastAsia="Calibri" w:hAnsi="Palatino Linotype" w:cs="Arial"/>
          <w:lang w:val="es-ES_tradnl" w:eastAsia="en-US"/>
        </w:rPr>
        <w:t xml:space="preserve">vía </w:t>
      </w:r>
      <w:r w:rsidRPr="00F7226D">
        <w:rPr>
          <w:rFonts w:ascii="Palatino Linotype" w:eastAsia="Calibri" w:hAnsi="Palatino Linotype" w:cs="Arial"/>
          <w:lang w:eastAsia="en-US"/>
        </w:rPr>
        <w:t xml:space="preserve">Sistema de Acceso a la Información Mexiquense </w:t>
      </w:r>
      <w:r w:rsidRPr="00F7226D">
        <w:rPr>
          <w:rFonts w:ascii="Palatino Linotype" w:eastAsia="Calibri" w:hAnsi="Palatino Linotype" w:cs="Arial"/>
          <w:b/>
          <w:lang w:eastAsia="en-US"/>
        </w:rPr>
        <w:t xml:space="preserve">SAIMEX </w:t>
      </w:r>
      <w:r w:rsidRPr="00F7226D">
        <w:rPr>
          <w:rFonts w:ascii="Palatino Linotype" w:eastAsia="Calibri" w:hAnsi="Palatino Linotype" w:cs="Arial"/>
          <w:lang w:eastAsia="en-US"/>
        </w:rPr>
        <w:t xml:space="preserve">a efecto de que en un plazo máximo de siete días manifestaran lo que a derecho convinieran, ofrecieran pruebas y alegatos según corresponda al caso concreto, de esta forma para que el </w:t>
      </w:r>
      <w:r w:rsidRPr="00F7226D">
        <w:rPr>
          <w:rFonts w:ascii="Palatino Linotype" w:eastAsia="Calibri" w:hAnsi="Palatino Linotype" w:cs="Arial"/>
          <w:b/>
          <w:lang w:eastAsia="en-US"/>
        </w:rPr>
        <w:t>SUJETO OBLIGADO</w:t>
      </w:r>
      <w:r w:rsidRPr="00F7226D">
        <w:rPr>
          <w:rFonts w:ascii="Palatino Linotype" w:eastAsia="Calibri" w:hAnsi="Palatino Linotype" w:cs="Arial"/>
          <w:lang w:eastAsia="en-US"/>
        </w:rPr>
        <w:t xml:space="preserve"> presentará el Informe Justificado correspondiente, situación que no aconteció por ninguna de las partes. </w:t>
      </w:r>
    </w:p>
    <w:p w14:paraId="7758157E" w14:textId="77777777" w:rsidR="00CD3039" w:rsidRPr="00F7226D" w:rsidRDefault="00CD3039" w:rsidP="00CD3039">
      <w:pPr>
        <w:suppressAutoHyphens/>
        <w:spacing w:before="240" w:after="240" w:line="360" w:lineRule="auto"/>
        <w:contextualSpacing/>
        <w:jc w:val="both"/>
        <w:rPr>
          <w:rFonts w:ascii="Palatino Linotype" w:hAnsi="Palatino Linotype"/>
          <w:i/>
          <w:lang w:val="es-ES_tradnl" w:eastAsia="en-US"/>
        </w:rPr>
      </w:pPr>
    </w:p>
    <w:p w14:paraId="1A06EC63" w14:textId="09AAAC96" w:rsidR="0028674A" w:rsidRPr="00F7226D" w:rsidRDefault="00CD3039" w:rsidP="00342812">
      <w:pPr>
        <w:numPr>
          <w:ilvl w:val="0"/>
          <w:numId w:val="10"/>
        </w:numPr>
        <w:tabs>
          <w:tab w:val="left" w:pos="426"/>
        </w:tabs>
        <w:suppressAutoHyphens/>
        <w:spacing w:line="360" w:lineRule="auto"/>
        <w:ind w:left="0" w:firstLine="0"/>
        <w:contextualSpacing/>
        <w:jc w:val="both"/>
        <w:rPr>
          <w:rFonts w:ascii="Palatino Linotype" w:eastAsia="MS Mincho" w:hAnsi="Palatino Linotype"/>
          <w:color w:val="000000"/>
          <w:lang w:val="es-ES_tradnl"/>
        </w:rPr>
      </w:pPr>
      <w:r w:rsidRPr="00F7226D">
        <w:rPr>
          <w:rFonts w:ascii="Palatino Linotype" w:eastAsia="MS Mincho" w:hAnsi="Palatino Linotype"/>
          <w:color w:val="000000"/>
          <w:lang w:val="es-ES_tradnl"/>
        </w:rPr>
        <w:t>Así las cosas, la</w:t>
      </w:r>
      <w:r w:rsidRPr="00F7226D">
        <w:rPr>
          <w:rFonts w:ascii="Palatino Linotype" w:eastAsia="MS Mincho" w:hAnsi="Palatino Linotype"/>
          <w:b/>
          <w:color w:val="000000"/>
          <w:lang w:val="es-ES_tradnl"/>
        </w:rPr>
        <w:t xml:space="preserve"> Comisionada María del Rosario Mejía Ayala</w:t>
      </w:r>
      <w:r w:rsidRPr="00F7226D">
        <w:rPr>
          <w:rFonts w:ascii="Palatino Linotype" w:eastAsia="MS Mincho" w:hAnsi="Palatino Linotype"/>
          <w:color w:val="000000"/>
          <w:lang w:val="es-ES_tradnl"/>
        </w:rPr>
        <w:t xml:space="preserve"> decretó el cierre de instrucción mediante acuerdo de fecha </w:t>
      </w:r>
      <w:r w:rsidR="004A7292" w:rsidRPr="00F7226D">
        <w:rPr>
          <w:rFonts w:ascii="Palatino Linotype" w:eastAsia="MS Mincho" w:hAnsi="Palatino Linotype"/>
          <w:color w:val="000000"/>
          <w:lang w:val="es-ES_tradnl"/>
        </w:rPr>
        <w:t>treinta y uno</w:t>
      </w:r>
      <w:r w:rsidRPr="00F7226D">
        <w:rPr>
          <w:rFonts w:ascii="Palatino Linotype" w:eastAsia="MS Mincho" w:hAnsi="Palatino Linotype"/>
          <w:color w:val="000000"/>
          <w:lang w:val="es-ES_tradnl"/>
        </w:rPr>
        <w:t xml:space="preserve"> </w:t>
      </w:r>
      <w:r w:rsidR="004A7292" w:rsidRPr="00F7226D">
        <w:rPr>
          <w:rFonts w:ascii="Palatino Linotype" w:eastAsia="MS Mincho" w:hAnsi="Palatino Linotype"/>
          <w:color w:val="000000"/>
          <w:lang w:val="es-ES_tradnl"/>
        </w:rPr>
        <w:t>(31</w:t>
      </w:r>
      <w:r w:rsidRPr="00F7226D">
        <w:rPr>
          <w:rFonts w:ascii="Palatino Linotype" w:eastAsia="MS Mincho" w:hAnsi="Palatino Linotype"/>
          <w:color w:val="000000"/>
          <w:lang w:val="es-ES_tradnl"/>
        </w:rPr>
        <w:t>) de</w:t>
      </w:r>
      <w:r w:rsidR="004A7292" w:rsidRPr="00F7226D">
        <w:rPr>
          <w:rFonts w:ascii="Palatino Linotype" w:eastAsia="MS Mincho" w:hAnsi="Palatino Linotype"/>
          <w:color w:val="000000"/>
          <w:lang w:val="es-ES_tradnl"/>
        </w:rPr>
        <w:t xml:space="preserve"> mayo</w:t>
      </w:r>
      <w:r w:rsidRPr="00F7226D">
        <w:rPr>
          <w:rFonts w:ascii="Palatino Linotype" w:eastAsia="MS Mincho" w:hAnsi="Palatino Linotype"/>
          <w:color w:val="000000"/>
          <w:lang w:val="es-ES_tradnl"/>
        </w:rPr>
        <w:t xml:space="preserve"> de dos mil veintitrés. </w:t>
      </w:r>
    </w:p>
    <w:p w14:paraId="494F97AD" w14:textId="77777777" w:rsidR="00EA0165" w:rsidRPr="00F7226D"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10470203"/>
      <w:r w:rsidRPr="00F7226D">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F7226D"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F7226D"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10470204"/>
      <w:r w:rsidRPr="00F7226D">
        <w:rPr>
          <w:rFonts w:ascii="Palatino Linotype" w:hAnsi="Palatino Linotype"/>
          <w:b/>
          <w:color w:val="000000" w:themeColor="text1"/>
          <w:sz w:val="24"/>
          <w:szCs w:val="24"/>
          <w:lang w:val="es-MX" w:eastAsia="en-US"/>
        </w:rPr>
        <w:lastRenderedPageBreak/>
        <w:t>PRIMERO. De la competencia</w:t>
      </w:r>
      <w:bookmarkEnd w:id="9"/>
      <w:bookmarkEnd w:id="10"/>
      <w:bookmarkEnd w:id="11"/>
      <w:r w:rsidR="00537427" w:rsidRPr="00F7226D">
        <w:rPr>
          <w:rFonts w:ascii="Palatino Linotype" w:hAnsi="Palatino Linotype"/>
          <w:b/>
          <w:color w:val="000000" w:themeColor="text1"/>
          <w:sz w:val="24"/>
          <w:szCs w:val="24"/>
          <w:lang w:val="es-MX" w:eastAsia="en-US"/>
        </w:rPr>
        <w:t>.</w:t>
      </w:r>
      <w:bookmarkEnd w:id="12"/>
    </w:p>
    <w:p w14:paraId="341F67EC" w14:textId="77777777" w:rsidR="00EA0165" w:rsidRPr="00F7226D"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186E25E3" w:rsidR="00EA0165" w:rsidRPr="00F7226D" w:rsidRDefault="00EA0165" w:rsidP="00731DB4">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F7226D">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7226D">
        <w:rPr>
          <w:rFonts w:ascii="Palatino Linotype" w:eastAsia="Calibri" w:hAnsi="Palatino Linotype"/>
          <w:b/>
        </w:rPr>
        <w:t>Constitución Política de los Estados Unidos Mexicanos</w:t>
      </w:r>
      <w:r w:rsidRPr="00F7226D">
        <w:rPr>
          <w:rFonts w:ascii="Palatino Linotype" w:eastAsia="Calibri" w:hAnsi="Palatino Linotype"/>
        </w:rPr>
        <w:t xml:space="preserve">; </w:t>
      </w:r>
      <w:r w:rsidRPr="00F7226D">
        <w:rPr>
          <w:rFonts w:ascii="Palatino Linotype" w:eastAsia="Calibri" w:hAnsi="Palatino Linotype" w:cs="Arial"/>
          <w:bCs/>
          <w:color w:val="222222"/>
          <w:shd w:val="clear" w:color="auto" w:fill="FFFFFF"/>
          <w:lang w:eastAsia="en-US"/>
        </w:rPr>
        <w:t>5, párrafo</w:t>
      </w:r>
      <w:r w:rsidR="00543BF9" w:rsidRPr="00F7226D">
        <w:rPr>
          <w:rFonts w:ascii="Palatino Linotype" w:eastAsia="Calibri" w:hAnsi="Palatino Linotype"/>
          <w:lang w:val="es-MX" w:eastAsia="en-US"/>
        </w:rPr>
        <w:t xml:space="preserve"> trigésimo, trigésimo primero y trigésimo segundo, fracciones I, II, III, IV y V</w:t>
      </w:r>
      <w:r w:rsidR="00543BF9" w:rsidRPr="00F7226D">
        <w:rPr>
          <w:rFonts w:ascii="Palatino Linotype" w:eastAsia="MS Mincho" w:hAnsi="Palatino Linotype"/>
          <w:lang w:val="es-ES_tradnl"/>
        </w:rPr>
        <w:t xml:space="preserve"> </w:t>
      </w:r>
      <w:r w:rsidRPr="00F7226D">
        <w:rPr>
          <w:rFonts w:ascii="Palatino Linotype" w:eastAsia="Calibri" w:hAnsi="Palatino Linotype"/>
        </w:rPr>
        <w:t xml:space="preserve">de la </w:t>
      </w:r>
      <w:r w:rsidRPr="00F7226D">
        <w:rPr>
          <w:rFonts w:ascii="Palatino Linotype" w:eastAsia="Calibri" w:hAnsi="Palatino Linotype"/>
          <w:b/>
        </w:rPr>
        <w:t>Constitución Política del Estado Libre y Soberano de México</w:t>
      </w:r>
      <w:r w:rsidRPr="00F7226D">
        <w:rPr>
          <w:rFonts w:ascii="Palatino Linotype" w:eastAsia="Calibri" w:hAnsi="Palatino Linotype"/>
        </w:rPr>
        <w:t xml:space="preserve">; artículos 1, 2 fracción II, 13, 29, 36 fracciones I y II, 176, 178, 179, 181 párrafo tercero y 185 </w:t>
      </w:r>
      <w:r w:rsidRPr="00F7226D">
        <w:rPr>
          <w:rFonts w:ascii="Palatino Linotype" w:eastAsia="Calibri" w:hAnsi="Palatino Linotype" w:cs="Arial"/>
        </w:rPr>
        <w:t xml:space="preserve">de la </w:t>
      </w:r>
      <w:r w:rsidRPr="00F7226D">
        <w:rPr>
          <w:rFonts w:ascii="Palatino Linotype" w:eastAsia="Calibri" w:hAnsi="Palatino Linotype" w:cs="Arial"/>
          <w:b/>
        </w:rPr>
        <w:t>Ley de Transparencia y Acceso a la Información Pública del Estado de México y Municipios</w:t>
      </w:r>
      <w:r w:rsidRPr="00F7226D">
        <w:rPr>
          <w:rFonts w:ascii="Palatino Linotype" w:eastAsia="Calibri" w:hAnsi="Palatino Linotype" w:cs="Arial"/>
        </w:rPr>
        <w:t xml:space="preserve">; </w:t>
      </w:r>
      <w:r w:rsidR="009E2112" w:rsidRPr="00F7226D">
        <w:rPr>
          <w:rFonts w:ascii="Palatino Linotype" w:eastAsia="Calibri" w:hAnsi="Palatino Linotype" w:cs="Arial"/>
          <w:b/>
        </w:rPr>
        <w:t>6, 9 fracciones I y XXIII</w:t>
      </w:r>
      <w:r w:rsidRPr="00F7226D">
        <w:rPr>
          <w:rFonts w:ascii="Palatino Linotype" w:eastAsia="Calibri" w:hAnsi="Palatino Linotype" w:cs="Arial"/>
          <w:b/>
        </w:rPr>
        <w:t>, y 11</w:t>
      </w:r>
      <w:r w:rsidRPr="00F7226D">
        <w:rPr>
          <w:rFonts w:ascii="Palatino Linotype" w:eastAsia="Calibri" w:hAnsi="Palatino Linotype" w:cs="Arial"/>
        </w:rPr>
        <w:t xml:space="preserve"> del </w:t>
      </w:r>
      <w:r w:rsidRPr="00F7226D">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F7226D">
        <w:rPr>
          <w:rFonts w:ascii="Palatino Linotype" w:eastAsia="Calibri" w:hAnsi="Palatino Linotype" w:cs="Arial"/>
          <w:b/>
        </w:rPr>
        <w:t>.</w:t>
      </w:r>
    </w:p>
    <w:p w14:paraId="343B0FCF" w14:textId="413622B7" w:rsidR="00EA0165" w:rsidRPr="00F7226D"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10470205"/>
      <w:r w:rsidRPr="00F7226D">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062082A2" w14:textId="77777777" w:rsidR="00550734" w:rsidRPr="00F7226D" w:rsidRDefault="00550734" w:rsidP="00550734">
      <w:pPr>
        <w:spacing w:line="360" w:lineRule="auto"/>
        <w:jc w:val="both"/>
        <w:rPr>
          <w:rFonts w:ascii="Palatino Linotype" w:hAnsi="Palatino Linotype"/>
          <w:lang w:val="es-MX" w:eastAsia="en-US"/>
        </w:rPr>
      </w:pPr>
    </w:p>
    <w:p w14:paraId="28404364" w14:textId="77777777" w:rsidR="00550734" w:rsidRPr="00F7226D" w:rsidRDefault="00550734" w:rsidP="00550734">
      <w:pPr>
        <w:spacing w:line="360" w:lineRule="auto"/>
        <w:jc w:val="both"/>
        <w:rPr>
          <w:rFonts w:ascii="Palatino Linotype" w:hAnsi="Palatino Linotype"/>
          <w:lang w:val="es-MX" w:eastAsia="en-US"/>
        </w:rPr>
      </w:pPr>
      <w:r w:rsidRPr="00F7226D">
        <w:rPr>
          <w:rFonts w:ascii="Palatino Linotype" w:hAnsi="Palatino Linotype"/>
          <w:lang w:val="es-MX" w:eastAsia="en-US"/>
        </w:rPr>
        <w:t>I</w:t>
      </w:r>
      <w:r w:rsidRPr="00F7226D">
        <w:rPr>
          <w:rFonts w:ascii="Palatino Linotype" w:hAnsi="Palatino Linotype"/>
          <w:b/>
          <w:lang w:val="es-MX" w:eastAsia="en-US"/>
        </w:rPr>
        <w:t>.</w:t>
      </w:r>
      <w:r w:rsidRPr="00F7226D">
        <w:rPr>
          <w:rFonts w:ascii="Palatino Linotype" w:hAnsi="Palatino Linotype"/>
          <w:b/>
          <w:lang w:val="es-MX" w:eastAsia="en-US"/>
        </w:rPr>
        <w:tab/>
        <w:t>De la interposición del recurso.</w:t>
      </w:r>
      <w:r w:rsidRPr="00F7226D">
        <w:rPr>
          <w:rFonts w:ascii="Palatino Linotype" w:hAnsi="Palatino Linotype"/>
          <w:lang w:val="es-MX" w:eastAsia="en-US"/>
        </w:rPr>
        <w:t xml:space="preserve"> </w:t>
      </w:r>
    </w:p>
    <w:p w14:paraId="44661231" w14:textId="77777777" w:rsidR="00550734" w:rsidRPr="00F7226D" w:rsidRDefault="00550734" w:rsidP="00550734">
      <w:pPr>
        <w:spacing w:line="360" w:lineRule="auto"/>
        <w:jc w:val="both"/>
        <w:rPr>
          <w:rFonts w:ascii="Palatino Linotype" w:hAnsi="Palatino Linotype"/>
          <w:lang w:val="es-MX" w:eastAsia="en-US"/>
        </w:rPr>
      </w:pPr>
    </w:p>
    <w:p w14:paraId="1AD4CADA" w14:textId="1F27CDB4" w:rsidR="00550734" w:rsidRPr="00F7226D" w:rsidRDefault="00550734" w:rsidP="00550734">
      <w:pPr>
        <w:pStyle w:val="Prrafodelista"/>
        <w:numPr>
          <w:ilvl w:val="0"/>
          <w:numId w:val="2"/>
        </w:numPr>
        <w:spacing w:line="360" w:lineRule="auto"/>
        <w:ind w:left="0" w:firstLine="0"/>
        <w:jc w:val="both"/>
        <w:rPr>
          <w:rFonts w:ascii="Palatino Linotype" w:hAnsi="Palatino Linotype"/>
          <w:lang w:val="es-MX" w:eastAsia="en-US"/>
        </w:rPr>
      </w:pPr>
      <w:r w:rsidRPr="00F7226D">
        <w:rPr>
          <w:rFonts w:ascii="Palatino Linotype" w:hAnsi="Palatino Linotype"/>
          <w:lang w:val="es-MX" w:eastAsia="en-US"/>
        </w:rPr>
        <w:t xml:space="preserve">Es de precisar, que la Ley de Transparencia y Acceso a la Información Pública del Estado de México y Municipios, en el artículo 178 describe la procedencia del recurso de revisión, asimismo señala que el plazo del </w:t>
      </w:r>
      <w:r w:rsidRPr="00F7226D">
        <w:rPr>
          <w:rFonts w:ascii="Palatino Linotype" w:hAnsi="Palatino Linotype"/>
          <w:b/>
          <w:lang w:val="es-MX" w:eastAsia="en-US"/>
        </w:rPr>
        <w:t>SUJETO OBLIGADO</w:t>
      </w:r>
      <w:r w:rsidRPr="00F7226D">
        <w:rPr>
          <w:rFonts w:ascii="Palatino Linotype" w:hAnsi="Palatino Linotype"/>
          <w:lang w:val="es-MX" w:eastAsia="en-U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w:t>
      </w:r>
      <w:r w:rsidRPr="00F7226D">
        <w:rPr>
          <w:rFonts w:ascii="Palatino Linotype" w:hAnsi="Palatino Linotype"/>
          <w:lang w:val="es-MX" w:eastAsia="en-US"/>
        </w:rPr>
        <w:lastRenderedPageBreak/>
        <w:t xml:space="preserve">solicitud se entenderá negada y el solicitante podrá interponer el recurso de revisión previsto en el ordenamiento en cita.  </w:t>
      </w:r>
    </w:p>
    <w:p w14:paraId="7076D9FF" w14:textId="77777777" w:rsidR="00550734" w:rsidRPr="00F7226D" w:rsidRDefault="00550734" w:rsidP="00550734">
      <w:pPr>
        <w:spacing w:line="360" w:lineRule="auto"/>
        <w:jc w:val="both"/>
        <w:rPr>
          <w:rFonts w:ascii="Palatino Linotype" w:hAnsi="Palatino Linotype"/>
          <w:lang w:val="es-MX" w:eastAsia="en-US"/>
        </w:rPr>
      </w:pPr>
    </w:p>
    <w:p w14:paraId="1A95EC72" w14:textId="009404B7" w:rsidR="00550734" w:rsidRPr="00F7226D" w:rsidRDefault="00550734" w:rsidP="00550734">
      <w:pPr>
        <w:pStyle w:val="Prrafodelista"/>
        <w:numPr>
          <w:ilvl w:val="0"/>
          <w:numId w:val="2"/>
        </w:numPr>
        <w:spacing w:line="360" w:lineRule="auto"/>
        <w:ind w:left="0" w:firstLine="0"/>
        <w:jc w:val="both"/>
        <w:rPr>
          <w:rFonts w:ascii="Palatino Linotype" w:hAnsi="Palatino Linotype"/>
          <w:lang w:val="es-MX" w:eastAsia="en-US"/>
        </w:rPr>
      </w:pPr>
      <w:r w:rsidRPr="00F7226D">
        <w:rPr>
          <w:rFonts w:ascii="Palatino Linotype" w:hAnsi="Palatino Linotype"/>
          <w:lang w:val="es-MX" w:eastAsia="en-U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del </w:t>
      </w:r>
      <w:r w:rsidRPr="00F7226D">
        <w:rPr>
          <w:rFonts w:ascii="Palatino Linotype" w:hAnsi="Palatino Linotype"/>
          <w:b/>
          <w:lang w:val="es-MX" w:eastAsia="en-US"/>
        </w:rPr>
        <w:t>SUJETO OBLIGADO</w:t>
      </w:r>
      <w:r w:rsidRPr="00F7226D">
        <w:rPr>
          <w:rFonts w:ascii="Palatino Linotype" w:hAnsi="Palatino Linotype"/>
          <w:lang w:val="es-MX" w:eastAsia="en-US"/>
        </w:rPr>
        <w:t xml:space="preserve">, dentro de los plazos establecidos en esta Ley, a una solicitud de acceso a la información pública, el recurso podrá ser interpuesto en cualquier momento. </w:t>
      </w:r>
    </w:p>
    <w:p w14:paraId="049C9EF8" w14:textId="77777777" w:rsidR="00550734" w:rsidRPr="00F7226D" w:rsidRDefault="00550734" w:rsidP="00550734">
      <w:pPr>
        <w:spacing w:line="360" w:lineRule="auto"/>
        <w:jc w:val="both"/>
        <w:rPr>
          <w:rFonts w:ascii="Palatino Linotype" w:hAnsi="Palatino Linotype"/>
          <w:lang w:val="es-MX" w:eastAsia="en-US"/>
        </w:rPr>
      </w:pPr>
    </w:p>
    <w:p w14:paraId="078B4380" w14:textId="47C88FD4" w:rsidR="00550734" w:rsidRPr="00F7226D" w:rsidRDefault="00550734" w:rsidP="00550734">
      <w:pPr>
        <w:pStyle w:val="Prrafodelista"/>
        <w:numPr>
          <w:ilvl w:val="0"/>
          <w:numId w:val="2"/>
        </w:numPr>
        <w:spacing w:line="360" w:lineRule="auto"/>
        <w:ind w:left="0" w:firstLine="0"/>
        <w:jc w:val="both"/>
        <w:rPr>
          <w:rFonts w:ascii="Palatino Linotype" w:hAnsi="Palatino Linotype"/>
          <w:lang w:val="es-MX" w:eastAsia="en-US"/>
        </w:rPr>
      </w:pPr>
      <w:r w:rsidRPr="00F7226D">
        <w:rPr>
          <w:rFonts w:ascii="Palatino Linotype" w:hAnsi="Palatino Linotype"/>
          <w:lang w:val="es-MX" w:eastAsia="en-US"/>
        </w:rPr>
        <w:t>Por lo que, tratándose de la negativa ficta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negativa ficta, que señala:</w:t>
      </w:r>
    </w:p>
    <w:p w14:paraId="04A929D8" w14:textId="77777777" w:rsidR="00550734" w:rsidRPr="00F7226D" w:rsidRDefault="00550734" w:rsidP="00550734">
      <w:pPr>
        <w:spacing w:line="360" w:lineRule="auto"/>
        <w:jc w:val="both"/>
        <w:rPr>
          <w:rFonts w:ascii="Palatino Linotype" w:hAnsi="Palatino Linotype"/>
          <w:lang w:val="es-MX" w:eastAsia="en-US"/>
        </w:rPr>
      </w:pPr>
    </w:p>
    <w:p w14:paraId="68B6FA9D" w14:textId="77777777" w:rsidR="00550734" w:rsidRPr="00F7226D" w:rsidRDefault="00550734" w:rsidP="00550734">
      <w:pPr>
        <w:spacing w:line="360" w:lineRule="auto"/>
        <w:ind w:left="567" w:right="607"/>
        <w:jc w:val="both"/>
        <w:rPr>
          <w:rFonts w:ascii="Palatino Linotype" w:hAnsi="Palatino Linotype"/>
          <w:i/>
          <w:lang w:val="es-MX" w:eastAsia="en-US"/>
        </w:rPr>
      </w:pPr>
      <w:r w:rsidRPr="00F7226D">
        <w:rPr>
          <w:rFonts w:ascii="Palatino Linotype" w:hAnsi="Palatino Linotype"/>
          <w:i/>
          <w:lang w:val="es-MX" w:eastAsia="en-US"/>
        </w:rPr>
        <w:t>Criterio 0001-15</w:t>
      </w:r>
    </w:p>
    <w:p w14:paraId="4EB94D40" w14:textId="77777777" w:rsidR="00550734" w:rsidRPr="00F7226D" w:rsidRDefault="00550734" w:rsidP="00550734">
      <w:pPr>
        <w:spacing w:line="360" w:lineRule="auto"/>
        <w:ind w:left="567" w:right="607"/>
        <w:jc w:val="both"/>
        <w:rPr>
          <w:rFonts w:ascii="Palatino Linotype" w:hAnsi="Palatino Linotype"/>
          <w:i/>
          <w:lang w:val="es-MX" w:eastAsia="en-US"/>
        </w:rPr>
      </w:pPr>
      <w:r w:rsidRPr="00F7226D">
        <w:rPr>
          <w:rFonts w:ascii="Palatino Linotype" w:hAnsi="Palatino Linotype"/>
          <w:i/>
          <w:lang w:val="es-MX" w:eastAsia="en-US"/>
        </w:rPr>
        <w:lastRenderedPageBreak/>
        <w:t>NEGATIVA FICTA. PLAZO PARA INTERPONER EL RECURSO DE REVISIÓN TRATÁNDOSE DE.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5D55F86" w14:textId="77777777" w:rsidR="00550734" w:rsidRPr="00F7226D" w:rsidRDefault="00550734" w:rsidP="00550734">
      <w:pPr>
        <w:spacing w:line="360" w:lineRule="auto"/>
        <w:jc w:val="both"/>
        <w:rPr>
          <w:rFonts w:ascii="Palatino Linotype" w:hAnsi="Palatino Linotype"/>
          <w:lang w:val="es-MX" w:eastAsia="en-US"/>
        </w:rPr>
      </w:pPr>
    </w:p>
    <w:p w14:paraId="55BE7843" w14:textId="16E735E5" w:rsidR="00550734" w:rsidRPr="00F7226D" w:rsidRDefault="00550734" w:rsidP="00550734">
      <w:pPr>
        <w:pStyle w:val="Prrafodelista"/>
        <w:numPr>
          <w:ilvl w:val="0"/>
          <w:numId w:val="2"/>
        </w:numPr>
        <w:spacing w:line="360" w:lineRule="auto"/>
        <w:ind w:left="0" w:firstLine="0"/>
        <w:jc w:val="both"/>
        <w:rPr>
          <w:rFonts w:ascii="Palatino Linotype" w:hAnsi="Palatino Linotype"/>
          <w:lang w:val="es-MX" w:eastAsia="en-US"/>
        </w:rPr>
      </w:pPr>
      <w:r w:rsidRPr="00F7226D">
        <w:rPr>
          <w:rFonts w:ascii="Palatino Linotype" w:hAnsi="Palatino Linotype"/>
          <w:lang w:val="es-MX" w:eastAsia="en-US"/>
        </w:rPr>
        <w:tab/>
        <w:t xml:space="preserve">Lo anterior, se explica porque la ausencia de una respuesta en las solicitudes constituye un acto que vulnera el derecho de manera continua y actualizable cada día, en tanto no se emita la respuesta a la que esté impuesto el </w:t>
      </w:r>
      <w:r w:rsidRPr="00F7226D">
        <w:rPr>
          <w:rFonts w:ascii="Palatino Linotype" w:hAnsi="Palatino Linotype"/>
          <w:b/>
          <w:lang w:val="es-MX" w:eastAsia="en-US"/>
        </w:rPr>
        <w:t>SUJETO OBLIGADO</w:t>
      </w:r>
      <w:r w:rsidRPr="00F7226D">
        <w:rPr>
          <w:rFonts w:ascii="Palatino Linotype" w:hAnsi="Palatino Linotype"/>
          <w:lang w:val="es-MX" w:eastAsia="en-US"/>
        </w:rPr>
        <w:t>.</w:t>
      </w:r>
    </w:p>
    <w:p w14:paraId="0718815A" w14:textId="77777777" w:rsidR="00550734" w:rsidRPr="00F7226D" w:rsidRDefault="00550734" w:rsidP="00550734">
      <w:pPr>
        <w:spacing w:line="360" w:lineRule="auto"/>
        <w:jc w:val="both"/>
        <w:rPr>
          <w:rFonts w:ascii="Palatino Linotype" w:hAnsi="Palatino Linotype"/>
          <w:lang w:val="es-MX" w:eastAsia="en-US"/>
        </w:rPr>
      </w:pPr>
    </w:p>
    <w:p w14:paraId="52271975" w14:textId="77777777" w:rsidR="00550734" w:rsidRPr="00F7226D" w:rsidRDefault="00550734" w:rsidP="00550734">
      <w:pPr>
        <w:spacing w:line="360" w:lineRule="auto"/>
        <w:jc w:val="both"/>
        <w:rPr>
          <w:rFonts w:ascii="Palatino Linotype" w:hAnsi="Palatino Linotype"/>
          <w:b/>
          <w:lang w:val="es-MX" w:eastAsia="en-US"/>
        </w:rPr>
      </w:pPr>
      <w:r w:rsidRPr="00F7226D">
        <w:rPr>
          <w:rFonts w:ascii="Palatino Linotype" w:hAnsi="Palatino Linotype"/>
          <w:b/>
          <w:lang w:val="es-MX" w:eastAsia="en-US"/>
        </w:rPr>
        <w:t xml:space="preserve">II. Del nombre como requisito innecesario para la tramitación del recurso. </w:t>
      </w:r>
    </w:p>
    <w:p w14:paraId="41088D72" w14:textId="77777777" w:rsidR="00550734" w:rsidRPr="00F7226D" w:rsidRDefault="00550734" w:rsidP="00550734">
      <w:pPr>
        <w:spacing w:line="360" w:lineRule="auto"/>
        <w:jc w:val="both"/>
        <w:rPr>
          <w:rFonts w:ascii="Palatino Linotype" w:hAnsi="Palatino Linotype"/>
          <w:lang w:val="es-MX" w:eastAsia="en-US"/>
        </w:rPr>
      </w:pPr>
    </w:p>
    <w:p w14:paraId="0027367E" w14:textId="2FE37232" w:rsidR="00550734" w:rsidRPr="00F7226D" w:rsidRDefault="00550734" w:rsidP="00550734">
      <w:pPr>
        <w:pStyle w:val="Prrafodelista"/>
        <w:numPr>
          <w:ilvl w:val="0"/>
          <w:numId w:val="2"/>
        </w:numPr>
        <w:spacing w:line="360" w:lineRule="auto"/>
        <w:ind w:left="0" w:firstLine="0"/>
        <w:jc w:val="both"/>
        <w:rPr>
          <w:rFonts w:ascii="Palatino Linotype" w:hAnsi="Palatino Linotype"/>
          <w:lang w:val="es-MX" w:eastAsia="en-US"/>
        </w:rPr>
      </w:pPr>
      <w:r w:rsidRPr="00F7226D">
        <w:rPr>
          <w:rFonts w:ascii="Palatino Linotype" w:hAnsi="Palatino Linotype"/>
          <w:lang w:val="es-MX" w:eastAsia="en-US"/>
        </w:rPr>
        <w:lastRenderedPageBreak/>
        <w:t>Por otro lado, de la revisión a los expedientes electrónicos contenidos en el sistema SAIMEX, se desprende que la parte solicitante, en ejercicio de su derecho de acceso a la información pública en los expedientes acumulados que se revisan, tanto en la solicitud de información como en el recurso de revisión, no señaló su nombre completo, ni se tiene certeza sobre su identidad;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B623EB6" w14:textId="77777777" w:rsidR="00550734" w:rsidRPr="00F7226D" w:rsidRDefault="00550734" w:rsidP="00550734">
      <w:pPr>
        <w:spacing w:line="360" w:lineRule="auto"/>
        <w:jc w:val="both"/>
        <w:rPr>
          <w:rFonts w:ascii="Palatino Linotype" w:hAnsi="Palatino Linotype"/>
          <w:lang w:val="es-MX" w:eastAsia="en-US"/>
        </w:rPr>
      </w:pPr>
    </w:p>
    <w:p w14:paraId="030CBC24" w14:textId="602773C6" w:rsidR="00550734" w:rsidRPr="00F7226D" w:rsidRDefault="00550734" w:rsidP="00550734">
      <w:pPr>
        <w:pStyle w:val="Prrafodelista"/>
        <w:numPr>
          <w:ilvl w:val="0"/>
          <w:numId w:val="2"/>
        </w:numPr>
        <w:tabs>
          <w:tab w:val="left" w:pos="360"/>
        </w:tabs>
        <w:spacing w:line="360" w:lineRule="auto"/>
        <w:ind w:left="0" w:firstLine="0"/>
        <w:jc w:val="both"/>
        <w:rPr>
          <w:rFonts w:ascii="Palatino Linotype" w:hAnsi="Palatino Linotype"/>
          <w:lang w:val="es-MX" w:eastAsia="en-US"/>
        </w:rPr>
      </w:pPr>
      <w:r w:rsidRPr="00F7226D">
        <w:rPr>
          <w:rFonts w:ascii="Palatino Linotype" w:hAnsi="Palatino Linotype"/>
          <w:lang w:val="es-MX" w:eastAsia="en-US"/>
        </w:rPr>
        <w:t>Esto es así, ya que de conformidad con los artículos 6, apartado A, fracciones III y IV de la Constitución Política de los Estados Unidos Mexicanos; 5, párrafos trigésimo, trigésimo primero y trigésimo segundo,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A9A61DC" w14:textId="77777777" w:rsidR="00550734" w:rsidRPr="00F7226D" w:rsidRDefault="00550734" w:rsidP="00550734">
      <w:pPr>
        <w:spacing w:line="360" w:lineRule="auto"/>
        <w:jc w:val="both"/>
        <w:rPr>
          <w:rFonts w:ascii="Palatino Linotype" w:hAnsi="Palatino Linotype"/>
          <w:lang w:val="es-MX" w:eastAsia="en-US"/>
        </w:rPr>
      </w:pPr>
    </w:p>
    <w:p w14:paraId="2FA8F1EB" w14:textId="6B7C77CE" w:rsidR="00550734" w:rsidRPr="00F7226D" w:rsidRDefault="00550734" w:rsidP="00550734">
      <w:pPr>
        <w:pStyle w:val="Prrafodelista"/>
        <w:numPr>
          <w:ilvl w:val="0"/>
          <w:numId w:val="2"/>
        </w:numPr>
        <w:spacing w:line="360" w:lineRule="auto"/>
        <w:ind w:left="0" w:firstLine="0"/>
        <w:jc w:val="both"/>
        <w:rPr>
          <w:rFonts w:ascii="Palatino Linotype" w:hAnsi="Palatino Linotype"/>
          <w:lang w:val="es-MX" w:eastAsia="en-US"/>
        </w:rPr>
      </w:pPr>
      <w:r w:rsidRPr="00F7226D">
        <w:rPr>
          <w:rFonts w:ascii="Palatino Linotype" w:hAnsi="Palatino Linotype"/>
          <w:lang w:val="es-MX" w:eastAsia="en-US"/>
        </w:rPr>
        <w:t xml:space="preserve">Por lo cual, de una interpretación sistemática, armónica y progresiva del derecho humano de acceso a la información pública se aprecia que toda persona, sin necesidad de acreditar interés alguno o justificar su utilización, deberá tener acceso </w:t>
      </w:r>
      <w:r w:rsidRPr="00F7226D">
        <w:rPr>
          <w:rFonts w:ascii="Palatino Linotype" w:hAnsi="Palatino Linotype"/>
          <w:lang w:val="es-MX" w:eastAsia="en-US"/>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F55894D" w14:textId="77777777" w:rsidR="00550734" w:rsidRPr="00F7226D" w:rsidRDefault="00550734" w:rsidP="00550734">
      <w:pPr>
        <w:spacing w:line="360" w:lineRule="auto"/>
        <w:jc w:val="both"/>
        <w:rPr>
          <w:rFonts w:ascii="Palatino Linotype" w:hAnsi="Palatino Linotype"/>
          <w:lang w:val="es-MX" w:eastAsia="en-US"/>
        </w:rPr>
      </w:pPr>
    </w:p>
    <w:p w14:paraId="0F815360" w14:textId="0AB771A0" w:rsidR="00550734" w:rsidRPr="00F7226D" w:rsidRDefault="00550734" w:rsidP="00550734">
      <w:pPr>
        <w:pStyle w:val="Prrafodelista"/>
        <w:numPr>
          <w:ilvl w:val="0"/>
          <w:numId w:val="2"/>
        </w:numPr>
        <w:spacing w:line="360" w:lineRule="auto"/>
        <w:ind w:left="0" w:firstLine="0"/>
        <w:jc w:val="both"/>
        <w:rPr>
          <w:rFonts w:ascii="Palatino Linotype" w:hAnsi="Palatino Linotype"/>
          <w:lang w:val="es-MX" w:eastAsia="en-US"/>
        </w:rPr>
      </w:pPr>
      <w:r w:rsidRPr="00F7226D">
        <w:rPr>
          <w:rFonts w:ascii="Palatino Linotype" w:hAnsi="Palatino Linotype"/>
          <w:lang w:val="es-MX" w:eastAsia="en-US"/>
        </w:rPr>
        <w:t>Asimismo, como lo establece la Convención Americana, en su artículo 13, el derecho de acceso a la información es un derecho humano universal y, en consecuencia, toda persona tiene derecho a solicitar acceso a la información.</w:t>
      </w:r>
    </w:p>
    <w:p w14:paraId="6F683BD9" w14:textId="77777777" w:rsidR="00550734" w:rsidRPr="00F7226D" w:rsidRDefault="00550734" w:rsidP="00550734">
      <w:pPr>
        <w:spacing w:line="360" w:lineRule="auto"/>
        <w:jc w:val="both"/>
        <w:rPr>
          <w:rFonts w:ascii="Palatino Linotype" w:hAnsi="Palatino Linotype"/>
          <w:lang w:val="es-MX" w:eastAsia="en-US"/>
        </w:rPr>
      </w:pPr>
    </w:p>
    <w:p w14:paraId="0CCCF9F5" w14:textId="6B5A43C7" w:rsidR="00550734" w:rsidRPr="00F7226D" w:rsidRDefault="00550734" w:rsidP="00550734">
      <w:pPr>
        <w:pStyle w:val="Prrafodelista"/>
        <w:numPr>
          <w:ilvl w:val="0"/>
          <w:numId w:val="2"/>
        </w:numPr>
        <w:spacing w:line="360" w:lineRule="auto"/>
        <w:ind w:left="0" w:firstLine="0"/>
        <w:jc w:val="both"/>
        <w:rPr>
          <w:rFonts w:ascii="Palatino Linotype" w:hAnsi="Palatino Linotype"/>
          <w:lang w:val="es-MX" w:eastAsia="en-US"/>
        </w:rPr>
      </w:pPr>
      <w:r w:rsidRPr="00F7226D">
        <w:rPr>
          <w:rFonts w:ascii="Palatino Linotype" w:hAnsi="Palatino Linotype"/>
          <w:lang w:val="es-MX" w:eastAsia="en-U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E9DE4E0" w14:textId="77777777" w:rsidR="00550734" w:rsidRPr="00F7226D" w:rsidRDefault="00550734" w:rsidP="00550734">
      <w:pPr>
        <w:spacing w:line="360" w:lineRule="auto"/>
        <w:jc w:val="both"/>
        <w:rPr>
          <w:rFonts w:ascii="Palatino Linotype" w:hAnsi="Palatino Linotype"/>
          <w:lang w:val="es-MX" w:eastAsia="en-US"/>
        </w:rPr>
      </w:pPr>
    </w:p>
    <w:p w14:paraId="7A623A0A" w14:textId="2E485459" w:rsidR="00550734" w:rsidRPr="00F7226D" w:rsidRDefault="00550734" w:rsidP="00550734">
      <w:pPr>
        <w:pStyle w:val="Prrafodelista"/>
        <w:numPr>
          <w:ilvl w:val="0"/>
          <w:numId w:val="2"/>
        </w:numPr>
        <w:spacing w:line="360" w:lineRule="auto"/>
        <w:ind w:left="0" w:firstLine="0"/>
        <w:jc w:val="both"/>
        <w:rPr>
          <w:rFonts w:ascii="Palatino Linotype" w:hAnsi="Palatino Linotype"/>
          <w:lang w:val="es-MX" w:eastAsia="en-US"/>
        </w:rPr>
      </w:pPr>
      <w:r w:rsidRPr="00F7226D">
        <w:rPr>
          <w:rFonts w:ascii="Palatino Linotype" w:hAnsi="Palatino Linotype"/>
          <w:lang w:val="es-MX" w:eastAsia="en-US"/>
        </w:rPr>
        <w:t xml:space="preserve">Por lo tanto, el nombre de la </w:t>
      </w:r>
      <w:r w:rsidRPr="00F7226D">
        <w:rPr>
          <w:rFonts w:ascii="Palatino Linotype" w:hAnsi="Palatino Linotype"/>
          <w:b/>
          <w:lang w:val="es-MX" w:eastAsia="en-US"/>
        </w:rPr>
        <w:t xml:space="preserve">SOLICITANTE </w:t>
      </w:r>
      <w:r w:rsidRPr="00F7226D">
        <w:rPr>
          <w:rFonts w:ascii="Palatino Linotype" w:hAnsi="Palatino Linotype"/>
          <w:lang w:val="es-MX" w:eastAsia="en-US"/>
        </w:rPr>
        <w:t xml:space="preserve">y subsecuente </w:t>
      </w:r>
      <w:r w:rsidRPr="00F7226D">
        <w:rPr>
          <w:rFonts w:ascii="Palatino Linotype" w:hAnsi="Palatino Linotype"/>
          <w:b/>
          <w:lang w:val="es-MX" w:eastAsia="en-US"/>
        </w:rPr>
        <w:t>RECURRENTE</w:t>
      </w:r>
      <w:r w:rsidRPr="00F7226D">
        <w:rPr>
          <w:rFonts w:ascii="Palatino Linotype" w:hAnsi="Palatino Linotype"/>
          <w:lang w:val="es-MX" w:eastAsia="en-U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25599B94" w14:textId="77777777" w:rsidR="00550734" w:rsidRPr="00F7226D" w:rsidRDefault="00550734" w:rsidP="00550734">
      <w:pPr>
        <w:spacing w:line="360" w:lineRule="auto"/>
        <w:jc w:val="both"/>
        <w:rPr>
          <w:rFonts w:ascii="Palatino Linotype" w:hAnsi="Palatino Linotype"/>
          <w:lang w:val="es-MX" w:eastAsia="en-US"/>
        </w:rPr>
      </w:pPr>
    </w:p>
    <w:p w14:paraId="79B23FAC" w14:textId="77777777" w:rsidR="00550734" w:rsidRPr="00F7226D" w:rsidRDefault="00550734" w:rsidP="00550734">
      <w:pPr>
        <w:spacing w:line="360" w:lineRule="auto"/>
        <w:jc w:val="both"/>
        <w:rPr>
          <w:rFonts w:ascii="Palatino Linotype" w:hAnsi="Palatino Linotype"/>
          <w:b/>
          <w:lang w:val="es-MX" w:eastAsia="en-US"/>
        </w:rPr>
      </w:pPr>
      <w:r w:rsidRPr="00F7226D">
        <w:rPr>
          <w:rFonts w:ascii="Palatino Linotype" w:hAnsi="Palatino Linotype"/>
          <w:b/>
          <w:lang w:val="es-MX" w:eastAsia="en-US"/>
        </w:rPr>
        <w:t>III. De la determinación sobre la procedibilidad del recurso.</w:t>
      </w:r>
    </w:p>
    <w:p w14:paraId="4641B18E" w14:textId="77777777" w:rsidR="00550734" w:rsidRPr="00F7226D" w:rsidRDefault="00550734" w:rsidP="00550734">
      <w:pPr>
        <w:spacing w:line="360" w:lineRule="auto"/>
        <w:jc w:val="both"/>
        <w:rPr>
          <w:rFonts w:ascii="Palatino Linotype" w:hAnsi="Palatino Linotype"/>
          <w:lang w:val="es-MX" w:eastAsia="en-US"/>
        </w:rPr>
      </w:pPr>
    </w:p>
    <w:p w14:paraId="54B0439D" w14:textId="09A29AF6" w:rsidR="009E2112" w:rsidRPr="00F7226D" w:rsidRDefault="00550734" w:rsidP="00550734">
      <w:pPr>
        <w:pStyle w:val="Prrafodelista"/>
        <w:numPr>
          <w:ilvl w:val="0"/>
          <w:numId w:val="2"/>
        </w:numPr>
        <w:spacing w:line="360" w:lineRule="auto"/>
        <w:ind w:left="0" w:firstLine="0"/>
        <w:jc w:val="both"/>
        <w:rPr>
          <w:rFonts w:ascii="Palatino Linotype" w:hAnsi="Palatino Linotype"/>
          <w:lang w:val="es-MX" w:eastAsia="en-US"/>
        </w:rPr>
      </w:pPr>
      <w:r w:rsidRPr="00F7226D">
        <w:rPr>
          <w:rFonts w:ascii="Palatino Linotype" w:hAnsi="Palatino Linotype"/>
          <w:lang w:val="es-MX" w:eastAsia="en-US"/>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EB2E86A" w14:textId="09724DF4" w:rsidR="003669E8" w:rsidRPr="00F7226D" w:rsidRDefault="00992BC7" w:rsidP="00342812">
      <w:pPr>
        <w:pStyle w:val="Ttulo1"/>
        <w:spacing w:line="360" w:lineRule="auto"/>
        <w:jc w:val="both"/>
        <w:rPr>
          <w:rFonts w:ascii="Palatino Linotype" w:hAnsi="Palatino Linotype"/>
          <w:b/>
          <w:i/>
          <w:color w:val="000000" w:themeColor="text1"/>
          <w:sz w:val="24"/>
          <w:szCs w:val="24"/>
          <w:lang w:val="es-MX" w:eastAsia="en-US"/>
        </w:rPr>
      </w:pPr>
      <w:bookmarkStart w:id="17" w:name="_Toc110470209"/>
      <w:r w:rsidRPr="00F7226D">
        <w:rPr>
          <w:rFonts w:ascii="Palatino Linotype" w:eastAsia="MS Mincho" w:hAnsi="Palatino Linotype"/>
          <w:b/>
          <w:color w:val="000000" w:themeColor="text1"/>
          <w:sz w:val="24"/>
          <w:szCs w:val="24"/>
          <w:lang w:val="es-ES_tradnl"/>
        </w:rPr>
        <w:t>TERCERO</w:t>
      </w:r>
      <w:r w:rsidRPr="00F7226D">
        <w:rPr>
          <w:rFonts w:ascii="Palatino Linotype" w:hAnsi="Palatino Linotype" w:cs="Times New Roman"/>
          <w:b/>
          <w:color w:val="000000" w:themeColor="text1"/>
          <w:sz w:val="24"/>
          <w:szCs w:val="24"/>
        </w:rPr>
        <w:t>.</w:t>
      </w:r>
      <w:bookmarkStart w:id="18" w:name="_Toc67587990"/>
      <w:bookmarkStart w:id="19" w:name="_Toc68804766"/>
      <w:bookmarkStart w:id="20" w:name="_Toc455991148"/>
      <w:bookmarkStart w:id="21" w:name="_Toc450120669"/>
      <w:bookmarkStart w:id="22" w:name="_Toc461555896"/>
      <w:bookmarkStart w:id="23" w:name="_Toc462154385"/>
      <w:bookmarkStart w:id="24" w:name="_Toc462660376"/>
      <w:bookmarkStart w:id="25" w:name="_Toc462660687"/>
      <w:bookmarkStart w:id="26" w:name="_Toc462660766"/>
      <w:bookmarkStart w:id="27" w:name="_Toc465264624"/>
      <w:bookmarkStart w:id="28" w:name="_Toc465264870"/>
      <w:bookmarkStart w:id="29" w:name="_Toc465266520"/>
      <w:bookmarkStart w:id="30" w:name="_Toc466302258"/>
      <w:bookmarkStart w:id="31" w:name="_Toc466371866"/>
      <w:bookmarkStart w:id="32" w:name="_Toc466371925"/>
      <w:bookmarkStart w:id="33" w:name="_Toc466377654"/>
      <w:bookmarkStart w:id="34" w:name="_Toc478549736"/>
      <w:bookmarkStart w:id="35" w:name="_Toc478572850"/>
      <w:bookmarkStart w:id="36" w:name="_Toc479238537"/>
      <w:r w:rsidR="0065578F" w:rsidRPr="00F7226D">
        <w:rPr>
          <w:rFonts w:ascii="Palatino Linotype" w:hAnsi="Palatino Linotype" w:cs="Times New Roman"/>
          <w:b/>
          <w:color w:val="000000" w:themeColor="text1"/>
          <w:sz w:val="24"/>
          <w:szCs w:val="24"/>
        </w:rPr>
        <w:t xml:space="preserve"> </w:t>
      </w:r>
      <w:r w:rsidR="00EA0165" w:rsidRPr="00F7226D">
        <w:rPr>
          <w:rFonts w:ascii="Palatino Linotype" w:hAnsi="Palatino Linotype"/>
          <w:b/>
          <w:color w:val="000000" w:themeColor="text1"/>
          <w:sz w:val="24"/>
          <w:szCs w:val="24"/>
          <w:lang w:val="es-MX" w:eastAsia="en-US"/>
        </w:rPr>
        <w:t xml:space="preserve">Del planteamiento de la </w:t>
      </w:r>
      <w:r w:rsidR="00EA0165" w:rsidRPr="00F7226D">
        <w:rPr>
          <w:rFonts w:ascii="Palatino Linotype" w:hAnsi="Palatino Linotype"/>
          <w:b/>
          <w:i/>
          <w:color w:val="000000" w:themeColor="text1"/>
          <w:sz w:val="24"/>
          <w:szCs w:val="24"/>
          <w:lang w:val="es-MX" w:eastAsia="en-US"/>
        </w:rPr>
        <w:t>Litis.</w:t>
      </w:r>
      <w:bookmarkEnd w:id="17"/>
      <w:bookmarkEnd w:id="18"/>
      <w:bookmarkEnd w:id="19"/>
    </w:p>
    <w:p w14:paraId="75F64842" w14:textId="77777777" w:rsidR="00550734" w:rsidRPr="00F7226D" w:rsidRDefault="00550734" w:rsidP="00550734">
      <w:pPr>
        <w:rPr>
          <w:lang w:val="es-MX" w:eastAsia="en-US"/>
        </w:rPr>
      </w:pPr>
    </w:p>
    <w:p w14:paraId="043F08E3" w14:textId="77777777" w:rsidR="00550734" w:rsidRPr="00F7226D" w:rsidRDefault="00550734" w:rsidP="00550734">
      <w:pPr>
        <w:rPr>
          <w:lang w:val="es-MX" w:eastAsia="en-US"/>
        </w:rPr>
      </w:pPr>
    </w:p>
    <w:p w14:paraId="366AEAF8" w14:textId="527E9E0D" w:rsidR="00550734" w:rsidRPr="00F7226D" w:rsidRDefault="00550734" w:rsidP="00550734">
      <w:pPr>
        <w:pStyle w:val="Prrafodelista"/>
        <w:numPr>
          <w:ilvl w:val="0"/>
          <w:numId w:val="2"/>
        </w:numPr>
        <w:tabs>
          <w:tab w:val="left" w:pos="426"/>
        </w:tabs>
        <w:suppressAutoHyphens/>
        <w:spacing w:after="160" w:line="360" w:lineRule="auto"/>
        <w:ind w:left="0" w:firstLine="0"/>
        <w:contextualSpacing/>
        <w:jc w:val="both"/>
        <w:rPr>
          <w:rFonts w:ascii="Palatino Linotype" w:hAnsi="Palatino Linotype"/>
          <w:lang w:val="es-ES_tradnl" w:eastAsia="en-US"/>
        </w:rPr>
      </w:pPr>
      <w:r w:rsidRPr="00F7226D">
        <w:rPr>
          <w:rFonts w:ascii="Palatino Linotype" w:hAnsi="Palatino Linotype" w:cs="Arial"/>
          <w:lang w:val="es-ES_tradnl" w:eastAsia="en-US"/>
        </w:rPr>
        <w:t xml:space="preserve">Se requirió acceso a información relacionada con diversas facturas. El </w:t>
      </w:r>
      <w:r w:rsidRPr="00F7226D">
        <w:rPr>
          <w:rFonts w:ascii="Palatino Linotype" w:hAnsi="Palatino Linotype" w:cs="Arial"/>
          <w:b/>
          <w:bCs/>
          <w:lang w:val="es-ES_tradnl" w:eastAsia="en-US"/>
        </w:rPr>
        <w:t>SUJETO OBLIGADO</w:t>
      </w:r>
      <w:r w:rsidRPr="00F7226D">
        <w:rPr>
          <w:rFonts w:ascii="Palatino Linotype" w:hAnsi="Palatino Linotype" w:cs="Arial"/>
          <w:lang w:val="es-ES_tradnl" w:eastAsia="en-US"/>
        </w:rPr>
        <w:t xml:space="preserve"> no respondió a la</w:t>
      </w:r>
      <w:r w:rsidR="004A7292" w:rsidRPr="00F7226D">
        <w:rPr>
          <w:rFonts w:ascii="Palatino Linotype" w:hAnsi="Palatino Linotype" w:cs="Arial"/>
          <w:lang w:val="es-ES_tradnl" w:eastAsia="en-US"/>
        </w:rPr>
        <w:t xml:space="preserve"> resolución</w:t>
      </w:r>
      <w:r w:rsidRPr="00F7226D">
        <w:rPr>
          <w:rFonts w:ascii="Palatino Linotype" w:hAnsi="Palatino Linotype" w:cs="Arial"/>
          <w:lang w:val="es-ES_tradnl" w:eastAsia="en-US"/>
        </w:rPr>
        <w:t xml:space="preserve"> por lo que, el ahora </w:t>
      </w:r>
      <w:r w:rsidRPr="00F7226D">
        <w:rPr>
          <w:rFonts w:ascii="Palatino Linotype" w:hAnsi="Palatino Linotype" w:cs="Arial"/>
          <w:b/>
          <w:bCs/>
          <w:lang w:val="es-ES_tradnl" w:eastAsia="en-US"/>
        </w:rPr>
        <w:t>RECURRENTE,</w:t>
      </w:r>
      <w:r w:rsidRPr="00F7226D">
        <w:rPr>
          <w:rFonts w:ascii="Palatino Linotype" w:hAnsi="Palatino Linotype" w:cs="Arial"/>
          <w:lang w:val="es-ES_tradnl" w:eastAsia="en-US"/>
        </w:rPr>
        <w:t xml:space="preserve"> promovió el recurso de revisión indicado al rubro, y en el que señaló por agravios que no se le entregó la información solicitada.</w:t>
      </w:r>
    </w:p>
    <w:p w14:paraId="26DABB00" w14:textId="77777777" w:rsidR="00550734" w:rsidRPr="00F7226D" w:rsidRDefault="00550734" w:rsidP="00550734">
      <w:pPr>
        <w:pStyle w:val="Prrafodelista"/>
        <w:tabs>
          <w:tab w:val="left" w:pos="426"/>
        </w:tabs>
        <w:suppressAutoHyphens/>
        <w:spacing w:after="160" w:line="360" w:lineRule="auto"/>
        <w:ind w:left="0"/>
        <w:contextualSpacing/>
        <w:jc w:val="both"/>
        <w:rPr>
          <w:rFonts w:ascii="Palatino Linotype" w:hAnsi="Palatino Linotype"/>
          <w:lang w:val="es-ES_tradnl" w:eastAsia="en-US"/>
        </w:rPr>
      </w:pPr>
    </w:p>
    <w:p w14:paraId="564C4346" w14:textId="77777777" w:rsidR="00550734" w:rsidRPr="00F7226D" w:rsidRDefault="00550734" w:rsidP="00550734">
      <w:pPr>
        <w:pStyle w:val="Prrafodelista"/>
        <w:numPr>
          <w:ilvl w:val="0"/>
          <w:numId w:val="2"/>
        </w:numPr>
        <w:tabs>
          <w:tab w:val="left" w:pos="426"/>
        </w:tabs>
        <w:suppressAutoHyphens/>
        <w:spacing w:after="160" w:line="360" w:lineRule="auto"/>
        <w:ind w:left="0" w:firstLine="0"/>
        <w:contextualSpacing/>
        <w:jc w:val="both"/>
        <w:rPr>
          <w:rFonts w:ascii="Palatino Linotype" w:hAnsi="Palatino Linotype"/>
          <w:lang w:val="es-ES_tradnl" w:eastAsia="en-US"/>
        </w:rPr>
      </w:pPr>
      <w:r w:rsidRPr="00F7226D">
        <w:rPr>
          <w:rFonts w:ascii="Palatino Linotype" w:hAnsi="Palatino Linotype" w:cs="Arial"/>
          <w:lang w:val="es-ES_tradnl"/>
        </w:rPr>
        <w:t xml:space="preserve">En ese sentido, este Órgano Garante advierte que los agravios manifestados por el </w:t>
      </w:r>
      <w:r w:rsidRPr="00F7226D">
        <w:rPr>
          <w:rFonts w:ascii="Palatino Linotype" w:hAnsi="Palatino Linotype" w:cs="Arial"/>
          <w:b/>
          <w:bCs/>
          <w:lang w:val="es-ES_tradnl"/>
        </w:rPr>
        <w:t>RECURRENTE</w:t>
      </w:r>
      <w:r w:rsidRPr="00F7226D">
        <w:rPr>
          <w:rFonts w:ascii="Palatino Linotype" w:hAnsi="Palatino Linotype" w:cs="Arial"/>
          <w:lang w:val="es-ES_tradnl"/>
        </w:rPr>
        <w:t xml:space="preserve"> a través del recurso de </w:t>
      </w:r>
      <w:r w:rsidRPr="00F7226D">
        <w:rPr>
          <w:rFonts w:ascii="Palatino Linotype" w:hAnsi="Palatino Linotype" w:cs="Arial"/>
          <w:color w:val="000000"/>
          <w:lang w:val="es-ES_tradnl"/>
        </w:rPr>
        <w:t>revisión</w:t>
      </w:r>
      <w:r w:rsidRPr="00F7226D">
        <w:rPr>
          <w:rFonts w:ascii="Palatino Linotype" w:hAnsi="Palatino Linotype"/>
          <w:b/>
          <w:bCs/>
          <w:color w:val="000000"/>
          <w:lang w:val="es-MX"/>
        </w:rPr>
        <w:t xml:space="preserve">, </w:t>
      </w:r>
      <w:r w:rsidRPr="00F7226D">
        <w:rPr>
          <w:rFonts w:ascii="Palatino Linotype" w:hAnsi="Palatino Linotype" w:cs="Arial"/>
          <w:color w:val="000000"/>
          <w:lang w:val="es-ES_tradnl"/>
        </w:rPr>
        <w:t xml:space="preserve">sugieren </w:t>
      </w:r>
      <w:r w:rsidRPr="00F7226D">
        <w:rPr>
          <w:rFonts w:ascii="Palatino Linotype" w:hAnsi="Palatino Linotype" w:cs="Arial"/>
          <w:lang w:val="es-ES_tradnl"/>
        </w:rPr>
        <w:t xml:space="preserve">que la omisión del </w:t>
      </w:r>
      <w:r w:rsidRPr="00F7226D">
        <w:rPr>
          <w:rFonts w:ascii="Palatino Linotype" w:hAnsi="Palatino Linotype" w:cs="Arial"/>
          <w:b/>
          <w:bCs/>
          <w:lang w:val="es-ES_tradnl"/>
        </w:rPr>
        <w:t>SUJETO OBLIGADO</w:t>
      </w:r>
      <w:r w:rsidRPr="00F7226D">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Pr="00F7226D">
        <w:rPr>
          <w:rFonts w:ascii="Palatino Linotype" w:hAnsi="Palatino Linotype" w:cs="Arial"/>
          <w:b/>
          <w:bCs/>
          <w:lang w:val="es-ES_tradnl"/>
        </w:rPr>
        <w:t>oportuna</w:t>
      </w:r>
      <w:r w:rsidRPr="00F7226D">
        <w:rPr>
          <w:rFonts w:ascii="Palatino Linotype" w:hAnsi="Palatino Linotype" w:cs="Arial"/>
          <w:lang w:val="es-ES_tradnl"/>
        </w:rPr>
        <w:t>.</w:t>
      </w:r>
    </w:p>
    <w:p w14:paraId="77F5862A" w14:textId="77777777" w:rsidR="00550734" w:rsidRPr="00F7226D" w:rsidRDefault="00550734" w:rsidP="00550734">
      <w:pPr>
        <w:pStyle w:val="Prrafodelista"/>
        <w:rPr>
          <w:rFonts w:ascii="Palatino Linotype" w:hAnsi="Palatino Linotype" w:cs="Arial"/>
          <w:lang w:val="es-ES_tradnl"/>
        </w:rPr>
      </w:pPr>
    </w:p>
    <w:p w14:paraId="54B11E1E" w14:textId="46BDBC81" w:rsidR="00550734" w:rsidRPr="00F7226D" w:rsidRDefault="00550734" w:rsidP="00550734">
      <w:pPr>
        <w:pStyle w:val="Prrafodelista"/>
        <w:numPr>
          <w:ilvl w:val="0"/>
          <w:numId w:val="2"/>
        </w:numPr>
        <w:tabs>
          <w:tab w:val="left" w:pos="426"/>
        </w:tabs>
        <w:suppressAutoHyphens/>
        <w:spacing w:after="160" w:line="360" w:lineRule="auto"/>
        <w:ind w:left="0" w:firstLine="0"/>
        <w:contextualSpacing/>
        <w:jc w:val="both"/>
        <w:rPr>
          <w:rFonts w:ascii="Palatino Linotype" w:hAnsi="Palatino Linotype"/>
          <w:lang w:val="es-ES_tradnl" w:eastAsia="en-US"/>
        </w:rPr>
      </w:pPr>
      <w:r w:rsidRPr="00F7226D">
        <w:rPr>
          <w:rFonts w:ascii="Palatino Linotype" w:hAnsi="Palatino Linotype" w:cs="Arial"/>
          <w:lang w:val="es-ES_tradnl"/>
        </w:rPr>
        <w:t xml:space="preserve">Por lo anterior, la </w:t>
      </w:r>
      <w:r w:rsidRPr="00F7226D">
        <w:rPr>
          <w:rFonts w:ascii="Palatino Linotype" w:hAnsi="Palatino Linotype" w:cs="Arial"/>
          <w:i/>
          <w:lang w:val="es-ES_tradnl"/>
        </w:rPr>
        <w:t>Litis</w:t>
      </w:r>
      <w:r w:rsidRPr="00F7226D">
        <w:rPr>
          <w:rFonts w:ascii="Palatino Linotype" w:hAnsi="Palatino Linotype" w:cs="Arial"/>
          <w:lang w:val="es-ES_tradnl"/>
        </w:rPr>
        <w:t xml:space="preserve"> a resolver en el presente recurso se circunscribe en determinar si el </w:t>
      </w:r>
      <w:r w:rsidRPr="00F7226D">
        <w:rPr>
          <w:rFonts w:ascii="Palatino Linotype" w:hAnsi="Palatino Linotype" w:cs="Arial"/>
          <w:b/>
          <w:bCs/>
          <w:lang w:val="es-ES_tradnl"/>
        </w:rPr>
        <w:t>SUJETO OBLIGADO</w:t>
      </w:r>
      <w:r w:rsidRPr="00F7226D">
        <w:rPr>
          <w:rFonts w:ascii="Palatino Linotype" w:hAnsi="Palatino Linotype" w:cs="Arial"/>
          <w:lang w:val="es-ES_tradnl"/>
        </w:rPr>
        <w:t xml:space="preserve"> actualiza las causales de procedencia del </w:t>
      </w:r>
      <w:r w:rsidRPr="00F7226D">
        <w:rPr>
          <w:rFonts w:ascii="Palatino Linotype" w:hAnsi="Palatino Linotype" w:cs="Arial"/>
          <w:lang w:val="es-ES_tradnl"/>
        </w:rPr>
        <w:lastRenderedPageBreak/>
        <w:t>recurso de revisión establecidas en el artículo 179 fracciones I y VII</w:t>
      </w:r>
      <w:r w:rsidRPr="00F7226D">
        <w:rPr>
          <w:rFonts w:cs="Arial"/>
          <w:vertAlign w:val="superscript"/>
          <w:lang w:val="es-ES_tradnl"/>
        </w:rPr>
        <w:footnoteReference w:id="2"/>
      </w:r>
      <w:r w:rsidRPr="00F7226D">
        <w:rPr>
          <w:rFonts w:ascii="Palatino Linotype" w:hAnsi="Palatino Linotype" w:cs="Arial"/>
          <w:lang w:val="es-ES_tradnl"/>
        </w:rPr>
        <w:t xml:space="preserve"> de la Ley de Transparencia y Acceso a la Información Pública del Estado de México y Municipios. </w:t>
      </w:r>
    </w:p>
    <w:p w14:paraId="01449827" w14:textId="77777777" w:rsidR="00550734" w:rsidRPr="00F7226D" w:rsidRDefault="00550734" w:rsidP="00550734">
      <w:pPr>
        <w:rPr>
          <w:lang w:val="es-MX" w:eastAsia="en-US"/>
        </w:rPr>
      </w:pPr>
    </w:p>
    <w:p w14:paraId="5162A17C" w14:textId="71549F44" w:rsidR="00286C23" w:rsidRPr="00F7226D"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37" w:name="_Toc68804767"/>
      <w:bookmarkStart w:id="38" w:name="_Toc110470210"/>
      <w:bookmarkStart w:id="39" w:name="_Toc459174366"/>
      <w:bookmarkStart w:id="40" w:name="_Toc459659884"/>
      <w:bookmarkStart w:id="41" w:name="_Toc461687280"/>
      <w:bookmarkStart w:id="42" w:name="_Toc462771051"/>
      <w:bookmarkStart w:id="43" w:name="_Toc46413920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7226D">
        <w:rPr>
          <w:rFonts w:ascii="Palatino Linotype" w:hAnsi="Palatino Linotype"/>
          <w:b/>
          <w:color w:val="000000" w:themeColor="text1"/>
          <w:sz w:val="24"/>
          <w:szCs w:val="24"/>
          <w:lang w:val="es-MX" w:eastAsia="en-US"/>
        </w:rPr>
        <w:t>CUARTO</w:t>
      </w:r>
      <w:r w:rsidR="00F041CF" w:rsidRPr="00F7226D">
        <w:rPr>
          <w:rFonts w:ascii="Palatino Linotype" w:hAnsi="Palatino Linotype"/>
          <w:b/>
          <w:color w:val="000000" w:themeColor="text1"/>
          <w:sz w:val="24"/>
          <w:szCs w:val="24"/>
          <w:lang w:val="es-MX" w:eastAsia="en-US"/>
        </w:rPr>
        <w:t>. Estudio y r</w:t>
      </w:r>
      <w:r w:rsidR="00EA0165" w:rsidRPr="00F7226D">
        <w:rPr>
          <w:rFonts w:ascii="Palatino Linotype" w:hAnsi="Palatino Linotype"/>
          <w:b/>
          <w:color w:val="000000" w:themeColor="text1"/>
          <w:sz w:val="24"/>
          <w:szCs w:val="24"/>
          <w:lang w:val="es-MX" w:eastAsia="en-US"/>
        </w:rPr>
        <w:t>esolución del asunto.</w:t>
      </w:r>
      <w:bookmarkEnd w:id="37"/>
      <w:bookmarkEnd w:id="38"/>
    </w:p>
    <w:p w14:paraId="06F00F11" w14:textId="766B338E" w:rsidR="00286C23" w:rsidRPr="00F7226D" w:rsidRDefault="00286C23" w:rsidP="00F41559">
      <w:pPr>
        <w:pStyle w:val="Prrafodelista"/>
        <w:numPr>
          <w:ilvl w:val="0"/>
          <w:numId w:val="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44" w:name="_Toc110470211"/>
      <w:r w:rsidRPr="00F7226D">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44"/>
    </w:p>
    <w:p w14:paraId="09A5BF5B" w14:textId="77777777" w:rsidR="00286C23" w:rsidRPr="00F7226D"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109E6D98" w14:textId="25B39804" w:rsidR="00286C23" w:rsidRPr="00F7226D" w:rsidRDefault="00286C23" w:rsidP="00342812">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226D">
        <w:rPr>
          <w:rFonts w:ascii="Palatino Linotype" w:eastAsiaTheme="minorEastAsia" w:hAnsi="Palatino Linotype" w:cstheme="minorBidi"/>
          <w:color w:val="000000" w:themeColor="text1"/>
          <w:lang w:val="es-MX"/>
        </w:rPr>
        <w:t>Es menester precisar</w:t>
      </w:r>
      <w:r w:rsidRPr="00F7226D">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7226D">
        <w:rPr>
          <w:rFonts w:ascii="Palatino Linotype" w:eastAsiaTheme="minorEastAsia" w:hAnsi="Palatino Linotype" w:cstheme="minorBidi"/>
          <w:b/>
          <w:bCs/>
          <w:color w:val="000000" w:themeColor="text1"/>
          <w:lang w:val="es-MX"/>
        </w:rPr>
        <w:t>SUJETO OBLIGADO</w:t>
      </w:r>
      <w:r w:rsidRPr="00F7226D">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7226D">
        <w:rPr>
          <w:rFonts w:ascii="Palatino Linotype" w:eastAsiaTheme="minorEastAsia" w:hAnsi="Palatino Linotype" w:cstheme="minorBidi"/>
          <w:b/>
          <w:bCs/>
          <w:color w:val="000000" w:themeColor="text1"/>
          <w:lang w:val="es-MX"/>
        </w:rPr>
        <w:t>Constitución Política de los Estados Unidos Mexicanos</w:t>
      </w:r>
      <w:r w:rsidRPr="00F7226D">
        <w:rPr>
          <w:rFonts w:ascii="Palatino Linotype" w:eastAsiaTheme="minorEastAsia" w:hAnsi="Palatino Linotype" w:cstheme="minorBidi"/>
          <w:bCs/>
          <w:color w:val="000000" w:themeColor="text1"/>
          <w:lang w:val="es-MX"/>
        </w:rPr>
        <w:t>, tienen</w:t>
      </w:r>
      <w:r w:rsidRPr="00F7226D">
        <w:rPr>
          <w:rFonts w:ascii="Palatino Linotype" w:eastAsiaTheme="minorEastAsia" w:hAnsi="Palatino Linotype" w:cstheme="minorBidi"/>
          <w:b/>
          <w:bCs/>
          <w:color w:val="000000" w:themeColor="text1"/>
          <w:lang w:val="es-MX"/>
        </w:rPr>
        <w:t xml:space="preserve"> </w:t>
      </w:r>
      <w:r w:rsidRPr="00F7226D">
        <w:rPr>
          <w:rFonts w:ascii="Palatino Linotype" w:eastAsiaTheme="minorEastAsia" w:hAnsi="Palatino Linotype" w:cstheme="minorBidi"/>
          <w:bCs/>
          <w:color w:val="000000" w:themeColor="text1"/>
          <w:lang w:val="es-MX"/>
        </w:rPr>
        <w:t xml:space="preserve">la obligación de “promover, </w:t>
      </w:r>
      <w:r w:rsidRPr="00F7226D">
        <w:rPr>
          <w:rFonts w:ascii="Palatino Linotype" w:eastAsiaTheme="minorEastAsia" w:hAnsi="Palatino Linotype" w:cstheme="minorBidi"/>
          <w:b/>
          <w:bCs/>
          <w:color w:val="000000" w:themeColor="text1"/>
          <w:lang w:val="es-MX"/>
        </w:rPr>
        <w:t>respetar</w:t>
      </w:r>
      <w:r w:rsidRPr="00F7226D">
        <w:rPr>
          <w:rFonts w:ascii="Palatino Linotype" w:eastAsiaTheme="minorEastAsia" w:hAnsi="Palatino Linotype" w:cstheme="minorBidi"/>
          <w:bCs/>
          <w:color w:val="000000" w:themeColor="text1"/>
          <w:lang w:val="es-MX"/>
        </w:rPr>
        <w:t xml:space="preserve">, </w:t>
      </w:r>
      <w:r w:rsidRPr="00F7226D">
        <w:rPr>
          <w:rFonts w:ascii="Palatino Linotype" w:eastAsiaTheme="minorEastAsia" w:hAnsi="Palatino Linotype" w:cstheme="minorBidi"/>
          <w:bCs/>
          <w:color w:val="000000" w:themeColor="text1"/>
          <w:lang w:val="es-MX"/>
        </w:rPr>
        <w:lastRenderedPageBreak/>
        <w:t xml:space="preserve">proteger y </w:t>
      </w:r>
      <w:r w:rsidRPr="00F7226D">
        <w:rPr>
          <w:rFonts w:ascii="Palatino Linotype" w:eastAsiaTheme="minorEastAsia" w:hAnsi="Palatino Linotype" w:cstheme="minorBidi"/>
          <w:b/>
          <w:bCs/>
          <w:color w:val="000000" w:themeColor="text1"/>
          <w:lang w:val="es-MX"/>
        </w:rPr>
        <w:t>garantizar</w:t>
      </w:r>
      <w:r w:rsidRPr="00F7226D">
        <w:rPr>
          <w:rFonts w:ascii="Palatino Linotype" w:eastAsiaTheme="minorEastAsia" w:hAnsi="Palatino Linotype" w:cstheme="minorBidi"/>
          <w:bCs/>
          <w:color w:val="000000" w:themeColor="text1"/>
          <w:lang w:val="es-MX"/>
        </w:rPr>
        <w:t xml:space="preserve"> los derechos humanos”, entre los cuales se encuentra dicho derecho.</w:t>
      </w:r>
    </w:p>
    <w:p w14:paraId="28DF2082" w14:textId="77777777" w:rsidR="00286C23" w:rsidRPr="00F7226D" w:rsidRDefault="00286C23" w:rsidP="00731DB4">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226D">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F7226D"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F7226D" w:rsidRDefault="00286C23" w:rsidP="00731DB4">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226D">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F7226D">
        <w:rPr>
          <w:rFonts w:ascii="Palatino Linotype" w:eastAsiaTheme="minorEastAsia" w:hAnsi="Palatino Linotype" w:cstheme="minorBidi"/>
          <w:i/>
          <w:color w:val="000000" w:themeColor="text1"/>
          <w:lang w:val="es-MX"/>
        </w:rPr>
        <w:t>La igualdad de oportunidades para recibir, buscar e impartir información</w:t>
      </w:r>
      <w:r w:rsidRPr="00F7226D">
        <w:rPr>
          <w:rFonts w:ascii="Palatino Linotype" w:eastAsiaTheme="minorEastAsia" w:hAnsi="Palatino Linotype" w:cstheme="minorBidi"/>
          <w:i/>
          <w:color w:val="000000" w:themeColor="text1"/>
          <w:vertAlign w:val="superscript"/>
          <w:lang w:val="es-MX"/>
        </w:rPr>
        <w:footnoteReference w:id="3"/>
      </w:r>
      <w:r w:rsidRPr="00F7226D">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7226D">
        <w:rPr>
          <w:rFonts w:ascii="Palatino Linotype" w:eastAsiaTheme="minorEastAsia" w:hAnsi="Palatino Linotype" w:cstheme="minorBidi"/>
          <w:i/>
          <w:color w:val="000000" w:themeColor="text1"/>
          <w:vertAlign w:val="superscript"/>
          <w:lang w:val="es-MX"/>
        </w:rPr>
        <w:footnoteReference w:id="4"/>
      </w:r>
      <w:r w:rsidRPr="00F7226D">
        <w:rPr>
          <w:rFonts w:ascii="Palatino Linotype" w:eastAsiaTheme="minorEastAsia" w:hAnsi="Palatino Linotype" w:cstheme="minorBidi"/>
          <w:color w:val="000000" w:themeColor="text1"/>
          <w:lang w:val="es-MX"/>
        </w:rPr>
        <w:t>que se constituye como una herramienta fundamental para ejercer</w:t>
      </w:r>
      <w:r w:rsidRPr="00F7226D">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F7226D">
        <w:rPr>
          <w:rFonts w:ascii="Palatino Linotype" w:eastAsiaTheme="minorEastAsia" w:hAnsi="Palatino Linotype" w:cstheme="minorBidi"/>
          <w:i/>
          <w:color w:val="000000" w:themeColor="text1"/>
          <w:vertAlign w:val="superscript"/>
          <w:lang w:val="es-MX"/>
        </w:rPr>
        <w:footnoteReference w:id="5"/>
      </w:r>
      <w:r w:rsidRPr="00F7226D">
        <w:rPr>
          <w:rFonts w:ascii="Palatino Linotype" w:eastAsiaTheme="minorEastAsia" w:hAnsi="Palatino Linotype" w:cstheme="minorBidi"/>
          <w:i/>
          <w:color w:val="000000" w:themeColor="text1"/>
          <w:lang w:val="es-MX"/>
        </w:rPr>
        <w:t xml:space="preserve"> </w:t>
      </w:r>
      <w:r w:rsidRPr="00F7226D">
        <w:rPr>
          <w:rFonts w:ascii="Palatino Linotype" w:eastAsiaTheme="minorEastAsia" w:hAnsi="Palatino Linotype" w:cstheme="minorBidi"/>
          <w:color w:val="000000" w:themeColor="text1"/>
          <w:lang w:val="es-MX"/>
        </w:rPr>
        <w:t>fomentando</w:t>
      </w:r>
      <w:r w:rsidRPr="00F7226D">
        <w:rPr>
          <w:rFonts w:ascii="Palatino Linotype" w:eastAsiaTheme="minorEastAsia" w:hAnsi="Palatino Linotype" w:cstheme="minorBidi"/>
          <w:i/>
          <w:color w:val="000000" w:themeColor="text1"/>
          <w:lang w:val="es-MX"/>
        </w:rPr>
        <w:t xml:space="preserve"> la transparencia de las actividades estatales y </w:t>
      </w:r>
      <w:r w:rsidRPr="00F7226D">
        <w:rPr>
          <w:rFonts w:ascii="Palatino Linotype" w:eastAsiaTheme="minorEastAsia" w:hAnsi="Palatino Linotype" w:cstheme="minorBidi"/>
          <w:color w:val="000000" w:themeColor="text1"/>
          <w:lang w:val="es-MX"/>
        </w:rPr>
        <w:t>promoviendo</w:t>
      </w:r>
      <w:r w:rsidRPr="00F7226D">
        <w:rPr>
          <w:rFonts w:ascii="Palatino Linotype" w:eastAsiaTheme="minorEastAsia" w:hAnsi="Palatino Linotype" w:cstheme="minorBidi"/>
          <w:i/>
          <w:color w:val="000000" w:themeColor="text1"/>
          <w:lang w:val="es-MX"/>
        </w:rPr>
        <w:t xml:space="preserve"> la responsabilidad de los funcionarios sobre su gestión pública,</w:t>
      </w:r>
      <w:r w:rsidRPr="00F7226D">
        <w:rPr>
          <w:rFonts w:ascii="Palatino Linotype" w:eastAsiaTheme="minorEastAsia" w:hAnsi="Palatino Linotype" w:cstheme="minorBidi"/>
          <w:i/>
          <w:color w:val="000000" w:themeColor="text1"/>
          <w:vertAlign w:val="superscript"/>
          <w:lang w:val="es-MX"/>
        </w:rPr>
        <w:footnoteReference w:id="6"/>
      </w:r>
      <w:r w:rsidRPr="00F7226D">
        <w:rPr>
          <w:rFonts w:ascii="Palatino Linotype" w:eastAsiaTheme="minorEastAsia" w:hAnsi="Palatino Linotype" w:cstheme="minorBidi"/>
          <w:color w:val="000000" w:themeColor="text1"/>
          <w:lang w:val="es-MX"/>
        </w:rPr>
        <w:t>que permite</w:t>
      </w:r>
      <w:r w:rsidRPr="00F7226D">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F7226D"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F7226D" w:rsidRDefault="00286C23" w:rsidP="00731DB4">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226D">
        <w:rPr>
          <w:rFonts w:ascii="Palatino Linotype" w:eastAsiaTheme="minorEastAsia" w:hAnsi="Palatino Linotype" w:cstheme="minorBidi"/>
          <w:color w:val="000000" w:themeColor="text1"/>
          <w:lang w:val="es-MX"/>
        </w:rPr>
        <w:lastRenderedPageBreak/>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1F6F00E" w14:textId="1F61EAE3" w:rsidR="00132044" w:rsidRPr="00F7226D" w:rsidRDefault="00D91C33" w:rsidP="00F41559">
      <w:pPr>
        <w:pStyle w:val="Ttulo1"/>
        <w:numPr>
          <w:ilvl w:val="0"/>
          <w:numId w:val="3"/>
        </w:numPr>
        <w:spacing w:line="360" w:lineRule="auto"/>
        <w:ind w:left="0" w:firstLine="0"/>
        <w:jc w:val="both"/>
        <w:rPr>
          <w:rFonts w:ascii="Palatino Linotype" w:hAnsi="Palatino Linotype"/>
          <w:b/>
          <w:color w:val="auto"/>
          <w:sz w:val="24"/>
          <w:szCs w:val="24"/>
          <w:lang w:val="es-MX" w:eastAsia="en-US"/>
        </w:rPr>
      </w:pPr>
      <w:bookmarkStart w:id="45" w:name="_Toc110470212"/>
      <w:r w:rsidRPr="00F7226D">
        <w:rPr>
          <w:rFonts w:ascii="Palatino Linotype" w:hAnsi="Palatino Linotype"/>
          <w:b/>
          <w:color w:val="auto"/>
          <w:sz w:val="24"/>
          <w:szCs w:val="24"/>
          <w:lang w:val="es-MX" w:eastAsia="en-US"/>
        </w:rPr>
        <w:t>D</w:t>
      </w:r>
      <w:r w:rsidR="004F5610" w:rsidRPr="00F7226D">
        <w:rPr>
          <w:rFonts w:ascii="Palatino Linotype" w:hAnsi="Palatino Linotype"/>
          <w:b/>
          <w:color w:val="auto"/>
          <w:sz w:val="24"/>
          <w:szCs w:val="24"/>
          <w:lang w:val="es-MX" w:eastAsia="en-US"/>
        </w:rPr>
        <w:t>e la solicitud de información</w:t>
      </w:r>
      <w:bookmarkEnd w:id="45"/>
      <w:r w:rsidR="00A70E24" w:rsidRPr="00F7226D">
        <w:rPr>
          <w:rFonts w:ascii="Palatino Linotype" w:hAnsi="Palatino Linotype"/>
          <w:b/>
          <w:color w:val="auto"/>
          <w:sz w:val="24"/>
          <w:szCs w:val="24"/>
          <w:lang w:val="es-MX" w:eastAsia="en-US"/>
        </w:rPr>
        <w:t xml:space="preserve"> y la naturaleza de la información solicitada. </w:t>
      </w:r>
      <w:r w:rsidR="00342812" w:rsidRPr="00F7226D">
        <w:rPr>
          <w:rFonts w:ascii="Palatino Linotype" w:hAnsi="Palatino Linotype"/>
          <w:b/>
          <w:color w:val="auto"/>
          <w:sz w:val="24"/>
          <w:szCs w:val="24"/>
          <w:lang w:val="es-MX" w:eastAsia="en-US"/>
        </w:rPr>
        <w:t xml:space="preserve"> </w:t>
      </w:r>
    </w:p>
    <w:p w14:paraId="5DFD609F" w14:textId="4DF5D94A" w:rsidR="00F3579C" w:rsidRPr="00F7226D" w:rsidRDefault="00132044" w:rsidP="00731DB4">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F7226D">
        <w:rPr>
          <w:rFonts w:ascii="Palatino Linotype" w:eastAsia="Cambria" w:hAnsi="Palatino Linotype" w:cs="Arial"/>
          <w:lang w:val="es-MX" w:eastAsia="en-US"/>
        </w:rPr>
        <w:t xml:space="preserve">Precisado lo anterior, se </w:t>
      </w:r>
      <w:r w:rsidR="00EA0165" w:rsidRPr="00F7226D">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F7226D">
        <w:rPr>
          <w:rFonts w:ascii="Palatino Linotype" w:eastAsia="Calibri" w:hAnsi="Palatino Linotype" w:cs="Arial"/>
          <w:b/>
          <w:lang w:eastAsia="en-US"/>
        </w:rPr>
        <w:t>Ley de Transparencia y Acceso a la Información Pública del Estado de México y Municipios</w:t>
      </w:r>
      <w:r w:rsidR="006C693D" w:rsidRPr="00F7226D">
        <w:rPr>
          <w:rFonts w:ascii="Palatino Linotype" w:hAnsi="Palatino Linotype" w:cs="Arial"/>
          <w:lang w:eastAsia="es-MX"/>
        </w:rPr>
        <w:t>.</w:t>
      </w:r>
    </w:p>
    <w:p w14:paraId="304FBEA8" w14:textId="77777777" w:rsidR="003B6EE9" w:rsidRPr="00F7226D"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F7226D">
        <w:rPr>
          <w:rFonts w:ascii="Palatino Linotype" w:eastAsia="Calibri" w:hAnsi="Palatino Linotype"/>
          <w:b/>
          <w:i/>
          <w:lang w:val="es-MX" w:eastAsia="es-ES_tradnl"/>
        </w:rPr>
        <w:t>Artículo 18.</w:t>
      </w:r>
      <w:r w:rsidRPr="00F7226D">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F7226D" w:rsidRDefault="003B6EE9" w:rsidP="00342812">
      <w:pPr>
        <w:spacing w:line="360" w:lineRule="auto"/>
        <w:jc w:val="both"/>
        <w:rPr>
          <w:rFonts w:ascii="Palatino Linotype" w:hAnsi="Palatino Linotype" w:cs="Arial"/>
        </w:rPr>
      </w:pPr>
    </w:p>
    <w:p w14:paraId="2D06B5B6" w14:textId="77777777" w:rsidR="003B6EE9" w:rsidRPr="00F7226D" w:rsidRDefault="003B6EE9" w:rsidP="00731DB4">
      <w:pPr>
        <w:numPr>
          <w:ilvl w:val="0"/>
          <w:numId w:val="2"/>
        </w:numPr>
        <w:spacing w:after="160" w:line="360" w:lineRule="auto"/>
        <w:ind w:left="0" w:firstLine="0"/>
        <w:jc w:val="both"/>
        <w:rPr>
          <w:rFonts w:ascii="Palatino Linotype" w:hAnsi="Palatino Linotype" w:cs="Arial"/>
        </w:rPr>
      </w:pPr>
      <w:r w:rsidRPr="00F7226D">
        <w:rPr>
          <w:rFonts w:ascii="Palatino Linotype" w:eastAsia="Calibri" w:hAnsi="Palatino Linotype" w:cs="Arial"/>
          <w:lang w:val="es-MX" w:eastAsia="en-US"/>
        </w:rPr>
        <w:lastRenderedPageBreak/>
        <w:t xml:space="preserve">Por otro lado, </w:t>
      </w:r>
      <w:r w:rsidRPr="00F7226D">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F7226D">
        <w:rPr>
          <w:rFonts w:ascii="Palatino Linotype" w:hAnsi="Palatino Linotype"/>
          <w:b/>
          <w:lang w:val="es-MX" w:eastAsia="es-MX"/>
        </w:rPr>
        <w:t>SUJETOS OBLIGADOS</w:t>
      </w:r>
      <w:r w:rsidRPr="00F7226D">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F7226D" w:rsidRDefault="003B6EE9" w:rsidP="00342812">
      <w:pPr>
        <w:spacing w:line="360" w:lineRule="auto"/>
        <w:jc w:val="both"/>
        <w:rPr>
          <w:rFonts w:ascii="Palatino Linotype" w:hAnsi="Palatino Linotype" w:cs="Arial"/>
        </w:rPr>
      </w:pPr>
    </w:p>
    <w:p w14:paraId="4E0CB749" w14:textId="2F4D4689" w:rsidR="007445F5" w:rsidRPr="00F7226D" w:rsidRDefault="003B6EE9" w:rsidP="00342812">
      <w:pPr>
        <w:spacing w:after="160" w:line="360" w:lineRule="auto"/>
        <w:ind w:left="567" w:right="567"/>
        <w:jc w:val="both"/>
        <w:rPr>
          <w:rFonts w:ascii="Palatino Linotype" w:hAnsi="Palatino Linotype"/>
          <w:i/>
          <w:lang w:eastAsia="en-US"/>
        </w:rPr>
      </w:pPr>
      <w:r w:rsidRPr="00F7226D">
        <w:rPr>
          <w:rFonts w:ascii="Palatino Linotype" w:hAnsi="Palatino Linotype"/>
          <w:i/>
          <w:lang w:eastAsia="en-US"/>
        </w:rPr>
        <w:t>“</w:t>
      </w:r>
      <w:r w:rsidRPr="00F7226D">
        <w:rPr>
          <w:rFonts w:ascii="Palatino Linotype" w:hAnsi="Palatino Linotype"/>
          <w:b/>
          <w:i/>
          <w:lang w:eastAsia="en-US"/>
        </w:rPr>
        <w:t>Artículo 4.</w:t>
      </w:r>
      <w:r w:rsidRPr="00F7226D">
        <w:rPr>
          <w:rFonts w:ascii="Palatino Linotype" w:hAnsi="Palatino Linotype"/>
          <w:i/>
          <w:lang w:eastAsia="en-US"/>
        </w:rPr>
        <w:t xml:space="preserve"> </w:t>
      </w:r>
    </w:p>
    <w:p w14:paraId="4297B768" w14:textId="77777777" w:rsidR="007445F5" w:rsidRPr="00F7226D"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F7226D" w:rsidRDefault="003B6EE9" w:rsidP="00342812">
      <w:pPr>
        <w:spacing w:after="160" w:line="360" w:lineRule="auto"/>
        <w:ind w:left="567" w:right="567"/>
        <w:jc w:val="both"/>
        <w:rPr>
          <w:rFonts w:ascii="Palatino Linotype" w:hAnsi="Palatino Linotype"/>
          <w:i/>
          <w:lang w:eastAsia="en-US"/>
        </w:rPr>
      </w:pPr>
      <w:r w:rsidRPr="00F7226D">
        <w:rPr>
          <w:rFonts w:ascii="Palatino Linotype" w:hAnsi="Palatino Linotype"/>
          <w:i/>
          <w:lang w:eastAsia="en-US"/>
        </w:rPr>
        <w:t>(…)</w:t>
      </w:r>
    </w:p>
    <w:p w14:paraId="73D3F680" w14:textId="77777777" w:rsidR="003B6EE9" w:rsidRPr="00F7226D" w:rsidRDefault="003B6EE9" w:rsidP="00342812">
      <w:pPr>
        <w:spacing w:after="160" w:line="360" w:lineRule="auto"/>
        <w:ind w:left="567" w:right="567"/>
        <w:jc w:val="both"/>
        <w:rPr>
          <w:rFonts w:ascii="Palatino Linotype" w:hAnsi="Palatino Linotype"/>
          <w:i/>
          <w:lang w:eastAsia="en-US"/>
        </w:rPr>
      </w:pPr>
      <w:r w:rsidRPr="00F7226D">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F7226D">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F7226D">
        <w:rPr>
          <w:rFonts w:ascii="Palatino Linotype" w:hAnsi="Palatino Linotype"/>
          <w:b/>
          <w:i/>
          <w:lang w:eastAsia="en-US"/>
        </w:rPr>
        <w:t>principio de máxima publicidad</w:t>
      </w:r>
      <w:r w:rsidRPr="00F7226D">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F7226D"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F7226D" w:rsidRDefault="003B6EE9" w:rsidP="00342812">
      <w:pPr>
        <w:spacing w:after="160" w:line="360" w:lineRule="auto"/>
        <w:ind w:left="567" w:right="567"/>
        <w:jc w:val="both"/>
        <w:rPr>
          <w:rFonts w:ascii="Palatino Linotype" w:hAnsi="Palatino Linotype"/>
          <w:i/>
          <w:lang w:eastAsia="en-US"/>
        </w:rPr>
      </w:pPr>
      <w:r w:rsidRPr="00F7226D">
        <w:rPr>
          <w:rFonts w:ascii="Palatino Linotype" w:hAnsi="Palatino Linotype"/>
          <w:i/>
          <w:lang w:eastAsia="en-US"/>
        </w:rPr>
        <w:t>(…)</w:t>
      </w:r>
    </w:p>
    <w:p w14:paraId="35F2D8EA" w14:textId="77777777" w:rsidR="003B6EE9" w:rsidRPr="00F7226D" w:rsidRDefault="003B6EE9" w:rsidP="00342812">
      <w:pPr>
        <w:spacing w:after="160" w:line="360" w:lineRule="auto"/>
        <w:ind w:right="567"/>
        <w:jc w:val="both"/>
        <w:rPr>
          <w:rFonts w:ascii="Palatino Linotype" w:hAnsi="Palatino Linotype"/>
          <w:lang w:eastAsia="en-US"/>
        </w:rPr>
      </w:pPr>
    </w:p>
    <w:p w14:paraId="40784A0C" w14:textId="77777777" w:rsidR="003B6EE9" w:rsidRPr="00F7226D" w:rsidRDefault="003B6EE9" w:rsidP="00342812">
      <w:pPr>
        <w:spacing w:after="160" w:line="360" w:lineRule="auto"/>
        <w:ind w:left="567" w:right="567"/>
        <w:jc w:val="both"/>
        <w:rPr>
          <w:rFonts w:ascii="Palatino Linotype" w:hAnsi="Palatino Linotype"/>
          <w:i/>
          <w:lang w:eastAsia="en-US"/>
        </w:rPr>
      </w:pPr>
      <w:r w:rsidRPr="00F7226D">
        <w:rPr>
          <w:rFonts w:ascii="Palatino Linotype" w:hAnsi="Palatino Linotype"/>
          <w:i/>
          <w:lang w:eastAsia="en-US"/>
        </w:rPr>
        <w:lastRenderedPageBreak/>
        <w:t>(Énfasis añadido)</w:t>
      </w:r>
    </w:p>
    <w:p w14:paraId="61BD7B4F" w14:textId="77777777" w:rsidR="003B6EE9" w:rsidRPr="00F7226D" w:rsidRDefault="003B6EE9" w:rsidP="00342812">
      <w:pPr>
        <w:spacing w:line="360" w:lineRule="auto"/>
        <w:jc w:val="both"/>
        <w:rPr>
          <w:rFonts w:ascii="Palatino Linotype" w:hAnsi="Palatino Linotype" w:cs="Arial"/>
        </w:rPr>
      </w:pPr>
    </w:p>
    <w:p w14:paraId="3D307472" w14:textId="77777777" w:rsidR="003B6EE9" w:rsidRPr="00F7226D" w:rsidRDefault="003B6EE9" w:rsidP="00731DB4">
      <w:pPr>
        <w:numPr>
          <w:ilvl w:val="0"/>
          <w:numId w:val="2"/>
        </w:numPr>
        <w:spacing w:after="160" w:line="360" w:lineRule="auto"/>
        <w:ind w:left="0" w:firstLine="0"/>
        <w:jc w:val="both"/>
        <w:rPr>
          <w:rFonts w:ascii="Palatino Linotype" w:hAnsi="Palatino Linotype" w:cs="Arial"/>
        </w:rPr>
      </w:pPr>
      <w:r w:rsidRPr="00F7226D">
        <w:rPr>
          <w:rFonts w:ascii="Palatino Linotype" w:eastAsia="Calibri" w:hAnsi="Palatino Linotype" w:cs="Arial"/>
          <w:lang w:val="es-MX" w:eastAsia="en-US"/>
        </w:rPr>
        <w:t xml:space="preserve">En ese sentido, no debe de pasar de vista para el </w:t>
      </w:r>
      <w:r w:rsidRPr="00F7226D">
        <w:rPr>
          <w:rFonts w:ascii="Palatino Linotype" w:eastAsia="Calibri" w:hAnsi="Palatino Linotype" w:cs="Arial"/>
          <w:b/>
          <w:lang w:val="es-MX" w:eastAsia="en-US"/>
        </w:rPr>
        <w:t>SUJETO OBLIGADO</w:t>
      </w:r>
      <w:r w:rsidRPr="00F7226D">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F7226D" w:rsidRDefault="003B6EE9" w:rsidP="00342812">
      <w:pPr>
        <w:spacing w:line="360" w:lineRule="auto"/>
        <w:jc w:val="both"/>
        <w:rPr>
          <w:rFonts w:ascii="Palatino Linotype" w:hAnsi="Palatino Linotype" w:cs="Arial"/>
        </w:rPr>
      </w:pPr>
    </w:p>
    <w:p w14:paraId="400BD9B9" w14:textId="77777777" w:rsidR="003B6EE9" w:rsidRPr="00F7226D" w:rsidRDefault="003B6EE9" w:rsidP="00342812">
      <w:pPr>
        <w:spacing w:after="160" w:line="360" w:lineRule="auto"/>
        <w:ind w:left="567" w:right="567"/>
        <w:jc w:val="both"/>
        <w:rPr>
          <w:rFonts w:ascii="Palatino Linotype" w:eastAsia="Calibri" w:hAnsi="Palatino Linotype"/>
          <w:i/>
          <w:lang w:val="es-MX" w:eastAsia="en-US"/>
        </w:rPr>
      </w:pPr>
      <w:r w:rsidRPr="00F7226D">
        <w:rPr>
          <w:rFonts w:ascii="Palatino Linotype" w:eastAsia="Calibri" w:hAnsi="Palatino Linotype"/>
          <w:i/>
          <w:lang w:val="es-MX" w:eastAsia="en-US"/>
        </w:rPr>
        <w:t>“</w:t>
      </w:r>
      <w:r w:rsidRPr="00F7226D">
        <w:rPr>
          <w:rFonts w:ascii="Palatino Linotype" w:eastAsia="Calibri" w:hAnsi="Palatino Linotype"/>
          <w:b/>
          <w:i/>
          <w:lang w:val="es-MX" w:eastAsia="en-US"/>
        </w:rPr>
        <w:t>Artículo 8.</w:t>
      </w:r>
      <w:r w:rsidRPr="00F7226D">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F7226D"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F7226D" w:rsidRDefault="003B6EE9" w:rsidP="00342812">
      <w:pPr>
        <w:spacing w:after="160" w:line="360" w:lineRule="auto"/>
        <w:ind w:left="567" w:right="567"/>
        <w:jc w:val="both"/>
        <w:rPr>
          <w:rFonts w:ascii="Palatino Linotype" w:eastAsia="Calibri" w:hAnsi="Palatino Linotype"/>
          <w:i/>
          <w:lang w:val="es-MX" w:eastAsia="en-US"/>
        </w:rPr>
      </w:pPr>
      <w:r w:rsidRPr="00F7226D">
        <w:rPr>
          <w:rFonts w:ascii="Palatino Linotype" w:eastAsia="Calibri" w:hAnsi="Palatino Linotype"/>
          <w:b/>
          <w:i/>
          <w:lang w:val="es-MX" w:eastAsia="en-US"/>
        </w:rPr>
        <w:t>En la aplicación e interpretación de la presente Ley deberá prevalecer el principio de máxima publicidad,</w:t>
      </w:r>
      <w:r w:rsidRPr="00F7226D">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F7226D"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F7226D" w:rsidRDefault="003B6EE9" w:rsidP="00342812">
      <w:pPr>
        <w:spacing w:after="160" w:line="360" w:lineRule="auto"/>
        <w:ind w:left="567" w:right="567"/>
        <w:jc w:val="both"/>
        <w:rPr>
          <w:rFonts w:ascii="Palatino Linotype" w:eastAsia="Calibri" w:hAnsi="Palatino Linotype"/>
          <w:i/>
          <w:lang w:val="es-MX" w:eastAsia="en-US"/>
        </w:rPr>
      </w:pPr>
      <w:r w:rsidRPr="00F7226D">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F7226D" w:rsidRDefault="003B6EE9" w:rsidP="00342812">
      <w:pPr>
        <w:spacing w:after="160" w:line="360" w:lineRule="auto"/>
        <w:ind w:left="567" w:right="567"/>
        <w:jc w:val="both"/>
        <w:rPr>
          <w:rFonts w:ascii="Palatino Linotype" w:eastAsia="Calibri" w:hAnsi="Palatino Linotype"/>
          <w:i/>
          <w:lang w:val="es-MX" w:eastAsia="en-US"/>
        </w:rPr>
      </w:pPr>
      <w:r w:rsidRPr="00F7226D">
        <w:rPr>
          <w:rFonts w:ascii="Palatino Linotype" w:eastAsia="Calibri" w:hAnsi="Palatino Linotype"/>
          <w:i/>
          <w:lang w:val="es-MX" w:eastAsia="en-US"/>
        </w:rPr>
        <w:t>(Énfasis añadido)</w:t>
      </w:r>
    </w:p>
    <w:p w14:paraId="229225B3" w14:textId="77777777" w:rsidR="003B6EE9" w:rsidRPr="00F7226D" w:rsidRDefault="003B6EE9" w:rsidP="00342812">
      <w:pPr>
        <w:spacing w:line="360" w:lineRule="auto"/>
        <w:jc w:val="both"/>
        <w:rPr>
          <w:rFonts w:ascii="Palatino Linotype" w:hAnsi="Palatino Linotype" w:cs="Arial"/>
        </w:rPr>
      </w:pPr>
    </w:p>
    <w:p w14:paraId="5BBD13F9" w14:textId="77777777" w:rsidR="003B6EE9" w:rsidRPr="00F7226D" w:rsidRDefault="003B6EE9" w:rsidP="00731DB4">
      <w:pPr>
        <w:numPr>
          <w:ilvl w:val="0"/>
          <w:numId w:val="2"/>
        </w:numPr>
        <w:spacing w:after="160" w:line="360" w:lineRule="auto"/>
        <w:ind w:left="0" w:firstLine="0"/>
        <w:jc w:val="both"/>
        <w:rPr>
          <w:rFonts w:ascii="Palatino Linotype" w:hAnsi="Palatino Linotype" w:cs="Arial"/>
        </w:rPr>
      </w:pPr>
      <w:r w:rsidRPr="00F7226D">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F7226D" w:rsidRDefault="003B6EE9" w:rsidP="00342812">
      <w:pPr>
        <w:spacing w:after="160" w:line="360" w:lineRule="auto"/>
        <w:jc w:val="both"/>
        <w:rPr>
          <w:rFonts w:ascii="Palatino Linotype" w:hAnsi="Palatino Linotype" w:cs="Arial"/>
        </w:rPr>
      </w:pPr>
    </w:p>
    <w:p w14:paraId="3EB14C9D" w14:textId="77777777" w:rsidR="003B6EE9" w:rsidRPr="00F7226D" w:rsidRDefault="003B6EE9" w:rsidP="00342812">
      <w:pPr>
        <w:spacing w:before="240" w:after="240" w:line="360" w:lineRule="auto"/>
        <w:ind w:left="540" w:right="738"/>
        <w:contextualSpacing/>
        <w:jc w:val="both"/>
        <w:rPr>
          <w:rFonts w:ascii="Palatino Linotype" w:eastAsia="Calibri" w:hAnsi="Palatino Linotype"/>
          <w:i/>
        </w:rPr>
      </w:pPr>
      <w:r w:rsidRPr="00F7226D">
        <w:rPr>
          <w:rFonts w:ascii="Palatino Linotype" w:eastAsia="Calibri" w:hAnsi="Palatino Linotype"/>
        </w:rPr>
        <w:t>“</w:t>
      </w:r>
      <w:r w:rsidRPr="00F7226D">
        <w:rPr>
          <w:rFonts w:ascii="Palatino Linotype" w:eastAsia="Calibri" w:hAnsi="Palatino Linotype"/>
          <w:b/>
          <w:i/>
        </w:rPr>
        <w:t>Artículo 7.</w:t>
      </w:r>
      <w:r w:rsidRPr="00F7226D">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F7226D" w:rsidRDefault="003B6EE9" w:rsidP="00342812">
      <w:pPr>
        <w:spacing w:line="360" w:lineRule="auto"/>
        <w:jc w:val="both"/>
        <w:rPr>
          <w:rFonts w:ascii="Palatino Linotype" w:hAnsi="Palatino Linotype" w:cs="Arial"/>
        </w:rPr>
      </w:pPr>
    </w:p>
    <w:p w14:paraId="2C91D61B" w14:textId="77777777" w:rsidR="003B6EE9" w:rsidRPr="00F7226D" w:rsidRDefault="003B6EE9" w:rsidP="00731DB4">
      <w:pPr>
        <w:numPr>
          <w:ilvl w:val="0"/>
          <w:numId w:val="2"/>
        </w:numPr>
        <w:spacing w:after="160" w:line="360" w:lineRule="auto"/>
        <w:ind w:left="0" w:firstLine="0"/>
        <w:jc w:val="both"/>
        <w:rPr>
          <w:rFonts w:ascii="Palatino Linotype" w:hAnsi="Palatino Linotype" w:cs="Arial"/>
        </w:rPr>
      </w:pPr>
      <w:r w:rsidRPr="00F7226D">
        <w:rPr>
          <w:rFonts w:ascii="Palatino Linotype" w:eastAsia="Calibri" w:hAnsi="Palatino Linotype" w:cs="Arial"/>
          <w:bCs/>
          <w:lang w:val="es-MX" w:eastAsia="en-US"/>
        </w:rPr>
        <w:t xml:space="preserve">Además, </w:t>
      </w:r>
      <w:r w:rsidRPr="00F7226D">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F7226D" w:rsidRDefault="003B6EE9" w:rsidP="00342812">
      <w:pPr>
        <w:spacing w:line="360" w:lineRule="auto"/>
        <w:jc w:val="both"/>
        <w:rPr>
          <w:rFonts w:ascii="Palatino Linotype" w:hAnsi="Palatino Linotype" w:cs="Arial"/>
        </w:rPr>
      </w:pPr>
    </w:p>
    <w:p w14:paraId="427E8EBD" w14:textId="77777777" w:rsidR="003B6EE9" w:rsidRPr="00F7226D" w:rsidRDefault="003B6EE9" w:rsidP="00342812">
      <w:pPr>
        <w:spacing w:after="160" w:line="360" w:lineRule="auto"/>
        <w:ind w:left="426" w:right="616"/>
        <w:contextualSpacing/>
        <w:jc w:val="both"/>
        <w:rPr>
          <w:rFonts w:ascii="Palatino Linotype" w:hAnsi="Palatino Linotype" w:cs="Arial"/>
          <w:i/>
          <w:lang w:val="es-MX" w:eastAsia="en-US"/>
        </w:rPr>
      </w:pPr>
      <w:r w:rsidRPr="00F7226D">
        <w:rPr>
          <w:rFonts w:ascii="Palatino Linotype" w:hAnsi="Palatino Linotype" w:cs="Arial"/>
          <w:b/>
          <w:i/>
          <w:lang w:eastAsia="en-US"/>
        </w:rPr>
        <w:t>“Artículo 23.</w:t>
      </w:r>
      <w:r w:rsidRPr="00F7226D">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F7226D"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F7226D" w:rsidRDefault="003B6EE9" w:rsidP="00342812">
      <w:pPr>
        <w:spacing w:before="240" w:after="240" w:line="360" w:lineRule="auto"/>
        <w:ind w:left="567" w:right="616"/>
        <w:contextualSpacing/>
        <w:jc w:val="both"/>
        <w:rPr>
          <w:rFonts w:ascii="Palatino Linotype" w:eastAsia="MS Mincho" w:hAnsi="Palatino Linotype" w:cs="Arial"/>
          <w:lang w:val="es-MX"/>
        </w:rPr>
      </w:pPr>
      <w:r w:rsidRPr="00F7226D">
        <w:rPr>
          <w:rFonts w:ascii="Palatino Linotype" w:eastAsia="MS Mincho" w:hAnsi="Palatino Linotype" w:cs="Arial"/>
          <w:lang w:val="es-MX"/>
        </w:rPr>
        <w:t>(…)</w:t>
      </w:r>
    </w:p>
    <w:p w14:paraId="3A87DF42" w14:textId="77777777" w:rsidR="003B6EE9" w:rsidRPr="00F7226D"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F7226D"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F7226D">
        <w:rPr>
          <w:rFonts w:ascii="Palatino Linotype" w:eastAsia="MS Mincho" w:hAnsi="Palatino Linotype" w:cs="Arial"/>
          <w:b/>
          <w:i/>
        </w:rPr>
        <w:t>IV. Los ayuntamientos y las dependencias, organismos, órganos y entidades de la administración municipal</w:t>
      </w:r>
      <w:r w:rsidRPr="00F7226D">
        <w:rPr>
          <w:rFonts w:ascii="Palatino Linotype" w:eastAsia="MS Mincho" w:hAnsi="Palatino Linotype" w:cs="Arial"/>
          <w:b/>
          <w:i/>
          <w:lang w:val="es-MX"/>
        </w:rPr>
        <w:t>;"</w:t>
      </w:r>
    </w:p>
    <w:p w14:paraId="74E56517" w14:textId="77777777" w:rsidR="003B6EE9" w:rsidRPr="00F7226D"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F7226D"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F7226D">
        <w:rPr>
          <w:rFonts w:ascii="Palatino Linotype" w:hAnsi="Palatino Linotype" w:cs="Arial"/>
          <w:i/>
          <w:lang w:val="es-MX" w:eastAsia="en-US"/>
        </w:rPr>
        <w:t>(…)”</w:t>
      </w:r>
    </w:p>
    <w:p w14:paraId="43B84675" w14:textId="77777777" w:rsidR="0076231C" w:rsidRPr="00F7226D" w:rsidRDefault="0076231C" w:rsidP="00342812">
      <w:pPr>
        <w:tabs>
          <w:tab w:val="left" w:pos="851"/>
        </w:tabs>
        <w:spacing w:line="360" w:lineRule="auto"/>
        <w:ind w:right="616"/>
        <w:contextualSpacing/>
        <w:jc w:val="both"/>
        <w:rPr>
          <w:rFonts w:ascii="Palatino Linotype" w:hAnsi="Palatino Linotype" w:cs="Arial"/>
          <w:i/>
          <w:lang w:val="es-MX" w:eastAsia="en-US"/>
        </w:rPr>
      </w:pPr>
    </w:p>
    <w:p w14:paraId="403A5EFE" w14:textId="5EF8D7AA" w:rsidR="00CB48D9" w:rsidRPr="00F7226D" w:rsidRDefault="00CB48D9" w:rsidP="00B02425">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226D">
        <w:rPr>
          <w:rFonts w:ascii="Palatino Linotype" w:eastAsiaTheme="minorEastAsia" w:hAnsi="Palatino Linotype" w:cstheme="minorBidi"/>
          <w:color w:val="000000" w:themeColor="text1"/>
          <w:lang w:val="es-MX"/>
        </w:rPr>
        <w:t>Por otro lado, el artículo 92 de la normatividad en cita señala que constituye una obligación de transparencia</w:t>
      </w:r>
      <w:r w:rsidR="007F601F" w:rsidRPr="00F7226D">
        <w:rPr>
          <w:rFonts w:ascii="Palatino Linotype" w:eastAsiaTheme="minorEastAsia" w:hAnsi="Palatino Linotype" w:cstheme="minorBidi"/>
          <w:color w:val="000000" w:themeColor="text1"/>
          <w:lang w:val="es-MX"/>
        </w:rPr>
        <w:t xml:space="preserve"> la entrega de</w:t>
      </w:r>
      <w:r w:rsidR="00AB25DB" w:rsidRPr="00F7226D">
        <w:rPr>
          <w:rFonts w:ascii="Palatino Linotype" w:eastAsiaTheme="minorEastAsia" w:hAnsi="Palatino Linotype" w:cstheme="minorBidi"/>
          <w:color w:val="000000" w:themeColor="text1"/>
          <w:lang w:val="es-MX"/>
        </w:rPr>
        <w:t xml:space="preserve"> información financiera, </w:t>
      </w:r>
      <w:r w:rsidR="007F601F" w:rsidRPr="00F7226D">
        <w:rPr>
          <w:rFonts w:ascii="Palatino Linotype" w:eastAsiaTheme="minorEastAsia" w:hAnsi="Palatino Linotype" w:cstheme="minorBidi"/>
          <w:color w:val="000000" w:themeColor="text1"/>
          <w:lang w:val="es-MX"/>
        </w:rPr>
        <w:t xml:space="preserve">continuación se observa: </w:t>
      </w:r>
    </w:p>
    <w:p w14:paraId="1A5B03E7" w14:textId="77777777" w:rsidR="00CB48D9" w:rsidRPr="00F7226D"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F7226D"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7226D">
        <w:rPr>
          <w:rFonts w:ascii="Palatino Linotype" w:eastAsiaTheme="minorEastAsia" w:hAnsi="Palatino Linotype" w:cstheme="minorBidi"/>
          <w:b/>
          <w:i/>
          <w:color w:val="000000" w:themeColor="text1"/>
        </w:rPr>
        <w:t>Artículo 92.</w:t>
      </w:r>
      <w:r w:rsidRPr="00F7226D">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F7226D"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7806191" w:rsidR="00CB48D9" w:rsidRPr="00F7226D"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7226D">
        <w:rPr>
          <w:rFonts w:ascii="Palatino Linotype" w:eastAsiaTheme="minorEastAsia" w:hAnsi="Palatino Linotype" w:cstheme="minorBidi"/>
          <w:i/>
          <w:color w:val="000000" w:themeColor="text1"/>
        </w:rPr>
        <w:t>(…)</w:t>
      </w:r>
    </w:p>
    <w:p w14:paraId="5EFB23FC" w14:textId="73F414F4" w:rsidR="00AB25DB" w:rsidRPr="00F7226D" w:rsidRDefault="00AB25DB" w:rsidP="0076231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7226D">
        <w:rPr>
          <w:rFonts w:ascii="Palatino Linotype" w:eastAsiaTheme="minorEastAsia" w:hAnsi="Palatino Linotype" w:cstheme="minorBidi"/>
          <w:i/>
          <w:color w:val="000000" w:themeColor="text1"/>
        </w:rPr>
        <w:lastRenderedPageBreak/>
        <w:t>XXV. La información financiera sobre el presupuesto asignado, así como los informes del ejercicio trimestral del gasto, en términos de la Ley General de Contabilidad Gubernamental y demás</w:t>
      </w:r>
      <w:r w:rsidR="00A341BA" w:rsidRPr="00F7226D">
        <w:rPr>
          <w:rFonts w:ascii="Palatino Linotype" w:eastAsiaTheme="minorEastAsia" w:hAnsi="Palatino Linotype" w:cstheme="minorBidi"/>
          <w:i/>
          <w:color w:val="000000" w:themeColor="text1"/>
        </w:rPr>
        <w:t xml:space="preserve"> </w:t>
      </w:r>
      <w:r w:rsidRPr="00F7226D">
        <w:rPr>
          <w:rFonts w:ascii="Palatino Linotype" w:eastAsiaTheme="minorEastAsia" w:hAnsi="Palatino Linotype" w:cstheme="minorBidi"/>
          <w:i/>
          <w:color w:val="000000" w:themeColor="text1"/>
        </w:rPr>
        <w:t>disposiciones jurídicas aplicables;</w:t>
      </w:r>
    </w:p>
    <w:p w14:paraId="75D4D477" w14:textId="77777777" w:rsidR="0076231C" w:rsidRPr="00F7226D" w:rsidRDefault="0076231C" w:rsidP="0076231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35D59DC8" w14:textId="6C56F4D3" w:rsidR="00CB48D9" w:rsidRPr="00F7226D" w:rsidRDefault="00AB25DB"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7226D">
        <w:rPr>
          <w:rFonts w:ascii="Palatino Linotype" w:eastAsiaTheme="minorEastAsia" w:hAnsi="Palatino Linotype" w:cstheme="minorBidi"/>
          <w:i/>
          <w:color w:val="000000" w:themeColor="text1"/>
        </w:rPr>
        <w:t xml:space="preserve"> </w:t>
      </w:r>
      <w:r w:rsidR="00CB48D9" w:rsidRPr="00F7226D">
        <w:rPr>
          <w:rFonts w:ascii="Palatino Linotype" w:eastAsiaTheme="minorEastAsia" w:hAnsi="Palatino Linotype" w:cstheme="minorBidi"/>
          <w:i/>
          <w:color w:val="000000" w:themeColor="text1"/>
        </w:rPr>
        <w:t>(…)</w:t>
      </w:r>
    </w:p>
    <w:p w14:paraId="2BBC5ACC" w14:textId="77777777" w:rsidR="0076231C" w:rsidRPr="00F7226D" w:rsidRDefault="0076231C"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38CB756A" w14:textId="5B576506" w:rsidR="008C240B" w:rsidRPr="00F7226D" w:rsidRDefault="008C240B"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7226D">
        <w:rPr>
          <w:rFonts w:ascii="Palatino Linotype" w:eastAsiaTheme="minorEastAsia" w:hAnsi="Palatino Linotype" w:cstheme="minorBidi"/>
          <w:i/>
          <w:color w:val="000000" w:themeColor="text1"/>
        </w:rPr>
        <w:t>LII. Cualquier otra información que sea de utilidad o se considere relevante, además de la que, con base en la información estadística, responda a las preguntas hechas con más frecuencia por el público.</w:t>
      </w:r>
    </w:p>
    <w:p w14:paraId="1529C75B" w14:textId="77777777" w:rsidR="00DA3B27" w:rsidRPr="00F7226D" w:rsidRDefault="00DA3B27"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42CB6B53" w14:textId="38901DE8" w:rsidR="008C240B" w:rsidRPr="00F7226D" w:rsidRDefault="008C240B"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F7226D">
        <w:rPr>
          <w:rFonts w:ascii="Palatino Linotype" w:eastAsiaTheme="minorEastAsia" w:hAnsi="Palatino Linotype" w:cstheme="minorBidi"/>
          <w:i/>
          <w:color w:val="000000" w:themeColor="text1"/>
        </w:rPr>
        <w:t>(…)</w:t>
      </w:r>
    </w:p>
    <w:p w14:paraId="21F146EB" w14:textId="7A5851C7" w:rsidR="00CB48D9" w:rsidRPr="00F7226D"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1827044" w14:textId="37422F99" w:rsidR="00187FE5" w:rsidRPr="00F7226D" w:rsidRDefault="00397F6B" w:rsidP="00550734">
      <w:pPr>
        <w:numPr>
          <w:ilvl w:val="0"/>
          <w:numId w:val="2"/>
        </w:numPr>
        <w:tabs>
          <w:tab w:val="left" w:pos="284"/>
          <w:tab w:val="left" w:pos="426"/>
        </w:tabs>
        <w:spacing w:before="240" w:after="240" w:line="360" w:lineRule="auto"/>
        <w:ind w:left="0" w:right="51" w:firstLine="0"/>
        <w:contextualSpacing/>
        <w:jc w:val="both"/>
        <w:rPr>
          <w:rFonts w:ascii="Palatino Linotype" w:eastAsia="MS Mincho" w:hAnsi="Palatino Linotype" w:cs="Arial"/>
          <w:color w:val="000000"/>
          <w:lang w:val="es-MX" w:eastAsia="en-US"/>
        </w:rPr>
      </w:pPr>
      <w:r w:rsidRPr="00F7226D">
        <w:rPr>
          <w:rFonts w:ascii="Palatino Linotype" w:hAnsi="Palatino Linotype" w:cs="Arial"/>
          <w:lang w:eastAsia="en-US"/>
        </w:rPr>
        <w:t>D</w:t>
      </w:r>
      <w:r w:rsidR="00322696" w:rsidRPr="00F7226D">
        <w:rPr>
          <w:rFonts w:ascii="Palatino Linotype" w:hAnsi="Palatino Linotype" w:cs="Arial"/>
          <w:lang w:val="es-ES_tradnl" w:eastAsia="en-US"/>
        </w:rPr>
        <w:t>amostrada</w:t>
      </w:r>
      <w:r w:rsidRPr="00F7226D">
        <w:rPr>
          <w:rFonts w:ascii="Palatino Linotype" w:hAnsi="Palatino Linotype" w:cs="Arial"/>
          <w:lang w:val="es-ES_tradnl" w:eastAsia="en-US"/>
        </w:rPr>
        <w:t xml:space="preserve"> </w:t>
      </w:r>
      <w:r w:rsidRPr="00F7226D">
        <w:rPr>
          <w:rFonts w:ascii="Palatino Linotype" w:hAnsi="Palatino Linotype" w:cs="Arial"/>
          <w:lang w:eastAsia="en-US"/>
        </w:rPr>
        <w:t xml:space="preserve">la procedencia del acceso en términos de la Ley de Transparencia </w:t>
      </w:r>
      <w:r w:rsidR="00A341BA" w:rsidRPr="00F7226D">
        <w:rPr>
          <w:rFonts w:ascii="Palatino Linotype" w:hAnsi="Palatino Linotype" w:cs="Arial"/>
          <w:lang w:eastAsia="en-US"/>
        </w:rPr>
        <w:t>Estatal,</w:t>
      </w:r>
      <w:r w:rsidR="000800D3" w:rsidRPr="00F7226D">
        <w:rPr>
          <w:rFonts w:ascii="Palatino Linotype" w:hAnsi="Palatino Linotype" w:cs="Arial"/>
          <w:lang w:eastAsia="en-US"/>
        </w:rPr>
        <w:t xml:space="preserve"> resulta imprescindible</w:t>
      </w:r>
      <w:r w:rsidR="00550734" w:rsidRPr="00F7226D">
        <w:rPr>
          <w:rFonts w:ascii="Palatino Linotype" w:hAnsi="Palatino Linotype" w:cs="Arial"/>
          <w:lang w:eastAsia="en-US"/>
        </w:rPr>
        <w:t xml:space="preserve"> recordar que el </w:t>
      </w:r>
      <w:r w:rsidR="00550734" w:rsidRPr="00F7226D">
        <w:rPr>
          <w:rFonts w:ascii="Palatino Linotype" w:hAnsi="Palatino Linotype" w:cs="Arial"/>
          <w:b/>
          <w:lang w:eastAsia="en-US"/>
        </w:rPr>
        <w:t xml:space="preserve">SOLICITANTE </w:t>
      </w:r>
      <w:r w:rsidR="00550734" w:rsidRPr="00F7226D">
        <w:rPr>
          <w:rFonts w:ascii="Palatino Linotype" w:hAnsi="Palatino Linotype" w:cs="Arial"/>
          <w:lang w:eastAsia="en-US"/>
        </w:rPr>
        <w:t xml:space="preserve"> requirió acceso a  información relacionada con facturas, a lo cual, el </w:t>
      </w:r>
      <w:r w:rsidR="00550734" w:rsidRPr="00F7226D">
        <w:rPr>
          <w:rFonts w:ascii="Palatino Linotype" w:hAnsi="Palatino Linotype" w:cs="Arial"/>
          <w:b/>
          <w:lang w:eastAsia="en-US"/>
        </w:rPr>
        <w:t xml:space="preserve">SUJETO OBLIGADO </w:t>
      </w:r>
      <w:r w:rsidR="00550734" w:rsidRPr="00F7226D">
        <w:rPr>
          <w:rFonts w:ascii="Palatino Linotype" w:hAnsi="Palatino Linotype" w:cs="Arial"/>
          <w:lang w:eastAsia="en-US"/>
        </w:rPr>
        <w:t xml:space="preserve"> no emitió respuesta alguna, por lo que</w:t>
      </w:r>
      <w:r w:rsidR="0076231C" w:rsidRPr="00F7226D">
        <w:rPr>
          <w:rFonts w:ascii="Palatino Linotype" w:eastAsia="MS Mincho" w:hAnsi="Palatino Linotype" w:cs="Arial"/>
          <w:color w:val="000000"/>
          <w:lang w:val="es-MX" w:eastAsia="en-US"/>
        </w:rPr>
        <w:t xml:space="preserve"> resulta oportuno señalar que </w:t>
      </w:r>
      <w:r w:rsidR="002D5BAE" w:rsidRPr="00F7226D">
        <w:rPr>
          <w:rFonts w:ascii="Palatino Linotype" w:eastAsia="MS Mincho" w:hAnsi="Palatino Linotype" w:cs="Arial"/>
          <w:color w:val="000000"/>
          <w:lang w:val="es-MX" w:eastAsia="en-US"/>
        </w:rPr>
        <w:t xml:space="preserve">la </w:t>
      </w:r>
      <w:r w:rsidR="0076231C" w:rsidRPr="00F7226D">
        <w:rPr>
          <w:rFonts w:ascii="Palatino Linotype" w:eastAsia="MS Mincho" w:hAnsi="Palatino Linotype" w:cs="Arial"/>
          <w:b/>
          <w:color w:val="000000"/>
          <w:lang w:val="es-MX" w:eastAsia="en-US"/>
        </w:rPr>
        <w:t>Ley Orgánica Municipal</w:t>
      </w:r>
      <w:r w:rsidR="0076231C" w:rsidRPr="00F7226D">
        <w:rPr>
          <w:rFonts w:ascii="Palatino Linotype" w:eastAsia="MS Mincho" w:hAnsi="Palatino Linotype" w:cs="Arial"/>
          <w:color w:val="000000"/>
          <w:lang w:val="es-MX" w:eastAsia="en-US"/>
        </w:rPr>
        <w:t xml:space="preserve"> </w:t>
      </w:r>
      <w:r w:rsidR="0088125B" w:rsidRPr="00F7226D">
        <w:rPr>
          <w:rFonts w:ascii="Palatino Linotype" w:eastAsia="MS Mincho" w:hAnsi="Palatino Linotype" w:cs="Arial"/>
          <w:lang w:val="es-MX" w:eastAsia="es-MX"/>
        </w:rPr>
        <w:t>señala que en cada municipio contará con una tesorería</w:t>
      </w:r>
      <w:r w:rsidR="00187FE5" w:rsidRPr="00F7226D">
        <w:rPr>
          <w:rFonts w:ascii="Palatino Linotype" w:eastAsia="MS Mincho" w:hAnsi="Palatino Linotype" w:cs="Arial"/>
          <w:lang w:val="es-MX" w:eastAsia="es-MX"/>
        </w:rPr>
        <w:t xml:space="preserve">, como a continuación se observa: </w:t>
      </w:r>
    </w:p>
    <w:p w14:paraId="42782BBE" w14:textId="77777777" w:rsidR="00187FE5" w:rsidRPr="00F7226D" w:rsidRDefault="00187FE5" w:rsidP="00187FE5">
      <w:pPr>
        <w:pStyle w:val="Prrafodelista"/>
        <w:rPr>
          <w:rFonts w:ascii="Palatino Linotype" w:eastAsiaTheme="minorEastAsia" w:hAnsi="Palatino Linotype" w:cstheme="minorBidi"/>
          <w:color w:val="000000" w:themeColor="text1"/>
          <w:lang w:val="es-MX"/>
        </w:rPr>
      </w:pPr>
    </w:p>
    <w:p w14:paraId="0EB389D6" w14:textId="77777777" w:rsidR="0088125B" w:rsidRPr="00F7226D" w:rsidRDefault="00187FE5" w:rsidP="0088125B">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F7226D">
        <w:rPr>
          <w:rFonts w:ascii="Palatino Linotype" w:eastAsiaTheme="minorEastAsia" w:hAnsi="Palatino Linotype" w:cstheme="minorBidi"/>
          <w:i/>
          <w:color w:val="000000" w:themeColor="text1"/>
        </w:rPr>
        <w:t>“</w:t>
      </w:r>
      <w:r w:rsidR="0088125B" w:rsidRPr="00F7226D">
        <w:rPr>
          <w:rFonts w:ascii="Palatino Linotype" w:eastAsiaTheme="minorEastAsia" w:hAnsi="Palatino Linotype" w:cstheme="minorBidi"/>
          <w:b/>
          <w:i/>
          <w:color w:val="000000" w:themeColor="text1"/>
        </w:rPr>
        <w:t>Artículo 87.-</w:t>
      </w:r>
      <w:r w:rsidR="0088125B" w:rsidRPr="00F7226D">
        <w:rPr>
          <w:rFonts w:ascii="Palatino Linotype" w:eastAsiaTheme="minorEastAsia" w:hAnsi="Palatino Linotype" w:cstheme="minorBidi"/>
          <w:i/>
          <w:color w:val="000000" w:themeColor="text1"/>
        </w:rPr>
        <w:t xml:space="preserve"> Para el despacho, estudio y planeación de los diversos asuntos de la administración municipal, el ayuntamiento contará por lo menos con las siguientes Dependencias: </w:t>
      </w:r>
    </w:p>
    <w:p w14:paraId="28943A12" w14:textId="77777777" w:rsidR="0088125B" w:rsidRPr="00F7226D" w:rsidRDefault="0088125B" w:rsidP="0088125B">
      <w:pPr>
        <w:tabs>
          <w:tab w:val="left" w:pos="284"/>
          <w:tab w:val="left" w:pos="426"/>
        </w:tabs>
        <w:spacing w:before="240" w:after="240" w:line="360" w:lineRule="auto"/>
        <w:ind w:right="909"/>
        <w:contextualSpacing/>
        <w:jc w:val="both"/>
        <w:rPr>
          <w:rFonts w:ascii="Palatino Linotype" w:eastAsiaTheme="minorEastAsia" w:hAnsi="Palatino Linotype" w:cstheme="minorBidi"/>
          <w:i/>
          <w:color w:val="000000" w:themeColor="text1"/>
        </w:rPr>
      </w:pPr>
    </w:p>
    <w:p w14:paraId="6D6D5B1E" w14:textId="77777777" w:rsidR="0088125B" w:rsidRPr="00F7226D" w:rsidRDefault="0088125B" w:rsidP="0088125B">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F7226D">
        <w:rPr>
          <w:rFonts w:ascii="Palatino Linotype" w:eastAsiaTheme="minorEastAsia" w:hAnsi="Palatino Linotype" w:cstheme="minorBidi"/>
          <w:i/>
          <w:color w:val="000000" w:themeColor="text1"/>
        </w:rPr>
        <w:lastRenderedPageBreak/>
        <w:t>I. La secretaría del ayuntamiento;</w:t>
      </w:r>
    </w:p>
    <w:p w14:paraId="0DC20DFC" w14:textId="6E82B083" w:rsidR="0088125B" w:rsidRPr="00F7226D" w:rsidRDefault="0088125B" w:rsidP="0088125B">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F7226D">
        <w:rPr>
          <w:rFonts w:ascii="Palatino Linotype" w:eastAsiaTheme="minorEastAsia" w:hAnsi="Palatino Linotype" w:cstheme="minorBidi"/>
          <w:i/>
          <w:color w:val="000000" w:themeColor="text1"/>
        </w:rPr>
        <w:t xml:space="preserve">II. La tesorería municipal. </w:t>
      </w:r>
    </w:p>
    <w:p w14:paraId="59848B0C" w14:textId="77777777" w:rsidR="0088125B" w:rsidRPr="00F7226D" w:rsidRDefault="0088125B" w:rsidP="0088125B">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p>
    <w:p w14:paraId="495481C4" w14:textId="6AE9DB70" w:rsidR="00A70E24" w:rsidRPr="00F7226D" w:rsidRDefault="0088125B" w:rsidP="0088125B">
      <w:pPr>
        <w:tabs>
          <w:tab w:val="left" w:pos="284"/>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F7226D">
        <w:rPr>
          <w:rFonts w:ascii="Palatino Linotype" w:eastAsiaTheme="minorEastAsia" w:hAnsi="Palatino Linotype" w:cstheme="minorBidi"/>
          <w:i/>
          <w:color w:val="000000" w:themeColor="text1"/>
        </w:rPr>
        <w:t>(…)</w:t>
      </w:r>
      <w:r w:rsidR="00187FE5" w:rsidRPr="00F7226D">
        <w:rPr>
          <w:rFonts w:ascii="Palatino Linotype" w:eastAsiaTheme="minorEastAsia" w:hAnsi="Palatino Linotype" w:cstheme="minorBidi"/>
          <w:color w:val="000000" w:themeColor="text1"/>
        </w:rPr>
        <w:t>.” (Sic)</w:t>
      </w:r>
    </w:p>
    <w:p w14:paraId="3A2A7F2B" w14:textId="77777777" w:rsidR="0088125B" w:rsidRPr="00F7226D" w:rsidRDefault="0088125B" w:rsidP="00731DB4">
      <w:pPr>
        <w:pStyle w:val="Prrafodelista"/>
        <w:numPr>
          <w:ilvl w:val="0"/>
          <w:numId w:val="2"/>
        </w:numPr>
        <w:spacing w:before="240" w:after="240" w:line="360" w:lineRule="auto"/>
        <w:ind w:left="0" w:right="49" w:firstLine="0"/>
        <w:contextualSpacing/>
        <w:jc w:val="both"/>
        <w:rPr>
          <w:rFonts w:ascii="Palatino Linotype" w:eastAsia="MS Mincho" w:hAnsi="Palatino Linotype"/>
          <w:lang w:val="es-ES_tradnl"/>
        </w:rPr>
      </w:pPr>
      <w:r w:rsidRPr="00F7226D">
        <w:rPr>
          <w:rFonts w:ascii="Palatino Linotype" w:eastAsia="MS Mincho" w:hAnsi="Palatino Linotype"/>
          <w:lang w:val="es-ES_tradnl"/>
        </w:rPr>
        <w:t xml:space="preserve">En ese contexto, es necesario advertir, que dicha área, se encuentra encargada de la recaudación de los ingresos municipales y es responsable de las erogaciones que haga el ayuntamiento, como a continuación se observa: </w:t>
      </w:r>
    </w:p>
    <w:p w14:paraId="2A1BF7AF" w14:textId="77777777" w:rsidR="0088125B" w:rsidRPr="00F7226D" w:rsidRDefault="0088125B" w:rsidP="0088125B">
      <w:pPr>
        <w:spacing w:before="240" w:after="240" w:line="360" w:lineRule="auto"/>
        <w:ind w:right="49"/>
        <w:contextualSpacing/>
        <w:jc w:val="both"/>
        <w:rPr>
          <w:rFonts w:ascii="Palatino Linotype" w:eastAsia="MS Mincho" w:hAnsi="Palatino Linotype"/>
          <w:lang w:val="es-ES_tradnl"/>
        </w:rPr>
      </w:pPr>
    </w:p>
    <w:p w14:paraId="4C725AB5" w14:textId="77777777" w:rsidR="0088125B" w:rsidRPr="00F7226D" w:rsidRDefault="0088125B" w:rsidP="0088125B">
      <w:pPr>
        <w:spacing w:before="240" w:after="240" w:line="360" w:lineRule="auto"/>
        <w:ind w:left="567" w:right="607"/>
        <w:contextualSpacing/>
        <w:jc w:val="both"/>
        <w:rPr>
          <w:rFonts w:ascii="Palatino Linotype" w:eastAsia="MS Mincho" w:hAnsi="Palatino Linotype"/>
          <w:i/>
        </w:rPr>
      </w:pPr>
      <w:r w:rsidRPr="00F7226D">
        <w:rPr>
          <w:rFonts w:ascii="Palatino Linotype" w:eastAsia="MS Mincho" w:hAnsi="Palatino Linotype"/>
          <w:i/>
        </w:rPr>
        <w:t>“</w:t>
      </w:r>
      <w:r w:rsidRPr="00F7226D">
        <w:rPr>
          <w:rFonts w:ascii="Palatino Linotype" w:eastAsia="MS Mincho" w:hAnsi="Palatino Linotype"/>
          <w:b/>
          <w:i/>
        </w:rPr>
        <w:t>Artículo 93.-</w:t>
      </w:r>
      <w:r w:rsidRPr="00F7226D">
        <w:rPr>
          <w:rFonts w:ascii="Palatino Linotype" w:eastAsia="MS Mincho" w:hAnsi="Palatino Linotype"/>
          <w:i/>
        </w:rPr>
        <w:t xml:space="preserve"> La tesorería municipal es el órgano encargado de la recaudación de los ingresos municipales y responsable de realizar las erogaciones que haga el ayuntamiento. </w:t>
      </w:r>
    </w:p>
    <w:p w14:paraId="01AE5074" w14:textId="77777777" w:rsidR="0088125B" w:rsidRPr="00F7226D" w:rsidRDefault="0088125B" w:rsidP="0088125B">
      <w:pPr>
        <w:spacing w:before="240" w:after="240" w:line="360" w:lineRule="auto"/>
        <w:ind w:left="567" w:right="607"/>
        <w:contextualSpacing/>
        <w:jc w:val="both"/>
        <w:rPr>
          <w:rFonts w:ascii="Palatino Linotype" w:eastAsia="MS Mincho" w:hAnsi="Palatino Linotype"/>
          <w:i/>
        </w:rPr>
      </w:pPr>
    </w:p>
    <w:p w14:paraId="1A0DD37C" w14:textId="5A0EB7CE" w:rsidR="0088125B" w:rsidRPr="00F7226D" w:rsidRDefault="0088125B" w:rsidP="0088125B">
      <w:pPr>
        <w:spacing w:before="240" w:after="240" w:line="360" w:lineRule="auto"/>
        <w:ind w:left="567" w:right="607"/>
        <w:contextualSpacing/>
        <w:jc w:val="both"/>
        <w:rPr>
          <w:rFonts w:ascii="Palatino Linotype" w:eastAsia="MS Mincho" w:hAnsi="Palatino Linotype"/>
          <w:i/>
        </w:rPr>
      </w:pPr>
      <w:r w:rsidRPr="00F7226D">
        <w:rPr>
          <w:rFonts w:ascii="Palatino Linotype" w:eastAsia="MS Mincho" w:hAnsi="Palatino Linotype"/>
          <w:b/>
          <w:i/>
        </w:rPr>
        <w:t>Artículo 94.-</w:t>
      </w:r>
      <w:r w:rsidRPr="00F7226D">
        <w:rPr>
          <w:rFonts w:ascii="Palatino Linotype" w:eastAsia="MS Mincho" w:hAnsi="Palatino Linotype"/>
          <w:i/>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(Sic)</w:t>
      </w:r>
    </w:p>
    <w:p w14:paraId="175113DC" w14:textId="77777777" w:rsidR="0088125B" w:rsidRPr="00F7226D" w:rsidRDefault="0088125B" w:rsidP="0088125B">
      <w:pPr>
        <w:spacing w:before="240" w:after="240" w:line="360" w:lineRule="auto"/>
        <w:ind w:left="567" w:right="607"/>
        <w:contextualSpacing/>
        <w:jc w:val="both"/>
        <w:rPr>
          <w:rFonts w:ascii="Palatino Linotype" w:eastAsia="MS Mincho" w:hAnsi="Palatino Linotype"/>
          <w:i/>
        </w:rPr>
      </w:pPr>
    </w:p>
    <w:p w14:paraId="1C73AEBA" w14:textId="12AD958C" w:rsidR="0088125B" w:rsidRPr="00F7226D" w:rsidRDefault="0088125B" w:rsidP="0088125B">
      <w:pPr>
        <w:spacing w:before="240" w:after="240" w:line="360" w:lineRule="auto"/>
        <w:ind w:left="567" w:right="607"/>
        <w:contextualSpacing/>
        <w:jc w:val="both"/>
        <w:rPr>
          <w:rFonts w:ascii="Palatino Linotype" w:eastAsia="MS Mincho" w:hAnsi="Palatino Linotype"/>
          <w:i/>
        </w:rPr>
      </w:pPr>
      <w:r w:rsidRPr="00F7226D">
        <w:rPr>
          <w:rFonts w:ascii="Palatino Linotype" w:eastAsia="MS Mincho" w:hAnsi="Palatino Linotype"/>
          <w:i/>
        </w:rPr>
        <w:t>(Énfasis añadido)</w:t>
      </w:r>
    </w:p>
    <w:p w14:paraId="6EF7E6D4" w14:textId="77777777" w:rsidR="0088125B" w:rsidRPr="00F7226D" w:rsidRDefault="0088125B" w:rsidP="0088125B">
      <w:pPr>
        <w:pStyle w:val="Prrafodelista"/>
        <w:spacing w:before="240" w:after="240" w:line="360" w:lineRule="auto"/>
        <w:ind w:left="0" w:right="49"/>
        <w:contextualSpacing/>
        <w:jc w:val="both"/>
        <w:rPr>
          <w:rFonts w:ascii="Palatino Linotype" w:eastAsia="MS Mincho" w:hAnsi="Palatino Linotype"/>
          <w:lang w:val="es-ES_tradnl"/>
        </w:rPr>
      </w:pPr>
    </w:p>
    <w:p w14:paraId="7C8E2F71" w14:textId="47E0C15F" w:rsidR="00520517" w:rsidRPr="00F7226D" w:rsidRDefault="00187FE5" w:rsidP="002D5BAE">
      <w:pPr>
        <w:pStyle w:val="Prrafodelista"/>
        <w:numPr>
          <w:ilvl w:val="0"/>
          <w:numId w:val="2"/>
        </w:numPr>
        <w:spacing w:before="240" w:after="240" w:line="360" w:lineRule="auto"/>
        <w:ind w:left="0" w:right="49" w:firstLine="0"/>
        <w:contextualSpacing/>
        <w:jc w:val="both"/>
        <w:rPr>
          <w:rFonts w:ascii="Palatino Linotype" w:eastAsia="MS Mincho" w:hAnsi="Palatino Linotype"/>
          <w:lang w:val="es-ES_tradnl"/>
        </w:rPr>
      </w:pPr>
      <w:r w:rsidRPr="00F7226D">
        <w:rPr>
          <w:rFonts w:ascii="Palatino Linotype" w:eastAsia="MS Mincho" w:hAnsi="Palatino Linotype"/>
          <w:lang w:val="es-ES_tradnl"/>
        </w:rPr>
        <w:t>Por otro la</w:t>
      </w:r>
      <w:r w:rsidR="009A0C17" w:rsidRPr="00F7226D">
        <w:rPr>
          <w:rFonts w:ascii="Palatino Linotype" w:eastAsia="MS Mincho" w:hAnsi="Palatino Linotype"/>
          <w:lang w:val="es-ES_tradnl"/>
        </w:rPr>
        <w:t>do,</w:t>
      </w:r>
      <w:r w:rsidR="002D5BAE" w:rsidRPr="00F7226D">
        <w:rPr>
          <w:rFonts w:ascii="Palatino Linotype" w:eastAsia="MS Mincho" w:hAnsi="Palatino Linotype"/>
          <w:lang w:val="es-ES_tradnl"/>
        </w:rPr>
        <w:t xml:space="preserve"> el Bando Municipal del Ayuntamiento de Zinacantepec en su diverso 55, establece que </w:t>
      </w:r>
      <w:r w:rsidR="00520517" w:rsidRPr="00F7226D">
        <w:rPr>
          <w:rFonts w:ascii="Palatino Linotype" w:eastAsia="MS Mincho" w:hAnsi="Palatino Linotype"/>
          <w:lang w:val="es-ES_tradnl"/>
        </w:rPr>
        <w:t xml:space="preserve">la Tesorería Municipal es la encargada de conducir la </w:t>
      </w:r>
      <w:r w:rsidR="00520517" w:rsidRPr="00F7226D">
        <w:rPr>
          <w:rFonts w:ascii="Palatino Linotype" w:eastAsia="MS Mincho" w:hAnsi="Palatino Linotype"/>
          <w:lang w:val="es-ES_tradnl"/>
        </w:rPr>
        <w:lastRenderedPageBreak/>
        <w:t>disciplina presupuestal del Municipio</w:t>
      </w:r>
      <w:r w:rsidR="002D5BAE" w:rsidRPr="00F7226D">
        <w:rPr>
          <w:rFonts w:ascii="Palatino Linotype" w:eastAsia="MS Mincho" w:hAnsi="Palatino Linotype"/>
          <w:lang w:val="es-ES_tradnl"/>
        </w:rPr>
        <w:t xml:space="preserve"> al realizar la recaudación y efectuar la erogación de recursos</w:t>
      </w:r>
      <w:r w:rsidR="00520517" w:rsidRPr="00F7226D">
        <w:rPr>
          <w:rFonts w:ascii="Palatino Linotype" w:eastAsia="MS Mincho" w:hAnsi="Palatino Linotype"/>
          <w:lang w:val="es-ES_tradnl"/>
        </w:rPr>
        <w:t xml:space="preserve">, como se advierte a continuación: </w:t>
      </w:r>
    </w:p>
    <w:p w14:paraId="7BF14C12" w14:textId="77777777" w:rsidR="00520517" w:rsidRPr="00F7226D" w:rsidRDefault="00520517" w:rsidP="00520517">
      <w:pPr>
        <w:pStyle w:val="Prrafodelista"/>
        <w:spacing w:before="240" w:after="240" w:line="360" w:lineRule="auto"/>
        <w:ind w:left="0" w:right="49"/>
        <w:contextualSpacing/>
        <w:jc w:val="both"/>
        <w:rPr>
          <w:rFonts w:ascii="Palatino Linotype" w:eastAsia="MS Mincho" w:hAnsi="Palatino Linotype"/>
          <w:lang w:val="es-ES_tradnl"/>
        </w:rPr>
      </w:pPr>
    </w:p>
    <w:p w14:paraId="73D730A8" w14:textId="5259E5D1" w:rsidR="00C74B35" w:rsidRPr="00F7226D" w:rsidRDefault="002D5BAE" w:rsidP="002D5BAE">
      <w:pPr>
        <w:pStyle w:val="Prrafodelista"/>
        <w:spacing w:before="240" w:after="240" w:line="360" w:lineRule="auto"/>
        <w:ind w:left="567" w:right="607"/>
        <w:contextualSpacing/>
        <w:jc w:val="both"/>
        <w:rPr>
          <w:rFonts w:ascii="Palatino Linotype" w:eastAsia="MS Mincho" w:hAnsi="Palatino Linotype"/>
          <w:i/>
        </w:rPr>
      </w:pPr>
      <w:r w:rsidRPr="00F7226D">
        <w:rPr>
          <w:rFonts w:ascii="Palatino Linotype" w:eastAsia="MS Mincho" w:hAnsi="Palatino Linotype"/>
          <w:i/>
        </w:rPr>
        <w:t>“</w:t>
      </w:r>
      <w:r w:rsidRPr="00F7226D">
        <w:rPr>
          <w:rFonts w:ascii="Palatino Linotype" w:eastAsia="MS Mincho" w:hAnsi="Palatino Linotype"/>
          <w:b/>
          <w:i/>
        </w:rPr>
        <w:t>ARTÍCULO 55.</w:t>
      </w:r>
      <w:r w:rsidRPr="00F7226D">
        <w:rPr>
          <w:rFonts w:ascii="Palatino Linotype" w:eastAsia="MS Mincho" w:hAnsi="Palatino Linotype"/>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r w:rsidR="00520517" w:rsidRPr="00F7226D">
        <w:rPr>
          <w:rFonts w:ascii="Palatino Linotype" w:eastAsia="MS Mincho" w:hAnsi="Palatino Linotype"/>
          <w:i/>
        </w:rPr>
        <w:t>.</w:t>
      </w:r>
      <w:r w:rsidRPr="00F7226D">
        <w:rPr>
          <w:rFonts w:ascii="Palatino Linotype" w:eastAsia="MS Mincho" w:hAnsi="Palatino Linotype"/>
          <w:i/>
        </w:rPr>
        <w:t>” (Sic)</w:t>
      </w:r>
    </w:p>
    <w:p w14:paraId="5DD2715E" w14:textId="77777777" w:rsidR="002D5BAE" w:rsidRPr="00F7226D" w:rsidRDefault="002D5BAE" w:rsidP="002D5BAE">
      <w:pPr>
        <w:pStyle w:val="Prrafodelista"/>
        <w:spacing w:before="240" w:after="240" w:line="360" w:lineRule="auto"/>
        <w:ind w:left="567" w:right="607"/>
        <w:contextualSpacing/>
        <w:jc w:val="both"/>
        <w:rPr>
          <w:rFonts w:ascii="Palatino Linotype" w:eastAsia="MS Mincho" w:hAnsi="Palatino Linotype"/>
          <w:i/>
        </w:rPr>
      </w:pPr>
    </w:p>
    <w:p w14:paraId="6DF7B1F6" w14:textId="43B6AEBA" w:rsidR="00496F73" w:rsidRPr="00F7226D" w:rsidRDefault="00F43218" w:rsidP="00DD44D4">
      <w:pPr>
        <w:pStyle w:val="Prrafodelista"/>
        <w:numPr>
          <w:ilvl w:val="0"/>
          <w:numId w:val="2"/>
        </w:numPr>
        <w:spacing w:before="240" w:after="360" w:line="360" w:lineRule="auto"/>
        <w:ind w:left="0" w:right="9" w:firstLine="0"/>
        <w:contextualSpacing/>
        <w:jc w:val="both"/>
        <w:rPr>
          <w:rFonts w:ascii="Palatino Linotype" w:hAnsi="Palatino Linotype" w:cs="Arial"/>
          <w:i/>
          <w:lang w:val="es-ES_tradnl"/>
        </w:rPr>
      </w:pPr>
      <w:r w:rsidRPr="00F7226D">
        <w:rPr>
          <w:rFonts w:ascii="Palatino Linotype" w:hAnsi="Palatino Linotype" w:cs="Arial"/>
          <w:lang w:val="es-ES_tradnl"/>
        </w:rPr>
        <w:t>En razón de lo anterior</w:t>
      </w:r>
      <w:r w:rsidR="00520517" w:rsidRPr="00F7226D">
        <w:rPr>
          <w:rFonts w:ascii="Palatino Linotype" w:hAnsi="Palatino Linotype" w:cs="Arial"/>
          <w:lang w:val="es-ES_tradnl"/>
        </w:rPr>
        <w:t xml:space="preserve">, </w:t>
      </w:r>
      <w:r w:rsidR="00496F73" w:rsidRPr="00F7226D">
        <w:rPr>
          <w:rFonts w:ascii="Palatino Linotype" w:hAnsi="Palatino Linotype" w:cs="Arial"/>
          <w:lang w:val="es-ES_tradnl"/>
        </w:rPr>
        <w:t xml:space="preserve">y toda vez que </w:t>
      </w:r>
      <w:r w:rsidR="00496F73" w:rsidRPr="00F7226D">
        <w:rPr>
          <w:rFonts w:ascii="Palatino Linotype" w:eastAsia="Calibri" w:hAnsi="Palatino Linotype" w:cs="Arial"/>
          <w:bCs/>
          <w:lang w:val="es-MX" w:eastAsia="en-US"/>
        </w:rPr>
        <w:t>la Tesorería Municipal es el área encargada de realizar las erogacion</w:t>
      </w:r>
      <w:r w:rsidR="002D5BAE" w:rsidRPr="00F7226D">
        <w:rPr>
          <w:rFonts w:ascii="Palatino Linotype" w:eastAsia="Calibri" w:hAnsi="Palatino Linotype" w:cs="Arial"/>
          <w:bCs/>
          <w:lang w:val="es-MX" w:eastAsia="en-US"/>
        </w:rPr>
        <w:t xml:space="preserve">es que requiera el Ayuntamiento, </w:t>
      </w:r>
      <w:r w:rsidR="00496F73" w:rsidRPr="00F7226D">
        <w:rPr>
          <w:rFonts w:ascii="Palatino Linotype" w:eastAsia="Calibri" w:hAnsi="Palatino Linotype" w:cs="Arial"/>
          <w:bCs/>
          <w:lang w:val="es-MX" w:eastAsia="en-US"/>
        </w:rPr>
        <w:t>es necesario precisar que la materia elemental de la solicitud de acceso a la información pública, es referente a facturas o pólizas, por lo que debemos primeramente conocer a que nos referimos por “factura”, al respecto, nos referiremos a éste concepto aunque sea sucintamente de acuerdo a lo que dispone el Glosario de Términos Hacendarios que emite el Instituto Hacendario del Estado de México, mismo que expresa lo siguiente:</w:t>
      </w:r>
    </w:p>
    <w:p w14:paraId="52731870" w14:textId="77777777" w:rsidR="00496F73" w:rsidRPr="00F7226D"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247D5416"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
          <w:bCs/>
          <w:i/>
          <w:lang w:val="es-MX" w:eastAsia="en-US"/>
        </w:rPr>
      </w:pPr>
      <w:r w:rsidRPr="00F7226D">
        <w:rPr>
          <w:rFonts w:ascii="Palatino Linotype" w:eastAsia="Calibri" w:hAnsi="Palatino Linotype" w:cs="Arial"/>
          <w:b/>
          <w:bCs/>
          <w:i/>
          <w:lang w:val="es-MX" w:eastAsia="en-US"/>
        </w:rPr>
        <w:t>“FACTURA</w:t>
      </w:r>
    </w:p>
    <w:p w14:paraId="770F89D5"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Cs/>
          <w:i/>
          <w:lang w:val="es-MX" w:eastAsia="en-US"/>
        </w:rPr>
        <w:t>Es el documento fiscal que emite la persona física o moral para comprobar la venta o adquisición de un bien y/o servicio.” (Sic)</w:t>
      </w:r>
    </w:p>
    <w:p w14:paraId="2A27B946" w14:textId="77777777" w:rsidR="00496F73" w:rsidRPr="00F7226D"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50FB86E0" w14:textId="77777777" w:rsidR="00496F73" w:rsidRPr="00F7226D"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lastRenderedPageBreak/>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5C720E0C" w14:textId="77777777" w:rsidR="00496F73" w:rsidRPr="00F7226D"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t>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1E91D7ED" w14:textId="77777777" w:rsidR="00496F73" w:rsidRPr="00F7226D"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t>Como se ha dicho anteriormente, es atribución del Tesorero Municipal la de llevar los registros contables, financieros y administrativos de los ingresos, egresos e inventarios.</w:t>
      </w:r>
    </w:p>
    <w:p w14:paraId="5C155259" w14:textId="77777777" w:rsidR="00496F73" w:rsidRPr="00F7226D"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39050377"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lang w:val="es-MX" w:eastAsia="en-US"/>
        </w:rPr>
      </w:pPr>
    </w:p>
    <w:p w14:paraId="1062AB9F"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Cs/>
          <w:i/>
          <w:lang w:val="es-MX" w:eastAsia="en-US"/>
        </w:rPr>
        <w:t>“</w:t>
      </w:r>
      <w:r w:rsidRPr="00F7226D">
        <w:rPr>
          <w:rFonts w:ascii="Palatino Linotype" w:eastAsia="Calibri" w:hAnsi="Palatino Linotype" w:cs="Arial"/>
          <w:b/>
          <w:bCs/>
          <w:i/>
          <w:lang w:val="es-MX" w:eastAsia="en-US"/>
        </w:rPr>
        <w:t>Artículo 342.-</w:t>
      </w:r>
      <w:r w:rsidRPr="00F7226D">
        <w:rPr>
          <w:rFonts w:ascii="Palatino Linotype" w:eastAsia="Calibri" w:hAnsi="Palatino Linotype" w:cs="Arial"/>
          <w:bCs/>
          <w:i/>
          <w:lang w:val="es-MX" w:eastAsia="en-US"/>
        </w:rPr>
        <w:t xml:space="preserve"> El registro contable del efecto patrimonial y presupuestal de las operaciones financieras, se realizará conforme al sistema y a las disposiciones que </w:t>
      </w:r>
      <w:r w:rsidRPr="00F7226D">
        <w:rPr>
          <w:rFonts w:ascii="Palatino Linotype" w:eastAsia="Calibri" w:hAnsi="Palatino Linotype" w:cs="Arial"/>
          <w:bCs/>
          <w:i/>
          <w:lang w:val="es-MX" w:eastAsia="en-US"/>
        </w:rPr>
        <w:lastRenderedPageBreak/>
        <w:t xml:space="preserve">se aprueben en materia de planeación, programación, presupuestación, evaluación y contabilidad gubernamental. </w:t>
      </w:r>
    </w:p>
    <w:p w14:paraId="345EBFDD"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Cs/>
          <w:i/>
          <w:lang w:val="es-MX" w:eastAsia="en-US"/>
        </w:rPr>
        <w:t>…</w:t>
      </w:r>
    </w:p>
    <w:p w14:paraId="31F3579B"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
          <w:bCs/>
          <w:i/>
          <w:lang w:val="es-MX" w:eastAsia="en-US"/>
        </w:rPr>
        <w:t>Artículo 343.-</w:t>
      </w:r>
      <w:r w:rsidRPr="00F7226D">
        <w:rPr>
          <w:rFonts w:ascii="Palatino Linotype" w:eastAsia="Calibri" w:hAnsi="Palatino Linotype" w:cs="Arial"/>
          <w:bCs/>
          <w:i/>
          <w:lang w:val="es-MX"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F749260"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Cs/>
          <w:i/>
          <w:lang w:val="es-MX" w:eastAsia="en-US"/>
        </w:rPr>
        <w:t xml:space="preserve">El sistema de contabilidad sobre base acumulativa total se sustentará en los postulados básicos y el marco conceptual de la contabilidad gubernamental. </w:t>
      </w:r>
    </w:p>
    <w:p w14:paraId="16204824"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
          <w:bCs/>
          <w:i/>
          <w:lang w:val="es-MX" w:eastAsia="en-US"/>
        </w:rPr>
        <w:t>Artículo 344.-</w:t>
      </w:r>
      <w:r w:rsidRPr="00F7226D">
        <w:rPr>
          <w:rFonts w:ascii="Palatino Linotype" w:eastAsia="Calibri" w:hAnsi="Palatino Linotype" w:cs="Arial"/>
          <w:bCs/>
          <w:i/>
          <w:lang w:val="es-MX" w:eastAsia="en-U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6F7C49B1"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Cs/>
          <w:i/>
          <w:lang w:val="es-MX" w:eastAsia="en-US"/>
        </w:rPr>
        <w:t xml:space="preserve">Derogado. </w:t>
      </w:r>
    </w:p>
    <w:p w14:paraId="0E24097C"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Cs/>
          <w:i/>
          <w:lang w:val="es-MX"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w:t>
      </w:r>
      <w:r w:rsidRPr="00F7226D">
        <w:rPr>
          <w:rFonts w:ascii="Palatino Linotype" w:eastAsia="Calibri" w:hAnsi="Palatino Linotype" w:cs="Arial"/>
          <w:bCs/>
          <w:i/>
          <w:lang w:val="es-MX" w:eastAsia="en-US"/>
        </w:rPr>
        <w:lastRenderedPageBreak/>
        <w:t xml:space="preserve">años contados a partir del ejercicio presupuestal siguiente al que corresponda, en el caso de los municipios se hará por la Tesorería. </w:t>
      </w:r>
    </w:p>
    <w:p w14:paraId="178C8908" w14:textId="06332400"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Cs/>
          <w:i/>
          <w:lang w:val="es-MX" w:eastAsia="en-US"/>
        </w:rPr>
        <w:t>(…)</w:t>
      </w:r>
    </w:p>
    <w:p w14:paraId="0571A71D"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
          <w:bCs/>
          <w:i/>
          <w:lang w:val="es-MX" w:eastAsia="en-US"/>
        </w:rPr>
        <w:t>Artículo 345.-</w:t>
      </w:r>
      <w:r w:rsidRPr="00F7226D">
        <w:rPr>
          <w:rFonts w:ascii="Palatino Linotype" w:eastAsia="Calibri" w:hAnsi="Palatino Linotype" w:cs="Arial"/>
          <w:bCs/>
          <w:i/>
          <w:lang w:val="es-MX" w:eastAsia="en-U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7424C7A4"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Cs/>
          <w:i/>
          <w:lang w:val="es-MX" w:eastAsia="en-US"/>
        </w:rPr>
        <w:t xml:space="preserve">El plazo señalado en el párrafo anterior, empezará a contar a partir de la publicación en el Periódico Oficial, del decreto correspondiente. “(Sic) </w:t>
      </w:r>
    </w:p>
    <w:p w14:paraId="72F8C945"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p>
    <w:p w14:paraId="420BE30D" w14:textId="77777777" w:rsidR="00496F73" w:rsidRPr="00F7226D"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D1248F4" w14:textId="77777777" w:rsidR="00496F73" w:rsidRPr="00F7226D"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2185B3AD" w14:textId="77777777" w:rsidR="00496F73" w:rsidRPr="00F7226D" w:rsidRDefault="00496F73" w:rsidP="00496F73">
      <w:pPr>
        <w:pStyle w:val="Prrafodelista"/>
        <w:numPr>
          <w:ilvl w:val="0"/>
          <w:numId w:val="2"/>
        </w:numPr>
        <w:spacing w:after="160" w:line="360" w:lineRule="auto"/>
        <w:ind w:left="0" w:hanging="11"/>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t xml:space="preserve">Al respecto, si bien es cierto que el Código Financiero del Estado de México y Municipios establece la obligación de los Municipios para llevar los registros contables y presupuestales; también lo es que, dicho ordenamiento jurídico no </w:t>
      </w:r>
      <w:r w:rsidRPr="00F7226D">
        <w:rPr>
          <w:rFonts w:ascii="Palatino Linotype" w:eastAsia="Calibri" w:hAnsi="Palatino Linotype" w:cs="Arial"/>
          <w:bCs/>
          <w:lang w:val="es-MX" w:eastAsia="en-US"/>
        </w:rPr>
        <w:lastRenderedPageBreak/>
        <w:t xml:space="preserve">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14AB111" w14:textId="77777777" w:rsidR="00496F73" w:rsidRPr="00F7226D"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49779C03"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
          <w:bCs/>
          <w:i/>
          <w:lang w:val="es-MX" w:eastAsia="en-US"/>
        </w:rPr>
      </w:pPr>
      <w:r w:rsidRPr="00F7226D">
        <w:rPr>
          <w:rFonts w:ascii="Palatino Linotype" w:eastAsia="Calibri" w:hAnsi="Palatino Linotype" w:cs="Arial"/>
          <w:b/>
          <w:bCs/>
          <w:i/>
          <w:lang w:val="es-MX" w:eastAsia="en-US"/>
        </w:rPr>
        <w:t xml:space="preserve">“REGISTRO CONTABLE </w:t>
      </w:r>
    </w:p>
    <w:p w14:paraId="0CA8F9D5"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Cs/>
          <w:i/>
          <w:lang w:val="es-MX" w:eastAsia="en-US"/>
        </w:rPr>
        <w:t>Asiento que se realiza en los libros de contabilidad de las actividades relacionadas con el ingreso y egresos de un ente económico.” (Sic)</w:t>
      </w:r>
    </w:p>
    <w:p w14:paraId="49851295" w14:textId="77777777" w:rsidR="00496F73" w:rsidRPr="00F7226D"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1126AC6F"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
          <w:bCs/>
          <w:i/>
          <w:lang w:val="es-MX" w:eastAsia="en-US"/>
        </w:rPr>
      </w:pPr>
      <w:r w:rsidRPr="00F7226D">
        <w:rPr>
          <w:rFonts w:ascii="Palatino Linotype" w:eastAsia="Calibri" w:hAnsi="Palatino Linotype" w:cs="Arial"/>
          <w:b/>
          <w:bCs/>
          <w:i/>
          <w:lang w:val="es-MX" w:eastAsia="en-US"/>
        </w:rPr>
        <w:t>“REGISTRO PRESUPUESTARIO</w:t>
      </w:r>
    </w:p>
    <w:p w14:paraId="13B1CAAF"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Cs/>
          <w:i/>
          <w:lang w:val="es-MX" w:eastAsia="en-US"/>
        </w:rPr>
        <w:t>Asiento contable de las erogaciones realizadas por las dependencias y entidades con relación a la asignación, modificación y ejercicio de los recursos presupuestarios que se les hayan autorizado.” (Sic)</w:t>
      </w:r>
    </w:p>
    <w:p w14:paraId="26B9636F" w14:textId="77777777" w:rsidR="00496F73" w:rsidRPr="00F7226D"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31285438" w14:textId="77777777" w:rsidR="00496F73" w:rsidRPr="00F7226D"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t>Por otra parte, se establece que el sistema de contabilidad sobre base acumulativa total se sustentará en los principios de contabilidad gubernamental.</w:t>
      </w:r>
    </w:p>
    <w:p w14:paraId="7333B957" w14:textId="77777777" w:rsidR="00496F73" w:rsidRPr="00F7226D"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225A2602" w14:textId="77777777" w:rsidR="00496F73" w:rsidRPr="00F7226D"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770E7AD" w14:textId="77777777" w:rsidR="00496F73" w:rsidRPr="00F7226D" w:rsidRDefault="00496F73" w:rsidP="00496F73">
      <w:pPr>
        <w:pStyle w:val="Prrafodelista"/>
        <w:rPr>
          <w:rFonts w:ascii="Palatino Linotype" w:eastAsia="Calibri" w:hAnsi="Palatino Linotype" w:cs="Arial"/>
          <w:bCs/>
          <w:lang w:val="es-MX" w:eastAsia="en-US"/>
        </w:rPr>
      </w:pPr>
    </w:p>
    <w:p w14:paraId="4174C698" w14:textId="77777777" w:rsidR="00496F73" w:rsidRPr="00F7226D"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t xml:space="preserve">Correlativo a lo anterior, es preciso referir una definición de póliza contable, la cual, primeramente, no está definida en el Código Financiero del Estado de México y Municipios; no obstante, los ya mencionados Glosarios la definen como: </w:t>
      </w:r>
    </w:p>
    <w:p w14:paraId="37F37AAE"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p>
    <w:p w14:paraId="12B6274D"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
          <w:bCs/>
          <w:i/>
          <w:lang w:val="es-MX" w:eastAsia="en-US"/>
        </w:rPr>
      </w:pPr>
      <w:r w:rsidRPr="00F7226D">
        <w:rPr>
          <w:rFonts w:ascii="Palatino Linotype" w:eastAsia="Calibri" w:hAnsi="Palatino Linotype" w:cs="Arial"/>
          <w:b/>
          <w:bCs/>
          <w:i/>
          <w:lang w:val="es-MX" w:eastAsia="en-US"/>
        </w:rPr>
        <w:t>“PÓLIZA CONTABLE</w:t>
      </w:r>
    </w:p>
    <w:p w14:paraId="710E7063" w14:textId="77777777" w:rsidR="00496F73" w:rsidRPr="00F7226D" w:rsidRDefault="00496F73" w:rsidP="00496F73">
      <w:pPr>
        <w:pStyle w:val="Prrafodelista"/>
        <w:spacing w:after="160" w:line="360" w:lineRule="auto"/>
        <w:ind w:left="567" w:right="616"/>
        <w:jc w:val="both"/>
        <w:rPr>
          <w:rFonts w:ascii="Palatino Linotype" w:eastAsia="Calibri" w:hAnsi="Palatino Linotype" w:cs="Arial"/>
          <w:bCs/>
          <w:i/>
          <w:lang w:val="es-MX" w:eastAsia="en-US"/>
        </w:rPr>
      </w:pPr>
      <w:r w:rsidRPr="00F7226D">
        <w:rPr>
          <w:rFonts w:ascii="Palatino Linotype" w:eastAsia="Calibri" w:hAnsi="Palatino Linotype" w:cs="Arial"/>
          <w:bCs/>
          <w:i/>
          <w:lang w:val="es-MX" w:eastAsia="en-US"/>
        </w:rPr>
        <w:t>Documento en el cual se asientan en forma individual todas y cada una de las operaciones desarrolladas por una institución, así como la información necesaria para la identificación de dichas operaciones.” (sic)</w:t>
      </w:r>
    </w:p>
    <w:p w14:paraId="51FA87BD" w14:textId="77777777" w:rsidR="00496F73" w:rsidRPr="00F7226D" w:rsidRDefault="00496F73" w:rsidP="00496F73">
      <w:pPr>
        <w:pStyle w:val="Prrafodelista"/>
        <w:spacing w:after="160" w:line="360" w:lineRule="auto"/>
        <w:ind w:left="0"/>
        <w:jc w:val="both"/>
        <w:rPr>
          <w:rFonts w:ascii="Palatino Linotype" w:eastAsia="Calibri" w:hAnsi="Palatino Linotype" w:cs="Arial"/>
          <w:bCs/>
          <w:lang w:val="es-MX" w:eastAsia="en-US"/>
        </w:rPr>
      </w:pPr>
    </w:p>
    <w:p w14:paraId="25715357" w14:textId="5EA90756" w:rsidR="00496F73" w:rsidRPr="00F7226D"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t>Así,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58B5619" w14:textId="77777777" w:rsidR="002D5BAE" w:rsidRPr="00F7226D" w:rsidRDefault="002D5BAE" w:rsidP="002D5BAE">
      <w:pPr>
        <w:pStyle w:val="Prrafodelista"/>
        <w:spacing w:after="160" w:line="360" w:lineRule="auto"/>
        <w:ind w:left="0"/>
        <w:jc w:val="both"/>
        <w:rPr>
          <w:rFonts w:ascii="Palatino Linotype" w:eastAsia="Calibri" w:hAnsi="Palatino Linotype" w:cs="Arial"/>
          <w:bCs/>
          <w:lang w:val="es-MX" w:eastAsia="en-US"/>
        </w:rPr>
      </w:pPr>
    </w:p>
    <w:p w14:paraId="079706B4" w14:textId="77777777" w:rsidR="00496F73" w:rsidRPr="00F7226D" w:rsidRDefault="00496F73"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lastRenderedPageBreak/>
        <w:t xml:space="preserve">En este sentido, existen diversos tipos de pólizas contables de acuerdo a las operaciones realizadas, dentro de las cuales, encontramos las llamadas pólizas de egresos, en las cuales se anotan diariamente las operaciones que representan egresos, es decir, salidas de dinero para, la cual además, debe encontrarse acompañada de las documentales que sirven de soporte de dicho movimiento. </w:t>
      </w:r>
    </w:p>
    <w:p w14:paraId="47E8CF8D" w14:textId="77777777" w:rsidR="00496F73" w:rsidRPr="00F7226D" w:rsidRDefault="00496F73" w:rsidP="00496F73">
      <w:pPr>
        <w:pStyle w:val="Prrafodelista"/>
        <w:rPr>
          <w:rFonts w:ascii="Palatino Linotype" w:eastAsia="Calibri" w:hAnsi="Palatino Linotype" w:cs="Arial"/>
          <w:bCs/>
          <w:lang w:val="es-MX" w:eastAsia="en-US"/>
        </w:rPr>
      </w:pPr>
    </w:p>
    <w:p w14:paraId="03ADA353" w14:textId="6D225BD4" w:rsidR="00496F73" w:rsidRPr="00F7226D" w:rsidRDefault="002D5BAE"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t>Así</w:t>
      </w:r>
      <w:r w:rsidR="00496F73" w:rsidRPr="00F7226D">
        <w:rPr>
          <w:rFonts w:ascii="Palatino Linotype" w:eastAsia="Calibri" w:hAnsi="Palatino Linotype" w:cs="Arial"/>
          <w:bCs/>
          <w:lang w:val="es-MX" w:eastAsia="en-US"/>
        </w:rPr>
        <w:t>, el instructivo de llenado del módulo 4 del inf</w:t>
      </w:r>
      <w:r w:rsidRPr="00F7226D">
        <w:rPr>
          <w:rFonts w:ascii="Palatino Linotype" w:eastAsia="Calibri" w:hAnsi="Palatino Linotype" w:cs="Arial"/>
          <w:bCs/>
          <w:lang w:val="es-MX" w:eastAsia="en-US"/>
        </w:rPr>
        <w:t>orme trimestral para el año 2023</w:t>
      </w:r>
      <w:r w:rsidR="00496F73" w:rsidRPr="00F7226D">
        <w:rPr>
          <w:rFonts w:ascii="Palatino Linotype" w:eastAsia="Calibri" w:hAnsi="Palatino Linotype" w:cs="Arial"/>
          <w:bCs/>
          <w:lang w:val="es-MX" w:eastAsia="en-US"/>
        </w:rPr>
        <w:t xml:space="preserve"> emitidos por el Órgano Superior de Fiscalización del Estado de México, contienen los formatos e información que debe ser proporcionada, siendo uno de ellos la inf</w:t>
      </w:r>
      <w:r w:rsidR="00C66F2B" w:rsidRPr="00F7226D">
        <w:rPr>
          <w:rFonts w:ascii="Palatino Linotype" w:eastAsia="Calibri" w:hAnsi="Palatino Linotype" w:cs="Arial"/>
          <w:bCs/>
          <w:lang w:val="es-MX" w:eastAsia="en-US"/>
        </w:rPr>
        <w:t>ormación relativa a las Pólizas, como a continuación se observa:</w:t>
      </w:r>
    </w:p>
    <w:p w14:paraId="375F4739" w14:textId="02889856" w:rsidR="00496F73" w:rsidRPr="00F7226D" w:rsidRDefault="00C66F2B" w:rsidP="00C66F2B">
      <w:pPr>
        <w:pStyle w:val="Prrafodelista"/>
        <w:spacing w:after="160" w:line="360" w:lineRule="auto"/>
        <w:ind w:left="0"/>
        <w:jc w:val="center"/>
        <w:rPr>
          <w:rFonts w:ascii="Palatino Linotype" w:eastAsia="Calibri" w:hAnsi="Palatino Linotype" w:cs="Arial"/>
          <w:bCs/>
          <w:lang w:val="es-MX" w:eastAsia="en-US"/>
        </w:rPr>
      </w:pPr>
      <w:r w:rsidRPr="00F7226D">
        <w:rPr>
          <w:rFonts w:ascii="Palatino Linotype" w:hAnsi="Palatino Linotype"/>
          <w:noProof/>
          <w:lang w:val="es-MX" w:eastAsia="es-MX"/>
        </w:rPr>
        <w:drawing>
          <wp:inline distT="0" distB="0" distL="0" distR="0" wp14:anchorId="4D48BEAF" wp14:editId="38B23AC2">
            <wp:extent cx="2695467" cy="3752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299" t="25071" r="33911" b="19049"/>
                    <a:stretch/>
                  </pic:blipFill>
                  <pic:spPr bwMode="auto">
                    <a:xfrm>
                      <a:off x="0" y="0"/>
                      <a:ext cx="2725760" cy="3795026"/>
                    </a:xfrm>
                    <a:prstGeom prst="rect">
                      <a:avLst/>
                    </a:prstGeom>
                    <a:ln>
                      <a:noFill/>
                    </a:ln>
                    <a:extLst>
                      <a:ext uri="{53640926-AAD7-44D8-BBD7-CCE9431645EC}">
                        <a14:shadowObscured xmlns:a14="http://schemas.microsoft.com/office/drawing/2010/main"/>
                      </a:ext>
                    </a:extLst>
                  </pic:spPr>
                </pic:pic>
              </a:graphicData>
            </a:graphic>
          </wp:inline>
        </w:drawing>
      </w:r>
    </w:p>
    <w:p w14:paraId="5D3C25A7" w14:textId="64F12D96" w:rsidR="00496F73" w:rsidRPr="00F7226D" w:rsidRDefault="00C66F2B" w:rsidP="00C66F2B">
      <w:pPr>
        <w:pStyle w:val="Prrafodelista"/>
        <w:spacing w:after="160" w:line="360" w:lineRule="auto"/>
        <w:ind w:left="0"/>
        <w:jc w:val="center"/>
        <w:rPr>
          <w:rFonts w:ascii="Palatino Linotype" w:eastAsia="Calibri" w:hAnsi="Palatino Linotype" w:cs="Arial"/>
          <w:bCs/>
          <w:lang w:val="es-MX" w:eastAsia="en-US"/>
        </w:rPr>
      </w:pPr>
      <w:r w:rsidRPr="00F7226D">
        <w:rPr>
          <w:rFonts w:ascii="Palatino Linotype" w:hAnsi="Palatino Linotype"/>
          <w:noProof/>
          <w:lang w:val="es-MX" w:eastAsia="es-MX"/>
        </w:rPr>
        <w:lastRenderedPageBreak/>
        <w:drawing>
          <wp:inline distT="0" distB="0" distL="0" distR="0" wp14:anchorId="0DD3F78A" wp14:editId="5C66D820">
            <wp:extent cx="4800600" cy="43075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978" t="26581" r="34591" b="23279"/>
                    <a:stretch/>
                  </pic:blipFill>
                  <pic:spPr bwMode="auto">
                    <a:xfrm>
                      <a:off x="0" y="0"/>
                      <a:ext cx="4811326" cy="4317190"/>
                    </a:xfrm>
                    <a:prstGeom prst="rect">
                      <a:avLst/>
                    </a:prstGeom>
                    <a:ln>
                      <a:noFill/>
                    </a:ln>
                    <a:extLst>
                      <a:ext uri="{53640926-AAD7-44D8-BBD7-CCE9431645EC}">
                        <a14:shadowObscured xmlns:a14="http://schemas.microsoft.com/office/drawing/2010/main"/>
                      </a:ext>
                    </a:extLst>
                  </pic:spPr>
                </pic:pic>
              </a:graphicData>
            </a:graphic>
          </wp:inline>
        </w:drawing>
      </w:r>
    </w:p>
    <w:p w14:paraId="5255A43A" w14:textId="7EA2A15F" w:rsidR="00496F73" w:rsidRPr="00F7226D" w:rsidRDefault="00DB57D8" w:rsidP="00496F73">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t>Aunado a lo anterior, el citado instructivo especifica</w:t>
      </w:r>
      <w:r w:rsidR="00496F73" w:rsidRPr="00F7226D">
        <w:rPr>
          <w:rFonts w:ascii="Palatino Linotype" w:eastAsia="Calibri" w:hAnsi="Palatino Linotype" w:cs="Arial"/>
          <w:bCs/>
          <w:lang w:val="es-MX" w:eastAsia="en-US"/>
        </w:rPr>
        <w:t xml:space="preserve"> que las imágenes contenidas</w:t>
      </w:r>
      <w:r w:rsidRPr="00F7226D">
        <w:rPr>
          <w:rFonts w:ascii="Palatino Linotype" w:eastAsia="Calibri" w:hAnsi="Palatino Linotype" w:cs="Arial"/>
          <w:bCs/>
          <w:lang w:val="es-MX" w:eastAsia="en-US"/>
        </w:rPr>
        <w:t xml:space="preserve"> </w:t>
      </w:r>
      <w:r w:rsidR="00496F73" w:rsidRPr="00F7226D">
        <w:rPr>
          <w:rFonts w:ascii="Palatino Linotype" w:eastAsia="Calibri" w:hAnsi="Palatino Linotype" w:cs="Arial"/>
          <w:bCs/>
          <w:lang w:val="es-MX" w:eastAsia="en-US"/>
        </w:rPr>
        <w:t>deben ser indexadas de manera que se permita su vinculación con la informa</w:t>
      </w:r>
      <w:r w:rsidRPr="00F7226D">
        <w:rPr>
          <w:rFonts w:ascii="Palatino Linotype" w:eastAsia="Calibri" w:hAnsi="Palatino Linotype" w:cs="Arial"/>
          <w:bCs/>
          <w:lang w:val="es-MX" w:eastAsia="en-US"/>
        </w:rPr>
        <w:t xml:space="preserve">ción financiera contenida en el </w:t>
      </w:r>
      <w:r w:rsidR="00496F73" w:rsidRPr="00F7226D">
        <w:rPr>
          <w:rFonts w:ascii="Palatino Linotype" w:eastAsia="Calibri" w:hAnsi="Palatino Linotype" w:cs="Arial"/>
          <w:bCs/>
          <w:lang w:val="es-MX" w:eastAsia="en-US"/>
        </w:rPr>
        <w:t xml:space="preserve">Informe </w:t>
      </w:r>
      <w:r w:rsidRPr="00F7226D">
        <w:rPr>
          <w:rFonts w:ascii="Palatino Linotype" w:eastAsia="Calibri" w:hAnsi="Palatino Linotype" w:cs="Arial"/>
          <w:bCs/>
          <w:lang w:val="es-MX" w:eastAsia="en-US"/>
        </w:rPr>
        <w:t>trimestral</w:t>
      </w:r>
      <w:r w:rsidR="00496F73" w:rsidRPr="00F7226D">
        <w:rPr>
          <w:rFonts w:ascii="Palatino Linotype" w:eastAsia="Calibri" w:hAnsi="Palatino Linotype" w:cs="Arial"/>
          <w:bCs/>
          <w:lang w:val="es-MX" w:eastAsia="en-US"/>
        </w:rPr>
        <w:t xml:space="preserve">, de tal forma que al consultar la citada información financiera se pueda visualizar el soporte documental que justifique los registros contables. </w:t>
      </w:r>
    </w:p>
    <w:p w14:paraId="62296749" w14:textId="77777777" w:rsidR="00496F73" w:rsidRPr="00F7226D" w:rsidRDefault="00496F73" w:rsidP="00496F73">
      <w:pPr>
        <w:pStyle w:val="Prrafodelista"/>
        <w:rPr>
          <w:rFonts w:ascii="Palatino Linotype" w:eastAsia="Calibri" w:hAnsi="Palatino Linotype" w:cs="Arial"/>
          <w:bCs/>
          <w:lang w:val="es-MX" w:eastAsia="en-US"/>
        </w:rPr>
      </w:pPr>
    </w:p>
    <w:p w14:paraId="17E8BA63" w14:textId="77777777" w:rsidR="0076231C" w:rsidRPr="00F7226D" w:rsidRDefault="00DB57D8" w:rsidP="0076231C">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Calibri" w:hAnsi="Palatino Linotype" w:cs="Arial"/>
          <w:bCs/>
          <w:lang w:val="es-MX" w:eastAsia="en-US"/>
        </w:rPr>
        <w:t xml:space="preserve">Po lo que </w:t>
      </w:r>
      <w:r w:rsidR="00496F73" w:rsidRPr="00F7226D">
        <w:rPr>
          <w:rFonts w:ascii="Palatino Linotype" w:eastAsia="Calibri" w:hAnsi="Palatino Linotype" w:cs="Arial"/>
          <w:bCs/>
          <w:lang w:val="es-MX" w:eastAsia="en-US"/>
        </w:rPr>
        <w:t xml:space="preserve">todo registro contable y presupuestal deberá estar soportado con los documentos comprobatorios originales, </w:t>
      </w:r>
      <w:r w:rsidR="00496F73" w:rsidRPr="00F7226D">
        <w:rPr>
          <w:rFonts w:ascii="Palatino Linotype" w:eastAsia="Calibri" w:hAnsi="Palatino Linotype" w:cs="Arial"/>
          <w:b/>
          <w:bCs/>
          <w:lang w:val="es-MX" w:eastAsia="en-US"/>
        </w:rPr>
        <w:t xml:space="preserve">como </w:t>
      </w:r>
      <w:r w:rsidR="00DD44D4" w:rsidRPr="00F7226D">
        <w:rPr>
          <w:rFonts w:ascii="Palatino Linotype" w:eastAsia="Calibri" w:hAnsi="Palatino Linotype" w:cs="Arial"/>
          <w:b/>
          <w:bCs/>
          <w:lang w:val="es-MX" w:eastAsia="en-US"/>
        </w:rPr>
        <w:t>de manera enunciativa mas no limitativa</w:t>
      </w:r>
      <w:r w:rsidR="00DD44D4" w:rsidRPr="00F7226D">
        <w:rPr>
          <w:rFonts w:ascii="Palatino Linotype" w:eastAsia="Calibri" w:hAnsi="Palatino Linotype" w:cs="Arial"/>
          <w:bCs/>
          <w:lang w:val="es-MX" w:eastAsia="en-US"/>
        </w:rPr>
        <w:t xml:space="preserve"> son las facturas</w:t>
      </w:r>
      <w:r w:rsidR="00BA4748" w:rsidRPr="00F7226D">
        <w:rPr>
          <w:rFonts w:ascii="Palatino Linotype" w:eastAsia="Calibri" w:hAnsi="Palatino Linotype" w:cs="Arial"/>
          <w:bCs/>
          <w:lang w:val="es-MX" w:eastAsia="en-US"/>
        </w:rPr>
        <w:t xml:space="preserve"> o pólizas</w:t>
      </w:r>
      <w:r w:rsidR="00496F73" w:rsidRPr="00F7226D">
        <w:rPr>
          <w:rFonts w:ascii="Palatino Linotype" w:eastAsia="Calibri" w:hAnsi="Palatino Linotype" w:cs="Arial"/>
          <w:bCs/>
          <w:lang w:val="es-MX" w:eastAsia="en-US"/>
        </w:rPr>
        <w:t xml:space="preserve">, los que deberán permanecer en custodia y </w:t>
      </w:r>
      <w:r w:rsidR="00496F73" w:rsidRPr="00F7226D">
        <w:rPr>
          <w:rFonts w:ascii="Palatino Linotype" w:eastAsia="Calibri" w:hAnsi="Palatino Linotype" w:cs="Arial"/>
          <w:bCs/>
          <w:lang w:val="es-MX" w:eastAsia="en-US"/>
        </w:rPr>
        <w:lastRenderedPageBreak/>
        <w:t>conservación de la Unidad administrativa correspondiente y a disposición del Órgano Superior de Fiscalización del Estado de México; por un término de cinco años contados a partir del ejercicio presupuestal siguiente al que corresponda.</w:t>
      </w:r>
    </w:p>
    <w:p w14:paraId="68EAD66E" w14:textId="77777777" w:rsidR="0076231C" w:rsidRPr="00F7226D" w:rsidRDefault="0076231C" w:rsidP="0076231C">
      <w:pPr>
        <w:pStyle w:val="Prrafodelista"/>
        <w:rPr>
          <w:rFonts w:ascii="Palatino Linotype" w:eastAsiaTheme="minorEastAsia" w:hAnsi="Palatino Linotype" w:cstheme="minorBidi"/>
          <w:color w:val="000000" w:themeColor="text1"/>
          <w:lang w:val="es-MX"/>
        </w:rPr>
      </w:pPr>
    </w:p>
    <w:p w14:paraId="553C1EAB" w14:textId="564324E2" w:rsidR="0076231C" w:rsidRPr="00F7226D" w:rsidRDefault="0076231C" w:rsidP="0076231C">
      <w:pPr>
        <w:pStyle w:val="Prrafodelista"/>
        <w:numPr>
          <w:ilvl w:val="0"/>
          <w:numId w:val="2"/>
        </w:numPr>
        <w:spacing w:after="160" w:line="360" w:lineRule="auto"/>
        <w:ind w:left="0" w:firstLine="0"/>
        <w:jc w:val="both"/>
        <w:rPr>
          <w:rFonts w:ascii="Palatino Linotype" w:eastAsia="Calibri" w:hAnsi="Palatino Linotype" w:cs="Arial"/>
          <w:bCs/>
          <w:lang w:val="es-MX" w:eastAsia="en-US"/>
        </w:rPr>
      </w:pPr>
      <w:r w:rsidRPr="00F7226D">
        <w:rPr>
          <w:rFonts w:ascii="Palatino Linotype" w:eastAsiaTheme="minorEastAsia" w:hAnsi="Palatino Linotype" w:cstheme="minorBidi"/>
          <w:color w:val="000000" w:themeColor="text1"/>
          <w:lang w:val="es-MX"/>
        </w:rPr>
        <w:t>Así y de conformidad con lo solicitado, el artículo 3 de dicho ordenamiento</w:t>
      </w:r>
      <w:r w:rsidRPr="00F7226D">
        <w:rPr>
          <w:rFonts w:ascii="Palatino Linotype" w:hAnsi="Palatino Linotype" w:cs="Arial"/>
          <w:lang w:val="es-ES_tradnl"/>
        </w:rPr>
        <w:t>, establece de manera literal lo siguiente:</w:t>
      </w:r>
    </w:p>
    <w:p w14:paraId="7E717144" w14:textId="77777777" w:rsidR="0076231C" w:rsidRPr="00F7226D" w:rsidRDefault="0076231C" w:rsidP="0076231C">
      <w:pPr>
        <w:tabs>
          <w:tab w:val="left" w:pos="851"/>
        </w:tabs>
        <w:spacing w:before="240" w:after="240" w:line="360" w:lineRule="auto"/>
        <w:ind w:right="49"/>
        <w:contextualSpacing/>
        <w:jc w:val="both"/>
        <w:rPr>
          <w:rFonts w:ascii="Palatino Linotype" w:hAnsi="Palatino Linotype"/>
        </w:rPr>
      </w:pPr>
    </w:p>
    <w:p w14:paraId="6113342A" w14:textId="77777777" w:rsidR="0076231C" w:rsidRPr="00F7226D" w:rsidRDefault="0076231C" w:rsidP="0076231C">
      <w:pPr>
        <w:spacing w:before="240" w:after="240" w:line="360" w:lineRule="auto"/>
        <w:ind w:left="567" w:right="567"/>
        <w:jc w:val="both"/>
        <w:rPr>
          <w:rFonts w:ascii="Palatino Linotype" w:hAnsi="Palatino Linotype" w:cs="Arial"/>
          <w:i/>
          <w:lang w:val="es-ES_tradnl"/>
        </w:rPr>
      </w:pPr>
      <w:r w:rsidRPr="00F7226D">
        <w:rPr>
          <w:rFonts w:ascii="Palatino Linotype" w:hAnsi="Palatino Linotype" w:cs="Arial"/>
          <w:b/>
          <w:i/>
          <w:lang w:val="es-ES_tradnl"/>
        </w:rPr>
        <w:t>Artículo 3.</w:t>
      </w:r>
      <w:r w:rsidRPr="00F7226D">
        <w:rPr>
          <w:rFonts w:ascii="Palatino Linotype" w:hAnsi="Palatino Linotype" w:cs="Arial"/>
          <w:i/>
          <w:lang w:val="es-ES_tradnl"/>
        </w:rPr>
        <w:t xml:space="preserve"> Para los efectos de la presente Ley se entenderá por:</w:t>
      </w:r>
    </w:p>
    <w:p w14:paraId="38C50FD7" w14:textId="77777777" w:rsidR="0076231C" w:rsidRPr="00F7226D" w:rsidRDefault="0076231C" w:rsidP="0076231C">
      <w:pPr>
        <w:spacing w:before="240" w:after="240" w:line="360" w:lineRule="auto"/>
        <w:ind w:left="567" w:right="567"/>
        <w:jc w:val="both"/>
        <w:rPr>
          <w:rFonts w:ascii="Palatino Linotype" w:hAnsi="Palatino Linotype" w:cs="Arial"/>
          <w:i/>
          <w:lang w:val="es-ES_tradnl"/>
        </w:rPr>
      </w:pPr>
      <w:r w:rsidRPr="00F7226D">
        <w:rPr>
          <w:rFonts w:ascii="Palatino Linotype" w:hAnsi="Palatino Linotype" w:cs="Arial"/>
          <w:i/>
          <w:lang w:val="es-ES_tradnl"/>
        </w:rPr>
        <w:t>(…)</w:t>
      </w:r>
    </w:p>
    <w:p w14:paraId="7AFD8A1C" w14:textId="77777777" w:rsidR="0076231C" w:rsidRPr="00F7226D" w:rsidRDefault="0076231C" w:rsidP="0076231C">
      <w:pPr>
        <w:spacing w:before="240" w:after="240" w:line="360" w:lineRule="auto"/>
        <w:ind w:left="567" w:right="567"/>
        <w:jc w:val="both"/>
        <w:rPr>
          <w:rFonts w:ascii="Palatino Linotype" w:hAnsi="Palatino Linotype" w:cs="Arial"/>
          <w:i/>
          <w:lang w:val="es-ES_tradnl"/>
        </w:rPr>
      </w:pPr>
      <w:r w:rsidRPr="00F7226D">
        <w:rPr>
          <w:rFonts w:ascii="Palatino Linotype" w:hAnsi="Palatino Linotype" w:cs="Arial"/>
          <w:b/>
          <w:i/>
          <w:lang w:val="es-ES_tradnl"/>
        </w:rPr>
        <w:t>XI.</w:t>
      </w:r>
      <w:r w:rsidRPr="00F7226D">
        <w:rPr>
          <w:rFonts w:ascii="Palatino Linotype" w:hAnsi="Palatino Linotype" w:cs="Arial"/>
          <w:i/>
          <w:lang w:val="es-ES_tradnl"/>
        </w:rPr>
        <w:t xml:space="preserve"> </w:t>
      </w:r>
      <w:r w:rsidRPr="00F7226D">
        <w:rPr>
          <w:rFonts w:ascii="Palatino Linotype" w:hAnsi="Palatino Linotype" w:cs="Arial"/>
          <w:b/>
          <w:i/>
          <w:lang w:val="es-ES_tradnl"/>
        </w:rPr>
        <w:t>Documento:</w:t>
      </w:r>
      <w:r w:rsidRPr="00F7226D">
        <w:rPr>
          <w:rFonts w:ascii="Palatino Linotype" w:hAnsi="Palatino Linotype" w:cs="Arial"/>
          <w:i/>
          <w:lang w:val="es-ES_tradnl"/>
        </w:rPr>
        <w:t xml:space="preserve"> Los expedientes, reportes, estudios, actas, resoluciones, </w:t>
      </w:r>
      <w:r w:rsidRPr="00F7226D">
        <w:rPr>
          <w:rFonts w:ascii="Palatino Linotype" w:hAnsi="Palatino Linotype" w:cs="Arial"/>
          <w:b/>
          <w:i/>
          <w:lang w:val="es-ES_tradnl"/>
        </w:rPr>
        <w:t>oficios,</w:t>
      </w:r>
      <w:r w:rsidRPr="00F7226D">
        <w:rPr>
          <w:rFonts w:ascii="Palatino Linotype" w:hAnsi="Palatino Linotype" w:cs="Arial"/>
          <w:i/>
          <w:lang w:val="es-ES_tradnl"/>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BA860A9" w14:textId="77777777" w:rsidR="0076231C" w:rsidRPr="00F7226D" w:rsidRDefault="0076231C" w:rsidP="0076231C">
      <w:pPr>
        <w:spacing w:before="240" w:after="240" w:line="360" w:lineRule="auto"/>
        <w:ind w:left="567" w:right="567"/>
        <w:jc w:val="both"/>
        <w:rPr>
          <w:rFonts w:ascii="Palatino Linotype" w:hAnsi="Palatino Linotype" w:cs="Arial"/>
          <w:i/>
          <w:lang w:val="es-ES_tradnl"/>
        </w:rPr>
      </w:pPr>
      <w:r w:rsidRPr="00F7226D">
        <w:rPr>
          <w:rFonts w:ascii="Palatino Linotype" w:hAnsi="Palatino Linotype" w:cs="Arial"/>
          <w:i/>
          <w:lang w:val="es-ES_tradnl"/>
        </w:rPr>
        <w:t>(Énfasis añadido)</w:t>
      </w:r>
    </w:p>
    <w:p w14:paraId="3591236A" w14:textId="77777777" w:rsidR="0076231C" w:rsidRPr="00F7226D" w:rsidRDefault="0076231C" w:rsidP="0076231C">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226D">
        <w:rPr>
          <w:rFonts w:ascii="Palatino Linotype" w:eastAsiaTheme="minorEastAsia" w:hAnsi="Palatino Linotype" w:cstheme="minorBidi"/>
          <w:color w:val="000000" w:themeColor="text1"/>
          <w:lang w:val="es-MX"/>
        </w:rPr>
        <w:t>En tal contexto</w:t>
      </w:r>
      <w:r w:rsidRPr="00F7226D">
        <w:rPr>
          <w:rFonts w:ascii="Palatino Linotype" w:eastAsia="MS Mincho" w:hAnsi="Palatino Linotype" w:cs="Arial"/>
          <w:lang w:val="es-ES_tradnl"/>
        </w:rPr>
        <w:t xml:space="preserve">, el derecho de acceso a la información pública consiste en el </w:t>
      </w:r>
      <w:r w:rsidRPr="00F7226D">
        <w:rPr>
          <w:rFonts w:ascii="Palatino Linotype" w:eastAsia="MS Mincho" w:hAnsi="Palatino Linotype" w:cs="Arial"/>
          <w:b/>
          <w:lang w:val="es-ES_tradnl"/>
        </w:rPr>
        <w:t>acceso a documentos</w:t>
      </w:r>
      <w:r w:rsidRPr="00F7226D">
        <w:rPr>
          <w:rFonts w:ascii="Palatino Linotype" w:eastAsia="MS Mincho" w:hAnsi="Palatino Linotype" w:cs="Arial"/>
          <w:lang w:val="es-ES_tradnl"/>
        </w:rPr>
        <w:t xml:space="preserve"> generados, poseídos o administrados por la autoridad, en ejercicio de sus funciones, con antelación a que fuera presentada la solicitud de acceso a la información pública.</w:t>
      </w:r>
    </w:p>
    <w:p w14:paraId="1C086244" w14:textId="77777777" w:rsidR="0076231C" w:rsidRPr="00F7226D" w:rsidRDefault="0076231C" w:rsidP="0076231C">
      <w:pPr>
        <w:spacing w:before="240" w:after="360" w:line="360" w:lineRule="auto"/>
        <w:contextualSpacing/>
        <w:jc w:val="both"/>
        <w:rPr>
          <w:rFonts w:ascii="Palatino Linotype" w:eastAsia="MS Mincho" w:hAnsi="Palatino Linotype" w:cs="Arial"/>
        </w:rPr>
      </w:pPr>
    </w:p>
    <w:p w14:paraId="08AE8C7E" w14:textId="77777777" w:rsidR="0076231C" w:rsidRPr="00F7226D" w:rsidRDefault="0076231C" w:rsidP="0076231C">
      <w:pPr>
        <w:numPr>
          <w:ilvl w:val="0"/>
          <w:numId w:val="2"/>
        </w:numPr>
        <w:spacing w:before="240" w:after="360" w:line="360" w:lineRule="auto"/>
        <w:ind w:left="0" w:firstLine="0"/>
        <w:contextualSpacing/>
        <w:jc w:val="both"/>
        <w:rPr>
          <w:rFonts w:ascii="Palatino Linotype" w:eastAsia="MS Mincho" w:hAnsi="Palatino Linotype" w:cs="Arial"/>
        </w:rPr>
      </w:pPr>
      <w:r w:rsidRPr="00F7226D">
        <w:rPr>
          <w:rFonts w:ascii="Palatino Linotype" w:eastAsia="MS Mincho" w:hAnsi="Palatino Linotype" w:cs="Arial"/>
          <w:lang w:val="es-ES_tradnl"/>
        </w:rPr>
        <w:t xml:space="preserve">Así, el </w:t>
      </w:r>
      <w:r w:rsidRPr="00F7226D">
        <w:rPr>
          <w:rFonts w:ascii="Palatino Linotype" w:eastAsia="MS Mincho" w:hAnsi="Palatino Linotype" w:cs="Arial"/>
        </w:rPr>
        <w:t>Criterio</w:t>
      </w:r>
      <w:r w:rsidRPr="00F7226D">
        <w:rPr>
          <w:rFonts w:ascii="Palatino Linotype" w:eastAsia="MS Mincho" w:hAnsi="Palatino Linotype" w:cs="Arial"/>
          <w:lang w:val="es-ES_tradnl"/>
        </w:rPr>
        <w:t xml:space="preserve"> </w:t>
      </w:r>
      <w:r w:rsidRPr="00F7226D">
        <w:rPr>
          <w:rFonts w:ascii="Palatino Linotype" w:eastAsia="MS Mincho" w:hAnsi="Palatino Linotype" w:cs="Arial"/>
        </w:rPr>
        <w:t>028-10</w:t>
      </w:r>
      <w:r w:rsidRPr="00F7226D">
        <w:rPr>
          <w:rFonts w:ascii="Palatino Linotype" w:eastAsia="MS Mincho" w:hAnsi="Palatino Linotype" w:cs="Arial"/>
          <w:lang w:val="es-ES_tradnl"/>
        </w:rPr>
        <w:t xml:space="preserve"> </w:t>
      </w:r>
      <w:r w:rsidRPr="00F7226D">
        <w:rPr>
          <w:rFonts w:ascii="Palatino Linotype" w:eastAsia="MS Mincho" w:hAnsi="Palatino Linotype" w:cs="Arial"/>
        </w:rPr>
        <w:t>emitido por</w:t>
      </w:r>
      <w:r w:rsidRPr="00F7226D">
        <w:rPr>
          <w:rFonts w:ascii="Palatino Linotype" w:eastAsia="MS Mincho" w:hAnsi="Palatino Linotype" w:cs="Arial"/>
          <w:lang w:val="es-ES_tradnl"/>
        </w:rPr>
        <w:t xml:space="preserve"> el Pleno del entonces llamado </w:t>
      </w:r>
      <w:r w:rsidRPr="00F7226D">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Pr="00F7226D">
        <w:rPr>
          <w:rFonts w:ascii="Palatino Linotype" w:eastAsia="MS Mincho" w:hAnsi="Palatino Linotype" w:cs="Arial"/>
          <w:lang w:val="es-ES_tradnl"/>
        </w:rPr>
        <w:t xml:space="preserve">ablece que se deberá garantizar </w:t>
      </w:r>
      <w:r w:rsidRPr="00F7226D">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F7226D">
        <w:rPr>
          <w:rFonts w:ascii="Palatino Linotype" w:eastAsia="MS Mincho" w:hAnsi="Palatino Linotype" w:cs="Arial"/>
          <w:lang w:val="es-ES_tradnl"/>
        </w:rPr>
        <w:t xml:space="preserve"> </w:t>
      </w:r>
      <w:r w:rsidRPr="00F7226D">
        <w:rPr>
          <w:rFonts w:ascii="Palatino Linotype" w:eastAsia="MS Mincho" w:hAnsi="Palatino Linotype" w:cs="Arial"/>
        </w:rPr>
        <w:t>particular lleve a cabo una solicitud de información sin identificar de forma precisa la do</w:t>
      </w:r>
      <w:r w:rsidRPr="00F7226D">
        <w:rPr>
          <w:rFonts w:ascii="Palatino Linotype" w:eastAsia="MS Mincho" w:hAnsi="Palatino Linotype" w:cs="Arial"/>
          <w:lang w:val="es-ES_tradnl"/>
        </w:rPr>
        <w:t xml:space="preserve">cumentación a la que requiere acceso, como a continuación se observa: </w:t>
      </w:r>
    </w:p>
    <w:p w14:paraId="2B5083AF" w14:textId="77777777" w:rsidR="0076231C" w:rsidRPr="00F7226D" w:rsidRDefault="0076231C" w:rsidP="0076231C">
      <w:pPr>
        <w:spacing w:before="240" w:after="360" w:line="360" w:lineRule="auto"/>
        <w:ind w:right="616"/>
        <w:contextualSpacing/>
        <w:jc w:val="both"/>
        <w:rPr>
          <w:rFonts w:ascii="Palatino Linotype" w:eastAsia="MS Mincho" w:hAnsi="Palatino Linotype" w:cs="Arial"/>
        </w:rPr>
      </w:pPr>
    </w:p>
    <w:p w14:paraId="4AD8961B" w14:textId="77777777" w:rsidR="0076231C" w:rsidRPr="00F7226D" w:rsidRDefault="0076231C" w:rsidP="0076231C">
      <w:pPr>
        <w:spacing w:before="240" w:after="360" w:line="360" w:lineRule="auto"/>
        <w:ind w:left="567" w:right="616"/>
        <w:contextualSpacing/>
        <w:jc w:val="both"/>
        <w:rPr>
          <w:rFonts w:ascii="Palatino Linotype" w:eastAsia="MS Mincho" w:hAnsi="Palatino Linotype" w:cs="Arial"/>
          <w:i/>
          <w:iCs/>
          <w:lang w:val="es-ES_tradnl"/>
        </w:rPr>
      </w:pPr>
      <w:r w:rsidRPr="00F7226D">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F7226D">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w:t>
      </w:r>
      <w:r w:rsidRPr="00F7226D">
        <w:rPr>
          <w:rFonts w:ascii="Palatino Linotype" w:eastAsia="MS Mincho" w:hAnsi="Palatino Linotype" w:cs="Arial"/>
          <w:i/>
          <w:iCs/>
          <w:lang w:val="es-ES_tradnl"/>
        </w:rPr>
        <w:lastRenderedPageBreak/>
        <w:t>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72037939" w14:textId="77777777" w:rsidR="0076231C" w:rsidRPr="00F7226D" w:rsidRDefault="0076231C" w:rsidP="0076231C">
      <w:pPr>
        <w:spacing w:before="240" w:after="360" w:line="360" w:lineRule="auto"/>
        <w:ind w:right="616"/>
        <w:contextualSpacing/>
        <w:jc w:val="both"/>
        <w:rPr>
          <w:rFonts w:ascii="Palatino Linotype" w:eastAsia="MS Mincho" w:hAnsi="Palatino Linotype" w:cs="Arial"/>
          <w:i/>
          <w:iCs/>
          <w:lang w:val="es-ES_tradnl"/>
        </w:rPr>
      </w:pPr>
    </w:p>
    <w:p w14:paraId="0A4E83BC" w14:textId="77777777" w:rsidR="0076231C" w:rsidRPr="00F7226D" w:rsidRDefault="0076231C" w:rsidP="0076231C">
      <w:pPr>
        <w:numPr>
          <w:ilvl w:val="0"/>
          <w:numId w:val="2"/>
        </w:numPr>
        <w:spacing w:before="240" w:after="360" w:line="360" w:lineRule="auto"/>
        <w:ind w:left="0" w:firstLine="0"/>
        <w:contextualSpacing/>
        <w:jc w:val="both"/>
        <w:rPr>
          <w:rFonts w:ascii="Palatino Linotype" w:eastAsia="MS Mincho" w:hAnsi="Palatino Linotype" w:cs="Arial"/>
          <w:lang w:val="es-ES_tradnl"/>
        </w:rPr>
      </w:pPr>
      <w:r w:rsidRPr="00F7226D">
        <w:rPr>
          <w:rFonts w:ascii="Palatino Linotype" w:eastAsia="MS Mincho" w:hAnsi="Palatino Linotype" w:cs="Arial"/>
        </w:rPr>
        <w:t xml:space="preserve">Robustece lo anterior </w:t>
      </w:r>
      <w:r w:rsidRPr="00F7226D">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012078E0" w14:textId="77777777" w:rsidR="0076231C" w:rsidRPr="00F7226D" w:rsidRDefault="0076231C" w:rsidP="0076231C">
      <w:pPr>
        <w:spacing w:before="240" w:after="360" w:line="360" w:lineRule="auto"/>
        <w:contextualSpacing/>
        <w:jc w:val="both"/>
        <w:rPr>
          <w:rFonts w:ascii="Palatino Linotype" w:eastAsia="MS Mincho" w:hAnsi="Palatino Linotype" w:cs="Arial"/>
          <w:lang w:val="es-ES_tradnl"/>
        </w:rPr>
      </w:pPr>
    </w:p>
    <w:p w14:paraId="55C9D7FB" w14:textId="77777777" w:rsidR="0076231C" w:rsidRPr="00F7226D" w:rsidRDefault="0076231C" w:rsidP="0076231C">
      <w:pPr>
        <w:spacing w:before="240" w:after="360" w:line="360" w:lineRule="auto"/>
        <w:ind w:left="567" w:right="616"/>
        <w:contextualSpacing/>
        <w:jc w:val="both"/>
        <w:rPr>
          <w:rFonts w:ascii="Palatino Linotype" w:eastAsia="MS Mincho" w:hAnsi="Palatino Linotype" w:cs="Arial"/>
          <w:i/>
          <w:lang w:val="es-ES_tradnl"/>
        </w:rPr>
      </w:pPr>
      <w:r w:rsidRPr="00F7226D">
        <w:rPr>
          <w:rFonts w:ascii="Palatino Linotype" w:eastAsia="MS Mincho" w:hAnsi="Palatino Linotype" w:cs="Arial"/>
          <w:b/>
          <w:i/>
          <w:lang w:val="es-ES_tradnl"/>
        </w:rPr>
        <w:t>“Expresión documental</w:t>
      </w:r>
      <w:r w:rsidRPr="00F7226D">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B6F9146" w14:textId="77777777" w:rsidR="0076231C" w:rsidRPr="00F7226D" w:rsidRDefault="0076231C" w:rsidP="0076231C">
      <w:pPr>
        <w:spacing w:before="240" w:after="360" w:line="360" w:lineRule="auto"/>
        <w:ind w:left="567" w:right="616"/>
        <w:contextualSpacing/>
        <w:jc w:val="both"/>
        <w:rPr>
          <w:rFonts w:ascii="Palatino Linotype" w:eastAsia="MS Mincho" w:hAnsi="Palatino Linotype" w:cs="Arial"/>
          <w:i/>
          <w:lang w:val="es-ES_tradnl"/>
        </w:rPr>
      </w:pPr>
    </w:p>
    <w:p w14:paraId="42250E9C" w14:textId="77777777" w:rsidR="0076231C" w:rsidRPr="00F7226D" w:rsidRDefault="0076231C" w:rsidP="0076231C">
      <w:pPr>
        <w:spacing w:before="240" w:after="360" w:line="360" w:lineRule="auto"/>
        <w:ind w:left="567" w:right="616"/>
        <w:contextualSpacing/>
        <w:jc w:val="both"/>
        <w:rPr>
          <w:rFonts w:ascii="Palatino Linotype" w:eastAsia="MS Mincho" w:hAnsi="Palatino Linotype" w:cs="Arial"/>
          <w:i/>
          <w:lang w:val="es-ES_tradnl"/>
        </w:rPr>
      </w:pPr>
      <w:r w:rsidRPr="00F7226D">
        <w:rPr>
          <w:rFonts w:ascii="Palatino Linotype" w:eastAsia="MS Mincho" w:hAnsi="Palatino Linotype" w:cs="Arial"/>
          <w:i/>
          <w:lang w:val="es-ES_tradnl"/>
        </w:rPr>
        <w:t>Resoluciones:</w:t>
      </w:r>
    </w:p>
    <w:p w14:paraId="22AE4AE5" w14:textId="77777777" w:rsidR="0076231C" w:rsidRPr="00F7226D" w:rsidRDefault="0076231C" w:rsidP="0076231C">
      <w:pPr>
        <w:spacing w:before="240" w:after="360" w:line="360" w:lineRule="auto"/>
        <w:ind w:left="567" w:right="616"/>
        <w:contextualSpacing/>
        <w:jc w:val="both"/>
        <w:rPr>
          <w:rFonts w:ascii="Palatino Linotype" w:eastAsia="MS Mincho" w:hAnsi="Palatino Linotype" w:cs="Arial"/>
          <w:i/>
          <w:lang w:val="es-ES_tradnl"/>
        </w:rPr>
      </w:pPr>
    </w:p>
    <w:p w14:paraId="137BECF7" w14:textId="77777777" w:rsidR="0076231C" w:rsidRPr="00F7226D" w:rsidRDefault="0076231C" w:rsidP="0076231C">
      <w:pPr>
        <w:spacing w:before="240" w:after="360" w:line="360" w:lineRule="auto"/>
        <w:ind w:left="567" w:right="616"/>
        <w:contextualSpacing/>
        <w:jc w:val="both"/>
        <w:rPr>
          <w:rFonts w:ascii="Palatino Linotype" w:eastAsia="MS Mincho" w:hAnsi="Palatino Linotype" w:cs="Arial"/>
          <w:i/>
          <w:lang w:val="es-ES_tradnl"/>
        </w:rPr>
      </w:pPr>
      <w:r w:rsidRPr="00F7226D">
        <w:rPr>
          <w:rFonts w:ascii="Palatino Linotype" w:eastAsia="MS Mincho" w:hAnsi="Palatino Linotype" w:cs="Arial"/>
          <w:i/>
          <w:lang w:val="es-ES_tradnl"/>
        </w:rPr>
        <w:t>•</w:t>
      </w:r>
      <w:r w:rsidRPr="00F7226D">
        <w:rPr>
          <w:rFonts w:ascii="Palatino Linotype" w:eastAsia="MS Mincho" w:hAnsi="Palatino Linotype" w:cs="Arial"/>
          <w:i/>
          <w:lang w:val="es-ES_tradnl"/>
        </w:rPr>
        <w:tab/>
        <w:t>RRA 0774/16. Secretaría de Salud. 31 de agosto de 2016. Por unanimidad. Comisionada Ponente María Patricia Kurczyn Villalobos.</w:t>
      </w:r>
    </w:p>
    <w:p w14:paraId="143E74EF" w14:textId="77777777" w:rsidR="0076231C" w:rsidRPr="00F7226D" w:rsidRDefault="0076231C" w:rsidP="0076231C">
      <w:pPr>
        <w:spacing w:before="240" w:after="360" w:line="360" w:lineRule="auto"/>
        <w:ind w:left="567" w:right="616"/>
        <w:contextualSpacing/>
        <w:jc w:val="both"/>
        <w:rPr>
          <w:rFonts w:ascii="Palatino Linotype" w:eastAsia="MS Mincho" w:hAnsi="Palatino Linotype" w:cs="Arial"/>
          <w:i/>
          <w:lang w:val="es-ES_tradnl"/>
        </w:rPr>
      </w:pPr>
      <w:r w:rsidRPr="00F7226D">
        <w:rPr>
          <w:rFonts w:ascii="Palatino Linotype" w:eastAsia="MS Mincho" w:hAnsi="Palatino Linotype" w:cs="Arial"/>
          <w:i/>
          <w:lang w:val="es-ES_tradnl"/>
        </w:rPr>
        <w:t>•</w:t>
      </w:r>
      <w:r w:rsidRPr="00F7226D">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3B18A6F4" w14:textId="77777777" w:rsidR="0076231C" w:rsidRPr="00F7226D" w:rsidRDefault="0076231C" w:rsidP="0076231C">
      <w:pPr>
        <w:spacing w:before="240" w:after="360" w:line="360" w:lineRule="auto"/>
        <w:ind w:left="567" w:right="616"/>
        <w:contextualSpacing/>
        <w:jc w:val="both"/>
        <w:rPr>
          <w:rFonts w:ascii="Palatino Linotype" w:eastAsia="MS Mincho" w:hAnsi="Palatino Linotype" w:cs="Arial"/>
          <w:i/>
          <w:lang w:val="es-ES_tradnl"/>
        </w:rPr>
      </w:pPr>
      <w:r w:rsidRPr="00F7226D">
        <w:rPr>
          <w:rFonts w:ascii="Palatino Linotype" w:eastAsia="MS Mincho" w:hAnsi="Palatino Linotype" w:cs="Arial"/>
          <w:i/>
          <w:lang w:val="es-ES_tradnl"/>
        </w:rPr>
        <w:lastRenderedPageBreak/>
        <w:t>•</w:t>
      </w:r>
      <w:r w:rsidRPr="00F7226D">
        <w:rPr>
          <w:rFonts w:ascii="Palatino Linotype" w:eastAsia="MS Mincho" w:hAnsi="Palatino Linotype" w:cs="Arial"/>
          <w:i/>
          <w:lang w:val="es-ES_tradnl"/>
        </w:rPr>
        <w:tab/>
        <w:t>RRA 0540/17. Secretaría de Economía. 08 de marzo del 2017. Por unanimidad. Comisionado Ponente Francisco Javier Acuña Llamas”</w:t>
      </w:r>
    </w:p>
    <w:p w14:paraId="3BC9A5F9" w14:textId="77777777" w:rsidR="0076231C" w:rsidRPr="00F7226D" w:rsidRDefault="0076231C" w:rsidP="0076231C">
      <w:pPr>
        <w:spacing w:before="240" w:after="360" w:line="360" w:lineRule="auto"/>
        <w:ind w:left="567" w:right="616"/>
        <w:contextualSpacing/>
        <w:jc w:val="both"/>
        <w:rPr>
          <w:rFonts w:ascii="Palatino Linotype" w:eastAsia="MS Mincho" w:hAnsi="Palatino Linotype" w:cs="Arial"/>
          <w:i/>
          <w:lang w:val="es-ES_tradnl"/>
        </w:rPr>
      </w:pPr>
    </w:p>
    <w:p w14:paraId="41F1184D" w14:textId="77777777" w:rsidR="0076231C" w:rsidRPr="00F7226D" w:rsidRDefault="0076231C" w:rsidP="0076231C">
      <w:pPr>
        <w:numPr>
          <w:ilvl w:val="0"/>
          <w:numId w:val="2"/>
        </w:numPr>
        <w:spacing w:before="240" w:after="360" w:line="360" w:lineRule="auto"/>
        <w:ind w:left="0" w:right="616" w:firstLine="0"/>
        <w:contextualSpacing/>
        <w:jc w:val="both"/>
        <w:rPr>
          <w:rFonts w:ascii="Palatino Linotype" w:eastAsia="MS Mincho" w:hAnsi="Palatino Linotype" w:cs="Arial"/>
          <w:i/>
          <w:lang w:val="es-ES_tradnl"/>
        </w:rPr>
      </w:pPr>
      <w:r w:rsidRPr="00F7226D">
        <w:rPr>
          <w:rFonts w:ascii="Palatino Linotype" w:eastAsia="MS Mincho" w:hAnsi="Palatino Linotype" w:cs="Arial"/>
          <w:lang w:val="es-ES_tradnl"/>
        </w:rPr>
        <w:t>Por otro lado</w:t>
      </w:r>
      <w:r w:rsidRPr="00F7226D">
        <w:rPr>
          <w:rFonts w:ascii="Palatino Linotype" w:hAnsi="Palatino Linotype" w:cs="Arial"/>
        </w:rPr>
        <w:t xml:space="preserve">, </w:t>
      </w:r>
      <w:r w:rsidRPr="00F7226D">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593E0974" w14:textId="77777777" w:rsidR="0076231C" w:rsidRPr="00F7226D" w:rsidRDefault="0076231C" w:rsidP="0076231C">
      <w:pPr>
        <w:spacing w:line="360" w:lineRule="auto"/>
        <w:ind w:left="708"/>
        <w:rPr>
          <w:rFonts w:ascii="Palatino Linotype" w:eastAsia="Calibri" w:hAnsi="Palatino Linotype"/>
        </w:rPr>
      </w:pPr>
    </w:p>
    <w:p w14:paraId="3BFD8BEB" w14:textId="77777777" w:rsidR="0076231C" w:rsidRPr="00F7226D" w:rsidRDefault="0076231C" w:rsidP="0076231C">
      <w:pPr>
        <w:spacing w:before="240" w:after="240" w:line="360" w:lineRule="auto"/>
        <w:ind w:left="567" w:right="616"/>
        <w:contextualSpacing/>
        <w:jc w:val="both"/>
        <w:rPr>
          <w:rFonts w:ascii="Palatino Linotype" w:eastAsia="Calibri" w:hAnsi="Palatino Linotype"/>
          <w:i/>
        </w:rPr>
      </w:pPr>
      <w:r w:rsidRPr="00F7226D">
        <w:rPr>
          <w:rFonts w:ascii="Palatino Linotype" w:eastAsia="Calibri" w:hAnsi="Palatino Linotype"/>
        </w:rPr>
        <w:t>“</w:t>
      </w:r>
      <w:r w:rsidRPr="00F7226D">
        <w:rPr>
          <w:rFonts w:ascii="Palatino Linotype" w:eastAsia="Calibri" w:hAnsi="Palatino Linotype"/>
          <w:b/>
          <w:i/>
        </w:rPr>
        <w:t>Artículo 12.</w:t>
      </w:r>
      <w:r w:rsidRPr="00F7226D">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08ED9BFA" w14:textId="77777777" w:rsidR="0076231C" w:rsidRPr="00F7226D" w:rsidRDefault="0076231C" w:rsidP="0076231C">
      <w:pPr>
        <w:spacing w:before="240" w:after="240" w:line="360" w:lineRule="auto"/>
        <w:ind w:left="567" w:right="616"/>
        <w:contextualSpacing/>
        <w:jc w:val="both"/>
        <w:rPr>
          <w:rFonts w:ascii="Palatino Linotype" w:eastAsia="Calibri" w:hAnsi="Palatino Linotype"/>
          <w:i/>
        </w:rPr>
      </w:pPr>
    </w:p>
    <w:p w14:paraId="1E8584FD" w14:textId="77777777" w:rsidR="0076231C" w:rsidRPr="00F7226D" w:rsidRDefault="0076231C" w:rsidP="0076231C">
      <w:pPr>
        <w:spacing w:before="240" w:after="240" w:line="360" w:lineRule="auto"/>
        <w:ind w:left="567" w:right="616"/>
        <w:contextualSpacing/>
        <w:jc w:val="both"/>
        <w:rPr>
          <w:rFonts w:ascii="Palatino Linotype" w:eastAsia="Calibri" w:hAnsi="Palatino Linotype"/>
          <w:i/>
        </w:rPr>
      </w:pPr>
      <w:r w:rsidRPr="00F7226D">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034B961C" w14:textId="77777777" w:rsidR="0076231C" w:rsidRPr="00F7226D" w:rsidRDefault="0076231C" w:rsidP="0076231C">
      <w:pPr>
        <w:spacing w:before="100" w:beforeAutospacing="1" w:after="100" w:afterAutospacing="1" w:line="360" w:lineRule="auto"/>
        <w:contextualSpacing/>
        <w:jc w:val="both"/>
        <w:rPr>
          <w:rFonts w:ascii="Palatino Linotype" w:eastAsia="MS Mincho" w:hAnsi="Palatino Linotype" w:cs="Segoe UI"/>
          <w:lang w:val="es-ES_tradnl"/>
        </w:rPr>
      </w:pPr>
    </w:p>
    <w:p w14:paraId="05CA6C7E" w14:textId="77777777" w:rsidR="0076231C" w:rsidRPr="00F7226D" w:rsidRDefault="0076231C" w:rsidP="0076231C">
      <w:pPr>
        <w:numPr>
          <w:ilvl w:val="0"/>
          <w:numId w:val="2"/>
        </w:numPr>
        <w:spacing w:before="240" w:after="240" w:line="360" w:lineRule="auto"/>
        <w:ind w:left="0" w:firstLine="0"/>
        <w:contextualSpacing/>
        <w:jc w:val="both"/>
        <w:rPr>
          <w:rFonts w:ascii="Palatino Linotype" w:hAnsi="Palatino Linotype" w:cs="Arial"/>
          <w:i/>
          <w:lang w:val="es-ES_tradnl" w:eastAsia="es-MX"/>
        </w:rPr>
      </w:pPr>
      <w:r w:rsidRPr="00F7226D">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no se tiene el deber de generar un documento </w:t>
      </w:r>
      <w:r w:rsidRPr="00F7226D">
        <w:rPr>
          <w:rFonts w:ascii="Palatino Linotype" w:hAnsi="Palatino Linotype" w:cs="Arial"/>
          <w:i/>
          <w:lang w:val="es-ES_tradnl"/>
        </w:rPr>
        <w:t>ad hoc</w:t>
      </w:r>
      <w:r w:rsidRPr="00F7226D">
        <w:rPr>
          <w:rFonts w:ascii="Palatino Linotype" w:hAnsi="Palatino Linotype" w:cs="Arial"/>
          <w:lang w:val="es-ES_tradnl"/>
        </w:rPr>
        <w:t>, para satisfacer la solicitud.</w:t>
      </w:r>
    </w:p>
    <w:p w14:paraId="41B0D9B8" w14:textId="77777777" w:rsidR="0076231C" w:rsidRPr="00F7226D" w:rsidRDefault="0076231C" w:rsidP="0076231C">
      <w:pPr>
        <w:spacing w:before="240" w:after="240" w:line="360" w:lineRule="auto"/>
        <w:contextualSpacing/>
        <w:jc w:val="both"/>
        <w:rPr>
          <w:rFonts w:ascii="Palatino Linotype" w:hAnsi="Palatino Linotype" w:cs="Arial"/>
          <w:lang w:val="es-ES_tradnl" w:eastAsia="es-MX"/>
        </w:rPr>
      </w:pPr>
    </w:p>
    <w:p w14:paraId="389D3E4D" w14:textId="77777777" w:rsidR="0076231C" w:rsidRPr="00F7226D" w:rsidRDefault="0076231C" w:rsidP="0076231C">
      <w:pPr>
        <w:numPr>
          <w:ilvl w:val="0"/>
          <w:numId w:val="2"/>
        </w:numPr>
        <w:spacing w:before="240" w:after="240" w:line="360" w:lineRule="auto"/>
        <w:ind w:left="0" w:firstLine="0"/>
        <w:contextualSpacing/>
        <w:jc w:val="both"/>
        <w:rPr>
          <w:rFonts w:ascii="Palatino Linotype" w:hAnsi="Palatino Linotype" w:cs="Arial"/>
          <w:i/>
          <w:lang w:val="es-ES_tradnl" w:eastAsia="es-MX"/>
        </w:rPr>
      </w:pPr>
      <w:r w:rsidRPr="00F7226D">
        <w:rPr>
          <w:rFonts w:ascii="Palatino Linotype" w:hAnsi="Palatino Linotype" w:cs="Arial"/>
          <w:lang w:val="es-ES_tradnl"/>
        </w:rPr>
        <w:lastRenderedPageBreak/>
        <w:t xml:space="preserve">Como apoyo a lo anterior, es aplicable por analogía el Criterio 09-10, emitido por el Pleno del entonces </w:t>
      </w:r>
      <w:r w:rsidRPr="00F7226D">
        <w:rPr>
          <w:rFonts w:ascii="Palatino Linotype" w:hAnsi="Palatino Linotype" w:cs="Arial"/>
          <w:bCs/>
          <w:lang w:val="es-ES_tradnl"/>
        </w:rPr>
        <w:t>Instituto Federal de Acceso a la Información y Protección de Datos, que a la letra dice:</w:t>
      </w:r>
    </w:p>
    <w:p w14:paraId="036BF20F" w14:textId="77777777" w:rsidR="0076231C" w:rsidRPr="00F7226D" w:rsidRDefault="0076231C" w:rsidP="0076231C">
      <w:pPr>
        <w:tabs>
          <w:tab w:val="left" w:pos="207"/>
        </w:tabs>
        <w:spacing w:before="240" w:after="360" w:line="360" w:lineRule="auto"/>
        <w:ind w:right="49"/>
        <w:contextualSpacing/>
        <w:jc w:val="both"/>
        <w:rPr>
          <w:rFonts w:ascii="Palatino Linotype" w:hAnsi="Palatino Linotype" w:cs="Arial"/>
          <w:lang w:val="es-ES_tradnl"/>
        </w:rPr>
      </w:pPr>
    </w:p>
    <w:p w14:paraId="5F31D402" w14:textId="77777777" w:rsidR="0076231C" w:rsidRPr="00F7226D" w:rsidRDefault="0076231C" w:rsidP="0076231C">
      <w:pPr>
        <w:spacing w:before="240" w:after="360" w:line="360" w:lineRule="auto"/>
        <w:ind w:left="567" w:right="616"/>
        <w:contextualSpacing/>
        <w:jc w:val="both"/>
        <w:rPr>
          <w:rFonts w:ascii="Palatino Linotype" w:hAnsi="Palatino Linotype" w:cs="Arial"/>
          <w:lang w:val="es-ES_tradnl"/>
        </w:rPr>
      </w:pPr>
      <w:r w:rsidRPr="00F7226D">
        <w:rPr>
          <w:rFonts w:ascii="Palatino Linotype" w:hAnsi="Palatino Linotype" w:cs="Arial"/>
          <w:b/>
          <w:bCs/>
          <w:i/>
          <w:lang w:val="es-ES_tradnl"/>
        </w:rPr>
        <w:t xml:space="preserve">“Las dependencias y entidades no están obligadas a generar documentos </w:t>
      </w:r>
      <w:r w:rsidRPr="00F7226D">
        <w:rPr>
          <w:rFonts w:ascii="Palatino Linotype" w:hAnsi="Palatino Linotype" w:cs="Arial"/>
          <w:b/>
          <w:bCs/>
          <w:i/>
          <w:iCs/>
          <w:lang w:val="es-ES_tradnl"/>
        </w:rPr>
        <w:t xml:space="preserve">ad hoc </w:t>
      </w:r>
      <w:r w:rsidRPr="00F7226D">
        <w:rPr>
          <w:rFonts w:ascii="Palatino Linotype" w:hAnsi="Palatino Linotype" w:cs="Arial"/>
          <w:b/>
          <w:bCs/>
          <w:i/>
          <w:lang w:val="es-ES_tradnl"/>
        </w:rPr>
        <w:t xml:space="preserve">para responder una solicitud de acceso a la información. </w:t>
      </w:r>
      <w:r w:rsidRPr="00F7226D">
        <w:rPr>
          <w:rFonts w:ascii="Palatino Linotype" w:hAnsi="Palatino Linotype" w:cs="Arial"/>
          <w:i/>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F7226D">
        <w:rPr>
          <w:rFonts w:ascii="Palatino Linotype" w:hAnsi="Palatino Linotype" w:cs="Arial"/>
          <w:i/>
          <w:iCs/>
          <w:lang w:val="es-ES_tradnl"/>
        </w:rPr>
        <w:t xml:space="preserve">ad hoc </w:t>
      </w:r>
      <w:r w:rsidRPr="00F7226D">
        <w:rPr>
          <w:rFonts w:ascii="Palatino Linotype" w:hAnsi="Palatino Linotype" w:cs="Arial"/>
          <w:i/>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159F312A" w14:textId="77777777" w:rsidR="0076231C" w:rsidRPr="00F7226D" w:rsidRDefault="0076231C" w:rsidP="0076231C">
      <w:pPr>
        <w:spacing w:before="240" w:after="360" w:line="360" w:lineRule="auto"/>
        <w:ind w:left="567" w:right="616"/>
        <w:contextualSpacing/>
        <w:jc w:val="both"/>
        <w:rPr>
          <w:rFonts w:ascii="Palatino Linotype" w:hAnsi="Palatino Linotype" w:cs="Arial"/>
          <w:i/>
          <w:lang w:val="es-ES_tradnl"/>
        </w:rPr>
      </w:pPr>
      <w:r w:rsidRPr="00F7226D">
        <w:rPr>
          <w:rFonts w:ascii="Palatino Linotype" w:hAnsi="Palatino Linotype" w:cs="Arial"/>
          <w:b/>
          <w:bCs/>
          <w:i/>
          <w:lang w:val="es-ES_tradnl"/>
        </w:rPr>
        <w:t xml:space="preserve">Expedientes: </w:t>
      </w:r>
      <w:r w:rsidRPr="00F7226D">
        <w:rPr>
          <w:rFonts w:ascii="Palatino Linotype" w:hAnsi="Palatino Linotype" w:cs="Arial"/>
          <w:i/>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1184837E" w14:textId="77777777" w:rsidR="0076231C" w:rsidRPr="00F7226D" w:rsidRDefault="0076231C" w:rsidP="0076231C">
      <w:pPr>
        <w:spacing w:after="160" w:line="360" w:lineRule="auto"/>
        <w:jc w:val="both"/>
        <w:rPr>
          <w:rFonts w:ascii="Palatino Linotype" w:eastAsia="Calibri" w:hAnsi="Palatino Linotype" w:cs="Arial"/>
          <w:bCs/>
          <w:lang w:val="es-MX" w:eastAsia="en-US"/>
        </w:rPr>
      </w:pPr>
    </w:p>
    <w:p w14:paraId="4A70E3BF" w14:textId="1400B658" w:rsidR="00780206" w:rsidRPr="00F7226D" w:rsidRDefault="00496F73" w:rsidP="002D5BAE">
      <w:pPr>
        <w:numPr>
          <w:ilvl w:val="0"/>
          <w:numId w:val="2"/>
        </w:numPr>
        <w:tabs>
          <w:tab w:val="left" w:pos="426"/>
        </w:tabs>
        <w:spacing w:before="240" w:after="240" w:line="360" w:lineRule="auto"/>
        <w:ind w:left="0" w:right="51" w:firstLine="0"/>
        <w:contextualSpacing/>
        <w:jc w:val="both"/>
        <w:rPr>
          <w:rFonts w:ascii="Palatino Linotype" w:eastAsia="Calibri" w:hAnsi="Palatino Linotype" w:cs="Arial"/>
          <w:b/>
          <w:lang w:val="es-ES_tradnl" w:eastAsia="es-MX"/>
        </w:rPr>
      </w:pPr>
      <w:r w:rsidRPr="00F7226D">
        <w:rPr>
          <w:rFonts w:ascii="Palatino Linotype" w:hAnsi="Palatino Linotype"/>
        </w:rPr>
        <w:t xml:space="preserve">Atento a lo anterior, el sujeto obligado cuenta con facultades para poseer la información solicitada, por lo que es susceptible ordenar </w:t>
      </w:r>
      <w:r w:rsidR="002D5BAE" w:rsidRPr="00F7226D">
        <w:rPr>
          <w:rFonts w:ascii="Palatino Linotype" w:hAnsi="Palatino Linotype"/>
        </w:rPr>
        <w:t xml:space="preserve">la entrega de </w:t>
      </w:r>
      <w:r w:rsidR="00DB57D8" w:rsidRPr="00F7226D">
        <w:rPr>
          <w:rFonts w:ascii="Palatino Linotype" w:hAnsi="Palatino Linotype"/>
        </w:rPr>
        <w:t xml:space="preserve">los </w:t>
      </w:r>
      <w:r w:rsidR="00DB57D8" w:rsidRPr="00F7226D">
        <w:rPr>
          <w:rFonts w:ascii="Palatino Linotype" w:hAnsi="Palatino Linotype"/>
        </w:rPr>
        <w:lastRenderedPageBreak/>
        <w:t xml:space="preserve">documentos </w:t>
      </w:r>
      <w:r w:rsidR="00F43218" w:rsidRPr="00F7226D">
        <w:rPr>
          <w:rFonts w:ascii="Palatino Linotype" w:hAnsi="Palatino Linotype"/>
        </w:rPr>
        <w:t xml:space="preserve">donde consten </w:t>
      </w:r>
      <w:r w:rsidR="0076231C" w:rsidRPr="00F7226D">
        <w:rPr>
          <w:rFonts w:ascii="Palatino Linotype" w:hAnsi="Palatino Linotype"/>
        </w:rPr>
        <w:t xml:space="preserve">las facturas </w:t>
      </w:r>
      <w:r w:rsidR="002D5BAE" w:rsidRPr="00F7226D">
        <w:rPr>
          <w:rFonts w:ascii="Palatino Linotype" w:hAnsi="Palatino Linotype"/>
        </w:rPr>
        <w:t xml:space="preserve">emitidas del uno (01) al veintisiete (27) de enero de dos mil veintitrés </w:t>
      </w:r>
      <w:r w:rsidR="0076231C" w:rsidRPr="00F7226D">
        <w:rPr>
          <w:rFonts w:ascii="Palatino Linotype" w:eastAsia="Calibri" w:hAnsi="Palatino Linotype" w:cs="Arial"/>
          <w:lang w:val="es-ES_tradnl" w:eastAsia="es-MX"/>
        </w:rPr>
        <w:t>de todos los gastos</w:t>
      </w:r>
      <w:r w:rsidR="002D5BAE" w:rsidRPr="00F7226D">
        <w:rPr>
          <w:rFonts w:ascii="Palatino Linotype" w:eastAsia="Calibri" w:hAnsi="Palatino Linotype" w:cs="Arial"/>
          <w:lang w:val="es-ES_tradnl" w:eastAsia="es-MX"/>
        </w:rPr>
        <w:t xml:space="preserve"> erogados por la Tesorería Municipal</w:t>
      </w:r>
      <w:r w:rsidR="007C76CC" w:rsidRPr="00F7226D">
        <w:rPr>
          <w:rFonts w:ascii="Palatino Linotype" w:eastAsia="Calibri" w:hAnsi="Palatino Linotype" w:cs="Arial"/>
          <w:lang w:val="es-ES_tradnl" w:eastAsia="es-MX"/>
        </w:rPr>
        <w:t xml:space="preserve">. </w:t>
      </w:r>
    </w:p>
    <w:p w14:paraId="7A5FF946" w14:textId="77777777" w:rsidR="002D5BAE" w:rsidRPr="00F7226D" w:rsidRDefault="002D5BAE" w:rsidP="002D5BAE">
      <w:pPr>
        <w:spacing w:before="240" w:after="240" w:line="360" w:lineRule="auto"/>
        <w:contextualSpacing/>
        <w:jc w:val="both"/>
        <w:rPr>
          <w:rFonts w:ascii="Palatino Linotype" w:eastAsia="MS Mincho" w:hAnsi="Palatino Linotype" w:cs="Arial"/>
          <w:lang w:val="es-ES_tradnl"/>
        </w:rPr>
      </w:pPr>
    </w:p>
    <w:p w14:paraId="4EEAF22F" w14:textId="26BFFFBF" w:rsidR="002D5BAE" w:rsidRPr="00F7226D" w:rsidRDefault="00E24D12" w:rsidP="002D5BAE">
      <w:pPr>
        <w:keepNext/>
        <w:keepLines/>
        <w:spacing w:before="240" w:line="360" w:lineRule="auto"/>
        <w:outlineLvl w:val="0"/>
        <w:rPr>
          <w:rFonts w:ascii="Palatino Linotype" w:hAnsi="Palatino Linotype" w:cs="Arial"/>
          <w:b/>
          <w:color w:val="000000"/>
          <w:lang w:val="es-ES_tradnl"/>
        </w:rPr>
      </w:pPr>
      <w:bookmarkStart w:id="46" w:name="_Toc104470953"/>
      <w:bookmarkStart w:id="47" w:name="_Toc110976872"/>
      <w:r w:rsidRPr="00F7226D">
        <w:rPr>
          <w:rFonts w:ascii="Palatino Linotype" w:hAnsi="Palatino Linotype" w:cs="Arial"/>
          <w:b/>
          <w:color w:val="000000"/>
          <w:lang w:val="es-ES_tradnl"/>
        </w:rPr>
        <w:t>QUINTO</w:t>
      </w:r>
      <w:r w:rsidR="002D5BAE" w:rsidRPr="00F7226D">
        <w:rPr>
          <w:rFonts w:ascii="Palatino Linotype" w:hAnsi="Palatino Linotype" w:cs="Arial"/>
          <w:b/>
          <w:color w:val="000000"/>
          <w:lang w:val="es-ES_tradnl"/>
        </w:rPr>
        <w:t>. De la versión pública.</w:t>
      </w:r>
      <w:bookmarkEnd w:id="46"/>
      <w:bookmarkEnd w:id="47"/>
    </w:p>
    <w:p w14:paraId="2659C360" w14:textId="77777777" w:rsidR="002D5BAE" w:rsidRPr="00F7226D" w:rsidRDefault="002D5BAE" w:rsidP="002D5BAE">
      <w:pPr>
        <w:spacing w:after="120" w:line="360" w:lineRule="auto"/>
        <w:ind w:left="360" w:right="49"/>
        <w:contextualSpacing/>
        <w:jc w:val="both"/>
        <w:rPr>
          <w:rFonts w:ascii="Palatino Linotype" w:hAnsi="Palatino Linotype" w:cs="Arial"/>
          <w:color w:val="000000"/>
          <w:lang w:val="es-ES_tradnl"/>
        </w:rPr>
      </w:pPr>
    </w:p>
    <w:p w14:paraId="7DE203B3" w14:textId="77777777" w:rsidR="002D5BAE" w:rsidRPr="00F7226D" w:rsidRDefault="002D5BAE" w:rsidP="002D5BAE">
      <w:pPr>
        <w:pStyle w:val="Prrafodelista"/>
        <w:numPr>
          <w:ilvl w:val="0"/>
          <w:numId w:val="2"/>
        </w:numPr>
        <w:tabs>
          <w:tab w:val="left" w:pos="426"/>
        </w:tabs>
        <w:suppressAutoHyphens/>
        <w:spacing w:after="120" w:line="360" w:lineRule="auto"/>
        <w:ind w:left="0" w:right="49"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rPr>
        <w:t>Por otro lado, debe destacarse que debido a la naturaleza de la información solicitada</w:t>
      </w:r>
      <w:r w:rsidRPr="00F7226D">
        <w:rPr>
          <w:rFonts w:ascii="Palatino Linotype" w:hAnsi="Palatino Linotype" w:cs="Arial"/>
          <w:b/>
          <w:color w:val="000000"/>
          <w:lang w:val="es-ES_tradnl"/>
        </w:rPr>
        <w:t xml:space="preserve">, </w:t>
      </w:r>
      <w:r w:rsidRPr="00F7226D">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7226D">
        <w:rPr>
          <w:rFonts w:ascii="Palatino Linotype" w:hAnsi="Palatino Linotype" w:cs="Arial"/>
          <w:b/>
          <w:color w:val="000000"/>
          <w:lang w:val="es-ES_tradnl"/>
        </w:rPr>
        <w:t>versión pública</w:t>
      </w:r>
      <w:r w:rsidRPr="00F7226D">
        <w:rPr>
          <w:rFonts w:ascii="Palatino Linotype" w:hAnsi="Palatino Linotype" w:cs="Arial"/>
          <w:color w:val="000000"/>
          <w:lang w:val="es-ES_tradnl"/>
        </w:rPr>
        <w:t xml:space="preserve"> del documento por las consideraciones que se estimen pertinentes.</w:t>
      </w:r>
    </w:p>
    <w:p w14:paraId="595BE304" w14:textId="77777777" w:rsidR="00EB5F39" w:rsidRPr="00F7226D" w:rsidRDefault="00EB5F39" w:rsidP="00EB5F39">
      <w:pPr>
        <w:pStyle w:val="Prrafodelista"/>
        <w:tabs>
          <w:tab w:val="left" w:pos="426"/>
        </w:tabs>
        <w:suppressAutoHyphens/>
        <w:spacing w:after="120" w:line="360" w:lineRule="auto"/>
        <w:ind w:left="0" w:right="49"/>
        <w:contextualSpacing/>
        <w:jc w:val="both"/>
        <w:rPr>
          <w:rFonts w:ascii="Palatino Linotype" w:hAnsi="Palatino Linotype" w:cs="Arial"/>
          <w:color w:val="000000"/>
          <w:lang w:val="es-ES_tradnl"/>
        </w:rPr>
      </w:pPr>
    </w:p>
    <w:p w14:paraId="468AD6F2" w14:textId="62B4D972" w:rsidR="002D5BAE" w:rsidRPr="00F7226D" w:rsidRDefault="002D5BAE" w:rsidP="002D5BAE">
      <w:pPr>
        <w:pStyle w:val="Prrafodelista"/>
        <w:numPr>
          <w:ilvl w:val="0"/>
          <w:numId w:val="2"/>
        </w:numPr>
        <w:tabs>
          <w:tab w:val="left" w:pos="426"/>
        </w:tabs>
        <w:suppressAutoHyphens/>
        <w:spacing w:after="120" w:line="360" w:lineRule="auto"/>
        <w:ind w:left="0" w:right="49" w:firstLine="0"/>
        <w:contextualSpacing/>
        <w:jc w:val="both"/>
        <w:rPr>
          <w:rFonts w:ascii="Palatino Linotype" w:hAnsi="Palatino Linotype" w:cs="Arial"/>
          <w:color w:val="000000"/>
          <w:lang w:val="es-ES_tradnl"/>
        </w:rPr>
      </w:pPr>
      <w:r w:rsidRPr="00F7226D">
        <w:rPr>
          <w:rFonts w:ascii="Palatino Linotype" w:eastAsia="Calibri" w:hAnsi="Palatino Linotype" w:cs="Arial"/>
          <w:color w:val="000000"/>
          <w:lang w:eastAsia="es-MX"/>
        </w:rPr>
        <w:t xml:space="preserve">Es de señalar que, por lo que hace a las versiones públicas, el </w:t>
      </w:r>
      <w:r w:rsidRPr="00F7226D">
        <w:rPr>
          <w:rFonts w:ascii="Palatino Linotype" w:eastAsia="Calibri" w:hAnsi="Palatino Linotype" w:cs="Arial"/>
          <w:b/>
          <w:color w:val="000000"/>
          <w:lang w:eastAsia="es-MX"/>
        </w:rPr>
        <w:t>SUJETO OBLIGADO</w:t>
      </w:r>
      <w:r w:rsidRPr="00F7226D">
        <w:rPr>
          <w:rFonts w:ascii="Palatino Linotype" w:eastAsia="Calibri" w:hAnsi="Palatino Linotype" w:cs="Arial"/>
          <w:color w:val="000000"/>
          <w:lang w:eastAsia="es-MX"/>
        </w:rPr>
        <w:t xml:space="preserve"> debe cumplir con las formalidades exigidas en la Ley, por lo que </w:t>
      </w:r>
      <w:r w:rsidRPr="00F7226D">
        <w:rPr>
          <w:rFonts w:ascii="Palatino Linotype" w:hAnsi="Palatino Linotype" w:cs="Arial"/>
          <w:color w:val="000000"/>
          <w:lang w:val="es-ES_tradnl" w:eastAsia="es-MX"/>
        </w:rPr>
        <w:t xml:space="preserve">para tal efecto emitirá el </w:t>
      </w:r>
      <w:r w:rsidRPr="00F7226D">
        <w:rPr>
          <w:rFonts w:ascii="Palatino Linotype" w:eastAsia="Calibri" w:hAnsi="Palatino Linotype" w:cs="Arial"/>
          <w:color w:val="000000"/>
          <w:lang w:eastAsia="es-MX"/>
        </w:rPr>
        <w:t>Acuerdo del Comité de Transparencia en términos de los artículos 49 fracción</w:t>
      </w:r>
      <w:r w:rsidRPr="00F7226D">
        <w:rPr>
          <w:rFonts w:ascii="Palatino Linotype" w:eastAsia="Calibri" w:hAnsi="Palatino Linotype" w:cs="Arial"/>
          <w:bCs/>
          <w:color w:val="000000"/>
          <w:lang w:val="es-ES_tradnl"/>
        </w:rPr>
        <w:t xml:space="preserve"> VIII,</w:t>
      </w:r>
      <w:r w:rsidRPr="00F7226D">
        <w:rPr>
          <w:rFonts w:ascii="Palatino Linotype" w:eastAsia="Calibri" w:hAnsi="Palatino Linotype" w:cs="Arial"/>
          <w:color w:val="000000"/>
          <w:lang w:eastAsia="es-MX"/>
        </w:rPr>
        <w:t xml:space="preserve"> 122</w:t>
      </w:r>
      <w:r w:rsidRPr="00F7226D">
        <w:rPr>
          <w:vertAlign w:val="superscript"/>
          <w:lang w:eastAsia="es-MX"/>
        </w:rPr>
        <w:footnoteReference w:id="7"/>
      </w:r>
      <w:r w:rsidRPr="00F7226D">
        <w:rPr>
          <w:rFonts w:ascii="Palatino Linotype" w:eastAsia="Calibri" w:hAnsi="Palatino Linotype" w:cs="Arial"/>
          <w:color w:val="000000"/>
          <w:lang w:eastAsia="es-MX"/>
        </w:rPr>
        <w:t>, 135</w:t>
      </w:r>
      <w:r w:rsidRPr="00F7226D">
        <w:rPr>
          <w:vertAlign w:val="superscript"/>
          <w:lang w:eastAsia="es-MX"/>
        </w:rPr>
        <w:footnoteReference w:id="8"/>
      </w:r>
      <w:r w:rsidRPr="00F7226D">
        <w:rPr>
          <w:rFonts w:ascii="Palatino Linotype" w:eastAsia="Calibri" w:hAnsi="Palatino Linotype" w:cs="Arial"/>
          <w:color w:val="000000"/>
          <w:lang w:eastAsia="es-MX"/>
        </w:rPr>
        <w:t xml:space="preserve"> y 149 de la </w:t>
      </w:r>
      <w:r w:rsidRPr="00F7226D">
        <w:rPr>
          <w:rFonts w:ascii="Palatino Linotype" w:eastAsia="Calibri" w:hAnsi="Palatino Linotype" w:cs="Arial"/>
          <w:b/>
          <w:color w:val="000000"/>
          <w:lang w:eastAsia="es-MX"/>
        </w:rPr>
        <w:t xml:space="preserve">Ley de Transparencia y Acceso a la </w:t>
      </w:r>
      <w:r w:rsidRPr="00F7226D">
        <w:rPr>
          <w:rFonts w:ascii="Palatino Linotype" w:eastAsia="Calibri" w:hAnsi="Palatino Linotype" w:cs="Arial"/>
          <w:b/>
          <w:color w:val="000000"/>
          <w:lang w:eastAsia="es-MX"/>
        </w:rPr>
        <w:lastRenderedPageBreak/>
        <w:t>Información Pública del Estado de México y Municipios</w:t>
      </w:r>
      <w:r w:rsidRPr="00F7226D">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5764D2E9" w14:textId="77777777" w:rsidR="002D5BAE" w:rsidRPr="00F7226D" w:rsidRDefault="002D5BAE" w:rsidP="002D5BAE">
      <w:pPr>
        <w:shd w:val="clear" w:color="auto" w:fill="FFFFFF"/>
        <w:tabs>
          <w:tab w:val="left" w:pos="284"/>
          <w:tab w:val="left" w:pos="426"/>
        </w:tabs>
        <w:spacing w:before="240" w:after="200" w:line="360" w:lineRule="auto"/>
        <w:contextualSpacing/>
        <w:jc w:val="both"/>
        <w:rPr>
          <w:rFonts w:ascii="Palatino Linotype" w:hAnsi="Palatino Linotype" w:cs="Arial"/>
          <w:color w:val="000000"/>
          <w:lang w:val="es-ES_tradnl"/>
        </w:rPr>
      </w:pPr>
    </w:p>
    <w:p w14:paraId="51FC1C0B" w14:textId="77777777" w:rsidR="002D5BAE" w:rsidRPr="00F7226D" w:rsidRDefault="002D5BAE" w:rsidP="002D5BAE">
      <w:pPr>
        <w:keepNext/>
        <w:keepLines/>
        <w:spacing w:before="40" w:line="360" w:lineRule="auto"/>
        <w:outlineLvl w:val="1"/>
        <w:rPr>
          <w:rFonts w:ascii="Palatino Linotype" w:hAnsi="Palatino Linotype"/>
          <w:b/>
          <w:color w:val="000000"/>
          <w:lang w:val="es-MX" w:eastAsia="en-US"/>
        </w:rPr>
      </w:pPr>
      <w:bookmarkStart w:id="48" w:name="_Toc500756709"/>
      <w:bookmarkStart w:id="49" w:name="_Toc536691777"/>
      <w:bookmarkStart w:id="50" w:name="_Toc104470954"/>
      <w:bookmarkStart w:id="51" w:name="_Toc110976873"/>
      <w:r w:rsidRPr="00F7226D">
        <w:rPr>
          <w:rFonts w:ascii="Palatino Linotype" w:hAnsi="Palatino Linotype"/>
          <w:b/>
          <w:color w:val="000000"/>
          <w:lang w:val="es-MX" w:eastAsia="en-US"/>
        </w:rPr>
        <w:t>I. De la clasificación de la información.</w:t>
      </w:r>
      <w:bookmarkEnd w:id="48"/>
      <w:bookmarkEnd w:id="49"/>
      <w:bookmarkEnd w:id="50"/>
      <w:bookmarkEnd w:id="51"/>
    </w:p>
    <w:p w14:paraId="4FCCC54F" w14:textId="77777777" w:rsidR="002D5BAE" w:rsidRPr="00F7226D" w:rsidRDefault="002D5BAE" w:rsidP="002D5BAE">
      <w:pPr>
        <w:spacing w:line="360" w:lineRule="auto"/>
        <w:rPr>
          <w:rFonts w:ascii="Palatino Linotype" w:hAnsi="Palatino Linotype"/>
          <w:color w:val="000000"/>
          <w:lang w:val="es-MX" w:eastAsia="en-US"/>
        </w:rPr>
      </w:pPr>
    </w:p>
    <w:p w14:paraId="55221E45"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F7226D">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7226D">
        <w:rPr>
          <w:rFonts w:ascii="Palatino Linotype" w:hAnsi="Palatino Linotype"/>
          <w:vertAlign w:val="superscript"/>
          <w:lang w:val="es-ES_tradnl"/>
        </w:rPr>
        <w:footnoteReference w:id="9"/>
      </w:r>
      <w:r w:rsidRPr="00F7226D">
        <w:rPr>
          <w:rFonts w:ascii="Palatino Linotype" w:hAnsi="Palatino Linotype"/>
          <w:color w:val="000000"/>
          <w:lang w:val="es-ES_tradnl"/>
        </w:rPr>
        <w:t xml:space="preserve"> aunque cualquier límite o restricción, </w:t>
      </w:r>
      <w:r w:rsidRPr="00F7226D">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7226D">
        <w:rPr>
          <w:rFonts w:ascii="Palatino Linotype" w:hAnsi="Palatino Linotype"/>
          <w:vertAlign w:val="superscript"/>
          <w:lang w:val="es-ES_tradnl"/>
        </w:rPr>
        <w:footnoteReference w:id="10"/>
      </w:r>
      <w:r w:rsidRPr="00F7226D">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1128CC4" w14:textId="77777777" w:rsidR="00EB5F39" w:rsidRPr="00F7226D" w:rsidRDefault="00EB5F39" w:rsidP="00EB5F39">
      <w:pPr>
        <w:tabs>
          <w:tab w:val="left" w:pos="426"/>
        </w:tabs>
        <w:suppressAutoHyphens/>
        <w:spacing w:after="160" w:line="360" w:lineRule="auto"/>
        <w:contextualSpacing/>
        <w:jc w:val="both"/>
        <w:rPr>
          <w:rFonts w:ascii="Palatino Linotype" w:hAnsi="Palatino Linotype"/>
          <w:color w:val="000000"/>
          <w:lang w:val="es-ES_tradnl"/>
        </w:rPr>
      </w:pPr>
    </w:p>
    <w:p w14:paraId="034232D7"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F7226D">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w:t>
      </w:r>
      <w:r w:rsidRPr="00F7226D">
        <w:rPr>
          <w:rFonts w:ascii="Palatino Linotype" w:hAnsi="Palatino Linotype"/>
          <w:color w:val="000000"/>
          <w:lang w:val="es-ES_tradnl"/>
        </w:rPr>
        <w:lastRenderedPageBreak/>
        <w:t>tanto por la complejidad del procedimiento como por la falta de atención de los operadores jurídicos.</w:t>
      </w:r>
    </w:p>
    <w:p w14:paraId="5E4E686D" w14:textId="77777777" w:rsidR="00EB5F39" w:rsidRPr="00F7226D" w:rsidRDefault="00EB5F39" w:rsidP="00EB5F39">
      <w:pPr>
        <w:pStyle w:val="Prrafodelista"/>
        <w:rPr>
          <w:rFonts w:ascii="Palatino Linotype" w:hAnsi="Palatino Linotype"/>
          <w:color w:val="000000"/>
          <w:lang w:val="es-ES_tradnl"/>
        </w:rPr>
      </w:pPr>
    </w:p>
    <w:p w14:paraId="43965813" w14:textId="1DA5021A" w:rsidR="002D5BAE"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F7226D">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F7226D">
        <w:rPr>
          <w:rFonts w:ascii="Palatino Linotype" w:hAnsi="Palatino Linotype" w:cs="Arial"/>
          <w:b/>
          <w:bCs/>
          <w:color w:val="000000"/>
          <w:lang w:val="es-ES_tradnl"/>
        </w:rPr>
        <w:t>SUJETO OBLIGADO</w:t>
      </w:r>
      <w:r w:rsidRPr="00F7226D">
        <w:rPr>
          <w:rFonts w:ascii="Palatino Linotype" w:hAnsi="Palatino Linotype" w:cs="Arial"/>
          <w:color w:val="000000"/>
          <w:lang w:val="es-ES_tradnl"/>
        </w:rPr>
        <w:t xml:space="preserve"> </w:t>
      </w:r>
      <w:r w:rsidRPr="00F7226D">
        <w:rPr>
          <w:rFonts w:ascii="Palatino Linotype" w:hAnsi="Palatino Linotype"/>
          <w:color w:val="000000"/>
          <w:lang w:val="es-ES_tradnl"/>
        </w:rPr>
        <w:t>para emitir este tipo de acuerdos y que el Órgano Garante debe verificar que se cumplan.</w:t>
      </w:r>
    </w:p>
    <w:p w14:paraId="79BD9EC0" w14:textId="77777777" w:rsidR="002D5BAE" w:rsidRPr="00F7226D" w:rsidRDefault="002D5BAE" w:rsidP="002D5BAE">
      <w:pPr>
        <w:spacing w:line="360" w:lineRule="auto"/>
        <w:jc w:val="both"/>
        <w:rPr>
          <w:rFonts w:ascii="Palatino Linotype" w:hAnsi="Palatino Linotype"/>
          <w:color w:val="000000"/>
          <w:lang w:val="es-ES_tradnl"/>
        </w:rPr>
      </w:pPr>
    </w:p>
    <w:p w14:paraId="7A802162" w14:textId="77777777" w:rsidR="002D5BAE" w:rsidRPr="00F7226D" w:rsidRDefault="002D5BAE" w:rsidP="002D5BAE">
      <w:pPr>
        <w:keepNext/>
        <w:keepLines/>
        <w:pBdr>
          <w:top w:val="nil"/>
          <w:left w:val="nil"/>
          <w:bottom w:val="nil"/>
          <w:right w:val="nil"/>
          <w:between w:val="nil"/>
          <w:bar w:val="nil"/>
        </w:pBdr>
        <w:spacing w:before="240" w:line="360" w:lineRule="auto"/>
        <w:contextualSpacing/>
        <w:outlineLvl w:val="0"/>
        <w:rPr>
          <w:rFonts w:ascii="Palatino Linotype" w:hAnsi="Palatino Linotype"/>
          <w:b/>
          <w:color w:val="000000"/>
          <w:lang w:val="es-MX" w:eastAsia="en-US"/>
        </w:rPr>
      </w:pPr>
      <w:bookmarkStart w:id="52" w:name="_Toc485631700"/>
      <w:bookmarkStart w:id="53" w:name="_Toc500756710"/>
      <w:bookmarkStart w:id="54" w:name="_Toc536691778"/>
      <w:bookmarkStart w:id="55" w:name="_Toc104470955"/>
      <w:bookmarkStart w:id="56" w:name="_Toc110976874"/>
      <w:r w:rsidRPr="00F7226D">
        <w:rPr>
          <w:rFonts w:ascii="Palatino Linotype" w:hAnsi="Palatino Linotype"/>
          <w:b/>
          <w:color w:val="000000"/>
          <w:lang w:val="es-MX" w:eastAsia="en-US"/>
        </w:rPr>
        <w:t>a) Requisitos previos.</w:t>
      </w:r>
      <w:bookmarkEnd w:id="52"/>
      <w:bookmarkEnd w:id="53"/>
      <w:bookmarkEnd w:id="54"/>
      <w:bookmarkEnd w:id="55"/>
      <w:bookmarkEnd w:id="56"/>
    </w:p>
    <w:p w14:paraId="208DB3B3" w14:textId="77777777" w:rsidR="002D5BAE" w:rsidRPr="00F7226D" w:rsidRDefault="002D5BAE" w:rsidP="002D5BAE">
      <w:pPr>
        <w:spacing w:line="360" w:lineRule="auto"/>
        <w:contextualSpacing/>
        <w:jc w:val="both"/>
        <w:rPr>
          <w:rFonts w:ascii="Palatino Linotype" w:hAnsi="Palatino Linotype" w:cs="Arial"/>
          <w:color w:val="000000"/>
          <w:lang w:val="es-ES_tradnl"/>
        </w:rPr>
      </w:pPr>
    </w:p>
    <w:p w14:paraId="0B28D5A0"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rPr>
        <w:t xml:space="preserve">Los </w:t>
      </w:r>
      <w:r w:rsidRPr="00F7226D">
        <w:rPr>
          <w:rFonts w:ascii="Palatino Linotype" w:hAnsi="Palatino Linotype"/>
          <w:color w:val="000000"/>
          <w:lang w:val="es-ES_tradnl"/>
        </w:rPr>
        <w:t>artículos</w:t>
      </w:r>
      <w:r w:rsidRPr="00F7226D">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1081BCB" w14:textId="77777777" w:rsidR="00EB5F39" w:rsidRPr="00F7226D" w:rsidRDefault="00EB5F39" w:rsidP="00EB5F39">
      <w:pPr>
        <w:tabs>
          <w:tab w:val="left" w:pos="426"/>
        </w:tabs>
        <w:suppressAutoHyphens/>
        <w:spacing w:after="160" w:line="360" w:lineRule="auto"/>
        <w:contextualSpacing/>
        <w:jc w:val="both"/>
        <w:rPr>
          <w:rFonts w:ascii="Palatino Linotype" w:hAnsi="Palatino Linotype" w:cs="Arial"/>
          <w:color w:val="000000"/>
          <w:lang w:val="es-ES_tradnl"/>
        </w:rPr>
      </w:pPr>
    </w:p>
    <w:p w14:paraId="017656CA"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F7226D">
        <w:rPr>
          <w:rFonts w:ascii="Palatino Linotype" w:hAnsi="Palatino Linotype" w:cs="Arial"/>
          <w:color w:val="000000"/>
          <w:lang w:val="es-ES_tradnl"/>
        </w:rPr>
        <w:lastRenderedPageBreak/>
        <w:t>información, porque lo determina una autoridad competente o porque se va a generar una versión pública para cumplir con sus obligaciones.</w:t>
      </w:r>
    </w:p>
    <w:p w14:paraId="06B3F69A" w14:textId="77777777" w:rsidR="00EB5F39" w:rsidRPr="00F7226D" w:rsidRDefault="00EB5F39" w:rsidP="00EB5F39">
      <w:pPr>
        <w:tabs>
          <w:tab w:val="left" w:pos="426"/>
        </w:tabs>
        <w:suppressAutoHyphens/>
        <w:spacing w:after="160" w:line="360" w:lineRule="auto"/>
        <w:contextualSpacing/>
        <w:jc w:val="both"/>
        <w:rPr>
          <w:rFonts w:ascii="Palatino Linotype" w:hAnsi="Palatino Linotype" w:cs="Arial"/>
          <w:color w:val="000000"/>
          <w:lang w:val="es-ES_tradnl"/>
        </w:rPr>
      </w:pPr>
    </w:p>
    <w:p w14:paraId="355DEE42" w14:textId="33EC2E2B" w:rsidR="002D5BAE"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F8A39E2" w14:textId="77777777" w:rsidR="002D5BAE" w:rsidRPr="00F7226D" w:rsidRDefault="002D5BAE" w:rsidP="002D5BAE">
      <w:pPr>
        <w:spacing w:after="160" w:line="360" w:lineRule="auto"/>
        <w:contextualSpacing/>
        <w:jc w:val="both"/>
        <w:rPr>
          <w:rFonts w:ascii="Palatino Linotype" w:hAnsi="Palatino Linotype" w:cs="Arial"/>
          <w:color w:val="000000"/>
          <w:lang w:val="es-ES_tradnl"/>
        </w:rPr>
      </w:pPr>
    </w:p>
    <w:p w14:paraId="24DB8020" w14:textId="77777777" w:rsidR="002D5BAE" w:rsidRPr="00F7226D" w:rsidRDefault="002D5BAE" w:rsidP="002D5BAE">
      <w:pPr>
        <w:keepNext/>
        <w:keepLines/>
        <w:pBdr>
          <w:top w:val="nil"/>
          <w:left w:val="nil"/>
          <w:bottom w:val="nil"/>
          <w:right w:val="nil"/>
          <w:between w:val="nil"/>
          <w:bar w:val="nil"/>
        </w:pBdr>
        <w:spacing w:before="240" w:line="360" w:lineRule="auto"/>
        <w:contextualSpacing/>
        <w:outlineLvl w:val="0"/>
        <w:rPr>
          <w:rFonts w:ascii="Palatino Linotype" w:hAnsi="Palatino Linotype"/>
          <w:b/>
          <w:color w:val="000000"/>
          <w:lang w:val="es-MX" w:eastAsia="en-US"/>
        </w:rPr>
      </w:pPr>
      <w:bookmarkStart w:id="57" w:name="_Toc485631701"/>
      <w:bookmarkStart w:id="58" w:name="_Toc500756711"/>
      <w:bookmarkStart w:id="59" w:name="_Toc536691779"/>
      <w:bookmarkStart w:id="60" w:name="_Toc104470956"/>
      <w:bookmarkStart w:id="61" w:name="_Toc110976875"/>
      <w:r w:rsidRPr="00F7226D">
        <w:rPr>
          <w:rFonts w:ascii="Palatino Linotype" w:hAnsi="Palatino Linotype"/>
          <w:b/>
          <w:color w:val="000000"/>
          <w:lang w:val="es-MX" w:eastAsia="en-US"/>
        </w:rPr>
        <w:t>b) Supuestos de clasificación.</w:t>
      </w:r>
      <w:bookmarkEnd w:id="57"/>
      <w:bookmarkEnd w:id="58"/>
      <w:bookmarkEnd w:id="59"/>
      <w:bookmarkEnd w:id="60"/>
      <w:bookmarkEnd w:id="61"/>
    </w:p>
    <w:p w14:paraId="13CF0A31" w14:textId="77777777" w:rsidR="002D5BAE" w:rsidRPr="00F7226D" w:rsidRDefault="002D5BAE" w:rsidP="002D5BAE">
      <w:pPr>
        <w:spacing w:line="360" w:lineRule="auto"/>
        <w:jc w:val="both"/>
        <w:rPr>
          <w:rFonts w:ascii="Palatino Linotype" w:hAnsi="Palatino Linotype" w:cs="Arial"/>
          <w:color w:val="000000"/>
          <w:lang w:val="es-ES_tradnl"/>
        </w:rPr>
      </w:pPr>
    </w:p>
    <w:p w14:paraId="174F7A50"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06CBA61" w14:textId="77777777" w:rsidR="00EB5F39" w:rsidRPr="00F7226D" w:rsidRDefault="00EB5F39" w:rsidP="00EB5F39">
      <w:pPr>
        <w:tabs>
          <w:tab w:val="left" w:pos="426"/>
        </w:tabs>
        <w:suppressAutoHyphens/>
        <w:spacing w:after="160" w:line="360" w:lineRule="auto"/>
        <w:contextualSpacing/>
        <w:jc w:val="both"/>
        <w:rPr>
          <w:rFonts w:ascii="Palatino Linotype" w:hAnsi="Palatino Linotype" w:cs="Arial"/>
          <w:color w:val="000000"/>
          <w:lang w:val="es-ES_tradnl"/>
        </w:rPr>
      </w:pPr>
    </w:p>
    <w:p w14:paraId="5310E51E" w14:textId="5F1414BF" w:rsidR="002D5BAE"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4A328B89" w14:textId="77777777" w:rsidR="002D5BAE" w:rsidRPr="00F7226D" w:rsidRDefault="002D5BAE" w:rsidP="002D5BAE">
      <w:pPr>
        <w:spacing w:line="360" w:lineRule="auto"/>
        <w:jc w:val="both"/>
        <w:rPr>
          <w:rFonts w:ascii="Palatino Linotype" w:hAnsi="Palatino Linotype" w:cs="Arial"/>
          <w:color w:val="000000"/>
          <w:lang w:val="es-ES_tradnl"/>
        </w:rPr>
      </w:pPr>
    </w:p>
    <w:p w14:paraId="101FE63B" w14:textId="77777777" w:rsidR="002D5BAE" w:rsidRPr="00F7226D" w:rsidRDefault="002D5BAE" w:rsidP="002D5BAE">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F7226D">
        <w:rPr>
          <w:rFonts w:ascii="Palatino Linotype" w:hAnsi="Palatino Linotype" w:cs="Bookman Old Style"/>
          <w:bCs/>
          <w:i/>
          <w:iCs/>
          <w:color w:val="000000"/>
          <w:lang w:val="es-ES_tradnl"/>
        </w:rPr>
        <w:t>“</w:t>
      </w:r>
      <w:r w:rsidRPr="00F7226D">
        <w:rPr>
          <w:rFonts w:ascii="Palatino Linotype" w:hAnsi="Palatino Linotype" w:cs="Bookman Old Style"/>
          <w:b/>
          <w:i/>
          <w:iCs/>
          <w:color w:val="000000"/>
          <w:lang w:val="es-ES_tradnl"/>
        </w:rPr>
        <w:t>I.</w:t>
      </w:r>
      <w:r w:rsidRPr="00F7226D">
        <w:rPr>
          <w:rFonts w:ascii="Palatino Linotype" w:hAnsi="Palatino Linotype" w:cs="Bookman Old Style"/>
          <w:bCs/>
          <w:i/>
          <w:iCs/>
          <w:color w:val="000000"/>
          <w:lang w:val="es-ES_tradnl"/>
        </w:rPr>
        <w:t xml:space="preserve"> </w:t>
      </w:r>
      <w:r w:rsidRPr="00F7226D">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32D028A5" w14:textId="77777777" w:rsidR="002D5BAE" w:rsidRPr="00F7226D" w:rsidRDefault="002D5BAE" w:rsidP="002D5BAE">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F7226D">
        <w:rPr>
          <w:rFonts w:ascii="Palatino Linotype" w:hAnsi="Palatino Linotype" w:cs="Bookman Old Style"/>
          <w:b/>
          <w:i/>
          <w:iCs/>
          <w:color w:val="000000"/>
          <w:lang w:val="es-ES_tradnl"/>
        </w:rPr>
        <w:t>II.</w:t>
      </w:r>
      <w:r w:rsidRPr="00F7226D">
        <w:rPr>
          <w:rFonts w:ascii="Palatino Linotype" w:hAnsi="Palatino Linotype" w:cs="Bookman Old Style"/>
          <w:bCs/>
          <w:i/>
          <w:iCs/>
          <w:color w:val="000000"/>
          <w:lang w:val="es-ES_tradnl"/>
        </w:rPr>
        <w:t xml:space="preserve"> </w:t>
      </w:r>
      <w:r w:rsidRPr="00F7226D">
        <w:rPr>
          <w:rFonts w:ascii="Palatino Linotype" w:hAnsi="Palatino Linotype" w:cs="Bookman Old Style"/>
          <w:i/>
          <w:iCs/>
          <w:color w:val="000000"/>
          <w:lang w:val="es-ES_tradnl"/>
        </w:rPr>
        <w:t xml:space="preserve">Los secretos bancario, fiduciario, industrial, comercial, fiscal, bursátil y </w:t>
      </w:r>
      <w:r w:rsidRPr="00F7226D">
        <w:rPr>
          <w:rFonts w:ascii="Palatino Linotype" w:hAnsi="Palatino Linotype" w:cs="Bookman Old Style"/>
          <w:i/>
          <w:iCs/>
          <w:color w:val="000000"/>
          <w:lang w:val="es-ES_tradnl"/>
        </w:rPr>
        <w:lastRenderedPageBreak/>
        <w:t xml:space="preserve">postal, cuya titularidad corresponda a particulares, sujetos de derecho internacional o a sujetos obligados cuando no involucren el ejercicio de recursos públicos; y </w:t>
      </w:r>
    </w:p>
    <w:p w14:paraId="76B41928" w14:textId="77777777" w:rsidR="002D5BAE" w:rsidRPr="00F7226D" w:rsidRDefault="002D5BAE" w:rsidP="002D5BAE">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F7226D">
        <w:rPr>
          <w:rFonts w:ascii="Palatino Linotype" w:hAnsi="Palatino Linotype" w:cs="Bookman Old Style"/>
          <w:b/>
          <w:i/>
          <w:iCs/>
          <w:color w:val="000000"/>
          <w:lang w:val="es-ES_tradnl"/>
        </w:rPr>
        <w:t>III.</w:t>
      </w:r>
      <w:r w:rsidRPr="00F7226D">
        <w:rPr>
          <w:rFonts w:ascii="Palatino Linotype" w:hAnsi="Palatino Linotype" w:cs="Bookman Old Style"/>
          <w:bCs/>
          <w:i/>
          <w:iCs/>
          <w:color w:val="000000"/>
          <w:lang w:val="es-ES_tradnl"/>
        </w:rPr>
        <w:t xml:space="preserve"> </w:t>
      </w:r>
      <w:r w:rsidRPr="00F7226D">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7635FDDA" w14:textId="77777777" w:rsidR="002D5BAE" w:rsidRPr="00F7226D" w:rsidRDefault="002D5BAE" w:rsidP="002D5BAE">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F7226D">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10588ACF" w14:textId="77777777" w:rsidR="002D5BAE" w:rsidRPr="00F7226D" w:rsidRDefault="002D5BAE" w:rsidP="002D5BAE">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F7226D">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2FD1EF5B" w14:textId="77777777" w:rsidR="002D5BAE" w:rsidRPr="00F7226D" w:rsidRDefault="002D5BAE" w:rsidP="002D5BAE">
      <w:pPr>
        <w:spacing w:line="360" w:lineRule="auto"/>
        <w:jc w:val="both"/>
        <w:rPr>
          <w:rFonts w:ascii="Palatino Linotype" w:hAnsi="Palatino Linotype" w:cs="Arial"/>
          <w:color w:val="000000"/>
          <w:lang w:val="es-ES_tradnl"/>
        </w:rPr>
      </w:pPr>
    </w:p>
    <w:p w14:paraId="255D3F08"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F4A57A9" w14:textId="77777777" w:rsidR="00EB5F39" w:rsidRPr="00F7226D" w:rsidRDefault="00EB5F39" w:rsidP="00EB5F39">
      <w:pPr>
        <w:tabs>
          <w:tab w:val="left" w:pos="426"/>
        </w:tabs>
        <w:suppressAutoHyphens/>
        <w:spacing w:after="160" w:line="360" w:lineRule="auto"/>
        <w:contextualSpacing/>
        <w:jc w:val="both"/>
        <w:rPr>
          <w:rFonts w:ascii="Palatino Linotype" w:hAnsi="Palatino Linotype" w:cs="Arial"/>
          <w:color w:val="000000"/>
          <w:lang w:val="es-ES_tradnl"/>
        </w:rPr>
      </w:pPr>
    </w:p>
    <w:p w14:paraId="742E8A35"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rPr>
        <w:t xml:space="preserve">Como consecuencia de lo anterior, el </w:t>
      </w:r>
      <w:r w:rsidRPr="00F7226D">
        <w:rPr>
          <w:rFonts w:ascii="Palatino Linotype" w:hAnsi="Palatino Linotype" w:cs="Arial"/>
          <w:b/>
          <w:bCs/>
          <w:color w:val="000000"/>
          <w:lang w:val="es-ES_tradnl"/>
        </w:rPr>
        <w:t>SUJETO OBLIGADO</w:t>
      </w:r>
      <w:r w:rsidRPr="00F7226D">
        <w:rPr>
          <w:rFonts w:ascii="Palatino Linotype" w:hAnsi="Palatino Linotype" w:cs="Arial"/>
          <w:color w:val="000000"/>
          <w:lang w:val="es-ES_tradnl"/>
        </w:rPr>
        <w:t xml:space="preserve"> debe identificar claramente el tipo de información y hacer un juicio de subsunción o encaje</w:t>
      </w:r>
      <w:r w:rsidRPr="00F7226D">
        <w:rPr>
          <w:rFonts w:ascii="Palatino Linotype" w:hAnsi="Palatino Linotype" w:cs="Arial"/>
          <w:color w:val="000000"/>
          <w:vertAlign w:val="superscript"/>
          <w:lang w:val="es-ES_tradnl"/>
        </w:rPr>
        <w:footnoteReference w:id="11"/>
      </w:r>
      <w:r w:rsidRPr="00F7226D">
        <w:rPr>
          <w:rFonts w:ascii="Palatino Linotype" w:hAnsi="Palatino Linotype" w:cs="Arial"/>
          <w:color w:val="000000"/>
          <w:lang w:val="es-ES_tradnl"/>
        </w:rPr>
        <w:t xml:space="preserve"> para </w:t>
      </w:r>
      <w:r w:rsidRPr="00F7226D">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191733CE" w14:textId="77777777" w:rsidR="00EB5F39" w:rsidRPr="00F7226D" w:rsidRDefault="00EB5F39" w:rsidP="00EB5F39">
      <w:pPr>
        <w:rPr>
          <w:rFonts w:ascii="Palatino Linotype" w:hAnsi="Palatino Linotype" w:cs="Arial"/>
          <w:color w:val="000000"/>
          <w:lang w:val="es-ES_tradnl"/>
        </w:rPr>
      </w:pPr>
    </w:p>
    <w:p w14:paraId="5C109557" w14:textId="38791B40" w:rsidR="002D5BAE"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033E1DC6" w14:textId="77777777" w:rsidR="002D5BAE" w:rsidRPr="00F7226D" w:rsidRDefault="002D5BAE" w:rsidP="002D5BAE">
      <w:pPr>
        <w:spacing w:line="360" w:lineRule="auto"/>
        <w:contextualSpacing/>
        <w:jc w:val="both"/>
        <w:rPr>
          <w:rFonts w:ascii="Palatino Linotype" w:hAnsi="Palatino Linotype"/>
          <w:b/>
          <w:color w:val="000000"/>
          <w:lang w:val="es-ES_tradnl"/>
        </w:rPr>
      </w:pPr>
    </w:p>
    <w:p w14:paraId="0108EF61" w14:textId="77777777" w:rsidR="002D5BAE" w:rsidRPr="00F7226D" w:rsidRDefault="002D5BAE" w:rsidP="002D5BAE">
      <w:pPr>
        <w:keepNext/>
        <w:keepLines/>
        <w:pBdr>
          <w:top w:val="nil"/>
          <w:left w:val="nil"/>
          <w:bottom w:val="nil"/>
          <w:right w:val="nil"/>
          <w:between w:val="nil"/>
          <w:bar w:val="nil"/>
        </w:pBdr>
        <w:spacing w:before="240" w:line="360" w:lineRule="auto"/>
        <w:contextualSpacing/>
        <w:jc w:val="both"/>
        <w:outlineLvl w:val="0"/>
        <w:rPr>
          <w:rFonts w:ascii="Palatino Linotype" w:hAnsi="Palatino Linotype"/>
          <w:b/>
          <w:color w:val="000000"/>
          <w:lang w:val="es-MX" w:eastAsia="en-US"/>
        </w:rPr>
      </w:pPr>
      <w:bookmarkStart w:id="62" w:name="_Toc485631702"/>
      <w:bookmarkStart w:id="63" w:name="_Toc500756712"/>
      <w:bookmarkStart w:id="64" w:name="_Toc536691780"/>
      <w:bookmarkStart w:id="65" w:name="_Toc104470957"/>
      <w:bookmarkStart w:id="66" w:name="_Toc110976876"/>
      <w:r w:rsidRPr="00F7226D">
        <w:rPr>
          <w:rFonts w:ascii="Palatino Linotype" w:hAnsi="Palatino Linotype"/>
          <w:b/>
          <w:color w:val="000000"/>
          <w:lang w:val="es-MX" w:eastAsia="en-US"/>
        </w:rPr>
        <w:t>c) Excepciones a los supuestos de clasificación de la información como reservada.</w:t>
      </w:r>
      <w:bookmarkEnd w:id="62"/>
      <w:bookmarkEnd w:id="63"/>
      <w:bookmarkEnd w:id="64"/>
      <w:bookmarkEnd w:id="65"/>
      <w:bookmarkEnd w:id="66"/>
    </w:p>
    <w:p w14:paraId="4ED4036D" w14:textId="77777777" w:rsidR="002D5BAE" w:rsidRPr="00F7226D" w:rsidRDefault="002D5BAE" w:rsidP="002D5BAE">
      <w:pPr>
        <w:spacing w:line="360" w:lineRule="auto"/>
        <w:rPr>
          <w:rFonts w:ascii="Palatino Linotype" w:hAnsi="Palatino Linotype"/>
          <w:color w:val="000000"/>
          <w:lang w:val="es-ES_tradnl"/>
        </w:rPr>
      </w:pPr>
    </w:p>
    <w:p w14:paraId="36945D5C" w14:textId="77777777" w:rsidR="002D5BAE" w:rsidRPr="00F7226D" w:rsidRDefault="002D5BAE" w:rsidP="00EB5F39">
      <w:pPr>
        <w:numPr>
          <w:ilvl w:val="0"/>
          <w:numId w:val="2"/>
        </w:numPr>
        <w:tabs>
          <w:tab w:val="left" w:pos="426"/>
        </w:tabs>
        <w:suppressAutoHyphens/>
        <w:spacing w:before="100" w:beforeAutospacing="1" w:after="100" w:afterAutospacing="1" w:line="360" w:lineRule="auto"/>
        <w:ind w:left="0" w:firstLine="0"/>
        <w:jc w:val="both"/>
        <w:rPr>
          <w:rFonts w:ascii="Palatino Linotype" w:hAnsi="Palatino Linotype"/>
          <w:color w:val="000000"/>
        </w:rPr>
      </w:pPr>
      <w:r w:rsidRPr="00F7226D">
        <w:rPr>
          <w:rFonts w:ascii="Palatino Linotype" w:hAnsi="Palatino Linotype"/>
          <w:color w:val="000000"/>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F7226D">
        <w:rPr>
          <w:rFonts w:ascii="Palatino Linotype" w:hAnsi="Palatino Linotype"/>
          <w:b/>
          <w:color w:val="000000"/>
        </w:rPr>
        <w:t>qué no puede clasificarse como información reservada:</w:t>
      </w:r>
    </w:p>
    <w:p w14:paraId="74CE6750" w14:textId="77777777" w:rsidR="002D5BAE" w:rsidRPr="00F7226D" w:rsidRDefault="002D5BAE" w:rsidP="002D5BAE">
      <w:pPr>
        <w:spacing w:before="100" w:beforeAutospacing="1" w:after="100" w:afterAutospacing="1" w:line="360" w:lineRule="auto"/>
        <w:ind w:left="567" w:right="567"/>
        <w:contextualSpacing/>
        <w:jc w:val="both"/>
        <w:rPr>
          <w:rFonts w:ascii="Palatino Linotype" w:hAnsi="Palatino Linotype"/>
          <w:b/>
          <w:i/>
          <w:iCs/>
          <w:color w:val="000000"/>
        </w:rPr>
      </w:pPr>
      <w:r w:rsidRPr="00F7226D">
        <w:rPr>
          <w:rFonts w:ascii="Palatino Linotype" w:hAnsi="Palatino Linotype"/>
          <w:bCs/>
          <w:color w:val="000000"/>
        </w:rPr>
        <w:t>“</w:t>
      </w:r>
      <w:r w:rsidRPr="00F7226D">
        <w:rPr>
          <w:rFonts w:ascii="Palatino Linotype" w:hAnsi="Palatino Linotype"/>
          <w:b/>
          <w:i/>
          <w:iCs/>
          <w:color w:val="000000"/>
        </w:rPr>
        <w:t>I. Se trate de violaciones graves de derechos humanos, calificada así por autoridad competente;</w:t>
      </w:r>
    </w:p>
    <w:p w14:paraId="2D5E608C" w14:textId="77777777" w:rsidR="002D5BAE" w:rsidRPr="00F7226D" w:rsidRDefault="002D5BAE" w:rsidP="002D5BAE">
      <w:pPr>
        <w:spacing w:before="100" w:beforeAutospacing="1" w:after="100" w:afterAutospacing="1" w:line="360" w:lineRule="auto"/>
        <w:ind w:left="567" w:right="567"/>
        <w:contextualSpacing/>
        <w:jc w:val="both"/>
        <w:rPr>
          <w:rFonts w:ascii="Palatino Linotype" w:hAnsi="Palatino Linotype"/>
          <w:b/>
          <w:i/>
          <w:iCs/>
          <w:color w:val="000000"/>
        </w:rPr>
      </w:pPr>
      <w:r w:rsidRPr="00F7226D">
        <w:rPr>
          <w:rFonts w:ascii="Palatino Linotype" w:hAnsi="Palatino Linotype"/>
          <w:b/>
          <w:i/>
          <w:iCs/>
          <w:color w:val="000000"/>
        </w:rPr>
        <w:t xml:space="preserve">II. Se trate de la investigación de posibles violaciones graves de derechos humanos aun cuando no exista pronunciamiento previo de autoridad </w:t>
      </w:r>
      <w:r w:rsidRPr="00F7226D">
        <w:rPr>
          <w:rFonts w:ascii="Palatino Linotype" w:hAnsi="Palatino Linotype"/>
          <w:b/>
          <w:i/>
          <w:iCs/>
          <w:color w:val="000000"/>
        </w:rPr>
        <w:lastRenderedPageBreak/>
        <w:t>competente, cuando se determine, a partir de criterios cuantitativos y cualitativos la trascendencia social de las violaciones;</w:t>
      </w:r>
    </w:p>
    <w:p w14:paraId="18AAB7B3" w14:textId="77777777" w:rsidR="002D5BAE" w:rsidRPr="00F7226D" w:rsidRDefault="002D5BAE" w:rsidP="002D5BAE">
      <w:pPr>
        <w:spacing w:before="100" w:beforeAutospacing="1" w:after="100" w:afterAutospacing="1" w:line="360" w:lineRule="auto"/>
        <w:ind w:left="567" w:right="567"/>
        <w:contextualSpacing/>
        <w:jc w:val="both"/>
        <w:rPr>
          <w:rFonts w:ascii="Palatino Linotype" w:hAnsi="Palatino Linotype"/>
          <w:b/>
          <w:i/>
          <w:iCs/>
          <w:color w:val="000000"/>
        </w:rPr>
      </w:pPr>
      <w:r w:rsidRPr="00F7226D">
        <w:rPr>
          <w:rFonts w:ascii="Palatino Linotype" w:hAnsi="Palatino Linotype"/>
          <w:b/>
          <w:i/>
          <w:iCs/>
          <w:color w:val="000000"/>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8560386" w14:textId="77777777" w:rsidR="002D5BAE" w:rsidRPr="00F7226D" w:rsidRDefault="002D5BAE" w:rsidP="002D5BAE">
      <w:pPr>
        <w:spacing w:before="100" w:beforeAutospacing="1" w:after="100" w:afterAutospacing="1" w:line="360" w:lineRule="auto"/>
        <w:ind w:left="567" w:right="567"/>
        <w:contextualSpacing/>
        <w:jc w:val="both"/>
        <w:rPr>
          <w:rFonts w:ascii="Palatino Linotype" w:hAnsi="Palatino Linotype"/>
          <w:bCs/>
          <w:color w:val="000000"/>
        </w:rPr>
      </w:pPr>
      <w:r w:rsidRPr="00F7226D">
        <w:rPr>
          <w:rFonts w:ascii="Palatino Linotype" w:hAnsi="Palatino Linotype"/>
          <w:b/>
          <w:i/>
          <w:iCs/>
          <w:color w:val="000000"/>
        </w:rPr>
        <w:t>IV. Se trate de información relacionada con actos de corrupción de conformidad con las disposiciones jurídicas aplicables.</w:t>
      </w:r>
      <w:r w:rsidRPr="00F7226D">
        <w:rPr>
          <w:rFonts w:ascii="Palatino Linotype" w:hAnsi="Palatino Linotype"/>
          <w:bCs/>
          <w:color w:val="000000"/>
        </w:rPr>
        <w:t>”</w:t>
      </w:r>
    </w:p>
    <w:p w14:paraId="46D2200B" w14:textId="77777777" w:rsidR="002D5BAE" w:rsidRPr="00F7226D" w:rsidRDefault="002D5BAE" w:rsidP="002D5BAE">
      <w:pPr>
        <w:spacing w:before="100" w:beforeAutospacing="1" w:after="100" w:afterAutospacing="1" w:line="360" w:lineRule="auto"/>
        <w:ind w:left="720"/>
        <w:contextualSpacing/>
        <w:jc w:val="both"/>
        <w:rPr>
          <w:rFonts w:ascii="Palatino Linotype" w:hAnsi="Palatino Linotype"/>
          <w:b/>
          <w:color w:val="000000"/>
        </w:rPr>
      </w:pPr>
    </w:p>
    <w:p w14:paraId="06242336" w14:textId="77777777" w:rsidR="002D5BAE" w:rsidRPr="00F7226D" w:rsidRDefault="002D5BAE" w:rsidP="00EB5F39">
      <w:pPr>
        <w:numPr>
          <w:ilvl w:val="0"/>
          <w:numId w:val="2"/>
        </w:numPr>
        <w:tabs>
          <w:tab w:val="left" w:pos="426"/>
        </w:tabs>
        <w:suppressAutoHyphens/>
        <w:spacing w:before="100" w:beforeAutospacing="1" w:after="100" w:afterAutospacing="1" w:line="360" w:lineRule="auto"/>
        <w:ind w:left="0" w:firstLine="0"/>
        <w:contextualSpacing/>
        <w:jc w:val="both"/>
        <w:rPr>
          <w:rFonts w:ascii="Palatino Linotype" w:hAnsi="Palatino Linotype"/>
          <w:color w:val="000000"/>
        </w:rPr>
      </w:pPr>
      <w:r w:rsidRPr="00F7226D">
        <w:rPr>
          <w:rFonts w:ascii="Palatino Linotype" w:hAnsi="Palatino Linotype"/>
          <w:color w:val="000000"/>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33678098" w14:textId="77777777" w:rsidR="002D5BAE" w:rsidRPr="00F7226D" w:rsidRDefault="002D5BAE" w:rsidP="002D5BAE">
      <w:pPr>
        <w:spacing w:before="100" w:beforeAutospacing="1" w:after="100" w:afterAutospacing="1" w:line="360" w:lineRule="auto"/>
        <w:ind w:left="360"/>
        <w:contextualSpacing/>
        <w:jc w:val="both"/>
        <w:rPr>
          <w:rFonts w:ascii="Palatino Linotype" w:hAnsi="Palatino Linotype"/>
          <w:color w:val="000000"/>
        </w:rPr>
      </w:pPr>
    </w:p>
    <w:p w14:paraId="24BD26FB" w14:textId="77777777" w:rsidR="002D5BAE" w:rsidRPr="00F7226D" w:rsidRDefault="002D5BAE" w:rsidP="002D5BAE">
      <w:pPr>
        <w:keepNext/>
        <w:keepLines/>
        <w:pBdr>
          <w:top w:val="nil"/>
          <w:left w:val="nil"/>
          <w:bottom w:val="nil"/>
          <w:right w:val="nil"/>
          <w:between w:val="nil"/>
          <w:bar w:val="nil"/>
        </w:pBdr>
        <w:spacing w:before="240" w:line="360" w:lineRule="auto"/>
        <w:outlineLvl w:val="0"/>
        <w:rPr>
          <w:rFonts w:ascii="Palatino Linotype" w:hAnsi="Palatino Linotype"/>
          <w:b/>
          <w:color w:val="000000"/>
          <w:lang w:val="es-MX" w:eastAsia="en-US"/>
        </w:rPr>
      </w:pPr>
      <w:bookmarkStart w:id="67" w:name="_Toc485631703"/>
      <w:bookmarkStart w:id="68" w:name="_Toc500756713"/>
      <w:bookmarkStart w:id="69" w:name="_Toc536691781"/>
      <w:bookmarkStart w:id="70" w:name="_Toc104470958"/>
      <w:bookmarkStart w:id="71" w:name="_Toc110976877"/>
      <w:r w:rsidRPr="00F7226D">
        <w:rPr>
          <w:rFonts w:ascii="Palatino Linotype" w:hAnsi="Palatino Linotype"/>
          <w:b/>
          <w:color w:val="000000"/>
          <w:lang w:val="es-MX" w:eastAsia="en-US"/>
        </w:rPr>
        <w:t>II. La intervención del Comité de Transparencia.</w:t>
      </w:r>
      <w:bookmarkEnd w:id="67"/>
      <w:bookmarkEnd w:id="68"/>
      <w:bookmarkEnd w:id="69"/>
      <w:bookmarkEnd w:id="70"/>
      <w:bookmarkEnd w:id="71"/>
    </w:p>
    <w:p w14:paraId="078D23E8" w14:textId="77777777" w:rsidR="002D5BAE" w:rsidRPr="00F7226D" w:rsidRDefault="002D5BAE" w:rsidP="002D5BAE">
      <w:pPr>
        <w:spacing w:line="360" w:lineRule="auto"/>
        <w:contextualSpacing/>
        <w:jc w:val="both"/>
        <w:rPr>
          <w:rFonts w:ascii="Palatino Linotype" w:hAnsi="Palatino Linotype" w:cs="Arial"/>
          <w:b/>
          <w:color w:val="000000"/>
          <w:lang w:val="es-ES_tradnl"/>
        </w:rPr>
      </w:pPr>
    </w:p>
    <w:p w14:paraId="4CA74203" w14:textId="77777777" w:rsidR="002D5BAE" w:rsidRPr="00F7226D" w:rsidRDefault="002D5BAE" w:rsidP="002D5BAE">
      <w:pPr>
        <w:keepNext/>
        <w:keepLines/>
        <w:pBdr>
          <w:top w:val="nil"/>
          <w:left w:val="nil"/>
          <w:bottom w:val="nil"/>
          <w:right w:val="nil"/>
          <w:between w:val="nil"/>
          <w:bar w:val="nil"/>
        </w:pBdr>
        <w:spacing w:before="40" w:line="360" w:lineRule="auto"/>
        <w:contextualSpacing/>
        <w:outlineLvl w:val="1"/>
        <w:rPr>
          <w:rFonts w:ascii="Palatino Linotype" w:hAnsi="Palatino Linotype"/>
          <w:b/>
          <w:color w:val="000000"/>
          <w:lang w:val="es-MX" w:eastAsia="en-US"/>
        </w:rPr>
      </w:pPr>
      <w:bookmarkStart w:id="72" w:name="_Toc485631704"/>
      <w:bookmarkStart w:id="73" w:name="_Toc500756714"/>
      <w:bookmarkStart w:id="74" w:name="_Toc536691782"/>
      <w:bookmarkStart w:id="75" w:name="_Toc104470959"/>
      <w:bookmarkStart w:id="76" w:name="_Toc110976878"/>
      <w:r w:rsidRPr="00F7226D">
        <w:rPr>
          <w:rFonts w:ascii="Palatino Linotype" w:hAnsi="Palatino Linotype"/>
          <w:b/>
          <w:color w:val="000000"/>
          <w:lang w:val="es-MX" w:eastAsia="en-US"/>
        </w:rPr>
        <w:t>a) Formalidades para emitir el acuerdo de clasificación.</w:t>
      </w:r>
      <w:bookmarkEnd w:id="72"/>
      <w:bookmarkEnd w:id="73"/>
      <w:bookmarkEnd w:id="74"/>
      <w:bookmarkEnd w:id="75"/>
      <w:bookmarkEnd w:id="76"/>
    </w:p>
    <w:p w14:paraId="479C58E9" w14:textId="77777777" w:rsidR="002D5BAE" w:rsidRPr="00F7226D" w:rsidRDefault="002D5BAE" w:rsidP="002D5BAE">
      <w:pPr>
        <w:tabs>
          <w:tab w:val="left" w:pos="7770"/>
        </w:tabs>
        <w:spacing w:line="360" w:lineRule="auto"/>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rPr>
        <w:tab/>
      </w:r>
    </w:p>
    <w:p w14:paraId="27D3CF64"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eastAsia="es-ES_tradnl"/>
        </w:rPr>
      </w:pPr>
      <w:r w:rsidRPr="00F7226D">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F7226D">
        <w:rPr>
          <w:rFonts w:ascii="Palatino Linotype" w:hAnsi="Palatino Linotype"/>
          <w:color w:val="000000"/>
          <w:lang w:val="es-ES_tradnl"/>
        </w:rPr>
        <w:t xml:space="preserve">la fracción III del numeral Segundo de los </w:t>
      </w:r>
      <w:r w:rsidRPr="00F7226D">
        <w:rPr>
          <w:rFonts w:ascii="Palatino Linotype" w:hAnsi="Palatino Linotype" w:cs="Arial"/>
          <w:color w:val="000000"/>
          <w:lang w:val="es-ES_tradnl"/>
        </w:rPr>
        <w:t xml:space="preserve">Lineamientos Generales en Materia de Clasificación y Desclasificación de la Información, así como para la Elaboración de Versiones </w:t>
      </w:r>
      <w:r w:rsidRPr="00F7226D">
        <w:rPr>
          <w:rFonts w:ascii="Palatino Linotype" w:hAnsi="Palatino Linotype" w:cs="Arial"/>
          <w:color w:val="000000"/>
          <w:lang w:val="es-ES_tradnl"/>
        </w:rPr>
        <w:lastRenderedPageBreak/>
        <w:t>Públicas (en adelante los Lineamientos Generales),</w:t>
      </w:r>
      <w:r w:rsidRPr="00F7226D">
        <w:rPr>
          <w:rFonts w:ascii="Palatino Linotype" w:hAnsi="Palatino Linotype"/>
          <w:color w:val="000000"/>
          <w:lang w:val="es-ES_tradnl"/>
        </w:rPr>
        <w:t xml:space="preserve"> </w:t>
      </w:r>
      <w:r w:rsidRPr="00F7226D">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A205ECC" w14:textId="77777777" w:rsidR="00EB5F39" w:rsidRPr="00F7226D" w:rsidRDefault="00EB5F39" w:rsidP="00EB5F39">
      <w:pPr>
        <w:tabs>
          <w:tab w:val="left" w:pos="426"/>
        </w:tabs>
        <w:suppressAutoHyphens/>
        <w:spacing w:after="160" w:line="360" w:lineRule="auto"/>
        <w:contextualSpacing/>
        <w:jc w:val="both"/>
        <w:rPr>
          <w:rFonts w:ascii="Palatino Linotype" w:hAnsi="Palatino Linotype"/>
          <w:color w:val="000000"/>
          <w:lang w:val="es-ES_tradnl" w:eastAsia="es-ES_tradnl"/>
        </w:rPr>
      </w:pPr>
    </w:p>
    <w:p w14:paraId="6C639FCB"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eastAsia="es-ES_tradnl"/>
        </w:rPr>
      </w:pPr>
      <w:r w:rsidRPr="00F7226D">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0913356" w14:textId="77777777" w:rsidR="00EB5F39" w:rsidRPr="00F7226D" w:rsidRDefault="00EB5F39" w:rsidP="00EB5F39">
      <w:pPr>
        <w:pStyle w:val="Prrafodelista"/>
        <w:rPr>
          <w:rFonts w:ascii="Palatino Linotype" w:hAnsi="Palatino Linotype"/>
          <w:color w:val="000000"/>
          <w:lang w:val="es-ES_tradnl"/>
        </w:rPr>
      </w:pPr>
    </w:p>
    <w:p w14:paraId="70C320E2" w14:textId="44F61BB1" w:rsidR="002D5BAE"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eastAsia="es-ES_tradnl"/>
        </w:rPr>
      </w:pPr>
      <w:r w:rsidRPr="00F7226D">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F7226D">
        <w:rPr>
          <w:rFonts w:ascii="Palatino Linotype" w:hAnsi="Palatino Linotype"/>
          <w:color w:val="000000"/>
          <w:lang w:val="es-ES_tradnl"/>
        </w:rPr>
        <w:lastRenderedPageBreak/>
        <w:t xml:space="preserve">por los titulares de áreas y que son sujetas a control, en primera instancia, por el Comité de Transparencia. </w:t>
      </w:r>
    </w:p>
    <w:p w14:paraId="08D17A90" w14:textId="77777777" w:rsidR="002D5BAE" w:rsidRPr="00F7226D" w:rsidRDefault="002D5BAE" w:rsidP="002D5BAE">
      <w:pPr>
        <w:spacing w:line="360" w:lineRule="auto"/>
        <w:jc w:val="both"/>
        <w:rPr>
          <w:rFonts w:ascii="Palatino Linotype" w:hAnsi="Palatino Linotype"/>
          <w:color w:val="000000"/>
          <w:lang w:val="es-ES_tradnl"/>
        </w:rPr>
      </w:pPr>
    </w:p>
    <w:p w14:paraId="67578E8C" w14:textId="77777777" w:rsidR="002D5BAE" w:rsidRPr="00F7226D" w:rsidRDefault="002D5BAE" w:rsidP="002D5BAE">
      <w:pPr>
        <w:keepNext/>
        <w:keepLines/>
        <w:pBdr>
          <w:top w:val="nil"/>
          <w:left w:val="nil"/>
          <w:bottom w:val="nil"/>
          <w:right w:val="nil"/>
          <w:between w:val="nil"/>
          <w:bar w:val="nil"/>
        </w:pBdr>
        <w:spacing w:before="40" w:line="360" w:lineRule="auto"/>
        <w:contextualSpacing/>
        <w:outlineLvl w:val="1"/>
        <w:rPr>
          <w:rFonts w:ascii="Palatino Linotype" w:hAnsi="Palatino Linotype"/>
          <w:b/>
          <w:color w:val="000000"/>
          <w:lang w:val="es-MX" w:eastAsia="en-US"/>
        </w:rPr>
      </w:pPr>
      <w:bookmarkStart w:id="77" w:name="_Toc485631705"/>
      <w:bookmarkStart w:id="78" w:name="_Toc500756715"/>
      <w:bookmarkStart w:id="79" w:name="_Toc536691783"/>
      <w:bookmarkStart w:id="80" w:name="_Toc104470960"/>
      <w:bookmarkStart w:id="81" w:name="_Toc110976879"/>
      <w:r w:rsidRPr="00F7226D">
        <w:rPr>
          <w:rFonts w:ascii="Palatino Linotype" w:hAnsi="Palatino Linotype"/>
          <w:b/>
          <w:color w:val="000000"/>
          <w:lang w:val="es-MX" w:eastAsia="en-US"/>
        </w:rPr>
        <w:t>b) Requisitos de fondo del acuerdo de clasificación.</w:t>
      </w:r>
      <w:bookmarkEnd w:id="77"/>
      <w:bookmarkEnd w:id="78"/>
      <w:bookmarkEnd w:id="79"/>
      <w:bookmarkEnd w:id="80"/>
      <w:bookmarkEnd w:id="81"/>
    </w:p>
    <w:p w14:paraId="25047F75" w14:textId="77777777" w:rsidR="002D5BAE" w:rsidRPr="00F7226D" w:rsidRDefault="002D5BAE" w:rsidP="002D5BAE">
      <w:pPr>
        <w:spacing w:line="360" w:lineRule="auto"/>
        <w:contextualSpacing/>
        <w:jc w:val="both"/>
        <w:rPr>
          <w:rFonts w:ascii="Palatino Linotype" w:hAnsi="Palatino Linotype" w:cs="Arial"/>
          <w:color w:val="000000"/>
          <w:lang w:val="es-ES_tradnl"/>
        </w:rPr>
      </w:pPr>
    </w:p>
    <w:p w14:paraId="770EEDAF"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BA0247E" w14:textId="77777777" w:rsidR="00EB5F39" w:rsidRPr="00F7226D" w:rsidRDefault="00EB5F39" w:rsidP="00EB5F39">
      <w:pPr>
        <w:tabs>
          <w:tab w:val="left" w:pos="426"/>
        </w:tabs>
        <w:suppressAutoHyphens/>
        <w:spacing w:after="160" w:line="360" w:lineRule="auto"/>
        <w:contextualSpacing/>
        <w:jc w:val="both"/>
        <w:rPr>
          <w:rFonts w:ascii="Palatino Linotype" w:hAnsi="Palatino Linotype" w:cs="Arial"/>
          <w:color w:val="000000"/>
          <w:lang w:val="es-ES_tradnl"/>
        </w:rPr>
      </w:pPr>
    </w:p>
    <w:p w14:paraId="7E37DDC6"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925D647" w14:textId="77777777" w:rsidR="00EB5F39" w:rsidRPr="00F7226D" w:rsidRDefault="00EB5F39" w:rsidP="00EB5F39">
      <w:pPr>
        <w:pStyle w:val="Prrafodelista"/>
        <w:rPr>
          <w:rFonts w:ascii="Palatino Linotype" w:hAnsi="Palatino Linotype" w:cs="Arial"/>
          <w:color w:val="000000"/>
          <w:lang w:val="es-ES_tradnl" w:eastAsia="es-MX"/>
        </w:rPr>
      </w:pPr>
    </w:p>
    <w:p w14:paraId="79748C53"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w:t>
      </w:r>
      <w:r w:rsidRPr="00F7226D">
        <w:rPr>
          <w:rFonts w:ascii="Palatino Linotype" w:hAnsi="Palatino Linotype" w:cs="Arial"/>
          <w:color w:val="000000"/>
          <w:lang w:val="es-ES_tradnl" w:eastAsia="es-MX"/>
        </w:rPr>
        <w:lastRenderedPageBreak/>
        <w:t>procesalista José Ovalle Fabela, en su obra “Garantías Constitucionales del Proceso”, refiere que “...</w:t>
      </w:r>
      <w:r w:rsidRPr="00F7226D">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7226D">
        <w:rPr>
          <w:rFonts w:ascii="Palatino Linotype" w:hAnsi="Palatino Linotype" w:cs="Arial"/>
          <w:color w:val="000000"/>
          <w:lang w:val="es-ES_tradnl" w:eastAsia="es-MX"/>
        </w:rPr>
        <w:t>...”.</w:t>
      </w:r>
      <w:r w:rsidRPr="00F7226D">
        <w:rPr>
          <w:rFonts w:ascii="Palatino Linotype" w:hAnsi="Palatino Linotype" w:cs="Arial"/>
          <w:color w:val="000000"/>
          <w:vertAlign w:val="superscript"/>
          <w:lang w:val="es-ES_tradnl" w:eastAsia="es-MX"/>
        </w:rPr>
        <w:footnoteReference w:id="12"/>
      </w:r>
    </w:p>
    <w:p w14:paraId="13C248CF" w14:textId="77777777" w:rsidR="00EB5F39" w:rsidRPr="00F7226D" w:rsidRDefault="00EB5F39" w:rsidP="00EB5F39">
      <w:pPr>
        <w:pStyle w:val="Prrafodelista"/>
        <w:rPr>
          <w:rFonts w:ascii="Palatino Linotype" w:hAnsi="Palatino Linotype" w:cs="Arial"/>
          <w:color w:val="000000"/>
          <w:lang w:val="es-ES_tradnl" w:eastAsia="es-MX"/>
        </w:rPr>
      </w:pPr>
    </w:p>
    <w:p w14:paraId="7CB046C9" w14:textId="07383E7F" w:rsidR="002D5BAE"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F7226D">
        <w:rPr>
          <w:rFonts w:ascii="Palatino Linotype" w:hAnsi="Palatino Linotype" w:cs="Arial"/>
          <w:i/>
          <w:color w:val="000000"/>
          <w:vertAlign w:val="superscript"/>
          <w:lang w:val="es-ES_tradnl"/>
        </w:rPr>
        <w:footnoteReference w:id="13"/>
      </w:r>
      <w:r w:rsidRPr="00F7226D">
        <w:rPr>
          <w:rFonts w:ascii="Palatino Linotype" w:hAnsi="Palatino Linotype" w:cs="Arial"/>
          <w:color w:val="000000"/>
          <w:lang w:val="es-ES_tradnl" w:eastAsia="es-MX"/>
        </w:rPr>
        <w:t>:</w:t>
      </w:r>
    </w:p>
    <w:p w14:paraId="11988D00" w14:textId="77777777" w:rsidR="002D5BAE" w:rsidRPr="00F7226D" w:rsidRDefault="002D5BAE" w:rsidP="002D5BAE">
      <w:pPr>
        <w:spacing w:line="360" w:lineRule="auto"/>
        <w:ind w:right="618"/>
        <w:contextualSpacing/>
        <w:jc w:val="both"/>
        <w:rPr>
          <w:rFonts w:ascii="Palatino Linotype" w:hAnsi="Palatino Linotype" w:cs="Arial"/>
          <w:color w:val="000000"/>
          <w:lang w:val="es-ES_tradnl"/>
        </w:rPr>
      </w:pPr>
    </w:p>
    <w:p w14:paraId="2465F5C5" w14:textId="77777777" w:rsidR="002D5BAE" w:rsidRPr="00F7226D" w:rsidRDefault="002D5BAE" w:rsidP="002D5BAE">
      <w:pPr>
        <w:spacing w:line="360" w:lineRule="auto"/>
        <w:ind w:left="567" w:right="618"/>
        <w:contextualSpacing/>
        <w:jc w:val="both"/>
        <w:rPr>
          <w:rFonts w:ascii="Palatino Linotype" w:hAnsi="Palatino Linotype" w:cs="Arial"/>
          <w:i/>
          <w:color w:val="000000"/>
          <w:lang w:val="es-ES_tradnl"/>
        </w:rPr>
      </w:pPr>
      <w:r w:rsidRPr="00F7226D">
        <w:rPr>
          <w:rFonts w:ascii="Palatino Linotype" w:hAnsi="Palatino Linotype" w:cs="Arial"/>
          <w:b/>
          <w:i/>
          <w:color w:val="000000"/>
          <w:lang w:val="es-ES_tradnl"/>
        </w:rPr>
        <w:t>FUNDAMENTACIÓN Y MOTIVACIÓN.</w:t>
      </w:r>
      <w:r w:rsidRPr="00F7226D">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69245F4" w14:textId="77777777" w:rsidR="002D5BAE" w:rsidRPr="00F7226D" w:rsidRDefault="002D5BAE" w:rsidP="002D5BAE">
      <w:pPr>
        <w:spacing w:line="360" w:lineRule="auto"/>
        <w:ind w:left="567"/>
        <w:contextualSpacing/>
        <w:jc w:val="both"/>
        <w:rPr>
          <w:rFonts w:ascii="Palatino Linotype" w:hAnsi="Palatino Linotype" w:cs="Arial"/>
          <w:color w:val="000000"/>
        </w:rPr>
      </w:pPr>
    </w:p>
    <w:p w14:paraId="72F7952F" w14:textId="7CC25BCA" w:rsidR="00EB5F39" w:rsidRPr="00F7226D" w:rsidRDefault="002D5BAE" w:rsidP="00EB5F39">
      <w:pPr>
        <w:numPr>
          <w:ilvl w:val="0"/>
          <w:numId w:val="2"/>
        </w:numPr>
        <w:shd w:val="clear" w:color="auto" w:fill="FFFFFF"/>
        <w:tabs>
          <w:tab w:val="left" w:pos="426"/>
        </w:tabs>
        <w:suppressAutoHyphens/>
        <w:spacing w:after="160" w:line="360" w:lineRule="auto"/>
        <w:ind w:left="0" w:firstLine="0"/>
        <w:contextualSpacing/>
        <w:jc w:val="both"/>
        <w:rPr>
          <w:rFonts w:ascii="Palatino Linotype" w:hAnsi="Palatino Linotype" w:cs="Arial"/>
          <w:color w:val="000000"/>
          <w:lang w:val="es-ES_tradnl" w:eastAsia="es-MX"/>
        </w:rPr>
      </w:pPr>
      <w:r w:rsidRPr="00F7226D">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w:t>
      </w:r>
      <w:r w:rsidR="00EB5F39" w:rsidRPr="00F7226D">
        <w:rPr>
          <w:rFonts w:ascii="Palatino Linotype" w:hAnsi="Palatino Linotype" w:cs="Arial"/>
          <w:color w:val="000000"/>
          <w:lang w:val="es-ES_tradnl" w:eastAsia="es-MX"/>
        </w:rPr>
        <w:t>ho a los fundamentos de derecho.</w:t>
      </w:r>
    </w:p>
    <w:p w14:paraId="20D74016" w14:textId="77777777" w:rsidR="00EB5F39" w:rsidRPr="00F7226D" w:rsidRDefault="00EB5F39" w:rsidP="00EB5F39">
      <w:pPr>
        <w:shd w:val="clear" w:color="auto" w:fill="FFFFFF"/>
        <w:tabs>
          <w:tab w:val="left" w:pos="426"/>
        </w:tabs>
        <w:suppressAutoHyphens/>
        <w:spacing w:after="160" w:line="360" w:lineRule="auto"/>
        <w:contextualSpacing/>
        <w:jc w:val="both"/>
        <w:rPr>
          <w:rFonts w:ascii="Palatino Linotype" w:hAnsi="Palatino Linotype" w:cs="Arial"/>
          <w:color w:val="000000"/>
          <w:lang w:val="es-ES_tradnl" w:eastAsia="es-MX"/>
        </w:rPr>
      </w:pPr>
    </w:p>
    <w:p w14:paraId="509ABF2F" w14:textId="77777777" w:rsidR="00EB5F39" w:rsidRPr="00F7226D" w:rsidRDefault="002D5BAE" w:rsidP="00EB5F39">
      <w:pPr>
        <w:numPr>
          <w:ilvl w:val="0"/>
          <w:numId w:val="2"/>
        </w:numPr>
        <w:shd w:val="clear" w:color="auto" w:fill="FFFFFF"/>
        <w:tabs>
          <w:tab w:val="left" w:pos="426"/>
        </w:tabs>
        <w:suppressAutoHyphens/>
        <w:spacing w:after="160" w:line="360" w:lineRule="auto"/>
        <w:ind w:left="0" w:firstLine="0"/>
        <w:contextualSpacing/>
        <w:jc w:val="both"/>
        <w:rPr>
          <w:rFonts w:ascii="Palatino Linotype" w:hAnsi="Palatino Linotype" w:cs="Arial"/>
          <w:color w:val="000000"/>
          <w:lang w:val="es-ES_tradnl" w:eastAsia="es-MX"/>
        </w:rPr>
      </w:pPr>
      <w:r w:rsidRPr="00F7226D">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D5A7DF9" w14:textId="77777777" w:rsidR="00EB5F39" w:rsidRPr="00F7226D" w:rsidRDefault="00EB5F39" w:rsidP="00EB5F39">
      <w:pPr>
        <w:pStyle w:val="Prrafodelista"/>
        <w:rPr>
          <w:rFonts w:ascii="Palatino Linotype" w:hAnsi="Palatino Linotype" w:cs="Arial"/>
          <w:color w:val="000000"/>
          <w:lang w:val="es-ES_tradnl" w:eastAsia="es-MX"/>
        </w:rPr>
      </w:pPr>
    </w:p>
    <w:p w14:paraId="5C93595B" w14:textId="77777777" w:rsidR="00EB5F39" w:rsidRPr="00F7226D" w:rsidRDefault="002D5BAE" w:rsidP="00EB5F39">
      <w:pPr>
        <w:numPr>
          <w:ilvl w:val="0"/>
          <w:numId w:val="2"/>
        </w:numPr>
        <w:shd w:val="clear" w:color="auto" w:fill="FFFFFF"/>
        <w:tabs>
          <w:tab w:val="left" w:pos="426"/>
        </w:tabs>
        <w:suppressAutoHyphens/>
        <w:spacing w:after="160" w:line="360" w:lineRule="auto"/>
        <w:ind w:left="0" w:firstLine="0"/>
        <w:contextualSpacing/>
        <w:jc w:val="both"/>
        <w:rPr>
          <w:rFonts w:ascii="Palatino Linotype" w:hAnsi="Palatino Linotype" w:cs="Arial"/>
          <w:color w:val="000000"/>
          <w:lang w:val="es-ES_tradnl" w:eastAsia="es-MX"/>
        </w:rPr>
      </w:pPr>
      <w:r w:rsidRPr="00F7226D">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41123C6F" w14:textId="77777777" w:rsidR="00EB5F39" w:rsidRPr="00F7226D" w:rsidRDefault="00EB5F39" w:rsidP="00EB5F39">
      <w:pPr>
        <w:pStyle w:val="Prrafodelista"/>
        <w:rPr>
          <w:rFonts w:ascii="Palatino Linotype" w:hAnsi="Palatino Linotype" w:cs="Arial"/>
          <w:color w:val="000000"/>
          <w:lang w:val="es-ES_tradnl" w:eastAsia="es-MX"/>
        </w:rPr>
      </w:pPr>
    </w:p>
    <w:p w14:paraId="4B6ABFC7" w14:textId="77777777" w:rsidR="00EB5F39" w:rsidRPr="00F7226D" w:rsidRDefault="002D5BAE" w:rsidP="00EB5F39">
      <w:pPr>
        <w:numPr>
          <w:ilvl w:val="0"/>
          <w:numId w:val="2"/>
        </w:numPr>
        <w:shd w:val="clear" w:color="auto" w:fill="FFFFFF"/>
        <w:tabs>
          <w:tab w:val="left" w:pos="426"/>
        </w:tabs>
        <w:suppressAutoHyphens/>
        <w:spacing w:after="160" w:line="360" w:lineRule="auto"/>
        <w:ind w:left="0" w:firstLine="0"/>
        <w:contextualSpacing/>
        <w:jc w:val="both"/>
        <w:rPr>
          <w:rFonts w:ascii="Palatino Linotype" w:hAnsi="Palatino Linotype" w:cs="Arial"/>
          <w:color w:val="000000"/>
          <w:lang w:val="es-ES_tradnl" w:eastAsia="es-MX"/>
        </w:rPr>
      </w:pPr>
      <w:r w:rsidRPr="00F7226D">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7226D">
        <w:rPr>
          <w:rFonts w:ascii="Palatino Linotype" w:hAnsi="Palatino Linotype"/>
          <w:color w:val="000000"/>
          <w:lang w:val="es-ES_tradnl"/>
        </w:rPr>
        <w:t xml:space="preserve"> </w:t>
      </w:r>
      <w:r w:rsidRPr="00F7226D">
        <w:rPr>
          <w:rFonts w:ascii="Palatino Linotype" w:hAnsi="Palatino Linotype" w:cs="Arial"/>
          <w:color w:val="000000"/>
          <w:lang w:val="es-ES_tradnl" w:eastAsia="es-MX"/>
        </w:rPr>
        <w:t>datos personales</w:t>
      </w:r>
      <w:r w:rsidRPr="00F7226D">
        <w:rPr>
          <w:rFonts w:ascii="Palatino Linotype" w:hAnsi="Palatino Linotype" w:cs="Arial"/>
          <w:color w:val="000000"/>
          <w:vertAlign w:val="superscript"/>
          <w:lang w:val="es-ES_tradnl" w:eastAsia="es-MX"/>
        </w:rPr>
        <w:footnoteReference w:id="14"/>
      </w:r>
      <w:r w:rsidRPr="00F7226D">
        <w:rPr>
          <w:rFonts w:ascii="Palatino Linotype" w:hAnsi="Palatino Linotype" w:cs="Arial"/>
          <w:color w:val="000000"/>
          <w:lang w:val="es-ES_tradnl" w:eastAsia="es-MX"/>
        </w:rPr>
        <w:t xml:space="preserve"> del servidor público que no tienen ninguna injerencia en el tema de la transparencia </w:t>
      </w:r>
      <w:r w:rsidRPr="00F7226D">
        <w:rPr>
          <w:rFonts w:ascii="Palatino Linotype" w:hAnsi="Palatino Linotype" w:cs="Arial"/>
          <w:color w:val="000000"/>
          <w:lang w:val="es-ES_tradnl" w:eastAsia="es-MX"/>
        </w:rPr>
        <w:lastRenderedPageBreak/>
        <w:t xml:space="preserve">y la rendición de cuentas,  por ejemplo, </w:t>
      </w:r>
      <w:r w:rsidRPr="00F7226D">
        <w:rPr>
          <w:rFonts w:ascii="Palatino Linotype" w:eastAsia="Calibri" w:hAnsi="Palatino Linotype" w:cs="Arial"/>
          <w:color w:val="000000"/>
          <w:lang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5557E3BF" w14:textId="77777777" w:rsidR="00EB5F39" w:rsidRPr="00F7226D" w:rsidRDefault="00EB5F39" w:rsidP="00EB5F39">
      <w:pPr>
        <w:pStyle w:val="Prrafodelista"/>
        <w:rPr>
          <w:rFonts w:ascii="Palatino Linotype" w:eastAsia="Calibri" w:hAnsi="Palatino Linotype" w:cs="Arial"/>
          <w:color w:val="000000"/>
          <w:lang w:eastAsia="es-MX"/>
        </w:rPr>
      </w:pPr>
    </w:p>
    <w:p w14:paraId="7047E08F" w14:textId="594C0B3C" w:rsidR="002D5BAE" w:rsidRPr="00F7226D" w:rsidRDefault="002D5BAE" w:rsidP="00EB5F39">
      <w:pPr>
        <w:numPr>
          <w:ilvl w:val="0"/>
          <w:numId w:val="2"/>
        </w:numPr>
        <w:shd w:val="clear" w:color="auto" w:fill="FFFFFF"/>
        <w:tabs>
          <w:tab w:val="left" w:pos="426"/>
        </w:tabs>
        <w:suppressAutoHyphens/>
        <w:spacing w:after="160" w:line="360" w:lineRule="auto"/>
        <w:ind w:left="0" w:firstLine="0"/>
        <w:contextualSpacing/>
        <w:jc w:val="both"/>
        <w:rPr>
          <w:rFonts w:ascii="Palatino Linotype" w:hAnsi="Palatino Linotype" w:cs="Arial"/>
          <w:color w:val="000000"/>
          <w:lang w:val="es-ES_tradnl" w:eastAsia="es-MX"/>
        </w:rPr>
      </w:pPr>
      <w:r w:rsidRPr="00F7226D">
        <w:rPr>
          <w:rFonts w:ascii="Palatino Linotype" w:eastAsia="Calibri" w:hAnsi="Palatino Linotype" w:cs="Arial"/>
          <w:color w:val="000000"/>
          <w:lang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07EB821" w14:textId="77777777" w:rsidR="002D5BAE" w:rsidRPr="00F7226D" w:rsidRDefault="002D5BAE" w:rsidP="002D5BAE">
      <w:pPr>
        <w:spacing w:line="360" w:lineRule="auto"/>
        <w:contextualSpacing/>
        <w:jc w:val="both"/>
        <w:rPr>
          <w:rFonts w:ascii="Palatino Linotype" w:hAnsi="Palatino Linotype" w:cs="Arial"/>
          <w:color w:val="000000"/>
          <w:lang w:val="es-ES_tradnl"/>
        </w:rPr>
      </w:pPr>
    </w:p>
    <w:p w14:paraId="686A7179" w14:textId="77777777" w:rsidR="002D5BAE" w:rsidRPr="00F7226D" w:rsidRDefault="002D5BAE" w:rsidP="002D5BAE">
      <w:pPr>
        <w:keepNext/>
        <w:keepLines/>
        <w:pBdr>
          <w:top w:val="nil"/>
          <w:left w:val="nil"/>
          <w:bottom w:val="nil"/>
          <w:right w:val="nil"/>
          <w:between w:val="nil"/>
          <w:bar w:val="nil"/>
        </w:pBdr>
        <w:spacing w:before="40" w:line="360" w:lineRule="auto"/>
        <w:jc w:val="both"/>
        <w:outlineLvl w:val="1"/>
        <w:rPr>
          <w:rFonts w:ascii="Palatino Linotype" w:hAnsi="Palatino Linotype"/>
          <w:b/>
          <w:color w:val="000000"/>
          <w:lang w:val="es-MX" w:eastAsia="en-US"/>
        </w:rPr>
      </w:pPr>
      <w:bookmarkStart w:id="82" w:name="_Toc485631706"/>
      <w:bookmarkStart w:id="83" w:name="_Toc500756716"/>
      <w:bookmarkStart w:id="84" w:name="_Toc536691784"/>
      <w:bookmarkStart w:id="85" w:name="_Toc104470961"/>
      <w:bookmarkStart w:id="86" w:name="_Toc110976880"/>
      <w:r w:rsidRPr="00F7226D">
        <w:rPr>
          <w:rFonts w:ascii="Palatino Linotype" w:hAnsi="Palatino Linotype"/>
          <w:b/>
          <w:color w:val="000000"/>
          <w:lang w:val="es-MX" w:eastAsia="en-US"/>
        </w:rPr>
        <w:t>III. Condiciones especiales de la clasificación de la información como reservada</w:t>
      </w:r>
      <w:bookmarkEnd w:id="82"/>
      <w:bookmarkEnd w:id="83"/>
      <w:bookmarkEnd w:id="84"/>
      <w:bookmarkEnd w:id="85"/>
      <w:bookmarkEnd w:id="86"/>
      <w:r w:rsidRPr="00F7226D">
        <w:rPr>
          <w:rFonts w:ascii="Palatino Linotype" w:hAnsi="Palatino Linotype"/>
          <w:b/>
          <w:color w:val="000000"/>
          <w:lang w:val="es-MX" w:eastAsia="en-US"/>
        </w:rPr>
        <w:t xml:space="preserve"> </w:t>
      </w:r>
    </w:p>
    <w:p w14:paraId="56902498" w14:textId="77777777" w:rsidR="002D5BAE" w:rsidRPr="00F7226D" w:rsidRDefault="002D5BAE" w:rsidP="002D5BAE">
      <w:pPr>
        <w:spacing w:line="360" w:lineRule="auto"/>
        <w:contextualSpacing/>
        <w:jc w:val="both"/>
        <w:rPr>
          <w:rFonts w:ascii="Palatino Linotype" w:hAnsi="Palatino Linotype" w:cs="Arial"/>
          <w:b/>
          <w:color w:val="000000"/>
          <w:lang w:val="es-ES_tradnl"/>
        </w:rPr>
      </w:pPr>
    </w:p>
    <w:p w14:paraId="72D8BBCC" w14:textId="77777777" w:rsidR="002D5BAE" w:rsidRPr="00F7226D" w:rsidRDefault="002D5BAE" w:rsidP="002D5BAE">
      <w:pPr>
        <w:keepNext/>
        <w:keepLines/>
        <w:suppressAutoHyphens/>
        <w:spacing w:before="240" w:line="360" w:lineRule="auto"/>
        <w:outlineLvl w:val="0"/>
        <w:rPr>
          <w:rFonts w:ascii="Palatino Linotype" w:hAnsi="Palatino Linotype"/>
          <w:b/>
          <w:color w:val="000000"/>
        </w:rPr>
      </w:pPr>
      <w:bookmarkStart w:id="87" w:name="_Toc485631707"/>
      <w:bookmarkStart w:id="88" w:name="_Toc500756717"/>
      <w:bookmarkStart w:id="89" w:name="_Toc536691785"/>
      <w:bookmarkStart w:id="90" w:name="_Toc104470962"/>
      <w:bookmarkStart w:id="91" w:name="_Toc110976881"/>
      <w:r w:rsidRPr="00F7226D">
        <w:rPr>
          <w:rFonts w:ascii="Palatino Linotype" w:hAnsi="Palatino Linotype"/>
          <w:b/>
          <w:color w:val="000000"/>
        </w:rPr>
        <w:t>a) La fundamentación específica.</w:t>
      </w:r>
      <w:bookmarkEnd w:id="87"/>
      <w:bookmarkEnd w:id="88"/>
      <w:bookmarkEnd w:id="89"/>
      <w:bookmarkEnd w:id="90"/>
      <w:bookmarkEnd w:id="91"/>
    </w:p>
    <w:p w14:paraId="7FA9867A" w14:textId="77777777" w:rsidR="002D5BAE" w:rsidRPr="00F7226D" w:rsidRDefault="002D5BAE" w:rsidP="002D5BAE">
      <w:pPr>
        <w:spacing w:line="360" w:lineRule="auto"/>
        <w:contextualSpacing/>
        <w:jc w:val="both"/>
        <w:rPr>
          <w:rFonts w:ascii="Palatino Linotype" w:hAnsi="Palatino Linotype" w:cs="Arial"/>
          <w:color w:val="000000"/>
          <w:lang w:val="es-ES_tradnl"/>
        </w:rPr>
      </w:pPr>
    </w:p>
    <w:p w14:paraId="259902D0" w14:textId="77777777" w:rsidR="002D5BAE"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F7226D">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F7226D">
        <w:rPr>
          <w:rFonts w:ascii="Palatino Linotype" w:hAnsi="Palatino Linotype" w:cs="Arial"/>
          <w:b/>
          <w:bCs/>
          <w:color w:val="000000"/>
          <w:lang w:val="es-ES_tradnl"/>
        </w:rPr>
        <w:t>SUJETO OBLIGADO</w:t>
      </w:r>
      <w:r w:rsidRPr="00F7226D">
        <w:rPr>
          <w:rFonts w:ascii="Palatino Linotype" w:hAnsi="Palatino Linotype" w:cs="Arial"/>
          <w:color w:val="000000"/>
          <w:lang w:val="es-ES_tradnl"/>
        </w:rPr>
        <w:t xml:space="preserve"> a concluir que el caso fáctico se corresponde con la </w:t>
      </w:r>
      <w:r w:rsidRPr="00F7226D">
        <w:rPr>
          <w:rFonts w:ascii="Palatino Linotype" w:hAnsi="Palatino Linotype" w:cs="Arial"/>
          <w:color w:val="000000"/>
          <w:lang w:val="es-ES_tradnl"/>
        </w:rPr>
        <w:lastRenderedPageBreak/>
        <w:t>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7A0DAF37" w14:textId="77777777" w:rsidR="002D5BAE" w:rsidRPr="00F7226D" w:rsidRDefault="002D5BAE" w:rsidP="002D5BAE">
      <w:pPr>
        <w:keepNext/>
        <w:keepLines/>
        <w:suppressAutoHyphens/>
        <w:spacing w:before="240" w:line="360" w:lineRule="auto"/>
        <w:outlineLvl w:val="0"/>
        <w:rPr>
          <w:rFonts w:ascii="Palatino Linotype" w:hAnsi="Palatino Linotype"/>
          <w:b/>
          <w:color w:val="000000"/>
        </w:rPr>
      </w:pPr>
      <w:bookmarkStart w:id="92" w:name="_Toc485631708"/>
      <w:bookmarkStart w:id="93" w:name="_Toc500756718"/>
      <w:bookmarkStart w:id="94" w:name="_Toc536691786"/>
      <w:bookmarkStart w:id="95" w:name="_Toc104470963"/>
      <w:bookmarkStart w:id="96" w:name="_Toc110976882"/>
      <w:r w:rsidRPr="00F7226D">
        <w:rPr>
          <w:rFonts w:ascii="Palatino Linotype" w:hAnsi="Palatino Linotype"/>
          <w:b/>
          <w:color w:val="000000"/>
        </w:rPr>
        <w:t>b) La prueba de daño.</w:t>
      </w:r>
      <w:bookmarkEnd w:id="92"/>
      <w:bookmarkEnd w:id="93"/>
      <w:bookmarkEnd w:id="94"/>
      <w:bookmarkEnd w:id="95"/>
      <w:bookmarkEnd w:id="96"/>
    </w:p>
    <w:p w14:paraId="7A07C005" w14:textId="77777777" w:rsidR="002D5BAE" w:rsidRPr="00F7226D" w:rsidRDefault="002D5BAE" w:rsidP="002D5BAE">
      <w:pPr>
        <w:spacing w:line="360" w:lineRule="auto"/>
        <w:contextualSpacing/>
        <w:jc w:val="both"/>
        <w:rPr>
          <w:rFonts w:ascii="Palatino Linotype" w:hAnsi="Palatino Linotype"/>
          <w:color w:val="000000"/>
          <w:lang w:val="es-ES_tradnl"/>
        </w:rPr>
      </w:pPr>
    </w:p>
    <w:p w14:paraId="4B961EED"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F7226D">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39F88FD3" w14:textId="77777777" w:rsidR="00EB5F39" w:rsidRPr="00F7226D" w:rsidRDefault="00EB5F39" w:rsidP="00EB5F39">
      <w:pPr>
        <w:tabs>
          <w:tab w:val="left" w:pos="426"/>
        </w:tabs>
        <w:suppressAutoHyphens/>
        <w:spacing w:after="160" w:line="360" w:lineRule="auto"/>
        <w:contextualSpacing/>
        <w:jc w:val="both"/>
        <w:rPr>
          <w:rFonts w:ascii="Palatino Linotype" w:hAnsi="Palatino Linotype"/>
          <w:color w:val="000000"/>
          <w:lang w:val="es-ES_tradnl"/>
        </w:rPr>
      </w:pPr>
    </w:p>
    <w:p w14:paraId="5AC9FEBC" w14:textId="592D4D3A" w:rsidR="002D5BAE"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F7226D">
        <w:rPr>
          <w:rFonts w:ascii="Palatino Linotype" w:hAnsi="Palatino Linotype"/>
          <w:color w:val="000000"/>
          <w:lang w:val="es-ES_tradnl"/>
        </w:rPr>
        <w:t>Para aplicar la prueba de daño, se deberán de precisar las razones objetivas por las que la apertura genera una afectación, acreditando que:</w:t>
      </w:r>
    </w:p>
    <w:p w14:paraId="123E61DE" w14:textId="77777777" w:rsidR="002D5BAE" w:rsidRPr="00F7226D" w:rsidRDefault="002D5BAE" w:rsidP="002D5BAE">
      <w:pPr>
        <w:tabs>
          <w:tab w:val="left" w:pos="426"/>
        </w:tabs>
        <w:spacing w:after="160" w:line="360" w:lineRule="auto"/>
        <w:contextualSpacing/>
        <w:jc w:val="both"/>
        <w:rPr>
          <w:rFonts w:ascii="Palatino Linotype" w:hAnsi="Palatino Linotype"/>
          <w:color w:val="000000"/>
          <w:lang w:val="es-ES_tradnl"/>
        </w:rPr>
      </w:pPr>
    </w:p>
    <w:p w14:paraId="7E3D46E1" w14:textId="77777777" w:rsidR="002D5BAE" w:rsidRPr="00F7226D" w:rsidRDefault="002D5BAE" w:rsidP="002D5BAE">
      <w:pPr>
        <w:numPr>
          <w:ilvl w:val="1"/>
          <w:numId w:val="2"/>
        </w:numPr>
        <w:tabs>
          <w:tab w:val="left" w:pos="426"/>
        </w:tabs>
        <w:suppressAutoHyphens/>
        <w:spacing w:after="160" w:line="360" w:lineRule="auto"/>
        <w:ind w:left="1134" w:hanging="436"/>
        <w:contextualSpacing/>
        <w:jc w:val="both"/>
        <w:rPr>
          <w:rFonts w:ascii="Palatino Linotype" w:hAnsi="Palatino Linotype"/>
          <w:iCs/>
          <w:color w:val="000000"/>
          <w:lang w:val="es-ES_tradnl"/>
        </w:rPr>
      </w:pPr>
      <w:r w:rsidRPr="00F7226D">
        <w:rPr>
          <w:rFonts w:ascii="Palatino Linotype" w:hAnsi="Palatino Linotype"/>
          <w:color w:val="000000"/>
          <w:lang w:val="es-ES_tradnl"/>
        </w:rPr>
        <w:lastRenderedPageBreak/>
        <w:t xml:space="preserve">La </w:t>
      </w:r>
      <w:r w:rsidRPr="00F7226D">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FD51FA6" w14:textId="77777777" w:rsidR="002D5BAE" w:rsidRPr="00F7226D" w:rsidRDefault="002D5BAE" w:rsidP="002D5BAE">
      <w:pPr>
        <w:numPr>
          <w:ilvl w:val="1"/>
          <w:numId w:val="2"/>
        </w:numPr>
        <w:tabs>
          <w:tab w:val="left" w:pos="426"/>
        </w:tabs>
        <w:suppressAutoHyphens/>
        <w:spacing w:after="160" w:line="360" w:lineRule="auto"/>
        <w:ind w:left="1134" w:hanging="436"/>
        <w:contextualSpacing/>
        <w:jc w:val="both"/>
        <w:rPr>
          <w:rFonts w:ascii="Palatino Linotype" w:hAnsi="Palatino Linotype"/>
          <w:iCs/>
          <w:color w:val="000000"/>
          <w:lang w:val="es-ES_tradnl"/>
        </w:rPr>
      </w:pPr>
      <w:r w:rsidRPr="00F7226D">
        <w:rPr>
          <w:rFonts w:ascii="Palatino Linotype" w:hAnsi="Palatino Linotype"/>
          <w:iCs/>
          <w:color w:val="000000"/>
          <w:lang w:val="es-ES_tradnl"/>
        </w:rPr>
        <w:t xml:space="preserve">El riesgo de perjuicio que supondría la divulgación supera el interés público general de que se difunda; y </w:t>
      </w:r>
    </w:p>
    <w:p w14:paraId="7E2BEB28" w14:textId="77777777" w:rsidR="002D5BAE" w:rsidRPr="00F7226D" w:rsidRDefault="002D5BAE" w:rsidP="002D5BAE">
      <w:pPr>
        <w:numPr>
          <w:ilvl w:val="1"/>
          <w:numId w:val="2"/>
        </w:numPr>
        <w:tabs>
          <w:tab w:val="left" w:pos="426"/>
        </w:tabs>
        <w:suppressAutoHyphens/>
        <w:spacing w:after="160" w:line="360" w:lineRule="auto"/>
        <w:ind w:left="1134" w:hanging="436"/>
        <w:contextualSpacing/>
        <w:jc w:val="both"/>
        <w:rPr>
          <w:rFonts w:ascii="Palatino Linotype" w:hAnsi="Palatino Linotype"/>
          <w:iCs/>
          <w:color w:val="000000"/>
          <w:lang w:val="es-ES_tradnl"/>
        </w:rPr>
      </w:pPr>
      <w:r w:rsidRPr="00F7226D">
        <w:rPr>
          <w:rFonts w:ascii="Palatino Linotype" w:hAnsi="Palatino Linotype"/>
          <w:iCs/>
          <w:color w:val="000000"/>
          <w:lang w:val="es-ES_tradnl"/>
        </w:rPr>
        <w:t>La limitación se adecua al principio de proporcionalidad y representa el medio menos restrictivo disponible para evitar el perjuicio.</w:t>
      </w:r>
    </w:p>
    <w:p w14:paraId="75E96526" w14:textId="77777777" w:rsidR="002D5BAE" w:rsidRPr="00F7226D" w:rsidRDefault="002D5BAE" w:rsidP="002D5BAE">
      <w:pPr>
        <w:tabs>
          <w:tab w:val="left" w:pos="426"/>
        </w:tabs>
        <w:spacing w:line="360" w:lineRule="auto"/>
        <w:ind w:left="1134"/>
        <w:contextualSpacing/>
        <w:jc w:val="both"/>
        <w:rPr>
          <w:rFonts w:ascii="Palatino Linotype" w:hAnsi="Palatino Linotype"/>
          <w:iCs/>
          <w:color w:val="000000"/>
          <w:lang w:val="es-ES_tradnl"/>
        </w:rPr>
      </w:pPr>
    </w:p>
    <w:p w14:paraId="37D8AD13" w14:textId="77777777" w:rsidR="00EB5F39" w:rsidRPr="00F7226D" w:rsidRDefault="002D5BAE" w:rsidP="00EB5F39">
      <w:pPr>
        <w:numPr>
          <w:ilvl w:val="0"/>
          <w:numId w:val="2"/>
        </w:numPr>
        <w:shd w:val="clear" w:color="auto" w:fill="FFFFFF"/>
        <w:tabs>
          <w:tab w:val="left" w:pos="426"/>
        </w:tabs>
        <w:suppressAutoHyphens/>
        <w:spacing w:after="160" w:line="360" w:lineRule="auto"/>
        <w:ind w:left="0" w:firstLine="0"/>
        <w:jc w:val="both"/>
        <w:textAlignment w:val="baseline"/>
        <w:rPr>
          <w:rFonts w:ascii="Palatino Linotype" w:eastAsia="Calibri" w:hAnsi="Palatino Linotype"/>
          <w:color w:val="000000"/>
          <w:lang w:val="es-ES_tradnl" w:eastAsia="es-ES_tradnl"/>
        </w:rPr>
      </w:pPr>
      <w:r w:rsidRPr="00F7226D">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F7226D">
        <w:rPr>
          <w:rFonts w:ascii="Palatino Linotype" w:eastAsia="Calibri" w:hAnsi="Palatino Linotype"/>
          <w:color w:val="000000"/>
          <w:vertAlign w:val="superscript"/>
          <w:lang w:val="es-ES_tradnl" w:eastAsia="es-ES_tradnl"/>
        </w:rPr>
        <w:footnoteReference w:id="15"/>
      </w:r>
      <w:r w:rsidRPr="00F7226D">
        <w:rPr>
          <w:rFonts w:ascii="Palatino Linotype" w:eastAsia="Calibri" w:hAnsi="Palatino Linotype"/>
          <w:color w:val="000000"/>
          <w:lang w:val="es-ES_tradnl" w:eastAsia="es-ES_tradnl"/>
        </w:rPr>
        <w:t xml:space="preserve"> mientras que el daño es considerado como un “perjuicio o lesión”</w:t>
      </w:r>
      <w:r w:rsidRPr="00F7226D">
        <w:rPr>
          <w:rFonts w:ascii="Palatino Linotype" w:eastAsia="Calibri" w:hAnsi="Palatino Linotype"/>
          <w:color w:val="000000"/>
          <w:vertAlign w:val="superscript"/>
          <w:lang w:val="es-ES_tradnl" w:eastAsia="es-ES_tradnl"/>
        </w:rPr>
        <w:footnoteReference w:id="16"/>
      </w:r>
      <w:r w:rsidRPr="00F7226D">
        <w:rPr>
          <w:rFonts w:ascii="Palatino Linotype" w:eastAsia="Calibri" w:hAnsi="Palatino Linotype"/>
          <w:color w:val="000000"/>
          <w:lang w:val="es-ES_tradnl" w:eastAsia="es-ES_tradnl"/>
        </w:rPr>
        <w:t>, mientras que según el Diccionario de la Lengua Española, lo real es</w:t>
      </w:r>
      <w:r w:rsidRPr="00F7226D">
        <w:rPr>
          <w:rFonts w:ascii="Palatino Linotype" w:eastAsia="Arial Unicode MS" w:hAnsi="Palatino Linotype" w:cs="Arial Unicode MS"/>
          <w:color w:val="000000"/>
          <w:spacing w:val="4"/>
          <w:shd w:val="clear" w:color="auto" w:fill="FFFFFF"/>
          <w:lang w:val="es-ES_tradnl" w:eastAsia="es-ES_tradnl"/>
        </w:rPr>
        <w:t xml:space="preserve"> lo “</w:t>
      </w:r>
      <w:r w:rsidRPr="00F7226D">
        <w:rPr>
          <w:rFonts w:ascii="Palatino Linotype" w:hAnsi="Palatino Linotype"/>
          <w:color w:val="000000"/>
          <w:lang w:val="es-ES_tradnl" w:eastAsia="es-ES_tradnl"/>
        </w:rPr>
        <w:t>(que</w:t>
      </w:r>
      <w:r w:rsidRPr="00F7226D">
        <w:rPr>
          <w:rFonts w:ascii="Palatino Linotype" w:eastAsia="Arial Unicode MS" w:hAnsi="Palatino Linotype" w:cs="Arial Unicode MS"/>
          <w:color w:val="000000"/>
          <w:spacing w:val="4"/>
          <w:shd w:val="clear" w:color="auto" w:fill="FFFFFF"/>
          <w:lang w:val="es-ES_tradnl" w:eastAsia="es-ES_tradnl"/>
        </w:rPr>
        <w:t xml:space="preserve"> </w:t>
      </w:r>
      <w:r w:rsidRPr="00F7226D">
        <w:rPr>
          <w:rFonts w:ascii="Palatino Linotype" w:hAnsi="Palatino Linotype"/>
          <w:color w:val="000000"/>
          <w:lang w:val="es-ES_tradnl" w:eastAsia="es-ES_tradnl"/>
        </w:rPr>
        <w:t>tiene</w:t>
      </w:r>
      <w:r w:rsidRPr="00F7226D">
        <w:rPr>
          <w:rFonts w:ascii="Palatino Linotype" w:eastAsia="Arial Unicode MS" w:hAnsi="Palatino Linotype" w:cs="Arial Unicode MS"/>
          <w:color w:val="000000"/>
          <w:spacing w:val="4"/>
          <w:shd w:val="clear" w:color="auto" w:fill="FFFFFF"/>
          <w:lang w:val="es-ES_tradnl" w:eastAsia="es-ES_tradnl"/>
        </w:rPr>
        <w:t xml:space="preserve"> </w:t>
      </w:r>
      <w:r w:rsidRPr="00F7226D">
        <w:rPr>
          <w:rFonts w:ascii="Palatino Linotype" w:hAnsi="Palatino Linotype"/>
          <w:color w:val="000000"/>
          <w:lang w:val="es-ES_tradnl" w:eastAsia="es-ES_tradnl"/>
        </w:rPr>
        <w:t>existencia</w:t>
      </w:r>
      <w:r w:rsidRPr="00F7226D">
        <w:rPr>
          <w:rFonts w:ascii="Palatino Linotype" w:eastAsia="Arial Unicode MS" w:hAnsi="Palatino Linotype" w:cs="Arial Unicode MS"/>
          <w:color w:val="000000"/>
          <w:spacing w:val="4"/>
          <w:shd w:val="clear" w:color="auto" w:fill="FFFFFF"/>
          <w:lang w:val="es-ES_tradnl" w:eastAsia="es-ES_tradnl"/>
        </w:rPr>
        <w:t xml:space="preserve"> </w:t>
      </w:r>
      <w:r w:rsidRPr="00F7226D">
        <w:rPr>
          <w:rFonts w:ascii="Palatino Linotype" w:hAnsi="Palatino Linotype"/>
          <w:color w:val="000000"/>
          <w:lang w:val="es-ES_tradnl" w:eastAsia="es-ES_tradnl"/>
        </w:rPr>
        <w:t>objetiva”,</w:t>
      </w:r>
      <w:r w:rsidRPr="00F7226D">
        <w:rPr>
          <w:rFonts w:ascii="Palatino Linotype" w:hAnsi="Palatino Linotype"/>
          <w:color w:val="000000"/>
          <w:vertAlign w:val="superscript"/>
          <w:lang w:val="es-ES_tradnl" w:eastAsia="es-ES_tradnl"/>
        </w:rPr>
        <w:footnoteReference w:id="17"/>
      </w:r>
      <w:r w:rsidRPr="00F7226D">
        <w:rPr>
          <w:rFonts w:ascii="Palatino Linotype" w:hAnsi="Palatino Linotype"/>
          <w:color w:val="000000"/>
          <w:lang w:val="es-ES_tradnl" w:eastAsia="es-ES_tradnl"/>
        </w:rPr>
        <w:t xml:space="preserve"> </w:t>
      </w:r>
      <w:r w:rsidRPr="00F7226D">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F7226D">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F7226D">
        <w:rPr>
          <w:rFonts w:ascii="Palatino Linotype" w:eastAsia="Arial Unicode MS" w:hAnsi="Palatino Linotype" w:cs="Arial Unicode MS"/>
          <w:color w:val="000000"/>
          <w:spacing w:val="4"/>
          <w:shd w:val="clear" w:color="auto" w:fill="FFFFFF"/>
          <w:lang w:val="es-ES_tradnl" w:eastAsia="es-ES_tradnl"/>
        </w:rPr>
        <w:t xml:space="preserve"> es decir, </w:t>
      </w:r>
      <w:r w:rsidRPr="00F7226D">
        <w:rPr>
          <w:rFonts w:ascii="Palatino Linotype" w:eastAsia="Calibri" w:hAnsi="Palatino Linotype"/>
          <w:color w:val="000000"/>
          <w:lang w:val="es-MX" w:eastAsia="en-US"/>
        </w:rPr>
        <w:t xml:space="preserve">“(manifestar, declarar. Probar, sirviéndose de cualquier género de demostración, </w:t>
      </w:r>
      <w:hyperlink r:id="rId12" w:anchor="6nAyKjE" w:history="1">
        <w:r w:rsidRPr="00F7226D">
          <w:rPr>
            <w:rFonts w:ascii="Palatino Linotype" w:eastAsia="Calibri" w:hAnsi="Palatino Linotype"/>
            <w:color w:val="000000"/>
            <w:lang w:val="es-MX" w:eastAsia="en-US"/>
          </w:rPr>
          <w:t>enseñar</w:t>
        </w:r>
      </w:hyperlink>
      <w:r w:rsidRPr="00F7226D">
        <w:rPr>
          <w:rFonts w:ascii="Palatino Linotype" w:eastAsia="Calibri" w:hAnsi="Palatino Linotype"/>
          <w:color w:val="000000"/>
          <w:lang w:val="es-MX" w:eastAsia="en-US"/>
        </w:rPr>
        <w:t xml:space="preserve"> mostrar o exponer algo)”.</w:t>
      </w:r>
      <w:r w:rsidRPr="00F7226D">
        <w:rPr>
          <w:rFonts w:ascii="Palatino Linotype" w:eastAsia="Calibri" w:hAnsi="Palatino Linotype"/>
          <w:color w:val="000000"/>
          <w:vertAlign w:val="superscript"/>
          <w:lang w:val="es-MX" w:eastAsia="en-US"/>
        </w:rPr>
        <w:footnoteReference w:id="19"/>
      </w:r>
      <w:r w:rsidRPr="00F7226D">
        <w:rPr>
          <w:rFonts w:ascii="Palatino Linotype" w:eastAsia="Calibri" w:hAnsi="Palatino Linotype"/>
          <w:color w:val="000000"/>
          <w:lang w:val="es-MX" w:eastAsia="en-US"/>
        </w:rPr>
        <w:t xml:space="preserve"> Mientras que lo identificable es lo que puede ser identificado,</w:t>
      </w:r>
      <w:r w:rsidRPr="00F7226D">
        <w:rPr>
          <w:rFonts w:ascii="Palatino Linotype" w:eastAsia="Calibri" w:hAnsi="Palatino Linotype"/>
          <w:color w:val="000000"/>
          <w:vertAlign w:val="superscript"/>
          <w:lang w:val="es-MX" w:eastAsia="en-US"/>
        </w:rPr>
        <w:footnoteReference w:id="20"/>
      </w:r>
      <w:r w:rsidRPr="00F7226D">
        <w:rPr>
          <w:rFonts w:ascii="Palatino Linotype" w:eastAsia="Calibri" w:hAnsi="Palatino Linotype"/>
          <w:color w:val="000000"/>
          <w:lang w:val="es-MX" w:eastAsia="en-US"/>
        </w:rPr>
        <w:t xml:space="preserve"> esto es,</w:t>
      </w:r>
      <w:r w:rsidRPr="00F7226D">
        <w:rPr>
          <w:rFonts w:ascii="Palatino Linotype" w:eastAsia="Calibri" w:hAnsi="Palatino Linotype"/>
          <w:color w:val="000000"/>
          <w:lang w:val="es-ES_tradnl" w:eastAsia="es-ES_tradnl"/>
        </w:rPr>
        <w:t xml:space="preserve"> “(dar los datos necesarios para ser reconocido”.</w:t>
      </w:r>
      <w:r w:rsidRPr="00F7226D">
        <w:rPr>
          <w:rFonts w:ascii="Palatino Linotype" w:eastAsia="Calibri" w:hAnsi="Palatino Linotype"/>
          <w:color w:val="000000"/>
          <w:vertAlign w:val="superscript"/>
          <w:lang w:val="es-ES_tradnl" w:eastAsia="es-ES_tradnl"/>
        </w:rPr>
        <w:footnoteReference w:id="21"/>
      </w:r>
    </w:p>
    <w:p w14:paraId="74C7A479" w14:textId="0E748AC5" w:rsidR="002D5BAE" w:rsidRPr="00F7226D" w:rsidRDefault="002D5BAE" w:rsidP="00EB5F39">
      <w:pPr>
        <w:numPr>
          <w:ilvl w:val="0"/>
          <w:numId w:val="2"/>
        </w:numPr>
        <w:shd w:val="clear" w:color="auto" w:fill="FFFFFF"/>
        <w:tabs>
          <w:tab w:val="left" w:pos="426"/>
        </w:tabs>
        <w:suppressAutoHyphens/>
        <w:spacing w:after="160" w:line="360" w:lineRule="auto"/>
        <w:ind w:left="0" w:firstLine="0"/>
        <w:jc w:val="both"/>
        <w:textAlignment w:val="baseline"/>
        <w:rPr>
          <w:rFonts w:ascii="Palatino Linotype" w:eastAsia="Calibri" w:hAnsi="Palatino Linotype"/>
          <w:color w:val="000000"/>
          <w:lang w:val="es-ES_tradnl" w:eastAsia="es-ES_tradnl"/>
        </w:rPr>
      </w:pPr>
      <w:r w:rsidRPr="00F7226D">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w:t>
      </w:r>
      <w:r w:rsidRPr="00F7226D">
        <w:rPr>
          <w:rFonts w:ascii="Palatino Linotype" w:hAnsi="Palatino Linotype"/>
          <w:color w:val="000000"/>
          <w:lang w:val="es-ES_tradnl"/>
        </w:rPr>
        <w:lastRenderedPageBreak/>
        <w:t>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9FDA800" w14:textId="77777777" w:rsidR="002D5BAE" w:rsidRPr="00F7226D" w:rsidRDefault="002D5BAE" w:rsidP="002D5BAE">
      <w:pPr>
        <w:tabs>
          <w:tab w:val="left" w:pos="426"/>
        </w:tabs>
        <w:spacing w:line="360" w:lineRule="auto"/>
        <w:contextualSpacing/>
        <w:jc w:val="both"/>
        <w:rPr>
          <w:rFonts w:ascii="Palatino Linotype" w:hAnsi="Palatino Linotype"/>
          <w:color w:val="000000"/>
          <w:lang w:val="es-ES_tradnl"/>
        </w:rPr>
      </w:pPr>
    </w:p>
    <w:p w14:paraId="68CD10F8"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F7226D">
        <w:rPr>
          <w:rFonts w:ascii="Palatino Linotype" w:hAnsi="Palatino Linotype"/>
          <w:color w:val="000000"/>
          <w:lang w:val="es-ES_tradnl"/>
        </w:rPr>
        <w:t xml:space="preserve">Identificado ese riesgo, se debe demostrar que el mismo supera el interés público general porque se difunda dicha información. </w:t>
      </w:r>
    </w:p>
    <w:p w14:paraId="0B9B9014" w14:textId="77777777" w:rsidR="00EB5F39" w:rsidRPr="00F7226D" w:rsidRDefault="00EB5F39" w:rsidP="00EB5F39">
      <w:pPr>
        <w:pStyle w:val="Prrafodelista"/>
        <w:rPr>
          <w:rFonts w:ascii="Palatino Linotype" w:hAnsi="Palatino Linotype"/>
          <w:color w:val="000000"/>
          <w:lang w:val="es-ES_tradnl"/>
        </w:rPr>
      </w:pPr>
    </w:p>
    <w:p w14:paraId="5B726FDC" w14:textId="1E10F534" w:rsidR="002D5BAE"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F7226D">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F7226D">
        <w:rPr>
          <w:rFonts w:ascii="Palatino Linotype" w:hAnsi="Palatino Linotype"/>
          <w:color w:val="000000"/>
          <w:vertAlign w:val="superscript"/>
          <w:lang w:val="es-ES_tradnl"/>
        </w:rPr>
        <w:footnoteReference w:id="22"/>
      </w:r>
      <w:r w:rsidRPr="00F7226D">
        <w:rPr>
          <w:rFonts w:ascii="Palatino Linotype" w:hAnsi="Palatino Linotype"/>
          <w:color w:val="000000"/>
          <w:lang w:val="es-ES_tradnl"/>
        </w:rPr>
        <w:t>, siguiendo el principio de ponderación propuesto por el Tribunal Constitucional Alemán,</w:t>
      </w:r>
      <w:r w:rsidRPr="00F7226D">
        <w:rPr>
          <w:rFonts w:ascii="Palatino Linotype" w:hAnsi="Palatino Linotype"/>
          <w:color w:val="000000"/>
          <w:vertAlign w:val="superscript"/>
          <w:lang w:val="es-ES_tradnl"/>
        </w:rPr>
        <w:footnoteReference w:id="23"/>
      </w:r>
      <w:r w:rsidRPr="00F7226D">
        <w:rPr>
          <w:rFonts w:ascii="Palatino Linotype" w:hAnsi="Palatino Linotype"/>
          <w:color w:val="000000"/>
          <w:lang w:val="es-ES_tradnl"/>
        </w:rPr>
        <w:t xml:space="preserve"> el juicio de idoneidad, que la medida adoptada sea la </w:t>
      </w:r>
      <w:r w:rsidRPr="00F7226D">
        <w:rPr>
          <w:rFonts w:ascii="Palatino Linotype" w:hAnsi="Palatino Linotype"/>
          <w:color w:val="000000"/>
          <w:lang w:val="es-ES_tradnl"/>
        </w:rPr>
        <w:lastRenderedPageBreak/>
        <w:t>idónea para el ejercicio del derecho; de necesidad, que sea necearía para que el derecho que prevalece se ejerza y el de estricta proporcionalidad esto es, que el derecho que prevalezca sea en la dimensión estrictamente proporcional al derecho que retrocede.</w:t>
      </w:r>
    </w:p>
    <w:p w14:paraId="503A3BD7" w14:textId="77777777" w:rsidR="002D5BAE" w:rsidRPr="00F7226D" w:rsidRDefault="002D5BAE" w:rsidP="002D5BAE">
      <w:pPr>
        <w:keepNext/>
        <w:keepLines/>
        <w:suppressAutoHyphens/>
        <w:spacing w:before="240" w:line="360" w:lineRule="auto"/>
        <w:outlineLvl w:val="0"/>
        <w:rPr>
          <w:rFonts w:ascii="Palatino Linotype" w:hAnsi="Palatino Linotype"/>
          <w:b/>
          <w:color w:val="2E74B5"/>
          <w:lang w:eastAsia="en-US"/>
        </w:rPr>
      </w:pPr>
      <w:bookmarkStart w:id="97" w:name="_Toc485631709"/>
      <w:bookmarkStart w:id="98" w:name="_Toc500756719"/>
      <w:bookmarkStart w:id="99" w:name="_Toc536691787"/>
      <w:bookmarkStart w:id="100" w:name="_Toc104470964"/>
      <w:bookmarkStart w:id="101" w:name="_Toc110976883"/>
      <w:r w:rsidRPr="00F7226D">
        <w:rPr>
          <w:rFonts w:ascii="Palatino Linotype" w:hAnsi="Palatino Linotype"/>
          <w:b/>
          <w:color w:val="000000"/>
          <w:lang w:eastAsia="en-US"/>
        </w:rPr>
        <w:t>c) La clasificación de la información reservada debe ser de manera temporal.</w:t>
      </w:r>
      <w:bookmarkEnd w:id="97"/>
      <w:bookmarkEnd w:id="98"/>
      <w:bookmarkEnd w:id="99"/>
      <w:bookmarkEnd w:id="100"/>
      <w:bookmarkEnd w:id="101"/>
    </w:p>
    <w:p w14:paraId="651676AD" w14:textId="77777777" w:rsidR="002D5BAE" w:rsidRPr="00F7226D" w:rsidRDefault="002D5BAE" w:rsidP="002D5BAE">
      <w:pPr>
        <w:spacing w:line="360" w:lineRule="auto"/>
        <w:jc w:val="both"/>
        <w:rPr>
          <w:rFonts w:ascii="Palatino Linotype" w:hAnsi="Palatino Linotype"/>
          <w:b/>
          <w:color w:val="000000"/>
          <w:lang w:val="es-ES_tradnl"/>
        </w:rPr>
      </w:pPr>
    </w:p>
    <w:p w14:paraId="68F1B0AB"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F7226D">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573021DC" w14:textId="77777777" w:rsidR="00EB5F39" w:rsidRPr="00F7226D" w:rsidRDefault="00EB5F39" w:rsidP="00EB5F39">
      <w:pPr>
        <w:tabs>
          <w:tab w:val="left" w:pos="426"/>
        </w:tabs>
        <w:suppressAutoHyphens/>
        <w:spacing w:after="160" w:line="360" w:lineRule="auto"/>
        <w:contextualSpacing/>
        <w:jc w:val="both"/>
        <w:rPr>
          <w:rFonts w:ascii="Palatino Linotype" w:hAnsi="Palatino Linotype"/>
          <w:color w:val="000000"/>
          <w:lang w:val="es-ES_tradnl"/>
        </w:rPr>
      </w:pPr>
    </w:p>
    <w:p w14:paraId="63FA41B1"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F7226D">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311291F" w14:textId="77777777" w:rsidR="00EB5F39" w:rsidRPr="00F7226D" w:rsidRDefault="00EB5F39" w:rsidP="00EB5F39">
      <w:pPr>
        <w:pStyle w:val="Prrafodelista"/>
        <w:rPr>
          <w:rFonts w:ascii="Palatino Linotype" w:hAnsi="Palatino Linotype"/>
          <w:color w:val="000000"/>
          <w:lang w:val="es-ES_tradnl"/>
        </w:rPr>
      </w:pPr>
    </w:p>
    <w:p w14:paraId="1DBB6EB0" w14:textId="77777777" w:rsidR="00EB5F39"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F7226D">
        <w:rPr>
          <w:rFonts w:ascii="Palatino Linotype" w:hAnsi="Palatino Linotype"/>
          <w:color w:val="000000"/>
          <w:lang w:val="es-ES_tradnl"/>
        </w:rPr>
        <w:t xml:space="preserve">Ahora bien, los titulares de las áreas tienen la alta responsabilidad de determinar que el plazo de reserva sea el estrictamente necesario para proteger la información mientras subsistan las causas que dieron origen a la clasificación, salvaguardando el </w:t>
      </w:r>
      <w:r w:rsidRPr="00F7226D">
        <w:rPr>
          <w:rFonts w:ascii="Palatino Linotype" w:hAnsi="Palatino Linotype"/>
          <w:color w:val="000000"/>
          <w:lang w:val="es-ES_tradnl"/>
        </w:rPr>
        <w:lastRenderedPageBreak/>
        <w:t>interés público protegido y tomarán en cuenta las razones que justifican el periodo de reserva establecido.</w:t>
      </w:r>
    </w:p>
    <w:p w14:paraId="11742E2E" w14:textId="77777777" w:rsidR="00EB5F39" w:rsidRPr="00F7226D" w:rsidRDefault="00EB5F39" w:rsidP="00EB5F39">
      <w:pPr>
        <w:pStyle w:val="Prrafodelista"/>
        <w:rPr>
          <w:rFonts w:ascii="Palatino Linotype" w:hAnsi="Palatino Linotype"/>
          <w:color w:val="000000"/>
          <w:lang w:val="es-ES_tradnl"/>
        </w:rPr>
      </w:pPr>
    </w:p>
    <w:p w14:paraId="2632C4AA" w14:textId="3A921674" w:rsidR="002D5BAE"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F7226D">
        <w:rPr>
          <w:rFonts w:ascii="Palatino Linotype" w:hAnsi="Palatino Linotype"/>
          <w:color w:val="000000"/>
          <w:lang w:val="es-ES_tradnl"/>
        </w:rPr>
        <w:t>De</w:t>
      </w:r>
      <w:r w:rsidRPr="00F7226D">
        <w:rPr>
          <w:rFonts w:ascii="Palatino Linotype" w:hAnsi="Palatino Linotype"/>
          <w:b/>
          <w:color w:val="000000"/>
          <w:lang w:val="es-ES_tradnl"/>
        </w:rPr>
        <w:t xml:space="preserve"> </w:t>
      </w:r>
      <w:r w:rsidRPr="00F7226D">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04AF7C36" w14:textId="77777777" w:rsidR="002D5BAE" w:rsidRPr="00F7226D" w:rsidRDefault="002D5BAE" w:rsidP="002D5BAE">
      <w:pPr>
        <w:tabs>
          <w:tab w:val="left" w:pos="426"/>
        </w:tabs>
        <w:spacing w:line="360" w:lineRule="auto"/>
        <w:contextualSpacing/>
        <w:rPr>
          <w:rFonts w:ascii="Palatino Linotype" w:hAnsi="Palatino Linotype"/>
          <w:color w:val="000000"/>
          <w:lang w:val="es-ES_tradnl"/>
        </w:rPr>
      </w:pPr>
    </w:p>
    <w:p w14:paraId="5B3CDDE9" w14:textId="77777777" w:rsidR="002D5BAE" w:rsidRPr="00F7226D" w:rsidRDefault="002D5BAE" w:rsidP="00EB5F39">
      <w:pPr>
        <w:numPr>
          <w:ilvl w:val="0"/>
          <w:numId w:val="2"/>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F7226D">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91A199F" w14:textId="77777777" w:rsidR="002D5BAE" w:rsidRPr="00F7226D" w:rsidRDefault="002D5BAE" w:rsidP="002D5BAE">
      <w:pPr>
        <w:spacing w:line="360" w:lineRule="auto"/>
        <w:jc w:val="both"/>
        <w:rPr>
          <w:rFonts w:ascii="Palatino Linotype" w:hAnsi="Palatino Linotype" w:cs="Arial"/>
          <w:b/>
          <w:color w:val="000000"/>
          <w:lang w:val="es-ES_tradnl"/>
        </w:rPr>
      </w:pPr>
    </w:p>
    <w:p w14:paraId="0955CAC6" w14:textId="77777777" w:rsidR="002D5BAE" w:rsidRPr="00F7226D" w:rsidRDefault="002D5BAE" w:rsidP="00F41559">
      <w:pPr>
        <w:keepNext/>
        <w:keepLines/>
        <w:numPr>
          <w:ilvl w:val="0"/>
          <w:numId w:val="8"/>
        </w:numPr>
        <w:pBdr>
          <w:top w:val="nil"/>
          <w:left w:val="nil"/>
          <w:bottom w:val="nil"/>
          <w:right w:val="nil"/>
          <w:between w:val="nil"/>
          <w:bar w:val="nil"/>
        </w:pBdr>
        <w:suppressAutoHyphens/>
        <w:spacing w:before="40" w:after="160" w:line="360" w:lineRule="auto"/>
        <w:ind w:left="426" w:hanging="426"/>
        <w:contextualSpacing/>
        <w:jc w:val="both"/>
        <w:outlineLvl w:val="1"/>
        <w:rPr>
          <w:rFonts w:ascii="Palatino Linotype" w:hAnsi="Palatino Linotype"/>
          <w:b/>
          <w:color w:val="000000"/>
          <w:lang w:val="es-MX" w:eastAsia="en-US"/>
        </w:rPr>
      </w:pPr>
      <w:bookmarkStart w:id="102" w:name="_Toc485631710"/>
      <w:bookmarkStart w:id="103" w:name="_Toc500756720"/>
      <w:bookmarkStart w:id="104" w:name="_Toc536691788"/>
      <w:bookmarkStart w:id="105" w:name="_Toc104470965"/>
      <w:bookmarkStart w:id="106" w:name="_Toc110976884"/>
      <w:r w:rsidRPr="00F7226D">
        <w:rPr>
          <w:rFonts w:ascii="Palatino Linotype" w:hAnsi="Palatino Linotype"/>
          <w:b/>
          <w:color w:val="000000"/>
          <w:lang w:val="es-MX" w:eastAsia="en-US"/>
        </w:rPr>
        <w:t>Condiciones especiales de la clasificación de la información como confidencial.</w:t>
      </w:r>
      <w:bookmarkEnd w:id="102"/>
      <w:bookmarkEnd w:id="103"/>
      <w:bookmarkEnd w:id="104"/>
      <w:bookmarkEnd w:id="105"/>
      <w:bookmarkEnd w:id="106"/>
    </w:p>
    <w:p w14:paraId="3B50B185" w14:textId="77777777" w:rsidR="002D5BAE" w:rsidRPr="00F7226D" w:rsidRDefault="002D5BAE" w:rsidP="002D5BAE">
      <w:pPr>
        <w:keepNext/>
        <w:keepLines/>
        <w:pBdr>
          <w:top w:val="nil"/>
          <w:left w:val="nil"/>
          <w:bottom w:val="nil"/>
          <w:right w:val="nil"/>
          <w:between w:val="nil"/>
          <w:bar w:val="nil"/>
        </w:pBdr>
        <w:spacing w:before="40" w:after="160" w:line="360" w:lineRule="auto"/>
        <w:ind w:left="426"/>
        <w:contextualSpacing/>
        <w:jc w:val="both"/>
        <w:outlineLvl w:val="1"/>
        <w:rPr>
          <w:rFonts w:ascii="Palatino Linotype" w:hAnsi="Palatino Linotype"/>
          <w:b/>
          <w:color w:val="000000"/>
          <w:lang w:val="es-MX" w:eastAsia="en-US"/>
        </w:rPr>
      </w:pPr>
      <w:r w:rsidRPr="00F7226D">
        <w:rPr>
          <w:rFonts w:ascii="Palatino Linotype" w:hAnsi="Palatino Linotype"/>
          <w:b/>
          <w:color w:val="000000"/>
          <w:lang w:val="es-MX"/>
        </w:rPr>
        <w:t xml:space="preserve"> </w:t>
      </w:r>
    </w:p>
    <w:p w14:paraId="21B71FDF" w14:textId="77777777" w:rsidR="002D5BAE" w:rsidRPr="00F7226D" w:rsidRDefault="002D5BAE" w:rsidP="00EB5F39">
      <w:pPr>
        <w:numPr>
          <w:ilvl w:val="0"/>
          <w:numId w:val="2"/>
        </w:numPr>
        <w:shd w:val="clear" w:color="auto" w:fill="FFFFFF"/>
        <w:tabs>
          <w:tab w:val="left" w:pos="426"/>
        </w:tabs>
        <w:suppressAutoHyphens/>
        <w:spacing w:beforeAutospacing="1" w:after="160" w:afterAutospacing="1" w:line="360" w:lineRule="auto"/>
        <w:ind w:left="0" w:firstLine="0"/>
        <w:jc w:val="both"/>
        <w:textAlignment w:val="baseline"/>
        <w:rPr>
          <w:rFonts w:ascii="Palatino Linotype" w:eastAsia="Calibri" w:hAnsi="Palatino Linotype"/>
          <w:color w:val="000000"/>
          <w:lang w:val="es-MX" w:eastAsia="en-US"/>
        </w:rPr>
      </w:pPr>
      <w:r w:rsidRPr="00F7226D">
        <w:rPr>
          <w:rFonts w:ascii="Palatino Linotype" w:eastAsia="Calibri" w:hAnsi="Palatino Linotype"/>
          <w:color w:val="000000"/>
          <w:lang w:val="es-MX" w:eastAsia="en-US"/>
        </w:rPr>
        <w:t xml:space="preserve">Los artículos 148 y 120 de la Ley Estatal y de la Ley General, respectivamente, establecen que aun tratándose de datos personales, se podrán proporcionar, incluso </w:t>
      </w:r>
      <w:r w:rsidRPr="00F7226D">
        <w:rPr>
          <w:rFonts w:ascii="Palatino Linotype" w:eastAsia="Calibri" w:hAnsi="Palatino Linotype"/>
          <w:color w:val="000000"/>
          <w:lang w:val="es-MX" w:eastAsia="en-US"/>
        </w:rPr>
        <w:lastRenderedPageBreak/>
        <w:t xml:space="preserve">sin solicitar el consentimiento de su titular, cuando dichos datos correspondan a los siguientes supuestos: </w:t>
      </w:r>
    </w:p>
    <w:p w14:paraId="094E7EB7" w14:textId="77777777" w:rsidR="002D5BAE" w:rsidRPr="00F7226D" w:rsidRDefault="002D5BAE" w:rsidP="002D5BAE">
      <w:pPr>
        <w:spacing w:line="360" w:lineRule="auto"/>
        <w:ind w:left="567" w:right="567"/>
        <w:jc w:val="both"/>
        <w:rPr>
          <w:rFonts w:ascii="Palatino Linotype" w:hAnsi="Palatino Linotype"/>
          <w:bCs/>
          <w:i/>
          <w:iCs/>
          <w:color w:val="000000"/>
        </w:rPr>
      </w:pPr>
      <w:r w:rsidRPr="00F7226D">
        <w:rPr>
          <w:rFonts w:ascii="Palatino Linotype" w:hAnsi="Palatino Linotype"/>
          <w:bCs/>
          <w:i/>
          <w:iCs/>
          <w:color w:val="000000"/>
        </w:rPr>
        <w:t>“</w:t>
      </w:r>
      <w:r w:rsidRPr="00F7226D">
        <w:rPr>
          <w:rFonts w:ascii="Palatino Linotype" w:hAnsi="Palatino Linotype"/>
          <w:b/>
          <w:i/>
          <w:iCs/>
          <w:color w:val="000000"/>
        </w:rPr>
        <w:t>I.</w:t>
      </w:r>
      <w:r w:rsidRPr="00F7226D">
        <w:rPr>
          <w:rFonts w:ascii="Palatino Linotype" w:hAnsi="Palatino Linotype"/>
          <w:i/>
          <w:iCs/>
          <w:color w:val="000000"/>
        </w:rPr>
        <w:t xml:space="preserve"> La información se encuentre en registros públicos o fuentes de acceso público;</w:t>
      </w:r>
    </w:p>
    <w:p w14:paraId="235FD7A6" w14:textId="77777777" w:rsidR="002D5BAE" w:rsidRPr="00F7226D" w:rsidRDefault="002D5BAE" w:rsidP="002D5BAE">
      <w:pPr>
        <w:spacing w:line="360" w:lineRule="auto"/>
        <w:ind w:left="567" w:right="567"/>
        <w:jc w:val="both"/>
        <w:rPr>
          <w:rFonts w:ascii="Palatino Linotype" w:hAnsi="Palatino Linotype"/>
          <w:bCs/>
          <w:i/>
          <w:iCs/>
          <w:color w:val="000000"/>
        </w:rPr>
      </w:pPr>
      <w:r w:rsidRPr="00F7226D">
        <w:rPr>
          <w:rFonts w:ascii="Palatino Linotype" w:hAnsi="Palatino Linotype"/>
          <w:b/>
          <w:i/>
          <w:iCs/>
          <w:color w:val="000000"/>
        </w:rPr>
        <w:t>II.</w:t>
      </w:r>
      <w:r w:rsidRPr="00F7226D">
        <w:rPr>
          <w:rFonts w:ascii="Palatino Linotype" w:hAnsi="Palatino Linotype"/>
          <w:bCs/>
          <w:i/>
          <w:iCs/>
          <w:color w:val="000000"/>
        </w:rPr>
        <w:t xml:space="preserve"> </w:t>
      </w:r>
      <w:r w:rsidRPr="00F7226D">
        <w:rPr>
          <w:rFonts w:ascii="Palatino Linotype" w:hAnsi="Palatino Linotype"/>
          <w:i/>
          <w:iCs/>
          <w:color w:val="000000"/>
        </w:rPr>
        <w:t>Por Ley tenga el carácter de pública;</w:t>
      </w:r>
    </w:p>
    <w:p w14:paraId="2EE0B261" w14:textId="77777777" w:rsidR="002D5BAE" w:rsidRPr="00F7226D" w:rsidRDefault="002D5BAE" w:rsidP="002D5BAE">
      <w:pPr>
        <w:spacing w:line="360" w:lineRule="auto"/>
        <w:ind w:left="567" w:right="567"/>
        <w:jc w:val="both"/>
        <w:rPr>
          <w:rFonts w:ascii="Palatino Linotype" w:hAnsi="Palatino Linotype"/>
          <w:i/>
          <w:iCs/>
          <w:color w:val="000000"/>
        </w:rPr>
      </w:pPr>
      <w:r w:rsidRPr="00F7226D">
        <w:rPr>
          <w:rFonts w:ascii="Palatino Linotype" w:hAnsi="Palatino Linotype"/>
          <w:b/>
          <w:i/>
          <w:iCs/>
          <w:color w:val="000000"/>
        </w:rPr>
        <w:t>III.</w:t>
      </w:r>
      <w:r w:rsidRPr="00F7226D">
        <w:rPr>
          <w:rFonts w:ascii="Palatino Linotype" w:hAnsi="Palatino Linotype"/>
          <w:bCs/>
          <w:i/>
          <w:iCs/>
          <w:color w:val="000000"/>
        </w:rPr>
        <w:t xml:space="preserve"> </w:t>
      </w:r>
      <w:r w:rsidRPr="00F7226D">
        <w:rPr>
          <w:rFonts w:ascii="Palatino Linotype" w:hAnsi="Palatino Linotype"/>
          <w:i/>
          <w:iCs/>
          <w:color w:val="000000"/>
        </w:rPr>
        <w:t xml:space="preserve">Exista una orden judicial; </w:t>
      </w:r>
    </w:p>
    <w:p w14:paraId="7D27FA1E" w14:textId="77777777" w:rsidR="002D5BAE" w:rsidRPr="00F7226D" w:rsidRDefault="002D5BAE" w:rsidP="002D5BAE">
      <w:pPr>
        <w:spacing w:line="360" w:lineRule="auto"/>
        <w:ind w:left="567" w:right="567"/>
        <w:jc w:val="both"/>
        <w:rPr>
          <w:rFonts w:ascii="Palatino Linotype" w:hAnsi="Palatino Linotype"/>
          <w:i/>
          <w:iCs/>
          <w:color w:val="000000"/>
        </w:rPr>
      </w:pPr>
      <w:r w:rsidRPr="00F7226D">
        <w:rPr>
          <w:rFonts w:ascii="Palatino Linotype" w:hAnsi="Palatino Linotype"/>
          <w:b/>
          <w:i/>
          <w:iCs/>
          <w:color w:val="000000"/>
        </w:rPr>
        <w:t>IV.</w:t>
      </w:r>
      <w:r w:rsidRPr="00F7226D">
        <w:rPr>
          <w:rFonts w:ascii="Palatino Linotype" w:hAnsi="Palatino Linotype"/>
          <w:bCs/>
          <w:i/>
          <w:iCs/>
          <w:color w:val="000000"/>
        </w:rPr>
        <w:t xml:space="preserve"> </w:t>
      </w:r>
      <w:r w:rsidRPr="00F7226D">
        <w:rPr>
          <w:rFonts w:ascii="Palatino Linotype" w:hAnsi="Palatino Linotype"/>
          <w:i/>
          <w:iCs/>
          <w:color w:val="000000"/>
        </w:rPr>
        <w:t xml:space="preserve">Por razones de seguridad pública, o para proteger los derechos de terceros, se requiera su publicación; o </w:t>
      </w:r>
    </w:p>
    <w:p w14:paraId="01B34AA9" w14:textId="77777777" w:rsidR="002D5BAE" w:rsidRPr="00F7226D" w:rsidRDefault="002D5BAE" w:rsidP="002D5BAE">
      <w:pPr>
        <w:spacing w:line="360" w:lineRule="auto"/>
        <w:ind w:left="567" w:right="567"/>
        <w:jc w:val="both"/>
        <w:rPr>
          <w:rFonts w:ascii="Palatino Linotype" w:hAnsi="Palatino Linotype"/>
          <w:i/>
          <w:iCs/>
          <w:color w:val="000000"/>
        </w:rPr>
      </w:pPr>
      <w:r w:rsidRPr="00F7226D">
        <w:rPr>
          <w:rFonts w:ascii="Palatino Linotype" w:hAnsi="Palatino Linotype"/>
          <w:b/>
          <w:i/>
          <w:iCs/>
          <w:color w:val="000000"/>
        </w:rPr>
        <w:t>V.</w:t>
      </w:r>
      <w:r w:rsidRPr="00F7226D">
        <w:rPr>
          <w:rFonts w:ascii="Palatino Linotype" w:hAnsi="Palatino Linotype"/>
          <w:bCs/>
          <w:i/>
          <w:iCs/>
          <w:color w:val="000000"/>
        </w:rPr>
        <w:t xml:space="preserve"> </w:t>
      </w:r>
      <w:r w:rsidRPr="00F7226D">
        <w:rPr>
          <w:rFonts w:ascii="Palatino Linotype" w:hAnsi="Palatino Linotype"/>
          <w:i/>
          <w:iCs/>
          <w:color w:val="000000"/>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1514882B" w14:textId="1D2B7F9B" w:rsidR="00EB5F39" w:rsidRPr="00F7226D" w:rsidRDefault="002D5BAE" w:rsidP="00EB5F39">
      <w:pPr>
        <w:numPr>
          <w:ilvl w:val="0"/>
          <w:numId w:val="2"/>
        </w:numPr>
        <w:shd w:val="clear" w:color="auto" w:fill="FFFFFF"/>
        <w:suppressAutoHyphens/>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F7226D">
        <w:rPr>
          <w:rFonts w:ascii="Palatino Linotype" w:eastAsia="Calibri" w:hAnsi="Palatino Linotype"/>
          <w:color w:val="000000"/>
          <w:lang w:val="es-MX" w:eastAsia="en-US"/>
        </w:rPr>
        <w:t>En</w:t>
      </w:r>
      <w:r w:rsidRPr="00F7226D">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28CB1043" w14:textId="77777777" w:rsidR="00EB5F39" w:rsidRPr="00F7226D" w:rsidRDefault="00EB5F39" w:rsidP="00EB5F39">
      <w:pPr>
        <w:shd w:val="clear" w:color="auto" w:fill="FFFFFF"/>
        <w:suppressAutoHyphens/>
        <w:spacing w:beforeAutospacing="1" w:after="160" w:afterAutospacing="1" w:line="360" w:lineRule="auto"/>
        <w:jc w:val="both"/>
        <w:textAlignment w:val="baseline"/>
        <w:rPr>
          <w:rFonts w:ascii="Palatino Linotype" w:eastAsia="Calibri" w:hAnsi="Palatino Linotype"/>
          <w:color w:val="000000"/>
          <w:lang w:val="es-ES_tradnl" w:eastAsia="es-ES_tradnl"/>
        </w:rPr>
      </w:pPr>
    </w:p>
    <w:p w14:paraId="4370C7FE" w14:textId="2D933946" w:rsidR="00EB5F39" w:rsidRPr="00F7226D" w:rsidRDefault="002D5BAE" w:rsidP="00EB5F39">
      <w:pPr>
        <w:numPr>
          <w:ilvl w:val="0"/>
          <w:numId w:val="2"/>
        </w:numPr>
        <w:shd w:val="clear" w:color="auto" w:fill="FFFFFF"/>
        <w:suppressAutoHyphens/>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F7226D">
        <w:rPr>
          <w:rFonts w:ascii="Palatino Linotype" w:eastAsia="Calibri" w:hAnsi="Palatino Linotype"/>
          <w:color w:val="000000"/>
          <w:lang w:val="es-MX" w:eastAsia="en-US"/>
        </w:rPr>
        <w:t>Pero</w:t>
      </w:r>
      <w:r w:rsidRPr="00F7226D">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40903F5" w14:textId="77777777" w:rsidR="00EB5F39" w:rsidRPr="00F7226D" w:rsidRDefault="00EB5F39" w:rsidP="00EB5F39">
      <w:pPr>
        <w:shd w:val="clear" w:color="auto" w:fill="FFFFFF"/>
        <w:suppressAutoHyphens/>
        <w:spacing w:beforeAutospacing="1" w:after="160" w:afterAutospacing="1" w:line="360" w:lineRule="auto"/>
        <w:jc w:val="both"/>
        <w:textAlignment w:val="baseline"/>
        <w:rPr>
          <w:rFonts w:ascii="Palatino Linotype" w:eastAsia="Calibri" w:hAnsi="Palatino Linotype"/>
          <w:color w:val="000000"/>
          <w:lang w:val="es-ES_tradnl" w:eastAsia="es-ES_tradnl"/>
        </w:rPr>
      </w:pPr>
    </w:p>
    <w:p w14:paraId="4C507BEC" w14:textId="04AB8743" w:rsidR="002D5BAE" w:rsidRPr="00F7226D" w:rsidRDefault="002D5BAE" w:rsidP="00EB5F39">
      <w:pPr>
        <w:numPr>
          <w:ilvl w:val="0"/>
          <w:numId w:val="2"/>
        </w:numPr>
        <w:shd w:val="clear" w:color="auto" w:fill="FFFFFF"/>
        <w:suppressAutoHyphens/>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F7226D">
        <w:rPr>
          <w:rFonts w:ascii="Palatino Linotype" w:hAnsi="Palatino Linotype"/>
          <w:color w:val="000000"/>
          <w:lang w:val="es-ES_tradnl"/>
        </w:rPr>
        <w:lastRenderedPageBreak/>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6AEF7A8" w14:textId="77777777" w:rsidR="002D5BAE" w:rsidRPr="00F7226D" w:rsidRDefault="002D5BAE" w:rsidP="002D5BAE">
      <w:pPr>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2D5BAE" w:rsidRPr="00F7226D" w14:paraId="4DEC36AC" w14:textId="77777777" w:rsidTr="00EB5F39">
        <w:tc>
          <w:tcPr>
            <w:tcW w:w="2155" w:type="dxa"/>
            <w:vMerge w:val="restart"/>
            <w:shd w:val="clear" w:color="auto" w:fill="D5DCE4"/>
          </w:tcPr>
          <w:p w14:paraId="415FC997"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Requisitos previos</w:t>
            </w:r>
          </w:p>
        </w:tc>
        <w:tc>
          <w:tcPr>
            <w:tcW w:w="1759" w:type="dxa"/>
          </w:tcPr>
          <w:p w14:paraId="12C56C5E"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Los sujetos obligados determinan que la información actualiza alguno de los supuestos de clasificación:</w:t>
            </w:r>
          </w:p>
        </w:tc>
        <w:tc>
          <w:tcPr>
            <w:tcW w:w="2269" w:type="dxa"/>
          </w:tcPr>
          <w:p w14:paraId="3ADB02B4" w14:textId="77777777" w:rsidR="002D5BAE" w:rsidRPr="00F7226D" w:rsidRDefault="002D5BAE" w:rsidP="002D5BAE">
            <w:pPr>
              <w:spacing w:line="360" w:lineRule="auto"/>
              <w:jc w:val="both"/>
              <w:rPr>
                <w:rFonts w:ascii="Palatino Linotype" w:hAnsi="Palatino Linotype"/>
                <w:color w:val="000000"/>
                <w:lang w:val="es-ES_tradnl"/>
              </w:rPr>
            </w:pPr>
          </w:p>
          <w:p w14:paraId="7F0381D6" w14:textId="77777777" w:rsidR="002D5BAE" w:rsidRPr="00F7226D" w:rsidRDefault="002D5BAE" w:rsidP="00F41559">
            <w:pPr>
              <w:numPr>
                <w:ilvl w:val="0"/>
                <w:numId w:val="6"/>
              </w:numPr>
              <w:suppressAutoHyphens/>
              <w:spacing w:line="360" w:lineRule="auto"/>
              <w:contextualSpacing/>
              <w:jc w:val="both"/>
              <w:rPr>
                <w:rFonts w:ascii="Palatino Linotype" w:hAnsi="Palatino Linotype"/>
                <w:color w:val="000000"/>
                <w:lang w:val="es-ES_tradnl"/>
              </w:rPr>
            </w:pPr>
            <w:r w:rsidRPr="00F7226D">
              <w:rPr>
                <w:rFonts w:ascii="Palatino Linotype" w:hAnsi="Palatino Linotype"/>
                <w:color w:val="000000"/>
                <w:lang w:val="es-ES_tradnl"/>
              </w:rPr>
              <w:t xml:space="preserve">Confidencialidad </w:t>
            </w:r>
          </w:p>
          <w:p w14:paraId="4498F5C3" w14:textId="77777777" w:rsidR="002D5BAE" w:rsidRPr="00F7226D" w:rsidRDefault="002D5BAE" w:rsidP="00F41559">
            <w:pPr>
              <w:numPr>
                <w:ilvl w:val="0"/>
                <w:numId w:val="6"/>
              </w:numPr>
              <w:suppressAutoHyphens/>
              <w:spacing w:line="360" w:lineRule="auto"/>
              <w:contextualSpacing/>
              <w:jc w:val="both"/>
              <w:rPr>
                <w:rFonts w:ascii="Palatino Linotype" w:hAnsi="Palatino Linotype"/>
                <w:color w:val="000000"/>
                <w:lang w:val="es-ES_tradnl"/>
              </w:rPr>
            </w:pPr>
            <w:r w:rsidRPr="00F7226D">
              <w:rPr>
                <w:rFonts w:ascii="Palatino Linotype" w:hAnsi="Palatino Linotype"/>
                <w:color w:val="000000"/>
                <w:lang w:val="es-ES_tradnl"/>
              </w:rPr>
              <w:t>Reserva</w:t>
            </w:r>
          </w:p>
        </w:tc>
        <w:tc>
          <w:tcPr>
            <w:tcW w:w="2268" w:type="dxa"/>
          </w:tcPr>
          <w:p w14:paraId="3B191FF8"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0BF46D92" w14:textId="77777777" w:rsidTr="00EB5F39">
        <w:tc>
          <w:tcPr>
            <w:tcW w:w="2155" w:type="dxa"/>
            <w:vMerge/>
            <w:shd w:val="clear" w:color="auto" w:fill="D5DCE4"/>
          </w:tcPr>
          <w:p w14:paraId="79FA4C8E" w14:textId="77777777" w:rsidR="002D5BAE" w:rsidRPr="00F7226D" w:rsidRDefault="002D5BAE" w:rsidP="002D5BAE">
            <w:pPr>
              <w:spacing w:line="360" w:lineRule="auto"/>
              <w:jc w:val="both"/>
              <w:rPr>
                <w:rFonts w:ascii="Palatino Linotype" w:hAnsi="Palatino Linotype"/>
                <w:color w:val="000000"/>
                <w:lang w:val="es-ES_tradnl"/>
              </w:rPr>
            </w:pPr>
          </w:p>
        </w:tc>
        <w:tc>
          <w:tcPr>
            <w:tcW w:w="1759" w:type="dxa"/>
          </w:tcPr>
          <w:p w14:paraId="1257EF41"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 xml:space="preserve">Los titulares de las áreas que administran </w:t>
            </w:r>
            <w:r w:rsidRPr="00F7226D">
              <w:rPr>
                <w:rFonts w:ascii="Palatino Linotype" w:hAnsi="Palatino Linotype"/>
                <w:color w:val="000000"/>
                <w:lang w:val="es-ES_tradnl"/>
              </w:rPr>
              <w:lastRenderedPageBreak/>
              <w:t xml:space="preserve">la información son los que aprueban la clasificación </w:t>
            </w:r>
          </w:p>
        </w:tc>
        <w:tc>
          <w:tcPr>
            <w:tcW w:w="2269" w:type="dxa"/>
          </w:tcPr>
          <w:p w14:paraId="52825A44" w14:textId="77777777" w:rsidR="002D5BAE" w:rsidRPr="00F7226D" w:rsidRDefault="002D5BAE" w:rsidP="002D5BAE">
            <w:pPr>
              <w:spacing w:line="360" w:lineRule="auto"/>
              <w:jc w:val="both"/>
              <w:rPr>
                <w:rFonts w:ascii="Palatino Linotype" w:hAnsi="Palatino Linotype"/>
                <w:color w:val="000000"/>
                <w:lang w:val="es-ES_tradnl"/>
              </w:rPr>
            </w:pPr>
          </w:p>
        </w:tc>
        <w:tc>
          <w:tcPr>
            <w:tcW w:w="2268" w:type="dxa"/>
          </w:tcPr>
          <w:p w14:paraId="6DCDD1BF"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5E9D68C8" w14:textId="77777777" w:rsidTr="00EB5F39">
        <w:tc>
          <w:tcPr>
            <w:tcW w:w="2155" w:type="dxa"/>
            <w:vMerge/>
            <w:shd w:val="clear" w:color="auto" w:fill="D5DCE4"/>
          </w:tcPr>
          <w:p w14:paraId="3B1C4425" w14:textId="77777777" w:rsidR="002D5BAE" w:rsidRPr="00F7226D" w:rsidRDefault="002D5BAE" w:rsidP="002D5BAE">
            <w:pPr>
              <w:spacing w:line="360" w:lineRule="auto"/>
              <w:jc w:val="both"/>
              <w:rPr>
                <w:rFonts w:ascii="Palatino Linotype" w:hAnsi="Palatino Linotype"/>
                <w:color w:val="000000"/>
                <w:lang w:val="es-ES_tradnl"/>
              </w:rPr>
            </w:pPr>
          </w:p>
        </w:tc>
        <w:tc>
          <w:tcPr>
            <w:tcW w:w="1759" w:type="dxa"/>
          </w:tcPr>
          <w:p w14:paraId="466F0B92"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La clasificación de la información se realiza al momento de:</w:t>
            </w:r>
          </w:p>
        </w:tc>
        <w:tc>
          <w:tcPr>
            <w:tcW w:w="2269" w:type="dxa"/>
          </w:tcPr>
          <w:p w14:paraId="2D1BA87F" w14:textId="77777777" w:rsidR="002D5BAE" w:rsidRPr="00F7226D" w:rsidRDefault="002D5BAE" w:rsidP="00F41559">
            <w:pPr>
              <w:numPr>
                <w:ilvl w:val="0"/>
                <w:numId w:val="5"/>
              </w:numPr>
              <w:suppressAutoHyphens/>
              <w:spacing w:line="360" w:lineRule="auto"/>
              <w:contextualSpacing/>
              <w:jc w:val="both"/>
              <w:rPr>
                <w:rFonts w:ascii="Palatino Linotype" w:hAnsi="Palatino Linotype"/>
                <w:color w:val="000000"/>
                <w:lang w:val="es-ES_tradnl"/>
              </w:rPr>
            </w:pPr>
            <w:r w:rsidRPr="00F7226D">
              <w:rPr>
                <w:rFonts w:ascii="Palatino Linotype" w:hAnsi="Palatino Linotype"/>
                <w:color w:val="000000"/>
                <w:lang w:val="es-ES_tradnl"/>
              </w:rPr>
              <w:t>Atender una solicitud</w:t>
            </w:r>
          </w:p>
          <w:p w14:paraId="191BDC6B" w14:textId="77777777" w:rsidR="002D5BAE" w:rsidRPr="00F7226D" w:rsidRDefault="002D5BAE" w:rsidP="00F41559">
            <w:pPr>
              <w:numPr>
                <w:ilvl w:val="0"/>
                <w:numId w:val="5"/>
              </w:numPr>
              <w:suppressAutoHyphens/>
              <w:spacing w:line="360" w:lineRule="auto"/>
              <w:contextualSpacing/>
              <w:jc w:val="both"/>
              <w:rPr>
                <w:rFonts w:ascii="Palatino Linotype" w:hAnsi="Palatino Linotype"/>
                <w:color w:val="000000"/>
                <w:lang w:val="es-ES_tradnl"/>
              </w:rPr>
            </w:pPr>
            <w:r w:rsidRPr="00F7226D">
              <w:rPr>
                <w:rFonts w:ascii="Palatino Linotype" w:hAnsi="Palatino Linotype"/>
                <w:color w:val="000000"/>
                <w:lang w:val="es-ES_tradnl"/>
              </w:rPr>
              <w:t>Por mandato de una autoridad competente</w:t>
            </w:r>
          </w:p>
          <w:p w14:paraId="5CE3A4E6" w14:textId="77777777" w:rsidR="002D5BAE" w:rsidRPr="00F7226D" w:rsidRDefault="002D5BAE" w:rsidP="00F41559">
            <w:pPr>
              <w:numPr>
                <w:ilvl w:val="0"/>
                <w:numId w:val="5"/>
              </w:numPr>
              <w:suppressAutoHyphens/>
              <w:spacing w:line="360" w:lineRule="auto"/>
              <w:contextualSpacing/>
              <w:jc w:val="both"/>
              <w:rPr>
                <w:rFonts w:ascii="Palatino Linotype" w:hAnsi="Palatino Linotype"/>
                <w:color w:val="000000"/>
                <w:lang w:val="es-ES_tradnl"/>
              </w:rPr>
            </w:pPr>
            <w:r w:rsidRPr="00F7226D">
              <w:rPr>
                <w:rFonts w:ascii="Palatino Linotype" w:hAnsi="Palatino Linotype"/>
                <w:color w:val="000000"/>
                <w:lang w:val="es-ES_tradnl"/>
              </w:rPr>
              <w:t>Para elaborar una versión pública y cumplir una obligación de transparencia</w:t>
            </w:r>
          </w:p>
        </w:tc>
        <w:tc>
          <w:tcPr>
            <w:tcW w:w="2268" w:type="dxa"/>
          </w:tcPr>
          <w:p w14:paraId="2439F5F4"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2A3F613F" w14:textId="77777777" w:rsidTr="00EB5F39">
        <w:tc>
          <w:tcPr>
            <w:tcW w:w="2155" w:type="dxa"/>
            <w:vMerge/>
            <w:shd w:val="clear" w:color="auto" w:fill="D5DCE4"/>
          </w:tcPr>
          <w:p w14:paraId="57C9A403" w14:textId="77777777" w:rsidR="002D5BAE" w:rsidRPr="00F7226D" w:rsidRDefault="002D5BAE" w:rsidP="002D5BAE">
            <w:pPr>
              <w:spacing w:line="360" w:lineRule="auto"/>
              <w:jc w:val="both"/>
              <w:rPr>
                <w:rFonts w:ascii="Palatino Linotype" w:hAnsi="Palatino Linotype"/>
                <w:color w:val="000000"/>
                <w:lang w:val="es-ES_tradnl"/>
              </w:rPr>
            </w:pPr>
          </w:p>
        </w:tc>
        <w:tc>
          <w:tcPr>
            <w:tcW w:w="1759" w:type="dxa"/>
          </w:tcPr>
          <w:p w14:paraId="6DA5DB62"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No se pueden emitir acuerdos de carácter general ni particular</w:t>
            </w:r>
          </w:p>
        </w:tc>
        <w:tc>
          <w:tcPr>
            <w:tcW w:w="2269" w:type="dxa"/>
          </w:tcPr>
          <w:p w14:paraId="0EDE25B5"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 xml:space="preserve">El </w:t>
            </w:r>
            <w:r w:rsidRPr="00F7226D">
              <w:rPr>
                <w:rFonts w:ascii="Palatino Linotype" w:hAnsi="Palatino Linotype"/>
                <w:b/>
                <w:bCs/>
                <w:color w:val="000000"/>
                <w:lang w:val="es-ES_tradnl"/>
              </w:rPr>
              <w:t>SUJETO OBLIGADO</w:t>
            </w:r>
            <w:r w:rsidRPr="00F7226D">
              <w:rPr>
                <w:rFonts w:ascii="Palatino Linotype" w:hAnsi="Palatino Linotype"/>
                <w:color w:val="000000"/>
                <w:lang w:val="es-ES_tradnl"/>
              </w:rPr>
              <w:t xml:space="preserve"> debe emitir un acuerdo describiendo y analizando cada documento de un expediente y todos </w:t>
            </w:r>
            <w:r w:rsidRPr="00F7226D">
              <w:rPr>
                <w:rFonts w:ascii="Palatino Linotype" w:hAnsi="Palatino Linotype"/>
                <w:color w:val="000000"/>
                <w:lang w:val="es-ES_tradnl"/>
              </w:rPr>
              <w:lastRenderedPageBreak/>
              <w:t xml:space="preserve">los datos incluidos en un documento </w:t>
            </w:r>
          </w:p>
        </w:tc>
        <w:tc>
          <w:tcPr>
            <w:tcW w:w="2268" w:type="dxa"/>
          </w:tcPr>
          <w:p w14:paraId="7B5941D4"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43A7E398" w14:textId="77777777" w:rsidTr="00EB5F39">
        <w:tc>
          <w:tcPr>
            <w:tcW w:w="2155" w:type="dxa"/>
            <w:vMerge w:val="restart"/>
            <w:shd w:val="clear" w:color="auto" w:fill="D5DCE4"/>
          </w:tcPr>
          <w:p w14:paraId="5C8271D8"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lastRenderedPageBreak/>
              <w:t>Supuestos de clasificación</w:t>
            </w:r>
          </w:p>
        </w:tc>
        <w:tc>
          <w:tcPr>
            <w:tcW w:w="1759" w:type="dxa"/>
          </w:tcPr>
          <w:p w14:paraId="13566202"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Para clasificar la información como reservada hay</w:t>
            </w:r>
          </w:p>
        </w:tc>
        <w:tc>
          <w:tcPr>
            <w:tcW w:w="2269" w:type="dxa"/>
          </w:tcPr>
          <w:p w14:paraId="73FAA7D6" w14:textId="77777777" w:rsidR="002D5BAE" w:rsidRPr="00F7226D" w:rsidRDefault="002D5BAE" w:rsidP="00F41559">
            <w:pPr>
              <w:numPr>
                <w:ilvl w:val="0"/>
                <w:numId w:val="7"/>
              </w:numPr>
              <w:suppressAutoHyphens/>
              <w:spacing w:line="360" w:lineRule="auto"/>
              <w:contextualSpacing/>
              <w:jc w:val="both"/>
              <w:rPr>
                <w:rFonts w:ascii="Palatino Linotype" w:hAnsi="Palatino Linotype"/>
                <w:color w:val="000000"/>
                <w:lang w:val="es-ES_tradnl"/>
              </w:rPr>
            </w:pPr>
            <w:r w:rsidRPr="00F7226D">
              <w:rPr>
                <w:rFonts w:ascii="Palatino Linotype" w:hAnsi="Palatino Linotype"/>
                <w:color w:val="000000"/>
                <w:lang w:val="es-ES_tradnl"/>
              </w:rPr>
              <w:t>11 supuestos en la Ley Estatal</w:t>
            </w:r>
          </w:p>
          <w:p w14:paraId="7205B706" w14:textId="77777777" w:rsidR="002D5BAE" w:rsidRPr="00F7226D" w:rsidRDefault="002D5BAE" w:rsidP="00F41559">
            <w:pPr>
              <w:numPr>
                <w:ilvl w:val="0"/>
                <w:numId w:val="7"/>
              </w:numPr>
              <w:suppressAutoHyphens/>
              <w:spacing w:line="360" w:lineRule="auto"/>
              <w:contextualSpacing/>
              <w:jc w:val="both"/>
              <w:rPr>
                <w:rFonts w:ascii="Palatino Linotype" w:hAnsi="Palatino Linotype"/>
                <w:color w:val="000000"/>
                <w:lang w:val="es-ES_tradnl"/>
              </w:rPr>
            </w:pPr>
            <w:r w:rsidRPr="00F7226D">
              <w:rPr>
                <w:rFonts w:ascii="Palatino Linotype" w:hAnsi="Palatino Linotype"/>
                <w:color w:val="000000"/>
                <w:lang w:val="es-ES_tradnl"/>
              </w:rPr>
              <w:t>13 supuestos en la Ley General</w:t>
            </w:r>
          </w:p>
        </w:tc>
        <w:tc>
          <w:tcPr>
            <w:tcW w:w="2268" w:type="dxa"/>
          </w:tcPr>
          <w:p w14:paraId="604B4BCD"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 xml:space="preserve">El </w:t>
            </w:r>
            <w:r w:rsidRPr="00F7226D">
              <w:rPr>
                <w:rFonts w:ascii="Palatino Linotype" w:hAnsi="Palatino Linotype"/>
                <w:b/>
                <w:bCs/>
                <w:color w:val="000000"/>
                <w:lang w:val="es-ES_tradnl"/>
              </w:rPr>
              <w:t>SUJETO OBLIGADO</w:t>
            </w:r>
            <w:r w:rsidRPr="00F7226D">
              <w:rPr>
                <w:rFonts w:ascii="Palatino Linotype" w:hAnsi="Palatino Linotype"/>
                <w:color w:val="000000"/>
                <w:lang w:val="es-ES_tradnl"/>
              </w:rPr>
              <w:t xml:space="preserve"> debe identificar claramente la información que se pretende clasificar y realizar un juicio de subsunción o encaje</w:t>
            </w:r>
          </w:p>
        </w:tc>
      </w:tr>
      <w:tr w:rsidR="002D5BAE" w:rsidRPr="00F7226D" w14:paraId="5347413D" w14:textId="77777777" w:rsidTr="00EB5F39">
        <w:tc>
          <w:tcPr>
            <w:tcW w:w="2155" w:type="dxa"/>
            <w:vMerge/>
            <w:shd w:val="clear" w:color="auto" w:fill="D5DCE4"/>
          </w:tcPr>
          <w:p w14:paraId="1AD31C2E" w14:textId="77777777" w:rsidR="002D5BAE" w:rsidRPr="00F7226D" w:rsidRDefault="002D5BAE" w:rsidP="002D5BAE">
            <w:pPr>
              <w:spacing w:line="360" w:lineRule="auto"/>
              <w:jc w:val="both"/>
              <w:rPr>
                <w:rFonts w:ascii="Palatino Linotype" w:hAnsi="Palatino Linotype"/>
                <w:color w:val="000000"/>
                <w:lang w:val="es-ES_tradnl"/>
              </w:rPr>
            </w:pPr>
          </w:p>
        </w:tc>
        <w:tc>
          <w:tcPr>
            <w:tcW w:w="1759" w:type="dxa"/>
          </w:tcPr>
          <w:p w14:paraId="2FECE202"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Para clasificar la información como confidencial hay</w:t>
            </w:r>
          </w:p>
        </w:tc>
        <w:tc>
          <w:tcPr>
            <w:tcW w:w="2269" w:type="dxa"/>
          </w:tcPr>
          <w:p w14:paraId="2DA743A4"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que considerar la definición de dato personal</w:t>
            </w:r>
          </w:p>
        </w:tc>
        <w:tc>
          <w:tcPr>
            <w:tcW w:w="2268" w:type="dxa"/>
          </w:tcPr>
          <w:p w14:paraId="04DAA70D"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3C97EA26" w14:textId="77777777" w:rsidTr="00EB5F39">
        <w:tc>
          <w:tcPr>
            <w:tcW w:w="2155" w:type="dxa"/>
            <w:vMerge/>
            <w:shd w:val="clear" w:color="auto" w:fill="D5DCE4"/>
          </w:tcPr>
          <w:p w14:paraId="6F9E9EBE" w14:textId="77777777" w:rsidR="002D5BAE" w:rsidRPr="00F7226D" w:rsidRDefault="002D5BAE" w:rsidP="002D5BAE">
            <w:pPr>
              <w:spacing w:line="360" w:lineRule="auto"/>
              <w:jc w:val="both"/>
              <w:rPr>
                <w:rFonts w:ascii="Palatino Linotype" w:hAnsi="Palatino Linotype"/>
                <w:color w:val="000000"/>
                <w:lang w:val="es-ES_tradnl"/>
              </w:rPr>
            </w:pPr>
          </w:p>
        </w:tc>
        <w:tc>
          <w:tcPr>
            <w:tcW w:w="1759" w:type="dxa"/>
          </w:tcPr>
          <w:p w14:paraId="333CDA35"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 xml:space="preserve">Estos supuestos se aplican de manera restrictiva y </w:t>
            </w:r>
            <w:r w:rsidRPr="00F7226D">
              <w:rPr>
                <w:rFonts w:ascii="Palatino Linotype" w:hAnsi="Palatino Linotype"/>
                <w:color w:val="000000"/>
                <w:lang w:val="es-ES_tradnl"/>
              </w:rPr>
              <w:lastRenderedPageBreak/>
              <w:t>estricta, no pueden ampliarse</w:t>
            </w:r>
          </w:p>
        </w:tc>
        <w:tc>
          <w:tcPr>
            <w:tcW w:w="2269" w:type="dxa"/>
          </w:tcPr>
          <w:p w14:paraId="408BEE68" w14:textId="77777777" w:rsidR="002D5BAE" w:rsidRPr="00F7226D" w:rsidRDefault="002D5BAE" w:rsidP="002D5BAE">
            <w:pPr>
              <w:spacing w:line="360" w:lineRule="auto"/>
              <w:jc w:val="both"/>
              <w:rPr>
                <w:rFonts w:ascii="Palatino Linotype" w:hAnsi="Palatino Linotype"/>
                <w:color w:val="000000"/>
                <w:lang w:val="es-ES_tradnl"/>
              </w:rPr>
            </w:pPr>
          </w:p>
        </w:tc>
        <w:tc>
          <w:tcPr>
            <w:tcW w:w="2268" w:type="dxa"/>
          </w:tcPr>
          <w:p w14:paraId="5345ECBD"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4485FEF3" w14:textId="77777777" w:rsidTr="00EB5F39">
        <w:tc>
          <w:tcPr>
            <w:tcW w:w="2155" w:type="dxa"/>
            <w:vMerge w:val="restart"/>
            <w:shd w:val="clear" w:color="auto" w:fill="D5DCE4"/>
          </w:tcPr>
          <w:p w14:paraId="2AFE8554"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lastRenderedPageBreak/>
              <w:t>Excepciones a la clasificación de reserva</w:t>
            </w:r>
          </w:p>
        </w:tc>
        <w:tc>
          <w:tcPr>
            <w:tcW w:w="1759" w:type="dxa"/>
            <w:vMerge w:val="restart"/>
          </w:tcPr>
          <w:p w14:paraId="014DB2F9"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No puede clasificarse como información reservada la concerniente a:</w:t>
            </w:r>
          </w:p>
        </w:tc>
        <w:tc>
          <w:tcPr>
            <w:tcW w:w="2269" w:type="dxa"/>
          </w:tcPr>
          <w:p w14:paraId="1CD7AA90"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Actos (probados o en investigación) graves de violaciones a derechos humanos</w:t>
            </w:r>
          </w:p>
        </w:tc>
        <w:tc>
          <w:tcPr>
            <w:tcW w:w="2268" w:type="dxa"/>
          </w:tcPr>
          <w:p w14:paraId="18B72152"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7E0413B5" w14:textId="77777777" w:rsidTr="00EB5F39">
        <w:tc>
          <w:tcPr>
            <w:tcW w:w="2155" w:type="dxa"/>
            <w:vMerge/>
            <w:shd w:val="clear" w:color="auto" w:fill="D5DCE4"/>
          </w:tcPr>
          <w:p w14:paraId="63927C4A" w14:textId="77777777" w:rsidR="002D5BAE" w:rsidRPr="00F7226D" w:rsidRDefault="002D5BAE" w:rsidP="002D5BAE">
            <w:pPr>
              <w:spacing w:line="360" w:lineRule="auto"/>
              <w:jc w:val="both"/>
              <w:rPr>
                <w:rFonts w:ascii="Palatino Linotype" w:hAnsi="Palatino Linotype"/>
                <w:color w:val="000000"/>
                <w:lang w:val="es-ES_tradnl"/>
              </w:rPr>
            </w:pPr>
          </w:p>
        </w:tc>
        <w:tc>
          <w:tcPr>
            <w:tcW w:w="1759" w:type="dxa"/>
            <w:vMerge/>
          </w:tcPr>
          <w:p w14:paraId="05B71A79" w14:textId="77777777" w:rsidR="002D5BAE" w:rsidRPr="00F7226D" w:rsidRDefault="002D5BAE" w:rsidP="002D5BAE">
            <w:pPr>
              <w:spacing w:line="360" w:lineRule="auto"/>
              <w:jc w:val="both"/>
              <w:rPr>
                <w:rFonts w:ascii="Palatino Linotype" w:hAnsi="Palatino Linotype"/>
                <w:color w:val="000000"/>
                <w:lang w:val="es-ES_tradnl"/>
              </w:rPr>
            </w:pPr>
          </w:p>
        </w:tc>
        <w:tc>
          <w:tcPr>
            <w:tcW w:w="2269" w:type="dxa"/>
          </w:tcPr>
          <w:p w14:paraId="5C7F4389"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Delitos de lessa humanidad</w:t>
            </w:r>
          </w:p>
        </w:tc>
        <w:tc>
          <w:tcPr>
            <w:tcW w:w="2268" w:type="dxa"/>
          </w:tcPr>
          <w:p w14:paraId="194EC5B9"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6503948C" w14:textId="77777777" w:rsidTr="00EB5F39">
        <w:tc>
          <w:tcPr>
            <w:tcW w:w="2155" w:type="dxa"/>
            <w:vMerge/>
            <w:shd w:val="clear" w:color="auto" w:fill="D5DCE4"/>
          </w:tcPr>
          <w:p w14:paraId="7D750E39" w14:textId="77777777" w:rsidR="002D5BAE" w:rsidRPr="00F7226D" w:rsidRDefault="002D5BAE" w:rsidP="002D5BAE">
            <w:pPr>
              <w:spacing w:line="360" w:lineRule="auto"/>
              <w:jc w:val="both"/>
              <w:rPr>
                <w:rFonts w:ascii="Palatino Linotype" w:hAnsi="Palatino Linotype"/>
                <w:color w:val="000000"/>
                <w:lang w:val="es-ES_tradnl"/>
              </w:rPr>
            </w:pPr>
          </w:p>
        </w:tc>
        <w:tc>
          <w:tcPr>
            <w:tcW w:w="1759" w:type="dxa"/>
            <w:vMerge/>
          </w:tcPr>
          <w:p w14:paraId="0EAF8A22" w14:textId="77777777" w:rsidR="002D5BAE" w:rsidRPr="00F7226D" w:rsidRDefault="002D5BAE" w:rsidP="002D5BAE">
            <w:pPr>
              <w:spacing w:line="360" w:lineRule="auto"/>
              <w:jc w:val="both"/>
              <w:rPr>
                <w:rFonts w:ascii="Palatino Linotype" w:hAnsi="Palatino Linotype"/>
                <w:color w:val="000000"/>
                <w:lang w:val="es-ES_tradnl"/>
              </w:rPr>
            </w:pPr>
          </w:p>
        </w:tc>
        <w:tc>
          <w:tcPr>
            <w:tcW w:w="2269" w:type="dxa"/>
          </w:tcPr>
          <w:p w14:paraId="7F5303B4"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Actos de Corrupción</w:t>
            </w:r>
          </w:p>
        </w:tc>
        <w:tc>
          <w:tcPr>
            <w:tcW w:w="2268" w:type="dxa"/>
          </w:tcPr>
          <w:p w14:paraId="2EC209ED"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Los comprendidos en el Título Sexto del Código Penal del Estado</w:t>
            </w:r>
          </w:p>
        </w:tc>
      </w:tr>
      <w:tr w:rsidR="002D5BAE" w:rsidRPr="00F7226D" w14:paraId="6FCFDF27" w14:textId="77777777" w:rsidTr="00EB5F39">
        <w:tc>
          <w:tcPr>
            <w:tcW w:w="2155" w:type="dxa"/>
            <w:vMerge w:val="restart"/>
            <w:shd w:val="clear" w:color="auto" w:fill="D5DCE4"/>
          </w:tcPr>
          <w:p w14:paraId="5566BBB0"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Participación del Comité de Transparencia</w:t>
            </w:r>
          </w:p>
        </w:tc>
        <w:tc>
          <w:tcPr>
            <w:tcW w:w="1759" w:type="dxa"/>
            <w:vMerge w:val="restart"/>
          </w:tcPr>
          <w:p w14:paraId="613B404D"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Formalidades</w:t>
            </w:r>
          </w:p>
        </w:tc>
        <w:tc>
          <w:tcPr>
            <w:tcW w:w="2269" w:type="dxa"/>
          </w:tcPr>
          <w:p w14:paraId="391EC35B"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El Comité debe de estar debidamente integrado</w:t>
            </w:r>
          </w:p>
        </w:tc>
        <w:tc>
          <w:tcPr>
            <w:tcW w:w="2268" w:type="dxa"/>
          </w:tcPr>
          <w:p w14:paraId="6C395DC9"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37562D09" w14:textId="77777777" w:rsidTr="00EB5F39">
        <w:tc>
          <w:tcPr>
            <w:tcW w:w="2155" w:type="dxa"/>
            <w:vMerge/>
            <w:shd w:val="clear" w:color="auto" w:fill="D5DCE4"/>
          </w:tcPr>
          <w:p w14:paraId="14B0D42E" w14:textId="77777777" w:rsidR="002D5BAE" w:rsidRPr="00F7226D" w:rsidRDefault="002D5BAE" w:rsidP="002D5BAE">
            <w:pPr>
              <w:spacing w:line="360" w:lineRule="auto"/>
              <w:jc w:val="both"/>
              <w:rPr>
                <w:rFonts w:ascii="Palatino Linotype" w:hAnsi="Palatino Linotype"/>
                <w:color w:val="000000"/>
                <w:lang w:val="es-ES_tradnl"/>
              </w:rPr>
            </w:pPr>
          </w:p>
        </w:tc>
        <w:tc>
          <w:tcPr>
            <w:tcW w:w="1759" w:type="dxa"/>
            <w:vMerge/>
          </w:tcPr>
          <w:p w14:paraId="5EC8A9AC" w14:textId="77777777" w:rsidR="002D5BAE" w:rsidRPr="00F7226D" w:rsidRDefault="002D5BAE" w:rsidP="002D5BAE">
            <w:pPr>
              <w:spacing w:line="360" w:lineRule="auto"/>
              <w:jc w:val="both"/>
              <w:rPr>
                <w:rFonts w:ascii="Palatino Linotype" w:hAnsi="Palatino Linotype"/>
                <w:color w:val="000000"/>
                <w:lang w:val="es-ES_tradnl"/>
              </w:rPr>
            </w:pPr>
          </w:p>
        </w:tc>
        <w:tc>
          <w:tcPr>
            <w:tcW w:w="2269" w:type="dxa"/>
          </w:tcPr>
          <w:p w14:paraId="532217D4"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 xml:space="preserve">El Comité no aprueba la clasificación, sólo: confirma, modifica o revoca la decisión de las áreas </w:t>
            </w:r>
          </w:p>
        </w:tc>
        <w:tc>
          <w:tcPr>
            <w:tcW w:w="2268" w:type="dxa"/>
          </w:tcPr>
          <w:p w14:paraId="5DF912E1"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0E0A3AB0" w14:textId="77777777" w:rsidTr="00EB5F39">
        <w:tc>
          <w:tcPr>
            <w:tcW w:w="2155" w:type="dxa"/>
            <w:shd w:val="clear" w:color="auto" w:fill="D5DCE4"/>
          </w:tcPr>
          <w:p w14:paraId="000A904F"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lastRenderedPageBreak/>
              <w:t>Fondo del acuerdo de clasificación</w:t>
            </w:r>
          </w:p>
        </w:tc>
        <w:tc>
          <w:tcPr>
            <w:tcW w:w="1759" w:type="dxa"/>
          </w:tcPr>
          <w:p w14:paraId="304ED89A"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 xml:space="preserve">La carga de la prueba para justificar la restricción corresponde al </w:t>
            </w:r>
            <w:r w:rsidRPr="00F7226D">
              <w:rPr>
                <w:rFonts w:ascii="Palatino Linotype" w:hAnsi="Palatino Linotype"/>
                <w:b/>
                <w:bCs/>
                <w:color w:val="000000"/>
                <w:lang w:val="es-ES_tradnl"/>
              </w:rPr>
              <w:t>SUJETO OBLIGADO</w:t>
            </w:r>
          </w:p>
        </w:tc>
        <w:tc>
          <w:tcPr>
            <w:tcW w:w="2269" w:type="dxa"/>
          </w:tcPr>
          <w:p w14:paraId="5BD864BC"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Deber de fundar y motivar</w:t>
            </w:r>
          </w:p>
        </w:tc>
        <w:tc>
          <w:tcPr>
            <w:tcW w:w="2268" w:type="dxa"/>
          </w:tcPr>
          <w:p w14:paraId="179D7124"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75183913" w14:textId="77777777" w:rsidTr="00EB5F39">
        <w:trPr>
          <w:trHeight w:val="486"/>
        </w:trPr>
        <w:tc>
          <w:tcPr>
            <w:tcW w:w="2155" w:type="dxa"/>
            <w:vMerge w:val="restart"/>
            <w:shd w:val="clear" w:color="auto" w:fill="D5DCE4"/>
          </w:tcPr>
          <w:p w14:paraId="397A25CA"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Condiciones especiales de la reserva</w:t>
            </w:r>
          </w:p>
        </w:tc>
        <w:tc>
          <w:tcPr>
            <w:tcW w:w="1759" w:type="dxa"/>
            <w:vMerge w:val="restart"/>
          </w:tcPr>
          <w:p w14:paraId="1E088489"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Motivar implica</w:t>
            </w:r>
          </w:p>
          <w:p w14:paraId="47D1408E"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Además se debe aplicar, caso por caso, una prueba de daño.</w:t>
            </w:r>
          </w:p>
        </w:tc>
        <w:tc>
          <w:tcPr>
            <w:tcW w:w="2269" w:type="dxa"/>
            <w:vMerge w:val="restart"/>
          </w:tcPr>
          <w:p w14:paraId="41A657AF"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Señalar las razones, motivos o circunstancias.</w:t>
            </w:r>
          </w:p>
          <w:p w14:paraId="257EB515"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Se deben señalar las razones objetivas y acreditar.</w:t>
            </w:r>
          </w:p>
          <w:p w14:paraId="08F5BEAC" w14:textId="77777777" w:rsidR="002D5BAE" w:rsidRPr="00F7226D" w:rsidRDefault="002D5BAE" w:rsidP="002D5BAE">
            <w:pPr>
              <w:spacing w:line="360" w:lineRule="auto"/>
              <w:jc w:val="both"/>
              <w:rPr>
                <w:rFonts w:ascii="Palatino Linotype" w:hAnsi="Palatino Linotype"/>
                <w:color w:val="000000"/>
                <w:lang w:val="es-ES_tradnl"/>
              </w:rPr>
            </w:pPr>
          </w:p>
          <w:p w14:paraId="56A0905E"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*Adquiere la condición especial de ser temporal por un periodo de 5 años con la posibilidad de ampliarse por un periodo igual.</w:t>
            </w:r>
          </w:p>
        </w:tc>
        <w:tc>
          <w:tcPr>
            <w:tcW w:w="2268" w:type="dxa"/>
            <w:vMerge w:val="restart"/>
          </w:tcPr>
          <w:p w14:paraId="68CF55B7"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Que entregar la información provoca un riesgo real, demostrable e identificable al interés público o a la seguridad pública</w:t>
            </w:r>
          </w:p>
        </w:tc>
      </w:tr>
      <w:tr w:rsidR="002D5BAE" w:rsidRPr="00F7226D" w14:paraId="174CD4F3" w14:textId="77777777" w:rsidTr="00EB5F39">
        <w:trPr>
          <w:trHeight w:val="486"/>
        </w:trPr>
        <w:tc>
          <w:tcPr>
            <w:tcW w:w="2155" w:type="dxa"/>
            <w:vMerge/>
            <w:shd w:val="clear" w:color="auto" w:fill="D5DCE4"/>
          </w:tcPr>
          <w:p w14:paraId="3D5287D0" w14:textId="77777777" w:rsidR="002D5BAE" w:rsidRPr="00F7226D" w:rsidRDefault="002D5BAE" w:rsidP="002D5BAE">
            <w:pPr>
              <w:spacing w:line="360" w:lineRule="auto"/>
              <w:jc w:val="both"/>
              <w:rPr>
                <w:rFonts w:ascii="Palatino Linotype" w:hAnsi="Palatino Linotype"/>
                <w:color w:val="000000"/>
                <w:lang w:val="es-ES_tradnl"/>
              </w:rPr>
            </w:pPr>
          </w:p>
        </w:tc>
        <w:tc>
          <w:tcPr>
            <w:tcW w:w="1759" w:type="dxa"/>
            <w:vMerge/>
          </w:tcPr>
          <w:p w14:paraId="2230FE6C" w14:textId="77777777" w:rsidR="002D5BAE" w:rsidRPr="00F7226D" w:rsidRDefault="002D5BAE" w:rsidP="002D5BAE">
            <w:pPr>
              <w:spacing w:line="360" w:lineRule="auto"/>
              <w:jc w:val="both"/>
              <w:rPr>
                <w:rFonts w:ascii="Palatino Linotype" w:hAnsi="Palatino Linotype"/>
                <w:color w:val="000000"/>
                <w:lang w:val="es-ES_tradnl"/>
              </w:rPr>
            </w:pPr>
          </w:p>
        </w:tc>
        <w:tc>
          <w:tcPr>
            <w:tcW w:w="2269" w:type="dxa"/>
            <w:vMerge/>
          </w:tcPr>
          <w:p w14:paraId="4C9D3021" w14:textId="77777777" w:rsidR="002D5BAE" w:rsidRPr="00F7226D" w:rsidRDefault="002D5BAE" w:rsidP="002D5BAE">
            <w:pPr>
              <w:spacing w:line="360" w:lineRule="auto"/>
              <w:jc w:val="both"/>
              <w:rPr>
                <w:rFonts w:ascii="Palatino Linotype" w:hAnsi="Palatino Linotype"/>
                <w:color w:val="000000"/>
                <w:lang w:val="es-ES_tradnl"/>
              </w:rPr>
            </w:pPr>
          </w:p>
        </w:tc>
        <w:tc>
          <w:tcPr>
            <w:tcW w:w="2268" w:type="dxa"/>
            <w:vMerge/>
          </w:tcPr>
          <w:p w14:paraId="454C32FC"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07044161" w14:textId="77777777" w:rsidTr="00EB5F39">
        <w:tc>
          <w:tcPr>
            <w:tcW w:w="2155" w:type="dxa"/>
            <w:vMerge/>
            <w:shd w:val="clear" w:color="auto" w:fill="D5DCE4"/>
          </w:tcPr>
          <w:p w14:paraId="79923B3A" w14:textId="77777777" w:rsidR="002D5BAE" w:rsidRPr="00F7226D" w:rsidRDefault="002D5BAE" w:rsidP="002D5BAE">
            <w:pPr>
              <w:spacing w:line="360" w:lineRule="auto"/>
              <w:jc w:val="both"/>
              <w:rPr>
                <w:rFonts w:ascii="Palatino Linotype" w:hAnsi="Palatino Linotype"/>
                <w:color w:val="000000"/>
                <w:lang w:val="es-ES_tradnl"/>
              </w:rPr>
            </w:pPr>
          </w:p>
        </w:tc>
        <w:tc>
          <w:tcPr>
            <w:tcW w:w="1759" w:type="dxa"/>
            <w:vMerge/>
          </w:tcPr>
          <w:p w14:paraId="79F70ED0" w14:textId="77777777" w:rsidR="002D5BAE" w:rsidRPr="00F7226D" w:rsidRDefault="002D5BAE" w:rsidP="002D5BAE">
            <w:pPr>
              <w:spacing w:line="360" w:lineRule="auto"/>
              <w:jc w:val="both"/>
              <w:rPr>
                <w:rFonts w:ascii="Palatino Linotype" w:hAnsi="Palatino Linotype"/>
                <w:color w:val="000000"/>
                <w:lang w:val="es-ES_tradnl"/>
              </w:rPr>
            </w:pPr>
          </w:p>
        </w:tc>
        <w:tc>
          <w:tcPr>
            <w:tcW w:w="2269" w:type="dxa"/>
            <w:vMerge/>
          </w:tcPr>
          <w:p w14:paraId="16002D63" w14:textId="77777777" w:rsidR="002D5BAE" w:rsidRPr="00F7226D" w:rsidRDefault="002D5BAE" w:rsidP="002D5BAE">
            <w:pPr>
              <w:spacing w:line="360" w:lineRule="auto"/>
              <w:jc w:val="both"/>
              <w:rPr>
                <w:rFonts w:ascii="Palatino Linotype" w:hAnsi="Palatino Linotype"/>
                <w:color w:val="000000"/>
                <w:lang w:val="es-ES_tradnl"/>
              </w:rPr>
            </w:pPr>
          </w:p>
        </w:tc>
        <w:tc>
          <w:tcPr>
            <w:tcW w:w="2268" w:type="dxa"/>
          </w:tcPr>
          <w:p w14:paraId="1FD9F121"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 xml:space="preserve">El riesgo por divulgar es mayor que el interés público de que se difunda  </w:t>
            </w:r>
          </w:p>
        </w:tc>
      </w:tr>
      <w:tr w:rsidR="002D5BAE" w:rsidRPr="00F7226D" w14:paraId="3CAE13B4" w14:textId="77777777" w:rsidTr="00EB5F39">
        <w:trPr>
          <w:trHeight w:val="1454"/>
        </w:trPr>
        <w:tc>
          <w:tcPr>
            <w:tcW w:w="2155" w:type="dxa"/>
            <w:vMerge/>
            <w:shd w:val="clear" w:color="auto" w:fill="D5DCE4"/>
          </w:tcPr>
          <w:p w14:paraId="494CD72B" w14:textId="77777777" w:rsidR="002D5BAE" w:rsidRPr="00F7226D" w:rsidRDefault="002D5BAE" w:rsidP="002D5BAE">
            <w:pPr>
              <w:spacing w:line="360" w:lineRule="auto"/>
              <w:jc w:val="both"/>
              <w:rPr>
                <w:rFonts w:ascii="Palatino Linotype" w:hAnsi="Palatino Linotype"/>
                <w:color w:val="000000"/>
                <w:lang w:val="es-ES_tradnl"/>
              </w:rPr>
            </w:pPr>
          </w:p>
        </w:tc>
        <w:tc>
          <w:tcPr>
            <w:tcW w:w="1759" w:type="dxa"/>
            <w:vMerge/>
          </w:tcPr>
          <w:p w14:paraId="23E7578D" w14:textId="77777777" w:rsidR="002D5BAE" w:rsidRPr="00F7226D" w:rsidRDefault="002D5BAE" w:rsidP="002D5BAE">
            <w:pPr>
              <w:spacing w:line="360" w:lineRule="auto"/>
              <w:jc w:val="both"/>
              <w:rPr>
                <w:rFonts w:ascii="Palatino Linotype" w:hAnsi="Palatino Linotype"/>
                <w:color w:val="000000"/>
                <w:lang w:val="es-ES_tradnl"/>
              </w:rPr>
            </w:pPr>
          </w:p>
        </w:tc>
        <w:tc>
          <w:tcPr>
            <w:tcW w:w="2269" w:type="dxa"/>
            <w:vMerge/>
          </w:tcPr>
          <w:p w14:paraId="7D168845" w14:textId="77777777" w:rsidR="002D5BAE" w:rsidRPr="00F7226D" w:rsidRDefault="002D5BAE" w:rsidP="002D5BAE">
            <w:pPr>
              <w:spacing w:line="360" w:lineRule="auto"/>
              <w:jc w:val="both"/>
              <w:rPr>
                <w:rFonts w:ascii="Palatino Linotype" w:hAnsi="Palatino Linotype"/>
                <w:color w:val="000000"/>
                <w:lang w:val="es-ES_tradnl"/>
              </w:rPr>
            </w:pPr>
          </w:p>
        </w:tc>
        <w:tc>
          <w:tcPr>
            <w:tcW w:w="2268" w:type="dxa"/>
          </w:tcPr>
          <w:p w14:paraId="6476CD47"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El principio de proporcionalidad</w:t>
            </w:r>
          </w:p>
        </w:tc>
      </w:tr>
      <w:tr w:rsidR="002D5BAE" w:rsidRPr="00F7226D" w14:paraId="38E81292" w14:textId="77777777" w:rsidTr="00EB5F39">
        <w:tc>
          <w:tcPr>
            <w:tcW w:w="2155" w:type="dxa"/>
            <w:vMerge w:val="restart"/>
            <w:shd w:val="clear" w:color="auto" w:fill="D5DCE4"/>
          </w:tcPr>
          <w:p w14:paraId="7D36C457"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lastRenderedPageBreak/>
              <w:t>Condiciones especiales de la confidencialidad</w:t>
            </w:r>
          </w:p>
        </w:tc>
        <w:tc>
          <w:tcPr>
            <w:tcW w:w="1759" w:type="dxa"/>
          </w:tcPr>
          <w:p w14:paraId="391749A6"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 xml:space="preserve">Para clasificar se debe verificar que no se encuentre en los supuestos del artículo 148 de la ley Estatal </w:t>
            </w:r>
          </w:p>
        </w:tc>
        <w:tc>
          <w:tcPr>
            <w:tcW w:w="2269" w:type="dxa"/>
          </w:tcPr>
          <w:p w14:paraId="4D712B83"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 xml:space="preserve">Si se encuentra en los supuestos de dicho artículo se entrega aún sin consentimiento del titular del dato personal </w:t>
            </w:r>
          </w:p>
        </w:tc>
        <w:tc>
          <w:tcPr>
            <w:tcW w:w="2268" w:type="dxa"/>
          </w:tcPr>
          <w:p w14:paraId="099F2200" w14:textId="77777777" w:rsidR="002D5BAE" w:rsidRPr="00F7226D" w:rsidRDefault="002D5BAE" w:rsidP="002D5BAE">
            <w:pPr>
              <w:spacing w:line="360" w:lineRule="auto"/>
              <w:jc w:val="both"/>
              <w:rPr>
                <w:rFonts w:ascii="Palatino Linotype" w:hAnsi="Palatino Linotype"/>
                <w:color w:val="000000"/>
                <w:lang w:val="es-ES_tradnl"/>
              </w:rPr>
            </w:pPr>
          </w:p>
        </w:tc>
      </w:tr>
      <w:tr w:rsidR="002D5BAE" w:rsidRPr="00F7226D" w14:paraId="542BCCA9" w14:textId="77777777" w:rsidTr="00EB5F39">
        <w:trPr>
          <w:trHeight w:val="3404"/>
        </w:trPr>
        <w:tc>
          <w:tcPr>
            <w:tcW w:w="2155" w:type="dxa"/>
            <w:vMerge/>
            <w:shd w:val="clear" w:color="auto" w:fill="D5DCE4"/>
          </w:tcPr>
          <w:p w14:paraId="3A1D4A33" w14:textId="77777777" w:rsidR="002D5BAE" w:rsidRPr="00F7226D" w:rsidRDefault="002D5BAE" w:rsidP="002D5BAE">
            <w:pPr>
              <w:spacing w:line="360" w:lineRule="auto"/>
              <w:jc w:val="both"/>
              <w:rPr>
                <w:rFonts w:ascii="Palatino Linotype" w:hAnsi="Palatino Linotype"/>
                <w:color w:val="000000"/>
                <w:lang w:val="es-ES_tradnl"/>
              </w:rPr>
            </w:pPr>
          </w:p>
        </w:tc>
        <w:tc>
          <w:tcPr>
            <w:tcW w:w="1759" w:type="dxa"/>
          </w:tcPr>
          <w:p w14:paraId="10B4543B" w14:textId="77777777" w:rsidR="002D5BAE" w:rsidRPr="00F7226D" w:rsidRDefault="002D5BAE" w:rsidP="002D5BAE">
            <w:pPr>
              <w:spacing w:line="360" w:lineRule="auto"/>
              <w:jc w:val="both"/>
              <w:rPr>
                <w:rFonts w:ascii="Palatino Linotype" w:hAnsi="Palatino Linotype"/>
                <w:color w:val="000000"/>
                <w:lang w:val="es-ES_tradnl"/>
              </w:rPr>
            </w:pPr>
            <w:r w:rsidRPr="00F7226D">
              <w:rPr>
                <w:rFonts w:ascii="Palatino Linotype" w:hAnsi="Palatino Linotype"/>
                <w:color w:val="000000"/>
                <w:lang w:val="es-ES_tradnl"/>
              </w:rPr>
              <w:t>Si es posible, se debe consultar al titular de los datos para requerir su autorización para entregarlo</w:t>
            </w:r>
          </w:p>
        </w:tc>
        <w:tc>
          <w:tcPr>
            <w:tcW w:w="2269" w:type="dxa"/>
          </w:tcPr>
          <w:p w14:paraId="71101CC5" w14:textId="77777777" w:rsidR="002D5BAE" w:rsidRPr="00F7226D" w:rsidRDefault="002D5BAE" w:rsidP="002D5BAE">
            <w:pPr>
              <w:spacing w:line="360" w:lineRule="auto"/>
              <w:jc w:val="both"/>
              <w:rPr>
                <w:rFonts w:ascii="Palatino Linotype" w:hAnsi="Palatino Linotype"/>
                <w:color w:val="000000"/>
                <w:lang w:val="es-ES_tradnl"/>
              </w:rPr>
            </w:pPr>
          </w:p>
        </w:tc>
        <w:tc>
          <w:tcPr>
            <w:tcW w:w="2268" w:type="dxa"/>
          </w:tcPr>
          <w:p w14:paraId="122C9A65" w14:textId="77777777" w:rsidR="002D5BAE" w:rsidRPr="00F7226D" w:rsidRDefault="002D5BAE" w:rsidP="002D5BAE">
            <w:pPr>
              <w:spacing w:line="360" w:lineRule="auto"/>
              <w:jc w:val="both"/>
              <w:rPr>
                <w:rFonts w:ascii="Palatino Linotype" w:hAnsi="Palatino Linotype"/>
                <w:color w:val="000000"/>
                <w:lang w:val="es-ES_tradnl"/>
              </w:rPr>
            </w:pPr>
          </w:p>
        </w:tc>
      </w:tr>
    </w:tbl>
    <w:p w14:paraId="2F576389" w14:textId="77777777" w:rsidR="002D5BAE" w:rsidRPr="00F7226D" w:rsidRDefault="002D5BAE" w:rsidP="00EB5F39">
      <w:pPr>
        <w:numPr>
          <w:ilvl w:val="0"/>
          <w:numId w:val="2"/>
        </w:numPr>
        <w:shd w:val="clear" w:color="auto" w:fill="FFFFFF"/>
        <w:tabs>
          <w:tab w:val="left" w:pos="426"/>
        </w:tabs>
        <w:suppressAutoHyphens/>
        <w:spacing w:beforeAutospacing="1" w:after="240" w:line="360" w:lineRule="auto"/>
        <w:ind w:left="0" w:firstLine="0"/>
        <w:jc w:val="both"/>
        <w:textAlignment w:val="baseline"/>
        <w:rPr>
          <w:rFonts w:ascii="Palatino Linotype" w:hAnsi="Palatino Linotype" w:cs="Arial"/>
          <w:color w:val="000000"/>
          <w:lang w:val="es-ES_tradnl"/>
        </w:rPr>
      </w:pPr>
      <w:r w:rsidRPr="00F7226D">
        <w:rPr>
          <w:rFonts w:ascii="Palatino Linotype" w:eastAsia="Calibri" w:hAnsi="Palatino Linotype"/>
          <w:color w:val="000000"/>
          <w:lang w:val="es-MX" w:eastAsia="en-US"/>
        </w:rPr>
        <w:t>Pero</w:t>
      </w:r>
      <w:r w:rsidRPr="00F7226D">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1D4BBAC8" w14:textId="690DD22A" w:rsidR="00E24D12" w:rsidRPr="00F7226D" w:rsidRDefault="00E24D12" w:rsidP="00E24D12">
      <w:pPr>
        <w:keepNext/>
        <w:keepLines/>
        <w:suppressAutoHyphens/>
        <w:spacing w:before="240" w:after="240" w:line="360" w:lineRule="auto"/>
        <w:outlineLvl w:val="0"/>
        <w:rPr>
          <w:rFonts w:ascii="Palatino Linotype" w:hAnsi="Palatino Linotype"/>
          <w:b/>
          <w:color w:val="000000"/>
        </w:rPr>
      </w:pPr>
      <w:bookmarkStart w:id="107" w:name="_Toc104470966"/>
      <w:bookmarkStart w:id="108" w:name="_Toc110976885"/>
      <w:r w:rsidRPr="00F7226D">
        <w:rPr>
          <w:rFonts w:ascii="Palatino Linotype" w:hAnsi="Palatino Linotype"/>
          <w:b/>
          <w:color w:val="000000"/>
        </w:rPr>
        <w:lastRenderedPageBreak/>
        <w:t>SEXTO</w:t>
      </w:r>
      <w:r w:rsidR="002D5BAE" w:rsidRPr="00F7226D">
        <w:rPr>
          <w:rFonts w:ascii="Palatino Linotype" w:hAnsi="Palatino Linotype"/>
          <w:b/>
          <w:color w:val="000000"/>
        </w:rPr>
        <w:t>. De la decisión.</w:t>
      </w:r>
      <w:bookmarkEnd w:id="107"/>
      <w:bookmarkEnd w:id="108"/>
      <w:r w:rsidR="002D5BAE" w:rsidRPr="00F7226D">
        <w:rPr>
          <w:rFonts w:ascii="Palatino Linotype" w:hAnsi="Palatino Linotype"/>
          <w:b/>
          <w:color w:val="000000"/>
        </w:rPr>
        <w:t xml:space="preserve"> </w:t>
      </w:r>
    </w:p>
    <w:p w14:paraId="019766E7" w14:textId="77777777" w:rsidR="00EB5F39" w:rsidRPr="00F7226D" w:rsidRDefault="002D5BAE" w:rsidP="00EB5F39">
      <w:pPr>
        <w:numPr>
          <w:ilvl w:val="0"/>
          <w:numId w:val="2"/>
        </w:numPr>
        <w:suppressAutoHyphens/>
        <w:spacing w:before="240" w:after="240" w:line="360" w:lineRule="auto"/>
        <w:ind w:left="0" w:right="49" w:firstLine="0"/>
        <w:contextualSpacing/>
        <w:jc w:val="both"/>
        <w:rPr>
          <w:rFonts w:ascii="Palatino Linotype" w:hAnsi="Palatino Linotype" w:cs="Arial"/>
          <w:lang w:val="es-MX" w:eastAsia="es-ES_tradnl"/>
        </w:rPr>
      </w:pPr>
      <w:r w:rsidRPr="00F7226D">
        <w:rPr>
          <w:rFonts w:ascii="Palatino Linotype" w:hAnsi="Palatino Linotype" w:cs="Tahoma"/>
          <w:lang w:val="es-MX"/>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F7226D">
        <w:rPr>
          <w:rFonts w:ascii="Palatino Linotype" w:hAnsi="Palatino Linotype" w:cs="Tahoma"/>
          <w:b/>
          <w:lang w:val="es-MX"/>
        </w:rPr>
        <w:t xml:space="preserve">ORDENAR </w:t>
      </w:r>
      <w:r w:rsidRPr="00F7226D">
        <w:rPr>
          <w:rFonts w:ascii="Palatino Linotype" w:hAnsi="Palatino Linotype" w:cs="Tahoma"/>
          <w:lang w:val="es-MX"/>
        </w:rPr>
        <w:t>la entrega de la información solicitada, de ser el caso en versión pública.</w:t>
      </w:r>
    </w:p>
    <w:p w14:paraId="233463B5" w14:textId="77777777" w:rsidR="00EB5F39" w:rsidRPr="00F7226D" w:rsidRDefault="00EB5F39" w:rsidP="00EB5F39">
      <w:pPr>
        <w:suppressAutoHyphens/>
        <w:spacing w:before="240" w:after="240" w:line="360" w:lineRule="auto"/>
        <w:ind w:right="49"/>
        <w:contextualSpacing/>
        <w:jc w:val="both"/>
        <w:rPr>
          <w:rFonts w:ascii="Palatino Linotype" w:hAnsi="Palatino Linotype" w:cs="Arial"/>
          <w:lang w:val="es-MX" w:eastAsia="es-ES_tradnl"/>
        </w:rPr>
      </w:pPr>
    </w:p>
    <w:p w14:paraId="61158746" w14:textId="117C16D5" w:rsidR="002D5BAE" w:rsidRPr="003505AB" w:rsidRDefault="002D5BAE" w:rsidP="00EB5F39">
      <w:pPr>
        <w:numPr>
          <w:ilvl w:val="0"/>
          <w:numId w:val="2"/>
        </w:numPr>
        <w:suppressAutoHyphens/>
        <w:spacing w:before="240" w:after="240" w:line="360" w:lineRule="auto"/>
        <w:ind w:left="0" w:right="49" w:firstLine="0"/>
        <w:contextualSpacing/>
        <w:jc w:val="both"/>
        <w:rPr>
          <w:rFonts w:ascii="Palatino Linotype" w:hAnsi="Palatino Linotype" w:cs="Arial"/>
          <w:lang w:val="es-MX" w:eastAsia="es-ES_tradnl"/>
        </w:rPr>
      </w:pPr>
      <w:r w:rsidRPr="00F7226D">
        <w:rPr>
          <w:rFonts w:ascii="Palatino Linotype" w:hAnsi="Palatino Linotype" w:cs="Arial"/>
          <w:color w:val="000000"/>
          <w:lang w:val="es-ES_tradnl"/>
        </w:rPr>
        <w:t xml:space="preserve">Por lo anteriormente expuesto y fundado, este </w:t>
      </w:r>
      <w:r w:rsidRPr="00F7226D">
        <w:rPr>
          <w:rFonts w:ascii="Palatino Linotype" w:hAnsi="Palatino Linotype" w:cs="Arial"/>
          <w:b/>
          <w:color w:val="000000"/>
          <w:lang w:val="es-ES_tradnl"/>
        </w:rPr>
        <w:t>ÓRGANO GARANTE</w:t>
      </w:r>
      <w:r w:rsidRPr="00F7226D">
        <w:rPr>
          <w:rFonts w:ascii="Palatino Linotype" w:hAnsi="Palatino Linotype" w:cs="Arial"/>
          <w:color w:val="000000"/>
          <w:lang w:val="es-ES_tradnl"/>
        </w:rPr>
        <w:t xml:space="preserve"> emite los siguientes: ------------------------------------------------------------------</w:t>
      </w:r>
      <w:r w:rsidR="00AC3DFB" w:rsidRPr="00F7226D">
        <w:rPr>
          <w:rFonts w:ascii="Palatino Linotype" w:hAnsi="Palatino Linotype" w:cs="Arial"/>
          <w:color w:val="000000"/>
          <w:lang w:val="es-ES_tradnl"/>
        </w:rPr>
        <w:t>------------------------</w:t>
      </w:r>
    </w:p>
    <w:p w14:paraId="77CF38EE" w14:textId="77777777" w:rsidR="003505AB" w:rsidRDefault="003505AB" w:rsidP="003505AB">
      <w:pPr>
        <w:pStyle w:val="Prrafodelista"/>
        <w:rPr>
          <w:rFonts w:ascii="Palatino Linotype" w:hAnsi="Palatino Linotype" w:cs="Arial"/>
          <w:lang w:val="es-MX" w:eastAsia="es-ES_tradnl"/>
        </w:rPr>
      </w:pPr>
    </w:p>
    <w:p w14:paraId="11F36D96" w14:textId="77777777" w:rsidR="002D5BAE" w:rsidRPr="00F7226D" w:rsidRDefault="002D5BAE" w:rsidP="002D5BAE">
      <w:pPr>
        <w:keepNext/>
        <w:keepLines/>
        <w:spacing w:before="240" w:line="360" w:lineRule="auto"/>
        <w:jc w:val="center"/>
        <w:outlineLvl w:val="0"/>
        <w:rPr>
          <w:rFonts w:ascii="Palatino Linotype" w:eastAsia="Calibri" w:hAnsi="Palatino Linotype"/>
        </w:rPr>
      </w:pPr>
      <w:bookmarkStart w:id="109" w:name="_Toc524344198"/>
      <w:bookmarkStart w:id="110" w:name="_Toc526271203"/>
      <w:bookmarkStart w:id="111" w:name="_Toc536106982"/>
      <w:bookmarkStart w:id="112" w:name="_Toc104470967"/>
      <w:bookmarkStart w:id="113" w:name="_Toc110976886"/>
      <w:r w:rsidRPr="00F7226D">
        <w:rPr>
          <w:rFonts w:ascii="Palatino Linotype" w:eastAsia="Calibri" w:hAnsi="Palatino Linotype"/>
          <w:b/>
        </w:rPr>
        <w:t>R E S O L U T I V O S</w:t>
      </w:r>
      <w:bookmarkEnd w:id="109"/>
      <w:bookmarkEnd w:id="110"/>
      <w:bookmarkEnd w:id="111"/>
      <w:bookmarkEnd w:id="112"/>
      <w:bookmarkEnd w:id="113"/>
      <w:r w:rsidRPr="00F7226D">
        <w:rPr>
          <w:rFonts w:ascii="Palatino Linotype" w:eastAsia="Calibri" w:hAnsi="Palatino Linotype"/>
          <w:b/>
        </w:rPr>
        <w:t xml:space="preserve"> </w:t>
      </w:r>
    </w:p>
    <w:p w14:paraId="42BFCF36" w14:textId="77777777" w:rsidR="002D5BAE" w:rsidRPr="00F7226D" w:rsidRDefault="002D5BAE" w:rsidP="002D5BAE">
      <w:pPr>
        <w:spacing w:line="360" w:lineRule="auto"/>
        <w:rPr>
          <w:rFonts w:ascii="Palatino Linotype" w:hAnsi="Palatino Linotype"/>
        </w:rPr>
      </w:pPr>
    </w:p>
    <w:p w14:paraId="537D1B8A" w14:textId="7413F166" w:rsidR="002D5BAE" w:rsidRPr="00F7226D" w:rsidRDefault="002D5BAE" w:rsidP="002D5BAE">
      <w:pPr>
        <w:spacing w:line="360" w:lineRule="auto"/>
        <w:jc w:val="both"/>
        <w:rPr>
          <w:rFonts w:ascii="Palatino Linotype" w:hAnsi="Palatino Linotype" w:cs="Arial"/>
        </w:rPr>
      </w:pPr>
      <w:r w:rsidRPr="00F7226D">
        <w:rPr>
          <w:rFonts w:ascii="Palatino Linotype" w:hAnsi="Palatino Linotype" w:cs="Arial"/>
          <w:b/>
          <w:lang w:val="es-ES_tradnl"/>
        </w:rPr>
        <w:t xml:space="preserve">PRIMERO. </w:t>
      </w:r>
      <w:r w:rsidRPr="00F7226D">
        <w:rPr>
          <w:rFonts w:ascii="Palatino Linotype" w:hAnsi="Palatino Linotype" w:cs="Arial"/>
          <w:lang w:val="es-ES_tradnl"/>
        </w:rPr>
        <w:t>Resultan fundadas las</w:t>
      </w:r>
      <w:r w:rsidRPr="00F7226D">
        <w:rPr>
          <w:rFonts w:ascii="Palatino Linotype" w:hAnsi="Palatino Linotype" w:cs="Arial"/>
          <w:b/>
          <w:lang w:val="es-ES_tradnl"/>
        </w:rPr>
        <w:t xml:space="preserve"> </w:t>
      </w:r>
      <w:r w:rsidRPr="00F7226D">
        <w:rPr>
          <w:rFonts w:ascii="Palatino Linotype" w:hAnsi="Palatino Linotype" w:cs="Arial"/>
        </w:rPr>
        <w:t xml:space="preserve">razones o motivos de inconformidad hechos valer en el recurso de revisión </w:t>
      </w:r>
      <w:r w:rsidR="00E24D12" w:rsidRPr="00F7226D">
        <w:rPr>
          <w:rFonts w:ascii="Palatino Linotype" w:hAnsi="Palatino Linotype" w:cs="Arial"/>
          <w:b/>
        </w:rPr>
        <w:t>01148/INFOEM/ICR-254/IP/RR/2023</w:t>
      </w:r>
      <w:r w:rsidR="00E24D12" w:rsidRPr="00F7226D">
        <w:rPr>
          <w:rFonts w:ascii="Palatino Linotype" w:hAnsi="Palatino Linotype" w:cs="Arial"/>
        </w:rPr>
        <w:t xml:space="preserve"> </w:t>
      </w:r>
      <w:r w:rsidRPr="00F7226D">
        <w:rPr>
          <w:rFonts w:ascii="Palatino Linotype" w:hAnsi="Palatino Linotype" w:cs="Arial"/>
          <w:bCs/>
          <w:lang w:val="es-ES_tradnl" w:eastAsia="es-MX"/>
        </w:rPr>
        <w:t xml:space="preserve">en términos del </w:t>
      </w:r>
      <w:r w:rsidR="003505AB">
        <w:rPr>
          <w:rFonts w:ascii="Palatino Linotype" w:hAnsi="Palatino Linotype" w:cs="Arial"/>
          <w:b/>
          <w:bCs/>
          <w:lang w:val="es-ES_tradnl" w:eastAsia="es-MX"/>
        </w:rPr>
        <w:t>c</w:t>
      </w:r>
      <w:r w:rsidRPr="00F7226D">
        <w:rPr>
          <w:rFonts w:ascii="Palatino Linotype" w:hAnsi="Palatino Linotype" w:cs="Arial"/>
          <w:b/>
          <w:bCs/>
          <w:lang w:val="es-ES_tradnl" w:eastAsia="es-MX"/>
        </w:rPr>
        <w:t xml:space="preserve">onsiderando CUARTO </w:t>
      </w:r>
      <w:r w:rsidR="00386987" w:rsidRPr="00F7226D">
        <w:rPr>
          <w:rFonts w:ascii="Palatino Linotype" w:hAnsi="Palatino Linotype" w:cs="Arial"/>
          <w:b/>
          <w:bCs/>
          <w:lang w:val="es-ES_tradnl" w:eastAsia="es-MX"/>
        </w:rPr>
        <w:t xml:space="preserve">y SEXTO </w:t>
      </w:r>
      <w:r w:rsidRPr="00F7226D">
        <w:rPr>
          <w:rFonts w:ascii="Palatino Linotype" w:hAnsi="Palatino Linotype" w:cs="Arial"/>
          <w:bCs/>
          <w:lang w:val="es-ES_tradnl" w:eastAsia="es-MX"/>
        </w:rPr>
        <w:t>de la presente resolución.</w:t>
      </w:r>
    </w:p>
    <w:p w14:paraId="01965D92" w14:textId="77777777" w:rsidR="002D5BAE" w:rsidRPr="00F7226D" w:rsidRDefault="002D5BAE" w:rsidP="002D5BAE">
      <w:pPr>
        <w:spacing w:line="360" w:lineRule="auto"/>
        <w:jc w:val="both"/>
        <w:rPr>
          <w:rFonts w:ascii="Palatino Linotype" w:hAnsi="Palatino Linotype" w:cs="Arial"/>
          <w:bCs/>
          <w:lang w:val="es-ES_tradnl" w:eastAsia="es-MX"/>
        </w:rPr>
      </w:pPr>
    </w:p>
    <w:p w14:paraId="277BC07F" w14:textId="2A613560" w:rsidR="00F03BAC" w:rsidRPr="00F7226D" w:rsidRDefault="002D5BAE" w:rsidP="002D5BAE">
      <w:pPr>
        <w:spacing w:line="360" w:lineRule="auto"/>
        <w:jc w:val="both"/>
        <w:rPr>
          <w:rFonts w:ascii="Palatino Linotype" w:eastAsia="Calibri" w:hAnsi="Palatino Linotype" w:cs="Arial"/>
          <w:bCs/>
        </w:rPr>
      </w:pPr>
      <w:r w:rsidRPr="00F7226D">
        <w:rPr>
          <w:rFonts w:ascii="Palatino Linotype" w:eastAsia="Calibri" w:hAnsi="Palatino Linotype" w:cs="Arial"/>
          <w:b/>
          <w:bCs/>
        </w:rPr>
        <w:t xml:space="preserve">SEGUNDO. </w:t>
      </w:r>
      <w:r w:rsidRPr="00F7226D">
        <w:rPr>
          <w:rFonts w:ascii="Palatino Linotype" w:eastAsia="Calibri" w:hAnsi="Palatino Linotype" w:cs="Arial"/>
        </w:rPr>
        <w:t xml:space="preserve">Se </w:t>
      </w:r>
      <w:r w:rsidRPr="00F7226D">
        <w:rPr>
          <w:rFonts w:ascii="Palatino Linotype" w:eastAsia="Calibri" w:hAnsi="Palatino Linotype" w:cs="Arial"/>
          <w:b/>
        </w:rPr>
        <w:t xml:space="preserve">ORDENA </w:t>
      </w:r>
      <w:r w:rsidRPr="00F7226D">
        <w:rPr>
          <w:rFonts w:ascii="Palatino Linotype" w:eastAsia="Calibri" w:hAnsi="Palatino Linotype" w:cs="Arial"/>
        </w:rPr>
        <w:t>a</w:t>
      </w:r>
      <w:r w:rsidRPr="00F7226D">
        <w:rPr>
          <w:rFonts w:ascii="Palatino Linotype" w:eastAsia="Calibri" w:hAnsi="Palatino Linotype" w:cs="Arial"/>
          <w:b/>
        </w:rPr>
        <w:t xml:space="preserve">l </w:t>
      </w:r>
      <w:r w:rsidR="006D0EFC" w:rsidRPr="00F7226D">
        <w:rPr>
          <w:rFonts w:ascii="Palatino Linotype" w:eastAsia="Calibri" w:hAnsi="Palatino Linotype" w:cs="Arial"/>
          <w:b/>
          <w:lang w:val="es-ES_tradnl"/>
        </w:rPr>
        <w:t>Ayuntamiento de Zinacantepec</w:t>
      </w:r>
      <w:r w:rsidR="006D0EFC" w:rsidRPr="00F7226D">
        <w:rPr>
          <w:rFonts w:ascii="Palatino Linotype" w:eastAsia="Calibri" w:hAnsi="Palatino Linotype" w:cs="Arial"/>
          <w:b/>
        </w:rPr>
        <w:t xml:space="preserve"> </w:t>
      </w:r>
      <w:r w:rsidRPr="00F7226D">
        <w:rPr>
          <w:rFonts w:ascii="Palatino Linotype" w:eastAsia="Calibri" w:hAnsi="Palatino Linotype" w:cs="Arial"/>
        </w:rPr>
        <w:t xml:space="preserve">dar atención a la solicitud de información </w:t>
      </w:r>
      <w:r w:rsidR="006D0EFC" w:rsidRPr="00F7226D">
        <w:rPr>
          <w:rFonts w:ascii="Palatino Linotype" w:eastAsia="Calibri" w:hAnsi="Palatino Linotype" w:cs="Arial"/>
          <w:b/>
          <w:bCs/>
        </w:rPr>
        <w:t>00135/ZINACANT/IP/2023</w:t>
      </w:r>
      <w:r w:rsidR="00F03BAC" w:rsidRPr="00F7226D">
        <w:rPr>
          <w:rFonts w:ascii="Palatino Linotype" w:eastAsia="Calibri" w:hAnsi="Palatino Linotype" w:cs="Arial"/>
          <w:bCs/>
        </w:rPr>
        <w:t xml:space="preserve"> y entregar vía Sistema de Acceso a la Información Mexiquense </w:t>
      </w:r>
      <w:r w:rsidR="00F03BAC" w:rsidRPr="00F7226D">
        <w:rPr>
          <w:rFonts w:ascii="Palatino Linotype" w:eastAsia="Calibri" w:hAnsi="Palatino Linotype" w:cs="Arial"/>
          <w:b/>
          <w:bCs/>
        </w:rPr>
        <w:t xml:space="preserve">(SAIMEX), de ser procedente en versión pública, </w:t>
      </w:r>
      <w:r w:rsidR="00F03BAC" w:rsidRPr="00F7226D">
        <w:rPr>
          <w:rFonts w:ascii="Palatino Linotype" w:eastAsia="Calibri" w:hAnsi="Palatino Linotype" w:cs="Arial"/>
          <w:bCs/>
        </w:rPr>
        <w:t>los documentos en donde consten:</w:t>
      </w:r>
    </w:p>
    <w:p w14:paraId="123EA75B" w14:textId="61683072" w:rsidR="006D0EFC" w:rsidRPr="00F7226D" w:rsidRDefault="006D0EFC" w:rsidP="00F03BAC">
      <w:pPr>
        <w:spacing w:line="360" w:lineRule="auto"/>
        <w:jc w:val="both"/>
        <w:rPr>
          <w:rFonts w:ascii="Palatino Linotype" w:eastAsia="Calibri" w:hAnsi="Palatino Linotype" w:cs="Arial"/>
          <w:bCs/>
        </w:rPr>
      </w:pPr>
    </w:p>
    <w:p w14:paraId="64C92C04" w14:textId="7BA3200F" w:rsidR="0032352D" w:rsidRPr="00F7226D" w:rsidRDefault="00F03BAC" w:rsidP="0032352D">
      <w:pPr>
        <w:pStyle w:val="Prrafodelista"/>
        <w:numPr>
          <w:ilvl w:val="0"/>
          <w:numId w:val="9"/>
        </w:numPr>
        <w:spacing w:line="360" w:lineRule="auto"/>
        <w:ind w:right="607"/>
        <w:jc w:val="both"/>
        <w:rPr>
          <w:rFonts w:ascii="Palatino Linotype" w:eastAsia="Calibri" w:hAnsi="Palatino Linotype" w:cs="Arial"/>
          <w:b/>
          <w:bCs/>
        </w:rPr>
      </w:pPr>
      <w:r w:rsidRPr="00F7226D">
        <w:rPr>
          <w:rFonts w:ascii="Palatino Linotype" w:eastAsia="Calibri" w:hAnsi="Palatino Linotype" w:cs="Arial"/>
          <w:b/>
          <w:bCs/>
        </w:rPr>
        <w:t xml:space="preserve">Facturas pagadas del primero (01) al veintisiete (27) de enero de dos mil veintitrés. </w:t>
      </w:r>
    </w:p>
    <w:p w14:paraId="0B49FE7A" w14:textId="52271F5D" w:rsidR="00DD4296" w:rsidRPr="00F7226D" w:rsidRDefault="00DD4296" w:rsidP="00DD4296">
      <w:pPr>
        <w:shd w:val="clear" w:color="auto" w:fill="FFFFFF"/>
        <w:tabs>
          <w:tab w:val="left" w:pos="0"/>
        </w:tabs>
        <w:spacing w:before="240" w:after="240" w:line="360" w:lineRule="auto"/>
        <w:ind w:right="49"/>
        <w:jc w:val="both"/>
        <w:rPr>
          <w:rFonts w:ascii="Palatino Linotype" w:eastAsia="MS Mincho" w:hAnsi="Palatino Linotype"/>
          <w:iCs/>
          <w:color w:val="000000"/>
          <w:lang w:val="es-ES_tradnl"/>
        </w:rPr>
      </w:pPr>
      <w:r w:rsidRPr="00F7226D">
        <w:rPr>
          <w:rFonts w:ascii="Palatino Linotype" w:eastAsia="MS Mincho" w:hAnsi="Palatino Linotype"/>
          <w:iCs/>
          <w:color w:val="000000"/>
          <w:lang w:val="es-ES_tradnl"/>
        </w:rPr>
        <w:lastRenderedPageBreak/>
        <w:t xml:space="preserve">Para efectos de lo anterior se deberá emitir el Acuerdo del Comité de Transparencia en términos de los artículos 49 fracción VIII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2232B83E" w14:textId="28410AFC" w:rsidR="00DD4296" w:rsidRPr="00F7226D" w:rsidRDefault="00DD4296" w:rsidP="00DD4296">
      <w:pPr>
        <w:shd w:val="clear" w:color="auto" w:fill="FFFFFF"/>
        <w:tabs>
          <w:tab w:val="left" w:pos="0"/>
        </w:tabs>
        <w:spacing w:before="240" w:after="240" w:line="360" w:lineRule="auto"/>
        <w:ind w:right="49"/>
        <w:jc w:val="both"/>
        <w:rPr>
          <w:rFonts w:ascii="Palatino Linotype" w:eastAsia="MS Mincho" w:hAnsi="Palatino Linotype"/>
          <w:iCs/>
          <w:color w:val="000000"/>
          <w:lang w:val="es-ES_tradnl"/>
        </w:rPr>
      </w:pPr>
      <w:r w:rsidRPr="00F7226D">
        <w:rPr>
          <w:rFonts w:ascii="Palatino Linotype" w:eastAsia="MS Mincho" w:hAnsi="Palatino Linotype"/>
          <w:iCs/>
          <w:color w:val="000000"/>
          <w:lang w:val="es-ES_tradnl"/>
        </w:rPr>
        <w:t>Para el caso de que no se localice la información de la que se ordena entrega por corresponder a días inhábiles, se deberá de manifestar de manera precisa y clara las razones que expliquen las causas por las que no se cuente con la información solicitada.</w:t>
      </w:r>
    </w:p>
    <w:p w14:paraId="3E612060" w14:textId="77777777" w:rsidR="00E24D12" w:rsidRPr="00F7226D" w:rsidRDefault="00E24D12" w:rsidP="00E24D12">
      <w:pPr>
        <w:shd w:val="clear" w:color="auto" w:fill="FFFFFF"/>
        <w:spacing w:line="360" w:lineRule="auto"/>
        <w:jc w:val="both"/>
        <w:rPr>
          <w:rFonts w:ascii="Palatino Linotype" w:hAnsi="Palatino Linotype" w:cs="Arial"/>
          <w:b/>
          <w:lang w:val="es-MX"/>
        </w:rPr>
      </w:pPr>
      <w:r w:rsidRPr="00F7226D">
        <w:rPr>
          <w:rFonts w:ascii="Palatino Linotype" w:hAnsi="Palatino Linotype" w:cs="Arial"/>
          <w:b/>
          <w:lang w:val="es-MX"/>
        </w:rPr>
        <w:t xml:space="preserve">TERCERO. </w:t>
      </w:r>
      <w:r w:rsidRPr="00F7226D">
        <w:rPr>
          <w:rFonts w:ascii="Palatino Linotype" w:hAnsi="Palatino Linotype" w:cs="Arial"/>
          <w:lang w:val="es-MX"/>
        </w:rPr>
        <w:t xml:space="preserve">Notifíquese al Titular de la Unidad de Transparencia </w:t>
      </w:r>
      <w:r w:rsidRPr="00F7226D">
        <w:rPr>
          <w:rFonts w:ascii="Palatino Linotype" w:hAnsi="Palatino Linotype" w:cs="Arial"/>
          <w:lang w:val="es-ES_tradnl"/>
        </w:rPr>
        <w:t>del</w:t>
      </w:r>
      <w:r w:rsidRPr="00F7226D">
        <w:rPr>
          <w:rFonts w:ascii="Palatino Linotype" w:hAnsi="Palatino Linotype" w:cs="Arial"/>
          <w:b/>
          <w:lang w:val="es-ES_tradnl"/>
        </w:rPr>
        <w:t xml:space="preserve"> </w:t>
      </w:r>
      <w:r w:rsidRPr="00F7226D">
        <w:rPr>
          <w:rFonts w:ascii="Palatino Linotype" w:hAnsi="Palatino Linotype" w:cs="Arial"/>
          <w:b/>
          <w:bCs/>
          <w:lang w:val="es-ES_tradnl"/>
        </w:rPr>
        <w:t xml:space="preserve">SUJETO OBLIGADO </w:t>
      </w:r>
      <w:r w:rsidRPr="00F7226D">
        <w:rPr>
          <w:rFonts w:ascii="Palatino Linotype" w:hAnsi="Palatino Linotype" w:cs="Arial"/>
          <w:bCs/>
          <w:lang w:val="es-ES_tradnl"/>
        </w:rPr>
        <w:t>la presente resolución, vía Sistema de Acceso a la Información Mexiquense (SAIMEX)</w:t>
      </w:r>
      <w:r w:rsidRPr="00F7226D">
        <w:rPr>
          <w:rFonts w:ascii="Palatino Linotype" w:hAnsi="Palatino Linotype" w:cs="Arial"/>
          <w:lang w:val="es-ES_tradnl"/>
        </w:rPr>
        <w:t xml:space="preserve">, para que conforme al artículo 186, último párrafo, 189, segundo párrafo, y 194 de la Ley de Transparencia y Acceso a la Información Pública del Estado de México y Municipios dé cumplimiento a lo ordenado dentro del </w:t>
      </w:r>
      <w:r w:rsidRPr="00CB7C0F">
        <w:rPr>
          <w:rFonts w:ascii="Palatino Linotype" w:hAnsi="Palatino Linotype" w:cs="Arial"/>
          <w:b/>
          <w:lang w:val="es-ES_tradnl"/>
        </w:rPr>
        <w:t>plazo de diez días hábiles,</w:t>
      </w:r>
      <w:r w:rsidRPr="00F7226D">
        <w:rPr>
          <w:rFonts w:ascii="Palatino Linotype" w:hAnsi="Palatino Linotype" w:cs="Arial"/>
          <w:lang w:val="es-ES_tradnl"/>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B2ACA3" w14:textId="77777777" w:rsidR="002D5BAE" w:rsidRPr="00F7226D" w:rsidRDefault="002D5BAE" w:rsidP="002D5BAE">
      <w:pPr>
        <w:shd w:val="clear" w:color="auto" w:fill="FFFFFF"/>
        <w:spacing w:line="360" w:lineRule="auto"/>
        <w:jc w:val="both"/>
        <w:rPr>
          <w:rFonts w:ascii="Palatino Linotype" w:hAnsi="Palatino Linotype" w:cs="Arial"/>
          <w:b/>
          <w:lang w:val="es-ES_tradnl"/>
        </w:rPr>
      </w:pPr>
    </w:p>
    <w:p w14:paraId="1295CB26" w14:textId="77777777" w:rsidR="002D5BAE" w:rsidRPr="00F7226D" w:rsidRDefault="002D5BAE" w:rsidP="002D5BAE">
      <w:pPr>
        <w:shd w:val="clear" w:color="auto" w:fill="FFFFFF"/>
        <w:spacing w:line="360" w:lineRule="auto"/>
        <w:jc w:val="both"/>
        <w:rPr>
          <w:rFonts w:ascii="Palatino Linotype" w:eastAsia="MS Mincho" w:hAnsi="Palatino Linotype"/>
          <w:lang w:val="es-ES_tradnl"/>
        </w:rPr>
      </w:pPr>
      <w:r w:rsidRPr="00F7226D">
        <w:rPr>
          <w:rFonts w:ascii="Palatino Linotype" w:hAnsi="Palatino Linotype" w:cs="Arial"/>
          <w:b/>
          <w:lang w:val="es-ES_tradnl"/>
        </w:rPr>
        <w:lastRenderedPageBreak/>
        <w:t xml:space="preserve">CUARTO. </w:t>
      </w:r>
      <w:r w:rsidRPr="00F7226D">
        <w:rPr>
          <w:rFonts w:ascii="Palatino Linotype" w:hAnsi="Palatino Linotype"/>
          <w:b/>
          <w:bCs/>
          <w:color w:val="222222"/>
        </w:rPr>
        <w:t xml:space="preserve">Notifíquese </w:t>
      </w:r>
      <w:r w:rsidRPr="00F7226D">
        <w:rPr>
          <w:rFonts w:ascii="Palatino Linotype" w:hAnsi="Palatino Linotype"/>
          <w:bCs/>
          <w:color w:val="222222"/>
        </w:rPr>
        <w:t>a</w:t>
      </w:r>
      <w:r w:rsidRPr="00F7226D">
        <w:rPr>
          <w:rFonts w:ascii="Palatino Linotype" w:hAnsi="Palatino Linotype"/>
          <w:lang w:val="es-ES_tradnl"/>
        </w:rPr>
        <w:t xml:space="preserve"> la parte </w:t>
      </w:r>
      <w:r w:rsidRPr="00F7226D">
        <w:rPr>
          <w:rFonts w:ascii="Palatino Linotype" w:hAnsi="Palatino Linotype"/>
          <w:b/>
          <w:lang w:val="es-ES_tradnl"/>
        </w:rPr>
        <w:t>RECURRENTE</w:t>
      </w:r>
      <w:r w:rsidRPr="00F7226D">
        <w:rPr>
          <w:rFonts w:ascii="Palatino Linotype" w:hAnsi="Palatino Linotype"/>
          <w:lang w:val="es-ES_tradnl"/>
        </w:rPr>
        <w:t xml:space="preserve"> la presente resolución</w:t>
      </w:r>
      <w:r w:rsidRPr="00F7226D">
        <w:rPr>
          <w:rFonts w:ascii="Palatino Linotype" w:eastAsia="MS Mincho" w:hAnsi="Palatino Linotype"/>
          <w:lang w:val="es-ES_tradnl"/>
        </w:rPr>
        <w:t xml:space="preserve"> vía Sistema de Acceso a Información Mexiquense (</w:t>
      </w:r>
      <w:r w:rsidRPr="00F7226D">
        <w:rPr>
          <w:rFonts w:ascii="Palatino Linotype" w:eastAsia="MS Mincho" w:hAnsi="Palatino Linotype"/>
          <w:b/>
        </w:rPr>
        <w:t>SAIMEX).</w:t>
      </w:r>
    </w:p>
    <w:p w14:paraId="179F33CB" w14:textId="77777777" w:rsidR="002D5BAE" w:rsidRPr="00F7226D" w:rsidRDefault="002D5BAE" w:rsidP="002D5BAE">
      <w:pPr>
        <w:shd w:val="clear" w:color="auto" w:fill="FFFFFF"/>
        <w:spacing w:line="360" w:lineRule="auto"/>
        <w:jc w:val="both"/>
        <w:rPr>
          <w:rFonts w:ascii="Palatino Linotype" w:eastAsia="MS Mincho" w:hAnsi="Palatino Linotype"/>
          <w:lang w:val="es-ES_tradnl"/>
        </w:rPr>
      </w:pPr>
    </w:p>
    <w:p w14:paraId="5192B50F" w14:textId="77777777" w:rsidR="002D5BAE" w:rsidRPr="00F7226D" w:rsidRDefault="002D5BAE" w:rsidP="002D5BAE">
      <w:pPr>
        <w:shd w:val="clear" w:color="auto" w:fill="FFFFFF"/>
        <w:spacing w:line="360" w:lineRule="auto"/>
        <w:jc w:val="both"/>
        <w:rPr>
          <w:rFonts w:ascii="Palatino Linotype" w:eastAsia="MS Mincho" w:hAnsi="Palatino Linotype"/>
        </w:rPr>
      </w:pPr>
      <w:r w:rsidRPr="00F7226D">
        <w:rPr>
          <w:rFonts w:ascii="Palatino Linotype" w:eastAsia="MS Mincho" w:hAnsi="Palatino Linotype"/>
          <w:b/>
          <w:lang w:val="es-MX"/>
        </w:rPr>
        <w:t>QUINTO.</w:t>
      </w:r>
      <w:r w:rsidRPr="00F7226D">
        <w:rPr>
          <w:rFonts w:ascii="Palatino Linotype" w:eastAsia="MS Mincho" w:hAnsi="Palatino Linotype"/>
          <w:lang w:val="es-MX"/>
        </w:rPr>
        <w:t xml:space="preserve"> </w:t>
      </w:r>
      <w:r w:rsidRPr="00F7226D">
        <w:rPr>
          <w:rFonts w:ascii="Palatino Linotype" w:eastAsia="MS Mincho" w:hAnsi="Palatino Linotype"/>
        </w:rPr>
        <w:t>Se hace del conocimiento de la parte</w:t>
      </w:r>
      <w:r w:rsidRPr="00F7226D">
        <w:rPr>
          <w:rFonts w:ascii="Palatino Linotype" w:hAnsi="Palatino Linotype"/>
          <w:b/>
          <w:lang w:val="es-ES_tradnl"/>
        </w:rPr>
        <w:t xml:space="preserve"> </w:t>
      </w:r>
      <w:r w:rsidRPr="00F7226D">
        <w:rPr>
          <w:rFonts w:ascii="Palatino Linotype" w:eastAsia="MS Mincho" w:hAnsi="Palatino Linotype"/>
          <w:b/>
          <w:lang w:val="es-ES_tradnl"/>
        </w:rPr>
        <w:t>RECURRENTE</w:t>
      </w:r>
      <w:r w:rsidRPr="00F7226D">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7226D">
        <w:rPr>
          <w:rFonts w:ascii="Palatino Linotype" w:eastAsia="MS Mincho" w:hAnsi="Palatino Linotype"/>
          <w:bCs/>
        </w:rPr>
        <w:t>vía juicio de amparo</w:t>
      </w:r>
      <w:r w:rsidRPr="00F7226D">
        <w:rPr>
          <w:rFonts w:ascii="Palatino Linotype" w:eastAsia="MS Mincho" w:hAnsi="Palatino Linotype"/>
        </w:rPr>
        <w:t> en los términos de las leyes aplicables.</w:t>
      </w:r>
    </w:p>
    <w:p w14:paraId="0438D0C7" w14:textId="77777777" w:rsidR="002D5BAE" w:rsidRPr="00F7226D" w:rsidRDefault="002D5BAE" w:rsidP="002D5BAE">
      <w:pPr>
        <w:spacing w:line="360" w:lineRule="auto"/>
        <w:jc w:val="both"/>
        <w:rPr>
          <w:rFonts w:ascii="Palatino Linotype" w:eastAsia="MS Mincho" w:hAnsi="Palatino Linotype"/>
          <w:b/>
          <w:lang w:val="es-ES_tradnl"/>
        </w:rPr>
      </w:pPr>
    </w:p>
    <w:p w14:paraId="633C0FEF" w14:textId="3C20C865" w:rsidR="00093426" w:rsidRPr="00093426" w:rsidRDefault="00093426" w:rsidP="00093426">
      <w:pPr>
        <w:spacing w:before="240" w:after="240" w:line="360" w:lineRule="auto"/>
        <w:ind w:firstLine="1"/>
        <w:jc w:val="both"/>
        <w:rPr>
          <w:rFonts w:ascii="Palatino Linotype" w:hAnsi="Palatino Linotype"/>
          <w:smallCaps/>
        </w:rPr>
      </w:pPr>
      <w:bookmarkStart w:id="114" w:name="_Hlk129792997"/>
      <w:bookmarkEnd w:id="39"/>
      <w:bookmarkEnd w:id="40"/>
      <w:bookmarkEnd w:id="41"/>
      <w:bookmarkEnd w:id="42"/>
      <w:bookmarkEnd w:id="43"/>
      <w:r w:rsidRPr="00093426">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PRIMERA SESIÓN ORDINARIA CELEBRADA EL SIETE (</w:t>
      </w:r>
      <w:r w:rsidR="003505AB">
        <w:rPr>
          <w:rStyle w:val="Referenciasutil"/>
          <w:rFonts w:ascii="Palatino Linotype" w:hAnsi="Palatino Linotype"/>
          <w:color w:val="auto"/>
        </w:rPr>
        <w:t>0</w:t>
      </w:r>
      <w:r w:rsidRPr="00093426">
        <w:rPr>
          <w:rStyle w:val="Referenciasutil"/>
          <w:rFonts w:ascii="Palatino Linotype" w:hAnsi="Palatino Linotype"/>
          <w:color w:val="auto"/>
        </w:rPr>
        <w:t xml:space="preserve">7) DE JUNIO DE DOS MIL VEINTITRÉS, ANTE EL SECRETARIO TÉCNICO DEL PLENO ALEXIS TAPIA RAMÍREZ. </w:t>
      </w:r>
      <w:bookmarkEnd w:id="114"/>
    </w:p>
    <w:p w14:paraId="35598F4A" w14:textId="77777777" w:rsidR="002D5BAE" w:rsidRDefault="002D5BAE" w:rsidP="002D5BAE">
      <w:pPr>
        <w:tabs>
          <w:tab w:val="left" w:pos="426"/>
        </w:tabs>
        <w:spacing w:before="240" w:after="240" w:line="360" w:lineRule="auto"/>
        <w:ind w:right="51"/>
        <w:contextualSpacing/>
        <w:jc w:val="both"/>
        <w:rPr>
          <w:rFonts w:ascii="Palatino Linotype" w:eastAsia="Calibri" w:hAnsi="Palatino Linotype" w:cs="Arial"/>
          <w:lang w:val="es-ES_tradnl" w:eastAsia="es-MX"/>
        </w:rPr>
      </w:pPr>
    </w:p>
    <w:sectPr w:rsidR="002D5BAE" w:rsidSect="00130703">
      <w:headerReference w:type="default" r:id="rId13"/>
      <w:footerReference w:type="default" r:id="rId14"/>
      <w:headerReference w:type="first" r:id="rId15"/>
      <w:footerReference w:type="first" r:id="rId16"/>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8CB46" w14:textId="77777777" w:rsidR="003F287F" w:rsidRDefault="003F287F" w:rsidP="00C80F8C">
      <w:r>
        <w:separator/>
      </w:r>
    </w:p>
  </w:endnote>
  <w:endnote w:type="continuationSeparator" w:id="0">
    <w:p w14:paraId="05301605" w14:textId="77777777" w:rsidR="003F287F" w:rsidRDefault="003F28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C1948D5" w:rsidR="00CB7C0F" w:rsidRPr="00817AAB" w:rsidRDefault="00CB7C0F"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7D06A4">
      <w:rPr>
        <w:rFonts w:ascii="Palatino Linotype" w:hAnsi="Palatino Linotype" w:cs="Arial"/>
        <w:b/>
        <w:bCs/>
        <w:noProof/>
      </w:rPr>
      <w:t>47</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7D06A4">
      <w:rPr>
        <w:rFonts w:ascii="Palatino Linotype" w:hAnsi="Palatino Linotype" w:cs="Arial"/>
        <w:b/>
        <w:bCs/>
        <w:noProof/>
      </w:rPr>
      <w:t>66</w:t>
    </w:r>
    <w:r w:rsidRPr="00817AAB">
      <w:rPr>
        <w:rFonts w:ascii="Palatino Linotype" w:hAnsi="Palatino Linotype" w:cs="Arial"/>
        <w:b/>
        <w:bCs/>
      </w:rPr>
      <w:fldChar w:fldCharType="end"/>
    </w:r>
  </w:p>
  <w:p w14:paraId="1192A578" w14:textId="77777777" w:rsidR="00CB7C0F" w:rsidRDefault="00CB7C0F" w:rsidP="00935A0D">
    <w:pPr>
      <w:pStyle w:val="Piedepgina"/>
      <w:rPr>
        <w:rFonts w:ascii="Times New Roman" w:hAnsi="Times New Roman" w:cs="Times New Roman"/>
      </w:rPr>
    </w:pPr>
  </w:p>
  <w:p w14:paraId="14A770F8" w14:textId="77777777" w:rsidR="00CB7C0F" w:rsidRDefault="00CB7C0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289811A" w:rsidR="00CB7C0F" w:rsidRDefault="00CB7C0F"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D06A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D06A4">
      <w:rPr>
        <w:rFonts w:ascii="Arial" w:hAnsi="Arial" w:cs="Arial"/>
        <w:b/>
        <w:bCs/>
        <w:noProof/>
        <w:sz w:val="20"/>
        <w:szCs w:val="20"/>
      </w:rPr>
      <w:t>66</w:t>
    </w:r>
    <w:r>
      <w:rPr>
        <w:rFonts w:ascii="Arial" w:hAnsi="Arial" w:cs="Arial"/>
        <w:b/>
        <w:bCs/>
        <w:sz w:val="20"/>
        <w:szCs w:val="20"/>
      </w:rPr>
      <w:fldChar w:fldCharType="end"/>
    </w:r>
  </w:p>
  <w:p w14:paraId="5D98ABD5" w14:textId="77777777" w:rsidR="00CB7C0F" w:rsidRDefault="00CB7C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A537F" w14:textId="77777777" w:rsidR="003F287F" w:rsidRDefault="003F287F" w:rsidP="00C80F8C">
      <w:r>
        <w:separator/>
      </w:r>
    </w:p>
  </w:footnote>
  <w:footnote w:type="continuationSeparator" w:id="0">
    <w:p w14:paraId="73F48ECF" w14:textId="77777777" w:rsidR="003F287F" w:rsidRDefault="003F287F" w:rsidP="00C80F8C">
      <w:r>
        <w:continuationSeparator/>
      </w:r>
    </w:p>
  </w:footnote>
  <w:footnote w:id="1">
    <w:p w14:paraId="16B42FB5" w14:textId="77777777" w:rsidR="00CB7C0F" w:rsidRDefault="00CB7C0F" w:rsidP="00CD3039">
      <w:pPr>
        <w:pStyle w:val="Textonotapie"/>
        <w:jc w:val="both"/>
        <w:rPr>
          <w:rFonts w:ascii="Palatino Linotype" w:eastAsia="Cambria" w:hAnsi="Palatino Linotype"/>
        </w:rPr>
      </w:pPr>
      <w:r>
        <w:rPr>
          <w:rStyle w:val="Refdenotaalpie"/>
          <w:rFonts w:ascii="Palatino Linotype" w:hAnsi="Palatino Linotype"/>
        </w:rPr>
        <w:footnoteRef/>
      </w:r>
      <w:r>
        <w:rPr>
          <w:rFonts w:ascii="Palatino Linotype" w:hAnsi="Palatino Linotype"/>
        </w:rPr>
        <w:t xml:space="preserve"> “Artículo 179. El recurso de revisión es un medio de protección que la Ley otorga a los particulares, para hacer valer su derecho de acceso a la información pública, y procederá en contra de las siguientes causas:</w:t>
      </w:r>
    </w:p>
    <w:p w14:paraId="1996EDF3" w14:textId="77777777" w:rsidR="00CB7C0F" w:rsidRDefault="00CB7C0F" w:rsidP="00CD3039">
      <w:pPr>
        <w:pStyle w:val="Textonotapie"/>
        <w:jc w:val="both"/>
        <w:rPr>
          <w:rFonts w:ascii="Palatino Linotype" w:hAnsi="Palatino Linotype"/>
        </w:rPr>
      </w:pPr>
      <w:r>
        <w:rPr>
          <w:rFonts w:ascii="Palatino Linotype" w:hAnsi="Palatino Linotype"/>
        </w:rPr>
        <w:t>(…)</w:t>
      </w:r>
    </w:p>
    <w:p w14:paraId="4E3349C9" w14:textId="77777777" w:rsidR="00CB7C0F" w:rsidRDefault="00CB7C0F" w:rsidP="00CD3039">
      <w:pPr>
        <w:pStyle w:val="Textonotapie"/>
        <w:jc w:val="both"/>
        <w:rPr>
          <w:rFonts w:ascii="Palatino Linotype" w:hAnsi="Palatino Linotype"/>
        </w:rPr>
      </w:pPr>
      <w:r>
        <w:rPr>
          <w:rFonts w:ascii="Palatino Linotype" w:hAnsi="Palatino Linotype"/>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0A27AF0" w14:textId="77777777" w:rsidR="00CB7C0F" w:rsidRDefault="00CB7C0F" w:rsidP="00CD3039">
      <w:pPr>
        <w:pStyle w:val="Textonotapie"/>
        <w:jc w:val="both"/>
        <w:rPr>
          <w:rFonts w:ascii="Cambria" w:hAnsi="Cambria"/>
        </w:rPr>
      </w:pPr>
      <w:r>
        <w:rPr>
          <w:rFonts w:ascii="Palatino Linotype" w:hAnsi="Palatino Linotype"/>
        </w:rPr>
        <w:t>(…)</w:t>
      </w:r>
    </w:p>
  </w:footnote>
  <w:footnote w:id="2">
    <w:p w14:paraId="29DD55BE" w14:textId="77777777" w:rsidR="00CB7C0F" w:rsidRPr="00780970" w:rsidRDefault="00CB7C0F" w:rsidP="00550734">
      <w:pPr>
        <w:tabs>
          <w:tab w:val="left" w:pos="0"/>
        </w:tabs>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2B2F22A1" w14:textId="77777777" w:rsidR="00CB7C0F" w:rsidRPr="00780970" w:rsidRDefault="00CB7C0F" w:rsidP="00550734">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4A5054B4" w14:textId="77777777" w:rsidR="00CB7C0F" w:rsidRPr="00780970" w:rsidRDefault="00CB7C0F" w:rsidP="0055073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6CE4B8B" w14:textId="77777777" w:rsidR="00CB7C0F" w:rsidRPr="00780970" w:rsidRDefault="00CB7C0F" w:rsidP="00550734">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3334D848" w14:textId="77777777" w:rsidR="00CB7C0F" w:rsidRPr="00780970" w:rsidRDefault="00CB7C0F" w:rsidP="0055073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D5A1242" w14:textId="77777777" w:rsidR="00CB7C0F" w:rsidRDefault="00CB7C0F" w:rsidP="00550734">
      <w:pPr>
        <w:pStyle w:val="Textonotapie"/>
      </w:pPr>
    </w:p>
  </w:footnote>
  <w:footnote w:id="3">
    <w:p w14:paraId="77A579AA" w14:textId="77777777" w:rsidR="00CB7C0F" w:rsidRDefault="00CB7C0F"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4">
    <w:p w14:paraId="223958EF" w14:textId="77777777" w:rsidR="00CB7C0F" w:rsidRDefault="00CB7C0F"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5">
    <w:p w14:paraId="0D158B24" w14:textId="77777777" w:rsidR="00CB7C0F" w:rsidRDefault="00CB7C0F"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0E878E0B" w14:textId="77777777" w:rsidR="00CB7C0F" w:rsidRDefault="00CB7C0F"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7">
    <w:p w14:paraId="0030223F" w14:textId="77777777" w:rsidR="00CB7C0F" w:rsidRPr="00985DD4" w:rsidRDefault="00CB7C0F" w:rsidP="002D5BAE">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519E7CA3" w14:textId="77777777" w:rsidR="00CB7C0F" w:rsidRPr="00985DD4" w:rsidRDefault="00CB7C0F" w:rsidP="002D5BAE">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8206A6F" w14:textId="77777777" w:rsidR="00CB7C0F" w:rsidRPr="00BE13A0" w:rsidRDefault="00CB7C0F" w:rsidP="002D5BAE">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1E9FF7CC" w14:textId="77777777" w:rsidR="00CB7C0F" w:rsidRPr="00985DD4" w:rsidRDefault="00CB7C0F" w:rsidP="002D5BAE">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9F20DEB" w14:textId="77777777" w:rsidR="00CB7C0F" w:rsidRDefault="00CB7C0F" w:rsidP="002D5BAE">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60CF525" w14:textId="77777777" w:rsidR="00CB7C0F" w:rsidRPr="00266430" w:rsidRDefault="00CB7C0F" w:rsidP="002D5BAE">
      <w:pPr>
        <w:pStyle w:val="Textonotapie"/>
        <w:jc w:val="both"/>
      </w:pPr>
      <w:r w:rsidRPr="00266430">
        <w:t xml:space="preserve">1a./J. 2/2012 (9a.). Primera Sala. Décima Época. Semanario Judicial de la Federación y su Gaceta. Libro V, Febrero de 2012, Pág. 533.  </w:t>
      </w:r>
    </w:p>
  </w:footnote>
  <w:footnote w:id="10">
    <w:p w14:paraId="4A25612F" w14:textId="77777777" w:rsidR="00CB7C0F" w:rsidRPr="00A870EF" w:rsidRDefault="00CB7C0F" w:rsidP="002D5BAE">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70E32A0" w14:textId="77777777" w:rsidR="00CB7C0F" w:rsidRDefault="00CB7C0F" w:rsidP="002D5BA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6B8E2D8" w14:textId="77777777" w:rsidR="00CB7C0F" w:rsidRDefault="00CB7C0F" w:rsidP="002D5BA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DE32D38" w14:textId="77777777" w:rsidR="00CB7C0F" w:rsidRPr="001E1F95" w:rsidRDefault="00CB7C0F" w:rsidP="002D5BA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4A9264" w14:textId="77777777" w:rsidR="00CB7C0F" w:rsidRPr="00191180" w:rsidRDefault="00CB7C0F" w:rsidP="002D5BAE">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0ADEC007" w14:textId="77777777" w:rsidR="00CB7C0F" w:rsidRPr="0037004E" w:rsidRDefault="00CB7C0F" w:rsidP="002D5BAE">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E797AC7" w14:textId="77777777" w:rsidR="00CB7C0F" w:rsidRDefault="00CB7C0F" w:rsidP="002D5BAE">
      <w:pPr>
        <w:pStyle w:val="Textonotapie"/>
      </w:pPr>
    </w:p>
  </w:footnote>
  <w:footnote w:id="14">
    <w:p w14:paraId="3567DA8B" w14:textId="77777777" w:rsidR="00CB7C0F" w:rsidRDefault="00CB7C0F" w:rsidP="002D5BAE">
      <w:pPr>
        <w:pStyle w:val="Textonotapie"/>
        <w:jc w:val="both"/>
      </w:pPr>
      <w:r>
        <w:rPr>
          <w:rStyle w:val="Refdenotaalpie"/>
        </w:rPr>
        <w:footnoteRef/>
      </w:r>
      <w:r>
        <w:t xml:space="preserve"> Artículo 3. Para los efectos de la presente Ley se entenderá por:</w:t>
      </w:r>
    </w:p>
    <w:p w14:paraId="6C37CD73" w14:textId="77777777" w:rsidR="00CB7C0F" w:rsidRDefault="00CB7C0F" w:rsidP="002D5BAE">
      <w:pPr>
        <w:pStyle w:val="Textonotapie"/>
        <w:jc w:val="both"/>
      </w:pPr>
      <w:r>
        <w:t xml:space="preserve"> (…)</w:t>
      </w:r>
    </w:p>
    <w:p w14:paraId="33D1B581" w14:textId="77777777" w:rsidR="00CB7C0F" w:rsidRDefault="00CB7C0F" w:rsidP="002D5BAE">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0F2CF21A" w14:textId="77777777" w:rsidR="00CB7C0F" w:rsidRPr="00ED2A04" w:rsidRDefault="00CB7C0F" w:rsidP="002D5BAE">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4A5099EC" w14:textId="77777777" w:rsidR="00CB7C0F" w:rsidRPr="00ED2A04" w:rsidRDefault="00CB7C0F" w:rsidP="002D5BAE">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112DE1B5" w14:textId="77777777" w:rsidR="00CB7C0F" w:rsidRPr="000406A4" w:rsidRDefault="00CB7C0F" w:rsidP="002D5BAE">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2838909B" w14:textId="77777777" w:rsidR="00CB7C0F" w:rsidRPr="000406A4" w:rsidRDefault="00CB7C0F" w:rsidP="002D5BAE">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1D105876" w14:textId="77777777" w:rsidR="00CB7C0F" w:rsidRPr="000406A4" w:rsidRDefault="00CB7C0F" w:rsidP="002D5BAE">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71E6BA7" w14:textId="77777777" w:rsidR="00CB7C0F" w:rsidRPr="000406A4" w:rsidRDefault="00CB7C0F" w:rsidP="002D5BAE">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0514B5C5" w14:textId="77777777" w:rsidR="00CB7C0F" w:rsidRPr="000406A4" w:rsidRDefault="00CB7C0F" w:rsidP="002D5BAE">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068E00B7" w14:textId="77777777" w:rsidR="00CB7C0F" w:rsidRPr="00191180" w:rsidRDefault="00CB7C0F" w:rsidP="002D5BAE">
      <w:pPr>
        <w:jc w:val="both"/>
        <w:rPr>
          <w:color w:val="000000"/>
          <w:sz w:val="20"/>
          <w:szCs w:val="20"/>
          <w:lang w:eastAsia="es-ES_tradnl"/>
        </w:rPr>
      </w:pPr>
      <w:r>
        <w:rPr>
          <w:rStyle w:val="Refdenotaalpie"/>
        </w:rPr>
        <w:footnoteRef/>
      </w:r>
      <w:r>
        <w:t xml:space="preserve"> “</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10BE1E29" w14:textId="77777777" w:rsidR="00CB7C0F" w:rsidRPr="00A4142C" w:rsidRDefault="00CB7C0F" w:rsidP="002D5BAE">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CB7C0F" w14:paraId="6B4E3B81" w14:textId="77777777" w:rsidTr="00B4299A">
      <w:tc>
        <w:tcPr>
          <w:tcW w:w="2701" w:type="dxa"/>
          <w:vAlign w:val="center"/>
          <w:hideMark/>
        </w:tcPr>
        <w:p w14:paraId="0ABBC6C0" w14:textId="1226DAAF" w:rsidR="00CB7C0F" w:rsidRPr="00B4299A" w:rsidRDefault="00CB7C0F"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121E7FD" w:rsidR="00CB7C0F" w:rsidRPr="00B4299A" w:rsidRDefault="00CB7C0F" w:rsidP="007C76CC">
          <w:pPr>
            <w:rPr>
              <w:rFonts w:ascii="Palatino Linotype" w:hAnsi="Palatino Linotype"/>
              <w:b/>
              <w:szCs w:val="22"/>
              <w:lang w:val="es-ES_tradnl"/>
            </w:rPr>
          </w:pPr>
          <w:r w:rsidRPr="00E24D12">
            <w:rPr>
              <w:rFonts w:ascii="Palatino Linotype" w:hAnsi="Palatino Linotype"/>
              <w:b/>
              <w:szCs w:val="22"/>
              <w:lang w:val="es-ES_tradnl"/>
            </w:rPr>
            <w:t>01148/INFOEM/ICR-254/IP/RR/2023</w:t>
          </w:r>
        </w:p>
      </w:tc>
    </w:tr>
    <w:tr w:rsidR="00CB7C0F" w14:paraId="31CB780F" w14:textId="77777777" w:rsidTr="00B4299A">
      <w:trPr>
        <w:trHeight w:val="228"/>
      </w:trPr>
      <w:tc>
        <w:tcPr>
          <w:tcW w:w="2701" w:type="dxa"/>
          <w:vAlign w:val="center"/>
          <w:hideMark/>
        </w:tcPr>
        <w:p w14:paraId="4F49CB4A" w14:textId="6966D32E" w:rsidR="00CB7C0F" w:rsidRPr="00B4299A" w:rsidRDefault="00CB7C0F"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4DD7FD9F" w:rsidR="00CB7C0F" w:rsidRPr="00B4299A" w:rsidRDefault="00CB7C0F" w:rsidP="00DD44D4">
          <w:pPr>
            <w:jc w:val="both"/>
            <w:rPr>
              <w:rFonts w:ascii="Palatino Linotype" w:hAnsi="Palatino Linotype"/>
              <w:b/>
              <w:szCs w:val="22"/>
              <w:lang w:val="es-ES_tradnl"/>
            </w:rPr>
          </w:pPr>
          <w:r w:rsidRPr="00861FD3">
            <w:rPr>
              <w:rFonts w:ascii="Palatino Linotype" w:hAnsi="Palatino Linotype"/>
              <w:b/>
              <w:szCs w:val="22"/>
              <w:lang w:val="es-ES_tradnl"/>
            </w:rPr>
            <w:t>Ayuntamiento de Zinacantepec</w:t>
          </w:r>
          <w:r>
            <w:rPr>
              <w:noProof/>
              <w:lang w:val="es-MX" w:eastAsia="es-MX"/>
            </w:rPr>
            <w:drawing>
              <wp:anchor distT="0" distB="0" distL="114300" distR="114300" simplePos="0" relativeHeight="251661312" behindDoc="1" locked="0" layoutInCell="1" allowOverlap="1" wp14:anchorId="0F9EF6C9" wp14:editId="7CDE13D2">
                <wp:simplePos x="0" y="0"/>
                <wp:positionH relativeFrom="page">
                  <wp:posOffset>-4434205</wp:posOffset>
                </wp:positionH>
                <wp:positionV relativeFrom="paragraph">
                  <wp:posOffset>-919480</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tc>
    </w:tr>
    <w:tr w:rsidR="00CB7C0F" w14:paraId="69050F56" w14:textId="77777777" w:rsidTr="00B4299A">
      <w:tc>
        <w:tcPr>
          <w:tcW w:w="2701" w:type="dxa"/>
          <w:vAlign w:val="center"/>
          <w:hideMark/>
        </w:tcPr>
        <w:p w14:paraId="65C9B735" w14:textId="75C78F81" w:rsidR="00CB7C0F" w:rsidRPr="00B4299A" w:rsidRDefault="00CB7C0F"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CB7C0F" w:rsidRPr="00B4299A" w:rsidRDefault="00CB7C0F"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CB7C0F" w:rsidRDefault="00CB7C0F" w:rsidP="006F30F8">
    <w:pPr>
      <w:pStyle w:val="Encabezado"/>
      <w:tabs>
        <w:tab w:val="clear" w:pos="4252"/>
        <w:tab w:val="clear" w:pos="8504"/>
        <w:tab w:val="left" w:pos="2326"/>
      </w:tabs>
    </w:pPr>
    <w:r>
      <w:tab/>
    </w:r>
  </w:p>
  <w:p w14:paraId="23403E59" w14:textId="77777777" w:rsidR="00CB7C0F" w:rsidRDefault="00CB7C0F"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CB7C0F" w:rsidRDefault="00CB7C0F"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CB7C0F" w14:paraId="477E149B" w14:textId="77777777" w:rsidTr="00CB57FD">
      <w:trPr>
        <w:trHeight w:val="277"/>
      </w:trPr>
      <w:tc>
        <w:tcPr>
          <w:tcW w:w="2693" w:type="dxa"/>
          <w:vAlign w:val="center"/>
          <w:hideMark/>
        </w:tcPr>
        <w:p w14:paraId="5C0586E4" w14:textId="77777777" w:rsidR="00CB7C0F" w:rsidRPr="009B3353" w:rsidRDefault="00CB7C0F"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3B0EC7C" w:rsidR="00CB7C0F" w:rsidRPr="009B3353" w:rsidRDefault="00CB7C0F" w:rsidP="00861FD3">
          <w:pPr>
            <w:rPr>
              <w:rFonts w:ascii="Palatino Linotype" w:hAnsi="Palatino Linotype"/>
              <w:b/>
              <w:szCs w:val="22"/>
              <w:lang w:val="es-ES_tradnl"/>
            </w:rPr>
          </w:pPr>
          <w:r w:rsidRPr="00E24D12">
            <w:rPr>
              <w:rFonts w:ascii="Palatino Linotype" w:hAnsi="Palatino Linotype"/>
              <w:b/>
              <w:sz w:val="22"/>
              <w:szCs w:val="22"/>
              <w:lang w:val="es-ES_tradnl"/>
            </w:rPr>
            <w:t>01148/INFOEM/ICR-254/IP/RR/2023</w:t>
          </w:r>
        </w:p>
      </w:tc>
    </w:tr>
    <w:tr w:rsidR="00CB7C0F" w14:paraId="5B5BE21C" w14:textId="77777777" w:rsidTr="00CB57FD">
      <w:tc>
        <w:tcPr>
          <w:tcW w:w="2693" w:type="dxa"/>
          <w:vAlign w:val="center"/>
          <w:hideMark/>
        </w:tcPr>
        <w:p w14:paraId="4AE96902" w14:textId="4E063913" w:rsidR="00CB7C0F" w:rsidRPr="009B3353" w:rsidRDefault="00CB7C0F"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3D5A054" w:rsidR="00CB7C0F" w:rsidRPr="009B3353" w:rsidRDefault="00CB7C0F" w:rsidP="00C74B35">
          <w:pPr>
            <w:rPr>
              <w:rFonts w:ascii="Palatino Linotype" w:hAnsi="Palatino Linotype"/>
              <w:b/>
              <w:szCs w:val="22"/>
              <w:lang w:val="es-ES_tradnl"/>
            </w:rPr>
          </w:pPr>
        </w:p>
      </w:tc>
    </w:tr>
    <w:tr w:rsidR="00CB7C0F" w14:paraId="22601A11" w14:textId="77777777" w:rsidTr="00CB57FD">
      <w:trPr>
        <w:trHeight w:val="228"/>
      </w:trPr>
      <w:tc>
        <w:tcPr>
          <w:tcW w:w="2693" w:type="dxa"/>
          <w:vAlign w:val="center"/>
          <w:hideMark/>
        </w:tcPr>
        <w:p w14:paraId="6EFE221D" w14:textId="49C5F800" w:rsidR="00CB7C0F" w:rsidRPr="009B3353" w:rsidRDefault="00CB7C0F"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6471FF3E" w:rsidR="00CB7C0F" w:rsidRPr="009B3353" w:rsidRDefault="00CB7C0F" w:rsidP="00C36F17">
          <w:pPr>
            <w:jc w:val="both"/>
            <w:rPr>
              <w:rFonts w:ascii="Palatino Linotype" w:eastAsia="Calibri" w:hAnsi="Palatino Linotype"/>
              <w:b/>
              <w:szCs w:val="22"/>
              <w:lang w:val="es-MX" w:eastAsia="en-US"/>
            </w:rPr>
          </w:pPr>
          <w:r w:rsidRPr="00861FD3">
            <w:rPr>
              <w:rFonts w:ascii="Palatino Linotype" w:eastAsia="Calibri" w:hAnsi="Palatino Linotype"/>
              <w:b/>
              <w:szCs w:val="22"/>
              <w:lang w:val="es-MX" w:eastAsia="en-US"/>
            </w:rPr>
            <w:t>Ayuntamiento de Zinacantepec</w:t>
          </w:r>
        </w:p>
      </w:tc>
    </w:tr>
    <w:tr w:rsidR="00CB7C0F" w14:paraId="2D6C630E" w14:textId="77777777" w:rsidTr="00CB57FD">
      <w:tc>
        <w:tcPr>
          <w:tcW w:w="2693" w:type="dxa"/>
          <w:vAlign w:val="center"/>
          <w:hideMark/>
        </w:tcPr>
        <w:p w14:paraId="5BD4C6DB" w14:textId="7CF21504" w:rsidR="00CB7C0F" w:rsidRPr="009B3353" w:rsidRDefault="00CB7C0F"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CB7C0F" w:rsidRPr="009B3353" w:rsidRDefault="00CB7C0F"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CB7C0F" w:rsidRDefault="00CB7C0F"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14BB7692"/>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406D35"/>
    <w:multiLevelType w:val="hybridMultilevel"/>
    <w:tmpl w:val="55DA043C"/>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927D1D"/>
    <w:multiLevelType w:val="hybridMultilevel"/>
    <w:tmpl w:val="B6D6E45A"/>
    <w:lvl w:ilvl="0" w:tplc="3A646C4A">
      <w:start w:val="10"/>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357B5C56"/>
    <w:multiLevelType w:val="hybridMultilevel"/>
    <w:tmpl w:val="BA96AEA2"/>
    <w:lvl w:ilvl="0" w:tplc="080A0001">
      <w:start w:val="1"/>
      <w:numFmt w:val="bullet"/>
      <w:lvlText w:val=""/>
      <w:lvlJc w:val="left"/>
      <w:pPr>
        <w:ind w:left="3196" w:hanging="360"/>
      </w:pPr>
      <w:rPr>
        <w:rFonts w:ascii="Symbol" w:hAnsi="Symbol" w:hint="default"/>
      </w:rPr>
    </w:lvl>
    <w:lvl w:ilvl="1" w:tplc="080A0003" w:tentative="1">
      <w:start w:val="1"/>
      <w:numFmt w:val="bullet"/>
      <w:lvlText w:val="o"/>
      <w:lvlJc w:val="left"/>
      <w:pPr>
        <w:ind w:left="3916" w:hanging="360"/>
      </w:pPr>
      <w:rPr>
        <w:rFonts w:ascii="Courier New" w:hAnsi="Courier New" w:cs="Courier New" w:hint="default"/>
      </w:rPr>
    </w:lvl>
    <w:lvl w:ilvl="2" w:tplc="080A0005" w:tentative="1">
      <w:start w:val="1"/>
      <w:numFmt w:val="bullet"/>
      <w:lvlText w:val=""/>
      <w:lvlJc w:val="left"/>
      <w:pPr>
        <w:ind w:left="4636" w:hanging="360"/>
      </w:pPr>
      <w:rPr>
        <w:rFonts w:ascii="Wingdings" w:hAnsi="Wingdings" w:hint="default"/>
      </w:rPr>
    </w:lvl>
    <w:lvl w:ilvl="3" w:tplc="080A0001" w:tentative="1">
      <w:start w:val="1"/>
      <w:numFmt w:val="bullet"/>
      <w:lvlText w:val=""/>
      <w:lvlJc w:val="left"/>
      <w:pPr>
        <w:ind w:left="5356" w:hanging="360"/>
      </w:pPr>
      <w:rPr>
        <w:rFonts w:ascii="Symbol" w:hAnsi="Symbol" w:hint="default"/>
      </w:rPr>
    </w:lvl>
    <w:lvl w:ilvl="4" w:tplc="080A0003" w:tentative="1">
      <w:start w:val="1"/>
      <w:numFmt w:val="bullet"/>
      <w:lvlText w:val="o"/>
      <w:lvlJc w:val="left"/>
      <w:pPr>
        <w:ind w:left="6076" w:hanging="360"/>
      </w:pPr>
      <w:rPr>
        <w:rFonts w:ascii="Courier New" w:hAnsi="Courier New" w:cs="Courier New" w:hint="default"/>
      </w:rPr>
    </w:lvl>
    <w:lvl w:ilvl="5" w:tplc="080A0005" w:tentative="1">
      <w:start w:val="1"/>
      <w:numFmt w:val="bullet"/>
      <w:lvlText w:val=""/>
      <w:lvlJc w:val="left"/>
      <w:pPr>
        <w:ind w:left="6796" w:hanging="360"/>
      </w:pPr>
      <w:rPr>
        <w:rFonts w:ascii="Wingdings" w:hAnsi="Wingdings" w:hint="default"/>
      </w:rPr>
    </w:lvl>
    <w:lvl w:ilvl="6" w:tplc="080A0001" w:tentative="1">
      <w:start w:val="1"/>
      <w:numFmt w:val="bullet"/>
      <w:lvlText w:val=""/>
      <w:lvlJc w:val="left"/>
      <w:pPr>
        <w:ind w:left="7516" w:hanging="360"/>
      </w:pPr>
      <w:rPr>
        <w:rFonts w:ascii="Symbol" w:hAnsi="Symbol" w:hint="default"/>
      </w:rPr>
    </w:lvl>
    <w:lvl w:ilvl="7" w:tplc="080A0003" w:tentative="1">
      <w:start w:val="1"/>
      <w:numFmt w:val="bullet"/>
      <w:lvlText w:val="o"/>
      <w:lvlJc w:val="left"/>
      <w:pPr>
        <w:ind w:left="8236" w:hanging="360"/>
      </w:pPr>
      <w:rPr>
        <w:rFonts w:ascii="Courier New" w:hAnsi="Courier New" w:cs="Courier New" w:hint="default"/>
      </w:rPr>
    </w:lvl>
    <w:lvl w:ilvl="8" w:tplc="080A0005" w:tentative="1">
      <w:start w:val="1"/>
      <w:numFmt w:val="bullet"/>
      <w:lvlText w:val=""/>
      <w:lvlJc w:val="left"/>
      <w:pPr>
        <w:ind w:left="8956" w:hanging="360"/>
      </w:pPr>
      <w:rPr>
        <w:rFonts w:ascii="Wingdings" w:hAnsi="Wingdings" w:hint="default"/>
      </w:rPr>
    </w:lvl>
  </w:abstractNum>
  <w:abstractNum w:abstractNumId="8">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73135E8F"/>
    <w:multiLevelType w:val="hybridMultilevel"/>
    <w:tmpl w:val="AAC832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43204EE"/>
    <w:multiLevelType w:val="hybridMultilevel"/>
    <w:tmpl w:val="969ECF5A"/>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7"/>
  </w:num>
  <w:num w:numId="5">
    <w:abstractNumId w:val="9"/>
  </w:num>
  <w:num w:numId="6">
    <w:abstractNumId w:val="8"/>
  </w:num>
  <w:num w:numId="7">
    <w:abstractNumId w:val="1"/>
  </w:num>
  <w:num w:numId="8">
    <w:abstractNumId w:val="0"/>
  </w:num>
  <w:num w:numId="9">
    <w:abstractNumId w:val="10"/>
  </w:num>
  <w:num w:numId="10">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040"/>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0D3"/>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3426"/>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0EED"/>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8EA"/>
    <w:rsid w:val="000C1AF9"/>
    <w:rsid w:val="000C1B34"/>
    <w:rsid w:val="000C3D4F"/>
    <w:rsid w:val="000C4453"/>
    <w:rsid w:val="000C485E"/>
    <w:rsid w:val="000C54A3"/>
    <w:rsid w:val="000C5528"/>
    <w:rsid w:val="000C59F1"/>
    <w:rsid w:val="000C6036"/>
    <w:rsid w:val="000C6204"/>
    <w:rsid w:val="000C6C38"/>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2E4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5A0"/>
    <w:rsid w:val="00181791"/>
    <w:rsid w:val="00182E55"/>
    <w:rsid w:val="00183275"/>
    <w:rsid w:val="00184BC3"/>
    <w:rsid w:val="00184FBA"/>
    <w:rsid w:val="0018512D"/>
    <w:rsid w:val="0018515F"/>
    <w:rsid w:val="001852E0"/>
    <w:rsid w:val="0018689B"/>
    <w:rsid w:val="00186B63"/>
    <w:rsid w:val="00186C88"/>
    <w:rsid w:val="001871B2"/>
    <w:rsid w:val="00187FE5"/>
    <w:rsid w:val="00190A74"/>
    <w:rsid w:val="001911CC"/>
    <w:rsid w:val="00191ACE"/>
    <w:rsid w:val="00193687"/>
    <w:rsid w:val="00193909"/>
    <w:rsid w:val="00196141"/>
    <w:rsid w:val="00196EF5"/>
    <w:rsid w:val="00197171"/>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6D50"/>
    <w:rsid w:val="0020054B"/>
    <w:rsid w:val="00201E21"/>
    <w:rsid w:val="00203E4E"/>
    <w:rsid w:val="00204C2A"/>
    <w:rsid w:val="0020500D"/>
    <w:rsid w:val="00205107"/>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009"/>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5BAE"/>
    <w:rsid w:val="002D678A"/>
    <w:rsid w:val="002D6AD2"/>
    <w:rsid w:val="002E03BC"/>
    <w:rsid w:val="002E1D63"/>
    <w:rsid w:val="002E260F"/>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52D"/>
    <w:rsid w:val="00323623"/>
    <w:rsid w:val="00323995"/>
    <w:rsid w:val="00323CFF"/>
    <w:rsid w:val="00325874"/>
    <w:rsid w:val="00326AE6"/>
    <w:rsid w:val="00326DF2"/>
    <w:rsid w:val="00327357"/>
    <w:rsid w:val="0033030C"/>
    <w:rsid w:val="003305D9"/>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05AB"/>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6987"/>
    <w:rsid w:val="00386C69"/>
    <w:rsid w:val="00387128"/>
    <w:rsid w:val="00390C86"/>
    <w:rsid w:val="00392E2B"/>
    <w:rsid w:val="00394E20"/>
    <w:rsid w:val="00397F6B"/>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87F"/>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2DE1"/>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59D4"/>
    <w:rsid w:val="00487218"/>
    <w:rsid w:val="004879E2"/>
    <w:rsid w:val="00487F15"/>
    <w:rsid w:val="0049105B"/>
    <w:rsid w:val="004912A0"/>
    <w:rsid w:val="0049206E"/>
    <w:rsid w:val="004928DE"/>
    <w:rsid w:val="00493E2F"/>
    <w:rsid w:val="00494CB5"/>
    <w:rsid w:val="004954D8"/>
    <w:rsid w:val="0049576C"/>
    <w:rsid w:val="00495836"/>
    <w:rsid w:val="004967E8"/>
    <w:rsid w:val="00496F73"/>
    <w:rsid w:val="004A0812"/>
    <w:rsid w:val="004A0EA8"/>
    <w:rsid w:val="004A14D9"/>
    <w:rsid w:val="004A21F6"/>
    <w:rsid w:val="004A2680"/>
    <w:rsid w:val="004A4608"/>
    <w:rsid w:val="004A4B61"/>
    <w:rsid w:val="004A5E2D"/>
    <w:rsid w:val="004A6E0B"/>
    <w:rsid w:val="004A6EFE"/>
    <w:rsid w:val="004A70A0"/>
    <w:rsid w:val="004A7292"/>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034"/>
    <w:rsid w:val="00514166"/>
    <w:rsid w:val="005164B6"/>
    <w:rsid w:val="00516E6A"/>
    <w:rsid w:val="005171DE"/>
    <w:rsid w:val="00517F6C"/>
    <w:rsid w:val="00520517"/>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734"/>
    <w:rsid w:val="00550B31"/>
    <w:rsid w:val="00550CA5"/>
    <w:rsid w:val="005515E9"/>
    <w:rsid w:val="00551BA4"/>
    <w:rsid w:val="00552D59"/>
    <w:rsid w:val="00553835"/>
    <w:rsid w:val="0055516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28B2"/>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69A0"/>
    <w:rsid w:val="005A7138"/>
    <w:rsid w:val="005A757D"/>
    <w:rsid w:val="005A7C3F"/>
    <w:rsid w:val="005B00B6"/>
    <w:rsid w:val="005B087C"/>
    <w:rsid w:val="005B10A8"/>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66B"/>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0EFC"/>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DB4"/>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0B0B"/>
    <w:rsid w:val="00761460"/>
    <w:rsid w:val="0076231C"/>
    <w:rsid w:val="007624E7"/>
    <w:rsid w:val="00764B6A"/>
    <w:rsid w:val="00766B6B"/>
    <w:rsid w:val="00766D4A"/>
    <w:rsid w:val="00766D7A"/>
    <w:rsid w:val="007673F8"/>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206"/>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7F5"/>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B7764"/>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6CC"/>
    <w:rsid w:val="007C78A6"/>
    <w:rsid w:val="007C7C3E"/>
    <w:rsid w:val="007C7E5A"/>
    <w:rsid w:val="007D06A4"/>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79D"/>
    <w:rsid w:val="007F0999"/>
    <w:rsid w:val="007F18A3"/>
    <w:rsid w:val="007F18DF"/>
    <w:rsid w:val="007F22F7"/>
    <w:rsid w:val="007F2DB5"/>
    <w:rsid w:val="007F36DE"/>
    <w:rsid w:val="007F4FC6"/>
    <w:rsid w:val="007F528B"/>
    <w:rsid w:val="007F53E3"/>
    <w:rsid w:val="007F5901"/>
    <w:rsid w:val="007F5936"/>
    <w:rsid w:val="007F5E7A"/>
    <w:rsid w:val="007F601F"/>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27633"/>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1FD3"/>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25B"/>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240B"/>
    <w:rsid w:val="008C3158"/>
    <w:rsid w:val="008C3963"/>
    <w:rsid w:val="008C4415"/>
    <w:rsid w:val="008C4CFE"/>
    <w:rsid w:val="008D033C"/>
    <w:rsid w:val="008D0725"/>
    <w:rsid w:val="008D0B33"/>
    <w:rsid w:val="008D0B48"/>
    <w:rsid w:val="008D0D25"/>
    <w:rsid w:val="008D127B"/>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52E1"/>
    <w:rsid w:val="00905508"/>
    <w:rsid w:val="0090585F"/>
    <w:rsid w:val="00905A0D"/>
    <w:rsid w:val="0090665D"/>
    <w:rsid w:val="00911559"/>
    <w:rsid w:val="00912A8A"/>
    <w:rsid w:val="00913103"/>
    <w:rsid w:val="0091329D"/>
    <w:rsid w:val="00914D14"/>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9F4"/>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C17"/>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112"/>
    <w:rsid w:val="009E2222"/>
    <w:rsid w:val="009E2235"/>
    <w:rsid w:val="009E240F"/>
    <w:rsid w:val="009E25E5"/>
    <w:rsid w:val="009E2747"/>
    <w:rsid w:val="009E2EEE"/>
    <w:rsid w:val="009E30D5"/>
    <w:rsid w:val="009E32EE"/>
    <w:rsid w:val="009E3EE5"/>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77C"/>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096"/>
    <w:rsid w:val="00A25AF8"/>
    <w:rsid w:val="00A27150"/>
    <w:rsid w:val="00A27728"/>
    <w:rsid w:val="00A3050F"/>
    <w:rsid w:val="00A30716"/>
    <w:rsid w:val="00A30854"/>
    <w:rsid w:val="00A31EDE"/>
    <w:rsid w:val="00A31F2A"/>
    <w:rsid w:val="00A32A88"/>
    <w:rsid w:val="00A32DE5"/>
    <w:rsid w:val="00A32DE9"/>
    <w:rsid w:val="00A3314E"/>
    <w:rsid w:val="00A341BA"/>
    <w:rsid w:val="00A3427F"/>
    <w:rsid w:val="00A344AD"/>
    <w:rsid w:val="00A35622"/>
    <w:rsid w:val="00A36ED5"/>
    <w:rsid w:val="00A41054"/>
    <w:rsid w:val="00A415DB"/>
    <w:rsid w:val="00A4197A"/>
    <w:rsid w:val="00A41E44"/>
    <w:rsid w:val="00A429F8"/>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531B"/>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25DB"/>
    <w:rsid w:val="00AB3F5E"/>
    <w:rsid w:val="00AB4396"/>
    <w:rsid w:val="00AB6036"/>
    <w:rsid w:val="00AB61CC"/>
    <w:rsid w:val="00AB66F0"/>
    <w:rsid w:val="00AB7491"/>
    <w:rsid w:val="00AC161D"/>
    <w:rsid w:val="00AC17F2"/>
    <w:rsid w:val="00AC20D8"/>
    <w:rsid w:val="00AC2D4B"/>
    <w:rsid w:val="00AC3DF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6B5"/>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2425"/>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5D8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0020"/>
    <w:rsid w:val="00B81C55"/>
    <w:rsid w:val="00B82000"/>
    <w:rsid w:val="00B82E36"/>
    <w:rsid w:val="00B82E47"/>
    <w:rsid w:val="00B83B50"/>
    <w:rsid w:val="00B84265"/>
    <w:rsid w:val="00B8497B"/>
    <w:rsid w:val="00B85D36"/>
    <w:rsid w:val="00B86A4A"/>
    <w:rsid w:val="00B86D2D"/>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748"/>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42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81E"/>
    <w:rsid w:val="00BE3B2F"/>
    <w:rsid w:val="00BE421A"/>
    <w:rsid w:val="00BE66D6"/>
    <w:rsid w:val="00BE67A1"/>
    <w:rsid w:val="00BE732D"/>
    <w:rsid w:val="00BF0450"/>
    <w:rsid w:val="00BF0540"/>
    <w:rsid w:val="00BF0748"/>
    <w:rsid w:val="00BF0B64"/>
    <w:rsid w:val="00BF212E"/>
    <w:rsid w:val="00BF330A"/>
    <w:rsid w:val="00BF42CF"/>
    <w:rsid w:val="00BF469C"/>
    <w:rsid w:val="00BF558C"/>
    <w:rsid w:val="00BF685A"/>
    <w:rsid w:val="00BF6B39"/>
    <w:rsid w:val="00C0076A"/>
    <w:rsid w:val="00C0130F"/>
    <w:rsid w:val="00C01D02"/>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F17"/>
    <w:rsid w:val="00C400E5"/>
    <w:rsid w:val="00C4201F"/>
    <w:rsid w:val="00C420DF"/>
    <w:rsid w:val="00C4284F"/>
    <w:rsid w:val="00C42ACD"/>
    <w:rsid w:val="00C4317A"/>
    <w:rsid w:val="00C45222"/>
    <w:rsid w:val="00C452E3"/>
    <w:rsid w:val="00C4591F"/>
    <w:rsid w:val="00C459AC"/>
    <w:rsid w:val="00C4622D"/>
    <w:rsid w:val="00C46263"/>
    <w:rsid w:val="00C46981"/>
    <w:rsid w:val="00C470AF"/>
    <w:rsid w:val="00C472F7"/>
    <w:rsid w:val="00C47D1B"/>
    <w:rsid w:val="00C503FF"/>
    <w:rsid w:val="00C505E8"/>
    <w:rsid w:val="00C51140"/>
    <w:rsid w:val="00C51346"/>
    <w:rsid w:val="00C515D8"/>
    <w:rsid w:val="00C518A4"/>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6F2B"/>
    <w:rsid w:val="00C6721C"/>
    <w:rsid w:val="00C673D1"/>
    <w:rsid w:val="00C71059"/>
    <w:rsid w:val="00C716E5"/>
    <w:rsid w:val="00C7186E"/>
    <w:rsid w:val="00C71A66"/>
    <w:rsid w:val="00C71FD4"/>
    <w:rsid w:val="00C731DC"/>
    <w:rsid w:val="00C7372B"/>
    <w:rsid w:val="00C73907"/>
    <w:rsid w:val="00C748A4"/>
    <w:rsid w:val="00C74B35"/>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C0F"/>
    <w:rsid w:val="00CB7E67"/>
    <w:rsid w:val="00CC0C5D"/>
    <w:rsid w:val="00CC0EE1"/>
    <w:rsid w:val="00CC18AB"/>
    <w:rsid w:val="00CC22DD"/>
    <w:rsid w:val="00CC2BF2"/>
    <w:rsid w:val="00CC30A8"/>
    <w:rsid w:val="00CC30E3"/>
    <w:rsid w:val="00CC3C9F"/>
    <w:rsid w:val="00CC4046"/>
    <w:rsid w:val="00CC4A8B"/>
    <w:rsid w:val="00CC5E23"/>
    <w:rsid w:val="00CC6D34"/>
    <w:rsid w:val="00CC77E3"/>
    <w:rsid w:val="00CD04A8"/>
    <w:rsid w:val="00CD0985"/>
    <w:rsid w:val="00CD2AE3"/>
    <w:rsid w:val="00CD3039"/>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2E99"/>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1BC"/>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3E4"/>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9AC"/>
    <w:rsid w:val="00D90BBF"/>
    <w:rsid w:val="00D9148A"/>
    <w:rsid w:val="00D91C33"/>
    <w:rsid w:val="00D91FB9"/>
    <w:rsid w:val="00D922F3"/>
    <w:rsid w:val="00D943C5"/>
    <w:rsid w:val="00D94DEE"/>
    <w:rsid w:val="00D950A6"/>
    <w:rsid w:val="00D950EC"/>
    <w:rsid w:val="00D95158"/>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B27"/>
    <w:rsid w:val="00DA3DBD"/>
    <w:rsid w:val="00DA4C11"/>
    <w:rsid w:val="00DA5781"/>
    <w:rsid w:val="00DA63C9"/>
    <w:rsid w:val="00DA6B83"/>
    <w:rsid w:val="00DA6E68"/>
    <w:rsid w:val="00DB143B"/>
    <w:rsid w:val="00DB16C3"/>
    <w:rsid w:val="00DB19E6"/>
    <w:rsid w:val="00DB25BC"/>
    <w:rsid w:val="00DB2606"/>
    <w:rsid w:val="00DB26C3"/>
    <w:rsid w:val="00DB57D8"/>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296"/>
    <w:rsid w:val="00DD43B7"/>
    <w:rsid w:val="00DD44D4"/>
    <w:rsid w:val="00DD4779"/>
    <w:rsid w:val="00DD4EA2"/>
    <w:rsid w:val="00DD580E"/>
    <w:rsid w:val="00DD5FAC"/>
    <w:rsid w:val="00DD625F"/>
    <w:rsid w:val="00DD65CC"/>
    <w:rsid w:val="00DD6C50"/>
    <w:rsid w:val="00DD747F"/>
    <w:rsid w:val="00DE015D"/>
    <w:rsid w:val="00DE03DC"/>
    <w:rsid w:val="00DE0BC1"/>
    <w:rsid w:val="00DE1D18"/>
    <w:rsid w:val="00DE23D2"/>
    <w:rsid w:val="00DE331A"/>
    <w:rsid w:val="00DE37CF"/>
    <w:rsid w:val="00DE3D5F"/>
    <w:rsid w:val="00DE3D84"/>
    <w:rsid w:val="00DE3FBD"/>
    <w:rsid w:val="00DE4133"/>
    <w:rsid w:val="00DE4508"/>
    <w:rsid w:val="00DE5030"/>
    <w:rsid w:val="00DE5725"/>
    <w:rsid w:val="00DE66BA"/>
    <w:rsid w:val="00DE71E4"/>
    <w:rsid w:val="00DE74D7"/>
    <w:rsid w:val="00DE7834"/>
    <w:rsid w:val="00DE7C67"/>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895"/>
    <w:rsid w:val="00E16AC1"/>
    <w:rsid w:val="00E2007F"/>
    <w:rsid w:val="00E20329"/>
    <w:rsid w:val="00E207FE"/>
    <w:rsid w:val="00E209C5"/>
    <w:rsid w:val="00E20B6F"/>
    <w:rsid w:val="00E21052"/>
    <w:rsid w:val="00E21313"/>
    <w:rsid w:val="00E22220"/>
    <w:rsid w:val="00E2306B"/>
    <w:rsid w:val="00E233FF"/>
    <w:rsid w:val="00E24D12"/>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0E07"/>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465"/>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5E03"/>
    <w:rsid w:val="00EB5F39"/>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3BA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5F0"/>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2EFB"/>
    <w:rsid w:val="00F3329C"/>
    <w:rsid w:val="00F33A5B"/>
    <w:rsid w:val="00F3579C"/>
    <w:rsid w:val="00F35F1D"/>
    <w:rsid w:val="00F36631"/>
    <w:rsid w:val="00F3676C"/>
    <w:rsid w:val="00F37882"/>
    <w:rsid w:val="00F37C44"/>
    <w:rsid w:val="00F37F40"/>
    <w:rsid w:val="00F402EB"/>
    <w:rsid w:val="00F403FD"/>
    <w:rsid w:val="00F41380"/>
    <w:rsid w:val="00F414B3"/>
    <w:rsid w:val="00F41559"/>
    <w:rsid w:val="00F43218"/>
    <w:rsid w:val="00F4347B"/>
    <w:rsid w:val="00F43FEC"/>
    <w:rsid w:val="00F45839"/>
    <w:rsid w:val="00F4715B"/>
    <w:rsid w:val="00F47385"/>
    <w:rsid w:val="00F47EF8"/>
    <w:rsid w:val="00F5164C"/>
    <w:rsid w:val="00F52C11"/>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226D"/>
    <w:rsid w:val="00F743AF"/>
    <w:rsid w:val="00F752C7"/>
    <w:rsid w:val="00F75810"/>
    <w:rsid w:val="00F76A55"/>
    <w:rsid w:val="00F80496"/>
    <w:rsid w:val="00F80729"/>
    <w:rsid w:val="00F80996"/>
    <w:rsid w:val="00F81DCD"/>
    <w:rsid w:val="00F82380"/>
    <w:rsid w:val="00F84BAA"/>
    <w:rsid w:val="00F84D35"/>
    <w:rsid w:val="00F8585D"/>
    <w:rsid w:val="00F86921"/>
    <w:rsid w:val="00F8725D"/>
    <w:rsid w:val="00F87360"/>
    <w:rsid w:val="00F87384"/>
    <w:rsid w:val="00F87F8D"/>
    <w:rsid w:val="00F907B2"/>
    <w:rsid w:val="00F90BD9"/>
    <w:rsid w:val="00F90DE0"/>
    <w:rsid w:val="00F92058"/>
    <w:rsid w:val="00F923A7"/>
    <w:rsid w:val="00F944D7"/>
    <w:rsid w:val="00F95F34"/>
    <w:rsid w:val="00F971FA"/>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3F13"/>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3ECC"/>
    <w:rsid w:val="00FF4376"/>
    <w:rsid w:val="00FF49E6"/>
    <w:rsid w:val="00FF4C2A"/>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7">
    <w:name w:val="Tabla con cuadrícula27"/>
    <w:basedOn w:val="Tablanormal"/>
    <w:next w:val="Tablaconcuadrcula"/>
    <w:uiPriority w:val="39"/>
    <w:rsid w:val="002D5BA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CB7C0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4430970">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04844001">
      <w:bodyDiv w:val="1"/>
      <w:marLeft w:val="0"/>
      <w:marRight w:val="0"/>
      <w:marTop w:val="0"/>
      <w:marBottom w:val="0"/>
      <w:divBdr>
        <w:top w:val="none" w:sz="0" w:space="0" w:color="auto"/>
        <w:left w:val="none" w:sz="0" w:space="0" w:color="auto"/>
        <w:bottom w:val="none" w:sz="0" w:space="0" w:color="auto"/>
        <w:right w:val="none" w:sz="0" w:space="0" w:color="auto"/>
      </w:divBdr>
    </w:div>
    <w:div w:id="411850536">
      <w:bodyDiv w:val="1"/>
      <w:marLeft w:val="0"/>
      <w:marRight w:val="0"/>
      <w:marTop w:val="0"/>
      <w:marBottom w:val="0"/>
      <w:divBdr>
        <w:top w:val="none" w:sz="0" w:space="0" w:color="auto"/>
        <w:left w:val="none" w:sz="0" w:space="0" w:color="auto"/>
        <w:bottom w:val="none" w:sz="0" w:space="0" w:color="auto"/>
        <w:right w:val="none" w:sz="0" w:space="0" w:color="auto"/>
      </w:divBdr>
    </w:div>
    <w:div w:id="41309143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6723899">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16838862">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41756955">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39375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6184110">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17828773">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025046">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4059907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9133974">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323443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4882.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222653.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782B7-2FCC-46BE-A8EF-477AEE4C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66</Pages>
  <Words>12268</Words>
  <Characters>67474</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2021-10-21T22:39:00Z</cp:lastPrinted>
  <dcterms:created xsi:type="dcterms:W3CDTF">2023-06-01T04:46:00Z</dcterms:created>
  <dcterms:modified xsi:type="dcterms:W3CDTF">2023-06-13T18:21:00Z</dcterms:modified>
</cp:coreProperties>
</file>