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veintiuno de junio del dos mil veintitrés. </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Visto</w:t>
      </w:r>
      <w:r w:rsidRPr="002250FE">
        <w:rPr>
          <w:rFonts w:ascii="Palatino Linotype" w:eastAsia="Palatino Linotype" w:hAnsi="Palatino Linotype" w:cs="Palatino Linotype"/>
        </w:rPr>
        <w:t xml:space="preserve"> el expediente relativo al recurso de revisión </w:t>
      </w:r>
      <w:r w:rsidRPr="002250FE">
        <w:rPr>
          <w:rFonts w:ascii="Palatino Linotype" w:eastAsia="Palatino Linotype" w:hAnsi="Palatino Linotype" w:cs="Palatino Linotype"/>
          <w:b/>
        </w:rPr>
        <w:t>12239/INFOEM/IP/RR/2022</w:t>
      </w:r>
      <w:r w:rsidRPr="002250FE">
        <w:rPr>
          <w:rFonts w:ascii="Palatino Linotype" w:eastAsia="Palatino Linotype" w:hAnsi="Palatino Linotype" w:cs="Palatino Linotype"/>
        </w:rPr>
        <w:t xml:space="preserve">, interpuesto por </w:t>
      </w:r>
      <w:r w:rsidR="00D542D5">
        <w:rPr>
          <w:rFonts w:ascii="Palatino Linotype" w:eastAsia="Palatino Linotype" w:hAnsi="Palatino Linotype" w:cs="Palatino Linotype"/>
          <w:b/>
        </w:rPr>
        <w:t>XXXXXXXXXXX XXXXX XXXXXX</w:t>
      </w:r>
      <w:bookmarkStart w:id="0" w:name="_GoBack"/>
      <w:bookmarkEnd w:id="0"/>
      <w:r w:rsidRPr="002250FE">
        <w:rPr>
          <w:rFonts w:ascii="Palatino Linotype" w:eastAsia="Palatino Linotype" w:hAnsi="Palatino Linotype" w:cs="Palatino Linotype"/>
          <w:b/>
        </w:rPr>
        <w:t>,</w:t>
      </w:r>
      <w:r w:rsidRPr="002250FE">
        <w:rPr>
          <w:rFonts w:ascii="Palatino Linotype" w:eastAsia="Palatino Linotype" w:hAnsi="Palatino Linotype" w:cs="Palatino Linotype"/>
        </w:rPr>
        <w:t xml:space="preserve"> lo sucesivo se le denominara la parte</w:t>
      </w:r>
      <w:r w:rsidRPr="002250FE">
        <w:rPr>
          <w:rFonts w:ascii="Palatino Linotype" w:eastAsia="Palatino Linotype" w:hAnsi="Palatino Linotype" w:cs="Palatino Linotype"/>
          <w:b/>
        </w:rPr>
        <w:t xml:space="preserve"> RECURRENTE</w:t>
      </w:r>
      <w:r w:rsidRPr="002250FE">
        <w:rPr>
          <w:rFonts w:ascii="Palatino Linotype" w:eastAsia="Palatino Linotype" w:hAnsi="Palatino Linotype" w:cs="Palatino Linotype"/>
        </w:rPr>
        <w:t>, en contra de la respuesta a su solicitud de información con número de folio</w:t>
      </w:r>
      <w:r w:rsidRPr="002250FE">
        <w:rPr>
          <w:rFonts w:ascii="Palatino Linotype" w:eastAsia="Palatino Linotype" w:hAnsi="Palatino Linotype" w:cs="Palatino Linotype"/>
          <w:b/>
        </w:rPr>
        <w:t xml:space="preserve"> 00041/IMEVIS/IP/2022,</w:t>
      </w:r>
      <w:r w:rsidRPr="002250FE">
        <w:rPr>
          <w:rFonts w:ascii="Palatino Linotype" w:eastAsia="Palatino Linotype" w:hAnsi="Palatino Linotype" w:cs="Palatino Linotype"/>
        </w:rPr>
        <w:t xml:space="preserve"> por parte del </w:t>
      </w:r>
      <w:r w:rsidRPr="002250FE">
        <w:rPr>
          <w:rFonts w:ascii="Palatino Linotype" w:eastAsia="Palatino Linotype" w:hAnsi="Palatino Linotype" w:cs="Palatino Linotype"/>
          <w:b/>
        </w:rPr>
        <w:t>Instituto Mexiquense de la Vivienda Social,</w:t>
      </w:r>
      <w:r w:rsidRPr="002250FE">
        <w:rPr>
          <w:rFonts w:ascii="Palatino Linotype" w:eastAsia="Palatino Linotype" w:hAnsi="Palatino Linotype" w:cs="Palatino Linotype"/>
        </w:rPr>
        <w:t xml:space="preserve"> en lo sucesivo el </w:t>
      </w:r>
      <w:r w:rsidRPr="002250FE">
        <w:rPr>
          <w:rFonts w:ascii="Palatino Linotype" w:eastAsia="Palatino Linotype" w:hAnsi="Palatino Linotype" w:cs="Palatino Linotype"/>
          <w:b/>
        </w:rPr>
        <w:t xml:space="preserve">SUJETO OBLIGADO; </w:t>
      </w:r>
      <w:r w:rsidRPr="002250FE">
        <w:rPr>
          <w:rFonts w:ascii="Palatino Linotype" w:eastAsia="Palatino Linotype" w:hAnsi="Palatino Linotype" w:cs="Palatino Linotype"/>
        </w:rPr>
        <w:t>se procede a dictar la presente resolución, con base en los siguientes:</w:t>
      </w:r>
    </w:p>
    <w:p w:rsidR="00E138AF" w:rsidRPr="002250FE" w:rsidRDefault="00B93B51">
      <w:pPr>
        <w:numPr>
          <w:ilvl w:val="0"/>
          <w:numId w:val="10"/>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250FE">
        <w:rPr>
          <w:rFonts w:ascii="Palatino Linotype" w:eastAsia="Palatino Linotype" w:hAnsi="Palatino Linotype" w:cs="Palatino Linotype"/>
          <w:b/>
          <w:sz w:val="22"/>
          <w:szCs w:val="22"/>
        </w:rPr>
        <w:t>A N T E C E D E N T E S:</w:t>
      </w:r>
    </w:p>
    <w:p w:rsidR="00E138AF" w:rsidRPr="002250FE" w:rsidRDefault="00B93B51">
      <w:pPr>
        <w:spacing w:before="240" w:after="240"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b/>
        </w:rPr>
        <w:t xml:space="preserve">1. Solicitud de acceso a la información. </w:t>
      </w:r>
      <w:r w:rsidRPr="002250FE">
        <w:rPr>
          <w:rFonts w:ascii="Palatino Linotype" w:eastAsia="Palatino Linotype" w:hAnsi="Palatino Linotype" w:cs="Palatino Linotype"/>
        </w:rPr>
        <w:t xml:space="preserve">Con fecha veinticuatro de mayo del dos mil veintidós, la parte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formuló solicitud de acceso a información pública al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a través del Sistema de Acceso a la Información Mexiquense, en adelante </w:t>
      </w:r>
      <w:r w:rsidRPr="002250FE">
        <w:rPr>
          <w:rFonts w:ascii="Palatino Linotype" w:eastAsia="Palatino Linotype" w:hAnsi="Palatino Linotype" w:cs="Palatino Linotype"/>
          <w:b/>
        </w:rPr>
        <w:t>SAIMEX,</w:t>
      </w:r>
      <w:r w:rsidRPr="002250FE">
        <w:rPr>
          <w:rFonts w:ascii="Palatino Linotype" w:eastAsia="Palatino Linotype" w:hAnsi="Palatino Linotype" w:cs="Palatino Linotype"/>
        </w:rPr>
        <w:t xml:space="preserve"> requiriéndole lo siguiente:</w:t>
      </w:r>
    </w:p>
    <w:p w:rsidR="00E138AF" w:rsidRPr="002250FE" w:rsidRDefault="00B93B51">
      <w:pPr>
        <w:spacing w:before="240" w:after="240"/>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“Por medio del presente solicito me sean entregados en medio digital (</w:t>
      </w:r>
      <w:proofErr w:type="spellStart"/>
      <w:r w:rsidRPr="002250FE">
        <w:rPr>
          <w:rFonts w:ascii="Palatino Linotype" w:eastAsia="Palatino Linotype" w:hAnsi="Palatino Linotype" w:cs="Palatino Linotype"/>
          <w:i/>
          <w:sz w:val="22"/>
          <w:szCs w:val="22"/>
        </w:rPr>
        <w:t>pdf</w:t>
      </w:r>
      <w:proofErr w:type="spellEnd"/>
      <w:r w:rsidRPr="002250FE">
        <w:rPr>
          <w:rFonts w:ascii="Palatino Linotype" w:eastAsia="Palatino Linotype" w:hAnsi="Palatino Linotype" w:cs="Palatino Linotype"/>
          <w:i/>
          <w:sz w:val="22"/>
          <w:szCs w:val="22"/>
        </w:rPr>
        <w:t xml:space="preserve">, </w:t>
      </w:r>
      <w:proofErr w:type="spellStart"/>
      <w:r w:rsidRPr="002250FE">
        <w:rPr>
          <w:rFonts w:ascii="Palatino Linotype" w:eastAsia="Palatino Linotype" w:hAnsi="Palatino Linotype" w:cs="Palatino Linotype"/>
          <w:i/>
          <w:sz w:val="22"/>
          <w:szCs w:val="22"/>
        </w:rPr>
        <w:t>word</w:t>
      </w:r>
      <w:proofErr w:type="spellEnd"/>
      <w:r w:rsidRPr="002250FE">
        <w:rPr>
          <w:rFonts w:ascii="Palatino Linotype" w:eastAsia="Palatino Linotype" w:hAnsi="Palatino Linotype" w:cs="Palatino Linotype"/>
          <w:i/>
          <w:sz w:val="22"/>
          <w:szCs w:val="22"/>
        </w:rPr>
        <w:t xml:space="preserve">, </w:t>
      </w:r>
      <w:proofErr w:type="spellStart"/>
      <w:r w:rsidRPr="002250FE">
        <w:rPr>
          <w:rFonts w:ascii="Palatino Linotype" w:eastAsia="Palatino Linotype" w:hAnsi="Palatino Linotype" w:cs="Palatino Linotype"/>
          <w:i/>
          <w:sz w:val="22"/>
          <w:szCs w:val="22"/>
        </w:rPr>
        <w:t>excell</w:t>
      </w:r>
      <w:proofErr w:type="spellEnd"/>
      <w:r w:rsidRPr="002250FE">
        <w:rPr>
          <w:rFonts w:ascii="Palatino Linotype" w:eastAsia="Palatino Linotype" w:hAnsi="Palatino Linotype" w:cs="Palatino Linotype"/>
          <w:i/>
          <w:sz w:val="22"/>
          <w:szCs w:val="22"/>
        </w:rPr>
        <w:t xml:space="preserve">, </w:t>
      </w:r>
      <w:proofErr w:type="spellStart"/>
      <w:r w:rsidRPr="002250FE">
        <w:rPr>
          <w:rFonts w:ascii="Palatino Linotype" w:eastAsia="Palatino Linotype" w:hAnsi="Palatino Linotype" w:cs="Palatino Linotype"/>
          <w:i/>
          <w:sz w:val="22"/>
          <w:szCs w:val="22"/>
        </w:rPr>
        <w:t>etc</w:t>
      </w:r>
      <w:proofErr w:type="spellEnd"/>
      <w:r w:rsidRPr="002250FE">
        <w:rPr>
          <w:rFonts w:ascii="Palatino Linotype" w:eastAsia="Palatino Linotype" w:hAnsi="Palatino Linotype" w:cs="Palatino Linotype"/>
          <w:i/>
          <w:sz w:val="22"/>
          <w:szCs w:val="22"/>
        </w:rPr>
        <w:t xml:space="preserve">), o en cualquier otro formato (gratuito) la siguiente </w:t>
      </w:r>
      <w:proofErr w:type="spellStart"/>
      <w:r w:rsidRPr="002250FE">
        <w:rPr>
          <w:rFonts w:ascii="Palatino Linotype" w:eastAsia="Palatino Linotype" w:hAnsi="Palatino Linotype" w:cs="Palatino Linotype"/>
          <w:i/>
          <w:sz w:val="22"/>
          <w:szCs w:val="22"/>
        </w:rPr>
        <w:t>informacion</w:t>
      </w:r>
      <w:proofErr w:type="spellEnd"/>
      <w:r w:rsidRPr="002250FE">
        <w:rPr>
          <w:rFonts w:ascii="Palatino Linotype" w:eastAsia="Palatino Linotype" w:hAnsi="Palatino Linotype" w:cs="Palatino Linotype"/>
          <w:i/>
          <w:sz w:val="22"/>
          <w:szCs w:val="22"/>
        </w:rPr>
        <w:t xml:space="preserve"> y </w:t>
      </w:r>
      <w:proofErr w:type="spellStart"/>
      <w:r w:rsidRPr="002250FE">
        <w:rPr>
          <w:rFonts w:ascii="Palatino Linotype" w:eastAsia="Palatino Linotype" w:hAnsi="Palatino Linotype" w:cs="Palatino Linotype"/>
          <w:i/>
          <w:sz w:val="22"/>
          <w:szCs w:val="22"/>
        </w:rPr>
        <w:t>documentacion</w:t>
      </w:r>
      <w:proofErr w:type="spellEnd"/>
      <w:r w:rsidRPr="002250FE">
        <w:rPr>
          <w:rFonts w:ascii="Palatino Linotype" w:eastAsia="Palatino Linotype" w:hAnsi="Palatino Linotype" w:cs="Palatino Linotype"/>
          <w:i/>
          <w:sz w:val="22"/>
          <w:szCs w:val="22"/>
        </w:rPr>
        <w:t xml:space="preserve">: 1. Solicito todos y cada uno de los convenios firmados con el Municipio de Chicoloapan, </w:t>
      </w:r>
      <w:proofErr w:type="spellStart"/>
      <w:r w:rsidRPr="002250FE">
        <w:rPr>
          <w:rFonts w:ascii="Palatino Linotype" w:eastAsia="Palatino Linotype" w:hAnsi="Palatino Linotype" w:cs="Palatino Linotype"/>
          <w:i/>
          <w:sz w:val="22"/>
          <w:szCs w:val="22"/>
        </w:rPr>
        <w:t>llamese</w:t>
      </w:r>
      <w:proofErr w:type="spellEnd"/>
      <w:r w:rsidRPr="002250FE">
        <w:rPr>
          <w:rFonts w:ascii="Palatino Linotype" w:eastAsia="Palatino Linotype" w:hAnsi="Palatino Linotype" w:cs="Palatino Linotype"/>
          <w:i/>
          <w:sz w:val="22"/>
          <w:szCs w:val="22"/>
        </w:rPr>
        <w:t xml:space="preserve"> </w:t>
      </w:r>
      <w:proofErr w:type="spellStart"/>
      <w:r w:rsidRPr="002250FE">
        <w:rPr>
          <w:rFonts w:ascii="Palatino Linotype" w:eastAsia="Palatino Linotype" w:hAnsi="Palatino Linotype" w:cs="Palatino Linotype"/>
          <w:i/>
          <w:sz w:val="22"/>
          <w:szCs w:val="22"/>
        </w:rPr>
        <w:t>ayuntamiendo</w:t>
      </w:r>
      <w:proofErr w:type="spellEnd"/>
      <w:r w:rsidRPr="002250FE">
        <w:rPr>
          <w:rFonts w:ascii="Palatino Linotype" w:eastAsia="Palatino Linotype" w:hAnsi="Palatino Linotype" w:cs="Palatino Linotype"/>
          <w:i/>
          <w:sz w:val="22"/>
          <w:szCs w:val="22"/>
        </w:rPr>
        <w:t xml:space="preserve">, ejido, y/o cualquier otra dependencia, institución </w:t>
      </w:r>
      <w:proofErr w:type="spellStart"/>
      <w:r w:rsidRPr="002250FE">
        <w:rPr>
          <w:rFonts w:ascii="Palatino Linotype" w:eastAsia="Palatino Linotype" w:hAnsi="Palatino Linotype" w:cs="Palatino Linotype"/>
          <w:i/>
          <w:sz w:val="22"/>
          <w:szCs w:val="22"/>
        </w:rPr>
        <w:t>publica</w:t>
      </w:r>
      <w:proofErr w:type="spellEnd"/>
      <w:r w:rsidRPr="002250FE">
        <w:rPr>
          <w:rFonts w:ascii="Palatino Linotype" w:eastAsia="Palatino Linotype" w:hAnsi="Palatino Linotype" w:cs="Palatino Linotype"/>
          <w:i/>
          <w:sz w:val="22"/>
          <w:szCs w:val="22"/>
        </w:rPr>
        <w:t xml:space="preserve"> y privada, desde el 01 de enero de 2000 al 23 de mayo de 2022; 2. Solicito todos y cada uno de los convenios firmados entre IMEVIS, el RAN y el Ejido de Chicoloapan desde el 01 de enero de 2000 al 23 de mayo de 2022; 3. Del </w:t>
      </w:r>
      <w:proofErr w:type="spellStart"/>
      <w:r w:rsidRPr="002250FE">
        <w:rPr>
          <w:rFonts w:ascii="Palatino Linotype" w:eastAsia="Palatino Linotype" w:hAnsi="Palatino Linotype" w:cs="Palatino Linotype"/>
          <w:i/>
          <w:sz w:val="22"/>
          <w:szCs w:val="22"/>
        </w:rPr>
        <w:t>ultimo</w:t>
      </w:r>
      <w:proofErr w:type="spellEnd"/>
      <w:r w:rsidRPr="002250FE">
        <w:rPr>
          <w:rFonts w:ascii="Palatino Linotype" w:eastAsia="Palatino Linotype" w:hAnsi="Palatino Linotype" w:cs="Palatino Linotype"/>
          <w:i/>
          <w:sz w:val="22"/>
          <w:szCs w:val="22"/>
        </w:rPr>
        <w:t xml:space="preserve"> convenio firmado entre el Ejido de Chicoloapan, el RAN e IMEVIS, solicito un listado con todos y cada uno de los datos públicos que se pueden proporcionar de acuerdo a la materia, de los solares (</w:t>
      </w:r>
      <w:proofErr w:type="spellStart"/>
      <w:r w:rsidRPr="002250FE">
        <w:rPr>
          <w:rFonts w:ascii="Palatino Linotype" w:eastAsia="Palatino Linotype" w:hAnsi="Palatino Linotype" w:cs="Palatino Linotype"/>
          <w:i/>
          <w:sz w:val="22"/>
          <w:szCs w:val="22"/>
        </w:rPr>
        <w:t>titulos</w:t>
      </w:r>
      <w:proofErr w:type="spellEnd"/>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i/>
          <w:sz w:val="22"/>
          <w:szCs w:val="22"/>
        </w:rPr>
        <w:lastRenderedPageBreak/>
        <w:t xml:space="preserve">agrarios) que fueron pagados y mandados a inscribir por IMEVIS al IFREM Texcoco, así como también un listado de los solares pendientes por pagar, que incluya nombre del beneficiario, numero de solar, manzana, lote, costo, y cualquier otro dato que sea de </w:t>
      </w:r>
      <w:proofErr w:type="spellStart"/>
      <w:r w:rsidRPr="002250FE">
        <w:rPr>
          <w:rFonts w:ascii="Palatino Linotype" w:eastAsia="Palatino Linotype" w:hAnsi="Palatino Linotype" w:cs="Palatino Linotype"/>
          <w:i/>
          <w:sz w:val="22"/>
          <w:szCs w:val="22"/>
        </w:rPr>
        <w:t>informacion</w:t>
      </w:r>
      <w:proofErr w:type="spellEnd"/>
      <w:r w:rsidRPr="002250FE">
        <w:rPr>
          <w:rFonts w:ascii="Palatino Linotype" w:eastAsia="Palatino Linotype" w:hAnsi="Palatino Linotype" w:cs="Palatino Linotype"/>
          <w:i/>
          <w:sz w:val="22"/>
          <w:szCs w:val="22"/>
        </w:rPr>
        <w:t xml:space="preserve"> publica de oficio; 4. Solicito el </w:t>
      </w:r>
      <w:proofErr w:type="spellStart"/>
      <w:r w:rsidRPr="002250FE">
        <w:rPr>
          <w:rFonts w:ascii="Palatino Linotype" w:eastAsia="Palatino Linotype" w:hAnsi="Palatino Linotype" w:cs="Palatino Linotype"/>
          <w:i/>
          <w:sz w:val="22"/>
          <w:szCs w:val="22"/>
        </w:rPr>
        <w:t>padron</w:t>
      </w:r>
      <w:proofErr w:type="spellEnd"/>
      <w:r w:rsidRPr="002250FE">
        <w:rPr>
          <w:rFonts w:ascii="Palatino Linotype" w:eastAsia="Palatino Linotype" w:hAnsi="Palatino Linotype" w:cs="Palatino Linotype"/>
          <w:i/>
          <w:sz w:val="22"/>
          <w:szCs w:val="22"/>
        </w:rPr>
        <w:t xml:space="preserve"> de beneficiarios de todos los </w:t>
      </w:r>
      <w:proofErr w:type="spellStart"/>
      <w:r w:rsidRPr="002250FE">
        <w:rPr>
          <w:rFonts w:ascii="Palatino Linotype" w:eastAsia="Palatino Linotype" w:hAnsi="Palatino Linotype" w:cs="Palatino Linotype"/>
          <w:i/>
          <w:sz w:val="22"/>
          <w:szCs w:val="22"/>
        </w:rPr>
        <w:t>titulos</w:t>
      </w:r>
      <w:proofErr w:type="spellEnd"/>
      <w:r w:rsidRPr="002250FE">
        <w:rPr>
          <w:rFonts w:ascii="Palatino Linotype" w:eastAsia="Palatino Linotype" w:hAnsi="Palatino Linotype" w:cs="Palatino Linotype"/>
          <w:i/>
          <w:sz w:val="22"/>
          <w:szCs w:val="22"/>
        </w:rPr>
        <w:t xml:space="preserve"> de propiedad, </w:t>
      </w:r>
      <w:proofErr w:type="spellStart"/>
      <w:r w:rsidRPr="002250FE">
        <w:rPr>
          <w:rFonts w:ascii="Palatino Linotype" w:eastAsia="Palatino Linotype" w:hAnsi="Palatino Linotype" w:cs="Palatino Linotype"/>
          <w:i/>
          <w:sz w:val="22"/>
          <w:szCs w:val="22"/>
        </w:rPr>
        <w:t>posesion</w:t>
      </w:r>
      <w:proofErr w:type="spellEnd"/>
      <w:r w:rsidRPr="002250FE">
        <w:rPr>
          <w:rFonts w:ascii="Palatino Linotype" w:eastAsia="Palatino Linotype" w:hAnsi="Palatino Linotype" w:cs="Palatino Linotype"/>
          <w:i/>
          <w:sz w:val="22"/>
          <w:szCs w:val="22"/>
        </w:rPr>
        <w:t xml:space="preserve">, cancelaciones de hipoteca, incluyendo los entregados mediante los convenios firmados con otras dependencias (RAN, IFREM, INFONAVIT, ISSEMYM, ETC) desde el 01 de enero de 2015 al 23 de mayo de 2022. 5. Solicito conocer los medios, formas, procesos que existen para poder agendar una </w:t>
      </w:r>
      <w:proofErr w:type="spellStart"/>
      <w:r w:rsidRPr="002250FE">
        <w:rPr>
          <w:rFonts w:ascii="Palatino Linotype" w:eastAsia="Palatino Linotype" w:hAnsi="Palatino Linotype" w:cs="Palatino Linotype"/>
          <w:i/>
          <w:sz w:val="22"/>
          <w:szCs w:val="22"/>
        </w:rPr>
        <w:t>reunion</w:t>
      </w:r>
      <w:proofErr w:type="spellEnd"/>
      <w:r w:rsidRPr="002250FE">
        <w:rPr>
          <w:rFonts w:ascii="Palatino Linotype" w:eastAsia="Palatino Linotype" w:hAnsi="Palatino Linotype" w:cs="Palatino Linotype"/>
          <w:i/>
          <w:sz w:val="22"/>
          <w:szCs w:val="22"/>
        </w:rPr>
        <w:t xml:space="preserve"> en donde sea atendida directamente por las y los delegados regionales en cada </w:t>
      </w:r>
      <w:proofErr w:type="spellStart"/>
      <w:r w:rsidRPr="002250FE">
        <w:rPr>
          <w:rFonts w:ascii="Palatino Linotype" w:eastAsia="Palatino Linotype" w:hAnsi="Palatino Linotype" w:cs="Palatino Linotype"/>
          <w:i/>
          <w:sz w:val="22"/>
          <w:szCs w:val="22"/>
        </w:rPr>
        <w:t>delegacion</w:t>
      </w:r>
      <w:proofErr w:type="spellEnd"/>
      <w:r w:rsidRPr="002250FE">
        <w:rPr>
          <w:rFonts w:ascii="Palatino Linotype" w:eastAsia="Palatino Linotype" w:hAnsi="Palatino Linotype" w:cs="Palatino Linotype"/>
          <w:i/>
          <w:sz w:val="22"/>
          <w:szCs w:val="22"/>
        </w:rPr>
        <w:t xml:space="preserve"> regional.” (Sic)</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Modalidad elegida para la entrega de la información: </w:t>
      </w:r>
      <w:r w:rsidRPr="002250FE">
        <w:rPr>
          <w:rFonts w:ascii="Palatino Linotype" w:eastAsia="Palatino Linotype" w:hAnsi="Palatino Linotype" w:cs="Palatino Linotype"/>
        </w:rPr>
        <w:t xml:space="preserve">a través del </w:t>
      </w:r>
      <w:r w:rsidRPr="002250FE">
        <w:rPr>
          <w:rFonts w:ascii="Palatino Linotype" w:eastAsia="Palatino Linotype" w:hAnsi="Palatino Linotype" w:cs="Palatino Linotype"/>
          <w:b/>
        </w:rPr>
        <w:t>SAIMEX</w:t>
      </w:r>
      <w:r w:rsidRPr="002250FE">
        <w:rPr>
          <w:rFonts w:ascii="Palatino Linotype" w:eastAsia="Palatino Linotype" w:hAnsi="Palatino Linotype" w:cs="Palatino Linotype"/>
        </w:rPr>
        <w:t>.</w:t>
      </w:r>
    </w:p>
    <w:p w:rsidR="00E138AF" w:rsidRPr="002250FE" w:rsidRDefault="00B93B51">
      <w:pPr>
        <w:spacing w:before="240" w:after="240"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b/>
        </w:rPr>
        <w:t xml:space="preserve">2. Solicitud de Aclaración, </w:t>
      </w:r>
      <w:r w:rsidRPr="002250FE">
        <w:rPr>
          <w:rFonts w:ascii="Palatino Linotype" w:eastAsia="Palatino Linotype" w:hAnsi="Palatino Linotype" w:cs="Palatino Linotype"/>
        </w:rPr>
        <w:t xml:space="preserve">Con fecha treinta y uno de mayo del dos mil veintidós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requirió al particular que complemente y/o aclare su solicitud, la cual versa como sigue:</w:t>
      </w:r>
    </w:p>
    <w:p w:rsidR="00E138AF" w:rsidRPr="002250FE" w:rsidRDefault="00B93B51">
      <w:pPr>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“Con fundamento en el </w:t>
      </w:r>
      <w:proofErr w:type="spellStart"/>
      <w:r w:rsidRPr="002250FE">
        <w:rPr>
          <w:rFonts w:ascii="Palatino Linotype" w:eastAsia="Palatino Linotype" w:hAnsi="Palatino Linotype" w:cs="Palatino Linotype"/>
          <w:i/>
          <w:sz w:val="22"/>
          <w:szCs w:val="22"/>
        </w:rPr>
        <w:t>articulo</w:t>
      </w:r>
      <w:proofErr w:type="spellEnd"/>
      <w:r w:rsidRPr="002250FE">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E138AF" w:rsidRPr="002250FE" w:rsidRDefault="00B93B51">
      <w:pPr>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Se anexa oficio de aclaración número 212C0101000200S/UT/250/2022, de fecha 31 de mayo de 2022.</w:t>
      </w:r>
    </w:p>
    <w:p w:rsidR="00E138AF" w:rsidRPr="002250FE" w:rsidRDefault="00B93B51">
      <w:pPr>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E138AF" w:rsidRPr="002250FE" w:rsidRDefault="00B93B51">
      <w:pPr>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ATENTAMENTE</w:t>
      </w:r>
    </w:p>
    <w:p w:rsidR="00E138AF" w:rsidRPr="002250FE" w:rsidRDefault="00B93B51">
      <w:pPr>
        <w:ind w:left="851" w:right="900"/>
        <w:jc w:val="both"/>
        <w:rPr>
          <w:rFonts w:ascii="Palatino Linotype" w:eastAsia="Palatino Linotype" w:hAnsi="Palatino Linotype" w:cs="Palatino Linotype"/>
          <w:i/>
          <w:sz w:val="22"/>
          <w:szCs w:val="22"/>
        </w:rPr>
      </w:pPr>
      <w:proofErr w:type="spellStart"/>
      <w:r w:rsidRPr="002250FE">
        <w:rPr>
          <w:rFonts w:ascii="Palatino Linotype" w:eastAsia="Palatino Linotype" w:hAnsi="Palatino Linotype" w:cs="Palatino Linotype"/>
          <w:i/>
          <w:sz w:val="22"/>
          <w:szCs w:val="22"/>
        </w:rPr>
        <w:t>Sarai</w:t>
      </w:r>
      <w:proofErr w:type="spellEnd"/>
      <w:r w:rsidRPr="002250FE">
        <w:rPr>
          <w:rFonts w:ascii="Palatino Linotype" w:eastAsia="Palatino Linotype" w:hAnsi="Palatino Linotype" w:cs="Palatino Linotype"/>
          <w:i/>
          <w:sz w:val="22"/>
          <w:szCs w:val="22"/>
        </w:rPr>
        <w:t xml:space="preserve"> </w:t>
      </w:r>
      <w:proofErr w:type="spellStart"/>
      <w:r w:rsidRPr="002250FE">
        <w:rPr>
          <w:rFonts w:ascii="Palatino Linotype" w:eastAsia="Palatino Linotype" w:hAnsi="Palatino Linotype" w:cs="Palatino Linotype"/>
          <w:i/>
          <w:sz w:val="22"/>
          <w:szCs w:val="22"/>
        </w:rPr>
        <w:t>Jaimes</w:t>
      </w:r>
      <w:proofErr w:type="spellEnd"/>
      <w:r w:rsidRPr="002250FE">
        <w:rPr>
          <w:rFonts w:ascii="Palatino Linotype" w:eastAsia="Palatino Linotype" w:hAnsi="Palatino Linotype" w:cs="Palatino Linotype"/>
          <w:i/>
          <w:sz w:val="22"/>
          <w:szCs w:val="22"/>
        </w:rPr>
        <w:t xml:space="preserve"> González” (Sic)</w:t>
      </w:r>
    </w:p>
    <w:p w:rsidR="00E138AF" w:rsidRPr="002250FE" w:rsidRDefault="00E138AF">
      <w:pPr>
        <w:ind w:left="851" w:right="900"/>
        <w:jc w:val="both"/>
        <w:rPr>
          <w:rFonts w:ascii="Palatino Linotype" w:eastAsia="Palatino Linotype" w:hAnsi="Palatino Linotype" w:cs="Palatino Linotype"/>
          <w:i/>
          <w:sz w:val="22"/>
          <w:szCs w:val="22"/>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El SUJETO OBLIGADO, </w:t>
      </w:r>
      <w:r w:rsidRPr="002250FE">
        <w:rPr>
          <w:rFonts w:ascii="Palatino Linotype" w:eastAsia="Palatino Linotype" w:hAnsi="Palatino Linotype" w:cs="Palatino Linotype"/>
        </w:rPr>
        <w:t>adjuntó a su requerimiento de aclaración el archivo electrónico denominado “</w:t>
      </w:r>
      <w:hyperlink r:id="rId8">
        <w:r w:rsidRPr="002250FE">
          <w:rPr>
            <w:rFonts w:ascii="Palatino Linotype" w:eastAsia="Palatino Linotype" w:hAnsi="Palatino Linotype" w:cs="Palatino Linotype"/>
          </w:rPr>
          <w:t>00041_Oficio_Aclaracion.PDF</w:t>
        </w:r>
      </w:hyperlink>
      <w:r w:rsidRPr="002250FE">
        <w:rPr>
          <w:rFonts w:ascii="Palatino Linotype" w:eastAsia="Palatino Linotype" w:hAnsi="Palatino Linotype" w:cs="Palatino Linotype"/>
        </w:rPr>
        <w:t xml:space="preserve">”, el cual contiene el oficio número 212C0101000200S/UT/250/2022, por medio del cual la Jefa de la Unidad de Información, Planeación, Programación y Evaluación, y Titular de la Unidad de Transparencia del Instituto Mexiquense de la Vivienda Social, requirió al particular </w:t>
      </w:r>
      <w:r w:rsidRPr="002250FE">
        <w:rPr>
          <w:rFonts w:ascii="Palatino Linotype" w:eastAsia="Palatino Linotype" w:hAnsi="Palatino Linotype" w:cs="Palatino Linotype"/>
        </w:rPr>
        <w:lastRenderedPageBreak/>
        <w:t xml:space="preserve">aclarara su solicitud de acceso a la información pública, toda vez que el servidor público de la Dirección Jurídica y de Igualdad de Género, solicitó aclarar lo siguiente: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“Las partes suscribientes, la fecha de suscripción, y de ser posible los objetos de los instrumentos jurídicos en comento” (Sic)</w:t>
      </w:r>
    </w:p>
    <w:p w:rsidR="00E138AF" w:rsidRPr="002250FE" w:rsidRDefault="00E138AF">
      <w:pPr>
        <w:spacing w:line="360" w:lineRule="auto"/>
        <w:jc w:val="both"/>
        <w:rPr>
          <w:rFonts w:ascii="Palatino Linotype" w:eastAsia="Palatino Linotype" w:hAnsi="Palatino Linotype" w:cs="Palatino Linotype"/>
          <w:b/>
        </w:rPr>
      </w:pPr>
    </w:p>
    <w:p w:rsidR="00E138AF" w:rsidRPr="002250FE" w:rsidRDefault="00B93B51">
      <w:pPr>
        <w:spacing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b/>
        </w:rPr>
        <w:t xml:space="preserve">3. Aclaración de Solicitud. </w:t>
      </w:r>
      <w:r w:rsidRPr="002250FE">
        <w:rPr>
          <w:rFonts w:ascii="Palatino Linotype" w:eastAsia="Palatino Linotype" w:hAnsi="Palatino Linotype" w:cs="Palatino Linotype"/>
        </w:rPr>
        <w:t>De las constancias que obras en el expediente electrónico del SAIMEX, se advierte que el solicitante no desahogó el requerimiento de aclaración.</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4. Respuesta. </w:t>
      </w:r>
      <w:r w:rsidRPr="002250FE">
        <w:rPr>
          <w:rFonts w:ascii="Palatino Linotype" w:eastAsia="Palatino Linotype" w:hAnsi="Palatino Linotype" w:cs="Palatino Linotype"/>
        </w:rPr>
        <w:t xml:space="preserve">Con fecha catorce de junio del dos mil veintidós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envió su respuesta a la solicitud de acceso a la información a través del SAIMEX, la cual versa como sigue:</w:t>
      </w:r>
    </w:p>
    <w:p w:rsidR="00E138AF" w:rsidRPr="002250FE" w:rsidRDefault="00B93B51">
      <w:pPr>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“Con fundamento en el </w:t>
      </w:r>
      <w:proofErr w:type="spellStart"/>
      <w:r w:rsidRPr="002250FE">
        <w:rPr>
          <w:rFonts w:ascii="Palatino Linotype" w:eastAsia="Palatino Linotype" w:hAnsi="Palatino Linotype" w:cs="Palatino Linotype"/>
          <w:i/>
          <w:sz w:val="22"/>
          <w:szCs w:val="22"/>
        </w:rPr>
        <w:t>articulo</w:t>
      </w:r>
      <w:proofErr w:type="spellEnd"/>
      <w:r w:rsidRPr="002250FE">
        <w:rPr>
          <w:rFonts w:ascii="Palatino Linotype" w:eastAsia="Palatino Linotype" w:hAnsi="Palatino Linotype" w:cs="Palatino Linotype"/>
          <w:i/>
          <w:sz w:val="22"/>
          <w:szCs w:val="22"/>
        </w:rPr>
        <w:t xml:space="preserve"> 159, tercer párrafo de la Ley de Transparencia y Acceso a la Información Pública del Estado de México y Municipios, se le hace de su conocimiento que se tiene por no presentada la solicitud de aclaración citada al rubro, en virtud de que:</w:t>
      </w:r>
    </w:p>
    <w:p w:rsidR="00E138AF" w:rsidRPr="002250FE" w:rsidRDefault="00B93B51">
      <w:pPr>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 </w:t>
      </w:r>
    </w:p>
    <w:p w:rsidR="00E138AF" w:rsidRPr="002250FE" w:rsidRDefault="00B93B51">
      <w:pPr>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ATENTAMENTE</w:t>
      </w:r>
    </w:p>
    <w:p w:rsidR="00E138AF" w:rsidRPr="002250FE" w:rsidRDefault="00B93B51">
      <w:pPr>
        <w:ind w:left="851" w:right="900"/>
        <w:jc w:val="both"/>
        <w:rPr>
          <w:rFonts w:ascii="Palatino Linotype" w:eastAsia="Palatino Linotype" w:hAnsi="Palatino Linotype" w:cs="Palatino Linotype"/>
          <w:i/>
          <w:sz w:val="22"/>
          <w:szCs w:val="22"/>
        </w:rPr>
      </w:pPr>
      <w:proofErr w:type="spellStart"/>
      <w:r w:rsidRPr="002250FE">
        <w:rPr>
          <w:rFonts w:ascii="Palatino Linotype" w:eastAsia="Palatino Linotype" w:hAnsi="Palatino Linotype" w:cs="Palatino Linotype"/>
          <w:i/>
          <w:sz w:val="22"/>
          <w:szCs w:val="22"/>
        </w:rPr>
        <w:t>Sarai</w:t>
      </w:r>
      <w:proofErr w:type="spellEnd"/>
      <w:r w:rsidRPr="002250FE">
        <w:rPr>
          <w:rFonts w:ascii="Palatino Linotype" w:eastAsia="Palatino Linotype" w:hAnsi="Palatino Linotype" w:cs="Palatino Linotype"/>
          <w:i/>
          <w:sz w:val="22"/>
          <w:szCs w:val="22"/>
        </w:rPr>
        <w:t xml:space="preserve"> </w:t>
      </w:r>
      <w:proofErr w:type="spellStart"/>
      <w:r w:rsidRPr="002250FE">
        <w:rPr>
          <w:rFonts w:ascii="Palatino Linotype" w:eastAsia="Palatino Linotype" w:hAnsi="Palatino Linotype" w:cs="Palatino Linotype"/>
          <w:i/>
          <w:sz w:val="22"/>
          <w:szCs w:val="22"/>
        </w:rPr>
        <w:t>Jaimes</w:t>
      </w:r>
      <w:proofErr w:type="spellEnd"/>
      <w:r w:rsidRPr="002250FE">
        <w:rPr>
          <w:rFonts w:ascii="Palatino Linotype" w:eastAsia="Palatino Linotype" w:hAnsi="Palatino Linotype" w:cs="Palatino Linotype"/>
          <w:i/>
          <w:sz w:val="22"/>
          <w:szCs w:val="22"/>
        </w:rPr>
        <w:t xml:space="preserve"> González” (Sic)</w:t>
      </w:r>
    </w:p>
    <w:p w:rsidR="00E138AF" w:rsidRPr="002250FE" w:rsidRDefault="00E138AF">
      <w:pPr>
        <w:ind w:left="851" w:right="902"/>
        <w:jc w:val="both"/>
        <w:rPr>
          <w:rFonts w:ascii="Palatino Linotype" w:eastAsia="Palatino Linotype" w:hAnsi="Palatino Linotype" w:cs="Palatino Linotype"/>
          <w:i/>
          <w:sz w:val="22"/>
          <w:szCs w:val="22"/>
        </w:rPr>
      </w:pPr>
    </w:p>
    <w:p w:rsidR="00E138AF" w:rsidRPr="002250FE" w:rsidRDefault="00B93B51">
      <w:pPr>
        <w:spacing w:before="240" w:line="360" w:lineRule="auto"/>
        <w:ind w:right="49"/>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adjuntó el archivo electrónico siguiente: </w:t>
      </w:r>
    </w:p>
    <w:p w:rsidR="00E138AF" w:rsidRPr="002250FE" w:rsidRDefault="00B93B51">
      <w:pPr>
        <w:spacing w:before="240" w:line="360" w:lineRule="auto"/>
        <w:ind w:right="49"/>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w:t>
      </w:r>
      <w:hyperlink r:id="rId9">
        <w:r w:rsidRPr="002250FE">
          <w:rPr>
            <w:rFonts w:ascii="Palatino Linotype" w:eastAsia="Palatino Linotype" w:hAnsi="Palatino Linotype" w:cs="Palatino Linotype"/>
          </w:rPr>
          <w:t>00041_Oficio de NO Aclaracion.PDF</w:t>
        </w:r>
      </w:hyperlink>
      <w:r w:rsidRPr="002250FE">
        <w:rPr>
          <w:rFonts w:ascii="Palatino Linotype" w:eastAsia="Palatino Linotype" w:hAnsi="Palatino Linotype" w:cs="Palatino Linotype"/>
        </w:rPr>
        <w:t xml:space="preserve">”, por medio del cual la Jefa de la Unidad de Información, Planeación, Programación y Evaluación, y Titular de la Unidad de Transparencia del Instituto Mexiquense de la Vivienda Social, informó al particular que en fecha 31 de mayo del presente año, se solicitó aclarar su requerimiento a través del oficio número 212C0101000200S/UT/250/2022, el cual ya cumplió el plazo establecido de diez días, siendo el último día el presente catorce de junio de dos mil veintidós; por lo que dicha Unidad Administrativa tuvo por no presentada la solicitud de información, en razón de que no tuvo a bien aclarar su requerimiento de información. </w:t>
      </w:r>
    </w:p>
    <w:p w:rsidR="00E138AF" w:rsidRPr="002250FE" w:rsidRDefault="00E138AF">
      <w:pPr>
        <w:spacing w:line="360" w:lineRule="auto"/>
        <w:ind w:right="49"/>
        <w:jc w:val="both"/>
        <w:rPr>
          <w:rFonts w:ascii="Palatino Linotype" w:eastAsia="Palatino Linotype" w:hAnsi="Palatino Linotype" w:cs="Palatino Linotype"/>
          <w:b/>
        </w:rPr>
      </w:pPr>
    </w:p>
    <w:p w:rsidR="00E138AF" w:rsidRPr="002250FE" w:rsidRDefault="00B93B51">
      <w:pPr>
        <w:spacing w:line="360" w:lineRule="auto"/>
        <w:ind w:right="49"/>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5. Interposición del recurso de revisión. </w:t>
      </w:r>
      <w:r w:rsidRPr="002250FE">
        <w:rPr>
          <w:rFonts w:ascii="Palatino Linotype" w:eastAsia="Palatino Linotype" w:hAnsi="Palatino Linotype" w:cs="Palatino Linotype"/>
        </w:rPr>
        <w:t xml:space="preserve">Inconforme con la respuesta del </w:t>
      </w:r>
      <w:r w:rsidRPr="002250FE">
        <w:rPr>
          <w:rFonts w:ascii="Palatino Linotype" w:eastAsia="Palatino Linotype" w:hAnsi="Palatino Linotype" w:cs="Palatino Linotype"/>
          <w:b/>
        </w:rPr>
        <w:t>SUJETO OBLIGADO el ahora RECURRENTE</w:t>
      </w:r>
      <w:r w:rsidRPr="002250FE">
        <w:rPr>
          <w:rFonts w:ascii="Palatino Linotype" w:eastAsia="Palatino Linotype" w:hAnsi="Palatino Linotype" w:cs="Palatino Linotype"/>
        </w:rPr>
        <w:t xml:space="preserve"> interpuso recurso de revisión a través del SAIMEX en fecha veintiocho de junio de dos mil veintidós, a través del cual expresó lo siguiente:</w:t>
      </w:r>
    </w:p>
    <w:p w:rsidR="00E138AF" w:rsidRPr="002250FE" w:rsidRDefault="00E138AF">
      <w:pPr>
        <w:spacing w:line="360" w:lineRule="auto"/>
        <w:ind w:right="49"/>
        <w:jc w:val="both"/>
        <w:rPr>
          <w:rFonts w:ascii="Palatino Linotype" w:eastAsia="Palatino Linotype" w:hAnsi="Palatino Linotype" w:cs="Palatino Linotype"/>
        </w:rPr>
      </w:pPr>
    </w:p>
    <w:p w:rsidR="00E138AF" w:rsidRPr="002250FE" w:rsidRDefault="00B93B51">
      <w:pPr>
        <w:spacing w:line="360" w:lineRule="auto"/>
        <w:rPr>
          <w:rFonts w:ascii="Palatino Linotype" w:eastAsia="Palatino Linotype" w:hAnsi="Palatino Linotype" w:cs="Palatino Linotype"/>
          <w:b/>
        </w:rPr>
      </w:pPr>
      <w:r w:rsidRPr="002250FE">
        <w:rPr>
          <w:rFonts w:ascii="Palatino Linotype" w:eastAsia="Palatino Linotype" w:hAnsi="Palatino Linotype" w:cs="Palatino Linotype"/>
          <w:b/>
        </w:rPr>
        <w:t>a) Acto impugnado.</w:t>
      </w:r>
    </w:p>
    <w:p w:rsidR="00E138AF" w:rsidRPr="002250FE" w:rsidRDefault="00B93B51">
      <w:pPr>
        <w:spacing w:after="240"/>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“NO PROPORCIONARON LA INFORMACION SOLICITADA, SOLICITAN UNA ACLARACION SIN FUNDAMENTO NI LOGICA JURIDICA CON LA FINALIDAD DE EVADIR LA RESPUESTA Y ENTREGAR LA INFORMACION REQUERIDA” (Sic)</w:t>
      </w:r>
    </w:p>
    <w:p w:rsidR="00E138AF" w:rsidRPr="002250FE" w:rsidRDefault="00B93B51">
      <w:pPr>
        <w:spacing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b/>
        </w:rPr>
        <w:t>b) Motivos de inconformidad.</w:t>
      </w:r>
    </w:p>
    <w:p w:rsidR="00E138AF" w:rsidRPr="002250FE" w:rsidRDefault="00B93B51">
      <w:pPr>
        <w:spacing w:after="240"/>
        <w:ind w:left="851"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“SOLICITAN UNA ACLARACION SIN FUNDAMENTO NI LOGICA JURIDICA CON LA FINALIDAD DE EVADIR LA RESPUESTA Y ENTREGAR LA INFORMACION REQUERIDA” (Sic)</w:t>
      </w:r>
    </w:p>
    <w:p w:rsidR="00E138AF" w:rsidRPr="002250FE" w:rsidRDefault="00B93B51">
      <w:pPr>
        <w:spacing w:before="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lastRenderedPageBreak/>
        <w:t xml:space="preserve">6. Turno. </w:t>
      </w:r>
      <w:r w:rsidRPr="002250F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2250FE">
        <w:rPr>
          <w:rFonts w:ascii="Palatino Linotype" w:eastAsia="Palatino Linotype" w:hAnsi="Palatino Linotype" w:cs="Palatino Linotype"/>
          <w:b/>
        </w:rPr>
        <w:t xml:space="preserve">12239/INFOEM/IP/RR/2022, </w:t>
      </w:r>
      <w:r w:rsidRPr="002250FE">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2250FE">
        <w:rPr>
          <w:rFonts w:ascii="Palatino Linotype" w:eastAsia="Palatino Linotype" w:hAnsi="Palatino Linotype" w:cs="Palatino Linotype"/>
          <w:b/>
        </w:rPr>
        <w:t>Guadalupe Ramírez Peña</w:t>
      </w:r>
      <w:r w:rsidRPr="002250FE">
        <w:rPr>
          <w:rFonts w:ascii="Palatino Linotype" w:eastAsia="Palatino Linotype" w:hAnsi="Palatino Linotype" w:cs="Palatino Linotype"/>
        </w:rPr>
        <w:t>, para su análisis, estudio, elaboración del proyecto y presentación ante el Pleno de este Instituto.</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7. Admisión del recurso de revisión: </w:t>
      </w:r>
      <w:r w:rsidRPr="002250FE">
        <w:rPr>
          <w:rFonts w:ascii="Palatino Linotype" w:eastAsia="Palatino Linotype" w:hAnsi="Palatino Linotype" w:cs="Palatino Linotype"/>
        </w:rPr>
        <w:t xml:space="preserve">En fecha primero de julio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presentara su informe justificado. </w:t>
      </w:r>
    </w:p>
    <w:p w:rsidR="00E138AF" w:rsidRPr="002250FE" w:rsidRDefault="00B93B5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2250FE">
        <w:rPr>
          <w:rFonts w:ascii="Palatino Linotype" w:eastAsia="Palatino Linotype" w:hAnsi="Palatino Linotype" w:cs="Palatino Linotype"/>
          <w:b/>
        </w:rPr>
        <w:t>8. Manifestaciones</w:t>
      </w:r>
      <w:r w:rsidRPr="002250FE">
        <w:rPr>
          <w:rFonts w:ascii="Palatino Linotype" w:eastAsia="Palatino Linotype" w:hAnsi="Palatino Linotype" w:cs="Palatino Linotype"/>
        </w:rPr>
        <w:t xml:space="preserve">: De las constancias que integran el expediente en que se actúa se advierte que 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en fecha siete de julio del año dos mil veintidós, adjuntó el archivo electrónico denominado:</w:t>
      </w:r>
    </w:p>
    <w:p w:rsidR="00E138AF" w:rsidRPr="002250FE" w:rsidRDefault="00B93B5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w:t>
      </w:r>
      <w:hyperlink r:id="rId10">
        <w:r w:rsidRPr="002250FE">
          <w:rPr>
            <w:rFonts w:ascii="Palatino Linotype" w:eastAsia="Palatino Linotype" w:hAnsi="Palatino Linotype" w:cs="Palatino Linotype"/>
          </w:rPr>
          <w:t>MANIFESTACIONES SOLICITUD 41 IMEVIS.docx</w:t>
        </w:r>
      </w:hyperlink>
      <w:r w:rsidRPr="002250FE">
        <w:rPr>
          <w:rFonts w:ascii="Palatino Linotype" w:eastAsia="Palatino Linotype" w:hAnsi="Palatino Linotype" w:cs="Palatino Linotype"/>
        </w:rPr>
        <w:t xml:space="preserve">”, el cual contiene los alegatos del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mediante el cual expresó lo siguiente:</w:t>
      </w:r>
    </w:p>
    <w:p w:rsidR="00E138AF" w:rsidRPr="002250FE" w:rsidRDefault="00B93B51">
      <w:pPr>
        <w:widowControl w:val="0"/>
        <w:pBdr>
          <w:top w:val="nil"/>
          <w:left w:val="nil"/>
          <w:bottom w:val="nil"/>
          <w:right w:val="nil"/>
          <w:between w:val="nil"/>
        </w:pBdr>
        <w:tabs>
          <w:tab w:val="left" w:pos="709"/>
        </w:tabs>
        <w:spacing w:before="120"/>
        <w:jc w:val="both"/>
        <w:rPr>
          <w:rFonts w:ascii="Palatino Linotype" w:eastAsia="Palatino Linotype" w:hAnsi="Palatino Linotype" w:cs="Palatino Linotype"/>
          <w:i/>
        </w:rPr>
      </w:pPr>
      <w:r w:rsidRPr="002250FE">
        <w:rPr>
          <w:rFonts w:ascii="Palatino Linotype" w:eastAsia="Palatino Linotype" w:hAnsi="Palatino Linotype" w:cs="Palatino Linotype"/>
          <w:i/>
        </w:rPr>
        <w:t>“Una vez revisado el oficio de solicitud de aclaración que envió el sujeto obligado, es más que evidente que el mismo pretende evadir el dar respuesta a mi solicitud y requerimientos que hago en la misma, pues no existe motivo alguno por el cual este la debió solicitar, es por ello que solicito a este H. Instituto y al Pleno, intervenir a fin de obligar al IMEVIS a entregar la información requerida, y no intentar o no manipular la ley y sus fundamentos de una manera viciosa e inequívoca, tal y como lo es el presente asunto.</w:t>
      </w:r>
    </w:p>
    <w:p w:rsidR="00E138AF" w:rsidRPr="002250FE" w:rsidRDefault="00B93B51">
      <w:pPr>
        <w:widowControl w:val="0"/>
        <w:pBdr>
          <w:top w:val="nil"/>
          <w:left w:val="nil"/>
          <w:bottom w:val="nil"/>
          <w:right w:val="nil"/>
          <w:between w:val="nil"/>
        </w:pBdr>
        <w:tabs>
          <w:tab w:val="left" w:pos="709"/>
        </w:tabs>
        <w:jc w:val="both"/>
        <w:rPr>
          <w:rFonts w:ascii="Palatino Linotype" w:eastAsia="Palatino Linotype" w:hAnsi="Palatino Linotype" w:cs="Palatino Linotype"/>
          <w:i/>
        </w:rPr>
      </w:pPr>
      <w:r w:rsidRPr="002250FE">
        <w:rPr>
          <w:rFonts w:ascii="Palatino Linotype" w:eastAsia="Palatino Linotype" w:hAnsi="Palatino Linotype" w:cs="Palatino Linotype"/>
          <w:i/>
        </w:rPr>
        <w:lastRenderedPageBreak/>
        <w:t xml:space="preserve">Por todo lo antes expuesto, fundado y motivado, a usted, H. INSTITUTO, respetuosamente pido se sirva: </w:t>
      </w:r>
    </w:p>
    <w:p w:rsidR="00E138AF" w:rsidRPr="002250FE" w:rsidRDefault="00B93B51">
      <w:pPr>
        <w:widowControl w:val="0"/>
        <w:pBdr>
          <w:top w:val="nil"/>
          <w:left w:val="nil"/>
          <w:bottom w:val="nil"/>
          <w:right w:val="nil"/>
          <w:between w:val="nil"/>
        </w:pBdr>
        <w:tabs>
          <w:tab w:val="left" w:pos="709"/>
        </w:tabs>
        <w:jc w:val="both"/>
        <w:rPr>
          <w:rFonts w:ascii="Palatino Linotype" w:eastAsia="Palatino Linotype" w:hAnsi="Palatino Linotype" w:cs="Palatino Linotype"/>
          <w:i/>
        </w:rPr>
      </w:pPr>
      <w:r w:rsidRPr="002250FE">
        <w:rPr>
          <w:rFonts w:ascii="Palatino Linotype" w:eastAsia="Palatino Linotype" w:hAnsi="Palatino Linotype" w:cs="Palatino Linotype"/>
          <w:i/>
        </w:rPr>
        <w:t xml:space="preserve">PRIMERO.- Tenerme por presentado en los términos de este escrito, presentando en tiempo y forma mis manifestaciones, expresando las causas de Inconformidad que me genera la respuesta recaída a mi Solicitud de Información Pública. </w:t>
      </w:r>
    </w:p>
    <w:p w:rsidR="00E138AF" w:rsidRPr="002250FE" w:rsidRDefault="00B93B51">
      <w:pPr>
        <w:widowControl w:val="0"/>
        <w:pBdr>
          <w:top w:val="nil"/>
          <w:left w:val="nil"/>
          <w:bottom w:val="nil"/>
          <w:right w:val="nil"/>
          <w:between w:val="nil"/>
        </w:pBdr>
        <w:tabs>
          <w:tab w:val="left" w:pos="709"/>
        </w:tabs>
        <w:spacing w:after="240"/>
        <w:jc w:val="both"/>
        <w:rPr>
          <w:rFonts w:ascii="Palatino Linotype" w:eastAsia="Palatino Linotype" w:hAnsi="Palatino Linotype" w:cs="Palatino Linotype"/>
          <w:i/>
        </w:rPr>
      </w:pPr>
      <w:r w:rsidRPr="002250FE">
        <w:rPr>
          <w:rFonts w:ascii="Palatino Linotype" w:eastAsia="Palatino Linotype" w:hAnsi="Palatino Linotype" w:cs="Palatino Linotype"/>
          <w:i/>
        </w:rPr>
        <w:t>SEGUNDO.- Por ser procedente, se ordene al Sujeto Obligado, se sirva proporcionar la información requerida por el suscrito, por las razones aducidas en el cuerpo de este escrito.” (Sic)</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Por su parte, el </w:t>
      </w:r>
      <w:r w:rsidRPr="002250FE">
        <w:rPr>
          <w:rFonts w:ascii="Palatino Linotype" w:eastAsia="Palatino Linotype" w:hAnsi="Palatino Linotype" w:cs="Palatino Linotype"/>
          <w:b/>
        </w:rPr>
        <w:t xml:space="preserve">SUJETO OBLIGADO, </w:t>
      </w:r>
      <w:r w:rsidRPr="002250FE">
        <w:rPr>
          <w:rFonts w:ascii="Palatino Linotype" w:eastAsia="Palatino Linotype" w:hAnsi="Palatino Linotype" w:cs="Palatino Linotype"/>
        </w:rPr>
        <w:t>en fecha doce de julio del año dos mil veintidós, adjuntó el archivo electrónico denominado:</w:t>
      </w: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w:t>
      </w:r>
      <w:hyperlink r:id="rId11">
        <w:r w:rsidRPr="002250FE">
          <w:rPr>
            <w:rFonts w:ascii="Palatino Linotype" w:eastAsia="Palatino Linotype" w:hAnsi="Palatino Linotype" w:cs="Palatino Linotype"/>
          </w:rPr>
          <w:t>00041_Informe_Justificado_RR_12239.PDF</w:t>
        </w:r>
      </w:hyperlink>
      <w:r w:rsidRPr="002250FE">
        <w:rPr>
          <w:rFonts w:ascii="Palatino Linotype" w:eastAsia="Palatino Linotype" w:hAnsi="Palatino Linotype" w:cs="Palatino Linotype"/>
        </w:rPr>
        <w:t xml:space="preserve">”, el cual contiene el informe justificado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a través del cual señaló además de los antecedentes del presente asunto, la negación a los motivos de inconformidad del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en razón de que la aclaración se solicitó con la intención de precisar los instrumentos jurídicos a los cuales se quiere acceder, toda vez que el Instituto Mexiquense de la Vivienda Social conforme a lo que indica la fracción V del artículo 3 de la Ley que crea al Organismo Público Descentralizado de Carácter denominado Instituto Mexiquense de la Vivienda Social, suscribe convenios con la federación, municipios y otras instituciones dependencias públicas y privadas, y el hecho que refiera “Chicoloapan”, advierte un aspecto amplió de información.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De lo anterior, precisó que no se quiso evadir la respuesta ni la entrega de la información en ningún momento, como lo advierte la parte solicitante en el acto impugnado y en las razones y motivos de inconformidad, sino que la intención es darle la información precisa a la parte solicitante. </w:t>
      </w: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Por otro lado, señaló que la información solicitada pude que ya esté disponible al público en el portal del IPOMEX, la cual precisó que puede ser consultada en la siguiente liga electrónica: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D542D5">
      <w:pPr>
        <w:spacing w:line="360" w:lineRule="auto"/>
        <w:jc w:val="both"/>
        <w:rPr>
          <w:rFonts w:ascii="Palatino Linotype" w:eastAsia="Palatino Linotype" w:hAnsi="Palatino Linotype" w:cs="Palatino Linotype"/>
        </w:rPr>
      </w:pPr>
      <w:hyperlink r:id="rId12">
        <w:r w:rsidR="00B93B51" w:rsidRPr="002250FE">
          <w:rPr>
            <w:rFonts w:ascii="Palatino Linotype" w:eastAsia="Palatino Linotype" w:hAnsi="Palatino Linotype" w:cs="Palatino Linotype"/>
            <w:u w:val="single"/>
          </w:rPr>
          <w:t>https://ipomex.org.mx/ipo3/lgt/indice/IMEVIS/art_92_xxxvii.web?token=03ANYolquVM_ja9C_bKHarm2RrPsjirtVsJvRmdooRvozaKLZ2RGM2yyrmx2Pnu0DElaW8aJ_xkum5FuMTMee1Wb/L_FttlrfnuwlelpwVsCIYmxOeenKNp05XfO9Oq_BAUcj4wkUqw1YajKilS296bq5vJV_XgMclmdfOpdH3AlbW4CsldGxeu47K_71knBNOGZWbbLHtqqvDpj7Dnekz8E4eskRxSfELbM4MG5eljGeJlLnZNDVvGw1ojD3TFTUvH607vHM3xQUEdasWD1BBpVgZuRWxdFLOz$YkqWolo94psEuntSfKNtvnGMMi7F_utwu0rwkFmZn6LCXkbl_hq1qKq_3P4wy8HBdnVAz_Wz1eZ_nRwiURjd3vNoGr_TRQv_7FNZBwOkQWWKKNsNmVGFfxOuVJclrWilbNL2p9bfTfNPFKswm3i72J1nTJEXMiOr_JpQ</w:t>
        </w:r>
      </w:hyperlink>
      <w:r w:rsidR="00B93B51" w:rsidRPr="002250FE">
        <w:rPr>
          <w:rFonts w:ascii="Palatino Linotype" w:eastAsia="Palatino Linotype" w:hAnsi="Palatino Linotype" w:cs="Palatino Linotype"/>
        </w:rPr>
        <w:t xml:space="preserve">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Concluyendo que se confirme la no aclaración por no actualizarse ninguno de los supuestos previstos en el artículo 179 de la Ley de la Materia y por ende se declare el sobreseimiento.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Dicho archivo, se puso a la vista del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E138AF" w:rsidRPr="002250FE" w:rsidRDefault="00E138AF">
      <w:pPr>
        <w:widowControl w:val="0"/>
        <w:spacing w:line="360" w:lineRule="auto"/>
        <w:jc w:val="both"/>
        <w:rPr>
          <w:rFonts w:ascii="Palatino Linotype" w:eastAsia="Palatino Linotype" w:hAnsi="Palatino Linotype" w:cs="Palatino Linotype"/>
          <w:b/>
        </w:rPr>
      </w:pPr>
    </w:p>
    <w:p w:rsidR="00E138AF" w:rsidRPr="002250FE" w:rsidRDefault="00B93B51">
      <w:pPr>
        <w:widowControl w:val="0"/>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9.- Ampliación del plazo.</w:t>
      </w:r>
      <w:r w:rsidRPr="002250FE">
        <w:rPr>
          <w:rFonts w:ascii="Palatino Linotype" w:eastAsia="Palatino Linotype" w:hAnsi="Palatino Linotype" w:cs="Palatino Linotype"/>
        </w:rPr>
        <w:t xml:space="preserve"> En fecha once de enero del año dos mil veintitrés, con </w:t>
      </w:r>
      <w:r w:rsidRPr="002250FE">
        <w:rPr>
          <w:rFonts w:ascii="Palatino Linotype" w:eastAsia="Palatino Linotype" w:hAnsi="Palatino Linotype" w:cs="Palatino Linotype"/>
        </w:rPr>
        <w:lastRenderedPageBreak/>
        <w:t>fundamento en el artículo 181, párrafo tercero de la Ley de Transparencia y Acceso a la Información Pública del Estado de México y Municipios, se acordó la ampliación del plazo para su resolución.</w:t>
      </w:r>
    </w:p>
    <w:p w:rsidR="00E138AF" w:rsidRPr="002250FE" w:rsidRDefault="00E138AF">
      <w:pPr>
        <w:widowControl w:val="0"/>
        <w:spacing w:line="360" w:lineRule="auto"/>
        <w:jc w:val="both"/>
        <w:rPr>
          <w:rFonts w:ascii="Palatino Linotype" w:eastAsia="Palatino Linotype" w:hAnsi="Palatino Linotype" w:cs="Palatino Linotype"/>
        </w:rPr>
      </w:pPr>
    </w:p>
    <w:p w:rsidR="00E138AF" w:rsidRPr="002250FE" w:rsidRDefault="00B93B51">
      <w:pPr>
        <w:widowControl w:val="0"/>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strike/>
        </w:rPr>
      </w:pPr>
      <w:r w:rsidRPr="002250F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numPr>
          <w:ilvl w:val="0"/>
          <w:numId w:val="3"/>
        </w:num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E138AF" w:rsidRPr="002250FE" w:rsidRDefault="00E138AF">
      <w:pPr>
        <w:spacing w:line="360" w:lineRule="auto"/>
        <w:ind w:left="927"/>
        <w:jc w:val="both"/>
        <w:rPr>
          <w:rFonts w:ascii="Palatino Linotype" w:eastAsia="Palatino Linotype" w:hAnsi="Palatino Linotype" w:cs="Palatino Linotype"/>
        </w:rPr>
      </w:pPr>
    </w:p>
    <w:p w:rsidR="00E138AF" w:rsidRPr="002250FE" w:rsidRDefault="00B93B51">
      <w:pPr>
        <w:numPr>
          <w:ilvl w:val="0"/>
          <w:numId w:val="3"/>
        </w:num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Actividad Procesal del interesado. Acciones u omisiones del interesado.</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numPr>
          <w:ilvl w:val="0"/>
          <w:numId w:val="3"/>
        </w:num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Conducta de la Autoridad: Las Acciones u omisiones realizadas en el procedimiento. Así como si la autoridad actuó con la debida diligencia.</w:t>
      </w:r>
    </w:p>
    <w:p w:rsidR="00E138AF" w:rsidRPr="002250FE" w:rsidRDefault="00E138AF">
      <w:pPr>
        <w:spacing w:line="360" w:lineRule="auto"/>
        <w:ind w:left="708"/>
        <w:rPr>
          <w:rFonts w:ascii="Palatino Linotype" w:eastAsia="Palatino Linotype" w:hAnsi="Palatino Linotype" w:cs="Palatino Linotype"/>
        </w:rPr>
      </w:pPr>
    </w:p>
    <w:p w:rsidR="00E138AF" w:rsidRPr="002250FE" w:rsidRDefault="00B93B51">
      <w:pPr>
        <w:spacing w:line="360" w:lineRule="auto"/>
        <w:ind w:left="567"/>
        <w:jc w:val="both"/>
        <w:rPr>
          <w:rFonts w:ascii="Palatino Linotype" w:eastAsia="Palatino Linotype" w:hAnsi="Palatino Linotype" w:cs="Palatino Linotype"/>
        </w:rPr>
      </w:pPr>
      <w:r w:rsidRPr="002250FE">
        <w:rPr>
          <w:rFonts w:ascii="Palatino Linotype" w:eastAsia="Palatino Linotype" w:hAnsi="Palatino Linotype" w:cs="Palatino Linotype"/>
        </w:rPr>
        <w:t>d) La afectación generada en la situación jurídica de la persona involucrada en el proceso: Violación a sus derechos humanos.</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2250FE">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rPr>
        <w:t>Argumento que encuentra sustento en la jurisprudencia P</w:t>
      </w:r>
      <w:proofErr w:type="gramStart"/>
      <w:r w:rsidRPr="002250FE">
        <w:rPr>
          <w:rFonts w:ascii="Palatino Linotype" w:eastAsia="Palatino Linotype" w:hAnsi="Palatino Linotype" w:cs="Palatino Linotype"/>
        </w:rPr>
        <w:t>./</w:t>
      </w:r>
      <w:proofErr w:type="gramEnd"/>
      <w:r w:rsidRPr="002250FE">
        <w:rPr>
          <w:rFonts w:ascii="Palatino Linotype" w:eastAsia="Palatino Linotype" w:hAnsi="Palatino Linotype" w:cs="Palatino Linotype"/>
        </w:rPr>
        <w:t xml:space="preserve">J. 32/92 emitida por el Pleno de la Suprema Corte de Justicia de la Nación de rubro </w:t>
      </w:r>
      <w:r w:rsidRPr="002250F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250FE">
        <w:rPr>
          <w:rFonts w:ascii="Palatino Linotype" w:eastAsia="Palatino Linotype" w:hAnsi="Palatino Linotype" w:cs="Palatino Linotype"/>
        </w:rPr>
        <w:t>, visible en la Gaceta del Seminario Judicial de la Federación con el registro digital 205635.</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 </w:t>
      </w:r>
      <w:r w:rsidRPr="002250FE">
        <w:rPr>
          <w:rFonts w:ascii="Palatino Linotype" w:eastAsia="Palatino Linotype" w:hAnsi="Palatino Linotype" w:cs="Palatino Linotype"/>
          <w:i/>
        </w:rPr>
        <w:t>“PLAZO RAZONABLE PARA RESOLVER. DIMENSIÓN Y EFECTOS DE ESTE CONCEPTO CUANDO SE ADUCE EXCESIVA CARGA DE TRABAJO.”</w:t>
      </w:r>
      <w:r w:rsidRPr="002250FE">
        <w:rPr>
          <w:rFonts w:ascii="Palatino Linotype" w:eastAsia="Palatino Linotype" w:hAnsi="Palatino Linotype" w:cs="Palatino Linotype"/>
        </w:rPr>
        <w:t xml:space="preserve"> consultable en el Seminario Judicial de la Federación y su gaceta, con el registro digital 2002351.</w:t>
      </w:r>
    </w:p>
    <w:p w:rsidR="00E138AF" w:rsidRPr="002250FE" w:rsidRDefault="00E138AF">
      <w:pPr>
        <w:spacing w:line="360" w:lineRule="auto"/>
        <w:jc w:val="both"/>
        <w:rPr>
          <w:rFonts w:ascii="Palatino Linotype" w:eastAsia="Palatino Linotype" w:hAnsi="Palatino Linotype" w:cs="Palatino Linotype"/>
          <w:b/>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i/>
        </w:rPr>
        <w:t>“PLAZO RAZONABLE PARA RESOLVER. CONCEPTO Y ELEMENTOS QUE LO INTEGRAN A LA LUZ DEL DERECHO INTERNACIONAL DE LOS DERECHOS HUMANOS.”</w:t>
      </w:r>
      <w:r w:rsidRPr="002250FE">
        <w:rPr>
          <w:rFonts w:ascii="Palatino Linotype" w:eastAsia="Palatino Linotype" w:hAnsi="Palatino Linotype" w:cs="Palatino Linotype"/>
        </w:rPr>
        <w:t>, visible en el Seminario Judicial de la Federación y su gaceta, con el registro digital 2002350.</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E138AF" w:rsidRPr="002250FE" w:rsidRDefault="00B93B51">
      <w:pPr>
        <w:widowControl w:val="0"/>
        <w:spacing w:before="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10.- Requerimiento de información adicional. </w:t>
      </w:r>
      <w:r w:rsidRPr="002250FE">
        <w:rPr>
          <w:rFonts w:ascii="Palatino Linotype" w:eastAsia="Palatino Linotype" w:hAnsi="Palatino Linotype" w:cs="Palatino Linotype"/>
        </w:rPr>
        <w:t xml:space="preserve">El cuatro de mayo de dos mil veintitrés, se envió por correo electrónico un requerimiento de información adicional al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para mejor proveer el presente asunto, el cual consistió en lo siguiente:</w:t>
      </w:r>
    </w:p>
    <w:p w:rsidR="00E138AF" w:rsidRPr="002250FE" w:rsidRDefault="00B93B51">
      <w:pPr>
        <w:widowControl w:val="0"/>
        <w:spacing w:before="240" w:line="360" w:lineRule="auto"/>
        <w:jc w:val="both"/>
        <w:rPr>
          <w:rFonts w:ascii="Palatino Linotype" w:eastAsia="Palatino Linotype" w:hAnsi="Palatino Linotype" w:cs="Palatino Linotype"/>
        </w:rPr>
      </w:pPr>
      <w:r w:rsidRPr="002250FE">
        <w:rPr>
          <w:noProof/>
          <w:lang w:val="es-MX" w:eastAsia="es-MX"/>
        </w:rPr>
        <w:lastRenderedPageBreak/>
        <w:drawing>
          <wp:inline distT="0" distB="0" distL="0" distR="0">
            <wp:extent cx="5492750" cy="6546850"/>
            <wp:effectExtent l="0" t="0" r="0" b="0"/>
            <wp:docPr id="1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43108" t="14082" r="29506" b="23556"/>
                    <a:stretch>
                      <a:fillRect/>
                    </a:stretch>
                  </pic:blipFill>
                  <pic:spPr>
                    <a:xfrm>
                      <a:off x="0" y="0"/>
                      <a:ext cx="5492750" cy="6546850"/>
                    </a:xfrm>
                    <a:prstGeom prst="rect">
                      <a:avLst/>
                    </a:prstGeom>
                    <a:ln/>
                  </pic:spPr>
                </pic:pic>
              </a:graphicData>
            </a:graphic>
          </wp:inline>
        </w:drawing>
      </w: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lastRenderedPageBreak/>
        <w:t xml:space="preserve">11. Atención al requerimiento adicional. </w:t>
      </w:r>
      <w:r w:rsidRPr="002250FE">
        <w:rPr>
          <w:rFonts w:ascii="Palatino Linotype" w:eastAsia="Palatino Linotype" w:hAnsi="Palatino Linotype" w:cs="Palatino Linotype"/>
        </w:rPr>
        <w:t xml:space="preserve">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en fecha once de mayo del año dos mil veintitrés, desahogó el requerimiento adicional, adjuntando para tal efecto los siguientes archivos electrónicos:</w:t>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“RESPUESTA_CDR.pdf”, por medio del cual el Coordinador de Delegaciones Regionales, informó que turnó el requerimiento de información adicional y que anexaba la respuesta de la unidad administrativa. </w:t>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El Delegado Regional del </w:t>
      </w:r>
      <w:r w:rsidRPr="002250FE">
        <w:rPr>
          <w:rFonts w:ascii="Palatino Linotype" w:eastAsia="Palatino Linotype" w:hAnsi="Palatino Linotype" w:cs="Palatino Linotype"/>
          <w:b/>
        </w:rPr>
        <w:t xml:space="preserve">SUJETO OBLIGADO </w:t>
      </w:r>
      <w:r w:rsidRPr="002250FE">
        <w:rPr>
          <w:rFonts w:ascii="Palatino Linotype" w:eastAsia="Palatino Linotype" w:hAnsi="Palatino Linotype" w:cs="Palatino Linotype"/>
        </w:rPr>
        <w:t xml:space="preserve">en Nezahualcóyotl, informó, respecto del requerimiento adicional 1, correspondiente </w:t>
      </w:r>
      <w:proofErr w:type="gramStart"/>
      <w:r w:rsidRPr="002250FE">
        <w:rPr>
          <w:rFonts w:ascii="Palatino Linotype" w:eastAsia="Palatino Linotype" w:hAnsi="Palatino Linotype" w:cs="Palatino Linotype"/>
        </w:rPr>
        <w:t>a</w:t>
      </w:r>
      <w:proofErr w:type="gramEnd"/>
      <w:r w:rsidRPr="002250FE">
        <w:rPr>
          <w:rFonts w:ascii="Palatino Linotype" w:eastAsia="Palatino Linotype" w:hAnsi="Palatino Linotype" w:cs="Palatino Linotype"/>
        </w:rPr>
        <w:t>:</w:t>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widowControl w:val="0"/>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1.- Manifieste, si cuenta con la información de los solares (títulos agrarios) que fueron pagados y mandados a inscribir por el Instituto Mexiquense de la Vivienda Social al Instituto de la Función Registral en la oficina Registral de Texcoco, derivados del último convenio firmado entre el ejido de Chicoloapan, el Registro Agrario Nacional e Instituto Mexiquense de la Vivienda Social, informó:</w:t>
      </w:r>
    </w:p>
    <w:p w:rsidR="00E138AF" w:rsidRPr="002250FE" w:rsidRDefault="00E138AF">
      <w:pPr>
        <w:tabs>
          <w:tab w:val="left" w:pos="426"/>
        </w:tabs>
        <w:spacing w:line="360" w:lineRule="auto"/>
        <w:jc w:val="both"/>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noProof/>
          <w:lang w:val="es-MX" w:eastAsia="es-MX"/>
        </w:rPr>
        <w:drawing>
          <wp:inline distT="0" distB="0" distL="0" distR="0">
            <wp:extent cx="5480050" cy="1574800"/>
            <wp:effectExtent l="0" t="0" r="0" b="0"/>
            <wp:docPr id="1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54989" t="44622" r="3371" b="38241"/>
                    <a:stretch>
                      <a:fillRect/>
                    </a:stretch>
                  </pic:blipFill>
                  <pic:spPr>
                    <a:xfrm>
                      <a:off x="0" y="0"/>
                      <a:ext cx="5480050" cy="1574800"/>
                    </a:xfrm>
                    <a:prstGeom prst="rect">
                      <a:avLst/>
                    </a:prstGeom>
                    <a:ln/>
                  </pic:spPr>
                </pic:pic>
              </a:graphicData>
            </a:graphic>
          </wp:inline>
        </w:drawing>
      </w: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cuanto al punto 2, relativo </w:t>
      </w:r>
      <w:proofErr w:type="gramStart"/>
      <w:r w:rsidRPr="002250FE">
        <w:rPr>
          <w:rFonts w:ascii="Palatino Linotype" w:eastAsia="Palatino Linotype" w:hAnsi="Palatino Linotype" w:cs="Palatino Linotype"/>
        </w:rPr>
        <w:t>a</w:t>
      </w:r>
      <w:proofErr w:type="gramEnd"/>
      <w:r w:rsidRPr="002250FE">
        <w:rPr>
          <w:rFonts w:ascii="Palatino Linotype" w:eastAsia="Palatino Linotype" w:hAnsi="Palatino Linotype" w:cs="Palatino Linotype"/>
        </w:rPr>
        <w:t>:</w:t>
      </w:r>
    </w:p>
    <w:p w:rsidR="00E138AF" w:rsidRPr="002250FE" w:rsidRDefault="00E138AF">
      <w:pPr>
        <w:widowControl w:val="0"/>
        <w:spacing w:line="360" w:lineRule="auto"/>
        <w:jc w:val="both"/>
        <w:rPr>
          <w:rFonts w:ascii="Palatino Linotype" w:eastAsia="Palatino Linotype" w:hAnsi="Palatino Linotype" w:cs="Palatino Linotype"/>
        </w:rPr>
      </w:pPr>
    </w:p>
    <w:p w:rsidR="00E138AF" w:rsidRPr="002250FE" w:rsidRDefault="00B93B51">
      <w:pPr>
        <w:widowControl w:val="0"/>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2.- Manifieste, si cuenta con la información de los solares pendientes por pagar, también derivados del último convenio firmado entre el ejido de Chicoloapan, el Registro Agrario Nacional e Instituto Mexiquense de la Vivienda Social, informó:</w:t>
      </w:r>
    </w:p>
    <w:p w:rsidR="00E138AF" w:rsidRPr="002250FE" w:rsidRDefault="00E138AF">
      <w:pPr>
        <w:tabs>
          <w:tab w:val="left" w:pos="426"/>
        </w:tabs>
        <w:spacing w:line="360" w:lineRule="auto"/>
        <w:jc w:val="both"/>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noProof/>
          <w:lang w:val="es-MX" w:eastAsia="es-MX"/>
        </w:rPr>
        <w:drawing>
          <wp:inline distT="0" distB="0" distL="0" distR="0">
            <wp:extent cx="5530850" cy="1257300"/>
            <wp:effectExtent l="0" t="0" r="0" b="0"/>
            <wp:docPr id="1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l="55102" t="61357" r="3372" b="21342"/>
                    <a:stretch>
                      <a:fillRect/>
                    </a:stretch>
                  </pic:blipFill>
                  <pic:spPr>
                    <a:xfrm>
                      <a:off x="0" y="0"/>
                      <a:ext cx="5530850" cy="1257300"/>
                    </a:xfrm>
                    <a:prstGeom prst="rect">
                      <a:avLst/>
                    </a:prstGeom>
                    <a:ln/>
                  </pic:spPr>
                </pic:pic>
              </a:graphicData>
            </a:graphic>
          </wp:inline>
        </w:drawing>
      </w: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cuanto al punto 3 y 4, relativo </w:t>
      </w:r>
      <w:proofErr w:type="gramStart"/>
      <w:r w:rsidRPr="002250FE">
        <w:rPr>
          <w:rFonts w:ascii="Palatino Linotype" w:eastAsia="Palatino Linotype" w:hAnsi="Palatino Linotype" w:cs="Palatino Linotype"/>
        </w:rPr>
        <w:t>a</w:t>
      </w:r>
      <w:proofErr w:type="gramEnd"/>
      <w:r w:rsidRPr="002250FE">
        <w:rPr>
          <w:rFonts w:ascii="Palatino Linotype" w:eastAsia="Palatino Linotype" w:hAnsi="Palatino Linotype" w:cs="Palatino Linotype"/>
        </w:rPr>
        <w:t>:</w:t>
      </w:r>
    </w:p>
    <w:p w:rsidR="00E138AF" w:rsidRPr="002250FE" w:rsidRDefault="00E138AF">
      <w:pPr>
        <w:widowControl w:val="0"/>
        <w:spacing w:line="360" w:lineRule="auto"/>
        <w:jc w:val="both"/>
        <w:rPr>
          <w:rFonts w:ascii="Palatino Linotype" w:eastAsia="Palatino Linotype" w:hAnsi="Palatino Linotype" w:cs="Palatino Linotype"/>
        </w:rPr>
      </w:pPr>
    </w:p>
    <w:p w:rsidR="00E138AF" w:rsidRPr="002250FE" w:rsidRDefault="00B93B51">
      <w:pPr>
        <w:widowControl w:val="0"/>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3.- Manifieste, si cuenta con padrón de beneficiarios, especificando de que beneficios se deriva dicho padrón.</w:t>
      </w:r>
    </w:p>
    <w:p w:rsidR="00E138AF" w:rsidRPr="002250FE" w:rsidRDefault="00E138AF">
      <w:pPr>
        <w:widowControl w:val="0"/>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4.- Manifieste, si cuenta en específico con un padrón de beneficiarios, de títulos de propiedad, posesión, cancelaciones de hipoteca, incluyendo los derivados de convenios firmados con otros dependencias como el Registro Agrario Nacional, Instituto de la Función Registral del Estado de México, Instituto del Fondo Nacional de la Vivienda para los Trabajadores e Instituto de Seguridad Social del Estado de México y Municipios.</w:t>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Informó: </w:t>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noProof/>
          <w:lang w:val="es-MX" w:eastAsia="es-MX"/>
        </w:rPr>
        <w:lastRenderedPageBreak/>
        <w:drawing>
          <wp:inline distT="0" distB="0" distL="0" distR="0">
            <wp:extent cx="5480050" cy="1828800"/>
            <wp:effectExtent l="0" t="0" r="0" b="0"/>
            <wp:docPr id="1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55216" t="19513" r="2576" b="52524"/>
                    <a:stretch>
                      <a:fillRect/>
                    </a:stretch>
                  </pic:blipFill>
                  <pic:spPr>
                    <a:xfrm>
                      <a:off x="0" y="0"/>
                      <a:ext cx="5480050" cy="1828800"/>
                    </a:xfrm>
                    <a:prstGeom prst="rect">
                      <a:avLst/>
                    </a:prstGeom>
                    <a:ln/>
                  </pic:spPr>
                </pic:pic>
              </a:graphicData>
            </a:graphic>
          </wp:inline>
        </w:drawing>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noProof/>
          <w:lang w:val="es-MX" w:eastAsia="es-MX"/>
        </w:rPr>
        <w:drawing>
          <wp:inline distT="0" distB="0" distL="0" distR="0">
            <wp:extent cx="5499100" cy="1911350"/>
            <wp:effectExtent l="0" t="0" r="0" b="0"/>
            <wp:docPr id="1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55102" t="39428" r="2805" b="28986"/>
                    <a:stretch>
                      <a:fillRect/>
                    </a:stretch>
                  </pic:blipFill>
                  <pic:spPr>
                    <a:xfrm>
                      <a:off x="0" y="0"/>
                      <a:ext cx="5499100" cy="1911350"/>
                    </a:xfrm>
                    <a:prstGeom prst="rect">
                      <a:avLst/>
                    </a:prstGeom>
                    <a:ln/>
                  </pic:spPr>
                </pic:pic>
              </a:graphicData>
            </a:graphic>
          </wp:inline>
        </w:drawing>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“RESPUESTA_JURIDICO.pdf”, por medio del cual el Director Jurídico y de Igualdad de Género informó, respecto de los requerimiento de información adicional, que de acuerdo a sus atribuciones y funciones no posee, genera ni administra la información solicitada, indicando que las áreas que pueden poseer la información son Coordinación de Delegaciones Regionales y Dirección de Promoción y Fomento a la vivienda.</w:t>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“RESPUESTA_SUELO.pdf”, por medio del cual la Dirección de Administración del Suelo, informó que después de haber realizado una búsqueda exhaustiva y </w:t>
      </w:r>
      <w:r w:rsidRPr="002250FE">
        <w:rPr>
          <w:rFonts w:ascii="Palatino Linotype" w:eastAsia="Palatino Linotype" w:hAnsi="Palatino Linotype" w:cs="Palatino Linotype"/>
        </w:rPr>
        <w:lastRenderedPageBreak/>
        <w:t>razonable en los archivos que obra en la dirección, no se identificó documento alguno en mención por lo que no es posible proporcionar la información.</w:t>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“RESPUESTA_VIVIENDA.pdf”, el cual contiene la respuesta de la Dirección de Promoción y Fomento a la vivienda, por medio del cual informó:</w:t>
      </w:r>
    </w:p>
    <w:p w:rsidR="00E138AF" w:rsidRPr="002250FE" w:rsidRDefault="00E138AF">
      <w:pPr>
        <w:tabs>
          <w:tab w:val="left" w:pos="426"/>
        </w:tabs>
        <w:spacing w:line="360" w:lineRule="auto"/>
        <w:jc w:val="both"/>
        <w:rPr>
          <w:rFonts w:ascii="Palatino Linotype" w:eastAsia="Palatino Linotype" w:hAnsi="Palatino Linotype" w:cs="Palatino Linotype"/>
        </w:rPr>
      </w:pPr>
    </w:p>
    <w:p w:rsidR="00E138AF" w:rsidRPr="002250FE" w:rsidRDefault="00B93B51">
      <w:pPr>
        <w:tabs>
          <w:tab w:val="left" w:pos="426"/>
        </w:tabs>
        <w:spacing w:line="360" w:lineRule="auto"/>
        <w:jc w:val="both"/>
        <w:rPr>
          <w:rFonts w:ascii="Palatino Linotype" w:eastAsia="Palatino Linotype" w:hAnsi="Palatino Linotype" w:cs="Palatino Linotype"/>
        </w:rPr>
      </w:pPr>
      <w:r w:rsidRPr="002250FE">
        <w:rPr>
          <w:noProof/>
          <w:lang w:val="es-MX" w:eastAsia="es-MX"/>
        </w:rPr>
        <w:drawing>
          <wp:inline distT="0" distB="0" distL="0" distR="0">
            <wp:extent cx="5549900" cy="1790700"/>
            <wp:effectExtent l="0" t="0" r="0" b="0"/>
            <wp:docPr id="1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52839" t="35003" r="4842" b="41660"/>
                    <a:stretch>
                      <a:fillRect/>
                    </a:stretch>
                  </pic:blipFill>
                  <pic:spPr>
                    <a:xfrm>
                      <a:off x="0" y="0"/>
                      <a:ext cx="5549900" cy="1790700"/>
                    </a:xfrm>
                    <a:prstGeom prst="rect">
                      <a:avLst/>
                    </a:prstGeom>
                    <a:ln/>
                  </pic:spPr>
                </pic:pic>
              </a:graphicData>
            </a:graphic>
          </wp:inline>
        </w:drawing>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Archivos electrónicos, que fueron remitidos por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en el apartado de manifestaciones en fecha doce de junio del año dos mil veintitrés, los cuales se pusieron a la vista de la parte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E138AF" w:rsidRPr="002250FE" w:rsidRDefault="00B93B51">
      <w:pPr>
        <w:spacing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12.-</w:t>
      </w:r>
      <w:r w:rsidRPr="002250FE">
        <w:rPr>
          <w:rFonts w:ascii="Palatino Linotype" w:eastAsia="Palatino Linotype" w:hAnsi="Palatino Linotype" w:cs="Palatino Linotype"/>
        </w:rPr>
        <w:t xml:space="preserve"> </w:t>
      </w:r>
      <w:r w:rsidRPr="002250FE">
        <w:rPr>
          <w:rFonts w:ascii="Palatino Linotype" w:eastAsia="Palatino Linotype" w:hAnsi="Palatino Linotype" w:cs="Palatino Linotype"/>
          <w:b/>
        </w:rPr>
        <w:t xml:space="preserve">Cierre de instrucción. </w:t>
      </w:r>
      <w:r w:rsidRPr="002250FE">
        <w:rPr>
          <w:rFonts w:ascii="Palatino Linotype" w:eastAsia="Palatino Linotype" w:hAnsi="Palatino Linotype" w:cs="Palatino Linotype"/>
        </w:rPr>
        <w:t>El diecinueve de junio de dos mil veintitrés la Comisionada ponente determinó el cierre de instrucción en términos de la fracción VI del artículo 185 de la Ley de Transparencia y Acceso a la Información Pública del Estado de México y Municipios.</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E138AF" w:rsidRPr="002250FE" w:rsidRDefault="00B93B51">
      <w:pPr>
        <w:numPr>
          <w:ilvl w:val="0"/>
          <w:numId w:val="10"/>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2" w:name="_heading=h.30j0zll" w:colFirst="0" w:colLast="0"/>
      <w:bookmarkEnd w:id="2"/>
      <w:r w:rsidRPr="002250FE">
        <w:rPr>
          <w:rFonts w:ascii="Palatino Linotype" w:eastAsia="Palatino Linotype" w:hAnsi="Palatino Linotype" w:cs="Palatino Linotype"/>
          <w:b/>
          <w:sz w:val="22"/>
          <w:szCs w:val="22"/>
        </w:rPr>
        <w:t>C O N S I D E R A N D O:</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Primero. Competencia. </w:t>
      </w:r>
      <w:r w:rsidRPr="002250FE">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Segundo. Oportunidad y </w:t>
      </w:r>
      <w:proofErr w:type="spellStart"/>
      <w:r w:rsidRPr="002250FE">
        <w:rPr>
          <w:rFonts w:ascii="Palatino Linotype" w:eastAsia="Palatino Linotype" w:hAnsi="Palatino Linotype" w:cs="Palatino Linotype"/>
          <w:b/>
        </w:rPr>
        <w:t>Procedibilidad</w:t>
      </w:r>
      <w:proofErr w:type="spellEnd"/>
      <w:r w:rsidRPr="002250FE">
        <w:rPr>
          <w:rFonts w:ascii="Palatino Linotype" w:eastAsia="Palatino Linotype" w:hAnsi="Palatino Linotype" w:cs="Palatino Linotype"/>
          <w:b/>
        </w:rPr>
        <w:t xml:space="preserve"> del Recurso de Revisión</w:t>
      </w:r>
      <w:r w:rsidRPr="002250FE">
        <w:rPr>
          <w:rFonts w:ascii="Palatino Linotype" w:eastAsia="Palatino Linotype" w:hAnsi="Palatino Linotype" w:cs="Palatino Linotype"/>
        </w:rPr>
        <w:t xml:space="preserve">. Previo al estudio del fondo del asunto, se procede a analizar los requisitos de oportunidad y </w:t>
      </w:r>
      <w:proofErr w:type="spellStart"/>
      <w:r w:rsidRPr="002250FE">
        <w:rPr>
          <w:rFonts w:ascii="Palatino Linotype" w:eastAsia="Palatino Linotype" w:hAnsi="Palatino Linotype" w:cs="Palatino Linotype"/>
        </w:rPr>
        <w:t>procedibilidad</w:t>
      </w:r>
      <w:proofErr w:type="spellEnd"/>
      <w:r w:rsidRPr="002250FE">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E138AF" w:rsidRPr="002250FE" w:rsidRDefault="00B93B51">
      <w:pPr>
        <w:spacing w:before="240" w:after="240" w:line="360" w:lineRule="auto"/>
        <w:ind w:right="49"/>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w:t>
      </w:r>
      <w:r w:rsidRPr="002250FE">
        <w:rPr>
          <w:rFonts w:ascii="Palatino Linotype" w:eastAsia="Palatino Linotype" w:hAnsi="Palatino Linotype" w:cs="Palatino Linotype"/>
        </w:rPr>
        <w:lastRenderedPageBreak/>
        <w:t xml:space="preserve">Pública del Estado de México y Municipios, ya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proporcionó su respuesta a la solicitud de información el catorce de junio del dos mil veintidós, y 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presentó su recurso de revisión el veintiocho de junio del mismo año; esto es, al décimo día hábil siguiente que tuvo conocimiento de la respuesta. </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Por cuanto hace a la </w:t>
      </w:r>
      <w:proofErr w:type="spellStart"/>
      <w:r w:rsidRPr="002250FE">
        <w:rPr>
          <w:rFonts w:ascii="Palatino Linotype" w:eastAsia="Palatino Linotype" w:hAnsi="Palatino Linotype" w:cs="Palatino Linotype"/>
        </w:rPr>
        <w:t>procedibilidad</w:t>
      </w:r>
      <w:proofErr w:type="spellEnd"/>
      <w:r w:rsidRPr="002250FE">
        <w:rPr>
          <w:rFonts w:ascii="Palatino Linotype" w:eastAsia="Palatino Linotype" w:hAnsi="Palatino Linotype" w:cs="Palatino Linotype"/>
        </w:rPr>
        <w:t xml:space="preserve"> del recurso de revisión, es de suma importancia señalar que la parte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se identificó como “CHICOLOAPAN NOMAS ABUSOS”</w:t>
      </w:r>
      <w:r w:rsidRPr="002250FE">
        <w:rPr>
          <w:rFonts w:ascii="Palatino Linotype" w:eastAsia="Palatino Linotype" w:hAnsi="Palatino Linotype" w:cs="Palatino Linotype"/>
          <w:b/>
        </w:rPr>
        <w:t>,</w:t>
      </w:r>
      <w:r w:rsidRPr="002250FE">
        <w:rPr>
          <w:rFonts w:ascii="Palatino Linotype" w:eastAsia="Palatino Linotype" w:hAnsi="Palatino Linotype" w:cs="Palatino Linotype"/>
        </w:rPr>
        <w:t xml:space="preserve">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138AF" w:rsidRPr="002250FE" w:rsidRDefault="00B93B51">
      <w:pPr>
        <w:spacing w:before="240" w:after="240" w:line="276" w:lineRule="auto"/>
        <w:ind w:left="851" w:right="90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r w:rsidRPr="002250FE">
        <w:rPr>
          <w:rFonts w:ascii="Palatino Linotype" w:eastAsia="Palatino Linotype" w:hAnsi="Palatino Linotype" w:cs="Palatino Linotype"/>
          <w:b/>
          <w:i/>
          <w:sz w:val="22"/>
          <w:szCs w:val="22"/>
        </w:rPr>
        <w:t xml:space="preserve">Las solicitudes </w:t>
      </w:r>
      <w:r w:rsidRPr="002250FE">
        <w:rPr>
          <w:rFonts w:ascii="Palatino Linotype" w:eastAsia="Palatino Linotype" w:hAnsi="Palatino Linotype" w:cs="Palatino Linotype"/>
          <w:i/>
          <w:sz w:val="22"/>
          <w:szCs w:val="22"/>
        </w:rPr>
        <w:t xml:space="preserve">anónimas, con </w:t>
      </w:r>
      <w:r w:rsidRPr="002250FE">
        <w:rPr>
          <w:rFonts w:ascii="Palatino Linotype" w:eastAsia="Palatino Linotype" w:hAnsi="Palatino Linotype" w:cs="Palatino Linotype"/>
          <w:b/>
          <w:i/>
          <w:sz w:val="22"/>
          <w:szCs w:val="22"/>
        </w:rPr>
        <w:t>nombre incompleto o seudónimo</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rPr>
        <w:t>serán procedentes para su trámite por parte del sujeto obligado ante quien se presente</w:t>
      </w:r>
      <w:r w:rsidRPr="002250FE">
        <w:rPr>
          <w:rFonts w:ascii="Palatino Linotype" w:eastAsia="Palatino Linotype" w:hAnsi="Palatino Linotype" w:cs="Palatino Linotype"/>
          <w:i/>
          <w:sz w:val="22"/>
          <w:szCs w:val="22"/>
        </w:rPr>
        <w:t>. No podrá requerirse información adicional con motivo del nombre proporcionado por el solicitante."(Sic)</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I de la ley de la materia, que a la letra dice:</w:t>
      </w:r>
    </w:p>
    <w:p w:rsidR="00E138AF" w:rsidRPr="002250FE" w:rsidRDefault="00B93B51">
      <w:pPr>
        <w:ind w:left="1276" w:right="175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r w:rsidRPr="002250FE">
        <w:rPr>
          <w:rFonts w:ascii="Palatino Linotype" w:eastAsia="Palatino Linotype" w:hAnsi="Palatino Linotype" w:cs="Palatino Linotype"/>
          <w:b/>
          <w:i/>
          <w:sz w:val="22"/>
          <w:szCs w:val="22"/>
        </w:rPr>
        <w:t xml:space="preserve">Artículo 179. </w:t>
      </w:r>
      <w:r w:rsidRPr="002250FE">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2250FE">
        <w:rPr>
          <w:rFonts w:ascii="Palatino Linotype" w:eastAsia="Palatino Linotype" w:hAnsi="Palatino Linotype" w:cs="Palatino Linotype"/>
          <w:i/>
        </w:rPr>
        <w:t>causas</w:t>
      </w:r>
      <w:r w:rsidRPr="002250FE">
        <w:rPr>
          <w:rFonts w:ascii="Palatino Linotype" w:eastAsia="Palatino Linotype" w:hAnsi="Palatino Linotype" w:cs="Palatino Linotype"/>
          <w:i/>
          <w:sz w:val="22"/>
          <w:szCs w:val="22"/>
        </w:rPr>
        <w:t>:</w:t>
      </w:r>
    </w:p>
    <w:p w:rsidR="00E138AF" w:rsidRPr="002250FE" w:rsidRDefault="00B93B51">
      <w:pPr>
        <w:ind w:left="1276" w:right="175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I. La negativa de la información solicitada…” (Sic)</w:t>
      </w:r>
    </w:p>
    <w:p w:rsidR="00E138AF" w:rsidRPr="002250FE" w:rsidRDefault="00E138AF">
      <w:pPr>
        <w:ind w:left="1276" w:right="1752"/>
        <w:jc w:val="both"/>
        <w:rPr>
          <w:rFonts w:ascii="Palatino Linotype" w:eastAsia="Palatino Linotype" w:hAnsi="Palatino Linotype" w:cs="Palatino Linotype"/>
          <w:i/>
          <w:sz w:val="22"/>
          <w:szCs w:val="22"/>
        </w:rPr>
      </w:pPr>
    </w:p>
    <w:p w:rsidR="00E138AF" w:rsidRPr="002250FE" w:rsidRDefault="00B93B51">
      <w:pPr>
        <w:spacing w:before="280" w:after="28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Tercero. Materia de Revisión</w:t>
      </w:r>
      <w:r w:rsidRPr="002250FE">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2250FE">
        <w:rPr>
          <w:rFonts w:ascii="Palatino Linotype" w:eastAsia="Palatino Linotype" w:hAnsi="Palatino Linotype" w:cs="Palatino Linotype"/>
          <w:b/>
        </w:rPr>
        <w:t xml:space="preserve">verificar si la respuesta como informe justificado otorgados por el SUJETO OBLIGADO es adecuada y suficiente para satisfacer el derecho de acceso a la información pública </w:t>
      </w:r>
      <w:r w:rsidRPr="002250FE">
        <w:rPr>
          <w:rFonts w:ascii="Palatino Linotype" w:eastAsia="Palatino Linotype" w:hAnsi="Palatino Linotype" w:cs="Palatino Linotype"/>
        </w:rPr>
        <w:t xml:space="preserve">del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o en su defecto, en caso de ser procedente, ordenar la entrega de información.</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Cuarto. Estudio del asunto. </w:t>
      </w:r>
      <w:r w:rsidRPr="002250FE">
        <w:rPr>
          <w:rFonts w:ascii="Palatino Linotype" w:eastAsia="Palatino Linotype" w:hAnsi="Palatino Linotype" w:cs="Palatino Linotype"/>
        </w:rPr>
        <w:t xml:space="preserve">Es conveniente analizar si la respuesta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138AF" w:rsidRPr="002250FE" w:rsidRDefault="00B93B51">
      <w:pPr>
        <w:spacing w:before="240"/>
        <w:ind w:left="709" w:right="76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lastRenderedPageBreak/>
        <w:t>“</w:t>
      </w:r>
      <w:r w:rsidRPr="002250FE">
        <w:rPr>
          <w:rFonts w:ascii="Palatino Linotype" w:eastAsia="Palatino Linotype" w:hAnsi="Palatino Linotype" w:cs="Palatino Linotype"/>
          <w:b/>
          <w:i/>
          <w:sz w:val="22"/>
          <w:szCs w:val="22"/>
        </w:rPr>
        <w:t>Artículo 4</w:t>
      </w:r>
      <w:r w:rsidRPr="002250F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138AF" w:rsidRPr="002250FE" w:rsidRDefault="00B93B51">
      <w:pPr>
        <w:ind w:left="709" w:right="76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250F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138AF" w:rsidRPr="002250FE" w:rsidRDefault="00B93B51">
      <w:pPr>
        <w:ind w:left="709" w:right="76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250FE">
        <w:rPr>
          <w:rFonts w:ascii="Palatino Linotype" w:eastAsia="Palatino Linotype" w:hAnsi="Palatino Linotype" w:cs="Palatino Linotype"/>
          <w:i/>
          <w:sz w:val="22"/>
          <w:szCs w:val="22"/>
        </w:rPr>
        <w:t>.”(Sic)</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ind w:left="567" w:right="758"/>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12.-</w:t>
      </w:r>
      <w:r w:rsidRPr="002250F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E138AF" w:rsidRPr="002250FE" w:rsidRDefault="00E138AF">
      <w:pPr>
        <w:ind w:left="567" w:right="758"/>
        <w:jc w:val="both"/>
        <w:rPr>
          <w:rFonts w:ascii="Palatino Linotype" w:eastAsia="Palatino Linotype" w:hAnsi="Palatino Linotype" w:cs="Palatino Linotype"/>
          <w:i/>
          <w:sz w:val="22"/>
          <w:szCs w:val="22"/>
        </w:rPr>
      </w:pPr>
    </w:p>
    <w:p w:rsidR="00E138AF" w:rsidRPr="002250FE" w:rsidRDefault="00B93B51">
      <w:pPr>
        <w:ind w:left="567" w:right="758"/>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2250FE">
        <w:rPr>
          <w:rFonts w:ascii="Palatino Linotype" w:eastAsia="Palatino Linotype" w:hAnsi="Palatino Linotype" w:cs="Palatino Linotype"/>
          <w:b/>
          <w:i/>
          <w:sz w:val="22"/>
          <w:szCs w:val="22"/>
        </w:rPr>
        <w:lastRenderedPageBreak/>
        <w:t>obligados a generarla, resumirla, efectuar cálculos o practicar investigaciones.” (Sic)</w:t>
      </w:r>
    </w:p>
    <w:p w:rsidR="00E138AF" w:rsidRPr="002250FE" w:rsidRDefault="00E138AF">
      <w:pPr>
        <w:spacing w:line="360" w:lineRule="auto"/>
        <w:ind w:right="-93"/>
        <w:jc w:val="both"/>
        <w:rPr>
          <w:rFonts w:ascii="Palatino Linotype" w:eastAsia="Palatino Linotype" w:hAnsi="Palatino Linotype" w:cs="Palatino Linotype"/>
        </w:rPr>
      </w:pPr>
    </w:p>
    <w:p w:rsidR="00E138AF" w:rsidRPr="002250FE" w:rsidRDefault="00B93B51">
      <w:pPr>
        <w:spacing w:line="360" w:lineRule="auto"/>
        <w:ind w:right="-93"/>
        <w:jc w:val="both"/>
        <w:rPr>
          <w:rFonts w:ascii="Palatino Linotype" w:eastAsia="Palatino Linotype" w:hAnsi="Palatino Linotype" w:cs="Palatino Linotype"/>
        </w:rPr>
      </w:pPr>
      <w:r w:rsidRPr="002250F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E138AF" w:rsidRPr="002250FE" w:rsidRDefault="00E138AF">
      <w:pPr>
        <w:spacing w:line="360" w:lineRule="auto"/>
        <w:ind w:right="-93"/>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250FE">
        <w:rPr>
          <w:rFonts w:ascii="Palatino Linotype" w:eastAsia="Palatino Linotype" w:hAnsi="Palatino Linotype" w:cs="Palatino Linotype"/>
          <w:b/>
        </w:rPr>
        <w:t xml:space="preserve"> </w:t>
      </w:r>
    </w:p>
    <w:p w:rsidR="00E138AF" w:rsidRPr="002250FE" w:rsidRDefault="00E138AF">
      <w:pPr>
        <w:ind w:left="851" w:right="850"/>
        <w:jc w:val="both"/>
        <w:rPr>
          <w:rFonts w:ascii="Palatino Linotype" w:eastAsia="Palatino Linotype" w:hAnsi="Palatino Linotype" w:cs="Palatino Linotype"/>
        </w:rPr>
      </w:pPr>
    </w:p>
    <w:p w:rsidR="00E138AF" w:rsidRPr="002250FE" w:rsidRDefault="00B93B51">
      <w:pPr>
        <w:ind w:left="851" w:right="90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r w:rsidRPr="002250FE">
        <w:rPr>
          <w:rFonts w:ascii="Palatino Linotype" w:eastAsia="Palatino Linotype" w:hAnsi="Palatino Linotype" w:cs="Palatino Linotype"/>
          <w:b/>
          <w:i/>
          <w:sz w:val="22"/>
          <w:szCs w:val="22"/>
        </w:rPr>
        <w:t>No existe obligación de elaborar documentos ad hoc para atender las solicitudes de acceso a la información.</w:t>
      </w:r>
      <w:r w:rsidRPr="002250F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138AF" w:rsidRPr="002250FE" w:rsidRDefault="00B93B51">
      <w:pPr>
        <w:ind w:left="851" w:right="90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Resoluciones: </w:t>
      </w:r>
    </w:p>
    <w:p w:rsidR="00E138AF" w:rsidRPr="002250FE" w:rsidRDefault="00B93B51">
      <w:pPr>
        <w:ind w:left="851" w:right="901"/>
        <w:jc w:val="both"/>
        <w:rPr>
          <w:rFonts w:ascii="Palatino Linotype" w:eastAsia="Palatino Linotype" w:hAnsi="Palatino Linotype" w:cs="Palatino Linotype"/>
          <w:i/>
          <w:sz w:val="22"/>
          <w:szCs w:val="22"/>
        </w:rPr>
      </w:pPr>
      <w:r w:rsidRPr="002250FE">
        <w:rPr>
          <w:rFonts w:ascii="Noto Sans Symbols" w:eastAsia="Noto Sans Symbols" w:hAnsi="Noto Sans Symbols" w:cs="Noto Sans Symbols"/>
          <w:i/>
          <w:sz w:val="22"/>
          <w:szCs w:val="22"/>
        </w:rPr>
        <w:t>∙</w:t>
      </w:r>
      <w:r w:rsidRPr="002250FE">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E138AF" w:rsidRPr="002250FE" w:rsidRDefault="00B93B51">
      <w:pPr>
        <w:ind w:left="851" w:right="901"/>
        <w:jc w:val="both"/>
        <w:rPr>
          <w:rFonts w:ascii="Palatino Linotype" w:eastAsia="Palatino Linotype" w:hAnsi="Palatino Linotype" w:cs="Palatino Linotype"/>
          <w:i/>
          <w:sz w:val="22"/>
          <w:szCs w:val="22"/>
        </w:rPr>
      </w:pPr>
      <w:r w:rsidRPr="002250FE">
        <w:rPr>
          <w:rFonts w:ascii="Noto Sans Symbols" w:eastAsia="Noto Sans Symbols" w:hAnsi="Noto Sans Symbols" w:cs="Noto Sans Symbols"/>
          <w:i/>
          <w:sz w:val="22"/>
          <w:szCs w:val="22"/>
        </w:rPr>
        <w:t>∙</w:t>
      </w:r>
      <w:r w:rsidRPr="002250FE">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E138AF" w:rsidRPr="002250FE" w:rsidRDefault="00B93B51">
      <w:pPr>
        <w:ind w:left="851" w:right="901"/>
        <w:jc w:val="both"/>
        <w:rPr>
          <w:rFonts w:ascii="Palatino Linotype" w:eastAsia="Palatino Linotype" w:hAnsi="Palatino Linotype" w:cs="Palatino Linotype"/>
          <w:i/>
          <w:sz w:val="22"/>
          <w:szCs w:val="22"/>
        </w:rPr>
      </w:pPr>
      <w:r w:rsidRPr="002250FE">
        <w:rPr>
          <w:rFonts w:ascii="Noto Sans Symbols" w:eastAsia="Noto Sans Symbols" w:hAnsi="Noto Sans Symbols" w:cs="Noto Sans Symbols"/>
          <w:i/>
          <w:sz w:val="22"/>
          <w:szCs w:val="22"/>
        </w:rPr>
        <w:lastRenderedPageBreak/>
        <w:t>∙</w:t>
      </w:r>
      <w:r w:rsidRPr="002250FE">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E138AF" w:rsidRPr="002250FE" w:rsidRDefault="00E138AF">
      <w:pPr>
        <w:spacing w:line="360" w:lineRule="auto"/>
        <w:ind w:right="-93"/>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ind w:right="49"/>
        <w:jc w:val="both"/>
        <w:rPr>
          <w:rFonts w:ascii="Palatino Linotype" w:eastAsia="Palatino Linotype" w:hAnsi="Palatino Linotype" w:cs="Palatino Linotype"/>
        </w:rPr>
      </w:pPr>
      <w:r w:rsidRPr="002250F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138AF" w:rsidRPr="002250FE" w:rsidRDefault="00E138AF">
      <w:pPr>
        <w:spacing w:line="360" w:lineRule="auto"/>
        <w:ind w:right="49"/>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2250FE">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E138AF" w:rsidRPr="002250FE" w:rsidRDefault="00E138AF">
      <w:pPr>
        <w:ind w:left="851" w:right="899"/>
        <w:jc w:val="both"/>
        <w:rPr>
          <w:rFonts w:ascii="Palatino Linotype" w:eastAsia="Palatino Linotype" w:hAnsi="Palatino Linotype" w:cs="Palatino Linotype"/>
          <w:i/>
          <w:sz w:val="22"/>
          <w:szCs w:val="22"/>
        </w:rPr>
      </w:pP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r w:rsidRPr="002250FE">
        <w:rPr>
          <w:rFonts w:ascii="Palatino Linotype" w:eastAsia="Palatino Linotype" w:hAnsi="Palatino Linotype" w:cs="Palatino Linotype"/>
          <w:b/>
          <w:i/>
          <w:sz w:val="22"/>
          <w:szCs w:val="22"/>
        </w:rPr>
        <w:t xml:space="preserve">Artículo 3. </w:t>
      </w:r>
      <w:r w:rsidRPr="002250FE">
        <w:rPr>
          <w:rFonts w:ascii="Palatino Linotype" w:eastAsia="Palatino Linotype" w:hAnsi="Palatino Linotype" w:cs="Palatino Linotype"/>
          <w:i/>
          <w:sz w:val="22"/>
          <w:szCs w:val="22"/>
        </w:rPr>
        <w:t>Para los efectos de la presente Ley se entenderá por:</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XI. Documento:</w:t>
      </w:r>
      <w:r w:rsidRPr="002250FE">
        <w:rPr>
          <w:rFonts w:ascii="Palatino Linotype" w:eastAsia="Palatino Linotype" w:hAnsi="Palatino Linotype" w:cs="Palatino Linotype"/>
          <w:i/>
          <w:sz w:val="22"/>
          <w:szCs w:val="22"/>
        </w:rPr>
        <w:t xml:space="preserve"> Los expedientes, reportes, estudios, actas</w:t>
      </w:r>
      <w:r w:rsidRPr="002250FE">
        <w:rPr>
          <w:rFonts w:ascii="Palatino Linotype" w:eastAsia="Palatino Linotype" w:hAnsi="Palatino Linotype" w:cs="Palatino Linotype"/>
          <w:b/>
          <w:i/>
          <w:sz w:val="22"/>
          <w:szCs w:val="22"/>
        </w:rPr>
        <w:t>,</w:t>
      </w:r>
      <w:r w:rsidRPr="002250F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138AF" w:rsidRPr="002250FE" w:rsidRDefault="00E138AF">
      <w:pPr>
        <w:ind w:left="851" w:right="899"/>
        <w:jc w:val="both"/>
        <w:rPr>
          <w:rFonts w:ascii="Palatino Linotype" w:eastAsia="Palatino Linotype" w:hAnsi="Palatino Linotype" w:cs="Palatino Linotype"/>
          <w:sz w:val="22"/>
          <w:szCs w:val="22"/>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E138AF">
      <w:pPr>
        <w:ind w:left="851" w:right="899"/>
        <w:jc w:val="both"/>
        <w:rPr>
          <w:rFonts w:ascii="Palatino Linotype" w:eastAsia="Palatino Linotype" w:hAnsi="Palatino Linotype" w:cs="Palatino Linotype"/>
        </w:rPr>
      </w:pPr>
    </w:p>
    <w:p w:rsidR="00E138AF" w:rsidRPr="002250FE" w:rsidRDefault="00B93B51">
      <w:pPr>
        <w:ind w:left="851" w:right="899"/>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sz w:val="22"/>
          <w:szCs w:val="22"/>
        </w:rPr>
        <w:t>“</w:t>
      </w:r>
      <w:r w:rsidRPr="002250FE">
        <w:rPr>
          <w:rFonts w:ascii="Palatino Linotype" w:eastAsia="Palatino Linotype" w:hAnsi="Palatino Linotype" w:cs="Palatino Linotype"/>
          <w:b/>
          <w:i/>
          <w:sz w:val="22"/>
          <w:szCs w:val="22"/>
        </w:rPr>
        <w:t>CRITERIO 0002-11</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250F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E138AF" w:rsidRPr="002250FE" w:rsidRDefault="00B93B51">
      <w:pPr>
        <w:ind w:left="851" w:right="899"/>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E138AF" w:rsidRPr="002250FE" w:rsidRDefault="00B93B51">
      <w:pPr>
        <w:ind w:left="851" w:right="899"/>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Ahora bien, del análisis de la solicitud de información motivo del recurso de revisión que ahora se resuelve, se advierte que el  particular requirió al Instituto Mexiquense de la Vivienda Social, en medio digital (</w:t>
      </w:r>
      <w:proofErr w:type="spellStart"/>
      <w:r w:rsidRPr="002250FE">
        <w:rPr>
          <w:rFonts w:ascii="Palatino Linotype" w:eastAsia="Palatino Linotype" w:hAnsi="Palatino Linotype" w:cs="Palatino Linotype"/>
        </w:rPr>
        <w:t>pdf</w:t>
      </w:r>
      <w:proofErr w:type="spellEnd"/>
      <w:r w:rsidRPr="002250FE">
        <w:rPr>
          <w:rFonts w:ascii="Palatino Linotype" w:eastAsia="Palatino Linotype" w:hAnsi="Palatino Linotype" w:cs="Palatino Linotype"/>
        </w:rPr>
        <w:t xml:space="preserve">, </w:t>
      </w:r>
      <w:proofErr w:type="spellStart"/>
      <w:r w:rsidRPr="002250FE">
        <w:rPr>
          <w:rFonts w:ascii="Palatino Linotype" w:eastAsia="Palatino Linotype" w:hAnsi="Palatino Linotype" w:cs="Palatino Linotype"/>
        </w:rPr>
        <w:t>word</w:t>
      </w:r>
      <w:proofErr w:type="spellEnd"/>
      <w:r w:rsidRPr="002250FE">
        <w:rPr>
          <w:rFonts w:ascii="Palatino Linotype" w:eastAsia="Palatino Linotype" w:hAnsi="Palatino Linotype" w:cs="Palatino Linotype"/>
        </w:rPr>
        <w:t xml:space="preserve">, </w:t>
      </w:r>
      <w:proofErr w:type="spellStart"/>
      <w:r w:rsidRPr="002250FE">
        <w:rPr>
          <w:rFonts w:ascii="Palatino Linotype" w:eastAsia="Palatino Linotype" w:hAnsi="Palatino Linotype" w:cs="Palatino Linotype"/>
        </w:rPr>
        <w:t>excell</w:t>
      </w:r>
      <w:proofErr w:type="spellEnd"/>
      <w:r w:rsidRPr="002250FE">
        <w:rPr>
          <w:rFonts w:ascii="Palatino Linotype" w:eastAsia="Palatino Linotype" w:hAnsi="Palatino Linotype" w:cs="Palatino Linotype"/>
        </w:rPr>
        <w:t>) o cualquier otro formato gratuito la siguiente información y documentación:</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1. Solicito todos y cada uno de los convenios firmados con el Municipio de Chicoloapan, llámese ayuntamiento, ejido, y/o cualquier otra dependencia, institución pública y privada, desde el 01 de enero de 2000 al 23 de mayo de 2022; </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2. Solicito todos y cada uno de los convenios firmados entre IMEVIS, el RAN y el Ejido de Chicoloapan desde el 01 de enero de 2000 al 23 de mayo de 2022; </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3. Del último convenio firmado entre el Ejido de Chicoloapan, el RAN e IMEVIS, solicito un listado con todos y cada uno de los datos públicos que se pueden proporcionar de acuerdo a la materia de los solares (títulos agrarios) que fueron pagados y mandados a inscribir por IMEVIS al IFREM Texcoco.</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4.- Listado de los solares pendientes por pagar, que incluya nombre del beneficiario, número de solar, manzana, lote, costo, y cualquier otro dato que sea de información pública de oficio.</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5. Solicito el padrón de beneficiarios de todos los títulos de propiedad, posesión, cancelaciones de hipoteca, incluyendo los entregados mediante los convenios firmados con otras dependencias (RAN, IFREM, INFONAVIT, ISSEMYM, ETC) desde el 01 de enero de 2015 al 23 de mayo de 2022. </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6. Solicito conocer los medios, formas, procesos que existen para poder agendar una reunión en donde sea atendida directamente por las y los delegados regionales en cada delegación regional.</w:t>
      </w: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Por su parte el </w:t>
      </w:r>
      <w:r w:rsidRPr="002250FE">
        <w:rPr>
          <w:rFonts w:ascii="Palatino Linotype" w:eastAsia="Palatino Linotype" w:hAnsi="Palatino Linotype" w:cs="Palatino Linotype"/>
          <w:b/>
        </w:rPr>
        <w:t xml:space="preserve">SUJETO OBLIGADO, </w:t>
      </w:r>
      <w:r w:rsidRPr="002250FE">
        <w:rPr>
          <w:rFonts w:ascii="Palatino Linotype" w:eastAsia="Palatino Linotype" w:hAnsi="Palatino Linotype" w:cs="Palatino Linotype"/>
        </w:rPr>
        <w:t xml:space="preserve">requirió al particular para que desahogara la aclaración que le hizo valer en el sentido de que precisara las partes suscribientes, la fecha de suscripción, y de ser posible los objetos de los instrumentos jurídicos en comento, ante ello, el particular fue omiso en desahogar el requerimiento de aclaración, de ahí que el Instituto Mexiquense de la Vivienda Social tuvo por no presentada la solicitud de acceso a la información pública en razón de que transcurrieron los diez días para desahogar la aclaración. </w:t>
      </w:r>
    </w:p>
    <w:p w:rsidR="00E138AF" w:rsidRPr="002250FE" w:rsidRDefault="00E138AF">
      <w:pPr>
        <w:spacing w:line="360" w:lineRule="auto"/>
        <w:ind w:right="49"/>
        <w:jc w:val="both"/>
        <w:rPr>
          <w:rFonts w:ascii="Palatino Linotype" w:eastAsia="Palatino Linotype" w:hAnsi="Palatino Linotype" w:cs="Palatino Linotype"/>
          <w:b/>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Inconforme el</w:t>
      </w:r>
      <w:r w:rsidRPr="002250FE">
        <w:rPr>
          <w:rFonts w:ascii="Palatino Linotype" w:eastAsia="Palatino Linotype" w:hAnsi="Palatino Linotype" w:cs="Palatino Linotype"/>
          <w:b/>
        </w:rPr>
        <w:t xml:space="preserve"> RECURRENTE</w:t>
      </w:r>
      <w:r w:rsidRPr="002250FE">
        <w:rPr>
          <w:rFonts w:ascii="Palatino Linotype" w:eastAsia="Palatino Linotype" w:hAnsi="Palatino Linotype" w:cs="Palatino Linotype"/>
        </w:rPr>
        <w:t xml:space="preserve"> con la respuesta, interpuso el Recurso de Revisión en lo medular porque con le proporcionaron la información solicitada; en razón de que considero que le solicitaron una aclaración sin fundamento ni lógica, con la finalidad de evadir la respuesta y entrega de la información requerida.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Una vez notificado el recurso de revisión al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este rindió su informe justificado, mediante el cual negó la procedencia de los motivos de inconformidad del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en razón de que la aclaración se solicitó con la </w:t>
      </w:r>
      <w:r w:rsidRPr="002250FE">
        <w:rPr>
          <w:rFonts w:ascii="Palatino Linotype" w:eastAsia="Palatino Linotype" w:hAnsi="Palatino Linotype" w:cs="Palatino Linotype"/>
        </w:rPr>
        <w:lastRenderedPageBreak/>
        <w:t xml:space="preserve">intención de precisar los instrumentos jurídicos a los cuales se quiere acceder, toda vez que el Instituto Mexiquense de la Vivienda Social conforme a lo que indica la fracción V del artículo 3 de la Ley que crea al Organismo Público Descentralizado de Carácter denominado Instituto Mexiquense de la Vivienda Social, suscribe convenios con la federación, municipios y otras instituciones dependencias públicas y privadas, y el hecho que refiera “Chicoloapan”, advierte un aspecto amplió de información.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De lo anterior, precisó que no se quiso evadir la respuesta ni la entrega de la información en ningún momento, como lo advierte la parte solicitante en el acto impugnado y en las razones y motivos de inconformidad, sino que la intención es darle la información precisa a la parte solicitante.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Con base en lo precedente, se determina que la información proporcionada por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de ahí que, los motivos de inconformidad acontecen fundados para revocar la respuesta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en razón de las consideraciones de derecho que a continuación se exponen:</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b/>
          <w:u w:val="single"/>
        </w:rPr>
      </w:pPr>
      <w:r w:rsidRPr="002250FE">
        <w:rPr>
          <w:rFonts w:ascii="Palatino Linotype" w:eastAsia="Palatino Linotype" w:hAnsi="Palatino Linotype" w:cs="Palatino Linotype"/>
          <w:b/>
          <w:u w:val="single"/>
        </w:rPr>
        <w:t>Sobre el Procedimiento de aclaración:</w:t>
      </w:r>
    </w:p>
    <w:p w:rsidR="00E138AF" w:rsidRPr="002250FE" w:rsidRDefault="00E138AF">
      <w:pPr>
        <w:spacing w:line="360" w:lineRule="auto"/>
        <w:jc w:val="both"/>
        <w:rPr>
          <w:rFonts w:ascii="Palatino Linotype" w:eastAsia="Palatino Linotype" w:hAnsi="Palatino Linotype" w:cs="Palatino Linotype"/>
          <w:b/>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El artículo 159 de la Ley de Transparencia y Acceso a la Información Pública del Estado de México y Municipios, señala que cuando el solicitante no precise los datos suficientes para localizar la documentación de la cual pretende tener acceso, la Unidad de Transparencia requerida la solicitante por única ocasión, para que en el término de 10 días el solicitante proporcione los elementos suficientes, claros y precisos para localizar la información requerida.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Para el caso de que el solicitante, no desahogue el requerimiento de aclaración dentro del términos de diez día la solicitud no se tendrá por presenta, quedando a salvo sus derechos para que el particular pueda ingresar de nuevo una solicitud de acceso a la información pública; salvo que de la solicitud se desprenda los datos suficientes para identificar la información requerida, como así lo indica en seguida dicho precepto legal, que señala: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lastRenderedPageBreak/>
        <w:t>En el caso de requerimientos parciales no desahogados, se tendrá por presentada la solicitud por lo que respecta a los contenidos de información que no formaron parte del requerimiento.” (Sic)</w:t>
      </w:r>
    </w:p>
    <w:p w:rsidR="00E138AF" w:rsidRPr="002250FE" w:rsidRDefault="00E138AF">
      <w:pPr>
        <w:spacing w:line="360" w:lineRule="auto"/>
        <w:jc w:val="both"/>
        <w:rPr>
          <w:rFonts w:ascii="Palatino Linotype" w:eastAsia="Palatino Linotype" w:hAnsi="Palatino Linotype" w:cs="Palatino Linotype"/>
          <w:b/>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ese sentido, se procedió hacer una revisión de la solicitud de acceso a la información pública del solicitante y se advierte que existen elementos suficientes para localizar la información solicitada, al indicar que requería todos los convenios firmados con el Municipio de Chicoloapan y de este con el RAN e IMEVIS, entre otros requerimiento que fueron muy claros; por ende, se determina que el requerimiento de aclaración hecho valer por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no es procedente, para que determinara que la solicitud no se tenía por presentada, al considerar este Organismo Garante que de la solicitud de información se desprenden elementos suficientes para localizar la información solicitada.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b/>
          <w:u w:val="single"/>
        </w:rPr>
      </w:pPr>
      <w:r w:rsidRPr="002250FE">
        <w:rPr>
          <w:rFonts w:ascii="Palatino Linotype" w:eastAsia="Palatino Linotype" w:hAnsi="Palatino Linotype" w:cs="Palatino Linotype"/>
          <w:b/>
          <w:u w:val="single"/>
        </w:rPr>
        <w:t>Sobre la temporalidad de la información solicitada: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atención a que el particular solicito información descrita en la solicitud de información, desde el año 2000 al año 2022, debe aclararse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fue creado a partir del día 24 de septiembre del año 2003, como así se advierte en el decreto 179 publicado en la Gaceta del Gobierno el 23 de septiembre de 2003, la cual puede ser consultada para mayor referencia en el siguiente link electrónico: </w:t>
      </w:r>
      <w:hyperlink r:id="rId19">
        <w:r w:rsidRPr="002250FE">
          <w:rPr>
            <w:rFonts w:ascii="Palatino Linotype" w:eastAsia="Palatino Linotype" w:hAnsi="Palatino Linotype" w:cs="Palatino Linotype"/>
            <w:u w:val="single"/>
          </w:rPr>
          <w:t>https://legislacion.edomex.gob.mx/sites/legislacion.edomex.gob.mx/files/files/pdf/ley/vig/leyvig093.pdf</w:t>
        </w:r>
      </w:hyperlink>
    </w:p>
    <w:p w:rsidR="00E138AF" w:rsidRPr="002250FE" w:rsidRDefault="00B93B51">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Ante ello, la temporalidad de la información que se deba ordenar deberá ser desde el 24 de septiembre del año 2003 al 23 de mayo del año 2022.</w:t>
      </w:r>
    </w:p>
    <w:p w:rsidR="00E138AF" w:rsidRPr="002250FE" w:rsidRDefault="00B93B51">
      <w:pPr>
        <w:spacing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b/>
        </w:rPr>
        <w:t xml:space="preserve">Precisado lo anterior, sobre la naturaleza de la información en cuanto al puntos 1 y  2, relativo </w:t>
      </w:r>
      <w:proofErr w:type="gramStart"/>
      <w:r w:rsidRPr="002250FE">
        <w:rPr>
          <w:rFonts w:ascii="Palatino Linotype" w:eastAsia="Palatino Linotype" w:hAnsi="Palatino Linotype" w:cs="Palatino Linotype"/>
          <w:b/>
        </w:rPr>
        <w:t>a</w:t>
      </w:r>
      <w:proofErr w:type="gramEnd"/>
      <w:r w:rsidRPr="002250FE">
        <w:rPr>
          <w:rFonts w:ascii="Palatino Linotype" w:eastAsia="Palatino Linotype" w:hAnsi="Palatino Linotype" w:cs="Palatino Linotype"/>
          <w:b/>
        </w:rPr>
        <w:t>:</w:t>
      </w:r>
    </w:p>
    <w:p w:rsidR="00E138AF" w:rsidRPr="002250FE" w:rsidRDefault="00B93B51">
      <w:pPr>
        <w:spacing w:before="240" w:after="240" w:line="360" w:lineRule="auto"/>
        <w:jc w:val="both"/>
        <w:rPr>
          <w:rFonts w:ascii="Palatino Linotype" w:eastAsia="Palatino Linotype" w:hAnsi="Palatino Linotype" w:cs="Palatino Linotype"/>
          <w:b/>
          <w:u w:val="single"/>
        </w:rPr>
      </w:pPr>
      <w:r w:rsidRPr="002250FE">
        <w:rPr>
          <w:rFonts w:ascii="Palatino Linotype" w:eastAsia="Palatino Linotype" w:hAnsi="Palatino Linotype" w:cs="Palatino Linotype"/>
          <w:b/>
          <w:u w:val="single"/>
        </w:rPr>
        <w:t>1. Solicito todos y cada uno de los convenios firmados con el Municipio de Chicoloapan, llámese ayuntamiento, ejido, y/o cualquier otra dependencia, institución pública y privada, desde el 01 de enero de 2003 al 23 de mayo de 2022;</w:t>
      </w:r>
    </w:p>
    <w:p w:rsidR="00E138AF" w:rsidRPr="002250FE" w:rsidRDefault="00E138AF">
      <w:pPr>
        <w:spacing w:before="240" w:after="240" w:line="360" w:lineRule="auto"/>
        <w:jc w:val="both"/>
        <w:rPr>
          <w:rFonts w:ascii="Palatino Linotype" w:eastAsia="Palatino Linotype" w:hAnsi="Palatino Linotype" w:cs="Palatino Linotype"/>
          <w:b/>
          <w:u w:val="single"/>
        </w:rPr>
      </w:pPr>
    </w:p>
    <w:p w:rsidR="00E138AF" w:rsidRPr="002250FE" w:rsidRDefault="00B93B51">
      <w:pPr>
        <w:spacing w:before="240" w:after="240"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b/>
        </w:rPr>
        <w:t>2. Solicito todos y cada uno de los convenios firmados entre IMEVIS, el RAN y el Ejido de Chicoloapan desde el 01 de enero de 2003 al 23 de mayo de 2022.</w:t>
      </w: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Comenzaremos definiendo que es un convenio, el cual es definido por el Código Civil del Estado de México, en términos de su artículo 7.30, como:</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“Concepto de convenio </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Artículo 7.30.- Convenio es el acuerdo de dos o más personas para crear, transferir, modificar o extinguir obligaciones.” (Sic)</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El cual consiste en el compromiso de dos o más personas para obligarse a realizar ciertos actos.</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Bajo esa óptica una de las finalidades por la que se creó el Organismo Público Descentralizado de Carácter Estatal Denominado Instituto Mexiquense de la </w:t>
      </w:r>
      <w:r w:rsidRPr="002250FE">
        <w:rPr>
          <w:rFonts w:ascii="Palatino Linotype" w:eastAsia="Palatino Linotype" w:hAnsi="Palatino Linotype" w:cs="Palatino Linotype"/>
        </w:rPr>
        <w:lastRenderedPageBreak/>
        <w:t>Vivienda Social, fue para que fuera el órgano asesor del Gobierno del Estado de México en relación con el suelo y la vivienda rural y urbana, así como para suscribir convenio en materia de suelo y vivienda rural y urbana, con la federación, municipios (entre ellos el Municipio de Chicoloapan) y otras instituciones o dependencias tanto públicas como privadas, como lo establece el artículo 3 fracción V y XXIV de la Ley que Crea el Organismo Público Descentralizado de Carácter Estatal Denominado Instituto Mexiquense de la Vivienda Social, que señala:</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Artículo 3.- El Instituto, para el cumplimiento de su objeto, tendrá las siguientes atribuciones:</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V. Ser órgano consultor del Gobierno Estatal, para emitir opinión en relación con el suelo y la vivienda urbana y rural, y </w:t>
      </w:r>
      <w:r w:rsidRPr="002250FE">
        <w:rPr>
          <w:rFonts w:ascii="Palatino Linotype" w:eastAsia="Palatino Linotype" w:hAnsi="Palatino Linotype" w:cs="Palatino Linotype"/>
          <w:b/>
          <w:i/>
          <w:sz w:val="22"/>
          <w:szCs w:val="22"/>
        </w:rPr>
        <w:t>respecto a los convenios que, en la materia de suelo y vivienda social, se firmen con</w:t>
      </w:r>
      <w:r w:rsidRPr="002250FE">
        <w:rPr>
          <w:rFonts w:ascii="Palatino Linotype" w:eastAsia="Palatino Linotype" w:hAnsi="Palatino Linotype" w:cs="Palatino Linotype"/>
          <w:i/>
          <w:sz w:val="22"/>
          <w:szCs w:val="22"/>
        </w:rPr>
        <w:t xml:space="preserve"> la federación, </w:t>
      </w:r>
      <w:r w:rsidRPr="002250FE">
        <w:rPr>
          <w:rFonts w:ascii="Palatino Linotype" w:eastAsia="Palatino Linotype" w:hAnsi="Palatino Linotype" w:cs="Palatino Linotype"/>
          <w:b/>
          <w:i/>
          <w:sz w:val="22"/>
          <w:szCs w:val="22"/>
        </w:rPr>
        <w:t>municipios</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rPr>
        <w:t>y otras instituciones o dependencias tanto públicas como privadas</w:t>
      </w:r>
      <w:r w:rsidRPr="002250FE">
        <w:rPr>
          <w:rFonts w:ascii="Palatino Linotype" w:eastAsia="Palatino Linotype" w:hAnsi="Palatino Linotype" w:cs="Palatino Linotype"/>
          <w:i/>
          <w:sz w:val="22"/>
          <w:szCs w:val="22"/>
        </w:rPr>
        <w:t xml:space="preserve"> y, en su caso, a la canalización de las inversiones correspondientes</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851" w:right="899"/>
        <w:jc w:val="both"/>
        <w:rPr>
          <w:rFonts w:ascii="Palatino Linotype" w:eastAsia="Palatino Linotype" w:hAnsi="Palatino Linotype" w:cs="Palatino Linotype"/>
        </w:rPr>
      </w:pPr>
      <w:r w:rsidRPr="002250FE">
        <w:rPr>
          <w:rFonts w:ascii="Palatino Linotype" w:eastAsia="Palatino Linotype" w:hAnsi="Palatino Linotype" w:cs="Palatino Linotype"/>
          <w:i/>
          <w:sz w:val="22"/>
          <w:szCs w:val="22"/>
        </w:rPr>
        <w:t>XXIV. Celebrar convenios, pactando las condiciones para regularizar el suelo y la tenencia de la tierra, para el cumplimiento de sus fines…” (Sic)</w:t>
      </w:r>
    </w:p>
    <w:p w:rsidR="00E138AF" w:rsidRPr="002250FE" w:rsidRDefault="00E138AF">
      <w:pPr>
        <w:ind w:left="851" w:right="899"/>
        <w:jc w:val="both"/>
        <w:rPr>
          <w:rFonts w:ascii="Palatino Linotype" w:eastAsia="Palatino Linotype" w:hAnsi="Palatino Linotype" w:cs="Palatino Linotype"/>
          <w:i/>
          <w:sz w:val="22"/>
          <w:szCs w:val="22"/>
        </w:rPr>
      </w:pPr>
    </w:p>
    <w:p w:rsidR="00E138AF" w:rsidRPr="002250FE" w:rsidRDefault="00B93B51">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Lo que se robustece con lo señalado por el artículo 14 fracción VIII de la Ley de Vivienda del Estado de México, que señala:</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“Artículo 14.- El Instituto además de las atribuciones que le confiere la Ley que lo crea, tendrá las siguientes: </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VIII. </w:t>
      </w:r>
      <w:r w:rsidRPr="002250FE">
        <w:rPr>
          <w:rFonts w:ascii="Palatino Linotype" w:eastAsia="Palatino Linotype" w:hAnsi="Palatino Linotype" w:cs="Palatino Linotype"/>
          <w:b/>
          <w:i/>
          <w:sz w:val="22"/>
          <w:szCs w:val="22"/>
        </w:rPr>
        <w:t>Promover y en su caso suscribir la celebración de convenios con el sector público</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rPr>
        <w:t>social o privado</w:t>
      </w:r>
      <w:r w:rsidRPr="002250FE">
        <w:rPr>
          <w:rFonts w:ascii="Palatino Linotype" w:eastAsia="Palatino Linotype" w:hAnsi="Palatino Linotype" w:cs="Palatino Linotype"/>
          <w:i/>
          <w:sz w:val="22"/>
          <w:szCs w:val="22"/>
        </w:rPr>
        <w:t xml:space="preserve"> en la concertación e implementación de programas y acciones de vivienda.</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Con lo cual se acredita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tiene la atribución de celebrar convenios con los municipios, instituciones o dependencia sociales o privados en materia de sueldo y vivienda social. </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Ahora bien, si bien es cierto que en informe justificado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entregó una liga electrónica correspondiente a:</w:t>
      </w:r>
    </w:p>
    <w:p w:rsidR="00E138AF" w:rsidRPr="002250FE" w:rsidRDefault="00E138AF">
      <w:pPr>
        <w:spacing w:line="360" w:lineRule="auto"/>
        <w:jc w:val="both"/>
      </w:pPr>
    </w:p>
    <w:p w:rsidR="00E138AF" w:rsidRPr="002250FE" w:rsidRDefault="00D542D5">
      <w:pPr>
        <w:spacing w:line="360" w:lineRule="auto"/>
        <w:jc w:val="both"/>
        <w:rPr>
          <w:rFonts w:ascii="Palatino Linotype" w:eastAsia="Palatino Linotype" w:hAnsi="Palatino Linotype" w:cs="Palatino Linotype"/>
        </w:rPr>
      </w:pPr>
      <w:hyperlink r:id="rId20">
        <w:r w:rsidR="00B93B51" w:rsidRPr="002250FE">
          <w:rPr>
            <w:rFonts w:ascii="Palatino Linotype" w:eastAsia="Palatino Linotype" w:hAnsi="Palatino Linotype" w:cs="Palatino Linotype"/>
            <w:u w:val="single"/>
          </w:rPr>
          <w:t>https://ipomex.org.mx/ipo3/lgt/indice/IMEVIS/art_92_xxxvii.web?token=03ANYolquVM_ja9C_bKHarm2RrPsjirtVsJvRmdooRvozaKLZ2RGM2yyrmx2Pnu0DElaW8aJ_xkum5FuMTMee1Wb/L_FttlrfnuwlelpwVsCIYmxOeenKNp05XfO9Oq_BAUcj4wkUqw1YajKilS296bq5vJV_XgMclmdfOpdH3AlbW4CsldGxeu47K_71knBNOGZWbbLHtqqvDpj7Dnekz8E4eskRxSfELbM4MG5eljGeJlLnZNDVvGw1ojD3TFTUvH607vHM3xQUEdasWD1BBpVgZuRWxdFLOz$YkqWolo94psEuntSfKNtvnGMMi7F_utwu0rwkFmZn6LCXkbl_hq1qKq_3P4wy8HBdnVAz_Wz1eZ_nRwiURjd3vNoGr_TRQv_7FNZBwOkQWWKKNsNmVGFfxOuVJclrWilbNL2p9bfTfNPFKswm3i72J1nTJEXMiOr_JpQ</w:t>
        </w:r>
      </w:hyperlink>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Sin embargo, al dar clic a dicha liga electrónica, nos arroja la siguiente información:</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noProof/>
          <w:lang w:val="es-MX" w:eastAsia="es-MX"/>
        </w:rPr>
        <w:lastRenderedPageBreak/>
        <w:drawing>
          <wp:inline distT="0" distB="0" distL="0" distR="0">
            <wp:extent cx="5511800" cy="3600450"/>
            <wp:effectExtent l="0" t="0" r="0" b="0"/>
            <wp:docPr id="1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l="12898" t="6236" r="13781" b="16513"/>
                    <a:stretch>
                      <a:fillRect/>
                    </a:stretch>
                  </pic:blipFill>
                  <pic:spPr>
                    <a:xfrm>
                      <a:off x="0" y="0"/>
                      <a:ext cx="5511800" cy="3600450"/>
                    </a:xfrm>
                    <a:prstGeom prst="rect">
                      <a:avLst/>
                    </a:prstGeom>
                    <a:ln/>
                  </pic:spPr>
                </pic:pic>
              </a:graphicData>
            </a:graphic>
          </wp:inline>
        </w:drawing>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No obstante, el particular solicitó en especificó los convenios firmados con el Municipio de Chicoloapan, Registro Agrario Nacional y el Ejido de Chicoloapan; lo que implica que el solicitante haga una búsqueda de la información dentro del cumulo de información que yace en dicha liga electrónica, toda vez que se observa muchos registros en los años 2018 al 2022, máxime que el particular solicitó información desde el año 2003 lo que no consta en dicha electrónica; por consiguiente, no se colmó la pretensión de la parte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en razón de que la liga no arroja información requerida en concreto y además no se detalló el procedimiento específico de acceso a los datos solicitados.</w:t>
      </w: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11.</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2250FE">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E138AF" w:rsidRPr="002250FE" w:rsidRDefault="00B93B51">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E138AF">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rsidR="00E138AF" w:rsidRPr="002250FE" w:rsidRDefault="00B93B51">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250FE">
        <w:rPr>
          <w:rFonts w:ascii="Palatino Linotype" w:eastAsia="Palatino Linotype" w:hAnsi="Palatino Linotype" w:cs="Palatino Linotype"/>
          <w:b/>
          <w:i/>
          <w:sz w:val="22"/>
          <w:szCs w:val="22"/>
        </w:rPr>
        <w:t>Artículo 161.</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u w:val="single"/>
        </w:rPr>
        <w:t>Cuando la información requerida por el solicitante ya esté disponible al público</w:t>
      </w:r>
      <w:r w:rsidRPr="002250FE">
        <w:rPr>
          <w:rFonts w:ascii="Palatino Linotype" w:eastAsia="Palatino Linotype" w:hAnsi="Palatino Linotype" w:cs="Palatino Linotype"/>
          <w:i/>
          <w:sz w:val="22"/>
          <w:szCs w:val="22"/>
        </w:rPr>
        <w:t xml:space="preserve"> en medios impresos, tales como libros, compendios, trípticos, registros públicos, </w:t>
      </w:r>
      <w:r w:rsidRPr="002250FE">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w:t>
      </w:r>
      <w:r w:rsidRPr="002250FE">
        <w:rPr>
          <w:rFonts w:ascii="Palatino Linotype" w:eastAsia="Palatino Linotype" w:hAnsi="Palatino Linotype" w:cs="Palatino Linotype"/>
        </w:rPr>
        <w:lastRenderedPageBreak/>
        <w:t>podrá consultar, reproducir o adquirir la información, en un plazo no mayor a cinco días hábiles, comprendiendo:</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numPr>
          <w:ilvl w:val="0"/>
          <w:numId w:val="8"/>
        </w:numPr>
        <w:pBdr>
          <w:top w:val="nil"/>
          <w:left w:val="nil"/>
          <w:bottom w:val="nil"/>
          <w:right w:val="nil"/>
          <w:between w:val="nil"/>
        </w:pBdr>
        <w:ind w:left="1134" w:hanging="567"/>
        <w:jc w:val="both"/>
        <w:rPr>
          <w:rFonts w:ascii="Palatino Linotype" w:eastAsia="Palatino Linotype" w:hAnsi="Palatino Linotype" w:cs="Palatino Linotype"/>
        </w:rPr>
      </w:pPr>
      <w:r w:rsidRPr="002250FE">
        <w:rPr>
          <w:rFonts w:ascii="Palatino Linotype" w:eastAsia="Palatino Linotype" w:hAnsi="Palatino Linotype" w:cs="Palatino Linotype"/>
        </w:rPr>
        <w:t>La fuente</w:t>
      </w:r>
    </w:p>
    <w:p w:rsidR="00E138AF" w:rsidRPr="002250FE" w:rsidRDefault="00B93B51">
      <w:pPr>
        <w:numPr>
          <w:ilvl w:val="0"/>
          <w:numId w:val="8"/>
        </w:numPr>
        <w:pBdr>
          <w:top w:val="nil"/>
          <w:left w:val="nil"/>
          <w:bottom w:val="nil"/>
          <w:right w:val="nil"/>
          <w:between w:val="nil"/>
        </w:pBdr>
        <w:ind w:left="1134" w:hanging="567"/>
        <w:jc w:val="both"/>
        <w:rPr>
          <w:rFonts w:ascii="Palatino Linotype" w:eastAsia="Palatino Linotype" w:hAnsi="Palatino Linotype" w:cs="Palatino Linotype"/>
        </w:rPr>
      </w:pPr>
      <w:r w:rsidRPr="002250FE">
        <w:rPr>
          <w:rFonts w:ascii="Palatino Linotype" w:eastAsia="Palatino Linotype" w:hAnsi="Palatino Linotype" w:cs="Palatino Linotype"/>
        </w:rPr>
        <w:t>El lugar y</w:t>
      </w:r>
    </w:p>
    <w:p w:rsidR="00E138AF" w:rsidRPr="002250FE" w:rsidRDefault="00B93B51">
      <w:pPr>
        <w:numPr>
          <w:ilvl w:val="0"/>
          <w:numId w:val="8"/>
        </w:numPr>
        <w:pBdr>
          <w:top w:val="nil"/>
          <w:left w:val="nil"/>
          <w:bottom w:val="nil"/>
          <w:right w:val="nil"/>
          <w:between w:val="nil"/>
        </w:pBdr>
        <w:ind w:left="1134" w:hanging="567"/>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La forma </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Asimismo, se establece que la fuente de la información deberá ser:</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rPr>
      </w:pPr>
      <w:r w:rsidRPr="002250FE">
        <w:rPr>
          <w:rFonts w:ascii="Palatino Linotype" w:eastAsia="Palatino Linotype" w:hAnsi="Palatino Linotype" w:cs="Palatino Linotype"/>
        </w:rPr>
        <w:t>Precisa</w:t>
      </w:r>
    </w:p>
    <w:p w:rsidR="00E138AF" w:rsidRPr="002250FE" w:rsidRDefault="00B93B51">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rPr>
      </w:pPr>
      <w:r w:rsidRPr="002250FE">
        <w:rPr>
          <w:rFonts w:ascii="Palatino Linotype" w:eastAsia="Palatino Linotype" w:hAnsi="Palatino Linotype" w:cs="Palatino Linotype"/>
        </w:rPr>
        <w:t>Concreta</w:t>
      </w:r>
    </w:p>
    <w:p w:rsidR="00E138AF" w:rsidRPr="002250FE" w:rsidRDefault="00B93B51">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rPr>
      </w:pPr>
      <w:r w:rsidRPr="002250FE">
        <w:rPr>
          <w:rFonts w:ascii="Palatino Linotype" w:eastAsia="Palatino Linotype" w:hAnsi="Palatino Linotype" w:cs="Palatino Linotype"/>
          <w:b/>
        </w:rPr>
        <w:t>Y no debe implicar que el solicitante realice una búsqueda en toda la información que se encuentre disponible</w:t>
      </w:r>
      <w:r w:rsidRPr="002250FE">
        <w:rPr>
          <w:rFonts w:ascii="Palatino Linotype" w:eastAsia="Palatino Linotype" w:hAnsi="Palatino Linotype" w:cs="Palatino Linotype"/>
        </w:rPr>
        <w:t>.</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Imperativos legales que establecen el procedimiento que debe seguir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se limitó a indicar la dirección electrónica de su página oficial, sin que señalara puntualmente el procedimiento que el particular debe seguir para acceder 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De tal forma que este Instituto estima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incumplió lo establecido en la Ley de la Materia, por lo cual es procedente revocar la respuesta a la solicitud del particular y ordenar la entrega de la información requerida.</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Precisado lo anterior, esta Organismo Garante se dio a la tarea de hacer una búsqueda de la información solicitada, localizando unas notas periodísticas, en donde se publicó lo siguiente</w:t>
      </w: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88901</wp:posOffset>
                </wp:positionH>
                <wp:positionV relativeFrom="paragraph">
                  <wp:posOffset>0</wp:posOffset>
                </wp:positionV>
                <wp:extent cx="5410200" cy="3479800"/>
                <wp:effectExtent l="0" t="0" r="0" b="0"/>
                <wp:wrapNone/>
                <wp:docPr id="146" name="Conector recto de flecha 146"/>
                <wp:cNvGraphicFramePr/>
                <a:graphic xmlns:a="http://schemas.openxmlformats.org/drawingml/2006/main">
                  <a:graphicData uri="http://schemas.microsoft.com/office/word/2010/wordprocessingShape">
                    <wps:wsp>
                      <wps:cNvCnPr/>
                      <wps:spPr>
                        <a:xfrm>
                          <a:off x="2659950" y="2059150"/>
                          <a:ext cx="5372100" cy="3441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5410200" cy="3479800"/>
                <wp:effectExtent b="0" l="0" r="0" t="0"/>
                <wp:wrapNone/>
                <wp:docPr id="146"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5410200" cy="3479800"/>
                        </a:xfrm>
                        <a:prstGeom prst="rect"/>
                        <a:ln/>
                      </pic:spPr>
                    </pic:pic>
                  </a:graphicData>
                </a:graphic>
              </wp:anchor>
            </w:drawing>
          </mc:Fallback>
        </mc:AlternateContent>
      </w:r>
    </w:p>
    <w:p w:rsidR="00E138AF" w:rsidRPr="002250FE" w:rsidRDefault="00E138AF">
      <w:pPr>
        <w:pBdr>
          <w:top w:val="nil"/>
          <w:left w:val="nil"/>
          <w:bottom w:val="nil"/>
          <w:right w:val="nil"/>
          <w:between w:val="nil"/>
        </w:pBdr>
        <w:shd w:val="clear" w:color="auto" w:fill="FFFFFF"/>
        <w:spacing w:line="360" w:lineRule="auto"/>
        <w:jc w:val="both"/>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noProof/>
          <w:lang w:val="es-MX" w:eastAsia="es-MX"/>
        </w:rPr>
        <w:lastRenderedPageBreak/>
        <w:drawing>
          <wp:inline distT="0" distB="0" distL="0" distR="0">
            <wp:extent cx="5406159" cy="6872392"/>
            <wp:effectExtent l="0" t="0" r="0" b="0"/>
            <wp:docPr id="1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20312" t="8431" r="41868" b="3108"/>
                    <a:stretch>
                      <a:fillRect/>
                    </a:stretch>
                  </pic:blipFill>
                  <pic:spPr>
                    <a:xfrm>
                      <a:off x="0" y="0"/>
                      <a:ext cx="5406159" cy="6872392"/>
                    </a:xfrm>
                    <a:prstGeom prst="rect">
                      <a:avLst/>
                    </a:prstGeom>
                    <a:ln/>
                  </pic:spPr>
                </pic:pic>
              </a:graphicData>
            </a:graphic>
          </wp:inline>
        </w:drawing>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trike/>
        </w:rPr>
      </w:pPr>
      <w:r w:rsidRPr="002250FE">
        <w:rPr>
          <w:strike/>
          <w:noProof/>
          <w:lang w:val="es-MX" w:eastAsia="es-MX"/>
        </w:rPr>
        <w:lastRenderedPageBreak/>
        <w:drawing>
          <wp:inline distT="0" distB="0" distL="0" distR="0">
            <wp:extent cx="5450185" cy="3479248"/>
            <wp:effectExtent l="0" t="0" r="0" b="0"/>
            <wp:docPr id="1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l="24552" t="19938" r="36294" b="7981"/>
                    <a:stretch>
                      <a:fillRect/>
                    </a:stretch>
                  </pic:blipFill>
                  <pic:spPr>
                    <a:xfrm>
                      <a:off x="0" y="0"/>
                      <a:ext cx="5450185" cy="3479248"/>
                    </a:xfrm>
                    <a:prstGeom prst="rect">
                      <a:avLst/>
                    </a:prstGeom>
                    <a:ln/>
                  </pic:spPr>
                </pic:pic>
              </a:graphicData>
            </a:graphic>
          </wp:inline>
        </w:drawing>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donde se advierte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sí pudo haber firmado convenios con el Ayuntamiento de Chicoloapan, con la finalidad de regularizar la tenencia de la tierra, ordenamiento de asentamientos humanos irregulares y de la instrumentación de programas de vivienda social y con el Registro Nacional Agrario e Instituto de la Función Registral, con la finalidad de regularizar ejidos; por ello, hay indicios de la existencia de dichos convenios solicitados por el particular, sirve de sustento a lo anterior las siguientes tesis jurisprudenciales:</w:t>
      </w:r>
    </w:p>
    <w:p w:rsidR="00E138AF" w:rsidRPr="002250FE" w:rsidRDefault="00E138AF">
      <w:pPr>
        <w:pBdr>
          <w:top w:val="nil"/>
          <w:left w:val="nil"/>
          <w:bottom w:val="nil"/>
          <w:right w:val="nil"/>
          <w:between w:val="nil"/>
        </w:pBdr>
        <w:spacing w:line="360" w:lineRule="auto"/>
        <w:ind w:left="851" w:firstLine="707"/>
        <w:jc w:val="both"/>
        <w:rPr>
          <w:rFonts w:ascii="Palatino Linotype" w:eastAsia="Palatino Linotype" w:hAnsi="Palatino Linotype" w:cs="Palatino Linotype"/>
          <w:sz w:val="22"/>
          <w:szCs w:val="22"/>
        </w:rPr>
      </w:pPr>
    </w:p>
    <w:p w:rsidR="00E138AF" w:rsidRPr="002250FE" w:rsidRDefault="00B93B51">
      <w:pPr>
        <w:ind w:left="567" w:right="616"/>
        <w:jc w:val="center"/>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HECHOS NOTORIOS. CONCEPTOS GENERAL Y JURÍDICO</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 xml:space="preserve">Conforme al artículo </w:t>
      </w:r>
      <w:hyperlink r:id="rId25">
        <w:r w:rsidRPr="002250FE">
          <w:rPr>
            <w:rFonts w:ascii="Palatino Linotype" w:eastAsia="Palatino Linotype" w:hAnsi="Palatino Linotype" w:cs="Palatino Linotype"/>
            <w:b/>
            <w:i/>
            <w:sz w:val="22"/>
            <w:szCs w:val="22"/>
          </w:rPr>
          <w:t>88 del Código Federal de Procedimientos Civiles</w:t>
        </w:r>
      </w:hyperlink>
      <w:r w:rsidRPr="002250FE">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2250FE">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w:t>
      </w:r>
      <w:r w:rsidRPr="002250FE">
        <w:rPr>
          <w:rFonts w:ascii="Palatino Linotype" w:eastAsia="Palatino Linotype" w:hAnsi="Palatino Linotype" w:cs="Palatino Linotype"/>
          <w:i/>
          <w:sz w:val="22"/>
          <w:szCs w:val="22"/>
        </w:rPr>
        <w:lastRenderedPageBreak/>
        <w:t>pertenezcan a la historia, a la ciencia, a la naturaleza</w:t>
      </w:r>
      <w:r w:rsidRPr="002250FE">
        <w:rPr>
          <w:rFonts w:ascii="Palatino Linotype" w:eastAsia="Palatino Linotype" w:hAnsi="Palatino Linotype" w:cs="Palatino Linotype"/>
          <w:b/>
          <w:i/>
          <w:sz w:val="22"/>
          <w:szCs w:val="22"/>
        </w:rPr>
        <w:t>, a las vicisitudes de la vida pública actual o a circunstancias comúnmente conocidas en un determinado lugar</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rPr>
        <w:t>de modo que toda persona de ese medio esté en condiciones de saberlo</w:t>
      </w:r>
      <w:r w:rsidRPr="002250FE">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E138AF" w:rsidRPr="002250FE" w:rsidRDefault="00E138AF">
      <w:pPr>
        <w:ind w:left="567" w:right="616"/>
        <w:rPr>
          <w:rFonts w:ascii="Palatino Linotype" w:eastAsia="Palatino Linotype" w:hAnsi="Palatino Linotype" w:cs="Palatino Linotype"/>
          <w:i/>
          <w:sz w:val="22"/>
          <w:szCs w:val="22"/>
        </w:rPr>
      </w:pP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rsidR="00E138AF" w:rsidRPr="002250FE" w:rsidRDefault="00E138AF">
      <w:pPr>
        <w:ind w:left="567" w:right="616"/>
        <w:jc w:val="both"/>
        <w:rPr>
          <w:rFonts w:ascii="Palatino Linotype" w:eastAsia="Palatino Linotype" w:hAnsi="Palatino Linotype" w:cs="Palatino Linotype"/>
          <w:i/>
          <w:sz w:val="22"/>
          <w:szCs w:val="22"/>
        </w:rPr>
      </w:pPr>
    </w:p>
    <w:p w:rsidR="00E138AF" w:rsidRPr="002250FE" w:rsidRDefault="00B93B51">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2250FE">
        <w:rPr>
          <w:sz w:val="22"/>
          <w:szCs w:val="22"/>
        </w:rPr>
        <w:t xml:space="preserve"> </w:t>
      </w:r>
      <w:r w:rsidRPr="002250FE">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2250FE">
        <w:rPr>
          <w:rFonts w:ascii="Palatino Linotype" w:eastAsia="Palatino Linotype" w:hAnsi="Palatino Linotype" w:cs="Palatino Linotype"/>
          <w:i/>
          <w:sz w:val="22"/>
          <w:szCs w:val="22"/>
        </w:rPr>
        <w:lastRenderedPageBreak/>
        <w:t>Mardygras</w:t>
      </w:r>
      <w:proofErr w:type="spellEnd"/>
      <w:r w:rsidRPr="002250FE">
        <w:rPr>
          <w:rFonts w:ascii="Palatino Linotype" w:eastAsia="Palatino Linotype" w:hAnsi="Palatino Linotype" w:cs="Palatino Linotype"/>
          <w:i/>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2250FE">
        <w:rPr>
          <w:rFonts w:ascii="Palatino Linotype" w:eastAsia="Palatino Linotype" w:hAnsi="Palatino Linotype" w:cs="Palatino Linotype"/>
          <w:i/>
          <w:sz w:val="22"/>
          <w:szCs w:val="22"/>
        </w:rPr>
        <w:t>Pag</w:t>
      </w:r>
      <w:proofErr w:type="spellEnd"/>
      <w:r w:rsidRPr="002250FE">
        <w:rPr>
          <w:rFonts w:ascii="Palatino Linotype" w:eastAsia="Palatino Linotype" w:hAnsi="Palatino Linotype" w:cs="Palatino Linotype"/>
          <w:i/>
          <w:sz w:val="22"/>
          <w:szCs w:val="22"/>
        </w:rPr>
        <w:t>.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Bajo ese contexto,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138AF" w:rsidRPr="002250FE" w:rsidRDefault="00E138AF">
      <w:pPr>
        <w:ind w:left="851" w:right="899"/>
        <w:jc w:val="both"/>
        <w:rPr>
          <w:rFonts w:ascii="Palatino Linotype" w:eastAsia="Palatino Linotype" w:hAnsi="Palatino Linotype" w:cs="Palatino Linotype"/>
        </w:rPr>
      </w:pPr>
    </w:p>
    <w:p w:rsidR="00E138AF" w:rsidRPr="002250FE" w:rsidRDefault="00B93B51">
      <w:pPr>
        <w:ind w:left="851" w:right="899"/>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sz w:val="22"/>
          <w:szCs w:val="22"/>
        </w:rPr>
        <w:t>“</w:t>
      </w:r>
      <w:r w:rsidRPr="002250FE">
        <w:rPr>
          <w:rFonts w:ascii="Palatino Linotype" w:eastAsia="Palatino Linotype" w:hAnsi="Palatino Linotype" w:cs="Palatino Linotype"/>
          <w:b/>
          <w:i/>
          <w:sz w:val="22"/>
          <w:szCs w:val="22"/>
        </w:rPr>
        <w:t>CRITERIO 0002-11</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250F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E138AF" w:rsidRPr="002250FE" w:rsidRDefault="00B93B51">
      <w:pPr>
        <w:ind w:left="851" w:right="899"/>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E138AF" w:rsidRPr="002250FE" w:rsidRDefault="00B93B51">
      <w:pPr>
        <w:ind w:left="851" w:right="899"/>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Ello es así, ya que la conservación de los archivos, ya sea físicos o digitales, es una responsabilidad encomendada para cualquier autoridad, entidad, órgano y organismo de los poderes Legislativo, Ejecutivo y Judicial, Ayuntamientos, órganos </w:t>
      </w:r>
      <w:r w:rsidRPr="002250FE">
        <w:rPr>
          <w:rFonts w:ascii="Palatino Linotype" w:eastAsia="Palatino Linotype" w:hAnsi="Palatino Linotype" w:cs="Palatino Linotype"/>
        </w:rPr>
        <w:lastRenderedPageBreak/>
        <w:t>autónomos, partidos políticos, fideicomisos y fondos públicos, así como de cualquier persona física, moral o sindicato que reciba y ejerza recursos públicos o realice actos de autoridad de la federación, las entidades federativas y los municipios, según lo dispuesto en la Ley General de Archivos.</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En dicha norma, se define al archivo como el conjunto organizado de documentos producidos o recibidos por los sujetos obligados en el ejercicio de sus atribuciones y funciones, con independencia del soporte, espacio o lugar que se resguarden; de igual forma, señala que la conservación es el conjunto de procedimientos y medidas destinados a asegurar la prevención de aliteraciones físicas de los documentos en papel y la preservación de documentos digitales a largo plazo.</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respetar el derecho a la verdad y el acceso a la información contenida en los archivos, por lo cual indica en su artículo 7 que los sujetos obligados deberán producir, registrar, organizar y conservar los documentos de archivo sobre todo acto que derive del ejercicio de sus facultades, competencias o funciones de acuerdo con lo establecido en las disposiciones jurídicas correspondientes.</w:t>
      </w: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Por lo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deberá seguir procedimiento establecido por el artículo 162 de la Ley de Transparencia y Acceso a la Información Pública del Estado </w:t>
      </w:r>
      <w:r w:rsidRPr="002250FE">
        <w:rPr>
          <w:rFonts w:ascii="Palatino Linotype" w:eastAsia="Palatino Linotype" w:hAnsi="Palatino Linotype" w:cs="Palatino Linotype"/>
        </w:rPr>
        <w:lastRenderedPageBreak/>
        <w:t xml:space="preserve">de México y Municipios, ya que, no se puede perder de vista que para otorgar respuesta a la solicitud inicial,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E138AF" w:rsidRPr="002250FE" w:rsidRDefault="00B93B51">
      <w:pPr>
        <w:spacing w:before="240" w:after="240"/>
        <w:ind w:left="709" w:right="902"/>
        <w:jc w:val="both"/>
        <w:rPr>
          <w:rFonts w:ascii="Palatino Linotype" w:eastAsia="Palatino Linotype" w:hAnsi="Palatino Linotype" w:cs="Palatino Linotype"/>
          <w:i/>
          <w:sz w:val="20"/>
          <w:szCs w:val="20"/>
        </w:rPr>
      </w:pPr>
      <w:r w:rsidRPr="002250FE">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E138AF" w:rsidRPr="002250FE" w:rsidRDefault="00B93B51">
      <w:pPr>
        <w:shd w:val="clear" w:color="auto" w:fill="FFFFFF"/>
        <w:spacing w:before="240" w:after="240" w:line="360" w:lineRule="auto"/>
        <w:jc w:val="both"/>
      </w:pPr>
      <w:r w:rsidRPr="002250FE">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rsidR="00E138AF" w:rsidRPr="002250FE" w:rsidRDefault="00B93B51">
      <w:pPr>
        <w:shd w:val="clear" w:color="auto" w:fill="FFFFFF"/>
        <w:spacing w:after="240"/>
        <w:ind w:left="993" w:right="1041"/>
        <w:jc w:val="both"/>
      </w:pPr>
      <w:r w:rsidRPr="002250FE">
        <w:rPr>
          <w:rFonts w:ascii="Palatino Linotype" w:eastAsia="Palatino Linotype" w:hAnsi="Palatino Linotype" w:cs="Palatino Linotype"/>
          <w:b/>
          <w:i/>
          <w:sz w:val="22"/>
          <w:szCs w:val="22"/>
        </w:rPr>
        <w:t>“Artículo 162.</w:t>
      </w:r>
      <w:r w:rsidRPr="002250FE">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E138AF" w:rsidRPr="002250FE" w:rsidRDefault="00B93B51">
      <w:pPr>
        <w:shd w:val="clear" w:color="auto" w:fill="FFFFFF"/>
        <w:spacing w:line="360" w:lineRule="auto"/>
        <w:jc w:val="both"/>
      </w:pPr>
      <w:r w:rsidRPr="002250FE">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2250FE">
        <w:rPr>
          <w:rFonts w:ascii="Palatino Linotype" w:eastAsia="Palatino Linotype" w:hAnsi="Palatino Linotype" w:cs="Palatino Linotype"/>
          <w:vertAlign w:val="superscript"/>
        </w:rPr>
        <w:footnoteReference w:id="1"/>
      </w:r>
      <w:r w:rsidRPr="002250FE">
        <w:rPr>
          <w:rFonts w:ascii="Palatino Linotype" w:eastAsia="Palatino Linotype" w:hAnsi="Palatino Linotype" w:cs="Palatino Linotype"/>
        </w:rPr>
        <w:t xml:space="preserve">, para ello </w:t>
      </w:r>
      <w:r w:rsidRPr="002250FE">
        <w:rPr>
          <w:rFonts w:ascii="Palatino Linotype" w:eastAsia="Palatino Linotype" w:hAnsi="Palatino Linotype" w:cs="Palatino Linotype"/>
        </w:rPr>
        <w:lastRenderedPageBreak/>
        <w:t>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E138AF" w:rsidRPr="002250FE" w:rsidRDefault="00E138AF">
      <w:pPr>
        <w:shd w:val="clear" w:color="auto" w:fill="FFFFFF"/>
        <w:ind w:left="993" w:right="1041"/>
        <w:jc w:val="both"/>
        <w:rPr>
          <w:rFonts w:ascii="Palatino Linotype" w:eastAsia="Palatino Linotype" w:hAnsi="Palatino Linotype" w:cs="Palatino Linotype"/>
          <w:b/>
          <w:i/>
          <w:sz w:val="22"/>
          <w:szCs w:val="22"/>
        </w:rPr>
      </w:pPr>
    </w:p>
    <w:p w:rsidR="00E138AF" w:rsidRPr="002250FE" w:rsidRDefault="00B93B51">
      <w:pPr>
        <w:shd w:val="clear" w:color="auto" w:fill="FFFFFF"/>
        <w:ind w:left="993" w:right="1041"/>
        <w:jc w:val="both"/>
      </w:pPr>
      <w:r w:rsidRPr="002250FE">
        <w:rPr>
          <w:rFonts w:ascii="Palatino Linotype" w:eastAsia="Palatino Linotype" w:hAnsi="Palatino Linotype" w:cs="Palatino Linotype"/>
          <w:b/>
          <w:i/>
          <w:sz w:val="22"/>
          <w:szCs w:val="22"/>
        </w:rPr>
        <w:t>“Artículo 160. </w:t>
      </w:r>
      <w:r w:rsidRPr="002250FE">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E138AF" w:rsidRPr="002250FE" w:rsidRDefault="00B93B51">
      <w:pPr>
        <w:shd w:val="clear" w:color="auto" w:fill="FFFFFF"/>
        <w:ind w:left="993" w:right="1041"/>
        <w:jc w:val="both"/>
      </w:pPr>
      <w:r w:rsidRPr="002250FE">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E138AF" w:rsidRPr="002250FE" w:rsidRDefault="00B93B51">
      <w:pPr>
        <w:shd w:val="clear" w:color="auto" w:fill="FFFFFF"/>
        <w:ind w:left="993" w:right="1041"/>
        <w:jc w:val="both"/>
      </w:pPr>
      <w:r w:rsidRPr="002250FE">
        <w:rPr>
          <w:rFonts w:ascii="Palatino Linotype" w:eastAsia="Palatino Linotype" w:hAnsi="Palatino Linotype" w:cs="Palatino Linotype"/>
          <w:b/>
          <w:i/>
          <w:sz w:val="22"/>
          <w:szCs w:val="22"/>
        </w:rPr>
        <w:t>Artículo 163.</w:t>
      </w:r>
      <w:r w:rsidRPr="002250FE">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E138AF" w:rsidRPr="002250FE" w:rsidRDefault="00B93B51">
      <w:pPr>
        <w:shd w:val="clear" w:color="auto" w:fill="FFFFFF"/>
        <w:ind w:left="993" w:right="1041"/>
        <w:jc w:val="both"/>
      </w:pPr>
      <w:r w:rsidRPr="002250FE">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E138AF" w:rsidRPr="002250FE" w:rsidRDefault="00B93B51">
      <w:pPr>
        <w:shd w:val="clear" w:color="auto" w:fill="FFFFFF"/>
        <w:ind w:left="993" w:right="1041"/>
        <w:jc w:val="both"/>
      </w:pPr>
      <w:r w:rsidRPr="002250FE">
        <w:rPr>
          <w:rFonts w:ascii="Palatino Linotype" w:eastAsia="Palatino Linotype" w:hAnsi="Palatino Linotype" w:cs="Palatino Linotype"/>
          <w:b/>
          <w:i/>
          <w:sz w:val="22"/>
          <w:szCs w:val="22"/>
        </w:rPr>
        <w:t>Artículo 165.</w:t>
      </w:r>
      <w:r w:rsidRPr="002250FE">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rsidR="00E138AF" w:rsidRPr="002250FE" w:rsidRDefault="00B93B51">
      <w:pPr>
        <w:shd w:val="clear" w:color="auto" w:fill="FFFFFF"/>
        <w:ind w:left="993" w:right="1041"/>
        <w:jc w:val="both"/>
      </w:pPr>
      <w:r w:rsidRPr="002250FE">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E138AF" w:rsidRPr="002250FE" w:rsidRDefault="00B93B51">
      <w:pPr>
        <w:shd w:val="clear" w:color="auto" w:fill="FFFFFF"/>
        <w:spacing w:after="240"/>
        <w:ind w:left="993" w:right="1041"/>
        <w:jc w:val="both"/>
      </w:pPr>
      <w:r w:rsidRPr="002250FE">
        <w:rPr>
          <w:rFonts w:ascii="Palatino Linotype" w:eastAsia="Palatino Linotype" w:hAnsi="Palatino Linotype" w:cs="Palatino Linotype"/>
          <w:i/>
          <w:sz w:val="22"/>
          <w:szCs w:val="22"/>
        </w:rPr>
        <w:lastRenderedPageBreak/>
        <w:t>Ante la falta de respuesta a una solicitud en el plazo previsto y en caso de que proceda el acceso, los costos de reproducción y envío correrán a cargo del sujeto obligado.”(Sic)</w:t>
      </w:r>
    </w:p>
    <w:p w:rsidR="00E138AF" w:rsidRPr="002250FE" w:rsidRDefault="00B93B51">
      <w:pPr>
        <w:shd w:val="clear" w:color="auto" w:fill="FFFFFF"/>
        <w:spacing w:before="240" w:after="240" w:line="360" w:lineRule="auto"/>
        <w:jc w:val="both"/>
      </w:pPr>
      <w:r w:rsidRPr="002250FE">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esta se localice</w:t>
      </w:r>
      <w:r w:rsidRPr="002250FE">
        <w:rPr>
          <w:rFonts w:ascii="Palatino Linotype" w:eastAsia="Palatino Linotype" w:hAnsi="Palatino Linotype" w:cs="Palatino Linotype"/>
          <w:vertAlign w:val="superscript"/>
        </w:rPr>
        <w:footnoteReference w:id="2"/>
      </w:r>
      <w:r w:rsidRPr="002250FE">
        <w:rPr>
          <w:rFonts w:ascii="Palatino Linotype" w:eastAsia="Palatino Linotype" w:hAnsi="Palatino Linotype" w:cs="Palatino Linotype"/>
        </w:rPr>
        <w:t xml:space="preserve">, situación que no se advierte en el presente caso, toda vez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mérito de lo anterior, se colige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w: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este sentido el área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de manera enunciativa más no limitativa que no se pronunció fue el Director General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en términos del artículo 10 fracción V y VI Bis de la Ley Que Crea el Organismo Público Descentralizado De Carácter Estatal Denominado Instituto Mexiquense de la Vivienda Social, que señala:</w:t>
      </w:r>
    </w:p>
    <w:p w:rsidR="00E138AF" w:rsidRPr="002250FE" w:rsidRDefault="00E138AF">
      <w:pPr>
        <w:ind w:left="851" w:right="899"/>
        <w:jc w:val="both"/>
        <w:rPr>
          <w:rFonts w:ascii="Palatino Linotype" w:eastAsia="Palatino Linotype" w:hAnsi="Palatino Linotype" w:cs="Palatino Linotype"/>
          <w:i/>
          <w:sz w:val="22"/>
          <w:szCs w:val="22"/>
        </w:rPr>
      </w:pP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lastRenderedPageBreak/>
        <w:t>“Artículo 10.- EL Director General, tendrá las atribuciones siguientes:</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851" w:right="89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IX. Celebrar convenios, contratos y acuerdos con terceros, informando de ello al Consejo Directivo, previa aprobación del Consejo…” (Sic)</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También sobre los convenios, se trata de una obligación de transparencia en términos del artículo 92 previamente señalado fracción XXXII, que señala:</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XXXII. Las concesiones, contratos, </w:t>
      </w:r>
      <w:r w:rsidRPr="002250FE">
        <w:rPr>
          <w:rFonts w:ascii="Palatino Linotype" w:eastAsia="Palatino Linotype" w:hAnsi="Palatino Linotype" w:cs="Palatino Linotype"/>
          <w:b/>
          <w:i/>
          <w:sz w:val="22"/>
          <w:szCs w:val="22"/>
        </w:rPr>
        <w:t>convenios</w:t>
      </w:r>
      <w:r w:rsidRPr="002250FE">
        <w:rPr>
          <w:rFonts w:ascii="Palatino Linotype" w:eastAsia="Palatino Linotype" w:hAnsi="Palatino Linotype" w:cs="Palatino Linotype"/>
          <w:i/>
          <w:sz w:val="22"/>
          <w:szCs w:val="22"/>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(Sic)</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Razones por las cuales lo procedente es ordenar al Instituto Mexiquense de la Vivienda Social lo siguiente:</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numPr>
          <w:ilvl w:val="0"/>
          <w:numId w:val="6"/>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r w:rsidRPr="002250FE">
        <w:rPr>
          <w:rFonts w:ascii="Palatino Linotype" w:eastAsia="Palatino Linotype" w:hAnsi="Palatino Linotype" w:cs="Palatino Linotype"/>
          <w:sz w:val="22"/>
          <w:szCs w:val="22"/>
        </w:rPr>
        <w:t>Los convenios firmados con el Municipio de Chicoloapan, llámese Ayuntamiento, ejidos y/o cualquier otra dependencia, institución pública y privada, desde el 24 de septiembre de 2003 al 23 de mayo de 2022.</w:t>
      </w:r>
    </w:p>
    <w:p w:rsidR="00E138AF" w:rsidRPr="002250FE" w:rsidRDefault="00E138AF">
      <w:p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sz w:val="22"/>
          <w:szCs w:val="22"/>
        </w:rPr>
      </w:pPr>
    </w:p>
    <w:p w:rsidR="00E138AF" w:rsidRPr="002250FE" w:rsidRDefault="00B93B51">
      <w:pPr>
        <w:numPr>
          <w:ilvl w:val="0"/>
          <w:numId w:val="6"/>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r w:rsidRPr="002250FE">
        <w:rPr>
          <w:rFonts w:ascii="Palatino Linotype" w:eastAsia="Palatino Linotype" w:hAnsi="Palatino Linotype" w:cs="Palatino Linotype"/>
          <w:sz w:val="22"/>
          <w:szCs w:val="22"/>
        </w:rPr>
        <w:t>Los convenios firmados con el Registro Agrario Nacional, desde 24 de septiembre del año 2003 al 23 de mayo del año 2022.</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Y de ser procedente en versión pública conforme a lo señalado por el considerando quinto del presente fallo.</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No pasa desapercibido, debida a la temporalidad de la información que se ordena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w:t>
      </w:r>
      <w:r w:rsidRPr="002250FE">
        <w:rPr>
          <w:rFonts w:ascii="Palatino Linotype" w:eastAsia="Palatino Linotype" w:hAnsi="Palatino Linotype" w:cs="Palatino Linotype"/>
          <w:b/>
        </w:rPr>
        <w:t>deberá seguir el siguiente procedimiento de la búsqueda de la información</w:t>
      </w:r>
      <w:r w:rsidRPr="002250FE">
        <w:rPr>
          <w:rFonts w:ascii="Palatino Linotype" w:eastAsia="Palatino Linotype" w:hAnsi="Palatino Linotype" w:cs="Palatino Linotype"/>
        </w:rPr>
        <w:t>:</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Ahora bien, cabe recordar que la pretensión del Particular radica en obtener información del año dos mil tres  al año dos mil veintidós, por lo que, es necesario traer a colación lo que establecen los Lineamientos para la Administración de Documentos en el Estado de México, que precisan lo siguiente: </w:t>
      </w:r>
    </w:p>
    <w:p w:rsidR="00E138AF" w:rsidRPr="002250FE" w:rsidRDefault="00E138AF">
      <w:pPr>
        <w:spacing w:line="360" w:lineRule="auto"/>
        <w:ind w:left="567" w:right="567"/>
        <w:jc w:val="both"/>
        <w:rPr>
          <w:rFonts w:ascii="Palatino Linotype" w:eastAsia="Palatino Linotype" w:hAnsi="Palatino Linotype" w:cs="Palatino Linotype"/>
        </w:rPr>
      </w:pP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36.</w:t>
      </w:r>
      <w:r w:rsidRPr="002250FE">
        <w:rPr>
          <w:rFonts w:ascii="Palatino Linotype" w:eastAsia="Palatino Linotype" w:hAnsi="Palatino Linotype" w:cs="Palatino Linotype"/>
          <w:i/>
          <w:sz w:val="22"/>
          <w:szCs w:val="22"/>
        </w:rPr>
        <w:t xml:space="preserve"> 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garantizarán que sus Archivos de Trámite, Concentración e Históricos se mantengan organizados y disponibles para permitir y facilitar un acceso expedito a la documentación que resguarden.</w:t>
      </w:r>
    </w:p>
    <w:p w:rsidR="00E138AF" w:rsidRPr="002250FE" w:rsidRDefault="00E138AF">
      <w:pPr>
        <w:spacing w:line="276" w:lineRule="auto"/>
        <w:ind w:left="567" w:right="567"/>
        <w:jc w:val="both"/>
        <w:rPr>
          <w:rFonts w:ascii="Palatino Linotype" w:eastAsia="Palatino Linotype" w:hAnsi="Palatino Linotype" w:cs="Palatino Linotype"/>
          <w:i/>
          <w:sz w:val="22"/>
          <w:szCs w:val="22"/>
        </w:rPr>
      </w:pP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37.</w:t>
      </w:r>
      <w:r w:rsidRPr="002250FE">
        <w:rPr>
          <w:rFonts w:ascii="Palatino Linotype" w:eastAsia="Palatino Linotype" w:hAnsi="Palatino Linotype" w:cs="Palatino Linotype"/>
          <w:i/>
          <w:sz w:val="22"/>
          <w:szCs w:val="22"/>
        </w:rPr>
        <w:t xml:space="preserve"> Los Archivos de los Sujetos Obligados tendrán como propósito salvaguardar y preservar los documentos bajo su responsabilidad, con el propósito de facilitar la gestión administrativa del órgano productor y la rendición de cuentas, garantizar el acceso a la información y servir como memoria para el desarrollo de la investigación científica y cultural.</w:t>
      </w:r>
    </w:p>
    <w:p w:rsidR="00E138AF" w:rsidRPr="002250FE" w:rsidRDefault="00E138AF">
      <w:pPr>
        <w:spacing w:line="276" w:lineRule="auto"/>
        <w:ind w:left="567" w:right="567"/>
        <w:jc w:val="both"/>
        <w:rPr>
          <w:rFonts w:ascii="Palatino Linotype" w:eastAsia="Palatino Linotype" w:hAnsi="Palatino Linotype" w:cs="Palatino Linotype"/>
          <w:i/>
          <w:sz w:val="22"/>
          <w:szCs w:val="22"/>
        </w:rPr>
      </w:pP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61.</w:t>
      </w:r>
      <w:r w:rsidRPr="002250FE">
        <w:rPr>
          <w:rFonts w:ascii="Palatino Linotype" w:eastAsia="Palatino Linotype" w:hAnsi="Palatino Linotype" w:cs="Palatino Linotype"/>
          <w:i/>
          <w:sz w:val="22"/>
          <w:szCs w:val="22"/>
        </w:rPr>
        <w:t xml:space="preserve"> El ciclo de vida de los documentos de Archivo se corresponderá con las siguientes fases: </w:t>
      </w:r>
    </w:p>
    <w:p w:rsidR="00E138AF" w:rsidRPr="002250FE" w:rsidRDefault="00E138AF">
      <w:pPr>
        <w:spacing w:line="276" w:lineRule="auto"/>
        <w:ind w:left="567" w:right="567"/>
        <w:jc w:val="both"/>
        <w:rPr>
          <w:rFonts w:ascii="Palatino Linotype" w:eastAsia="Palatino Linotype" w:hAnsi="Palatino Linotype" w:cs="Palatino Linotype"/>
          <w:b/>
          <w:i/>
          <w:sz w:val="22"/>
          <w:szCs w:val="22"/>
        </w:rPr>
      </w:pP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lastRenderedPageBreak/>
        <w:t>Fase Activa.</w:t>
      </w:r>
      <w:r w:rsidRPr="002250FE">
        <w:rPr>
          <w:rFonts w:ascii="Palatino Linotype" w:eastAsia="Palatino Linotype" w:hAnsi="Palatino Linotype" w:cs="Palatino Linotype"/>
          <w:i/>
          <w:sz w:val="22"/>
          <w:szCs w:val="22"/>
        </w:rPr>
        <w:t xml:space="preserve"> Etapa en la que los documentos están en un período de tramitación y se utilizan constantemente por parte de la Unidad Administrativa que los generó o recibió, y se ubican en el Archivo de Trámite;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 xml:space="preserve">Fase </w:t>
      </w:r>
      <w:proofErr w:type="spellStart"/>
      <w:r w:rsidRPr="002250FE">
        <w:rPr>
          <w:rFonts w:ascii="Palatino Linotype" w:eastAsia="Palatino Linotype" w:hAnsi="Palatino Linotype" w:cs="Palatino Linotype"/>
          <w:b/>
          <w:i/>
          <w:sz w:val="22"/>
          <w:szCs w:val="22"/>
        </w:rPr>
        <w:t>Semiactiva</w:t>
      </w:r>
      <w:proofErr w:type="spellEnd"/>
      <w:r w:rsidRPr="002250FE">
        <w:rPr>
          <w:rFonts w:ascii="Palatino Linotype" w:eastAsia="Palatino Linotype" w:hAnsi="Palatino Linotype" w:cs="Palatino Linotype"/>
          <w:b/>
          <w:i/>
          <w:sz w:val="22"/>
          <w:szCs w:val="22"/>
        </w:rPr>
        <w:t>.</w:t>
      </w:r>
      <w:r w:rsidRPr="002250FE">
        <w:rPr>
          <w:rFonts w:ascii="Palatino Linotype" w:eastAsia="Palatino Linotype" w:hAnsi="Palatino Linotype" w:cs="Palatino Linotype"/>
          <w:i/>
          <w:sz w:val="22"/>
          <w:szCs w:val="22"/>
        </w:rPr>
        <w:t xml:space="preserve"> Período en el que los documentos, una vez concluido su trámite, mantienen un valor administrativo pero ya no son de uso frecuente por parte de la Unidad Administrativa que los generó o recibió y se resguardan en el Archivo de Concentración; y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Fase Inactiva.</w:t>
      </w:r>
      <w:r w:rsidRPr="002250FE">
        <w:rPr>
          <w:rFonts w:ascii="Palatino Linotype" w:eastAsia="Palatino Linotype" w:hAnsi="Palatino Linotype" w:cs="Palatino Linotype"/>
          <w:i/>
          <w:sz w:val="22"/>
          <w:szCs w:val="22"/>
        </w:rPr>
        <w:t xml:space="preserve"> Etapa en la que los documentos, una vez fenecido su valor primario, se consideran de utilidad para el desarrollo de la investigación y por lo cual se conservan de manera permanente en el Archivo Histórico.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62.</w:t>
      </w:r>
      <w:r w:rsidRPr="002250FE">
        <w:rPr>
          <w:rFonts w:ascii="Palatino Linotype" w:eastAsia="Palatino Linotype" w:hAnsi="Palatino Linotype" w:cs="Palatino Linotype"/>
          <w:i/>
          <w:sz w:val="22"/>
          <w:szCs w:val="22"/>
        </w:rPr>
        <w:t xml:space="preserve"> Las diferentes fases del ciclo de vida de los documentos y </w:t>
      </w:r>
      <w:proofErr w:type="spellStart"/>
      <w:r w:rsidRPr="002250FE">
        <w:rPr>
          <w:rFonts w:ascii="Palatino Linotype" w:eastAsia="Palatino Linotype" w:hAnsi="Palatino Linotype" w:cs="Palatino Linotype"/>
          <w:i/>
          <w:sz w:val="22"/>
          <w:szCs w:val="22"/>
        </w:rPr>
        <w:t>ei</w:t>
      </w:r>
      <w:proofErr w:type="spellEnd"/>
      <w:r w:rsidRPr="002250FE">
        <w:rPr>
          <w:rFonts w:ascii="Palatino Linotype" w:eastAsia="Palatino Linotype" w:hAnsi="Palatino Linotype" w:cs="Palatino Linotype"/>
          <w:i/>
          <w:sz w:val="22"/>
          <w:szCs w:val="22"/>
        </w:rPr>
        <w:t xml:space="preserve"> flujo documental se regularán por las normas de conservación expedidas por la Comisión y recogidas en los Dictámenes de Valoración Documental y el Catálogo de Disposición Documental.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63.</w:t>
      </w:r>
      <w:r w:rsidRPr="002250FE">
        <w:rPr>
          <w:rFonts w:ascii="Palatino Linotype" w:eastAsia="Palatino Linotype" w:hAnsi="Palatino Linotype" w:cs="Palatino Linotype"/>
          <w:i/>
          <w:sz w:val="22"/>
          <w:szCs w:val="22"/>
        </w:rPr>
        <w:t xml:space="preserve"> Atendiendo al ciclo de vida de los documentos, los Archivos integrantes del Sistema se clasificarán en: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I. Archivos de Trámite o de Oficina;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II. Archivos de Concentración o Generales; y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III. Archivos Históricos.” (Sic)</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w:t>
      </w:r>
      <w:r w:rsidRPr="002250FE">
        <w:rPr>
          <w:rFonts w:ascii="Palatino Linotype" w:eastAsia="Palatino Linotype" w:hAnsi="Palatino Linotype" w:cs="Palatino Linotype"/>
        </w:rPr>
        <w:lastRenderedPageBreak/>
        <w:t>investigación; sustento de lo anterior, lo encontramos en los artículos 4, fracciones II, III y IX, 20 y 27, fracción I, que establecen lo siguiente:</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4.-</w:t>
      </w:r>
      <w:r w:rsidRPr="002250FE">
        <w:rPr>
          <w:rFonts w:ascii="Palatino Linotype" w:eastAsia="Palatino Linotype" w:hAnsi="Palatino Linotype" w:cs="Palatino Linotype"/>
          <w:i/>
          <w:sz w:val="22"/>
          <w:szCs w:val="22"/>
        </w:rPr>
        <w:t xml:space="preserve"> Para los efectos de interpretación y aplicación de los Lineamientos se entenderá por: </w:t>
      </w:r>
    </w:p>
    <w:p w:rsidR="00E138AF" w:rsidRPr="002250FE" w:rsidRDefault="00B93B51">
      <w:pPr>
        <w:numPr>
          <w:ilvl w:val="0"/>
          <w:numId w:val="7"/>
        </w:numPr>
        <w:pBdr>
          <w:top w:val="nil"/>
          <w:left w:val="nil"/>
          <w:bottom w:val="nil"/>
          <w:right w:val="nil"/>
          <w:between w:val="nil"/>
        </w:pBdr>
        <w:spacing w:line="276" w:lineRule="auto"/>
        <w:ind w:left="567" w:right="567" w:hanging="425"/>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Acta de Baja:</w:t>
      </w:r>
      <w:r w:rsidRPr="002250FE">
        <w:rPr>
          <w:rFonts w:ascii="Palatino Linotype" w:eastAsia="Palatino Linotype" w:hAnsi="Palatino Linotype" w:cs="Palatino Linotype"/>
          <w:i/>
          <w:sz w:val="22"/>
          <w:szCs w:val="22"/>
        </w:rPr>
        <w:t xml:space="preserve">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con paso previo a su transferencia a un Archivo de Concentración. </w:t>
      </w:r>
    </w:p>
    <w:p w:rsidR="00E138AF" w:rsidRPr="002250FE" w:rsidRDefault="00B93B51">
      <w:pPr>
        <w:numPr>
          <w:ilvl w:val="0"/>
          <w:numId w:val="7"/>
        </w:numPr>
        <w:pBdr>
          <w:top w:val="nil"/>
          <w:left w:val="nil"/>
          <w:bottom w:val="nil"/>
          <w:right w:val="nil"/>
          <w:between w:val="nil"/>
        </w:pBdr>
        <w:spacing w:line="276" w:lineRule="auto"/>
        <w:ind w:left="567" w:right="567" w:hanging="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Acuerdo: Acuerdo de Autorización de Baja Documental.</w:t>
      </w:r>
      <w:r w:rsidRPr="002250FE">
        <w:rPr>
          <w:rFonts w:ascii="Palatino Linotype" w:eastAsia="Palatino Linotype" w:hAnsi="Palatino Linotype" w:cs="Palatino Linotype"/>
          <w:i/>
          <w:sz w:val="22"/>
          <w:szCs w:val="22"/>
        </w:rPr>
        <w:t xml:space="preserve"> Documento a través de la cual la comisión Dictaminadora de Depuración de Documentos autoriza la baja de los documentos de trámite concluido cuyo periodo de conservación </w:t>
      </w:r>
      <w:proofErr w:type="spellStart"/>
      <w:r w:rsidRPr="002250FE">
        <w:rPr>
          <w:rFonts w:ascii="Palatino Linotype" w:eastAsia="Palatino Linotype" w:hAnsi="Palatino Linotype" w:cs="Palatino Linotype"/>
          <w:i/>
          <w:sz w:val="22"/>
          <w:szCs w:val="22"/>
        </w:rPr>
        <w:t>precaucional</w:t>
      </w:r>
      <w:proofErr w:type="spellEnd"/>
      <w:r w:rsidRPr="002250FE">
        <w:rPr>
          <w:rFonts w:ascii="Palatino Linotype" w:eastAsia="Palatino Linotype" w:hAnsi="Palatino Linotype" w:cs="Palatino Linotype"/>
          <w:i/>
          <w:sz w:val="22"/>
          <w:szCs w:val="22"/>
        </w:rPr>
        <w:t xml:space="preserve"> ya prescribió en los Archivos de Concentración y que son resultantes del proceso de selección final. </w:t>
      </w:r>
    </w:p>
    <w:p w:rsidR="00E138AF" w:rsidRPr="002250FE" w:rsidRDefault="00B93B51">
      <w:p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tabs>
          <w:tab w:val="left" w:pos="567"/>
        </w:tabs>
        <w:spacing w:line="276" w:lineRule="auto"/>
        <w:ind w:left="567" w:right="567" w:hanging="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IX.  </w:t>
      </w:r>
      <w:r w:rsidRPr="002250FE">
        <w:rPr>
          <w:rFonts w:ascii="Palatino Linotype" w:eastAsia="Palatino Linotype" w:hAnsi="Palatino Linotype" w:cs="Palatino Linotype"/>
          <w:b/>
          <w:i/>
          <w:sz w:val="22"/>
          <w:szCs w:val="22"/>
        </w:rPr>
        <w:t xml:space="preserve">  Baja Documental:</w:t>
      </w:r>
      <w:r w:rsidRPr="002250FE">
        <w:rPr>
          <w:rFonts w:ascii="Palatino Linotype" w:eastAsia="Palatino Linotype" w:hAnsi="Palatino Linotype" w:cs="Palatino Linotype"/>
          <w:i/>
          <w:sz w:val="22"/>
          <w:szCs w:val="22"/>
        </w:rPr>
        <w:t xml:space="preserve"> Eliminación física de la documentación que haya prescrito en sus valores administrativos, legales, fiscales o contables, y que no contenga valores históricos, conforme a la normatividad emitida por la Comisión. </w:t>
      </w:r>
    </w:p>
    <w:p w:rsidR="00E138AF" w:rsidRPr="002250FE" w:rsidRDefault="00B93B51">
      <w:pPr>
        <w:tabs>
          <w:tab w:val="left" w:pos="567"/>
        </w:tabs>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 </w:t>
      </w:r>
    </w:p>
    <w:p w:rsidR="00E138AF" w:rsidRPr="002250FE" w:rsidRDefault="00B93B51">
      <w:pPr>
        <w:tabs>
          <w:tab w:val="left" w:pos="567"/>
        </w:tabs>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 xml:space="preserve">Artículo 20.- </w:t>
      </w:r>
      <w:r w:rsidRPr="002250FE">
        <w:rPr>
          <w:rFonts w:ascii="Palatino Linotype" w:eastAsia="Palatino Linotype" w:hAnsi="Palatino Linotype" w:cs="Palatino Linotype"/>
          <w:i/>
          <w:sz w:val="22"/>
          <w:szCs w:val="22"/>
        </w:rPr>
        <w:t xml:space="preserve">Los expedientes de trámite concluido y los descalificados se mantendrán íntegros por un periodo de dos años en los Archivos de Trámite de las Unidades Administrativas. Cumplido este plazo se podrá proceder a su selección preliminar y transferencia al Archivo de Concentración. El periodo señalado se computará a partir del día siguiente a la fecha del documento con el cual se dé por concluido el asunto que motivó la integración de los expedientes. </w:t>
      </w:r>
    </w:p>
    <w:p w:rsidR="00E138AF" w:rsidRPr="002250FE" w:rsidRDefault="00B93B51">
      <w:pPr>
        <w:tabs>
          <w:tab w:val="left" w:pos="567"/>
        </w:tabs>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tabs>
          <w:tab w:val="left" w:pos="567"/>
        </w:tabs>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 xml:space="preserve">Artículo 27.- </w:t>
      </w:r>
      <w:r w:rsidRPr="002250FE">
        <w:rPr>
          <w:rFonts w:ascii="Palatino Linotype" w:eastAsia="Palatino Linotype" w:hAnsi="Palatino Linotype" w:cs="Palatino Linotype"/>
          <w:i/>
          <w:sz w:val="22"/>
          <w:szCs w:val="22"/>
        </w:rPr>
        <w:t xml:space="preserve">Las Unidades Administrativas al realizar la transferencia de los expedientes de trámite concluido, señalarán en el inventario correspondiente los plazos de conservación </w:t>
      </w:r>
      <w:proofErr w:type="spellStart"/>
      <w:r w:rsidRPr="002250FE">
        <w:rPr>
          <w:rFonts w:ascii="Palatino Linotype" w:eastAsia="Palatino Linotype" w:hAnsi="Palatino Linotype" w:cs="Palatino Linotype"/>
          <w:i/>
          <w:sz w:val="22"/>
          <w:szCs w:val="22"/>
        </w:rPr>
        <w:t>precaucional</w:t>
      </w:r>
      <w:proofErr w:type="spellEnd"/>
      <w:r w:rsidRPr="002250FE">
        <w:rPr>
          <w:rFonts w:ascii="Palatino Linotype" w:eastAsia="Palatino Linotype" w:hAnsi="Palatino Linotype" w:cs="Palatino Linotype"/>
          <w:i/>
          <w:sz w:val="22"/>
          <w:szCs w:val="22"/>
        </w:rPr>
        <w:t xml:space="preserve"> de éstos en el Archivo de Concentración. Para determinar el plazo de conservación </w:t>
      </w:r>
      <w:proofErr w:type="spellStart"/>
      <w:r w:rsidRPr="002250FE">
        <w:rPr>
          <w:rFonts w:ascii="Palatino Linotype" w:eastAsia="Palatino Linotype" w:hAnsi="Palatino Linotype" w:cs="Palatino Linotype"/>
          <w:i/>
          <w:sz w:val="22"/>
          <w:szCs w:val="22"/>
        </w:rPr>
        <w:t>precaucional</w:t>
      </w:r>
      <w:proofErr w:type="spellEnd"/>
      <w:r w:rsidRPr="002250FE">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periodos; </w:t>
      </w:r>
    </w:p>
    <w:p w:rsidR="00E138AF" w:rsidRPr="002250FE" w:rsidRDefault="00B93B51">
      <w:pPr>
        <w:numPr>
          <w:ilvl w:val="0"/>
          <w:numId w:val="4"/>
        </w:numPr>
        <w:pBdr>
          <w:top w:val="nil"/>
          <w:left w:val="nil"/>
          <w:bottom w:val="nil"/>
          <w:right w:val="nil"/>
          <w:between w:val="nil"/>
        </w:pBdr>
        <w:tabs>
          <w:tab w:val="left" w:pos="567"/>
        </w:tabs>
        <w:spacing w:line="276" w:lineRule="auto"/>
        <w:ind w:right="567"/>
        <w:jc w:val="both"/>
        <w:rPr>
          <w:rFonts w:ascii="Palatino Linotype" w:eastAsia="Palatino Linotype" w:hAnsi="Palatino Linotype" w:cs="Palatino Linotype"/>
          <w:b/>
          <w:i/>
          <w:sz w:val="22"/>
          <w:szCs w:val="22"/>
          <w:u w:val="single"/>
        </w:rPr>
      </w:pPr>
      <w:r w:rsidRPr="002250FE">
        <w:rPr>
          <w:rFonts w:ascii="Palatino Linotype" w:eastAsia="Palatino Linotype" w:hAnsi="Palatino Linotype" w:cs="Palatino Linotype"/>
          <w:b/>
          <w:i/>
          <w:sz w:val="22"/>
          <w:szCs w:val="22"/>
          <w:u w:val="single"/>
        </w:rPr>
        <w:lastRenderedPageBreak/>
        <w:t>6 años para expedientes con información administrativa…”(Sic)</w:t>
      </w:r>
    </w:p>
    <w:p w:rsidR="00E138AF" w:rsidRPr="002250FE" w:rsidRDefault="00E138AF">
      <w:pPr>
        <w:tabs>
          <w:tab w:val="left" w:pos="567"/>
        </w:tabs>
        <w:spacing w:line="360" w:lineRule="auto"/>
        <w:jc w:val="both"/>
        <w:rPr>
          <w:rFonts w:ascii="Palatino Linotype" w:eastAsia="Palatino Linotype" w:hAnsi="Palatino Linotype" w:cs="Palatino Linotype"/>
        </w:rPr>
      </w:pPr>
    </w:p>
    <w:p w:rsidR="00E138AF" w:rsidRPr="002250FE" w:rsidRDefault="00B93B51">
      <w:pPr>
        <w:tabs>
          <w:tab w:val="left" w:pos="567"/>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ese sentido, tenemos que los documentos requeridos a través de la solicitud de acceso a la información pública, datan desde el año dos mil tres, se pudieran encontrar en el supuesto de que agotaron su vida útil y/o no se consideraron de importancia para formar parte del Archivo Histórico, por lo que, </w:t>
      </w:r>
      <w:r w:rsidRPr="002250FE">
        <w:rPr>
          <w:rFonts w:ascii="Palatino Linotype" w:eastAsia="Palatino Linotype" w:hAnsi="Palatino Linotype" w:cs="Palatino Linotype"/>
          <w:b/>
          <w:u w:val="single"/>
        </w:rPr>
        <w:t>pudieron haber causado baja.</w:t>
      </w:r>
      <w:r w:rsidRPr="002250FE">
        <w:rPr>
          <w:rFonts w:ascii="Palatino Linotype" w:eastAsia="Palatino Linotype" w:hAnsi="Palatino Linotype" w:cs="Palatino Linotype"/>
        </w:rPr>
        <w:t xml:space="preserve"> </w:t>
      </w:r>
    </w:p>
    <w:p w:rsidR="00E138AF" w:rsidRPr="002250FE" w:rsidRDefault="00E138AF">
      <w:pPr>
        <w:tabs>
          <w:tab w:val="left" w:pos="567"/>
        </w:tabs>
        <w:spacing w:line="360" w:lineRule="auto"/>
        <w:jc w:val="both"/>
        <w:rPr>
          <w:rFonts w:ascii="Palatino Linotype" w:eastAsia="Palatino Linotype" w:hAnsi="Palatino Linotype" w:cs="Palatino Linotype"/>
        </w:rPr>
      </w:pPr>
    </w:p>
    <w:p w:rsidR="00E138AF" w:rsidRPr="002250FE" w:rsidRDefault="00B93B51">
      <w:pPr>
        <w:tabs>
          <w:tab w:val="left" w:pos="567"/>
        </w:tabs>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No obstante, cabe mencionar que el referir esto, no colma el derecho de acceso a la información de los ciudadanos; es decir, el simple pronunciamiento de las autoridades respecto a la baja documental o el hacer entrega al ciudadano del acta de baja como justificación de la negativa de la información, no es suficiente para satisfacer el ejercicio del derecho de los particulares, por lo que, los sujetos obligados deberán observar lo que establecen los artículos 169 y 170 de la Ley en la materia, que a la letra establecen lo siguiente: </w:t>
      </w:r>
    </w:p>
    <w:p w:rsidR="00E138AF" w:rsidRPr="002250FE" w:rsidRDefault="00E138AF">
      <w:pPr>
        <w:tabs>
          <w:tab w:val="left" w:pos="567"/>
        </w:tabs>
        <w:spacing w:line="360" w:lineRule="auto"/>
        <w:jc w:val="both"/>
        <w:rPr>
          <w:rFonts w:ascii="Palatino Linotype" w:eastAsia="Palatino Linotype" w:hAnsi="Palatino Linotype" w:cs="Palatino Linotype"/>
        </w:rPr>
      </w:pPr>
    </w:p>
    <w:p w:rsidR="00E138AF" w:rsidRPr="002250FE" w:rsidRDefault="00E138AF">
      <w:pPr>
        <w:tabs>
          <w:tab w:val="left" w:pos="567"/>
        </w:tabs>
        <w:spacing w:line="360" w:lineRule="auto"/>
        <w:jc w:val="both"/>
        <w:rPr>
          <w:rFonts w:ascii="Palatino Linotype" w:eastAsia="Palatino Linotype" w:hAnsi="Palatino Linotype" w:cs="Palatino Linotype"/>
        </w:rPr>
      </w:pP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169.</w:t>
      </w:r>
      <w:r w:rsidRPr="002250FE">
        <w:rPr>
          <w:rFonts w:ascii="Palatino Linotype" w:eastAsia="Palatino Linotype" w:hAnsi="Palatino Linotype" w:cs="Palatino Linotype"/>
          <w:i/>
          <w:sz w:val="22"/>
          <w:szCs w:val="22"/>
        </w:rPr>
        <w:t xml:space="preserve"> Cuando la información no se encuentre en los archivos del sujeto obligado, el Comité de Transparencia: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I. Analizará el caso y tomará las medidas necesarias para localizar la información;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II. Expedirá una resolución que confirme la inexistencia del documento;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lastRenderedPageBreak/>
        <w:t>IV. Notificará al órgano interno de control o equivalente del sujeto obligado quien, en su caso, deberá iniciar el procedimiento de responsabilidad administrativa que corresponda.</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w:t>
      </w:r>
    </w:p>
    <w:p w:rsidR="00E138AF" w:rsidRPr="002250FE" w:rsidRDefault="00E138AF">
      <w:pPr>
        <w:spacing w:line="276" w:lineRule="auto"/>
        <w:ind w:left="567" w:right="567"/>
        <w:jc w:val="both"/>
        <w:rPr>
          <w:rFonts w:ascii="Palatino Linotype" w:eastAsia="Palatino Linotype" w:hAnsi="Palatino Linotype" w:cs="Palatino Linotype"/>
          <w:i/>
          <w:sz w:val="22"/>
          <w:szCs w:val="22"/>
        </w:rPr>
      </w:pP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170</w:t>
      </w:r>
      <w:r w:rsidRPr="002250FE">
        <w:rPr>
          <w:rFonts w:ascii="Palatino Linotype" w:eastAsia="Palatino Linotype" w:hAnsi="Palatino Linotype" w:cs="Palatino Linotype"/>
          <w:i/>
          <w:sz w:val="22"/>
          <w:szCs w:val="22"/>
        </w:rPr>
        <w:t xml:space="preserve">. La resolución del Comité de Transparencia que </w:t>
      </w:r>
      <w:r w:rsidRPr="002250FE">
        <w:rPr>
          <w:rFonts w:ascii="Palatino Linotype" w:eastAsia="Palatino Linotype" w:hAnsi="Palatino Linotype" w:cs="Palatino Linotype"/>
          <w:b/>
          <w:i/>
          <w:sz w:val="22"/>
          <w:szCs w:val="22"/>
          <w:u w:val="single"/>
        </w:rPr>
        <w:t>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Lo anterior, como se precisa, resulta necesario ya que el Acuerdo de Inexistencia emitido por el Comité de Transparencia, da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Dicho esto, no está por demás mencionar que de conformidad con el Reglamento Interior del Instituto Mexiquense de la Vivienda Social establece en su artículo 17 fracción  lo siguiente: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“Artículo 17.- Corresponde a la Dirección de Administración y Finanzas:</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spacing w:line="276" w:lineRule="auto"/>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lastRenderedPageBreak/>
        <w:t>XXVII. Coordinar la operación, control y registro de los acervos documentales, que son parte del patrimonio del Instituto y establecer los criterios para su resguardo y archivo por parte de las unidades administrativas del Instituto, en términos de la normatividad aplicable…” (Sic)</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Es así que se advierte que la Dirección de Administración y Finanzas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tiene competencia para conocer sobre el ciclo vital de los documentos que forman parte de su acervo, por lo que, la Unidad de Transparencia en atención a lo establecido en el artículo 162 de la Ley de Transparencia y Acceso a la Información Pública del Estado de México y Municipios, en principio, debió haber remitido las solicitudes de información a las unidades administrativas competentes, lo que incluye a la Dirección de Administración y Finanzas, ello con la finalidad de que esta área le informara si los documentos solicitados habían causado baja documental, situación que en los presentes casos no aconteció.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u w:val="single"/>
        </w:rPr>
      </w:pPr>
      <w:r w:rsidRPr="002250FE">
        <w:rPr>
          <w:rFonts w:ascii="Palatino Linotype" w:eastAsia="Palatino Linotype" w:hAnsi="Palatino Linotype" w:cs="Palatino Linotype"/>
          <w:b/>
          <w:u w:val="single"/>
        </w:rPr>
        <w:t>De la inexistencia de la información solicitada.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Dicho lo anterior, cabe mencionar que para el caso de que la información que se ordena no obre en los archivos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en primer lugar, se deberá acreditar el destino de la misma, es decir; para el presente caso, Instituto Mexiquense de la Vivienda Social deberá precisar si esta se envió a su archivo histórico o se procedió a su baja permanente, asimismo, deberá señalar las circunstancias de modo, tiempo y lugar que precedieron a la inexistencia de la información, con la finalidad de otorgar certeza jurídica al Particular.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Sirve de apoyo a lo anterior por analogía el Criterio 14-09 que emitió el Instituto Nacional de Transparencia, Acceso a la Información y Protección de Datos Personales que a la letra dice:</w:t>
      </w:r>
    </w:p>
    <w:p w:rsidR="00E138AF" w:rsidRPr="002250FE" w:rsidRDefault="00E138AF">
      <w:pPr>
        <w:jc w:val="both"/>
        <w:rPr>
          <w:rFonts w:ascii="Palatino Linotype" w:eastAsia="Palatino Linotype" w:hAnsi="Palatino Linotype" w:cs="Palatino Linotype"/>
        </w:rPr>
      </w:pPr>
    </w:p>
    <w:p w:rsidR="00E138AF" w:rsidRPr="002250FE" w:rsidRDefault="00B93B51">
      <w:pPr>
        <w:ind w:left="850" w:right="90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Baja documental</w:t>
      </w:r>
      <w:r w:rsidRPr="002250FE">
        <w:rPr>
          <w:rFonts w:ascii="Palatino Linotype" w:eastAsia="Palatino Linotype" w:hAnsi="Palatino Linotype" w:cs="Palatino Linotype"/>
          <w:i/>
          <w:sz w:val="22"/>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2250FE">
        <w:rPr>
          <w:rFonts w:ascii="Palatino Linotype" w:eastAsia="Palatino Linotype" w:hAnsi="Palatino Linotype" w:cs="Palatino Linotype"/>
          <w:b/>
          <w:i/>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w:t>
      </w:r>
      <w:r w:rsidRPr="002250FE">
        <w:rPr>
          <w:rFonts w:ascii="Palatino Linotype" w:eastAsia="Palatino Linotype" w:hAnsi="Palatino Linotype" w:cs="Palatino Linotype"/>
          <w:i/>
          <w:sz w:val="22"/>
          <w:szCs w:val="22"/>
        </w:rPr>
        <w:t xml:space="preserve"> en todos aquellos casos en los que la normatividad en materia archivística prevea que la misma debe existir.”</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En tal caso, la declaratoria de inexistencia a que se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E138AF" w:rsidRPr="002250FE" w:rsidRDefault="00E138AF">
      <w:pPr>
        <w:shd w:val="clear" w:color="auto" w:fill="FFFFFF"/>
        <w:spacing w:line="360" w:lineRule="auto"/>
        <w:jc w:val="both"/>
        <w:rPr>
          <w:rFonts w:ascii="Palatino Linotype" w:eastAsia="Palatino Linotype" w:hAnsi="Palatino Linotype" w:cs="Palatino Linotype"/>
        </w:rPr>
      </w:pPr>
    </w:p>
    <w:p w:rsidR="00E138AF" w:rsidRPr="002250FE" w:rsidRDefault="00B93B51">
      <w:pP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Asimismo, resulta aplicable el Criterio reiterado número </w:t>
      </w:r>
      <w:r w:rsidRPr="002250FE">
        <w:rPr>
          <w:rFonts w:ascii="Palatino Linotype" w:eastAsia="Palatino Linotype" w:hAnsi="Palatino Linotype" w:cs="Palatino Linotype"/>
          <w:b/>
        </w:rPr>
        <w:t>08/19</w:t>
      </w:r>
      <w:r w:rsidRPr="002250FE">
        <w:rPr>
          <w:rFonts w:ascii="Palatino Linotype" w:eastAsia="Palatino Linotype" w:hAnsi="Palatino Linotype" w:cs="Palatino Linotype"/>
        </w:rPr>
        <w:t xml:space="preserve"> emitido por Acuerdo del Pleno del Instituto de Transparencia y Acceso a la Información Pública del Estado de México y Municipios, que precisa:</w:t>
      </w:r>
    </w:p>
    <w:p w:rsidR="00E138AF" w:rsidRPr="002250FE" w:rsidRDefault="00E138AF">
      <w:pPr>
        <w:shd w:val="clear" w:color="auto" w:fill="FFFFFF"/>
        <w:jc w:val="both"/>
        <w:rPr>
          <w:rFonts w:ascii="Palatino Linotype" w:eastAsia="Palatino Linotype" w:hAnsi="Palatino Linotype" w:cs="Palatino Linotype"/>
        </w:rPr>
      </w:pPr>
    </w:p>
    <w:p w:rsidR="00E138AF" w:rsidRPr="002250FE" w:rsidRDefault="00B93B51">
      <w:pPr>
        <w:shd w:val="clear" w:color="auto" w:fill="FFFFFF"/>
        <w:ind w:left="851" w:right="90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lastRenderedPageBreak/>
        <w:t>“INEXISTENCIA DE LA INFORMACIÓN. SUPUESTOS PARA EMITIR LA RESOLUCIÓN DE LA</w:t>
      </w:r>
      <w:r w:rsidRPr="002250FE">
        <w:rPr>
          <w:rFonts w:ascii="Palatino Linotype" w:eastAsia="Palatino Linotype" w:hAnsi="Palatino Linotype" w:cs="Palatino Linotype"/>
          <w:i/>
          <w:sz w:val="22"/>
          <w:szCs w:val="22"/>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2250FE">
        <w:rPr>
          <w:rFonts w:ascii="Palatino Linotype" w:eastAsia="Palatino Linotype" w:hAnsi="Palatino Linotype" w:cs="Palatino Linotype"/>
          <w:b/>
          <w:i/>
          <w:sz w:val="22"/>
          <w:szCs w:val="22"/>
        </w:rPr>
        <w:t>”</w:t>
      </w:r>
      <w:r w:rsidRPr="002250FE">
        <w:rPr>
          <w:rFonts w:ascii="Palatino Linotype" w:eastAsia="Palatino Linotype" w:hAnsi="Palatino Linotype" w:cs="Palatino Linotype"/>
          <w:i/>
          <w:sz w:val="22"/>
          <w:szCs w:val="22"/>
        </w:rPr>
        <w:t>(Sic)</w:t>
      </w:r>
    </w:p>
    <w:p w:rsidR="00E138AF" w:rsidRPr="002250FE" w:rsidRDefault="00E138AF">
      <w:pPr>
        <w:spacing w:line="360" w:lineRule="auto"/>
        <w:jc w:val="both"/>
        <w:rPr>
          <w:rFonts w:ascii="Palatino Linotype" w:eastAsia="Palatino Linotype" w:hAnsi="Palatino Linotype" w:cs="Palatino Linotype"/>
          <w:i/>
          <w:sz w:val="22"/>
          <w:szCs w:val="22"/>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En cuanto al punto 3, relativo del último convenio firmado entre el Ejido de Chicoloapan, el RAN e IMEVIS:</w:t>
      </w:r>
    </w:p>
    <w:p w:rsidR="00E138AF" w:rsidRPr="002250FE" w:rsidRDefault="00B93B51">
      <w:pPr>
        <w:spacing w:before="240" w:after="240" w:line="360" w:lineRule="auto"/>
        <w:jc w:val="both"/>
        <w:rPr>
          <w:rFonts w:ascii="Palatino Linotype" w:eastAsia="Palatino Linotype" w:hAnsi="Palatino Linotype" w:cs="Palatino Linotype"/>
          <w:b/>
          <w:u w:val="single"/>
        </w:rPr>
      </w:pPr>
      <w:r w:rsidRPr="002250FE">
        <w:rPr>
          <w:rFonts w:ascii="Palatino Linotype" w:eastAsia="Palatino Linotype" w:hAnsi="Palatino Linotype" w:cs="Palatino Linotype"/>
          <w:b/>
          <w:u w:val="single"/>
        </w:rPr>
        <w:t>3. Respecto de la información de los solares (títulos agrarios) que fueron pagados y mandados a inscribir por IMEVIS al IFREM Texcoco,</w:t>
      </w: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En primer término, se debemos entender en que consiste un título agrario o título de propiedad, para ello la Ley Agraria señala en sus artículos 68, 69 y 82 lo siguiente:</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hd w:val="clear" w:color="auto" w:fill="FFFFFF"/>
        <w:ind w:left="851" w:right="90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“Artículo 68.- Los solares serán de propiedad plena de sus titulares. Todo ejidatario tendrá derecho a recibir gratuitamente un solar al constituirse, cuando ello sea posible, la zona de urbanización. La extensión del solar se determinará por la asamblea, con la participación del municipio correspondiente, de conformidad con las leyes aplicables en materia de fraccionamientos y atendiendo a las características, usos y costumbres de cada región. </w:t>
      </w:r>
    </w:p>
    <w:p w:rsidR="00E138AF" w:rsidRPr="002250FE" w:rsidRDefault="00B93B51">
      <w:pPr>
        <w:shd w:val="clear" w:color="auto" w:fill="FFFFFF"/>
        <w:ind w:left="851" w:right="90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La asamblea hará la asignación de solares a los ejidatarios, determinando en forma equitativa la superficie que corresponda a cada uno de ellos. Esta asignación se hará en presencia de un representante de la Procuraduría Agraria y de acuerdo con los solares que resulten del plano aprobado por la misma asamblea e inscrito en el Registro Agrario Nacional. </w:t>
      </w:r>
    </w:p>
    <w:p w:rsidR="00E138AF" w:rsidRPr="002250FE" w:rsidRDefault="00B93B51">
      <w:pPr>
        <w:shd w:val="clear" w:color="auto" w:fill="FFFFFF"/>
        <w:ind w:left="851" w:right="90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El acta respectiva se inscribirá en dicho Registro y los certificados que éste expida de cada solar constituirán los títulos oficiales correspondientes. Una vez satisfechas las necesidades de los ejidatarios, los solares excedentes podrán ser arrendados o enajenados por el núcleo de población ejidal a personas que deseen avecindarse. </w:t>
      </w:r>
    </w:p>
    <w:p w:rsidR="00E138AF" w:rsidRPr="002250FE" w:rsidRDefault="00B93B51">
      <w:pPr>
        <w:shd w:val="clear" w:color="auto" w:fill="FFFFFF"/>
        <w:ind w:left="851" w:right="90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Cuando se trate de ejidos en los que ya esté constituida la zona de urbanización y los solares ya hubieren sido asignados, los títulos se expedirán en favor de sus legítimos poseedores. </w:t>
      </w:r>
    </w:p>
    <w:p w:rsidR="00E138AF" w:rsidRPr="002250FE" w:rsidRDefault="00B93B51">
      <w:pPr>
        <w:shd w:val="clear" w:color="auto" w:fill="FFFFFF"/>
        <w:ind w:left="851" w:right="90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Artículo 69.- La propiedad de los solares se acreditará con el documento señalado en el artículo anterior y los actos jurídicos subsecuentes serán regulados por el derecho común. Para estos efectos los títulos se inscribirán en el Registro Público de la Propiedad de la entidad correspondiente.</w:t>
      </w:r>
    </w:p>
    <w:p w:rsidR="00E138AF" w:rsidRPr="002250FE" w:rsidRDefault="00B93B51">
      <w:pPr>
        <w:shd w:val="clear" w:color="auto" w:fill="FFFFFF"/>
        <w:ind w:left="851" w:right="90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shd w:val="clear" w:color="auto" w:fill="FFFFFF"/>
        <w:ind w:left="851" w:right="902"/>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Artículo 82.- Una vez que la asamblea hubiere adoptado la resolución prevista en el artículo anterior, los ejidatarios interesados podrán, en el momento que lo </w:t>
      </w:r>
      <w:r w:rsidRPr="002250FE">
        <w:rPr>
          <w:rFonts w:ascii="Palatino Linotype" w:eastAsia="Palatino Linotype" w:hAnsi="Palatino Linotype" w:cs="Palatino Linotype"/>
          <w:i/>
          <w:sz w:val="22"/>
          <w:szCs w:val="22"/>
        </w:rPr>
        <w:lastRenderedPageBreak/>
        <w:t>estimen pertinente, asumir el dominio pleno sobre sus parcelas, en cuyo caso solicitarán al Registro Agrario Nacional que las tierras de que se trate sean dadas de baja de dicho Registro, el cual expedirá el título de propiedad respectivo, que será inscrito en el Registro Público de la Propiedad correspondiente a la localidad. A partir de la cancelación de la inscripción correspondiente en el Registro Agrario Nacional, las tierras dejarán de ser ejidales y quedarán sujetas a las disposiciones del derecho común.” (Sic)</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En donde se advierte que la propiedad de los solares se acreditará mediante los certificados expedidos por el Registro Agrario Nacional, lo que constituirá el título de propiedad a favor de sus titulares, dicho título de propiedad deberá ser inscrito ante el Instituto de la Función Registral del Estado de México, conforme a lo siguiente:</w:t>
      </w:r>
    </w:p>
    <w:p w:rsidR="00E138AF" w:rsidRPr="002250FE" w:rsidRDefault="00E138AF">
      <w:pPr>
        <w:spacing w:line="360" w:lineRule="auto"/>
        <w:jc w:val="both"/>
      </w:pPr>
    </w:p>
    <w:p w:rsidR="00E138AF" w:rsidRPr="002250FE" w:rsidRDefault="00B93B51">
      <w:pPr>
        <w:spacing w:line="360" w:lineRule="auto"/>
        <w:jc w:val="both"/>
        <w:rPr>
          <w:rFonts w:ascii="Palatino Linotype" w:eastAsia="Palatino Linotype" w:hAnsi="Palatino Linotype" w:cs="Palatino Linotype"/>
        </w:rPr>
      </w:pPr>
      <w:r w:rsidRPr="002250FE">
        <w:rPr>
          <w:noProof/>
          <w:lang w:val="es-MX" w:eastAsia="es-MX"/>
        </w:rPr>
        <w:drawing>
          <wp:inline distT="0" distB="0" distL="0" distR="0">
            <wp:extent cx="5353050" cy="3663950"/>
            <wp:effectExtent l="0" t="0" r="0" b="0"/>
            <wp:docPr id="1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37451" t="12679" r="26454" b="2797"/>
                    <a:stretch>
                      <a:fillRect/>
                    </a:stretch>
                  </pic:blipFill>
                  <pic:spPr>
                    <a:xfrm>
                      <a:off x="0" y="0"/>
                      <a:ext cx="5353050" cy="3663950"/>
                    </a:xfrm>
                    <a:prstGeom prst="rect">
                      <a:avLst/>
                    </a:prstGeom>
                    <a:ln/>
                  </pic:spPr>
                </pic:pic>
              </a:graphicData>
            </a:graphic>
          </wp:inline>
        </w:drawing>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Precisado lo anterior y en atención al requerimiento adicional,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manifestó que la participación del Instituto Mexiquense de la Vivienda Social (IMEVIS) en la inscripción de un solar urbano, es exclusivamente pagar los derechos que se generan por los servicios de inscripción ante el Instituto de la Función Registral del Estado de México y quien expide, remite o manda inscribir los títulos agrarios al Instituto de la Función Registral del Estado de México (IFREM) es el Registro Agrario Nacional, por lo que la información que obra en los archivos de la Delegación Regional de Nezahualcóyotl es respecto del pago de los derechos que se generan de la inscripción ante el IFREM, derivados del convenio de colaboración celebrado entre el Instituto Mexiquense de la Vivienda Social, Registro Agrario Nacional y el Ejido de San Vicente Chicoloapan.</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Ante ello, se localizó en la página oficial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que es el encargado de la regulación de la tenencia de la tierra</w:t>
      </w:r>
      <w:r w:rsidRPr="002250FE">
        <w:rPr>
          <w:rFonts w:ascii="Palatino Linotype" w:eastAsia="Palatino Linotype" w:hAnsi="Palatino Linotype" w:cs="Palatino Linotype"/>
          <w:vertAlign w:val="superscript"/>
        </w:rPr>
        <w:footnoteReference w:id="3"/>
      </w:r>
      <w:r w:rsidRPr="002250FE">
        <w:rPr>
          <w:rFonts w:ascii="Palatino Linotype" w:eastAsia="Palatino Linotype" w:hAnsi="Palatino Linotype" w:cs="Palatino Linotype"/>
        </w:rPr>
        <w:t xml:space="preserve">, como se advierte en la siguiente imagen que se inserta a continuación: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“Programa de Regularización de la Tenencia de la Tierra</w:t>
      </w:r>
    </w:p>
    <w:p w:rsidR="00E138AF" w:rsidRPr="002250FE" w:rsidRDefault="00B93B51">
      <w:pPr>
        <w:spacing w:line="360" w:lineRule="auto"/>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Procedimientos de Regularización de la Tenencia de la Tierra</w:t>
      </w:r>
    </w:p>
    <w:p w:rsidR="00E138AF" w:rsidRPr="002250FE" w:rsidRDefault="00B93B51">
      <w:pPr>
        <w:spacing w:line="360" w:lineRule="auto"/>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Para acceder a este proceso de regularización se debe contar con una propiedad, la cual se encuentre en situación irregular y no esté ubicada en alguna zona de alto riesgo, y si éste es el caso, los propietarios pueden acudir a cualquiera de las 12 delegaciones </w:t>
      </w:r>
      <w:r w:rsidRPr="002250FE">
        <w:rPr>
          <w:rFonts w:ascii="Palatino Linotype" w:eastAsia="Palatino Linotype" w:hAnsi="Palatino Linotype" w:cs="Palatino Linotype"/>
          <w:i/>
          <w:sz w:val="22"/>
          <w:szCs w:val="22"/>
        </w:rPr>
        <w:lastRenderedPageBreak/>
        <w:t>regionales del IMEVIS, según le corresponda a su municipio, donde podrán recibir de manera gratuita asesoría sobre el procedimiento. Ahí, también pueden dar inicio al trámite y realizar las gestiones necesarias para poder obtener un título de propiedad o posesión.” (Sic)</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En donde el  Instituto Mexiquense de la Vivienda Social, asesora de manera gratuita al interesado de acceder al proceso de regularización de su tierra que sea irregular.</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Proceso que contempla dos tipos de régimen de propiedad: privada y social, como se advierte a continuación en la siguiente imagen, sustraída de los procedimientos Regularización de la Tenencia de la Tierra emitida por el Instituto Mexiquense de la Vivienda Social:</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E138AF">
      <w:pPr>
        <w:spacing w:line="360" w:lineRule="auto"/>
        <w:jc w:val="both"/>
      </w:pPr>
    </w:p>
    <w:p w:rsidR="00E138AF" w:rsidRPr="002250FE" w:rsidRDefault="00B93B51">
      <w:pPr>
        <w:spacing w:line="360" w:lineRule="auto"/>
        <w:jc w:val="both"/>
        <w:rPr>
          <w:rFonts w:ascii="Palatino Linotype" w:eastAsia="Palatino Linotype" w:hAnsi="Palatino Linotype" w:cs="Palatino Linotype"/>
        </w:rPr>
      </w:pPr>
      <w:r w:rsidRPr="002250FE">
        <w:rPr>
          <w:noProof/>
          <w:lang w:val="es-MX" w:eastAsia="es-MX"/>
        </w:rPr>
        <w:drawing>
          <wp:inline distT="0" distB="0" distL="0" distR="0">
            <wp:extent cx="5429250" cy="2006600"/>
            <wp:effectExtent l="0" t="0" r="0" b="0"/>
            <wp:docPr id="1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l="34623" t="14082" r="10840" b="22350"/>
                    <a:stretch>
                      <a:fillRect/>
                    </a:stretch>
                  </pic:blipFill>
                  <pic:spPr>
                    <a:xfrm>
                      <a:off x="0" y="0"/>
                      <a:ext cx="5429250" cy="2006600"/>
                    </a:xfrm>
                    <a:prstGeom prst="rect">
                      <a:avLst/>
                    </a:prstGeom>
                    <a:ln/>
                  </pic:spPr>
                </pic:pic>
              </a:graphicData>
            </a:graphic>
          </wp:inline>
        </w:drawing>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Dentro del Social, se localizó un procedimiento en específico sobre los solares urbanos, el cual de manera de ejemplo consisten en el siguiente:</w:t>
      </w:r>
    </w:p>
    <w:p w:rsidR="00E138AF" w:rsidRPr="002250FE" w:rsidRDefault="00E138AF">
      <w:pPr>
        <w:spacing w:line="360" w:lineRule="auto"/>
        <w:jc w:val="both"/>
      </w:pPr>
    </w:p>
    <w:p w:rsidR="00E138AF" w:rsidRPr="002250FE" w:rsidRDefault="00B93B51">
      <w:pPr>
        <w:spacing w:line="360" w:lineRule="auto"/>
        <w:jc w:val="both"/>
        <w:rPr>
          <w:rFonts w:ascii="Palatino Linotype" w:eastAsia="Palatino Linotype" w:hAnsi="Palatino Linotype" w:cs="Palatino Linotype"/>
        </w:rPr>
      </w:pPr>
      <w:r w:rsidRPr="002250FE">
        <w:rPr>
          <w:noProof/>
          <w:lang w:val="es-MX" w:eastAsia="es-MX"/>
        </w:rPr>
        <w:lastRenderedPageBreak/>
        <w:drawing>
          <wp:inline distT="0" distB="0" distL="0" distR="0">
            <wp:extent cx="5740400" cy="3771900"/>
            <wp:effectExtent l="0" t="0" r="0" b="0"/>
            <wp:docPr id="1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l="19009" t="29771" r="2353" b="8065"/>
                    <a:stretch>
                      <a:fillRect/>
                    </a:stretch>
                  </pic:blipFill>
                  <pic:spPr>
                    <a:xfrm>
                      <a:off x="0" y="0"/>
                      <a:ext cx="5740400" cy="3771900"/>
                    </a:xfrm>
                    <a:prstGeom prst="rect">
                      <a:avLst/>
                    </a:prstGeom>
                    <a:ln/>
                  </pic:spPr>
                </pic:pic>
              </a:graphicData>
            </a:graphic>
          </wp:inline>
        </w:drawing>
      </w: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donde se observa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a través de su Dirección Jurídica es la encarga de llevar el proceso, el quien deberá integrar el expediente y remitirlo a la Coordinación de Delegaciones Regionales el cual a su vez lo remite a la Delegación Regional correspondiente, posteriormente el departamento jurídico de la delegación recibe la documentación del beneficiario del núcleo agrario y deberá generar la línea de captura para el pago de los derechos generados por la inscripción ante el Instituto de la Función Registral del Estado de México, los cuales corren a cargo del IMEVIS, una vez inscrito el título de propiedad del solar urbano, el IFREM deberá entregar  la inscripción del título de propiedad del solar urbano al Registro Agrario Nacional y remitir una copia a la Coordinación de Delegaciones Regionales, </w:t>
      </w:r>
      <w:r w:rsidRPr="002250FE">
        <w:rPr>
          <w:rFonts w:ascii="Palatino Linotype" w:eastAsia="Palatino Linotype" w:hAnsi="Palatino Linotype" w:cs="Palatino Linotype"/>
        </w:rPr>
        <w:lastRenderedPageBreak/>
        <w:t>del SUJETO OBLIGADO, y este último lo debe remitir a la delegación regional correspondiente.</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Del anterior procedimiento, se advierte se destaca algo muy importante, que el gasto generado por los derechos de inscripción ante el IFREM, corre a cargo del Instituto Mexiquense de la Vivienda Social, como así lo asevero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en el desahogo al requerimiento adicional.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Precisado lo anterior, si bien el tema en cuestión son títulos de propiedad, que a consideración de este Organismo Garante deben ser clasificados como información confidencial, por revelar información patrimonial que está íntimamente ligada con los titulares de los datos; sin embargo, como se precisó en el párrafo anterior,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es el</w:t>
      </w:r>
      <w:r w:rsidRPr="002250FE">
        <w:rPr>
          <w:rFonts w:ascii="Palatino Linotype" w:eastAsia="Palatino Linotype" w:hAnsi="Palatino Linotype" w:cs="Palatino Linotype"/>
          <w:b/>
        </w:rPr>
        <w:t xml:space="preserve"> </w:t>
      </w:r>
      <w:r w:rsidRPr="002250FE">
        <w:rPr>
          <w:rFonts w:ascii="Palatino Linotype" w:eastAsia="Palatino Linotype" w:hAnsi="Palatino Linotype" w:cs="Palatino Linotype"/>
        </w:rPr>
        <w:t xml:space="preserve">encargado de pagar la cantidad generara por la inscripción del Título del Solar Urbano, a favor del beneficiario; luego entonces dicha cantidad fue erogada con recursos públicos, lo que cambia la consideración de esta Organismo Garante, considerando que la información solicitada es publica, al revestirle interés público, abona en la adecuada rendición de cuentas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y contribuye a transparentar la gestión pública, lo anterior en términos de los artículos 7, 23 penúltimo párrafo, 24 fracciones XVIII de la Ley de Transparencia y Acceso a la Información Pública del Estado de México y Municipios vigente, que señalan:</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“Artículo 7. El Estado de México garantizará el efectivo acceso de toda persona a la información en posesión de cualquier entidad, autoridad, órgano y organismo de los poderes Ejecutivo, Legislativo y Judicial, órganos autónomos, partidos políticos, </w:t>
      </w:r>
      <w:r w:rsidRPr="002250FE">
        <w:rPr>
          <w:rFonts w:ascii="Palatino Linotype" w:eastAsia="Palatino Linotype" w:hAnsi="Palatino Linotype" w:cs="Palatino Linotype"/>
          <w:i/>
          <w:sz w:val="22"/>
          <w:szCs w:val="22"/>
        </w:rPr>
        <w:lastRenderedPageBreak/>
        <w:t xml:space="preserve">fideicomisos y fondos públicos, así como de </w:t>
      </w:r>
      <w:r w:rsidRPr="002250FE">
        <w:rPr>
          <w:rFonts w:ascii="Palatino Linotype" w:eastAsia="Palatino Linotype" w:hAnsi="Palatino Linotype" w:cs="Palatino Linotype"/>
          <w:b/>
          <w:i/>
          <w:sz w:val="22"/>
          <w:szCs w:val="22"/>
        </w:rPr>
        <w:t>cualquier persona física</w:t>
      </w:r>
      <w:r w:rsidRPr="002250FE">
        <w:rPr>
          <w:rFonts w:ascii="Palatino Linotype" w:eastAsia="Palatino Linotype" w:hAnsi="Palatino Linotype" w:cs="Palatino Linotype"/>
          <w:i/>
          <w:sz w:val="22"/>
          <w:szCs w:val="22"/>
        </w:rPr>
        <w:t xml:space="preserve">, jurídico colectiva </w:t>
      </w:r>
      <w:r w:rsidRPr="002250FE">
        <w:rPr>
          <w:rFonts w:ascii="Palatino Linotype" w:eastAsia="Palatino Linotype" w:hAnsi="Palatino Linotype" w:cs="Palatino Linotype"/>
          <w:b/>
          <w:i/>
          <w:sz w:val="22"/>
          <w:szCs w:val="22"/>
        </w:rPr>
        <w:t>o sindicato que reciba y ejerza recursos públicos</w:t>
      </w:r>
      <w:r w:rsidRPr="002250FE">
        <w:rPr>
          <w:rFonts w:ascii="Palatino Linotype" w:eastAsia="Palatino Linotype" w:hAnsi="Palatino Linotype" w:cs="Palatino Linotype"/>
          <w:i/>
          <w:sz w:val="22"/>
          <w:szCs w:val="22"/>
        </w:rPr>
        <w:t xml:space="preserve"> o realice actos de autoridad en el ámbito de competencia del Estado de México y sus municipios.</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567" w:right="616"/>
        <w:jc w:val="both"/>
        <w:rPr>
          <w:b/>
        </w:rPr>
      </w:pPr>
      <w:r w:rsidRPr="002250FE">
        <w:rPr>
          <w:rFonts w:ascii="Palatino Linotype" w:eastAsia="Palatino Linotype" w:hAnsi="Palatino Linotype" w:cs="Palatino Linotype"/>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2250FE">
        <w:rPr>
          <w:b/>
        </w:rPr>
        <w:t>.</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Artículo 24. Para el cumplimiento de los objetivos de esta Ley, los sujetos obligados deberán cumplir con las siguientes obligaciones, según corresponda, de acuerdo a su naturaleza:</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567" w:right="616"/>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r w:rsidRPr="002250FE">
        <w:rPr>
          <w:rFonts w:ascii="Palatino Linotype" w:eastAsia="Palatino Linotype" w:hAnsi="Palatino Linotype" w:cs="Palatino Linotype"/>
          <w:i/>
          <w:sz w:val="22"/>
          <w:szCs w:val="22"/>
        </w:rPr>
        <w:t>…”(Sic)</w:t>
      </w:r>
    </w:p>
    <w:p w:rsidR="00E138AF" w:rsidRPr="002250FE" w:rsidRDefault="00E138AF">
      <w:pPr>
        <w:ind w:left="567" w:right="616"/>
        <w:jc w:val="both"/>
        <w:rPr>
          <w:rFonts w:ascii="Palatino Linotype" w:eastAsia="Palatino Linotype" w:hAnsi="Palatino Linotype" w:cs="Palatino Linotype"/>
          <w:i/>
          <w:sz w:val="22"/>
          <w:szCs w:val="22"/>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Conforme a lo anterior, la Ley de Transparencia y Acceso a la Información Pública del Estado de México y Municipios, considera que el nombre de los beneficiarios, por regla general, son de naturaleza pública, ya que su publicidad orienta a cumplir los objetivos que persigue el ordenamiento normativo; toda vez, que ayuda a transparentar a quienes se les han otorgado recursos públicos, en dinero o en especie, así como, porque razones se les otorgaron.</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consecuencia, la respuesta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carecieron del principio de congruencia y exhaustividad, como refuerzo de lo anterior, resulta crucial el Criterio 02/17, emitido por el Pleno del Instituto Nacional de Transparencia y Acceso a la Información y Protección de Datos Personales, de título y texto siguientes:</w:t>
      </w:r>
    </w:p>
    <w:p w:rsidR="00E138AF" w:rsidRPr="002250FE" w:rsidRDefault="00B93B51">
      <w:pPr>
        <w:spacing w:before="80" w:after="240"/>
        <w:ind w:left="567" w:right="90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lastRenderedPageBreak/>
        <w:t xml:space="preserve">“Congruencia y exhaustividad. Sus alcances para garantizar el derecho de acceso a la información. </w:t>
      </w:r>
      <w:r w:rsidRPr="002250FE">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250FE">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2250FE">
        <w:rPr>
          <w:rFonts w:ascii="Palatino Linotype" w:eastAsia="Palatino Linotype" w:hAnsi="Palatino Linotype" w:cs="Palatino Linotype"/>
          <w:i/>
          <w:sz w:val="22"/>
          <w:szCs w:val="22"/>
        </w:rPr>
        <w:t xml:space="preserve">; mientras que </w:t>
      </w:r>
      <w:r w:rsidRPr="002250FE">
        <w:rPr>
          <w:rFonts w:ascii="Palatino Linotype" w:eastAsia="Palatino Linotype" w:hAnsi="Palatino Linotype" w:cs="Palatino Linotype"/>
          <w:b/>
          <w:i/>
          <w:sz w:val="22"/>
          <w:szCs w:val="22"/>
        </w:rPr>
        <w:t>la exhaustividad significa que dicha respuesta se refiera expresamente a cada uno de los puntos solicitados</w:t>
      </w:r>
      <w:r w:rsidRPr="002250FE">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Razones por las cuales lo procedente ordenar de nueva cuenta una búsqueda exhaustiva de los documentos en donde consten los datos públicos de los solares o títulos agrarios que fueron pagados y mandados a inscribir por Instituto Mexiquense de la Vivienda Social al Instituto de la Función Registral del Estado de México delegación Texcoco, derivados del último convenio firmado entre el Ejido de Chicoloapan, el Registro Agrario Nacional e Instituto Mexiquense de la Vivienda Social al veinticuatro de mayo del año dos mil veintidós, y en versión pública conforme a lo señalado por el considerando quinto del presente fallo.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Respecto del punto 4, concerniente </w:t>
      </w:r>
      <w:proofErr w:type="gramStart"/>
      <w:r w:rsidRPr="002250FE">
        <w:rPr>
          <w:rFonts w:ascii="Palatino Linotype" w:eastAsia="Palatino Linotype" w:hAnsi="Palatino Linotype" w:cs="Palatino Linotype"/>
        </w:rPr>
        <w:t>a</w:t>
      </w:r>
      <w:proofErr w:type="gramEnd"/>
      <w:r w:rsidRPr="002250FE">
        <w:rPr>
          <w:rFonts w:ascii="Palatino Linotype" w:eastAsia="Palatino Linotype" w:hAnsi="Palatino Linotype" w:cs="Palatino Linotype"/>
        </w:rPr>
        <w:t>:</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4.- Listado de los solares pendientes por pagar, que incluya nombre del beneficiario, numero de solar, manzana, lote, costo, y cualquier otro dato que sea de información pública de oficio.</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Por lo que concierne a los solares pendientes por pagar,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manifestó a través del desahogo al requerimiento adicional, que no se cuenta con información respecto de los solares pendientes de pago derivados del convenio de colaboración celebrado entre el  Instituto Mexiquense de la Vivienda Social, Registro Agrario Nacional y el Ejido de San Vicente Chicoloapan, lo que se traduce como un hecho negativo y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E138AF" w:rsidRPr="002250FE" w:rsidRDefault="00B93B51">
      <w:pPr>
        <w:spacing w:before="120" w:after="120"/>
        <w:ind w:left="567" w:right="851"/>
        <w:jc w:val="center"/>
        <w:rPr>
          <w:rFonts w:ascii="Palatino Linotype" w:eastAsia="Palatino Linotype" w:hAnsi="Palatino Linotype" w:cs="Palatino Linotype"/>
          <w:i/>
          <w:sz w:val="22"/>
          <w:szCs w:val="22"/>
        </w:rPr>
      </w:pPr>
      <w:r w:rsidRPr="002250FE">
        <w:rPr>
          <w:rFonts w:ascii="Palatino Linotype" w:eastAsia="Palatino Linotype" w:hAnsi="Palatino Linotype" w:cs="Palatino Linotype"/>
        </w:rPr>
        <w:t>“</w:t>
      </w:r>
      <w:r w:rsidRPr="002250FE">
        <w:rPr>
          <w:rFonts w:ascii="Palatino Linotype" w:eastAsia="Palatino Linotype" w:hAnsi="Palatino Linotype" w:cs="Palatino Linotype"/>
          <w:b/>
          <w:i/>
          <w:sz w:val="22"/>
          <w:szCs w:val="22"/>
        </w:rPr>
        <w:t>HECHOS NEGATIVOS, NO SON SUSCEPTIBLES DE DEMOSTRACIÓN</w:t>
      </w:r>
      <w:r w:rsidRPr="002250FE">
        <w:rPr>
          <w:rFonts w:ascii="Palatino Linotype" w:eastAsia="Palatino Linotype" w:hAnsi="Palatino Linotype" w:cs="Palatino Linotype"/>
          <w:i/>
          <w:sz w:val="22"/>
          <w:szCs w:val="22"/>
        </w:rPr>
        <w:t>.</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E138AF" w:rsidRPr="002250FE" w:rsidRDefault="00E138AF">
      <w:pPr>
        <w:ind w:left="851" w:right="851"/>
        <w:jc w:val="both"/>
        <w:rPr>
          <w:rFonts w:ascii="Palatino Linotype" w:eastAsia="Palatino Linotype" w:hAnsi="Palatino Linotype" w:cs="Palatino Linotype"/>
          <w:i/>
          <w:sz w:val="22"/>
          <w:szCs w:val="22"/>
        </w:rPr>
      </w:pPr>
    </w:p>
    <w:p w:rsidR="00E138AF" w:rsidRPr="002250FE" w:rsidRDefault="00B93B51">
      <w:pPr>
        <w:spacing w:before="120" w:after="120"/>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E138AF" w:rsidRPr="002250FE" w:rsidRDefault="00B93B51">
      <w:pPr>
        <w:spacing w:before="240" w:after="240" w:line="360" w:lineRule="auto"/>
        <w:ind w:right="49"/>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Ya que el área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que se pronunció fue la Delegación Regional del Instituto Mexiquense de la Vivienda Social en Nezahualcóyotl, que en términos de lo señalado por el artículo 18 del Reglamento Interior del Instituto Mexiquense de la Vivienda Social, tiene la siguiente atribución:</w:t>
      </w:r>
    </w:p>
    <w:p w:rsidR="00E138AF" w:rsidRPr="002250FE" w:rsidRDefault="00B93B51">
      <w:pPr>
        <w:spacing w:before="120"/>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“Artículo 18.- Corresponde a las Delegaciones Regionales en el ámbito de su respectiva circunscripción territorial: </w:t>
      </w:r>
    </w:p>
    <w:p w:rsidR="00E138AF" w:rsidRPr="002250FE" w:rsidRDefault="00B93B51">
      <w:pPr>
        <w:ind w:left="851" w:right="851"/>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 xml:space="preserve">I. Operar los programas de regularización de la tenencia de la tierra y escrituración;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II. Operar en el ámbito de su competencia territorial, los programas de regulación del suelo y de prevención y control de asentamientos humanos irregulares; </w:t>
      </w:r>
    </w:p>
    <w:p w:rsidR="00E138AF" w:rsidRPr="002250FE" w:rsidRDefault="00B93B51">
      <w:pPr>
        <w:ind w:left="851" w:right="851"/>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 xml:space="preserve">III. Coadyuvar en la difusión de los Programas de Vivienda en el Estado;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lastRenderedPageBreak/>
        <w:t>IV. Atender y dar respuesta, en el ámbito de su competencia, a las peticiones ciudadanas y de los municipios</w:t>
      </w:r>
      <w:r w:rsidRPr="002250FE">
        <w:rPr>
          <w:rFonts w:ascii="Palatino Linotype" w:eastAsia="Palatino Linotype" w:hAnsi="Palatino Linotype" w:cs="Palatino Linotype"/>
          <w:i/>
          <w:sz w:val="22"/>
          <w:szCs w:val="22"/>
        </w:rPr>
        <w:t xml:space="preserve">, relacionadas con las acciones del Instituto para la prevención y control de asentamientos humanos irregulares, regulación del suelo y regularización de la tenencia de la tierra en coordinación con las diferentes unidades administrativas del Instituto, así como de las áreas de donación a favor de las autoridades estatales o municipales, en los plazos y términos aplicables en la materia;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V. Promover la organización y participación social en los programas y acciones orientados a la regularización de la tenencia de la tierra;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VI. Realizar la promoción y difusión de campañas de prevención de asentamientos humanos irregulares en coordinación con las diferentes áreas del Instituto, así como de los servicios que presta el Instituto, conforme a los lineamientos que establezca la Dirección General;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VII. Participar en el ámbito de su competencia en la actualización de bienes muebles e inmuebles del patrimonio inmobiliario del Instituto, proporcionando la información que para el efecto sea requerida;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VIII. Solicitar a la Dirección de Administración del Suelo la protocolización de las autorizaciones de subdivisión, fusión, </w:t>
      </w:r>
      <w:proofErr w:type="spellStart"/>
      <w:r w:rsidRPr="002250FE">
        <w:rPr>
          <w:rFonts w:ascii="Palatino Linotype" w:eastAsia="Palatino Linotype" w:hAnsi="Palatino Linotype" w:cs="Palatino Linotype"/>
          <w:i/>
          <w:sz w:val="22"/>
          <w:szCs w:val="22"/>
        </w:rPr>
        <w:t>relotificación</w:t>
      </w:r>
      <w:proofErr w:type="spellEnd"/>
      <w:r w:rsidRPr="002250FE">
        <w:rPr>
          <w:rFonts w:ascii="Palatino Linotype" w:eastAsia="Palatino Linotype" w:hAnsi="Palatino Linotype" w:cs="Palatino Linotype"/>
          <w:i/>
          <w:sz w:val="22"/>
          <w:szCs w:val="22"/>
        </w:rPr>
        <w:t xml:space="preserve">, conjuntos urbanos; la autorización de la Certificación de Vías Públicas existentes, sobre inmuebles convenidos o propiedad del Instituto, adjuntando la documentación correspondiente para tal efecto;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IX. Promover la regularización de los asentamientos humanos y la tenencia de la tierra en </w:t>
      </w:r>
      <w:proofErr w:type="gramStart"/>
      <w:r w:rsidRPr="002250FE">
        <w:rPr>
          <w:rFonts w:ascii="Palatino Linotype" w:eastAsia="Palatino Linotype" w:hAnsi="Palatino Linotype" w:cs="Palatino Linotype"/>
          <w:i/>
          <w:sz w:val="22"/>
          <w:szCs w:val="22"/>
        </w:rPr>
        <w:t>los ámbitos urbanos y rural</w:t>
      </w:r>
      <w:proofErr w:type="gramEnd"/>
      <w:r w:rsidRPr="002250FE">
        <w:rPr>
          <w:rFonts w:ascii="Palatino Linotype" w:eastAsia="Palatino Linotype" w:hAnsi="Palatino Linotype" w:cs="Palatino Linotype"/>
          <w:i/>
          <w:sz w:val="22"/>
          <w:szCs w:val="22"/>
        </w:rPr>
        <w:t xml:space="preserve"> de conformidad con las leyes de la materia y con los programas establecidos;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X. Denunciar ante la autoridad competente los actos de los que tenga conocimiento en ejercicio de sus funciones y que puedan ser constitutivos de un delito en materia de asentamientos humanos y de tenencia de la tierra, con el asesoramiento técnico-jurídico de la Dirección Jurídica y de Igualdad de Género, e informarle el seguimiento de las denuncias;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XI. Ejecutar las gestiones conforme al ámbito de su competencia para la conclusión de aquellos convenios de regularización, previa opinión técnica jurídica de la Dirección de Administración del Suelo y de la Dirección Jurídica y de Igualdad de Género;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XII. Informar a las unidades administrativas del Instituto, en el ámbito de su competencia, sobre la aplicación de los programas, proyectos, acciones, estrategias, políticas, lineamientos y protocolos de actuación, que se emitan para la prevención y control de asentamientos humanos irregulares;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XIII. Validar y determinar la existencia de asentamientos humanos irregulares para ser incluidos en el inventario de asentamientos humanos irregulares, con </w:t>
      </w:r>
      <w:r w:rsidRPr="002250FE">
        <w:rPr>
          <w:rFonts w:ascii="Palatino Linotype" w:eastAsia="Palatino Linotype" w:hAnsi="Palatino Linotype" w:cs="Palatino Linotype"/>
          <w:i/>
          <w:sz w:val="22"/>
          <w:szCs w:val="22"/>
        </w:rPr>
        <w:lastRenderedPageBreak/>
        <w:t xml:space="preserve">base en el análisis de la información y cartografía remitida por la Dirección de Administración del Suelo, y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XIV. Las demás que les confieren otros ordenamientos jurídicos.” (Sic)</w:t>
      </w:r>
    </w:p>
    <w:p w:rsidR="00E138AF" w:rsidRPr="002250FE" w:rsidRDefault="00E138AF">
      <w:pPr>
        <w:jc w:val="both"/>
        <w:rPr>
          <w:rFonts w:ascii="Palatino Linotype" w:eastAsia="Palatino Linotype" w:hAnsi="Palatino Linotype" w:cs="Palatino Linotype"/>
          <w:sz w:val="16"/>
          <w:szCs w:val="16"/>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Siendo el área competente para operar y difundir los programas de regularización de la tenencia de la tierra y escrituración; además, que el particular señaló en su solicitud de acceso a la información pública,  en específico del Ejido de Chicoloapan, dicha Delegación Regional del Instituto Mexiquense de la Vivienda Social en Nezahualcóyotl, le corresponde atender de acuerdo a su circunscripción territorial, al Municipio de Chicoloapan, en termino de lo señalado por el artículo 19 del Reglamento Interior del Instituto Mexiquense de la Vivienda Social, que señala: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“Artículo 19.- Las Delegaciones Regionales atenderán a los municipios que a continuación se enlistan: </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NEZAHUALCÓYOTL: Chicoloapan</w:t>
      </w:r>
      <w:r w:rsidRPr="002250FE">
        <w:rPr>
          <w:rFonts w:ascii="Palatino Linotype" w:eastAsia="Palatino Linotype" w:hAnsi="Palatino Linotype" w:cs="Palatino Linotype"/>
          <w:i/>
          <w:sz w:val="22"/>
          <w:szCs w:val="22"/>
        </w:rPr>
        <w:t>, Chimalhuacán, Ixtapaluca, La Paz y Nezahualcóyotl…” (Sic)</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Colmando con ello el derecho de acceso a la información pública del particular, asimismo,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E138AF" w:rsidRPr="002250FE" w:rsidRDefault="00B93B51">
      <w:pPr>
        <w:spacing w:before="120" w:after="120"/>
        <w:ind w:left="851"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r w:rsidRPr="002250F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2250FE">
        <w:rPr>
          <w:rFonts w:ascii="Palatino Linotype" w:eastAsia="Palatino Linotype" w:hAnsi="Palatino Linotype" w:cs="Palatino Linotype"/>
          <w:i/>
          <w:sz w:val="22"/>
          <w:szCs w:val="22"/>
        </w:rPr>
        <w:t xml:space="preserve"> El Instituto Federal </w:t>
      </w:r>
      <w:r w:rsidRPr="002250FE">
        <w:rPr>
          <w:rFonts w:ascii="Palatino Linotype" w:eastAsia="Palatino Linotype" w:hAnsi="Palatino Linotype" w:cs="Palatino Linotype"/>
          <w:i/>
          <w:sz w:val="22"/>
          <w:szCs w:val="22"/>
        </w:rPr>
        <w:lastRenderedPageBreak/>
        <w:t>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De lo anterior, este Órgano </w:t>
      </w:r>
      <w:proofErr w:type="spellStart"/>
      <w:r w:rsidRPr="002250FE">
        <w:rPr>
          <w:rFonts w:ascii="Palatino Linotype" w:eastAsia="Palatino Linotype" w:hAnsi="Palatino Linotype" w:cs="Palatino Linotype"/>
        </w:rPr>
        <w:t>Resolutor</w:t>
      </w:r>
      <w:proofErr w:type="spellEnd"/>
      <w:r w:rsidRPr="002250FE">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E138AF" w:rsidRPr="002250FE" w:rsidRDefault="00B93B51">
      <w:pPr>
        <w:spacing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b/>
        </w:rPr>
        <w:t xml:space="preserve">En cuanto al punto 5, relativo </w:t>
      </w:r>
      <w:proofErr w:type="gramStart"/>
      <w:r w:rsidRPr="002250FE">
        <w:rPr>
          <w:rFonts w:ascii="Palatino Linotype" w:eastAsia="Palatino Linotype" w:hAnsi="Palatino Linotype" w:cs="Palatino Linotype"/>
          <w:b/>
        </w:rPr>
        <w:t>a</w:t>
      </w:r>
      <w:proofErr w:type="gramEnd"/>
      <w:r w:rsidRPr="002250FE">
        <w:rPr>
          <w:rFonts w:ascii="Palatino Linotype" w:eastAsia="Palatino Linotype" w:hAnsi="Palatino Linotype" w:cs="Palatino Linotype"/>
          <w:b/>
        </w:rPr>
        <w:t>:</w:t>
      </w:r>
    </w:p>
    <w:p w:rsidR="00E138AF" w:rsidRPr="002250FE" w:rsidRDefault="00E138AF">
      <w:pPr>
        <w:spacing w:line="360" w:lineRule="auto"/>
        <w:jc w:val="both"/>
        <w:rPr>
          <w:rFonts w:ascii="Palatino Linotype" w:eastAsia="Palatino Linotype" w:hAnsi="Palatino Linotype" w:cs="Palatino Linotype"/>
          <w:b/>
        </w:rPr>
      </w:pPr>
    </w:p>
    <w:p w:rsidR="00E138AF" w:rsidRPr="002250FE" w:rsidRDefault="00B93B51">
      <w:pPr>
        <w:spacing w:line="360" w:lineRule="auto"/>
        <w:jc w:val="both"/>
        <w:rPr>
          <w:rFonts w:ascii="Palatino Linotype" w:eastAsia="Palatino Linotype" w:hAnsi="Palatino Linotype" w:cs="Palatino Linotype"/>
          <w:b/>
          <w:u w:val="single"/>
        </w:rPr>
      </w:pPr>
      <w:r w:rsidRPr="002250FE">
        <w:rPr>
          <w:rFonts w:ascii="Palatino Linotype" w:eastAsia="Palatino Linotype" w:hAnsi="Palatino Linotype" w:cs="Palatino Linotype"/>
          <w:b/>
          <w:u w:val="single"/>
        </w:rPr>
        <w:t xml:space="preserve">5. Solicito el padrón de beneficiarios de todos los títulos de propiedad, posesión, cancelaciones de hipoteca, incluyendo los entregados mediante los convenios firmados con otras dependencias (RAN, IFREM, INFONAVIT, ISSEMYM, ETC) desde el 01 de enero de 2015 al 23 de mayo de 2022. </w:t>
      </w:r>
    </w:p>
    <w:p w:rsidR="00E138AF" w:rsidRPr="002250FE" w:rsidRDefault="00E138AF">
      <w:pPr>
        <w:spacing w:line="360" w:lineRule="auto"/>
        <w:jc w:val="both"/>
        <w:rPr>
          <w:rFonts w:ascii="Palatino Linotype" w:eastAsia="Palatino Linotype" w:hAnsi="Palatino Linotype" w:cs="Palatino Linotype"/>
          <w:b/>
          <w:u w:val="single"/>
        </w:rPr>
      </w:pP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Es importante referir lo que se señaló en el punto anterior, en donde se acreditó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para proceder a la inscripción de los títulos solares urbanos, se deberá cubrir un costo por la inscripción ante el Instituto de la Función </w:t>
      </w:r>
      <w:r w:rsidRPr="002250FE">
        <w:rPr>
          <w:rFonts w:ascii="Palatino Linotype" w:eastAsia="Palatino Linotype" w:hAnsi="Palatino Linotype" w:cs="Palatino Linotype"/>
        </w:rPr>
        <w:lastRenderedPageBreak/>
        <w:t>Registral del Estado de México, costo que será cubierto o que correrá a cargo del Instituto Mexiquense de la Vivienda Social, cuyo solicitante se le denominara beneficiario.</w: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También, se advierte que dentro de los procedimientos Regularización de la Tenencia de la Tierra emitida por el Instituto Mexiquense de la Vivienda Social, se contempla un proceso de cancelación de hipotecas, como se observa a continuación:</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E138AF">
      <w:pPr>
        <w:spacing w:line="360" w:lineRule="auto"/>
        <w:jc w:val="both"/>
      </w:pPr>
    </w:p>
    <w:p w:rsidR="00E138AF" w:rsidRPr="002250FE" w:rsidRDefault="00B93B51">
      <w:pPr>
        <w:spacing w:line="360" w:lineRule="auto"/>
        <w:jc w:val="both"/>
        <w:rPr>
          <w:rFonts w:ascii="Palatino Linotype" w:eastAsia="Palatino Linotype" w:hAnsi="Palatino Linotype" w:cs="Palatino Linotype"/>
        </w:rPr>
      </w:pPr>
      <w:r w:rsidRPr="002250FE">
        <w:rPr>
          <w:noProof/>
          <w:lang w:val="es-MX" w:eastAsia="es-MX"/>
        </w:rPr>
        <w:drawing>
          <wp:inline distT="0" distB="0" distL="0" distR="0">
            <wp:extent cx="5715000" cy="3600450"/>
            <wp:effectExtent l="0" t="0" r="0" b="0"/>
            <wp:docPr id="1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l="20479" t="19715" r="5975" b="13901"/>
                    <a:stretch>
                      <a:fillRect/>
                    </a:stretch>
                  </pic:blipFill>
                  <pic:spPr>
                    <a:xfrm>
                      <a:off x="0" y="0"/>
                      <a:ext cx="5715000" cy="3600450"/>
                    </a:xfrm>
                    <a:prstGeom prst="rect">
                      <a:avLst/>
                    </a:prstGeom>
                    <a:ln/>
                  </pic:spPr>
                </pic:pic>
              </a:graphicData>
            </a:graphic>
          </wp:inline>
        </w:drawing>
      </w:r>
      <w:r w:rsidRPr="002250FE">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4711700</wp:posOffset>
                </wp:positionH>
                <wp:positionV relativeFrom="paragraph">
                  <wp:posOffset>2082800</wp:posOffset>
                </wp:positionV>
                <wp:extent cx="984250" cy="533400"/>
                <wp:effectExtent l="0" t="0" r="0" b="0"/>
                <wp:wrapNone/>
                <wp:docPr id="145" name="Rectángulo 145"/>
                <wp:cNvGraphicFramePr/>
                <a:graphic xmlns:a="http://schemas.openxmlformats.org/drawingml/2006/main">
                  <a:graphicData uri="http://schemas.microsoft.com/office/word/2010/wordprocessingShape">
                    <wps:wsp>
                      <wps:cNvSpPr/>
                      <wps:spPr>
                        <a:xfrm>
                          <a:off x="4879275" y="3538700"/>
                          <a:ext cx="933450" cy="482600"/>
                        </a:xfrm>
                        <a:prstGeom prst="rect">
                          <a:avLst/>
                        </a:prstGeom>
                        <a:noFill/>
                        <a:ln w="12700" cap="flat" cmpd="sng">
                          <a:solidFill>
                            <a:srgbClr val="42719B"/>
                          </a:solidFill>
                          <a:prstDash val="solid"/>
                          <a:miter lim="800000"/>
                          <a:headEnd type="none" w="sm" len="sm"/>
                          <a:tailEnd type="none" w="sm" len="sm"/>
                        </a:ln>
                      </wps:spPr>
                      <wps:txbx>
                        <w:txbxContent>
                          <w:p w:rsidR="00E138AF" w:rsidRDefault="00E138A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4711700</wp:posOffset>
                </wp:positionH>
                <wp:positionV relativeFrom="paragraph">
                  <wp:posOffset>2082800</wp:posOffset>
                </wp:positionV>
                <wp:extent cx="984250" cy="533400"/>
                <wp:effectExtent b="0" l="0" r="0" t="0"/>
                <wp:wrapNone/>
                <wp:docPr id="145"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984250" cy="533400"/>
                        </a:xfrm>
                        <a:prstGeom prst="rect"/>
                        <a:ln/>
                      </pic:spPr>
                    </pic:pic>
                  </a:graphicData>
                </a:graphic>
              </wp:anchor>
            </w:drawing>
          </mc:Fallback>
        </mc:AlternateConten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donde se observa de igual forma que el Instituto Mexiquense de la Vivienda Social, otorga a favor del solicitante de la cancelación de hipoteca, un recurso </w:t>
      </w:r>
      <w:r w:rsidRPr="002250FE">
        <w:rPr>
          <w:rFonts w:ascii="Palatino Linotype" w:eastAsia="Palatino Linotype" w:hAnsi="Palatino Linotype" w:cs="Palatino Linotype"/>
        </w:rPr>
        <w:lastRenderedPageBreak/>
        <w:t xml:space="preserve">erogado por este, para la inscripción del testimonio notarial ante el Instituto de la Función Registral del Estado de México, para la cancelación de la hipoteca. </w: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spacing w:line="360" w:lineRule="auto"/>
        <w:ind w:right="51"/>
        <w:jc w:val="both"/>
        <w:rPr>
          <w:rFonts w:ascii="Palatino Linotype" w:eastAsia="Palatino Linotype" w:hAnsi="Palatino Linotype" w:cs="Palatino Linotype"/>
          <w:b/>
        </w:rPr>
      </w:pPr>
      <w:r w:rsidRPr="002250FE">
        <w:rPr>
          <w:rFonts w:ascii="Palatino Linotype" w:eastAsia="Palatino Linotype" w:hAnsi="Palatino Linotype" w:cs="Palatino Linotype"/>
        </w:rPr>
        <w:t xml:space="preserve">En ese sentido, es conveniente </w:t>
      </w:r>
      <w:r w:rsidRPr="002250FE">
        <w:rPr>
          <w:rFonts w:ascii="Palatino Linotype" w:eastAsia="Palatino Linotype" w:hAnsi="Palatino Linotype" w:cs="Palatino Linotype"/>
          <w:b/>
        </w:rPr>
        <w:t>analizar el Nombre de una persona beneficiada por un programa social.</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2250FE">
        <w:rPr>
          <w:rFonts w:ascii="Palatino Linotype" w:eastAsia="Palatino Linotype" w:hAnsi="Palatino Linotype" w:cs="Palatino Linotype"/>
          <w:i/>
        </w:rPr>
        <w:t>per se</w:t>
      </w:r>
      <w:r w:rsidRPr="002250FE">
        <w:rPr>
          <w:rFonts w:ascii="Palatino Linotype" w:eastAsia="Palatino Linotype" w:hAnsi="Palatino Linotype" w:cs="Palatino Linotype"/>
        </w:rPr>
        <w:t xml:space="preserve"> es un elemento que hace a una persona física identificada o identificable.</w:t>
      </w:r>
    </w:p>
    <w:p w:rsidR="00E138AF" w:rsidRPr="002250FE" w:rsidRDefault="00E138AF">
      <w:pPr>
        <w:spacing w:line="360" w:lineRule="auto"/>
        <w:ind w:right="-28"/>
        <w:jc w:val="both"/>
        <w:rPr>
          <w:rFonts w:ascii="Palatino Linotype" w:eastAsia="Palatino Linotype" w:hAnsi="Palatino Linotype" w:cs="Palatino Linotype"/>
          <w:b/>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2250FE">
        <w:rPr>
          <w:rFonts w:ascii="Palatino Linotype" w:eastAsia="Palatino Linotype" w:hAnsi="Palatino Linotype" w:cs="Palatino Linotype"/>
          <w:b/>
        </w:rPr>
        <w:t>los nombres</w:t>
      </w:r>
      <w:r w:rsidRPr="002250FE">
        <w:rPr>
          <w:rFonts w:ascii="Palatino Linotype" w:eastAsia="Palatino Linotype" w:hAnsi="Palatino Linotype" w:cs="Palatino Linotype"/>
        </w:rPr>
        <w:t xml:space="preserve"> </w:t>
      </w:r>
      <w:r w:rsidRPr="002250FE">
        <w:rPr>
          <w:rFonts w:ascii="Palatino Linotype" w:eastAsia="Palatino Linotype" w:hAnsi="Palatino Linotype" w:cs="Palatino Linotype"/>
          <w:b/>
        </w:rPr>
        <w:t>de aquellas personas que son beneficiadas por un programa social,</w:t>
      </w:r>
      <w:r w:rsidRPr="002250FE">
        <w:rPr>
          <w:rFonts w:ascii="Palatino Linotype" w:eastAsia="Palatino Linotype" w:hAnsi="Palatino Linotype" w:cs="Palatino Linotype"/>
        </w:rPr>
        <w:t xml:space="preserve"> ya que la difusión de dicho dato constituye una obligación de transparencia por parte de los sujetos obligados.</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b/>
        </w:rPr>
      </w:pPr>
      <w:r w:rsidRPr="002250FE">
        <w:rPr>
          <w:rFonts w:ascii="Palatino Linotype" w:eastAsia="Palatino Linotype" w:hAnsi="Palatino Linotype" w:cs="Palatino Linotype"/>
        </w:rPr>
        <w:t xml:space="preserve">Toma sustento con el artículo 92, fracción XIV, inciso p), de la Ley de la materia, previamente referidos, el cual establece que los sujetos obligados tienen la obligación de poner a disposición del público y mantener actualizada de acuerdo con sus </w:t>
      </w:r>
      <w:r w:rsidRPr="002250FE">
        <w:rPr>
          <w:rFonts w:ascii="Palatino Linotype" w:eastAsia="Palatino Linotype" w:hAnsi="Palatino Linotype" w:cs="Palatino Linotype"/>
        </w:rPr>
        <w:lastRenderedPageBreak/>
        <w:t>facultades, atribuciones y funciones, el padrón de beneficiarios de programas de subsidios, estímulos y apoyos, el cual deberá contener entre otros datos el nombre de la persona beneficiada</w:t>
      </w:r>
      <w:r w:rsidRPr="002250FE">
        <w:rPr>
          <w:rFonts w:ascii="Palatino Linotype" w:eastAsia="Palatino Linotype" w:hAnsi="Palatino Linotype" w:cs="Palatino Linotype"/>
          <w:b/>
        </w:rPr>
        <w:t>.</w:t>
      </w:r>
    </w:p>
    <w:p w:rsidR="00E138AF" w:rsidRPr="002250FE" w:rsidRDefault="00E138AF">
      <w:pPr>
        <w:spacing w:line="360" w:lineRule="auto"/>
        <w:ind w:right="-28"/>
        <w:jc w:val="both"/>
        <w:rPr>
          <w:rFonts w:ascii="Palatino Linotype" w:eastAsia="Palatino Linotype" w:hAnsi="Palatino Linotype" w:cs="Palatino Linotype"/>
          <w:b/>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el nombre referido, tiene la característica de público, como se observa a continuación: </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noProof/>
          <w:lang w:val="es-MX" w:eastAsia="es-MX"/>
        </w:rPr>
        <w:drawing>
          <wp:inline distT="0" distB="0" distL="0" distR="0">
            <wp:extent cx="5614035" cy="1116330"/>
            <wp:effectExtent l="0" t="0" r="0" b="0"/>
            <wp:docPr id="163" name="image17.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Tabla&#10;&#10;Descripción generada automáticamente"/>
                    <pic:cNvPicPr preferRelativeResize="0"/>
                  </pic:nvPicPr>
                  <pic:blipFill>
                    <a:blip r:embed="rId31"/>
                    <a:srcRect/>
                    <a:stretch>
                      <a:fillRect/>
                    </a:stretch>
                  </pic:blipFill>
                  <pic:spPr>
                    <a:xfrm>
                      <a:off x="0" y="0"/>
                      <a:ext cx="5614035" cy="1116330"/>
                    </a:xfrm>
                    <a:prstGeom prst="rect">
                      <a:avLst/>
                    </a:prstGeom>
                    <a:ln/>
                  </pic:spPr>
                </pic:pic>
              </a:graphicData>
            </a:graphic>
          </wp:inline>
        </w:drawing>
      </w:r>
      <w:r w:rsidRPr="002250FE">
        <w:rPr>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3200400</wp:posOffset>
                </wp:positionH>
                <wp:positionV relativeFrom="paragraph">
                  <wp:posOffset>304800</wp:posOffset>
                </wp:positionV>
                <wp:extent cx="1739900" cy="790575"/>
                <wp:effectExtent l="0" t="0" r="0" b="0"/>
                <wp:wrapNone/>
                <wp:docPr id="147" name="Rectángulo 147"/>
                <wp:cNvGraphicFramePr/>
                <a:graphic xmlns:a="http://schemas.openxmlformats.org/drawingml/2006/main">
                  <a:graphicData uri="http://schemas.microsoft.com/office/word/2010/wordprocessingShape">
                    <wps:wsp>
                      <wps:cNvSpPr/>
                      <wps:spPr>
                        <a:xfrm>
                          <a:off x="4533200" y="3441863"/>
                          <a:ext cx="1625600" cy="676275"/>
                        </a:xfrm>
                        <a:prstGeom prst="rect">
                          <a:avLst/>
                        </a:prstGeom>
                        <a:noFill/>
                        <a:ln w="28575" cap="flat" cmpd="sng">
                          <a:solidFill>
                            <a:schemeClr val="dk1"/>
                          </a:solidFill>
                          <a:prstDash val="solid"/>
                          <a:miter lim="800000"/>
                          <a:headEnd type="none" w="sm" len="sm"/>
                          <a:tailEnd type="none" w="sm" len="sm"/>
                        </a:ln>
                      </wps:spPr>
                      <wps:txbx>
                        <w:txbxContent>
                          <w:p w:rsidR="00E138AF" w:rsidRDefault="00E138A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3200400</wp:posOffset>
                </wp:positionH>
                <wp:positionV relativeFrom="paragraph">
                  <wp:posOffset>304800</wp:posOffset>
                </wp:positionV>
                <wp:extent cx="1739900" cy="790575"/>
                <wp:effectExtent b="0" l="0" r="0" t="0"/>
                <wp:wrapNone/>
                <wp:docPr id="147"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1739900" cy="790575"/>
                        </a:xfrm>
                        <a:prstGeom prst="rect"/>
                        <a:ln/>
                      </pic:spPr>
                    </pic:pic>
                  </a:graphicData>
                </a:graphic>
              </wp:anchor>
            </w:drawing>
          </mc:Fallback>
        </mc:AlternateConten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b/>
        </w:rPr>
      </w:pPr>
      <w:r w:rsidRPr="002250FE">
        <w:rPr>
          <w:rFonts w:ascii="Palatino Linotype" w:eastAsia="Palatino Linotype" w:hAnsi="Palatino Linotype" w:cs="Palatino Linotype"/>
        </w:rPr>
        <w:t xml:space="preserve">Conforme a lo anterior, la Ley de Transparencia y Acceso a la Información Pública del Estado de México y Municipios, considera que el nombre de los beneficiarios, </w:t>
      </w:r>
      <w:r w:rsidRPr="002250FE">
        <w:rPr>
          <w:rFonts w:ascii="Palatino Linotype" w:eastAsia="Palatino Linotype" w:hAnsi="Palatino Linotype" w:cs="Palatino Linotype"/>
          <w:b/>
        </w:rPr>
        <w:t xml:space="preserve">por regla general, </w:t>
      </w:r>
      <w:r w:rsidRPr="002250FE">
        <w:rPr>
          <w:rFonts w:ascii="Palatino Linotype" w:eastAsia="Palatino Linotype" w:hAnsi="Palatino Linotype" w:cs="Palatino Linotype"/>
        </w:rPr>
        <w:t xml:space="preserve">son de naturaleza pública, ya que su publicidad orienta a cumplir los objetivos que persigue el ordenamiento normativo; toda vez, </w:t>
      </w:r>
      <w:r w:rsidRPr="002250FE">
        <w:rPr>
          <w:rFonts w:ascii="Palatino Linotype" w:eastAsia="Palatino Linotype" w:hAnsi="Palatino Linotype" w:cs="Palatino Linotype"/>
          <w:b/>
        </w:rPr>
        <w:t>que ayuda a transparentar a quienes se les han otorgado recursos públicos, en dinero o en especie, así como, porque razones se les otorgaron.</w:t>
      </w:r>
    </w:p>
    <w:p w:rsidR="00E138AF" w:rsidRPr="002250FE" w:rsidRDefault="00E138AF">
      <w:pPr>
        <w:spacing w:line="360" w:lineRule="auto"/>
        <w:ind w:right="-28"/>
        <w:jc w:val="both"/>
        <w:rPr>
          <w:rFonts w:ascii="Palatino Linotype" w:eastAsia="Palatino Linotype" w:hAnsi="Palatino Linotype" w:cs="Palatino Linotype"/>
          <w:b/>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Situación que se robustece, con el artículo 23, penúltimo párrafo, de la Ley referida, que establece que los sujetos obligados, deberán hacer pública toda aquella información relativa a los montos y las personas a quienes se le entreguen, por cualquier motivo, recursos públicos.</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Por tales circunstancias, en primera instancia, se considera que el nombre de los beneficiarios, guarda la naturaleza pública, pues ayuda a rendir cuentas, sobre aquellas personas que recibieron algún recurso público, en dinero o especie, al formar parte de un programa social, del cual, se necesitan cumplir requisitos específicos para formar parte del mismo.</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Ahora bien, a través del requerimiento adicional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pretendió colmar la información solicitada con las siguientes ligas electrónicas:</w:t>
      </w:r>
    </w:p>
    <w:p w:rsidR="00E138AF" w:rsidRPr="002250FE" w:rsidRDefault="00E138AF">
      <w:pPr>
        <w:spacing w:line="360" w:lineRule="auto"/>
        <w:ind w:right="-28"/>
        <w:jc w:val="both"/>
      </w:pPr>
    </w:p>
    <w:p w:rsidR="00E138AF" w:rsidRPr="002250FE" w:rsidRDefault="00B93B51">
      <w:pPr>
        <w:spacing w:line="360" w:lineRule="auto"/>
        <w:ind w:right="-28"/>
        <w:jc w:val="both"/>
        <w:rPr>
          <w:rFonts w:ascii="Palatino Linotype" w:eastAsia="Palatino Linotype" w:hAnsi="Palatino Linotype" w:cs="Palatino Linotype"/>
        </w:rPr>
      </w:pPr>
      <w:r w:rsidRPr="002250FE">
        <w:rPr>
          <w:noProof/>
          <w:lang w:val="es-MX" w:eastAsia="es-MX"/>
        </w:rPr>
        <w:drawing>
          <wp:inline distT="0" distB="0" distL="0" distR="0">
            <wp:extent cx="5391150" cy="2851150"/>
            <wp:effectExtent l="0" t="0" r="0" b="0"/>
            <wp:docPr id="1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l="32474" t="17299" r="12875" b="42062"/>
                    <a:stretch>
                      <a:fillRect/>
                    </a:stretch>
                  </pic:blipFill>
                  <pic:spPr>
                    <a:xfrm>
                      <a:off x="0" y="0"/>
                      <a:ext cx="5391150" cy="2851150"/>
                    </a:xfrm>
                    <a:prstGeom prst="rect">
                      <a:avLst/>
                    </a:prstGeom>
                    <a:ln/>
                  </pic:spPr>
                </pic:pic>
              </a:graphicData>
            </a:graphic>
          </wp:inline>
        </w:drawing>
      </w: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Sin embargo, al dar clic a dicha liga electrónica, nos arroja la siguiente información:</w:t>
      </w:r>
    </w:p>
    <w:p w:rsidR="00E138AF" w:rsidRPr="002250FE" w:rsidRDefault="00E138AF">
      <w:pPr>
        <w:spacing w:line="360" w:lineRule="auto"/>
        <w:jc w:val="both"/>
      </w:pPr>
    </w:p>
    <w:p w:rsidR="00E138AF" w:rsidRPr="002250FE" w:rsidRDefault="00B93B51">
      <w:pPr>
        <w:spacing w:line="360" w:lineRule="auto"/>
        <w:jc w:val="both"/>
        <w:rPr>
          <w:rFonts w:ascii="Palatino Linotype" w:eastAsia="Palatino Linotype" w:hAnsi="Palatino Linotype" w:cs="Palatino Linotype"/>
        </w:rPr>
      </w:pPr>
      <w:r w:rsidRPr="002250FE">
        <w:rPr>
          <w:noProof/>
          <w:lang w:val="es-MX" w:eastAsia="es-MX"/>
        </w:rPr>
        <w:drawing>
          <wp:inline distT="0" distB="0" distL="0" distR="0">
            <wp:extent cx="5441950" cy="2533650"/>
            <wp:effectExtent l="0" t="0" r="0" b="0"/>
            <wp:docPr id="1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l="23195" t="33796" r="45349" b="24358"/>
                    <a:stretch>
                      <a:fillRect/>
                    </a:stretch>
                  </pic:blipFill>
                  <pic:spPr>
                    <a:xfrm>
                      <a:off x="0" y="0"/>
                      <a:ext cx="5441950" cy="2533650"/>
                    </a:xfrm>
                    <a:prstGeom prst="rect">
                      <a:avLst/>
                    </a:prstGeom>
                    <a:ln/>
                  </pic:spPr>
                </pic:pic>
              </a:graphicData>
            </a:graphic>
          </wp:inline>
        </w:drawing>
      </w:r>
    </w:p>
    <w:p w:rsidR="00E138AF" w:rsidRPr="002250FE" w:rsidRDefault="00B93B51">
      <w:pPr>
        <w:spacing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No obstante, el particular solicitó en especificó padrón de beneficiarios de todos los títulos de propiedad, posesión, cancelaciones de hipoteca, incluyendo los entregados mediante los convenios firmados con otras dependencias (RAN, IFREM, INFONAVIT, ISSEMYM, ETC); lo que implica que el solicitante haga una búsqueda de la información dentro del cumulo de información que yace en dicha liga electrónica, toda vez que se observan muchos registros en los años 2018 al 2022, máxime que el particular solicitó información desde el año 2015 lo que no consta en dicha electrónica; por consiguiente, no se colmó la pretensión de la parte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en razón de que la liga no arroja información requerida en concreto y además no se detalló el procedimiento específico de acceso a los datos solicitados.</w:t>
      </w: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w:t>
      </w:r>
      <w:r w:rsidRPr="002250FE">
        <w:rPr>
          <w:rFonts w:ascii="Palatino Linotype" w:eastAsia="Palatino Linotype" w:hAnsi="Palatino Linotype" w:cs="Palatino Linotype"/>
        </w:rPr>
        <w:lastRenderedPageBreak/>
        <w:t>por los sujetos obligados desde el momento de su generación, publicación y entrega, así como la forma en que se deberá consultar la información, señalando una fuente precisa y concreta, a saber:</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11.</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2250FE">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E138AF" w:rsidRPr="002250FE" w:rsidRDefault="00B93B51">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E138AF">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rsidR="00E138AF" w:rsidRPr="002250FE" w:rsidRDefault="00B93B51">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250FE">
        <w:rPr>
          <w:rFonts w:ascii="Palatino Linotype" w:eastAsia="Palatino Linotype" w:hAnsi="Palatino Linotype" w:cs="Palatino Linotype"/>
          <w:b/>
          <w:i/>
          <w:sz w:val="22"/>
          <w:szCs w:val="22"/>
        </w:rPr>
        <w:t>Artículo 161.</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u w:val="single"/>
        </w:rPr>
        <w:t>Cuando la información requerida por el solicitante ya esté disponible al público</w:t>
      </w:r>
      <w:r w:rsidRPr="002250FE">
        <w:rPr>
          <w:rFonts w:ascii="Palatino Linotype" w:eastAsia="Palatino Linotype" w:hAnsi="Palatino Linotype" w:cs="Palatino Linotype"/>
          <w:i/>
          <w:sz w:val="22"/>
          <w:szCs w:val="22"/>
        </w:rPr>
        <w:t xml:space="preserve"> en medios impresos, tales como libros, compendios, trípticos, registros públicos, </w:t>
      </w:r>
      <w:r w:rsidRPr="002250FE">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numPr>
          <w:ilvl w:val="0"/>
          <w:numId w:val="8"/>
        </w:numPr>
        <w:pBdr>
          <w:top w:val="nil"/>
          <w:left w:val="nil"/>
          <w:bottom w:val="nil"/>
          <w:right w:val="nil"/>
          <w:between w:val="nil"/>
        </w:pBdr>
        <w:ind w:left="1134" w:hanging="567"/>
        <w:jc w:val="both"/>
        <w:rPr>
          <w:rFonts w:ascii="Palatino Linotype" w:eastAsia="Palatino Linotype" w:hAnsi="Palatino Linotype" w:cs="Palatino Linotype"/>
        </w:rPr>
      </w:pPr>
      <w:r w:rsidRPr="002250FE">
        <w:rPr>
          <w:rFonts w:ascii="Palatino Linotype" w:eastAsia="Palatino Linotype" w:hAnsi="Palatino Linotype" w:cs="Palatino Linotype"/>
        </w:rPr>
        <w:t>La fuente</w:t>
      </w:r>
    </w:p>
    <w:p w:rsidR="00E138AF" w:rsidRPr="002250FE" w:rsidRDefault="00B93B51">
      <w:pPr>
        <w:numPr>
          <w:ilvl w:val="0"/>
          <w:numId w:val="8"/>
        </w:numPr>
        <w:pBdr>
          <w:top w:val="nil"/>
          <w:left w:val="nil"/>
          <w:bottom w:val="nil"/>
          <w:right w:val="nil"/>
          <w:between w:val="nil"/>
        </w:pBdr>
        <w:ind w:left="1134" w:hanging="567"/>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El lugar y</w:t>
      </w:r>
    </w:p>
    <w:p w:rsidR="00E138AF" w:rsidRPr="002250FE" w:rsidRDefault="00B93B51">
      <w:pPr>
        <w:numPr>
          <w:ilvl w:val="0"/>
          <w:numId w:val="8"/>
        </w:numPr>
        <w:pBdr>
          <w:top w:val="nil"/>
          <w:left w:val="nil"/>
          <w:bottom w:val="nil"/>
          <w:right w:val="nil"/>
          <w:between w:val="nil"/>
        </w:pBdr>
        <w:ind w:left="1134" w:hanging="567"/>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La forma </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Asimismo, se establece que la fuente de la información deberá ser:</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rPr>
      </w:pPr>
      <w:r w:rsidRPr="002250FE">
        <w:rPr>
          <w:rFonts w:ascii="Palatino Linotype" w:eastAsia="Palatino Linotype" w:hAnsi="Palatino Linotype" w:cs="Palatino Linotype"/>
        </w:rPr>
        <w:t>Precisa</w:t>
      </w:r>
    </w:p>
    <w:p w:rsidR="00E138AF" w:rsidRPr="002250FE" w:rsidRDefault="00B93B51">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rPr>
      </w:pPr>
      <w:r w:rsidRPr="002250FE">
        <w:rPr>
          <w:rFonts w:ascii="Palatino Linotype" w:eastAsia="Palatino Linotype" w:hAnsi="Palatino Linotype" w:cs="Palatino Linotype"/>
        </w:rPr>
        <w:t>Concreta</w:t>
      </w:r>
    </w:p>
    <w:p w:rsidR="00E138AF" w:rsidRPr="002250FE" w:rsidRDefault="00B93B51">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rPr>
      </w:pPr>
      <w:r w:rsidRPr="002250FE">
        <w:rPr>
          <w:rFonts w:ascii="Palatino Linotype" w:eastAsia="Palatino Linotype" w:hAnsi="Palatino Linotype" w:cs="Palatino Linotype"/>
          <w:b/>
        </w:rPr>
        <w:t>Y no debe implicar que el solicitante realice una búsqueda en toda la información que se encuentre disponible</w:t>
      </w:r>
      <w:r w:rsidRPr="002250FE">
        <w:rPr>
          <w:rFonts w:ascii="Palatino Linotype" w:eastAsia="Palatino Linotype" w:hAnsi="Palatino Linotype" w:cs="Palatino Linotype"/>
        </w:rPr>
        <w:t>.</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Imperativos legales que establecen el procedimiento que debe seguir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se limitó a indicar la dirección electrónica de su página oficial, sin que señalara puntualmente el procedimiento que el particular debe seguir para acceder 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E138AF" w:rsidRPr="002250FE" w:rsidRDefault="00E138AF">
      <w:pPr>
        <w:pBdr>
          <w:top w:val="nil"/>
          <w:left w:val="nil"/>
          <w:bottom w:val="nil"/>
          <w:right w:val="nil"/>
          <w:between w:val="nil"/>
        </w:pBd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De tal forma que este Instituto estima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incumplió lo establecido en la Ley de la Materia, por lo cual es procedente revocar la respuesta a la solicitud del particular y ordenar la entrega de la información requerida.</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Por otro lado, este Instituto ha establecido las excepciones a la publicación del nombre de los beneficiarios, de padrones de beneficiarios, a través del Criterio reiterado 04/19, publicado en el Periódico Oficial del Gobierno del Estado Libre y Soberano de México </w:t>
      </w:r>
      <w:r w:rsidRPr="002250FE">
        <w:rPr>
          <w:rFonts w:ascii="Palatino Linotype" w:eastAsia="Palatino Linotype" w:hAnsi="Palatino Linotype" w:cs="Palatino Linotype"/>
          <w:i/>
        </w:rPr>
        <w:t>“Gaceta de Gobierno”</w:t>
      </w:r>
      <w:r w:rsidRPr="002250FE">
        <w:rPr>
          <w:rFonts w:ascii="Palatino Linotype" w:eastAsia="Palatino Linotype" w:hAnsi="Palatino Linotype" w:cs="Palatino Linotype"/>
        </w:rPr>
        <w:t>, el dieciocho de diciembre de dos mil diecinueve, que establece lo siguiente:</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“PADRÓN DE BENEFICIARIOS EN POSESIÓN DE SUJETOS OBLIGADOS. EXCEPCIONES PARA LA PUBLICACIÓN DE DATOS PERSONALES CONTENIDOS EN AQUÉL.</w:t>
      </w:r>
      <w:r w:rsidRPr="002250FE">
        <w:rPr>
          <w:rFonts w:ascii="Palatino Linotype" w:eastAsia="Palatino Linotype" w:hAnsi="Palatino Linotype" w:cs="Palatino Linotype"/>
          <w:i/>
          <w:sz w:val="22"/>
          <w:szCs w:val="22"/>
        </w:rPr>
        <w:t xml:space="preserve">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2250FE">
        <w:rPr>
          <w:rFonts w:ascii="Palatino Linotype" w:eastAsia="Palatino Linotype" w:hAnsi="Palatino Linotype" w:cs="Palatino Linotype"/>
          <w:b/>
          <w:i/>
          <w:sz w:val="22"/>
          <w:szCs w:val="22"/>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2250FE">
        <w:rPr>
          <w:rFonts w:ascii="Palatino Linotype" w:eastAsia="Palatino Linotype" w:hAnsi="Palatino Linotype" w:cs="Palatino Linotype"/>
          <w:i/>
          <w:sz w:val="22"/>
          <w:szCs w:val="22"/>
          <w:u w:val="single"/>
        </w:rPr>
        <w:t xml:space="preserve">toda vez que la publicidad de estos datos personales puede revelar condiciones sociales, culturales y su plena identidad, </w:t>
      </w:r>
      <w:r w:rsidRPr="002250FE">
        <w:rPr>
          <w:rFonts w:ascii="Palatino Linotype" w:eastAsia="Palatino Linotype" w:hAnsi="Palatino Linotype" w:cs="Palatino Linotype"/>
          <w:i/>
          <w:sz w:val="22"/>
          <w:szCs w:val="22"/>
          <w:u w:val="single"/>
        </w:rPr>
        <w:lastRenderedPageBreak/>
        <w:t>que por regla general corresponden a grupos vulnerables o grupos sociales en condiciones de desventaja y que naturalmente representan datos sensibles que pueden afectar irreparablemente a su titular</w:t>
      </w:r>
      <w:r w:rsidRPr="002250FE">
        <w:rPr>
          <w:rFonts w:ascii="Palatino Linotype" w:eastAsia="Palatino Linotype" w:hAnsi="Palatino Linotype" w:cs="Palatino Linotype"/>
          <w:i/>
          <w:sz w:val="22"/>
          <w:szCs w:val="22"/>
        </w:rPr>
        <w:t>,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Del citado criterio, </w:t>
      </w:r>
      <w:r w:rsidRPr="002250FE">
        <w:rPr>
          <w:rFonts w:ascii="Palatino Linotype" w:eastAsia="Palatino Linotype" w:hAnsi="Palatino Linotype" w:cs="Palatino Linotype"/>
          <w:b/>
        </w:rPr>
        <w:t>se advierte que el nombre de las personas de capacidades diferentes, son datos confidenciales</w:t>
      </w:r>
      <w:r w:rsidRPr="002250FE">
        <w:rPr>
          <w:rFonts w:ascii="Palatino Linotype" w:eastAsia="Palatino Linotype" w:hAnsi="Palatino Linotype" w:cs="Palatino Linotype"/>
        </w:rPr>
        <w:t>, pues su publicación revelaría las condiciones sociales, culturales y plena identidad; además, que corresponden a grupos vulnerables y sociales, en condiciones de desventaja, por lo cual, es necesario su protección.</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Por tal circunstancia, se considera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w:t>
      </w:r>
      <w:r w:rsidRPr="002250FE">
        <w:rPr>
          <w:rFonts w:ascii="Palatino Linotype" w:eastAsia="Palatino Linotype" w:hAnsi="Palatino Linotype" w:cs="Palatino Linotype"/>
          <w:b/>
        </w:rPr>
        <w:t>únicamente podrá clasificar el nombre de aquellos beneficiarios, con capacidades diferentes</w:t>
      </w:r>
      <w:r w:rsidRPr="002250FE">
        <w:rPr>
          <w:rFonts w:ascii="Palatino Linotype" w:eastAsia="Palatino Linotype" w:hAnsi="Palatino Linotype" w:cs="Palatino Linotype"/>
        </w:rPr>
        <w:t>, en términos del artículo 143, fracción I de la Ley de Transparencia y Acceso a la Información Pública del Estado de México y Municipios, pues la publicación de la información, podría generarles discriminación.</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Razones por las cuales lo procedente es ordenar el </w:t>
      </w:r>
      <w:r w:rsidRPr="002250FE">
        <w:rPr>
          <w:rFonts w:ascii="Verdana" w:eastAsia="Verdana" w:hAnsi="Verdana" w:cs="Verdana"/>
          <w:sz w:val="14"/>
          <w:szCs w:val="14"/>
        </w:rPr>
        <w:t> </w:t>
      </w:r>
      <w:r w:rsidRPr="002250FE">
        <w:rPr>
          <w:rFonts w:ascii="Palatino Linotype" w:eastAsia="Palatino Linotype" w:hAnsi="Palatino Linotype" w:cs="Palatino Linotype"/>
        </w:rPr>
        <w:t xml:space="preserve">padrón de beneficiarios de todos los títulos de propiedad, posesión y cancelaciones de hipoteca, desde el 01 de enero </w:t>
      </w:r>
      <w:r w:rsidRPr="002250FE">
        <w:rPr>
          <w:rFonts w:ascii="Palatino Linotype" w:eastAsia="Palatino Linotype" w:hAnsi="Palatino Linotype" w:cs="Palatino Linotype"/>
        </w:rPr>
        <w:lastRenderedPageBreak/>
        <w:t xml:space="preserve">de 2015 al 23 de mayo de 2022, y de ser procedente en versión pública conforme a lo señalado por el considerando quinto del presente fallo. </w: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b/>
          <w:u w:val="single"/>
        </w:rPr>
      </w:pPr>
      <w:r w:rsidRPr="002250FE">
        <w:rPr>
          <w:rFonts w:ascii="Palatino Linotype" w:eastAsia="Palatino Linotype" w:hAnsi="Palatino Linotype" w:cs="Palatino Linotype"/>
          <w:b/>
          <w:u w:val="single"/>
        </w:rPr>
        <w:t xml:space="preserve">Sobre el requerimiento marcado con el numeral 6, concerniente </w:t>
      </w:r>
      <w:proofErr w:type="gramStart"/>
      <w:r w:rsidRPr="002250FE">
        <w:rPr>
          <w:rFonts w:ascii="Palatino Linotype" w:eastAsia="Palatino Linotype" w:hAnsi="Palatino Linotype" w:cs="Palatino Linotype"/>
          <w:b/>
          <w:u w:val="single"/>
        </w:rPr>
        <w:t>a</w:t>
      </w:r>
      <w:proofErr w:type="gramEnd"/>
      <w:r w:rsidRPr="002250FE">
        <w:rPr>
          <w:rFonts w:ascii="Palatino Linotype" w:eastAsia="Palatino Linotype" w:hAnsi="Palatino Linotype" w:cs="Palatino Linotype"/>
          <w:b/>
          <w:u w:val="single"/>
        </w:rPr>
        <w:t xml:space="preserve">: </w:t>
      </w:r>
    </w:p>
    <w:p w:rsidR="00E138AF" w:rsidRPr="002250FE" w:rsidRDefault="00E138AF">
      <w:pPr>
        <w:spacing w:line="360" w:lineRule="auto"/>
        <w:ind w:right="49"/>
        <w:jc w:val="both"/>
        <w:rPr>
          <w:rFonts w:ascii="Verdana" w:eastAsia="Verdana" w:hAnsi="Verdana" w:cs="Verdana"/>
          <w:b/>
          <w:sz w:val="14"/>
          <w:szCs w:val="14"/>
          <w:u w:val="single"/>
        </w:rPr>
      </w:pPr>
    </w:p>
    <w:p w:rsidR="00E138AF" w:rsidRPr="002250FE" w:rsidRDefault="00E138AF">
      <w:pPr>
        <w:spacing w:line="360" w:lineRule="auto"/>
        <w:ind w:right="49"/>
        <w:jc w:val="both"/>
        <w:rPr>
          <w:rFonts w:ascii="Verdana" w:eastAsia="Verdana" w:hAnsi="Verdana" w:cs="Verdana"/>
          <w:b/>
          <w:sz w:val="14"/>
          <w:szCs w:val="14"/>
          <w:u w:val="single"/>
        </w:rPr>
      </w:pPr>
    </w:p>
    <w:p w:rsidR="00E138AF" w:rsidRPr="002250FE" w:rsidRDefault="00B93B51">
      <w:pPr>
        <w:spacing w:line="360" w:lineRule="auto"/>
        <w:jc w:val="both"/>
        <w:rPr>
          <w:rFonts w:ascii="Palatino Linotype" w:eastAsia="Palatino Linotype" w:hAnsi="Palatino Linotype" w:cs="Palatino Linotype"/>
          <w:b/>
          <w:u w:val="single"/>
        </w:rPr>
      </w:pPr>
      <w:r w:rsidRPr="002250FE">
        <w:rPr>
          <w:rFonts w:ascii="Palatino Linotype" w:eastAsia="Palatino Linotype" w:hAnsi="Palatino Linotype" w:cs="Palatino Linotype"/>
          <w:b/>
          <w:u w:val="single"/>
        </w:rPr>
        <w:t>6. Solicito conocer los medios, formas, procesos que existen para poder agendar una reunión en donde sea atendida directamente por las y los delegados regionales en cada delegación regional.</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De la página web oficial del Instituto Mexiquense de la vivienda social del Estado de México (</w:t>
      </w:r>
      <w:hyperlink r:id="rId35">
        <w:r w:rsidRPr="002250FE">
          <w:rPr>
            <w:rFonts w:ascii="Palatino Linotype" w:eastAsia="Palatino Linotype" w:hAnsi="Palatino Linotype" w:cs="Palatino Linotype"/>
            <w:u w:val="single"/>
          </w:rPr>
          <w:t>http://imevis.edomex.gob.mx/</w:t>
        </w:r>
      </w:hyperlink>
      <w:r w:rsidRPr="002250FE">
        <w:rPr>
          <w:rFonts w:ascii="Palatino Linotype" w:eastAsia="Palatino Linotype" w:hAnsi="Palatino Linotype" w:cs="Palatino Linotype"/>
        </w:rPr>
        <w:t xml:space="preserve">), se advierte que uno de sus objetivo es dar atención personalizada y de apoyo, así como asesoría legal, para  mejorar o ampliar la vivienda de los gobernados, en el propio Instituto como en sus doce Delegaciones Regionales, como se advierte en la siguiente imagen que se inserta a continuación de manera ilustrativa:  </w:t>
      </w:r>
    </w:p>
    <w:p w:rsidR="00E138AF" w:rsidRPr="002250FE" w:rsidRDefault="00B93B51">
      <w:pPr>
        <w:pBdr>
          <w:top w:val="nil"/>
          <w:left w:val="nil"/>
          <w:bottom w:val="nil"/>
          <w:right w:val="nil"/>
          <w:between w:val="nil"/>
        </w:pBdr>
        <w:shd w:val="clear" w:color="auto" w:fill="FFFFFF"/>
        <w:spacing w:line="360" w:lineRule="auto"/>
        <w:jc w:val="both"/>
      </w:pPr>
      <w:r w:rsidRPr="002250FE">
        <w:rPr>
          <w:rFonts w:ascii="Palatino Linotype" w:eastAsia="Palatino Linotype" w:hAnsi="Palatino Linotype" w:cs="Palatino Linotype"/>
        </w:rPr>
        <w:t xml:space="preserve"> </w:t>
      </w: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noProof/>
          <w:lang w:val="es-MX" w:eastAsia="es-MX"/>
        </w:rPr>
        <w:drawing>
          <wp:inline distT="0" distB="0" distL="0" distR="0">
            <wp:extent cx="5702414" cy="1952593"/>
            <wp:effectExtent l="0" t="0" r="0" b="0"/>
            <wp:docPr id="1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l="34710" t="8277" r="20111" b="65752"/>
                    <a:stretch>
                      <a:fillRect/>
                    </a:stretch>
                  </pic:blipFill>
                  <pic:spPr>
                    <a:xfrm>
                      <a:off x="0" y="0"/>
                      <a:ext cx="5702414" cy="1952593"/>
                    </a:xfrm>
                    <a:prstGeom prst="rect">
                      <a:avLst/>
                    </a:prstGeom>
                    <a:ln/>
                  </pic:spPr>
                </pic:pic>
              </a:graphicData>
            </a:graphic>
          </wp:inline>
        </w:drawing>
      </w: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Con lo cual se acredita que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debe tener el documento en donde consten los datos de contacto, como domicilio, teléfono u correo electrónicos, del Instituto Mexiquense de la Vivienda Social y de sus doce Delegaciones Regionales, como pudiera ser de manera enunciativa más no limitada el Directorio; en razón, de que se trata de una obligación de transparencia en términos de lo señalado por el artículo 92 fracciones II y  VII de la Ley de Transparencia y Acceso a la Información Pública del Estado de México y Municipios, que señala lo conducente:</w:t>
      </w:r>
    </w:p>
    <w:p w:rsidR="00E138AF" w:rsidRPr="002250FE" w:rsidRDefault="00E138AF">
      <w:pPr>
        <w:spacing w:line="360" w:lineRule="auto"/>
        <w:ind w:right="-91"/>
        <w:jc w:val="both"/>
        <w:rPr>
          <w:rFonts w:ascii="Palatino Linotype" w:eastAsia="Palatino Linotype" w:hAnsi="Palatino Linotype" w:cs="Palatino Linotype"/>
        </w:rPr>
      </w:pP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El directorio deberá incluir, al menos</w:t>
      </w:r>
      <w:r w:rsidRPr="002250FE">
        <w:rPr>
          <w:rFonts w:ascii="Palatino Linotype" w:eastAsia="Palatino Linotype" w:hAnsi="Palatino Linotype" w:cs="Palatino Linotype"/>
          <w:i/>
          <w:sz w:val="22"/>
          <w:szCs w:val="22"/>
        </w:rPr>
        <w:t xml:space="preserve"> el nombre, cargo o nombramiento oficial asignado, nivel del puesto en la estructura orgánica, fecha de alta en el cargo, </w:t>
      </w:r>
      <w:r w:rsidRPr="002250FE">
        <w:rPr>
          <w:rFonts w:ascii="Palatino Linotype" w:eastAsia="Palatino Linotype" w:hAnsi="Palatino Linotype" w:cs="Palatino Linotype"/>
          <w:b/>
          <w:i/>
          <w:sz w:val="22"/>
          <w:szCs w:val="22"/>
        </w:rPr>
        <w:t>número telefónico, domicilio para recibir correspondencia y dirección de correo electrónico oficiales</w:t>
      </w:r>
      <w:r w:rsidRPr="002250FE">
        <w:rPr>
          <w:rFonts w:ascii="Palatino Linotype" w:eastAsia="Palatino Linotype" w:hAnsi="Palatino Linotype" w:cs="Palatino Linotype"/>
          <w:i/>
          <w:sz w:val="22"/>
          <w:szCs w:val="22"/>
        </w:rPr>
        <w:t>, datos que deberán señalarse de forma independiente por dependencia y entidad pública de cada sujeto obligado…” (Sic)</w:t>
      </w:r>
    </w:p>
    <w:p w:rsidR="00E138AF" w:rsidRPr="002250FE" w:rsidRDefault="00E138AF">
      <w:pPr>
        <w:shd w:val="clear" w:color="auto" w:fill="FFFFFF"/>
        <w:ind w:left="992" w:right="1043"/>
        <w:jc w:val="both"/>
        <w:rPr>
          <w:rFonts w:ascii="Palatino Linotype" w:eastAsia="Palatino Linotype" w:hAnsi="Palatino Linotype" w:cs="Palatino Linotype"/>
          <w:i/>
          <w:sz w:val="22"/>
          <w:szCs w:val="22"/>
        </w:rPr>
      </w:pPr>
    </w:p>
    <w:p w:rsidR="00E138AF" w:rsidRPr="002250FE" w:rsidRDefault="00B93B51">
      <w:pPr>
        <w:spacing w:after="240" w:line="360" w:lineRule="auto"/>
        <w:ind w:right="-93"/>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 para su fracción VII, lo siguiente:</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El directorio deberá incluir al menos</w:t>
      </w:r>
      <w:r w:rsidRPr="002250FE">
        <w:rPr>
          <w:rFonts w:ascii="Palatino Linotype" w:eastAsia="Palatino Linotype" w:hAnsi="Palatino Linotype" w:cs="Palatino Linotype"/>
          <w:i/>
          <w:sz w:val="22"/>
          <w:szCs w:val="22"/>
        </w:rPr>
        <w:t xml:space="preserve"> el nombre, cargo o nombramiento asignado, nivel del puesto en la estructura orgánica, fecha de alta en el cargo, </w:t>
      </w:r>
      <w:r w:rsidRPr="002250FE">
        <w:rPr>
          <w:rFonts w:ascii="Palatino Linotype" w:eastAsia="Palatino Linotype" w:hAnsi="Palatino Linotype" w:cs="Palatino Linotype"/>
          <w:b/>
          <w:i/>
          <w:sz w:val="22"/>
          <w:szCs w:val="22"/>
        </w:rPr>
        <w:t>número telefónico, domicilio para recibir correspondencia y dirección de correo electrónico oficiales</w:t>
      </w:r>
      <w:r w:rsidRPr="002250FE">
        <w:rPr>
          <w:rFonts w:ascii="Palatino Linotype" w:eastAsia="Palatino Linotype" w:hAnsi="Palatino Linotype" w:cs="Palatino Linotype"/>
          <w:i/>
          <w:sz w:val="22"/>
          <w:szCs w:val="22"/>
        </w:rPr>
        <w:t xml:space="preserve"> 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 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base10. 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Periodo de actualización: trimestral En su caso, 15 días hábiles después de alguna modificación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Conservar en sitio de Internet: información vigente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Aplica a: todos los sujetos obligados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Criterios sustantivos de contenido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1 Ejercicio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lastRenderedPageBreak/>
        <w:t xml:space="preserve">Criterio 2 Periodo que se informa (fecha de inicio y fecha de término con el formato día/mes/año)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3 Clave o nivel del puesto (de acuerdo con el catálogo que regule la actividad del sujeto obligado)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Criterio 4 Denominación del cargo (de conformidad con nombramiento otorgado) Criterio 5 Nombre del servidor(a) público(a</w:t>
      </w:r>
      <w:proofErr w:type="gramStart"/>
      <w:r w:rsidRPr="002250FE">
        <w:rPr>
          <w:rFonts w:ascii="Palatino Linotype" w:eastAsia="Palatino Linotype" w:hAnsi="Palatino Linotype" w:cs="Palatino Linotype"/>
          <w:i/>
          <w:sz w:val="22"/>
          <w:szCs w:val="22"/>
        </w:rPr>
        <w:t>)(</w:t>
      </w:r>
      <w:proofErr w:type="gramEnd"/>
      <w:r w:rsidRPr="002250FE">
        <w:rPr>
          <w:rFonts w:ascii="Palatino Linotype" w:eastAsia="Palatino Linotype" w:hAnsi="Palatino Linotype" w:cs="Palatino Linotype"/>
          <w:i/>
          <w:sz w:val="22"/>
          <w:szCs w:val="22"/>
        </w:rPr>
        <w:t xml:space="preserve">nombre[s], primer apellido, segundo apellido), integrante y/o miembro del sujeto obligado, y/o persona que desempeñe un empleo, cargo o comisión y/o ejerza actos de autoridad11. En su caso, incluir una nota que especifique el motivo por el cual no existe servidor(a) público(a) ocupando el cargo, por ejemplo: Vacante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6 Área de adscripción (de acuerdo con el catálogo que, en su caso, regule la actividad del sujeto obligado)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7 Fecha de alta en el cargo con el formato día/mes/año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roofErr w:type="gramStart"/>
      <w:r w:rsidRPr="002250FE">
        <w:rPr>
          <w:rFonts w:ascii="Palatino Linotype" w:eastAsia="Palatino Linotype" w:hAnsi="Palatino Linotype" w:cs="Palatino Linotype"/>
          <w:i/>
          <w:sz w:val="22"/>
          <w:szCs w:val="22"/>
        </w:rPr>
        <w:t>)12</w:t>
      </w:r>
      <w:proofErr w:type="gramEnd"/>
      <w:r w:rsidRPr="002250FE">
        <w:rPr>
          <w:rFonts w:ascii="Palatino Linotype" w:eastAsia="Palatino Linotype" w:hAnsi="Palatino Linotype" w:cs="Palatino Linotype"/>
          <w:i/>
          <w:sz w:val="22"/>
          <w:szCs w:val="22"/>
        </w:rPr>
        <w:t xml:space="preserve">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9 Número(s) de teléfono(s) oficial(es) y extensión (es)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Criterio 10 Correo electrónico oficial, en su caso</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11 Periodo de actualización de la información: trimestral. En su caso, 15 días hábiles después de alguna modificación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12 La información publicada deberá estar actualizada al periodo que corresponde de acuerdo con la Tabla de actualización y conservación de la información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13 Conservar en el sitio de Internet y a través de la Plataforma Nacional la Información de acuerdo con la Tabla de actualización y conservación de la información Criterios adjetivos de confiabilidad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Criterio 14 Área(s) responsable(s</w:t>
      </w:r>
      <w:proofErr w:type="gramStart"/>
      <w:r w:rsidRPr="002250FE">
        <w:rPr>
          <w:rFonts w:ascii="Palatino Linotype" w:eastAsia="Palatino Linotype" w:hAnsi="Palatino Linotype" w:cs="Palatino Linotype"/>
          <w:i/>
          <w:sz w:val="22"/>
          <w:szCs w:val="22"/>
        </w:rPr>
        <w:t>)que</w:t>
      </w:r>
      <w:proofErr w:type="gramEnd"/>
      <w:r w:rsidRPr="002250FE">
        <w:rPr>
          <w:rFonts w:ascii="Palatino Linotype" w:eastAsia="Palatino Linotype" w:hAnsi="Palatino Linotype" w:cs="Palatino Linotype"/>
          <w:i/>
          <w:sz w:val="22"/>
          <w:szCs w:val="22"/>
        </w:rPr>
        <w:t xml:space="preserve"> genera(n), posee(n), publica(n) y actualiza(n) la información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15 Fecha de actualización de la información publicada con el formato día/mes/año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16 Fecha de validación de la información publicada con el formato día/mes/año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Criterio 17 Nota. Este criterio se cumple en caso de que sea necesario que el sujeto obligado incluya alguna aclaración relativa a la información publicada y/o explicación por la falta de información Criterios adjetivos de formato </w:t>
      </w:r>
    </w:p>
    <w:p w:rsidR="00E138AF" w:rsidRPr="002250FE" w:rsidRDefault="00B93B51">
      <w:pPr>
        <w:shd w:val="clear" w:color="auto" w:fill="FFFFFF"/>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lastRenderedPageBreak/>
        <w:t>Criterio 18 La información publicada se organiza mediante el formato 7, en el que se incluyen todos los campos especificados en los criterios sustantivos de contenido Criterio 19 El soporte de la información permite su reutilización…” (Sic)</w:t>
      </w:r>
    </w:p>
    <w:p w:rsidR="00E138AF" w:rsidRPr="002250FE" w:rsidRDefault="00E138A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E138AF" w:rsidRPr="002250FE" w:rsidRDefault="00B93B5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Razones por las cuales lo procedente es ordenar el documento o documentos en donde consten los datos de contacto del Instituto Mexiquense de la Vivienda Social y de sus Delegaciones Regionales, vigente al veinticuatro de mayo del año dos mil veintidós.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Quinto. Versión Pública. </w:t>
      </w:r>
      <w:r w:rsidRPr="002250F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sin menoscabar el derecho a la protección de los datos personales de terceros.</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after="240" w:line="360" w:lineRule="auto"/>
        <w:ind w:right="50"/>
        <w:jc w:val="both"/>
        <w:rPr>
          <w:rFonts w:ascii="Palatino Linotype" w:eastAsia="Palatino Linotype" w:hAnsi="Palatino Linotype" w:cs="Palatino Linotype"/>
        </w:rPr>
      </w:pPr>
      <w:r w:rsidRPr="002250FE">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E138AF" w:rsidRPr="002250FE" w:rsidRDefault="00B93B51">
      <w:pPr>
        <w:ind w:left="993" w:right="1041"/>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 xml:space="preserve"> “Artículo 3. Para los efectos de la presente Ley se entenderá por:</w:t>
      </w:r>
    </w:p>
    <w:p w:rsidR="00E138AF" w:rsidRPr="002250FE" w:rsidRDefault="00B93B51">
      <w:pPr>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lastRenderedPageBreak/>
        <w:t>IX. Datos personales:</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rPr>
        <w:t>La información concerniente a una persona, identificada o identificable</w:t>
      </w:r>
      <w:r w:rsidRPr="002250FE">
        <w:rPr>
          <w:rFonts w:ascii="Palatino Linotype" w:eastAsia="Palatino Linotype" w:hAnsi="Palatino Linotype" w:cs="Palatino Linotype"/>
          <w:i/>
          <w:sz w:val="22"/>
          <w:szCs w:val="22"/>
        </w:rPr>
        <w:t xml:space="preserve"> según lo dispuesto por la Ley de Protección de Datos Personales del Estado de México;</w:t>
      </w:r>
    </w:p>
    <w:p w:rsidR="00E138AF" w:rsidRPr="002250FE" w:rsidRDefault="00B93B51">
      <w:pPr>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XX. Información clasificada:</w:t>
      </w:r>
      <w:r w:rsidRPr="002250FE">
        <w:rPr>
          <w:rFonts w:ascii="Palatino Linotype" w:eastAsia="Palatino Linotype" w:hAnsi="Palatino Linotype" w:cs="Palatino Linotype"/>
          <w:i/>
          <w:sz w:val="22"/>
          <w:szCs w:val="22"/>
        </w:rPr>
        <w:t xml:space="preserve"> Aquella considerada por la presente Ley como reservada o confidencial;</w:t>
      </w:r>
    </w:p>
    <w:p w:rsidR="00E138AF" w:rsidRPr="002250FE" w:rsidRDefault="00B93B51">
      <w:pPr>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XXXII. Protección de Datos Personales:</w:t>
      </w:r>
      <w:r w:rsidRPr="002250F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E138AF" w:rsidRPr="002250FE" w:rsidRDefault="00B93B51">
      <w:pPr>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XLV. Versión pública</w:t>
      </w:r>
      <w:r w:rsidRPr="002250F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E138AF" w:rsidRPr="002250FE" w:rsidRDefault="00E138AF">
      <w:pPr>
        <w:ind w:left="993" w:right="1041"/>
        <w:jc w:val="both"/>
        <w:rPr>
          <w:rFonts w:ascii="Palatino Linotype" w:eastAsia="Palatino Linotype" w:hAnsi="Palatino Linotype" w:cs="Palatino Linotype"/>
          <w:i/>
          <w:sz w:val="22"/>
          <w:szCs w:val="22"/>
        </w:rPr>
      </w:pPr>
    </w:p>
    <w:p w:rsidR="00E138AF" w:rsidRPr="002250FE" w:rsidRDefault="00B93B51">
      <w:pPr>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6.</w:t>
      </w:r>
      <w:r w:rsidRPr="002250F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138AF" w:rsidRPr="002250FE" w:rsidRDefault="00E138AF">
      <w:pPr>
        <w:ind w:left="993" w:right="1041"/>
        <w:jc w:val="both"/>
        <w:rPr>
          <w:rFonts w:ascii="Palatino Linotype" w:eastAsia="Palatino Linotype" w:hAnsi="Palatino Linotype" w:cs="Palatino Linotype"/>
          <w:i/>
          <w:sz w:val="22"/>
          <w:szCs w:val="22"/>
        </w:rPr>
      </w:pPr>
    </w:p>
    <w:p w:rsidR="00E138AF" w:rsidRPr="002250FE" w:rsidRDefault="00B93B51">
      <w:pPr>
        <w:ind w:left="993" w:right="1041"/>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“Artículo 137.</w:t>
      </w:r>
      <w:r w:rsidRPr="002250F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138AF" w:rsidRPr="002250FE" w:rsidRDefault="00E138AF">
      <w:pPr>
        <w:ind w:left="993" w:right="1041"/>
        <w:jc w:val="both"/>
        <w:rPr>
          <w:rFonts w:ascii="Palatino Linotype" w:eastAsia="Palatino Linotype" w:hAnsi="Palatino Linotype" w:cs="Palatino Linotype"/>
          <w:b/>
          <w:i/>
          <w:sz w:val="22"/>
          <w:szCs w:val="22"/>
        </w:rPr>
      </w:pPr>
    </w:p>
    <w:p w:rsidR="00E138AF" w:rsidRPr="002250FE" w:rsidRDefault="00B93B51">
      <w:pPr>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143</w:t>
      </w:r>
      <w:r w:rsidRPr="002250F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E138AF" w:rsidRPr="002250FE" w:rsidRDefault="00B93B51">
      <w:pPr>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I.</w:t>
      </w:r>
      <w:r w:rsidRPr="002250F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E138AF" w:rsidRPr="002250FE" w:rsidRDefault="00B93B51">
      <w:pPr>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E138AF" w:rsidRPr="002250FE" w:rsidRDefault="00B93B51">
      <w:pPr>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En lo que concierte a la Clave Única de Registro de Población (CURP), </w:t>
      </w:r>
      <w:r w:rsidRPr="002250FE">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Acorde con lo anterior, el artículo 22 del Reglamento Interior de la Secretaría de Gobernación, establece en su fracción III, que la Dirección General del Registro Nacional de Población e Identificación Personal tiene la atribución de asignar y </w:t>
      </w:r>
      <w:r w:rsidRPr="002250FE">
        <w:rPr>
          <w:rFonts w:ascii="Palatino Linotype" w:eastAsia="Palatino Linotype" w:hAnsi="Palatino Linotype" w:cs="Palatino Linotype"/>
        </w:rPr>
        <w:lastRenderedPageBreak/>
        <w:t>depurar la Clave Única de Registro de Población a todas las personas residentes en el país, así como a los mexicanos que residan en el extranjero.</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ese orden de ideas, la Secretaría de Gobernación en las direcciones </w:t>
      </w:r>
      <w:hyperlink r:id="rId37">
        <w:r w:rsidRPr="002250FE">
          <w:rPr>
            <w:rFonts w:ascii="Palatino Linotype" w:eastAsia="Palatino Linotype" w:hAnsi="Palatino Linotype" w:cs="Palatino Linotype"/>
            <w:u w:val="single"/>
          </w:rPr>
          <w:t>https://consultas.curp.gob.mx/CurpSP/html/informacionecurpPS.html</w:t>
        </w:r>
      </w:hyperlink>
      <w:r w:rsidRPr="002250FE">
        <w:rPr>
          <w:rFonts w:ascii="Palatino Linotype" w:eastAsia="Palatino Linotype" w:hAnsi="Palatino Linotype" w:cs="Palatino Linotype"/>
        </w:rPr>
        <w:t xml:space="preserve"> y </w:t>
      </w:r>
      <w:hyperlink r:id="rId38">
        <w:r w:rsidRPr="002250FE">
          <w:rPr>
            <w:rFonts w:ascii="Palatino Linotype" w:eastAsia="Palatino Linotype" w:hAnsi="Palatino Linotype" w:cs="Palatino Linotype"/>
            <w:u w:val="single"/>
          </w:rPr>
          <w:t>https://www.gob.mx/segob/renapo/acciones-y-programas/clave-unica-de-registro-de-poblacion-curp-142226</w:t>
        </w:r>
      </w:hyperlink>
      <w:r w:rsidRPr="002250FE">
        <w:rPr>
          <w:rFonts w:ascii="Palatino Linotype" w:eastAsia="Palatino Linotype" w:hAnsi="Palatino Linotype" w:cs="Palatino Linotype"/>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2250FE">
        <w:rPr>
          <w:rFonts w:ascii="Palatino Linotype" w:eastAsia="Palatino Linotype" w:hAnsi="Palatino Linotype" w:cs="Palatino Linotype"/>
          <w:b/>
        </w:rPr>
        <w:t>se generan a partir de los datos contenidos en el documento probatorio de la identidad</w:t>
      </w:r>
      <w:r w:rsidRPr="002250FE">
        <w:rPr>
          <w:rFonts w:ascii="Palatino Linotype" w:eastAsia="Palatino Linotype" w:hAnsi="Palatino Linotype" w:cs="Palatino Linotype"/>
        </w:rPr>
        <w:t xml:space="preserve"> </w:t>
      </w:r>
      <w:r w:rsidRPr="002250FE">
        <w:rPr>
          <w:rFonts w:ascii="Palatino Linotype" w:eastAsia="Palatino Linotype" w:hAnsi="Palatino Linotype" w:cs="Palatino Linotype"/>
          <w:b/>
        </w:rPr>
        <w:t xml:space="preserve">del interesado </w:t>
      </w:r>
      <w:r w:rsidRPr="002250FE">
        <w:rPr>
          <w:rFonts w:ascii="Palatino Linotype" w:eastAsia="Palatino Linotype" w:hAnsi="Palatino Linotype" w:cs="Palatino Linotype"/>
        </w:rPr>
        <w:t>(acta de nacimiento, carta de naturalización o documento migratorio) de la siguiente forma:</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numPr>
          <w:ilvl w:val="0"/>
          <w:numId w:val="2"/>
        </w:num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El primero y segundo apellidos, así como al nombre de pila;</w:t>
      </w:r>
    </w:p>
    <w:p w:rsidR="00E138AF" w:rsidRPr="002250FE" w:rsidRDefault="00B93B51">
      <w:pPr>
        <w:numPr>
          <w:ilvl w:val="0"/>
          <w:numId w:val="2"/>
        </w:num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La fecha de nacimiento;</w:t>
      </w:r>
    </w:p>
    <w:p w:rsidR="00E138AF" w:rsidRPr="002250FE" w:rsidRDefault="00B93B51">
      <w:pPr>
        <w:numPr>
          <w:ilvl w:val="0"/>
          <w:numId w:val="2"/>
        </w:num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El sexo, y</w:t>
      </w:r>
    </w:p>
    <w:p w:rsidR="00E138AF" w:rsidRPr="002250FE" w:rsidRDefault="00B93B51">
      <w:pPr>
        <w:numPr>
          <w:ilvl w:val="0"/>
          <w:numId w:val="2"/>
        </w:num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La entidad federativa de nacimiento.</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Los dos últimos elementos de la Clave Única de Registro de Población evitan la duplicidad de la Clave y garantizan su correcta integración.</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Como se desprende de lo anterior, la Clave Única de Registro de Población es un dato personal confidencial, ya que por sí sola brinda información personal de su </w:t>
      </w:r>
      <w:r w:rsidRPr="002250FE">
        <w:rPr>
          <w:rFonts w:ascii="Palatino Linotype" w:eastAsia="Palatino Linotype" w:hAnsi="Palatino Linotype" w:cs="Palatino Linotype"/>
        </w:rPr>
        <w:lastRenderedPageBreak/>
        <w:t>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rsidR="00E138AF" w:rsidRPr="002250FE" w:rsidRDefault="00E138AF">
      <w:pPr>
        <w:spacing w:line="360" w:lineRule="auto"/>
        <w:ind w:right="-28"/>
        <w:jc w:val="both"/>
        <w:rPr>
          <w:rFonts w:ascii="Palatino Linotype" w:eastAsia="Palatino Linotype" w:hAnsi="Palatino Linotype" w:cs="Palatino Linotype"/>
        </w:rPr>
      </w:pPr>
    </w:p>
    <w:p w:rsidR="00E138AF" w:rsidRPr="002250FE" w:rsidRDefault="00B93B51">
      <w:pPr>
        <w:ind w:left="567" w:right="567"/>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 xml:space="preserve">“Clave Única de Registro de Población (CURP). </w:t>
      </w:r>
      <w:r w:rsidRPr="002250FE">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E138AF" w:rsidRPr="002250FE" w:rsidRDefault="00E138AF">
      <w:pPr>
        <w:spacing w:line="360" w:lineRule="auto"/>
        <w:ind w:right="-28"/>
        <w:jc w:val="both"/>
        <w:rPr>
          <w:rFonts w:ascii="Palatino Linotype" w:eastAsia="Palatino Linotype" w:hAnsi="Palatino Linotype" w:cs="Palatino Linotype"/>
          <w:i/>
        </w:rPr>
      </w:pPr>
    </w:p>
    <w:p w:rsidR="00E138AF" w:rsidRPr="002250FE" w:rsidRDefault="00B93B51">
      <w:pPr>
        <w:spacing w:line="360" w:lineRule="auto"/>
        <w:ind w:right="-28"/>
        <w:jc w:val="both"/>
        <w:rPr>
          <w:rFonts w:ascii="Palatino Linotype" w:eastAsia="Palatino Linotype" w:hAnsi="Palatino Linotype" w:cs="Palatino Linotype"/>
        </w:rPr>
      </w:pPr>
      <w:r w:rsidRPr="002250FE">
        <w:rPr>
          <w:rFonts w:ascii="Palatino Linotype" w:eastAsia="Palatino Linotype" w:hAnsi="Palatino Linotype" w:cs="Palatino Linotype"/>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Sobre la </w:t>
      </w:r>
      <w:r w:rsidRPr="002250FE">
        <w:rPr>
          <w:rFonts w:ascii="Palatino Linotype" w:eastAsia="Palatino Linotype" w:hAnsi="Palatino Linotype" w:cs="Palatino Linotype"/>
          <w:b/>
        </w:rPr>
        <w:t>clave catastral</w:t>
      </w:r>
      <w:r w:rsidRPr="002250FE">
        <w:rPr>
          <w:rFonts w:ascii="Palatino Linotype" w:eastAsia="Palatino Linotype" w:hAnsi="Palatino Linotype" w:cs="Palatino Linotype"/>
        </w:rPr>
        <w:t xml:space="preserve"> debe decirse que artículo 179, fracción I del </w:t>
      </w:r>
      <w:r w:rsidRPr="002250FE">
        <w:rPr>
          <w:rFonts w:ascii="Palatino Linotype" w:eastAsia="Palatino Linotype" w:hAnsi="Palatino Linotype" w:cs="Palatino Linotype"/>
          <w:i/>
        </w:rPr>
        <w:t>Código Financiero del Estado de México y Municipios,</w:t>
      </w:r>
      <w:r w:rsidRPr="002250FE">
        <w:rPr>
          <w:rFonts w:ascii="Palatino Linotype" w:eastAsia="Palatino Linotype" w:hAnsi="Palatino Linotype" w:cs="Palatino Linotype"/>
        </w:rPr>
        <w:t xml:space="preserve"> refiere que la clave catastral es un código alfanumérico único e irrepetible, que se asigna para efectos de localización geográfica, identificación, inscripción, control y registro de los inmuebles; por lo </w:t>
      </w:r>
      <w:r w:rsidRPr="002250FE">
        <w:rPr>
          <w:rFonts w:ascii="Palatino Linotype" w:eastAsia="Palatino Linotype" w:hAnsi="Palatino Linotype" w:cs="Palatino Linotype"/>
        </w:rPr>
        <w:lastRenderedPageBreak/>
        <w:t>que, integrado de dieciséis caracteres, los primeros tres identifican el código del municipio, los dos siguientes a la zona catastral, los subsecuentes tres a la manzana y los últimos dos, identifican el número de lote o predio.</w:t>
      </w:r>
    </w:p>
    <w:p w:rsidR="00E138AF" w:rsidRPr="002250FE" w:rsidRDefault="00B93B51">
      <w:pPr>
        <w:spacing w:before="240" w:after="240" w:line="360" w:lineRule="auto"/>
        <w:ind w:right="-93"/>
        <w:jc w:val="both"/>
        <w:rPr>
          <w:rFonts w:ascii="Palatino Linotype" w:eastAsia="Palatino Linotype" w:hAnsi="Palatino Linotype" w:cs="Palatino Linotype"/>
        </w:rPr>
      </w:pPr>
      <w:r w:rsidRPr="002250FE">
        <w:rPr>
          <w:rFonts w:ascii="Palatino Linotype" w:eastAsia="Palatino Linotype" w:hAnsi="Palatino Linotype" w:cs="Palatino Linotype"/>
        </w:rPr>
        <w:t>Conforme a lo descrito, se advierte que el dato en comento, hace referencia a un predio determinado.</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El “Diccionario de Datos catastrales Escala 1:1000” del Instituto Nacional de Estadística y Geografía (INEGI), contempla en su Glosario la definición de la Clave Catastral, la cual, apunta lo siguiente:</w:t>
      </w:r>
    </w:p>
    <w:p w:rsidR="00E138AF" w:rsidRPr="002250FE" w:rsidRDefault="00B93B51">
      <w:pPr>
        <w:spacing w:before="120" w:after="120"/>
        <w:ind w:left="709" w:right="85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r w:rsidRPr="002250FE">
        <w:rPr>
          <w:rFonts w:ascii="Palatino Linotype" w:eastAsia="Palatino Linotype" w:hAnsi="Palatino Linotype" w:cs="Palatino Linotype"/>
          <w:b/>
          <w:i/>
          <w:sz w:val="22"/>
          <w:szCs w:val="22"/>
        </w:rPr>
        <w:t>Clave Catastral</w:t>
      </w:r>
      <w:r w:rsidRPr="002250FE">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catastrales.”(Sic)</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rsidR="00E138AF" w:rsidRPr="002250FE" w:rsidRDefault="00B93B51">
      <w:pPr>
        <w:spacing w:before="280" w:after="28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cuanto </w:t>
      </w:r>
      <w:r w:rsidRPr="002250FE">
        <w:rPr>
          <w:rFonts w:ascii="Palatino Linotype" w:eastAsia="Palatino Linotype" w:hAnsi="Palatino Linotype" w:cs="Palatino Linotype"/>
          <w:b/>
        </w:rPr>
        <w:t>al domicilio particular</w:t>
      </w:r>
      <w:r w:rsidRPr="002250FE">
        <w:rPr>
          <w:rFonts w:ascii="Palatino Linotype" w:eastAsia="Palatino Linotype" w:hAnsi="Palatino Linotype" w:cs="Palatino Linotype"/>
        </w:rPr>
        <w:t xml:space="preserve">,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w:t>
      </w:r>
      <w:r w:rsidRPr="002250FE">
        <w:rPr>
          <w:rFonts w:ascii="Palatino Linotype" w:eastAsia="Palatino Linotype" w:hAnsi="Palatino Linotype" w:cs="Palatino Linotype"/>
        </w:rPr>
        <w:lastRenderedPageBreak/>
        <w:t xml:space="preserve">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rsidR="00E138AF" w:rsidRPr="002250FE" w:rsidRDefault="00B93B51">
      <w:pPr>
        <w:spacing w:before="280" w:after="28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Por lo que la clasificación del domicilio particular, por tratarse de un dato personal confidencial, en términos del artículo 143, fracción I de la Ley de Transparencia y Acceso a la Información Pública del Estado de México y Municipios. </w:t>
      </w: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En cuanto al </w:t>
      </w:r>
      <w:r w:rsidRPr="002250FE">
        <w:rPr>
          <w:rFonts w:ascii="Palatino Linotype" w:eastAsia="Palatino Linotype" w:hAnsi="Palatino Linotype" w:cs="Palatino Linotype"/>
          <w:b/>
        </w:rPr>
        <w:t>teléfono particular</w:t>
      </w:r>
      <w:r w:rsidRPr="002250FE">
        <w:rPr>
          <w:rFonts w:ascii="Palatino Linotype" w:eastAsia="Palatino Linotype" w:hAnsi="Palatino Linotype" w:cs="Palatino Linotype"/>
        </w:rPr>
        <w:t xml:space="preserve">, el número asignado a un teléfono particular permite localizar a una persona física identificada o identificable, ya sea a través de un dispositivo móvil o bien, en un lugar como el domicilio. </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En tales consideraciones, dicho dato persona es susceptible de ser clasificado como confidencial, con fundamento en el artículo 143, fracción I de la Ley de Transparencia y Acceso a la Información Pública.</w:t>
      </w:r>
    </w:p>
    <w:p w:rsidR="00E138AF" w:rsidRPr="002250FE" w:rsidRDefault="00E138AF">
      <w:pPr>
        <w:spacing w:line="360" w:lineRule="auto"/>
        <w:ind w:right="50"/>
        <w:jc w:val="both"/>
        <w:rPr>
          <w:rFonts w:ascii="Palatino Linotype" w:eastAsia="Palatino Linotype" w:hAnsi="Palatino Linotype" w:cs="Palatino Linotype"/>
        </w:rPr>
      </w:pPr>
    </w:p>
    <w:p w:rsidR="00E138AF" w:rsidRPr="002250FE" w:rsidRDefault="00B93B51">
      <w:pPr>
        <w:spacing w:line="360" w:lineRule="auto"/>
        <w:ind w:right="50"/>
        <w:jc w:val="both"/>
        <w:rPr>
          <w:rFonts w:ascii="Palatino Linotype" w:eastAsia="Palatino Linotype" w:hAnsi="Palatino Linotype" w:cs="Palatino Linotype"/>
        </w:rPr>
      </w:pPr>
      <w:r w:rsidRPr="002250F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w:t>
      </w:r>
      <w:r w:rsidRPr="002250FE">
        <w:rPr>
          <w:rFonts w:ascii="Palatino Linotype" w:eastAsia="Palatino Linotype" w:hAnsi="Palatino Linotype" w:cs="Palatino Linotype"/>
        </w:rPr>
        <w:lastRenderedPageBreak/>
        <w:t xml:space="preserve">tome el Servidor Público Habilitado o el Responsable de la Unidad de Transparencia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49.</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rPr>
        <w:t>Los Comités de Transparencia</w:t>
      </w:r>
      <w:r w:rsidRPr="002250FE">
        <w:rPr>
          <w:rFonts w:ascii="Palatino Linotype" w:eastAsia="Palatino Linotype" w:hAnsi="Palatino Linotype" w:cs="Palatino Linotype"/>
          <w:i/>
          <w:sz w:val="22"/>
          <w:szCs w:val="22"/>
        </w:rPr>
        <w:t xml:space="preserve"> tendrán las siguientes atribuciones:</w:t>
      </w:r>
    </w:p>
    <w:p w:rsidR="00E138AF" w:rsidRPr="002250FE" w:rsidRDefault="00B93B51">
      <w:pPr>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VIII. Aprobar, modificar o revocar la clasificación de la información</w:t>
      </w:r>
      <w:r w:rsidRPr="002250FE">
        <w:rPr>
          <w:rFonts w:ascii="Palatino Linotype" w:eastAsia="Palatino Linotype" w:hAnsi="Palatino Linotype" w:cs="Palatino Linotype"/>
          <w:i/>
          <w:sz w:val="22"/>
          <w:szCs w:val="22"/>
        </w:rPr>
        <w:t>…”</w:t>
      </w:r>
    </w:p>
    <w:p w:rsidR="00E138AF" w:rsidRPr="002250FE" w:rsidRDefault="00B93B51">
      <w:pPr>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r w:rsidRPr="002250FE">
        <w:rPr>
          <w:rFonts w:ascii="Palatino Linotype" w:eastAsia="Palatino Linotype" w:hAnsi="Palatino Linotype" w:cs="Palatino Linotype"/>
          <w:b/>
          <w:i/>
          <w:sz w:val="22"/>
          <w:szCs w:val="22"/>
        </w:rPr>
        <w:t>Artículo 53.</w:t>
      </w:r>
      <w:r w:rsidRPr="002250FE">
        <w:rPr>
          <w:rFonts w:ascii="Palatino Linotype" w:eastAsia="Palatino Linotype" w:hAnsi="Palatino Linotype" w:cs="Palatino Linotype"/>
          <w:i/>
          <w:sz w:val="22"/>
          <w:szCs w:val="22"/>
        </w:rPr>
        <w:t xml:space="preserve"> Las </w:t>
      </w:r>
      <w:r w:rsidRPr="002250FE">
        <w:rPr>
          <w:rFonts w:ascii="Palatino Linotype" w:eastAsia="Palatino Linotype" w:hAnsi="Palatino Linotype" w:cs="Palatino Linotype"/>
          <w:b/>
          <w:i/>
          <w:sz w:val="22"/>
          <w:szCs w:val="22"/>
        </w:rPr>
        <w:t>Unidades de Transparencia</w:t>
      </w:r>
      <w:r w:rsidRPr="002250FE">
        <w:rPr>
          <w:rFonts w:ascii="Palatino Linotype" w:eastAsia="Palatino Linotype" w:hAnsi="Palatino Linotype" w:cs="Palatino Linotype"/>
          <w:i/>
          <w:sz w:val="22"/>
          <w:szCs w:val="22"/>
        </w:rPr>
        <w:t xml:space="preserve"> tendrán las siguientes </w:t>
      </w:r>
      <w:r w:rsidRPr="002250FE">
        <w:rPr>
          <w:rFonts w:ascii="Palatino Linotype" w:eastAsia="Palatino Linotype" w:hAnsi="Palatino Linotype" w:cs="Palatino Linotype"/>
          <w:b/>
          <w:i/>
          <w:sz w:val="22"/>
          <w:szCs w:val="22"/>
        </w:rPr>
        <w:t>funciones</w:t>
      </w:r>
      <w:r w:rsidRPr="002250FE">
        <w:rPr>
          <w:rFonts w:ascii="Palatino Linotype" w:eastAsia="Palatino Linotype" w:hAnsi="Palatino Linotype" w:cs="Palatino Linotype"/>
          <w:i/>
          <w:sz w:val="22"/>
          <w:szCs w:val="22"/>
        </w:rPr>
        <w:t>:</w:t>
      </w:r>
    </w:p>
    <w:p w:rsidR="00E138AF" w:rsidRPr="002250FE" w:rsidRDefault="00B93B51">
      <w:pPr>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X. Presentar ante el Comité, el proyecto de clasificación de información</w:t>
      </w:r>
      <w:r w:rsidRPr="002250FE">
        <w:rPr>
          <w:rFonts w:ascii="Palatino Linotype" w:eastAsia="Palatino Linotype" w:hAnsi="Palatino Linotype" w:cs="Palatino Linotype"/>
          <w:i/>
          <w:sz w:val="22"/>
          <w:szCs w:val="22"/>
        </w:rPr>
        <w:t xml:space="preserve">…” </w:t>
      </w:r>
    </w:p>
    <w:p w:rsidR="00E138AF" w:rsidRPr="002250FE" w:rsidRDefault="00B93B51">
      <w:pPr>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“Artículo 59.</w:t>
      </w:r>
      <w:r w:rsidRPr="002250FE">
        <w:rPr>
          <w:rFonts w:ascii="Palatino Linotype" w:eastAsia="Palatino Linotype" w:hAnsi="Palatino Linotype" w:cs="Palatino Linotype"/>
          <w:i/>
          <w:sz w:val="22"/>
          <w:szCs w:val="22"/>
        </w:rPr>
        <w:t xml:space="preserve"> Los </w:t>
      </w:r>
      <w:r w:rsidRPr="002250FE">
        <w:rPr>
          <w:rFonts w:ascii="Palatino Linotype" w:eastAsia="Palatino Linotype" w:hAnsi="Palatino Linotype" w:cs="Palatino Linotype"/>
          <w:b/>
          <w:i/>
          <w:sz w:val="22"/>
          <w:szCs w:val="22"/>
        </w:rPr>
        <w:t>servidores públicos habilitados</w:t>
      </w:r>
      <w:r w:rsidRPr="002250FE">
        <w:rPr>
          <w:rFonts w:ascii="Palatino Linotype" w:eastAsia="Palatino Linotype" w:hAnsi="Palatino Linotype" w:cs="Palatino Linotype"/>
          <w:i/>
          <w:sz w:val="22"/>
          <w:szCs w:val="22"/>
        </w:rPr>
        <w:t xml:space="preserve"> tendrán las </w:t>
      </w:r>
      <w:r w:rsidRPr="002250FE">
        <w:rPr>
          <w:rFonts w:ascii="Palatino Linotype" w:eastAsia="Palatino Linotype" w:hAnsi="Palatino Linotype" w:cs="Palatino Linotype"/>
          <w:b/>
          <w:i/>
          <w:sz w:val="22"/>
          <w:szCs w:val="22"/>
        </w:rPr>
        <w:t>funciones</w:t>
      </w:r>
      <w:r w:rsidRPr="002250FE">
        <w:rPr>
          <w:rFonts w:ascii="Palatino Linotype" w:eastAsia="Palatino Linotype" w:hAnsi="Palatino Linotype" w:cs="Palatino Linotype"/>
          <w:i/>
          <w:sz w:val="22"/>
          <w:szCs w:val="22"/>
        </w:rPr>
        <w:t xml:space="preserve"> siguientes:</w:t>
      </w:r>
    </w:p>
    <w:p w:rsidR="00E138AF" w:rsidRPr="002250FE" w:rsidRDefault="00B93B51">
      <w:pPr>
        <w:ind w:left="992" w:right="1043"/>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250FE">
        <w:rPr>
          <w:rFonts w:ascii="Palatino Linotype" w:eastAsia="Palatino Linotype" w:hAnsi="Palatino Linotype" w:cs="Palatino Linotype"/>
          <w:i/>
          <w:sz w:val="22"/>
          <w:szCs w:val="22"/>
        </w:rPr>
        <w:t>, la cual tendrá los fundamentos y argumentos en que se basa dicha propuesta…” (Sic)</w:t>
      </w:r>
    </w:p>
    <w:p w:rsidR="00E138AF" w:rsidRPr="002250FE" w:rsidRDefault="00E138AF">
      <w:pPr>
        <w:ind w:left="992" w:right="1043"/>
        <w:jc w:val="both"/>
        <w:rPr>
          <w:rFonts w:ascii="Palatino Linotype" w:eastAsia="Palatino Linotype" w:hAnsi="Palatino Linotype" w:cs="Palatino Linotype"/>
          <w:i/>
          <w:sz w:val="22"/>
          <w:szCs w:val="22"/>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after="240"/>
        <w:ind w:left="993" w:right="1041"/>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r w:rsidRPr="002250FE">
        <w:rPr>
          <w:rFonts w:ascii="Palatino Linotype" w:eastAsia="Palatino Linotype" w:hAnsi="Palatino Linotype" w:cs="Palatino Linotype"/>
          <w:b/>
          <w:i/>
          <w:sz w:val="22"/>
          <w:szCs w:val="22"/>
        </w:rPr>
        <w:t>Artículo 149.</w:t>
      </w:r>
      <w:r w:rsidRPr="002250FE">
        <w:rPr>
          <w:rFonts w:ascii="Palatino Linotype" w:eastAsia="Palatino Linotype" w:hAnsi="Palatino Linotype" w:cs="Palatino Linotype"/>
          <w:i/>
          <w:sz w:val="22"/>
          <w:szCs w:val="22"/>
        </w:rPr>
        <w:t xml:space="preserve"> El </w:t>
      </w:r>
      <w:r w:rsidRPr="002250FE">
        <w:rPr>
          <w:rFonts w:ascii="Palatino Linotype" w:eastAsia="Palatino Linotype" w:hAnsi="Palatino Linotype" w:cs="Palatino Linotype"/>
          <w:b/>
          <w:i/>
          <w:sz w:val="22"/>
          <w:szCs w:val="22"/>
        </w:rPr>
        <w:t>acuerdo que clasifique la información como confidencial</w:t>
      </w:r>
      <w:r w:rsidRPr="002250F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E138AF" w:rsidRPr="002250FE" w:rsidRDefault="00E138AF">
      <w:pPr>
        <w:spacing w:before="240" w:line="360" w:lineRule="auto"/>
        <w:ind w:right="51"/>
        <w:jc w:val="both"/>
        <w:rPr>
          <w:rFonts w:ascii="Palatino Linotype" w:eastAsia="Palatino Linotype" w:hAnsi="Palatino Linotype" w:cs="Palatino Linotype"/>
          <w:i/>
          <w:sz w:val="22"/>
          <w:szCs w:val="22"/>
        </w:rPr>
      </w:pPr>
    </w:p>
    <w:p w:rsidR="00E138AF" w:rsidRPr="002250FE" w:rsidRDefault="00B93B51">
      <w:pPr>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Es decir,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E138AF" w:rsidRPr="002250FE" w:rsidRDefault="00E138AF">
      <w:pPr>
        <w:spacing w:line="360" w:lineRule="auto"/>
        <w:ind w:right="51"/>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Al respecto, se destaca que la versión pública que elabore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w:t>
      </w:r>
      <w:r w:rsidRPr="002250FE">
        <w:rPr>
          <w:rFonts w:ascii="Palatino Linotype" w:eastAsia="Palatino Linotype" w:hAnsi="Palatino Linotype" w:cs="Palatino Linotype"/>
        </w:rPr>
        <w:lastRenderedPageBreak/>
        <w:t xml:space="preserve">y Municipios, ya expuesto; así como con los numerales aplicables de los </w:t>
      </w:r>
      <w:r w:rsidRPr="002250F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2250F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E138AF" w:rsidRPr="002250FE" w:rsidRDefault="00E138AF">
      <w:pPr>
        <w:ind w:left="709" w:right="709"/>
        <w:jc w:val="both"/>
        <w:rPr>
          <w:rFonts w:ascii="Palatino Linotype" w:eastAsia="Palatino Linotype" w:hAnsi="Palatino Linotype" w:cs="Palatino Linotype"/>
          <w:b/>
          <w:i/>
          <w:sz w:val="22"/>
          <w:szCs w:val="22"/>
        </w:rPr>
      </w:pPr>
    </w:p>
    <w:p w:rsidR="00E138AF" w:rsidRPr="002250FE" w:rsidRDefault="00B93B51">
      <w:pPr>
        <w:ind w:left="709" w:right="709"/>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r w:rsidRPr="002250FE">
        <w:rPr>
          <w:rFonts w:ascii="Palatino Linotype" w:eastAsia="Palatino Linotype" w:hAnsi="Palatino Linotype" w:cs="Palatino Linotype"/>
          <w:b/>
          <w:i/>
          <w:sz w:val="22"/>
          <w:szCs w:val="22"/>
        </w:rPr>
        <w:t>Segundo.-</w:t>
      </w:r>
      <w:r w:rsidRPr="002250FE">
        <w:rPr>
          <w:rFonts w:ascii="Palatino Linotype" w:eastAsia="Palatino Linotype" w:hAnsi="Palatino Linotype" w:cs="Palatino Linotype"/>
          <w:i/>
          <w:sz w:val="22"/>
          <w:szCs w:val="22"/>
        </w:rPr>
        <w:t xml:space="preserve"> Para efectos de los presentes Lineamientos Generales, se entenderá por:</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XVIII.</w:t>
      </w:r>
      <w:r w:rsidRPr="002250FE">
        <w:rPr>
          <w:rFonts w:ascii="Palatino Linotype" w:eastAsia="Palatino Linotype" w:hAnsi="Palatino Linotype" w:cs="Palatino Linotype"/>
          <w:i/>
          <w:sz w:val="22"/>
          <w:szCs w:val="22"/>
        </w:rPr>
        <w:t xml:space="preserve"> </w:t>
      </w:r>
      <w:r w:rsidRPr="002250FE">
        <w:rPr>
          <w:rFonts w:ascii="Palatino Linotype" w:eastAsia="Palatino Linotype" w:hAnsi="Palatino Linotype" w:cs="Palatino Linotype"/>
          <w:b/>
          <w:i/>
          <w:sz w:val="22"/>
          <w:szCs w:val="22"/>
        </w:rPr>
        <w:t>Versión pública:</w:t>
      </w:r>
      <w:r w:rsidRPr="002250F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2250FE">
        <w:rPr>
          <w:rFonts w:ascii="Palatino Linotype" w:eastAsia="Palatino Linotype" w:hAnsi="Palatino Linotype" w:cs="Palatino Linotype"/>
          <w:b/>
          <w:i/>
          <w:sz w:val="22"/>
          <w:szCs w:val="22"/>
          <w:u w:val="single"/>
        </w:rPr>
        <w:t>fundando y motivando la</w:t>
      </w:r>
      <w:r w:rsidRPr="002250FE">
        <w:rPr>
          <w:rFonts w:ascii="Palatino Linotype" w:eastAsia="Palatino Linotype" w:hAnsi="Palatino Linotype" w:cs="Palatino Linotype"/>
          <w:i/>
          <w:sz w:val="22"/>
          <w:szCs w:val="22"/>
        </w:rPr>
        <w:t xml:space="preserve"> reserva o </w:t>
      </w:r>
      <w:r w:rsidRPr="002250FE">
        <w:rPr>
          <w:rFonts w:ascii="Palatino Linotype" w:eastAsia="Palatino Linotype" w:hAnsi="Palatino Linotype" w:cs="Palatino Linotype"/>
          <w:b/>
          <w:i/>
          <w:sz w:val="22"/>
          <w:szCs w:val="22"/>
          <w:u w:val="single"/>
        </w:rPr>
        <w:t>confidencialidad</w:t>
      </w:r>
      <w:r w:rsidRPr="002250FE">
        <w:rPr>
          <w:rFonts w:ascii="Palatino Linotype" w:eastAsia="Palatino Linotype" w:hAnsi="Palatino Linotype" w:cs="Palatino Linotype"/>
          <w:i/>
          <w:sz w:val="22"/>
          <w:szCs w:val="22"/>
        </w:rPr>
        <w:t>, a través de la resolución que para tal efecto emita el Comité de Transparencia.</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Cuarto.</w:t>
      </w:r>
      <w:r w:rsidRPr="002250F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Quinto.</w:t>
      </w:r>
      <w:r w:rsidRPr="002250F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138AF" w:rsidRPr="002250FE" w:rsidRDefault="00B93B51">
      <w:pPr>
        <w:ind w:left="709" w:right="709"/>
        <w:jc w:val="both"/>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Séptimo.</w:t>
      </w:r>
      <w:r w:rsidRPr="002250FE">
        <w:rPr>
          <w:rFonts w:ascii="Palatino Linotype" w:eastAsia="Palatino Linotype" w:hAnsi="Palatino Linotype" w:cs="Palatino Linotype"/>
          <w:i/>
          <w:sz w:val="22"/>
          <w:szCs w:val="22"/>
        </w:rPr>
        <w:t xml:space="preserve"> La clasificación de la información se llevará a cabo en el momento en que:</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I.</w:t>
      </w:r>
      <w:r w:rsidRPr="002250FE">
        <w:rPr>
          <w:rFonts w:ascii="Palatino Linotype" w:eastAsia="Palatino Linotype" w:hAnsi="Palatino Linotype" w:cs="Palatino Linotype"/>
          <w:i/>
          <w:sz w:val="22"/>
          <w:szCs w:val="22"/>
        </w:rPr>
        <w:t xml:space="preserve"> Se reciba una solicitud de acceso a la información;</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lastRenderedPageBreak/>
        <w:t>II.</w:t>
      </w:r>
      <w:r w:rsidRPr="002250FE">
        <w:rPr>
          <w:rFonts w:ascii="Palatino Linotype" w:eastAsia="Palatino Linotype" w:hAnsi="Palatino Linotype" w:cs="Palatino Linotype"/>
          <w:i/>
          <w:sz w:val="22"/>
          <w:szCs w:val="22"/>
        </w:rPr>
        <w:t xml:space="preserve"> Se determine mediante resolución de autoridad competente, o</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III.</w:t>
      </w:r>
      <w:r w:rsidRPr="002250F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Octavo.</w:t>
      </w:r>
      <w:r w:rsidRPr="002250F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Noveno.</w:t>
      </w:r>
      <w:r w:rsidRPr="002250F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Décimo.</w:t>
      </w:r>
      <w:r w:rsidRPr="002250F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Décimo primero.</w:t>
      </w:r>
      <w:r w:rsidRPr="002250F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138AF" w:rsidRPr="002250FE" w:rsidRDefault="00B93B51">
      <w:pPr>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lastRenderedPageBreak/>
        <w:t>[…]</w:t>
      </w:r>
    </w:p>
    <w:p w:rsidR="00E138AF" w:rsidRPr="002250FE" w:rsidRDefault="00B93B51">
      <w:pPr>
        <w:ind w:left="709" w:right="709"/>
        <w:jc w:val="center"/>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CAPÍTULO VIII</w:t>
      </w:r>
    </w:p>
    <w:p w:rsidR="00E138AF" w:rsidRPr="002250FE" w:rsidRDefault="00B93B51">
      <w:pPr>
        <w:ind w:left="709" w:right="709"/>
        <w:jc w:val="center"/>
        <w:rPr>
          <w:rFonts w:ascii="Palatino Linotype" w:eastAsia="Palatino Linotype" w:hAnsi="Palatino Linotype" w:cs="Palatino Linotype"/>
          <w:b/>
          <w:i/>
          <w:sz w:val="22"/>
          <w:szCs w:val="22"/>
        </w:rPr>
      </w:pPr>
      <w:r w:rsidRPr="002250FE">
        <w:rPr>
          <w:rFonts w:ascii="Palatino Linotype" w:eastAsia="Palatino Linotype" w:hAnsi="Palatino Linotype" w:cs="Palatino Linotype"/>
          <w:b/>
          <w:i/>
          <w:sz w:val="22"/>
          <w:szCs w:val="22"/>
        </w:rPr>
        <w:t>DE LA LEYENDA DE CLASIFICACIÓN</w:t>
      </w:r>
    </w:p>
    <w:p w:rsidR="00E138AF" w:rsidRPr="002250FE" w:rsidRDefault="00B93B51">
      <w:pPr>
        <w:spacing w:after="160"/>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Quincuagésimo</w:t>
      </w:r>
      <w:r w:rsidRPr="002250F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E138AF" w:rsidRPr="002250FE" w:rsidRDefault="00B93B51">
      <w:pPr>
        <w:spacing w:after="160"/>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w:t>
      </w:r>
    </w:p>
    <w:p w:rsidR="00E138AF" w:rsidRPr="002250FE" w:rsidRDefault="00B93B51">
      <w:pPr>
        <w:spacing w:after="160"/>
        <w:ind w:left="709" w:right="709"/>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b/>
          <w:i/>
          <w:sz w:val="22"/>
          <w:szCs w:val="22"/>
        </w:rPr>
        <w:t xml:space="preserve">Quincuagésimo tercero. </w:t>
      </w:r>
      <w:r w:rsidRPr="002250FE">
        <w:rPr>
          <w:rFonts w:ascii="Palatino Linotype" w:eastAsia="Palatino Linotype" w:hAnsi="Palatino Linotype" w:cs="Palatino Linotype"/>
          <w:b/>
          <w:i/>
          <w:sz w:val="22"/>
          <w:szCs w:val="22"/>
          <w:u w:val="single"/>
        </w:rPr>
        <w:t>El formato para señalar la clasificación parcial de un documento</w:t>
      </w:r>
      <w:r w:rsidRPr="002250FE">
        <w:rPr>
          <w:rFonts w:ascii="Palatino Linotype" w:eastAsia="Palatino Linotype" w:hAnsi="Palatino Linotype" w:cs="Palatino Linotype"/>
          <w:i/>
          <w:sz w:val="22"/>
          <w:szCs w:val="22"/>
        </w:rPr>
        <w:t>, es el siguiente:</w:t>
      </w:r>
    </w:p>
    <w:tbl>
      <w:tblPr>
        <w:tblStyle w:val="af8"/>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2250FE" w:rsidRPr="002250FE">
        <w:trPr>
          <w:jc w:val="center"/>
        </w:trPr>
        <w:tc>
          <w:tcPr>
            <w:tcW w:w="1159" w:type="dxa"/>
            <w:tcBorders>
              <w:top w:val="nil"/>
              <w:left w:val="nil"/>
              <w:bottom w:val="single" w:sz="4" w:space="0" w:color="000000"/>
              <w:right w:val="single" w:sz="4" w:space="0" w:color="000000"/>
            </w:tcBorders>
          </w:tcPr>
          <w:p w:rsidR="00E138AF" w:rsidRPr="002250FE" w:rsidRDefault="00E138AF">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b/>
                <w:i/>
              </w:rPr>
            </w:pPr>
            <w:r w:rsidRPr="002250FE">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b/>
                <w:i/>
              </w:rPr>
            </w:pPr>
            <w:r w:rsidRPr="002250FE">
              <w:rPr>
                <w:rFonts w:ascii="Palatino Linotype" w:eastAsia="Palatino Linotype" w:hAnsi="Palatino Linotype" w:cs="Palatino Linotype"/>
                <w:b/>
                <w:i/>
              </w:rPr>
              <w:t>Dónde:</w:t>
            </w:r>
          </w:p>
        </w:tc>
      </w:tr>
      <w:tr w:rsidR="002250FE" w:rsidRPr="002250FE">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E138AF" w:rsidRPr="002250FE" w:rsidRDefault="00B93B51">
            <w:pPr>
              <w:jc w:val="center"/>
              <w:rPr>
                <w:rFonts w:ascii="Palatino Linotype" w:eastAsia="Palatino Linotype" w:hAnsi="Palatino Linotype" w:cs="Palatino Linotype"/>
                <w:b/>
                <w:i/>
              </w:rPr>
            </w:pPr>
            <w:r w:rsidRPr="002250FE">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Se anotará la fecha en la que el Comité de Transparencia confirmó la clasificación del documento, en su caso.</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Se señalará el nombre del área del cual es titular quien clasifica.</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2250FE">
              <w:rPr>
                <w:rFonts w:ascii="Palatino Linotype" w:eastAsia="Palatino Linotype" w:hAnsi="Palatino Linotype" w:cs="Palatino Linotype"/>
                <w:i/>
              </w:rPr>
              <w:t>anotarán</w:t>
            </w:r>
            <w:proofErr w:type="gramEnd"/>
            <w:r w:rsidRPr="002250FE">
              <w:rPr>
                <w:rFonts w:ascii="Palatino Linotype" w:eastAsia="Palatino Linotype" w:hAnsi="Palatino Linotype" w:cs="Palatino Linotype"/>
                <w:i/>
              </w:rPr>
              <w:t xml:space="preserve"> todas las páginas que lo conforman. Si el documento no contiene información reservada, se tachará este apartado.</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Se anotará el número de años o meses por los que se mantendrá el documento o las partes del mismo como reservado.</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Se señalará el nombre del ordenamiento, el o los artículos, fracción(es), párrafo(s) con base en los cuales se sustente la reserva.</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Rúbrica autógrafa de quien clasifica.</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both"/>
              <w:rPr>
                <w:rFonts w:ascii="Palatino Linotype" w:eastAsia="Palatino Linotype" w:hAnsi="Palatino Linotype" w:cs="Palatino Linotype"/>
                <w:i/>
              </w:rPr>
            </w:pPr>
            <w:r w:rsidRPr="002250FE">
              <w:rPr>
                <w:rFonts w:ascii="Palatino Linotype" w:eastAsia="Palatino Linotype" w:hAnsi="Palatino Linotype" w:cs="Palatino Linotype"/>
                <w:i/>
              </w:rPr>
              <w:t>Se anotará la fecha en que se desclasifica el documento.</w:t>
            </w:r>
          </w:p>
        </w:tc>
      </w:tr>
      <w:tr w:rsidR="002250FE" w:rsidRPr="002250F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138AF" w:rsidRPr="002250FE" w:rsidRDefault="00E138A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138AF" w:rsidRPr="002250FE" w:rsidRDefault="00B93B51">
            <w:pPr>
              <w:jc w:val="center"/>
              <w:rPr>
                <w:rFonts w:ascii="Palatino Linotype" w:eastAsia="Palatino Linotype" w:hAnsi="Palatino Linotype" w:cs="Palatino Linotype"/>
                <w:i/>
              </w:rPr>
            </w:pPr>
            <w:r w:rsidRPr="002250FE">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E138AF" w:rsidRPr="002250FE" w:rsidRDefault="00B93B51">
            <w:pPr>
              <w:rPr>
                <w:rFonts w:ascii="Palatino Linotype" w:eastAsia="Palatino Linotype" w:hAnsi="Palatino Linotype" w:cs="Palatino Linotype"/>
                <w:i/>
              </w:rPr>
            </w:pPr>
            <w:r w:rsidRPr="002250FE">
              <w:rPr>
                <w:rFonts w:ascii="Palatino Linotype" w:eastAsia="Palatino Linotype" w:hAnsi="Palatino Linotype" w:cs="Palatino Linotype"/>
                <w:i/>
              </w:rPr>
              <w:t>Rúbrica autógrafa de quien desclasifica.</w:t>
            </w:r>
          </w:p>
        </w:tc>
      </w:tr>
    </w:tbl>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hd w:val="clear" w:color="auto" w:fill="FFFFFF"/>
        <w:spacing w:line="360" w:lineRule="auto"/>
        <w:ind w:right="51"/>
        <w:jc w:val="both"/>
        <w:rPr>
          <w:rFonts w:ascii="Palatino Linotype" w:eastAsia="Palatino Linotype" w:hAnsi="Palatino Linotype" w:cs="Palatino Linotype"/>
        </w:rPr>
      </w:pPr>
      <w:r w:rsidRPr="002250F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sidRPr="002250FE">
        <w:rPr>
          <w:rFonts w:ascii="Palatino Linotype" w:eastAsia="Palatino Linotype" w:hAnsi="Palatino Linotype" w:cs="Palatino Linotype"/>
        </w:rPr>
        <w:lastRenderedPageBreak/>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E138AF" w:rsidRPr="002250FE" w:rsidRDefault="00E138AF">
      <w:pPr>
        <w:shd w:val="clear" w:color="auto" w:fill="FFFFFF"/>
        <w:spacing w:line="360" w:lineRule="auto"/>
        <w:ind w:right="51"/>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E138AF" w:rsidRPr="002250FE" w:rsidRDefault="00E138AF">
      <w:pPr>
        <w:spacing w:after="240" w:line="360" w:lineRule="auto"/>
        <w:jc w:val="both"/>
        <w:rPr>
          <w:rFonts w:ascii="Palatino Linotype" w:eastAsia="Palatino Linotype" w:hAnsi="Palatino Linotype" w:cs="Palatino Linotype"/>
        </w:rPr>
      </w:pPr>
    </w:p>
    <w:p w:rsidR="00E138AF" w:rsidRPr="002250FE" w:rsidRDefault="00B93B51">
      <w:pPr>
        <w:numPr>
          <w:ilvl w:val="0"/>
          <w:numId w:val="10"/>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250FE">
        <w:rPr>
          <w:rFonts w:ascii="Palatino Linotype" w:eastAsia="Palatino Linotype" w:hAnsi="Palatino Linotype" w:cs="Palatino Linotype"/>
          <w:b/>
          <w:sz w:val="22"/>
          <w:szCs w:val="22"/>
        </w:rPr>
        <w:t>R E S U E L V E:</w:t>
      </w:r>
    </w:p>
    <w:p w:rsidR="00E138AF" w:rsidRPr="002250FE" w:rsidRDefault="00B93B51">
      <w:pPr>
        <w:spacing w:before="240" w:after="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Primero. </w:t>
      </w:r>
      <w:r w:rsidRPr="002250FE">
        <w:rPr>
          <w:rFonts w:ascii="Palatino Linotype" w:eastAsia="Palatino Linotype" w:hAnsi="Palatino Linotype" w:cs="Palatino Linotype"/>
        </w:rPr>
        <w:t xml:space="preserve">Resultan fundados los motivos de inconformidad hechos valer por el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en el Recurso de Revisión </w:t>
      </w:r>
      <w:r w:rsidRPr="002250FE">
        <w:rPr>
          <w:rFonts w:ascii="Palatino Linotype" w:eastAsia="Palatino Linotype" w:hAnsi="Palatino Linotype" w:cs="Palatino Linotype"/>
          <w:b/>
        </w:rPr>
        <w:t xml:space="preserve">12239/INFOEM/IP/RR/2022, </w:t>
      </w:r>
      <w:r w:rsidRPr="002250FE">
        <w:rPr>
          <w:rFonts w:ascii="Palatino Linotype" w:eastAsia="Palatino Linotype" w:hAnsi="Palatino Linotype" w:cs="Palatino Linotype"/>
        </w:rPr>
        <w:t xml:space="preserve">por lo que, </w:t>
      </w:r>
      <w:r w:rsidRPr="002250FE">
        <w:rPr>
          <w:rFonts w:ascii="Palatino Linotype" w:eastAsia="Palatino Linotype" w:hAnsi="Palatino Linotype" w:cs="Palatino Linotype"/>
        </w:rPr>
        <w:lastRenderedPageBreak/>
        <w:t xml:space="preserve">en términos del considerando </w:t>
      </w:r>
      <w:r w:rsidRPr="002250FE">
        <w:rPr>
          <w:rFonts w:ascii="Palatino Linotype" w:eastAsia="Palatino Linotype" w:hAnsi="Palatino Linotype" w:cs="Palatino Linotype"/>
          <w:b/>
        </w:rPr>
        <w:t xml:space="preserve">Cuarto </w:t>
      </w:r>
      <w:r w:rsidRPr="002250FE">
        <w:rPr>
          <w:rFonts w:ascii="Palatino Linotype" w:eastAsia="Palatino Linotype" w:hAnsi="Palatino Linotype" w:cs="Palatino Linotype"/>
        </w:rPr>
        <w:t xml:space="preserve">de esta resolución, se </w:t>
      </w:r>
      <w:r w:rsidRPr="002250FE">
        <w:rPr>
          <w:rFonts w:ascii="Palatino Linotype" w:eastAsia="Palatino Linotype" w:hAnsi="Palatino Linotype" w:cs="Palatino Linotype"/>
          <w:b/>
        </w:rPr>
        <w:t xml:space="preserve">REVOCA </w:t>
      </w:r>
      <w:r w:rsidRPr="002250FE">
        <w:rPr>
          <w:rFonts w:ascii="Palatino Linotype" w:eastAsia="Palatino Linotype" w:hAnsi="Palatino Linotype" w:cs="Palatino Linotype"/>
        </w:rPr>
        <w:t xml:space="preserve">la respuesta emitida por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w:t>
      </w:r>
    </w:p>
    <w:p w:rsidR="00E138AF" w:rsidRPr="002250FE" w:rsidRDefault="00B93B51">
      <w:pPr>
        <w:spacing w:before="240" w:after="240" w:line="360" w:lineRule="auto"/>
        <w:ind w:right="49"/>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Segundo. </w:t>
      </w:r>
      <w:r w:rsidRPr="002250FE">
        <w:rPr>
          <w:rFonts w:ascii="Palatino Linotype" w:eastAsia="Palatino Linotype" w:hAnsi="Palatino Linotype" w:cs="Palatino Linotype"/>
        </w:rPr>
        <w:t>Se</w:t>
      </w:r>
      <w:r w:rsidRPr="002250FE">
        <w:rPr>
          <w:rFonts w:ascii="Palatino Linotype" w:eastAsia="Palatino Linotype" w:hAnsi="Palatino Linotype" w:cs="Palatino Linotype"/>
          <w:b/>
        </w:rPr>
        <w:t xml:space="preserve"> ORDENA </w:t>
      </w:r>
      <w:r w:rsidRPr="002250FE">
        <w:rPr>
          <w:rFonts w:ascii="Palatino Linotype" w:eastAsia="Palatino Linotype" w:hAnsi="Palatino Linotype" w:cs="Palatino Linotype"/>
        </w:rPr>
        <w:t xml:space="preserve">al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a que,</w:t>
      </w:r>
      <w:r w:rsidRPr="002250FE">
        <w:rPr>
          <w:rFonts w:ascii="Palatino Linotype" w:eastAsia="Palatino Linotype" w:hAnsi="Palatino Linotype" w:cs="Palatino Linotype"/>
          <w:b/>
        </w:rPr>
        <w:t xml:space="preserve"> </w:t>
      </w:r>
      <w:r w:rsidRPr="002250FE">
        <w:rPr>
          <w:rFonts w:ascii="Palatino Linotype" w:eastAsia="Palatino Linotype" w:hAnsi="Palatino Linotype" w:cs="Palatino Linotype"/>
        </w:rPr>
        <w:t>en términos del Considerando Cuarto y Quinto, haga entrega vía SAIMEX, de ser procedente en versión pública, previa búsqueda exhaustiva y razonable, en formato PDF, WORD, EXCELL o en el que se haya generado, el documento o documentos en donde conste lo siguiente:</w:t>
      </w:r>
    </w:p>
    <w:p w:rsidR="00E138AF" w:rsidRPr="002250FE" w:rsidRDefault="00B93B51">
      <w:pPr>
        <w:numPr>
          <w:ilvl w:val="0"/>
          <w:numId w:val="9"/>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r w:rsidRPr="002250FE">
        <w:rPr>
          <w:rFonts w:ascii="Palatino Linotype" w:eastAsia="Palatino Linotype" w:hAnsi="Palatino Linotype" w:cs="Palatino Linotype"/>
          <w:sz w:val="22"/>
          <w:szCs w:val="22"/>
        </w:rPr>
        <w:t>Los convenios firmados con el Municipio de Chicoloapan, llámese Ayuntamiento, ejido y/o cualquier otra dependencia, institución pública y privada, y Registro Agrario Nacional, desde el 24 de septiembre de 2003 al 23 de mayo de 2022.</w:t>
      </w:r>
    </w:p>
    <w:p w:rsidR="00E138AF" w:rsidRPr="002250FE" w:rsidRDefault="00B93B5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250FE">
        <w:rPr>
          <w:rFonts w:ascii="Palatino Linotype" w:eastAsia="Palatino Linotype" w:hAnsi="Palatino Linotype" w:cs="Palatino Linotype"/>
          <w:sz w:val="22"/>
          <w:szCs w:val="22"/>
        </w:rPr>
        <w:t>Los datos públicos, de los solares o títulos agrarios que fueron pagados y mandados a inscribir por Instituto Mexiquense de la Vivienda Social al Instituto de la Función Registral del Estado de México delegación Texcoco, derivados del último convenio firmado entre el Ejido de Chicoloapan, el Registro Agrario Nacional e Instituto Mexiquense de la Vivienda Social, al veinticuatro de mayo del año dos mil veintidós.</w:t>
      </w:r>
    </w:p>
    <w:p w:rsidR="00E138AF" w:rsidRPr="002250FE" w:rsidRDefault="00B93B51">
      <w:pPr>
        <w:numPr>
          <w:ilvl w:val="0"/>
          <w:numId w:val="9"/>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250FE">
        <w:rPr>
          <w:rFonts w:ascii="Palatino Linotype" w:eastAsia="Palatino Linotype" w:hAnsi="Palatino Linotype" w:cs="Palatino Linotype"/>
          <w:sz w:val="22"/>
          <w:szCs w:val="22"/>
        </w:rPr>
        <w:t xml:space="preserve">El </w:t>
      </w:r>
      <w:r w:rsidRPr="002250FE">
        <w:rPr>
          <w:rFonts w:ascii="Verdana" w:eastAsia="Verdana" w:hAnsi="Verdana" w:cs="Verdana"/>
          <w:sz w:val="22"/>
          <w:szCs w:val="22"/>
        </w:rPr>
        <w:t> </w:t>
      </w:r>
      <w:r w:rsidRPr="002250FE">
        <w:rPr>
          <w:rFonts w:ascii="Palatino Linotype" w:eastAsia="Palatino Linotype" w:hAnsi="Palatino Linotype" w:cs="Palatino Linotype"/>
          <w:sz w:val="22"/>
          <w:szCs w:val="22"/>
        </w:rPr>
        <w:t>padrón de beneficiarios de todos los títulos de propiedad, posesión y cancelaciones de hipoteca, desde el 01 de enero de 2015 al 23 de mayo de 2022.</w:t>
      </w:r>
    </w:p>
    <w:p w:rsidR="00E138AF" w:rsidRPr="002250FE" w:rsidRDefault="00B93B51">
      <w:pPr>
        <w:numPr>
          <w:ilvl w:val="0"/>
          <w:numId w:val="9"/>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r w:rsidRPr="002250FE">
        <w:rPr>
          <w:rFonts w:ascii="Palatino Linotype" w:eastAsia="Palatino Linotype" w:hAnsi="Palatino Linotype" w:cs="Palatino Linotype"/>
          <w:sz w:val="22"/>
          <w:szCs w:val="22"/>
        </w:rPr>
        <w:t xml:space="preserve">Los datos de contacto del Instituto Mexiquense de la Vivienda Social y de sus Delegaciones Regionales, vigentes al veinticuatro de mayo del año dos mil veintidós. </w:t>
      </w:r>
    </w:p>
    <w:p w:rsidR="00E138AF" w:rsidRPr="002250FE" w:rsidRDefault="00B93B51">
      <w:pPr>
        <w:pBdr>
          <w:top w:val="nil"/>
          <w:left w:val="nil"/>
          <w:bottom w:val="nil"/>
          <w:right w:val="nil"/>
          <w:between w:val="nil"/>
        </w:pBdr>
        <w:spacing w:before="240"/>
        <w:ind w:left="720"/>
        <w:jc w:val="both"/>
        <w:rPr>
          <w:rFonts w:ascii="Palatino Linotype" w:eastAsia="Palatino Linotype" w:hAnsi="Palatino Linotype" w:cs="Palatino Linotype"/>
          <w:i/>
          <w:sz w:val="22"/>
          <w:szCs w:val="22"/>
        </w:rPr>
      </w:pPr>
      <w:r w:rsidRPr="002250FE">
        <w:rPr>
          <w:rFonts w:ascii="Palatino Linotype" w:eastAsia="Palatino Linotype" w:hAnsi="Palatino Linotype" w:cs="Palatino Linotype"/>
          <w:i/>
          <w:sz w:val="22"/>
          <w:szCs w:val="22"/>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sidRPr="002250FE">
        <w:rPr>
          <w:rFonts w:ascii="Palatino Linotype" w:eastAsia="Palatino Linotype" w:hAnsi="Palatino Linotype" w:cs="Palatino Linotype"/>
          <w:b/>
          <w:i/>
          <w:sz w:val="22"/>
          <w:szCs w:val="22"/>
        </w:rPr>
        <w:t>RECURRENTE</w:t>
      </w:r>
      <w:r w:rsidRPr="002250FE">
        <w:rPr>
          <w:rFonts w:ascii="Palatino Linotype" w:eastAsia="Palatino Linotype" w:hAnsi="Palatino Linotype" w:cs="Palatino Linotype"/>
          <w:i/>
          <w:sz w:val="22"/>
          <w:szCs w:val="22"/>
        </w:rPr>
        <w:t>, mismo que igualmente hará de su conocimiento.</w:t>
      </w:r>
    </w:p>
    <w:p w:rsidR="00E138AF" w:rsidRPr="002250FE" w:rsidRDefault="00E138AF">
      <w:pPr>
        <w:pBdr>
          <w:top w:val="nil"/>
          <w:left w:val="nil"/>
          <w:bottom w:val="nil"/>
          <w:right w:val="nil"/>
          <w:between w:val="nil"/>
        </w:pBdr>
        <w:ind w:left="720"/>
        <w:jc w:val="both"/>
        <w:rPr>
          <w:rFonts w:ascii="Palatino Linotype" w:eastAsia="Palatino Linotype" w:hAnsi="Palatino Linotype" w:cs="Palatino Linotype"/>
          <w:i/>
          <w:sz w:val="22"/>
          <w:szCs w:val="22"/>
        </w:rPr>
      </w:pPr>
    </w:p>
    <w:p w:rsidR="00E138AF" w:rsidRPr="002250FE" w:rsidRDefault="00B93B51">
      <w:pPr>
        <w:pBdr>
          <w:top w:val="nil"/>
          <w:left w:val="nil"/>
          <w:bottom w:val="nil"/>
          <w:right w:val="nil"/>
          <w:between w:val="nil"/>
        </w:pBdr>
        <w:ind w:left="720"/>
        <w:jc w:val="both"/>
        <w:rPr>
          <w:rFonts w:ascii="Palatino Linotype" w:eastAsia="Palatino Linotype" w:hAnsi="Palatino Linotype" w:cs="Palatino Linotype"/>
          <w:i/>
        </w:rPr>
      </w:pPr>
      <w:bookmarkStart w:id="3" w:name="_heading=h.3znysh7" w:colFirst="0" w:colLast="0"/>
      <w:bookmarkEnd w:id="3"/>
      <w:r w:rsidRPr="002250FE">
        <w:rPr>
          <w:rFonts w:ascii="Palatino Linotype" w:eastAsia="Palatino Linotype" w:hAnsi="Palatino Linotype" w:cs="Palatino Linotype"/>
          <w:i/>
        </w:rPr>
        <w:lastRenderedPageBreak/>
        <w:t xml:space="preserve">Respecto de la información que se ordena en el numeral 1, debido a la temporalidad que se establece, en el caso que, derivado de la búsqueda exhaustiva y razonable, no se localice la información por motivo de baja documental, el </w:t>
      </w:r>
      <w:r w:rsidRPr="002250FE">
        <w:rPr>
          <w:rFonts w:ascii="Palatino Linotype" w:eastAsia="Palatino Linotype" w:hAnsi="Palatino Linotype" w:cs="Palatino Linotype"/>
          <w:b/>
          <w:i/>
        </w:rPr>
        <w:t>SUJETO OBLIGADO</w:t>
      </w:r>
      <w:r w:rsidRPr="002250FE">
        <w:rPr>
          <w:rFonts w:ascii="Palatino Linotype" w:eastAsia="Palatino Linotype" w:hAnsi="Palatino Linotype" w:cs="Palatino Linotype"/>
          <w:i/>
        </w:rPr>
        <w:t xml:space="preserve"> deberá emitir el Acuerdo de Inexistencia en términos de los artículos 49, fracciones II y XIII, 169 y 170 de la Ley de Transparencia y Acceso a la Información Pública del Estado de México y Municipios, debiendo notificarlo al </w:t>
      </w:r>
      <w:r w:rsidRPr="002250FE">
        <w:rPr>
          <w:rFonts w:ascii="Palatino Linotype" w:eastAsia="Palatino Linotype" w:hAnsi="Palatino Linotype" w:cs="Palatino Linotype"/>
          <w:b/>
          <w:i/>
        </w:rPr>
        <w:t>RECURRENTE</w:t>
      </w:r>
      <w:r w:rsidRPr="002250FE">
        <w:rPr>
          <w:rFonts w:ascii="Palatino Linotype" w:eastAsia="Palatino Linotype" w:hAnsi="Palatino Linotype" w:cs="Palatino Linotype"/>
          <w:i/>
        </w:rPr>
        <w:t xml:space="preserve"> al momento de dar cumplimiento a la presente resolución.</w:t>
      </w:r>
    </w:p>
    <w:p w:rsidR="00E138AF" w:rsidRPr="002250FE" w:rsidRDefault="00E138AF">
      <w:pPr>
        <w:pBdr>
          <w:top w:val="nil"/>
          <w:left w:val="nil"/>
          <w:bottom w:val="nil"/>
          <w:right w:val="nil"/>
          <w:between w:val="nil"/>
        </w:pBdr>
        <w:spacing w:after="240"/>
        <w:ind w:left="720"/>
        <w:jc w:val="both"/>
      </w:pPr>
    </w:p>
    <w:p w:rsidR="00E138AF" w:rsidRPr="002250FE" w:rsidRDefault="00B93B51">
      <w:pPr>
        <w:spacing w:before="240"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Tercero. Notifíquese, </w:t>
      </w:r>
      <w:r w:rsidRPr="002250FE">
        <w:rPr>
          <w:rFonts w:ascii="Palatino Linotype" w:eastAsia="Palatino Linotype" w:hAnsi="Palatino Linotype" w:cs="Palatino Linotype"/>
        </w:rPr>
        <w:t xml:space="preserve">vía </w:t>
      </w:r>
      <w:r w:rsidRPr="002250FE">
        <w:rPr>
          <w:rFonts w:ascii="Palatino Linotype" w:eastAsia="Palatino Linotype" w:hAnsi="Palatino Linotype" w:cs="Palatino Linotype"/>
          <w:b/>
        </w:rPr>
        <w:t>SAIMEX</w:t>
      </w:r>
      <w:r w:rsidRPr="002250FE">
        <w:rPr>
          <w:rFonts w:ascii="Palatino Linotype" w:eastAsia="Palatino Linotype" w:hAnsi="Palatino Linotype" w:cs="Palatino Linotype"/>
        </w:rPr>
        <w:t xml:space="preserve">, al Titular de la Unidad de Transparencia del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line="360" w:lineRule="auto"/>
        <w:jc w:val="both"/>
        <w:rPr>
          <w:rFonts w:ascii="Palatino Linotype" w:eastAsia="Palatino Linotype" w:hAnsi="Palatino Linotype" w:cs="Palatino Linotype"/>
        </w:rPr>
      </w:pPr>
      <w:r w:rsidRPr="002250FE">
        <w:rPr>
          <w:rFonts w:ascii="Palatino Linotype" w:eastAsia="Palatino Linotype" w:hAnsi="Palatino Linotype" w:cs="Palatino Linotype"/>
          <w:b/>
        </w:rPr>
        <w:t xml:space="preserve">Cuarto. </w:t>
      </w:r>
      <w:r w:rsidRPr="002250FE">
        <w:rPr>
          <w:rFonts w:ascii="Palatino Linotype" w:eastAsia="Palatino Linotype" w:hAnsi="Palatino Linotype" w:cs="Palatino Linotype"/>
        </w:rPr>
        <w:t xml:space="preserve">Notifíquese, vía </w:t>
      </w:r>
      <w:r w:rsidRPr="002250FE">
        <w:rPr>
          <w:rFonts w:ascii="Palatino Linotype" w:eastAsia="Palatino Linotype" w:hAnsi="Palatino Linotype" w:cs="Palatino Linotype"/>
          <w:b/>
        </w:rPr>
        <w:t>SAIMEX</w:t>
      </w:r>
      <w:r w:rsidRPr="002250FE">
        <w:rPr>
          <w:rFonts w:ascii="Palatino Linotype" w:eastAsia="Palatino Linotype" w:hAnsi="Palatino Linotype" w:cs="Palatino Linotype"/>
        </w:rPr>
        <w:t xml:space="preserve">, a la parte </w:t>
      </w:r>
      <w:r w:rsidRPr="002250FE">
        <w:rPr>
          <w:rFonts w:ascii="Palatino Linotype" w:eastAsia="Palatino Linotype" w:hAnsi="Palatino Linotype" w:cs="Palatino Linotype"/>
          <w:b/>
        </w:rPr>
        <w:t>RECURRENTE</w:t>
      </w:r>
      <w:r w:rsidRPr="002250F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E138AF" w:rsidRPr="002250FE" w:rsidRDefault="00E138AF">
      <w:pPr>
        <w:spacing w:line="360" w:lineRule="auto"/>
        <w:jc w:val="both"/>
        <w:rPr>
          <w:rFonts w:ascii="Palatino Linotype" w:eastAsia="Palatino Linotype" w:hAnsi="Palatino Linotype" w:cs="Palatino Linotype"/>
        </w:rPr>
      </w:pPr>
    </w:p>
    <w:p w:rsidR="00E138AF" w:rsidRPr="002250FE" w:rsidRDefault="00B93B51">
      <w:pPr>
        <w:spacing w:after="240" w:line="360" w:lineRule="auto"/>
        <w:jc w:val="both"/>
        <w:rPr>
          <w:rFonts w:ascii="Palatino Linotype" w:eastAsia="Palatino Linotype" w:hAnsi="Palatino Linotype" w:cs="Palatino Linotype"/>
          <w:b/>
        </w:rPr>
      </w:pPr>
      <w:r w:rsidRPr="002250FE">
        <w:rPr>
          <w:rFonts w:ascii="Palatino Linotype" w:eastAsia="Palatino Linotype" w:hAnsi="Palatino Linotype" w:cs="Palatino Linotype"/>
          <w:b/>
        </w:rPr>
        <w:lastRenderedPageBreak/>
        <w:t>Quinto.</w:t>
      </w:r>
      <w:r w:rsidRPr="002250FE">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2250FE">
        <w:rPr>
          <w:rFonts w:ascii="Palatino Linotype" w:eastAsia="Palatino Linotype" w:hAnsi="Palatino Linotype" w:cs="Palatino Linotype"/>
          <w:b/>
        </w:rPr>
        <w:t>SUJETO OBLIGADO</w:t>
      </w:r>
      <w:r w:rsidRPr="002250FE">
        <w:rPr>
          <w:rFonts w:ascii="Palatino Linotype" w:eastAsia="Palatino Linotype" w:hAnsi="Palatino Linotype" w:cs="Palatino Linotype"/>
        </w:rPr>
        <w:t xml:space="preserve"> de manera fundada y motivada, podrá solicitar una ampliación de plazo para el cumplimiento de la presente resolución.</w:t>
      </w:r>
    </w:p>
    <w:p w:rsidR="00E138AF" w:rsidRPr="002250FE" w:rsidRDefault="00B93B51">
      <w:pPr>
        <w:spacing w:after="240" w:line="360" w:lineRule="auto"/>
        <w:jc w:val="both"/>
        <w:rPr>
          <w:rFonts w:ascii="Palatino Linotype" w:eastAsia="Palatino Linotype" w:hAnsi="Palatino Linotype" w:cs="Palatino Linotype"/>
        </w:rPr>
        <w:sectPr w:rsidR="00E138AF" w:rsidRPr="002250FE">
          <w:headerReference w:type="default" r:id="rId39"/>
          <w:footerReference w:type="default" r:id="rId40"/>
          <w:headerReference w:type="first" r:id="rId41"/>
          <w:footerReference w:type="first" r:id="rId42"/>
          <w:pgSz w:w="12240" w:h="15840"/>
          <w:pgMar w:top="2041" w:right="1701" w:bottom="1701" w:left="1701" w:header="709" w:footer="709" w:gutter="0"/>
          <w:pgNumType w:start="1"/>
          <w:cols w:space="720"/>
          <w:titlePg/>
        </w:sectPr>
      </w:pPr>
      <w:bookmarkStart w:id="4" w:name="_heading=h.1fob9te" w:colFirst="0" w:colLast="0"/>
      <w:bookmarkEnd w:id="4"/>
      <w:r w:rsidRPr="002250FE">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MÉXICO Y MUNICIPIOS, CONFORMADO POR LOS COMISIONADOS JOSÉ MARTÍNEZ VILCHIS; MARÍA DEL ROSARIO MEJIA AYA</w:t>
      </w:r>
      <w:r w:rsidR="00DA73D0">
        <w:rPr>
          <w:rFonts w:ascii="Palatino Linotype" w:eastAsia="Palatino Linotype" w:hAnsi="Palatino Linotype" w:cs="Palatino Linotype"/>
        </w:rPr>
        <w:t>LA</w:t>
      </w:r>
      <w:r w:rsidR="00291C39">
        <w:rPr>
          <w:rFonts w:ascii="Palatino Linotype" w:eastAsia="Palatino Linotype" w:hAnsi="Palatino Linotype" w:cs="Palatino Linotype"/>
        </w:rPr>
        <w:t>;</w:t>
      </w:r>
      <w:r w:rsidR="00DA73D0">
        <w:rPr>
          <w:rFonts w:ascii="Palatino Linotype" w:eastAsia="Palatino Linotype" w:hAnsi="Palatino Linotype" w:cs="Palatino Linotype"/>
        </w:rPr>
        <w:t xml:space="preserve"> SHARON CRISTINA MORALES MARTÍ</w:t>
      </w:r>
      <w:r w:rsidRPr="002250FE">
        <w:rPr>
          <w:rFonts w:ascii="Palatino Linotype" w:eastAsia="Palatino Linotype" w:hAnsi="Palatino Linotype" w:cs="Palatino Linotype"/>
        </w:rPr>
        <w:t xml:space="preserve">NEZ: LUIS GUSTAVO PARRA NORIEGA Y GUADALUPE RAMÍREZ PEÑA; EN LA VIGÉSIMA TERCERA SESIÓN ORDINARIA CELEBRADA EL VEINTIUNO DE JUNIO DE DOS MIL VEINTITRÉS, ANTE LA COORDINADORA DE PROYECTOS CATALINA CAMARILLO ROSAS, EN SUPLENCIA DEL SECRETARIO TÉCNICO DEL PLENO ALEXIS TAPIA RAMÍREZ.                   </w:t>
      </w:r>
    </w:p>
    <w:p w:rsidR="00E138AF" w:rsidRPr="002250FE" w:rsidRDefault="00E138AF">
      <w:pPr>
        <w:spacing w:before="240" w:after="240" w:line="360" w:lineRule="auto"/>
        <w:jc w:val="both"/>
        <w:rPr>
          <w:rFonts w:ascii="Palatino Linotype" w:eastAsia="Palatino Linotype" w:hAnsi="Palatino Linotype" w:cs="Palatino Linotype"/>
        </w:rPr>
      </w:pPr>
    </w:p>
    <w:sectPr w:rsidR="00E138AF" w:rsidRPr="002250FE">
      <w:headerReference w:type="first" r:id="rId4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F44" w:rsidRDefault="00362F44">
      <w:r>
        <w:separator/>
      </w:r>
    </w:p>
  </w:endnote>
  <w:endnote w:type="continuationSeparator" w:id="0">
    <w:p w:rsidR="00362F44" w:rsidRDefault="0036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8AF" w:rsidRDefault="00B93B5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542D5">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542D5">
      <w:rPr>
        <w:rFonts w:ascii="Arial" w:eastAsia="Arial" w:hAnsi="Arial" w:cs="Arial"/>
        <w:b/>
        <w:noProof/>
        <w:color w:val="000000"/>
        <w:sz w:val="20"/>
        <w:szCs w:val="20"/>
      </w:rPr>
      <w:t>96</w:t>
    </w:r>
    <w:r>
      <w:rPr>
        <w:rFonts w:ascii="Arial" w:eastAsia="Arial" w:hAnsi="Arial" w:cs="Arial"/>
        <w:b/>
        <w:color w:val="000000"/>
        <w:sz w:val="20"/>
        <w:szCs w:val="20"/>
      </w:rPr>
      <w:fldChar w:fldCharType="end"/>
    </w:r>
  </w:p>
  <w:p w:rsidR="00E138AF" w:rsidRDefault="00E138AF">
    <w:pPr>
      <w:pBdr>
        <w:top w:val="nil"/>
        <w:left w:val="nil"/>
        <w:bottom w:val="nil"/>
        <w:right w:val="nil"/>
        <w:between w:val="nil"/>
      </w:pBdr>
      <w:tabs>
        <w:tab w:val="center" w:pos="4252"/>
        <w:tab w:val="right" w:pos="8504"/>
      </w:tabs>
      <w:rPr>
        <w:color w:val="000000"/>
      </w:rPr>
    </w:pPr>
  </w:p>
  <w:p w:rsidR="00E138AF" w:rsidRDefault="00E138A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8AF" w:rsidRDefault="00B93B5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542D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542D5">
      <w:rPr>
        <w:rFonts w:ascii="Arial" w:eastAsia="Arial" w:hAnsi="Arial" w:cs="Arial"/>
        <w:b/>
        <w:noProof/>
        <w:color w:val="000000"/>
        <w:sz w:val="20"/>
        <w:szCs w:val="20"/>
      </w:rPr>
      <w:t>96</w:t>
    </w:r>
    <w:r>
      <w:rPr>
        <w:rFonts w:ascii="Arial" w:eastAsia="Arial" w:hAnsi="Arial" w:cs="Arial"/>
        <w:b/>
        <w:color w:val="000000"/>
        <w:sz w:val="20"/>
        <w:szCs w:val="20"/>
      </w:rPr>
      <w:fldChar w:fldCharType="end"/>
    </w:r>
  </w:p>
  <w:p w:rsidR="00E138AF" w:rsidRDefault="00E138A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F44" w:rsidRDefault="00362F44">
      <w:r>
        <w:separator/>
      </w:r>
    </w:p>
  </w:footnote>
  <w:footnote w:type="continuationSeparator" w:id="0">
    <w:p w:rsidR="00362F44" w:rsidRDefault="00362F44">
      <w:r>
        <w:continuationSeparator/>
      </w:r>
    </w:p>
  </w:footnote>
  <w:footnote w:id="1">
    <w:p w:rsidR="00E138AF" w:rsidRDefault="00B93B5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rsidR="00E138AF" w:rsidRDefault="00B93B5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3">
    <w:p w:rsidR="00E138AF" w:rsidRDefault="00B93B5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Véase: </w:t>
      </w:r>
    </w:p>
    <w:p w:rsidR="00E138AF" w:rsidRDefault="00B93B5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https://imevis.edomex.gob.mx/programa_de_regularizacion_tenencia_de_la_tierra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8AF" w:rsidRDefault="00E138AF">
    <w:pPr>
      <w:widowControl w:val="0"/>
      <w:pBdr>
        <w:top w:val="nil"/>
        <w:left w:val="nil"/>
        <w:bottom w:val="nil"/>
        <w:right w:val="nil"/>
        <w:between w:val="nil"/>
      </w:pBdr>
      <w:spacing w:line="276" w:lineRule="auto"/>
      <w:rPr>
        <w:rFonts w:ascii="Calibri" w:eastAsia="Calibri" w:hAnsi="Calibri" w:cs="Calibri"/>
        <w:color w:val="000000"/>
      </w:rPr>
    </w:pPr>
  </w:p>
  <w:tbl>
    <w:tblPr>
      <w:tblStyle w:val="afa"/>
      <w:tblW w:w="5528" w:type="dxa"/>
      <w:tblInd w:w="3261" w:type="dxa"/>
      <w:tblLayout w:type="fixed"/>
      <w:tblLook w:val="0400" w:firstRow="0" w:lastRow="0" w:firstColumn="0" w:lastColumn="0" w:noHBand="0" w:noVBand="1"/>
    </w:tblPr>
    <w:tblGrid>
      <w:gridCol w:w="2551"/>
      <w:gridCol w:w="2977"/>
    </w:tblGrid>
    <w:tr w:rsidR="00E138AF">
      <w:tc>
        <w:tcPr>
          <w:tcW w:w="2551" w:type="dxa"/>
          <w:vAlign w:val="center"/>
        </w:tcPr>
        <w:p w:rsidR="00E138AF" w:rsidRDefault="00B93B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E138AF" w:rsidRDefault="00B93B5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12239/INFOEM/IP/RR/2022</w:t>
          </w:r>
        </w:p>
      </w:tc>
    </w:tr>
    <w:tr w:rsidR="00E138AF">
      <w:trPr>
        <w:trHeight w:val="228"/>
      </w:trPr>
      <w:tc>
        <w:tcPr>
          <w:tcW w:w="2551" w:type="dxa"/>
          <w:vAlign w:val="center"/>
        </w:tcPr>
        <w:p w:rsidR="00E138AF" w:rsidRDefault="00B93B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E138AF" w:rsidRDefault="00B93B5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Mexiquense de la Vivienda Social.</w:t>
          </w:r>
        </w:p>
      </w:tc>
    </w:tr>
    <w:tr w:rsidR="00E138AF">
      <w:tc>
        <w:tcPr>
          <w:tcW w:w="2551" w:type="dxa"/>
          <w:vAlign w:val="center"/>
        </w:tcPr>
        <w:p w:rsidR="00E138AF" w:rsidRDefault="00B93B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E138AF" w:rsidRDefault="00B93B5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138AF" w:rsidRDefault="00B93B5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-695764</wp:posOffset>
          </wp:positionH>
          <wp:positionV relativeFrom="paragraph">
            <wp:posOffset>-1200939</wp:posOffset>
          </wp:positionV>
          <wp:extent cx="7809876" cy="10165823"/>
          <wp:effectExtent l="0" t="0" r="0" b="0"/>
          <wp:wrapNone/>
          <wp:docPr id="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8AF" w:rsidRDefault="00B93B51">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-846154</wp:posOffset>
          </wp:positionH>
          <wp:positionV relativeFrom="paragraph">
            <wp:posOffset>-171225</wp:posOffset>
          </wp:positionV>
          <wp:extent cx="7809876" cy="10165823"/>
          <wp:effectExtent l="0" t="0" r="0" b="0"/>
          <wp:wrapNone/>
          <wp:docPr id="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9"/>
      <w:tblW w:w="5670" w:type="dxa"/>
      <w:tblInd w:w="3119" w:type="dxa"/>
      <w:tblLayout w:type="fixed"/>
      <w:tblLook w:val="0400" w:firstRow="0" w:lastRow="0" w:firstColumn="0" w:lastColumn="0" w:noHBand="0" w:noVBand="1"/>
    </w:tblPr>
    <w:tblGrid>
      <w:gridCol w:w="2551"/>
      <w:gridCol w:w="3119"/>
    </w:tblGrid>
    <w:tr w:rsidR="00E138AF">
      <w:tc>
        <w:tcPr>
          <w:tcW w:w="2551" w:type="dxa"/>
          <w:vAlign w:val="center"/>
        </w:tcPr>
        <w:p w:rsidR="00E138AF" w:rsidRDefault="00B93B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E138AF" w:rsidRDefault="00B93B5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12239/INFOEM/IP/RR/2022. </w:t>
          </w:r>
        </w:p>
      </w:tc>
    </w:tr>
    <w:tr w:rsidR="00E138AF">
      <w:tc>
        <w:tcPr>
          <w:tcW w:w="2551" w:type="dxa"/>
          <w:vAlign w:val="center"/>
        </w:tcPr>
        <w:p w:rsidR="00E138AF" w:rsidRDefault="00B93B5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E138AF" w:rsidRDefault="00D542D5" w:rsidP="00D542D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 XXXXX XXXXXX</w:t>
          </w:r>
        </w:p>
      </w:tc>
    </w:tr>
    <w:tr w:rsidR="00E138AF">
      <w:trPr>
        <w:trHeight w:val="228"/>
      </w:trPr>
      <w:tc>
        <w:tcPr>
          <w:tcW w:w="2551" w:type="dxa"/>
          <w:vAlign w:val="center"/>
        </w:tcPr>
        <w:p w:rsidR="00E138AF" w:rsidRDefault="00B93B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E138AF" w:rsidRDefault="00B93B5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Mexiquense de la Vivienda Social.</w:t>
          </w:r>
        </w:p>
      </w:tc>
    </w:tr>
    <w:tr w:rsidR="00E138AF">
      <w:tc>
        <w:tcPr>
          <w:tcW w:w="2551" w:type="dxa"/>
          <w:vAlign w:val="center"/>
        </w:tcPr>
        <w:p w:rsidR="00E138AF" w:rsidRDefault="00B93B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E138AF" w:rsidRDefault="00B93B5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138AF" w:rsidRDefault="00E138A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8AF" w:rsidRDefault="00E138AF">
    <w:pPr>
      <w:pBdr>
        <w:top w:val="nil"/>
        <w:left w:val="nil"/>
        <w:bottom w:val="nil"/>
        <w:right w:val="nil"/>
        <w:between w:val="nil"/>
      </w:pBdr>
      <w:tabs>
        <w:tab w:val="center" w:pos="4252"/>
        <w:tab w:val="right" w:pos="8504"/>
      </w:tabs>
      <w:jc w:val="both"/>
      <w:rPr>
        <w:rFonts w:ascii="Calibri" w:eastAsia="Calibri" w:hAnsi="Calibri" w:cs="Calibri"/>
        <w:color w:val="000000"/>
      </w:rPr>
    </w:pPr>
  </w:p>
  <w:p w:rsidR="00E138AF" w:rsidRDefault="00E138A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B3D2F"/>
    <w:multiLevelType w:val="multilevel"/>
    <w:tmpl w:val="F1F6FBD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6373921"/>
    <w:multiLevelType w:val="multilevel"/>
    <w:tmpl w:val="D120429A"/>
    <w:lvl w:ilvl="0">
      <w:start w:val="1"/>
      <w:numFmt w:val="upp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nsid w:val="293D45AE"/>
    <w:multiLevelType w:val="multilevel"/>
    <w:tmpl w:val="B3FC4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51A73F1"/>
    <w:multiLevelType w:val="multilevel"/>
    <w:tmpl w:val="7F6CB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43862A7"/>
    <w:multiLevelType w:val="multilevel"/>
    <w:tmpl w:val="DE342090"/>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nsid w:val="4D964555"/>
    <w:multiLevelType w:val="multilevel"/>
    <w:tmpl w:val="2EC46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2FD7240"/>
    <w:multiLevelType w:val="multilevel"/>
    <w:tmpl w:val="91364F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25A53FA"/>
    <w:multiLevelType w:val="multilevel"/>
    <w:tmpl w:val="B02E78F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67FD2C76"/>
    <w:multiLevelType w:val="multilevel"/>
    <w:tmpl w:val="EEC811D0"/>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8F93B98"/>
    <w:multiLevelType w:val="multilevel"/>
    <w:tmpl w:val="C898E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7"/>
  </w:num>
  <w:num w:numId="4">
    <w:abstractNumId w:val="0"/>
  </w:num>
  <w:num w:numId="5">
    <w:abstractNumId w:val="9"/>
  </w:num>
  <w:num w:numId="6">
    <w:abstractNumId w:val="2"/>
  </w:num>
  <w:num w:numId="7">
    <w:abstractNumId w:val="8"/>
  </w:num>
  <w:num w:numId="8">
    <w:abstractNumId w:val="6"/>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8AF"/>
    <w:rsid w:val="002250FE"/>
    <w:rsid w:val="00291C39"/>
    <w:rsid w:val="00362F44"/>
    <w:rsid w:val="0049692C"/>
    <w:rsid w:val="007239EB"/>
    <w:rsid w:val="0094466A"/>
    <w:rsid w:val="00B93B51"/>
    <w:rsid w:val="00D542D5"/>
    <w:rsid w:val="00DA73D0"/>
    <w:rsid w:val="00E138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1A45B5-DEAF-4E96-9244-1FAB3C939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0" w:type="dxa"/>
        <w:left w:w="108" w:type="dxa"/>
        <w:bottom w:w="0" w:type="dxa"/>
        <w:right w:w="108"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1">
    <w:basedOn w:val="TableNormal5"/>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top w:w="0" w:type="dxa"/>
        <w:left w:w="108" w:type="dxa"/>
        <w:bottom w:w="0" w:type="dxa"/>
        <w:right w:w="108" w:type="dxa"/>
      </w:tblCellMar>
    </w:tblPr>
  </w:style>
  <w:style w:type="table" w:customStyle="1" w:styleId="a3">
    <w:basedOn w:val="TableNormal5"/>
    <w:tblPr>
      <w:tblStyleRowBandSize w:val="1"/>
      <w:tblStyleColBandSize w:val="1"/>
      <w:tblCellMar>
        <w:top w:w="0" w:type="dxa"/>
        <w:left w:w="108" w:type="dxa"/>
        <w:bottom w:w="0" w:type="dxa"/>
        <w:right w:w="108" w:type="dxa"/>
      </w:tblCellMar>
    </w:tblPr>
  </w:style>
  <w:style w:type="table" w:customStyle="1" w:styleId="a4">
    <w:basedOn w:val="TableNormal5"/>
    <w:tblPr>
      <w:tblStyleRowBandSize w:val="1"/>
      <w:tblStyleColBandSize w:val="1"/>
      <w:tblCellMar>
        <w:top w:w="0" w:type="dxa"/>
        <w:left w:w="108" w:type="dxa"/>
        <w:bottom w:w="0" w:type="dxa"/>
        <w:right w:w="108" w:type="dxa"/>
      </w:tblCellMar>
    </w:tblPr>
  </w:style>
  <w:style w:type="table" w:customStyle="1" w:styleId="a5">
    <w:basedOn w:val="TableNormal5"/>
    <w:tblPr>
      <w:tblStyleRowBandSize w:val="1"/>
      <w:tblStyleColBandSize w:val="1"/>
      <w:tblCellMar>
        <w:top w:w="0" w:type="dxa"/>
        <w:left w:w="108" w:type="dxa"/>
        <w:bottom w:w="0" w:type="dxa"/>
        <w:right w:w="108" w:type="dxa"/>
      </w:tblCellMar>
    </w:tblPr>
  </w:style>
  <w:style w:type="table" w:customStyle="1" w:styleId="a6">
    <w:basedOn w:val="TableNormal5"/>
    <w:tblPr>
      <w:tblStyleRowBandSize w:val="1"/>
      <w:tblStyleColBandSize w:val="1"/>
      <w:tblCellMar>
        <w:top w:w="0" w:type="dxa"/>
        <w:left w:w="108" w:type="dxa"/>
        <w:bottom w:w="0" w:type="dxa"/>
        <w:right w:w="108" w:type="dxa"/>
      </w:tblCellMar>
    </w:tblPr>
  </w:style>
  <w:style w:type="table" w:customStyle="1" w:styleId="a7">
    <w:basedOn w:val="TableNormal5"/>
    <w:tblPr>
      <w:tblStyleRowBandSize w:val="1"/>
      <w:tblStyleColBandSize w:val="1"/>
      <w:tblCellMar>
        <w:top w:w="0" w:type="dxa"/>
        <w:left w:w="108" w:type="dxa"/>
        <w:bottom w:w="0" w:type="dxa"/>
        <w:right w:w="108" w:type="dxa"/>
      </w:tblCellMar>
    </w:tblPr>
  </w:style>
  <w:style w:type="table" w:customStyle="1" w:styleId="a8">
    <w:basedOn w:val="TableNormal5"/>
    <w:tblPr>
      <w:tblStyleRowBandSize w:val="1"/>
      <w:tblStyleColBandSize w:val="1"/>
      <w:tblCellMar>
        <w:top w:w="0" w:type="dxa"/>
        <w:left w:w="108" w:type="dxa"/>
        <w:bottom w:w="0" w:type="dxa"/>
        <w:right w:w="108" w:type="dxa"/>
      </w:tblCellMar>
    </w:tblPr>
  </w:style>
  <w:style w:type="table" w:customStyle="1" w:styleId="a9">
    <w:basedOn w:val="TableNormal5"/>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table" w:customStyle="1" w:styleId="af1">
    <w:basedOn w:val="TableNormal3"/>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15" w:type="dxa"/>
        <w:bottom w:w="0" w:type="dxa"/>
        <w:right w:w="115" w:type="dxa"/>
      </w:tblCellMar>
    </w:tbl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10780.page" TargetMode="External"/><Relationship Id="rId24" Type="http://schemas.openxmlformats.org/officeDocument/2006/relationships/image" Target="media/image9.png"/><Relationship Id="rId32" Type="http://schemas.openxmlformats.org/officeDocument/2006/relationships/image" Target="media/image21.png"/><Relationship Id="rId37" Type="http://schemas.openxmlformats.org/officeDocument/2006/relationships/hyperlink" Target="https://consultas.curp.gob.mx/CurpSP/html/informacionecurpPS.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yperlink" Target="https://saimex.org.mx/saimex/solicitud/downloadAttach/1502470.page" TargetMode="External"/><Relationship Id="rId19" Type="http://schemas.openxmlformats.org/officeDocument/2006/relationships/hyperlink" Target="https://legislacion.edomex.gob.mx/sites/legislacion.edomex.gob.mx/files/files/pdf/ley/vig/leyvig093.pdf"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477195.page" TargetMode="External"/><Relationship Id="rId14" Type="http://schemas.openxmlformats.org/officeDocument/2006/relationships/image" Target="media/image2.png"/><Relationship Id="rId22" Type="http://schemas.openxmlformats.org/officeDocument/2006/relationships/image" Target="media/image20.png"/><Relationship Id="rId27" Type="http://schemas.openxmlformats.org/officeDocument/2006/relationships/image" Target="media/image11.png"/><Relationship Id="rId30" Type="http://schemas.openxmlformats.org/officeDocument/2006/relationships/image" Target="media/image18.png"/><Relationship Id="rId35" Type="http://schemas.openxmlformats.org/officeDocument/2006/relationships/hyperlink" Target="http://imevis.edomex.gob.mx/" TargetMode="External"/><Relationship Id="rId43" Type="http://schemas.openxmlformats.org/officeDocument/2006/relationships/header" Target="header3.xml"/><Relationship Id="rId8" Type="http://schemas.openxmlformats.org/officeDocument/2006/relationships/hyperlink" Target="https://saimex.org.mx/saimex/solicitud/downloadAttach/1460029.page" TargetMode="External"/><Relationship Id="rId3" Type="http://schemas.openxmlformats.org/officeDocument/2006/relationships/styles" Target="styles.xml"/><Relationship Id="rId12" Type="http://schemas.openxmlformats.org/officeDocument/2006/relationships/hyperlink" Target="https://ipomex.org.mx/ipo3/lgt/indice/IMEVIS/art_92_xxxvii.web?token=03ANYolquVM_ja9C_bKHarm2RrPsjirtVsJvRmdooRvozaKLZ2RGM2yyrmx2Pnu0DElaW8aJ_xkum5FuMTMee1Wb/L_FttlrfnuwlelpwVsCIYmxOeenKNp05XfO9Oq_BAUcj4wkUqw1YajKilS296bq5vJV_XgMclmdfOpdH3AlbW4CsldGxeu47K_71knBNOGZWbbLHtqqvDpj7Dnekz8E4eskRxSfELbM4MG5eljGeJlLnZNDVvGw1ojD3TFTUvH607vHM3xQUEdasWD1BBpVgZuRWxdFLOz$YkqWolo94psEuntSfKNtvnGMMi7F_utwu0rwkFmZn6LCXkbl_hq1qKq_3P4wy8HBdnVAz_Wz1eZ_nRwiURjd3vNoGr_TRQv_7FNZBwOkQWWKKNsNmVGFfxOuVJclrWilbNL2p9bfTfNPFKswm3i72J1nTJEXMiOr_JpQ" TargetMode="External"/><Relationship Id="rId17" Type="http://schemas.openxmlformats.org/officeDocument/2006/relationships/image" Target="media/image5.png"/><Relationship Id="rId25" Type="http://schemas.openxmlformats.org/officeDocument/2006/relationships/hyperlink" Target="about:blank" TargetMode="External"/><Relationship Id="rId33" Type="http://schemas.openxmlformats.org/officeDocument/2006/relationships/image" Target="media/image15.png"/><Relationship Id="rId38" Type="http://schemas.openxmlformats.org/officeDocument/2006/relationships/hyperlink" Target="https://www.gob.mx/segob/renapo/acciones-y-programas/clave-unica-de-registro-de-poblacion-curp-142226" TargetMode="External"/><Relationship Id="rId20" Type="http://schemas.openxmlformats.org/officeDocument/2006/relationships/hyperlink" Target="https://ipomex.org.mx/ipo3/lgt/indice/IMEVIS/art_92_xxxvii.web?token=03ANYolquVM_ja9C_bKHarm2RrPsjirtVsJvRmdooRvozaKLZ2RGM2yyrmx2Pnu0DElaW8aJ_xkum5FuMTMee1Wb/L_FttlrfnuwlelpwVsCIYmxOeenKNp05XfO9Oq_BAUcj4wkUqw1YajKilS296bq5vJV_XgMclmdfOpdH3AlbW4CsldGxeu47K_71knBNOGZWbbLHtqqvDpj7Dnekz8E4eskRxSfELbM4MG5eljGeJlLnZNDVvGw1ojD3TFTUvH607vHM3xQUEdasWD1BBpVgZuRWxdFLOz$YkqWolo94psEuntSfKNtvnGMMi7F_utwu0rwkFmZn6LCXkbl_hq1qKq_3P4wy8HBdnVAz_Wz1eZ_nRwiURjd3vNoGr_TRQv_7FNZBwOkQWWKKNsNmVGFfxOuVJclrWilbNL2p9bfTfNPFKswm3i72J1nTJEXMiOr_JpQ"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B1QWaWOmCFs+M0ppbs/yhTCg8w==">CgMxLjAyCGguZ2pkZ3hzMgloLjMwajB6bGwyCWguM3pueXNoNzIJaC4xZm9iOXRlOAByITF3cERCTzFwSUh2Y1JtZUhNQmZuejAybE5xU3FUekFaYQ==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23253</Words>
  <Characters>127894</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2023-06-23T18:20:00Z</cp:lastPrinted>
  <dcterms:created xsi:type="dcterms:W3CDTF">2023-06-29T00:14:00Z</dcterms:created>
  <dcterms:modified xsi:type="dcterms:W3CDTF">2023-06-29T00:14:00Z</dcterms:modified>
</cp:coreProperties>
</file>