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CB6" w:rsidRPr="006B08AE" w:rsidRDefault="006C5CB6" w:rsidP="006C5CB6">
      <w:pPr>
        <w:spacing w:line="360" w:lineRule="auto"/>
        <w:jc w:val="both"/>
        <w:rPr>
          <w:rFonts w:ascii="Palatino Linotype" w:eastAsiaTheme="minorEastAsia" w:hAnsi="Palatino Linotype"/>
          <w:lang w:val="es-ES_tradnl" w:eastAsia="es-ES"/>
        </w:rPr>
      </w:pPr>
      <w:r w:rsidRPr="006B08AE">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Theme="minorEastAsia" w:hAnsi="Palatino Linotype"/>
          <w:lang w:val="es-ES_tradnl" w:eastAsia="es-ES"/>
        </w:rPr>
        <w:t>catorce (14) de junio</w:t>
      </w:r>
      <w:r w:rsidRPr="006B08AE">
        <w:rPr>
          <w:rFonts w:ascii="Palatino Linotype" w:eastAsiaTheme="minorEastAsia" w:hAnsi="Palatino Linotype"/>
          <w:lang w:val="es-ES_tradnl" w:eastAsia="es-ES"/>
        </w:rPr>
        <w:t xml:space="preserve"> de dos mil veintitrés.</w:t>
      </w:r>
      <w:bookmarkStart w:id="0" w:name="_GoBack"/>
      <w:bookmarkEnd w:id="0"/>
    </w:p>
    <w:p w:rsidR="006C5CB6" w:rsidRPr="006B08AE" w:rsidRDefault="006C5CB6" w:rsidP="006C5CB6">
      <w:pPr>
        <w:spacing w:line="360" w:lineRule="auto"/>
        <w:jc w:val="both"/>
        <w:rPr>
          <w:rFonts w:ascii="Palatino Linotype" w:eastAsiaTheme="minorEastAsia" w:hAnsi="Palatino Linotype"/>
          <w:lang w:val="es-ES_tradnl" w:eastAsia="es-ES"/>
        </w:rPr>
      </w:pPr>
    </w:p>
    <w:p w:rsidR="006C5CB6" w:rsidRPr="006B08AE" w:rsidRDefault="006C5CB6" w:rsidP="006C5CB6">
      <w:pPr>
        <w:spacing w:line="360" w:lineRule="auto"/>
        <w:jc w:val="both"/>
        <w:rPr>
          <w:rFonts w:ascii="Palatino Linotype" w:hAnsi="Palatino Linotype"/>
        </w:rPr>
      </w:pPr>
      <w:r w:rsidRPr="006B08AE">
        <w:rPr>
          <w:rFonts w:ascii="Palatino Linotype" w:hAnsi="Palatino Linotype"/>
          <w:b/>
        </w:rPr>
        <w:t>VISTO</w:t>
      </w:r>
      <w:r w:rsidRPr="006B08AE">
        <w:rPr>
          <w:rFonts w:ascii="Palatino Linotype" w:hAnsi="Palatino Linotype"/>
        </w:rPr>
        <w:t xml:space="preserve"> el expediente electrónico formado con motivo del recurso de revisión </w:t>
      </w:r>
      <w:r>
        <w:rPr>
          <w:rFonts w:ascii="Palatino Linotype" w:hAnsi="Palatino Linotype"/>
          <w:b/>
        </w:rPr>
        <w:t>02328</w:t>
      </w:r>
      <w:r w:rsidRPr="006B08AE">
        <w:rPr>
          <w:rFonts w:ascii="Palatino Linotype" w:hAnsi="Palatino Linotype"/>
          <w:b/>
        </w:rPr>
        <w:t>/INFOEM/IP/RR/2023,</w:t>
      </w:r>
      <w:r w:rsidRPr="006B08AE">
        <w:rPr>
          <w:rFonts w:ascii="Palatino Linotype" w:hAnsi="Palatino Linotype" w:cs="Arial"/>
          <w:b/>
          <w:bCs/>
        </w:rPr>
        <w:t xml:space="preserve"> </w:t>
      </w:r>
      <w:r w:rsidRPr="006B08AE">
        <w:rPr>
          <w:rFonts w:ascii="Palatino Linotype" w:eastAsiaTheme="minorEastAsia" w:hAnsi="Palatino Linotype"/>
          <w:lang w:val="es-ES_tradnl" w:eastAsia="es-ES"/>
        </w:rPr>
        <w:t xml:space="preserve">promovido por </w:t>
      </w:r>
      <w:r w:rsidR="00AD15F3">
        <w:rPr>
          <w:rFonts w:ascii="Palatino Linotype" w:eastAsiaTheme="minorEastAsia" w:hAnsi="Palatino Linotype"/>
          <w:b/>
          <w:bCs/>
          <w:lang w:eastAsia="es-ES"/>
        </w:rPr>
        <w:t xml:space="preserve">XXX </w:t>
      </w:r>
      <w:proofErr w:type="spellStart"/>
      <w:r w:rsidR="00AD15F3">
        <w:rPr>
          <w:rFonts w:ascii="Palatino Linotype" w:eastAsiaTheme="minorEastAsia" w:hAnsi="Palatino Linotype"/>
          <w:b/>
          <w:bCs/>
          <w:lang w:eastAsia="es-ES"/>
        </w:rPr>
        <w:t>XXX</w:t>
      </w:r>
      <w:proofErr w:type="spellEnd"/>
      <w:r w:rsidR="00AD15F3">
        <w:rPr>
          <w:rFonts w:ascii="Palatino Linotype" w:eastAsiaTheme="minorEastAsia" w:hAnsi="Palatino Linotype"/>
          <w:b/>
          <w:bCs/>
          <w:lang w:eastAsia="es-ES"/>
        </w:rPr>
        <w:t xml:space="preserve"> </w:t>
      </w:r>
      <w:proofErr w:type="spellStart"/>
      <w:r w:rsidR="00AD15F3">
        <w:rPr>
          <w:rFonts w:ascii="Palatino Linotype" w:eastAsiaTheme="minorEastAsia" w:hAnsi="Palatino Linotype"/>
          <w:b/>
          <w:bCs/>
          <w:lang w:eastAsia="es-ES"/>
        </w:rPr>
        <w:t>XXX</w:t>
      </w:r>
      <w:proofErr w:type="spellEnd"/>
      <w:r>
        <w:rPr>
          <w:rFonts w:ascii="Palatino Linotype" w:eastAsiaTheme="minorEastAsia" w:hAnsi="Palatino Linotype"/>
          <w:b/>
          <w:bCs/>
          <w:lang w:eastAsia="es-ES"/>
        </w:rPr>
        <w:t xml:space="preserve">, </w:t>
      </w:r>
      <w:r w:rsidRPr="006C5CB6">
        <w:rPr>
          <w:rFonts w:ascii="Palatino Linotype" w:eastAsiaTheme="minorEastAsia" w:hAnsi="Palatino Linotype"/>
          <w:bCs/>
          <w:lang w:eastAsia="es-ES"/>
        </w:rPr>
        <w:t>a</w:t>
      </w:r>
      <w:r>
        <w:rPr>
          <w:rFonts w:ascii="Palatino Linotype" w:eastAsiaTheme="minorEastAsia" w:hAnsi="Palatino Linotype"/>
          <w:b/>
          <w:bCs/>
          <w:lang w:eastAsia="es-ES"/>
        </w:rPr>
        <w:t xml:space="preserve"> </w:t>
      </w:r>
      <w:r w:rsidRPr="006B08AE">
        <w:rPr>
          <w:rFonts w:ascii="Palatino Linotype" w:eastAsiaTheme="minorEastAsia" w:hAnsi="Palatino Linotype"/>
          <w:lang w:eastAsia="es-ES"/>
        </w:rPr>
        <w:t xml:space="preserve">quien </w:t>
      </w:r>
      <w:r w:rsidRPr="006B08AE">
        <w:rPr>
          <w:rFonts w:ascii="Palatino Linotype" w:hAnsi="Palatino Linotype"/>
        </w:rPr>
        <w:t xml:space="preserve">en lo sucesivo se identificará como </w:t>
      </w:r>
      <w:r w:rsidR="009D255A">
        <w:rPr>
          <w:rFonts w:ascii="Palatino Linotype" w:hAnsi="Palatino Linotype"/>
          <w:b/>
        </w:rPr>
        <w:t>LA</w:t>
      </w:r>
      <w:r w:rsidRPr="006B08AE">
        <w:rPr>
          <w:rFonts w:ascii="Palatino Linotype" w:hAnsi="Palatino Linotype"/>
          <w:b/>
        </w:rPr>
        <w:t xml:space="preserve"> </w:t>
      </w:r>
      <w:r w:rsidRPr="006B08AE">
        <w:rPr>
          <w:rFonts w:ascii="Palatino Linotype" w:hAnsi="Palatino Linotype" w:cs="Arial"/>
          <w:b/>
        </w:rPr>
        <w:t>RECURRENTE</w:t>
      </w:r>
      <w:r w:rsidRPr="006B08AE">
        <w:rPr>
          <w:rFonts w:ascii="Palatino Linotype" w:hAnsi="Palatino Linotype" w:cs="Arial"/>
        </w:rPr>
        <w:t>, en contra de la respuesta de</w:t>
      </w:r>
      <w:r>
        <w:rPr>
          <w:rFonts w:ascii="Palatino Linotype" w:hAnsi="Palatino Linotype" w:cs="Arial"/>
        </w:rPr>
        <w:t xml:space="preserve"> </w:t>
      </w:r>
      <w:r w:rsidRPr="006B08AE">
        <w:rPr>
          <w:rFonts w:ascii="Palatino Linotype" w:hAnsi="Palatino Linotype" w:cs="Arial"/>
        </w:rPr>
        <w:t>l</w:t>
      </w:r>
      <w:r>
        <w:rPr>
          <w:rFonts w:ascii="Palatino Linotype" w:hAnsi="Palatino Linotype" w:cs="Arial"/>
        </w:rPr>
        <w:t>a</w:t>
      </w:r>
      <w:r w:rsidRPr="006B08AE">
        <w:rPr>
          <w:rFonts w:ascii="Palatino Linotype" w:hAnsi="Palatino Linotype" w:cs="Arial"/>
        </w:rPr>
        <w:t xml:space="preserve"> </w:t>
      </w:r>
      <w:r>
        <w:rPr>
          <w:rFonts w:ascii="Palatino Linotype" w:hAnsi="Palatino Linotype" w:cs="Arial"/>
          <w:b/>
          <w:bCs/>
        </w:rPr>
        <w:t>Secretaría General de Gobierno</w:t>
      </w:r>
      <w:r w:rsidRPr="006B08AE">
        <w:rPr>
          <w:rFonts w:ascii="Palatino Linotype" w:hAnsi="Palatino Linotype" w:cs="Arial"/>
          <w:b/>
          <w:bCs/>
        </w:rPr>
        <w:t xml:space="preserve">, </w:t>
      </w:r>
      <w:r w:rsidR="009D255A">
        <w:rPr>
          <w:rFonts w:ascii="Palatino Linotype" w:hAnsi="Palatino Linotype"/>
        </w:rPr>
        <w:t>en adelante</w:t>
      </w:r>
      <w:r w:rsidRPr="006B08AE">
        <w:rPr>
          <w:rFonts w:ascii="Palatino Linotype" w:hAnsi="Palatino Linotype"/>
        </w:rPr>
        <w:t xml:space="preserve"> el</w:t>
      </w:r>
      <w:r w:rsidRPr="006B08AE">
        <w:rPr>
          <w:rFonts w:ascii="Palatino Linotype" w:hAnsi="Palatino Linotype"/>
          <w:b/>
        </w:rPr>
        <w:t xml:space="preserve"> SUJETO OBLIGADO</w:t>
      </w:r>
      <w:r w:rsidRPr="006B08AE">
        <w:rPr>
          <w:rFonts w:ascii="Palatino Linotype" w:hAnsi="Palatino Linotype"/>
        </w:rPr>
        <w:t>, por lo que se procede a dictar la presente resolución, con base en los siguientes:</w:t>
      </w:r>
    </w:p>
    <w:p w:rsidR="006C5CB6" w:rsidRPr="006B08AE" w:rsidRDefault="006C5CB6" w:rsidP="006C5CB6">
      <w:pPr>
        <w:spacing w:line="360" w:lineRule="auto"/>
        <w:jc w:val="both"/>
        <w:rPr>
          <w:rFonts w:ascii="Palatino Linotype" w:hAnsi="Palatino Linotype"/>
        </w:rPr>
      </w:pPr>
    </w:p>
    <w:p w:rsidR="006C5CB6" w:rsidRPr="006B08AE" w:rsidRDefault="006C5CB6" w:rsidP="006C5CB6">
      <w:pPr>
        <w:keepNext/>
        <w:keepLines/>
        <w:spacing w:line="360" w:lineRule="auto"/>
        <w:jc w:val="center"/>
        <w:outlineLvl w:val="0"/>
        <w:rPr>
          <w:rFonts w:ascii="Palatino Linotype" w:eastAsiaTheme="majorEastAsia" w:hAnsi="Palatino Linotype" w:cstheme="majorBidi"/>
          <w:b/>
          <w:szCs w:val="32"/>
        </w:rPr>
      </w:pPr>
      <w:bookmarkStart w:id="1" w:name="_Toc83301633"/>
      <w:r w:rsidRPr="006B08AE">
        <w:rPr>
          <w:rFonts w:ascii="Palatino Linotype" w:eastAsiaTheme="majorEastAsia" w:hAnsi="Palatino Linotype" w:cstheme="majorBidi"/>
          <w:b/>
          <w:szCs w:val="32"/>
        </w:rPr>
        <w:t>ANTECEDENTES</w:t>
      </w:r>
      <w:bookmarkEnd w:id="1"/>
    </w:p>
    <w:p w:rsidR="006C5CB6" w:rsidRPr="006B08AE" w:rsidRDefault="006C5CB6" w:rsidP="006C5CB6">
      <w:pPr>
        <w:spacing w:line="360" w:lineRule="auto"/>
        <w:rPr>
          <w:rFonts w:ascii="Palatino Linotype" w:eastAsiaTheme="minorEastAsia" w:hAnsi="Palatino Linotype"/>
        </w:rPr>
      </w:pPr>
    </w:p>
    <w:p w:rsidR="006C5CB6" w:rsidRPr="006B08AE" w:rsidRDefault="006C5CB6" w:rsidP="006C5CB6">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eastAsia="Calibri" w:hAnsi="Palatino Linotype" w:cs="Arial"/>
          <w:lang w:val="es-ES" w:eastAsia="es-ES"/>
        </w:rPr>
        <w:t>El veintinueve (29</w:t>
      </w:r>
      <w:r w:rsidRPr="006B08AE">
        <w:rPr>
          <w:rFonts w:ascii="Palatino Linotype" w:eastAsia="Calibri" w:hAnsi="Palatino Linotype" w:cs="Arial"/>
          <w:lang w:val="es-ES" w:eastAsia="es-ES"/>
        </w:rPr>
        <w:t>) de marzo de dos mil veintitrés,</w:t>
      </w:r>
      <w:r w:rsidRPr="006B08AE">
        <w:rPr>
          <w:rFonts w:ascii="Palatino Linotype" w:eastAsia="Calibri" w:hAnsi="Palatino Linotype"/>
          <w:lang w:val="es-ES" w:eastAsia="es-ES"/>
        </w:rPr>
        <w:t xml:space="preserve"> </w:t>
      </w:r>
      <w:r w:rsidR="009D255A">
        <w:rPr>
          <w:rFonts w:ascii="Palatino Linotype" w:eastAsia="Calibri" w:hAnsi="Palatino Linotype"/>
          <w:b/>
          <w:lang w:val="es-ES" w:eastAsia="es-ES"/>
        </w:rPr>
        <w:t>LA</w:t>
      </w:r>
      <w:r w:rsidRPr="006B08AE">
        <w:rPr>
          <w:rFonts w:ascii="Palatino Linotype" w:eastAsia="Calibri" w:hAnsi="Palatino Linotype"/>
          <w:b/>
          <w:lang w:val="es-ES" w:eastAsia="es-ES"/>
        </w:rPr>
        <w:t xml:space="preserve"> RECURRENTE</w:t>
      </w:r>
      <w:r w:rsidRPr="006B08AE">
        <w:rPr>
          <w:rFonts w:ascii="Palatino Linotype" w:eastAsiaTheme="minorEastAsia" w:hAnsi="Palatino Linotype"/>
          <w:b/>
          <w:lang w:val="es-ES_tradnl" w:eastAsia="es-ES"/>
        </w:rPr>
        <w:t>,</w:t>
      </w:r>
      <w:r w:rsidRPr="006B08AE">
        <w:rPr>
          <w:rFonts w:ascii="Palatino Linotype" w:eastAsia="Calibri" w:hAnsi="Palatino Linotype" w:cs="Arial"/>
          <w:lang w:val="es-ES" w:eastAsia="es-ES"/>
        </w:rPr>
        <w:t xml:space="preserve"> ante el </w:t>
      </w:r>
      <w:r w:rsidRPr="006B08AE">
        <w:rPr>
          <w:rFonts w:ascii="Palatino Linotype" w:eastAsia="Calibri" w:hAnsi="Palatino Linotype" w:cs="Arial"/>
          <w:b/>
          <w:lang w:val="es-ES" w:eastAsia="es-ES"/>
        </w:rPr>
        <w:t>SUJETO OBLIGADO</w:t>
      </w:r>
      <w:r w:rsidRPr="006B08AE">
        <w:rPr>
          <w:rFonts w:ascii="Palatino Linotype" w:eastAsia="Calibri" w:hAnsi="Palatino Linotype" w:cs="Arial"/>
          <w:lang w:val="es-ES_tradnl" w:eastAsia="es-ES"/>
        </w:rPr>
        <w:t xml:space="preserve"> vía </w:t>
      </w:r>
      <w:r w:rsidRPr="006B08AE">
        <w:rPr>
          <w:rFonts w:ascii="Palatino Linotype" w:eastAsia="Calibri" w:hAnsi="Palatino Linotype" w:cs="Arial"/>
          <w:lang w:val="es-ES" w:eastAsia="es-ES"/>
        </w:rPr>
        <w:t>Sistema de Acceso a la Información Mexiquense (</w:t>
      </w:r>
      <w:r w:rsidRPr="006B08AE">
        <w:rPr>
          <w:rFonts w:ascii="Palatino Linotype" w:eastAsia="Calibri" w:hAnsi="Palatino Linotype" w:cs="Arial"/>
          <w:b/>
          <w:lang w:val="es-ES" w:eastAsia="es-ES"/>
        </w:rPr>
        <w:t>SAIMEX)</w:t>
      </w:r>
      <w:r w:rsidRPr="006B08AE">
        <w:rPr>
          <w:rFonts w:ascii="Palatino Linotype" w:eastAsia="Calibri" w:hAnsi="Palatino Linotype" w:cs="Arial"/>
          <w:lang w:val="es-ES" w:eastAsia="es-ES"/>
        </w:rPr>
        <w:t xml:space="preserve">, presentó una solicitud de información registrada con el número </w:t>
      </w:r>
      <w:r w:rsidRPr="006C5CB6">
        <w:rPr>
          <w:rFonts w:ascii="Palatino Linotype" w:hAnsi="Palatino Linotype"/>
          <w:b/>
          <w:bCs/>
        </w:rPr>
        <w:t>00158/SEGEGOB/IP/2023</w:t>
      </w:r>
      <w:r w:rsidRPr="006B08AE">
        <w:rPr>
          <w:rFonts w:ascii="Palatino Linotype" w:eastAsiaTheme="minorEastAsia" w:hAnsi="Palatino Linotype"/>
          <w:b/>
          <w:lang w:val="es-ES_tradnl" w:eastAsia="es-ES"/>
        </w:rPr>
        <w:t xml:space="preserve">, </w:t>
      </w:r>
      <w:r w:rsidRPr="006B08AE">
        <w:rPr>
          <w:rFonts w:ascii="Palatino Linotype" w:eastAsia="Calibri" w:hAnsi="Palatino Linotype" w:cs="Arial"/>
          <w:lang w:val="es-ES" w:eastAsia="es-ES"/>
        </w:rPr>
        <w:t>mediante la cual solicitó lo siguiente:</w:t>
      </w:r>
    </w:p>
    <w:p w:rsidR="006C5CB6" w:rsidRPr="006B08AE" w:rsidRDefault="006C5CB6" w:rsidP="006C5CB6">
      <w:pPr>
        <w:spacing w:line="360" w:lineRule="auto"/>
        <w:contextualSpacing/>
        <w:jc w:val="both"/>
        <w:rPr>
          <w:rFonts w:ascii="Palatino Linotype" w:hAnsi="Palatino Linotype" w:cs="Arial"/>
          <w:lang w:val="es-ES" w:eastAsia="es-ES"/>
        </w:rPr>
      </w:pPr>
    </w:p>
    <w:p w:rsidR="006C5CB6" w:rsidRPr="006B08AE" w:rsidRDefault="006C5CB6" w:rsidP="006C5CB6">
      <w:pPr>
        <w:pStyle w:val="Prrafodelista"/>
        <w:spacing w:line="360" w:lineRule="auto"/>
        <w:ind w:left="1069" w:right="567"/>
        <w:jc w:val="both"/>
        <w:rPr>
          <w:rFonts w:ascii="Palatino Linotype" w:hAnsi="Palatino Linotype"/>
          <w:i/>
          <w:color w:val="000000"/>
        </w:rPr>
      </w:pPr>
      <w:r w:rsidRPr="006B08AE">
        <w:rPr>
          <w:rFonts w:ascii="Palatino Linotype" w:hAnsi="Palatino Linotype"/>
          <w:i/>
          <w:color w:val="000000"/>
        </w:rPr>
        <w:t xml:space="preserve"> “</w:t>
      </w:r>
      <w:r w:rsidRPr="006C5CB6">
        <w:rPr>
          <w:rFonts w:ascii="Palatino Linotype" w:hAnsi="Palatino Linotype"/>
          <w:i/>
          <w:color w:val="000000"/>
        </w:rPr>
        <w:t xml:space="preserve">AL SER RESPONSABLE D ELA ESTABILIDAD POLITICA Y CON LA PROBABILIDAD DE QUE HAYA REVUELTA CIVIL Y/O GUERRA IVIL EN EL ESTADO DE MEXICO Y/O LINCHAMIENTOS DERIVADO D ELAS CACERIAS A BRIGADISTAS POR EJEMPLO https://www.trespm.mx/edomex/policia-municipal-de-toluca-detiene-a-brigadistas-de-morena Y QUE ESTO DERIVE EN CONTRATAQUES Y CACERIA AHORA DE PERSONAL DE GOBIERNO ESTATAL Y MUNCIPAL Y/O LINCHAMIENTOS, SOLCITO, LA EXPRSION DOCUEMTAL DE LAS </w:t>
      </w:r>
      <w:r w:rsidRPr="006C5CB6">
        <w:rPr>
          <w:rFonts w:ascii="Palatino Linotype" w:hAnsi="Palatino Linotype"/>
          <w:i/>
          <w:color w:val="000000"/>
        </w:rPr>
        <w:lastRenderedPageBreak/>
        <w:t>ACCIONES INSTITUCIONALES PARA PREVENIR Y/O ACTUAR ANTE LAS PERSECUCIONES A MOVILIZADORES</w:t>
      </w:r>
      <w:r w:rsidRPr="006B08AE">
        <w:rPr>
          <w:rFonts w:ascii="Palatino Linotype" w:hAnsi="Palatino Linotype"/>
          <w:i/>
          <w:color w:val="000000"/>
        </w:rPr>
        <w:t xml:space="preserve">” (Sic) </w:t>
      </w:r>
    </w:p>
    <w:p w:rsidR="006C5CB6" w:rsidRPr="006B08AE" w:rsidRDefault="006C5CB6" w:rsidP="006C5CB6">
      <w:pPr>
        <w:pStyle w:val="Prrafodelista"/>
        <w:spacing w:line="360" w:lineRule="auto"/>
        <w:ind w:left="1069" w:right="567"/>
        <w:jc w:val="both"/>
        <w:rPr>
          <w:rFonts w:ascii="Palatino Linotype" w:hAnsi="Palatino Linotype"/>
          <w:i/>
          <w:color w:val="000000"/>
        </w:rPr>
      </w:pPr>
    </w:p>
    <w:p w:rsidR="006C5CB6" w:rsidRDefault="006C5CB6" w:rsidP="006C5CB6">
      <w:pPr>
        <w:numPr>
          <w:ilvl w:val="0"/>
          <w:numId w:val="1"/>
        </w:numPr>
        <w:spacing w:line="360" w:lineRule="auto"/>
        <w:ind w:left="0" w:firstLine="0"/>
        <w:contextualSpacing/>
        <w:jc w:val="both"/>
        <w:rPr>
          <w:rFonts w:ascii="Palatino Linotype" w:eastAsia="Calibri" w:hAnsi="Palatino Linotype"/>
          <w:lang w:val="es-ES" w:eastAsia="es-ES"/>
        </w:rPr>
      </w:pPr>
      <w:r w:rsidRPr="006B08AE">
        <w:rPr>
          <w:rFonts w:ascii="Palatino Linotype" w:eastAsia="Calibri" w:hAnsi="Palatino Linotype"/>
          <w:lang w:val="es-ES" w:eastAsia="es-ES"/>
        </w:rPr>
        <w:t>Se eligió como modalidad de entrega a través de la plataforma digital Sistema de Acceso a la Información Mexiquense (SAIMEX).</w:t>
      </w:r>
    </w:p>
    <w:p w:rsidR="006C5CB6" w:rsidRDefault="006C5CB6" w:rsidP="006C5CB6">
      <w:pPr>
        <w:spacing w:line="360" w:lineRule="auto"/>
        <w:contextualSpacing/>
        <w:jc w:val="both"/>
        <w:rPr>
          <w:rFonts w:ascii="Palatino Linotype" w:eastAsia="Calibri" w:hAnsi="Palatino Linotype"/>
          <w:lang w:val="es-ES" w:eastAsia="es-ES"/>
        </w:rPr>
      </w:pPr>
    </w:p>
    <w:p w:rsidR="006C5CB6" w:rsidRDefault="006C5CB6" w:rsidP="006C5CB6">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t xml:space="preserve">El treinta y uno (31) de marzo de dos mil veintitrés, se realizó un requerimiento al servidor público habilitado. </w:t>
      </w:r>
    </w:p>
    <w:p w:rsidR="006C5CB6" w:rsidRPr="006B08AE" w:rsidRDefault="006C5CB6" w:rsidP="006C5CB6">
      <w:pPr>
        <w:spacing w:line="360" w:lineRule="auto"/>
        <w:contextualSpacing/>
        <w:jc w:val="both"/>
        <w:rPr>
          <w:rFonts w:ascii="Palatino Linotype" w:eastAsia="Calibri" w:hAnsi="Palatino Linotype"/>
          <w:lang w:val="es-ES" w:eastAsia="es-ES"/>
        </w:rPr>
      </w:pPr>
    </w:p>
    <w:p w:rsidR="006C5CB6" w:rsidRPr="006B08AE" w:rsidRDefault="006C5CB6" w:rsidP="006C5CB6">
      <w:pPr>
        <w:numPr>
          <w:ilvl w:val="0"/>
          <w:numId w:val="1"/>
        </w:numPr>
        <w:spacing w:line="360" w:lineRule="auto"/>
        <w:ind w:left="0" w:firstLine="0"/>
        <w:contextualSpacing/>
        <w:jc w:val="both"/>
        <w:rPr>
          <w:rFonts w:ascii="Palatino Linotype" w:eastAsia="Calibri" w:hAnsi="Palatino Linotype"/>
          <w:lang w:val="es-ES" w:eastAsia="es-ES"/>
        </w:rPr>
      </w:pPr>
      <w:r w:rsidRPr="006B08AE">
        <w:rPr>
          <w:rFonts w:ascii="Palatino Linotype" w:eastAsiaTheme="minorEastAsia" w:hAnsi="Palatino Linotype"/>
          <w:lang w:val="es-ES_tradnl" w:eastAsia="es-ES"/>
        </w:rPr>
        <w:t xml:space="preserve">El </w:t>
      </w:r>
      <w:r>
        <w:rPr>
          <w:rFonts w:ascii="Palatino Linotype" w:eastAsiaTheme="minorEastAsia" w:hAnsi="Palatino Linotype"/>
          <w:lang w:val="es-ES_tradnl" w:eastAsia="es-ES"/>
        </w:rPr>
        <w:t>veinticinco (25) d</w:t>
      </w:r>
      <w:r w:rsidRPr="006B08AE">
        <w:rPr>
          <w:rFonts w:ascii="Palatino Linotype" w:eastAsiaTheme="minorEastAsia" w:hAnsi="Palatino Linotype"/>
          <w:lang w:val="es-ES_tradnl" w:eastAsia="es-ES"/>
        </w:rPr>
        <w:t xml:space="preserve">e abril de dos mil veintitrés, </w:t>
      </w:r>
      <w:r w:rsidRPr="006B08AE">
        <w:rPr>
          <w:rFonts w:ascii="Palatino Linotype" w:eastAsia="Calibri" w:hAnsi="Palatino Linotype"/>
          <w:lang w:val="es-ES" w:eastAsia="es-ES"/>
        </w:rPr>
        <w:t xml:space="preserve">el </w:t>
      </w:r>
      <w:r w:rsidRPr="006B08AE">
        <w:rPr>
          <w:rFonts w:ascii="Palatino Linotype" w:eastAsia="Calibri" w:hAnsi="Palatino Linotype" w:cs="Arial"/>
          <w:b/>
          <w:lang w:val="es-AR" w:eastAsia="es-ES"/>
        </w:rPr>
        <w:t>SUJETO OBLIGADO</w:t>
      </w:r>
      <w:r w:rsidR="00525B02">
        <w:rPr>
          <w:rFonts w:ascii="Palatino Linotype" w:eastAsia="Calibri" w:hAnsi="Palatino Linotype" w:cs="Arial"/>
          <w:b/>
          <w:lang w:val="es-AR" w:eastAsia="es-ES"/>
        </w:rPr>
        <w:t>,</w:t>
      </w:r>
      <w:r w:rsidRPr="006B08AE">
        <w:rPr>
          <w:rFonts w:ascii="Palatino Linotype" w:eastAsia="Calibri" w:hAnsi="Palatino Linotype" w:cs="Arial"/>
          <w:b/>
          <w:i/>
          <w:lang w:val="es-AR" w:eastAsia="es-ES"/>
        </w:rPr>
        <w:t xml:space="preserve"> </w:t>
      </w:r>
      <w:r w:rsidRPr="006B08AE">
        <w:rPr>
          <w:rFonts w:ascii="Palatino Linotype" w:hAnsi="Palatino Linotype" w:cs="Arial"/>
          <w:lang w:val="es-ES" w:eastAsia="es-ES"/>
        </w:rPr>
        <w:t>dio respuesta a la solicitud de información en los siguientes términos:</w:t>
      </w:r>
    </w:p>
    <w:p w:rsidR="006C5CB6" w:rsidRPr="006B08AE" w:rsidRDefault="006C5CB6" w:rsidP="006C5CB6">
      <w:pPr>
        <w:spacing w:line="360" w:lineRule="auto"/>
        <w:contextualSpacing/>
        <w:jc w:val="both"/>
        <w:rPr>
          <w:rFonts w:ascii="Palatino Linotype" w:eastAsia="Calibri" w:hAnsi="Palatino Linotype"/>
          <w:lang w:val="es-ES" w:eastAsia="es-ES"/>
        </w:rPr>
      </w:pPr>
    </w:p>
    <w:tbl>
      <w:tblPr>
        <w:tblW w:w="7330" w:type="dxa"/>
        <w:jc w:val="center"/>
        <w:tblCellSpacing w:w="0" w:type="dxa"/>
        <w:tblCellMar>
          <w:left w:w="0" w:type="dxa"/>
          <w:right w:w="0" w:type="dxa"/>
        </w:tblCellMar>
        <w:tblLook w:val="04A0" w:firstRow="1" w:lastRow="0" w:firstColumn="1" w:lastColumn="0" w:noHBand="0" w:noVBand="1"/>
      </w:tblPr>
      <w:tblGrid>
        <w:gridCol w:w="7330"/>
      </w:tblGrid>
      <w:tr w:rsidR="006C5CB6" w:rsidRPr="006C5CB6" w:rsidTr="006C5CB6">
        <w:trPr>
          <w:trHeight w:val="324"/>
          <w:tblCellSpacing w:w="0" w:type="dxa"/>
          <w:jc w:val="center"/>
        </w:trPr>
        <w:tc>
          <w:tcPr>
            <w:tcW w:w="0" w:type="auto"/>
            <w:vAlign w:val="center"/>
            <w:hideMark/>
          </w:tcPr>
          <w:p w:rsidR="006C5CB6" w:rsidRPr="006C5CB6" w:rsidRDefault="006C5CB6" w:rsidP="006C5CB6">
            <w:pPr>
              <w:jc w:val="right"/>
              <w:rPr>
                <w:rFonts w:ascii="Palatino Linotype" w:hAnsi="Palatino Linotype"/>
                <w:i/>
                <w:sz w:val="22"/>
                <w:lang w:val="es-ES" w:eastAsia="es-ES"/>
              </w:rPr>
            </w:pPr>
            <w:r>
              <w:rPr>
                <w:rFonts w:ascii="Palatino Linotype" w:hAnsi="Palatino Linotype"/>
                <w:i/>
                <w:sz w:val="22"/>
                <w:szCs w:val="18"/>
                <w:lang w:val="es-ES" w:eastAsia="es-ES"/>
              </w:rPr>
              <w:t>“</w:t>
            </w:r>
            <w:r w:rsidRPr="006C5CB6">
              <w:rPr>
                <w:rFonts w:ascii="Palatino Linotype" w:hAnsi="Palatino Linotype"/>
                <w:i/>
                <w:sz w:val="22"/>
                <w:szCs w:val="18"/>
                <w:lang w:val="es-ES" w:eastAsia="es-ES"/>
              </w:rPr>
              <w:t>Metepec, México a 25 de Abril de 2023</w:t>
            </w:r>
          </w:p>
        </w:tc>
      </w:tr>
      <w:tr w:rsidR="006C5CB6" w:rsidRPr="006C5CB6" w:rsidTr="006C5CB6">
        <w:trPr>
          <w:trHeight w:val="324"/>
          <w:tblCellSpacing w:w="0" w:type="dxa"/>
          <w:jc w:val="center"/>
        </w:trPr>
        <w:tc>
          <w:tcPr>
            <w:tcW w:w="0" w:type="auto"/>
            <w:vAlign w:val="center"/>
            <w:hideMark/>
          </w:tcPr>
          <w:p w:rsidR="006C5CB6" w:rsidRPr="006C5CB6" w:rsidRDefault="006C5CB6" w:rsidP="006C5CB6">
            <w:pPr>
              <w:jc w:val="right"/>
              <w:rPr>
                <w:rFonts w:ascii="Palatino Linotype" w:hAnsi="Palatino Linotype"/>
                <w:i/>
                <w:sz w:val="22"/>
                <w:lang w:val="es-ES" w:eastAsia="es-ES"/>
              </w:rPr>
            </w:pPr>
            <w:r w:rsidRPr="006C5CB6">
              <w:rPr>
                <w:rFonts w:ascii="Palatino Linotype" w:hAnsi="Palatino Linotype"/>
                <w:i/>
                <w:sz w:val="22"/>
                <w:szCs w:val="18"/>
                <w:lang w:val="es-ES" w:eastAsia="es-ES"/>
              </w:rPr>
              <w:t>Nombre del solicitante: C. Solicitante</w:t>
            </w:r>
          </w:p>
        </w:tc>
      </w:tr>
      <w:tr w:rsidR="006C5CB6" w:rsidRPr="006C5CB6" w:rsidTr="006C5CB6">
        <w:trPr>
          <w:trHeight w:val="324"/>
          <w:tblCellSpacing w:w="0" w:type="dxa"/>
          <w:jc w:val="center"/>
        </w:trPr>
        <w:tc>
          <w:tcPr>
            <w:tcW w:w="0" w:type="auto"/>
            <w:vAlign w:val="center"/>
            <w:hideMark/>
          </w:tcPr>
          <w:p w:rsidR="006C5CB6" w:rsidRPr="006C5CB6" w:rsidRDefault="006C5CB6" w:rsidP="006C5CB6">
            <w:pPr>
              <w:jc w:val="right"/>
              <w:rPr>
                <w:rFonts w:ascii="Palatino Linotype" w:hAnsi="Palatino Linotype"/>
                <w:i/>
                <w:sz w:val="22"/>
                <w:lang w:val="es-ES" w:eastAsia="es-ES"/>
              </w:rPr>
            </w:pPr>
            <w:r w:rsidRPr="006C5CB6">
              <w:rPr>
                <w:rFonts w:ascii="Palatino Linotype" w:hAnsi="Palatino Linotype"/>
                <w:i/>
                <w:sz w:val="22"/>
                <w:szCs w:val="18"/>
                <w:lang w:val="es-ES" w:eastAsia="es-ES"/>
              </w:rPr>
              <w:t>Folio de la solicitud: 00158/SEGEGOB/IP/2023</w:t>
            </w:r>
          </w:p>
        </w:tc>
      </w:tr>
      <w:tr w:rsidR="006C5CB6" w:rsidRPr="006C5CB6" w:rsidTr="006C5CB6">
        <w:trPr>
          <w:trHeight w:val="487"/>
          <w:tblCellSpacing w:w="0" w:type="dxa"/>
          <w:jc w:val="center"/>
        </w:trPr>
        <w:tc>
          <w:tcPr>
            <w:tcW w:w="0" w:type="auto"/>
            <w:vAlign w:val="center"/>
            <w:hideMark/>
          </w:tcPr>
          <w:p w:rsidR="006C5CB6" w:rsidRPr="006C5CB6" w:rsidRDefault="006C5CB6" w:rsidP="006C5CB6">
            <w:pPr>
              <w:jc w:val="right"/>
              <w:rPr>
                <w:rFonts w:ascii="Palatino Linotype" w:hAnsi="Palatino Linotype"/>
                <w:i/>
                <w:sz w:val="22"/>
                <w:lang w:val="es-ES" w:eastAsia="es-ES"/>
              </w:rPr>
            </w:pPr>
          </w:p>
        </w:tc>
      </w:tr>
      <w:tr w:rsidR="006C5CB6" w:rsidRPr="006C5CB6" w:rsidTr="006C5CB6">
        <w:trPr>
          <w:trHeight w:val="162"/>
          <w:tblCellSpacing w:w="0" w:type="dxa"/>
          <w:jc w:val="center"/>
        </w:trPr>
        <w:tc>
          <w:tcPr>
            <w:tcW w:w="0" w:type="auto"/>
            <w:vAlign w:val="center"/>
            <w:hideMark/>
          </w:tcPr>
          <w:p w:rsidR="006C5CB6" w:rsidRPr="006C5CB6" w:rsidRDefault="006C5CB6" w:rsidP="006C5CB6">
            <w:pPr>
              <w:rPr>
                <w:rFonts w:ascii="Palatino Linotype" w:hAnsi="Palatino Linotype"/>
                <w:i/>
                <w:sz w:val="22"/>
                <w:lang w:val="es-ES" w:eastAsia="es-ES"/>
              </w:rPr>
            </w:pPr>
            <w:r w:rsidRPr="006C5CB6">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C5CB6" w:rsidRPr="006C5CB6" w:rsidTr="006C5CB6">
        <w:trPr>
          <w:trHeight w:val="406"/>
          <w:tblCellSpacing w:w="0" w:type="dxa"/>
          <w:jc w:val="center"/>
        </w:trPr>
        <w:tc>
          <w:tcPr>
            <w:tcW w:w="0" w:type="auto"/>
            <w:vAlign w:val="center"/>
            <w:hideMark/>
          </w:tcPr>
          <w:p w:rsidR="006C5CB6" w:rsidRPr="006C5CB6" w:rsidRDefault="006C5CB6" w:rsidP="006C5CB6">
            <w:pPr>
              <w:rPr>
                <w:rFonts w:ascii="Palatino Linotype" w:hAnsi="Palatino Linotype"/>
                <w:i/>
                <w:sz w:val="22"/>
                <w:lang w:val="es-ES" w:eastAsia="es-ES"/>
              </w:rPr>
            </w:pPr>
          </w:p>
        </w:tc>
      </w:tr>
      <w:tr w:rsidR="006C5CB6" w:rsidRPr="006C5CB6" w:rsidTr="006C5CB6">
        <w:trPr>
          <w:trHeight w:val="162"/>
          <w:tblCellSpacing w:w="0" w:type="dxa"/>
          <w:jc w:val="center"/>
        </w:trPr>
        <w:tc>
          <w:tcPr>
            <w:tcW w:w="0" w:type="auto"/>
            <w:vAlign w:val="center"/>
            <w:hideMark/>
          </w:tcPr>
          <w:p w:rsidR="006C5CB6" w:rsidRPr="006C5CB6" w:rsidRDefault="006C5CB6" w:rsidP="006C5CB6">
            <w:pPr>
              <w:rPr>
                <w:rFonts w:ascii="Palatino Linotype" w:hAnsi="Palatino Linotype"/>
                <w:i/>
                <w:sz w:val="22"/>
                <w:lang w:val="es-ES" w:eastAsia="es-ES"/>
              </w:rPr>
            </w:pPr>
            <w:r w:rsidRPr="006C5CB6">
              <w:rPr>
                <w:rFonts w:ascii="Palatino Linotype" w:hAnsi="Palatino Linotype"/>
                <w:i/>
                <w:sz w:val="22"/>
                <w:szCs w:val="18"/>
                <w:lang w:val="es-ES" w:eastAsia="es-ES"/>
              </w:rPr>
              <w:t>SE ANEXA RESPUESTA EN UN ARCHIVO. EN CASO DE TENER ALGÚN PROBLEMA CON LA RECEPCIÓN DE ESTE ARCHIVO, FAVOR DE COMUNICARSE AL TELÉFONO 722 2138893, EXT. 111, 119 Y 132.</w:t>
            </w:r>
          </w:p>
        </w:tc>
      </w:tr>
      <w:tr w:rsidR="006C5CB6" w:rsidRPr="006C5CB6" w:rsidTr="006C5CB6">
        <w:trPr>
          <w:trHeight w:val="406"/>
          <w:tblCellSpacing w:w="0" w:type="dxa"/>
          <w:jc w:val="center"/>
        </w:trPr>
        <w:tc>
          <w:tcPr>
            <w:tcW w:w="0" w:type="auto"/>
            <w:vAlign w:val="center"/>
            <w:hideMark/>
          </w:tcPr>
          <w:p w:rsidR="006C5CB6" w:rsidRPr="006C5CB6" w:rsidRDefault="006C5CB6" w:rsidP="006C5CB6">
            <w:pPr>
              <w:rPr>
                <w:rFonts w:ascii="Palatino Linotype" w:hAnsi="Palatino Linotype"/>
                <w:i/>
                <w:sz w:val="22"/>
                <w:lang w:val="es-ES" w:eastAsia="es-ES"/>
              </w:rPr>
            </w:pPr>
          </w:p>
        </w:tc>
      </w:tr>
      <w:tr w:rsidR="006C5CB6" w:rsidRPr="006C5CB6" w:rsidTr="006C5CB6">
        <w:trPr>
          <w:trHeight w:val="162"/>
          <w:tblCellSpacing w:w="0" w:type="dxa"/>
          <w:jc w:val="center"/>
        </w:trPr>
        <w:tc>
          <w:tcPr>
            <w:tcW w:w="0" w:type="auto"/>
            <w:vAlign w:val="center"/>
            <w:hideMark/>
          </w:tcPr>
          <w:p w:rsidR="006C5CB6" w:rsidRPr="006C5CB6" w:rsidRDefault="006C5CB6" w:rsidP="006C5CB6">
            <w:pPr>
              <w:jc w:val="center"/>
              <w:rPr>
                <w:rFonts w:ascii="Palatino Linotype" w:hAnsi="Palatino Linotype"/>
                <w:i/>
                <w:sz w:val="22"/>
                <w:szCs w:val="20"/>
                <w:lang w:val="es-ES" w:eastAsia="es-ES"/>
              </w:rPr>
            </w:pPr>
          </w:p>
        </w:tc>
      </w:tr>
      <w:tr w:rsidR="006C5CB6" w:rsidRPr="006C5CB6" w:rsidTr="006C5CB6">
        <w:trPr>
          <w:trHeight w:val="162"/>
          <w:tblCellSpacing w:w="0" w:type="dxa"/>
          <w:jc w:val="center"/>
        </w:trPr>
        <w:tc>
          <w:tcPr>
            <w:tcW w:w="0" w:type="auto"/>
            <w:vAlign w:val="center"/>
            <w:hideMark/>
          </w:tcPr>
          <w:p w:rsidR="006C5CB6" w:rsidRPr="006C5CB6" w:rsidRDefault="006C5CB6" w:rsidP="006C5CB6">
            <w:pPr>
              <w:rPr>
                <w:rFonts w:ascii="Palatino Linotype" w:hAnsi="Palatino Linotype"/>
                <w:i/>
                <w:sz w:val="22"/>
                <w:szCs w:val="20"/>
                <w:lang w:val="es-ES" w:eastAsia="es-ES"/>
              </w:rPr>
            </w:pPr>
          </w:p>
        </w:tc>
      </w:tr>
      <w:tr w:rsidR="006C5CB6" w:rsidRPr="006C5CB6" w:rsidTr="006C5CB6">
        <w:trPr>
          <w:trHeight w:val="162"/>
          <w:tblCellSpacing w:w="0" w:type="dxa"/>
          <w:jc w:val="center"/>
        </w:trPr>
        <w:tc>
          <w:tcPr>
            <w:tcW w:w="0" w:type="auto"/>
            <w:vAlign w:val="center"/>
            <w:hideMark/>
          </w:tcPr>
          <w:p w:rsidR="006C5CB6" w:rsidRPr="006C5CB6" w:rsidRDefault="006C5CB6" w:rsidP="006C5CB6">
            <w:pPr>
              <w:rPr>
                <w:rFonts w:ascii="Palatino Linotype" w:hAnsi="Palatino Linotype"/>
                <w:i/>
                <w:sz w:val="22"/>
                <w:lang w:val="es-ES" w:eastAsia="es-ES"/>
              </w:rPr>
            </w:pPr>
            <w:r w:rsidRPr="006C5CB6">
              <w:rPr>
                <w:rFonts w:ascii="Palatino Linotype" w:hAnsi="Palatino Linotype"/>
                <w:i/>
                <w:sz w:val="22"/>
                <w:szCs w:val="18"/>
                <w:lang w:val="es-ES" w:eastAsia="es-ES"/>
              </w:rPr>
              <w:t>ATENTAMENTE</w:t>
            </w:r>
          </w:p>
        </w:tc>
      </w:tr>
      <w:tr w:rsidR="006C5CB6" w:rsidRPr="006C5CB6" w:rsidTr="006C5CB6">
        <w:trPr>
          <w:trHeight w:val="243"/>
          <w:tblCellSpacing w:w="0" w:type="dxa"/>
          <w:jc w:val="center"/>
        </w:trPr>
        <w:tc>
          <w:tcPr>
            <w:tcW w:w="0" w:type="auto"/>
            <w:vAlign w:val="center"/>
            <w:hideMark/>
          </w:tcPr>
          <w:p w:rsidR="006C5CB6" w:rsidRPr="006C5CB6" w:rsidRDefault="006C5CB6" w:rsidP="006C5CB6">
            <w:pPr>
              <w:rPr>
                <w:rFonts w:ascii="Palatino Linotype" w:hAnsi="Palatino Linotype"/>
                <w:i/>
                <w:sz w:val="22"/>
                <w:lang w:val="es-ES" w:eastAsia="es-ES"/>
              </w:rPr>
            </w:pPr>
          </w:p>
        </w:tc>
      </w:tr>
      <w:tr w:rsidR="006C5CB6" w:rsidRPr="006C5CB6" w:rsidTr="006C5CB6">
        <w:trPr>
          <w:trHeight w:val="162"/>
          <w:tblCellSpacing w:w="0" w:type="dxa"/>
          <w:jc w:val="center"/>
        </w:trPr>
        <w:tc>
          <w:tcPr>
            <w:tcW w:w="0" w:type="auto"/>
            <w:vAlign w:val="center"/>
            <w:hideMark/>
          </w:tcPr>
          <w:p w:rsidR="006C5CB6" w:rsidRPr="006C5CB6" w:rsidRDefault="006C5CB6" w:rsidP="006C5CB6">
            <w:pPr>
              <w:rPr>
                <w:rFonts w:ascii="Palatino Linotype" w:hAnsi="Palatino Linotype"/>
                <w:i/>
                <w:sz w:val="22"/>
                <w:lang w:val="es-ES" w:eastAsia="es-ES"/>
              </w:rPr>
            </w:pPr>
            <w:r w:rsidRPr="006C5CB6">
              <w:rPr>
                <w:rFonts w:ascii="Palatino Linotype" w:hAnsi="Palatino Linotype"/>
                <w:i/>
                <w:sz w:val="22"/>
                <w:szCs w:val="18"/>
                <w:lang w:val="es-ES" w:eastAsia="es-ES"/>
              </w:rPr>
              <w:t>DRA. EN D. ROSARIO ARZATE AGUILAR</w:t>
            </w:r>
            <w:r>
              <w:rPr>
                <w:rFonts w:ascii="Palatino Linotype" w:hAnsi="Palatino Linotype"/>
                <w:i/>
                <w:sz w:val="22"/>
                <w:szCs w:val="18"/>
                <w:lang w:val="es-ES" w:eastAsia="es-ES"/>
              </w:rPr>
              <w:t>”</w:t>
            </w:r>
          </w:p>
        </w:tc>
      </w:tr>
    </w:tbl>
    <w:p w:rsidR="006C5CB6" w:rsidRDefault="006C5CB6" w:rsidP="006C5CB6">
      <w:pPr>
        <w:spacing w:line="360" w:lineRule="auto"/>
        <w:ind w:right="567"/>
        <w:jc w:val="both"/>
        <w:rPr>
          <w:rFonts w:ascii="Palatino Linotype" w:hAnsi="Palatino Linotype"/>
          <w:i/>
          <w:sz w:val="32"/>
        </w:rPr>
      </w:pPr>
    </w:p>
    <w:p w:rsidR="006C5CB6" w:rsidRPr="006C5CB6" w:rsidRDefault="006C5CB6" w:rsidP="006C5CB6">
      <w:pPr>
        <w:pStyle w:val="Prrafodelista"/>
        <w:numPr>
          <w:ilvl w:val="0"/>
          <w:numId w:val="8"/>
        </w:numPr>
        <w:spacing w:line="360" w:lineRule="auto"/>
        <w:ind w:right="567"/>
        <w:jc w:val="both"/>
        <w:rPr>
          <w:rFonts w:ascii="Palatino Linotype" w:hAnsi="Palatino Linotype"/>
          <w:sz w:val="24"/>
        </w:rPr>
      </w:pPr>
      <w:r w:rsidRPr="006C5CB6">
        <w:rPr>
          <w:rFonts w:ascii="Palatino Linotype" w:hAnsi="Palatino Linotype"/>
          <w:sz w:val="24"/>
        </w:rPr>
        <w:lastRenderedPageBreak/>
        <w:t xml:space="preserve">A la respuesta se adjuntó el archivo </w:t>
      </w:r>
      <w:hyperlink r:id="rId8" w:tgtFrame="_blank" w:history="1">
        <w:proofErr w:type="spellStart"/>
        <w:r w:rsidRPr="006C5CB6">
          <w:rPr>
            <w:rStyle w:val="Hipervnculo"/>
            <w:rFonts w:ascii="Palatino Linotype" w:hAnsi="Palatino Linotype"/>
            <w:b/>
            <w:bCs/>
            <w:sz w:val="24"/>
          </w:rPr>
          <w:t>Rpta</w:t>
        </w:r>
        <w:proofErr w:type="spellEnd"/>
        <w:r w:rsidRPr="006C5CB6">
          <w:rPr>
            <w:rStyle w:val="Hipervnculo"/>
            <w:rFonts w:ascii="Palatino Linotype" w:hAnsi="Palatino Linotype"/>
            <w:b/>
            <w:bCs/>
            <w:sz w:val="24"/>
          </w:rPr>
          <w:t>. 00158-2023.pdf</w:t>
        </w:r>
      </w:hyperlink>
      <w:r>
        <w:rPr>
          <w:rFonts w:ascii="Palatino Linotype" w:hAnsi="Palatino Linotype"/>
          <w:sz w:val="24"/>
        </w:rPr>
        <w:t xml:space="preserve">, que consta de un oficio remitido por el Titular de la Unidad de Transparencia en el que refiere adjuntar respuesta del servidor público habilitado; el segundo  oficio es remitido por el Delegado Administrativo de la Subsecretaría General de Gobierno en el que señaló </w:t>
      </w:r>
      <w:r w:rsidRPr="009442DE">
        <w:rPr>
          <w:rFonts w:ascii="Palatino Linotype" w:hAnsi="Palatino Linotype"/>
          <w:i/>
          <w:sz w:val="24"/>
        </w:rPr>
        <w:t xml:space="preserve">“…con el objetivo de garantizar la transparencia, la participación ciudadana y la gobernabilidad en el proceso electoral, el 20 de enero del año en curso, se iniciaron las actividades </w:t>
      </w:r>
      <w:r w:rsidR="009442DE" w:rsidRPr="009442DE">
        <w:rPr>
          <w:rFonts w:ascii="Palatino Linotype" w:hAnsi="Palatino Linotype"/>
          <w:i/>
          <w:sz w:val="24"/>
        </w:rPr>
        <w:t>del Mecanismo de Atención a las Expresiones Políticas, celebrando dos sesiones más en  fechas 10 de marzo y 13 de abril de 2023, con la participación de representantes del Instituto Nacional Electoral, el Instituto Electoral del Estado de México los dirigentes de los 8 partidos políticos con registro en la entidad, así como autoridades de instituciones de seguridad pública federal y estatal.”</w:t>
      </w:r>
    </w:p>
    <w:p w:rsidR="006C5CB6" w:rsidRPr="006C5CB6" w:rsidRDefault="006C5CB6" w:rsidP="006C5CB6">
      <w:pPr>
        <w:spacing w:line="360" w:lineRule="auto"/>
        <w:ind w:right="567"/>
        <w:jc w:val="both"/>
        <w:rPr>
          <w:rFonts w:ascii="Palatino Linotype" w:hAnsi="Palatino Linotype"/>
        </w:rPr>
      </w:pPr>
    </w:p>
    <w:p w:rsidR="006C5CB6" w:rsidRPr="006B08AE" w:rsidRDefault="006C5CB6" w:rsidP="006C5CB6">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6B08AE">
        <w:rPr>
          <w:rFonts w:ascii="Palatino Linotype" w:eastAsia="Calibri" w:hAnsi="Palatino Linotype" w:cs="Arial"/>
          <w:lang w:val="es-AR" w:eastAsia="es-ES"/>
        </w:rPr>
        <w:t xml:space="preserve">El </w:t>
      </w:r>
      <w:r w:rsidR="00420030">
        <w:rPr>
          <w:rFonts w:ascii="Palatino Linotype" w:eastAsia="Calibri" w:hAnsi="Palatino Linotype" w:cs="Arial"/>
          <w:lang w:val="es-AR" w:eastAsia="es-ES"/>
        </w:rPr>
        <w:t>treinta (30</w:t>
      </w:r>
      <w:r w:rsidRPr="006B08AE">
        <w:rPr>
          <w:rFonts w:ascii="Palatino Linotype" w:eastAsia="Calibri" w:hAnsi="Palatino Linotype" w:cs="Arial"/>
          <w:lang w:val="es-AR" w:eastAsia="es-ES"/>
        </w:rPr>
        <w:t>) de abril de dos mil veintitrés</w:t>
      </w:r>
      <w:r w:rsidRPr="006B08AE">
        <w:rPr>
          <w:rFonts w:ascii="Palatino Linotype" w:hAnsi="Palatino Linotype" w:cs="Arial"/>
          <w:lang w:val="es-ES" w:eastAsia="es-ES"/>
        </w:rPr>
        <w:t xml:space="preserve">, </w:t>
      </w:r>
      <w:r w:rsidR="009D255A">
        <w:rPr>
          <w:rFonts w:ascii="Palatino Linotype" w:eastAsiaTheme="minorEastAsia" w:hAnsi="Palatino Linotype"/>
          <w:b/>
          <w:lang w:val="es-ES_tradnl" w:eastAsia="es-ES"/>
        </w:rPr>
        <w:t>LA</w:t>
      </w:r>
      <w:r w:rsidRPr="006B08AE">
        <w:rPr>
          <w:rFonts w:ascii="Palatino Linotype" w:eastAsiaTheme="minorEastAsia" w:hAnsi="Palatino Linotype"/>
          <w:b/>
          <w:lang w:val="es-ES_tradnl" w:eastAsia="es-ES"/>
        </w:rPr>
        <w:t xml:space="preserve"> RECURRENTE</w:t>
      </w:r>
      <w:r w:rsidRPr="006B08AE">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rsidR="006C5CB6" w:rsidRPr="006B08AE" w:rsidRDefault="006C5CB6" w:rsidP="006C5CB6">
      <w:pPr>
        <w:spacing w:line="360" w:lineRule="auto"/>
        <w:ind w:left="567" w:right="567"/>
        <w:contextualSpacing/>
        <w:rPr>
          <w:rFonts w:ascii="Palatino Linotype" w:eastAsiaTheme="minorEastAsia" w:hAnsi="Palatino Linotype" w:cs="Arial"/>
          <w:i/>
          <w:lang w:val="es-ES_tradnl" w:eastAsia="es-ES"/>
        </w:rPr>
      </w:pPr>
    </w:p>
    <w:p w:rsidR="006C5CB6" w:rsidRPr="006B08AE" w:rsidRDefault="006C5CB6" w:rsidP="006C5CB6">
      <w:pPr>
        <w:spacing w:line="360" w:lineRule="auto"/>
        <w:ind w:left="567" w:right="567"/>
        <w:contextualSpacing/>
        <w:jc w:val="both"/>
        <w:rPr>
          <w:rFonts w:ascii="Palatino Linotype" w:eastAsia="Calibri" w:hAnsi="Palatino Linotype" w:cs="Arial"/>
          <w:i/>
          <w:lang w:val="es-ES" w:eastAsia="es-ES"/>
        </w:rPr>
      </w:pPr>
      <w:r w:rsidRPr="006B08AE">
        <w:rPr>
          <w:rFonts w:ascii="Palatino Linotype" w:eastAsiaTheme="minorEastAsia" w:hAnsi="Palatino Linotype"/>
          <w:b/>
          <w:lang w:val="es-ES_tradnl" w:eastAsia="es-ES"/>
        </w:rPr>
        <w:t>Acto impugnado</w:t>
      </w:r>
      <w:r w:rsidRPr="006B08AE">
        <w:rPr>
          <w:rFonts w:ascii="Palatino Linotype" w:eastAsiaTheme="minorEastAsia" w:hAnsi="Palatino Linotype"/>
          <w:b/>
          <w:i/>
          <w:lang w:val="es-ES_tradnl" w:eastAsia="es-ES"/>
        </w:rPr>
        <w:t>:</w:t>
      </w:r>
      <w:r w:rsidRPr="006B08AE">
        <w:rPr>
          <w:rFonts w:ascii="Palatino Linotype" w:hAnsi="Palatino Linotype"/>
          <w:i/>
          <w:color w:val="000000"/>
        </w:rPr>
        <w:t xml:space="preserve"> “</w:t>
      </w:r>
      <w:r w:rsidR="00420030" w:rsidRPr="00420030">
        <w:rPr>
          <w:rFonts w:ascii="Palatino Linotype" w:hAnsi="Palatino Linotype"/>
          <w:i/>
          <w:color w:val="000000"/>
        </w:rPr>
        <w:t>LA RESPUESTA DEL SUJETO OBLIGADO</w:t>
      </w:r>
      <w:r w:rsidRPr="006B08AE">
        <w:rPr>
          <w:rFonts w:ascii="Palatino Linotype" w:hAnsi="Palatino Linotype"/>
          <w:i/>
          <w:color w:val="000000"/>
        </w:rPr>
        <w:t>” (Sic)</w:t>
      </w:r>
    </w:p>
    <w:p w:rsidR="006C5CB6" w:rsidRPr="006B08AE" w:rsidRDefault="006C5CB6" w:rsidP="006C5CB6">
      <w:pPr>
        <w:spacing w:line="360" w:lineRule="auto"/>
        <w:ind w:left="567" w:right="567"/>
        <w:contextualSpacing/>
        <w:jc w:val="both"/>
        <w:rPr>
          <w:rFonts w:ascii="Palatino Linotype" w:eastAsia="Calibri" w:hAnsi="Palatino Linotype" w:cs="Arial"/>
          <w:lang w:val="es-ES" w:eastAsia="es-ES"/>
        </w:rPr>
      </w:pPr>
    </w:p>
    <w:p w:rsidR="006C5CB6" w:rsidRPr="006B08AE" w:rsidRDefault="006C5CB6" w:rsidP="006C5CB6">
      <w:pPr>
        <w:spacing w:line="360" w:lineRule="auto"/>
        <w:ind w:left="567" w:right="567"/>
        <w:contextualSpacing/>
        <w:jc w:val="both"/>
        <w:rPr>
          <w:rFonts w:ascii="Palatino Linotype" w:hAnsi="Palatino Linotype"/>
          <w:i/>
          <w:color w:val="000000"/>
        </w:rPr>
      </w:pPr>
      <w:r w:rsidRPr="006B08AE">
        <w:rPr>
          <w:rFonts w:ascii="Palatino Linotype" w:eastAsiaTheme="minorEastAsia" w:hAnsi="Palatino Linotype"/>
          <w:b/>
          <w:lang w:val="es-ES_tradnl" w:eastAsia="es-ES"/>
        </w:rPr>
        <w:t>Razones o Motivos de inconformidad:</w:t>
      </w:r>
      <w:r w:rsidRPr="006B08AE">
        <w:rPr>
          <w:rFonts w:ascii="Palatino Linotype" w:eastAsiaTheme="majorEastAsia" w:hAnsi="Palatino Linotype" w:cstheme="majorBidi"/>
          <w:b/>
          <w:color w:val="2E74B5" w:themeColor="accent1" w:themeShade="BF"/>
          <w:sz w:val="26"/>
          <w:szCs w:val="26"/>
          <w:lang w:val="es-ES" w:eastAsia="es-ES"/>
        </w:rPr>
        <w:t xml:space="preserve"> </w:t>
      </w:r>
      <w:r w:rsidRPr="006B08AE">
        <w:rPr>
          <w:rFonts w:ascii="Palatino Linotype" w:eastAsiaTheme="majorEastAsia" w:hAnsi="Palatino Linotype" w:cstheme="majorBidi"/>
          <w:i/>
          <w:lang w:val="es-ES" w:eastAsia="es-ES"/>
        </w:rPr>
        <w:t>“</w:t>
      </w:r>
      <w:r w:rsidR="00420030" w:rsidRPr="00420030">
        <w:rPr>
          <w:rFonts w:ascii="Palatino Linotype" w:hAnsi="Palatino Linotype"/>
          <w:i/>
          <w:color w:val="000000"/>
        </w:rPr>
        <w:t xml:space="preserve">ESTO YA QUE COMO SIEMPRE, TRATA DE EVADIR SU OBLIGACION QUE LE IMPONE EL ARTICULO 1 DE NUESTRA CARTA MAGANA PARA PREVENIR, RESPETAR, PROTEGER Y GARANTIZAR LOS DERECHOS HUMANOS; ES POR TANTO, QUE SI EN AL ESPECIE, SE ESTA INCITANDO A UNA VIOLACION FLAGRANTE DE DERECHOS HUMANOS, COMO ES PRIVAR DE LA LIBERTAD Y/O CAZAR BRIGADITAS, DEVIENE EN LA </w:t>
      </w:r>
      <w:r w:rsidR="00420030" w:rsidRPr="00420030">
        <w:rPr>
          <w:rFonts w:ascii="Palatino Linotype" w:hAnsi="Palatino Linotype"/>
          <w:i/>
          <w:color w:val="000000"/>
        </w:rPr>
        <w:lastRenderedPageBreak/>
        <w:t>OBLIGACION, CONFORME AL ARTICULO 1 DE LA CONSTITUCION FEDERAL, QUE GENERAR LA SALVAGUARDA PARA PROMOVER, RESPETAR, PROTEGER Y GARANTIZAR LOS DERECHOS HUMANOS, EN CONSECEUENCIA,E S NECESARIO QUE SE LE IMPONGA UNA BUSQUEDA EXHAUTIVA EN SU ESTRUTURA ISNTITUCIONAL, Y DE NO ECONTRAR REGISTRO, SE ESTABLEZCA DICTAMEN DE INEXISTENCIA DE LA INFORMACION, YA QUE DEBIO GENERAR, POSEEER O ADMINISTRAR AL RESPECTO. https://adnoticias.mx/pri-cazar-servidores-de-la-nacion-de-morena/ https://transeuntemx.com/2023/03/23/amenaza-pri-edomex-con-cazar-servidores-de-la-nacion-y-brigadistas-de-morena/</w:t>
      </w:r>
      <w:r w:rsidRPr="006B08AE">
        <w:rPr>
          <w:rFonts w:ascii="Palatino Linotype" w:hAnsi="Palatino Linotype"/>
          <w:i/>
          <w:color w:val="000000"/>
        </w:rPr>
        <w:t>” (Sic).</w:t>
      </w:r>
    </w:p>
    <w:bookmarkEnd w:id="2"/>
    <w:bookmarkEnd w:id="3"/>
    <w:bookmarkEnd w:id="4"/>
    <w:p w:rsidR="006C5CB6" w:rsidRPr="006B08AE" w:rsidRDefault="006C5CB6" w:rsidP="006C5CB6">
      <w:pPr>
        <w:spacing w:line="360" w:lineRule="auto"/>
        <w:jc w:val="both"/>
        <w:rPr>
          <w:rFonts w:ascii="Palatino Linotype" w:hAnsi="Palatino Linotype"/>
          <w:i/>
          <w:sz w:val="22"/>
          <w:szCs w:val="22"/>
        </w:rPr>
      </w:pPr>
      <w:r w:rsidRPr="006B08AE">
        <w:rPr>
          <w:rFonts w:ascii="Palatino Linotype" w:eastAsia="Calibri" w:hAnsi="Palatino Linotype" w:cs="Arial"/>
          <w:lang w:val="es-AR" w:eastAsia="es-ES"/>
        </w:rPr>
        <w:tab/>
      </w:r>
    </w:p>
    <w:p w:rsidR="006C5CB6" w:rsidRPr="006B08AE" w:rsidRDefault="006C5CB6" w:rsidP="006C5CB6">
      <w:pPr>
        <w:numPr>
          <w:ilvl w:val="0"/>
          <w:numId w:val="1"/>
        </w:numPr>
        <w:spacing w:line="360" w:lineRule="auto"/>
        <w:ind w:left="0" w:firstLine="0"/>
        <w:contextualSpacing/>
        <w:jc w:val="both"/>
        <w:rPr>
          <w:rFonts w:ascii="Palatino Linotype" w:eastAsia="Calibri" w:hAnsi="Palatino Linotype" w:cs="Arial"/>
          <w:lang w:val="es-AR" w:eastAsia="es-ES"/>
        </w:rPr>
      </w:pPr>
      <w:r w:rsidRPr="006B08AE">
        <w:rPr>
          <w:rFonts w:ascii="Palatino Linotype" w:hAnsi="Palatino Linotype" w:cs="Arial"/>
          <w:lang w:val="es-ES" w:eastAsia="es-ES"/>
        </w:rPr>
        <w:t xml:space="preserve">Se registró el recurso de revisión bajo el número de expediente </w:t>
      </w:r>
      <w:r w:rsidRPr="006B08AE">
        <w:rPr>
          <w:rFonts w:ascii="Palatino Linotype" w:eastAsiaTheme="minorEastAsia" w:hAnsi="Palatino Linotype" w:cs="Arial"/>
          <w:bCs/>
          <w:lang w:val="es-ES_tradnl" w:eastAsia="es-ES"/>
        </w:rPr>
        <w:t xml:space="preserve">al rubro indicado, asimismo con fundamento en lo dispuesto por el </w:t>
      </w:r>
      <w:r w:rsidRPr="006B08AE">
        <w:rPr>
          <w:rFonts w:ascii="Palatino Linotype" w:eastAsia="Calibri" w:hAnsi="Palatino Linotype" w:cs="Arial"/>
          <w:lang w:val="es-ES" w:eastAsia="es-ES"/>
        </w:rPr>
        <w:t xml:space="preserve">artículo 185 fracción I de la </w:t>
      </w:r>
      <w:r w:rsidRPr="006B08AE">
        <w:rPr>
          <w:rFonts w:ascii="Palatino Linotype" w:eastAsia="Calibri" w:hAnsi="Palatino Linotype" w:cs="Arial"/>
          <w:b/>
          <w:lang w:val="es-ES" w:eastAsia="es-ES"/>
        </w:rPr>
        <w:t xml:space="preserve">Ley de Transparencia y Acceso a la Información Pública del Estado de México y Municipios </w:t>
      </w:r>
      <w:r w:rsidRPr="006B08AE">
        <w:rPr>
          <w:rFonts w:ascii="Palatino Linotype" w:hAnsi="Palatino Linotype" w:cs="Arial"/>
          <w:lang w:val="es-ES" w:eastAsia="es-ES"/>
        </w:rPr>
        <w:t xml:space="preserve">se turnó a la </w:t>
      </w:r>
      <w:r w:rsidRPr="006B08AE">
        <w:rPr>
          <w:rFonts w:ascii="Palatino Linotype" w:hAnsi="Palatino Linotype" w:cs="Arial"/>
          <w:b/>
          <w:lang w:val="es-ES" w:eastAsia="es-ES"/>
        </w:rPr>
        <w:t xml:space="preserve">Comisionada María del Rosario Mejía Ayala, </w:t>
      </w:r>
      <w:r w:rsidRPr="006B08AE">
        <w:rPr>
          <w:rFonts w:ascii="Palatino Linotype" w:hAnsi="Palatino Linotype" w:cs="Arial"/>
          <w:lang w:val="es-ES" w:eastAsia="es-ES"/>
        </w:rPr>
        <w:t xml:space="preserve">con el objeto de </w:t>
      </w:r>
      <w:r w:rsidRPr="006B08AE">
        <w:rPr>
          <w:rFonts w:ascii="Palatino Linotype" w:hAnsi="Palatino Linotype" w:cs="Arial"/>
          <w:lang w:eastAsia="es-ES"/>
        </w:rPr>
        <w:t xml:space="preserve">su análisis. </w:t>
      </w:r>
    </w:p>
    <w:p w:rsidR="006C5CB6" w:rsidRPr="006B08AE" w:rsidRDefault="006C5CB6" w:rsidP="006C5CB6">
      <w:pPr>
        <w:spacing w:line="360" w:lineRule="auto"/>
        <w:contextualSpacing/>
        <w:jc w:val="both"/>
        <w:rPr>
          <w:rFonts w:ascii="Palatino Linotype" w:eastAsia="Calibri" w:hAnsi="Palatino Linotype" w:cs="Arial"/>
          <w:lang w:val="es-AR" w:eastAsia="es-ES"/>
        </w:rPr>
      </w:pPr>
    </w:p>
    <w:p w:rsidR="006C5CB6" w:rsidRPr="006B08AE" w:rsidRDefault="006C5CB6" w:rsidP="006C5CB6">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6B08AE">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w:t>
      </w:r>
      <w:r w:rsidR="00420030">
        <w:rPr>
          <w:rFonts w:ascii="Palatino Linotype" w:eastAsia="Calibri" w:hAnsi="Palatino Linotype" w:cs="Arial"/>
          <w:lang w:val="es-ES" w:eastAsia="es-ES"/>
        </w:rPr>
        <w:t xml:space="preserve">ocho (08) de mayo </w:t>
      </w:r>
      <w:r w:rsidRPr="006B08AE">
        <w:rPr>
          <w:rFonts w:ascii="Palatino Linotype" w:eastAsia="Calibri" w:hAnsi="Palatino Linotype" w:cs="Arial"/>
          <w:lang w:val="es-ES" w:eastAsia="es-ES"/>
        </w:rPr>
        <w:t xml:space="preserve"> de dos mil veintitrés, puso a disposición de las partes el expediente electrónico </w:t>
      </w:r>
      <w:r w:rsidRPr="006B08AE">
        <w:rPr>
          <w:rFonts w:ascii="Palatino Linotype" w:eastAsia="Calibri" w:hAnsi="Palatino Linotype" w:cs="Arial"/>
          <w:lang w:val="es-ES_tradnl" w:eastAsia="es-ES"/>
        </w:rPr>
        <w:t xml:space="preserve">vía </w:t>
      </w:r>
      <w:r w:rsidRPr="006B08AE">
        <w:rPr>
          <w:rFonts w:ascii="Palatino Linotype" w:eastAsia="Calibri" w:hAnsi="Palatino Linotype" w:cs="Arial"/>
          <w:b/>
          <w:lang w:val="es-ES" w:eastAsia="es-ES"/>
        </w:rPr>
        <w:t xml:space="preserve">SAIMEX </w:t>
      </w:r>
      <w:r w:rsidRPr="006B08A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6B08AE">
        <w:rPr>
          <w:rFonts w:ascii="Palatino Linotype" w:eastAsia="Calibri" w:hAnsi="Palatino Linotype" w:cs="Arial"/>
          <w:b/>
          <w:lang w:val="es-ES" w:eastAsia="es-ES"/>
        </w:rPr>
        <w:t>SUJETO OBLIGADO</w:t>
      </w:r>
      <w:r w:rsidR="009D255A">
        <w:rPr>
          <w:rFonts w:ascii="Palatino Linotype" w:eastAsia="Calibri" w:hAnsi="Palatino Linotype" w:cs="Arial"/>
          <w:b/>
          <w:lang w:val="es-ES" w:eastAsia="es-ES"/>
        </w:rPr>
        <w:t>,</w:t>
      </w:r>
      <w:r w:rsidRPr="006B08AE">
        <w:rPr>
          <w:rFonts w:ascii="Palatino Linotype" w:eastAsia="Calibri" w:hAnsi="Palatino Linotype" w:cs="Arial"/>
          <w:lang w:val="es-ES" w:eastAsia="es-ES"/>
        </w:rPr>
        <w:t xml:space="preserve"> presentara el informe justificado procedente. </w:t>
      </w:r>
    </w:p>
    <w:p w:rsidR="006C5CB6" w:rsidRPr="006B08AE" w:rsidRDefault="006C5CB6" w:rsidP="006C5CB6">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6C5CB6" w:rsidRPr="00FC1CE8" w:rsidRDefault="006C5CB6" w:rsidP="006C5CB6">
      <w:pPr>
        <w:numPr>
          <w:ilvl w:val="0"/>
          <w:numId w:val="1"/>
        </w:numPr>
        <w:spacing w:line="360" w:lineRule="auto"/>
        <w:ind w:left="0" w:firstLine="0"/>
        <w:contextualSpacing/>
        <w:jc w:val="both"/>
        <w:rPr>
          <w:rFonts w:ascii="Arial" w:hAnsi="Arial" w:cs="Arial"/>
          <w:lang w:eastAsia="es-ES"/>
        </w:rPr>
      </w:pPr>
      <w:r w:rsidRPr="006B08AE">
        <w:rPr>
          <w:rFonts w:ascii="Palatino Linotype" w:eastAsia="Calibri" w:hAnsi="Palatino Linotype" w:cs="Arial"/>
          <w:lang w:val="es-ES" w:eastAsia="es-ES"/>
        </w:rPr>
        <w:t xml:space="preserve">De las constancias en el expediente electrónico SAIMEX, se advierte que el particular no realizó manifestaciones, no ofreció pruebas o alegatos a su derecho convinieran; por </w:t>
      </w:r>
      <w:r w:rsidR="00420030">
        <w:rPr>
          <w:rFonts w:ascii="Palatino Linotype" w:eastAsia="Calibri" w:hAnsi="Palatino Linotype" w:cs="Arial"/>
          <w:lang w:val="es-ES" w:eastAsia="es-ES"/>
        </w:rPr>
        <w:t xml:space="preserve">su parte, el Sujeto Obligado remitió informe justificado en fecha quince de mayo de dos mil veintitrés a través del archivo </w:t>
      </w:r>
      <w:hyperlink r:id="rId9" w:history="1">
        <w:r w:rsidR="00420030" w:rsidRPr="00420030">
          <w:rPr>
            <w:rStyle w:val="Hipervnculo"/>
            <w:rFonts w:ascii="Palatino Linotype" w:eastAsia="Calibri" w:hAnsi="Palatino Linotype" w:cs="Arial"/>
            <w:b/>
            <w:bCs/>
            <w:lang w:eastAsia="es-ES"/>
          </w:rPr>
          <w:t>Informe de Justificación 00158-2023.pdf</w:t>
        </w:r>
      </w:hyperlink>
      <w:r w:rsidR="00420030">
        <w:rPr>
          <w:rFonts w:ascii="Palatino Linotype" w:eastAsia="Calibri" w:hAnsi="Palatino Linotype" w:cs="Arial"/>
          <w:lang w:val="es-ES" w:eastAsia="es-ES"/>
        </w:rPr>
        <w:t>, a través del cual señal</w:t>
      </w:r>
      <w:r w:rsidR="00FC1CE8">
        <w:rPr>
          <w:rFonts w:ascii="Palatino Linotype" w:eastAsia="Calibri" w:hAnsi="Palatino Linotype" w:cs="Arial"/>
          <w:lang w:val="es-ES" w:eastAsia="es-ES"/>
        </w:rPr>
        <w:t>ó:</w:t>
      </w:r>
    </w:p>
    <w:p w:rsidR="00FC1CE8" w:rsidRDefault="00FC1CE8" w:rsidP="00FC1CE8">
      <w:pPr>
        <w:spacing w:line="360" w:lineRule="auto"/>
        <w:contextualSpacing/>
        <w:jc w:val="both"/>
        <w:rPr>
          <w:rFonts w:ascii="Palatino Linotype" w:eastAsia="Calibri" w:hAnsi="Palatino Linotype" w:cs="Arial"/>
          <w:lang w:val="es-ES" w:eastAsia="es-ES"/>
        </w:rPr>
      </w:pPr>
    </w:p>
    <w:p w:rsidR="00FC1CE8" w:rsidRDefault="00FC1CE8" w:rsidP="00FC1CE8">
      <w:pPr>
        <w:spacing w:line="360" w:lineRule="auto"/>
        <w:ind w:left="851" w:right="822"/>
        <w:contextualSpacing/>
        <w:jc w:val="both"/>
        <w:rPr>
          <w:rFonts w:ascii="Palatino Linotype" w:hAnsi="Palatino Linotype" w:cs="Arial"/>
          <w:i/>
          <w:sz w:val="22"/>
          <w:lang w:eastAsia="es-ES"/>
        </w:rPr>
      </w:pPr>
      <w:r>
        <w:rPr>
          <w:rFonts w:ascii="Palatino Linotype" w:hAnsi="Palatino Linotype" w:cs="Arial"/>
          <w:i/>
          <w:sz w:val="22"/>
          <w:lang w:eastAsia="es-ES"/>
        </w:rPr>
        <w:t>“</w:t>
      </w:r>
      <w:r w:rsidRPr="00FC1CE8">
        <w:rPr>
          <w:rFonts w:ascii="Palatino Linotype" w:hAnsi="Palatino Linotype" w:cs="Arial"/>
          <w:i/>
          <w:sz w:val="22"/>
          <w:lang w:eastAsia="es-ES"/>
        </w:rPr>
        <w:t>Estas mesas políticas tienen la finalidad de fortalecer el ambiente de seguridad, pluralidad y legalidad que demanda el desahogo del próximo proceso electoral en el Estado de México, con la participación de representantes de las instancias siguientes:</w:t>
      </w:r>
    </w:p>
    <w:p w:rsidR="00FC1CE8" w:rsidRPr="00FC1CE8" w:rsidRDefault="00FC1CE8" w:rsidP="00FC1CE8">
      <w:pPr>
        <w:spacing w:line="360" w:lineRule="auto"/>
        <w:ind w:left="851" w:right="822"/>
        <w:contextualSpacing/>
        <w:jc w:val="both"/>
        <w:rPr>
          <w:rFonts w:ascii="Palatino Linotype" w:hAnsi="Palatino Linotype" w:cs="Arial"/>
          <w:i/>
          <w:sz w:val="22"/>
          <w:lang w:eastAsia="es-ES"/>
        </w:rPr>
      </w:pPr>
    </w:p>
    <w:p w:rsidR="00FC1CE8" w:rsidRPr="00FC1CE8" w:rsidRDefault="00FC1CE8" w:rsidP="00FC1CE8">
      <w:pPr>
        <w:spacing w:line="360" w:lineRule="auto"/>
        <w:ind w:left="851" w:right="822"/>
        <w:contextualSpacing/>
        <w:jc w:val="both"/>
        <w:rPr>
          <w:rFonts w:ascii="Palatino Linotype" w:hAnsi="Palatino Linotype" w:cs="Arial"/>
          <w:i/>
          <w:sz w:val="22"/>
          <w:lang w:eastAsia="es-ES"/>
        </w:rPr>
      </w:pPr>
      <w:r w:rsidRPr="00FC1CE8">
        <w:rPr>
          <w:rFonts w:ascii="Palatino Linotype" w:hAnsi="Palatino Linotype" w:cs="Arial"/>
          <w:i/>
          <w:sz w:val="22"/>
          <w:lang w:eastAsia="es-ES"/>
        </w:rPr>
        <w:t>1. Instituto Nacional Electoral.</w:t>
      </w:r>
    </w:p>
    <w:p w:rsidR="00FC1CE8" w:rsidRPr="00FC1CE8" w:rsidRDefault="00FC1CE8" w:rsidP="00FC1CE8">
      <w:pPr>
        <w:spacing w:line="360" w:lineRule="auto"/>
        <w:ind w:left="851" w:right="822"/>
        <w:contextualSpacing/>
        <w:jc w:val="both"/>
        <w:rPr>
          <w:rFonts w:ascii="Palatino Linotype" w:hAnsi="Palatino Linotype" w:cs="Arial"/>
          <w:i/>
          <w:sz w:val="22"/>
          <w:lang w:eastAsia="es-ES"/>
        </w:rPr>
      </w:pPr>
      <w:r w:rsidRPr="00FC1CE8">
        <w:rPr>
          <w:rFonts w:ascii="Palatino Linotype" w:hAnsi="Palatino Linotype" w:cs="Arial"/>
          <w:i/>
          <w:sz w:val="22"/>
          <w:lang w:eastAsia="es-ES"/>
        </w:rPr>
        <w:t xml:space="preserve">2. Instituto </w:t>
      </w:r>
      <w:r>
        <w:rPr>
          <w:rFonts w:ascii="Palatino Linotype" w:hAnsi="Palatino Linotype" w:cs="Arial"/>
          <w:i/>
          <w:sz w:val="22"/>
          <w:lang w:eastAsia="es-ES"/>
        </w:rPr>
        <w:t>Electoral del Estado de México.</w:t>
      </w:r>
    </w:p>
    <w:p w:rsidR="00FC1CE8" w:rsidRPr="00FC1CE8" w:rsidRDefault="00FC1CE8" w:rsidP="00FC1CE8">
      <w:pPr>
        <w:spacing w:line="360" w:lineRule="auto"/>
        <w:ind w:left="851" w:right="822"/>
        <w:contextualSpacing/>
        <w:jc w:val="both"/>
        <w:rPr>
          <w:rFonts w:ascii="Palatino Linotype" w:hAnsi="Palatino Linotype" w:cs="Arial"/>
          <w:i/>
          <w:sz w:val="22"/>
          <w:lang w:eastAsia="es-ES"/>
        </w:rPr>
      </w:pPr>
      <w:r>
        <w:rPr>
          <w:rFonts w:ascii="Palatino Linotype" w:hAnsi="Palatino Linotype" w:cs="Arial"/>
          <w:i/>
          <w:sz w:val="22"/>
          <w:lang w:eastAsia="es-ES"/>
        </w:rPr>
        <w:t xml:space="preserve">3. </w:t>
      </w:r>
      <w:r w:rsidRPr="00FC1CE8">
        <w:rPr>
          <w:rFonts w:ascii="Palatino Linotype" w:hAnsi="Palatino Linotype" w:cs="Arial"/>
          <w:i/>
          <w:sz w:val="22"/>
          <w:lang w:eastAsia="es-ES"/>
        </w:rPr>
        <w:t>Secretaria General de Gobierno.</w:t>
      </w:r>
    </w:p>
    <w:p w:rsidR="00FC1CE8" w:rsidRDefault="00FC1CE8" w:rsidP="00FC1CE8">
      <w:pPr>
        <w:spacing w:line="360" w:lineRule="auto"/>
        <w:ind w:left="851" w:right="822"/>
        <w:contextualSpacing/>
        <w:jc w:val="both"/>
        <w:rPr>
          <w:rFonts w:ascii="Palatino Linotype" w:hAnsi="Palatino Linotype" w:cs="Arial"/>
          <w:i/>
          <w:sz w:val="22"/>
          <w:lang w:eastAsia="es-ES"/>
        </w:rPr>
      </w:pPr>
      <w:r w:rsidRPr="00FC1CE8">
        <w:rPr>
          <w:rFonts w:ascii="Palatino Linotype" w:hAnsi="Palatino Linotype" w:cs="Arial"/>
          <w:i/>
          <w:sz w:val="22"/>
          <w:lang w:eastAsia="es-ES"/>
        </w:rPr>
        <w:t>4. Secretaria de Seguridad.</w:t>
      </w:r>
    </w:p>
    <w:p w:rsidR="00FC1CE8" w:rsidRPr="00FC1CE8" w:rsidRDefault="00FC1CE8" w:rsidP="00FC1CE8">
      <w:pPr>
        <w:spacing w:line="360" w:lineRule="auto"/>
        <w:ind w:left="851" w:right="822"/>
        <w:contextualSpacing/>
        <w:jc w:val="both"/>
        <w:rPr>
          <w:rFonts w:ascii="Palatino Linotype" w:hAnsi="Palatino Linotype" w:cs="Arial"/>
          <w:i/>
          <w:sz w:val="22"/>
          <w:lang w:eastAsia="es-ES"/>
        </w:rPr>
      </w:pPr>
      <w:r>
        <w:rPr>
          <w:rFonts w:ascii="Palatino Linotype" w:hAnsi="Palatino Linotype" w:cs="Arial"/>
          <w:i/>
          <w:sz w:val="22"/>
          <w:lang w:eastAsia="es-ES"/>
        </w:rPr>
        <w:t xml:space="preserve">5. </w:t>
      </w:r>
      <w:r w:rsidRPr="00FC1CE8">
        <w:rPr>
          <w:rFonts w:ascii="Palatino Linotype" w:hAnsi="Palatino Linotype" w:cs="Arial"/>
          <w:i/>
          <w:sz w:val="22"/>
          <w:lang w:eastAsia="es-ES"/>
        </w:rPr>
        <w:t>Secretaría de Justicia y Derechos Humanos</w:t>
      </w:r>
      <w:r>
        <w:rPr>
          <w:rFonts w:ascii="Palatino Linotype" w:hAnsi="Palatino Linotype" w:cs="Arial"/>
          <w:i/>
          <w:sz w:val="22"/>
          <w:lang w:eastAsia="es-ES"/>
        </w:rPr>
        <w:t>.</w:t>
      </w:r>
    </w:p>
    <w:p w:rsidR="00FC1CE8" w:rsidRPr="00FC1CE8" w:rsidRDefault="00FC1CE8" w:rsidP="00FC1CE8">
      <w:pPr>
        <w:spacing w:line="360" w:lineRule="auto"/>
        <w:ind w:left="851" w:right="822"/>
        <w:contextualSpacing/>
        <w:jc w:val="both"/>
        <w:rPr>
          <w:rFonts w:ascii="Palatino Linotype" w:hAnsi="Palatino Linotype" w:cs="Arial"/>
          <w:i/>
          <w:sz w:val="22"/>
          <w:lang w:eastAsia="es-ES"/>
        </w:rPr>
      </w:pPr>
      <w:r>
        <w:rPr>
          <w:rFonts w:ascii="Palatino Linotype" w:hAnsi="Palatino Linotype" w:cs="Arial"/>
          <w:i/>
          <w:sz w:val="22"/>
          <w:lang w:eastAsia="es-ES"/>
        </w:rPr>
        <w:t xml:space="preserve">6. </w:t>
      </w:r>
      <w:r w:rsidRPr="00FC1CE8">
        <w:rPr>
          <w:rFonts w:ascii="Palatino Linotype" w:hAnsi="Palatino Linotype" w:cs="Arial"/>
          <w:i/>
          <w:sz w:val="22"/>
          <w:lang w:eastAsia="es-ES"/>
        </w:rPr>
        <w:t>Fiscalía General de Justicia</w:t>
      </w:r>
    </w:p>
    <w:p w:rsidR="00FC1CE8" w:rsidRPr="00FC1CE8" w:rsidRDefault="00FC1CE8" w:rsidP="00FC1CE8">
      <w:pPr>
        <w:spacing w:line="360" w:lineRule="auto"/>
        <w:ind w:left="851" w:right="822"/>
        <w:contextualSpacing/>
        <w:jc w:val="both"/>
        <w:rPr>
          <w:rFonts w:ascii="Palatino Linotype" w:hAnsi="Palatino Linotype" w:cs="Arial"/>
          <w:i/>
          <w:sz w:val="22"/>
          <w:lang w:eastAsia="es-ES"/>
        </w:rPr>
      </w:pPr>
      <w:r w:rsidRPr="00FC1CE8">
        <w:rPr>
          <w:rFonts w:ascii="Palatino Linotype" w:hAnsi="Palatino Linotype" w:cs="Arial"/>
          <w:i/>
          <w:sz w:val="22"/>
          <w:lang w:eastAsia="es-ES"/>
        </w:rPr>
        <w:t>7. Coordinación en el Estado de México de la Guardia Nacional.</w:t>
      </w:r>
    </w:p>
    <w:p w:rsidR="00FC1CE8" w:rsidRPr="00FC1CE8" w:rsidRDefault="00FC1CE8" w:rsidP="00FC1CE8">
      <w:pPr>
        <w:spacing w:line="360" w:lineRule="auto"/>
        <w:ind w:left="851" w:right="822"/>
        <w:contextualSpacing/>
        <w:jc w:val="both"/>
        <w:rPr>
          <w:rFonts w:ascii="Palatino Linotype" w:hAnsi="Palatino Linotype" w:cs="Arial"/>
          <w:i/>
          <w:sz w:val="22"/>
          <w:lang w:eastAsia="es-ES"/>
        </w:rPr>
      </w:pPr>
      <w:r>
        <w:rPr>
          <w:rFonts w:ascii="Palatino Linotype" w:hAnsi="Palatino Linotype" w:cs="Arial"/>
          <w:i/>
          <w:sz w:val="22"/>
          <w:lang w:eastAsia="es-ES"/>
        </w:rPr>
        <w:t xml:space="preserve">8. </w:t>
      </w:r>
      <w:r w:rsidRPr="00FC1CE8">
        <w:rPr>
          <w:rFonts w:ascii="Palatino Linotype" w:hAnsi="Palatino Linotype" w:cs="Arial"/>
          <w:i/>
          <w:sz w:val="22"/>
          <w:lang w:eastAsia="es-ES"/>
        </w:rPr>
        <w:t>22/a Zona Militar de la Secretaria de la Defensa Nacional.</w:t>
      </w:r>
    </w:p>
    <w:p w:rsidR="00FC1CE8" w:rsidRPr="00FC1CE8" w:rsidRDefault="00FC1CE8" w:rsidP="00FC1CE8">
      <w:pPr>
        <w:spacing w:line="360" w:lineRule="auto"/>
        <w:ind w:left="851" w:right="822"/>
        <w:contextualSpacing/>
        <w:jc w:val="both"/>
        <w:rPr>
          <w:rFonts w:ascii="Palatino Linotype" w:hAnsi="Palatino Linotype" w:cs="Arial"/>
          <w:i/>
          <w:sz w:val="22"/>
          <w:lang w:eastAsia="es-ES"/>
        </w:rPr>
      </w:pPr>
      <w:r>
        <w:rPr>
          <w:rFonts w:ascii="Palatino Linotype" w:hAnsi="Palatino Linotype" w:cs="Arial"/>
          <w:i/>
          <w:sz w:val="22"/>
          <w:lang w:eastAsia="es-ES"/>
        </w:rPr>
        <w:t xml:space="preserve">9. </w:t>
      </w:r>
      <w:r w:rsidRPr="00FC1CE8">
        <w:rPr>
          <w:rFonts w:ascii="Palatino Linotype" w:hAnsi="Palatino Linotype" w:cs="Arial"/>
          <w:i/>
          <w:sz w:val="22"/>
          <w:lang w:eastAsia="es-ES"/>
        </w:rPr>
        <w:t>37/a Zona Militar de la Secretaria de la Defensa Nacional.</w:t>
      </w:r>
    </w:p>
    <w:p w:rsidR="00FC1CE8" w:rsidRPr="00FC1CE8" w:rsidRDefault="00FC1CE8" w:rsidP="00FC1CE8">
      <w:pPr>
        <w:spacing w:line="360" w:lineRule="auto"/>
        <w:ind w:left="851" w:right="822"/>
        <w:contextualSpacing/>
        <w:jc w:val="both"/>
        <w:rPr>
          <w:rFonts w:ascii="Palatino Linotype" w:hAnsi="Palatino Linotype" w:cs="Arial"/>
          <w:i/>
          <w:sz w:val="22"/>
          <w:lang w:eastAsia="es-ES"/>
        </w:rPr>
      </w:pPr>
      <w:r w:rsidRPr="00FC1CE8">
        <w:rPr>
          <w:rFonts w:ascii="Palatino Linotype" w:hAnsi="Palatino Linotype" w:cs="Arial"/>
          <w:i/>
          <w:sz w:val="22"/>
          <w:lang w:eastAsia="es-ES"/>
        </w:rPr>
        <w:t>10. Partidos políticos con registro en la entidad mexiquense</w:t>
      </w:r>
    </w:p>
    <w:p w:rsidR="00FC1CE8" w:rsidRDefault="00FC1CE8" w:rsidP="00FC1CE8">
      <w:pPr>
        <w:spacing w:line="360" w:lineRule="auto"/>
        <w:ind w:left="851" w:right="822"/>
        <w:contextualSpacing/>
        <w:jc w:val="both"/>
        <w:rPr>
          <w:rFonts w:ascii="Palatino Linotype" w:hAnsi="Palatino Linotype" w:cs="Arial"/>
          <w:i/>
          <w:sz w:val="22"/>
          <w:lang w:eastAsia="es-ES"/>
        </w:rPr>
      </w:pPr>
    </w:p>
    <w:p w:rsidR="00FC1CE8" w:rsidRPr="00FC1CE8" w:rsidRDefault="00FC1CE8" w:rsidP="00FC1CE8">
      <w:pPr>
        <w:spacing w:line="360" w:lineRule="auto"/>
        <w:ind w:left="851" w:right="822"/>
        <w:contextualSpacing/>
        <w:jc w:val="both"/>
        <w:rPr>
          <w:rFonts w:ascii="Palatino Linotype" w:hAnsi="Palatino Linotype" w:cs="Arial"/>
          <w:i/>
          <w:sz w:val="22"/>
          <w:lang w:eastAsia="es-ES"/>
        </w:rPr>
      </w:pPr>
      <w:r w:rsidRPr="00FC1CE8">
        <w:rPr>
          <w:rFonts w:ascii="Palatino Linotype" w:hAnsi="Palatino Linotype" w:cs="Arial"/>
          <w:i/>
          <w:sz w:val="22"/>
          <w:lang w:eastAsia="es-ES"/>
        </w:rPr>
        <w:t xml:space="preserve">A partir de estas reuniones, se pretende lograr un proceso electoral apegado al marco normativo electoral vigente en el Estado de México, en el que todos los participantes, en el ámbito de su competencia, mantengan un diálogo abierto y permanente para </w:t>
      </w:r>
      <w:r w:rsidRPr="00FC1CE8">
        <w:rPr>
          <w:rFonts w:ascii="Palatino Linotype" w:hAnsi="Palatino Linotype" w:cs="Arial"/>
          <w:i/>
          <w:sz w:val="22"/>
          <w:lang w:eastAsia="es-ES"/>
        </w:rPr>
        <w:lastRenderedPageBreak/>
        <w:t>garantizar el respeto ineludible a los derechos fundamentales de las personas en territorio mexiquense.</w:t>
      </w:r>
      <w:r>
        <w:rPr>
          <w:rFonts w:ascii="Palatino Linotype" w:hAnsi="Palatino Linotype" w:cs="Arial"/>
          <w:i/>
          <w:sz w:val="22"/>
          <w:lang w:eastAsia="es-ES"/>
        </w:rPr>
        <w:t>”</w:t>
      </w:r>
    </w:p>
    <w:p w:rsidR="006C5CB6" w:rsidRPr="006B08AE" w:rsidRDefault="006C5CB6" w:rsidP="006C5CB6">
      <w:pPr>
        <w:spacing w:line="360" w:lineRule="auto"/>
        <w:contextualSpacing/>
        <w:jc w:val="both"/>
        <w:rPr>
          <w:rFonts w:ascii="Arial" w:hAnsi="Arial" w:cs="Arial"/>
          <w:lang w:eastAsia="es-ES"/>
        </w:rPr>
      </w:pPr>
    </w:p>
    <w:p w:rsidR="006C5CB6" w:rsidRPr="006B08AE" w:rsidRDefault="006C5CB6" w:rsidP="006C5CB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6B08AE">
        <w:rPr>
          <w:rFonts w:ascii="Palatino Linotype" w:eastAsiaTheme="minorEastAsia" w:hAnsi="Palatino Linotype"/>
          <w:lang w:val="es-ES_tradnl" w:eastAsia="es-ES"/>
        </w:rPr>
        <w:t xml:space="preserve">El Comisionado Ponente decretó el cierre de instrucción a través de acuerdo que fue notificado en fecha </w:t>
      </w:r>
      <w:r w:rsidR="00DF2850">
        <w:rPr>
          <w:rFonts w:ascii="Palatino Linotype" w:eastAsiaTheme="minorEastAsia" w:hAnsi="Palatino Linotype"/>
          <w:lang w:val="es-ES_tradnl" w:eastAsia="es-ES"/>
        </w:rPr>
        <w:t>siete (07) de junio</w:t>
      </w:r>
      <w:r w:rsidRPr="006B08AE">
        <w:rPr>
          <w:rFonts w:ascii="Palatino Linotype" w:eastAsiaTheme="minorEastAsia" w:hAnsi="Palatino Linotype"/>
          <w:lang w:val="es-ES_tradnl" w:eastAsia="es-ES"/>
        </w:rPr>
        <w:t xml:space="preserve"> de dos mil veintitrés. </w:t>
      </w:r>
    </w:p>
    <w:p w:rsidR="006C5CB6" w:rsidRPr="006B08AE" w:rsidRDefault="006C5CB6" w:rsidP="006C5CB6">
      <w:pPr>
        <w:pStyle w:val="Prrafodelista"/>
        <w:spacing w:line="360" w:lineRule="auto"/>
        <w:ind w:left="0" w:right="113"/>
        <w:jc w:val="both"/>
        <w:rPr>
          <w:rFonts w:ascii="Palatino Linotype" w:hAnsi="Palatino Linotype"/>
          <w:sz w:val="24"/>
        </w:rPr>
      </w:pPr>
    </w:p>
    <w:p w:rsidR="006C5CB6" w:rsidRPr="006B08AE" w:rsidRDefault="006C5CB6" w:rsidP="006C5CB6">
      <w:pPr>
        <w:keepNext/>
        <w:keepLines/>
        <w:spacing w:line="360" w:lineRule="auto"/>
        <w:jc w:val="center"/>
        <w:outlineLvl w:val="0"/>
        <w:rPr>
          <w:rFonts w:ascii="Palatino Linotype" w:eastAsiaTheme="majorEastAsia" w:hAnsi="Palatino Linotype" w:cstheme="majorBidi"/>
        </w:rPr>
      </w:pPr>
      <w:bookmarkStart w:id="5" w:name="_Toc83301634"/>
      <w:r w:rsidRPr="006B08AE">
        <w:rPr>
          <w:rFonts w:ascii="Palatino Linotype" w:eastAsiaTheme="majorEastAsia" w:hAnsi="Palatino Linotype" w:cstheme="majorBidi"/>
          <w:b/>
        </w:rPr>
        <w:t>CONSIDERANDO</w:t>
      </w:r>
      <w:bookmarkEnd w:id="5"/>
      <w:r w:rsidRPr="006B08AE">
        <w:rPr>
          <w:rFonts w:ascii="Palatino Linotype" w:eastAsiaTheme="majorEastAsia" w:hAnsi="Palatino Linotype" w:cstheme="majorBidi"/>
          <w:b/>
        </w:rPr>
        <w:t xml:space="preserve"> </w:t>
      </w:r>
    </w:p>
    <w:p w:rsidR="006C5CB6" w:rsidRPr="006B08AE" w:rsidRDefault="006C5CB6" w:rsidP="006C5CB6">
      <w:pPr>
        <w:spacing w:line="360" w:lineRule="auto"/>
        <w:rPr>
          <w:rFonts w:ascii="Palatino Linotype" w:eastAsiaTheme="minorEastAsia" w:hAnsi="Palatino Linotype"/>
        </w:rPr>
      </w:pPr>
    </w:p>
    <w:p w:rsidR="006C5CB6" w:rsidRPr="006B08AE" w:rsidRDefault="006C5CB6" w:rsidP="006C5CB6">
      <w:pPr>
        <w:keepNext/>
        <w:keepLines/>
        <w:spacing w:line="360" w:lineRule="auto"/>
        <w:outlineLvl w:val="1"/>
        <w:rPr>
          <w:rFonts w:ascii="Palatino Linotype" w:eastAsiaTheme="majorEastAsia" w:hAnsi="Palatino Linotype" w:cstheme="majorBidi"/>
          <w:b/>
          <w:szCs w:val="26"/>
        </w:rPr>
      </w:pPr>
      <w:bookmarkStart w:id="6" w:name="_Toc83301635"/>
      <w:r w:rsidRPr="006B08AE">
        <w:rPr>
          <w:rFonts w:ascii="Palatino Linotype" w:eastAsiaTheme="majorEastAsia" w:hAnsi="Palatino Linotype" w:cstheme="majorBidi"/>
          <w:b/>
          <w:szCs w:val="26"/>
        </w:rPr>
        <w:t>PRIMERO. De la competencia</w:t>
      </w:r>
      <w:bookmarkEnd w:id="6"/>
    </w:p>
    <w:p w:rsidR="006C5CB6" w:rsidRPr="006B08AE" w:rsidRDefault="006C5CB6" w:rsidP="006C5CB6">
      <w:pPr>
        <w:keepNext/>
        <w:keepLines/>
        <w:spacing w:line="360" w:lineRule="auto"/>
        <w:outlineLvl w:val="1"/>
        <w:rPr>
          <w:rFonts w:ascii="Palatino Linotype" w:eastAsiaTheme="majorEastAsia" w:hAnsi="Palatino Linotype" w:cstheme="majorBidi"/>
          <w:b/>
          <w:bCs/>
          <w:spacing w:val="60"/>
          <w:szCs w:val="26"/>
        </w:rPr>
      </w:pPr>
    </w:p>
    <w:p w:rsidR="006C5CB6" w:rsidRPr="006B08AE" w:rsidRDefault="006C5CB6" w:rsidP="006C5CB6">
      <w:pPr>
        <w:pStyle w:val="Prrafodelista"/>
        <w:numPr>
          <w:ilvl w:val="0"/>
          <w:numId w:val="1"/>
        </w:numPr>
        <w:spacing w:line="360" w:lineRule="auto"/>
        <w:ind w:left="0" w:firstLine="0"/>
        <w:jc w:val="both"/>
        <w:rPr>
          <w:rFonts w:ascii="Palatino Linotype" w:hAnsi="Palatino Linotype"/>
          <w:sz w:val="24"/>
        </w:rPr>
      </w:pPr>
      <w:r w:rsidRPr="006B08AE">
        <w:rPr>
          <w:rFonts w:ascii="Palatino Linotype" w:hAnsi="Palatino Linotype"/>
          <w:sz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6C5CB6" w:rsidRPr="006B08AE" w:rsidRDefault="006C5CB6" w:rsidP="006C5CB6">
      <w:pPr>
        <w:spacing w:line="360" w:lineRule="auto"/>
        <w:contextualSpacing/>
        <w:jc w:val="both"/>
        <w:rPr>
          <w:rFonts w:ascii="Palatino Linotype" w:eastAsiaTheme="minorEastAsia" w:hAnsi="Palatino Linotype"/>
          <w:lang w:val="es-ES_tradnl" w:eastAsia="es-ES"/>
        </w:rPr>
      </w:pPr>
    </w:p>
    <w:p w:rsidR="006C5CB6" w:rsidRPr="006B08AE" w:rsidRDefault="006C5CB6" w:rsidP="006C5CB6">
      <w:pPr>
        <w:keepNext/>
        <w:keepLines/>
        <w:spacing w:line="360" w:lineRule="auto"/>
        <w:outlineLvl w:val="1"/>
        <w:rPr>
          <w:rFonts w:ascii="Palatino Linotype" w:eastAsiaTheme="majorEastAsia" w:hAnsi="Palatino Linotype" w:cstheme="majorBidi"/>
          <w:b/>
          <w:szCs w:val="26"/>
        </w:rPr>
      </w:pPr>
      <w:bookmarkStart w:id="7" w:name="_Toc83301636"/>
      <w:r w:rsidRPr="006B08AE">
        <w:rPr>
          <w:rFonts w:ascii="Palatino Linotype" w:eastAsiaTheme="majorEastAsia" w:hAnsi="Palatino Linotype" w:cstheme="majorBidi"/>
          <w:b/>
          <w:szCs w:val="26"/>
        </w:rPr>
        <w:t>SEGUNDO. De la oportunidad y procedencia.</w:t>
      </w:r>
      <w:bookmarkEnd w:id="7"/>
    </w:p>
    <w:p w:rsidR="006C5CB6" w:rsidRPr="006B08AE" w:rsidRDefault="006C5CB6" w:rsidP="006C5CB6">
      <w:pPr>
        <w:spacing w:line="360" w:lineRule="auto"/>
        <w:rPr>
          <w:rFonts w:ascii="Palatino Linotype" w:eastAsiaTheme="minorEastAsia" w:hAnsi="Palatino Linotype"/>
        </w:rPr>
      </w:pPr>
    </w:p>
    <w:p w:rsidR="006C5CB6" w:rsidRPr="006B08AE" w:rsidRDefault="006C5CB6" w:rsidP="006C5CB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eastAsia="Calibri" w:hAnsi="Palatino Linotype" w:cs="Arial"/>
          <w:lang w:val="es-ES_tradnl" w:eastAsia="es-ES"/>
        </w:rPr>
        <w:lastRenderedPageBreak/>
        <w:t xml:space="preserve">El medio de impugnación fue presentado a través del </w:t>
      </w:r>
      <w:r w:rsidRPr="006B08AE">
        <w:rPr>
          <w:rFonts w:ascii="Palatino Linotype" w:eastAsia="Calibri" w:hAnsi="Palatino Linotype" w:cs="Arial"/>
          <w:b/>
          <w:lang w:val="es-ES_tradnl" w:eastAsia="es-ES"/>
        </w:rPr>
        <w:t>SAIMEX,</w:t>
      </w:r>
      <w:r w:rsidRPr="006B08A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6B08AE">
        <w:rPr>
          <w:rFonts w:ascii="Palatino Linotype" w:eastAsia="Calibri" w:hAnsi="Palatino Linotype" w:cs="Arial"/>
          <w:b/>
          <w:lang w:val="es-ES_tradnl" w:eastAsia="es-ES"/>
        </w:rPr>
        <w:t>SUJETO OBLIGADO</w:t>
      </w:r>
      <w:r w:rsidR="009D255A">
        <w:rPr>
          <w:rFonts w:ascii="Palatino Linotype" w:eastAsia="Calibri" w:hAnsi="Palatino Linotype" w:cs="Arial"/>
          <w:b/>
          <w:lang w:val="es-ES_tradnl" w:eastAsia="es-ES"/>
        </w:rPr>
        <w:t>,</w:t>
      </w:r>
      <w:r w:rsidRPr="006B08AE">
        <w:rPr>
          <w:rFonts w:ascii="Palatino Linotype" w:eastAsia="Calibri" w:hAnsi="Palatino Linotype" w:cs="Arial"/>
          <w:lang w:val="es-ES_tradnl" w:eastAsia="es-ES"/>
        </w:rPr>
        <w:t xml:space="preserve"> entregó respuesta a la solicitud el día </w:t>
      </w:r>
      <w:r w:rsidR="00DF2850">
        <w:rPr>
          <w:rFonts w:ascii="Palatino Linotype" w:eastAsia="Calibri" w:hAnsi="Palatino Linotype" w:cs="Arial"/>
          <w:lang w:val="es-ES_tradnl" w:eastAsia="es-ES"/>
        </w:rPr>
        <w:t>veinticinco (25</w:t>
      </w:r>
      <w:r w:rsidRPr="006B08AE">
        <w:rPr>
          <w:rFonts w:ascii="Palatino Linotype" w:eastAsia="Calibri" w:hAnsi="Palatino Linotype" w:cs="Arial"/>
          <w:lang w:val="es-ES_tradnl" w:eastAsia="es-ES"/>
        </w:rPr>
        <w:t xml:space="preserve">) de abril de dos mil veintitrés, </w:t>
      </w:r>
      <w:r w:rsidRPr="006B08AE">
        <w:rPr>
          <w:rFonts w:ascii="Palatino Linotype" w:eastAsiaTheme="minorEastAsia" w:hAnsi="Palatino Linotype" w:cs="Arial"/>
          <w:lang w:val="es-ES_tradnl" w:eastAsia="es-ES"/>
        </w:rPr>
        <w:t xml:space="preserve">de tal forma que el plazo para interponer el recurso de revisión transcurrió del </w:t>
      </w:r>
      <w:r w:rsidR="00DF2850">
        <w:rPr>
          <w:rFonts w:ascii="Palatino Linotype" w:eastAsiaTheme="minorEastAsia" w:hAnsi="Palatino Linotype" w:cs="Arial"/>
          <w:lang w:val="es-ES_tradnl" w:eastAsia="es-ES"/>
        </w:rPr>
        <w:t>veintiséis (26) de abril al dieciocho (18) de mayo</w:t>
      </w:r>
      <w:r w:rsidRPr="006B08AE">
        <w:rPr>
          <w:rFonts w:ascii="Palatino Linotype" w:eastAsiaTheme="minorEastAsia" w:hAnsi="Palatino Linotype" w:cs="Arial"/>
          <w:lang w:val="es-ES_tradnl" w:eastAsia="es-ES"/>
        </w:rPr>
        <w:t xml:space="preserve"> de dos mil veintitrés; en consecuencia, presentó su inconformidad el </w:t>
      </w:r>
      <w:r w:rsidR="00A741FC">
        <w:rPr>
          <w:rFonts w:ascii="Palatino Linotype" w:eastAsiaTheme="minorEastAsia" w:hAnsi="Palatino Linotype" w:cs="Arial"/>
          <w:lang w:val="es-ES_tradnl" w:eastAsia="es-ES"/>
        </w:rPr>
        <w:t>treinta (30</w:t>
      </w:r>
      <w:r w:rsidRPr="006B08AE">
        <w:rPr>
          <w:rFonts w:ascii="Palatino Linotype" w:eastAsiaTheme="minorEastAsia" w:hAnsi="Palatino Linotype" w:cs="Arial"/>
          <w:lang w:val="es-ES_tradnl" w:eastAsia="es-ES"/>
        </w:rPr>
        <w:t xml:space="preserve">) de abril del presente año, por lo que se encuentra dentro de los márgenes temporales previstos en el artículo 178 de la </w:t>
      </w:r>
      <w:r w:rsidRPr="006B08AE">
        <w:rPr>
          <w:rFonts w:ascii="Palatino Linotype" w:eastAsiaTheme="minorEastAsia" w:hAnsi="Palatino Linotype" w:cs="Arial"/>
          <w:b/>
          <w:lang w:val="es-ES_tradnl" w:eastAsia="es-ES"/>
        </w:rPr>
        <w:t xml:space="preserve">Ley de Transparencia y Acceso a la Información Pública del Estado de México y Municipios </w:t>
      </w:r>
      <w:r w:rsidRPr="006B08AE">
        <w:rPr>
          <w:rFonts w:ascii="Palatino Linotype" w:eastAsiaTheme="minorEastAsia" w:hAnsi="Palatino Linotype" w:cs="Arial"/>
          <w:lang w:val="es-ES_tradnl" w:eastAsia="es-ES"/>
        </w:rPr>
        <w:t>vigente.</w:t>
      </w:r>
    </w:p>
    <w:p w:rsidR="006C5CB6" w:rsidRPr="00A741FC" w:rsidRDefault="006C5CB6" w:rsidP="00A741FC">
      <w:pPr>
        <w:rPr>
          <w:rFonts w:ascii="Palatino Linotype" w:hAnsi="Palatino Linotype" w:cs="Arial"/>
          <w:i/>
          <w:szCs w:val="20"/>
        </w:rPr>
      </w:pPr>
    </w:p>
    <w:p w:rsidR="006C5CB6" w:rsidRPr="006B08AE" w:rsidRDefault="006C5CB6" w:rsidP="006C5CB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65713731"/>
      <w:bookmarkStart w:id="9" w:name="_Toc94119614"/>
      <w:bookmarkStart w:id="10" w:name="_Toc452722829"/>
      <w:bookmarkStart w:id="11" w:name="_Toc454373811"/>
      <w:bookmarkStart w:id="12" w:name="_Toc476675991"/>
    </w:p>
    <w:bookmarkEnd w:id="8"/>
    <w:bookmarkEnd w:id="9"/>
    <w:p w:rsidR="005F5710" w:rsidRPr="00B23502" w:rsidRDefault="005F5710" w:rsidP="00B23502">
      <w:pPr>
        <w:spacing w:line="360" w:lineRule="auto"/>
        <w:ind w:right="49"/>
        <w:contextualSpacing/>
        <w:jc w:val="both"/>
        <w:rPr>
          <w:rFonts w:ascii="Palatino Linotype" w:eastAsia="MS Gothic" w:hAnsi="Palatino Linotype" w:cstheme="majorBidi"/>
          <w:lang w:val="es-ES_tradnl" w:eastAsia="es-ES"/>
        </w:rPr>
      </w:pPr>
    </w:p>
    <w:p w:rsidR="00B23502" w:rsidRPr="00367507" w:rsidRDefault="00B23502" w:rsidP="00B23502">
      <w:pPr>
        <w:pStyle w:val="Ttulo2"/>
        <w:tabs>
          <w:tab w:val="left" w:pos="0"/>
        </w:tabs>
        <w:spacing w:before="0" w:line="360" w:lineRule="auto"/>
        <w:rPr>
          <w:rFonts w:ascii="Palatino Linotype" w:hAnsi="Palatino Linotype"/>
          <w:b/>
          <w:color w:val="auto"/>
          <w:sz w:val="24"/>
          <w:szCs w:val="24"/>
        </w:rPr>
      </w:pPr>
      <w:r w:rsidRPr="004E720E">
        <w:rPr>
          <w:rFonts w:ascii="Palatino Linotype" w:hAnsi="Palatino Linotype"/>
          <w:b/>
          <w:color w:val="auto"/>
          <w:sz w:val="24"/>
          <w:szCs w:val="24"/>
        </w:rPr>
        <w:t>TERCERO</w:t>
      </w:r>
      <w:r>
        <w:rPr>
          <w:rFonts w:ascii="Palatino Linotype" w:hAnsi="Palatino Linotype"/>
          <w:b/>
          <w:color w:val="auto"/>
          <w:sz w:val="24"/>
          <w:szCs w:val="24"/>
        </w:rPr>
        <w:t xml:space="preserve">. De las causales de sobreseimiento </w:t>
      </w:r>
    </w:p>
    <w:p w:rsidR="00B23502" w:rsidRPr="00232084" w:rsidRDefault="00B23502" w:rsidP="00B2350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bookmarkStart w:id="13" w:name="_Toc529263621"/>
      <w:bookmarkStart w:id="14" w:name="_Toc530650937"/>
      <w:bookmarkStart w:id="15" w:name="_Toc535334654"/>
      <w:bookmarkStart w:id="16" w:name="_Toc2248735"/>
    </w:p>
    <w:p w:rsidR="00B23502" w:rsidRPr="00E91CBA" w:rsidRDefault="00B23502" w:rsidP="00B2350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rPr>
        <w:t xml:space="preserve">El recurso de revisión </w:t>
      </w:r>
      <w:r w:rsidRPr="00E91CBA">
        <w:rPr>
          <w:rFonts w:ascii="Palatino Linotype" w:hAnsi="Palatino Linotype" w:cs="Arial"/>
          <w:sz w:val="24"/>
        </w:rPr>
        <w:t xml:space="preserve">tiene como finalidad reparar cualquier posible afectación al derecho de acceso a la información pública en términos del Título Octavo de la Ley de </w:t>
      </w:r>
      <w:r w:rsidRPr="00E91CBA">
        <w:rPr>
          <w:rFonts w:ascii="Palatino Linotype" w:eastAsia="Calibri" w:hAnsi="Palatino Linotype" w:cs="Arial"/>
          <w:sz w:val="24"/>
        </w:rPr>
        <w:t>Transparencia, Acceso a la Información Pública del Estado de México y Municipios</w:t>
      </w:r>
      <w:r w:rsidRPr="00E91CBA">
        <w:rPr>
          <w:rFonts w:ascii="Palatino Linotype" w:hAnsi="Palatino Linotype" w:cs="Arial"/>
          <w:sz w:val="24"/>
        </w:rPr>
        <w:t xml:space="preserve">, y determinar la confirmación; revocación o modificación; </w:t>
      </w:r>
      <w:proofErr w:type="spellStart"/>
      <w:r w:rsidRPr="00E91CBA">
        <w:rPr>
          <w:rFonts w:ascii="Palatino Linotype" w:hAnsi="Palatino Linotype" w:cs="Arial"/>
          <w:sz w:val="24"/>
        </w:rPr>
        <w:t>desechamiento</w:t>
      </w:r>
      <w:proofErr w:type="spellEnd"/>
      <w:r w:rsidRPr="00E91CBA">
        <w:rPr>
          <w:rFonts w:ascii="Palatino Linotype" w:hAnsi="Palatino Linotype" w:cs="Arial"/>
          <w:sz w:val="24"/>
        </w:rPr>
        <w:t xml:space="preserve"> o </w:t>
      </w:r>
      <w:r w:rsidRPr="00E91CBA">
        <w:rPr>
          <w:rFonts w:ascii="Palatino Linotype" w:hAnsi="Palatino Linotype" w:cs="Arial"/>
          <w:b/>
          <w:sz w:val="24"/>
          <w:u w:val="single"/>
        </w:rPr>
        <w:t>sobreseimiento</w:t>
      </w:r>
      <w:r w:rsidRPr="00E91CBA">
        <w:rPr>
          <w:rFonts w:ascii="Palatino Linotype" w:hAnsi="Palatino Linotype" w:cs="Arial"/>
          <w:sz w:val="24"/>
        </w:rPr>
        <w:t xml:space="preserve">; y en su caso ordenar la entrega de la información con respecto a la respuesta emitida por el </w:t>
      </w:r>
      <w:r w:rsidRPr="00E91CBA">
        <w:rPr>
          <w:rFonts w:ascii="Palatino Linotype" w:hAnsi="Palatino Linotype" w:cs="Arial"/>
          <w:b/>
          <w:sz w:val="24"/>
        </w:rPr>
        <w:t>SUJETO</w:t>
      </w:r>
      <w:r w:rsidRPr="00E91CBA">
        <w:rPr>
          <w:rFonts w:ascii="Palatino Linotype" w:hAnsi="Palatino Linotype" w:cs="Arial"/>
          <w:sz w:val="24"/>
        </w:rPr>
        <w:t xml:space="preserve"> </w:t>
      </w:r>
      <w:r w:rsidRPr="00E91CBA">
        <w:rPr>
          <w:rFonts w:ascii="Palatino Linotype" w:hAnsi="Palatino Linotype" w:cs="Arial"/>
          <w:b/>
          <w:sz w:val="24"/>
        </w:rPr>
        <w:t>OBLIGADO</w:t>
      </w:r>
      <w:r w:rsidRPr="00E91CBA">
        <w:rPr>
          <w:rFonts w:ascii="Palatino Linotype" w:hAnsi="Palatino Linotype" w:cs="Arial"/>
          <w:sz w:val="24"/>
        </w:rPr>
        <w:t>.</w:t>
      </w:r>
    </w:p>
    <w:p w:rsidR="00B23502" w:rsidRPr="00E91CBA" w:rsidRDefault="00B23502" w:rsidP="00B23502">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B23502" w:rsidRPr="00E91CBA" w:rsidRDefault="00B23502" w:rsidP="00B2350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rPr>
        <w:lastRenderedPageBreak/>
        <w:t xml:space="preserve">De </w:t>
      </w:r>
      <w:r w:rsidRPr="00E91CBA">
        <w:rPr>
          <w:rFonts w:ascii="Palatino Linotype" w:eastAsia="Calibri" w:hAnsi="Palatino Linotype"/>
          <w:sz w:val="24"/>
        </w:rPr>
        <w:t xml:space="preserve">acuerdo al precepto legal contenido en la fracción III del artículo 192 de la </w:t>
      </w:r>
      <w:r w:rsidRPr="00E91CBA">
        <w:rPr>
          <w:rFonts w:ascii="Palatino Linotype" w:eastAsia="Calibri" w:hAnsi="Palatino Linotype"/>
          <w:b/>
          <w:sz w:val="24"/>
        </w:rPr>
        <w:t>Ley de Transparencia y Acceso a la Información Pública del Estado de México y Municipios</w:t>
      </w:r>
      <w:r w:rsidRPr="00E91CBA">
        <w:rPr>
          <w:rFonts w:ascii="Palatino Linotype" w:eastAsia="Calibri" w:hAnsi="Palatino Linotype"/>
          <w:sz w:val="24"/>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B23502" w:rsidRPr="00E91CBA" w:rsidRDefault="00B23502" w:rsidP="00B23502">
      <w:pPr>
        <w:pStyle w:val="Prrafodelista"/>
        <w:ind w:left="0"/>
        <w:rPr>
          <w:rFonts w:ascii="Palatino Linotype" w:eastAsia="Calibri" w:hAnsi="Palatino Linotype" w:cs="Arial"/>
          <w:color w:val="000000" w:themeColor="text1"/>
          <w:sz w:val="24"/>
          <w:lang w:val="es-ES"/>
        </w:rPr>
      </w:pPr>
    </w:p>
    <w:p w:rsidR="00B23502" w:rsidRPr="00E91CBA" w:rsidRDefault="00B23502" w:rsidP="00B2350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Para </w:t>
      </w:r>
      <w:r w:rsidRPr="00E91CBA">
        <w:rPr>
          <w:rFonts w:ascii="Palatino Linotype" w:eastAsia="Calibri" w:hAnsi="Palatino Linotype"/>
          <w:sz w:val="24"/>
        </w:rPr>
        <w:t xml:space="preserve">los efectos de esta resolución, es oportuno precisar los alcances jurídicos de la fracción III de la disposición legal transcrita. Así, procede el sobreseimiento del recurso de revisión cuando el </w:t>
      </w:r>
      <w:r w:rsidRPr="00E91CBA">
        <w:rPr>
          <w:rFonts w:ascii="Palatino Linotype" w:eastAsia="Calibri" w:hAnsi="Palatino Linotype"/>
          <w:b/>
          <w:sz w:val="24"/>
        </w:rPr>
        <w:t>SUJETO OBLIGADO</w:t>
      </w:r>
      <w:r w:rsidRPr="00E91CBA">
        <w:rPr>
          <w:rFonts w:ascii="Palatino Linotype" w:eastAsia="Calibri" w:hAnsi="Palatino Linotype"/>
          <w:sz w:val="24"/>
        </w:rPr>
        <w:t>:</w:t>
      </w:r>
    </w:p>
    <w:p w:rsidR="00B23502" w:rsidRPr="00232084" w:rsidRDefault="00B23502" w:rsidP="00B23502">
      <w:pPr>
        <w:rPr>
          <w:rFonts w:ascii="Palatino Linotype" w:eastAsia="Calibri" w:hAnsi="Palatino Linotype" w:cs="Arial"/>
          <w:color w:val="000000" w:themeColor="text1"/>
          <w:lang w:val="es-ES"/>
        </w:rPr>
      </w:pPr>
    </w:p>
    <w:p w:rsidR="00B23502" w:rsidRPr="00232084" w:rsidRDefault="00B23502" w:rsidP="00B23502">
      <w:pPr>
        <w:numPr>
          <w:ilvl w:val="0"/>
          <w:numId w:val="9"/>
        </w:numPr>
        <w:spacing w:line="360" w:lineRule="auto"/>
        <w:ind w:left="567" w:right="616" w:firstLine="0"/>
        <w:contextualSpacing/>
        <w:jc w:val="both"/>
        <w:rPr>
          <w:rFonts w:ascii="Palatino Linotype" w:hAnsi="Palatino Linotype" w:cs="Arial"/>
        </w:rPr>
      </w:pPr>
      <w:r w:rsidRPr="00232084">
        <w:rPr>
          <w:rFonts w:ascii="Palatino Linotype" w:hAnsi="Palatino Linotype" w:cs="Arial"/>
          <w:b/>
        </w:rPr>
        <w:t>Modifique el acto impugnado:</w:t>
      </w:r>
      <w:r w:rsidRPr="00232084">
        <w:rPr>
          <w:rFonts w:ascii="Palatino Linotype" w:hAnsi="Palatino Linotype" w:cs="Arial"/>
        </w:rPr>
        <w:t xml:space="preserve"> Se actualiza cuando el </w:t>
      </w:r>
      <w:r w:rsidRPr="00232084">
        <w:rPr>
          <w:rFonts w:ascii="Palatino Linotype" w:hAnsi="Palatino Linotype" w:cs="Arial"/>
          <w:b/>
        </w:rPr>
        <w:t>SUJETO OBLIGADO</w:t>
      </w:r>
      <w:r w:rsidR="009D255A">
        <w:rPr>
          <w:rFonts w:ascii="Palatino Linotype" w:hAnsi="Palatino Linotype" w:cs="Arial"/>
          <w:b/>
        </w:rPr>
        <w:t>,</w:t>
      </w:r>
      <w:r w:rsidRPr="00232084">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B23502" w:rsidRPr="00232084" w:rsidRDefault="00B23502" w:rsidP="00B23502">
      <w:pPr>
        <w:spacing w:line="360" w:lineRule="auto"/>
        <w:ind w:left="567" w:right="616"/>
        <w:contextualSpacing/>
        <w:jc w:val="both"/>
        <w:rPr>
          <w:rFonts w:ascii="Palatino Linotype" w:hAnsi="Palatino Linotype" w:cs="Arial"/>
        </w:rPr>
      </w:pPr>
    </w:p>
    <w:p w:rsidR="00B23502" w:rsidRPr="00232084" w:rsidRDefault="00B23502" w:rsidP="00B23502">
      <w:pPr>
        <w:numPr>
          <w:ilvl w:val="0"/>
          <w:numId w:val="9"/>
        </w:numPr>
        <w:spacing w:line="360" w:lineRule="auto"/>
        <w:ind w:left="567" w:right="616" w:firstLine="0"/>
        <w:contextualSpacing/>
        <w:jc w:val="both"/>
        <w:rPr>
          <w:rFonts w:ascii="Palatino Linotype" w:hAnsi="Palatino Linotype" w:cs="Arial"/>
        </w:rPr>
      </w:pPr>
      <w:r w:rsidRPr="00232084">
        <w:rPr>
          <w:rFonts w:ascii="Palatino Linotype" w:hAnsi="Palatino Linotype" w:cs="Arial"/>
          <w:b/>
        </w:rPr>
        <w:t>Revoque el acto impugnado:</w:t>
      </w:r>
      <w:r w:rsidRPr="00232084">
        <w:rPr>
          <w:rFonts w:ascii="Palatino Linotype" w:hAnsi="Palatino Linotype" w:cs="Arial"/>
        </w:rPr>
        <w:t xml:space="preserve"> En este supuesto, el </w:t>
      </w:r>
      <w:r w:rsidRPr="00232084">
        <w:rPr>
          <w:rFonts w:ascii="Palatino Linotype" w:hAnsi="Palatino Linotype" w:cs="Arial"/>
          <w:b/>
        </w:rPr>
        <w:t>SUJETO OBLIGADO</w:t>
      </w:r>
      <w:r w:rsidR="009D255A">
        <w:rPr>
          <w:rFonts w:ascii="Palatino Linotype" w:hAnsi="Palatino Linotype" w:cs="Arial"/>
          <w:b/>
        </w:rPr>
        <w:t>,</w:t>
      </w:r>
      <w:r w:rsidRPr="00232084">
        <w:rPr>
          <w:rFonts w:ascii="Palatino Linotype" w:hAnsi="Palatino Linotype" w:cs="Arial"/>
        </w:rPr>
        <w:t xml:space="preserve"> deja sin efectos la primera respuesta y en su lugar emite otra que satisfaga lo solicitado por el Particular en un primer momento.</w:t>
      </w:r>
    </w:p>
    <w:p w:rsidR="00B23502" w:rsidRPr="00232084" w:rsidRDefault="00B23502" w:rsidP="00B23502">
      <w:pPr>
        <w:spacing w:line="360" w:lineRule="auto"/>
        <w:ind w:right="616"/>
        <w:contextualSpacing/>
        <w:jc w:val="both"/>
        <w:rPr>
          <w:rFonts w:ascii="Palatino Linotype" w:hAnsi="Palatino Linotype" w:cs="Arial"/>
        </w:rPr>
      </w:pPr>
    </w:p>
    <w:p w:rsidR="00B23502" w:rsidRPr="00E91CBA" w:rsidRDefault="00B23502" w:rsidP="00B23502">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Las </w:t>
      </w:r>
      <w:r w:rsidRPr="00E91CBA">
        <w:rPr>
          <w:rFonts w:ascii="Palatino Linotype" w:eastAsia="Calibri" w:hAnsi="Palatino Linotype"/>
          <w:sz w:val="24"/>
        </w:rPr>
        <w:t xml:space="preserve">consecuencias jurídicas de esta modificación o revocación es que el recurso de revisión interpuesto quede sin efectos o sin materia. Un acto impugnado queda sin efectos, cuando aun existiendo jurídicamente, no genera consecuencia legal alguna; </w:t>
      </w:r>
      <w:r w:rsidRPr="00E91CBA">
        <w:rPr>
          <w:rFonts w:ascii="Palatino Linotype" w:eastAsia="Calibri" w:hAnsi="Palatino Linotype"/>
          <w:sz w:val="24"/>
        </w:rPr>
        <w:lastRenderedPageBreak/>
        <w:t>queda sin materia, cuando ha sido satisfecha la pretensión del Particular, ya sea porque se hizo la entrega de la información solicitada o porque se completó la misma.</w:t>
      </w:r>
    </w:p>
    <w:p w:rsidR="00B23502" w:rsidRPr="00E91CBA" w:rsidRDefault="00B23502" w:rsidP="00B23502">
      <w:pPr>
        <w:pStyle w:val="Prrafodelista"/>
        <w:tabs>
          <w:tab w:val="left" w:pos="284"/>
          <w:tab w:val="left" w:pos="567"/>
        </w:tabs>
        <w:spacing w:line="360" w:lineRule="auto"/>
        <w:ind w:left="0"/>
        <w:jc w:val="both"/>
        <w:rPr>
          <w:rFonts w:ascii="Palatino Linotype" w:eastAsia="Calibri" w:hAnsi="Palatino Linotype" w:cs="Arial"/>
          <w:color w:val="000000" w:themeColor="text1"/>
          <w:sz w:val="24"/>
          <w:lang w:val="es-ES"/>
        </w:rPr>
      </w:pPr>
    </w:p>
    <w:p w:rsidR="004F1700" w:rsidRPr="009B59F8" w:rsidRDefault="00B23502" w:rsidP="004F1700">
      <w:pPr>
        <w:pStyle w:val="Prrafodelista"/>
        <w:numPr>
          <w:ilvl w:val="0"/>
          <w:numId w:val="1"/>
        </w:numPr>
        <w:tabs>
          <w:tab w:val="left" w:pos="284"/>
          <w:tab w:val="left" w:pos="567"/>
        </w:tabs>
        <w:spacing w:line="360" w:lineRule="auto"/>
        <w:ind w:left="0" w:firstLine="0"/>
        <w:jc w:val="both"/>
        <w:rPr>
          <w:rFonts w:ascii="Palatino Linotype" w:hAnsi="Palatino Linotype"/>
          <w:b/>
          <w:bCs/>
          <w:color w:val="000000"/>
          <w:sz w:val="24"/>
          <w:lang w:val="es-ES"/>
        </w:rPr>
      </w:pPr>
      <w:r w:rsidRPr="009B59F8">
        <w:rPr>
          <w:rFonts w:ascii="Palatino Linotype" w:eastAsia="Calibri" w:hAnsi="Palatino Linotype" w:cs="Arial"/>
          <w:color w:val="000000" w:themeColor="text1"/>
          <w:sz w:val="24"/>
          <w:lang w:val="es-ES"/>
        </w:rPr>
        <w:t xml:space="preserve">En el presente caso, </w:t>
      </w:r>
      <w:r w:rsidRPr="009B59F8">
        <w:rPr>
          <w:rFonts w:ascii="Palatino Linotype" w:hAnsi="Palatino Linotype" w:cs="Arial"/>
          <w:color w:val="000000"/>
          <w:sz w:val="24"/>
          <w:lang w:val="es-ES"/>
        </w:rPr>
        <w:t xml:space="preserve">el Recurrente solicitó </w:t>
      </w:r>
      <w:r w:rsidR="009B59F8" w:rsidRPr="009B59F8">
        <w:rPr>
          <w:rFonts w:ascii="Palatino Linotype" w:hAnsi="Palatino Linotype"/>
          <w:color w:val="000000"/>
          <w:sz w:val="24"/>
        </w:rPr>
        <w:t>la expresión documental de las acciones institucionales para prevenir y/o actuar ante las persecuciones a movilizadores</w:t>
      </w:r>
      <w:r w:rsidR="004F1700" w:rsidRPr="009B59F8">
        <w:rPr>
          <w:rFonts w:ascii="Palatino Linotype" w:hAnsi="Palatino Linotype" w:cs="Arial"/>
          <w:color w:val="000000"/>
          <w:sz w:val="24"/>
          <w:lang w:val="es-ES"/>
        </w:rPr>
        <w:t xml:space="preserve">. </w:t>
      </w:r>
    </w:p>
    <w:p w:rsidR="004F1700" w:rsidRPr="004F1700" w:rsidRDefault="004F1700" w:rsidP="004F1700">
      <w:pPr>
        <w:pStyle w:val="Prrafodelista"/>
        <w:tabs>
          <w:tab w:val="left" w:pos="284"/>
          <w:tab w:val="left" w:pos="567"/>
        </w:tabs>
        <w:spacing w:line="360" w:lineRule="auto"/>
        <w:ind w:left="0"/>
        <w:jc w:val="both"/>
        <w:rPr>
          <w:rFonts w:ascii="Palatino Linotype" w:hAnsi="Palatino Linotype"/>
          <w:b/>
          <w:bCs/>
          <w:color w:val="000000"/>
          <w:szCs w:val="22"/>
          <w:lang w:val="es-ES"/>
        </w:rPr>
      </w:pPr>
    </w:p>
    <w:p w:rsidR="00B23502" w:rsidRPr="004F1700" w:rsidRDefault="00B23502" w:rsidP="004F1700">
      <w:pPr>
        <w:pStyle w:val="Prrafodelista"/>
        <w:numPr>
          <w:ilvl w:val="0"/>
          <w:numId w:val="1"/>
        </w:numPr>
        <w:tabs>
          <w:tab w:val="left" w:pos="284"/>
          <w:tab w:val="left" w:pos="567"/>
        </w:tabs>
        <w:spacing w:line="360" w:lineRule="auto"/>
        <w:ind w:left="0" w:firstLine="0"/>
        <w:jc w:val="both"/>
        <w:rPr>
          <w:rFonts w:ascii="Palatino Linotype" w:hAnsi="Palatino Linotype"/>
          <w:b/>
          <w:bCs/>
          <w:color w:val="000000"/>
          <w:szCs w:val="22"/>
          <w:lang w:val="es-ES"/>
        </w:rPr>
      </w:pPr>
      <w:r w:rsidRPr="004F1700">
        <w:rPr>
          <w:rFonts w:ascii="Palatino Linotype" w:hAnsi="Palatino Linotype" w:cs="Arial"/>
          <w:color w:val="000000"/>
          <w:sz w:val="24"/>
          <w:lang w:val="es-ES"/>
        </w:rPr>
        <w:t xml:space="preserve">En respuesta, el Sujeto Obligado </w:t>
      </w:r>
      <w:r w:rsidR="004F1700" w:rsidRPr="004F1700">
        <w:rPr>
          <w:rFonts w:ascii="Palatino Linotype" w:hAnsi="Palatino Linotype" w:cs="Arial"/>
          <w:color w:val="000000"/>
          <w:sz w:val="24"/>
          <w:lang w:val="es-ES"/>
        </w:rPr>
        <w:t xml:space="preserve">señaló </w:t>
      </w:r>
      <w:r w:rsidR="004F1700" w:rsidRPr="004F1700">
        <w:rPr>
          <w:rFonts w:ascii="Palatino Linotype" w:hAnsi="Palatino Linotype"/>
          <w:i/>
          <w:sz w:val="24"/>
        </w:rPr>
        <w:t>“…con el objetivo de garantizar la transparencia, la participación ciudadana y la gobernabilidad en el proceso electoral, el 20 de enero del año en curso, se iniciaron las actividades del Mecanismo de Atención a las Expresiones Políticas, celebrando dos sesiones más en  fechas 10 de marzo y 13 de abril de 2023, con la participación de representantes del Instituto Nacional Electoral, el Instituto Electoral del Estado de México los dirigentes de los 8 partidos políticos con registro en la entidad, así como autoridades de instituciones de seguridad pública federal y estatal.”</w:t>
      </w:r>
      <w:r w:rsidR="004F1700">
        <w:rPr>
          <w:rFonts w:ascii="Palatino Linotype" w:hAnsi="Palatino Linotype"/>
          <w:i/>
          <w:sz w:val="24"/>
        </w:rPr>
        <w:t xml:space="preserve">. </w:t>
      </w:r>
      <w:r w:rsidRPr="004F1700">
        <w:rPr>
          <w:rFonts w:ascii="Palatino Linotype" w:hAnsi="Palatino Linotype" w:cs="Arial"/>
          <w:color w:val="000000"/>
          <w:sz w:val="24"/>
        </w:rPr>
        <w:t xml:space="preserve">Posteriormente, inconforme con la respuesta, el hoy Recurrente interpuso recurso de revisión mediante el cual se inconformó, de forma medular, por </w:t>
      </w:r>
      <w:r w:rsidR="004F1700" w:rsidRPr="004F1700">
        <w:rPr>
          <w:rFonts w:ascii="Palatino Linotype" w:hAnsi="Palatino Linotype" w:cs="Arial"/>
          <w:color w:val="000000"/>
          <w:sz w:val="24"/>
        </w:rPr>
        <w:t xml:space="preserve">la negativa de la información solicitada. </w:t>
      </w:r>
      <w:r w:rsidRPr="004F1700">
        <w:rPr>
          <w:rFonts w:ascii="Palatino Linotype" w:hAnsi="Palatino Linotype" w:cs="Arial"/>
          <w:color w:val="000000"/>
          <w:sz w:val="24"/>
          <w:lang w:val="es-ES"/>
        </w:rPr>
        <w:t xml:space="preserve"> </w:t>
      </w:r>
    </w:p>
    <w:p w:rsidR="00B23502" w:rsidRPr="00C078B9" w:rsidRDefault="00B23502" w:rsidP="00B23502">
      <w:pPr>
        <w:pStyle w:val="Prrafodelista"/>
        <w:tabs>
          <w:tab w:val="left" w:pos="284"/>
          <w:tab w:val="left" w:pos="567"/>
        </w:tabs>
        <w:spacing w:line="360" w:lineRule="auto"/>
        <w:ind w:left="0"/>
        <w:jc w:val="both"/>
        <w:rPr>
          <w:rFonts w:ascii="Palatino Linotype" w:hAnsi="Palatino Linotype"/>
          <w:b/>
          <w:bCs/>
          <w:color w:val="000000"/>
          <w:szCs w:val="22"/>
          <w:lang w:val="es-ES"/>
        </w:rPr>
      </w:pPr>
    </w:p>
    <w:p w:rsidR="00B23502" w:rsidRPr="00E77B21" w:rsidRDefault="00B23502" w:rsidP="00B23502">
      <w:pPr>
        <w:pStyle w:val="Prrafodelista"/>
        <w:numPr>
          <w:ilvl w:val="0"/>
          <w:numId w:val="1"/>
        </w:numPr>
        <w:tabs>
          <w:tab w:val="left" w:pos="284"/>
        </w:tabs>
        <w:spacing w:line="360" w:lineRule="auto"/>
        <w:ind w:left="0" w:firstLine="0"/>
        <w:jc w:val="both"/>
        <w:rPr>
          <w:rFonts w:ascii="Palatino Linotype" w:hAnsi="Palatino Linotype"/>
        </w:rPr>
      </w:pPr>
      <w:r w:rsidRPr="00E77B21">
        <w:rPr>
          <w:rFonts w:ascii="Palatino Linotype" w:eastAsia="Calibri" w:hAnsi="Palatino Linotype" w:cs="Arial"/>
          <w:color w:val="000000" w:themeColor="text1"/>
          <w:sz w:val="24"/>
          <w:lang w:val="es-ES"/>
        </w:rPr>
        <w:t xml:space="preserve">Ahora bien, mediante informe justificado el </w:t>
      </w:r>
      <w:r w:rsidRPr="00E77B21">
        <w:rPr>
          <w:rFonts w:ascii="Palatino Linotype" w:eastAsia="Calibri" w:hAnsi="Palatino Linotype" w:cs="Arial"/>
          <w:b/>
          <w:bCs/>
          <w:color w:val="000000" w:themeColor="text1"/>
          <w:sz w:val="24"/>
          <w:lang w:val="es-ES"/>
        </w:rPr>
        <w:t>SUJETO OBLIGADO</w:t>
      </w:r>
      <w:r w:rsidR="009D255A">
        <w:rPr>
          <w:rFonts w:ascii="Palatino Linotype" w:eastAsia="Calibri" w:hAnsi="Palatino Linotype" w:cs="Arial"/>
          <w:b/>
          <w:bCs/>
          <w:color w:val="000000" w:themeColor="text1"/>
          <w:sz w:val="24"/>
          <w:lang w:val="es-ES"/>
        </w:rPr>
        <w:t>,</w:t>
      </w:r>
      <w:r>
        <w:rPr>
          <w:rFonts w:ascii="Palatino Linotype" w:eastAsia="Calibri" w:hAnsi="Palatino Linotype" w:cs="Arial"/>
          <w:color w:val="000000" w:themeColor="text1"/>
          <w:sz w:val="24"/>
          <w:lang w:val="es-ES"/>
        </w:rPr>
        <w:t xml:space="preserve"> señaló:</w:t>
      </w:r>
    </w:p>
    <w:p w:rsidR="00B23502" w:rsidRDefault="00B23502" w:rsidP="00B23502">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4F1700" w:rsidRPr="004F1700" w:rsidRDefault="00B23502" w:rsidP="004F1700">
      <w:pPr>
        <w:pStyle w:val="Prrafodelista"/>
        <w:tabs>
          <w:tab w:val="left" w:pos="284"/>
        </w:tabs>
        <w:jc w:val="both"/>
        <w:rPr>
          <w:rFonts w:ascii="Palatino Linotype" w:eastAsia="Calibri" w:hAnsi="Palatino Linotype" w:cs="Arial"/>
          <w:i/>
          <w:color w:val="000000" w:themeColor="text1"/>
        </w:rPr>
      </w:pPr>
      <w:r w:rsidRPr="00E867F0">
        <w:rPr>
          <w:rFonts w:ascii="Palatino Linotype" w:eastAsia="Calibri" w:hAnsi="Palatino Linotype" w:cs="Arial"/>
          <w:i/>
          <w:color w:val="000000" w:themeColor="text1"/>
          <w:lang w:val="es-ES"/>
        </w:rPr>
        <w:t>“</w:t>
      </w:r>
      <w:r w:rsidR="004F1700" w:rsidRPr="004F1700">
        <w:rPr>
          <w:rFonts w:ascii="Palatino Linotype" w:eastAsia="Calibri" w:hAnsi="Palatino Linotype" w:cs="Arial"/>
          <w:i/>
          <w:color w:val="000000" w:themeColor="text1"/>
        </w:rPr>
        <w:t xml:space="preserve">Estas </w:t>
      </w:r>
      <w:r w:rsidR="004F1700" w:rsidRPr="004F1700">
        <w:rPr>
          <w:rFonts w:ascii="Palatino Linotype" w:eastAsia="Calibri" w:hAnsi="Palatino Linotype" w:cs="Arial"/>
          <w:b/>
          <w:i/>
          <w:color w:val="000000" w:themeColor="text1"/>
          <w:u w:val="single"/>
        </w:rPr>
        <w:t>mesas políticas tienen la finalidad de fortalecer el ambiente de seguridad, pluralidad y legalidad que demanda el desahogo del próximo proceso electoral en el Estado de México</w:t>
      </w:r>
      <w:r w:rsidR="004F1700" w:rsidRPr="004F1700">
        <w:rPr>
          <w:rFonts w:ascii="Palatino Linotype" w:eastAsia="Calibri" w:hAnsi="Palatino Linotype" w:cs="Arial"/>
          <w:i/>
          <w:color w:val="000000" w:themeColor="text1"/>
        </w:rPr>
        <w:t>, con la participación de representantes de las instancias siguientes:</w:t>
      </w:r>
    </w:p>
    <w:p w:rsidR="004F1700" w:rsidRPr="004F1700" w:rsidRDefault="004F1700" w:rsidP="004F1700">
      <w:pPr>
        <w:pStyle w:val="Prrafodelista"/>
        <w:tabs>
          <w:tab w:val="left" w:pos="284"/>
        </w:tabs>
        <w:rPr>
          <w:rFonts w:ascii="Palatino Linotype" w:eastAsia="Calibri" w:hAnsi="Palatino Linotype" w:cs="Arial"/>
          <w:i/>
          <w:color w:val="000000" w:themeColor="text1"/>
        </w:rPr>
      </w:pPr>
    </w:p>
    <w:p w:rsidR="004F1700" w:rsidRPr="004F1700" w:rsidRDefault="004F1700" w:rsidP="004F1700">
      <w:pPr>
        <w:pStyle w:val="Prrafodelista"/>
        <w:tabs>
          <w:tab w:val="left" w:pos="284"/>
        </w:tabs>
        <w:rPr>
          <w:rFonts w:ascii="Palatino Linotype" w:eastAsia="Calibri" w:hAnsi="Palatino Linotype" w:cs="Arial"/>
          <w:i/>
          <w:color w:val="000000" w:themeColor="text1"/>
        </w:rPr>
      </w:pPr>
      <w:r w:rsidRPr="004F1700">
        <w:rPr>
          <w:rFonts w:ascii="Palatino Linotype" w:eastAsia="Calibri" w:hAnsi="Palatino Linotype" w:cs="Arial"/>
          <w:i/>
          <w:color w:val="000000" w:themeColor="text1"/>
        </w:rPr>
        <w:t>1. Instituto Nacional Electoral.</w:t>
      </w:r>
    </w:p>
    <w:p w:rsidR="004F1700" w:rsidRPr="004F1700" w:rsidRDefault="004F1700" w:rsidP="004F1700">
      <w:pPr>
        <w:pStyle w:val="Prrafodelista"/>
        <w:tabs>
          <w:tab w:val="left" w:pos="284"/>
        </w:tabs>
        <w:rPr>
          <w:rFonts w:ascii="Palatino Linotype" w:eastAsia="Calibri" w:hAnsi="Palatino Linotype" w:cs="Arial"/>
          <w:i/>
          <w:color w:val="000000" w:themeColor="text1"/>
        </w:rPr>
      </w:pPr>
      <w:r w:rsidRPr="004F1700">
        <w:rPr>
          <w:rFonts w:ascii="Palatino Linotype" w:eastAsia="Calibri" w:hAnsi="Palatino Linotype" w:cs="Arial"/>
          <w:i/>
          <w:color w:val="000000" w:themeColor="text1"/>
        </w:rPr>
        <w:t>2. Instituto Electoral del Estado de México.</w:t>
      </w:r>
    </w:p>
    <w:p w:rsidR="004F1700" w:rsidRPr="004F1700" w:rsidRDefault="004F1700" w:rsidP="004F1700">
      <w:pPr>
        <w:pStyle w:val="Prrafodelista"/>
        <w:tabs>
          <w:tab w:val="left" w:pos="284"/>
        </w:tabs>
        <w:rPr>
          <w:rFonts w:ascii="Palatino Linotype" w:eastAsia="Calibri" w:hAnsi="Palatino Linotype" w:cs="Arial"/>
          <w:i/>
          <w:color w:val="000000" w:themeColor="text1"/>
        </w:rPr>
      </w:pPr>
      <w:r w:rsidRPr="004F1700">
        <w:rPr>
          <w:rFonts w:ascii="Palatino Linotype" w:eastAsia="Calibri" w:hAnsi="Palatino Linotype" w:cs="Arial"/>
          <w:i/>
          <w:color w:val="000000" w:themeColor="text1"/>
        </w:rPr>
        <w:t>3. Secretaria General de Gobierno.</w:t>
      </w:r>
    </w:p>
    <w:p w:rsidR="004F1700" w:rsidRPr="004F1700" w:rsidRDefault="004F1700" w:rsidP="004F1700">
      <w:pPr>
        <w:pStyle w:val="Prrafodelista"/>
        <w:tabs>
          <w:tab w:val="left" w:pos="284"/>
        </w:tabs>
        <w:rPr>
          <w:rFonts w:ascii="Palatino Linotype" w:eastAsia="Calibri" w:hAnsi="Palatino Linotype" w:cs="Arial"/>
          <w:i/>
          <w:color w:val="000000" w:themeColor="text1"/>
        </w:rPr>
      </w:pPr>
      <w:r w:rsidRPr="004F1700">
        <w:rPr>
          <w:rFonts w:ascii="Palatino Linotype" w:eastAsia="Calibri" w:hAnsi="Palatino Linotype" w:cs="Arial"/>
          <w:i/>
          <w:color w:val="000000" w:themeColor="text1"/>
        </w:rPr>
        <w:t>4. Secretaria de Seguridad.</w:t>
      </w:r>
    </w:p>
    <w:p w:rsidR="004F1700" w:rsidRPr="004F1700" w:rsidRDefault="004F1700" w:rsidP="004F1700">
      <w:pPr>
        <w:pStyle w:val="Prrafodelista"/>
        <w:tabs>
          <w:tab w:val="left" w:pos="284"/>
        </w:tabs>
        <w:rPr>
          <w:rFonts w:ascii="Palatino Linotype" w:eastAsia="Calibri" w:hAnsi="Palatino Linotype" w:cs="Arial"/>
          <w:i/>
          <w:color w:val="000000" w:themeColor="text1"/>
        </w:rPr>
      </w:pPr>
      <w:r w:rsidRPr="004F1700">
        <w:rPr>
          <w:rFonts w:ascii="Palatino Linotype" w:eastAsia="Calibri" w:hAnsi="Palatino Linotype" w:cs="Arial"/>
          <w:i/>
          <w:color w:val="000000" w:themeColor="text1"/>
        </w:rPr>
        <w:t>5. Secretaría de Justicia y Derechos Humanos.</w:t>
      </w:r>
    </w:p>
    <w:p w:rsidR="004F1700" w:rsidRPr="004F1700" w:rsidRDefault="004F1700" w:rsidP="004F1700">
      <w:pPr>
        <w:pStyle w:val="Prrafodelista"/>
        <w:tabs>
          <w:tab w:val="left" w:pos="284"/>
        </w:tabs>
        <w:rPr>
          <w:rFonts w:ascii="Palatino Linotype" w:eastAsia="Calibri" w:hAnsi="Palatino Linotype" w:cs="Arial"/>
          <w:i/>
          <w:color w:val="000000" w:themeColor="text1"/>
        </w:rPr>
      </w:pPr>
      <w:r w:rsidRPr="004F1700">
        <w:rPr>
          <w:rFonts w:ascii="Palatino Linotype" w:eastAsia="Calibri" w:hAnsi="Palatino Linotype" w:cs="Arial"/>
          <w:i/>
          <w:color w:val="000000" w:themeColor="text1"/>
        </w:rPr>
        <w:t>6. Fiscalía General de Justicia</w:t>
      </w:r>
    </w:p>
    <w:p w:rsidR="004F1700" w:rsidRPr="004F1700" w:rsidRDefault="004F1700" w:rsidP="004F1700">
      <w:pPr>
        <w:pStyle w:val="Prrafodelista"/>
        <w:tabs>
          <w:tab w:val="left" w:pos="284"/>
        </w:tabs>
        <w:rPr>
          <w:rFonts w:ascii="Palatino Linotype" w:eastAsia="Calibri" w:hAnsi="Palatino Linotype" w:cs="Arial"/>
          <w:i/>
          <w:color w:val="000000" w:themeColor="text1"/>
        </w:rPr>
      </w:pPr>
      <w:r w:rsidRPr="004F1700">
        <w:rPr>
          <w:rFonts w:ascii="Palatino Linotype" w:eastAsia="Calibri" w:hAnsi="Palatino Linotype" w:cs="Arial"/>
          <w:i/>
          <w:color w:val="000000" w:themeColor="text1"/>
        </w:rPr>
        <w:t>7. Coordinación en el Estado de México de la Guardia Nacional.</w:t>
      </w:r>
    </w:p>
    <w:p w:rsidR="004F1700" w:rsidRPr="004F1700" w:rsidRDefault="004F1700" w:rsidP="004F1700">
      <w:pPr>
        <w:pStyle w:val="Prrafodelista"/>
        <w:tabs>
          <w:tab w:val="left" w:pos="284"/>
        </w:tabs>
        <w:rPr>
          <w:rFonts w:ascii="Palatino Linotype" w:eastAsia="Calibri" w:hAnsi="Palatino Linotype" w:cs="Arial"/>
          <w:i/>
          <w:color w:val="000000" w:themeColor="text1"/>
        </w:rPr>
      </w:pPr>
      <w:r w:rsidRPr="004F1700">
        <w:rPr>
          <w:rFonts w:ascii="Palatino Linotype" w:eastAsia="Calibri" w:hAnsi="Palatino Linotype" w:cs="Arial"/>
          <w:i/>
          <w:color w:val="000000" w:themeColor="text1"/>
        </w:rPr>
        <w:lastRenderedPageBreak/>
        <w:t>8. 22/a Zona Militar de la Secretaria de la Defensa Nacional.</w:t>
      </w:r>
    </w:p>
    <w:p w:rsidR="004F1700" w:rsidRPr="004F1700" w:rsidRDefault="004F1700" w:rsidP="004F1700">
      <w:pPr>
        <w:pStyle w:val="Prrafodelista"/>
        <w:tabs>
          <w:tab w:val="left" w:pos="284"/>
        </w:tabs>
        <w:rPr>
          <w:rFonts w:ascii="Palatino Linotype" w:eastAsia="Calibri" w:hAnsi="Palatino Linotype" w:cs="Arial"/>
          <w:i/>
          <w:color w:val="000000" w:themeColor="text1"/>
        </w:rPr>
      </w:pPr>
      <w:r w:rsidRPr="004F1700">
        <w:rPr>
          <w:rFonts w:ascii="Palatino Linotype" w:eastAsia="Calibri" w:hAnsi="Palatino Linotype" w:cs="Arial"/>
          <w:i/>
          <w:color w:val="000000" w:themeColor="text1"/>
        </w:rPr>
        <w:t>9. 37/a Zona Militar de la Secretaria de la Defensa Nacional.</w:t>
      </w:r>
    </w:p>
    <w:p w:rsidR="004F1700" w:rsidRPr="004F1700" w:rsidRDefault="004F1700" w:rsidP="004F1700">
      <w:pPr>
        <w:pStyle w:val="Prrafodelista"/>
        <w:tabs>
          <w:tab w:val="left" w:pos="284"/>
        </w:tabs>
        <w:rPr>
          <w:rFonts w:ascii="Palatino Linotype" w:eastAsia="Calibri" w:hAnsi="Palatino Linotype" w:cs="Arial"/>
          <w:i/>
          <w:color w:val="000000" w:themeColor="text1"/>
        </w:rPr>
      </w:pPr>
      <w:r w:rsidRPr="004F1700">
        <w:rPr>
          <w:rFonts w:ascii="Palatino Linotype" w:eastAsia="Calibri" w:hAnsi="Palatino Linotype" w:cs="Arial"/>
          <w:i/>
          <w:color w:val="000000" w:themeColor="text1"/>
        </w:rPr>
        <w:t>10. Partidos políticos con registro en la entidad mexiquense</w:t>
      </w:r>
    </w:p>
    <w:p w:rsidR="004F1700" w:rsidRPr="004F1700" w:rsidRDefault="004F1700" w:rsidP="004F1700">
      <w:pPr>
        <w:pStyle w:val="Prrafodelista"/>
        <w:tabs>
          <w:tab w:val="left" w:pos="284"/>
        </w:tabs>
        <w:rPr>
          <w:rFonts w:ascii="Palatino Linotype" w:eastAsia="Calibri" w:hAnsi="Palatino Linotype" w:cs="Arial"/>
          <w:i/>
          <w:color w:val="000000" w:themeColor="text1"/>
        </w:rPr>
      </w:pPr>
    </w:p>
    <w:p w:rsidR="004F1700" w:rsidRPr="004F1700" w:rsidRDefault="004F1700" w:rsidP="004F1700">
      <w:pPr>
        <w:pStyle w:val="Prrafodelista"/>
        <w:tabs>
          <w:tab w:val="left" w:pos="284"/>
        </w:tabs>
        <w:jc w:val="both"/>
        <w:rPr>
          <w:rFonts w:ascii="Palatino Linotype" w:eastAsia="Calibri" w:hAnsi="Palatino Linotype" w:cs="Arial"/>
          <w:i/>
          <w:color w:val="000000" w:themeColor="text1"/>
        </w:rPr>
      </w:pPr>
      <w:r w:rsidRPr="004F1700">
        <w:rPr>
          <w:rFonts w:ascii="Palatino Linotype" w:eastAsia="Calibri" w:hAnsi="Palatino Linotype" w:cs="Arial"/>
          <w:i/>
          <w:color w:val="000000" w:themeColor="text1"/>
        </w:rPr>
        <w:t xml:space="preserve">A partir de estas reuniones, se pretende </w:t>
      </w:r>
      <w:r w:rsidRPr="004F1700">
        <w:rPr>
          <w:rFonts w:ascii="Palatino Linotype" w:eastAsia="Calibri" w:hAnsi="Palatino Linotype" w:cs="Arial"/>
          <w:b/>
          <w:i/>
          <w:color w:val="000000" w:themeColor="text1"/>
        </w:rPr>
        <w:t>lograr un proceso electoral apegado al marco normativo electoral vigente</w:t>
      </w:r>
      <w:r w:rsidRPr="004F1700">
        <w:rPr>
          <w:rFonts w:ascii="Palatino Linotype" w:eastAsia="Calibri" w:hAnsi="Palatino Linotype" w:cs="Arial"/>
          <w:i/>
          <w:color w:val="000000" w:themeColor="text1"/>
        </w:rPr>
        <w:t xml:space="preserve"> en el Estado de México, en el que todos los participantes, en el ámbito de su competencia, </w:t>
      </w:r>
      <w:r w:rsidRPr="004F1700">
        <w:rPr>
          <w:rFonts w:ascii="Palatino Linotype" w:eastAsia="Calibri" w:hAnsi="Palatino Linotype" w:cs="Arial"/>
          <w:b/>
          <w:i/>
          <w:color w:val="000000" w:themeColor="text1"/>
        </w:rPr>
        <w:t>mantengan un diálogo abierto y permanente para garantizar el respeto ineludible a los derechos fundamentales de las personas en territorio mexiquense</w:t>
      </w:r>
      <w:r w:rsidRPr="004F1700">
        <w:rPr>
          <w:rFonts w:ascii="Palatino Linotype" w:eastAsia="Calibri" w:hAnsi="Palatino Linotype" w:cs="Arial"/>
          <w:i/>
          <w:color w:val="000000" w:themeColor="text1"/>
        </w:rPr>
        <w:t>.”</w:t>
      </w:r>
    </w:p>
    <w:p w:rsidR="00B23502" w:rsidRPr="00E867F0" w:rsidRDefault="00B23502" w:rsidP="00B23502">
      <w:pPr>
        <w:pStyle w:val="Prrafodelista"/>
        <w:tabs>
          <w:tab w:val="left" w:pos="284"/>
        </w:tabs>
        <w:spacing w:line="360" w:lineRule="auto"/>
        <w:ind w:left="851" w:right="822"/>
        <w:jc w:val="both"/>
        <w:rPr>
          <w:rFonts w:ascii="Palatino Linotype" w:hAnsi="Palatino Linotype"/>
          <w:i/>
          <w:sz w:val="20"/>
        </w:rPr>
      </w:pPr>
    </w:p>
    <w:p w:rsidR="00B23502" w:rsidRPr="00E867F0" w:rsidRDefault="00B23502" w:rsidP="00B23502">
      <w:pPr>
        <w:pStyle w:val="Prrafodelista"/>
        <w:tabs>
          <w:tab w:val="left" w:pos="284"/>
        </w:tabs>
        <w:spacing w:line="360" w:lineRule="auto"/>
        <w:ind w:left="0"/>
        <w:jc w:val="both"/>
        <w:rPr>
          <w:rFonts w:ascii="Palatino Linotype" w:hAnsi="Palatino Linotype"/>
        </w:rPr>
      </w:pPr>
    </w:p>
    <w:p w:rsidR="004F1700" w:rsidRPr="00D109CD" w:rsidRDefault="00B23502" w:rsidP="00D109CD">
      <w:pPr>
        <w:pStyle w:val="Prrafodelista"/>
        <w:numPr>
          <w:ilvl w:val="0"/>
          <w:numId w:val="1"/>
        </w:numPr>
        <w:tabs>
          <w:tab w:val="left" w:pos="284"/>
        </w:tabs>
        <w:spacing w:line="360" w:lineRule="auto"/>
        <w:ind w:left="0" w:firstLine="0"/>
        <w:jc w:val="both"/>
        <w:rPr>
          <w:rFonts w:ascii="Palatino Linotype" w:eastAsia="Calibri" w:hAnsi="Palatino Linotype" w:cs="Arial"/>
          <w:bCs/>
          <w:color w:val="000000" w:themeColor="text1"/>
          <w:sz w:val="24"/>
          <w:lang w:val="es-ES"/>
        </w:rPr>
      </w:pPr>
      <w:r w:rsidRPr="00D109CD">
        <w:rPr>
          <w:rFonts w:ascii="Palatino Linotype" w:eastAsia="Calibri" w:hAnsi="Palatino Linotype" w:cs="Arial"/>
          <w:color w:val="000000" w:themeColor="text1"/>
          <w:sz w:val="24"/>
          <w:lang w:val="es-ES"/>
        </w:rPr>
        <w:t xml:space="preserve">En </w:t>
      </w:r>
      <w:r w:rsidRPr="00D109CD">
        <w:rPr>
          <w:rFonts w:ascii="Palatino Linotype" w:eastAsia="MS Mincho" w:hAnsi="Palatino Linotype"/>
          <w:sz w:val="24"/>
        </w:rPr>
        <w:t>tal contex</w:t>
      </w:r>
      <w:r w:rsidR="00D109CD">
        <w:rPr>
          <w:rFonts w:ascii="Palatino Linotype" w:eastAsia="MS Mincho" w:hAnsi="Palatino Linotype"/>
          <w:sz w:val="24"/>
        </w:rPr>
        <w:t>to, como se advierte del informe</w:t>
      </w:r>
      <w:r w:rsidRPr="00D109CD">
        <w:rPr>
          <w:rFonts w:ascii="Palatino Linotype" w:eastAsia="MS Mincho" w:hAnsi="Palatino Linotype"/>
          <w:sz w:val="24"/>
        </w:rPr>
        <w:t xml:space="preserve"> justificado, el </w:t>
      </w:r>
      <w:r w:rsidR="004F1700" w:rsidRPr="00D109CD">
        <w:rPr>
          <w:rFonts w:ascii="Palatino Linotype" w:eastAsia="MS Mincho" w:hAnsi="Palatino Linotype"/>
          <w:sz w:val="24"/>
        </w:rPr>
        <w:t>Sujeto Obligado señal</w:t>
      </w:r>
      <w:r w:rsidR="00D109CD">
        <w:rPr>
          <w:rFonts w:ascii="Palatino Linotype" w:eastAsia="MS Mincho" w:hAnsi="Palatino Linotype"/>
          <w:sz w:val="24"/>
        </w:rPr>
        <w:t xml:space="preserve">ó </w:t>
      </w:r>
      <w:r w:rsidR="004F1700" w:rsidRPr="00D109CD">
        <w:rPr>
          <w:rFonts w:ascii="Palatino Linotype" w:eastAsia="MS Mincho" w:hAnsi="Palatino Linotype"/>
          <w:sz w:val="24"/>
        </w:rPr>
        <w:t>la finalidad que tiene realizar las mesas de trabajo, por lo que complemento su repuesta. En ese sentido</w:t>
      </w:r>
      <w:r w:rsidR="00D109CD" w:rsidRPr="00D109CD">
        <w:rPr>
          <w:rFonts w:ascii="Palatino Linotype" w:eastAsia="MS Mincho" w:hAnsi="Palatino Linotype"/>
          <w:sz w:val="24"/>
        </w:rPr>
        <w:t xml:space="preserve"> es necesario resaltar que el Sujeto Obligado generó un documento ad hoc para dar respuesta a la solicitud de informaci</w:t>
      </w:r>
      <w:r w:rsidR="00D109CD">
        <w:rPr>
          <w:rFonts w:ascii="Palatino Linotype" w:eastAsia="MS Mincho" w:hAnsi="Palatino Linotype"/>
          <w:sz w:val="24"/>
        </w:rPr>
        <w:t>ón, al respecto, el artículo 12 de la Ley de Transparencia señala:</w:t>
      </w:r>
    </w:p>
    <w:p w:rsidR="004F1700" w:rsidRDefault="004F1700" w:rsidP="00D109CD">
      <w:pPr>
        <w:pStyle w:val="Prrafodelista"/>
        <w:spacing w:line="360" w:lineRule="auto"/>
        <w:ind w:left="644"/>
        <w:jc w:val="both"/>
        <w:rPr>
          <w:rFonts w:ascii="Palatino Linotype" w:hAnsi="Palatino Linotype" w:cs="Arial"/>
          <w:bCs/>
        </w:rPr>
      </w:pPr>
    </w:p>
    <w:p w:rsidR="00D109CD" w:rsidRDefault="00D109CD" w:rsidP="00D109CD">
      <w:pPr>
        <w:pStyle w:val="Prrafodelista"/>
        <w:spacing w:line="360" w:lineRule="auto"/>
        <w:ind w:left="851" w:right="822"/>
        <w:jc w:val="both"/>
        <w:rPr>
          <w:rFonts w:ascii="Palatino Linotype" w:hAnsi="Palatino Linotype" w:cs="Arial"/>
          <w:bCs/>
          <w:i/>
        </w:rPr>
      </w:pPr>
      <w:r>
        <w:rPr>
          <w:rFonts w:ascii="Palatino Linotype" w:hAnsi="Palatino Linotype" w:cs="Arial"/>
          <w:b/>
          <w:bCs/>
          <w:i/>
        </w:rPr>
        <w:t>“</w:t>
      </w:r>
      <w:r w:rsidR="004F1700" w:rsidRPr="00D109CD">
        <w:rPr>
          <w:rFonts w:ascii="Palatino Linotype" w:hAnsi="Palatino Linotype" w:cs="Arial"/>
          <w:b/>
          <w:bCs/>
          <w:i/>
        </w:rPr>
        <w:t xml:space="preserve">Artículo 12. </w:t>
      </w:r>
      <w:r w:rsidR="004F1700" w:rsidRPr="00D109CD">
        <w:rPr>
          <w:rFonts w:ascii="Palatino Linotype" w:hAnsi="Palatino Linotype" w:cs="Arial"/>
          <w:bCs/>
          <w:i/>
        </w:rPr>
        <w:t>Quienes generen, recopilen, administren, manejen, procesen, archiven o conserven información pública serán responsables de la misma en los términos de las disposiciones jurídicas aplicables.</w:t>
      </w:r>
    </w:p>
    <w:p w:rsidR="004F1700" w:rsidRDefault="00D109CD" w:rsidP="00D109CD">
      <w:pPr>
        <w:pStyle w:val="Prrafodelista"/>
        <w:spacing w:line="276" w:lineRule="auto"/>
        <w:ind w:left="851" w:right="822"/>
        <w:jc w:val="both"/>
        <w:rPr>
          <w:rFonts w:ascii="Palatino Linotype" w:hAnsi="Palatino Linotype" w:cs="Arial"/>
          <w:bCs/>
          <w:i/>
        </w:rPr>
      </w:pPr>
      <w:r w:rsidRPr="00D109CD">
        <w:rPr>
          <w:rFonts w:ascii="Palatino Linotype" w:hAnsi="Palatino Linotype" w:cs="Arial"/>
          <w:b/>
          <w:bCs/>
          <w:i/>
        </w:rPr>
        <w:t xml:space="preserve">Los sujetos obligados sólo proporcionarán la información pública que se les requiera y que obre en sus archivos y en el </w:t>
      </w:r>
      <w:r w:rsidRPr="00D109CD">
        <w:rPr>
          <w:rFonts w:ascii="Palatino Linotype" w:hAnsi="Palatino Linotype" w:cs="Arial"/>
          <w:b/>
          <w:bCs/>
          <w:i/>
          <w:u w:val="single"/>
        </w:rPr>
        <w:t>estado en que ésta se encuentre.</w:t>
      </w:r>
      <w:r w:rsidRPr="00D109CD">
        <w:rPr>
          <w:rFonts w:ascii="Palatino Linotype" w:hAnsi="Palatino Linotype" w:cs="Arial"/>
          <w:b/>
          <w:bCs/>
          <w:i/>
        </w:rPr>
        <w:t xml:space="preserve"> La obligación de proporcionar información no comprende el procesamiento de la misma, ni el presentarla conforme al interés del solicitante; no estarán obligados a generarla, resumirla, efectuar cálculos o práctica investigaciones.</w:t>
      </w:r>
      <w:r w:rsidRPr="00D109CD">
        <w:rPr>
          <w:rFonts w:ascii="Palatino Linotype" w:hAnsi="Palatino Linotype" w:cs="Arial"/>
          <w:bCs/>
          <w:i/>
        </w:rPr>
        <w:t>”</w:t>
      </w:r>
    </w:p>
    <w:p w:rsidR="00D109CD" w:rsidRDefault="00D109CD" w:rsidP="00D109CD">
      <w:pPr>
        <w:pStyle w:val="Prrafodelista"/>
        <w:spacing w:line="276" w:lineRule="auto"/>
        <w:ind w:left="851" w:right="822"/>
        <w:jc w:val="both"/>
        <w:rPr>
          <w:rFonts w:ascii="Palatino Linotype" w:hAnsi="Palatino Linotype" w:cs="Arial"/>
          <w:b/>
          <w:bCs/>
          <w:i/>
        </w:rPr>
      </w:pPr>
    </w:p>
    <w:p w:rsidR="00D109CD" w:rsidRPr="00D109CD" w:rsidRDefault="00D109CD" w:rsidP="00D109CD">
      <w:pPr>
        <w:pStyle w:val="Prrafodelista"/>
        <w:spacing w:line="276" w:lineRule="auto"/>
        <w:ind w:left="851" w:right="822"/>
        <w:jc w:val="both"/>
        <w:rPr>
          <w:rFonts w:ascii="Palatino Linotype" w:hAnsi="Palatino Linotype" w:cs="Arial"/>
          <w:b/>
          <w:bCs/>
          <w:i/>
        </w:rPr>
      </w:pPr>
      <w:r>
        <w:rPr>
          <w:rFonts w:ascii="Palatino Linotype" w:hAnsi="Palatino Linotype" w:cs="Arial"/>
          <w:b/>
          <w:bCs/>
          <w:i/>
        </w:rPr>
        <w:t>Énfasis añadido</w:t>
      </w:r>
    </w:p>
    <w:p w:rsidR="004F1700" w:rsidRPr="003D6E56" w:rsidRDefault="004F1700" w:rsidP="00D109CD">
      <w:pPr>
        <w:pStyle w:val="Prrafodelista"/>
        <w:spacing w:line="360" w:lineRule="auto"/>
        <w:ind w:left="644"/>
        <w:jc w:val="both"/>
        <w:rPr>
          <w:rFonts w:ascii="Palatino Linotype" w:hAnsi="Palatino Linotype" w:cs="Arial"/>
          <w:bCs/>
        </w:rPr>
      </w:pPr>
    </w:p>
    <w:p w:rsidR="004F1700" w:rsidRPr="00D109CD" w:rsidRDefault="004F1700" w:rsidP="00D109CD">
      <w:pPr>
        <w:pStyle w:val="Prrafodelista"/>
        <w:numPr>
          <w:ilvl w:val="0"/>
          <w:numId w:val="1"/>
        </w:numPr>
        <w:spacing w:line="360" w:lineRule="auto"/>
        <w:ind w:left="0" w:firstLine="0"/>
        <w:jc w:val="both"/>
        <w:rPr>
          <w:rFonts w:ascii="Palatino Linotype" w:hAnsi="Palatino Linotype" w:cs="Arial"/>
          <w:bCs/>
          <w:sz w:val="24"/>
        </w:rPr>
      </w:pPr>
      <w:r w:rsidRPr="00D109CD">
        <w:rPr>
          <w:rFonts w:ascii="Palatino Linotype" w:hAnsi="Palatino Linotype" w:cs="Arial"/>
          <w:bCs/>
          <w:sz w:val="24"/>
        </w:rPr>
        <w:t xml:space="preserve">Los sujetos obligados </w:t>
      </w:r>
      <w:r w:rsidRPr="00D109CD">
        <w:rPr>
          <w:rFonts w:ascii="Palatino Linotype" w:hAnsi="Palatino Linotype" w:cs="Arial"/>
          <w:b/>
          <w:bCs/>
          <w:sz w:val="24"/>
        </w:rPr>
        <w:t>sólo proporcionarán la información pública que se les requiera y que obre en sus archivos</w:t>
      </w:r>
      <w:r w:rsidRPr="00D109CD">
        <w:rPr>
          <w:rFonts w:ascii="Palatino Linotype" w:hAnsi="Palatino Linotype" w:cs="Arial"/>
          <w:bCs/>
          <w:sz w:val="24"/>
        </w:rPr>
        <w:t xml:space="preserve"> </w:t>
      </w:r>
      <w:r w:rsidRPr="00D109CD">
        <w:rPr>
          <w:rFonts w:ascii="Palatino Linotype" w:hAnsi="Palatino Linotype" w:cs="Arial"/>
          <w:b/>
          <w:bCs/>
          <w:sz w:val="24"/>
        </w:rPr>
        <w:t xml:space="preserve">y en el </w:t>
      </w:r>
      <w:r w:rsidRPr="00D109CD">
        <w:rPr>
          <w:rFonts w:ascii="Palatino Linotype" w:hAnsi="Palatino Linotype" w:cs="Arial"/>
          <w:b/>
          <w:bCs/>
          <w:sz w:val="24"/>
          <w:u w:val="single"/>
        </w:rPr>
        <w:t>estado en que ésta se encuentre.</w:t>
      </w:r>
      <w:r w:rsidRPr="00D109CD">
        <w:rPr>
          <w:rFonts w:ascii="Palatino Linotype" w:hAnsi="Palatino Linotype" w:cs="Arial"/>
          <w:bCs/>
          <w:sz w:val="24"/>
        </w:rPr>
        <w:t xml:space="preserve"> La </w:t>
      </w:r>
      <w:r w:rsidRPr="00D109CD">
        <w:rPr>
          <w:rFonts w:ascii="Palatino Linotype" w:hAnsi="Palatino Linotype" w:cs="Arial"/>
          <w:bCs/>
          <w:sz w:val="24"/>
        </w:rPr>
        <w:lastRenderedPageBreak/>
        <w:t xml:space="preserve">obligación de proporcionar información </w:t>
      </w:r>
      <w:r w:rsidRPr="00D109CD">
        <w:rPr>
          <w:rFonts w:ascii="Palatino Linotype" w:hAnsi="Palatino Linotype" w:cs="Arial"/>
          <w:b/>
          <w:bCs/>
          <w:sz w:val="24"/>
        </w:rPr>
        <w:t>no comprende</w:t>
      </w:r>
      <w:r w:rsidRPr="00D109CD">
        <w:rPr>
          <w:rFonts w:ascii="Palatino Linotype" w:hAnsi="Palatino Linotype" w:cs="Arial"/>
          <w:bCs/>
          <w:sz w:val="24"/>
        </w:rPr>
        <w:t xml:space="preserve"> el procesamiento de la misma, ni el presentarla conforme al interés del solicitante; no estarán obligados a generarla, resumirla, efectuar cálculos o práctica investigaciones.</w:t>
      </w:r>
    </w:p>
    <w:p w:rsidR="004F1700" w:rsidRPr="004F1700" w:rsidRDefault="004F1700" w:rsidP="00D109CD">
      <w:pPr>
        <w:pStyle w:val="Prrafodelista"/>
        <w:spacing w:line="360" w:lineRule="auto"/>
        <w:ind w:left="644"/>
        <w:jc w:val="both"/>
        <w:rPr>
          <w:rFonts w:ascii="Palatino Linotype" w:hAnsi="Palatino Linotype" w:cs="Arial"/>
          <w:bCs/>
        </w:rPr>
      </w:pPr>
    </w:p>
    <w:p w:rsidR="004F1700" w:rsidRPr="00D109CD" w:rsidRDefault="004F1700" w:rsidP="00D109CD">
      <w:pPr>
        <w:pStyle w:val="Prrafodelista"/>
        <w:numPr>
          <w:ilvl w:val="0"/>
          <w:numId w:val="1"/>
        </w:numPr>
        <w:spacing w:line="360" w:lineRule="auto"/>
        <w:ind w:left="0" w:firstLine="0"/>
        <w:jc w:val="both"/>
        <w:rPr>
          <w:rFonts w:ascii="Palatino Linotype" w:hAnsi="Palatino Linotype" w:cs="Arial"/>
          <w:bCs/>
          <w:sz w:val="24"/>
        </w:rPr>
      </w:pPr>
      <w:r w:rsidRPr="00D109CD">
        <w:rPr>
          <w:rFonts w:ascii="Palatino Linotype" w:hAnsi="Palatino Linotype" w:cs="Arial"/>
          <w:bCs/>
          <w:sz w:val="24"/>
        </w:rPr>
        <w:t>Se señala que no están obligados a procesar, ni presentarla conforme al interés del solicitante, resumirla, efectuar cálculos o generar nuevos documen</w:t>
      </w:r>
      <w:r w:rsidR="00D109CD">
        <w:rPr>
          <w:rFonts w:ascii="Palatino Linotype" w:hAnsi="Palatino Linotype" w:cs="Arial"/>
          <w:bCs/>
          <w:sz w:val="24"/>
        </w:rPr>
        <w:t xml:space="preserve">tos para atender una solicitud; sin embargo, </w:t>
      </w:r>
      <w:r w:rsidRPr="00D109CD">
        <w:rPr>
          <w:rFonts w:ascii="Palatino Linotype" w:hAnsi="Palatino Linotype" w:cs="Arial"/>
          <w:bCs/>
          <w:sz w:val="24"/>
        </w:rPr>
        <w:t xml:space="preserve">la ley tampoco lo prohíbe, es decir, los </w:t>
      </w:r>
      <w:r w:rsidRPr="00D109CD">
        <w:rPr>
          <w:rFonts w:ascii="Palatino Linotype" w:hAnsi="Palatino Linotype" w:cs="Arial"/>
          <w:b/>
          <w:bCs/>
          <w:sz w:val="24"/>
        </w:rPr>
        <w:t>SUJETOS OBLIGADOS</w:t>
      </w:r>
      <w:r w:rsidRPr="00D109CD">
        <w:rPr>
          <w:rFonts w:ascii="Palatino Linotype" w:hAnsi="Palatino Linotype" w:cs="Arial"/>
          <w:bCs/>
          <w:sz w:val="24"/>
        </w:rPr>
        <w:t xml:space="preserve"> pueden adoptar como buena práctica para atender las solicitudes de acceso a información pública la elaboración de documentos que satisfagan el derecho, dicho de otro modo, pueden proporcionar la información que atienda las solicitudes, proporcionando aquella información que atienda de manera  exacta, concreta y completa dado que no están impedidos y no es una prohibición que la ley contemple, por ello, la generación de documentos </w:t>
      </w:r>
      <w:r w:rsidRPr="00D109CD">
        <w:rPr>
          <w:rFonts w:ascii="Palatino Linotype" w:hAnsi="Palatino Linotype" w:cs="Arial"/>
          <w:b/>
          <w:bCs/>
          <w:sz w:val="24"/>
        </w:rPr>
        <w:t>ad hoc</w:t>
      </w:r>
      <w:r w:rsidRPr="00D109CD">
        <w:rPr>
          <w:rFonts w:ascii="Palatino Linotype" w:hAnsi="Palatino Linotype" w:cs="Arial"/>
          <w:bCs/>
          <w:sz w:val="24"/>
        </w:rPr>
        <w:t>, puede llevar a cabo siempre y cuando se haga garantice el derecho.</w:t>
      </w:r>
    </w:p>
    <w:p w:rsidR="00D109CD" w:rsidRDefault="004F1700" w:rsidP="00D109CD">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r>
        <w:rPr>
          <w:rFonts w:ascii="Palatino Linotype" w:eastAsia="MS Mincho" w:hAnsi="Palatino Linotype"/>
          <w:sz w:val="24"/>
        </w:rPr>
        <w:t xml:space="preserve"> </w:t>
      </w:r>
    </w:p>
    <w:p w:rsidR="00B23502" w:rsidRPr="00D109CD" w:rsidRDefault="00D109CD" w:rsidP="00D109CD">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D109CD">
        <w:rPr>
          <w:rFonts w:ascii="Palatino Linotype" w:eastAsia="Calibri" w:hAnsi="Palatino Linotype" w:cs="Arial"/>
          <w:color w:val="000000" w:themeColor="text1"/>
          <w:sz w:val="24"/>
          <w:lang w:val="es-ES"/>
        </w:rPr>
        <w:t>Por otro lado</w:t>
      </w:r>
      <w:r w:rsidR="00B23502" w:rsidRPr="00D109CD">
        <w:rPr>
          <w:rFonts w:ascii="Palatino Linotype" w:eastAsia="Calibri" w:hAnsi="Palatino Linotype" w:cs="Arial"/>
          <w:color w:val="000000" w:themeColor="text1"/>
          <w:sz w:val="24"/>
          <w:lang w:val="es-ES"/>
        </w:rPr>
        <w:t xml:space="preserve">, </w:t>
      </w:r>
      <w:r w:rsidR="00B23502" w:rsidRPr="00D109CD">
        <w:rPr>
          <w:rFonts w:ascii="Palatino Linotype" w:hAnsi="Palatino Linotype" w:cs="Arial"/>
          <w:bCs/>
          <w:sz w:val="24"/>
          <w:szCs w:val="22"/>
        </w:rPr>
        <w:t xml:space="preserve">es dable sostener que, al haber existido un pronunciamiento por parte del </w:t>
      </w:r>
      <w:r w:rsidR="00B23502" w:rsidRPr="00D109CD">
        <w:rPr>
          <w:rFonts w:ascii="Palatino Linotype" w:hAnsi="Palatino Linotype" w:cs="Arial"/>
          <w:b/>
          <w:bCs/>
          <w:sz w:val="24"/>
          <w:szCs w:val="22"/>
        </w:rPr>
        <w:t>SUJETO OBLIGADO</w:t>
      </w:r>
      <w:r w:rsidR="00B23502" w:rsidRPr="00D109CD">
        <w:rPr>
          <w:rFonts w:ascii="Palatino Linotype" w:hAnsi="Palatino Linotype" w:cs="Arial"/>
          <w:bCs/>
          <w:sz w:val="24"/>
          <w:szCs w:val="22"/>
        </w:rPr>
        <w:t>, este Instituto no está facultado para manifestarse sobre la veracidad de este, pues no existe precepto legal alguno en la Ley de la materia que lo faculte para que, vía recurso de revisión, pueda pronunciarse al respecto.</w:t>
      </w:r>
    </w:p>
    <w:p w:rsidR="00B23502" w:rsidRPr="00E91CBA" w:rsidRDefault="00B23502" w:rsidP="00B23502">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B23502" w:rsidRPr="00E91CBA" w:rsidRDefault="00B23502" w:rsidP="00B23502">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Sirve </w:t>
      </w:r>
      <w:r w:rsidRPr="00E91CBA">
        <w:rPr>
          <w:rFonts w:ascii="Palatino Linotype" w:hAnsi="Palatino Linotype" w:cs="Arial"/>
          <w:bCs/>
          <w:sz w:val="24"/>
          <w:szCs w:val="22"/>
          <w:lang w:val="es-ES"/>
        </w:rPr>
        <w:t xml:space="preserve">de apoyo a lo anterior, </w:t>
      </w:r>
      <w:r w:rsidRPr="00E91CBA">
        <w:rPr>
          <w:rFonts w:ascii="Palatino Linotype" w:hAnsi="Palatino Linotype" w:cs="Arial"/>
          <w:bCs/>
          <w:sz w:val="24"/>
          <w:szCs w:val="22"/>
        </w:rPr>
        <w:t>por analogía el criterio 31-10 emitido por el entonces Instituto Federal de Acceso a la Información ahora Instituto Nacional de Transparencia, Acceso a la Información y Protección de Datos Personales (INAI) que a la letra dice:</w:t>
      </w:r>
    </w:p>
    <w:p w:rsidR="00B23502" w:rsidRPr="00232084" w:rsidRDefault="00B23502" w:rsidP="00B2350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B23502" w:rsidRPr="00232084" w:rsidRDefault="00B23502" w:rsidP="00D109CD">
      <w:pPr>
        <w:tabs>
          <w:tab w:val="left" w:pos="709"/>
        </w:tabs>
        <w:spacing w:line="360" w:lineRule="auto"/>
        <w:ind w:left="851" w:right="822"/>
        <w:jc w:val="both"/>
        <w:rPr>
          <w:rFonts w:ascii="Palatino Linotype" w:hAnsi="Palatino Linotype" w:cs="Arial"/>
          <w:b/>
          <w:bCs/>
          <w:i/>
          <w:sz w:val="22"/>
          <w:szCs w:val="22"/>
        </w:rPr>
      </w:pPr>
      <w:r w:rsidRPr="00232084">
        <w:rPr>
          <w:rFonts w:ascii="Palatino Linotype" w:hAnsi="Palatino Linotype" w:cs="Arial"/>
          <w:b/>
          <w:bCs/>
          <w:i/>
          <w:sz w:val="22"/>
          <w:szCs w:val="22"/>
        </w:rPr>
        <w:lastRenderedPageBreak/>
        <w:t>“El Instituto Federal de Acceso a la Información y Protección de Datos no cuenta con facultades para pronunciarse respecto de la veracidad de los documentos proporcionados por los sujetos obligados</w:t>
      </w:r>
      <w:r w:rsidRPr="00232084">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32084">
        <w:rPr>
          <w:rFonts w:ascii="Palatino Linotype" w:hAnsi="Palatino Linotype" w:cs="Arial"/>
          <w:b/>
          <w:bCs/>
          <w:i/>
          <w:sz w:val="22"/>
          <w:szCs w:val="22"/>
        </w:rPr>
        <w:t>”</w:t>
      </w:r>
    </w:p>
    <w:p w:rsidR="00B23502" w:rsidRPr="00232084" w:rsidRDefault="00B23502" w:rsidP="00B23502">
      <w:pPr>
        <w:tabs>
          <w:tab w:val="left" w:pos="709"/>
        </w:tabs>
        <w:ind w:right="565"/>
        <w:jc w:val="both"/>
        <w:rPr>
          <w:rFonts w:ascii="Palatino Linotype" w:hAnsi="Palatino Linotype" w:cs="Arial"/>
          <w:b/>
          <w:bCs/>
          <w:i/>
        </w:rPr>
      </w:pPr>
    </w:p>
    <w:p w:rsidR="00B23502" w:rsidRPr="00E91CBA" w:rsidRDefault="00B23502" w:rsidP="00B2350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Así, </w:t>
      </w:r>
      <w:r w:rsidRPr="00E91CBA">
        <w:rPr>
          <w:rFonts w:ascii="Palatino Linotype" w:eastAsia="Calibri" w:hAnsi="Palatino Linotype"/>
          <w:sz w:val="24"/>
        </w:rPr>
        <w:t xml:space="preserve">este Pleno advierte que el </w:t>
      </w:r>
      <w:r w:rsidRPr="00E91CBA">
        <w:rPr>
          <w:rFonts w:ascii="Palatino Linotype" w:eastAsia="Calibri" w:hAnsi="Palatino Linotype"/>
          <w:b/>
          <w:sz w:val="24"/>
        </w:rPr>
        <w:t>SUJETO OBLIGADO</w:t>
      </w:r>
      <w:r w:rsidR="009D255A">
        <w:rPr>
          <w:rFonts w:ascii="Palatino Linotype" w:eastAsia="Calibri" w:hAnsi="Palatino Linotype"/>
          <w:b/>
          <w:sz w:val="24"/>
        </w:rPr>
        <w:t>,</w:t>
      </w:r>
      <w:r w:rsidRPr="00E91CBA">
        <w:rPr>
          <w:rFonts w:ascii="Palatino Linotype" w:eastAsia="Calibri" w:hAnsi="Palatino Linotype"/>
          <w:sz w:val="24"/>
        </w:rPr>
        <w:t xml:space="preserve"> </w:t>
      </w:r>
      <w:r w:rsidRPr="00E91CBA">
        <w:rPr>
          <w:rFonts w:ascii="Palatino Linotype" w:eastAsia="Calibri" w:hAnsi="Palatino Linotype"/>
          <w:b/>
          <w:sz w:val="24"/>
        </w:rPr>
        <w:t xml:space="preserve">modificó </w:t>
      </w:r>
      <w:r w:rsidRPr="00E91CBA">
        <w:rPr>
          <w:rFonts w:ascii="Palatino Linotype" w:eastAsia="Calibri" w:hAnsi="Palatino Linotype"/>
          <w:sz w:val="24"/>
        </w:rPr>
        <w:t>el acto que le dio origen a los recursos de revisión, lo que trae como consecuencia que el mismo quede sin materia, actualizándose de este modo, la hipótesis jurídica contenida en la fracción III del artículo 192 de la Ley de Transparencia Local.</w:t>
      </w:r>
    </w:p>
    <w:p w:rsidR="00B23502" w:rsidRPr="00E91CBA" w:rsidRDefault="00B23502" w:rsidP="00B23502">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B23502" w:rsidRPr="00E91CBA" w:rsidRDefault="00B23502" w:rsidP="00B2350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Ahora bien, </w:t>
      </w:r>
      <w:r w:rsidRPr="00E91CBA">
        <w:rPr>
          <w:rFonts w:ascii="Palatino Linotype" w:eastAsia="Calibri" w:hAnsi="Palatino Linotype"/>
          <w:sz w:val="24"/>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E91CBA">
        <w:rPr>
          <w:rFonts w:ascii="Palatino Linotype" w:eastAsia="Calibri" w:hAnsi="Palatino Linotype"/>
          <w:b/>
          <w:sz w:val="24"/>
        </w:rPr>
        <w:t>SUJETOS OBLIGADOS</w:t>
      </w:r>
      <w:r w:rsidRPr="00E91CBA">
        <w:rPr>
          <w:rFonts w:ascii="Palatino Linotype" w:eastAsia="Calibri" w:hAnsi="Palatino Linotype"/>
          <w:sz w:val="24"/>
        </w:rPr>
        <w:t xml:space="preserve"> o la negativa de entrega de esta, derivada de la solicitud de información pública.</w:t>
      </w:r>
    </w:p>
    <w:p w:rsidR="00B23502" w:rsidRPr="00E91CBA" w:rsidRDefault="00B23502" w:rsidP="00B23502">
      <w:pPr>
        <w:rPr>
          <w:rFonts w:ascii="Palatino Linotype" w:eastAsia="Calibri" w:hAnsi="Palatino Linotype" w:cs="Arial"/>
          <w:color w:val="000000" w:themeColor="text1"/>
          <w:sz w:val="28"/>
          <w:lang w:val="es-ES"/>
        </w:rPr>
      </w:pPr>
    </w:p>
    <w:p w:rsidR="00B23502" w:rsidRPr="00E91CBA" w:rsidRDefault="00B23502" w:rsidP="00B2350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De </w:t>
      </w:r>
      <w:r w:rsidRPr="00E91CBA">
        <w:rPr>
          <w:rFonts w:ascii="Palatino Linotype" w:eastAsia="Calibri" w:hAnsi="Palatino Linotype"/>
          <w:sz w:val="24"/>
        </w:rPr>
        <w:t xml:space="preserve">este modo, cuando el </w:t>
      </w:r>
      <w:r w:rsidRPr="00E91CBA">
        <w:rPr>
          <w:rFonts w:ascii="Palatino Linotype" w:eastAsia="Calibri" w:hAnsi="Palatino Linotype"/>
          <w:b/>
          <w:sz w:val="24"/>
        </w:rPr>
        <w:t xml:space="preserve">SUJETO OBLIGADO, </w:t>
      </w:r>
      <w:r w:rsidRPr="00E91CBA">
        <w:rPr>
          <w:rFonts w:ascii="Palatino Linotype" w:eastAsia="Calibri" w:hAnsi="Palatino Linotype"/>
          <w:sz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E91CBA">
        <w:rPr>
          <w:rFonts w:ascii="Palatino Linotype" w:eastAsia="Calibri" w:hAnsi="Palatino Linotype"/>
          <w:i/>
          <w:sz w:val="24"/>
        </w:rPr>
        <w:t>litis</w:t>
      </w:r>
      <w:proofErr w:type="spellEnd"/>
      <w:r w:rsidRPr="00E91CBA">
        <w:rPr>
          <w:rFonts w:ascii="Palatino Linotype" w:eastAsia="Calibri" w:hAnsi="Palatino Linotype"/>
          <w:sz w:val="24"/>
        </w:rPr>
        <w:t xml:space="preserve"> planteada, debido a que la afectación en su esfera de derechos fue restituida por la propia autoridad que emitió el acto motivo de impugnación.</w:t>
      </w:r>
    </w:p>
    <w:p w:rsidR="00B23502" w:rsidRPr="00E91CBA" w:rsidRDefault="00B23502" w:rsidP="00B23502">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B23502" w:rsidRPr="00E91CBA" w:rsidRDefault="00B23502" w:rsidP="00B2350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Sirve </w:t>
      </w:r>
      <w:r w:rsidRPr="00E91CBA">
        <w:rPr>
          <w:rFonts w:ascii="Palatino Linotype" w:eastAsia="Calibri" w:hAnsi="Palatino Linotype"/>
          <w:sz w:val="24"/>
        </w:rPr>
        <w:t>de sustento a lo anterior la siguiente jurisprudencia por contradicción, cuyo rubro, texto y datos de identificación son los siguientes:</w:t>
      </w:r>
    </w:p>
    <w:p w:rsidR="00B23502" w:rsidRPr="00232084" w:rsidRDefault="00B23502" w:rsidP="00B23502">
      <w:pPr>
        <w:rPr>
          <w:rFonts w:ascii="Palatino Linotype" w:eastAsia="Calibri" w:hAnsi="Palatino Linotype" w:cs="Arial"/>
          <w:color w:val="000000" w:themeColor="text1"/>
          <w:lang w:val="es-ES"/>
        </w:rPr>
      </w:pPr>
    </w:p>
    <w:p w:rsidR="00B23502" w:rsidRPr="00232084" w:rsidRDefault="00B23502" w:rsidP="00B23502">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232084">
        <w:rPr>
          <w:rFonts w:ascii="Palatino Linotype" w:eastAsia="Calibri" w:hAnsi="Palatino Linotype"/>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232084">
        <w:rPr>
          <w:rFonts w:ascii="Palatino Linotype" w:eastAsia="Calibri" w:hAnsi="Palatino Linotype"/>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w:t>
      </w:r>
      <w:r w:rsidRPr="00232084">
        <w:rPr>
          <w:rFonts w:ascii="Palatino Linotype" w:eastAsia="Calibri" w:hAnsi="Palatino Linotype"/>
          <w:i/>
        </w:rPr>
        <w:lastRenderedPageBreak/>
        <w:t>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B23502" w:rsidRPr="00232084" w:rsidRDefault="00B23502" w:rsidP="00B23502">
      <w:pPr>
        <w:rPr>
          <w:rFonts w:ascii="Palatino Linotype" w:eastAsia="Calibri" w:hAnsi="Palatino Linotype" w:cs="Arial"/>
          <w:color w:val="000000" w:themeColor="text1"/>
          <w:lang w:val="es-ES"/>
        </w:rPr>
      </w:pPr>
    </w:p>
    <w:p w:rsidR="00B23502" w:rsidRPr="00E91CBA" w:rsidRDefault="00B23502" w:rsidP="00B23502">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La </w:t>
      </w:r>
      <w:r w:rsidRPr="00E91CBA">
        <w:rPr>
          <w:rFonts w:ascii="Palatino Linotype" w:eastAsia="Calibri" w:hAnsi="Palatino Linotype"/>
          <w:sz w:val="24"/>
        </w:rPr>
        <w:t xml:space="preserve">anterior jurisprudencia resulta aplicable al presente asunto, en dos aspectos: </w:t>
      </w:r>
    </w:p>
    <w:p w:rsidR="00B23502" w:rsidRPr="00232084" w:rsidRDefault="00B23502" w:rsidP="00B23502">
      <w:pPr>
        <w:pStyle w:val="Prrafodelista"/>
        <w:tabs>
          <w:tab w:val="left" w:pos="426"/>
          <w:tab w:val="left" w:pos="567"/>
        </w:tabs>
        <w:spacing w:line="360" w:lineRule="auto"/>
        <w:ind w:left="0"/>
        <w:jc w:val="both"/>
        <w:rPr>
          <w:rFonts w:ascii="Palatino Linotype" w:eastAsia="Calibri" w:hAnsi="Palatino Linotype"/>
        </w:rPr>
      </w:pPr>
    </w:p>
    <w:p w:rsidR="00B23502" w:rsidRPr="00232084" w:rsidRDefault="00B23502" w:rsidP="00B23502">
      <w:pPr>
        <w:numPr>
          <w:ilvl w:val="0"/>
          <w:numId w:val="10"/>
        </w:numPr>
        <w:spacing w:line="360" w:lineRule="auto"/>
        <w:ind w:left="567" w:right="616" w:firstLine="0"/>
        <w:contextualSpacing/>
        <w:jc w:val="both"/>
        <w:rPr>
          <w:rFonts w:ascii="Palatino Linotype" w:eastAsia="Calibri" w:hAnsi="Palatino Linotype"/>
        </w:rPr>
      </w:pPr>
      <w:r w:rsidRPr="00232084">
        <w:rPr>
          <w:rFonts w:ascii="Palatino Linotype" w:eastAsia="Calibri" w:hAnsi="Palatino Linotype"/>
          <w:b/>
        </w:rPr>
        <w:t>La cesación de los efectos perniciosos del acto de autoridad:</w:t>
      </w:r>
      <w:r w:rsidRPr="00232084">
        <w:rPr>
          <w:rFonts w:ascii="Palatino Linotype" w:eastAsia="Calibri" w:hAnsi="Palatino Linotype"/>
        </w:rPr>
        <w:t xml:space="preserve"> Al respecto, la Ley de Transparencia contempla la figura jurídica del sobreseimiento cuando el </w:t>
      </w:r>
      <w:r w:rsidRPr="00232084">
        <w:rPr>
          <w:rFonts w:ascii="Palatino Linotype" w:eastAsia="Calibri" w:hAnsi="Palatino Linotype"/>
          <w:b/>
        </w:rPr>
        <w:t>SUJETO OBLIGADO</w:t>
      </w:r>
      <w:r w:rsidR="009D255A">
        <w:rPr>
          <w:rFonts w:ascii="Palatino Linotype" w:eastAsia="Calibri" w:hAnsi="Palatino Linotype"/>
          <w:b/>
        </w:rPr>
        <w:t>,</w:t>
      </w:r>
      <w:r w:rsidRPr="00232084">
        <w:rPr>
          <w:rFonts w:ascii="Palatino Linotype" w:eastAsia="Calibri" w:hAnsi="Palatino Linotype"/>
        </w:rPr>
        <w:t xml:space="preserve"> de </w:t>
      </w:r>
      <w:r w:rsidRPr="00232084">
        <w:rPr>
          <w:rFonts w:ascii="Palatino Linotype" w:eastAsia="Calibri" w:hAnsi="Palatino Linotype"/>
          <w:i/>
        </w:rPr>
        <w:t>motu proprio</w:t>
      </w:r>
      <w:r w:rsidRPr="00232084">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rsidR="00B23502" w:rsidRPr="00232084" w:rsidRDefault="00B23502" w:rsidP="00B23502">
      <w:pPr>
        <w:spacing w:line="360" w:lineRule="auto"/>
        <w:ind w:left="567" w:right="616"/>
        <w:contextualSpacing/>
        <w:rPr>
          <w:rFonts w:ascii="Palatino Linotype" w:eastAsia="Calibri" w:hAnsi="Palatino Linotype"/>
        </w:rPr>
      </w:pPr>
    </w:p>
    <w:p w:rsidR="00B23502" w:rsidRPr="00232084" w:rsidRDefault="00B23502" w:rsidP="00B23502">
      <w:pPr>
        <w:numPr>
          <w:ilvl w:val="0"/>
          <w:numId w:val="10"/>
        </w:numPr>
        <w:spacing w:line="360" w:lineRule="auto"/>
        <w:ind w:left="567" w:right="616" w:firstLine="0"/>
        <w:contextualSpacing/>
        <w:jc w:val="both"/>
        <w:rPr>
          <w:rFonts w:ascii="Palatino Linotype" w:eastAsia="Calibri" w:hAnsi="Palatino Linotype"/>
        </w:rPr>
      </w:pPr>
      <w:r w:rsidRPr="00232084">
        <w:rPr>
          <w:rFonts w:ascii="Palatino Linotype" w:eastAsia="Calibri" w:hAnsi="Palatino Linotype"/>
          <w:b/>
        </w:rPr>
        <w:t>El momento procesal para modificar el acto impugnado:</w:t>
      </w:r>
      <w:r w:rsidRPr="00232084">
        <w:rPr>
          <w:rFonts w:ascii="Palatino Linotype" w:eastAsia="Calibri" w:hAnsi="Palatino Linotype"/>
        </w:rPr>
        <w:t xml:space="preserve"> Para que se actualice el sobreseimiento de un recurso de revisión, el </w:t>
      </w:r>
      <w:r w:rsidRPr="00232084">
        <w:rPr>
          <w:rFonts w:ascii="Palatino Linotype" w:eastAsia="Calibri" w:hAnsi="Palatino Linotype"/>
          <w:b/>
        </w:rPr>
        <w:t>SUJETO OBLIGADO</w:t>
      </w:r>
      <w:r w:rsidR="009D255A">
        <w:rPr>
          <w:rFonts w:ascii="Palatino Linotype" w:eastAsia="Calibri" w:hAnsi="Palatino Linotype"/>
          <w:b/>
        </w:rPr>
        <w:t>,</w:t>
      </w:r>
      <w:r w:rsidRPr="00232084">
        <w:rPr>
          <w:rFonts w:ascii="Palatino Linotype" w:eastAsia="Calibri" w:hAnsi="Palatino Linotype"/>
        </w:rPr>
        <w:t xml:space="preserve"> puede entregar o completar la información al momento de rendir su informe de justificación o </w:t>
      </w:r>
      <w:r w:rsidRPr="00232084">
        <w:rPr>
          <w:rFonts w:ascii="Palatino Linotype" w:eastAsia="Calibri" w:hAnsi="Palatino Linotype"/>
          <w:b/>
          <w:u w:val="single"/>
        </w:rPr>
        <w:t>posteriormente</w:t>
      </w:r>
      <w:r w:rsidRPr="00232084">
        <w:rPr>
          <w:rFonts w:ascii="Palatino Linotype" w:eastAsia="Calibri" w:hAnsi="Palatino Linotype"/>
        </w:rPr>
        <w:t xml:space="preserve"> a éste, siempre y cuando el Pleno del Instituto no haya dictado resolución definitiva.</w:t>
      </w:r>
    </w:p>
    <w:p w:rsidR="00B23502" w:rsidRPr="00232084" w:rsidRDefault="00B23502" w:rsidP="00B2350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B23502" w:rsidRPr="00E91CBA" w:rsidRDefault="00B23502" w:rsidP="00B23502">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Eduardo Pallares, </w:t>
      </w:r>
      <w:r w:rsidRPr="00E91CBA">
        <w:rPr>
          <w:rFonts w:ascii="Palatino Linotype" w:eastAsia="Calibri" w:hAnsi="Palatino Linotype"/>
          <w:sz w:val="24"/>
        </w:rPr>
        <w:t xml:space="preserve">en su artículo </w:t>
      </w:r>
      <w:r w:rsidRPr="00E91CBA">
        <w:rPr>
          <w:rFonts w:ascii="Palatino Linotype" w:eastAsia="Calibri" w:hAnsi="Palatino Linotype"/>
          <w:i/>
          <w:sz w:val="24"/>
        </w:rPr>
        <w:t>“La caducidad y el sobreseimiento en el amparo”</w:t>
      </w:r>
      <w:r w:rsidRPr="00E91CBA">
        <w:rPr>
          <w:rFonts w:ascii="Palatino Linotype" w:eastAsia="Calibri" w:hAnsi="Palatino Linotype"/>
          <w:sz w:val="24"/>
        </w:rPr>
        <w:t xml:space="preserve">, cita la definición de Aguilera Paz, aduciendo que se </w:t>
      </w:r>
      <w:r w:rsidRPr="00E91CBA">
        <w:rPr>
          <w:rFonts w:ascii="Palatino Linotype" w:eastAsia="Calibri" w:hAnsi="Palatino Linotype"/>
          <w:i/>
          <w:sz w:val="24"/>
        </w:rPr>
        <w:t xml:space="preserve">“...entiende por sobreseimiento en el tecnicismo forense, el hecho de cesar en el procedimiento o curso de la causa, por no existir méritos bastantes para entrar en un juicio o para entablar la contienda judicial que debe ser </w:t>
      </w:r>
      <w:r w:rsidRPr="00E91CBA">
        <w:rPr>
          <w:rFonts w:ascii="Palatino Linotype" w:eastAsia="Calibri" w:hAnsi="Palatino Linotype"/>
          <w:i/>
          <w:sz w:val="24"/>
        </w:rPr>
        <w:lastRenderedPageBreak/>
        <w:t>objeto del mismo...”</w:t>
      </w:r>
      <w:r w:rsidRPr="00E91CBA">
        <w:rPr>
          <w:rFonts w:ascii="Palatino Linotype" w:eastAsia="Calibri" w:hAnsi="Palatino Linotype"/>
          <w:sz w:val="24"/>
        </w:rPr>
        <w:t>. Asimismo, señala que existe el sobreseimiento provisional y el definitivo</w:t>
      </w:r>
      <w:r w:rsidRPr="00E91CBA">
        <w:rPr>
          <w:rFonts w:ascii="Palatino Linotype" w:eastAsia="Calibri" w:hAnsi="Palatino Linotype"/>
          <w:i/>
          <w:sz w:val="24"/>
        </w:rPr>
        <w:t>: “...el definitivo es una verdadera sentencia que pone fin al juicio, y que una vez dictada, produce cosa juzgada, mientras que el provisorio tiene por efectos suspender la prosecución de la causa...”</w:t>
      </w:r>
    </w:p>
    <w:p w:rsidR="00B23502" w:rsidRPr="00E91CBA" w:rsidRDefault="00B23502" w:rsidP="00B23502">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B23502" w:rsidRPr="00E91CBA" w:rsidRDefault="00B23502" w:rsidP="00B23502">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Así, </w:t>
      </w:r>
      <w:r w:rsidRPr="00E91CBA">
        <w:rPr>
          <w:rFonts w:ascii="Palatino Linotype" w:eastAsia="Calibri" w:hAnsi="Palatino Linotype"/>
          <w:sz w:val="24"/>
        </w:rPr>
        <w:t xml:space="preserve">para la doctrina el sobreseimiento provoca que un procedimiento se suspenda o se resuelva en definitiva </w:t>
      </w:r>
      <w:r w:rsidRPr="009D255A">
        <w:rPr>
          <w:rFonts w:ascii="Palatino Linotype" w:eastAsia="Calibri" w:hAnsi="Palatino Linotype"/>
          <w:sz w:val="24"/>
        </w:rPr>
        <w:t xml:space="preserve">sin que se entre al estudio de los agravios o motivos de inconformidad. </w:t>
      </w:r>
      <w:r w:rsidRPr="00E91CBA">
        <w:rPr>
          <w:rFonts w:ascii="Palatino Linotype" w:eastAsia="Calibri" w:hAnsi="Palatino Linotype"/>
          <w:sz w:val="24"/>
        </w:rPr>
        <w:t>Este mismo criterio es compartido por el más alto tribunal del país en múltiples jurisprudencias, por lo que a continuación se agrega una de ellas que sirve como orientador en esta resolución:</w:t>
      </w:r>
    </w:p>
    <w:p w:rsidR="00B23502" w:rsidRPr="00232084" w:rsidRDefault="00B23502" w:rsidP="00B23502">
      <w:pPr>
        <w:rPr>
          <w:rFonts w:ascii="Palatino Linotype" w:eastAsia="Calibri" w:hAnsi="Palatino Linotype" w:cs="Arial"/>
          <w:color w:val="000000" w:themeColor="text1"/>
          <w:lang w:val="es-ES"/>
        </w:rPr>
      </w:pPr>
    </w:p>
    <w:p w:rsidR="00B23502" w:rsidRPr="00232084" w:rsidRDefault="00B23502" w:rsidP="00B23502">
      <w:pPr>
        <w:spacing w:line="360" w:lineRule="auto"/>
        <w:ind w:left="567" w:right="565"/>
        <w:contextualSpacing/>
        <w:jc w:val="both"/>
        <w:rPr>
          <w:rFonts w:ascii="Palatino Linotype" w:eastAsia="Calibri" w:hAnsi="Palatino Linotype"/>
          <w:i/>
          <w:sz w:val="22"/>
          <w:lang w:val="es-AR"/>
        </w:rPr>
      </w:pPr>
      <w:r w:rsidRPr="00232084">
        <w:rPr>
          <w:rFonts w:ascii="Palatino Linotype" w:eastAsia="Calibri" w:hAnsi="Palatino Linotype"/>
          <w:b/>
          <w:i/>
          <w:sz w:val="22"/>
          <w:lang w:val="es-AR"/>
        </w:rPr>
        <w:t>SOBRESEIMIENTO EN EL JUICIO DE AMPARO DIRECTO. IMPIDE EL ESTUDIO DE LAS VIOLACIONES PROCESALES PLANTEADAS EN LOS CONCEPTOS DE VIOLACIÓN. El sobreseimiento</w:t>
      </w:r>
      <w:r w:rsidRPr="00232084">
        <w:rPr>
          <w:rFonts w:ascii="Palatino Linotype" w:eastAsia="Calibri" w:hAnsi="Palatino Linotype"/>
          <w:i/>
          <w:sz w:val="22"/>
          <w:lang w:val="es-AR"/>
        </w:rPr>
        <w:t xml:space="preserve"> en el juicio de amparo directo </w:t>
      </w:r>
      <w:r w:rsidRPr="00232084">
        <w:rPr>
          <w:rFonts w:ascii="Palatino Linotype" w:eastAsia="Calibri" w:hAnsi="Palatino Linotype"/>
          <w:b/>
          <w:i/>
          <w:sz w:val="22"/>
          <w:lang w:val="es-AR"/>
        </w:rPr>
        <w:t>provoca la terminación de la controversia planteada</w:t>
      </w:r>
      <w:r w:rsidRPr="00232084">
        <w:rPr>
          <w:rFonts w:ascii="Palatino Linotype" w:eastAsia="Calibri" w:hAnsi="Palatino Linotype"/>
          <w:i/>
          <w:sz w:val="22"/>
          <w:lang w:val="es-AR"/>
        </w:rPr>
        <w:t xml:space="preserve"> por el quejoso en la demanda de amparo</w:t>
      </w:r>
      <w:r w:rsidRPr="00232084">
        <w:rPr>
          <w:rFonts w:ascii="Palatino Linotype" w:eastAsia="Calibri" w:hAnsi="Palatino Linotype"/>
          <w:b/>
          <w:i/>
          <w:sz w:val="22"/>
          <w:lang w:val="es-AR"/>
        </w:rPr>
        <w:t>, sin hacer un pronunciamiento de fondo sobre la legalidad o ilegalidad de la sentencia reclamada</w:t>
      </w:r>
      <w:r w:rsidRPr="00232084">
        <w:rPr>
          <w:rFonts w:ascii="Palatino Linotype" w:eastAsia="Calibri" w:hAnsi="Palatino Linotype"/>
          <w:i/>
          <w:sz w:val="22"/>
          <w:lang w:val="es-AR"/>
        </w:rPr>
        <w:t xml:space="preserve">. </w:t>
      </w:r>
      <w:r w:rsidRPr="00232084">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232084">
        <w:rPr>
          <w:rFonts w:ascii="Palatino Linotype" w:eastAsia="Calibri" w:hAnsi="Palatino Linotype"/>
          <w:i/>
          <w:sz w:val="22"/>
          <w:lang w:val="es-AR"/>
        </w:rPr>
        <w:t>.</w:t>
      </w:r>
    </w:p>
    <w:p w:rsidR="00B23502" w:rsidRPr="00232084" w:rsidRDefault="00B23502" w:rsidP="00B23502">
      <w:pPr>
        <w:spacing w:line="360" w:lineRule="auto"/>
        <w:ind w:left="567" w:right="565"/>
        <w:contextualSpacing/>
        <w:jc w:val="both"/>
        <w:rPr>
          <w:rFonts w:ascii="Palatino Linotype" w:eastAsia="Calibri" w:hAnsi="Palatino Linotype"/>
          <w:i/>
          <w:sz w:val="22"/>
          <w:lang w:val="es-AR"/>
        </w:rPr>
      </w:pPr>
      <w:r w:rsidRPr="00232084">
        <w:rPr>
          <w:rFonts w:ascii="Palatino Linotype" w:eastAsia="Calibri" w:hAnsi="Palatino Linotype"/>
          <w:i/>
          <w:sz w:val="22"/>
          <w:lang w:val="es-AR"/>
        </w:rPr>
        <w:t>SÉPTIMO TRIBUNAL COLEGIADO EN MATERIA CIVIL DEL PRIMER CIRCUITO.</w:t>
      </w:r>
    </w:p>
    <w:p w:rsidR="00B23502" w:rsidRPr="00232084" w:rsidRDefault="00B23502" w:rsidP="00B23502">
      <w:pPr>
        <w:spacing w:line="360" w:lineRule="auto"/>
        <w:ind w:left="567" w:right="565"/>
        <w:contextualSpacing/>
        <w:jc w:val="both"/>
        <w:rPr>
          <w:rFonts w:ascii="Palatino Linotype" w:eastAsia="Calibri" w:hAnsi="Palatino Linotype"/>
          <w:b/>
          <w:i/>
          <w:sz w:val="22"/>
          <w:lang w:val="es-AR"/>
        </w:rPr>
      </w:pPr>
      <w:r w:rsidRPr="00232084">
        <w:rPr>
          <w:rFonts w:ascii="Palatino Linotype" w:eastAsia="Calibri" w:hAnsi="Palatino Linotype"/>
          <w:i/>
          <w:sz w:val="22"/>
          <w:lang w:val="es-AR"/>
        </w:rPr>
        <w:t xml:space="preserve">Amparo directo 699/2008. Mariana Leticia González </w:t>
      </w:r>
      <w:proofErr w:type="spellStart"/>
      <w:r w:rsidRPr="00232084">
        <w:rPr>
          <w:rFonts w:ascii="Palatino Linotype" w:eastAsia="Calibri" w:hAnsi="Palatino Linotype"/>
          <w:i/>
          <w:sz w:val="22"/>
          <w:lang w:val="es-AR"/>
        </w:rPr>
        <w:t>Steele</w:t>
      </w:r>
      <w:proofErr w:type="spellEnd"/>
      <w:r w:rsidRPr="00232084">
        <w:rPr>
          <w:rFonts w:ascii="Palatino Linotype" w:eastAsia="Calibri" w:hAnsi="Palatino Linotype"/>
          <w:i/>
          <w:sz w:val="22"/>
          <w:lang w:val="es-AR"/>
        </w:rPr>
        <w:t>. 13 de noviembre de 2008. Unanimidad de votos. Ponente: Sara Judith Montalvo Trejo. Secretario: Arnulfo Mateos García.</w:t>
      </w:r>
    </w:p>
    <w:p w:rsidR="00B23502" w:rsidRPr="00232084" w:rsidRDefault="00B23502" w:rsidP="00B23502">
      <w:pPr>
        <w:spacing w:line="360" w:lineRule="auto"/>
        <w:ind w:right="565"/>
        <w:contextualSpacing/>
        <w:jc w:val="both"/>
        <w:rPr>
          <w:rFonts w:ascii="Palatino Linotype" w:eastAsia="Calibri" w:hAnsi="Palatino Linotype"/>
          <w:b/>
          <w:i/>
          <w:sz w:val="22"/>
          <w:lang w:val="es-AR"/>
        </w:rPr>
      </w:pPr>
    </w:p>
    <w:p w:rsidR="00B23502" w:rsidRPr="00E91CBA" w:rsidRDefault="00B23502" w:rsidP="00B23502">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Consecuentemente, </w:t>
      </w:r>
      <w:r w:rsidRPr="00E91CBA">
        <w:rPr>
          <w:rFonts w:ascii="Palatino Linotype" w:eastAsia="Calibri" w:hAnsi="Palatino Linotype"/>
          <w:sz w:val="24"/>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B23502" w:rsidRPr="00E91CBA" w:rsidRDefault="00B23502" w:rsidP="00B23502">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B23502" w:rsidRPr="00E91CBA" w:rsidRDefault="00B23502" w:rsidP="00B23502">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sz w:val="24"/>
        </w:rPr>
        <w:t xml:space="preserve">Bajo </w:t>
      </w:r>
      <w:r w:rsidRPr="00E91CBA">
        <w:rPr>
          <w:rFonts w:ascii="Palatino Linotype" w:eastAsia="Calibri" w:hAnsi="Palatino Linotype"/>
          <w:sz w:val="24"/>
          <w:lang w:val="es-CO"/>
        </w:rPr>
        <w:t xml:space="preserve">ese tenor y en términos del artículo 186 fracción I este Pleno determina el </w:t>
      </w:r>
      <w:r w:rsidRPr="00E91CBA">
        <w:rPr>
          <w:rFonts w:ascii="Palatino Linotype" w:eastAsia="Calibri" w:hAnsi="Palatino Linotype"/>
          <w:b/>
          <w:sz w:val="24"/>
          <w:lang w:val="es-CO"/>
        </w:rPr>
        <w:t xml:space="preserve">SOBRESEIMIENTO </w:t>
      </w:r>
      <w:r w:rsidRPr="00E91CBA">
        <w:rPr>
          <w:rFonts w:ascii="Palatino Linotype" w:eastAsia="Calibri" w:hAnsi="Palatino Linotype"/>
          <w:sz w:val="24"/>
          <w:lang w:val="es-CO"/>
        </w:rPr>
        <w:t xml:space="preserve">del recurso de revisión </w:t>
      </w:r>
      <w:r w:rsidR="00DD08CB">
        <w:rPr>
          <w:rFonts w:ascii="Palatino Linotype" w:hAnsi="Palatino Linotype" w:cs="Arial"/>
          <w:b/>
          <w:bCs/>
          <w:sz w:val="24"/>
        </w:rPr>
        <w:t>02328</w:t>
      </w:r>
      <w:r w:rsidRPr="00E91CBA">
        <w:rPr>
          <w:rFonts w:ascii="Palatino Linotype" w:hAnsi="Palatino Linotype" w:cs="Arial"/>
          <w:b/>
          <w:bCs/>
          <w:sz w:val="24"/>
        </w:rPr>
        <w:t>/INFOEM/IP/RR/2023</w:t>
      </w:r>
      <w:r w:rsidRPr="00E91CBA">
        <w:rPr>
          <w:rFonts w:ascii="Palatino Linotype" w:eastAsia="Calibri" w:hAnsi="Palatino Linotype"/>
          <w:sz w:val="24"/>
          <w:lang w:val="es-CO"/>
        </w:rPr>
        <w:t>, toda vez que la afectación al derecho de acceso a la información pública establecido constitucionalmente a favor del Particular ha sido resarcida.</w:t>
      </w:r>
    </w:p>
    <w:p w:rsidR="00B23502" w:rsidRPr="00E91CBA" w:rsidRDefault="00B23502" w:rsidP="00B23502">
      <w:pPr>
        <w:pStyle w:val="Prrafodelista"/>
        <w:shd w:val="clear" w:color="auto" w:fill="FFFFFF"/>
        <w:tabs>
          <w:tab w:val="left" w:pos="284"/>
        </w:tabs>
        <w:spacing w:line="360" w:lineRule="auto"/>
        <w:ind w:left="0"/>
        <w:jc w:val="both"/>
        <w:rPr>
          <w:rFonts w:ascii="Palatino Linotype" w:hAnsi="Palatino Linotype" w:cs="Arial"/>
          <w:sz w:val="24"/>
        </w:rPr>
      </w:pPr>
    </w:p>
    <w:p w:rsidR="00B23502" w:rsidRDefault="00B23502" w:rsidP="00B23502">
      <w:pPr>
        <w:pStyle w:val="Sinespaciado"/>
        <w:numPr>
          <w:ilvl w:val="0"/>
          <w:numId w:val="1"/>
        </w:numPr>
        <w:tabs>
          <w:tab w:val="left" w:pos="284"/>
        </w:tabs>
        <w:spacing w:line="360" w:lineRule="auto"/>
        <w:ind w:left="0" w:firstLine="0"/>
        <w:contextualSpacing/>
        <w:jc w:val="both"/>
        <w:rPr>
          <w:rFonts w:ascii="Palatino Linotype" w:eastAsia="Calibri" w:hAnsi="Palatino Linotype"/>
        </w:rPr>
      </w:pPr>
      <w:r w:rsidRPr="00E91CBA">
        <w:rPr>
          <w:rFonts w:ascii="Palatino Linotype" w:eastAsia="Calibri" w:hAnsi="Palatino Linotype"/>
        </w:rPr>
        <w:t xml:space="preserve">Por lo anteriormente expuesto y fundado, este </w:t>
      </w:r>
      <w:r w:rsidRPr="00E91CBA">
        <w:rPr>
          <w:rFonts w:ascii="Palatino Linotype" w:eastAsia="Calibri" w:hAnsi="Palatino Linotype"/>
          <w:b/>
          <w:bCs/>
        </w:rPr>
        <w:t>ÓRGANO GARANTE</w:t>
      </w:r>
      <w:r w:rsidRPr="00E91CBA">
        <w:rPr>
          <w:rFonts w:ascii="Palatino Linotype" w:eastAsia="Calibri" w:hAnsi="Palatino Linotype"/>
        </w:rPr>
        <w:t xml:space="preserve"> emite los siguientes:</w:t>
      </w:r>
      <w:bookmarkEnd w:id="13"/>
      <w:bookmarkEnd w:id="14"/>
      <w:bookmarkEnd w:id="15"/>
      <w:bookmarkEnd w:id="16"/>
    </w:p>
    <w:p w:rsidR="00B23502" w:rsidRDefault="00B23502" w:rsidP="00B23502">
      <w:pPr>
        <w:pStyle w:val="Sinespaciado"/>
        <w:tabs>
          <w:tab w:val="left" w:pos="284"/>
        </w:tabs>
        <w:spacing w:line="360" w:lineRule="auto"/>
        <w:contextualSpacing/>
        <w:jc w:val="both"/>
        <w:rPr>
          <w:rFonts w:ascii="Palatino Linotype" w:eastAsia="Calibri" w:hAnsi="Palatino Linotype"/>
        </w:rPr>
      </w:pPr>
    </w:p>
    <w:p w:rsidR="00B23502" w:rsidRPr="00E91CBA" w:rsidRDefault="00B23502" w:rsidP="00B23502">
      <w:pPr>
        <w:pStyle w:val="Sinespaciado"/>
        <w:tabs>
          <w:tab w:val="left" w:pos="284"/>
        </w:tabs>
        <w:spacing w:line="360" w:lineRule="auto"/>
        <w:contextualSpacing/>
        <w:jc w:val="both"/>
        <w:rPr>
          <w:rFonts w:ascii="Palatino Linotype" w:eastAsia="Calibri" w:hAnsi="Palatino Linotype"/>
        </w:rPr>
      </w:pPr>
    </w:p>
    <w:p w:rsidR="00B23502" w:rsidRPr="00232084" w:rsidRDefault="00B23502" w:rsidP="00B23502">
      <w:pPr>
        <w:spacing w:line="360" w:lineRule="auto"/>
        <w:jc w:val="center"/>
        <w:rPr>
          <w:rFonts w:ascii="Palatino Linotype" w:hAnsi="Palatino Linotype"/>
          <w:b/>
          <w:lang w:val="es-ES"/>
        </w:rPr>
      </w:pPr>
      <w:r w:rsidRPr="00232084">
        <w:rPr>
          <w:rFonts w:ascii="Palatino Linotype" w:hAnsi="Palatino Linotype"/>
          <w:b/>
          <w:lang w:val="es-ES"/>
        </w:rPr>
        <w:t>R E S O L U T I V O S</w:t>
      </w:r>
    </w:p>
    <w:p w:rsidR="00B23502" w:rsidRPr="00232084" w:rsidRDefault="00B23502" w:rsidP="00B23502">
      <w:pPr>
        <w:pStyle w:val="Sinespaciado"/>
        <w:spacing w:line="360" w:lineRule="auto"/>
        <w:jc w:val="both"/>
        <w:rPr>
          <w:rFonts w:ascii="Palatino Linotype" w:hAnsi="Palatino Linotype"/>
          <w:szCs w:val="20"/>
        </w:rPr>
      </w:pPr>
    </w:p>
    <w:p w:rsidR="00B23502" w:rsidRPr="00C372B3" w:rsidRDefault="00B23502" w:rsidP="00B23502">
      <w:pPr>
        <w:spacing w:line="360" w:lineRule="auto"/>
        <w:jc w:val="both"/>
        <w:rPr>
          <w:rFonts w:ascii="Palatino Linotype" w:eastAsiaTheme="minorHAnsi" w:hAnsi="Palatino Linotype" w:cstheme="minorBidi"/>
          <w:szCs w:val="20"/>
          <w:lang w:eastAsia="en-US"/>
        </w:rPr>
      </w:pPr>
      <w:r w:rsidRPr="00C372B3">
        <w:rPr>
          <w:rFonts w:ascii="Palatino Linotype" w:eastAsiaTheme="minorHAnsi" w:hAnsi="Palatino Linotype" w:cstheme="minorBidi"/>
          <w:b/>
          <w:szCs w:val="20"/>
          <w:lang w:eastAsia="en-US"/>
        </w:rPr>
        <w:t xml:space="preserve">PRIMERO. </w:t>
      </w:r>
      <w:r w:rsidRPr="00CB6A49">
        <w:rPr>
          <w:rFonts w:ascii="Palatino Linotype" w:eastAsia="MS Mincho" w:hAnsi="Palatino Linotype"/>
          <w:szCs w:val="20"/>
          <w:lang w:val="es-ES_tradnl" w:eastAsia="es-ES"/>
        </w:rPr>
        <w:t xml:space="preserve">Se </w:t>
      </w:r>
      <w:r w:rsidRPr="00CB6A49">
        <w:rPr>
          <w:rFonts w:ascii="Palatino Linotype" w:eastAsia="MS Mincho" w:hAnsi="Palatino Linotype"/>
          <w:b/>
          <w:szCs w:val="20"/>
          <w:lang w:val="es-ES_tradnl" w:eastAsia="es-ES"/>
        </w:rPr>
        <w:t>SOBRESEE</w:t>
      </w:r>
      <w:r w:rsidRPr="00CB6A49">
        <w:rPr>
          <w:rFonts w:ascii="Palatino Linotype" w:eastAsia="MS Mincho" w:hAnsi="Palatino Linotype"/>
          <w:szCs w:val="20"/>
          <w:lang w:val="es-ES_tradnl" w:eastAsia="es-ES"/>
        </w:rPr>
        <w:t xml:space="preserve"> el recurso de revisión número </w:t>
      </w:r>
      <w:r w:rsidR="00DD08CB">
        <w:rPr>
          <w:rFonts w:ascii="Palatino Linotype" w:eastAsia="MS Mincho" w:hAnsi="Palatino Linotype"/>
          <w:b/>
          <w:szCs w:val="20"/>
          <w:lang w:val="es-ES_tradnl" w:eastAsia="es-ES"/>
        </w:rPr>
        <w:t>02328</w:t>
      </w:r>
      <w:r>
        <w:rPr>
          <w:rFonts w:ascii="Palatino Linotype" w:eastAsia="MS Mincho" w:hAnsi="Palatino Linotype"/>
          <w:b/>
          <w:szCs w:val="20"/>
          <w:lang w:val="es-ES_tradnl" w:eastAsia="es-ES"/>
        </w:rPr>
        <w:t>/INFOEM/IP/RR/2023</w:t>
      </w:r>
      <w:r w:rsidR="009D255A">
        <w:rPr>
          <w:rFonts w:ascii="Palatino Linotype" w:eastAsia="MS Mincho" w:hAnsi="Palatino Linotype"/>
          <w:b/>
          <w:szCs w:val="20"/>
          <w:lang w:val="es-ES_tradnl" w:eastAsia="es-ES"/>
        </w:rPr>
        <w:t>,</w:t>
      </w:r>
      <w:r w:rsidRPr="00CB6A49">
        <w:rPr>
          <w:rFonts w:ascii="Palatino Linotype" w:eastAsia="MS Mincho" w:hAnsi="Palatino Linotype"/>
          <w:b/>
          <w:szCs w:val="20"/>
          <w:lang w:val="es-ES_tradnl" w:eastAsia="es-ES"/>
        </w:rPr>
        <w:t xml:space="preserve"> </w:t>
      </w:r>
      <w:r w:rsidRPr="00CB6A49">
        <w:rPr>
          <w:rFonts w:ascii="Palatino Linotype" w:eastAsia="MS Mincho" w:hAnsi="Palatino Linotype"/>
          <w:bCs/>
          <w:szCs w:val="20"/>
          <w:lang w:val="es-ES_tradnl" w:eastAsia="es-ES"/>
        </w:rPr>
        <w:t>conforme al artículo 192 fracción III de la Ley de Transparencia y Acceso a la Información Pública del Estado de México y Municipios,</w:t>
      </w:r>
      <w:r w:rsidRPr="00CB6A49">
        <w:rPr>
          <w:rFonts w:ascii="Palatino Linotype" w:eastAsia="MS Mincho" w:hAnsi="Palatino Linotype"/>
          <w:szCs w:val="20"/>
          <w:lang w:val="es-ES_tradnl" w:eastAsia="es-ES"/>
        </w:rPr>
        <w:t xml:space="preserve"> porque al </w:t>
      </w:r>
      <w:r w:rsidRPr="00CB6A49">
        <w:rPr>
          <w:rFonts w:ascii="Palatino Linotype" w:eastAsia="MS Mincho" w:hAnsi="Palatino Linotype"/>
          <w:b/>
          <w:bCs/>
          <w:szCs w:val="20"/>
          <w:lang w:val="es-ES_tradnl" w:eastAsia="es-ES"/>
        </w:rPr>
        <w:t>modificar la respuesta a través del informe justificado y atender lo solicitado</w:t>
      </w:r>
      <w:r w:rsidRPr="00CB6A49">
        <w:rPr>
          <w:rFonts w:ascii="Palatino Linotype" w:eastAsia="MS Mincho" w:hAnsi="Palatino Linotype"/>
          <w:szCs w:val="20"/>
          <w:lang w:val="es-ES_tradnl" w:eastAsia="es-ES"/>
        </w:rPr>
        <w:t xml:space="preserve">, el recurso de revisión quedó sin materia en términos del Considerando </w:t>
      </w:r>
      <w:r w:rsidRPr="00CB6A49">
        <w:rPr>
          <w:rFonts w:ascii="Palatino Linotype" w:eastAsia="MS Mincho" w:hAnsi="Palatino Linotype"/>
          <w:b/>
          <w:szCs w:val="20"/>
          <w:lang w:val="es-ES_tradnl" w:eastAsia="es-ES"/>
        </w:rPr>
        <w:t>TERCERO</w:t>
      </w:r>
      <w:r w:rsidRPr="00CB6A49">
        <w:rPr>
          <w:rFonts w:ascii="Palatino Linotype" w:eastAsia="MS Mincho" w:hAnsi="Palatino Linotype"/>
          <w:szCs w:val="20"/>
          <w:lang w:val="es-ES_tradnl" w:eastAsia="es-ES"/>
        </w:rPr>
        <w:t xml:space="preserve"> de la presente resolución.</w:t>
      </w:r>
    </w:p>
    <w:p w:rsidR="00B23502" w:rsidRPr="00C372B3" w:rsidRDefault="00B23502" w:rsidP="00B23502">
      <w:pPr>
        <w:spacing w:line="360" w:lineRule="auto"/>
        <w:jc w:val="both"/>
        <w:rPr>
          <w:rFonts w:ascii="Palatino Linotype" w:eastAsiaTheme="minorHAnsi" w:hAnsi="Palatino Linotype" w:cstheme="minorBidi"/>
          <w:sz w:val="22"/>
          <w:szCs w:val="20"/>
          <w:lang w:eastAsia="en-US"/>
        </w:rPr>
      </w:pPr>
    </w:p>
    <w:p w:rsidR="00B23502" w:rsidRPr="00C372B3" w:rsidRDefault="00B23502" w:rsidP="00B23502">
      <w:pPr>
        <w:spacing w:line="360" w:lineRule="auto"/>
        <w:jc w:val="both"/>
        <w:rPr>
          <w:rFonts w:ascii="Palatino Linotype" w:eastAsia="Calibri" w:hAnsi="Palatino Linotype" w:cs="Arial"/>
          <w:b/>
          <w:bCs/>
          <w:lang w:val="es-ES" w:eastAsia="en-US"/>
        </w:rPr>
      </w:pPr>
      <w:r w:rsidRPr="00C372B3">
        <w:rPr>
          <w:rFonts w:ascii="Palatino Linotype" w:eastAsia="Calibri" w:hAnsi="Palatino Linotype" w:cs="Arial"/>
          <w:b/>
          <w:bCs/>
          <w:lang w:val="es-ES" w:eastAsia="en-US"/>
        </w:rPr>
        <w:lastRenderedPageBreak/>
        <w:t xml:space="preserve">SEGUNDO. REMÍTASE </w:t>
      </w:r>
      <w:r w:rsidRPr="00C372B3">
        <w:rPr>
          <w:rFonts w:ascii="Palatino Linotype" w:eastAsia="Calibri" w:hAnsi="Palatino Linotype" w:cs="Arial"/>
          <w:bCs/>
          <w:lang w:val="es-ES" w:eastAsia="en-US"/>
        </w:rPr>
        <w:t xml:space="preserve">a través del Sistema de Acceso a la Información Mexiquense </w:t>
      </w:r>
      <w:r w:rsidRPr="00C372B3">
        <w:rPr>
          <w:rFonts w:ascii="Palatino Linotype" w:eastAsia="Calibri" w:hAnsi="Palatino Linotype" w:cs="Arial"/>
          <w:b/>
          <w:bCs/>
          <w:lang w:val="es-ES" w:eastAsia="en-US"/>
        </w:rPr>
        <w:t>(SAIMEX)</w:t>
      </w:r>
      <w:r w:rsidR="009D255A">
        <w:rPr>
          <w:rFonts w:ascii="Palatino Linotype" w:eastAsia="Calibri" w:hAnsi="Palatino Linotype" w:cs="Arial"/>
          <w:b/>
          <w:bCs/>
          <w:lang w:val="es-ES" w:eastAsia="en-US"/>
        </w:rPr>
        <w:t>,</w:t>
      </w:r>
      <w:r w:rsidRPr="00C372B3">
        <w:rPr>
          <w:rFonts w:ascii="Palatino Linotype" w:eastAsia="Calibri" w:hAnsi="Palatino Linotype" w:cs="Arial"/>
          <w:b/>
          <w:bCs/>
          <w:lang w:val="es-ES" w:eastAsia="en-US"/>
        </w:rPr>
        <w:t xml:space="preserve"> </w:t>
      </w:r>
      <w:r w:rsidRPr="00C372B3">
        <w:rPr>
          <w:rFonts w:ascii="Palatino Linotype" w:eastAsia="Calibri" w:hAnsi="Palatino Linotype" w:cs="Arial"/>
          <w:bCs/>
          <w:lang w:val="es-ES" w:eastAsia="en-US"/>
        </w:rPr>
        <w:t>la presente resolución al Titular de la Unidad de Transparencia del</w:t>
      </w:r>
      <w:r w:rsidRPr="00C372B3">
        <w:rPr>
          <w:rFonts w:ascii="Palatino Linotype" w:eastAsia="Calibri" w:hAnsi="Palatino Linotype" w:cs="Arial"/>
          <w:b/>
          <w:bCs/>
          <w:lang w:val="es-ES" w:eastAsia="en-US"/>
        </w:rPr>
        <w:t xml:space="preserve"> SUJETO OBLIGADO. </w:t>
      </w:r>
    </w:p>
    <w:p w:rsidR="00B23502" w:rsidRPr="00C372B3" w:rsidRDefault="00B23502" w:rsidP="00B23502">
      <w:pPr>
        <w:tabs>
          <w:tab w:val="left" w:pos="3263"/>
        </w:tabs>
        <w:spacing w:line="360" w:lineRule="auto"/>
        <w:jc w:val="both"/>
        <w:rPr>
          <w:rFonts w:ascii="Palatino Linotype" w:eastAsia="Palatino Linotype" w:hAnsi="Palatino Linotype" w:cs="Palatino Linotype"/>
          <w:b/>
          <w:lang w:eastAsia="en-US"/>
        </w:rPr>
      </w:pPr>
      <w:r w:rsidRPr="00C372B3">
        <w:rPr>
          <w:rFonts w:ascii="Palatino Linotype" w:eastAsia="Palatino Linotype" w:hAnsi="Palatino Linotype" w:cs="Palatino Linotype"/>
          <w:b/>
          <w:lang w:eastAsia="en-US"/>
        </w:rPr>
        <w:tab/>
      </w:r>
    </w:p>
    <w:p w:rsidR="00B23502" w:rsidRPr="00C372B3" w:rsidRDefault="00B23502" w:rsidP="00B23502">
      <w:pPr>
        <w:spacing w:line="360" w:lineRule="auto"/>
        <w:jc w:val="both"/>
        <w:rPr>
          <w:rFonts w:ascii="Palatino Linotype" w:hAnsi="Palatino Linotype"/>
          <w:color w:val="222222"/>
          <w:lang w:val="es-ES"/>
        </w:rPr>
      </w:pPr>
      <w:r w:rsidRPr="00C372B3">
        <w:rPr>
          <w:rFonts w:ascii="Palatino Linotype" w:hAnsi="Palatino Linotype" w:cs="Arial"/>
          <w:b/>
          <w:lang w:eastAsia="en-US"/>
        </w:rPr>
        <w:t xml:space="preserve">TERCERO. </w:t>
      </w:r>
      <w:r w:rsidRPr="00C372B3">
        <w:rPr>
          <w:rFonts w:ascii="Palatino Linotype" w:hAnsi="Palatino Linotype"/>
          <w:b/>
          <w:bCs/>
          <w:lang w:val="es-ES" w:eastAsia="en-US"/>
        </w:rPr>
        <w:t xml:space="preserve">Notifíquese </w:t>
      </w:r>
      <w:r w:rsidRPr="00C372B3">
        <w:rPr>
          <w:rFonts w:ascii="Palatino Linotype" w:hAnsi="Palatino Linotype"/>
          <w:bCs/>
          <w:lang w:val="es-ES" w:eastAsia="en-US"/>
        </w:rPr>
        <w:t xml:space="preserve">al </w:t>
      </w:r>
      <w:r w:rsidRPr="00C372B3">
        <w:rPr>
          <w:rFonts w:ascii="Palatino Linotype" w:hAnsi="Palatino Linotype"/>
          <w:b/>
          <w:bCs/>
          <w:lang w:val="es-ES" w:eastAsia="en-US"/>
        </w:rPr>
        <w:t>RECURRENTE</w:t>
      </w:r>
      <w:r w:rsidRPr="00C372B3">
        <w:rPr>
          <w:rFonts w:ascii="Palatino Linotype" w:eastAsiaTheme="minorHAnsi" w:hAnsi="Palatino Linotype" w:cstheme="minorBidi"/>
          <w:lang w:eastAsia="en-US"/>
        </w:rPr>
        <w:t xml:space="preserve"> </w:t>
      </w:r>
      <w:r w:rsidRPr="00C372B3">
        <w:rPr>
          <w:rFonts w:ascii="Palatino Linotype" w:hAnsi="Palatino Linotype"/>
          <w:lang w:val="es-ES"/>
        </w:rPr>
        <w:t>la presente resolución</w:t>
      </w:r>
      <w:r>
        <w:rPr>
          <w:rFonts w:ascii="Palatino Linotype" w:hAnsi="Palatino Linotype"/>
          <w:lang w:val="es-ES"/>
        </w:rPr>
        <w:t xml:space="preserve"> vía SAIMEX.</w:t>
      </w:r>
    </w:p>
    <w:p w:rsidR="00B23502" w:rsidRPr="00C372B3" w:rsidRDefault="00B23502" w:rsidP="00B23502">
      <w:pPr>
        <w:spacing w:line="360" w:lineRule="auto"/>
        <w:jc w:val="both"/>
        <w:rPr>
          <w:rFonts w:ascii="Palatino Linotype" w:hAnsi="Palatino Linotype"/>
          <w:color w:val="222222"/>
          <w:lang w:val="es-ES"/>
        </w:rPr>
      </w:pPr>
    </w:p>
    <w:p w:rsidR="00B23502" w:rsidRPr="00C372B3" w:rsidRDefault="00B23502" w:rsidP="00B23502">
      <w:pPr>
        <w:spacing w:line="360" w:lineRule="auto"/>
        <w:jc w:val="both"/>
        <w:rPr>
          <w:rFonts w:ascii="Palatino Linotype" w:eastAsia="MS Mincho" w:hAnsi="Palatino Linotype"/>
          <w:lang w:val="es-ES" w:eastAsia="es-ES"/>
        </w:rPr>
      </w:pPr>
      <w:r w:rsidRPr="00C372B3">
        <w:rPr>
          <w:rFonts w:ascii="Palatino Linotype" w:eastAsia="MS Mincho" w:hAnsi="Palatino Linotype"/>
          <w:b/>
          <w:lang w:eastAsia="es-ES"/>
        </w:rPr>
        <w:t>CUARTO.</w:t>
      </w:r>
      <w:r w:rsidRPr="00C372B3">
        <w:rPr>
          <w:rFonts w:ascii="Palatino Linotype" w:eastAsia="MS Mincho" w:hAnsi="Palatino Linotype"/>
          <w:lang w:eastAsia="es-ES"/>
        </w:rPr>
        <w:t xml:space="preserve"> </w:t>
      </w:r>
      <w:r w:rsidRPr="00C372B3">
        <w:rPr>
          <w:rFonts w:ascii="Palatino Linotype" w:eastAsia="MS Mincho" w:hAnsi="Palatino Linotype"/>
          <w:lang w:val="es-ES" w:eastAsia="es-ES"/>
        </w:rPr>
        <w:t xml:space="preserve">Se hace del conocimiento del </w:t>
      </w:r>
      <w:r w:rsidRPr="00C372B3">
        <w:rPr>
          <w:rFonts w:ascii="Palatino Linotype" w:hAnsi="Palatino Linotype"/>
          <w:b/>
          <w:bCs/>
          <w:lang w:val="es-ES" w:eastAsia="es-ES"/>
        </w:rPr>
        <w:t>RECURRENTE</w:t>
      </w:r>
      <w:r w:rsidRPr="00C372B3">
        <w:rPr>
          <w:rFonts w:ascii="Palatino Linotype" w:eastAsiaTheme="minorEastAsia" w:hAnsi="Palatino Linotype" w:cstheme="minorBidi"/>
          <w:lang w:val="es-ES_tradnl" w:eastAsia="es-ES"/>
        </w:rPr>
        <w:t xml:space="preserve">  </w:t>
      </w:r>
      <w:r w:rsidRPr="00C372B3">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C372B3">
        <w:rPr>
          <w:rFonts w:ascii="Palatino Linotype" w:eastAsia="MS Mincho" w:hAnsi="Palatino Linotype"/>
          <w:bCs/>
          <w:lang w:val="es-ES" w:eastAsia="es-ES"/>
        </w:rPr>
        <w:t>vía juicio de amparo</w:t>
      </w:r>
      <w:r w:rsidRPr="00C372B3">
        <w:rPr>
          <w:rFonts w:ascii="Palatino Linotype" w:eastAsia="MS Mincho" w:hAnsi="Palatino Linotype"/>
          <w:lang w:val="es-ES" w:eastAsia="es-ES"/>
        </w:rPr>
        <w:t> en los términos de las leyes aplicables.</w:t>
      </w:r>
    </w:p>
    <w:p w:rsidR="00B23502" w:rsidRPr="00232084" w:rsidRDefault="00B23502" w:rsidP="00B23502">
      <w:pPr>
        <w:spacing w:line="360" w:lineRule="auto"/>
        <w:jc w:val="both"/>
        <w:rPr>
          <w:rFonts w:ascii="Palatino Linotype" w:eastAsia="MS Mincho" w:hAnsi="Palatino Linotype"/>
          <w:lang w:val="es-ES"/>
        </w:rPr>
      </w:pPr>
    </w:p>
    <w:p w:rsidR="009D255A" w:rsidRPr="009D255A" w:rsidRDefault="009D255A" w:rsidP="009D255A">
      <w:pPr>
        <w:spacing w:before="240" w:after="240" w:line="360" w:lineRule="auto"/>
        <w:ind w:firstLine="1"/>
        <w:jc w:val="both"/>
        <w:rPr>
          <w:rFonts w:ascii="Palatino Linotype" w:hAnsi="Palatino Linotype"/>
          <w:smallCaps/>
          <w:color w:val="000000" w:themeColor="text1"/>
        </w:rPr>
      </w:pPr>
      <w:bookmarkStart w:id="17" w:name="_Hlk129792997"/>
      <w:bookmarkEnd w:id="10"/>
      <w:bookmarkEnd w:id="11"/>
      <w:bookmarkEnd w:id="12"/>
      <w:r w:rsidRPr="009D255A">
        <w:rPr>
          <w:rStyle w:val="Referenciasutil"/>
          <w:rFonts w:ascii="Palatino Linotype" w:eastAsiaTheme="majorEastAsia"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SEGUNDA SESIÓN ORDINARIA CELEBRADA EL CATORCE (14) DE JUNIO DE DOS MIL VEINTITRÉS, ANTE EL SECRETARIO TÉCNICO DEL PLENO ALEXIS TAPIA RAMÍREZ. </w:t>
      </w:r>
      <w:bookmarkEnd w:id="17"/>
    </w:p>
    <w:p w:rsidR="006C5CB6" w:rsidRPr="00991BA9" w:rsidRDefault="006C5CB6" w:rsidP="006C5CB6">
      <w:pPr>
        <w:spacing w:line="360" w:lineRule="auto"/>
        <w:ind w:right="49"/>
        <w:jc w:val="both"/>
        <w:rPr>
          <w:rFonts w:ascii="Palatino Linotype" w:eastAsiaTheme="minorEastAsia" w:hAnsi="Palatino Linotype" w:cs="Arial"/>
          <w:lang w:val="es-ES_tradnl" w:eastAsia="es-ES"/>
        </w:rPr>
      </w:pPr>
    </w:p>
    <w:p w:rsidR="006C5CB6" w:rsidRPr="00991BA9" w:rsidRDefault="006C5CB6" w:rsidP="006C5CB6">
      <w:pPr>
        <w:spacing w:line="360" w:lineRule="auto"/>
        <w:ind w:right="49"/>
        <w:jc w:val="both"/>
        <w:rPr>
          <w:rFonts w:ascii="Palatino Linotype" w:eastAsiaTheme="minorEastAsia" w:hAnsi="Palatino Linotype" w:cs="Arial"/>
          <w:lang w:val="es-ES_tradnl" w:eastAsia="es-ES"/>
        </w:rPr>
      </w:pPr>
    </w:p>
    <w:p w:rsidR="006C5CB6" w:rsidRPr="00991BA9" w:rsidRDefault="006C5CB6" w:rsidP="006C5CB6">
      <w:pPr>
        <w:spacing w:line="360" w:lineRule="auto"/>
        <w:ind w:right="49"/>
        <w:jc w:val="both"/>
        <w:rPr>
          <w:rFonts w:ascii="Palatino Linotype" w:eastAsiaTheme="minorEastAsia" w:hAnsi="Palatino Linotype" w:cs="Arial"/>
          <w:lang w:val="es-ES_tradnl" w:eastAsia="es-ES"/>
        </w:rPr>
      </w:pPr>
    </w:p>
    <w:p w:rsidR="006C5CB6" w:rsidRPr="00991BA9" w:rsidRDefault="006C5CB6" w:rsidP="006C5CB6">
      <w:pPr>
        <w:spacing w:line="360" w:lineRule="auto"/>
        <w:ind w:right="49"/>
        <w:jc w:val="both"/>
        <w:rPr>
          <w:rFonts w:ascii="Palatino Linotype" w:eastAsiaTheme="minorEastAsia" w:hAnsi="Palatino Linotype" w:cs="Arial"/>
          <w:lang w:val="es-ES_tradnl" w:eastAsia="es-ES"/>
        </w:rPr>
      </w:pPr>
    </w:p>
    <w:p w:rsidR="006C5CB6" w:rsidRPr="00991BA9" w:rsidRDefault="006C5CB6" w:rsidP="006C5CB6">
      <w:pPr>
        <w:spacing w:line="360" w:lineRule="auto"/>
        <w:ind w:right="49"/>
        <w:jc w:val="both"/>
        <w:rPr>
          <w:rFonts w:ascii="Palatino Linotype" w:eastAsiaTheme="minorEastAsia" w:hAnsi="Palatino Linotype" w:cs="Arial"/>
          <w:lang w:val="es-ES_tradnl" w:eastAsia="es-ES"/>
        </w:rPr>
      </w:pPr>
    </w:p>
    <w:p w:rsidR="006C5CB6" w:rsidRPr="00991BA9" w:rsidRDefault="006C5CB6" w:rsidP="006C5CB6">
      <w:pPr>
        <w:spacing w:line="360" w:lineRule="auto"/>
        <w:ind w:right="49"/>
        <w:jc w:val="both"/>
        <w:rPr>
          <w:rFonts w:ascii="Palatino Linotype" w:eastAsiaTheme="minorEastAsia" w:hAnsi="Palatino Linotype" w:cs="Arial"/>
          <w:lang w:val="es-ES_tradnl" w:eastAsia="es-ES"/>
        </w:rPr>
      </w:pPr>
    </w:p>
    <w:p w:rsidR="006C5CB6" w:rsidRPr="00991BA9" w:rsidRDefault="006C5CB6" w:rsidP="006C5CB6">
      <w:pPr>
        <w:spacing w:line="360" w:lineRule="auto"/>
        <w:ind w:right="49"/>
        <w:jc w:val="both"/>
        <w:rPr>
          <w:rFonts w:ascii="Palatino Linotype" w:eastAsiaTheme="minorEastAsia" w:hAnsi="Palatino Linotype" w:cs="Arial"/>
          <w:lang w:val="es-ES_tradnl" w:eastAsia="es-ES"/>
        </w:rPr>
      </w:pPr>
    </w:p>
    <w:p w:rsidR="006C5CB6" w:rsidRPr="00991BA9" w:rsidRDefault="006C5CB6" w:rsidP="006C5CB6">
      <w:pPr>
        <w:spacing w:line="360" w:lineRule="auto"/>
        <w:ind w:right="49"/>
        <w:jc w:val="both"/>
        <w:rPr>
          <w:rFonts w:ascii="Palatino Linotype" w:eastAsiaTheme="minorEastAsia" w:hAnsi="Palatino Linotype" w:cs="Arial"/>
          <w:lang w:val="es-ES_tradnl" w:eastAsia="es-ES"/>
        </w:rPr>
      </w:pPr>
    </w:p>
    <w:p w:rsidR="006C5CB6" w:rsidRPr="00991BA9" w:rsidRDefault="006C5CB6" w:rsidP="006C5CB6">
      <w:pPr>
        <w:spacing w:line="360" w:lineRule="auto"/>
        <w:rPr>
          <w:rFonts w:ascii="Palatino Linotype" w:hAnsi="Palatino Linotype"/>
        </w:rPr>
      </w:pPr>
    </w:p>
    <w:p w:rsidR="006C5CB6" w:rsidRDefault="006C5CB6" w:rsidP="006C5CB6"/>
    <w:p w:rsidR="006C5CB6" w:rsidRDefault="006C5CB6" w:rsidP="006C5CB6"/>
    <w:p w:rsidR="004E1710" w:rsidRDefault="001D00E6"/>
    <w:sectPr w:rsidR="004E1710" w:rsidSect="003F2244">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0E6" w:rsidRDefault="001D00E6" w:rsidP="006C5CB6">
      <w:r>
        <w:separator/>
      </w:r>
    </w:p>
  </w:endnote>
  <w:endnote w:type="continuationSeparator" w:id="0">
    <w:p w:rsidR="001D00E6" w:rsidRDefault="001D00E6" w:rsidP="006C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244" w:rsidRDefault="0038292F">
    <w:pPr>
      <w:pStyle w:val="Piedepgina"/>
      <w:jc w:val="right"/>
    </w:pPr>
    <w:r>
      <w:rPr>
        <w:lang w:val="es-ES"/>
      </w:rPr>
      <w:t xml:space="preserve">Página </w:t>
    </w:r>
    <w:r>
      <w:rPr>
        <w:b/>
        <w:bCs/>
      </w:rPr>
      <w:fldChar w:fldCharType="begin"/>
    </w:r>
    <w:r>
      <w:rPr>
        <w:b/>
        <w:bCs/>
      </w:rPr>
      <w:instrText>PAGE</w:instrText>
    </w:r>
    <w:r>
      <w:rPr>
        <w:b/>
        <w:bCs/>
      </w:rPr>
      <w:fldChar w:fldCharType="separate"/>
    </w:r>
    <w:r w:rsidR="00AD15F3">
      <w:rPr>
        <w:b/>
        <w:bCs/>
        <w:noProof/>
      </w:rPr>
      <w:t>16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D15F3">
      <w:rPr>
        <w:b/>
        <w:bCs/>
        <w:noProof/>
      </w:rPr>
      <w:t>18</w:t>
    </w:r>
    <w:r>
      <w:rPr>
        <w:b/>
        <w:bCs/>
      </w:rPr>
      <w:fldChar w:fldCharType="end"/>
    </w:r>
  </w:p>
  <w:p w:rsidR="003F2244" w:rsidRDefault="001D00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244" w:rsidRDefault="0038292F">
    <w:pPr>
      <w:pStyle w:val="Piedepgina"/>
      <w:jc w:val="right"/>
    </w:pPr>
    <w:r>
      <w:rPr>
        <w:lang w:val="es-ES"/>
      </w:rPr>
      <w:t xml:space="preserve">Página </w:t>
    </w:r>
    <w:r>
      <w:rPr>
        <w:b/>
        <w:bCs/>
      </w:rPr>
      <w:fldChar w:fldCharType="begin"/>
    </w:r>
    <w:r>
      <w:rPr>
        <w:b/>
        <w:bCs/>
      </w:rPr>
      <w:instrText>PAGE</w:instrText>
    </w:r>
    <w:r>
      <w:rPr>
        <w:b/>
        <w:bCs/>
      </w:rPr>
      <w:fldChar w:fldCharType="separate"/>
    </w:r>
    <w:r w:rsidR="00AD15F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D15F3">
      <w:rPr>
        <w:b/>
        <w:bCs/>
        <w:noProof/>
      </w:rPr>
      <w:t>18</w:t>
    </w:r>
    <w:r>
      <w:rPr>
        <w:b/>
        <w:bCs/>
      </w:rPr>
      <w:fldChar w:fldCharType="end"/>
    </w:r>
  </w:p>
  <w:p w:rsidR="003F2244" w:rsidRDefault="001D00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0E6" w:rsidRDefault="001D00E6" w:rsidP="006C5CB6">
      <w:r>
        <w:separator/>
      </w:r>
    </w:p>
  </w:footnote>
  <w:footnote w:type="continuationSeparator" w:id="0">
    <w:p w:rsidR="001D00E6" w:rsidRDefault="001D00E6" w:rsidP="006C5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244" w:rsidRDefault="001D00E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3F2244" w:rsidRPr="005C106F" w:rsidTr="003F2244">
      <w:trPr>
        <w:trHeight w:val="1435"/>
      </w:trPr>
      <w:tc>
        <w:tcPr>
          <w:tcW w:w="2268" w:type="dxa"/>
          <w:shd w:val="clear" w:color="auto" w:fill="auto"/>
        </w:tcPr>
        <w:p w:rsidR="003F2244" w:rsidRPr="005C106F" w:rsidRDefault="001D00E6" w:rsidP="003F2244">
          <w:pPr>
            <w:tabs>
              <w:tab w:val="right" w:pos="4273"/>
            </w:tabs>
            <w:rPr>
              <w:rFonts w:ascii="Garamond" w:eastAsia="Calibri" w:hAnsi="Garamond"/>
              <w:sz w:val="16"/>
              <w:szCs w:val="16"/>
              <w:lang w:eastAsia="en-US"/>
            </w:rPr>
          </w:pPr>
        </w:p>
      </w:tc>
      <w:tc>
        <w:tcPr>
          <w:tcW w:w="6946" w:type="dxa"/>
          <w:shd w:val="clear" w:color="auto" w:fill="auto"/>
        </w:tcPr>
        <w:p w:rsidR="003F2244" w:rsidRDefault="001D00E6" w:rsidP="003F2244"/>
        <w:tbl>
          <w:tblPr>
            <w:tblW w:w="6662" w:type="dxa"/>
            <w:tblInd w:w="40" w:type="dxa"/>
            <w:tblLayout w:type="fixed"/>
            <w:tblLook w:val="0420" w:firstRow="1" w:lastRow="0" w:firstColumn="0" w:lastColumn="0" w:noHBand="0" w:noVBand="1"/>
          </w:tblPr>
          <w:tblGrid>
            <w:gridCol w:w="2551"/>
            <w:gridCol w:w="4111"/>
          </w:tblGrid>
          <w:tr w:rsidR="003F2244" w:rsidTr="003F2244">
            <w:trPr>
              <w:trHeight w:val="150"/>
            </w:trPr>
            <w:tc>
              <w:tcPr>
                <w:tcW w:w="2551" w:type="dxa"/>
                <w:shd w:val="clear" w:color="auto" w:fill="auto"/>
              </w:tcPr>
              <w:p w:rsidR="003F2244" w:rsidRPr="00020E73" w:rsidRDefault="0038292F" w:rsidP="003F224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3F2244" w:rsidRPr="00020E73" w:rsidRDefault="006C5CB6" w:rsidP="003F2244">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02328</w:t>
                </w:r>
                <w:r w:rsidR="0038292F">
                  <w:rPr>
                    <w:rFonts w:ascii="Palatino Linotype" w:eastAsia="Calibri" w:hAnsi="Palatino Linotype" w:cs="Tahoma"/>
                    <w:bCs/>
                    <w:sz w:val="22"/>
                    <w:szCs w:val="22"/>
                    <w:lang w:eastAsia="en-US"/>
                  </w:rPr>
                  <w:t>/INFOEM/IP/RR/2023</w:t>
                </w:r>
              </w:p>
            </w:tc>
          </w:tr>
          <w:tr w:rsidR="003F2244" w:rsidTr="003F2244">
            <w:trPr>
              <w:trHeight w:val="295"/>
            </w:trPr>
            <w:tc>
              <w:tcPr>
                <w:tcW w:w="2551" w:type="dxa"/>
                <w:shd w:val="clear" w:color="auto" w:fill="auto"/>
              </w:tcPr>
              <w:p w:rsidR="003F2244" w:rsidRPr="00020E73" w:rsidRDefault="0038292F" w:rsidP="003F224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3F2244" w:rsidRPr="006C5CB6" w:rsidRDefault="006C5CB6" w:rsidP="003F2244">
                <w:pPr>
                  <w:tabs>
                    <w:tab w:val="left" w:pos="2834"/>
                    <w:tab w:val="right" w:pos="8838"/>
                  </w:tabs>
                  <w:ind w:left="-108" w:right="-102"/>
                  <w:jc w:val="both"/>
                  <w:rPr>
                    <w:rFonts w:ascii="Palatino Linotype" w:eastAsia="Calibri" w:hAnsi="Palatino Linotype" w:cs="Tahoma"/>
                    <w:sz w:val="22"/>
                    <w:szCs w:val="22"/>
                    <w:lang w:val="es-ES" w:eastAsia="en-US"/>
                  </w:rPr>
                </w:pPr>
                <w:r w:rsidRPr="006C5CB6">
                  <w:rPr>
                    <w:rFonts w:ascii="Palatino Linotype" w:eastAsia="Calibri" w:hAnsi="Palatino Linotype" w:cs="Tahoma"/>
                    <w:bCs/>
                    <w:sz w:val="22"/>
                    <w:szCs w:val="22"/>
                    <w:lang w:eastAsia="en-US"/>
                  </w:rPr>
                  <w:t>Secretaría General de Gobierno</w:t>
                </w:r>
              </w:p>
            </w:tc>
          </w:tr>
          <w:tr w:rsidR="003F2244" w:rsidTr="003F2244">
            <w:trPr>
              <w:trHeight w:val="295"/>
            </w:trPr>
            <w:tc>
              <w:tcPr>
                <w:tcW w:w="2551" w:type="dxa"/>
                <w:shd w:val="clear" w:color="auto" w:fill="auto"/>
              </w:tcPr>
              <w:p w:rsidR="003F2244" w:rsidRPr="00020E73" w:rsidRDefault="0038292F" w:rsidP="003F2244">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3F2244" w:rsidRPr="00020E73" w:rsidRDefault="0038292F" w:rsidP="003F2244">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3F2244" w:rsidRPr="00020E73" w:rsidRDefault="001D00E6" w:rsidP="003F2244">
                <w:pPr>
                  <w:tabs>
                    <w:tab w:val="right" w:pos="8838"/>
                  </w:tabs>
                  <w:ind w:left="-108" w:right="171"/>
                  <w:jc w:val="both"/>
                  <w:rPr>
                    <w:rFonts w:ascii="Palatino Linotype" w:eastAsia="Calibri" w:hAnsi="Palatino Linotype" w:cs="Tahoma"/>
                    <w:b/>
                    <w:sz w:val="22"/>
                    <w:szCs w:val="22"/>
                    <w:lang w:val="es-ES" w:eastAsia="en-US"/>
                  </w:rPr>
                </w:pPr>
              </w:p>
            </w:tc>
          </w:tr>
        </w:tbl>
        <w:p w:rsidR="003F2244" w:rsidRPr="005C106F" w:rsidRDefault="001D00E6" w:rsidP="003F2244">
          <w:pPr>
            <w:tabs>
              <w:tab w:val="right" w:pos="8838"/>
            </w:tabs>
            <w:ind w:left="-28"/>
            <w:jc w:val="both"/>
            <w:rPr>
              <w:rFonts w:ascii="Arial" w:eastAsia="Calibri" w:hAnsi="Arial" w:cs="Arial"/>
              <w:b/>
              <w:sz w:val="22"/>
              <w:szCs w:val="22"/>
              <w:lang w:eastAsia="en-US"/>
            </w:rPr>
          </w:pPr>
        </w:p>
      </w:tc>
    </w:tr>
  </w:tbl>
  <w:p w:rsidR="003F2244" w:rsidRPr="00443C6B" w:rsidRDefault="001D00E6" w:rsidP="003F2244">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3F2244" w:rsidRPr="00330DA7" w:rsidTr="003F2244">
      <w:trPr>
        <w:trHeight w:val="1435"/>
      </w:trPr>
      <w:tc>
        <w:tcPr>
          <w:tcW w:w="2268" w:type="dxa"/>
          <w:shd w:val="clear" w:color="auto" w:fill="auto"/>
        </w:tcPr>
        <w:p w:rsidR="003F2244" w:rsidRPr="00330DA7" w:rsidRDefault="001D00E6" w:rsidP="003F2244">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3F2244" w:rsidRPr="00330DA7" w:rsidTr="003F2244">
            <w:trPr>
              <w:trHeight w:val="144"/>
            </w:trPr>
            <w:tc>
              <w:tcPr>
                <w:tcW w:w="2444" w:type="dxa"/>
                <w:shd w:val="clear" w:color="auto" w:fill="auto"/>
              </w:tcPr>
              <w:p w:rsidR="003F2244" w:rsidRPr="00020E73" w:rsidRDefault="0038292F" w:rsidP="003F2244">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3F2244" w:rsidRPr="00020E73" w:rsidRDefault="006C5CB6" w:rsidP="003F2244">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02328</w:t>
                </w:r>
                <w:r w:rsidR="0038292F">
                  <w:rPr>
                    <w:rFonts w:ascii="Palatino Linotype" w:eastAsia="Calibri" w:hAnsi="Palatino Linotype" w:cs="Tahoma"/>
                    <w:sz w:val="22"/>
                    <w:szCs w:val="22"/>
                    <w:lang w:eastAsia="en-US"/>
                  </w:rPr>
                  <w:t>/INFOEM/IP/RR/2023</w:t>
                </w:r>
                <w:r w:rsidR="0038292F">
                  <w:rPr>
                    <w:rFonts w:ascii="Palatino Linotype" w:eastAsia="Calibri" w:hAnsi="Palatino Linotype" w:cs="Tahoma"/>
                    <w:b/>
                    <w:bCs/>
                    <w:sz w:val="22"/>
                    <w:szCs w:val="22"/>
                    <w:lang w:eastAsia="en-US"/>
                  </w:rPr>
                  <w:t xml:space="preserve"> </w:t>
                </w:r>
              </w:p>
            </w:tc>
          </w:tr>
          <w:tr w:rsidR="003F2244" w:rsidRPr="00330DA7" w:rsidTr="003F2244">
            <w:trPr>
              <w:trHeight w:val="144"/>
            </w:trPr>
            <w:tc>
              <w:tcPr>
                <w:tcW w:w="2444" w:type="dxa"/>
                <w:shd w:val="clear" w:color="auto" w:fill="auto"/>
              </w:tcPr>
              <w:p w:rsidR="003F2244" w:rsidRPr="00020E73" w:rsidRDefault="0038292F" w:rsidP="003F224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3F2244" w:rsidRPr="006C5CB6" w:rsidRDefault="00AD15F3" w:rsidP="003F2244">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XXX </w:t>
                </w:r>
                <w:proofErr w:type="spellStart"/>
                <w:r>
                  <w:rPr>
                    <w:rFonts w:ascii="Palatino Linotype" w:eastAsia="Calibri" w:hAnsi="Palatino Linotype" w:cs="Tahoma"/>
                    <w:bCs/>
                    <w:sz w:val="22"/>
                    <w:szCs w:val="22"/>
                    <w:lang w:eastAsia="en-US"/>
                  </w:rPr>
                  <w:t>XXX</w:t>
                </w:r>
                <w:proofErr w:type="spellEnd"/>
                <w:r>
                  <w:rPr>
                    <w:rFonts w:ascii="Palatino Linotype" w:eastAsia="Calibri" w:hAnsi="Palatino Linotype" w:cs="Tahoma"/>
                    <w:bCs/>
                    <w:sz w:val="22"/>
                    <w:szCs w:val="22"/>
                    <w:lang w:eastAsia="en-US"/>
                  </w:rPr>
                  <w:t xml:space="preserve"> </w:t>
                </w:r>
                <w:proofErr w:type="spellStart"/>
                <w:r>
                  <w:rPr>
                    <w:rFonts w:ascii="Palatino Linotype" w:eastAsia="Calibri" w:hAnsi="Palatino Linotype" w:cs="Tahoma"/>
                    <w:bCs/>
                    <w:sz w:val="22"/>
                    <w:szCs w:val="22"/>
                    <w:lang w:eastAsia="en-US"/>
                  </w:rPr>
                  <w:t>XXX</w:t>
                </w:r>
                <w:proofErr w:type="spellEnd"/>
              </w:p>
            </w:tc>
          </w:tr>
          <w:tr w:rsidR="003F2244" w:rsidRPr="00330DA7" w:rsidTr="003F2244">
            <w:trPr>
              <w:trHeight w:val="283"/>
            </w:trPr>
            <w:tc>
              <w:tcPr>
                <w:tcW w:w="2444" w:type="dxa"/>
                <w:shd w:val="clear" w:color="auto" w:fill="auto"/>
              </w:tcPr>
              <w:p w:rsidR="003F2244" w:rsidRPr="00020E73" w:rsidRDefault="0038292F" w:rsidP="003F224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3F2244" w:rsidRPr="006C5CB6" w:rsidRDefault="006C5CB6" w:rsidP="003F2244">
                <w:pPr>
                  <w:tabs>
                    <w:tab w:val="left" w:pos="2834"/>
                    <w:tab w:val="right" w:pos="8838"/>
                  </w:tabs>
                  <w:ind w:left="-74" w:right="-105"/>
                  <w:jc w:val="both"/>
                  <w:rPr>
                    <w:rFonts w:ascii="Palatino Linotype" w:eastAsia="Calibri" w:hAnsi="Palatino Linotype" w:cs="Tahoma"/>
                    <w:sz w:val="22"/>
                    <w:szCs w:val="22"/>
                    <w:lang w:val="es-ES" w:eastAsia="en-US"/>
                  </w:rPr>
                </w:pPr>
                <w:r w:rsidRPr="006C5CB6">
                  <w:rPr>
                    <w:rFonts w:ascii="Palatino Linotype" w:eastAsia="Calibri" w:hAnsi="Palatino Linotype" w:cs="Tahoma"/>
                    <w:bCs/>
                    <w:sz w:val="22"/>
                    <w:szCs w:val="22"/>
                    <w:lang w:eastAsia="en-US"/>
                  </w:rPr>
                  <w:t>Secretaría General de Gobierno</w:t>
                </w:r>
              </w:p>
            </w:tc>
          </w:tr>
          <w:tr w:rsidR="003F2244" w:rsidRPr="00330DA7" w:rsidTr="003F2244">
            <w:trPr>
              <w:trHeight w:val="283"/>
            </w:trPr>
            <w:tc>
              <w:tcPr>
                <w:tcW w:w="2444" w:type="dxa"/>
                <w:shd w:val="clear" w:color="auto" w:fill="auto"/>
              </w:tcPr>
              <w:p w:rsidR="003F2244" w:rsidRPr="00020E73" w:rsidRDefault="0038292F" w:rsidP="003F2244">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3F2244" w:rsidRPr="00020E73" w:rsidRDefault="0038292F" w:rsidP="003F2244">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3F2244" w:rsidRPr="00020E73" w:rsidRDefault="001D00E6" w:rsidP="003F2244">
                <w:pPr>
                  <w:tabs>
                    <w:tab w:val="right" w:pos="8838"/>
                  </w:tabs>
                  <w:ind w:left="-74" w:right="-105"/>
                  <w:jc w:val="both"/>
                  <w:rPr>
                    <w:rFonts w:ascii="Palatino Linotype" w:eastAsia="Calibri" w:hAnsi="Palatino Linotype" w:cs="Tahoma"/>
                    <w:b/>
                    <w:sz w:val="22"/>
                    <w:szCs w:val="22"/>
                    <w:lang w:val="es-ES" w:eastAsia="en-US"/>
                  </w:rPr>
                </w:pPr>
              </w:p>
            </w:tc>
          </w:tr>
        </w:tbl>
        <w:p w:rsidR="003F2244" w:rsidRPr="00330DA7" w:rsidRDefault="001D00E6" w:rsidP="003F2244">
          <w:pPr>
            <w:tabs>
              <w:tab w:val="right" w:pos="8838"/>
            </w:tabs>
            <w:ind w:left="-28"/>
            <w:jc w:val="both"/>
            <w:rPr>
              <w:rFonts w:ascii="Arial" w:eastAsia="Calibri" w:hAnsi="Arial" w:cs="Arial"/>
              <w:b/>
              <w:sz w:val="22"/>
              <w:szCs w:val="22"/>
              <w:lang w:eastAsia="en-US"/>
            </w:rPr>
          </w:pPr>
        </w:p>
      </w:tc>
    </w:tr>
  </w:tbl>
  <w:p w:rsidR="003F2244" w:rsidRPr="00827FA0" w:rsidRDefault="001D00E6" w:rsidP="003F2244">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61270"/>
    <w:multiLevelType w:val="hybridMultilevel"/>
    <w:tmpl w:val="86144B8E"/>
    <w:lvl w:ilvl="0" w:tplc="9AE83E36">
      <w:start w:val="1"/>
      <w:numFmt w:val="decimal"/>
      <w:lvlText w:val="%1."/>
      <w:lvlJc w:val="left"/>
      <w:pPr>
        <w:ind w:left="720" w:hanging="360"/>
      </w:pPr>
      <w:rPr>
        <w:rFonts w:eastAsia="Calibri"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BF7591C"/>
    <w:multiLevelType w:val="hybridMultilevel"/>
    <w:tmpl w:val="AB44F9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34317490"/>
    <w:multiLevelType w:val="hybridMultilevel"/>
    <w:tmpl w:val="56D24720"/>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DC31CD3"/>
    <w:multiLevelType w:val="hybridMultilevel"/>
    <w:tmpl w:val="ECB2068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77F7D8B"/>
    <w:multiLevelType w:val="hybridMultilevel"/>
    <w:tmpl w:val="26B674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02B190D"/>
    <w:multiLevelType w:val="hybridMultilevel"/>
    <w:tmpl w:val="62CCC48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5"/>
  </w:num>
  <w:num w:numId="6">
    <w:abstractNumId w:val="8"/>
  </w:num>
  <w:num w:numId="7">
    <w:abstractNumId w:val="0"/>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CB6"/>
    <w:rsid w:val="00007A3C"/>
    <w:rsid w:val="001D00E6"/>
    <w:rsid w:val="00214EBE"/>
    <w:rsid w:val="0038292F"/>
    <w:rsid w:val="00420030"/>
    <w:rsid w:val="004F1700"/>
    <w:rsid w:val="00525B02"/>
    <w:rsid w:val="005A3508"/>
    <w:rsid w:val="005F5710"/>
    <w:rsid w:val="006C5CB6"/>
    <w:rsid w:val="00710884"/>
    <w:rsid w:val="0076643E"/>
    <w:rsid w:val="008C137D"/>
    <w:rsid w:val="009442DE"/>
    <w:rsid w:val="009B59F8"/>
    <w:rsid w:val="009D255A"/>
    <w:rsid w:val="00A741FC"/>
    <w:rsid w:val="00AD15F3"/>
    <w:rsid w:val="00B23502"/>
    <w:rsid w:val="00BC23B7"/>
    <w:rsid w:val="00BE17D5"/>
    <w:rsid w:val="00D109CD"/>
    <w:rsid w:val="00D57D97"/>
    <w:rsid w:val="00DD08CB"/>
    <w:rsid w:val="00DF2850"/>
    <w:rsid w:val="00FC1C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55A5A4-9574-4E3F-B543-61847157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CB6"/>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6C5C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C5CB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5CB6"/>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6C5CB6"/>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6C5CB6"/>
    <w:pPr>
      <w:tabs>
        <w:tab w:val="center" w:pos="4419"/>
        <w:tab w:val="right" w:pos="8838"/>
      </w:tabs>
    </w:pPr>
  </w:style>
  <w:style w:type="character" w:customStyle="1" w:styleId="EncabezadoCar">
    <w:name w:val="Encabezado Car"/>
    <w:basedOn w:val="Fuentedeprrafopredeter"/>
    <w:link w:val="Encabezado"/>
    <w:uiPriority w:val="99"/>
    <w:rsid w:val="006C5CB6"/>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6C5CB6"/>
    <w:pPr>
      <w:tabs>
        <w:tab w:val="center" w:pos="4419"/>
        <w:tab w:val="right" w:pos="8838"/>
      </w:tabs>
    </w:pPr>
  </w:style>
  <w:style w:type="character" w:customStyle="1" w:styleId="PiedepginaCar">
    <w:name w:val="Pie de página Car"/>
    <w:basedOn w:val="Fuentedeprrafopredeter"/>
    <w:link w:val="Piedepgina"/>
    <w:uiPriority w:val="99"/>
    <w:rsid w:val="006C5CB6"/>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C5CB6"/>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6C5CB6"/>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6C5CB6"/>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C5CB6"/>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6C5CB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CB6"/>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6C5CB6"/>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6C5CB6"/>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6C5CB6"/>
    <w:pPr>
      <w:autoSpaceDE w:val="0"/>
      <w:autoSpaceDN w:val="0"/>
      <w:adjustRightInd w:val="0"/>
      <w:spacing w:after="0" w:line="240" w:lineRule="auto"/>
    </w:pPr>
    <w:rPr>
      <w:rFonts w:ascii="Arial" w:hAnsi="Arial" w:cs="Arial"/>
      <w:color w:val="000000"/>
      <w:sz w:val="24"/>
      <w:szCs w:val="24"/>
      <w:lang w:val="es-MX"/>
    </w:rPr>
  </w:style>
  <w:style w:type="paragraph" w:styleId="Sinespaciado">
    <w:name w:val="No Spacing"/>
    <w:aliases w:val="Francesa,INAI"/>
    <w:link w:val="SinespaciadoCar"/>
    <w:uiPriority w:val="1"/>
    <w:qFormat/>
    <w:rsid w:val="006C5CB6"/>
    <w:pPr>
      <w:spacing w:after="0" w:line="240" w:lineRule="auto"/>
    </w:pPr>
    <w:rPr>
      <w:rFonts w:ascii="Times New Roman" w:eastAsia="Times New Roman" w:hAnsi="Times New Roman" w:cs="Times New Roman"/>
      <w:sz w:val="24"/>
      <w:szCs w:val="24"/>
      <w:lang w:val="es-MX" w:eastAsia="es-ES"/>
    </w:rPr>
  </w:style>
  <w:style w:type="character" w:styleId="Textoennegrita">
    <w:name w:val="Strong"/>
    <w:basedOn w:val="Fuentedeprrafopredeter"/>
    <w:uiPriority w:val="22"/>
    <w:qFormat/>
    <w:rsid w:val="006C5CB6"/>
    <w:rPr>
      <w:b/>
      <w:bCs/>
    </w:rPr>
  </w:style>
  <w:style w:type="character" w:customStyle="1" w:styleId="SinespaciadoCar">
    <w:name w:val="Sin espaciado Car"/>
    <w:aliases w:val="Francesa Car,INAI Car"/>
    <w:link w:val="Sinespaciado"/>
    <w:uiPriority w:val="1"/>
    <w:locked/>
    <w:rsid w:val="006C5CB6"/>
    <w:rPr>
      <w:rFonts w:ascii="Times New Roman" w:eastAsia="Times New Roman" w:hAnsi="Times New Roman" w:cs="Times New Roman"/>
      <w:sz w:val="24"/>
      <w:szCs w:val="24"/>
      <w:lang w:val="es-MX" w:eastAsia="es-ES"/>
    </w:rPr>
  </w:style>
  <w:style w:type="character" w:styleId="Referenciasutil">
    <w:name w:val="Subtle Reference"/>
    <w:basedOn w:val="Fuentedeprrafopredeter"/>
    <w:uiPriority w:val="31"/>
    <w:qFormat/>
    <w:rsid w:val="009D255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858157">
      <w:bodyDiv w:val="1"/>
      <w:marLeft w:val="0"/>
      <w:marRight w:val="0"/>
      <w:marTop w:val="0"/>
      <w:marBottom w:val="0"/>
      <w:divBdr>
        <w:top w:val="none" w:sz="0" w:space="0" w:color="auto"/>
        <w:left w:val="none" w:sz="0" w:space="0" w:color="auto"/>
        <w:bottom w:val="none" w:sz="0" w:space="0" w:color="auto"/>
        <w:right w:val="none" w:sz="0" w:space="0" w:color="auto"/>
      </w:divBdr>
    </w:div>
    <w:div w:id="15899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69991.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78467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22526-5BEF-4A22-B22B-DF4914D5F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3874</Words>
  <Characters>21312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2023-06-14T23:56:00Z</dcterms:created>
  <dcterms:modified xsi:type="dcterms:W3CDTF">2023-06-29T17:32:00Z</dcterms:modified>
</cp:coreProperties>
</file>