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3E9D5" w14:textId="637E072A" w:rsidR="009B5029" w:rsidRDefault="009B5029" w:rsidP="009B5029">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4F5848">
        <w:rPr>
          <w:rFonts w:ascii="Palatino Linotype" w:eastAsia="Times New Roman" w:hAnsi="Palatino Linotype" w:cs="Arial"/>
          <w:color w:val="000000"/>
          <w:sz w:val="24"/>
          <w:szCs w:val="24"/>
          <w:lang w:eastAsia="es-MX"/>
        </w:rPr>
        <w:t>veinticinco</w:t>
      </w:r>
      <w:r w:rsidR="00DF5F56">
        <w:rPr>
          <w:rFonts w:ascii="Palatino Linotype" w:eastAsia="Times New Roman" w:hAnsi="Palatino Linotype" w:cs="Arial"/>
          <w:color w:val="000000"/>
          <w:sz w:val="24"/>
          <w:szCs w:val="24"/>
          <w:lang w:eastAsia="es-MX"/>
        </w:rPr>
        <w:t xml:space="preserve"> de octubre de dos mil veintitrés. </w:t>
      </w:r>
      <w:r w:rsidR="00496A62">
        <w:rPr>
          <w:rFonts w:ascii="Palatino Linotype" w:eastAsia="Times New Roman" w:hAnsi="Palatino Linotype" w:cs="Arial"/>
          <w:color w:val="000000"/>
          <w:sz w:val="24"/>
          <w:szCs w:val="24"/>
          <w:lang w:eastAsia="es-MX"/>
        </w:rPr>
        <w:t xml:space="preserve"> </w:t>
      </w:r>
      <w:r w:rsidR="00881D76">
        <w:rPr>
          <w:rFonts w:ascii="Palatino Linotype" w:eastAsia="Times New Roman" w:hAnsi="Palatino Linotype" w:cs="Arial"/>
          <w:color w:val="000000"/>
          <w:sz w:val="24"/>
          <w:szCs w:val="24"/>
          <w:lang w:eastAsia="es-MX"/>
        </w:rPr>
        <w:t xml:space="preserve"> </w:t>
      </w:r>
      <w:r w:rsidR="00FC2D20">
        <w:rPr>
          <w:rFonts w:ascii="Palatino Linotype" w:eastAsia="Times New Roman" w:hAnsi="Palatino Linotype" w:cs="Arial"/>
          <w:color w:val="000000"/>
          <w:sz w:val="24"/>
          <w:szCs w:val="24"/>
          <w:lang w:eastAsia="es-MX"/>
        </w:rPr>
        <w:t xml:space="preserve"> </w:t>
      </w:r>
      <w:r w:rsidR="00317C14">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635A2D61" w14:textId="6B72D6A5" w:rsidR="00FC2D20" w:rsidRPr="00FC2D20" w:rsidRDefault="009B5029" w:rsidP="009B5029">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682CDA">
        <w:rPr>
          <w:rFonts w:ascii="Palatino Linotype" w:hAnsi="Palatino Linotype" w:cs="Arial"/>
          <w:b/>
          <w:bCs/>
          <w:sz w:val="24"/>
        </w:rPr>
        <w:t>0</w:t>
      </w:r>
      <w:r w:rsidR="00DF5F56">
        <w:rPr>
          <w:rFonts w:ascii="Palatino Linotype" w:hAnsi="Palatino Linotype" w:cs="Arial"/>
          <w:b/>
          <w:bCs/>
          <w:sz w:val="24"/>
        </w:rPr>
        <w:t>5450</w:t>
      </w:r>
      <w:r>
        <w:rPr>
          <w:rFonts w:ascii="Palatino Linotype" w:hAnsi="Palatino Linotype" w:cs="Arial"/>
          <w:b/>
          <w:sz w:val="24"/>
        </w:rPr>
        <w:t xml:space="preserve">/INFOEM/IP/RR/2023, </w:t>
      </w:r>
      <w:r>
        <w:rPr>
          <w:rFonts w:ascii="Palatino Linotype" w:hAnsi="Palatino Linotype" w:cs="Arial"/>
          <w:sz w:val="24"/>
        </w:rPr>
        <w:t xml:space="preserve">interpuesto por un particular, en lo sucesivo </w:t>
      </w:r>
      <w:r>
        <w:rPr>
          <w:rFonts w:ascii="Palatino Linotype" w:hAnsi="Palatino Linotype" w:cs="Arial"/>
          <w:b/>
          <w:bCs/>
          <w:sz w:val="24"/>
        </w:rPr>
        <w:t xml:space="preserve">El Recurrente, </w:t>
      </w:r>
      <w:r>
        <w:rPr>
          <w:rFonts w:ascii="Palatino Linotype" w:hAnsi="Palatino Linotype" w:cs="Arial"/>
          <w:sz w:val="24"/>
        </w:rPr>
        <w:t xml:space="preserve">en contra de la respuesta del </w:t>
      </w:r>
      <w:r w:rsidR="00496A62">
        <w:rPr>
          <w:rFonts w:ascii="Palatino Linotype" w:hAnsi="Palatino Linotype" w:cs="Arial"/>
          <w:b/>
          <w:bCs/>
          <w:sz w:val="24"/>
        </w:rPr>
        <w:t xml:space="preserve">Ayuntamiento de Zinacantepec, </w:t>
      </w:r>
      <w:r w:rsidR="00FC2D20">
        <w:rPr>
          <w:rFonts w:ascii="Palatino Linotype" w:hAnsi="Palatino Linotype" w:cs="Arial"/>
          <w:sz w:val="24"/>
        </w:rPr>
        <w:t xml:space="preserve">en lo sucesivo </w:t>
      </w:r>
      <w:r w:rsidR="00FC2D20">
        <w:rPr>
          <w:rFonts w:ascii="Palatino Linotype" w:hAnsi="Palatino Linotype" w:cs="Arial"/>
          <w:b/>
          <w:sz w:val="24"/>
        </w:rPr>
        <w:t xml:space="preserve">El Sujeto Obligado, </w:t>
      </w:r>
      <w:r w:rsidR="00FC2D20">
        <w:rPr>
          <w:rFonts w:ascii="Palatino Linotype" w:hAnsi="Palatino Linotype" w:cs="Arial"/>
          <w:sz w:val="24"/>
        </w:rPr>
        <w:t xml:space="preserve">se procede a dictar la presente resolución. </w:t>
      </w:r>
    </w:p>
    <w:p w14:paraId="30CBAE1F" w14:textId="77777777" w:rsidR="00FC2D20" w:rsidRDefault="00FC2D20" w:rsidP="009B5029">
      <w:pPr>
        <w:tabs>
          <w:tab w:val="left" w:pos="1701"/>
        </w:tabs>
        <w:spacing w:before="240" w:line="360" w:lineRule="auto"/>
        <w:jc w:val="both"/>
        <w:rPr>
          <w:rFonts w:ascii="Palatino Linotype" w:hAnsi="Palatino Linotype" w:cs="Arial"/>
          <w:sz w:val="24"/>
        </w:rPr>
      </w:pPr>
    </w:p>
    <w:p w14:paraId="4BC4461B" w14:textId="4BE6C5A3" w:rsidR="009B5029" w:rsidRPr="00B9640A" w:rsidRDefault="009B5029" w:rsidP="009B5029">
      <w:pPr>
        <w:pStyle w:val="infoemcitas"/>
        <w:jc w:val="center"/>
        <w:rPr>
          <w:b/>
          <w:bCs/>
          <w:i w:val="0"/>
          <w:iCs/>
          <w:sz w:val="28"/>
          <w:szCs w:val="28"/>
        </w:rPr>
      </w:pPr>
      <w:r w:rsidRPr="00B9640A">
        <w:rPr>
          <w:b/>
          <w:bCs/>
          <w:i w:val="0"/>
          <w:iCs/>
          <w:sz w:val="28"/>
          <w:szCs w:val="28"/>
        </w:rPr>
        <w:t>A N T E C E D E N T E S   D E L   A S U N T O</w:t>
      </w:r>
    </w:p>
    <w:p w14:paraId="43C252D3" w14:textId="77777777" w:rsidR="009B5029" w:rsidRPr="00523CF0" w:rsidRDefault="009B5029" w:rsidP="009B5029">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DF2F2FC" w14:textId="78C8EFB9" w:rsidR="00DF5F56" w:rsidRDefault="009B5029" w:rsidP="009B5029">
      <w:pPr>
        <w:spacing w:before="240" w:line="360" w:lineRule="auto"/>
        <w:jc w:val="both"/>
        <w:rPr>
          <w:rFonts w:ascii="Palatino Linotype" w:hAnsi="Palatino Linotype" w:cs="Arial"/>
          <w:sz w:val="24"/>
        </w:rPr>
      </w:pPr>
      <w:r>
        <w:rPr>
          <w:rFonts w:ascii="Palatino Linotype" w:hAnsi="Palatino Linotype" w:cs="Arial"/>
          <w:sz w:val="24"/>
        </w:rPr>
        <w:t>Con fecha</w:t>
      </w:r>
      <w:r w:rsidR="00FC2D20">
        <w:rPr>
          <w:rFonts w:ascii="Palatino Linotype" w:hAnsi="Palatino Linotype" w:cs="Arial"/>
          <w:sz w:val="24"/>
        </w:rPr>
        <w:t xml:space="preserve"> </w:t>
      </w:r>
      <w:r w:rsidR="00DF5F56">
        <w:rPr>
          <w:rFonts w:ascii="Palatino Linotype" w:hAnsi="Palatino Linotype" w:cs="Arial"/>
          <w:b/>
          <w:bCs/>
          <w:sz w:val="24"/>
        </w:rPr>
        <w:t xml:space="preserve">ocho de agosto de dos mil veintitrés, El Recurrente, </w:t>
      </w:r>
      <w:r w:rsidR="00DF5F56">
        <w:rPr>
          <w:rFonts w:ascii="Palatino Linotype" w:hAnsi="Palatino Linotype" w:cs="Arial"/>
          <w:sz w:val="24"/>
        </w:rPr>
        <w:t>presentó a través del Sistema de Acceso a la Información Mexiquense (</w:t>
      </w:r>
      <w:r w:rsidR="00DF5F56">
        <w:rPr>
          <w:rFonts w:ascii="Palatino Linotype" w:hAnsi="Palatino Linotype" w:cs="Arial"/>
          <w:b/>
          <w:sz w:val="24"/>
        </w:rPr>
        <w:t>SAIMEX)</w:t>
      </w:r>
      <w:r w:rsidR="00DF5F56">
        <w:rPr>
          <w:rFonts w:ascii="Palatino Linotype" w:hAnsi="Palatino Linotype" w:cs="Arial"/>
          <w:sz w:val="24"/>
        </w:rPr>
        <w:t xml:space="preserve"> ante </w:t>
      </w:r>
      <w:r w:rsidR="00DF5F56">
        <w:rPr>
          <w:rFonts w:ascii="Palatino Linotype" w:hAnsi="Palatino Linotype" w:cs="Arial"/>
          <w:b/>
          <w:sz w:val="24"/>
        </w:rPr>
        <w:t>El Sujeto Obligado</w:t>
      </w:r>
      <w:r w:rsidR="00DF5F56">
        <w:rPr>
          <w:rFonts w:ascii="Palatino Linotype" w:hAnsi="Palatino Linotype" w:cs="Arial"/>
          <w:sz w:val="24"/>
        </w:rPr>
        <w:t xml:space="preserve">, solicitud de acceso a la información pública, registrada bajo el número de expediente </w:t>
      </w:r>
      <w:r w:rsidR="00DF5F56">
        <w:rPr>
          <w:rFonts w:ascii="Palatino Linotype" w:hAnsi="Palatino Linotype" w:cs="Arial"/>
          <w:b/>
          <w:bCs/>
          <w:sz w:val="24"/>
        </w:rPr>
        <w:t xml:space="preserve">01151/ZINACANT/IP/2023, </w:t>
      </w:r>
      <w:r w:rsidR="00DF5F56">
        <w:rPr>
          <w:rFonts w:ascii="Palatino Linotype" w:hAnsi="Palatino Linotype" w:cs="Arial"/>
          <w:sz w:val="24"/>
        </w:rPr>
        <w:t>mediante la cual solicitó información en el tenor siguiente:</w:t>
      </w:r>
    </w:p>
    <w:p w14:paraId="04E79AA3" w14:textId="5F91339D" w:rsidR="00DF5F56" w:rsidRPr="00DF5F56" w:rsidRDefault="00DF5F56" w:rsidP="00DF5F56">
      <w:pPr>
        <w:pStyle w:val="Citas"/>
        <w:rPr>
          <w:b/>
          <w:bCs/>
          <w:sz w:val="24"/>
        </w:rPr>
      </w:pPr>
      <w:r>
        <w:t xml:space="preserve">“SOLICITO CUANTO SE </w:t>
      </w:r>
      <w:proofErr w:type="gramStart"/>
      <w:r>
        <w:t>LE.PAGO</w:t>
      </w:r>
      <w:proofErr w:type="gramEnd"/>
      <w:r>
        <w:t xml:space="preserve"> A LA COMISIONADA PARA ASISTIR A ZINACANTEPEC” </w:t>
      </w:r>
      <w:r>
        <w:rPr>
          <w:b/>
          <w:bCs/>
        </w:rPr>
        <w:t>(Sic)</w:t>
      </w:r>
    </w:p>
    <w:p w14:paraId="0FDD1B9D" w14:textId="77777777" w:rsidR="009B5029" w:rsidRDefault="009B5029" w:rsidP="009B5029">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w:t>
      </w:r>
    </w:p>
    <w:p w14:paraId="27C5DD1B" w14:textId="77777777" w:rsidR="00DF5F56" w:rsidRDefault="00DF5F56" w:rsidP="00804620">
      <w:pPr>
        <w:spacing w:before="240" w:line="360" w:lineRule="auto"/>
        <w:ind w:right="850"/>
        <w:jc w:val="both"/>
        <w:rPr>
          <w:rFonts w:ascii="Palatino Linotype" w:hAnsi="Palatino Linotype" w:cs="Arial"/>
          <w:b/>
          <w:sz w:val="28"/>
          <w:lang w:val="es-ES_tradnl"/>
        </w:rPr>
      </w:pPr>
    </w:p>
    <w:p w14:paraId="73097956" w14:textId="6075F1B0" w:rsidR="00804620" w:rsidRDefault="00804620" w:rsidP="00804620">
      <w:pPr>
        <w:spacing w:before="240" w:line="360" w:lineRule="auto"/>
        <w:ind w:right="850"/>
        <w:jc w:val="both"/>
        <w:rPr>
          <w:rFonts w:ascii="Palatino Linotype" w:hAnsi="Palatino Linotype" w:cs="Arial"/>
          <w:b/>
          <w:sz w:val="28"/>
        </w:rPr>
      </w:pPr>
      <w:r>
        <w:rPr>
          <w:rFonts w:ascii="Palatino Linotype" w:hAnsi="Palatino Linotype" w:cs="Arial"/>
          <w:b/>
          <w:sz w:val="28"/>
        </w:rPr>
        <w:lastRenderedPageBreak/>
        <w:t xml:space="preserve">SEGUNDO. De la prórroga del Sujeto Obligado. </w:t>
      </w:r>
    </w:p>
    <w:p w14:paraId="4D80DD50" w14:textId="092AACA5" w:rsidR="00804620" w:rsidRPr="001D3E11" w:rsidRDefault="00804620" w:rsidP="00804620">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w:t>
      </w:r>
      <w:r w:rsidR="00DF5F56">
        <w:rPr>
          <w:rFonts w:ascii="Palatino Linotype" w:hAnsi="Palatino Linotype" w:cs="Arial"/>
          <w:b/>
          <w:bCs/>
          <w:sz w:val="24"/>
          <w:szCs w:val="24"/>
        </w:rPr>
        <w:t xml:space="preserve">veintinueve de agosto de dos mil veintitrés, El Sujeto Obligado </w:t>
      </w:r>
      <w:r>
        <w:rPr>
          <w:rFonts w:ascii="Palatino Linotype" w:hAnsi="Palatino Linotype" w:cs="Arial"/>
          <w:sz w:val="24"/>
          <w:szCs w:val="24"/>
        </w:rPr>
        <w:t xml:space="preserve">solicitó prórroga de siete días para recabar la información solicitada y dar cumplimiento a lo requerido por </w:t>
      </w:r>
      <w:r>
        <w:rPr>
          <w:rFonts w:ascii="Palatino Linotype" w:hAnsi="Palatino Linotype" w:cs="Arial"/>
          <w:b/>
          <w:bCs/>
          <w:sz w:val="24"/>
          <w:szCs w:val="24"/>
        </w:rPr>
        <w:t xml:space="preserve">El Recurrente, </w:t>
      </w:r>
      <w:r>
        <w:rPr>
          <w:rFonts w:ascii="Palatino Linotype" w:hAnsi="Palatino Linotype" w:cs="Arial"/>
          <w:sz w:val="24"/>
          <w:szCs w:val="24"/>
        </w:rPr>
        <w:t xml:space="preserve">advirtiendo que dicha prórroga </w:t>
      </w:r>
      <w:r>
        <w:rPr>
          <w:rFonts w:ascii="Palatino Linotype" w:hAnsi="Palatino Linotype" w:cs="Arial"/>
          <w:b/>
          <w:bCs/>
          <w:sz w:val="24"/>
          <w:szCs w:val="24"/>
        </w:rPr>
        <w:t xml:space="preserve">no </w:t>
      </w:r>
      <w:r>
        <w:rPr>
          <w:rFonts w:ascii="Palatino Linotype" w:hAnsi="Palatino Linotype" w:cs="Arial"/>
          <w:sz w:val="24"/>
          <w:szCs w:val="24"/>
        </w:rPr>
        <w:t xml:space="preserve">cumple con lo </w:t>
      </w:r>
      <w:r>
        <w:rPr>
          <w:rFonts w:ascii="Palatino Linotype" w:hAnsi="Palatino Linotype"/>
          <w:sz w:val="24"/>
          <w:szCs w:val="24"/>
        </w:rPr>
        <w:t xml:space="preserve">establecido </w:t>
      </w:r>
      <w:r w:rsidRPr="00441692">
        <w:rPr>
          <w:rFonts w:ascii="Palatino Linotype" w:hAnsi="Palatino Linotype"/>
          <w:sz w:val="24"/>
          <w:szCs w:val="24"/>
        </w:rPr>
        <w:t xml:space="preserve">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785FD566" w14:textId="77777777" w:rsidR="00804620" w:rsidRDefault="00804620" w:rsidP="009B5029">
      <w:pPr>
        <w:spacing w:before="240" w:line="360" w:lineRule="auto"/>
        <w:jc w:val="both"/>
        <w:rPr>
          <w:rFonts w:ascii="Palatino Linotype" w:hAnsi="Palatino Linotype" w:cs="Arial"/>
          <w:b/>
          <w:sz w:val="28"/>
        </w:rPr>
      </w:pPr>
    </w:p>
    <w:p w14:paraId="32234D96" w14:textId="71813CD0" w:rsidR="009B5029" w:rsidRDefault="00804620" w:rsidP="009B5029">
      <w:pPr>
        <w:spacing w:before="240" w:line="360" w:lineRule="auto"/>
        <w:jc w:val="both"/>
        <w:rPr>
          <w:rFonts w:ascii="Palatino Linotype" w:hAnsi="Palatino Linotype" w:cs="Arial"/>
          <w:b/>
          <w:sz w:val="28"/>
        </w:rPr>
      </w:pPr>
      <w:r>
        <w:rPr>
          <w:rFonts w:ascii="Palatino Linotype" w:hAnsi="Palatino Linotype" w:cs="Arial"/>
          <w:b/>
          <w:sz w:val="28"/>
        </w:rPr>
        <w:t>TERCERO</w:t>
      </w:r>
      <w:r w:rsidR="009B5029">
        <w:rPr>
          <w:rFonts w:ascii="Palatino Linotype" w:hAnsi="Palatino Linotype" w:cs="Arial"/>
          <w:b/>
          <w:sz w:val="28"/>
        </w:rPr>
        <w:t xml:space="preserve">. </w:t>
      </w:r>
      <w:r w:rsidR="009B5029" w:rsidRPr="00165D6E">
        <w:rPr>
          <w:rFonts w:ascii="Palatino Linotype" w:hAnsi="Palatino Linotype" w:cs="Arial"/>
          <w:b/>
          <w:sz w:val="28"/>
          <w:szCs w:val="20"/>
        </w:rPr>
        <w:t xml:space="preserve">De la respuesta </w:t>
      </w:r>
      <w:r w:rsidR="009B5029">
        <w:rPr>
          <w:rFonts w:ascii="Palatino Linotype" w:hAnsi="Palatino Linotype" w:cs="Arial"/>
          <w:b/>
          <w:sz w:val="28"/>
          <w:szCs w:val="20"/>
        </w:rPr>
        <w:t>del Sujeto Obligado</w:t>
      </w:r>
      <w:r w:rsidR="009B5029" w:rsidRPr="00165D6E">
        <w:rPr>
          <w:rFonts w:ascii="Palatino Linotype" w:hAnsi="Palatino Linotype" w:cs="Arial"/>
          <w:b/>
          <w:sz w:val="28"/>
          <w:szCs w:val="20"/>
        </w:rPr>
        <w:t>.</w:t>
      </w:r>
    </w:p>
    <w:p w14:paraId="0C88E93F" w14:textId="31C61F60" w:rsidR="00DF5F56" w:rsidRPr="00DF5F56"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DF5F56">
        <w:rPr>
          <w:rFonts w:ascii="Palatino Linotype" w:hAnsi="Palatino Linotype" w:cs="Arial"/>
          <w:b/>
          <w:bCs/>
          <w:sz w:val="24"/>
          <w:szCs w:val="24"/>
        </w:rPr>
        <w:t xml:space="preserve">cinco de septiembre de dos mil veintitrés, El Sujeto Obligado </w:t>
      </w:r>
      <w:r w:rsidR="00DF5F56">
        <w:rPr>
          <w:rFonts w:ascii="Palatino Linotype" w:hAnsi="Palatino Linotype" w:cs="Arial"/>
          <w:sz w:val="24"/>
          <w:szCs w:val="24"/>
        </w:rPr>
        <w:t xml:space="preserve">dio respuesta a la solicitud de información en los siguientes términos: </w:t>
      </w:r>
    </w:p>
    <w:p w14:paraId="7E43E37B" w14:textId="16DE4F8D" w:rsidR="00DF5F56" w:rsidRDefault="00DF5F56" w:rsidP="00DF5F56">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0A19BCD8" w14:textId="198ED2AE" w:rsidR="00DF5F56" w:rsidRPr="00DF5F56" w:rsidRDefault="00DF5F56" w:rsidP="00DF5F56">
      <w:pPr>
        <w:pStyle w:val="Citas"/>
        <w:rPr>
          <w:b/>
          <w:bCs/>
          <w:sz w:val="24"/>
          <w:szCs w:val="24"/>
        </w:rPr>
      </w:pPr>
      <w:r>
        <w:t xml:space="preserve">En atención a su solicitud de información, a través del Sistema de Acceso a la Información Mexiquense (SAIMEX), número 01151/ZINACANT/IP/2023 mediante la cual solicitó lo siguiente: " SOLICITO CUANTO SE </w:t>
      </w:r>
      <w:proofErr w:type="gramStart"/>
      <w:r>
        <w:t>LE.PAGO</w:t>
      </w:r>
      <w:proofErr w:type="gramEnd"/>
      <w:r>
        <w:t xml:space="preserve"> A LA COMISIONADA PARA ASISTIR A ZINACANTEPEC." (Sic) Con fundamento </w:t>
      </w:r>
      <w:r>
        <w:lastRenderedPageBreak/>
        <w:t xml:space="preserve">en los artículos 4, 7, 23 fracción </w:t>
      </w:r>
      <w:proofErr w:type="spellStart"/>
      <w:r>
        <w:t>lV</w:t>
      </w:r>
      <w:proofErr w:type="spellEnd"/>
      <w:r>
        <w:t xml:space="preserve">, 53 fracciones ll, </w:t>
      </w:r>
      <w:proofErr w:type="spellStart"/>
      <w:r>
        <w:t>lV</w:t>
      </w:r>
      <w:proofErr w:type="spellEnd"/>
      <w:r>
        <w:t xml:space="preserve"> y V de la Ley de Transparencia y Acceso a la Información Pública del Estado de México y Municipios me permito informar que la Capacitación en el Ayuntamiento el pasado 8 de agosto del presente año, no tuvo importe alguno.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generarlo, resumirla, efectuar cálculos o practicar investigaciones... " Artículo 24. Para el cumplimiento de los objetivos de esta Ley, los sujetos obligados deberán cumplir con las siguientes obligaciones, según corresponda, de acuerdo a su naturaleza: Los sujetos obligados solo proporcionarán la información pública que generen, administren o posean en el ejercicio de sus atribuciones..."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otro particular, reciba un cordial saludo. A T E N T A M E N T E BRENDA SELENE HERNÁNDEZ LÓPEZ TITULAR LA UNIDAD DE TRANSPARENCIA DEL MUNICIPIO DE ZINACANTEPEC” </w:t>
      </w:r>
      <w:r>
        <w:rPr>
          <w:b/>
          <w:bCs/>
        </w:rPr>
        <w:t>(Sic)</w:t>
      </w:r>
    </w:p>
    <w:p w14:paraId="19091C86" w14:textId="77777777" w:rsidR="00DF5F56" w:rsidRDefault="00DF5F56" w:rsidP="00DF5F56">
      <w:pPr>
        <w:pStyle w:val="Citas"/>
        <w:ind w:left="0"/>
        <w:rPr>
          <w:i w:val="0"/>
          <w:iCs/>
          <w:sz w:val="24"/>
          <w:szCs w:val="24"/>
        </w:rPr>
      </w:pPr>
    </w:p>
    <w:p w14:paraId="777DB722" w14:textId="05E46F9F" w:rsidR="00DF5F56" w:rsidRPr="00DF5F56" w:rsidRDefault="00DF5F56" w:rsidP="00DF5F56">
      <w:pPr>
        <w:pStyle w:val="Citas"/>
        <w:ind w:left="0"/>
        <w:rPr>
          <w:i w:val="0"/>
          <w:iCs/>
          <w:sz w:val="24"/>
          <w:szCs w:val="24"/>
        </w:rPr>
      </w:pPr>
      <w:r>
        <w:rPr>
          <w:i w:val="0"/>
          <w:iCs/>
          <w:sz w:val="24"/>
          <w:szCs w:val="24"/>
        </w:rPr>
        <w:lastRenderedPageBreak/>
        <w:t xml:space="preserve">Adicionalmente, </w:t>
      </w:r>
      <w:r>
        <w:rPr>
          <w:b/>
          <w:bCs/>
          <w:i w:val="0"/>
          <w:iCs/>
          <w:sz w:val="24"/>
          <w:szCs w:val="24"/>
        </w:rPr>
        <w:t xml:space="preserve">El Sujeto Obligado </w:t>
      </w:r>
      <w:r>
        <w:rPr>
          <w:i w:val="0"/>
          <w:iCs/>
          <w:sz w:val="24"/>
          <w:szCs w:val="24"/>
        </w:rPr>
        <w:t xml:space="preserve">adjuntó el documento electrónico </w:t>
      </w:r>
      <w:r>
        <w:rPr>
          <w:b/>
          <w:bCs/>
          <w:i w:val="0"/>
          <w:iCs/>
          <w:sz w:val="24"/>
          <w:szCs w:val="24"/>
        </w:rPr>
        <w:t xml:space="preserve">“20230831163708866.pdf”, </w:t>
      </w:r>
      <w:r>
        <w:rPr>
          <w:i w:val="0"/>
          <w:iCs/>
          <w:sz w:val="24"/>
          <w:szCs w:val="24"/>
        </w:rPr>
        <w:t xml:space="preserve">cuyo contenido será materia de estudio en el considerando respectivo. </w:t>
      </w:r>
    </w:p>
    <w:p w14:paraId="570C0C50" w14:textId="77777777" w:rsidR="006715AF" w:rsidRDefault="006715AF" w:rsidP="009B5029">
      <w:pPr>
        <w:spacing w:before="240" w:line="360" w:lineRule="auto"/>
        <w:jc w:val="both"/>
        <w:rPr>
          <w:rFonts w:ascii="Palatino Linotype" w:hAnsi="Palatino Linotype" w:cs="Arial"/>
          <w:sz w:val="24"/>
          <w:szCs w:val="24"/>
        </w:rPr>
      </w:pPr>
    </w:p>
    <w:p w14:paraId="2C824AC7" w14:textId="773F7785" w:rsidR="009B5029" w:rsidRDefault="00804620" w:rsidP="009B5029">
      <w:pPr>
        <w:spacing w:before="240" w:line="360" w:lineRule="auto"/>
        <w:rPr>
          <w:rFonts w:ascii="Palatino Linotype" w:hAnsi="Palatino Linotype" w:cs="Arial"/>
          <w:b/>
          <w:sz w:val="28"/>
        </w:rPr>
      </w:pPr>
      <w:r>
        <w:rPr>
          <w:rFonts w:ascii="Palatino Linotype" w:hAnsi="Palatino Linotype" w:cs="Arial"/>
          <w:b/>
          <w:sz w:val="28"/>
        </w:rPr>
        <w:t>CUARTO</w:t>
      </w:r>
      <w:r w:rsidR="009B5029">
        <w:rPr>
          <w:rFonts w:ascii="Palatino Linotype" w:hAnsi="Palatino Linotype" w:cs="Arial"/>
          <w:b/>
          <w:sz w:val="28"/>
        </w:rPr>
        <w:t xml:space="preserve">. </w:t>
      </w:r>
      <w:r w:rsidR="009B5029">
        <w:rPr>
          <w:rFonts w:ascii="Palatino Linotype" w:hAnsi="Palatino Linotype"/>
          <w:b/>
          <w:sz w:val="28"/>
        </w:rPr>
        <w:t>Del recurso de revisión.</w:t>
      </w:r>
    </w:p>
    <w:p w14:paraId="79883547" w14:textId="6FFA26DA" w:rsidR="00DF5F56" w:rsidRPr="00DF5F56" w:rsidRDefault="009B5029" w:rsidP="009B502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DF6F34">
        <w:rPr>
          <w:rFonts w:ascii="Palatino Linotype" w:hAnsi="Palatino Linotype" w:cs="Arial"/>
          <w:sz w:val="24"/>
          <w:szCs w:val="24"/>
        </w:rPr>
        <w:t xml:space="preserve"> </w:t>
      </w:r>
      <w:r w:rsidR="00DF5F56">
        <w:rPr>
          <w:rFonts w:ascii="Palatino Linotype" w:hAnsi="Palatino Linotype" w:cs="Arial"/>
          <w:b/>
          <w:bCs/>
          <w:sz w:val="24"/>
          <w:szCs w:val="24"/>
        </w:rPr>
        <w:t xml:space="preserve">cinco de septiembre de dos mil veintitrés, </w:t>
      </w:r>
      <w:r w:rsidR="00DF5F56">
        <w:rPr>
          <w:rFonts w:ascii="Palatino Linotype" w:hAnsi="Palatino Linotype" w:cs="Arial"/>
          <w:sz w:val="24"/>
          <w:szCs w:val="24"/>
        </w:rPr>
        <w:t xml:space="preserve">el cual fue registrado en el sistema electrónico con el expediente </w:t>
      </w:r>
      <w:r w:rsidR="00DF5F56">
        <w:rPr>
          <w:rFonts w:ascii="Palatino Linotype" w:hAnsi="Palatino Linotype" w:cs="Arial"/>
          <w:b/>
          <w:bCs/>
          <w:sz w:val="24"/>
          <w:szCs w:val="24"/>
        </w:rPr>
        <w:t xml:space="preserve">05450/INFOEM/IP/RR/2023, </w:t>
      </w:r>
      <w:r w:rsidR="00DF5F56">
        <w:rPr>
          <w:rFonts w:ascii="Palatino Linotype" w:hAnsi="Palatino Linotype" w:cs="Arial"/>
          <w:sz w:val="24"/>
          <w:szCs w:val="24"/>
        </w:rPr>
        <w:t xml:space="preserve">en el cual arguye las siguientes manifestaciones: </w:t>
      </w:r>
    </w:p>
    <w:p w14:paraId="26145687"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43D150B" w14:textId="14A5F4C4" w:rsidR="00317C14" w:rsidRPr="00CE3EB5" w:rsidRDefault="00FC2D20" w:rsidP="00CE3EB5">
      <w:pPr>
        <w:pStyle w:val="Citas"/>
        <w:rPr>
          <w:b/>
          <w:bCs/>
          <w:sz w:val="24"/>
        </w:rPr>
      </w:pPr>
      <w:r w:rsidRPr="00DF5F56">
        <w:t>“</w:t>
      </w:r>
      <w:r w:rsidR="00DF5F56" w:rsidRPr="00DF5F56">
        <w:t>NO ENTREGA INFORMACIÓN</w:t>
      </w:r>
      <w:r w:rsidR="00CE3EB5" w:rsidRPr="00DF5F56">
        <w:t>”</w:t>
      </w:r>
      <w:r w:rsidR="00CE3EB5">
        <w:t xml:space="preserve"> </w:t>
      </w:r>
      <w:r w:rsidR="00CE3EB5">
        <w:rPr>
          <w:b/>
          <w:bCs/>
        </w:rPr>
        <w:t>(Sic)</w:t>
      </w:r>
    </w:p>
    <w:p w14:paraId="70C90EFB" w14:textId="77777777" w:rsidR="009B5029" w:rsidRDefault="009B5029" w:rsidP="009B5029">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6CBFC893" w14:textId="2FB9A9DF" w:rsidR="009B5029" w:rsidRPr="00CE3EB5" w:rsidRDefault="00CE3EB5" w:rsidP="00CE3EB5">
      <w:pPr>
        <w:pStyle w:val="Citas"/>
        <w:rPr>
          <w:b/>
          <w:bCs/>
        </w:rPr>
      </w:pPr>
      <w:r w:rsidRPr="00DF5F56">
        <w:t>“</w:t>
      </w:r>
      <w:r w:rsidR="00DF5F56" w:rsidRPr="00DF5F56">
        <w:t>A NO?</w:t>
      </w:r>
      <w:r w:rsidRPr="00DF5F56">
        <w:t>”</w:t>
      </w:r>
      <w:r>
        <w:t xml:space="preserve"> </w:t>
      </w:r>
      <w:r>
        <w:rPr>
          <w:b/>
          <w:bCs/>
        </w:rPr>
        <w:t>(Sic)</w:t>
      </w:r>
    </w:p>
    <w:p w14:paraId="4A4C7430" w14:textId="77777777" w:rsidR="00CE3EB5" w:rsidRPr="00CE3EB5" w:rsidRDefault="00CE3EB5" w:rsidP="00CE3EB5">
      <w:pPr>
        <w:pStyle w:val="Citas"/>
      </w:pPr>
    </w:p>
    <w:p w14:paraId="147EA26C" w14:textId="7EE2002E" w:rsidR="009B5029" w:rsidRDefault="00757E87" w:rsidP="009B502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9B5029" w:rsidRPr="008551ED">
        <w:rPr>
          <w:rFonts w:ascii="Palatino Linotype" w:hAnsi="Palatino Linotype" w:cs="Arial"/>
          <w:b/>
          <w:sz w:val="24"/>
          <w:szCs w:val="24"/>
        </w:rPr>
        <w:t xml:space="preserve">. </w:t>
      </w:r>
      <w:r w:rsidR="009B5029" w:rsidRPr="0087163A">
        <w:rPr>
          <w:rFonts w:ascii="Palatino Linotype" w:hAnsi="Palatino Linotype" w:cs="Arial"/>
          <w:b/>
          <w:sz w:val="28"/>
          <w:szCs w:val="28"/>
        </w:rPr>
        <w:t>Del turno del recurso de revisión.</w:t>
      </w:r>
    </w:p>
    <w:p w14:paraId="5929B5D1" w14:textId="7331E2B6" w:rsidR="009B5029" w:rsidRDefault="009B5029" w:rsidP="009B50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C72BCF">
        <w:rPr>
          <w:rFonts w:ascii="Palatino Linotype" w:hAnsi="Palatino Linotype" w:cs="Arial"/>
          <w:b/>
          <w:bCs/>
          <w:sz w:val="24"/>
          <w:szCs w:val="24"/>
        </w:rPr>
        <w:t xml:space="preserve">siete de septiembre de dos </w:t>
      </w:r>
      <w:r w:rsidR="00C72BCF">
        <w:rPr>
          <w:rFonts w:ascii="Palatino Linotype" w:hAnsi="Palatino Linotype" w:cs="Arial"/>
          <w:b/>
          <w:bCs/>
          <w:sz w:val="24"/>
          <w:szCs w:val="24"/>
        </w:rPr>
        <w:lastRenderedPageBreak/>
        <w:t xml:space="preserve">mil veintitrés, </w:t>
      </w:r>
      <w:r>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Default="009B5029" w:rsidP="009B5029">
      <w:pPr>
        <w:spacing w:before="240" w:line="360" w:lineRule="auto"/>
        <w:jc w:val="both"/>
        <w:rPr>
          <w:rFonts w:ascii="Palatino Linotype" w:hAnsi="Palatino Linotype" w:cs="Arial"/>
          <w:sz w:val="24"/>
          <w:szCs w:val="24"/>
        </w:rPr>
      </w:pPr>
    </w:p>
    <w:p w14:paraId="606807D4" w14:textId="21C5CAE7" w:rsidR="009B5029" w:rsidRDefault="00757E87" w:rsidP="009B5029">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009B5029" w:rsidRPr="00AC0CCC">
        <w:rPr>
          <w:rFonts w:ascii="Palatino Linotype" w:hAnsi="Palatino Linotype" w:cs="Arial"/>
          <w:b/>
          <w:sz w:val="28"/>
          <w:szCs w:val="28"/>
        </w:rPr>
        <w:t xml:space="preserve">. </w:t>
      </w:r>
      <w:r w:rsidR="009B5029" w:rsidRPr="0087163A">
        <w:rPr>
          <w:rFonts w:ascii="Palatino Linotype" w:hAnsi="Palatino Linotype" w:cs="Arial"/>
          <w:b/>
          <w:sz w:val="28"/>
          <w:szCs w:val="28"/>
        </w:rPr>
        <w:t>De la etapa de instrucción.</w:t>
      </w:r>
    </w:p>
    <w:p w14:paraId="47534454" w14:textId="6B58F2E2" w:rsidR="00804620" w:rsidRDefault="009B5029" w:rsidP="009B5029">
      <w:pPr>
        <w:spacing w:after="0" w:line="360" w:lineRule="auto"/>
        <w:jc w:val="both"/>
        <w:rPr>
          <w:rFonts w:ascii="Palatino Linotype" w:hAnsi="Palatino Linotype" w:cs="Arial"/>
          <w:bCs/>
          <w:sz w:val="24"/>
          <w:szCs w:val="24"/>
        </w:rPr>
      </w:pPr>
      <w:r>
        <w:rPr>
          <w:rFonts w:ascii="Palatino Linotype" w:hAnsi="Palatino Linotype" w:cs="Arial"/>
          <w:sz w:val="24"/>
          <w:szCs w:val="24"/>
        </w:rPr>
        <w:t xml:space="preserve">Así, en la etapa de instrucción, de las constancias que obran en los expedientes electrónicos de los recursos de revisión se advierte que </w:t>
      </w:r>
      <w:r>
        <w:rPr>
          <w:rFonts w:ascii="Palatino Linotype" w:hAnsi="Palatino Linotype" w:cs="Arial"/>
          <w:b/>
          <w:bCs/>
          <w:sz w:val="24"/>
          <w:szCs w:val="24"/>
        </w:rPr>
        <w:t>El Sujeto Obligado</w:t>
      </w:r>
      <w:r w:rsidR="00FC2D20">
        <w:rPr>
          <w:rFonts w:ascii="Palatino Linotype" w:hAnsi="Palatino Linotype" w:cs="Arial"/>
          <w:b/>
          <w:bCs/>
          <w:sz w:val="24"/>
          <w:szCs w:val="24"/>
        </w:rPr>
        <w:t xml:space="preserve"> </w:t>
      </w:r>
      <w:r w:rsidR="00804620">
        <w:rPr>
          <w:rFonts w:ascii="Palatino Linotype" w:hAnsi="Palatino Linotype" w:cs="Arial"/>
          <w:bCs/>
          <w:sz w:val="24"/>
          <w:szCs w:val="24"/>
        </w:rPr>
        <w:t xml:space="preserve">fue omiso en rendir su informe justificado. </w:t>
      </w:r>
    </w:p>
    <w:p w14:paraId="4332B689" w14:textId="77777777" w:rsidR="00881D76" w:rsidRDefault="00881D76" w:rsidP="009B5029">
      <w:pPr>
        <w:spacing w:after="0" w:line="360" w:lineRule="auto"/>
        <w:jc w:val="both"/>
        <w:rPr>
          <w:rFonts w:ascii="Palatino Linotype" w:hAnsi="Palatino Linotype" w:cs="Arial"/>
          <w:bCs/>
          <w:sz w:val="24"/>
          <w:szCs w:val="24"/>
        </w:rPr>
      </w:pPr>
    </w:p>
    <w:p w14:paraId="468F8640" w14:textId="39365073" w:rsidR="00DF6F34" w:rsidRDefault="00FC2D20" w:rsidP="00321484">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w:t>
      </w:r>
      <w:r w:rsidR="00321484">
        <w:rPr>
          <w:rFonts w:ascii="Palatino Linotype" w:hAnsi="Palatino Linotype" w:cs="Arial"/>
          <w:bCs/>
          <w:sz w:val="24"/>
          <w:szCs w:val="24"/>
        </w:rPr>
        <w:t xml:space="preserve">el cierre de </w:t>
      </w:r>
      <w:r>
        <w:rPr>
          <w:rFonts w:ascii="Palatino Linotype" w:hAnsi="Palatino Linotype" w:cs="Arial"/>
          <w:bCs/>
          <w:sz w:val="24"/>
          <w:szCs w:val="24"/>
        </w:rPr>
        <w:t xml:space="preserve">instrucción con fecha </w:t>
      </w:r>
      <w:r w:rsidR="006715AF">
        <w:rPr>
          <w:rFonts w:ascii="Palatino Linotype" w:hAnsi="Palatino Linotype" w:cs="Arial"/>
          <w:b/>
          <w:bCs/>
          <w:sz w:val="24"/>
          <w:szCs w:val="24"/>
        </w:rPr>
        <w:t>diecinueve</w:t>
      </w:r>
      <w:r w:rsidR="00232742">
        <w:rPr>
          <w:rFonts w:ascii="Palatino Linotype" w:hAnsi="Palatino Linotype" w:cs="Arial"/>
          <w:b/>
          <w:bCs/>
          <w:sz w:val="24"/>
          <w:szCs w:val="24"/>
        </w:rPr>
        <w:t xml:space="preserve"> de septiembre</w:t>
      </w:r>
      <w:r w:rsidR="00321484">
        <w:rPr>
          <w:rFonts w:ascii="Palatino Linotype" w:hAnsi="Palatino Linotype" w:cs="Arial"/>
          <w:b/>
          <w:bCs/>
          <w:sz w:val="24"/>
          <w:szCs w:val="24"/>
        </w:rPr>
        <w:t xml:space="preserve"> del presente, </w:t>
      </w:r>
      <w:r w:rsidR="00DF6F34">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042B3921" w14:textId="77777777" w:rsidR="006A25FA" w:rsidRPr="00EF5310" w:rsidRDefault="006A25FA" w:rsidP="00321484">
      <w:pPr>
        <w:spacing w:after="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7CC46578" w14:textId="77777777" w:rsidR="006715AF" w:rsidRDefault="006715AF" w:rsidP="006715AF">
      <w:pPr>
        <w:spacing w:before="240" w:line="360" w:lineRule="auto"/>
        <w:jc w:val="both"/>
        <w:rPr>
          <w:rFonts w:ascii="Palatino Linotype" w:eastAsia="Calibri" w:hAnsi="Palatino Linotype" w:cs="Arial"/>
          <w:bCs/>
          <w:color w:val="000000" w:themeColor="text1"/>
          <w:sz w:val="24"/>
          <w:szCs w:val="24"/>
        </w:rPr>
      </w:pPr>
      <w:r>
        <w:rPr>
          <w:rFonts w:ascii="Palatino Linotype" w:eastAsia="Calibri" w:hAnsi="Palatino Linotype" w:cs="Arial"/>
          <w:bCs/>
          <w:color w:val="000000" w:themeColor="text1"/>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w:t>
      </w:r>
      <w:r>
        <w:rPr>
          <w:rFonts w:ascii="Palatino Linotype" w:eastAsia="Calibri" w:hAnsi="Palatino Linotype" w:cs="Arial"/>
          <w:bCs/>
          <w:color w:val="000000" w:themeColor="text1"/>
          <w:sz w:val="24"/>
          <w:szCs w:val="24"/>
        </w:rPr>
        <w:lastRenderedPageBreak/>
        <w:t>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2CD6D74" w14:textId="77777777" w:rsidR="00C72BCF" w:rsidRDefault="00C72BCF"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72EB9D2" w14:textId="5BD34365"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EC714CE" w14:textId="77777777" w:rsidR="00A36D0F" w:rsidRPr="00161CEB" w:rsidRDefault="00A36D0F" w:rsidP="00A36D0F">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66E8CB6" w14:textId="77777777" w:rsidR="00DF6F34" w:rsidRPr="00187D70" w:rsidRDefault="00DF6F34" w:rsidP="00DF6F34">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4A18F177"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9F449C8"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 El sujeto obligado ante la cual se presentó la solicitud;</w:t>
      </w:r>
    </w:p>
    <w:p w14:paraId="6BBF588B"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6B4B300"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7D43CD0E"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D1E8BEC"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07EA9DB3"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EB0A203"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9441997"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496A126"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1B13334" w14:textId="77777777" w:rsidR="00DF6F34" w:rsidRPr="00187D70" w:rsidRDefault="00DF6F34" w:rsidP="00DF6F34">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6062A3C" w14:textId="77777777" w:rsidR="00DF6F34" w:rsidRPr="009B74C2" w:rsidRDefault="00DF6F34" w:rsidP="00DF6F34">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58EF932" w14:textId="77777777" w:rsidR="00DF6F34" w:rsidRPr="00187D70" w:rsidRDefault="00DF6F34" w:rsidP="00DF6F34">
      <w:pPr>
        <w:spacing w:after="0" w:line="360" w:lineRule="auto"/>
        <w:jc w:val="both"/>
        <w:rPr>
          <w:rFonts w:ascii="Palatino Linotype" w:eastAsia="Times New Roman" w:hAnsi="Palatino Linotype" w:cs="Arial"/>
          <w:b/>
          <w:i/>
          <w:sz w:val="24"/>
          <w:szCs w:val="24"/>
          <w:lang w:eastAsia="es-ES"/>
        </w:rPr>
      </w:pPr>
    </w:p>
    <w:p w14:paraId="58FAABE2" w14:textId="77777777" w:rsidR="00DF6F34" w:rsidRPr="00187D70" w:rsidRDefault="00DF6F34" w:rsidP="00DF6F34">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3A0EA33" w14:textId="77777777" w:rsidR="00DF6F34" w:rsidRDefault="00DF6F34" w:rsidP="00DF6F34">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6F456BFC" w14:textId="77777777" w:rsidR="00DF6F34" w:rsidRPr="009B74C2" w:rsidRDefault="00DF6F34" w:rsidP="00DF6F34">
      <w:pPr>
        <w:spacing w:before="240" w:line="360" w:lineRule="auto"/>
        <w:ind w:left="851" w:right="851"/>
        <w:jc w:val="both"/>
        <w:rPr>
          <w:rFonts w:ascii="Palatino Linotype" w:hAnsi="Palatino Linotype" w:cs="Arial"/>
          <w:b/>
          <w:i/>
          <w:lang w:val="es-ES" w:eastAsia="es-ES"/>
        </w:rPr>
      </w:pPr>
    </w:p>
    <w:p w14:paraId="554C8AFF" w14:textId="77777777" w:rsidR="00DF6F34" w:rsidRDefault="00DF6F34" w:rsidP="00DF6F34">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747D3A91" w14:textId="77777777" w:rsidR="00DF6F34" w:rsidRPr="00187D70" w:rsidRDefault="00DF6F34" w:rsidP="00DF6F34">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033CB607"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B1FED0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2D41DA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Para efectos de lo dispuesto en el presente artículo se observará lo siguiente: </w:t>
      </w:r>
    </w:p>
    <w:p w14:paraId="3E8160F0"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4709A8D"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EE5D203"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1B69F2D" w14:textId="77777777" w:rsidR="00DF6F34" w:rsidRDefault="00DF6F34" w:rsidP="00DF6F34">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6052BFB" w14:textId="77777777" w:rsidR="00DF6F34" w:rsidRPr="00E71AB2" w:rsidRDefault="00DF6F34" w:rsidP="00DF6F34">
      <w:pPr>
        <w:spacing w:before="240" w:line="360" w:lineRule="auto"/>
        <w:ind w:left="851" w:right="851"/>
        <w:jc w:val="both"/>
        <w:rPr>
          <w:rFonts w:ascii="Palatino Linotype" w:eastAsia="Times New Roman" w:hAnsi="Palatino Linotype" w:cs="Times New Roman"/>
          <w:b/>
          <w:i/>
          <w:lang w:val="es-ES" w:eastAsia="es-ES"/>
        </w:rPr>
      </w:pPr>
    </w:p>
    <w:p w14:paraId="1F752397" w14:textId="77777777" w:rsidR="00DF6F34" w:rsidRPr="00187D70" w:rsidRDefault="00DF6F34" w:rsidP="00DF6F34">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BE31572"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1BA9C19"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F030AED"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62C7078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877D5E1"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854CF6F"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8A6C617"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Pr>
          <w:rFonts w:ascii="Palatino Linotype" w:eastAsia="Times New Roman" w:hAnsi="Palatino Linotype" w:cs="Times New Roman"/>
          <w:i/>
          <w:lang w:val="es-ES" w:eastAsia="es-ES"/>
        </w:rPr>
        <w:t>.</w:t>
      </w:r>
      <w:r w:rsidRPr="00187D70">
        <w:rPr>
          <w:rFonts w:ascii="Palatino Linotype" w:eastAsia="Times New Roman" w:hAnsi="Palatino Linotype" w:cs="Times New Roman"/>
          <w:i/>
          <w:lang w:val="es-ES" w:eastAsia="es-ES"/>
        </w:rPr>
        <w:t>.)</w:t>
      </w:r>
    </w:p>
    <w:p w14:paraId="610A486E"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2898943"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163BF5B" w14:textId="77777777" w:rsidR="00DF6F34" w:rsidRPr="00187D70" w:rsidRDefault="00DF6F34" w:rsidP="00DF6F34">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AB0F519" w14:textId="77777777" w:rsidR="00DF6F34" w:rsidRPr="009B74C2" w:rsidRDefault="00DF6F34" w:rsidP="00DF6F34">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w:t>
      </w:r>
      <w:r w:rsidRPr="00187D70">
        <w:rPr>
          <w:rFonts w:ascii="Palatino Linotype" w:eastAsia="Times New Roman"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559A8D2" w14:textId="77777777" w:rsidR="00C72BCF" w:rsidRDefault="00C72BCF" w:rsidP="00DF6F34">
      <w:pPr>
        <w:spacing w:after="0" w:line="360" w:lineRule="auto"/>
        <w:jc w:val="both"/>
        <w:rPr>
          <w:rFonts w:ascii="Palatino Linotype" w:eastAsia="Times New Roman" w:hAnsi="Palatino Linotype" w:cs="Times New Roman"/>
          <w:sz w:val="24"/>
          <w:szCs w:val="24"/>
          <w:lang w:val="es-ES" w:eastAsia="es-ES"/>
        </w:rPr>
      </w:pPr>
    </w:p>
    <w:p w14:paraId="32723598" w14:textId="2DECED55" w:rsidR="00DF6F34" w:rsidRPr="00187D70" w:rsidRDefault="00DF6F34" w:rsidP="00DF6F34">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27ED46B" w14:textId="77777777" w:rsidR="00DF6F34" w:rsidRPr="00187D70" w:rsidRDefault="00DF6F34" w:rsidP="00DF6F34">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6A802A9" w14:textId="77777777" w:rsidR="00DF6F34" w:rsidRPr="00187D70" w:rsidRDefault="00DF6F34" w:rsidP="00DF6F34">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67AD58C" w14:textId="77777777" w:rsidR="00DF6F34" w:rsidRPr="009B74C2" w:rsidRDefault="00DF6F34" w:rsidP="00DF6F34">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115F58FE" w14:textId="77777777" w:rsidR="00DF6F34" w:rsidRDefault="00DF6F34" w:rsidP="00DF6F34">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val="es-ES" w:eastAsia="es-ES"/>
        </w:rPr>
      </w:pPr>
    </w:p>
    <w:p w14:paraId="11E5C8CA" w14:textId="77777777" w:rsidR="00DF6F34" w:rsidRDefault="00DF6F34" w:rsidP="00DF6F3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w:t>
      </w:r>
      <w:bookmarkStart w:id="0" w:name="_GoBack"/>
      <w:bookmarkEnd w:id="0"/>
      <w:r w:rsidRPr="00187D70">
        <w:rPr>
          <w:rFonts w:ascii="Palatino Linotype" w:eastAsia="Times New Roman" w:hAnsi="Palatino Linotype" w:cs="Times New Roman"/>
          <w:sz w:val="24"/>
          <w:szCs w:val="24"/>
          <w:lang w:val="es-ES" w:eastAsia="es-ES"/>
        </w:rPr>
        <w:t xml:space="preserve">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511BBA79" w14:textId="77777777" w:rsidR="00DF6F34" w:rsidRDefault="00DF6F34" w:rsidP="00BA18D5">
      <w:pPr>
        <w:pStyle w:val="Prrafodelista"/>
        <w:autoSpaceDE w:val="0"/>
        <w:autoSpaceDN w:val="0"/>
        <w:adjustRightInd w:val="0"/>
        <w:spacing w:line="360" w:lineRule="auto"/>
        <w:ind w:left="0"/>
        <w:jc w:val="both"/>
        <w:rPr>
          <w:rFonts w:ascii="Palatino Linotype" w:hAnsi="Palatino Linotype" w:cs="Arial"/>
        </w:rPr>
      </w:pPr>
    </w:p>
    <w:p w14:paraId="7A2359F5" w14:textId="77777777" w:rsidR="00C37CA6" w:rsidRDefault="00C37CA6" w:rsidP="00C37CA6">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CUARTO</w:t>
      </w:r>
      <w:r w:rsidRPr="007D15EF">
        <w:rPr>
          <w:rFonts w:ascii="Palatino Linotype" w:hAnsi="Palatino Linotype"/>
          <w:b/>
          <w:sz w:val="28"/>
          <w:szCs w:val="28"/>
        </w:rPr>
        <w:t xml:space="preserve">. </w:t>
      </w:r>
      <w:r w:rsidRPr="009510B5">
        <w:rPr>
          <w:rFonts w:ascii="Palatino Linotype" w:hAnsi="Palatino Linotype" w:cs="Arial"/>
          <w:b/>
          <w:sz w:val="28"/>
          <w:szCs w:val="28"/>
        </w:rPr>
        <w:t>Del estudio de las causas de improcedencia y sobreseimiento</w:t>
      </w:r>
    </w:p>
    <w:p w14:paraId="393F0264" w14:textId="77777777" w:rsidR="00C37CA6" w:rsidRDefault="00C37CA6" w:rsidP="00C37CA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414B8FDE" w14:textId="77777777" w:rsidR="00C37CA6" w:rsidRDefault="00C37CA6" w:rsidP="00C37CA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w:t>
      </w:r>
      <w:r>
        <w:rPr>
          <w:rFonts w:ascii="Palatino Linotype" w:hAnsi="Palatino Linotype" w:cs="Arial"/>
        </w:rPr>
        <w:lastRenderedPageBreak/>
        <w:t xml:space="preserve">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0ADB13D0" w14:textId="77777777" w:rsidR="00C37CA6" w:rsidRDefault="00C37CA6" w:rsidP="00C37CA6">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 xml:space="preserve">de notoria importancia el trabajo de interpretación que </w:t>
      </w:r>
      <w:r w:rsidRPr="00552846">
        <w:rPr>
          <w:rFonts w:ascii="Palatino Linotype" w:hAnsi="Palatino Linotype" w:cs="Arial"/>
          <w:sz w:val="24"/>
          <w:szCs w:val="24"/>
        </w:rPr>
        <w:lastRenderedPageBreak/>
        <w:t>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1193D613" w14:textId="77777777" w:rsidR="00C37CA6" w:rsidRDefault="00C37CA6" w:rsidP="00C37CA6">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 xml:space="preserve">Ya que el planteamiento del problema es de toral importancia, a efecto de determinar la intención o voluntad </w:t>
      </w:r>
      <w:r>
        <w:rPr>
          <w:rFonts w:ascii="Palatino Linotype" w:hAnsi="Palatino Linotype" w:cs="Arial"/>
          <w:sz w:val="24"/>
          <w:szCs w:val="24"/>
        </w:rPr>
        <w:t>del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2B094083" w14:textId="6E145802" w:rsidR="007773E6" w:rsidRDefault="008028E9" w:rsidP="00E04DB7">
      <w:pPr>
        <w:autoSpaceDE w:val="0"/>
        <w:autoSpaceDN w:val="0"/>
        <w:adjustRightInd w:val="0"/>
        <w:spacing w:before="240" w:line="360" w:lineRule="auto"/>
        <w:jc w:val="both"/>
        <w:rPr>
          <w:rFonts w:ascii="Palatino Linotype" w:hAnsi="Palatino Linotype" w:cs="Arial"/>
          <w:sz w:val="24"/>
          <w:szCs w:val="24"/>
        </w:rPr>
      </w:pPr>
      <w:r w:rsidRPr="008028E9">
        <w:rPr>
          <w:rFonts w:ascii="Palatino Linotype" w:hAnsi="Palatino Linotype" w:cs="Arial"/>
          <w:sz w:val="24"/>
          <w:szCs w:val="24"/>
        </w:rPr>
        <w:t>En una aproximación inicial</w:t>
      </w:r>
      <w:r>
        <w:rPr>
          <w:rFonts w:ascii="Palatino Linotype" w:hAnsi="Palatino Linotype" w:cs="Arial"/>
          <w:sz w:val="24"/>
          <w:szCs w:val="24"/>
        </w:rPr>
        <w:t xml:space="preserve">, con relación </w:t>
      </w:r>
      <w:r w:rsidR="007773E6">
        <w:rPr>
          <w:rFonts w:ascii="Palatino Linotype" w:hAnsi="Palatino Linotype" w:cs="Arial"/>
          <w:sz w:val="24"/>
          <w:szCs w:val="24"/>
        </w:rPr>
        <w:t xml:space="preserve">a la solicitud de información </w:t>
      </w:r>
      <w:r w:rsidR="00C72BCF">
        <w:rPr>
          <w:rFonts w:ascii="Palatino Linotype" w:hAnsi="Palatino Linotype" w:cs="Arial"/>
          <w:b/>
          <w:bCs/>
          <w:sz w:val="24"/>
          <w:szCs w:val="24"/>
        </w:rPr>
        <w:t>01151</w:t>
      </w:r>
      <w:r w:rsidR="00804620">
        <w:rPr>
          <w:rFonts w:ascii="Palatino Linotype" w:hAnsi="Palatino Linotype" w:cs="Arial"/>
          <w:b/>
          <w:bCs/>
          <w:sz w:val="24"/>
          <w:szCs w:val="24"/>
        </w:rPr>
        <w:t>/ZINACANT/IP/2023</w:t>
      </w:r>
      <w:r w:rsidR="007773E6">
        <w:rPr>
          <w:rFonts w:ascii="Palatino Linotype" w:hAnsi="Palatino Linotype" w:cs="Arial"/>
          <w:b/>
          <w:bCs/>
          <w:sz w:val="24"/>
          <w:szCs w:val="24"/>
        </w:rPr>
        <w:t xml:space="preserve"> </w:t>
      </w:r>
      <w:r w:rsidR="007773E6">
        <w:rPr>
          <w:rFonts w:ascii="Palatino Linotype" w:hAnsi="Palatino Linotype" w:cs="Arial"/>
          <w:sz w:val="24"/>
          <w:szCs w:val="24"/>
        </w:rPr>
        <w:t>se desprenden las siguientes consideraciones:</w:t>
      </w:r>
    </w:p>
    <w:p w14:paraId="5EB61A55" w14:textId="77777777" w:rsidR="00133A1D" w:rsidRPr="00C24EA8" w:rsidRDefault="00133A1D" w:rsidP="003A3317">
      <w:pPr>
        <w:pStyle w:val="Prrafodelista"/>
        <w:numPr>
          <w:ilvl w:val="0"/>
          <w:numId w:val="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 xml:space="preserve">Sujetos Obligados. </w:t>
      </w:r>
    </w:p>
    <w:p w14:paraId="4579E1A6" w14:textId="77777777" w:rsidR="00C24EA8" w:rsidRDefault="00C24EA8" w:rsidP="00C24EA8">
      <w:pPr>
        <w:pStyle w:val="Prrafodelista"/>
        <w:autoSpaceDE w:val="0"/>
        <w:autoSpaceDN w:val="0"/>
        <w:adjustRightInd w:val="0"/>
        <w:spacing w:before="240" w:line="360" w:lineRule="auto"/>
        <w:ind w:left="720"/>
        <w:jc w:val="both"/>
        <w:rPr>
          <w:rFonts w:ascii="Palatino Linotype" w:hAnsi="Palatino Linotype" w:cs="Arial"/>
        </w:rPr>
      </w:pPr>
    </w:p>
    <w:p w14:paraId="7EC0C240" w14:textId="3408C799" w:rsidR="00C72BCF" w:rsidRPr="00C72BCF" w:rsidRDefault="00133A1D" w:rsidP="003A3317">
      <w:pPr>
        <w:pStyle w:val="Prrafodelista"/>
        <w:numPr>
          <w:ilvl w:val="0"/>
          <w:numId w:val="3"/>
        </w:numPr>
        <w:autoSpaceDE w:val="0"/>
        <w:autoSpaceDN w:val="0"/>
        <w:adjustRightInd w:val="0"/>
        <w:spacing w:before="240" w:after="240" w:line="360" w:lineRule="auto"/>
        <w:contextualSpacing/>
        <w:jc w:val="both"/>
        <w:rPr>
          <w:rFonts w:ascii="Palatino Linotype" w:hAnsi="Palatino Linotype"/>
          <w:i/>
          <w:lang w:eastAsia="es-MX"/>
        </w:rPr>
      </w:pPr>
      <w:r w:rsidRPr="00C24EA8">
        <w:rPr>
          <w:rFonts w:ascii="Palatino Linotype" w:hAnsi="Palatino Linotype" w:cs="Arial"/>
        </w:rPr>
        <w:t xml:space="preserve">Que </w:t>
      </w:r>
      <w:r w:rsidR="00C72BCF">
        <w:rPr>
          <w:rFonts w:ascii="Palatino Linotype" w:hAnsi="Palatino Linotype" w:cs="Arial"/>
        </w:rPr>
        <w:t xml:space="preserve">fue formulado </w:t>
      </w:r>
      <w:r w:rsidR="00C72BCF">
        <w:rPr>
          <w:rFonts w:ascii="Palatino Linotype" w:hAnsi="Palatino Linotype" w:cs="Arial"/>
          <w:b/>
          <w:bCs/>
        </w:rPr>
        <w:t xml:space="preserve">1 -uno- </w:t>
      </w:r>
      <w:r w:rsidR="00C72BCF">
        <w:rPr>
          <w:rFonts w:ascii="Palatino Linotype" w:hAnsi="Palatino Linotype" w:cs="Arial"/>
        </w:rPr>
        <w:t xml:space="preserve">requerimiento, respecto del cual no fue delimitado elemento temporal, debiendo de ser fijado a la fecha en que se ejerció el derecho de acceso a la información pública, es decir, al </w:t>
      </w:r>
      <w:r w:rsidR="00296915">
        <w:rPr>
          <w:rFonts w:ascii="Palatino Linotype" w:hAnsi="Palatino Linotype" w:cs="Arial"/>
        </w:rPr>
        <w:t xml:space="preserve">ocho de agosto de dos mil veintitrés. </w:t>
      </w:r>
    </w:p>
    <w:p w14:paraId="12C0CA14" w14:textId="77777777" w:rsidR="00296915" w:rsidRPr="00296915" w:rsidRDefault="00296915" w:rsidP="00296915">
      <w:pPr>
        <w:pStyle w:val="Prrafodelista"/>
        <w:spacing w:before="240" w:line="360" w:lineRule="auto"/>
        <w:ind w:left="720"/>
        <w:jc w:val="both"/>
        <w:rPr>
          <w:rFonts w:ascii="Palatino Linotype" w:hAnsi="Palatino Linotype"/>
        </w:rPr>
      </w:pPr>
    </w:p>
    <w:p w14:paraId="3C48AC54" w14:textId="4FDE005D" w:rsidR="00C72BCF" w:rsidRPr="008160EA" w:rsidRDefault="00C72BCF" w:rsidP="003A3317">
      <w:pPr>
        <w:pStyle w:val="Prrafodelista"/>
        <w:numPr>
          <w:ilvl w:val="0"/>
          <w:numId w:val="3"/>
        </w:numPr>
        <w:spacing w:before="240" w:line="360" w:lineRule="auto"/>
        <w:jc w:val="both"/>
        <w:rPr>
          <w:rFonts w:ascii="Palatino Linotype" w:hAnsi="Palatino Linotype"/>
        </w:rPr>
      </w:pPr>
      <w:r>
        <w:rPr>
          <w:rFonts w:ascii="Palatino Linotype" w:hAnsi="Palatino Linotype" w:cs="Arial"/>
        </w:rPr>
        <w:t xml:space="preserve">Que cuando los particulares </w:t>
      </w:r>
      <w:r w:rsidRPr="008160EA">
        <w:rPr>
          <w:rFonts w:ascii="Palatino Linotype" w:hAnsi="Palatino Linotype"/>
        </w:rPr>
        <w:t xml:space="preserve">no identifican de forma precisa el documento requerido bastará con que se remita cualquiera que refleje la información requerida. Al respecto cobra relevancia el criterio emitido por el Órgano </w:t>
      </w:r>
      <w:r w:rsidRPr="008160EA">
        <w:rPr>
          <w:rFonts w:ascii="Palatino Linotype" w:hAnsi="Palatino Linotype"/>
        </w:rPr>
        <w:lastRenderedPageBreak/>
        <w:t xml:space="preserve">Garante Nacional con número </w:t>
      </w:r>
      <w:r w:rsidRPr="008160EA">
        <w:rPr>
          <w:rFonts w:ascii="Palatino Linotype" w:hAnsi="Palatino Linotype"/>
          <w:b/>
          <w:bCs/>
        </w:rPr>
        <w:t xml:space="preserve">16/17 </w:t>
      </w:r>
      <w:r w:rsidRPr="008160EA">
        <w:rPr>
          <w:rFonts w:ascii="Palatino Linotype" w:hAnsi="Palatino Linotype"/>
        </w:rPr>
        <w:t>cuyo rubro y texto disponen a la literalidad lo siguiente:</w:t>
      </w:r>
    </w:p>
    <w:p w14:paraId="4B07E490" w14:textId="77777777" w:rsidR="00C72BCF" w:rsidRPr="00AB5B4A" w:rsidRDefault="00C72BCF" w:rsidP="00C72BCF">
      <w:pPr>
        <w:pStyle w:val="Citas"/>
        <w:jc w:val="center"/>
        <w:rPr>
          <w:b/>
          <w:bCs/>
          <w:sz w:val="24"/>
          <w:szCs w:val="24"/>
        </w:rPr>
      </w:pPr>
      <w:r w:rsidRPr="00AB5B4A">
        <w:rPr>
          <w:b/>
          <w:bCs/>
          <w:sz w:val="24"/>
          <w:szCs w:val="24"/>
        </w:rPr>
        <w:t>“EXPRESIÓN DOCUMENTAL.</w:t>
      </w:r>
    </w:p>
    <w:p w14:paraId="08D83E2F" w14:textId="77777777" w:rsidR="00C72BCF" w:rsidRPr="00AB5B4A" w:rsidRDefault="00C72BCF" w:rsidP="00C72BCF">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6AD64AB1" w14:textId="77777777" w:rsidR="00C72BCF" w:rsidRPr="00AB5B4A" w:rsidRDefault="00C72BCF" w:rsidP="00C72BCF">
      <w:pPr>
        <w:pStyle w:val="Citas"/>
        <w:rPr>
          <w:b/>
        </w:rPr>
      </w:pPr>
      <w:r w:rsidRPr="00AB5B4A">
        <w:rPr>
          <w:b/>
        </w:rPr>
        <w:t>Precedentes:</w:t>
      </w:r>
    </w:p>
    <w:p w14:paraId="39FC5C4A" w14:textId="77777777" w:rsidR="00C72BCF" w:rsidRPr="00AB5B4A" w:rsidRDefault="00C72BCF" w:rsidP="003A3317">
      <w:pPr>
        <w:pStyle w:val="Citas"/>
        <w:numPr>
          <w:ilvl w:val="0"/>
          <w:numId w:val="4"/>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216D639E" w14:textId="77777777" w:rsidR="00C72BCF" w:rsidRPr="00AB5B4A" w:rsidRDefault="00C72BCF" w:rsidP="003A3317">
      <w:pPr>
        <w:pStyle w:val="Citas"/>
        <w:numPr>
          <w:ilvl w:val="0"/>
          <w:numId w:val="4"/>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337EFC62" w14:textId="0F64ED88" w:rsidR="00C72BCF" w:rsidRPr="00296915" w:rsidRDefault="00C72BCF" w:rsidP="003A3317">
      <w:pPr>
        <w:pStyle w:val="Citas"/>
        <w:numPr>
          <w:ilvl w:val="0"/>
          <w:numId w:val="4"/>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w:t>
      </w:r>
      <w:proofErr w:type="gramStart"/>
      <w:r w:rsidRPr="00AB5B4A">
        <w:t xml:space="preserve">“ </w:t>
      </w:r>
      <w:r w:rsidRPr="00AB5B4A">
        <w:rPr>
          <w:b/>
          <w:bCs/>
        </w:rPr>
        <w:t>(</w:t>
      </w:r>
      <w:proofErr w:type="gramEnd"/>
      <w:r w:rsidRPr="00AB5B4A">
        <w:rPr>
          <w:b/>
          <w:bCs/>
        </w:rPr>
        <w:t>Sic)</w:t>
      </w:r>
    </w:p>
    <w:p w14:paraId="0A547930" w14:textId="77777777" w:rsidR="00296915" w:rsidRDefault="00296915" w:rsidP="00296915">
      <w:pPr>
        <w:pStyle w:val="Citas"/>
      </w:pPr>
    </w:p>
    <w:p w14:paraId="5531DACD" w14:textId="77777777" w:rsidR="00296915" w:rsidRPr="0051062B" w:rsidRDefault="00296915" w:rsidP="00296915">
      <w:pPr>
        <w:spacing w:before="240" w:line="360" w:lineRule="auto"/>
        <w:jc w:val="both"/>
        <w:rPr>
          <w:rFonts w:ascii="Palatino Linotype" w:hAnsi="Palatino Linotype"/>
          <w:sz w:val="24"/>
          <w:szCs w:val="24"/>
        </w:rPr>
      </w:pPr>
      <w:r w:rsidRPr="00A44FBE">
        <w:rPr>
          <w:rFonts w:ascii="Palatino Linotype" w:hAnsi="Palatino Linotype"/>
          <w:sz w:val="24"/>
          <w:szCs w:val="24"/>
        </w:rPr>
        <w:lastRenderedPageBreak/>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74A3DAF0" w14:textId="77777777" w:rsidR="00296915" w:rsidRPr="0051062B" w:rsidRDefault="00296915" w:rsidP="00296915">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D131BAD" w14:textId="77777777" w:rsidR="00296915" w:rsidRPr="0051062B" w:rsidRDefault="00296915" w:rsidP="00296915">
      <w:pPr>
        <w:pStyle w:val="Citas"/>
        <w:rPr>
          <w:b/>
        </w:rPr>
      </w:pPr>
      <w:r w:rsidRPr="0051062B">
        <w:rPr>
          <w:b/>
        </w:rPr>
        <w:t xml:space="preserve">Artículo 181. … </w:t>
      </w:r>
    </w:p>
    <w:p w14:paraId="7119AAAA" w14:textId="77777777" w:rsidR="00296915" w:rsidRDefault="00296915" w:rsidP="00296915">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5D85C873" w14:textId="77777777" w:rsidR="00296915" w:rsidRDefault="00296915" w:rsidP="00296915">
      <w:pPr>
        <w:spacing w:before="240" w:line="360" w:lineRule="auto"/>
        <w:jc w:val="both"/>
        <w:rPr>
          <w:rFonts w:ascii="Palatino Linotype" w:hAnsi="Palatino Linotype"/>
          <w:sz w:val="24"/>
          <w:szCs w:val="24"/>
        </w:rPr>
      </w:pPr>
    </w:p>
    <w:p w14:paraId="00B52E67" w14:textId="1D799CEC" w:rsidR="00296915" w:rsidRDefault="00296915" w:rsidP="00296915">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25CA191B" w14:textId="177FFB50" w:rsidR="00296915" w:rsidRPr="00296915" w:rsidRDefault="00296915" w:rsidP="003A3317">
      <w:pPr>
        <w:pStyle w:val="Citas"/>
        <w:numPr>
          <w:ilvl w:val="0"/>
          <w:numId w:val="6"/>
        </w:numPr>
        <w:rPr>
          <w:i w:val="0"/>
          <w:iCs/>
          <w:color w:val="000000"/>
          <w:sz w:val="24"/>
          <w:szCs w:val="24"/>
        </w:rPr>
      </w:pPr>
      <w:r>
        <w:rPr>
          <w:i w:val="0"/>
          <w:iCs/>
          <w:color w:val="000000"/>
          <w:sz w:val="24"/>
          <w:szCs w:val="24"/>
        </w:rPr>
        <w:t xml:space="preserve">El o los documentos donde conste el pago realizado a la comisionada para asistir al Ayuntamiento de Zinacantepec, al ocho de agosto de dos mil veintitrés. </w:t>
      </w:r>
    </w:p>
    <w:p w14:paraId="602422DB" w14:textId="77777777" w:rsidR="00C72BCF" w:rsidRPr="00C72BCF" w:rsidRDefault="00C72BCF" w:rsidP="00296915">
      <w:pPr>
        <w:pStyle w:val="Prrafodelista"/>
        <w:autoSpaceDE w:val="0"/>
        <w:autoSpaceDN w:val="0"/>
        <w:adjustRightInd w:val="0"/>
        <w:spacing w:before="240" w:after="240" w:line="360" w:lineRule="auto"/>
        <w:ind w:left="720"/>
        <w:contextualSpacing/>
        <w:jc w:val="both"/>
        <w:rPr>
          <w:rFonts w:ascii="Palatino Linotype" w:hAnsi="Palatino Linotype"/>
          <w:i/>
          <w:lang w:eastAsia="es-MX"/>
        </w:rPr>
      </w:pPr>
    </w:p>
    <w:p w14:paraId="079F5378" w14:textId="6C7FBC5A" w:rsidR="00E04DB7" w:rsidRDefault="00E04DB7" w:rsidP="00E04DB7">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r w:rsidR="00321484">
        <w:rPr>
          <w:rFonts w:ascii="Palatino Linotype" w:hAnsi="Palatino Linotype" w:cs="Arial"/>
          <w:noProof/>
          <w:color w:val="000000"/>
          <w:sz w:val="24"/>
          <w:lang w:eastAsia="es-MX"/>
        </w:rPr>
        <w:t xml:space="preserve"> </w:t>
      </w:r>
    </w:p>
    <w:p w14:paraId="0651E25D"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Pr>
          <w:rFonts w:ascii="Palatino Linotype" w:hAnsi="Palatino Linotype"/>
          <w:i/>
        </w:rPr>
        <w:lastRenderedPageBreak/>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E65AD01"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ABDDB34" w14:textId="77777777" w:rsidR="00E04DB7" w:rsidRPr="009535E0" w:rsidRDefault="00E04DB7" w:rsidP="00E04DB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8F49E8" w14:textId="77777777" w:rsidR="00E04DB7" w:rsidRDefault="00E04DB7" w:rsidP="00E04DB7">
      <w:pPr>
        <w:pStyle w:val="INFOEM0"/>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4133853" w14:textId="77777777" w:rsidR="00E04DB7" w:rsidRPr="00A94BBE" w:rsidRDefault="00E04DB7" w:rsidP="00E04DB7">
      <w:pPr>
        <w:pStyle w:val="INFOEM0"/>
        <w:rPr>
          <w:b/>
        </w:rPr>
      </w:pPr>
      <w:r>
        <w:t xml:space="preserve"> (…)” </w:t>
      </w:r>
      <w:r>
        <w:rPr>
          <w:b/>
        </w:rPr>
        <w:t xml:space="preserve">[Sic] </w:t>
      </w:r>
    </w:p>
    <w:p w14:paraId="05992215" w14:textId="77777777" w:rsidR="00522780" w:rsidRDefault="00522780" w:rsidP="00E04DB7">
      <w:pPr>
        <w:pStyle w:val="Sinespaciado"/>
        <w:spacing w:line="360" w:lineRule="auto"/>
        <w:jc w:val="both"/>
        <w:rPr>
          <w:rFonts w:ascii="Palatino Linotype" w:hAnsi="Palatino Linotype"/>
        </w:rPr>
      </w:pPr>
    </w:p>
    <w:p w14:paraId="4C096975" w14:textId="062FCAE5" w:rsidR="00AB3CCD" w:rsidRDefault="00AB3CCD" w:rsidP="00E04DB7">
      <w:pPr>
        <w:pStyle w:val="Sinespaciado"/>
        <w:spacing w:line="360" w:lineRule="auto"/>
        <w:jc w:val="both"/>
        <w:rPr>
          <w:rFonts w:ascii="Palatino Linotype" w:hAnsi="Palatino Linotype"/>
          <w:b/>
          <w:bCs/>
        </w:rPr>
      </w:pPr>
      <w:r>
        <w:rPr>
          <w:rFonts w:ascii="Palatino Linotype" w:hAnsi="Palatino Linotype"/>
        </w:rPr>
        <w:t xml:space="preserve">Resulta oportuno traer a colación las siguientes imágenes ilustrativas, correspondientes al organigrama del </w:t>
      </w:r>
      <w:r>
        <w:rPr>
          <w:rFonts w:ascii="Palatino Linotype" w:hAnsi="Palatino Linotype"/>
          <w:b/>
          <w:bCs/>
        </w:rPr>
        <w:t>Sujeto Obligado</w:t>
      </w:r>
      <w:r w:rsidR="00A35411">
        <w:rPr>
          <w:rFonts w:ascii="Palatino Linotype" w:hAnsi="Palatino Linotype"/>
          <w:b/>
          <w:bCs/>
        </w:rPr>
        <w:t xml:space="preserve">: </w:t>
      </w:r>
    </w:p>
    <w:p w14:paraId="119EADBD" w14:textId="6541D9C9" w:rsidR="00296915" w:rsidRDefault="003A5B76" w:rsidP="00E04DB7">
      <w:pPr>
        <w:pStyle w:val="Sinespaciado"/>
        <w:spacing w:line="360" w:lineRule="auto"/>
        <w:jc w:val="both"/>
        <w:rPr>
          <w:rFonts w:ascii="Palatino Linotype" w:hAnsi="Palatino Linotype"/>
          <w:b/>
          <w:bCs/>
        </w:rPr>
      </w:pPr>
      <w:r>
        <w:rPr>
          <w:rFonts w:ascii="Palatino Linotype" w:hAnsi="Palatino Linotype"/>
          <w:b/>
          <w:bCs/>
          <w:noProof/>
          <w:lang w:eastAsia="es-MX"/>
        </w:rPr>
        <w:lastRenderedPageBreak/>
        <mc:AlternateContent>
          <mc:Choice Requires="wps">
            <w:drawing>
              <wp:anchor distT="0" distB="0" distL="114300" distR="114300" simplePos="0" relativeHeight="251880435" behindDoc="0" locked="0" layoutInCell="1" allowOverlap="1" wp14:anchorId="2231835F" wp14:editId="621D2497">
                <wp:simplePos x="0" y="0"/>
                <wp:positionH relativeFrom="column">
                  <wp:posOffset>1952656</wp:posOffset>
                </wp:positionH>
                <wp:positionV relativeFrom="paragraph">
                  <wp:posOffset>1097125</wp:posOffset>
                </wp:positionV>
                <wp:extent cx="728546" cy="327103"/>
                <wp:effectExtent l="0" t="0" r="14605" b="15875"/>
                <wp:wrapNone/>
                <wp:docPr id="1370912714" name="Oval 1"/>
                <wp:cNvGraphicFramePr/>
                <a:graphic xmlns:a="http://schemas.openxmlformats.org/drawingml/2006/main">
                  <a:graphicData uri="http://schemas.microsoft.com/office/word/2010/wordprocessingShape">
                    <wps:wsp>
                      <wps:cNvSpPr/>
                      <wps:spPr>
                        <a:xfrm>
                          <a:off x="0" y="0"/>
                          <a:ext cx="728546" cy="327103"/>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2046D93" id="Oval 1" o:spid="_x0000_s1026" style="position:absolute;margin-left:153.75pt;margin-top:86.4pt;width:57.35pt;height:25.75pt;z-index:2518804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" filled="f" strokecolor="red" strokeweight="1pt">
                <v:stroke joinstyle="miter"/>
              </v:oval>
            </w:pict>
          </mc:Fallback>
        </mc:AlternateContent>
      </w:r>
      <w:r>
        <w:rPr>
          <w:rFonts w:ascii="Palatino Linotype" w:hAnsi="Palatino Linotype"/>
          <w:b/>
          <w:bCs/>
          <w:noProof/>
          <w:lang w:eastAsia="es-MX"/>
        </w:rPr>
        <w:drawing>
          <wp:anchor distT="0" distB="0" distL="114300" distR="114300" simplePos="0" relativeHeight="251879411" behindDoc="0" locked="0" layoutInCell="1" allowOverlap="1" wp14:anchorId="03AA18B2" wp14:editId="7760A60E">
            <wp:simplePos x="0" y="0"/>
            <wp:positionH relativeFrom="page">
              <wp:align>center</wp:align>
            </wp:positionH>
            <wp:positionV relativeFrom="paragraph">
              <wp:posOffset>19561</wp:posOffset>
            </wp:positionV>
            <wp:extent cx="5753100" cy="3246120"/>
            <wp:effectExtent l="19050" t="19050" r="19050" b="11430"/>
            <wp:wrapThrough wrapText="bothSides">
              <wp:wrapPolygon edited="0">
                <wp:start x="-72" y="-127"/>
                <wp:lineTo x="-72" y="21549"/>
                <wp:lineTo x="21600" y="21549"/>
                <wp:lineTo x="21600" y="-127"/>
                <wp:lineTo x="-72" y="-127"/>
              </wp:wrapPolygon>
            </wp:wrapThrough>
            <wp:docPr id="1333151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2461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CE74201" w14:textId="44EFD0B1" w:rsidR="00296915" w:rsidRDefault="003A5B76" w:rsidP="00E04DB7">
      <w:pPr>
        <w:pStyle w:val="Sinespaciado"/>
        <w:spacing w:line="360" w:lineRule="auto"/>
        <w:jc w:val="both"/>
        <w:rPr>
          <w:rFonts w:ascii="Palatino Linotype" w:hAnsi="Palatino Linotype"/>
          <w:b/>
          <w:bCs/>
        </w:rPr>
      </w:pPr>
      <w:r>
        <w:rPr>
          <w:rFonts w:ascii="Palatino Linotype" w:hAnsi="Palatino Linotype"/>
          <w:b/>
          <w:bCs/>
          <w:noProof/>
          <w:lang w:eastAsia="es-MX"/>
        </w:rPr>
        <w:drawing>
          <wp:anchor distT="0" distB="0" distL="114300" distR="114300" simplePos="0" relativeHeight="251881459" behindDoc="0" locked="0" layoutInCell="1" allowOverlap="1" wp14:anchorId="31CDE226" wp14:editId="0F699EB1">
            <wp:simplePos x="0" y="0"/>
            <wp:positionH relativeFrom="margin">
              <wp:posOffset>174625</wp:posOffset>
            </wp:positionH>
            <wp:positionV relativeFrom="paragraph">
              <wp:posOffset>23495</wp:posOffset>
            </wp:positionV>
            <wp:extent cx="2783205" cy="939800"/>
            <wp:effectExtent l="19050" t="19050" r="17145" b="12700"/>
            <wp:wrapThrough wrapText="bothSides">
              <wp:wrapPolygon edited="0">
                <wp:start x="-148" y="-438"/>
                <wp:lineTo x="-148" y="21454"/>
                <wp:lineTo x="21585" y="21454"/>
                <wp:lineTo x="21585" y="-438"/>
                <wp:lineTo x="-148" y="-438"/>
              </wp:wrapPolygon>
            </wp:wrapThrough>
            <wp:docPr id="1735947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3205" cy="939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878387" behindDoc="0" locked="0" layoutInCell="1" allowOverlap="1" wp14:anchorId="5B1C70D5" wp14:editId="41F92E14">
            <wp:simplePos x="0" y="0"/>
            <wp:positionH relativeFrom="page">
              <wp:posOffset>4375057</wp:posOffset>
            </wp:positionH>
            <wp:positionV relativeFrom="paragraph">
              <wp:posOffset>23495</wp:posOffset>
            </wp:positionV>
            <wp:extent cx="2022475" cy="939800"/>
            <wp:effectExtent l="19050" t="19050" r="15875" b="12700"/>
            <wp:wrapThrough wrapText="bothSides">
              <wp:wrapPolygon edited="0">
                <wp:start x="-203" y="-438"/>
                <wp:lineTo x="-203" y="21454"/>
                <wp:lineTo x="21566" y="21454"/>
                <wp:lineTo x="21566" y="-438"/>
                <wp:lineTo x="-203" y="-438"/>
              </wp:wrapPolygon>
            </wp:wrapThrough>
            <wp:docPr id="47869999" name="Picture 2"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9999" name="Picture 2" descr="Black text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2475" cy="939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3158860" w14:textId="560CCF37" w:rsidR="00296915" w:rsidRDefault="00296915" w:rsidP="00E04DB7">
      <w:pPr>
        <w:pStyle w:val="Sinespaciado"/>
        <w:spacing w:line="360" w:lineRule="auto"/>
        <w:jc w:val="both"/>
        <w:rPr>
          <w:rFonts w:ascii="Palatino Linotype" w:hAnsi="Palatino Linotype"/>
          <w:b/>
          <w:bCs/>
        </w:rPr>
      </w:pPr>
    </w:p>
    <w:p w14:paraId="429093DA" w14:textId="15AFDDC7" w:rsidR="00296915" w:rsidRDefault="00296915" w:rsidP="00E04DB7">
      <w:pPr>
        <w:pStyle w:val="Sinespaciado"/>
        <w:spacing w:line="360" w:lineRule="auto"/>
        <w:jc w:val="both"/>
        <w:rPr>
          <w:rFonts w:ascii="Palatino Linotype" w:hAnsi="Palatino Linotype"/>
          <w:b/>
          <w:bCs/>
        </w:rPr>
      </w:pPr>
    </w:p>
    <w:p w14:paraId="6A4B9C56" w14:textId="5AC650E2" w:rsidR="00296915" w:rsidRDefault="00296915" w:rsidP="00E04DB7">
      <w:pPr>
        <w:pStyle w:val="Sinespaciado"/>
        <w:spacing w:line="360" w:lineRule="auto"/>
        <w:jc w:val="both"/>
        <w:rPr>
          <w:rFonts w:ascii="Palatino Linotype" w:hAnsi="Palatino Linotype"/>
          <w:b/>
          <w:bCs/>
        </w:rPr>
      </w:pPr>
    </w:p>
    <w:p w14:paraId="2B1190B8" w14:textId="0CE2FE4F" w:rsidR="00FA4DD0" w:rsidRDefault="000E0868" w:rsidP="000E08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la </w:t>
      </w:r>
      <w:r w:rsidR="00E95C3B">
        <w:rPr>
          <w:rFonts w:ascii="Palatino Linotype" w:hAnsi="Palatino Linotype" w:cs="Arial"/>
        </w:rPr>
        <w:t>Tesorería Municipal</w:t>
      </w:r>
      <w:r w:rsidR="003A5B76">
        <w:rPr>
          <w:rFonts w:ascii="Palatino Linotype" w:hAnsi="Palatino Linotype" w:cs="Arial"/>
        </w:rPr>
        <w:t xml:space="preserve"> y la Unidad de Transparencia. </w:t>
      </w:r>
    </w:p>
    <w:p w14:paraId="4CEDFCA5" w14:textId="6ADD6035" w:rsidR="00036DE6" w:rsidRDefault="00153B3B" w:rsidP="00036DE6">
      <w:pPr>
        <w:pStyle w:val="Prrafodelista"/>
        <w:autoSpaceDE w:val="0"/>
        <w:autoSpaceDN w:val="0"/>
        <w:adjustRightInd w:val="0"/>
        <w:spacing w:before="240" w:after="160" w:line="360" w:lineRule="auto"/>
        <w:ind w:left="0"/>
        <w:jc w:val="both"/>
        <w:rPr>
          <w:rFonts w:ascii="Palatino Linotype" w:hAnsi="Palatino Linotype" w:cs="Arial"/>
        </w:rPr>
      </w:pPr>
      <w:r w:rsidRPr="007B1D30">
        <w:rPr>
          <w:rFonts w:ascii="Palatino Linotype" w:hAnsi="Palatino Linotype" w:cs="Arial"/>
        </w:rPr>
        <w:t>De manera complementaria, a efecto de ilustrar la esfera competencial de la</w:t>
      </w:r>
      <w:r w:rsidR="003A5B76">
        <w:rPr>
          <w:rFonts w:ascii="Palatino Linotype" w:hAnsi="Palatino Linotype" w:cs="Arial"/>
        </w:rPr>
        <w:t>s</w:t>
      </w:r>
      <w:r w:rsidRPr="007B1D30">
        <w:rPr>
          <w:rFonts w:ascii="Palatino Linotype" w:hAnsi="Palatino Linotype" w:cs="Arial"/>
        </w:rPr>
        <w:t xml:space="preserve"> unidad</w:t>
      </w:r>
      <w:r w:rsidR="003A5B76">
        <w:rPr>
          <w:rFonts w:ascii="Palatino Linotype" w:hAnsi="Palatino Linotype" w:cs="Arial"/>
        </w:rPr>
        <w:t>es</w:t>
      </w:r>
      <w:r w:rsidRPr="007B1D30">
        <w:rPr>
          <w:rFonts w:ascii="Palatino Linotype" w:hAnsi="Palatino Linotype" w:cs="Arial"/>
        </w:rPr>
        <w:t xml:space="preserve"> administrativa</w:t>
      </w:r>
      <w:r w:rsidR="003A5B76">
        <w:rPr>
          <w:rFonts w:ascii="Palatino Linotype" w:hAnsi="Palatino Linotype" w:cs="Arial"/>
        </w:rPr>
        <w:t>s</w:t>
      </w:r>
      <w:r w:rsidRPr="007B1D30">
        <w:rPr>
          <w:rFonts w:ascii="Palatino Linotype" w:hAnsi="Palatino Linotype" w:cs="Arial"/>
        </w:rPr>
        <w:t xml:space="preserve"> en cita, resulta oportuno traer a colación </w:t>
      </w:r>
      <w:r>
        <w:rPr>
          <w:rFonts w:ascii="Palatino Linotype" w:hAnsi="Palatino Linotype" w:cs="Arial"/>
        </w:rPr>
        <w:t>el artículo</w:t>
      </w:r>
      <w:r w:rsidR="00906135">
        <w:rPr>
          <w:rFonts w:ascii="Palatino Linotype" w:hAnsi="Palatino Linotype" w:cs="Arial"/>
        </w:rPr>
        <w:t xml:space="preserve"> 95 de la Ley Orgánica Municipal del Estado de México; numerales 46, 47 y 48 del Reglamento </w:t>
      </w:r>
      <w:r w:rsidR="00906135">
        <w:rPr>
          <w:rFonts w:ascii="Palatino Linotype" w:hAnsi="Palatino Linotype" w:cs="Arial"/>
        </w:rPr>
        <w:lastRenderedPageBreak/>
        <w:t>Orgánico Municipal de Zinacantepec,</w:t>
      </w:r>
      <w:r w:rsidR="00036DE6">
        <w:rPr>
          <w:rFonts w:ascii="Palatino Linotype" w:hAnsi="Palatino Linotype" w:cs="Arial"/>
        </w:rPr>
        <w:t xml:space="preserve"> así como los artículos 24 y 49 de la Ley de transparencia y acceso a la información pública del </w:t>
      </w:r>
      <w:r w:rsidR="007472BF">
        <w:rPr>
          <w:rFonts w:ascii="Palatino Linotype" w:hAnsi="Palatino Linotype" w:cs="Arial"/>
        </w:rPr>
        <w:t>E</w:t>
      </w:r>
      <w:r w:rsidR="00036DE6">
        <w:rPr>
          <w:rFonts w:ascii="Palatino Linotype" w:hAnsi="Palatino Linotype" w:cs="Arial"/>
        </w:rPr>
        <w:t xml:space="preserve">stado de México y </w:t>
      </w:r>
      <w:r w:rsidR="007472BF">
        <w:rPr>
          <w:rFonts w:ascii="Palatino Linotype" w:hAnsi="Palatino Linotype" w:cs="Arial"/>
        </w:rPr>
        <w:t>M</w:t>
      </w:r>
      <w:r w:rsidR="00036DE6">
        <w:rPr>
          <w:rFonts w:ascii="Palatino Linotype" w:hAnsi="Palatino Linotype" w:cs="Arial"/>
        </w:rPr>
        <w:t>unicipios, porciones normativas que disponen a la literalidad lo siguiente:</w:t>
      </w:r>
    </w:p>
    <w:p w14:paraId="2404A1A3" w14:textId="77777777" w:rsidR="00153B3B" w:rsidRPr="00A06A6F" w:rsidRDefault="00153B3B" w:rsidP="00153B3B">
      <w:pPr>
        <w:pStyle w:val="Citas"/>
        <w:jc w:val="center"/>
        <w:rPr>
          <w:b/>
          <w:bCs/>
        </w:rPr>
      </w:pPr>
      <w:r w:rsidRPr="00A06A6F">
        <w:rPr>
          <w:b/>
          <w:bCs/>
        </w:rPr>
        <w:t>LEY ORGÁNICA MUNICIPAL DEL ESTADO DE MÉXICO</w:t>
      </w:r>
    </w:p>
    <w:p w14:paraId="60B9B810" w14:textId="77777777" w:rsidR="00153B3B" w:rsidRDefault="00153B3B" w:rsidP="00153B3B">
      <w:pPr>
        <w:pStyle w:val="Citas"/>
      </w:pPr>
      <w:r>
        <w:t>“Artículo 95.- Son atribuciones del tesorero municipal:</w:t>
      </w:r>
    </w:p>
    <w:p w14:paraId="4FD73373" w14:textId="77777777" w:rsidR="00153B3B" w:rsidRDefault="00153B3B" w:rsidP="00153B3B">
      <w:pPr>
        <w:pStyle w:val="Citas"/>
      </w:pPr>
      <w:r>
        <w:t>I. Administrar la hacienda pública municipal, de conformidad con las disposiciones legales aplicables;</w:t>
      </w:r>
    </w:p>
    <w:p w14:paraId="0DDDA35D" w14:textId="77777777" w:rsidR="00153B3B" w:rsidRDefault="00153B3B" w:rsidP="00153B3B">
      <w:pPr>
        <w:pStyle w:val="Citas"/>
      </w:pPr>
      <w:r>
        <w:t xml:space="preserve">IV. Llevar los registros contables, financieros y administrativos de los ingresos, egresos, e inventarios; </w:t>
      </w:r>
    </w:p>
    <w:p w14:paraId="0AD0DF6F" w14:textId="77777777" w:rsidR="00153B3B" w:rsidRDefault="00153B3B" w:rsidP="00153B3B">
      <w:pPr>
        <w:pStyle w:val="Citas"/>
      </w:pPr>
      <w:r>
        <w:t>V. Proporcionar oportunamente al ayuntamiento todos los datos o informes que sean necesarios para la formulación del Presupuesto de Egresos Municipales, vigilando que se ajuste a las disposiciones de esta Ley y otros ordenamientos aplicables;</w:t>
      </w:r>
    </w:p>
    <w:p w14:paraId="0A186518" w14:textId="77777777" w:rsidR="00153B3B" w:rsidRDefault="00153B3B" w:rsidP="00153B3B">
      <w:pPr>
        <w:pStyle w:val="Citas"/>
      </w:pPr>
      <w:r>
        <w:t>XVI. Glosar oportunamente las cuentas del ayuntamiento;</w:t>
      </w:r>
    </w:p>
    <w:p w14:paraId="64EAECEF" w14:textId="77777777" w:rsidR="00153B3B" w:rsidRPr="00E82C6A" w:rsidRDefault="00153B3B" w:rsidP="00153B3B">
      <w:pPr>
        <w:pStyle w:val="Citas"/>
        <w:rPr>
          <w:b/>
          <w:bCs/>
        </w:rPr>
      </w:pPr>
      <w:r>
        <w:t xml:space="preserve">(…)” </w:t>
      </w:r>
      <w:r>
        <w:rPr>
          <w:b/>
          <w:bCs/>
        </w:rPr>
        <w:t>(Sic)</w:t>
      </w:r>
    </w:p>
    <w:p w14:paraId="5FD843DA" w14:textId="77777777" w:rsidR="00153B3B" w:rsidRDefault="00153B3B" w:rsidP="000E0868">
      <w:pPr>
        <w:pStyle w:val="Prrafodelista"/>
        <w:autoSpaceDE w:val="0"/>
        <w:autoSpaceDN w:val="0"/>
        <w:adjustRightInd w:val="0"/>
        <w:spacing w:before="240" w:after="160" w:line="360" w:lineRule="auto"/>
        <w:ind w:left="0"/>
        <w:jc w:val="both"/>
        <w:rPr>
          <w:rFonts w:ascii="Palatino Linotype" w:hAnsi="Palatino Linotype" w:cs="Arial"/>
        </w:rPr>
      </w:pPr>
    </w:p>
    <w:p w14:paraId="4A9A3DBC" w14:textId="0AAC6B82" w:rsidR="00906135" w:rsidRPr="00906135" w:rsidRDefault="00906135" w:rsidP="00906135">
      <w:pPr>
        <w:pStyle w:val="Citas"/>
        <w:jc w:val="center"/>
        <w:rPr>
          <w:b/>
          <w:bCs/>
        </w:rPr>
      </w:pPr>
      <w:r w:rsidRPr="00906135">
        <w:rPr>
          <w:b/>
          <w:bCs/>
        </w:rPr>
        <w:t>REGLAMENTO ORGÁNICO MUNICIPAL DE ZINACANTEPEC</w:t>
      </w:r>
    </w:p>
    <w:p w14:paraId="2481EC78" w14:textId="09939AB3" w:rsidR="00153B3B" w:rsidRDefault="00906135" w:rsidP="00906135">
      <w:pPr>
        <w:pStyle w:val="Citas"/>
      </w:pPr>
      <w:r>
        <w:t>“</w:t>
      </w:r>
      <w:r w:rsidR="00153B3B">
        <w:t xml:space="preserve">Artículo 46. La Tesorería Municipal es la Unidad Administrativa encargada de recaudar los ingresos municipales, captar recursos Estatales y Federales, así como conducir la política presupuestal del Municipio con la finalidad de lograr los objetivos estipulados en el Plan de Desarrollo Municipal, a través de una adecuada </w:t>
      </w:r>
      <w:r w:rsidR="00153B3B">
        <w:lastRenderedPageBreak/>
        <w:t>integración del presupuesto de ingresos y egresos del Municipio, para la correcta administración de la hacienda municipal</w:t>
      </w:r>
    </w:p>
    <w:p w14:paraId="63C13138" w14:textId="493F2433" w:rsidR="00153B3B" w:rsidRDefault="00153B3B" w:rsidP="00906135">
      <w:pPr>
        <w:pStyle w:val="Citas"/>
      </w:pPr>
      <w:r>
        <w:t>Artículo 47. Además de las previstas en las disposiciones normativas y administrativas en la materia, la Tesorería Municipal tiene las siguientes funciones y atribuciones:</w:t>
      </w:r>
    </w:p>
    <w:p w14:paraId="1F08B6DA" w14:textId="29F0FF7D" w:rsidR="00153B3B" w:rsidRDefault="00153B3B" w:rsidP="00906135">
      <w:pPr>
        <w:pStyle w:val="Citas"/>
      </w:pPr>
      <w:r>
        <w:t>(…)</w:t>
      </w:r>
    </w:p>
    <w:p w14:paraId="13FB3919" w14:textId="77777777" w:rsidR="00906135" w:rsidRDefault="00153B3B" w:rsidP="00906135">
      <w:pPr>
        <w:pStyle w:val="Citas"/>
      </w:pPr>
      <w:r>
        <w:t xml:space="preserve">XXII. Autorizar la suficiencia presupuestal para la adquisición de bienes y servicios requeridos por las áreas, de conformidad con su presupuesto autorizado para cada ejercicio, vigilando que se ajuste a la liquidez del Municipio, con los principios de austeridad, disciplina y transparencia; </w:t>
      </w:r>
    </w:p>
    <w:p w14:paraId="138731AA" w14:textId="77777777" w:rsidR="00906135" w:rsidRDefault="00153B3B" w:rsidP="00906135">
      <w:pPr>
        <w:pStyle w:val="Citas"/>
      </w:pPr>
      <w:r>
        <w:t xml:space="preserve">XXIII. Verificar y realizar el pago de los documentos comprobatorios de las erogaciones realizadas por las áreas de la Administración Pública Municipal, previa autorización de sus titulares, vigilando que cumplan con la normatividad aplicable, tanto para recursos Federales como Estatales; </w:t>
      </w:r>
    </w:p>
    <w:p w14:paraId="2E13F034" w14:textId="27CA3605" w:rsidR="00153B3B" w:rsidRDefault="00153B3B" w:rsidP="00906135">
      <w:pPr>
        <w:pStyle w:val="Citas"/>
      </w:pPr>
      <w:r>
        <w:t>XXIV. Aplicar el sistema de contabilidad gubernamental y las políticas para el registro contable y presupuestal de las operaciones financieras que realicen las áreas de la Administración Pública Municipal</w:t>
      </w:r>
    </w:p>
    <w:p w14:paraId="5CCAFE80" w14:textId="344B4716" w:rsidR="00153B3B" w:rsidRDefault="00153B3B" w:rsidP="00906135">
      <w:pPr>
        <w:pStyle w:val="Citas"/>
      </w:pPr>
      <w:r>
        <w:t>(…)</w:t>
      </w:r>
    </w:p>
    <w:p w14:paraId="576D3087" w14:textId="77777777" w:rsidR="00906135" w:rsidRDefault="00153B3B" w:rsidP="00906135">
      <w:pPr>
        <w:pStyle w:val="Citas"/>
      </w:pPr>
      <w:r>
        <w:t xml:space="preserve">Artículo 48. Para el estudio, planeación y despacho de los asuntos de su competencia, la Tesorería Municipal contará con las Unidades Administrativas responsables siguientes, cuyas funciones y atribuciones se determinarán en el Reglamento Interno correspondiente: </w:t>
      </w:r>
    </w:p>
    <w:p w14:paraId="6FDA0955" w14:textId="77777777" w:rsidR="00906135" w:rsidRDefault="00153B3B" w:rsidP="00906135">
      <w:pPr>
        <w:pStyle w:val="Citas"/>
      </w:pPr>
      <w:r>
        <w:lastRenderedPageBreak/>
        <w:t xml:space="preserve">I. Subdirección de Ingresos </w:t>
      </w:r>
    </w:p>
    <w:p w14:paraId="450BEB72" w14:textId="77777777" w:rsidR="00906135" w:rsidRDefault="00153B3B" w:rsidP="00906135">
      <w:pPr>
        <w:pStyle w:val="Citas"/>
      </w:pPr>
      <w:r>
        <w:t xml:space="preserve">a) Coordinación de Fiscalización </w:t>
      </w:r>
    </w:p>
    <w:p w14:paraId="3DF78909" w14:textId="77777777" w:rsidR="00906135" w:rsidRDefault="00153B3B" w:rsidP="00906135">
      <w:pPr>
        <w:pStyle w:val="Citas"/>
      </w:pPr>
      <w:r>
        <w:t xml:space="preserve">b) Coordinación de Recaudación </w:t>
      </w:r>
    </w:p>
    <w:p w14:paraId="29E654DD" w14:textId="77777777" w:rsidR="00906135" w:rsidRDefault="00153B3B" w:rsidP="00906135">
      <w:pPr>
        <w:pStyle w:val="Citas"/>
      </w:pPr>
      <w:r>
        <w:t xml:space="preserve">c) Coordinación de Catastro </w:t>
      </w:r>
    </w:p>
    <w:p w14:paraId="66C4DF18" w14:textId="77777777" w:rsidR="00906135" w:rsidRPr="00906135" w:rsidRDefault="00153B3B" w:rsidP="00906135">
      <w:pPr>
        <w:pStyle w:val="Citas"/>
        <w:rPr>
          <w:b/>
          <w:bCs/>
          <w:u w:val="single"/>
        </w:rPr>
      </w:pPr>
      <w:r w:rsidRPr="00906135">
        <w:rPr>
          <w:b/>
          <w:bCs/>
          <w:u w:val="single"/>
        </w:rPr>
        <w:t xml:space="preserve">II. Subdirección de Egresos </w:t>
      </w:r>
    </w:p>
    <w:p w14:paraId="4F2053E0" w14:textId="77777777" w:rsidR="00906135" w:rsidRDefault="00153B3B" w:rsidP="00906135">
      <w:pPr>
        <w:pStyle w:val="Citas"/>
      </w:pPr>
      <w:r>
        <w:t xml:space="preserve">a) Coordinación de Contabilidad </w:t>
      </w:r>
    </w:p>
    <w:p w14:paraId="4873A58D" w14:textId="77777777" w:rsidR="00906135" w:rsidRDefault="00153B3B" w:rsidP="00906135">
      <w:pPr>
        <w:pStyle w:val="Citas"/>
      </w:pPr>
      <w:r>
        <w:t xml:space="preserve">b) Coordinación de Presupuesto </w:t>
      </w:r>
    </w:p>
    <w:p w14:paraId="70B1F130" w14:textId="3049CA32" w:rsidR="00153B3B" w:rsidRPr="00906135" w:rsidRDefault="00153B3B" w:rsidP="00906135">
      <w:pPr>
        <w:pStyle w:val="Citas"/>
        <w:rPr>
          <w:b/>
          <w:bCs/>
        </w:rPr>
      </w:pPr>
      <w:r>
        <w:t>c) Coordinación de Caja General</w:t>
      </w:r>
      <w:r w:rsidR="00906135">
        <w:t xml:space="preserve">” </w:t>
      </w:r>
      <w:r w:rsidR="00906135">
        <w:rPr>
          <w:b/>
          <w:bCs/>
        </w:rPr>
        <w:t>(Sic)</w:t>
      </w:r>
    </w:p>
    <w:p w14:paraId="15B989D5" w14:textId="77777777" w:rsidR="00036DE6" w:rsidRDefault="00036DE6" w:rsidP="000E0868">
      <w:pPr>
        <w:pStyle w:val="Prrafodelista"/>
        <w:autoSpaceDE w:val="0"/>
        <w:autoSpaceDN w:val="0"/>
        <w:adjustRightInd w:val="0"/>
        <w:spacing w:before="240" w:after="160" w:line="360" w:lineRule="auto"/>
        <w:ind w:left="0"/>
        <w:jc w:val="both"/>
        <w:rPr>
          <w:rFonts w:ascii="Palatino Linotype" w:hAnsi="Palatino Linotype" w:cs="Arial"/>
        </w:rPr>
      </w:pPr>
    </w:p>
    <w:p w14:paraId="14DE3B39" w14:textId="2BEEC48C" w:rsidR="00036DE6" w:rsidRPr="003A5B76" w:rsidRDefault="003A5B76" w:rsidP="003A5B76">
      <w:pPr>
        <w:pStyle w:val="Citas"/>
        <w:rPr>
          <w:b/>
          <w:bCs/>
        </w:rPr>
      </w:pPr>
      <w:r w:rsidRPr="003A5B76">
        <w:rPr>
          <w:b/>
          <w:bCs/>
        </w:rPr>
        <w:t>LEY DE TRANSPARENCIA Y ACCESO A LA INFORMACIÓN PÚBLICA DEL ESTADO DE MÉXICO Y MUNICIPIOS</w:t>
      </w:r>
    </w:p>
    <w:p w14:paraId="58D9A38A" w14:textId="1B8E966B" w:rsidR="00036DE6" w:rsidRDefault="003A5B76" w:rsidP="003A5B76">
      <w:pPr>
        <w:pStyle w:val="Citas"/>
      </w:pPr>
      <w:r>
        <w:t>“</w:t>
      </w:r>
      <w:r w:rsidR="00036DE6">
        <w:t>Artículo 24. Para el cumplimiento de los objetivos de esta Ley, los sujetos obligados deberán cumplir con las siguientes obligaciones, según corresponda, de acuerdo a su naturaleza:</w:t>
      </w:r>
    </w:p>
    <w:p w14:paraId="01C9B848" w14:textId="3C81D042" w:rsidR="00036DE6" w:rsidRDefault="00036DE6" w:rsidP="003A5B76">
      <w:pPr>
        <w:pStyle w:val="Citas"/>
      </w:pPr>
      <w:r>
        <w:t>(…)</w:t>
      </w:r>
    </w:p>
    <w:p w14:paraId="59107295" w14:textId="555B733C" w:rsidR="00036DE6" w:rsidRDefault="00036DE6" w:rsidP="003A5B76">
      <w:pPr>
        <w:pStyle w:val="Citas"/>
      </w:pPr>
      <w:r>
        <w:t>III. Proporcionar capacitación continua y especializada en coordinación con el Instituto, al personal que formen parte de los comités y unidades de transparencia; en temas de transparencia, acceso a la información y rendición de cuentas;</w:t>
      </w:r>
    </w:p>
    <w:p w14:paraId="723C0DF9" w14:textId="46416A0F" w:rsidR="00036DE6" w:rsidRDefault="00036DE6" w:rsidP="003A5B76">
      <w:pPr>
        <w:pStyle w:val="Citas"/>
      </w:pPr>
      <w:r>
        <w:t>(…)</w:t>
      </w:r>
    </w:p>
    <w:p w14:paraId="365009EB" w14:textId="1FF366AD" w:rsidR="00036DE6" w:rsidRDefault="00036DE6" w:rsidP="003A5B76">
      <w:pPr>
        <w:pStyle w:val="Citas"/>
      </w:pPr>
      <w:r>
        <w:lastRenderedPageBreak/>
        <w:t>Artículo 49. Los Comités de Transparencia tendrán las siguientes atribuciones:</w:t>
      </w:r>
    </w:p>
    <w:p w14:paraId="7462BD86" w14:textId="5D2766DA" w:rsidR="00036DE6" w:rsidRDefault="00036DE6" w:rsidP="003A5B76">
      <w:pPr>
        <w:pStyle w:val="Citas"/>
      </w:pPr>
      <w:r>
        <w:t>(…)</w:t>
      </w:r>
    </w:p>
    <w:p w14:paraId="10843297" w14:textId="7C4EC1FC" w:rsidR="00036DE6" w:rsidRDefault="00036DE6" w:rsidP="003A5B76">
      <w:pPr>
        <w:pStyle w:val="Citas"/>
      </w:pPr>
      <w:r>
        <w:t>V. Promover la capacitación y actualización de los servidores públicos o integrantes adscritos a las unidades de transparencia;</w:t>
      </w:r>
    </w:p>
    <w:p w14:paraId="240A53D9" w14:textId="0EA4807B" w:rsidR="00036DE6" w:rsidRPr="003A5B76" w:rsidRDefault="00036DE6" w:rsidP="003A5B76">
      <w:pPr>
        <w:pStyle w:val="Citas"/>
        <w:rPr>
          <w:b/>
          <w:bCs/>
        </w:rPr>
      </w:pPr>
      <w:r>
        <w:t>VI. Establecer programas de capacitación en materia de transparencia, acceso a la información, accesibilidad y protección de datos personales, para todos los servidores públicos o integrantes del sujeto obligado;</w:t>
      </w:r>
      <w:r w:rsidR="003A5B76">
        <w:t xml:space="preserve">” </w:t>
      </w:r>
      <w:r w:rsidR="003A5B76">
        <w:rPr>
          <w:b/>
          <w:bCs/>
        </w:rPr>
        <w:t>(Sic)</w:t>
      </w:r>
    </w:p>
    <w:p w14:paraId="3421CD9C" w14:textId="77777777" w:rsidR="00036DE6" w:rsidRDefault="00036DE6" w:rsidP="000E0868">
      <w:pPr>
        <w:pStyle w:val="Prrafodelista"/>
        <w:autoSpaceDE w:val="0"/>
        <w:autoSpaceDN w:val="0"/>
        <w:adjustRightInd w:val="0"/>
        <w:spacing w:before="240" w:after="160" w:line="360" w:lineRule="auto"/>
        <w:ind w:left="0"/>
        <w:jc w:val="both"/>
        <w:rPr>
          <w:rFonts w:ascii="Palatino Linotype" w:hAnsi="Palatino Linotype" w:cs="Arial"/>
        </w:rPr>
      </w:pPr>
    </w:p>
    <w:p w14:paraId="7A183862" w14:textId="64A3757E" w:rsidR="000E0868" w:rsidRDefault="00906135" w:rsidP="000E08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De ahí que deba de arribarse a la premisa de que la esfera competencial de la Tesorería municipal le encauza a generar, poseer y administrar soportes documentales vinculados con diversos tópicos tales como</w:t>
      </w:r>
      <w:r w:rsidR="003A5B76">
        <w:rPr>
          <w:rFonts w:ascii="Palatino Linotype" w:hAnsi="Palatino Linotype" w:cs="Arial"/>
        </w:rPr>
        <w:t xml:space="preserve"> ingresos, egresos, registros contables, entre otros. Por su parte, la unidad de transparencia genera, posee y administra soportes documentales vinculados con la capacitación en dicha materia, teniendo conocimiento respecto de su gratuidad o costo. </w:t>
      </w:r>
      <w:r w:rsidR="000E0868">
        <w:rPr>
          <w:rFonts w:ascii="Palatino Linotype" w:hAnsi="Palatino Linotype" w:cs="Arial"/>
        </w:rPr>
        <w:t xml:space="preserve">   </w:t>
      </w:r>
    </w:p>
    <w:p w14:paraId="6309F4B6" w14:textId="1ED133CD" w:rsidR="00CF78C8" w:rsidRDefault="00E04DB7" w:rsidP="00E04DB7">
      <w:pPr>
        <w:spacing w:before="240" w:line="360" w:lineRule="auto"/>
        <w:jc w:val="both"/>
        <w:rPr>
          <w:rFonts w:ascii="Palatino Linotype" w:hAnsi="Palatino Linotype"/>
          <w:sz w:val="24"/>
          <w:szCs w:val="24"/>
        </w:rPr>
      </w:pPr>
      <w:r w:rsidRPr="00A56A13">
        <w:rPr>
          <w:rFonts w:ascii="Palatino Linotype" w:hAnsi="Palatino Linotype"/>
          <w:sz w:val="24"/>
          <w:szCs w:val="24"/>
        </w:rPr>
        <w:t xml:space="preserve">Una vez sentado lo anterior, como se mencionó en el </w:t>
      </w:r>
      <w:r>
        <w:rPr>
          <w:rFonts w:ascii="Palatino Linotype" w:hAnsi="Palatino Linotype"/>
          <w:sz w:val="24"/>
          <w:szCs w:val="24"/>
        </w:rPr>
        <w:t xml:space="preserve">antecedente </w:t>
      </w:r>
      <w:r w:rsidR="00031BB2">
        <w:rPr>
          <w:rFonts w:ascii="Palatino Linotype" w:hAnsi="Palatino Linotype"/>
          <w:sz w:val="24"/>
          <w:szCs w:val="24"/>
        </w:rPr>
        <w:t>tercero</w:t>
      </w:r>
      <w:r>
        <w:rPr>
          <w:rFonts w:ascii="Palatino Linotype" w:hAnsi="Palatino Linotype"/>
          <w:sz w:val="24"/>
          <w:szCs w:val="24"/>
        </w:rPr>
        <w:t xml:space="preserve">, </w:t>
      </w:r>
      <w:r>
        <w:rPr>
          <w:rFonts w:ascii="Palatino Linotype" w:hAnsi="Palatino Linotype"/>
          <w:b/>
          <w:bCs/>
          <w:sz w:val="24"/>
          <w:szCs w:val="24"/>
        </w:rPr>
        <w:t xml:space="preserve">El Sujeto Obligado </w:t>
      </w:r>
      <w:r>
        <w:rPr>
          <w:rFonts w:ascii="Palatino Linotype" w:hAnsi="Palatino Linotype"/>
          <w:sz w:val="24"/>
          <w:szCs w:val="24"/>
        </w:rPr>
        <w:t>en fecha</w:t>
      </w:r>
      <w:r w:rsidR="00CF78C8">
        <w:rPr>
          <w:rFonts w:ascii="Palatino Linotype" w:hAnsi="Palatino Linotype"/>
          <w:sz w:val="24"/>
          <w:szCs w:val="24"/>
        </w:rPr>
        <w:t xml:space="preserve"> cinco de septiembre de dos mil veintitrés, rindió su respuesta a la solicitud de información formulada por el particular, adjuntando para tal efecto lo siguiente:</w:t>
      </w:r>
    </w:p>
    <w:p w14:paraId="1E621EB6" w14:textId="72F3294A" w:rsidR="00CF78C8" w:rsidRPr="00CF78C8" w:rsidRDefault="00CF78C8" w:rsidP="003A3317">
      <w:pPr>
        <w:pStyle w:val="Prrafodelista"/>
        <w:numPr>
          <w:ilvl w:val="0"/>
          <w:numId w:val="7"/>
        </w:numPr>
        <w:spacing w:before="240" w:line="360" w:lineRule="auto"/>
        <w:jc w:val="both"/>
        <w:rPr>
          <w:rFonts w:ascii="Palatino Linotype" w:hAnsi="Palatino Linotype"/>
          <w:b/>
          <w:bCs/>
        </w:rPr>
      </w:pPr>
      <w:r w:rsidRPr="00CF78C8">
        <w:rPr>
          <w:rFonts w:ascii="Palatino Linotype" w:hAnsi="Palatino Linotype"/>
          <w:b/>
          <w:bCs/>
        </w:rPr>
        <w:t>“20230831163708866.pdf</w:t>
      </w:r>
      <w:r>
        <w:rPr>
          <w:rFonts w:ascii="Palatino Linotype" w:hAnsi="Palatino Linotype"/>
          <w:b/>
          <w:bCs/>
        </w:rPr>
        <w:t xml:space="preserve">”: </w:t>
      </w:r>
      <w:r>
        <w:rPr>
          <w:rFonts w:ascii="Palatino Linotype" w:hAnsi="Palatino Linotype"/>
        </w:rPr>
        <w:t xml:space="preserve">Oficio número </w:t>
      </w:r>
      <w:r>
        <w:rPr>
          <w:rFonts w:ascii="Palatino Linotype" w:hAnsi="Palatino Linotype"/>
          <w:b/>
          <w:bCs/>
        </w:rPr>
        <w:t xml:space="preserve">ZIN/UT/4016/2023 </w:t>
      </w:r>
      <w:r>
        <w:rPr>
          <w:rFonts w:ascii="Palatino Linotype" w:hAnsi="Palatino Linotype"/>
        </w:rPr>
        <w:t xml:space="preserve">signado por la Titular de la Unidad de Transparencia y dirigido al solicitante, de fecha treinta </w:t>
      </w:r>
      <w:r>
        <w:rPr>
          <w:rFonts w:ascii="Palatino Linotype" w:hAnsi="Palatino Linotype"/>
        </w:rPr>
        <w:lastRenderedPageBreak/>
        <w:t>y uno de agosto de dos mil veintitrés, resulta de nuestro interés el siguiente extracto:</w:t>
      </w:r>
    </w:p>
    <w:p w14:paraId="64593F14" w14:textId="41A4CC46" w:rsidR="00CF78C8" w:rsidRPr="00CF78C8" w:rsidRDefault="00CF78C8" w:rsidP="00CF78C8">
      <w:pPr>
        <w:pStyle w:val="Prrafodelista"/>
        <w:spacing w:before="240" w:line="360" w:lineRule="auto"/>
        <w:ind w:left="720"/>
        <w:jc w:val="both"/>
        <w:rPr>
          <w:rFonts w:ascii="Palatino Linotype" w:hAnsi="Palatino Linotype"/>
          <w:b/>
          <w:bCs/>
          <w:i/>
          <w:iCs/>
        </w:rPr>
      </w:pPr>
      <w:r>
        <w:rPr>
          <w:rFonts w:ascii="Palatino Linotype" w:hAnsi="Palatino Linotype"/>
          <w:i/>
          <w:iCs/>
        </w:rPr>
        <w:t xml:space="preserve">“Con fundamento en los artículos 4, 7, 23 fracción </w:t>
      </w:r>
      <w:proofErr w:type="gramStart"/>
      <w:r>
        <w:rPr>
          <w:rFonts w:ascii="Palatino Linotype" w:hAnsi="Palatino Linotype"/>
          <w:i/>
          <w:iCs/>
        </w:rPr>
        <w:t>IV,  53</w:t>
      </w:r>
      <w:proofErr w:type="gramEnd"/>
      <w:r>
        <w:rPr>
          <w:rFonts w:ascii="Palatino Linotype" w:hAnsi="Palatino Linotype"/>
          <w:i/>
          <w:iCs/>
        </w:rPr>
        <w:t xml:space="preserve"> fracciones II, IV y V de la Ley de Transparencia y Acceso a la Información Pública del Estado de México y Municipios, </w:t>
      </w:r>
      <w:r w:rsidRPr="00F04695">
        <w:rPr>
          <w:rFonts w:ascii="Palatino Linotype" w:hAnsi="Palatino Linotype"/>
          <w:b/>
          <w:bCs/>
          <w:i/>
          <w:iCs/>
          <w:u w:val="single"/>
        </w:rPr>
        <w:t>me permito informar que la Capacitación en el Ayuntamiento el pasado 8 de agosto del presente año, no tuvo importe alguno”</w:t>
      </w:r>
      <w:r>
        <w:rPr>
          <w:rFonts w:ascii="Palatino Linotype" w:hAnsi="Palatino Linotype"/>
          <w:i/>
          <w:iCs/>
        </w:rPr>
        <w:t xml:space="preserve"> </w:t>
      </w:r>
      <w:r>
        <w:rPr>
          <w:rFonts w:ascii="Palatino Linotype" w:hAnsi="Palatino Linotype"/>
          <w:b/>
          <w:bCs/>
          <w:i/>
          <w:iCs/>
        </w:rPr>
        <w:t>(Sic)</w:t>
      </w:r>
    </w:p>
    <w:p w14:paraId="4A511259" w14:textId="77777777" w:rsidR="00C37CA6" w:rsidRDefault="00C37CA6" w:rsidP="00E60203">
      <w:pPr>
        <w:tabs>
          <w:tab w:val="left" w:pos="1284"/>
        </w:tabs>
        <w:spacing w:line="360" w:lineRule="auto"/>
        <w:jc w:val="both"/>
        <w:rPr>
          <w:rFonts w:ascii="Palatino Linotype" w:hAnsi="Palatino Linotype" w:cs="Arial"/>
          <w:color w:val="000000"/>
          <w:sz w:val="24"/>
        </w:rPr>
      </w:pPr>
    </w:p>
    <w:p w14:paraId="3CED7038" w14:textId="77777777" w:rsidR="00C37CA6" w:rsidRDefault="00C37CA6" w:rsidP="00E60203">
      <w:pPr>
        <w:tabs>
          <w:tab w:val="left" w:pos="1284"/>
        </w:tabs>
        <w:spacing w:line="360" w:lineRule="auto"/>
        <w:jc w:val="both"/>
        <w:rPr>
          <w:rFonts w:ascii="Palatino Linotype" w:hAnsi="Palatino Linotype" w:cs="Arial"/>
          <w:color w:val="000000"/>
          <w:sz w:val="24"/>
        </w:rPr>
      </w:pPr>
    </w:p>
    <w:p w14:paraId="147C4D6C" w14:textId="77777777" w:rsidR="00C37CA6" w:rsidRPr="00CE784A" w:rsidRDefault="00C37CA6" w:rsidP="00C37CA6">
      <w:pPr>
        <w:autoSpaceDE w:val="0"/>
        <w:autoSpaceDN w:val="0"/>
        <w:adjustRightInd w:val="0"/>
        <w:spacing w:before="240" w:line="360" w:lineRule="auto"/>
        <w:jc w:val="both"/>
        <w:rPr>
          <w:rFonts w:ascii="Arial" w:hAnsi="Arial" w:cs="Arial"/>
          <w:color w:val="222222"/>
          <w:sz w:val="24"/>
          <w:szCs w:val="24"/>
          <w:lang w:eastAsia="es-MX"/>
        </w:rPr>
      </w:pPr>
      <w:r>
        <w:rPr>
          <w:rFonts w:ascii="Palatino Linotype" w:hAnsi="Palatino Linotype" w:cs="Arial"/>
          <w:noProof/>
          <w:color w:val="000000"/>
          <w:sz w:val="24"/>
          <w:lang w:val="es-ES" w:eastAsia="es-MX"/>
        </w:rPr>
        <w:t xml:space="preserve">Luego entonces, resulta obice señalar que </w:t>
      </w:r>
      <w:r w:rsidRPr="003167F4">
        <w:rPr>
          <w:rFonts w:ascii="Palatino Linotype" w:hAnsi="Palatino Linotype"/>
          <w:sz w:val="24"/>
          <w:szCs w:val="24"/>
        </w:rPr>
        <w:t xml:space="preserve">el Pleno del Órgano Garante local ha sostenido que, </w:t>
      </w:r>
      <w:r w:rsidRPr="003167F4">
        <w:rPr>
          <w:rFonts w:ascii="Palatino Linotype" w:hAnsi="Palatino Linotype" w:cs="Arial"/>
          <w:sz w:val="24"/>
          <w:szCs w:val="24"/>
        </w:rPr>
        <w:t>ante la presencia de un hecho negativo,</w:t>
      </w:r>
      <w:r w:rsidRPr="00CE784A">
        <w:rPr>
          <w:rFonts w:ascii="Palatino Linotype" w:hAnsi="Palatino Linotype" w:cs="Arial"/>
          <w:sz w:val="24"/>
          <w:szCs w:val="24"/>
        </w:rPr>
        <w:t xml:space="preserve"> resultaría innecesaria una declaratoria de inexistencia en términos de 19, 169 y 170 de la Ley de Transparencia y Acceso a la Información Pública del Estado de México y Municipios, y ante un hecho negativo resulta aplicable la siguiente tesis</w:t>
      </w:r>
      <w:r w:rsidRPr="00CE784A">
        <w:rPr>
          <w:rFonts w:ascii="Palatino Linotype" w:hAnsi="Palatino Linotype" w:cs="Arial"/>
          <w:color w:val="222222"/>
          <w:sz w:val="24"/>
          <w:szCs w:val="24"/>
        </w:rPr>
        <w:t>:</w:t>
      </w:r>
    </w:p>
    <w:p w14:paraId="7FB2DD94" w14:textId="77777777" w:rsidR="00C37CA6" w:rsidRPr="004C117E" w:rsidRDefault="00C37CA6" w:rsidP="00C37CA6">
      <w:pPr>
        <w:pStyle w:val="Prrafodelista"/>
        <w:spacing w:before="240" w:line="360" w:lineRule="auto"/>
        <w:ind w:left="720" w:right="851"/>
        <w:jc w:val="both"/>
        <w:rPr>
          <w:rFonts w:ascii="Arial" w:hAnsi="Arial" w:cs="Arial"/>
          <w:color w:val="222222"/>
        </w:rPr>
      </w:pPr>
      <w:r w:rsidRPr="004C117E">
        <w:rPr>
          <w:rFonts w:ascii="Palatino Linotype" w:hAnsi="Palatino Linotype" w:cs="Arial"/>
          <w:color w:val="222222"/>
        </w:rPr>
        <w:t> </w:t>
      </w:r>
      <w:r w:rsidRPr="004C117E">
        <w:rPr>
          <w:rFonts w:ascii="Palatino Linotype" w:hAnsi="Palatino Linotype" w:cs="Arial"/>
          <w:b/>
          <w:bCs/>
          <w:i/>
          <w:iCs/>
          <w:color w:val="222222"/>
        </w:rPr>
        <w:t>“HECHOS NEGATIVOS, NO SON SUSCEPTIBLES DE DEMOSTRACION.</w:t>
      </w:r>
    </w:p>
    <w:p w14:paraId="0BEB838F" w14:textId="77777777" w:rsidR="00C37CA6" w:rsidRPr="004C117E" w:rsidRDefault="00C37CA6" w:rsidP="00C37CA6">
      <w:pPr>
        <w:pStyle w:val="Prrafodelista"/>
        <w:spacing w:before="240" w:line="360" w:lineRule="auto"/>
        <w:ind w:left="720" w:right="851"/>
        <w:jc w:val="both"/>
        <w:rPr>
          <w:rFonts w:ascii="Palatino Linotype" w:hAnsi="Palatino Linotype" w:cs="Arial"/>
          <w:i/>
          <w:iCs/>
          <w:color w:val="222222"/>
        </w:rPr>
      </w:pPr>
      <w:r w:rsidRPr="004C117E">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4C117E">
        <w:rPr>
          <w:rFonts w:ascii="Palatino Linotype" w:hAnsi="Palatino Linotype" w:cs="Arial"/>
          <w:b/>
          <w:i/>
          <w:iCs/>
          <w:color w:val="222222"/>
        </w:rPr>
        <w:t>[Sic]</w:t>
      </w:r>
    </w:p>
    <w:p w14:paraId="4C72635B" w14:textId="77777777" w:rsidR="00C37CA6" w:rsidRDefault="00C37CA6" w:rsidP="00E60203">
      <w:pPr>
        <w:tabs>
          <w:tab w:val="left" w:pos="1284"/>
        </w:tabs>
        <w:spacing w:line="360" w:lineRule="auto"/>
        <w:jc w:val="both"/>
        <w:rPr>
          <w:rFonts w:ascii="Palatino Linotype" w:hAnsi="Palatino Linotype" w:cs="Arial"/>
          <w:color w:val="000000"/>
          <w:sz w:val="24"/>
        </w:rPr>
      </w:pPr>
    </w:p>
    <w:p w14:paraId="045B1AA7" w14:textId="1FE96B5F" w:rsidR="007848AA" w:rsidRDefault="007848AA" w:rsidP="00E60203">
      <w:pPr>
        <w:autoSpaceDE w:val="0"/>
        <w:autoSpaceDN w:val="0"/>
        <w:adjustRightInd w:val="0"/>
        <w:spacing w:before="240" w:line="360" w:lineRule="auto"/>
        <w:jc w:val="both"/>
        <w:rPr>
          <w:rFonts w:ascii="Palatino Linotype" w:hAnsi="Palatino Linotype" w:cs="Arial"/>
          <w:color w:val="000000"/>
          <w:sz w:val="24"/>
          <w:szCs w:val="24"/>
        </w:rPr>
      </w:pPr>
      <w:r w:rsidRPr="007848AA">
        <w:rPr>
          <w:rFonts w:ascii="Palatino Linotype" w:hAnsi="Palatino Linotype" w:cs="Arial"/>
          <w:color w:val="000000"/>
          <w:sz w:val="24"/>
          <w:szCs w:val="24"/>
        </w:rPr>
        <w:t xml:space="preserve">Inconforme con la respuesta del </w:t>
      </w:r>
      <w:r w:rsidRPr="007848AA">
        <w:rPr>
          <w:rFonts w:ascii="Palatino Linotype" w:hAnsi="Palatino Linotype" w:cs="Arial"/>
          <w:b/>
          <w:bCs/>
          <w:color w:val="000000"/>
          <w:sz w:val="24"/>
          <w:szCs w:val="24"/>
        </w:rPr>
        <w:t xml:space="preserve">Sujeto Obligado, El Recurrente </w:t>
      </w:r>
      <w:r w:rsidRPr="007848AA">
        <w:rPr>
          <w:rFonts w:ascii="Palatino Linotype" w:hAnsi="Palatino Linotype" w:cs="Arial"/>
          <w:color w:val="000000"/>
          <w:sz w:val="24"/>
          <w:szCs w:val="24"/>
        </w:rPr>
        <w:t xml:space="preserve">interpuso recurso de revisión en fecha </w:t>
      </w:r>
      <w:r w:rsidR="00C7111F">
        <w:rPr>
          <w:rFonts w:ascii="Palatino Linotype" w:hAnsi="Palatino Linotype" w:cs="Arial"/>
          <w:b/>
          <w:bCs/>
          <w:color w:val="000000"/>
          <w:sz w:val="24"/>
          <w:szCs w:val="24"/>
        </w:rPr>
        <w:t xml:space="preserve">cinco de septiembre, </w:t>
      </w:r>
      <w:r w:rsidR="00C7111F">
        <w:rPr>
          <w:rFonts w:ascii="Palatino Linotype" w:hAnsi="Palatino Linotype" w:cs="Arial"/>
          <w:color w:val="000000"/>
          <w:sz w:val="24"/>
          <w:szCs w:val="24"/>
        </w:rPr>
        <w:t xml:space="preserve">admitiéndose el </w:t>
      </w:r>
      <w:r w:rsidR="00C7111F">
        <w:rPr>
          <w:rFonts w:ascii="Palatino Linotype" w:hAnsi="Palatino Linotype" w:cs="Arial"/>
          <w:b/>
          <w:bCs/>
          <w:color w:val="000000"/>
          <w:sz w:val="24"/>
          <w:szCs w:val="24"/>
        </w:rPr>
        <w:t xml:space="preserve">siete de septiembre, </w:t>
      </w:r>
      <w:r w:rsidR="00C7111F">
        <w:rPr>
          <w:rFonts w:ascii="Palatino Linotype" w:hAnsi="Palatino Linotype" w:cs="Arial"/>
          <w:color w:val="000000"/>
          <w:sz w:val="24"/>
          <w:szCs w:val="24"/>
        </w:rPr>
        <w:t xml:space="preserve">ambos de </w:t>
      </w:r>
      <w:r w:rsidR="00C7111F">
        <w:rPr>
          <w:rFonts w:ascii="Palatino Linotype" w:hAnsi="Palatino Linotype" w:cs="Arial"/>
          <w:color w:val="000000"/>
          <w:sz w:val="24"/>
          <w:szCs w:val="24"/>
        </w:rPr>
        <w:lastRenderedPageBreak/>
        <w:t>dos mil veintitrés. Señalando como acto impugnado y como razones o motivos de inconformidad:</w:t>
      </w:r>
    </w:p>
    <w:p w14:paraId="392F99EA" w14:textId="77777777" w:rsidR="00C7111F" w:rsidRDefault="00C7111F" w:rsidP="00C7111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2306911" w14:textId="77777777" w:rsidR="00C7111F" w:rsidRPr="00CE3EB5" w:rsidRDefault="00C7111F" w:rsidP="00C7111F">
      <w:pPr>
        <w:pStyle w:val="Citas"/>
        <w:rPr>
          <w:b/>
          <w:bCs/>
          <w:sz w:val="24"/>
        </w:rPr>
      </w:pPr>
      <w:r w:rsidRPr="00DF5F56">
        <w:t>“NO ENTREGA INFORMACIÓN”</w:t>
      </w:r>
      <w:r>
        <w:t xml:space="preserve"> </w:t>
      </w:r>
      <w:r>
        <w:rPr>
          <w:b/>
          <w:bCs/>
        </w:rPr>
        <w:t>(Sic)</w:t>
      </w:r>
    </w:p>
    <w:p w14:paraId="463BA0D2" w14:textId="77777777" w:rsidR="00C7111F" w:rsidRDefault="00C7111F" w:rsidP="00C7111F">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789564A3" w14:textId="77777777" w:rsidR="00C7111F" w:rsidRPr="00CE3EB5" w:rsidRDefault="00C7111F" w:rsidP="00C7111F">
      <w:pPr>
        <w:pStyle w:val="Citas"/>
        <w:rPr>
          <w:b/>
          <w:bCs/>
        </w:rPr>
      </w:pPr>
      <w:r w:rsidRPr="00DF5F56">
        <w:t>“A NO?”</w:t>
      </w:r>
      <w:r>
        <w:t xml:space="preserve"> </w:t>
      </w:r>
      <w:r>
        <w:rPr>
          <w:b/>
          <w:bCs/>
        </w:rPr>
        <w:t>(Sic)</w:t>
      </w:r>
    </w:p>
    <w:p w14:paraId="2EBBC36A" w14:textId="77777777" w:rsidR="00C7111F" w:rsidRDefault="00C7111F" w:rsidP="00E60203">
      <w:pPr>
        <w:autoSpaceDE w:val="0"/>
        <w:autoSpaceDN w:val="0"/>
        <w:adjustRightInd w:val="0"/>
        <w:spacing w:before="240" w:line="360" w:lineRule="auto"/>
        <w:jc w:val="both"/>
        <w:rPr>
          <w:rFonts w:ascii="Palatino Linotype" w:hAnsi="Palatino Linotype" w:cs="Arial"/>
          <w:color w:val="000000"/>
          <w:sz w:val="24"/>
          <w:szCs w:val="24"/>
        </w:rPr>
      </w:pPr>
    </w:p>
    <w:p w14:paraId="47C47B50" w14:textId="77777777" w:rsidR="00C37CA6" w:rsidRPr="00C37CA6" w:rsidRDefault="00C37CA6" w:rsidP="00C37CA6">
      <w:pPr>
        <w:autoSpaceDE w:val="0"/>
        <w:autoSpaceDN w:val="0"/>
        <w:adjustRightInd w:val="0"/>
        <w:spacing w:line="360" w:lineRule="auto"/>
        <w:jc w:val="both"/>
        <w:rPr>
          <w:rFonts w:ascii="Palatino Linotype" w:hAnsi="Palatino Linotype" w:cs="Arial"/>
          <w:sz w:val="24"/>
          <w:szCs w:val="24"/>
        </w:rPr>
      </w:pPr>
      <w:r w:rsidRPr="00C37CA6">
        <w:rPr>
          <w:rFonts w:ascii="Palatino Linotype" w:hAnsi="Palatino Linotype" w:cs="Arial"/>
          <w:sz w:val="24"/>
          <w:szCs w:val="24"/>
        </w:rPr>
        <w:t xml:space="preserve">Asimismo, se advierte </w:t>
      </w:r>
      <w:r w:rsidRPr="00C37CA6">
        <w:rPr>
          <w:rFonts w:ascii="Palatino Linotype" w:hAnsi="Palatino Linotype"/>
          <w:b/>
          <w:sz w:val="24"/>
          <w:szCs w:val="24"/>
          <w:u w:val="single"/>
        </w:rPr>
        <w:t>que el particular no expresa razonamientos concretos que permitieran a analizar si, efectivamente, el Sujeto Obligado violentó el derecho de acceso a la información del particular</w:t>
      </w:r>
      <w:r w:rsidRPr="00C37CA6">
        <w:rPr>
          <w:rFonts w:ascii="Palatino Linotype" w:hAnsi="Palatino Linotype"/>
          <w:sz w:val="24"/>
          <w:szCs w:val="24"/>
        </w:rPr>
        <w:t>, para mayor abundamiento es aplicable la Jurisprudencia con número de registro 173593 de la Novena Época, visible en el Semanario Judicial de la Federación y su Gaceta Tomo XXV, de enero de 2007, tesis I.4o.A. j/48 en materia común, en la que se establece lo siguiente:</w:t>
      </w:r>
    </w:p>
    <w:p w14:paraId="5051BD7C" w14:textId="6584635D" w:rsidR="00C37CA6" w:rsidRPr="00C37CA6" w:rsidRDefault="00C37CA6" w:rsidP="00C37CA6">
      <w:pPr>
        <w:pStyle w:val="Citas"/>
        <w:rPr>
          <w:b/>
          <w:bCs/>
        </w:rPr>
      </w:pPr>
      <w:r w:rsidRPr="00C37CA6">
        <w:rPr>
          <w:b/>
          <w:bCs/>
        </w:rPr>
        <w:t>“CONCEPTOS DE VIOLACIÓN O AGRAVIOS. SON INOPERANTES CUANDO LOS ARGUMENTOS EXPUESTOS POR EL QUEJOSO O EL RECURRENTE SON AMBIGUOS Y SUPERFICIALES.</w:t>
      </w:r>
    </w:p>
    <w:p w14:paraId="0DFFD5FB" w14:textId="77777777" w:rsidR="00C37CA6" w:rsidRPr="00037B15" w:rsidRDefault="00C37CA6" w:rsidP="00C37CA6">
      <w:pPr>
        <w:pStyle w:val="Citas"/>
      </w:pPr>
      <w:r w:rsidRPr="00037B15">
        <w:t xml:space="preserve">Los actos de autoridad y las sentencias están investidos de una presunción de validez que debe ser destruida. Por tanto, </w:t>
      </w:r>
      <w:r w:rsidRPr="00037B15">
        <w:rPr>
          <w:u w:val="single"/>
        </w:rPr>
        <w:t xml:space="preserve">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w:t>
      </w:r>
      <w:r w:rsidRPr="00037B15">
        <w:rPr>
          <w:u w:val="single"/>
        </w:rPr>
        <w:lastRenderedPageBreak/>
        <w:t>referirse al fundamento, razones decisorias o argumentos y al porqué de su reclamación</w:t>
      </w:r>
      <w:r w:rsidRPr="00037B15">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037B15">
        <w:t>sequitur</w:t>
      </w:r>
      <w:proofErr w:type="spellEnd"/>
      <w:r w:rsidRPr="00037B15">
        <w:t xml:space="preserve"> para obtener una declaratoria de invalidez. </w:t>
      </w:r>
    </w:p>
    <w:p w14:paraId="3FE4D59D" w14:textId="77777777" w:rsidR="00C37CA6" w:rsidRPr="00037B15" w:rsidRDefault="00C37CA6" w:rsidP="00C37CA6">
      <w:pPr>
        <w:pStyle w:val="Citas"/>
        <w:rPr>
          <w:sz w:val="20"/>
        </w:rPr>
      </w:pPr>
      <w:r w:rsidRPr="00037B15">
        <w:rPr>
          <w:sz w:val="20"/>
        </w:rPr>
        <w:t>CUARTO TRIBUNAL COLEGIADO EN MATERIA ADMINISTRATIVA DEL PRIMER CIRCUITO.</w:t>
      </w:r>
    </w:p>
    <w:p w14:paraId="669CA882" w14:textId="77777777" w:rsidR="00C37CA6" w:rsidRPr="00037B15" w:rsidRDefault="00C37CA6" w:rsidP="00C37CA6">
      <w:pPr>
        <w:pStyle w:val="Citas"/>
        <w:rPr>
          <w:sz w:val="20"/>
        </w:rPr>
      </w:pPr>
      <w:r w:rsidRPr="00037B15">
        <w:rPr>
          <w:sz w:val="20"/>
        </w:rPr>
        <w:t xml:space="preserve">Amparo en revisión 43/2006. Juan Silva Rodríguez y otros. 22 de febrero de 2006. Unanimidad de votos. Ponente: Jean Claude Tron Petit. Secretaria: Claudia Patricia Peraza Espinoza. </w:t>
      </w:r>
    </w:p>
    <w:p w14:paraId="55F809E1" w14:textId="77777777" w:rsidR="00C37CA6" w:rsidRPr="00037B15" w:rsidRDefault="00C37CA6" w:rsidP="00C37CA6">
      <w:pPr>
        <w:pStyle w:val="Citas"/>
        <w:rPr>
          <w:sz w:val="20"/>
        </w:rPr>
      </w:pPr>
      <w:r w:rsidRPr="00037B15">
        <w:rPr>
          <w:sz w:val="20"/>
        </w:rPr>
        <w:t xml:space="preserve">Amparo directo 443/2005. Servicios Corporativos Cosmos, S.A. de C.V. 1o. de marzo de 2006. Unanimidad de votos. Ponente: Jean Claude Tron Petit. Secretario: Alfredo A. Martínez Jiménez. </w:t>
      </w:r>
    </w:p>
    <w:p w14:paraId="398A825A" w14:textId="77777777" w:rsidR="00C37CA6" w:rsidRPr="00037B15" w:rsidRDefault="00C37CA6" w:rsidP="00C37CA6">
      <w:pPr>
        <w:pStyle w:val="Citas"/>
        <w:rPr>
          <w:sz w:val="20"/>
        </w:rPr>
      </w:pPr>
      <w:r w:rsidRPr="00037B15">
        <w:rPr>
          <w:sz w:val="20"/>
        </w:rPr>
        <w:t xml:space="preserve">Amparo directo 125/2006. Víctor Hugo Reyes Monterrubio. 31 de mayo de 2006. Unanimidad de votos. Ponente: Jean Claude Tron Petit. Secretario: Alfredo A. Martínez Jiménez. </w:t>
      </w:r>
    </w:p>
    <w:p w14:paraId="4A9824C9" w14:textId="77777777" w:rsidR="00C37CA6" w:rsidRPr="00037B15" w:rsidRDefault="00C37CA6" w:rsidP="00C37CA6">
      <w:pPr>
        <w:pStyle w:val="Citas"/>
        <w:rPr>
          <w:sz w:val="20"/>
        </w:rPr>
      </w:pPr>
      <w:r w:rsidRPr="00037B15">
        <w:rPr>
          <w:sz w:val="20"/>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1B545D94" w14:textId="4703CD65" w:rsidR="00C37CA6" w:rsidRPr="00C37CA6" w:rsidRDefault="00C37CA6" w:rsidP="00C37CA6">
      <w:pPr>
        <w:pStyle w:val="Citas"/>
        <w:rPr>
          <w:b/>
          <w:bCs/>
          <w:sz w:val="20"/>
        </w:rPr>
      </w:pPr>
      <w:r w:rsidRPr="00037B15">
        <w:rPr>
          <w:sz w:val="20"/>
        </w:rPr>
        <w:lastRenderedPageBreak/>
        <w:t>Incidente de suspensión (revisión) 380/2006. Director General Jurídico y de Gobierno en la Delegación Tlalpan. 11 de octubre de 2006. Unanimidad de votos. Ponente: Jesús Antonio Nazar Sevilla. Secretaria: Indira Martínez Fernández.</w:t>
      </w:r>
      <w:r>
        <w:rPr>
          <w:sz w:val="20"/>
        </w:rPr>
        <w:t xml:space="preserve">” </w:t>
      </w:r>
      <w:r>
        <w:rPr>
          <w:b/>
          <w:bCs/>
          <w:sz w:val="20"/>
        </w:rPr>
        <w:t>(Sic)</w:t>
      </w:r>
    </w:p>
    <w:p w14:paraId="0E96B6D5" w14:textId="77777777" w:rsidR="00C37CA6" w:rsidRPr="00037B15" w:rsidRDefault="00C37CA6" w:rsidP="00C37CA6">
      <w:pPr>
        <w:spacing w:line="360" w:lineRule="auto"/>
        <w:jc w:val="both"/>
        <w:rPr>
          <w:rFonts w:ascii="Palatino Linotype" w:hAnsi="Palatino Linotype"/>
        </w:rPr>
      </w:pPr>
    </w:p>
    <w:p w14:paraId="46F0C878" w14:textId="77777777" w:rsidR="00C37CA6" w:rsidRPr="00C37CA6" w:rsidRDefault="00C37CA6" w:rsidP="00C37CA6">
      <w:pPr>
        <w:spacing w:line="360" w:lineRule="auto"/>
        <w:jc w:val="both"/>
        <w:rPr>
          <w:rFonts w:ascii="Palatino Linotype" w:hAnsi="Palatino Linotype"/>
          <w:sz w:val="24"/>
          <w:szCs w:val="24"/>
        </w:rPr>
      </w:pPr>
      <w:r w:rsidRPr="00C37CA6">
        <w:rPr>
          <w:rFonts w:ascii="Palatino Linotype" w:hAnsi="Palatino Linotype"/>
          <w:sz w:val="24"/>
          <w:szCs w:val="24"/>
        </w:rPr>
        <w:t xml:space="preserve">De la misma forma, es aplicable la siguiente Tesis Aislada, número de registro 230923 de la Octava Época, que puede consultarse en el Semanario Judicial de la Federación Tomo I, Segunda Parte, Enero – </w:t>
      </w:r>
      <w:proofErr w:type="gramStart"/>
      <w:r w:rsidRPr="00C37CA6">
        <w:rPr>
          <w:rFonts w:ascii="Palatino Linotype" w:hAnsi="Palatino Linotype"/>
          <w:sz w:val="24"/>
          <w:szCs w:val="24"/>
        </w:rPr>
        <w:t>Junio</w:t>
      </w:r>
      <w:proofErr w:type="gramEnd"/>
      <w:r w:rsidRPr="00C37CA6">
        <w:rPr>
          <w:rFonts w:ascii="Palatino Linotype" w:hAnsi="Palatino Linotype"/>
          <w:sz w:val="24"/>
          <w:szCs w:val="24"/>
        </w:rPr>
        <w:t xml:space="preserve"> de 1988 en materia común, en la que se dispone lo siguiente:</w:t>
      </w:r>
    </w:p>
    <w:p w14:paraId="374DA0E0" w14:textId="02B959E5" w:rsidR="00C37CA6" w:rsidRPr="00C37CA6" w:rsidRDefault="00C37CA6" w:rsidP="00C37CA6">
      <w:pPr>
        <w:pStyle w:val="Citas"/>
        <w:rPr>
          <w:b/>
          <w:bCs/>
        </w:rPr>
      </w:pPr>
      <w:r w:rsidRPr="00C37CA6">
        <w:rPr>
          <w:b/>
          <w:bCs/>
        </w:rPr>
        <w:t>“AGRAVIOS, LO QUE DEBE CONSIDERARSE COMO TALES</w:t>
      </w:r>
    </w:p>
    <w:p w14:paraId="3821934F" w14:textId="77777777" w:rsidR="00C37CA6" w:rsidRPr="00037B15" w:rsidRDefault="00C37CA6" w:rsidP="00C37CA6">
      <w:pPr>
        <w:pStyle w:val="Citas"/>
      </w:pPr>
      <w:r w:rsidRPr="00037B15">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22B02240" w14:textId="77777777" w:rsidR="00C37CA6" w:rsidRPr="00037B15" w:rsidRDefault="00C37CA6" w:rsidP="00C37CA6">
      <w:pPr>
        <w:pStyle w:val="Citas"/>
        <w:rPr>
          <w:sz w:val="20"/>
        </w:rPr>
      </w:pPr>
      <w:r w:rsidRPr="00037B15">
        <w:rPr>
          <w:sz w:val="20"/>
        </w:rPr>
        <w:t>PRIMER TRIBUNAL COLEGIADO DEL SEPTIMO CIRCUITO.</w:t>
      </w:r>
    </w:p>
    <w:p w14:paraId="68F7D352" w14:textId="20DC2F8D" w:rsidR="00C37CA6" w:rsidRPr="00C37CA6" w:rsidRDefault="00C37CA6" w:rsidP="00C37CA6">
      <w:pPr>
        <w:pStyle w:val="Citas"/>
        <w:rPr>
          <w:b/>
          <w:bCs/>
          <w:sz w:val="20"/>
        </w:rPr>
      </w:pPr>
      <w:r w:rsidRPr="00037B15">
        <w:rPr>
          <w:sz w:val="20"/>
        </w:rPr>
        <w:t xml:space="preserve">Incidente 563/87. Jorge Orlando </w:t>
      </w:r>
      <w:proofErr w:type="spellStart"/>
      <w:r w:rsidRPr="00037B15">
        <w:rPr>
          <w:sz w:val="20"/>
        </w:rPr>
        <w:t>Cuallo</w:t>
      </w:r>
      <w:proofErr w:type="spellEnd"/>
      <w:r w:rsidRPr="00037B15">
        <w:rPr>
          <w:sz w:val="20"/>
        </w:rPr>
        <w:t xml:space="preserve">. 20 de enero de 1988. Unanimidad de votos. Ponente: Tomás Enrique Ochoa Moguel. Secretario: Héctor Riveros </w:t>
      </w:r>
      <w:proofErr w:type="spellStart"/>
      <w:r w:rsidRPr="00037B15">
        <w:rPr>
          <w:sz w:val="20"/>
        </w:rPr>
        <w:t>Caraza</w:t>
      </w:r>
      <w:proofErr w:type="spellEnd"/>
      <w:r w:rsidRPr="00037B15">
        <w:rPr>
          <w:sz w:val="20"/>
        </w:rPr>
        <w:t>.</w:t>
      </w:r>
      <w:r>
        <w:rPr>
          <w:sz w:val="20"/>
        </w:rPr>
        <w:t xml:space="preserve">” </w:t>
      </w:r>
      <w:r>
        <w:rPr>
          <w:b/>
          <w:bCs/>
          <w:sz w:val="20"/>
        </w:rPr>
        <w:t>(Sic)</w:t>
      </w:r>
    </w:p>
    <w:p w14:paraId="0672DEB6" w14:textId="77777777" w:rsidR="00C37CA6" w:rsidRPr="00037B15" w:rsidRDefault="00C37CA6" w:rsidP="00C37CA6">
      <w:pPr>
        <w:autoSpaceDE w:val="0"/>
        <w:autoSpaceDN w:val="0"/>
        <w:adjustRightInd w:val="0"/>
        <w:spacing w:line="360" w:lineRule="auto"/>
        <w:jc w:val="both"/>
        <w:rPr>
          <w:rFonts w:ascii="Palatino Linotype" w:hAnsi="Palatino Linotype" w:cs="Arial"/>
        </w:rPr>
      </w:pPr>
    </w:p>
    <w:p w14:paraId="7FD6B17F" w14:textId="77777777" w:rsidR="00C37CA6" w:rsidRPr="00C37CA6" w:rsidRDefault="00C37CA6" w:rsidP="00C37CA6">
      <w:pPr>
        <w:autoSpaceDE w:val="0"/>
        <w:autoSpaceDN w:val="0"/>
        <w:adjustRightInd w:val="0"/>
        <w:spacing w:line="360" w:lineRule="auto"/>
        <w:jc w:val="both"/>
        <w:rPr>
          <w:rFonts w:ascii="Palatino Linotype" w:hAnsi="Palatino Linotype" w:cs="Arial"/>
          <w:sz w:val="24"/>
          <w:szCs w:val="24"/>
        </w:rPr>
      </w:pPr>
      <w:r w:rsidRPr="00C37CA6">
        <w:rPr>
          <w:rFonts w:ascii="Palatino Linotype" w:hAnsi="Palatino Linotype" w:cs="Arial"/>
          <w:sz w:val="24"/>
          <w:szCs w:val="24"/>
        </w:rPr>
        <w:t>Al respecto, cabe traer a cuenta lo previsto por el artículo 12, párrafo segundo de la Ley de Transparencia y Acceso a la Información Pública del Estado de México y Municipios que la letra establece lo siguiente:</w:t>
      </w:r>
    </w:p>
    <w:p w14:paraId="4096D9E7" w14:textId="3B883761" w:rsidR="00C37CA6" w:rsidRPr="00037B15" w:rsidRDefault="00C37CA6" w:rsidP="00C37CA6">
      <w:pPr>
        <w:pStyle w:val="Citas"/>
        <w:rPr>
          <w:b/>
        </w:rPr>
      </w:pPr>
      <w:r>
        <w:rPr>
          <w:b/>
        </w:rPr>
        <w:lastRenderedPageBreak/>
        <w:t>“</w:t>
      </w:r>
      <w:r w:rsidRPr="00037B15">
        <w:rPr>
          <w:b/>
        </w:rPr>
        <w:t>Artículo 12.</w:t>
      </w:r>
      <w:r w:rsidRPr="00037B15">
        <w:t xml:space="preserve"> …</w:t>
      </w:r>
      <w:r w:rsidRPr="00037B15">
        <w:rPr>
          <w:b/>
        </w:rPr>
        <w:t xml:space="preserve"> </w:t>
      </w:r>
    </w:p>
    <w:p w14:paraId="76323CDF" w14:textId="1367F47D" w:rsidR="00C37CA6" w:rsidRPr="00C37CA6" w:rsidRDefault="00C37CA6" w:rsidP="00C37CA6">
      <w:pPr>
        <w:pStyle w:val="Citas"/>
        <w:rPr>
          <w:b/>
          <w:bCs/>
        </w:rPr>
      </w:pPr>
      <w:r w:rsidRPr="00037B15">
        <w:rPr>
          <w:b/>
          <w:u w:val="single"/>
        </w:rPr>
        <w:t>Los sujetos obligados sólo proporcionarán la información pública que se les requiera y que obre en sus archivos y en el estado en que ésta se encuentre</w:t>
      </w:r>
      <w:r w:rsidRPr="00037B15">
        <w:t>. La obligación de proporcionar información no comprende el procesamiento de la misma, ni el presentarla conforme al interés del solicitante; no estarán obligados a generarla, resumirla, efectuar cálculos o practicar investigaciones.</w:t>
      </w:r>
      <w:r>
        <w:t xml:space="preserve">” </w:t>
      </w:r>
      <w:r>
        <w:rPr>
          <w:b/>
          <w:bCs/>
        </w:rPr>
        <w:t>(Sic)</w:t>
      </w:r>
    </w:p>
    <w:p w14:paraId="00561B92" w14:textId="77777777" w:rsidR="00C37CA6" w:rsidRPr="00037B15" w:rsidRDefault="00C37CA6" w:rsidP="00C37CA6">
      <w:pPr>
        <w:ind w:left="851" w:right="851"/>
        <w:jc w:val="both"/>
        <w:rPr>
          <w:rFonts w:ascii="Palatino Linotype" w:hAnsi="Palatino Linotype" w:cs="Arial"/>
          <w:b/>
          <w:i/>
          <w:sz w:val="16"/>
        </w:rPr>
      </w:pPr>
    </w:p>
    <w:p w14:paraId="026C5A87" w14:textId="77777777" w:rsidR="00C37CA6" w:rsidRPr="00C37CA6" w:rsidRDefault="00C37CA6" w:rsidP="00C37CA6">
      <w:pPr>
        <w:spacing w:line="360" w:lineRule="auto"/>
        <w:jc w:val="both"/>
        <w:rPr>
          <w:rFonts w:ascii="Palatino Linotype" w:hAnsi="Palatino Linotype" w:cs="Arial"/>
          <w:sz w:val="24"/>
          <w:szCs w:val="24"/>
          <w:lang w:eastAsia="es-MX"/>
        </w:rPr>
      </w:pPr>
      <w:r w:rsidRPr="00C37CA6">
        <w:rPr>
          <w:rFonts w:ascii="Palatino Linotype" w:hAnsi="Palatino Linotype" w:cs="Arial"/>
          <w:sz w:val="24"/>
          <w:szCs w:val="24"/>
          <w:lang w:eastAsia="es-MX"/>
        </w:rPr>
        <w:t xml:space="preserve">Además, y de conformidad con lo ya establecido anteriormente en el artículo 12, de la Ley de Transparencia y Acceso a la Información Pública del Estado de México y Municipios, anteriormente invocado el </w:t>
      </w:r>
      <w:r w:rsidRPr="00C37CA6">
        <w:rPr>
          <w:rFonts w:ascii="Palatino Linotype" w:hAnsi="Palatino Linotype" w:cs="Arial"/>
          <w:b/>
          <w:sz w:val="24"/>
          <w:szCs w:val="24"/>
          <w:lang w:eastAsia="es-MX"/>
        </w:rPr>
        <w:t>Sujeto Obligado</w:t>
      </w:r>
      <w:r w:rsidRPr="00C37CA6">
        <w:rPr>
          <w:rFonts w:ascii="Palatino Linotype" w:hAnsi="Palatino Linotype" w:cs="Arial"/>
          <w:sz w:val="24"/>
          <w:szCs w:val="24"/>
          <w:lang w:eastAsia="es-MX"/>
        </w:rPr>
        <w:t xml:space="preserve"> sólo proporcionará la información que obra en sus archivos, lo que </w:t>
      </w:r>
      <w:r w:rsidRPr="00C37CA6">
        <w:rPr>
          <w:rFonts w:ascii="Palatino Linotype" w:hAnsi="Palatino Linotype" w:cs="Arial"/>
          <w:i/>
          <w:sz w:val="24"/>
          <w:szCs w:val="24"/>
          <w:lang w:eastAsia="es-MX"/>
        </w:rPr>
        <w:t>a contrario sensu</w:t>
      </w:r>
      <w:r w:rsidRPr="00C37CA6">
        <w:rPr>
          <w:rFonts w:ascii="Palatino Linotype" w:hAnsi="Palatino Linotype" w:cs="Arial"/>
          <w:sz w:val="24"/>
          <w:szCs w:val="24"/>
          <w:lang w:eastAsia="es-MX"/>
        </w:rPr>
        <w:t xml:space="preserve"> significa que no se está obligado a proporcionar lo que no obre en sus archivos.</w:t>
      </w:r>
    </w:p>
    <w:p w14:paraId="64E18F02" w14:textId="77777777" w:rsidR="00C37CA6" w:rsidRPr="00C37CA6" w:rsidRDefault="00C37CA6" w:rsidP="00C37CA6">
      <w:pPr>
        <w:spacing w:line="360" w:lineRule="auto"/>
        <w:jc w:val="both"/>
        <w:rPr>
          <w:rFonts w:ascii="Palatino Linotype" w:hAnsi="Palatino Linotype" w:cs="Arial"/>
          <w:sz w:val="24"/>
          <w:szCs w:val="24"/>
          <w:lang w:eastAsia="es-MX"/>
        </w:rPr>
      </w:pPr>
      <w:r w:rsidRPr="00C37CA6">
        <w:rPr>
          <w:rFonts w:ascii="Palatino Linotype" w:hAnsi="Palatino Linotype" w:cs="Arial"/>
          <w:sz w:val="24"/>
          <w:szCs w:val="24"/>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C37CA6">
        <w:rPr>
          <w:rFonts w:ascii="Palatino Linotype" w:hAnsi="Palatino Linotype" w:cs="Arial"/>
          <w:b/>
          <w:sz w:val="24"/>
          <w:szCs w:val="24"/>
          <w:lang w:eastAsia="es-MX"/>
        </w:rPr>
        <w:t>El Recurrente</w:t>
      </w:r>
      <w:r w:rsidRPr="00C37CA6">
        <w:rPr>
          <w:rFonts w:ascii="Palatino Linotype" w:hAnsi="Palatino Linotype" w:cs="Arial"/>
          <w:sz w:val="24"/>
          <w:szCs w:val="24"/>
          <w:lang w:eastAsia="es-MX"/>
        </w:rPr>
        <w:t xml:space="preserve"> para que pueda realizar la solicitud de información ante el </w:t>
      </w:r>
      <w:r w:rsidRPr="00C37CA6">
        <w:rPr>
          <w:rFonts w:ascii="Palatino Linotype" w:hAnsi="Palatino Linotype" w:cs="Arial"/>
          <w:b/>
          <w:sz w:val="24"/>
          <w:szCs w:val="24"/>
          <w:lang w:eastAsia="es-MX"/>
        </w:rPr>
        <w:t>Sujeto Obligado</w:t>
      </w:r>
      <w:r w:rsidRPr="00C37CA6">
        <w:rPr>
          <w:rFonts w:ascii="Palatino Linotype" w:hAnsi="Palatino Linotype" w:cs="Arial"/>
          <w:sz w:val="24"/>
          <w:szCs w:val="24"/>
          <w:lang w:eastAsia="es-MX"/>
        </w:rPr>
        <w:t xml:space="preserve"> correspondiente.</w:t>
      </w:r>
    </w:p>
    <w:p w14:paraId="518B369B" w14:textId="77777777" w:rsidR="00C37CA6" w:rsidRPr="00C37CA6" w:rsidRDefault="00C37CA6" w:rsidP="00C37CA6">
      <w:pPr>
        <w:spacing w:line="360" w:lineRule="auto"/>
        <w:jc w:val="both"/>
        <w:rPr>
          <w:rFonts w:ascii="Palatino Linotype" w:eastAsia="Calibri" w:hAnsi="Palatino Linotype" w:cs="Arial"/>
          <w:sz w:val="24"/>
          <w:szCs w:val="24"/>
        </w:rPr>
      </w:pPr>
      <w:r w:rsidRPr="00C37CA6">
        <w:rPr>
          <w:rFonts w:ascii="Palatino Linotype" w:eastAsia="Calibri" w:hAnsi="Palatino Linotype" w:cs="Arial"/>
          <w:sz w:val="24"/>
          <w:szCs w:val="24"/>
        </w:rPr>
        <w:t>Así también, se dispone que</w:t>
      </w:r>
      <w:r w:rsidRPr="00C37CA6">
        <w:rPr>
          <w:rFonts w:ascii="Palatino Linotype" w:hAnsi="Palatino Linotype"/>
          <w:sz w:val="24"/>
          <w:szCs w:val="24"/>
        </w:rPr>
        <w:t xml:space="preserve"> </w:t>
      </w:r>
      <w:r w:rsidRPr="00C37CA6">
        <w:rPr>
          <w:rFonts w:ascii="Palatino Linotype" w:eastAsia="Calibri" w:hAnsi="Palatino Linotype" w:cs="Arial"/>
          <w:sz w:val="24"/>
          <w:szCs w:val="24"/>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w:t>
      </w:r>
      <w:r w:rsidRPr="00C37CA6">
        <w:rPr>
          <w:rFonts w:ascii="Palatino Linotype" w:eastAsia="Calibri" w:hAnsi="Palatino Linotype" w:cs="Arial"/>
          <w:sz w:val="24"/>
          <w:szCs w:val="24"/>
        </w:rPr>
        <w:lastRenderedPageBreak/>
        <w:t>proporcionar información no comprende el procesamiento de la misma, ni el presentarla conforme al interés del solicitante, por lo que los Sujetos Obligados no están constreñidos a generarla, resumirla, efectuar cálculos o practicar investigaciones.</w:t>
      </w:r>
    </w:p>
    <w:p w14:paraId="67AD805B" w14:textId="2E311C31" w:rsidR="00C37CA6" w:rsidRPr="00C37CA6" w:rsidRDefault="00C37CA6" w:rsidP="00C37CA6">
      <w:pPr>
        <w:spacing w:line="360" w:lineRule="auto"/>
        <w:jc w:val="both"/>
        <w:rPr>
          <w:rFonts w:ascii="Palatino Linotype" w:hAnsi="Palatino Linotype"/>
          <w:b/>
          <w:bCs/>
          <w:color w:val="000000"/>
          <w:sz w:val="24"/>
          <w:szCs w:val="24"/>
        </w:rPr>
      </w:pPr>
      <w:r w:rsidRPr="00C37CA6">
        <w:rPr>
          <w:rFonts w:ascii="Palatino Linotype" w:hAnsi="Palatino Linotype" w:cs="Arial"/>
          <w:sz w:val="24"/>
          <w:szCs w:val="24"/>
        </w:rPr>
        <w:t xml:space="preserve">En este contexto, </w:t>
      </w:r>
      <w:r w:rsidRPr="00C37CA6">
        <w:rPr>
          <w:rFonts w:ascii="Palatino Linotype" w:hAnsi="Palatino Linotype" w:cs="Arial"/>
          <w:sz w:val="24"/>
          <w:szCs w:val="24"/>
          <w:lang w:eastAsia="es-MX"/>
        </w:rPr>
        <w:t xml:space="preserve">el </w:t>
      </w:r>
      <w:r w:rsidRPr="00C37CA6">
        <w:rPr>
          <w:rFonts w:ascii="Palatino Linotype" w:hAnsi="Palatino Linotype" w:cs="Arial"/>
          <w:b/>
          <w:sz w:val="24"/>
          <w:szCs w:val="24"/>
          <w:lang w:eastAsia="es-MX"/>
        </w:rPr>
        <w:t>Sujeto Obligado</w:t>
      </w:r>
      <w:r w:rsidRPr="00C37CA6">
        <w:rPr>
          <w:rFonts w:ascii="Palatino Linotype" w:hAnsi="Palatino Linotype" w:cs="Arial"/>
          <w:sz w:val="24"/>
          <w:szCs w:val="24"/>
        </w:rPr>
        <w:t xml:space="preserve"> no está obligado a generar documento </w:t>
      </w:r>
      <w:r w:rsidRPr="00C37CA6">
        <w:rPr>
          <w:rFonts w:ascii="Palatino Linotype" w:hAnsi="Palatino Linotype" w:cs="Arial"/>
          <w:b/>
          <w:i/>
          <w:sz w:val="24"/>
          <w:szCs w:val="24"/>
        </w:rPr>
        <w:t>ad hoc</w:t>
      </w:r>
      <w:r w:rsidRPr="00C37CA6">
        <w:rPr>
          <w:rFonts w:ascii="Palatino Linotype" w:hAnsi="Palatino Linotype" w:cs="Arial"/>
          <w:sz w:val="24"/>
          <w:szCs w:val="24"/>
        </w:rPr>
        <w:t xml:space="preserve"> para satisfacer el derecho de acceso, situación que no está permitida dentro de la materia de acceso a la información. </w:t>
      </w:r>
      <w:r w:rsidRPr="00C37CA6">
        <w:rPr>
          <w:rFonts w:ascii="Palatino Linotype" w:hAnsi="Palatino Linotype" w:cs="Arial"/>
          <w:color w:val="000000"/>
          <w:sz w:val="24"/>
          <w:szCs w:val="24"/>
        </w:rPr>
        <w:t xml:space="preserve">Como apoyo a lo anterior, es aplicable el Criterio 03-17, emitido por </w:t>
      </w:r>
      <w:r w:rsidRPr="00C37CA6">
        <w:rPr>
          <w:rFonts w:ascii="Palatino Linotype" w:eastAsia="Arial Unicode MS" w:hAnsi="Palatino Linotype" w:cs="Arial"/>
          <w:color w:val="000000"/>
          <w:sz w:val="24"/>
          <w:szCs w:val="24"/>
        </w:rPr>
        <w:t>el Instituto Nacional de Transparencia, Acceso a la Información y Protección de Datos Personales,</w:t>
      </w:r>
      <w:r w:rsidRPr="00C37CA6">
        <w:rPr>
          <w:rFonts w:ascii="Palatino Linotype" w:hAnsi="Palatino Linotype"/>
          <w:bCs/>
          <w:color w:val="000000"/>
          <w:sz w:val="24"/>
          <w:szCs w:val="24"/>
        </w:rPr>
        <w:t xml:space="preserve"> que dice:</w:t>
      </w:r>
      <w:r w:rsidRPr="00C37CA6">
        <w:rPr>
          <w:rFonts w:ascii="Palatino Linotype" w:hAnsi="Palatino Linotype"/>
          <w:b/>
          <w:bCs/>
          <w:color w:val="000000"/>
          <w:sz w:val="24"/>
          <w:szCs w:val="24"/>
        </w:rPr>
        <w:t xml:space="preserve"> </w:t>
      </w:r>
    </w:p>
    <w:p w14:paraId="64CCA8BD" w14:textId="77777777" w:rsidR="00C37CA6" w:rsidRPr="00037B15" w:rsidRDefault="00C37CA6" w:rsidP="00C37CA6">
      <w:pPr>
        <w:ind w:left="851" w:right="850"/>
        <w:jc w:val="both"/>
        <w:rPr>
          <w:rFonts w:ascii="Palatino Linotype" w:hAnsi="Palatino Linotype" w:cs="Arial"/>
          <w:color w:val="000000"/>
          <w:sz w:val="2"/>
        </w:rPr>
      </w:pPr>
    </w:p>
    <w:p w14:paraId="2DF6B8B2" w14:textId="164711B8" w:rsidR="00C37CA6" w:rsidRDefault="00C37CA6" w:rsidP="00C37CA6">
      <w:pPr>
        <w:pStyle w:val="Citas"/>
        <w:rPr>
          <w:b/>
        </w:rPr>
      </w:pPr>
      <w:r w:rsidRPr="00037B15">
        <w:t>“</w:t>
      </w:r>
      <w:r w:rsidRPr="00037B15">
        <w:rPr>
          <w:b/>
        </w:rPr>
        <w:t>NO EXISTE OBLIGACIÓN DE ELABORAR DOCUMENTOS AD HOC PARA ATENDER LAS SOLICITUDES DE ACCESO A LA INFORMACIÓN.</w:t>
      </w:r>
    </w:p>
    <w:p w14:paraId="1A7235DA" w14:textId="564847C8" w:rsidR="00C37CA6" w:rsidRPr="00037B15" w:rsidRDefault="00C37CA6" w:rsidP="00C37CA6">
      <w:pPr>
        <w:pStyle w:val="Citas"/>
      </w:pPr>
      <w:r w:rsidRPr="00037B15">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449E5C1" w14:textId="77777777" w:rsidR="00C37CA6" w:rsidRPr="00037B15" w:rsidRDefault="00C37CA6" w:rsidP="00C37CA6">
      <w:pPr>
        <w:pStyle w:val="Citas"/>
      </w:pPr>
      <w:r w:rsidRPr="00037B15">
        <w:t xml:space="preserve">Resoluciones: </w:t>
      </w:r>
    </w:p>
    <w:p w14:paraId="71FFCFD6" w14:textId="77777777" w:rsidR="00C37CA6" w:rsidRPr="00037B15" w:rsidRDefault="00C37CA6" w:rsidP="00C37CA6">
      <w:pPr>
        <w:pStyle w:val="Citas"/>
      </w:pPr>
      <w:r w:rsidRPr="00037B15">
        <w:sym w:font="Symbol" w:char="F0B7"/>
      </w:r>
      <w:r w:rsidRPr="00037B15">
        <w:t xml:space="preserve"> RRA 0050/16. Instituto Nacional para la Evaluación de la Educación. 13 julio de 2016. Por unanimidad. Comisionado Ponente: Francisco Javier Acuña Llamas.</w:t>
      </w:r>
    </w:p>
    <w:p w14:paraId="7DD543D1" w14:textId="77777777" w:rsidR="00C37CA6" w:rsidRPr="00037B15" w:rsidRDefault="00C37CA6" w:rsidP="00C37CA6">
      <w:pPr>
        <w:pStyle w:val="Citas"/>
      </w:pPr>
      <w:r w:rsidRPr="00037B15">
        <w:lastRenderedPageBreak/>
        <w:sym w:font="Symbol" w:char="F0B7"/>
      </w:r>
      <w:r w:rsidRPr="00037B15">
        <w:t xml:space="preserve"> RRA 0310/16. Instituto Nacional de Transparencia, Acceso a la Información y Protección de Datos Personales. 10 de agosto de 2016. Por unanimidad. Comisionada Ponente. Areli Cano Guadiana. </w:t>
      </w:r>
    </w:p>
    <w:p w14:paraId="7997AB86" w14:textId="25E763F2" w:rsidR="00C37CA6" w:rsidRPr="00C37CA6" w:rsidRDefault="00C37CA6" w:rsidP="00C37CA6">
      <w:pPr>
        <w:pStyle w:val="Citas"/>
        <w:rPr>
          <w:b/>
          <w:bCs/>
        </w:rPr>
      </w:pPr>
      <w:r w:rsidRPr="00037B15">
        <w:sym w:font="Symbol" w:char="F0B7"/>
      </w:r>
      <w:r w:rsidRPr="00037B15">
        <w:t xml:space="preserve"> RRA 1889/16. Secretaría de Hacienda y Crédito Público. 05 de octubre de 2016. Por unanimidad. Comisionada Ponente. Ximena Puente de la Mora.”</w:t>
      </w:r>
      <w:r>
        <w:t xml:space="preserve"> </w:t>
      </w:r>
      <w:r>
        <w:rPr>
          <w:b/>
          <w:bCs/>
        </w:rPr>
        <w:t>(Sic)</w:t>
      </w:r>
    </w:p>
    <w:p w14:paraId="4A9C2499" w14:textId="77777777" w:rsidR="00C37CA6" w:rsidRPr="00037B15" w:rsidRDefault="00C37CA6" w:rsidP="00C37CA6">
      <w:pPr>
        <w:autoSpaceDE w:val="0"/>
        <w:autoSpaceDN w:val="0"/>
        <w:adjustRightInd w:val="0"/>
        <w:spacing w:line="360" w:lineRule="auto"/>
        <w:jc w:val="both"/>
        <w:rPr>
          <w:rFonts w:ascii="Palatino Linotype" w:hAnsi="Palatino Linotype" w:cs="Arial"/>
        </w:rPr>
      </w:pPr>
    </w:p>
    <w:p w14:paraId="6334D13B" w14:textId="77777777" w:rsidR="00C37CA6" w:rsidRPr="00037B15" w:rsidRDefault="00C37CA6" w:rsidP="00C37CA6">
      <w:pPr>
        <w:spacing w:line="360" w:lineRule="auto"/>
        <w:jc w:val="both"/>
        <w:rPr>
          <w:rFonts w:ascii="Palatino Linotype" w:hAnsi="Palatino Linotype" w:cs="Arial"/>
        </w:rPr>
      </w:pPr>
      <w:r w:rsidRPr="00037B15">
        <w:rPr>
          <w:rFonts w:ascii="Palatino Linotype" w:hAnsi="Palatino Linotype" w:cs="Tahoma"/>
          <w:bCs/>
        </w:rPr>
        <w:t xml:space="preserve">Bajo estas líneas argumentativas, al retomar y delimitar los requerimientos del ahora </w:t>
      </w:r>
      <w:r w:rsidRPr="00037B15">
        <w:rPr>
          <w:rFonts w:ascii="Palatino Linotype" w:hAnsi="Palatino Linotype" w:cs="Tahoma"/>
          <w:b/>
          <w:bCs/>
        </w:rPr>
        <w:t>Recurrente</w:t>
      </w:r>
      <w:r w:rsidRPr="00037B15">
        <w:rPr>
          <w:rFonts w:ascii="Palatino Linotype" w:hAnsi="Palatino Linotype" w:cs="Tahoma"/>
          <w:bCs/>
        </w:rPr>
        <w:t>, de manera objetiva se precisa que se queja de la siguiente información:</w:t>
      </w:r>
    </w:p>
    <w:p w14:paraId="7C7F4F8A" w14:textId="1A74611F" w:rsidR="00C37CA6" w:rsidRPr="00037B15" w:rsidRDefault="00C37CA6" w:rsidP="00C37CA6">
      <w:pPr>
        <w:spacing w:line="360" w:lineRule="auto"/>
        <w:ind w:right="141"/>
        <w:jc w:val="both"/>
        <w:rPr>
          <w:rFonts w:ascii="Palatino Linotype" w:hAnsi="Palatino Linotype"/>
          <w:b/>
          <w:lang w:eastAsia="es-MX"/>
        </w:rPr>
      </w:pPr>
      <w:r w:rsidRPr="00037B15">
        <w:rPr>
          <w:rFonts w:ascii="Palatino Linotype" w:hAnsi="Palatino Linotype"/>
          <w:b/>
          <w:lang w:eastAsia="es-MX"/>
        </w:rPr>
        <w:t xml:space="preserve">PUNTOS RECURRIDOS: </w:t>
      </w:r>
    </w:p>
    <w:p w14:paraId="6A37F66D" w14:textId="77777777" w:rsidR="00C37CA6" w:rsidRPr="00CE3EB5" w:rsidRDefault="00C37CA6" w:rsidP="003A3317">
      <w:pPr>
        <w:pStyle w:val="Citas"/>
        <w:numPr>
          <w:ilvl w:val="0"/>
          <w:numId w:val="8"/>
        </w:numPr>
        <w:rPr>
          <w:b/>
          <w:bCs/>
          <w:sz w:val="24"/>
        </w:rPr>
      </w:pPr>
      <w:r w:rsidRPr="00DF5F56">
        <w:t>“NO ENTREGA INFORMACIÓN”</w:t>
      </w:r>
      <w:r>
        <w:t xml:space="preserve"> </w:t>
      </w:r>
      <w:r>
        <w:rPr>
          <w:b/>
          <w:bCs/>
        </w:rPr>
        <w:t>(Sic)</w:t>
      </w:r>
    </w:p>
    <w:p w14:paraId="0E53446B" w14:textId="77777777" w:rsidR="00C37CA6" w:rsidRPr="00CE3EB5" w:rsidRDefault="00C37CA6" w:rsidP="003A3317">
      <w:pPr>
        <w:pStyle w:val="Citas"/>
        <w:numPr>
          <w:ilvl w:val="0"/>
          <w:numId w:val="8"/>
        </w:numPr>
        <w:rPr>
          <w:b/>
          <w:bCs/>
        </w:rPr>
      </w:pPr>
      <w:r w:rsidRPr="00DF5F56">
        <w:t>“A NO?”</w:t>
      </w:r>
      <w:r>
        <w:t xml:space="preserve"> </w:t>
      </w:r>
      <w:r>
        <w:rPr>
          <w:b/>
          <w:bCs/>
        </w:rPr>
        <w:t>(Sic)</w:t>
      </w:r>
    </w:p>
    <w:p w14:paraId="61AED40C" w14:textId="77777777" w:rsidR="003A5B76" w:rsidRDefault="003A5B76" w:rsidP="00A75AA2">
      <w:pPr>
        <w:spacing w:line="360" w:lineRule="auto"/>
        <w:jc w:val="both"/>
        <w:rPr>
          <w:rFonts w:ascii="Palatino Linotype" w:hAnsi="Palatino Linotype" w:cs="Arial"/>
        </w:rPr>
      </w:pPr>
    </w:p>
    <w:p w14:paraId="79F4FCA0" w14:textId="15DE7CCB" w:rsidR="00A75AA2" w:rsidRPr="007472BF" w:rsidRDefault="00A75AA2" w:rsidP="00A75AA2">
      <w:pPr>
        <w:spacing w:line="360" w:lineRule="auto"/>
        <w:jc w:val="both"/>
        <w:rPr>
          <w:rFonts w:ascii="Palatino Linotype" w:hAnsi="Palatino Linotype" w:cs="Arial"/>
          <w:sz w:val="24"/>
          <w:szCs w:val="24"/>
        </w:rPr>
      </w:pPr>
      <w:r w:rsidRPr="007472BF">
        <w:rPr>
          <w:rFonts w:ascii="Palatino Linotype" w:hAnsi="Palatino Linotype" w:cs="Arial"/>
          <w:sz w:val="24"/>
          <w:szCs w:val="24"/>
        </w:rPr>
        <w:t xml:space="preserve">Derivado de lo anterior,  </w:t>
      </w:r>
      <w:r w:rsidR="007472BF">
        <w:rPr>
          <w:rFonts w:ascii="Palatino Linotype" w:hAnsi="Palatino Linotype" w:cs="Arial"/>
          <w:sz w:val="24"/>
          <w:szCs w:val="24"/>
        </w:rPr>
        <w:t xml:space="preserve">es </w:t>
      </w:r>
      <w:r w:rsidRPr="007472BF">
        <w:rPr>
          <w:rFonts w:ascii="Palatino Linotype" w:hAnsi="Palatino Linotype" w:cs="Arial"/>
          <w:sz w:val="24"/>
          <w:szCs w:val="24"/>
        </w:rPr>
        <w:t xml:space="preserve">dable concluir que el Particular se inconformó porque el </w:t>
      </w:r>
      <w:r w:rsidRPr="007472BF">
        <w:rPr>
          <w:rFonts w:ascii="Palatino Linotype" w:hAnsi="Palatino Linotype" w:cs="Arial"/>
          <w:b/>
          <w:sz w:val="24"/>
          <w:szCs w:val="24"/>
        </w:rPr>
        <w:t>Sujeto Obligado</w:t>
      </w:r>
      <w:r w:rsidRPr="007472BF">
        <w:rPr>
          <w:rFonts w:ascii="Palatino Linotype" w:hAnsi="Palatino Linotype" w:cs="Arial"/>
          <w:sz w:val="24"/>
          <w:szCs w:val="24"/>
        </w:rPr>
        <w:t xml:space="preserve"> supuestamente no le entregó la información solicitada; sin embargo, de las constancias que obran en el expediente radicado en el Sistema de Acceso a la Información Mexiquense </w:t>
      </w:r>
      <w:r w:rsidRPr="007472BF">
        <w:rPr>
          <w:rFonts w:ascii="Palatino Linotype" w:hAnsi="Palatino Linotype" w:cs="Arial"/>
          <w:b/>
          <w:sz w:val="24"/>
          <w:szCs w:val="24"/>
        </w:rPr>
        <w:t>(SAIMEX)</w:t>
      </w:r>
      <w:r w:rsidRPr="007472BF">
        <w:rPr>
          <w:rFonts w:ascii="Palatino Linotype" w:hAnsi="Palatino Linotype" w:cs="Arial"/>
          <w:sz w:val="24"/>
          <w:szCs w:val="24"/>
        </w:rPr>
        <w:t xml:space="preserve">; se observa que el </w:t>
      </w:r>
      <w:r w:rsidRPr="007472BF">
        <w:rPr>
          <w:rFonts w:ascii="Palatino Linotype" w:hAnsi="Palatino Linotype" w:cs="Arial"/>
          <w:b/>
          <w:sz w:val="24"/>
          <w:szCs w:val="24"/>
        </w:rPr>
        <w:t>Sujeto Obligado</w:t>
      </w:r>
      <w:r w:rsidRPr="007472BF">
        <w:rPr>
          <w:rFonts w:ascii="Palatino Linotype" w:hAnsi="Palatino Linotype" w:cs="Arial"/>
          <w:sz w:val="24"/>
          <w:szCs w:val="24"/>
        </w:rPr>
        <w:t xml:space="preserve"> sí dio respuesta la solicitud de información, informando que la información no obra en sus archivos, ya que el evento de capacitación no tuvo costo; por lo tanto, no se observa relación alguna entre los argumentos de inconformidad y el expediente que nos ocupa, pues pareciera que se recurre una respuesta distinta.</w:t>
      </w:r>
    </w:p>
    <w:p w14:paraId="5730B18D" w14:textId="77777777" w:rsidR="00A75AA2" w:rsidRPr="007472BF" w:rsidRDefault="00A75AA2" w:rsidP="00A75AA2">
      <w:pPr>
        <w:spacing w:line="360" w:lineRule="auto"/>
        <w:jc w:val="both"/>
        <w:rPr>
          <w:rFonts w:ascii="Palatino Linotype" w:hAnsi="Palatino Linotype" w:cs="Arial"/>
          <w:sz w:val="24"/>
          <w:szCs w:val="24"/>
        </w:rPr>
      </w:pPr>
      <w:r w:rsidRPr="007472BF">
        <w:rPr>
          <w:rFonts w:ascii="Palatino Linotype" w:hAnsi="Palatino Linotype" w:cs="Arial"/>
          <w:sz w:val="24"/>
          <w:szCs w:val="24"/>
        </w:rPr>
        <w:t xml:space="preserve">Así las cosas, es necesario hacer del conocimiento del Particular que, de la simple lectura a su Recurso de Revisión, se desprende que el Recurso de Revisión que nos </w:t>
      </w:r>
      <w:r w:rsidRPr="007472BF">
        <w:rPr>
          <w:rFonts w:ascii="Palatino Linotype" w:hAnsi="Palatino Linotype" w:cs="Arial"/>
          <w:sz w:val="24"/>
          <w:szCs w:val="24"/>
        </w:rPr>
        <w:lastRenderedPageBreak/>
        <w:t xml:space="preserve">ocupa, no actualiza ninguno de los supuestos previstos en la Ley de la materia conforme a las actuaciones que obran en el expediente electrónico formado en el Sistema de Acceso a la Información Mexiquense </w:t>
      </w:r>
      <w:r w:rsidRPr="007472BF">
        <w:rPr>
          <w:rFonts w:ascii="Palatino Linotype" w:hAnsi="Palatino Linotype" w:cs="Arial"/>
          <w:b/>
          <w:sz w:val="24"/>
          <w:szCs w:val="24"/>
        </w:rPr>
        <w:t>(SAIMEX)</w:t>
      </w:r>
      <w:r w:rsidRPr="007472BF">
        <w:rPr>
          <w:rFonts w:ascii="Palatino Linotype" w:hAnsi="Palatino Linotype" w:cs="Arial"/>
          <w:sz w:val="24"/>
          <w:szCs w:val="24"/>
        </w:rPr>
        <w:t>.</w:t>
      </w:r>
    </w:p>
    <w:p w14:paraId="7C1AD6BE" w14:textId="77777777" w:rsidR="00A75AA2" w:rsidRPr="007472BF" w:rsidRDefault="00A75AA2" w:rsidP="00A75AA2">
      <w:pPr>
        <w:spacing w:line="360" w:lineRule="auto"/>
        <w:jc w:val="both"/>
        <w:rPr>
          <w:rFonts w:ascii="Palatino Linotype" w:hAnsi="Palatino Linotype" w:cs="Arial"/>
          <w:sz w:val="24"/>
          <w:szCs w:val="24"/>
        </w:rPr>
      </w:pPr>
      <w:r w:rsidRPr="007472BF">
        <w:rPr>
          <w:rFonts w:ascii="Palatino Linotype" w:hAnsi="Palatino Linotype" w:cs="Arial"/>
          <w:sz w:val="24"/>
          <w:szCs w:val="24"/>
        </w:rPr>
        <w:t xml:space="preserve">Por tales circunstancias, este Instituto se encuentra impedido a entrar al estudio de fondo, en virtud que el Particular no manifestó razones o motivos de inconformidad, relacionados con la respuesta emitida por parte del </w:t>
      </w:r>
      <w:r w:rsidRPr="007472BF">
        <w:rPr>
          <w:rFonts w:ascii="Palatino Linotype" w:hAnsi="Palatino Linotype" w:cs="Arial"/>
          <w:b/>
          <w:sz w:val="24"/>
          <w:szCs w:val="24"/>
        </w:rPr>
        <w:t>Ayuntamiento de Zinacantepec</w:t>
      </w:r>
      <w:r w:rsidRPr="007472BF">
        <w:rPr>
          <w:rFonts w:ascii="Palatino Linotype" w:hAnsi="Palatino Linotype" w:cs="Arial"/>
          <w:sz w:val="24"/>
          <w:szCs w:val="24"/>
        </w:rPr>
        <w:t>, a fin de atender su solicitud de acceso.</w:t>
      </w:r>
    </w:p>
    <w:p w14:paraId="686A4142" w14:textId="77777777" w:rsidR="00A75AA2" w:rsidRPr="007472BF" w:rsidRDefault="00A75AA2" w:rsidP="00A75AA2">
      <w:pPr>
        <w:spacing w:line="360" w:lineRule="auto"/>
        <w:jc w:val="both"/>
        <w:rPr>
          <w:rFonts w:ascii="Palatino Linotype" w:hAnsi="Palatino Linotype"/>
          <w:sz w:val="24"/>
          <w:szCs w:val="24"/>
          <w:lang w:eastAsia="es-MX"/>
        </w:rPr>
      </w:pPr>
      <w:r w:rsidRPr="007472BF">
        <w:rPr>
          <w:rFonts w:ascii="Palatino Linotype" w:hAnsi="Palatino Linotype" w:cs="Arial"/>
          <w:sz w:val="24"/>
          <w:szCs w:val="24"/>
        </w:rPr>
        <w:t xml:space="preserve">Adicionalmente, es de precisar que, la Servidora Pública Habilitada de la Unidad de Transparencia fue la encargada de otorgar la respuesta dentro de sus atribuciones. </w:t>
      </w:r>
      <w:r w:rsidRPr="007472BF">
        <w:rPr>
          <w:rFonts w:ascii="Palatino Linotype" w:hAnsi="Palatino Linotype"/>
          <w:sz w:val="24"/>
          <w:szCs w:val="24"/>
          <w:lang w:eastAsia="es-MX"/>
        </w:rPr>
        <w:t>En otras palabras, cumplió con lo que para tal efecto dispone el artículo 162, de la Ley de Transparencia y Acceso a la Información Pública del Estado de México y Municipios, que índica:</w:t>
      </w:r>
    </w:p>
    <w:p w14:paraId="14AD8754" w14:textId="28F38FFA" w:rsidR="00A75AA2" w:rsidRPr="00A75AA2" w:rsidRDefault="00A75AA2" w:rsidP="00A75AA2">
      <w:pPr>
        <w:pStyle w:val="Citas"/>
        <w:rPr>
          <w:b/>
          <w:bCs/>
          <w:sz w:val="18"/>
          <w:lang w:eastAsia="es-MX"/>
        </w:rPr>
      </w:pPr>
      <w:r w:rsidRPr="00037B15">
        <w:rPr>
          <w:lang w:eastAsia="es-MX"/>
        </w:rPr>
        <w:t>“</w:t>
      </w:r>
      <w:r w:rsidRPr="00037B15">
        <w:rPr>
          <w:b/>
          <w:bCs/>
          <w:lang w:eastAsia="es-MX"/>
        </w:rPr>
        <w:t xml:space="preserve">Artículo 162. </w:t>
      </w:r>
      <w:r w:rsidRPr="00037B15">
        <w:rPr>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lang w:eastAsia="es-MX"/>
        </w:rPr>
        <w:t xml:space="preserve"> </w:t>
      </w:r>
      <w:r>
        <w:rPr>
          <w:b/>
          <w:bCs/>
          <w:lang w:eastAsia="es-MX"/>
        </w:rPr>
        <w:t>(Sic)</w:t>
      </w:r>
    </w:p>
    <w:p w14:paraId="02FA98C3" w14:textId="602D5ECE" w:rsidR="00A75AA2" w:rsidRDefault="00A75AA2" w:rsidP="00A75AA2">
      <w:pPr>
        <w:spacing w:line="360" w:lineRule="auto"/>
        <w:jc w:val="both"/>
        <w:rPr>
          <w:rFonts w:ascii="Palatino Linotype" w:hAnsi="Palatino Linotype" w:cs="Arial"/>
        </w:rPr>
      </w:pPr>
    </w:p>
    <w:p w14:paraId="209C828E" w14:textId="77777777" w:rsidR="00A75AA2" w:rsidRPr="007472BF" w:rsidRDefault="00A75AA2" w:rsidP="00A75AA2">
      <w:pPr>
        <w:autoSpaceDE w:val="0"/>
        <w:autoSpaceDN w:val="0"/>
        <w:adjustRightInd w:val="0"/>
        <w:spacing w:line="360" w:lineRule="auto"/>
        <w:jc w:val="both"/>
        <w:rPr>
          <w:rFonts w:ascii="Palatino Linotype" w:hAnsi="Palatino Linotype" w:cs="Arial"/>
          <w:sz w:val="24"/>
          <w:szCs w:val="24"/>
        </w:rPr>
      </w:pPr>
      <w:r w:rsidRPr="007472BF">
        <w:rPr>
          <w:rFonts w:ascii="Palatino Linotype" w:hAnsi="Palatino Linotype" w:cs="Arial"/>
          <w:sz w:val="24"/>
          <w:szCs w:val="24"/>
        </w:rPr>
        <w:t>Hasta lo aquí expuesto, se advierte que se actualiza la hipótesis prevista en el artículo 191, fracción III, de la Ley de Transparencia y Acceso a la Información Pública del Estado de México y Municipios en vigor, que a la letra establece lo siguiente:</w:t>
      </w:r>
    </w:p>
    <w:p w14:paraId="286582E4" w14:textId="77777777" w:rsidR="00A75AA2" w:rsidRPr="00037B15" w:rsidRDefault="00A75AA2" w:rsidP="00A75AA2">
      <w:pPr>
        <w:autoSpaceDE w:val="0"/>
        <w:autoSpaceDN w:val="0"/>
        <w:adjustRightInd w:val="0"/>
        <w:ind w:left="567" w:right="616"/>
        <w:jc w:val="both"/>
        <w:rPr>
          <w:rFonts w:ascii="Palatino Linotype" w:hAnsi="Palatino Linotype" w:cs="Arial"/>
          <w:i/>
        </w:rPr>
      </w:pPr>
      <w:r w:rsidRPr="00037B15">
        <w:rPr>
          <w:rFonts w:ascii="Palatino Linotype" w:hAnsi="Palatino Linotype" w:cs="Arial"/>
          <w:i/>
        </w:rPr>
        <w:t>“</w:t>
      </w:r>
      <w:r w:rsidRPr="00037B15">
        <w:rPr>
          <w:rFonts w:ascii="Palatino Linotype" w:hAnsi="Palatino Linotype" w:cs="Arial"/>
          <w:b/>
          <w:i/>
        </w:rPr>
        <w:t>Artículo 191</w:t>
      </w:r>
      <w:r w:rsidRPr="00037B15">
        <w:rPr>
          <w:rFonts w:ascii="Palatino Linotype" w:hAnsi="Palatino Linotype" w:cs="Arial"/>
          <w:i/>
        </w:rPr>
        <w:t>. El recurso será desechado por improcedente cuando:</w:t>
      </w:r>
    </w:p>
    <w:p w14:paraId="595B1A2D" w14:textId="77777777" w:rsidR="00A75AA2" w:rsidRPr="00037B15" w:rsidRDefault="00A75AA2" w:rsidP="00A75AA2">
      <w:pPr>
        <w:autoSpaceDE w:val="0"/>
        <w:autoSpaceDN w:val="0"/>
        <w:adjustRightInd w:val="0"/>
        <w:ind w:left="567" w:right="616"/>
        <w:jc w:val="both"/>
        <w:rPr>
          <w:rFonts w:ascii="Palatino Linotype" w:hAnsi="Palatino Linotype" w:cs="Arial"/>
          <w:i/>
        </w:rPr>
      </w:pPr>
      <w:r w:rsidRPr="00037B15">
        <w:rPr>
          <w:rFonts w:ascii="Palatino Linotype" w:hAnsi="Palatino Linotype" w:cs="Arial"/>
          <w:i/>
        </w:rPr>
        <w:t>(…)</w:t>
      </w:r>
    </w:p>
    <w:p w14:paraId="170816C7" w14:textId="77777777" w:rsidR="00A75AA2" w:rsidRPr="003A5B76" w:rsidRDefault="00A75AA2" w:rsidP="00A75AA2">
      <w:pPr>
        <w:autoSpaceDE w:val="0"/>
        <w:autoSpaceDN w:val="0"/>
        <w:adjustRightInd w:val="0"/>
        <w:ind w:left="567" w:right="616"/>
        <w:jc w:val="both"/>
        <w:rPr>
          <w:rFonts w:ascii="Palatino Linotype" w:hAnsi="Palatino Linotype" w:cs="Arial"/>
          <w:b/>
          <w:i/>
        </w:rPr>
      </w:pPr>
      <w:r w:rsidRPr="003A5B76">
        <w:rPr>
          <w:rFonts w:ascii="Palatino Linotype" w:hAnsi="Palatino Linotype" w:cs="Arial"/>
          <w:b/>
          <w:i/>
        </w:rPr>
        <w:lastRenderedPageBreak/>
        <w:t xml:space="preserve">III. </w:t>
      </w:r>
      <w:r w:rsidRPr="003A5B76">
        <w:rPr>
          <w:rFonts w:ascii="Palatino Linotype" w:hAnsi="Palatino Linotype" w:cs="Arial"/>
          <w:b/>
          <w:i/>
          <w:u w:val="single"/>
        </w:rPr>
        <w:t>No actualice alguno de los supuestos previstos en la presente Ley</w:t>
      </w:r>
      <w:r w:rsidRPr="003A5B76">
        <w:rPr>
          <w:rFonts w:ascii="Palatino Linotype" w:hAnsi="Palatino Linotype" w:cs="Arial"/>
          <w:b/>
          <w:i/>
        </w:rPr>
        <w:t xml:space="preserve">; </w:t>
      </w:r>
    </w:p>
    <w:p w14:paraId="2C5E8F62" w14:textId="77777777" w:rsidR="00A75AA2" w:rsidRPr="00037B15" w:rsidRDefault="00A75AA2" w:rsidP="00A75AA2">
      <w:pPr>
        <w:autoSpaceDE w:val="0"/>
        <w:autoSpaceDN w:val="0"/>
        <w:adjustRightInd w:val="0"/>
        <w:ind w:left="567" w:right="616"/>
        <w:jc w:val="both"/>
        <w:rPr>
          <w:rFonts w:ascii="Palatino Linotype" w:hAnsi="Palatino Linotype" w:cs="Arial"/>
          <w:i/>
        </w:rPr>
      </w:pPr>
      <w:r w:rsidRPr="00037B15">
        <w:rPr>
          <w:rFonts w:ascii="Palatino Linotype" w:hAnsi="Palatino Linotype" w:cs="Arial"/>
          <w:i/>
        </w:rPr>
        <w:t>(…)</w:t>
      </w:r>
    </w:p>
    <w:p w14:paraId="42AF7A31" w14:textId="77777777" w:rsidR="00A75AA2" w:rsidRPr="00037B15" w:rsidRDefault="00A75AA2" w:rsidP="00A75AA2">
      <w:pPr>
        <w:autoSpaceDE w:val="0"/>
        <w:autoSpaceDN w:val="0"/>
        <w:adjustRightInd w:val="0"/>
        <w:spacing w:line="360" w:lineRule="auto"/>
        <w:jc w:val="both"/>
        <w:rPr>
          <w:rFonts w:ascii="Palatino Linotype" w:hAnsi="Palatino Linotype" w:cs="Arial"/>
        </w:rPr>
      </w:pPr>
    </w:p>
    <w:p w14:paraId="60EF909A" w14:textId="77777777" w:rsidR="00A75AA2" w:rsidRPr="00037B15" w:rsidRDefault="00A75AA2" w:rsidP="00A75AA2">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En conclusión, la ley de la materia establece en la fracción IV, del artículo 192, de la Ley de Transparencia vigente en la entidad, que a la letra establecen:</w:t>
      </w:r>
    </w:p>
    <w:p w14:paraId="37048BBA" w14:textId="77777777" w:rsidR="00A75AA2" w:rsidRPr="00037B15" w:rsidRDefault="00A75AA2" w:rsidP="003A5B76">
      <w:pPr>
        <w:pStyle w:val="Citas"/>
      </w:pPr>
      <w:r w:rsidRPr="00037B15">
        <w:t>“Artículo 192. El recurso será sobreseído, en todo o en parte, cuando una vez admitido, se actualicen alguno de los siguientes supuestos:</w:t>
      </w:r>
    </w:p>
    <w:p w14:paraId="43074E6D" w14:textId="77777777" w:rsidR="00A75AA2" w:rsidRPr="00037B15" w:rsidRDefault="00A75AA2" w:rsidP="003A3317">
      <w:pPr>
        <w:pStyle w:val="Citas"/>
        <w:numPr>
          <w:ilvl w:val="0"/>
          <w:numId w:val="9"/>
        </w:numPr>
      </w:pPr>
      <w:r w:rsidRPr="00037B15">
        <w:t xml:space="preserve">El recurrente se desista expresamente del recurso; </w:t>
      </w:r>
    </w:p>
    <w:p w14:paraId="0A587AA7" w14:textId="77777777" w:rsidR="00A75AA2" w:rsidRPr="00037B15" w:rsidRDefault="00A75AA2" w:rsidP="003A3317">
      <w:pPr>
        <w:pStyle w:val="Citas"/>
        <w:numPr>
          <w:ilvl w:val="0"/>
          <w:numId w:val="9"/>
        </w:numPr>
      </w:pPr>
      <w:r w:rsidRPr="00037B15">
        <w:t xml:space="preserve">El recurrente fallezca o, tratándose de personas jurídicas colectivas, se disuelva; </w:t>
      </w:r>
    </w:p>
    <w:p w14:paraId="7F65FDFB" w14:textId="77777777" w:rsidR="00A75AA2" w:rsidRPr="00037B15" w:rsidRDefault="00A75AA2" w:rsidP="003A3317">
      <w:pPr>
        <w:pStyle w:val="Citas"/>
        <w:numPr>
          <w:ilvl w:val="0"/>
          <w:numId w:val="9"/>
        </w:numPr>
      </w:pPr>
      <w:r w:rsidRPr="00037B15">
        <w:t xml:space="preserve">El sujeto obligado responsable del acto lo modifique o revoque de tal manera que el recurso de revisión quede sin materia; </w:t>
      </w:r>
    </w:p>
    <w:p w14:paraId="06CD718F" w14:textId="77777777" w:rsidR="00A75AA2" w:rsidRPr="003A5B76" w:rsidRDefault="00A75AA2" w:rsidP="003A3317">
      <w:pPr>
        <w:pStyle w:val="Citas"/>
        <w:numPr>
          <w:ilvl w:val="0"/>
          <w:numId w:val="9"/>
        </w:numPr>
        <w:rPr>
          <w:b/>
          <w:bCs/>
          <w:u w:val="single"/>
        </w:rPr>
      </w:pPr>
      <w:r w:rsidRPr="003A5B76">
        <w:rPr>
          <w:b/>
          <w:bCs/>
          <w:u w:val="single"/>
        </w:rPr>
        <w:t xml:space="preserve">Admitido el recurso de revisión, aparezca alguna causal de improcedencia en los términos de la presente Ley; y </w:t>
      </w:r>
    </w:p>
    <w:p w14:paraId="128A39AB" w14:textId="77777777" w:rsidR="00A75AA2" w:rsidRPr="00037B15" w:rsidRDefault="00A75AA2" w:rsidP="003A3317">
      <w:pPr>
        <w:pStyle w:val="Citas"/>
        <w:numPr>
          <w:ilvl w:val="0"/>
          <w:numId w:val="9"/>
        </w:numPr>
      </w:pPr>
      <w:r w:rsidRPr="00037B15">
        <w:t>Cuando por cualquier motivo quede sin materia el recurso.”</w:t>
      </w:r>
    </w:p>
    <w:p w14:paraId="5BD309DF" w14:textId="77777777" w:rsidR="00A75AA2" w:rsidRPr="00037B15" w:rsidRDefault="00A75AA2" w:rsidP="00A75AA2">
      <w:pPr>
        <w:rPr>
          <w:rFonts w:ascii="Palatino Linotype" w:hAnsi="Palatino Linotype"/>
        </w:rPr>
      </w:pPr>
    </w:p>
    <w:p w14:paraId="4A2E850E" w14:textId="77777777" w:rsidR="00A75AA2" w:rsidRPr="00037B15" w:rsidRDefault="00A75AA2" w:rsidP="00A75AA2">
      <w:pPr>
        <w:autoSpaceDE w:val="0"/>
        <w:autoSpaceDN w:val="0"/>
        <w:adjustRightInd w:val="0"/>
        <w:spacing w:line="360" w:lineRule="auto"/>
        <w:jc w:val="both"/>
        <w:rPr>
          <w:rFonts w:ascii="Palatino Linotype" w:hAnsi="Palatino Linotype"/>
          <w:sz w:val="14"/>
        </w:rPr>
      </w:pPr>
    </w:p>
    <w:p w14:paraId="75B34A24" w14:textId="77777777" w:rsidR="00A75AA2" w:rsidRPr="003A5B76" w:rsidRDefault="00A75AA2" w:rsidP="00A75AA2">
      <w:pPr>
        <w:autoSpaceDE w:val="0"/>
        <w:autoSpaceDN w:val="0"/>
        <w:adjustRightInd w:val="0"/>
        <w:spacing w:line="360" w:lineRule="auto"/>
        <w:jc w:val="both"/>
        <w:rPr>
          <w:rFonts w:ascii="Palatino Linotype" w:hAnsi="Palatino Linotype"/>
          <w:b/>
          <w:sz w:val="24"/>
          <w:szCs w:val="24"/>
          <w:u w:val="single"/>
        </w:rPr>
      </w:pPr>
      <w:r w:rsidRPr="003A5B76">
        <w:rPr>
          <w:rFonts w:ascii="Palatino Linotype" w:hAnsi="Palatino Linotype"/>
          <w:sz w:val="24"/>
          <w:szCs w:val="24"/>
        </w:rPr>
        <w:t xml:space="preserve">Es importante resaltar a manera de analogía que la Suprema Corte de Justicia de la Nación mediante el número 2 de la Serie </w:t>
      </w:r>
      <w:r w:rsidRPr="003A5B76">
        <w:rPr>
          <w:rFonts w:ascii="Palatino Linotype" w:hAnsi="Palatino Linotype"/>
          <w:i/>
          <w:sz w:val="24"/>
          <w:szCs w:val="24"/>
        </w:rPr>
        <w:t xml:space="preserve">Estudios Introductorios sobre el Juicio de Amparo </w:t>
      </w:r>
      <w:r w:rsidRPr="003A5B76">
        <w:rPr>
          <w:rFonts w:ascii="Palatino Linotype" w:hAnsi="Palatino Linotype"/>
          <w:sz w:val="24"/>
          <w:szCs w:val="24"/>
        </w:rPr>
        <w:t xml:space="preserve">relativo a </w:t>
      </w:r>
      <w:r w:rsidRPr="003A5B76">
        <w:rPr>
          <w:rFonts w:ascii="Palatino Linotype" w:hAnsi="Palatino Linotype"/>
          <w:i/>
          <w:sz w:val="24"/>
          <w:szCs w:val="24"/>
        </w:rPr>
        <w:t xml:space="preserve">LA IMPROCEDENCIA DE LA ACCIÓN DE AMPARO </w:t>
      </w:r>
      <w:r w:rsidRPr="003A5B76">
        <w:rPr>
          <w:rFonts w:ascii="Palatino Linotype" w:hAnsi="Palatino Linotype"/>
          <w:sz w:val="24"/>
          <w:szCs w:val="24"/>
        </w:rPr>
        <w:t xml:space="preserve">definió a la improcedencia del amparo como la institución jurídica procesal en la que, al actualizarse ciertas circunstancias previstas en la Constitución Federal, en la Ley de </w:t>
      </w:r>
      <w:r w:rsidRPr="003A5B76">
        <w:rPr>
          <w:rFonts w:ascii="Palatino Linotype" w:hAnsi="Palatino Linotype"/>
          <w:sz w:val="24"/>
          <w:szCs w:val="24"/>
        </w:rPr>
        <w:lastRenderedPageBreak/>
        <w:t xml:space="preserve">Amparo o en la Jurisprudencia, el órgano jurisdiccional se ve impedido para analizar y resolver el fondo del asunto y que la causa de improcedencia puede tenerse por acreditada desde el momento en que se presenta la demanda de amparo, </w:t>
      </w:r>
      <w:r w:rsidRPr="003A5B76">
        <w:rPr>
          <w:rFonts w:ascii="Palatino Linotype" w:hAnsi="Palatino Linotype"/>
          <w:b/>
          <w:sz w:val="24"/>
          <w:szCs w:val="24"/>
          <w:u w:val="single"/>
        </w:rPr>
        <w:t>lo que generará que la demanda sea desechada; o bien, después de admitida la demanda, lo que tendrá como consecuencia que se sobresea en el juicio.</w:t>
      </w:r>
    </w:p>
    <w:p w14:paraId="28622FF5" w14:textId="3DF15DF7" w:rsidR="00A75AA2" w:rsidRPr="003A5B76" w:rsidRDefault="00A75AA2" w:rsidP="00A75AA2">
      <w:pPr>
        <w:autoSpaceDE w:val="0"/>
        <w:autoSpaceDN w:val="0"/>
        <w:adjustRightInd w:val="0"/>
        <w:spacing w:line="360" w:lineRule="auto"/>
        <w:jc w:val="both"/>
        <w:rPr>
          <w:rFonts w:ascii="Palatino Linotype" w:hAnsi="Palatino Linotype"/>
          <w:sz w:val="24"/>
          <w:szCs w:val="24"/>
        </w:rPr>
      </w:pPr>
      <w:r w:rsidRPr="003A5B76">
        <w:rPr>
          <w:rFonts w:ascii="Palatino Linotype" w:hAnsi="Palatino Linotype"/>
          <w:sz w:val="24"/>
          <w:szCs w:val="24"/>
        </w:rPr>
        <w:t xml:space="preserve">En este orden de ideas, es conducente colegir </w:t>
      </w:r>
      <w:r w:rsidR="007472BF" w:rsidRPr="003A5B76">
        <w:rPr>
          <w:rFonts w:ascii="Palatino Linotype" w:hAnsi="Palatino Linotype"/>
          <w:sz w:val="24"/>
          <w:szCs w:val="24"/>
        </w:rPr>
        <w:t>que,</w:t>
      </w:r>
      <w:r w:rsidRPr="003A5B76">
        <w:rPr>
          <w:rFonts w:ascii="Palatino Linotype" w:hAnsi="Palatino Linotype"/>
          <w:sz w:val="24"/>
          <w:szCs w:val="24"/>
        </w:rPr>
        <w:t xml:space="preserve"> en el presente Recurso de Revisión, se actualizó la causal de improcedencia prevista en la fracción III, del numeral 191, de la Ley de Transparencia y Acceso a la Información Pública del Estado de México y Municipios, en virtud que no se actualizó ningún supuesto de procedencia señalado en el ordenamiento en cita. </w:t>
      </w:r>
    </w:p>
    <w:p w14:paraId="18923B94" w14:textId="77777777" w:rsidR="00A75AA2" w:rsidRPr="003A5B76" w:rsidRDefault="00A75AA2" w:rsidP="00A75AA2">
      <w:pPr>
        <w:autoSpaceDE w:val="0"/>
        <w:autoSpaceDN w:val="0"/>
        <w:adjustRightInd w:val="0"/>
        <w:spacing w:line="360" w:lineRule="auto"/>
        <w:jc w:val="both"/>
        <w:rPr>
          <w:rFonts w:ascii="Palatino Linotype" w:hAnsi="Palatino Linotype"/>
          <w:sz w:val="24"/>
          <w:szCs w:val="24"/>
        </w:rPr>
      </w:pPr>
      <w:r w:rsidRPr="003A5B76">
        <w:rPr>
          <w:rFonts w:ascii="Palatino Linotype" w:hAnsi="Palatino Linotype"/>
          <w:sz w:val="24"/>
          <w:szCs w:val="24"/>
        </w:rPr>
        <w:t xml:space="preserve">Finalmente, no se deja de lado que se dejan a salvo los derechos del Particular a fin de que, de considerarlo pertinente, interponga una nueva solicitud de acceso ante el </w:t>
      </w:r>
      <w:r w:rsidRPr="003A5B76">
        <w:rPr>
          <w:rFonts w:ascii="Palatino Linotype" w:hAnsi="Palatino Linotype"/>
          <w:b/>
          <w:sz w:val="24"/>
          <w:szCs w:val="24"/>
        </w:rPr>
        <w:t>Ayuntamiento de Zinacantepec</w:t>
      </w:r>
      <w:r w:rsidRPr="003A5B76">
        <w:rPr>
          <w:rFonts w:ascii="Palatino Linotype" w:hAnsi="Palatino Linotype"/>
          <w:sz w:val="24"/>
          <w:szCs w:val="24"/>
        </w:rPr>
        <w:t>, a fin de solicitar la información de su interés.</w:t>
      </w:r>
    </w:p>
    <w:p w14:paraId="694DAEC8" w14:textId="57517480" w:rsidR="00A75AA2" w:rsidRPr="00A75AA2" w:rsidRDefault="00A75AA2" w:rsidP="00A75AA2">
      <w:pPr>
        <w:spacing w:line="360" w:lineRule="auto"/>
        <w:ind w:right="51"/>
        <w:jc w:val="both"/>
        <w:rPr>
          <w:rFonts w:ascii="Palatino Linotype" w:hAnsi="Palatino Linotype" w:cs="Arial"/>
          <w:bCs/>
          <w:sz w:val="24"/>
          <w:szCs w:val="24"/>
          <w:lang w:eastAsia="es-MX"/>
        </w:rPr>
      </w:pPr>
      <w:r w:rsidRPr="00A75AA2">
        <w:rPr>
          <w:rFonts w:ascii="Palatino Linotype" w:hAnsi="Palatino Linotype" w:cs="Arial"/>
          <w:sz w:val="24"/>
          <w:szCs w:val="24"/>
        </w:rPr>
        <w:t>En mérito de lo expuesto en líneas anteriores</w:t>
      </w:r>
      <w:r w:rsidRPr="00A75AA2">
        <w:rPr>
          <w:rFonts w:ascii="Palatino Linotype" w:hAnsi="Palatino Linotype"/>
          <w:noProof/>
          <w:sz w:val="24"/>
          <w:szCs w:val="24"/>
          <w:lang w:eastAsia="es-MX"/>
        </w:rPr>
        <w:t xml:space="preserve">, resultan parcialmente procedentes los motivos de inconformidad que arguye </w:t>
      </w:r>
      <w:r w:rsidRPr="00A75AA2">
        <w:rPr>
          <w:rFonts w:ascii="Palatino Linotype" w:hAnsi="Palatino Linotype"/>
          <w:b/>
          <w:noProof/>
          <w:sz w:val="24"/>
          <w:szCs w:val="24"/>
          <w:lang w:eastAsia="es-MX"/>
        </w:rPr>
        <w:t>El Recurrente</w:t>
      </w:r>
      <w:r w:rsidRPr="00A75AA2">
        <w:rPr>
          <w:rFonts w:ascii="Palatino Linotype" w:hAnsi="Palatino Linotype"/>
          <w:noProof/>
          <w:sz w:val="24"/>
          <w:szCs w:val="24"/>
          <w:lang w:eastAsia="es-MX"/>
        </w:rPr>
        <w:t xml:space="preserve"> en su medio de impugnación que fue materia de estudio, </w:t>
      </w:r>
      <w:r w:rsidRPr="00A75AA2">
        <w:rPr>
          <w:rFonts w:ascii="Palatino Linotype" w:hAnsi="Palatino Linotype" w:cs="Arial"/>
          <w:sz w:val="24"/>
          <w:szCs w:val="24"/>
        </w:rPr>
        <w:t xml:space="preserve">por ello con fundamento en el artículo 186, fracción I, en concordancia con el artículo 192, fracción IV, de la Ley de Transparencia y Acceso a la Información Pública del Estado de México y Municipios, se </w:t>
      </w:r>
      <w:r w:rsidRPr="00A75AA2">
        <w:rPr>
          <w:rFonts w:ascii="Palatino Linotype" w:hAnsi="Palatino Linotype" w:cs="Arial"/>
          <w:b/>
          <w:sz w:val="24"/>
          <w:szCs w:val="24"/>
        </w:rPr>
        <w:t>SOBRESEE</w:t>
      </w:r>
      <w:r w:rsidRPr="00A75AA2">
        <w:rPr>
          <w:rFonts w:ascii="Palatino Linotype" w:hAnsi="Palatino Linotype" w:cs="Arial"/>
          <w:sz w:val="24"/>
          <w:szCs w:val="24"/>
        </w:rPr>
        <w:t xml:space="preserve"> el recurso de revisión </w:t>
      </w:r>
      <w:r w:rsidR="003A5B76">
        <w:rPr>
          <w:rFonts w:ascii="Palatino Linotype" w:eastAsiaTheme="minorEastAsia" w:hAnsi="Palatino Linotype"/>
          <w:b/>
          <w:sz w:val="24"/>
          <w:szCs w:val="24"/>
          <w:lang w:val="es-ES_tradnl"/>
        </w:rPr>
        <w:t>05450</w:t>
      </w:r>
      <w:r w:rsidRPr="00A75AA2">
        <w:rPr>
          <w:rFonts w:ascii="Palatino Linotype" w:eastAsiaTheme="minorEastAsia" w:hAnsi="Palatino Linotype"/>
          <w:b/>
          <w:sz w:val="24"/>
          <w:szCs w:val="24"/>
          <w:lang w:val="es-ES_tradnl"/>
        </w:rPr>
        <w:t>/INFOEM/IP/RR/2023</w:t>
      </w:r>
      <w:r w:rsidRPr="00A75AA2">
        <w:rPr>
          <w:rFonts w:ascii="Palatino Linotype" w:eastAsiaTheme="minorEastAsia" w:hAnsi="Palatino Linotype"/>
          <w:sz w:val="24"/>
          <w:szCs w:val="24"/>
          <w:lang w:val="es-ES_tradnl"/>
        </w:rPr>
        <w:t>,</w:t>
      </w:r>
      <w:r w:rsidRPr="00A75AA2">
        <w:rPr>
          <w:rFonts w:ascii="Palatino Linotype" w:eastAsiaTheme="minorEastAsia" w:hAnsi="Palatino Linotype"/>
          <w:b/>
          <w:sz w:val="24"/>
          <w:szCs w:val="24"/>
          <w:lang w:val="es-ES_tradnl"/>
        </w:rPr>
        <w:t xml:space="preserve"> </w:t>
      </w:r>
      <w:r w:rsidRPr="00A75AA2">
        <w:rPr>
          <w:rFonts w:ascii="Palatino Linotype" w:hAnsi="Palatino Linotype" w:cs="Arial"/>
          <w:bCs/>
          <w:sz w:val="24"/>
          <w:szCs w:val="24"/>
          <w:lang w:eastAsia="es-MX"/>
        </w:rPr>
        <w:t>que ha sido materia del presente fallo.</w:t>
      </w:r>
    </w:p>
    <w:p w14:paraId="2F16F8C2" w14:textId="77777777" w:rsidR="00A75AA2" w:rsidRPr="00A75AA2" w:rsidRDefault="00A75AA2" w:rsidP="00A75AA2">
      <w:pPr>
        <w:tabs>
          <w:tab w:val="left" w:pos="8931"/>
        </w:tabs>
        <w:spacing w:line="360" w:lineRule="auto"/>
        <w:ind w:right="51"/>
        <w:jc w:val="both"/>
        <w:rPr>
          <w:rFonts w:ascii="Palatino Linotype" w:hAnsi="Palatino Linotype"/>
          <w:sz w:val="24"/>
          <w:szCs w:val="24"/>
        </w:rPr>
      </w:pPr>
      <w:r w:rsidRPr="00A75AA2">
        <w:rPr>
          <w:rFonts w:ascii="Palatino Linotype" w:hAnsi="Palatino Linotype"/>
          <w:sz w:val="24"/>
          <w:szCs w:val="24"/>
        </w:rPr>
        <w:t>Por lo antes expuesto y fundado es de resolverse y,</w:t>
      </w:r>
    </w:p>
    <w:p w14:paraId="1F51EFF0" w14:textId="6474C1DE" w:rsidR="00A75AA2" w:rsidRDefault="007472BF" w:rsidP="00A75AA2">
      <w:pPr>
        <w:tabs>
          <w:tab w:val="left" w:pos="8931"/>
        </w:tabs>
        <w:spacing w:line="360" w:lineRule="auto"/>
        <w:ind w:right="51"/>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883507" behindDoc="0" locked="0" layoutInCell="1" allowOverlap="1" wp14:anchorId="6E3E5E67" wp14:editId="21FA34B4">
                <wp:simplePos x="0" y="0"/>
                <wp:positionH relativeFrom="column">
                  <wp:posOffset>-2185</wp:posOffset>
                </wp:positionH>
                <wp:positionV relativeFrom="paragraph">
                  <wp:posOffset>49065</wp:posOffset>
                </wp:positionV>
                <wp:extent cx="6029093" cy="869795"/>
                <wp:effectExtent l="0" t="0" r="29210" b="26035"/>
                <wp:wrapNone/>
                <wp:docPr id="1749308185" name="Straight Connector 4"/>
                <wp:cNvGraphicFramePr/>
                <a:graphic xmlns:a="http://schemas.openxmlformats.org/drawingml/2006/main">
                  <a:graphicData uri="http://schemas.microsoft.com/office/word/2010/wordprocessingShape">
                    <wps:wsp>
                      <wps:cNvCnPr/>
                      <wps:spPr>
                        <a:xfrm>
                          <a:off x="0" y="0"/>
                          <a:ext cx="6029093" cy="869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BB14B1" id="Straight Connector 4" o:spid="_x0000_s1026" style="position:absolute;z-index:251883507;visibility:visible;mso-wrap-style:square;mso-wrap-distance-left:9pt;mso-wrap-distance-top:0;mso-wrap-distance-right:9pt;mso-wrap-distance-bottom:0;mso-position-horizontal:absolute;mso-position-horizontal-relative:text;mso-position-vertical:absolute;mso-position-vertical-relative:text" from="-.15pt,3.85pt" to="474.6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" strokecolor="#5b9bd5 [3204]" strokeweight=".5pt">
                <v:stroke joinstyle="miter"/>
              </v:line>
            </w:pict>
          </mc:Fallback>
        </mc:AlternateContent>
      </w:r>
    </w:p>
    <w:p w14:paraId="17DD5BDF" w14:textId="77777777" w:rsidR="007472BF" w:rsidRPr="00037B15" w:rsidRDefault="007472BF" w:rsidP="00A75AA2">
      <w:pPr>
        <w:tabs>
          <w:tab w:val="left" w:pos="8931"/>
        </w:tabs>
        <w:spacing w:line="360" w:lineRule="auto"/>
        <w:ind w:right="51"/>
        <w:jc w:val="both"/>
        <w:rPr>
          <w:rFonts w:ascii="Palatino Linotype" w:hAnsi="Palatino Linotype"/>
        </w:rPr>
      </w:pPr>
    </w:p>
    <w:p w14:paraId="256E8C47" w14:textId="77777777" w:rsidR="00A75AA2" w:rsidRPr="00037B15" w:rsidRDefault="00A75AA2" w:rsidP="00A75AA2">
      <w:pPr>
        <w:spacing w:line="360" w:lineRule="auto"/>
        <w:jc w:val="center"/>
        <w:rPr>
          <w:rFonts w:ascii="Palatino Linotype" w:hAnsi="Palatino Linotype"/>
          <w:b/>
          <w:bCs/>
          <w:spacing w:val="60"/>
          <w:sz w:val="28"/>
          <w:lang w:val="es-ES_tradnl"/>
        </w:rPr>
      </w:pPr>
      <w:r w:rsidRPr="00037B15">
        <w:rPr>
          <w:rFonts w:ascii="Palatino Linotype" w:hAnsi="Palatino Linotype"/>
          <w:b/>
          <w:bCs/>
          <w:spacing w:val="60"/>
          <w:sz w:val="28"/>
          <w:lang w:val="es-ES_tradnl"/>
        </w:rPr>
        <w:lastRenderedPageBreak/>
        <w:t>SE    RESUELVE</w:t>
      </w:r>
    </w:p>
    <w:p w14:paraId="5FD46207" w14:textId="4FA9502D" w:rsidR="00A75AA2" w:rsidRPr="00A75AA2" w:rsidRDefault="00A75AA2" w:rsidP="00A75AA2">
      <w:pPr>
        <w:spacing w:line="360" w:lineRule="auto"/>
        <w:jc w:val="both"/>
        <w:rPr>
          <w:rFonts w:ascii="Palatino Linotype" w:eastAsiaTheme="minorEastAsia" w:hAnsi="Palatino Linotype"/>
          <w:sz w:val="24"/>
          <w:szCs w:val="24"/>
          <w:lang w:val="es-ES_tradnl"/>
        </w:rPr>
      </w:pPr>
      <w:r w:rsidRPr="00A75AA2">
        <w:rPr>
          <w:rFonts w:ascii="Palatino Linotype" w:hAnsi="Palatino Linotype"/>
          <w:b/>
          <w:bCs/>
          <w:sz w:val="24"/>
          <w:szCs w:val="24"/>
          <w:lang w:eastAsia="es-MX"/>
        </w:rPr>
        <w:t>PRIMERO</w:t>
      </w:r>
      <w:r w:rsidRPr="00A75AA2">
        <w:rPr>
          <w:rFonts w:ascii="Palatino Linotype" w:hAnsi="Palatino Linotype"/>
          <w:sz w:val="24"/>
          <w:szCs w:val="24"/>
          <w:lang w:eastAsia="es-MX"/>
        </w:rPr>
        <w:t xml:space="preserve">. </w:t>
      </w:r>
      <w:r w:rsidRPr="00A75AA2">
        <w:rPr>
          <w:rFonts w:ascii="Palatino Linotype" w:hAnsi="Palatino Linotype" w:cs="Arial"/>
          <w:sz w:val="24"/>
          <w:szCs w:val="24"/>
          <w:lang w:val="es-ES_tradnl"/>
        </w:rPr>
        <w:t xml:space="preserve">Se </w:t>
      </w:r>
      <w:r w:rsidRPr="00A75AA2">
        <w:rPr>
          <w:rFonts w:ascii="Palatino Linotype" w:hAnsi="Palatino Linotype" w:cs="Arial"/>
          <w:b/>
          <w:sz w:val="24"/>
          <w:szCs w:val="24"/>
          <w:lang w:val="es-ES_tradnl"/>
        </w:rPr>
        <w:t>SOBRESEE</w:t>
      </w:r>
      <w:r w:rsidRPr="00A75AA2">
        <w:rPr>
          <w:rFonts w:ascii="Palatino Linotype" w:hAnsi="Palatino Linotype" w:cs="Arial"/>
          <w:sz w:val="24"/>
          <w:szCs w:val="24"/>
          <w:lang w:val="es-ES_tradnl"/>
        </w:rPr>
        <w:t xml:space="preserve"> el recurso de revisión número </w:t>
      </w:r>
      <w:r w:rsidR="003A5B76">
        <w:rPr>
          <w:rFonts w:ascii="Palatino Linotype" w:eastAsiaTheme="minorEastAsia" w:hAnsi="Palatino Linotype"/>
          <w:b/>
          <w:sz w:val="24"/>
          <w:szCs w:val="24"/>
          <w:lang w:val="es-ES_tradnl"/>
        </w:rPr>
        <w:t>05450</w:t>
      </w:r>
      <w:r w:rsidRPr="00A75AA2">
        <w:rPr>
          <w:rFonts w:ascii="Palatino Linotype" w:eastAsiaTheme="minorEastAsia" w:hAnsi="Palatino Linotype"/>
          <w:b/>
          <w:sz w:val="24"/>
          <w:szCs w:val="24"/>
          <w:lang w:val="es-ES_tradnl"/>
        </w:rPr>
        <w:t>/INFOEM/IP/RR/2023</w:t>
      </w:r>
      <w:r w:rsidRPr="00A75AA2">
        <w:rPr>
          <w:rFonts w:ascii="Palatino Linotype" w:eastAsiaTheme="minorEastAsia" w:hAnsi="Palatino Linotype"/>
          <w:sz w:val="24"/>
          <w:szCs w:val="24"/>
          <w:lang w:val="es-ES_tradnl"/>
        </w:rPr>
        <w:t xml:space="preserve">, por improcedente en términos de los artículos 191, fracción III y 192, fracción IV, de la Ley de Transparencia y Acceso a la Información Pública del Estado de México y Municipios, y en términos del Considerando </w:t>
      </w:r>
      <w:r w:rsidRPr="00A75AA2">
        <w:rPr>
          <w:rFonts w:ascii="Palatino Linotype" w:eastAsiaTheme="minorEastAsia" w:hAnsi="Palatino Linotype"/>
          <w:b/>
          <w:sz w:val="24"/>
          <w:szCs w:val="24"/>
          <w:lang w:val="es-ES_tradnl"/>
        </w:rPr>
        <w:t>CUARTO</w:t>
      </w:r>
      <w:r w:rsidRPr="00A75AA2">
        <w:rPr>
          <w:rFonts w:ascii="Palatino Linotype" w:eastAsiaTheme="minorEastAsia" w:hAnsi="Palatino Linotype"/>
          <w:sz w:val="24"/>
          <w:szCs w:val="24"/>
          <w:lang w:val="es-ES_tradnl"/>
        </w:rPr>
        <w:t xml:space="preserve"> de la presente resolución.</w:t>
      </w:r>
    </w:p>
    <w:p w14:paraId="71C19775" w14:textId="77777777" w:rsidR="00A75AA2" w:rsidRPr="00A75AA2" w:rsidRDefault="00A75AA2" w:rsidP="00A75AA2">
      <w:pPr>
        <w:spacing w:line="360" w:lineRule="auto"/>
        <w:jc w:val="both"/>
        <w:rPr>
          <w:rFonts w:ascii="Palatino Linotype" w:eastAsiaTheme="minorEastAsia" w:hAnsi="Palatino Linotype"/>
          <w:sz w:val="24"/>
          <w:szCs w:val="24"/>
          <w:lang w:val="es-ES_tradnl"/>
        </w:rPr>
      </w:pPr>
    </w:p>
    <w:p w14:paraId="2ADC5971" w14:textId="77777777" w:rsidR="00A75AA2" w:rsidRPr="00A75AA2" w:rsidRDefault="00A75AA2" w:rsidP="00A75AA2">
      <w:pPr>
        <w:spacing w:line="360" w:lineRule="auto"/>
        <w:jc w:val="both"/>
        <w:rPr>
          <w:rFonts w:ascii="Palatino Linotype" w:hAnsi="Palatino Linotype"/>
          <w:sz w:val="24"/>
          <w:szCs w:val="24"/>
        </w:rPr>
      </w:pPr>
      <w:r w:rsidRPr="00A75AA2">
        <w:rPr>
          <w:rFonts w:ascii="Palatino Linotype" w:hAnsi="Palatino Linotype"/>
          <w:b/>
          <w:sz w:val="24"/>
          <w:szCs w:val="24"/>
        </w:rPr>
        <w:t>SEGUNDO.</w:t>
      </w:r>
      <w:r w:rsidRPr="00A75AA2">
        <w:rPr>
          <w:rFonts w:ascii="Palatino Linotype" w:hAnsi="Palatino Linotype" w:cs="Arial"/>
          <w:sz w:val="24"/>
          <w:szCs w:val="24"/>
        </w:rPr>
        <w:t xml:space="preserve"> </w:t>
      </w:r>
      <w:r w:rsidRPr="00A75AA2">
        <w:rPr>
          <w:rFonts w:ascii="Palatino Linotype" w:hAnsi="Palatino Linotype"/>
          <w:b/>
          <w:sz w:val="24"/>
          <w:szCs w:val="24"/>
        </w:rPr>
        <w:t>NOTIFÍQUESE</w:t>
      </w:r>
      <w:r w:rsidRPr="00A75AA2">
        <w:rPr>
          <w:rFonts w:ascii="Palatino Linotype" w:hAnsi="Palatino Linotype"/>
          <w:sz w:val="24"/>
          <w:szCs w:val="24"/>
        </w:rPr>
        <w:t xml:space="preserve"> vía Sistema de Acceso a la Información Mexiquense </w:t>
      </w:r>
      <w:r w:rsidRPr="00A75AA2">
        <w:rPr>
          <w:rFonts w:ascii="Palatino Linotype" w:hAnsi="Palatino Linotype"/>
          <w:b/>
          <w:sz w:val="24"/>
          <w:szCs w:val="24"/>
        </w:rPr>
        <w:t>(SAIMEX)</w:t>
      </w:r>
      <w:r w:rsidRPr="00A75AA2">
        <w:rPr>
          <w:rFonts w:ascii="Palatino Linotype" w:hAnsi="Palatino Linotype"/>
          <w:sz w:val="24"/>
          <w:szCs w:val="24"/>
        </w:rPr>
        <w:t xml:space="preserve">, la presente resolución al Titular de la Unidad de Transparencia del </w:t>
      </w:r>
      <w:r w:rsidRPr="00A75AA2">
        <w:rPr>
          <w:rFonts w:ascii="Palatino Linotype" w:hAnsi="Palatino Linotype"/>
          <w:b/>
          <w:sz w:val="24"/>
          <w:szCs w:val="24"/>
        </w:rPr>
        <w:t>Sujeto Obligado</w:t>
      </w:r>
      <w:r w:rsidRPr="00A75AA2">
        <w:rPr>
          <w:rFonts w:ascii="Palatino Linotype" w:hAnsi="Palatino Linotype"/>
          <w:sz w:val="24"/>
          <w:szCs w:val="24"/>
        </w:rPr>
        <w:t>.</w:t>
      </w:r>
    </w:p>
    <w:p w14:paraId="62601A4B" w14:textId="77777777" w:rsidR="00A75AA2" w:rsidRPr="00A75AA2" w:rsidRDefault="00A75AA2" w:rsidP="00A75AA2">
      <w:pPr>
        <w:spacing w:line="360" w:lineRule="auto"/>
        <w:jc w:val="both"/>
        <w:rPr>
          <w:rFonts w:ascii="Palatino Linotype" w:hAnsi="Palatino Linotype"/>
          <w:sz w:val="24"/>
          <w:szCs w:val="24"/>
        </w:rPr>
      </w:pPr>
    </w:p>
    <w:p w14:paraId="1BDD8BB6" w14:textId="77777777" w:rsidR="00A75AA2" w:rsidRPr="00A75AA2" w:rsidRDefault="00A75AA2" w:rsidP="00A75AA2">
      <w:pPr>
        <w:spacing w:line="360" w:lineRule="auto"/>
        <w:jc w:val="both"/>
        <w:rPr>
          <w:rFonts w:ascii="Palatino Linotype" w:hAnsi="Palatino Linotype"/>
          <w:sz w:val="24"/>
          <w:szCs w:val="24"/>
        </w:rPr>
      </w:pPr>
      <w:r w:rsidRPr="00A75AA2">
        <w:rPr>
          <w:rFonts w:ascii="Palatino Linotype" w:hAnsi="Palatino Linotype" w:cs="Arial"/>
          <w:b/>
          <w:sz w:val="24"/>
          <w:szCs w:val="24"/>
        </w:rPr>
        <w:t xml:space="preserve">TERCERO. </w:t>
      </w:r>
      <w:r w:rsidRPr="00A75AA2">
        <w:rPr>
          <w:rFonts w:ascii="Palatino Linotype" w:hAnsi="Palatino Linotype"/>
          <w:b/>
          <w:sz w:val="24"/>
          <w:szCs w:val="24"/>
        </w:rPr>
        <w:t>NOTIFÍQUESE</w:t>
      </w:r>
      <w:r w:rsidRPr="00A75AA2">
        <w:rPr>
          <w:rFonts w:ascii="Palatino Linotype" w:hAnsi="Palatino Linotype"/>
          <w:sz w:val="24"/>
          <w:szCs w:val="24"/>
        </w:rPr>
        <w:t xml:space="preserve"> al </w:t>
      </w:r>
      <w:r w:rsidRPr="00A75AA2">
        <w:rPr>
          <w:rFonts w:ascii="Palatino Linotype" w:hAnsi="Palatino Linotype"/>
          <w:b/>
          <w:sz w:val="24"/>
          <w:szCs w:val="24"/>
        </w:rPr>
        <w:t xml:space="preserve">Recurrente </w:t>
      </w:r>
      <w:r w:rsidRPr="00A75AA2">
        <w:rPr>
          <w:rFonts w:ascii="Palatino Linotype" w:hAnsi="Palatino Linotype"/>
          <w:sz w:val="24"/>
          <w:szCs w:val="24"/>
        </w:rPr>
        <w:t xml:space="preserve">la presente resolución vía Sistema de Acceso a la Información Mexiquense </w:t>
      </w:r>
      <w:r w:rsidRPr="00A75AA2">
        <w:rPr>
          <w:rFonts w:ascii="Palatino Linotype" w:hAnsi="Palatino Linotype"/>
          <w:b/>
          <w:sz w:val="24"/>
          <w:szCs w:val="24"/>
        </w:rPr>
        <w:t>(SAIMEX)</w:t>
      </w:r>
      <w:r w:rsidRPr="00A75AA2">
        <w:rPr>
          <w:rFonts w:ascii="Palatino Linotype" w:hAnsi="Palatino Linotype"/>
          <w:sz w:val="24"/>
          <w:szCs w:val="24"/>
        </w:rPr>
        <w:t xml:space="preserve">, y </w:t>
      </w:r>
      <w:r w:rsidRPr="00A75AA2">
        <w:rPr>
          <w:rFonts w:ascii="Palatino Linotype" w:hAnsi="Palatino Linotype" w:cs="Arial"/>
          <w:sz w:val="24"/>
          <w:szCs w:val="24"/>
        </w:rPr>
        <w:t>hágase</w:t>
      </w:r>
      <w:r w:rsidRPr="00A75AA2">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0FF33AEF" w14:textId="77777777" w:rsidR="007472BF" w:rsidRDefault="007472BF" w:rsidP="003A5B76">
      <w:pPr>
        <w:pStyle w:val="Prrafodelista"/>
        <w:autoSpaceDE w:val="0"/>
        <w:autoSpaceDN w:val="0"/>
        <w:adjustRightInd w:val="0"/>
        <w:spacing w:before="240" w:after="160" w:line="360" w:lineRule="auto"/>
        <w:ind w:left="0"/>
        <w:jc w:val="both"/>
        <w:rPr>
          <w:rFonts w:ascii="Palatino Linotype" w:hAnsi="Palatino Linotype" w:cs="Arial"/>
        </w:rPr>
      </w:pPr>
    </w:p>
    <w:p w14:paraId="1EEB7643" w14:textId="7E6901B4" w:rsidR="003A5B76" w:rsidRPr="0014609A" w:rsidRDefault="003A5B76" w:rsidP="003A5B76">
      <w:pPr>
        <w:pStyle w:val="Prrafodelista"/>
        <w:autoSpaceDE w:val="0"/>
        <w:autoSpaceDN w:val="0"/>
        <w:adjustRightInd w:val="0"/>
        <w:spacing w:before="240" w:after="160" w:line="360" w:lineRule="auto"/>
        <w:ind w:left="0"/>
        <w:jc w:val="both"/>
        <w:rPr>
          <w:rFonts w:ascii="Palatino Linotype" w:hAnsi="Palatino Linotype" w:cs="Arial"/>
        </w:rPr>
      </w:pPr>
      <w:r w:rsidRPr="0014609A">
        <w:rPr>
          <w:rFonts w:ascii="Palatino Linotype" w:hAnsi="Palatino Linotype" w:cs="Arial"/>
        </w:rPr>
        <w:t>ASÍ LO ACORDÓ, POR UNANIMIDAD DE VOTOS, EL PLENO DEL</w:t>
      </w:r>
      <w:r w:rsidRPr="0014609A">
        <w:rPr>
          <w:rFonts w:ascii="Palatino Linotype" w:eastAsia="Arial Unicode MS" w:hAnsi="Palatino Linotype" w:cs="Arial"/>
        </w:rPr>
        <w:t xml:space="preserve"> INSTITUTO DE TRANSPARENCIA, ACCESO A LA INFORMACIÓN PÚBLICA Y PROTECCIÓN DE DATOS PERSONALES DEL ESTADO DE MÉXICO Y MUNICIPIOS</w:t>
      </w:r>
      <w:r w:rsidRPr="0014609A">
        <w:rPr>
          <w:rFonts w:ascii="Palatino Linotype" w:hAnsi="Palatino Linotype" w:cs="Arial"/>
        </w:rPr>
        <w:t xml:space="preserve">, CONFORMADO POR LOS COMISIONADOS JOSÉ MARTÍNEZ VILCHIS, MARÍA DEL ROSARIO </w:t>
      </w:r>
      <w:r w:rsidRPr="0014609A">
        <w:rPr>
          <w:rFonts w:ascii="Palatino Linotype" w:hAnsi="Palatino Linotype" w:cs="Arial"/>
        </w:rPr>
        <w:lastRenderedPageBreak/>
        <w:t xml:space="preserve">MEJÍA AYALA, SHARON CRISTINA MORALES MARTÍNEZ, LUIS GUSTAVO PARRA NORIEGA Y GUADALUPE RAMÍREZ PEÑA; EN LA </w:t>
      </w:r>
      <w:r>
        <w:rPr>
          <w:rFonts w:ascii="Palatino Linotype" w:hAnsi="Palatino Linotype" w:cs="Arial"/>
        </w:rPr>
        <w:t xml:space="preserve">TRIGÉSIMA OCTAVA </w:t>
      </w:r>
      <w:r w:rsidRPr="0014609A">
        <w:rPr>
          <w:rFonts w:ascii="Palatino Linotype" w:hAnsi="Palatino Linotype" w:cs="Arial"/>
        </w:rPr>
        <w:t>SESIÓN ORDINARIA CELEBRADA</w:t>
      </w:r>
      <w:r>
        <w:rPr>
          <w:rFonts w:ascii="Palatino Linotype" w:hAnsi="Palatino Linotype" w:cs="Arial"/>
        </w:rPr>
        <w:t xml:space="preserve"> EL </w:t>
      </w:r>
      <w:r w:rsidR="004F5848">
        <w:rPr>
          <w:rFonts w:ascii="Palatino Linotype" w:hAnsi="Palatino Linotype" w:cs="Arial"/>
        </w:rPr>
        <w:t xml:space="preserve">VEINTICINCO </w:t>
      </w:r>
      <w:r>
        <w:rPr>
          <w:rFonts w:ascii="Palatino Linotype" w:hAnsi="Palatino Linotype" w:cs="Arial"/>
        </w:rPr>
        <w:t xml:space="preserve">DE OCTUBRE DE DOS MIL VEINTITRÉS, </w:t>
      </w:r>
      <w:r w:rsidRPr="0014609A">
        <w:rPr>
          <w:rFonts w:ascii="Palatino Linotype" w:hAnsi="Palatino Linotype" w:cs="Arial"/>
        </w:rPr>
        <w:t xml:space="preserve">ANTE EL   SECRETARIO TÉCNICO DEL PLENO, ALEXIS TAPIA RAMÍREZ. </w:t>
      </w:r>
    </w:p>
    <w:p w14:paraId="73D9DFE2" w14:textId="4A24B704" w:rsidR="00A75AA2" w:rsidRPr="00037B15" w:rsidRDefault="003A5B76" w:rsidP="003A5B76">
      <w:pPr>
        <w:spacing w:line="360" w:lineRule="auto"/>
        <w:jc w:val="both"/>
        <w:rPr>
          <w:rFonts w:ascii="Palatino Linotype" w:hAnsi="Palatino Linotype" w:cs="Arial"/>
        </w:rPr>
      </w:pPr>
      <w:r w:rsidRPr="00C514C0">
        <w:rPr>
          <w:rFonts w:ascii="Palatino Linotype" w:hAnsi="Palatino Linotype"/>
          <w:bCs/>
          <w:sz w:val="20"/>
          <w:szCs w:val="20"/>
        </w:rPr>
        <w:t>CCR/JCMA</w:t>
      </w:r>
    </w:p>
    <w:p w14:paraId="35AE6639" w14:textId="3263208E" w:rsidR="00C37CA6" w:rsidRDefault="003A5B76" w:rsidP="00E60203">
      <w:pPr>
        <w:autoSpaceDE w:val="0"/>
        <w:autoSpaceDN w:val="0"/>
        <w:adjustRightInd w:val="0"/>
        <w:spacing w:before="240"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882483" behindDoc="0" locked="0" layoutInCell="1" allowOverlap="1" wp14:anchorId="1FE4A328" wp14:editId="45ACBE8E">
                <wp:simplePos x="0" y="0"/>
                <wp:positionH relativeFrom="column">
                  <wp:posOffset>5251</wp:posOffset>
                </wp:positionH>
                <wp:positionV relativeFrom="paragraph">
                  <wp:posOffset>24285</wp:posOffset>
                </wp:positionV>
                <wp:extent cx="5962186" cy="5612780"/>
                <wp:effectExtent l="0" t="0" r="19685" b="26035"/>
                <wp:wrapNone/>
                <wp:docPr id="341275110" name="Straight Connector 3"/>
                <wp:cNvGraphicFramePr/>
                <a:graphic xmlns:a="http://schemas.openxmlformats.org/drawingml/2006/main">
                  <a:graphicData uri="http://schemas.microsoft.com/office/word/2010/wordprocessingShape">
                    <wps:wsp>
                      <wps:cNvCnPr/>
                      <wps:spPr>
                        <a:xfrm>
                          <a:off x="0" y="0"/>
                          <a:ext cx="5962186" cy="5612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FB3439" id="Straight Connector 3" o:spid="_x0000_s1026" style="position:absolute;z-index:251882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9pt" to="469.85pt,4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" strokecolor="#5b9bd5 [3204]" strokeweight=".5pt">
                <v:stroke joinstyle="miter"/>
              </v:line>
            </w:pict>
          </mc:Fallback>
        </mc:AlternateContent>
      </w:r>
    </w:p>
    <w:p w14:paraId="5A2D01DE" w14:textId="77777777" w:rsidR="00A75AA2" w:rsidRDefault="00A75AA2" w:rsidP="00E60203">
      <w:pPr>
        <w:autoSpaceDE w:val="0"/>
        <w:autoSpaceDN w:val="0"/>
        <w:adjustRightInd w:val="0"/>
        <w:spacing w:before="240" w:line="360" w:lineRule="auto"/>
        <w:jc w:val="both"/>
        <w:rPr>
          <w:rFonts w:ascii="Palatino Linotype" w:hAnsi="Palatino Linotype" w:cs="Arial"/>
          <w:color w:val="000000"/>
          <w:sz w:val="24"/>
          <w:szCs w:val="24"/>
        </w:rPr>
      </w:pPr>
    </w:p>
    <w:p w14:paraId="1414ADE9" w14:textId="77777777" w:rsidR="00C37CA6" w:rsidRDefault="00C37CA6" w:rsidP="00E60203">
      <w:pPr>
        <w:autoSpaceDE w:val="0"/>
        <w:autoSpaceDN w:val="0"/>
        <w:adjustRightInd w:val="0"/>
        <w:spacing w:before="240" w:line="360" w:lineRule="auto"/>
        <w:jc w:val="both"/>
        <w:rPr>
          <w:rFonts w:ascii="Palatino Linotype" w:hAnsi="Palatino Linotype" w:cs="Arial"/>
          <w:color w:val="000000"/>
          <w:sz w:val="24"/>
          <w:szCs w:val="24"/>
        </w:rPr>
      </w:pPr>
    </w:p>
    <w:p w14:paraId="16070802" w14:textId="77777777" w:rsidR="003A5B76" w:rsidRDefault="003A5B76" w:rsidP="00E60203">
      <w:pPr>
        <w:autoSpaceDE w:val="0"/>
        <w:autoSpaceDN w:val="0"/>
        <w:adjustRightInd w:val="0"/>
        <w:spacing w:before="240" w:line="360" w:lineRule="auto"/>
        <w:jc w:val="both"/>
        <w:rPr>
          <w:rFonts w:ascii="Palatino Linotype" w:hAnsi="Palatino Linotype" w:cs="Arial"/>
          <w:color w:val="000000"/>
          <w:sz w:val="24"/>
          <w:szCs w:val="24"/>
        </w:rPr>
      </w:pPr>
    </w:p>
    <w:p w14:paraId="53968967" w14:textId="77777777" w:rsidR="003A5B76" w:rsidRDefault="003A5B76" w:rsidP="00E60203">
      <w:pPr>
        <w:autoSpaceDE w:val="0"/>
        <w:autoSpaceDN w:val="0"/>
        <w:adjustRightInd w:val="0"/>
        <w:spacing w:before="240" w:line="360" w:lineRule="auto"/>
        <w:jc w:val="both"/>
        <w:rPr>
          <w:rFonts w:ascii="Palatino Linotype" w:hAnsi="Palatino Linotype" w:cs="Arial"/>
          <w:color w:val="000000"/>
          <w:sz w:val="24"/>
          <w:szCs w:val="24"/>
        </w:rPr>
      </w:pPr>
    </w:p>
    <w:p w14:paraId="25022F33" w14:textId="77777777" w:rsidR="003A5B76" w:rsidRDefault="003A5B76" w:rsidP="00E60203">
      <w:pPr>
        <w:autoSpaceDE w:val="0"/>
        <w:autoSpaceDN w:val="0"/>
        <w:adjustRightInd w:val="0"/>
        <w:spacing w:before="240" w:line="360" w:lineRule="auto"/>
        <w:jc w:val="both"/>
        <w:rPr>
          <w:rFonts w:ascii="Palatino Linotype" w:hAnsi="Palatino Linotype" w:cs="Arial"/>
          <w:color w:val="000000"/>
          <w:sz w:val="24"/>
          <w:szCs w:val="24"/>
        </w:rPr>
      </w:pPr>
    </w:p>
    <w:p w14:paraId="34F5FF80" w14:textId="77777777" w:rsidR="003A5B76" w:rsidRDefault="003A5B76" w:rsidP="00E60203">
      <w:pPr>
        <w:autoSpaceDE w:val="0"/>
        <w:autoSpaceDN w:val="0"/>
        <w:adjustRightInd w:val="0"/>
        <w:spacing w:before="240" w:line="360" w:lineRule="auto"/>
        <w:jc w:val="both"/>
        <w:rPr>
          <w:rFonts w:ascii="Palatino Linotype" w:hAnsi="Palatino Linotype" w:cs="Arial"/>
          <w:color w:val="000000"/>
          <w:sz w:val="24"/>
          <w:szCs w:val="24"/>
        </w:rPr>
      </w:pPr>
    </w:p>
    <w:p w14:paraId="27191F86" w14:textId="77777777" w:rsidR="003A5B76" w:rsidRDefault="003A5B76" w:rsidP="00E60203">
      <w:pPr>
        <w:autoSpaceDE w:val="0"/>
        <w:autoSpaceDN w:val="0"/>
        <w:adjustRightInd w:val="0"/>
        <w:spacing w:before="240" w:line="360" w:lineRule="auto"/>
        <w:jc w:val="both"/>
        <w:rPr>
          <w:rFonts w:ascii="Palatino Linotype" w:hAnsi="Palatino Linotype" w:cs="Arial"/>
          <w:color w:val="000000"/>
          <w:sz w:val="24"/>
          <w:szCs w:val="24"/>
        </w:rPr>
      </w:pPr>
    </w:p>
    <w:p w14:paraId="389A51E7" w14:textId="77777777" w:rsidR="003A5B76" w:rsidRDefault="003A5B76" w:rsidP="00E60203">
      <w:pPr>
        <w:autoSpaceDE w:val="0"/>
        <w:autoSpaceDN w:val="0"/>
        <w:adjustRightInd w:val="0"/>
        <w:spacing w:before="240" w:line="360" w:lineRule="auto"/>
        <w:jc w:val="both"/>
        <w:rPr>
          <w:rFonts w:ascii="Palatino Linotype" w:hAnsi="Palatino Linotype" w:cs="Arial"/>
          <w:color w:val="000000"/>
          <w:sz w:val="24"/>
          <w:szCs w:val="24"/>
        </w:rPr>
      </w:pPr>
    </w:p>
    <w:p w14:paraId="5570337E" w14:textId="77777777" w:rsidR="003A5B76" w:rsidRDefault="003A5B76" w:rsidP="00E60203">
      <w:pPr>
        <w:autoSpaceDE w:val="0"/>
        <w:autoSpaceDN w:val="0"/>
        <w:adjustRightInd w:val="0"/>
        <w:spacing w:before="240" w:line="360" w:lineRule="auto"/>
        <w:jc w:val="both"/>
        <w:rPr>
          <w:rFonts w:ascii="Palatino Linotype" w:hAnsi="Palatino Linotype" w:cs="Arial"/>
          <w:color w:val="000000"/>
          <w:sz w:val="24"/>
          <w:szCs w:val="24"/>
        </w:rPr>
      </w:pPr>
    </w:p>
    <w:p w14:paraId="23DE8AB1" w14:textId="77777777" w:rsidR="003A5B76" w:rsidRDefault="003A5B76" w:rsidP="00E60203">
      <w:pPr>
        <w:autoSpaceDE w:val="0"/>
        <w:autoSpaceDN w:val="0"/>
        <w:adjustRightInd w:val="0"/>
        <w:spacing w:before="240" w:line="360" w:lineRule="auto"/>
        <w:jc w:val="both"/>
        <w:rPr>
          <w:rFonts w:ascii="Palatino Linotype" w:hAnsi="Palatino Linotype" w:cs="Arial"/>
          <w:color w:val="000000"/>
          <w:sz w:val="24"/>
          <w:szCs w:val="24"/>
        </w:rPr>
      </w:pPr>
    </w:p>
    <w:p w14:paraId="0F27720C" w14:textId="77777777" w:rsidR="007472BF" w:rsidRDefault="007472BF" w:rsidP="00E60203">
      <w:pPr>
        <w:autoSpaceDE w:val="0"/>
        <w:autoSpaceDN w:val="0"/>
        <w:adjustRightInd w:val="0"/>
        <w:spacing w:before="240" w:line="360" w:lineRule="auto"/>
        <w:jc w:val="both"/>
        <w:rPr>
          <w:rFonts w:ascii="Palatino Linotype" w:hAnsi="Palatino Linotype" w:cs="Arial"/>
          <w:color w:val="000000"/>
          <w:sz w:val="24"/>
          <w:szCs w:val="24"/>
        </w:rPr>
      </w:pPr>
    </w:p>
    <w:p w14:paraId="28C28B9D" w14:textId="77777777" w:rsidR="007472BF" w:rsidRDefault="007472BF" w:rsidP="00E60203">
      <w:pPr>
        <w:autoSpaceDE w:val="0"/>
        <w:autoSpaceDN w:val="0"/>
        <w:adjustRightInd w:val="0"/>
        <w:spacing w:before="240" w:line="360" w:lineRule="auto"/>
        <w:jc w:val="both"/>
        <w:rPr>
          <w:rFonts w:ascii="Palatino Linotype" w:hAnsi="Palatino Linotype" w:cs="Arial"/>
          <w:color w:val="000000"/>
          <w:sz w:val="24"/>
          <w:szCs w:val="24"/>
        </w:rPr>
      </w:pPr>
    </w:p>
    <w:p w14:paraId="385F9D3D" w14:textId="77777777" w:rsidR="003A5B76" w:rsidRDefault="003A5B76" w:rsidP="00E60203">
      <w:pPr>
        <w:autoSpaceDE w:val="0"/>
        <w:autoSpaceDN w:val="0"/>
        <w:adjustRightInd w:val="0"/>
        <w:spacing w:before="240" w:line="360" w:lineRule="auto"/>
        <w:jc w:val="both"/>
        <w:rPr>
          <w:rFonts w:ascii="Palatino Linotype" w:hAnsi="Palatino Linotype" w:cs="Arial"/>
          <w:color w:val="000000"/>
          <w:sz w:val="24"/>
          <w:szCs w:val="24"/>
        </w:rPr>
      </w:pPr>
    </w:p>
    <w:sectPr w:rsidR="003A5B76"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479E6" w14:textId="77777777" w:rsidR="006679F4" w:rsidRDefault="006679F4" w:rsidP="006168E4">
      <w:pPr>
        <w:spacing w:after="0" w:line="240" w:lineRule="auto"/>
      </w:pPr>
      <w:r>
        <w:separator/>
      </w:r>
    </w:p>
  </w:endnote>
  <w:endnote w:type="continuationSeparator" w:id="0">
    <w:p w14:paraId="5DE61382" w14:textId="77777777" w:rsidR="006679F4" w:rsidRDefault="006679F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C73D" w14:textId="41B20377"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3317">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A3317">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E9FD" w14:textId="6A5769AE"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331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A3317">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9A456" w14:textId="77777777" w:rsidR="006679F4" w:rsidRDefault="006679F4" w:rsidP="006168E4">
      <w:pPr>
        <w:spacing w:after="0" w:line="240" w:lineRule="auto"/>
      </w:pPr>
      <w:r>
        <w:separator/>
      </w:r>
    </w:p>
  </w:footnote>
  <w:footnote w:type="continuationSeparator" w:id="0">
    <w:p w14:paraId="65453AEA" w14:textId="77777777" w:rsidR="006679F4" w:rsidRDefault="006679F4" w:rsidP="006168E4">
      <w:pPr>
        <w:spacing w:after="0" w:line="240" w:lineRule="auto"/>
      </w:pPr>
      <w:r>
        <w:continuationSeparator/>
      </w:r>
    </w:p>
  </w:footnote>
  <w:footnote w:id="1">
    <w:p w14:paraId="6F8863A0" w14:textId="77777777" w:rsidR="00C37CA6" w:rsidRPr="00911081" w:rsidRDefault="00C37CA6" w:rsidP="00C37CA6">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E62F153" w14:textId="77777777" w:rsidR="00C37CA6" w:rsidRPr="00911081" w:rsidRDefault="00C37CA6" w:rsidP="00C37CA6">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EBE3" w14:textId="4F3246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2D20" w14:paraId="17981A04" w14:textId="77777777" w:rsidTr="00417FC0">
      <w:trPr>
        <w:trHeight w:val="227"/>
      </w:trPr>
      <w:tc>
        <w:tcPr>
          <w:tcW w:w="5529" w:type="dxa"/>
          <w:hideMark/>
        </w:tcPr>
        <w:p w14:paraId="0E414BC5" w14:textId="75B4D793"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441D6CF"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F5F56">
            <w:rPr>
              <w:rFonts w:ascii="Palatino Linotype" w:hAnsi="Palatino Linotype" w:cs="Arial"/>
              <w:bCs/>
              <w:sz w:val="24"/>
              <w:lang w:eastAsia="es-MX"/>
            </w:rPr>
            <w:t>5450</w:t>
          </w:r>
          <w:r>
            <w:rPr>
              <w:rFonts w:ascii="Palatino Linotype" w:hAnsi="Palatino Linotype" w:cs="Arial"/>
              <w:bCs/>
              <w:sz w:val="24"/>
              <w:lang w:eastAsia="es-MX"/>
            </w:rPr>
            <w:t>/INFOEM/IP/RR/2023</w:t>
          </w:r>
        </w:p>
      </w:tc>
    </w:tr>
    <w:tr w:rsidR="00FC2D20" w14:paraId="637042F0" w14:textId="77777777" w:rsidTr="00417FC0">
      <w:trPr>
        <w:trHeight w:val="242"/>
      </w:trPr>
      <w:tc>
        <w:tcPr>
          <w:tcW w:w="5529" w:type="dxa"/>
          <w:hideMark/>
        </w:tcPr>
        <w:p w14:paraId="412AD568" w14:textId="582E7AD7"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EA3FC72" w:rsidR="00FC2D20" w:rsidRPr="00F06FED" w:rsidRDefault="00496A62" w:rsidP="001B1CE0">
          <w:pPr>
            <w:spacing w:after="120" w:line="256" w:lineRule="auto"/>
            <w:ind w:left="639" w:right="214"/>
            <w:jc w:val="both"/>
            <w:rPr>
              <w:rFonts w:ascii="Palatino Linotype" w:hAnsi="Palatino Linotype" w:cs="Arial"/>
            </w:rPr>
          </w:pPr>
          <w:r>
            <w:rPr>
              <w:rFonts w:ascii="Palatino Linotype" w:hAnsi="Palatino Linotype" w:cs="Arial"/>
            </w:rPr>
            <w:t>Ayuntamiento de Zinacantepec</w:t>
          </w:r>
          <w:r w:rsidR="00FC2D20">
            <w:rPr>
              <w:rFonts w:ascii="Palatino Linotype" w:hAnsi="Palatino Linotype" w:cs="Arial"/>
            </w:rPr>
            <w:t xml:space="preserve">  </w:t>
          </w:r>
        </w:p>
      </w:tc>
    </w:tr>
    <w:tr w:rsidR="00FC2D20" w14:paraId="21BFE746" w14:textId="77777777" w:rsidTr="00417FC0">
      <w:trPr>
        <w:trHeight w:val="342"/>
      </w:trPr>
      <w:tc>
        <w:tcPr>
          <w:tcW w:w="5529" w:type="dxa"/>
          <w:hideMark/>
        </w:tcPr>
        <w:p w14:paraId="64C4E314" w14:textId="1C66F8DB" w:rsidR="00FC2D20" w:rsidRDefault="00FC2D2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C2D20" w:rsidRDefault="00FC2D2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C2D20" w:rsidRDefault="00FC2D2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2D20" w14:paraId="385FD437" w14:textId="77777777" w:rsidTr="00417FC0">
      <w:trPr>
        <w:trHeight w:val="227"/>
      </w:trPr>
      <w:tc>
        <w:tcPr>
          <w:tcW w:w="5529" w:type="dxa"/>
          <w:hideMark/>
        </w:tcPr>
        <w:p w14:paraId="272860E8" w14:textId="23375EDF"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F8709ED" w:rsidR="00FC2D20" w:rsidRPr="00B4142F" w:rsidRDefault="00FC2D2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F5F56">
            <w:rPr>
              <w:rFonts w:ascii="Palatino Linotype" w:hAnsi="Palatino Linotype" w:cs="Arial"/>
              <w:bCs/>
              <w:sz w:val="24"/>
              <w:lang w:eastAsia="es-MX"/>
            </w:rPr>
            <w:t>5450</w:t>
          </w:r>
          <w:r>
            <w:rPr>
              <w:rFonts w:ascii="Palatino Linotype" w:hAnsi="Palatino Linotype" w:cs="Arial"/>
              <w:bCs/>
              <w:sz w:val="24"/>
              <w:lang w:eastAsia="es-MX"/>
            </w:rPr>
            <w:t xml:space="preserve">/INFOEM/IP/RR/2023 </w:t>
          </w:r>
        </w:p>
      </w:tc>
    </w:tr>
    <w:tr w:rsidR="00FC2D20" w14:paraId="33FC5097" w14:textId="77777777" w:rsidTr="00417FC0">
      <w:trPr>
        <w:trHeight w:val="196"/>
      </w:trPr>
      <w:tc>
        <w:tcPr>
          <w:tcW w:w="5529" w:type="dxa"/>
          <w:hideMark/>
        </w:tcPr>
        <w:p w14:paraId="4F5D01E5"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E0F6BB8" w:rsidR="00FC2D20" w:rsidRPr="00E93E68" w:rsidRDefault="00FC2D20"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3A3317">
            <w:rPr>
              <w:rFonts w:ascii="Palatino Linotype" w:hAnsi="Palatino Linotype" w:cs="Arial"/>
            </w:rPr>
            <w:t>XXXX</w:t>
          </w:r>
        </w:p>
      </w:tc>
    </w:tr>
    <w:tr w:rsidR="00FC2D20" w14:paraId="178280DE" w14:textId="77777777" w:rsidTr="00417FC0">
      <w:trPr>
        <w:trHeight w:val="242"/>
      </w:trPr>
      <w:tc>
        <w:tcPr>
          <w:tcW w:w="5529" w:type="dxa"/>
          <w:hideMark/>
        </w:tcPr>
        <w:p w14:paraId="71AC708B"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20F9245" w:rsidR="00FC2D20" w:rsidRDefault="00496A62"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Zinacantepec</w:t>
          </w:r>
          <w:r w:rsidR="00FC2D20">
            <w:rPr>
              <w:rFonts w:ascii="Palatino Linotype" w:hAnsi="Palatino Linotype" w:cs="Arial"/>
              <w:szCs w:val="20"/>
            </w:rPr>
            <w:t xml:space="preserve"> </w:t>
          </w:r>
        </w:p>
      </w:tc>
    </w:tr>
    <w:tr w:rsidR="00FC2D20" w14:paraId="0518978B" w14:textId="77777777" w:rsidTr="00417FC0">
      <w:trPr>
        <w:trHeight w:val="342"/>
      </w:trPr>
      <w:tc>
        <w:tcPr>
          <w:tcW w:w="5529" w:type="dxa"/>
          <w:hideMark/>
        </w:tcPr>
        <w:p w14:paraId="04968A43" w14:textId="5F7729A7" w:rsidR="00FC2D20" w:rsidRDefault="00FC2D2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C2D20" w:rsidRDefault="00FC2D2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D830D1"/>
    <w:multiLevelType w:val="hybridMultilevel"/>
    <w:tmpl w:val="E4B8E3D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3A2DAB"/>
    <w:multiLevelType w:val="hybridMultilevel"/>
    <w:tmpl w:val="6A862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6AC3B21"/>
    <w:multiLevelType w:val="hybridMultilevel"/>
    <w:tmpl w:val="3C7E31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F41CE"/>
    <w:multiLevelType w:val="hybridMultilevel"/>
    <w:tmpl w:val="C3402A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4"/>
  </w:num>
  <w:num w:numId="6">
    <w:abstractNumId w:val="6"/>
  </w:num>
  <w:num w:numId="7">
    <w:abstractNumId w:val="8"/>
  </w:num>
  <w:num w:numId="8">
    <w:abstractNumId w:val="5"/>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A5"/>
    <w:rsid w:val="0000484E"/>
    <w:rsid w:val="00004BE2"/>
    <w:rsid w:val="000054D0"/>
    <w:rsid w:val="000056BB"/>
    <w:rsid w:val="00005B85"/>
    <w:rsid w:val="000064FD"/>
    <w:rsid w:val="00010643"/>
    <w:rsid w:val="000115F8"/>
    <w:rsid w:val="0001366A"/>
    <w:rsid w:val="00013C75"/>
    <w:rsid w:val="000143F3"/>
    <w:rsid w:val="00015141"/>
    <w:rsid w:val="000158D2"/>
    <w:rsid w:val="00016E36"/>
    <w:rsid w:val="000171B7"/>
    <w:rsid w:val="00020C6B"/>
    <w:rsid w:val="00020E74"/>
    <w:rsid w:val="000240C8"/>
    <w:rsid w:val="00024AFB"/>
    <w:rsid w:val="0002560B"/>
    <w:rsid w:val="000306A7"/>
    <w:rsid w:val="000308B6"/>
    <w:rsid w:val="000316DC"/>
    <w:rsid w:val="00031B3B"/>
    <w:rsid w:val="00031BB2"/>
    <w:rsid w:val="00032762"/>
    <w:rsid w:val="00032896"/>
    <w:rsid w:val="000329BE"/>
    <w:rsid w:val="00033125"/>
    <w:rsid w:val="00036DE6"/>
    <w:rsid w:val="00037EBF"/>
    <w:rsid w:val="0004186E"/>
    <w:rsid w:val="000420E2"/>
    <w:rsid w:val="00044D01"/>
    <w:rsid w:val="00044F76"/>
    <w:rsid w:val="000451BE"/>
    <w:rsid w:val="00045379"/>
    <w:rsid w:val="00045CB8"/>
    <w:rsid w:val="0005080D"/>
    <w:rsid w:val="000508FA"/>
    <w:rsid w:val="0005171D"/>
    <w:rsid w:val="000518AC"/>
    <w:rsid w:val="00053936"/>
    <w:rsid w:val="00055224"/>
    <w:rsid w:val="00055C1D"/>
    <w:rsid w:val="000569A5"/>
    <w:rsid w:val="00056D2A"/>
    <w:rsid w:val="00057E37"/>
    <w:rsid w:val="000612BD"/>
    <w:rsid w:val="00061821"/>
    <w:rsid w:val="000623F9"/>
    <w:rsid w:val="00063035"/>
    <w:rsid w:val="00063A10"/>
    <w:rsid w:val="00064EA6"/>
    <w:rsid w:val="000662F8"/>
    <w:rsid w:val="00066E86"/>
    <w:rsid w:val="00070E99"/>
    <w:rsid w:val="000720CA"/>
    <w:rsid w:val="0007225C"/>
    <w:rsid w:val="00073E78"/>
    <w:rsid w:val="00073FC2"/>
    <w:rsid w:val="000740DB"/>
    <w:rsid w:val="00076AE0"/>
    <w:rsid w:val="0007756F"/>
    <w:rsid w:val="0008151E"/>
    <w:rsid w:val="000821BF"/>
    <w:rsid w:val="00083A47"/>
    <w:rsid w:val="0008548C"/>
    <w:rsid w:val="00085A69"/>
    <w:rsid w:val="00085EA6"/>
    <w:rsid w:val="00086AF1"/>
    <w:rsid w:val="00086BE9"/>
    <w:rsid w:val="00090174"/>
    <w:rsid w:val="00091552"/>
    <w:rsid w:val="00091C3A"/>
    <w:rsid w:val="00092C14"/>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6588"/>
    <w:rsid w:val="000A78E0"/>
    <w:rsid w:val="000A79DA"/>
    <w:rsid w:val="000B03E0"/>
    <w:rsid w:val="000B1C4F"/>
    <w:rsid w:val="000B43A0"/>
    <w:rsid w:val="000B4B51"/>
    <w:rsid w:val="000B5864"/>
    <w:rsid w:val="000B6250"/>
    <w:rsid w:val="000B6D61"/>
    <w:rsid w:val="000B7158"/>
    <w:rsid w:val="000C0B33"/>
    <w:rsid w:val="000C2602"/>
    <w:rsid w:val="000C2A35"/>
    <w:rsid w:val="000C48B5"/>
    <w:rsid w:val="000C5B8B"/>
    <w:rsid w:val="000C68B9"/>
    <w:rsid w:val="000C7ED3"/>
    <w:rsid w:val="000D0F48"/>
    <w:rsid w:val="000D1A4E"/>
    <w:rsid w:val="000D1B50"/>
    <w:rsid w:val="000D1B55"/>
    <w:rsid w:val="000D20C9"/>
    <w:rsid w:val="000D3C75"/>
    <w:rsid w:val="000D3D44"/>
    <w:rsid w:val="000D438E"/>
    <w:rsid w:val="000D4532"/>
    <w:rsid w:val="000D4A3A"/>
    <w:rsid w:val="000D5800"/>
    <w:rsid w:val="000D5C27"/>
    <w:rsid w:val="000D7523"/>
    <w:rsid w:val="000E0868"/>
    <w:rsid w:val="000E0C4D"/>
    <w:rsid w:val="000E183A"/>
    <w:rsid w:val="000E30C2"/>
    <w:rsid w:val="000E3AEA"/>
    <w:rsid w:val="000E45A0"/>
    <w:rsid w:val="000E58E4"/>
    <w:rsid w:val="000E5B76"/>
    <w:rsid w:val="000E6545"/>
    <w:rsid w:val="000E686B"/>
    <w:rsid w:val="000E7FC9"/>
    <w:rsid w:val="000F1C48"/>
    <w:rsid w:val="000F2A5E"/>
    <w:rsid w:val="000F3F8D"/>
    <w:rsid w:val="000F6D5B"/>
    <w:rsid w:val="000F7389"/>
    <w:rsid w:val="00100C19"/>
    <w:rsid w:val="00100F8E"/>
    <w:rsid w:val="0010154B"/>
    <w:rsid w:val="00104A18"/>
    <w:rsid w:val="00104B9D"/>
    <w:rsid w:val="00105B75"/>
    <w:rsid w:val="00105F91"/>
    <w:rsid w:val="00106372"/>
    <w:rsid w:val="001108D8"/>
    <w:rsid w:val="00111DCD"/>
    <w:rsid w:val="00112C29"/>
    <w:rsid w:val="00114965"/>
    <w:rsid w:val="00114CF9"/>
    <w:rsid w:val="00116FA7"/>
    <w:rsid w:val="00120642"/>
    <w:rsid w:val="001228AB"/>
    <w:rsid w:val="001233A3"/>
    <w:rsid w:val="001235C3"/>
    <w:rsid w:val="00124807"/>
    <w:rsid w:val="00124855"/>
    <w:rsid w:val="001254F5"/>
    <w:rsid w:val="00125561"/>
    <w:rsid w:val="001272C6"/>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3B3B"/>
    <w:rsid w:val="001555A8"/>
    <w:rsid w:val="00157251"/>
    <w:rsid w:val="00157736"/>
    <w:rsid w:val="001602D7"/>
    <w:rsid w:val="001603EC"/>
    <w:rsid w:val="001605FD"/>
    <w:rsid w:val="00161FBE"/>
    <w:rsid w:val="0016297B"/>
    <w:rsid w:val="00166EAF"/>
    <w:rsid w:val="0016745C"/>
    <w:rsid w:val="0017022E"/>
    <w:rsid w:val="00170562"/>
    <w:rsid w:val="00170FD1"/>
    <w:rsid w:val="001710C0"/>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169E"/>
    <w:rsid w:val="001A1756"/>
    <w:rsid w:val="001A1FDD"/>
    <w:rsid w:val="001A30F5"/>
    <w:rsid w:val="001A4643"/>
    <w:rsid w:val="001A5140"/>
    <w:rsid w:val="001A5630"/>
    <w:rsid w:val="001A565B"/>
    <w:rsid w:val="001A577E"/>
    <w:rsid w:val="001A659C"/>
    <w:rsid w:val="001A7216"/>
    <w:rsid w:val="001A7C9B"/>
    <w:rsid w:val="001B05B9"/>
    <w:rsid w:val="001B1180"/>
    <w:rsid w:val="001B18A5"/>
    <w:rsid w:val="001B1CE0"/>
    <w:rsid w:val="001B3222"/>
    <w:rsid w:val="001B37B1"/>
    <w:rsid w:val="001B6410"/>
    <w:rsid w:val="001B7B88"/>
    <w:rsid w:val="001B7FA2"/>
    <w:rsid w:val="001C166A"/>
    <w:rsid w:val="001C1CAF"/>
    <w:rsid w:val="001C2ECC"/>
    <w:rsid w:val="001C3EE0"/>
    <w:rsid w:val="001C50EE"/>
    <w:rsid w:val="001C588A"/>
    <w:rsid w:val="001C5B6E"/>
    <w:rsid w:val="001C64DF"/>
    <w:rsid w:val="001C7319"/>
    <w:rsid w:val="001C7D87"/>
    <w:rsid w:val="001D23B4"/>
    <w:rsid w:val="001D2949"/>
    <w:rsid w:val="001D3E11"/>
    <w:rsid w:val="001D3E87"/>
    <w:rsid w:val="001D491D"/>
    <w:rsid w:val="001D49A2"/>
    <w:rsid w:val="001D627A"/>
    <w:rsid w:val="001D6B60"/>
    <w:rsid w:val="001E07F4"/>
    <w:rsid w:val="001E0C3F"/>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205C0"/>
    <w:rsid w:val="00220EA5"/>
    <w:rsid w:val="002214A5"/>
    <w:rsid w:val="00221889"/>
    <w:rsid w:val="002227C6"/>
    <w:rsid w:val="00223CAE"/>
    <w:rsid w:val="002248AC"/>
    <w:rsid w:val="00225FB3"/>
    <w:rsid w:val="00226AF5"/>
    <w:rsid w:val="002305CB"/>
    <w:rsid w:val="00230EC1"/>
    <w:rsid w:val="00230F7C"/>
    <w:rsid w:val="002315A1"/>
    <w:rsid w:val="002317D3"/>
    <w:rsid w:val="00232742"/>
    <w:rsid w:val="0023373D"/>
    <w:rsid w:val="00233904"/>
    <w:rsid w:val="0023423C"/>
    <w:rsid w:val="002363F6"/>
    <w:rsid w:val="00241038"/>
    <w:rsid w:val="002417A0"/>
    <w:rsid w:val="002420E3"/>
    <w:rsid w:val="002432D3"/>
    <w:rsid w:val="002448CB"/>
    <w:rsid w:val="00245C21"/>
    <w:rsid w:val="0024633A"/>
    <w:rsid w:val="0024703B"/>
    <w:rsid w:val="00247A13"/>
    <w:rsid w:val="00251B84"/>
    <w:rsid w:val="00252232"/>
    <w:rsid w:val="002525C7"/>
    <w:rsid w:val="002526E7"/>
    <w:rsid w:val="00252DBE"/>
    <w:rsid w:val="00254BA9"/>
    <w:rsid w:val="00254FD8"/>
    <w:rsid w:val="002554C3"/>
    <w:rsid w:val="002563D7"/>
    <w:rsid w:val="0025690D"/>
    <w:rsid w:val="002577FE"/>
    <w:rsid w:val="0026055B"/>
    <w:rsid w:val="00261125"/>
    <w:rsid w:val="00261542"/>
    <w:rsid w:val="00261FD6"/>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915"/>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742"/>
    <w:rsid w:val="002F098B"/>
    <w:rsid w:val="002F14AA"/>
    <w:rsid w:val="002F2198"/>
    <w:rsid w:val="002F37BE"/>
    <w:rsid w:val="002F3F85"/>
    <w:rsid w:val="002F4577"/>
    <w:rsid w:val="002F4E06"/>
    <w:rsid w:val="002F6424"/>
    <w:rsid w:val="00300966"/>
    <w:rsid w:val="00300D0B"/>
    <w:rsid w:val="003019EA"/>
    <w:rsid w:val="00303522"/>
    <w:rsid w:val="00304D88"/>
    <w:rsid w:val="003056A2"/>
    <w:rsid w:val="00306096"/>
    <w:rsid w:val="00306FB6"/>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72FB"/>
    <w:rsid w:val="00327718"/>
    <w:rsid w:val="003317CD"/>
    <w:rsid w:val="00331CDD"/>
    <w:rsid w:val="00332498"/>
    <w:rsid w:val="0034179E"/>
    <w:rsid w:val="00341AC3"/>
    <w:rsid w:val="003421F9"/>
    <w:rsid w:val="0034299B"/>
    <w:rsid w:val="003430A8"/>
    <w:rsid w:val="00344259"/>
    <w:rsid w:val="003443B2"/>
    <w:rsid w:val="00344580"/>
    <w:rsid w:val="0034558E"/>
    <w:rsid w:val="0035126E"/>
    <w:rsid w:val="00351CFB"/>
    <w:rsid w:val="003551AD"/>
    <w:rsid w:val="00355A06"/>
    <w:rsid w:val="003618D7"/>
    <w:rsid w:val="00361B9C"/>
    <w:rsid w:val="003622D5"/>
    <w:rsid w:val="003640B1"/>
    <w:rsid w:val="00365C45"/>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16D6"/>
    <w:rsid w:val="0039245A"/>
    <w:rsid w:val="0039324E"/>
    <w:rsid w:val="00393376"/>
    <w:rsid w:val="00394A1E"/>
    <w:rsid w:val="0039528F"/>
    <w:rsid w:val="003956E5"/>
    <w:rsid w:val="00395C38"/>
    <w:rsid w:val="00396B93"/>
    <w:rsid w:val="0039787C"/>
    <w:rsid w:val="003A0AA0"/>
    <w:rsid w:val="003A1311"/>
    <w:rsid w:val="003A1543"/>
    <w:rsid w:val="003A3317"/>
    <w:rsid w:val="003A3818"/>
    <w:rsid w:val="003A45A6"/>
    <w:rsid w:val="003A4881"/>
    <w:rsid w:val="003A5B76"/>
    <w:rsid w:val="003A60CC"/>
    <w:rsid w:val="003A61F9"/>
    <w:rsid w:val="003A73D3"/>
    <w:rsid w:val="003B1A03"/>
    <w:rsid w:val="003B1C4E"/>
    <w:rsid w:val="003B1E14"/>
    <w:rsid w:val="003B1E88"/>
    <w:rsid w:val="003B3C41"/>
    <w:rsid w:val="003B4B5F"/>
    <w:rsid w:val="003B5455"/>
    <w:rsid w:val="003B58C0"/>
    <w:rsid w:val="003B5FFE"/>
    <w:rsid w:val="003B63C0"/>
    <w:rsid w:val="003C2632"/>
    <w:rsid w:val="003C2A7C"/>
    <w:rsid w:val="003C2A8E"/>
    <w:rsid w:val="003C7873"/>
    <w:rsid w:val="003C78F7"/>
    <w:rsid w:val="003C7C12"/>
    <w:rsid w:val="003D153C"/>
    <w:rsid w:val="003D65C9"/>
    <w:rsid w:val="003D70D4"/>
    <w:rsid w:val="003E0BC5"/>
    <w:rsid w:val="003E16E1"/>
    <w:rsid w:val="003E2624"/>
    <w:rsid w:val="003E34C9"/>
    <w:rsid w:val="003E4B54"/>
    <w:rsid w:val="003E53AC"/>
    <w:rsid w:val="003E55DB"/>
    <w:rsid w:val="003E7555"/>
    <w:rsid w:val="003E7FD3"/>
    <w:rsid w:val="003F0EB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218D"/>
    <w:rsid w:val="00433507"/>
    <w:rsid w:val="004335F1"/>
    <w:rsid w:val="00434F13"/>
    <w:rsid w:val="00434FFC"/>
    <w:rsid w:val="00435A16"/>
    <w:rsid w:val="0043695E"/>
    <w:rsid w:val="00436AC7"/>
    <w:rsid w:val="00437A0E"/>
    <w:rsid w:val="00442231"/>
    <w:rsid w:val="00443B76"/>
    <w:rsid w:val="00444B4C"/>
    <w:rsid w:val="004460C0"/>
    <w:rsid w:val="00447ABE"/>
    <w:rsid w:val="00447DF5"/>
    <w:rsid w:val="004502F1"/>
    <w:rsid w:val="004516EB"/>
    <w:rsid w:val="00451E27"/>
    <w:rsid w:val="004529B6"/>
    <w:rsid w:val="00453DBD"/>
    <w:rsid w:val="00454CE6"/>
    <w:rsid w:val="00456FFF"/>
    <w:rsid w:val="00457A9F"/>
    <w:rsid w:val="00460632"/>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A62"/>
    <w:rsid w:val="00496CDA"/>
    <w:rsid w:val="0049718E"/>
    <w:rsid w:val="0049785D"/>
    <w:rsid w:val="004A05D2"/>
    <w:rsid w:val="004A290F"/>
    <w:rsid w:val="004A5FFD"/>
    <w:rsid w:val="004A7195"/>
    <w:rsid w:val="004A7CE2"/>
    <w:rsid w:val="004B12AF"/>
    <w:rsid w:val="004B13CF"/>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9B9"/>
    <w:rsid w:val="004D021D"/>
    <w:rsid w:val="004D08EB"/>
    <w:rsid w:val="004D1FB9"/>
    <w:rsid w:val="004D2D13"/>
    <w:rsid w:val="004D6029"/>
    <w:rsid w:val="004D647B"/>
    <w:rsid w:val="004E0679"/>
    <w:rsid w:val="004E0B32"/>
    <w:rsid w:val="004E1E0C"/>
    <w:rsid w:val="004E2371"/>
    <w:rsid w:val="004E4936"/>
    <w:rsid w:val="004E59D7"/>
    <w:rsid w:val="004E5A14"/>
    <w:rsid w:val="004E5B15"/>
    <w:rsid w:val="004E6BE9"/>
    <w:rsid w:val="004E77E1"/>
    <w:rsid w:val="004E78B8"/>
    <w:rsid w:val="004E79A4"/>
    <w:rsid w:val="004F1C51"/>
    <w:rsid w:val="004F26CF"/>
    <w:rsid w:val="004F3071"/>
    <w:rsid w:val="004F402B"/>
    <w:rsid w:val="004F41DA"/>
    <w:rsid w:val="004F4792"/>
    <w:rsid w:val="004F4DF1"/>
    <w:rsid w:val="004F5848"/>
    <w:rsid w:val="004F6476"/>
    <w:rsid w:val="004F698D"/>
    <w:rsid w:val="004F76FC"/>
    <w:rsid w:val="00500601"/>
    <w:rsid w:val="00500BA6"/>
    <w:rsid w:val="0050182F"/>
    <w:rsid w:val="00502F50"/>
    <w:rsid w:val="00503655"/>
    <w:rsid w:val="0050375C"/>
    <w:rsid w:val="00503CA0"/>
    <w:rsid w:val="00504408"/>
    <w:rsid w:val="00505759"/>
    <w:rsid w:val="0050578D"/>
    <w:rsid w:val="00510BCE"/>
    <w:rsid w:val="0051107C"/>
    <w:rsid w:val="005115C9"/>
    <w:rsid w:val="0051235E"/>
    <w:rsid w:val="005124EC"/>
    <w:rsid w:val="0051313D"/>
    <w:rsid w:val="00513CB3"/>
    <w:rsid w:val="00513DE2"/>
    <w:rsid w:val="00514187"/>
    <w:rsid w:val="00515090"/>
    <w:rsid w:val="00517889"/>
    <w:rsid w:val="005178ED"/>
    <w:rsid w:val="00521E57"/>
    <w:rsid w:val="00521F80"/>
    <w:rsid w:val="00522780"/>
    <w:rsid w:val="00523DDF"/>
    <w:rsid w:val="0052511F"/>
    <w:rsid w:val="0052701A"/>
    <w:rsid w:val="0052735A"/>
    <w:rsid w:val="00527EBC"/>
    <w:rsid w:val="005305EA"/>
    <w:rsid w:val="00530E3E"/>
    <w:rsid w:val="005311BB"/>
    <w:rsid w:val="005314E4"/>
    <w:rsid w:val="00533DF5"/>
    <w:rsid w:val="005355BB"/>
    <w:rsid w:val="005366C6"/>
    <w:rsid w:val="005371E7"/>
    <w:rsid w:val="005402C2"/>
    <w:rsid w:val="00540538"/>
    <w:rsid w:val="00540775"/>
    <w:rsid w:val="00540C92"/>
    <w:rsid w:val="00541143"/>
    <w:rsid w:val="00542BC6"/>
    <w:rsid w:val="0054390A"/>
    <w:rsid w:val="005478DE"/>
    <w:rsid w:val="0055176C"/>
    <w:rsid w:val="005520FE"/>
    <w:rsid w:val="0055211D"/>
    <w:rsid w:val="005527D6"/>
    <w:rsid w:val="00552FA7"/>
    <w:rsid w:val="00553E92"/>
    <w:rsid w:val="00554927"/>
    <w:rsid w:val="005559F5"/>
    <w:rsid w:val="00556513"/>
    <w:rsid w:val="00560D4A"/>
    <w:rsid w:val="00560D8E"/>
    <w:rsid w:val="00562653"/>
    <w:rsid w:val="0056468F"/>
    <w:rsid w:val="0056558A"/>
    <w:rsid w:val="00565F99"/>
    <w:rsid w:val="00566105"/>
    <w:rsid w:val="00566E4B"/>
    <w:rsid w:val="00567001"/>
    <w:rsid w:val="00567F9A"/>
    <w:rsid w:val="005705E2"/>
    <w:rsid w:val="005714B9"/>
    <w:rsid w:val="00571A7B"/>
    <w:rsid w:val="00572C64"/>
    <w:rsid w:val="005733EB"/>
    <w:rsid w:val="00573D34"/>
    <w:rsid w:val="005754D2"/>
    <w:rsid w:val="00576C2F"/>
    <w:rsid w:val="00576E97"/>
    <w:rsid w:val="005771DE"/>
    <w:rsid w:val="00577C71"/>
    <w:rsid w:val="00580802"/>
    <w:rsid w:val="00581064"/>
    <w:rsid w:val="00581A22"/>
    <w:rsid w:val="005833A8"/>
    <w:rsid w:val="00583431"/>
    <w:rsid w:val="00583D85"/>
    <w:rsid w:val="0058483E"/>
    <w:rsid w:val="00585740"/>
    <w:rsid w:val="0058661B"/>
    <w:rsid w:val="00586CD3"/>
    <w:rsid w:val="00593E91"/>
    <w:rsid w:val="00595600"/>
    <w:rsid w:val="0059597D"/>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2950"/>
    <w:rsid w:val="005E482F"/>
    <w:rsid w:val="005E4D7C"/>
    <w:rsid w:val="005E4EB4"/>
    <w:rsid w:val="005E4ED7"/>
    <w:rsid w:val="005E7A49"/>
    <w:rsid w:val="005F048E"/>
    <w:rsid w:val="005F1408"/>
    <w:rsid w:val="005F18FF"/>
    <w:rsid w:val="005F1E0B"/>
    <w:rsid w:val="005F2248"/>
    <w:rsid w:val="005F4648"/>
    <w:rsid w:val="005F4E5A"/>
    <w:rsid w:val="005F57F0"/>
    <w:rsid w:val="005F661E"/>
    <w:rsid w:val="005F7424"/>
    <w:rsid w:val="005F7D10"/>
    <w:rsid w:val="00600FB9"/>
    <w:rsid w:val="00602223"/>
    <w:rsid w:val="0060242C"/>
    <w:rsid w:val="00603C36"/>
    <w:rsid w:val="00603FB8"/>
    <w:rsid w:val="00606FDA"/>
    <w:rsid w:val="00607414"/>
    <w:rsid w:val="0061042F"/>
    <w:rsid w:val="00612CE5"/>
    <w:rsid w:val="0061459B"/>
    <w:rsid w:val="00615562"/>
    <w:rsid w:val="006164D4"/>
    <w:rsid w:val="006168E4"/>
    <w:rsid w:val="00616943"/>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2F4"/>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46AC"/>
    <w:rsid w:val="00664D5B"/>
    <w:rsid w:val="0066569D"/>
    <w:rsid w:val="00666627"/>
    <w:rsid w:val="0066689A"/>
    <w:rsid w:val="0066744F"/>
    <w:rsid w:val="006679F4"/>
    <w:rsid w:val="006715AF"/>
    <w:rsid w:val="00671D7C"/>
    <w:rsid w:val="00675E45"/>
    <w:rsid w:val="00676572"/>
    <w:rsid w:val="00681802"/>
    <w:rsid w:val="00682225"/>
    <w:rsid w:val="006822F4"/>
    <w:rsid w:val="00682B6F"/>
    <w:rsid w:val="00682CDA"/>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5FA"/>
    <w:rsid w:val="006A2C7F"/>
    <w:rsid w:val="006A3E53"/>
    <w:rsid w:val="006A4322"/>
    <w:rsid w:val="006A522A"/>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E9F"/>
    <w:rsid w:val="00705F8F"/>
    <w:rsid w:val="007064F6"/>
    <w:rsid w:val="007078A3"/>
    <w:rsid w:val="00711536"/>
    <w:rsid w:val="00712203"/>
    <w:rsid w:val="007129C0"/>
    <w:rsid w:val="007142B5"/>
    <w:rsid w:val="00714663"/>
    <w:rsid w:val="00714C96"/>
    <w:rsid w:val="00716BFE"/>
    <w:rsid w:val="0072048E"/>
    <w:rsid w:val="007234D1"/>
    <w:rsid w:val="00724441"/>
    <w:rsid w:val="00725B1D"/>
    <w:rsid w:val="0072666C"/>
    <w:rsid w:val="00731428"/>
    <w:rsid w:val="0073157A"/>
    <w:rsid w:val="00731690"/>
    <w:rsid w:val="007338D5"/>
    <w:rsid w:val="00735209"/>
    <w:rsid w:val="00740F93"/>
    <w:rsid w:val="0074193D"/>
    <w:rsid w:val="0074395D"/>
    <w:rsid w:val="007444E2"/>
    <w:rsid w:val="00744D68"/>
    <w:rsid w:val="00744E29"/>
    <w:rsid w:val="00744EEF"/>
    <w:rsid w:val="007472BF"/>
    <w:rsid w:val="007517D1"/>
    <w:rsid w:val="0075229E"/>
    <w:rsid w:val="007524CA"/>
    <w:rsid w:val="00753476"/>
    <w:rsid w:val="00754B44"/>
    <w:rsid w:val="00754CAE"/>
    <w:rsid w:val="00756CE9"/>
    <w:rsid w:val="00757992"/>
    <w:rsid w:val="00757E87"/>
    <w:rsid w:val="00761B5E"/>
    <w:rsid w:val="007622D6"/>
    <w:rsid w:val="00763998"/>
    <w:rsid w:val="00763FEE"/>
    <w:rsid w:val="0076467C"/>
    <w:rsid w:val="007658D5"/>
    <w:rsid w:val="00767724"/>
    <w:rsid w:val="00772BA8"/>
    <w:rsid w:val="007736D6"/>
    <w:rsid w:val="00774266"/>
    <w:rsid w:val="00775E28"/>
    <w:rsid w:val="00776FEB"/>
    <w:rsid w:val="007773E6"/>
    <w:rsid w:val="0078028A"/>
    <w:rsid w:val="00780302"/>
    <w:rsid w:val="007806CB"/>
    <w:rsid w:val="007816FD"/>
    <w:rsid w:val="00781C64"/>
    <w:rsid w:val="007829AF"/>
    <w:rsid w:val="007848AA"/>
    <w:rsid w:val="007848FB"/>
    <w:rsid w:val="007851D5"/>
    <w:rsid w:val="00785698"/>
    <w:rsid w:val="0078693A"/>
    <w:rsid w:val="00790164"/>
    <w:rsid w:val="00793170"/>
    <w:rsid w:val="007933A7"/>
    <w:rsid w:val="00793670"/>
    <w:rsid w:val="00794153"/>
    <w:rsid w:val="0079486A"/>
    <w:rsid w:val="00794930"/>
    <w:rsid w:val="00794D7E"/>
    <w:rsid w:val="00794D93"/>
    <w:rsid w:val="00794E74"/>
    <w:rsid w:val="00794F80"/>
    <w:rsid w:val="0079620D"/>
    <w:rsid w:val="0079666D"/>
    <w:rsid w:val="00796CA6"/>
    <w:rsid w:val="00796FB7"/>
    <w:rsid w:val="00797118"/>
    <w:rsid w:val="00797B4F"/>
    <w:rsid w:val="007A006A"/>
    <w:rsid w:val="007A139A"/>
    <w:rsid w:val="007A1C9E"/>
    <w:rsid w:val="007A21C7"/>
    <w:rsid w:val="007A312D"/>
    <w:rsid w:val="007A3B58"/>
    <w:rsid w:val="007A3BB5"/>
    <w:rsid w:val="007A4967"/>
    <w:rsid w:val="007A7354"/>
    <w:rsid w:val="007B2C77"/>
    <w:rsid w:val="007B34C6"/>
    <w:rsid w:val="007B7A6F"/>
    <w:rsid w:val="007C2C6B"/>
    <w:rsid w:val="007C368A"/>
    <w:rsid w:val="007C57D3"/>
    <w:rsid w:val="007C7FF1"/>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2EC"/>
    <w:rsid w:val="007F53D4"/>
    <w:rsid w:val="00800927"/>
    <w:rsid w:val="00800F46"/>
    <w:rsid w:val="008016F1"/>
    <w:rsid w:val="008028E9"/>
    <w:rsid w:val="00802C56"/>
    <w:rsid w:val="00803A88"/>
    <w:rsid w:val="00803E61"/>
    <w:rsid w:val="00803F62"/>
    <w:rsid w:val="00803F88"/>
    <w:rsid w:val="008041B5"/>
    <w:rsid w:val="00804620"/>
    <w:rsid w:val="00804BD9"/>
    <w:rsid w:val="00805270"/>
    <w:rsid w:val="00810845"/>
    <w:rsid w:val="008111EB"/>
    <w:rsid w:val="00811205"/>
    <w:rsid w:val="008112E3"/>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419A8"/>
    <w:rsid w:val="008436AD"/>
    <w:rsid w:val="00844569"/>
    <w:rsid w:val="0084474D"/>
    <w:rsid w:val="0084612B"/>
    <w:rsid w:val="00846539"/>
    <w:rsid w:val="008468AD"/>
    <w:rsid w:val="0084766D"/>
    <w:rsid w:val="00847D23"/>
    <w:rsid w:val="0085030F"/>
    <w:rsid w:val="00851545"/>
    <w:rsid w:val="00855544"/>
    <w:rsid w:val="00856D15"/>
    <w:rsid w:val="0086020D"/>
    <w:rsid w:val="00860E59"/>
    <w:rsid w:val="00861DEF"/>
    <w:rsid w:val="00863327"/>
    <w:rsid w:val="00864988"/>
    <w:rsid w:val="00864E9D"/>
    <w:rsid w:val="008662C4"/>
    <w:rsid w:val="00867B2F"/>
    <w:rsid w:val="00870550"/>
    <w:rsid w:val="00870B06"/>
    <w:rsid w:val="00870F44"/>
    <w:rsid w:val="00874015"/>
    <w:rsid w:val="00874916"/>
    <w:rsid w:val="00876A75"/>
    <w:rsid w:val="0087786C"/>
    <w:rsid w:val="00877BF0"/>
    <w:rsid w:val="00881D76"/>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0DDD"/>
    <w:rsid w:val="008C2BCF"/>
    <w:rsid w:val="008C2C84"/>
    <w:rsid w:val="008C32A8"/>
    <w:rsid w:val="008C54F9"/>
    <w:rsid w:val="008C55A3"/>
    <w:rsid w:val="008C783C"/>
    <w:rsid w:val="008D06E0"/>
    <w:rsid w:val="008D1DFF"/>
    <w:rsid w:val="008D2334"/>
    <w:rsid w:val="008D24AA"/>
    <w:rsid w:val="008D6165"/>
    <w:rsid w:val="008E0AFD"/>
    <w:rsid w:val="008E15BF"/>
    <w:rsid w:val="008E19C1"/>
    <w:rsid w:val="008E30FF"/>
    <w:rsid w:val="008E6308"/>
    <w:rsid w:val="008E6375"/>
    <w:rsid w:val="008F16D2"/>
    <w:rsid w:val="008F1EF4"/>
    <w:rsid w:val="008F3674"/>
    <w:rsid w:val="008F42F4"/>
    <w:rsid w:val="008F4C65"/>
    <w:rsid w:val="008F66C9"/>
    <w:rsid w:val="0090060E"/>
    <w:rsid w:val="00901E77"/>
    <w:rsid w:val="009020E0"/>
    <w:rsid w:val="0090233A"/>
    <w:rsid w:val="00903410"/>
    <w:rsid w:val="0090429A"/>
    <w:rsid w:val="00905422"/>
    <w:rsid w:val="00905BEF"/>
    <w:rsid w:val="00906135"/>
    <w:rsid w:val="00906C7A"/>
    <w:rsid w:val="00910B4E"/>
    <w:rsid w:val="0091211D"/>
    <w:rsid w:val="00912CC7"/>
    <w:rsid w:val="009130C0"/>
    <w:rsid w:val="00913133"/>
    <w:rsid w:val="00913283"/>
    <w:rsid w:val="00913EE5"/>
    <w:rsid w:val="00915791"/>
    <w:rsid w:val="00916B04"/>
    <w:rsid w:val="00917869"/>
    <w:rsid w:val="009178EF"/>
    <w:rsid w:val="009179B9"/>
    <w:rsid w:val="00917BDD"/>
    <w:rsid w:val="0092113F"/>
    <w:rsid w:val="00921DB9"/>
    <w:rsid w:val="00921FC1"/>
    <w:rsid w:val="00922358"/>
    <w:rsid w:val="00923DBE"/>
    <w:rsid w:val="0092403D"/>
    <w:rsid w:val="00930ACB"/>
    <w:rsid w:val="00930D7A"/>
    <w:rsid w:val="00932888"/>
    <w:rsid w:val="009331C2"/>
    <w:rsid w:val="00936DCF"/>
    <w:rsid w:val="009402DB"/>
    <w:rsid w:val="0094145F"/>
    <w:rsid w:val="0094160B"/>
    <w:rsid w:val="00943910"/>
    <w:rsid w:val="00943F2E"/>
    <w:rsid w:val="00944355"/>
    <w:rsid w:val="00944898"/>
    <w:rsid w:val="009449B8"/>
    <w:rsid w:val="00944DC9"/>
    <w:rsid w:val="00946C4B"/>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517B"/>
    <w:rsid w:val="009970B5"/>
    <w:rsid w:val="009A0D0A"/>
    <w:rsid w:val="009A0FAE"/>
    <w:rsid w:val="009A1D94"/>
    <w:rsid w:val="009A200B"/>
    <w:rsid w:val="009A2418"/>
    <w:rsid w:val="009A3184"/>
    <w:rsid w:val="009A3F82"/>
    <w:rsid w:val="009A41A8"/>
    <w:rsid w:val="009A467A"/>
    <w:rsid w:val="009A5659"/>
    <w:rsid w:val="009A64BD"/>
    <w:rsid w:val="009A686F"/>
    <w:rsid w:val="009A6ACC"/>
    <w:rsid w:val="009B1636"/>
    <w:rsid w:val="009B33A8"/>
    <w:rsid w:val="009B3487"/>
    <w:rsid w:val="009B3978"/>
    <w:rsid w:val="009B4510"/>
    <w:rsid w:val="009B5029"/>
    <w:rsid w:val="009B5F5A"/>
    <w:rsid w:val="009B7C61"/>
    <w:rsid w:val="009C0DC9"/>
    <w:rsid w:val="009C1104"/>
    <w:rsid w:val="009C3793"/>
    <w:rsid w:val="009C451F"/>
    <w:rsid w:val="009C5E96"/>
    <w:rsid w:val="009C726D"/>
    <w:rsid w:val="009D317E"/>
    <w:rsid w:val="009D3186"/>
    <w:rsid w:val="009D3697"/>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131EA"/>
    <w:rsid w:val="00A20062"/>
    <w:rsid w:val="00A21876"/>
    <w:rsid w:val="00A22E00"/>
    <w:rsid w:val="00A2381D"/>
    <w:rsid w:val="00A24194"/>
    <w:rsid w:val="00A27C95"/>
    <w:rsid w:val="00A30B55"/>
    <w:rsid w:val="00A30C44"/>
    <w:rsid w:val="00A328AE"/>
    <w:rsid w:val="00A3309D"/>
    <w:rsid w:val="00A33460"/>
    <w:rsid w:val="00A35411"/>
    <w:rsid w:val="00A355A6"/>
    <w:rsid w:val="00A36D0F"/>
    <w:rsid w:val="00A36F3E"/>
    <w:rsid w:val="00A378E4"/>
    <w:rsid w:val="00A40DDC"/>
    <w:rsid w:val="00A4131E"/>
    <w:rsid w:val="00A41694"/>
    <w:rsid w:val="00A41C88"/>
    <w:rsid w:val="00A41C93"/>
    <w:rsid w:val="00A42233"/>
    <w:rsid w:val="00A42784"/>
    <w:rsid w:val="00A43501"/>
    <w:rsid w:val="00A44343"/>
    <w:rsid w:val="00A453DC"/>
    <w:rsid w:val="00A45E71"/>
    <w:rsid w:val="00A46BDA"/>
    <w:rsid w:val="00A477E9"/>
    <w:rsid w:val="00A503DF"/>
    <w:rsid w:val="00A535E3"/>
    <w:rsid w:val="00A540E1"/>
    <w:rsid w:val="00A560C7"/>
    <w:rsid w:val="00A570A7"/>
    <w:rsid w:val="00A572E9"/>
    <w:rsid w:val="00A57B77"/>
    <w:rsid w:val="00A625E2"/>
    <w:rsid w:val="00A62AA3"/>
    <w:rsid w:val="00A62B55"/>
    <w:rsid w:val="00A647F7"/>
    <w:rsid w:val="00A64C80"/>
    <w:rsid w:val="00A65143"/>
    <w:rsid w:val="00A67EF9"/>
    <w:rsid w:val="00A70411"/>
    <w:rsid w:val="00A72465"/>
    <w:rsid w:val="00A7406D"/>
    <w:rsid w:val="00A75AA2"/>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9B"/>
    <w:rsid w:val="00A96232"/>
    <w:rsid w:val="00A96E60"/>
    <w:rsid w:val="00A97130"/>
    <w:rsid w:val="00A97D27"/>
    <w:rsid w:val="00AA1687"/>
    <w:rsid w:val="00AA1F1C"/>
    <w:rsid w:val="00AA23F8"/>
    <w:rsid w:val="00AA285C"/>
    <w:rsid w:val="00AA327E"/>
    <w:rsid w:val="00AA4542"/>
    <w:rsid w:val="00AA5D62"/>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7C82"/>
    <w:rsid w:val="00AD0F6C"/>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2056"/>
    <w:rsid w:val="00AE3724"/>
    <w:rsid w:val="00AE3AAC"/>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3274"/>
    <w:rsid w:val="00B246DA"/>
    <w:rsid w:val="00B25262"/>
    <w:rsid w:val="00B272A6"/>
    <w:rsid w:val="00B30856"/>
    <w:rsid w:val="00B31395"/>
    <w:rsid w:val="00B32CD3"/>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93B"/>
    <w:rsid w:val="00B56B5D"/>
    <w:rsid w:val="00B576A9"/>
    <w:rsid w:val="00B57E3B"/>
    <w:rsid w:val="00B61DC9"/>
    <w:rsid w:val="00B658D4"/>
    <w:rsid w:val="00B667E5"/>
    <w:rsid w:val="00B66C9E"/>
    <w:rsid w:val="00B705ED"/>
    <w:rsid w:val="00B70E50"/>
    <w:rsid w:val="00B73C99"/>
    <w:rsid w:val="00B75A2C"/>
    <w:rsid w:val="00B75E7F"/>
    <w:rsid w:val="00B77272"/>
    <w:rsid w:val="00B77811"/>
    <w:rsid w:val="00B80129"/>
    <w:rsid w:val="00B80734"/>
    <w:rsid w:val="00B813AC"/>
    <w:rsid w:val="00B8376C"/>
    <w:rsid w:val="00B84260"/>
    <w:rsid w:val="00B8655B"/>
    <w:rsid w:val="00B86A15"/>
    <w:rsid w:val="00B8738D"/>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F63"/>
    <w:rsid w:val="00BB5BB7"/>
    <w:rsid w:val="00BB744D"/>
    <w:rsid w:val="00BB7708"/>
    <w:rsid w:val="00BC0FDD"/>
    <w:rsid w:val="00BC114F"/>
    <w:rsid w:val="00BC22E0"/>
    <w:rsid w:val="00BC3AAD"/>
    <w:rsid w:val="00BC4AA7"/>
    <w:rsid w:val="00BC5852"/>
    <w:rsid w:val="00BD0B09"/>
    <w:rsid w:val="00BD1B09"/>
    <w:rsid w:val="00BD274A"/>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3536"/>
    <w:rsid w:val="00C03793"/>
    <w:rsid w:val="00C06E2B"/>
    <w:rsid w:val="00C07650"/>
    <w:rsid w:val="00C104DD"/>
    <w:rsid w:val="00C1331F"/>
    <w:rsid w:val="00C15275"/>
    <w:rsid w:val="00C15E31"/>
    <w:rsid w:val="00C16479"/>
    <w:rsid w:val="00C2058D"/>
    <w:rsid w:val="00C233EF"/>
    <w:rsid w:val="00C24EA8"/>
    <w:rsid w:val="00C25084"/>
    <w:rsid w:val="00C250CB"/>
    <w:rsid w:val="00C261C7"/>
    <w:rsid w:val="00C26216"/>
    <w:rsid w:val="00C2768B"/>
    <w:rsid w:val="00C27ABF"/>
    <w:rsid w:val="00C31122"/>
    <w:rsid w:val="00C316A8"/>
    <w:rsid w:val="00C322F2"/>
    <w:rsid w:val="00C337F9"/>
    <w:rsid w:val="00C34705"/>
    <w:rsid w:val="00C36DCE"/>
    <w:rsid w:val="00C3746F"/>
    <w:rsid w:val="00C3768A"/>
    <w:rsid w:val="00C37CA6"/>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95D"/>
    <w:rsid w:val="00C67F11"/>
    <w:rsid w:val="00C7039A"/>
    <w:rsid w:val="00C7111F"/>
    <w:rsid w:val="00C718A8"/>
    <w:rsid w:val="00C71CD1"/>
    <w:rsid w:val="00C72BCF"/>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073"/>
    <w:rsid w:val="00CA764C"/>
    <w:rsid w:val="00CA7E48"/>
    <w:rsid w:val="00CB3B6F"/>
    <w:rsid w:val="00CB3D57"/>
    <w:rsid w:val="00CB427A"/>
    <w:rsid w:val="00CB4843"/>
    <w:rsid w:val="00CB67B7"/>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EB5"/>
    <w:rsid w:val="00CE410A"/>
    <w:rsid w:val="00CE4B84"/>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6B6C"/>
    <w:rsid w:val="00CF78C8"/>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517B"/>
    <w:rsid w:val="00D17789"/>
    <w:rsid w:val="00D21565"/>
    <w:rsid w:val="00D228B8"/>
    <w:rsid w:val="00D2737E"/>
    <w:rsid w:val="00D274A9"/>
    <w:rsid w:val="00D27F98"/>
    <w:rsid w:val="00D30750"/>
    <w:rsid w:val="00D32644"/>
    <w:rsid w:val="00D32E70"/>
    <w:rsid w:val="00D3357A"/>
    <w:rsid w:val="00D33619"/>
    <w:rsid w:val="00D3586F"/>
    <w:rsid w:val="00D40C02"/>
    <w:rsid w:val="00D427A6"/>
    <w:rsid w:val="00D42AFE"/>
    <w:rsid w:val="00D45390"/>
    <w:rsid w:val="00D46323"/>
    <w:rsid w:val="00D47571"/>
    <w:rsid w:val="00D475A2"/>
    <w:rsid w:val="00D5015D"/>
    <w:rsid w:val="00D52355"/>
    <w:rsid w:val="00D52AC7"/>
    <w:rsid w:val="00D53360"/>
    <w:rsid w:val="00D54825"/>
    <w:rsid w:val="00D54CA9"/>
    <w:rsid w:val="00D5571D"/>
    <w:rsid w:val="00D55EA9"/>
    <w:rsid w:val="00D563D9"/>
    <w:rsid w:val="00D6188C"/>
    <w:rsid w:val="00D61959"/>
    <w:rsid w:val="00D62168"/>
    <w:rsid w:val="00D6340F"/>
    <w:rsid w:val="00D63705"/>
    <w:rsid w:val="00D64BD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2FA4"/>
    <w:rsid w:val="00DD3539"/>
    <w:rsid w:val="00DD6CBE"/>
    <w:rsid w:val="00DD74C3"/>
    <w:rsid w:val="00DD7977"/>
    <w:rsid w:val="00DE0119"/>
    <w:rsid w:val="00DE07ED"/>
    <w:rsid w:val="00DE34FF"/>
    <w:rsid w:val="00DE3CE4"/>
    <w:rsid w:val="00DF003C"/>
    <w:rsid w:val="00DF00D4"/>
    <w:rsid w:val="00DF1724"/>
    <w:rsid w:val="00DF270F"/>
    <w:rsid w:val="00DF34F5"/>
    <w:rsid w:val="00DF3BEE"/>
    <w:rsid w:val="00DF3F6B"/>
    <w:rsid w:val="00DF4501"/>
    <w:rsid w:val="00DF5F56"/>
    <w:rsid w:val="00DF6F34"/>
    <w:rsid w:val="00DF7233"/>
    <w:rsid w:val="00DF7781"/>
    <w:rsid w:val="00DF78AE"/>
    <w:rsid w:val="00E033F2"/>
    <w:rsid w:val="00E0462A"/>
    <w:rsid w:val="00E04A8B"/>
    <w:rsid w:val="00E04DB7"/>
    <w:rsid w:val="00E04F5E"/>
    <w:rsid w:val="00E06616"/>
    <w:rsid w:val="00E07CC2"/>
    <w:rsid w:val="00E10D00"/>
    <w:rsid w:val="00E11E2E"/>
    <w:rsid w:val="00E1234E"/>
    <w:rsid w:val="00E125A7"/>
    <w:rsid w:val="00E125CA"/>
    <w:rsid w:val="00E129EF"/>
    <w:rsid w:val="00E134EE"/>
    <w:rsid w:val="00E14B17"/>
    <w:rsid w:val="00E14EAE"/>
    <w:rsid w:val="00E16394"/>
    <w:rsid w:val="00E20027"/>
    <w:rsid w:val="00E2053B"/>
    <w:rsid w:val="00E22571"/>
    <w:rsid w:val="00E23473"/>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736B"/>
    <w:rsid w:val="00E47558"/>
    <w:rsid w:val="00E51EF9"/>
    <w:rsid w:val="00E52087"/>
    <w:rsid w:val="00E52965"/>
    <w:rsid w:val="00E53400"/>
    <w:rsid w:val="00E538D1"/>
    <w:rsid w:val="00E54816"/>
    <w:rsid w:val="00E5512E"/>
    <w:rsid w:val="00E55E60"/>
    <w:rsid w:val="00E56594"/>
    <w:rsid w:val="00E5750F"/>
    <w:rsid w:val="00E578DF"/>
    <w:rsid w:val="00E57D18"/>
    <w:rsid w:val="00E60203"/>
    <w:rsid w:val="00E605C2"/>
    <w:rsid w:val="00E60761"/>
    <w:rsid w:val="00E6129C"/>
    <w:rsid w:val="00E62B95"/>
    <w:rsid w:val="00E644A0"/>
    <w:rsid w:val="00E662D7"/>
    <w:rsid w:val="00E663AF"/>
    <w:rsid w:val="00E667D2"/>
    <w:rsid w:val="00E67395"/>
    <w:rsid w:val="00E67549"/>
    <w:rsid w:val="00E67670"/>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5C3B"/>
    <w:rsid w:val="00E96F5D"/>
    <w:rsid w:val="00E97312"/>
    <w:rsid w:val="00E97676"/>
    <w:rsid w:val="00EA1049"/>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D4BC1"/>
    <w:rsid w:val="00ED50C1"/>
    <w:rsid w:val="00ED56D8"/>
    <w:rsid w:val="00ED5DF8"/>
    <w:rsid w:val="00ED6A44"/>
    <w:rsid w:val="00EE066D"/>
    <w:rsid w:val="00EE0713"/>
    <w:rsid w:val="00EE07A6"/>
    <w:rsid w:val="00EE0F2E"/>
    <w:rsid w:val="00EE2A41"/>
    <w:rsid w:val="00EE3337"/>
    <w:rsid w:val="00EE4C6B"/>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4695"/>
    <w:rsid w:val="00F05B66"/>
    <w:rsid w:val="00F06275"/>
    <w:rsid w:val="00F06472"/>
    <w:rsid w:val="00F068E1"/>
    <w:rsid w:val="00F06D25"/>
    <w:rsid w:val="00F07362"/>
    <w:rsid w:val="00F1169F"/>
    <w:rsid w:val="00F123EC"/>
    <w:rsid w:val="00F124F0"/>
    <w:rsid w:val="00F15FB1"/>
    <w:rsid w:val="00F16331"/>
    <w:rsid w:val="00F20356"/>
    <w:rsid w:val="00F20D04"/>
    <w:rsid w:val="00F22566"/>
    <w:rsid w:val="00F22963"/>
    <w:rsid w:val="00F2436E"/>
    <w:rsid w:val="00F25862"/>
    <w:rsid w:val="00F310D2"/>
    <w:rsid w:val="00F31705"/>
    <w:rsid w:val="00F31A1A"/>
    <w:rsid w:val="00F347AF"/>
    <w:rsid w:val="00F35862"/>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7ADD"/>
    <w:rsid w:val="00F87D1E"/>
    <w:rsid w:val="00F907A0"/>
    <w:rsid w:val="00F914FD"/>
    <w:rsid w:val="00F9164E"/>
    <w:rsid w:val="00F93D86"/>
    <w:rsid w:val="00F952BF"/>
    <w:rsid w:val="00F95515"/>
    <w:rsid w:val="00F96929"/>
    <w:rsid w:val="00F974AA"/>
    <w:rsid w:val="00FA103A"/>
    <w:rsid w:val="00FA2545"/>
    <w:rsid w:val="00FA2729"/>
    <w:rsid w:val="00FA4C7E"/>
    <w:rsid w:val="00FA4DD0"/>
    <w:rsid w:val="00FA7CFC"/>
    <w:rsid w:val="00FB03BA"/>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C8C"/>
    <w:rsid w:val="00FC2D20"/>
    <w:rsid w:val="00FC4F9B"/>
    <w:rsid w:val="00FC5068"/>
    <w:rsid w:val="00FC59F0"/>
    <w:rsid w:val="00FC5F82"/>
    <w:rsid w:val="00FC683A"/>
    <w:rsid w:val="00FD01CA"/>
    <w:rsid w:val="00FD21A8"/>
    <w:rsid w:val="00FD4599"/>
    <w:rsid w:val="00FD4784"/>
    <w:rsid w:val="00FD4FE7"/>
    <w:rsid w:val="00FD65FE"/>
    <w:rsid w:val="00FD6B22"/>
    <w:rsid w:val="00FD725C"/>
    <w:rsid w:val="00FE0FAF"/>
    <w:rsid w:val="00FE35B1"/>
    <w:rsid w:val="00FE3C36"/>
    <w:rsid w:val="00FE427F"/>
    <w:rsid w:val="00FE45DB"/>
    <w:rsid w:val="00FE5740"/>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UnresolvedMention">
    <w:name w:val="Unresolved Mention"/>
    <w:basedOn w:val="Fuentedeprrafopredeter"/>
    <w:uiPriority w:val="99"/>
    <w:semiHidden/>
    <w:unhideWhenUsed/>
    <w:rsid w:val="000C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8233988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167551813">
      <w:bodyDiv w:val="1"/>
      <w:marLeft w:val="0"/>
      <w:marRight w:val="0"/>
      <w:marTop w:val="0"/>
      <w:marBottom w:val="0"/>
      <w:divBdr>
        <w:top w:val="none" w:sz="0" w:space="0" w:color="auto"/>
        <w:left w:val="none" w:sz="0" w:space="0" w:color="auto"/>
        <w:bottom w:val="none" w:sz="0" w:space="0" w:color="auto"/>
        <w:right w:val="none" w:sz="0" w:space="0" w:color="auto"/>
      </w:divBdr>
      <w:divsChild>
        <w:div w:id="191043097">
          <w:marLeft w:val="0"/>
          <w:marRight w:val="0"/>
          <w:marTop w:val="0"/>
          <w:marBottom w:val="375"/>
          <w:divBdr>
            <w:top w:val="single" w:sz="2" w:space="0" w:color="E1E1E1"/>
            <w:left w:val="single" w:sz="2" w:space="0" w:color="E1E1E1"/>
            <w:bottom w:val="single" w:sz="2" w:space="0" w:color="E1E1E1"/>
            <w:right w:val="single" w:sz="2" w:space="0" w:color="E1E1E1"/>
          </w:divBdr>
          <w:divsChild>
            <w:div w:id="1652367653">
              <w:marLeft w:val="0"/>
              <w:marRight w:val="0"/>
              <w:marTop w:val="0"/>
              <w:marBottom w:val="0"/>
              <w:divBdr>
                <w:top w:val="single" w:sz="2" w:space="0" w:color="E1E1E1"/>
                <w:left w:val="single" w:sz="2" w:space="0" w:color="E1E1E1"/>
                <w:bottom w:val="single" w:sz="2" w:space="0" w:color="E1E1E1"/>
                <w:right w:val="single" w:sz="2" w:space="0" w:color="E1E1E1"/>
              </w:divBdr>
            </w:div>
          </w:divsChild>
        </w:div>
      </w:divsChild>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3505659">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22DA2-8867-4173-B108-1D058F70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35</Pages>
  <Words>6766</Words>
  <Characters>37217</Characters>
  <Application>Microsoft Office Word</Application>
  <DocSecurity>0</DocSecurity>
  <Lines>310</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46</cp:revision>
  <cp:lastPrinted>2018-12-04T20:35:00Z</cp:lastPrinted>
  <dcterms:created xsi:type="dcterms:W3CDTF">2023-08-08T23:42:00Z</dcterms:created>
  <dcterms:modified xsi:type="dcterms:W3CDTF">2023-11-06T19:31:00Z</dcterms:modified>
</cp:coreProperties>
</file>