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0F744"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Pr="008A4A1F">
        <w:rPr>
          <w:rFonts w:ascii="Palatino Linotype" w:eastAsia="Palatino Linotype" w:hAnsi="Palatino Linotype" w:cs="Palatino Linotype"/>
          <w:b/>
        </w:rPr>
        <w:t>dieciséis</w:t>
      </w:r>
      <w:r w:rsidRPr="008A4A1F">
        <w:rPr>
          <w:rFonts w:ascii="Palatino Linotype" w:eastAsia="Palatino Linotype" w:hAnsi="Palatino Linotype" w:cs="Palatino Linotype"/>
        </w:rPr>
        <w:t xml:space="preserve"> </w:t>
      </w:r>
      <w:r w:rsidRPr="008A4A1F">
        <w:rPr>
          <w:rFonts w:ascii="Palatino Linotype" w:eastAsia="Palatino Linotype" w:hAnsi="Palatino Linotype" w:cs="Palatino Linotype"/>
          <w:b/>
        </w:rPr>
        <w:t>de agosto del dos mil veintitrés</w:t>
      </w:r>
      <w:r w:rsidRPr="008A4A1F">
        <w:rPr>
          <w:rFonts w:ascii="Palatino Linotype" w:eastAsia="Palatino Linotype" w:hAnsi="Palatino Linotype" w:cs="Palatino Linotype"/>
        </w:rPr>
        <w:t>.</w:t>
      </w:r>
    </w:p>
    <w:p w14:paraId="685ACF81" w14:textId="786ACD46"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Visto</w:t>
      </w:r>
      <w:r w:rsidRPr="008A4A1F">
        <w:rPr>
          <w:rFonts w:ascii="Palatino Linotype" w:eastAsia="Palatino Linotype" w:hAnsi="Palatino Linotype" w:cs="Palatino Linotype"/>
        </w:rPr>
        <w:t xml:space="preserve"> el expediente relativo al recurso de revisión </w:t>
      </w:r>
      <w:r w:rsidRPr="008A4A1F">
        <w:rPr>
          <w:rFonts w:ascii="Palatino Linotype" w:eastAsia="Palatino Linotype" w:hAnsi="Palatino Linotype" w:cs="Palatino Linotype"/>
          <w:b/>
        </w:rPr>
        <w:t>15204/INFOEM/IP/RR/2022</w:t>
      </w:r>
      <w:r w:rsidRPr="008A4A1F">
        <w:rPr>
          <w:rFonts w:ascii="Palatino Linotype" w:eastAsia="Palatino Linotype" w:hAnsi="Palatino Linotype" w:cs="Palatino Linotype"/>
        </w:rPr>
        <w:t>, interpuesto por</w:t>
      </w:r>
      <w:r w:rsidRPr="008A4A1F">
        <w:rPr>
          <w:rFonts w:ascii="Palatino Linotype" w:eastAsia="Palatino Linotype" w:hAnsi="Palatino Linotype" w:cs="Palatino Linotype"/>
          <w:b/>
        </w:rPr>
        <w:t xml:space="preserve"> </w:t>
      </w:r>
      <w:r w:rsidR="00C67282">
        <w:rPr>
          <w:rFonts w:ascii="Palatino Linotype" w:eastAsia="Palatino Linotype" w:hAnsi="Palatino Linotype" w:cs="Palatino Linotype"/>
          <w:b/>
        </w:rPr>
        <w:t>XXXXXXX</w:t>
      </w:r>
      <w:r w:rsidRPr="008A4A1F">
        <w:rPr>
          <w:rFonts w:ascii="Palatino Linotype" w:eastAsia="Palatino Linotype" w:hAnsi="Palatino Linotype" w:cs="Palatino Linotype"/>
          <w:b/>
        </w:rPr>
        <w:t xml:space="preserve">, </w:t>
      </w:r>
      <w:r w:rsidRPr="008A4A1F">
        <w:rPr>
          <w:rFonts w:ascii="Palatino Linotype" w:eastAsia="Palatino Linotype" w:hAnsi="Palatino Linotype" w:cs="Palatino Linotype"/>
        </w:rPr>
        <w:t xml:space="preserve">a quien en lo sucesivo se le denominará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b/>
          <w:i/>
        </w:rPr>
        <w:t xml:space="preserve"> </w:t>
      </w:r>
      <w:r w:rsidRPr="008A4A1F">
        <w:rPr>
          <w:rFonts w:ascii="Palatino Linotype" w:eastAsia="Palatino Linotype" w:hAnsi="Palatino Linotype" w:cs="Palatino Linotype"/>
        </w:rPr>
        <w:t>en contra de la respuesta a su solicitud de información pública con número de folio</w:t>
      </w:r>
      <w:r w:rsidRPr="008A4A1F">
        <w:rPr>
          <w:rFonts w:ascii="Verdana" w:eastAsia="Verdana" w:hAnsi="Verdana" w:cs="Verdana"/>
          <w:b/>
        </w:rPr>
        <w:t xml:space="preserve"> </w:t>
      </w:r>
      <w:r w:rsidRPr="008A4A1F">
        <w:rPr>
          <w:rFonts w:ascii="Palatino Linotype" w:eastAsia="Palatino Linotype" w:hAnsi="Palatino Linotype" w:cs="Palatino Linotype"/>
          <w:b/>
        </w:rPr>
        <w:t>00572/PLEGISLA/IP/2022,</w:t>
      </w:r>
      <w:r w:rsidRPr="008A4A1F">
        <w:rPr>
          <w:rFonts w:ascii="Palatino Linotype" w:eastAsia="Palatino Linotype" w:hAnsi="Palatino Linotype" w:cs="Palatino Linotype"/>
        </w:rPr>
        <w:t xml:space="preserve"> otorgada por el </w:t>
      </w:r>
      <w:r w:rsidRPr="008A4A1F">
        <w:rPr>
          <w:rFonts w:ascii="Palatino Linotype" w:eastAsia="Palatino Linotype" w:hAnsi="Palatino Linotype" w:cs="Palatino Linotype"/>
          <w:b/>
        </w:rPr>
        <w:t>Poder Legislativo</w:t>
      </w:r>
      <w:r w:rsidRPr="008A4A1F">
        <w:rPr>
          <w:rFonts w:ascii="Palatino Linotype" w:eastAsia="Palatino Linotype" w:hAnsi="Palatino Linotype" w:cs="Palatino Linotype"/>
        </w:rPr>
        <w:t xml:space="preserve">, en lo sucesivo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w:t>
      </w:r>
      <w:r w:rsidRPr="008A4A1F">
        <w:rPr>
          <w:rFonts w:ascii="Palatino Linotype" w:eastAsia="Palatino Linotype" w:hAnsi="Palatino Linotype" w:cs="Palatino Linotype"/>
          <w:b/>
        </w:rPr>
        <w:t xml:space="preserve"> </w:t>
      </w:r>
      <w:r w:rsidRPr="008A4A1F">
        <w:rPr>
          <w:rFonts w:ascii="Palatino Linotype" w:eastAsia="Palatino Linotype" w:hAnsi="Palatino Linotype" w:cs="Palatino Linotype"/>
        </w:rPr>
        <w:t xml:space="preserve">se procede a dictar la presente resolución, con base en lo siguiente. </w:t>
      </w:r>
    </w:p>
    <w:p w14:paraId="7ED785F7" w14:textId="77777777" w:rsidR="00A37F2C" w:rsidRPr="008A4A1F" w:rsidRDefault="009F482A">
      <w:pPr>
        <w:pStyle w:val="Ttulo2"/>
        <w:spacing w:before="240" w:after="240" w:line="360" w:lineRule="auto"/>
        <w:jc w:val="center"/>
        <w:rPr>
          <w:rFonts w:ascii="Palatino Linotype" w:eastAsia="Palatino Linotype" w:hAnsi="Palatino Linotype" w:cs="Palatino Linotype"/>
          <w:b/>
          <w:color w:val="auto"/>
          <w:sz w:val="24"/>
          <w:szCs w:val="24"/>
        </w:rPr>
      </w:pPr>
      <w:r w:rsidRPr="008A4A1F">
        <w:rPr>
          <w:rFonts w:ascii="Palatino Linotype" w:eastAsia="Palatino Linotype" w:hAnsi="Palatino Linotype" w:cs="Palatino Linotype"/>
          <w:b/>
          <w:color w:val="auto"/>
          <w:sz w:val="24"/>
          <w:szCs w:val="24"/>
        </w:rPr>
        <w:t>I. A N T E C E D E N T E S:</w:t>
      </w:r>
    </w:p>
    <w:p w14:paraId="2D3B4978"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1. Solicitud de acceso a la información.</w:t>
      </w:r>
      <w:r w:rsidRPr="008A4A1F">
        <w:rPr>
          <w:rFonts w:ascii="Palatino Linotype" w:eastAsia="Palatino Linotype" w:hAnsi="Palatino Linotype" w:cs="Palatino Linotype"/>
          <w:b/>
          <w:sz w:val="22"/>
          <w:szCs w:val="22"/>
        </w:rPr>
        <w:t xml:space="preserve"> </w:t>
      </w:r>
      <w:r w:rsidRPr="008A4A1F">
        <w:rPr>
          <w:rFonts w:ascii="Palatino Linotype" w:eastAsia="Palatino Linotype" w:hAnsi="Palatino Linotype" w:cs="Palatino Linotype"/>
        </w:rPr>
        <w:t xml:space="preserve">El </w:t>
      </w:r>
      <w:r w:rsidRPr="008A4A1F">
        <w:rPr>
          <w:rFonts w:ascii="Palatino Linotype" w:eastAsia="Palatino Linotype" w:hAnsi="Palatino Linotype" w:cs="Palatino Linotype"/>
          <w:b/>
        </w:rPr>
        <w:t>veintidós de septiembre del dos mil veintidós,</w:t>
      </w:r>
      <w:r w:rsidRPr="008A4A1F">
        <w:rPr>
          <w:rFonts w:ascii="Palatino Linotype" w:eastAsia="Palatino Linotype" w:hAnsi="Palatino Linotype" w:cs="Palatino Linotype"/>
        </w:rPr>
        <w:t xml:space="preserve"> la ahora </w:t>
      </w:r>
      <w:r w:rsidRPr="008A4A1F">
        <w:rPr>
          <w:rFonts w:ascii="Palatino Linotype" w:eastAsia="Palatino Linotype" w:hAnsi="Palatino Linotype" w:cs="Palatino Linotype"/>
          <w:b/>
        </w:rPr>
        <w:t>parte</w:t>
      </w:r>
      <w:r w:rsidRPr="008A4A1F">
        <w:rPr>
          <w:rFonts w:ascii="Palatino Linotype" w:eastAsia="Palatino Linotype" w:hAnsi="Palatino Linotype" w:cs="Palatino Linotype"/>
        </w:rPr>
        <w:t xml:space="preserve"> </w:t>
      </w:r>
      <w:r w:rsidRPr="008A4A1F">
        <w:rPr>
          <w:rFonts w:ascii="Palatino Linotype" w:eastAsia="Palatino Linotype" w:hAnsi="Palatino Linotype" w:cs="Palatino Linotype"/>
          <w:b/>
        </w:rPr>
        <w:t>Recurrente</w:t>
      </w:r>
      <w:r w:rsidRPr="008A4A1F">
        <w:rPr>
          <w:rFonts w:ascii="Palatino Linotype" w:eastAsia="Palatino Linotype" w:hAnsi="Palatino Linotype" w:cs="Palatino Linotype"/>
        </w:rPr>
        <w:t xml:space="preserve"> presentó a través de la Plataforma Nacional de Transparencia (PNT), la cual se encuentra vinculada al Sistema de Acceso a la Información Mexiquense, en lo subsecuente el </w:t>
      </w:r>
      <w:r w:rsidRPr="008A4A1F">
        <w:rPr>
          <w:rFonts w:ascii="Palatino Linotype" w:eastAsia="Palatino Linotype" w:hAnsi="Palatino Linotype" w:cs="Palatino Linotype"/>
          <w:b/>
        </w:rPr>
        <w:t>SAIMEX,</w:t>
      </w:r>
      <w:r w:rsidRPr="008A4A1F">
        <w:rPr>
          <w:rFonts w:ascii="Palatino Linotype" w:eastAsia="Palatino Linotype" w:hAnsi="Palatino Linotype" w:cs="Palatino Linotype"/>
        </w:rPr>
        <w:t xml:space="preserve"> la solicitud de acceso a la información pública, a la que se le asignó el número</w:t>
      </w:r>
      <w:r w:rsidRPr="008A4A1F">
        <w:rPr>
          <w:rFonts w:ascii="Palatino Linotype" w:eastAsia="Palatino Linotype" w:hAnsi="Palatino Linotype" w:cs="Palatino Linotype"/>
          <w:b/>
        </w:rPr>
        <w:t xml:space="preserve"> </w:t>
      </w:r>
      <w:r w:rsidRPr="008A4A1F">
        <w:rPr>
          <w:rFonts w:ascii="Palatino Linotype" w:eastAsia="Palatino Linotype" w:hAnsi="Palatino Linotype" w:cs="Palatino Linotype"/>
        </w:rPr>
        <w:t>de folio</w:t>
      </w:r>
      <w:r w:rsidRPr="008A4A1F">
        <w:rPr>
          <w:rFonts w:ascii="Palatino Linotype" w:eastAsia="Palatino Linotype" w:hAnsi="Palatino Linotype" w:cs="Palatino Linotype"/>
          <w:b/>
        </w:rPr>
        <w:t xml:space="preserve"> 00572/PLEGISLA/IP/2022, </w:t>
      </w:r>
      <w:r w:rsidRPr="008A4A1F">
        <w:rPr>
          <w:rFonts w:ascii="Palatino Linotype" w:eastAsia="Palatino Linotype" w:hAnsi="Palatino Linotype" w:cs="Palatino Linotype"/>
        </w:rPr>
        <w:t>a través de la cual requirió lo siguiente:</w:t>
      </w:r>
    </w:p>
    <w:p w14:paraId="567E5A6F"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“Se solicita copia digital de todos </w:t>
      </w:r>
      <w:r w:rsidRPr="008A4A1F">
        <w:rPr>
          <w:rFonts w:ascii="Palatino Linotype" w:eastAsia="Palatino Linotype" w:hAnsi="Palatino Linotype" w:cs="Palatino Linotype"/>
          <w:b/>
          <w:i/>
          <w:sz w:val="22"/>
          <w:szCs w:val="22"/>
          <w:u w:val="single"/>
        </w:rPr>
        <w:t>los documentos referentes a las disposiciones legales y las determinaciones que dan inicio, crean o modifican, generan registros o dan seguimiento de las instancias y espacios referidos en la solicitud, así los presupuestos asignados y recursos con los que cuentan</w:t>
      </w:r>
      <w:r w:rsidRPr="008A4A1F">
        <w:rPr>
          <w:rFonts w:ascii="Palatino Linotype" w:eastAsia="Palatino Linotype" w:hAnsi="Palatino Linotype" w:cs="Palatino Linotype"/>
          <w:i/>
          <w:sz w:val="22"/>
          <w:szCs w:val="22"/>
        </w:rPr>
        <w:t>.” (Sic) (Énfasis añadido)</w:t>
      </w:r>
    </w:p>
    <w:p w14:paraId="486025FF"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Modalidad de entrega de la información</w:t>
      </w:r>
      <w:r w:rsidRPr="008A4A1F">
        <w:rPr>
          <w:rFonts w:ascii="Palatino Linotype" w:eastAsia="Palatino Linotype" w:hAnsi="Palatino Linotype" w:cs="Palatino Linotype"/>
        </w:rPr>
        <w:t xml:space="preserve">: vía </w:t>
      </w:r>
      <w:r w:rsidRPr="008A4A1F">
        <w:rPr>
          <w:rFonts w:ascii="Palatino Linotype" w:eastAsia="Palatino Linotype" w:hAnsi="Palatino Linotype" w:cs="Palatino Linotype"/>
          <w:b/>
        </w:rPr>
        <w:t>SAIMEX y correo electrónico</w:t>
      </w:r>
    </w:p>
    <w:p w14:paraId="2B9E8107"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noProof/>
          <w:lang w:val="es-MX"/>
        </w:rPr>
        <w:lastRenderedPageBreak/>
        <w:drawing>
          <wp:inline distT="0" distB="0" distL="0" distR="0" wp14:anchorId="5A6DBCBC" wp14:editId="3EEE6937">
            <wp:extent cx="5581015" cy="52832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81015" cy="528320"/>
                    </a:xfrm>
                    <a:prstGeom prst="rect">
                      <a:avLst/>
                    </a:prstGeom>
                    <a:ln/>
                  </pic:spPr>
                </pic:pic>
              </a:graphicData>
            </a:graphic>
          </wp:inline>
        </w:drawing>
      </w:r>
    </w:p>
    <w:p w14:paraId="7AC8B7C4"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 xml:space="preserve">Archivo adjunto: </w:t>
      </w:r>
      <w:r w:rsidRPr="008A4A1F">
        <w:rPr>
          <w:rFonts w:ascii="Palatino Linotype" w:eastAsia="Palatino Linotype" w:hAnsi="Palatino Linotype" w:cs="Palatino Linotype"/>
        </w:rPr>
        <w:t>Documento de cuatro fojas que consta de treinta preguntas, mismas que se insertan a continuación:</w:t>
      </w:r>
    </w:p>
    <w:p w14:paraId="013ECC5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 Indicar recursos financieros, materiales, de infraestructura, y humanos destinados por el Estado para la búsqueda de personas desaparecidas y la identificación de personas fallecidas no identificadas entre enero de 2018 y 31 de agosto de 2022.</w:t>
      </w:r>
    </w:p>
    <w:p w14:paraId="613131D7" w14:textId="77777777" w:rsidR="00A37F2C" w:rsidRPr="008A4A1F" w:rsidRDefault="009F482A">
      <w:pPr>
        <w:numPr>
          <w:ilvl w:val="0"/>
          <w:numId w:val="1"/>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qué dependencia se le entregaron (desagregar por recursos materiales y financieros, por rubro, por mes y año)</w:t>
      </w:r>
    </w:p>
    <w:p w14:paraId="3751ECF5" w14:textId="77777777" w:rsidR="00A37F2C" w:rsidRPr="008A4A1F" w:rsidRDefault="009F482A">
      <w:pPr>
        <w:numPr>
          <w:ilvl w:val="0"/>
          <w:numId w:val="1"/>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¿Cuántas personas y en qué dependencias realizan labores de búsqueda y cuántas personas y en qué dependencia realizan labores de identificación humana?</w:t>
      </w:r>
    </w:p>
    <w:p w14:paraId="5CFC4EDD" w14:textId="77777777" w:rsidR="00A37F2C" w:rsidRPr="008A4A1F" w:rsidRDefault="009F482A">
      <w:pPr>
        <w:numPr>
          <w:ilvl w:val="0"/>
          <w:numId w:val="1"/>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¿Qué perfiles tienen las personas asignadas a labores de búsqueda, qué perfiles tienen aquéllas destinadas a identificación?</w:t>
      </w:r>
    </w:p>
    <w:p w14:paraId="566A68A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2. ¿Cuántos panteones o cementerios forenses tiene la entidad? </w:t>
      </w:r>
    </w:p>
    <w:p w14:paraId="4B3D858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¿Cuál es su nombre oficial?</w:t>
      </w:r>
    </w:p>
    <w:p w14:paraId="1237F14C"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b) ¿Dónde se encuentran ubicados? ¿Cuándo fueron creados? ¿Qué costo tuvo la creación de este espacio o de su reconversión en caso de que se hubiera utilizado una infraestructura previa?</w:t>
      </w:r>
    </w:p>
    <w:p w14:paraId="0730AA0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c) ¿Qué dependencia se encarga de su administración y resguardo? </w:t>
      </w:r>
    </w:p>
    <w:p w14:paraId="70F6C77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d) ¿Quién es la persona servidora pública responsable del registro, seguimiento y atención a los panteones o cementerios forenses de la entidad?</w:t>
      </w:r>
    </w:p>
    <w:p w14:paraId="464E4D8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 ¿Cuál es la normatividad que se sigue para determinar qué cuerpos o restos humanos son enviados a estos espacios?</w:t>
      </w:r>
    </w:p>
    <w:p w14:paraId="4500600C"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f) ¿Cuál es el manejo que se le da a la base de datos resultante de los registros en estos espacios? ¿Quién la administra? ¿Cómo se realizan cruces para cotejo con ella?</w:t>
      </w:r>
    </w:p>
    <w:p w14:paraId="3A7194C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g) ¿Qué capacidad instalada tienen? ¿Cuál es su ocupación al 31 de agosto de 2022?</w:t>
      </w:r>
    </w:p>
    <w:p w14:paraId="3266AAF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h) ¿Con qué periodicidad se realizan visitas de supervisión? ¿Quién es la autoridad encargada de las mismas? ¿Cuál es el marco normativo de la supervisión de estos espacios?</w:t>
      </w:r>
    </w:p>
    <w:p w14:paraId="27BA3A9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i) ¿Cuál es la normatividad sanitaria, ambiental, y urbana que se consideró para la creación de estos espacios? ¿Qué estudios se hicieron previo a la creación de los espacios? ¿Hubo trabajos de adecuación entre enero de 2018 y agosto de 2022? ¿En qué consistieron, quién los realizó, qué valoraciones se hicieron y qué costo tuvo?</w:t>
      </w:r>
    </w:p>
    <w:p w14:paraId="2E66CA2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3. ¿En qué espacios de la entidad se resguardan cuerpos o restos humanos de personas fallecidas sin identificar? </w:t>
      </w:r>
    </w:p>
    <w:p w14:paraId="3865704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¿Cuál es la normatividad que rige los procesos de resguardo, procesamientos y búsqueda de identidad?</w:t>
      </w:r>
    </w:p>
    <w:p w14:paraId="26919CF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b) ¿Qué autoridad o autoridades están a cargo de estos procesos?</w:t>
      </w:r>
    </w:p>
    <w:p w14:paraId="3B3FF15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 ¿Cuál es el nombre oficial y dónde están ubicados los espacios de resguardo? ¿Cuándo fueron creados?</w:t>
      </w:r>
    </w:p>
    <w:p w14:paraId="1F1AA49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d) ¿Qué capacidad instalada tienen? </w:t>
      </w:r>
    </w:p>
    <w:p w14:paraId="5C293D1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 ¿Qué costos tiene su operación y mantenimiento?</w:t>
      </w:r>
    </w:p>
    <w:p w14:paraId="3518E44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f) ¿Qué recursos materiales y humanos se destinaron a su operación y mantenimiento?</w:t>
      </w:r>
    </w:p>
    <w:p w14:paraId="16FA8AF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4. Informar qué normatividad existe en la entidad relacionada con la búsqueda de personas desaparecidas y la identificación de personas fallecidas sin identificar hasta agosto de 2022. Informar fechas de entrada en vigor, normas derogadas (indicar fecha de entrada en vigor y fecha en que fue derogada), avisos, memorándums, oficios circulares, protocolos o lineamientos que existan sobre esos temas. Remitir copia digital de los soportes documentales.</w:t>
      </w:r>
    </w:p>
    <w:p w14:paraId="24B1829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5. Informar qué normatividad existe en materia de tratamiento y notificación forense, así como en cuanto a restitución de cuerpos o restos de personas fallecidas a sus familias. Indicar a qué dependencia corresponde la labor y con qué instalaciones y recursos materiales y humanos cuenta para llevarla a cabo. Remitir copia digital de los soportes documentales.</w:t>
      </w:r>
    </w:p>
    <w:p w14:paraId="48EBAD6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6. Informar en qué tipo de caja, bolsa, o afín, se entregan los cuerpos o restos humanos de personas fallecidas en la entidad. Indicar, en el periodo de enero de 2018 a 2022, quién hizo las adquisiciones de los insumos, los costos mensuales por año, quiénes </w:t>
      </w:r>
      <w:r w:rsidRPr="008A4A1F">
        <w:rPr>
          <w:rFonts w:ascii="Palatino Linotype" w:eastAsia="Palatino Linotype" w:hAnsi="Palatino Linotype" w:cs="Palatino Linotype"/>
          <w:i/>
          <w:sz w:val="22"/>
          <w:szCs w:val="22"/>
        </w:rPr>
        <w:lastRenderedPageBreak/>
        <w:t>fueron los proveedores y si el proceso se sujetó a licitación. De haber sido licitación o adjudicación directa, señalar los soportes que llevaron a la elección del proveedor. Remitir copia digital de los soportes documentales.</w:t>
      </w:r>
    </w:p>
    <w:p w14:paraId="14690EE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7. ¿Cómo se documente el contexto de hallazgo de un cuerpo o restos humanos en la entidad? ¿Cuál es el fundamento en la entidad? ¿Qué formatos o protocolos se siguen? Remitir copia digital de los soportes documentales.</w:t>
      </w:r>
    </w:p>
    <w:p w14:paraId="1D6CB73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8. A nivel estatal señalar si hay algún mecanismo de coordinación con alguna otra dependencia u organismo local para intervención conjunta. De ser así, explicar cómo funciona y cuál es el fundamento.</w:t>
      </w:r>
    </w:p>
    <w:p w14:paraId="6EBE6F6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9. Indicar si acude médico forense a las diligencias de búsqueda. En caso afirmativo señalar protocolos que se siguen, labor que realizan, a qué dependencia pertenece.</w:t>
      </w:r>
    </w:p>
    <w:p w14:paraId="1AC4D73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10. ¿De quién dependen los servicios periciales y los servicios médicos forenses en la entidad?</w:t>
      </w:r>
    </w:p>
    <w:p w14:paraId="0C819C0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11. ¿Cuántos peritos y de qué especialidades se tienen? Señale, por perito, la fecha de última actualización en su campo disciplinario y a cargo de quién estuvo. Indicar si fue financiada por la institución, la entidad, algún otro organismo público o a través de un organismo o entidad internacional.</w:t>
      </w:r>
    </w:p>
    <w:p w14:paraId="634B3E6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12. Indique la fecha de último abastecimiento de insumos para labores periciales, indicar cuáles se recibieron y quién proporciona los recursos para su adquisición y con qué periodicidad, entre enero de 2018 y el 31 de agosto de 2022.</w:t>
      </w:r>
    </w:p>
    <w:p w14:paraId="58A53C3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13. Número de procesos por declaración de ausencia se han iniciado en la entidad de enero de 2018 al 31 de agosto de 2022. Desagregar por género de la persona promovente y relación con la persona desaparecida por mes y por año.</w:t>
      </w:r>
    </w:p>
    <w:p w14:paraId="5605266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14. Indicar con cuántos centros de identificación humana cuenta la entidad, en dónde se encuentran localizados, qué presupuesto tienen asignado, fecha de entrada en operación y número y tipo de personas adscritas para su operación.</w:t>
      </w:r>
    </w:p>
    <w:p w14:paraId="1E9E743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15. Indicar número y tipo de laboratorios forenses en la entidad que están certificados. Especificar el laboratorio, la certificación con la que cuenta, y la fecha en que se obtuvo la misma.</w:t>
      </w:r>
    </w:p>
    <w:p w14:paraId="3FDD2A1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16.- Enumerar y describir el tipo de estudios que se realizan para registro de datos para identificación de personas fallecidas sin identificar en la entidad. Indicar a cargo </w:t>
      </w:r>
      <w:r w:rsidRPr="008A4A1F">
        <w:rPr>
          <w:rFonts w:ascii="Palatino Linotype" w:eastAsia="Palatino Linotype" w:hAnsi="Palatino Linotype" w:cs="Palatino Linotype"/>
          <w:i/>
          <w:sz w:val="22"/>
          <w:szCs w:val="22"/>
        </w:rPr>
        <w:lastRenderedPageBreak/>
        <w:t>de qué autoridad están los peritos que intervienen y qué base de datos se alimenta con la información resultante. Señalar cómo se realizan cruces para cotejo.</w:t>
      </w:r>
    </w:p>
    <w:p w14:paraId="22A3779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17. ¿Qué tipo de registros se generan en la entidad tanto del procedimiento como de la persona a identificar? ¿Qué mecanismos de protección de datos se utilizan? ¿Quién y cómo determinan los accesos para consulta a los registros, con qué fundamento legal? ¿Qué bases de datos se alimentan con la información resultante? ¿Qué bases de datos se consultan para el llenado o posible cruce con fines de identificación?</w:t>
      </w:r>
    </w:p>
    <w:p w14:paraId="743086A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18. ¿Qué entidad, institución o dependencia se encarga de recabar perfiles genéticos de familiares de personas desaparecidas o no </w:t>
      </w:r>
      <w:proofErr w:type="gramStart"/>
      <w:r w:rsidRPr="008A4A1F">
        <w:rPr>
          <w:rFonts w:ascii="Palatino Linotype" w:eastAsia="Palatino Linotype" w:hAnsi="Palatino Linotype" w:cs="Palatino Linotype"/>
          <w:i/>
          <w:sz w:val="22"/>
          <w:szCs w:val="22"/>
        </w:rPr>
        <w:t>localizadas?¿</w:t>
      </w:r>
      <w:proofErr w:type="gramEnd"/>
      <w:r w:rsidRPr="008A4A1F">
        <w:rPr>
          <w:rFonts w:ascii="Palatino Linotype" w:eastAsia="Palatino Linotype" w:hAnsi="Palatino Linotype" w:cs="Palatino Linotype"/>
          <w:i/>
          <w:sz w:val="22"/>
          <w:szCs w:val="22"/>
        </w:rPr>
        <w:t>Con qué periodicidad se recaba esa información? ¿Con qué periodicidad se actualizan las bases de datos de los registros con los que se cuenta?</w:t>
      </w:r>
    </w:p>
    <w:p w14:paraId="04AB36A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19. ¿Dónde y cómo se resguardan las muestras que se toman? ¿Qué procesamiento se realiza en las mismas? Indicar mecanismos, peritos, insumos y espacios que se utilizan para esta parte del proceso.  ¿A cargo de quién queda esta parte del proceso? ¿Qué tipo de acceso para consulta tienen otras entidades estatales o federales?</w:t>
      </w:r>
    </w:p>
    <w:p w14:paraId="375C40C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20. ¿Qué tipo de registros se generan a partir del procesamiento de las muestras? ¿Se reportan a alguna autoridad? De ser así referir cuál, cómo, y con qué periodicidad. Indicar si se alimenta alguna base de datos con estos registros, de ser así, indicar cuál, cómo y con qué periodicidad. Indicar quién puede consultar esa base de datos.</w:t>
      </w:r>
    </w:p>
    <w:p w14:paraId="692D7D7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21. Del total de muestras recibidas entre enero de 2018 y el 31 de agosto de 2022, ¿cuántas han sido ya procesadas, cuántas ya están registradas en alguna base de datos, y cuántas están pendientes de procesar o de registrar? ¿A cuántas personas corresponden las muestras en total? ¿Cuántas de estas muestras se han tomado de cadáveres o restos óseos? ¿cuántas han sido ya procesadas, cuántas ya están registradas en alguna base de datos, y cuántas están pendientes de procesar o de registrar?</w:t>
      </w:r>
    </w:p>
    <w:p w14:paraId="1133050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22. ¿Cómo se realiza el cotejo de huellas digitales de personas fallecidas sin identificar en la entidad? ¿Qué registros se generan? ¿En qué base de datos se registran? ¿A partir de qué fecha se realiza? ¿Ese registro tienen comunicación con algún otro? ¿Cuál es el fundamento legal para el registro (o no) de las huellas en la entidad?</w:t>
      </w:r>
    </w:p>
    <w:p w14:paraId="6D551D0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23. En la entidad, como parte de los procesos de identificación, ¿se realizan registros odontológicos? ¿Se documentan radiografías? ¿De qué tipo? ¿Desde cuándo y con qué fundamento se recaba esta información? ¿En qué formato y tipo de soporte se </w:t>
      </w:r>
      <w:r w:rsidRPr="008A4A1F">
        <w:rPr>
          <w:rFonts w:ascii="Palatino Linotype" w:eastAsia="Palatino Linotype" w:hAnsi="Palatino Linotype" w:cs="Palatino Linotype"/>
          <w:i/>
          <w:sz w:val="22"/>
          <w:szCs w:val="22"/>
        </w:rPr>
        <w:lastRenderedPageBreak/>
        <w:t>genera el registro? ¿En qué base de datos se registraron? ¿Ese registro tienen comunicación con algún otro? ¿Cómo se actualizan los registros de identificación? ¿Con qué periodicidad?</w:t>
      </w:r>
    </w:p>
    <w:p w14:paraId="7548ACC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24. ¿Cómo se actualizan los registros de identificación en la entidad? ¿Con qué periodicidad? ¿Qué proceso se sigue cuando hay una identificación positiva? Indicar fundamento y remitir copia soporte del documento que consigne el proceso.</w:t>
      </w:r>
    </w:p>
    <w:p w14:paraId="0019308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25. En la entidad ¿existe algún registro de señas particulares (cicatrices, tatuajes, lunares, marcas, otros)? ¿Cuál es su nombre oficial y desde cuándo existe? ¿Dónde se encuentra? ¿Cómo se realiza el cotejo con otras bases de datos? ¿Cómo se actualizan los registros de identificación? ¿Con qué periodicidad?</w:t>
      </w:r>
    </w:p>
    <w:p w14:paraId="6167639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26. ¿De qué fecha data el registro más antiguo que tienen de personas fallecidas sin identificar en la entidad? ¿Qué tipo de soporte (físico, virtual, de acceso público, de consulta interna, otro) utiliza? ¿Cómo se actualizan los registros de identificación? ¿Con qué periodicidad?</w:t>
      </w:r>
    </w:p>
    <w:p w14:paraId="56655D3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27. ¿Hay algún área o personal encargado (de forma temporal o permanente) de actualizar, completar, cruzar las bases de datos? ¿Qué perfil tiene? ¿Con qué periodicidad lo hace? ¿A qué dependencia pertenece? ¿Desde cuándo se encarga de la actualización de estas bases de datos? ¿Cuál es el fundamento legal de su actuación?</w:t>
      </w:r>
    </w:p>
    <w:p w14:paraId="09B52281"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28. ¿Qué tipo de registros se tienen de los cuerpos inhumados en la entidad? ¿Quién los concentra? ¿Cómo se actualizan? ¿Qué mecanismos de validación y actualización de información se tienen y de qué entidad o persona servidora pública dependen?</w:t>
      </w:r>
    </w:p>
    <w:p w14:paraId="04F9727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29. ¿Quién informa a la familia de la identificación de una persona fallecida en contextos de desaparición? ¿Cómo se realiza la notificación? ¿Qué personal participa? ¿Hay algún espacio físico para el proceso? ¿Dónde se encuentra ubicado? ¿Se lleva a cabo algún seguimiento o canalización?</w:t>
      </w:r>
    </w:p>
    <w:p w14:paraId="70A8797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30. ¿Se cuenta con protocolos, lineamientos o alguna otra normatividad interna relacionada con la notificación forense con enfoque psicosocial y la entrega digna? ¿Desde cuándo entró en vigor? ¿Qué mecanismos de supervisión de cumplimiento prevé? ¿A quién le corresponde la operación y supervisión? ¿Cuál es el fundamento legal? Remitir copia digital de los soportes documentales.”</w:t>
      </w:r>
    </w:p>
    <w:p w14:paraId="0A48ECAE" w14:textId="77777777" w:rsidR="00A37F2C" w:rsidRPr="008A4A1F" w:rsidRDefault="00A37F2C">
      <w:pPr>
        <w:spacing w:before="240" w:after="240" w:line="360" w:lineRule="auto"/>
        <w:jc w:val="both"/>
        <w:rPr>
          <w:rFonts w:ascii="Palatino Linotype" w:eastAsia="Palatino Linotype" w:hAnsi="Palatino Linotype" w:cs="Palatino Linotype"/>
          <w:b/>
        </w:rPr>
      </w:pPr>
    </w:p>
    <w:p w14:paraId="2AAC7AE5"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lastRenderedPageBreak/>
        <w:t xml:space="preserve">2. Información que puede estar en poder de otro Sujeto Obligado. </w:t>
      </w:r>
      <w:r w:rsidRPr="008A4A1F">
        <w:rPr>
          <w:rFonts w:ascii="Palatino Linotype" w:eastAsia="Palatino Linotype" w:hAnsi="Palatino Linotype" w:cs="Palatino Linotype"/>
        </w:rPr>
        <w:t xml:space="preserve">El </w:t>
      </w:r>
      <w:r w:rsidRPr="008A4A1F">
        <w:rPr>
          <w:rFonts w:ascii="Palatino Linotype" w:eastAsia="Palatino Linotype" w:hAnsi="Palatino Linotype" w:cs="Palatino Linotype"/>
          <w:b/>
        </w:rPr>
        <w:t>veintidós de septiembre del dos mil veintidós</w:t>
      </w:r>
      <w:r w:rsidRPr="008A4A1F">
        <w:rPr>
          <w:rFonts w:ascii="Palatino Linotype" w:eastAsia="Palatino Linotype" w:hAnsi="Palatino Linotype" w:cs="Palatino Linotype"/>
        </w:rPr>
        <w:t xml:space="preserv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otorgó, a través del </w:t>
      </w:r>
      <w:r w:rsidRPr="008A4A1F">
        <w:rPr>
          <w:rFonts w:ascii="Palatino Linotype" w:eastAsia="Palatino Linotype" w:hAnsi="Palatino Linotype" w:cs="Palatino Linotype"/>
          <w:b/>
        </w:rPr>
        <w:t>SAIMEX</w:t>
      </w:r>
      <w:r w:rsidRPr="008A4A1F">
        <w:rPr>
          <w:rFonts w:ascii="Palatino Linotype" w:eastAsia="Palatino Linotype" w:hAnsi="Palatino Linotype" w:cs="Palatino Linotype"/>
        </w:rPr>
        <w:t>, el acuerdo por el cual declara la incompetencia para atender la solicitud de información, ello en los siguientes términos:</w:t>
      </w:r>
    </w:p>
    <w:p w14:paraId="35F3790F"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“Se adjunta documento.</w:t>
      </w:r>
    </w:p>
    <w:p w14:paraId="5878146E"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ATENTAMENTE</w:t>
      </w:r>
    </w:p>
    <w:p w14:paraId="11B4B3F4"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Jesús Felipe Borja </w:t>
      </w:r>
      <w:proofErr w:type="gramStart"/>
      <w:r w:rsidRPr="008A4A1F">
        <w:rPr>
          <w:rFonts w:ascii="Palatino Linotype" w:eastAsia="Palatino Linotype" w:hAnsi="Palatino Linotype" w:cs="Palatino Linotype"/>
          <w:i/>
          <w:sz w:val="22"/>
          <w:szCs w:val="22"/>
        </w:rPr>
        <w:t>Coronel</w:t>
      </w:r>
      <w:proofErr w:type="gramEnd"/>
      <w:r w:rsidRPr="008A4A1F">
        <w:rPr>
          <w:rFonts w:ascii="Palatino Linotype" w:eastAsia="Palatino Linotype" w:hAnsi="Palatino Linotype" w:cs="Palatino Linotype"/>
          <w:i/>
          <w:sz w:val="22"/>
          <w:szCs w:val="22"/>
        </w:rPr>
        <w:t xml:space="preserve"> “(Sic)</w:t>
      </w:r>
    </w:p>
    <w:p w14:paraId="5C685202" w14:textId="77777777" w:rsidR="00A37F2C" w:rsidRPr="008A4A1F" w:rsidRDefault="009F482A">
      <w:pPr>
        <w:spacing w:before="240" w:after="240" w:line="360" w:lineRule="auto"/>
        <w:ind w:right="567"/>
        <w:jc w:val="both"/>
        <w:rPr>
          <w:rFonts w:ascii="Palatino Linotype" w:eastAsia="Palatino Linotype" w:hAnsi="Palatino Linotype" w:cs="Palatino Linotype"/>
        </w:rPr>
      </w:pPr>
      <w:r w:rsidRPr="008A4A1F">
        <w:rPr>
          <w:rFonts w:ascii="Palatino Linotype" w:eastAsia="Palatino Linotype" w:hAnsi="Palatino Linotype" w:cs="Palatino Linotype"/>
          <w:b/>
        </w:rPr>
        <w:t>Archivos adjuntos:</w:t>
      </w:r>
      <w:r w:rsidRPr="008A4A1F">
        <w:rPr>
          <w:rFonts w:ascii="Palatino Linotype" w:eastAsia="Palatino Linotype" w:hAnsi="Palatino Linotype" w:cs="Palatino Linotype"/>
        </w:rPr>
        <w:t xml:space="preserve"> </w:t>
      </w:r>
    </w:p>
    <w:p w14:paraId="291F03AD" w14:textId="77777777" w:rsidR="00A37F2C" w:rsidRPr="008A4A1F" w:rsidRDefault="009F482A">
      <w:pPr>
        <w:spacing w:before="240" w:after="240" w:line="360" w:lineRule="auto"/>
        <w:ind w:left="567" w:right="567"/>
        <w:jc w:val="both"/>
        <w:rPr>
          <w:rFonts w:ascii="Palatino Linotype" w:eastAsia="Palatino Linotype" w:hAnsi="Palatino Linotype" w:cs="Palatino Linotype"/>
        </w:rPr>
      </w:pPr>
      <w:r w:rsidRPr="008A4A1F">
        <w:rPr>
          <w:rFonts w:ascii="Palatino Linotype" w:eastAsia="Palatino Linotype" w:hAnsi="Palatino Linotype" w:cs="Palatino Linotype"/>
          <w:b/>
          <w:i/>
          <w:sz w:val="22"/>
          <w:szCs w:val="22"/>
        </w:rPr>
        <w:t xml:space="preserve">“abr174.pdf”: </w:t>
      </w:r>
      <w:r w:rsidRPr="008A4A1F">
        <w:rPr>
          <w:rFonts w:ascii="Palatino Linotype" w:eastAsia="Palatino Linotype" w:hAnsi="Palatino Linotype" w:cs="Palatino Linotype"/>
        </w:rPr>
        <w:t>Consiste en el decreto del Ejecutivo por el que se crea la Comisión de Búsqueda de Personas del Estado de México.</w:t>
      </w:r>
    </w:p>
    <w:p w14:paraId="25DCBB5F" w14:textId="77777777" w:rsidR="00A37F2C" w:rsidRPr="008A4A1F" w:rsidRDefault="009F482A">
      <w:pPr>
        <w:spacing w:before="240" w:after="240" w:line="360" w:lineRule="auto"/>
        <w:ind w:left="567" w:right="567"/>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noProof/>
          <w:sz w:val="22"/>
          <w:szCs w:val="22"/>
          <w:lang w:val="es-MX"/>
        </w:rPr>
        <w:drawing>
          <wp:inline distT="0" distB="0" distL="0" distR="0" wp14:anchorId="5B47328E" wp14:editId="556B47AD">
            <wp:extent cx="4154577" cy="3343928"/>
            <wp:effectExtent l="0" t="0" r="0" b="0"/>
            <wp:docPr id="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154577" cy="3343928"/>
                    </a:xfrm>
                    <a:prstGeom prst="rect">
                      <a:avLst/>
                    </a:prstGeom>
                    <a:ln/>
                  </pic:spPr>
                </pic:pic>
              </a:graphicData>
            </a:graphic>
          </wp:inline>
        </w:drawing>
      </w:r>
    </w:p>
    <w:p w14:paraId="200CF5D8" w14:textId="77777777" w:rsidR="00A37F2C" w:rsidRPr="008A4A1F" w:rsidRDefault="009F482A">
      <w:pPr>
        <w:spacing w:before="240" w:after="240" w:line="360" w:lineRule="auto"/>
        <w:ind w:left="567" w:right="567"/>
        <w:jc w:val="both"/>
        <w:rPr>
          <w:rFonts w:ascii="Palatino Linotype" w:eastAsia="Palatino Linotype" w:hAnsi="Palatino Linotype" w:cs="Palatino Linotype"/>
        </w:rPr>
      </w:pPr>
      <w:r w:rsidRPr="008A4A1F">
        <w:rPr>
          <w:rFonts w:ascii="Palatino Linotype" w:eastAsia="Palatino Linotype" w:hAnsi="Palatino Linotype" w:cs="Palatino Linotype"/>
          <w:b/>
          <w:i/>
          <w:sz w:val="22"/>
          <w:szCs w:val="22"/>
        </w:rPr>
        <w:lastRenderedPageBreak/>
        <w:t xml:space="preserve">“Respuesta 572-OSO.pdf”: </w:t>
      </w:r>
      <w:r w:rsidRPr="008A4A1F">
        <w:rPr>
          <w:rFonts w:ascii="Palatino Linotype" w:eastAsia="Palatino Linotype" w:hAnsi="Palatino Linotype" w:cs="Palatino Linotype"/>
        </w:rPr>
        <w:t>Documento de dos fojas, signado por el Titular de la Unidad de Transparencia, quien refiere que los datos requeridos no corresponden a la información generada y contenida por ese sujeto obligado, en virtud de no encontrarse dentro de las facultades y obligaciones de la Legislatura, plasmadas en el artículo 61 de la Constitución Política del Estado Libre y Soberano del Estado de México, así como los artículos 30 al 38 de la Ley Orgánica del Poder Legislativo del Estado Libre y Soberano de México; por lo que al no existir facultad, competencia o atribución dentro de los ordenamientos jurídicos, no se cuenta con información relativa a su petición.</w:t>
      </w:r>
    </w:p>
    <w:p w14:paraId="2C401A24" w14:textId="77777777" w:rsidR="00A37F2C" w:rsidRPr="008A4A1F" w:rsidRDefault="009F482A">
      <w:pPr>
        <w:spacing w:before="240" w:after="240" w:line="360" w:lineRule="auto"/>
        <w:ind w:left="567" w:right="567"/>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No obstante, se hace de su conocimiento que, mediante decreto del Poder Ejecutivo del Estado de México de fecha 17 de abril de 2018, se crea la Comisión de Búsqueda de Personas del Estado de México (COBUPEM), órgano desconcentrado de la Secretaría de Justicia y Derechos Humanos, con el fin de ejecutar y dar seguimiento a las acciones para la búsqueda de personas desaparecidas y no localizadas de nuestra entidad en coordinación con las distintas autoridades de los tres órdenes de gobierno para garantizar la protección integral de los derechos de las personas desaparecidas o no localizadas hasta que se conozca su suerte o paradero; así mismo garantizar a sus familiares el acceso a la verdad y a la justicia, en cumplimiento con la Ley General en Materia de Desaparición Forzada de Personas, Desaparición Cometida por Particulares y del Sistema de Búsqueda de Personas, misma que se anexa a la respuesta. </w:t>
      </w:r>
    </w:p>
    <w:p w14:paraId="3237932C" w14:textId="77777777" w:rsidR="00A37F2C" w:rsidRPr="008A4A1F" w:rsidRDefault="009F482A">
      <w:pPr>
        <w:spacing w:before="240" w:after="240" w:line="360" w:lineRule="auto"/>
        <w:ind w:left="567" w:right="567"/>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Por lo que lo orienta para que ingrese de nueva cuenta su solicitud a la Secretaría de Justicia y Derechos Humanos del Gobierno del Estado de México.</w:t>
      </w:r>
    </w:p>
    <w:p w14:paraId="1915CC63" w14:textId="77777777" w:rsidR="00A37F2C" w:rsidRPr="008A4A1F" w:rsidRDefault="009F482A">
      <w:pPr>
        <w:spacing w:before="240" w:after="240" w:line="360" w:lineRule="auto"/>
        <w:ind w:left="567" w:right="567"/>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noProof/>
          <w:sz w:val="22"/>
          <w:szCs w:val="22"/>
          <w:lang w:val="es-MX"/>
        </w:rPr>
        <w:drawing>
          <wp:inline distT="0" distB="0" distL="0" distR="0" wp14:anchorId="0FA9ACBD" wp14:editId="7B548FEB">
            <wp:extent cx="5091851" cy="4536306"/>
            <wp:effectExtent l="9525" t="9525" r="9525" b="9525"/>
            <wp:docPr id="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32226" r="-3088"/>
                    <a:stretch>
                      <a:fillRect/>
                    </a:stretch>
                  </pic:blipFill>
                  <pic:spPr>
                    <a:xfrm>
                      <a:off x="0" y="0"/>
                      <a:ext cx="5091851" cy="4536306"/>
                    </a:xfrm>
                    <a:prstGeom prst="rect">
                      <a:avLst/>
                    </a:prstGeom>
                    <a:ln w="9525">
                      <a:solidFill>
                        <a:srgbClr val="000000"/>
                      </a:solidFill>
                      <a:prstDash val="solid"/>
                    </a:ln>
                  </pic:spPr>
                </pic:pic>
              </a:graphicData>
            </a:graphic>
          </wp:inline>
        </w:drawing>
      </w:r>
    </w:p>
    <w:p w14:paraId="744EBDCA" w14:textId="77777777" w:rsidR="00A37F2C" w:rsidRPr="008A4A1F" w:rsidRDefault="009F482A">
      <w:pPr>
        <w:spacing w:before="240" w:after="240" w:line="360" w:lineRule="auto"/>
        <w:ind w:left="567" w:right="567"/>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b/>
          <w:i/>
          <w:sz w:val="22"/>
          <w:szCs w:val="22"/>
        </w:rPr>
        <w:t xml:space="preserve">“LGMDFP.pdf”: </w:t>
      </w:r>
      <w:r w:rsidRPr="008A4A1F">
        <w:rPr>
          <w:rFonts w:ascii="Palatino Linotype" w:eastAsia="Palatino Linotype" w:hAnsi="Palatino Linotype" w:cs="Palatino Linotype"/>
          <w:sz w:val="22"/>
          <w:szCs w:val="22"/>
        </w:rPr>
        <w:t xml:space="preserve">Texto de la Ley General en Materia de Desaparición Forzada de Personas, Desaparición Cometida por Particulares y del Sistema Nacional de Búsqueda de Personas. </w:t>
      </w:r>
    </w:p>
    <w:p w14:paraId="0BD3E7B2" w14:textId="77777777" w:rsidR="00A37F2C" w:rsidRPr="008A4A1F" w:rsidRDefault="009F482A">
      <w:pPr>
        <w:spacing w:before="240" w:after="240" w:line="360" w:lineRule="auto"/>
        <w:ind w:left="567" w:right="567"/>
        <w:jc w:val="center"/>
        <w:rPr>
          <w:rFonts w:ascii="Palatino Linotype" w:eastAsia="Palatino Linotype" w:hAnsi="Palatino Linotype" w:cs="Palatino Linotype"/>
          <w:sz w:val="22"/>
          <w:szCs w:val="22"/>
        </w:rPr>
      </w:pPr>
      <w:r w:rsidRPr="008A4A1F">
        <w:rPr>
          <w:rFonts w:ascii="Palatino Linotype" w:eastAsia="Palatino Linotype" w:hAnsi="Palatino Linotype" w:cs="Palatino Linotype"/>
          <w:noProof/>
          <w:sz w:val="22"/>
          <w:szCs w:val="22"/>
          <w:lang w:val="es-MX"/>
        </w:rPr>
        <w:lastRenderedPageBreak/>
        <w:drawing>
          <wp:inline distT="0" distB="0" distL="0" distR="0" wp14:anchorId="76223296" wp14:editId="18FBAD64">
            <wp:extent cx="4197891" cy="4263326"/>
            <wp:effectExtent l="0" t="0" r="0" b="0"/>
            <wp:docPr id="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197891" cy="4263326"/>
                    </a:xfrm>
                    <a:prstGeom prst="rect">
                      <a:avLst/>
                    </a:prstGeom>
                    <a:ln/>
                  </pic:spPr>
                </pic:pic>
              </a:graphicData>
            </a:graphic>
          </wp:inline>
        </w:drawing>
      </w:r>
    </w:p>
    <w:p w14:paraId="5B6C4E23"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3. Interposición del Recurso de revisión.</w:t>
      </w:r>
      <w:r w:rsidRPr="008A4A1F">
        <w:rPr>
          <w:rFonts w:ascii="Palatino Linotype" w:eastAsia="Palatino Linotype" w:hAnsi="Palatino Linotype" w:cs="Palatino Linotype"/>
          <w:b/>
          <w:sz w:val="22"/>
          <w:szCs w:val="22"/>
        </w:rPr>
        <w:t xml:space="preserve"> </w:t>
      </w:r>
      <w:r w:rsidRPr="008A4A1F">
        <w:rPr>
          <w:rFonts w:ascii="Palatino Linotype" w:eastAsia="Palatino Linotype" w:hAnsi="Palatino Linotype" w:cs="Palatino Linotype"/>
        </w:rPr>
        <w:t xml:space="preserve">Inconforme con la respuesta recibida,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xml:space="preserve"> interpuso el </w:t>
      </w:r>
      <w:r w:rsidRPr="008A4A1F">
        <w:rPr>
          <w:rFonts w:ascii="Palatino Linotype" w:eastAsia="Palatino Linotype" w:hAnsi="Palatino Linotype" w:cs="Palatino Linotype"/>
          <w:b/>
        </w:rPr>
        <w:t>veintinueve de septiembre del año dos mil veintidós</w:t>
      </w:r>
      <w:r w:rsidRPr="008A4A1F">
        <w:rPr>
          <w:rFonts w:ascii="Palatino Linotype" w:eastAsia="Palatino Linotype" w:hAnsi="Palatino Linotype" w:cs="Palatino Linotype"/>
        </w:rPr>
        <w:t>, el presente medio de impugnación expresando las siguientes manifestaciones:</w:t>
      </w:r>
    </w:p>
    <w:p w14:paraId="64FE7093" w14:textId="77777777" w:rsidR="00A37F2C" w:rsidRPr="008A4A1F" w:rsidRDefault="009F482A">
      <w:pPr>
        <w:spacing w:before="240" w:after="240" w:line="360" w:lineRule="auto"/>
        <w:ind w:left="567" w:right="567"/>
        <w:rPr>
          <w:rFonts w:ascii="Palatino Linotype" w:eastAsia="Palatino Linotype" w:hAnsi="Palatino Linotype" w:cs="Palatino Linotype"/>
          <w:b/>
        </w:rPr>
      </w:pPr>
      <w:r w:rsidRPr="008A4A1F">
        <w:rPr>
          <w:rFonts w:ascii="Palatino Linotype" w:eastAsia="Palatino Linotype" w:hAnsi="Palatino Linotype" w:cs="Palatino Linotype"/>
          <w:b/>
        </w:rPr>
        <w:t>a) Acto impugnado.</w:t>
      </w:r>
    </w:p>
    <w:p w14:paraId="1031ABC5"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u w:val="single"/>
        </w:rPr>
        <w:t xml:space="preserve">Corresponde al poder legislativo el desarrollo del marco normativo local sobre el cual se pregunta en el documento anexo a la solicitud de información inicial. En ese tenor es de esperarse que cuente con los registros correspondientes a su propia producción normativa </w:t>
      </w:r>
      <w:r w:rsidRPr="008A4A1F">
        <w:rPr>
          <w:rFonts w:ascii="Palatino Linotype" w:eastAsia="Palatino Linotype" w:hAnsi="Palatino Linotype" w:cs="Palatino Linotype"/>
          <w:i/>
          <w:sz w:val="22"/>
          <w:szCs w:val="22"/>
        </w:rPr>
        <w:t xml:space="preserve">por lo que se esperaría que la entidad encargada de crear la normatividad estatal tuviera registro, conocimiento y soporte documental de esta información, que se solicitó de manera detallada en el </w:t>
      </w:r>
      <w:r w:rsidRPr="008A4A1F">
        <w:rPr>
          <w:rFonts w:ascii="Palatino Linotype" w:eastAsia="Palatino Linotype" w:hAnsi="Palatino Linotype" w:cs="Palatino Linotype"/>
          <w:i/>
          <w:sz w:val="22"/>
          <w:szCs w:val="22"/>
        </w:rPr>
        <w:lastRenderedPageBreak/>
        <w:t xml:space="preserve">documento anexo a la solicitud inicial, mismo que se adjunta para pronta referencia. Se observa que el no dar respuesta, principalmente tratándose de una materia que refiere a una violación grave a derechos humanos, como lo es la desaparición, va contra los principios de exhaustividad, máxima publicidad, y transparencia proactiva mediante una interpretación restrictiva de la solicitud contraria al interés público.” (Sic) </w:t>
      </w:r>
    </w:p>
    <w:p w14:paraId="5C975B6A" w14:textId="77777777" w:rsidR="00A37F2C" w:rsidRPr="008A4A1F" w:rsidRDefault="009F482A">
      <w:pPr>
        <w:spacing w:before="240" w:after="240" w:line="360" w:lineRule="auto"/>
        <w:ind w:left="567" w:right="567"/>
        <w:jc w:val="both"/>
        <w:rPr>
          <w:rFonts w:ascii="Palatino Linotype" w:eastAsia="Palatino Linotype" w:hAnsi="Palatino Linotype" w:cs="Palatino Linotype"/>
          <w:b/>
        </w:rPr>
      </w:pPr>
      <w:r w:rsidRPr="008A4A1F">
        <w:rPr>
          <w:rFonts w:ascii="Palatino Linotype" w:eastAsia="Palatino Linotype" w:hAnsi="Palatino Linotype" w:cs="Palatino Linotype"/>
          <w:b/>
        </w:rPr>
        <w:t>b) Razones o motivos de inconformidad.</w:t>
      </w:r>
    </w:p>
    <w:p w14:paraId="359AC9D9"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No se tiene constancia de que la parte Recurrente se manifestara en este apartado.</w:t>
      </w:r>
    </w:p>
    <w:p w14:paraId="0E3E6998" w14:textId="77777777" w:rsidR="00A37F2C" w:rsidRPr="008A4A1F" w:rsidRDefault="009F482A">
      <w:pPr>
        <w:spacing w:before="240" w:after="240" w:line="276" w:lineRule="auto"/>
        <w:ind w:left="567" w:right="851"/>
        <w:jc w:val="both"/>
        <w:rPr>
          <w:rFonts w:ascii="Palatino Linotype" w:eastAsia="Palatino Linotype" w:hAnsi="Palatino Linotype" w:cs="Palatino Linotype"/>
          <w:b/>
          <w:sz w:val="22"/>
          <w:szCs w:val="22"/>
        </w:rPr>
      </w:pPr>
      <w:r w:rsidRPr="008A4A1F">
        <w:rPr>
          <w:rFonts w:ascii="Palatino Linotype" w:eastAsia="Palatino Linotype" w:hAnsi="Palatino Linotype" w:cs="Palatino Linotype"/>
          <w:b/>
          <w:sz w:val="22"/>
          <w:szCs w:val="22"/>
        </w:rPr>
        <w:t>Archivo adjunto:</w:t>
      </w:r>
    </w:p>
    <w:p w14:paraId="0B65A4F1" w14:textId="77777777" w:rsidR="00A37F2C" w:rsidRPr="008A4A1F" w:rsidRDefault="009F482A">
      <w:pPr>
        <w:spacing w:before="240" w:after="240" w:line="360" w:lineRule="auto"/>
        <w:ind w:left="567" w:right="851"/>
        <w:jc w:val="both"/>
        <w:rPr>
          <w:rFonts w:ascii="Palatino Linotype" w:eastAsia="Palatino Linotype" w:hAnsi="Palatino Linotype" w:cs="Palatino Linotype"/>
        </w:rPr>
      </w:pPr>
      <w:r w:rsidRPr="008A4A1F">
        <w:rPr>
          <w:rFonts w:ascii="Palatino Linotype" w:eastAsia="Palatino Linotype" w:hAnsi="Palatino Linotype" w:cs="Palatino Linotype"/>
          <w:b/>
          <w:i/>
          <w:sz w:val="22"/>
          <w:szCs w:val="22"/>
        </w:rPr>
        <w:t xml:space="preserve">“Archivo1664485493499.docx”: </w:t>
      </w:r>
      <w:r w:rsidRPr="008A4A1F">
        <w:rPr>
          <w:rFonts w:ascii="Palatino Linotype" w:eastAsia="Palatino Linotype" w:hAnsi="Palatino Linotype" w:cs="Palatino Linotype"/>
        </w:rPr>
        <w:t>Consiste en el archivo electrónico remitido desde la solicitud inicial en el que obran los 30 planteamientos citados con antelación.</w:t>
      </w:r>
    </w:p>
    <w:p w14:paraId="55757848"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 xml:space="preserve">4. Turno. </w:t>
      </w:r>
      <w:r w:rsidRPr="008A4A1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8A4A1F">
        <w:rPr>
          <w:rFonts w:ascii="Palatino Linotype" w:eastAsia="Palatino Linotype" w:hAnsi="Palatino Linotype" w:cs="Palatino Linotype"/>
          <w:b/>
        </w:rPr>
        <w:t>Comisionada Guadalupe Ramírez Peña</w:t>
      </w:r>
      <w:r w:rsidRPr="008A4A1F">
        <w:rPr>
          <w:rFonts w:ascii="Palatino Linotype" w:eastAsia="Palatino Linotype" w:hAnsi="Palatino Linotype" w:cs="Palatino Linotype"/>
        </w:rPr>
        <w:t xml:space="preserve"> para su análisis, estudio, elaboración del proyecto y presentación ante el Pleno de este Instituto.</w:t>
      </w:r>
    </w:p>
    <w:p w14:paraId="16944DFB" w14:textId="77777777" w:rsidR="00A37F2C" w:rsidRPr="008A4A1F" w:rsidRDefault="009F482A">
      <w:pPr>
        <w:spacing w:before="240" w:after="240" w:line="360" w:lineRule="auto"/>
        <w:jc w:val="both"/>
      </w:pPr>
      <w:r w:rsidRPr="008A4A1F">
        <w:rPr>
          <w:rFonts w:ascii="Palatino Linotype" w:eastAsia="Palatino Linotype" w:hAnsi="Palatino Linotype" w:cs="Palatino Linotype"/>
          <w:b/>
        </w:rPr>
        <w:t xml:space="preserve">5. Admisión. </w:t>
      </w:r>
      <w:r w:rsidRPr="008A4A1F">
        <w:rPr>
          <w:rFonts w:ascii="Palatino Linotype" w:eastAsia="Palatino Linotype" w:hAnsi="Palatino Linotype" w:cs="Palatino Linotype"/>
        </w:rPr>
        <w:t xml:space="preserve">Mediante auto de fecha </w:t>
      </w:r>
      <w:r w:rsidRPr="008A4A1F">
        <w:rPr>
          <w:rFonts w:ascii="Palatino Linotype" w:eastAsia="Palatino Linotype" w:hAnsi="Palatino Linotype" w:cs="Palatino Linotype"/>
          <w:b/>
        </w:rPr>
        <w:t>cuatro de octubre del dos mil veintidós</w:t>
      </w:r>
      <w:r w:rsidRPr="008A4A1F">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w:t>
      </w:r>
      <w:r w:rsidRPr="008A4A1F">
        <w:rPr>
          <w:rFonts w:ascii="Palatino Linotype" w:eastAsia="Palatino Linotype" w:hAnsi="Palatino Linotype" w:cs="Palatino Linotype"/>
        </w:rPr>
        <w:lastRenderedPageBreak/>
        <w:t xml:space="preserve">IV de la Ley de Transparencia y Acceso a la Información Pública del Estado de México y Municipios. </w:t>
      </w:r>
    </w:p>
    <w:p w14:paraId="52805845" w14:textId="77777777" w:rsidR="00A37F2C" w:rsidRPr="008A4A1F" w:rsidRDefault="009F482A">
      <w:pPr>
        <w:widowControl w:val="0"/>
        <w:tabs>
          <w:tab w:val="left" w:pos="709"/>
        </w:tabs>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6. Manifestaciones.</w:t>
      </w:r>
      <w:r w:rsidRPr="008A4A1F">
        <w:rPr>
          <w:rFonts w:ascii="Palatino Linotype" w:eastAsia="Palatino Linotype" w:hAnsi="Palatino Linotype" w:cs="Palatino Linotype"/>
          <w:b/>
          <w:sz w:val="28"/>
          <w:szCs w:val="28"/>
        </w:rPr>
        <w:t xml:space="preserve"> </w:t>
      </w:r>
      <w:r w:rsidRPr="008A4A1F">
        <w:rPr>
          <w:rFonts w:ascii="Palatino Linotype" w:eastAsia="Palatino Linotype" w:hAnsi="Palatino Linotype" w:cs="Palatino Linotype"/>
        </w:rPr>
        <w:t xml:space="preserve">De las constancias que integran el expediente en que se actúan se advierte que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rindió su informe justificado, el </w:t>
      </w:r>
      <w:r w:rsidRPr="008A4A1F">
        <w:rPr>
          <w:rFonts w:ascii="Palatino Linotype" w:eastAsia="Palatino Linotype" w:hAnsi="Palatino Linotype" w:cs="Palatino Linotype"/>
          <w:b/>
        </w:rPr>
        <w:t>trece</w:t>
      </w:r>
      <w:r w:rsidRPr="008A4A1F">
        <w:rPr>
          <w:rFonts w:ascii="Palatino Linotype" w:eastAsia="Palatino Linotype" w:hAnsi="Palatino Linotype" w:cs="Palatino Linotype"/>
        </w:rPr>
        <w:t xml:space="preserve"> </w:t>
      </w:r>
      <w:r w:rsidRPr="008A4A1F">
        <w:rPr>
          <w:rFonts w:ascii="Palatino Linotype" w:eastAsia="Palatino Linotype" w:hAnsi="Palatino Linotype" w:cs="Palatino Linotype"/>
          <w:b/>
        </w:rPr>
        <w:t>de octubre de dos mil veintidós</w:t>
      </w:r>
      <w:r w:rsidRPr="008A4A1F">
        <w:rPr>
          <w:rFonts w:ascii="Palatino Linotype" w:eastAsia="Palatino Linotype" w:hAnsi="Palatino Linotype" w:cs="Palatino Linotype"/>
        </w:rPr>
        <w:t xml:space="preserve">, mediante los siguientes archivos electrónicos: </w:t>
      </w:r>
    </w:p>
    <w:p w14:paraId="20C730DA" w14:textId="77777777" w:rsidR="00A37F2C" w:rsidRPr="008A4A1F" w:rsidRDefault="009F482A">
      <w:pPr>
        <w:widowControl w:val="0"/>
        <w:tabs>
          <w:tab w:val="left" w:pos="709"/>
        </w:tabs>
        <w:spacing w:before="240" w:after="240" w:line="360" w:lineRule="auto"/>
        <w:ind w:left="567" w:right="851"/>
        <w:jc w:val="both"/>
        <w:rPr>
          <w:rFonts w:ascii="Palatino Linotype" w:eastAsia="Palatino Linotype" w:hAnsi="Palatino Linotype" w:cs="Palatino Linotype"/>
        </w:rPr>
      </w:pPr>
      <w:r w:rsidRPr="008A4A1F">
        <w:rPr>
          <w:rFonts w:ascii="Palatino Linotype" w:eastAsia="Palatino Linotype" w:hAnsi="Palatino Linotype" w:cs="Palatino Linotype"/>
          <w:b/>
          <w:i/>
        </w:rPr>
        <w:t>“Informe justificado RR. 15204-2022 (sol. 572-2022).pdf</w:t>
      </w:r>
      <w:r w:rsidRPr="008A4A1F">
        <w:rPr>
          <w:rFonts w:ascii="Palatino Linotype" w:eastAsia="Palatino Linotype" w:hAnsi="Palatino Linotype" w:cs="Palatino Linotype"/>
          <w:b/>
          <w:i/>
        </w:rPr>
        <w:tab/>
        <w:t xml:space="preserve">“: </w:t>
      </w:r>
      <w:r w:rsidRPr="008A4A1F">
        <w:rPr>
          <w:rFonts w:ascii="Palatino Linotype" w:eastAsia="Palatino Linotype" w:hAnsi="Palatino Linotype" w:cs="Palatino Linotype"/>
        </w:rPr>
        <w:t xml:space="preserve">Documento de ocho fojas mediante las cuales ratifica los términos de la respuesta inicial, sin embargo, también realiza la siguiente precisión: </w:t>
      </w:r>
    </w:p>
    <w:p w14:paraId="14A9D03F" w14:textId="77777777" w:rsidR="00A37F2C" w:rsidRPr="008A4A1F" w:rsidRDefault="009F482A">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“Ahora bien, el recurrente argumenta que corresponde al poder legislativo el desarrollo del marco normativo local, lo cual resulta falso o impreciso, ya que, de conformidad con el artículo 61, fracción I de la Constitución Política del Estado Libre y Soberano de México, son facultades y obligaciones de la legislatura, expedir leyes, decretos o acuerdos para el régimen interior del Estado, en todos los ramos de la administración del gobierno.</w:t>
      </w:r>
    </w:p>
    <w:p w14:paraId="51A6CB71" w14:textId="77777777" w:rsidR="00A37F2C" w:rsidRPr="008A4A1F" w:rsidRDefault="009F482A">
      <w:pPr>
        <w:widowControl w:val="0"/>
        <w:tabs>
          <w:tab w:val="left" w:pos="709"/>
        </w:tabs>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No obstante, lo anterior no significa que la Legislatura del Estado de México desarrolle el marco normativo local, pues este además de estar conformado por las Leyes que emite la Legislatura, también se integra de:</w:t>
      </w:r>
    </w:p>
    <w:p w14:paraId="06D77DA1"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Constitución Política de los Estados Unidos Mexicanos</w:t>
      </w:r>
    </w:p>
    <w:p w14:paraId="13FB3938"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Tratados Internacionales</w:t>
      </w:r>
    </w:p>
    <w:p w14:paraId="27CEE7DF"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Estatutos</w:t>
      </w:r>
    </w:p>
    <w:p w14:paraId="47A21746"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Leyes Generales</w:t>
      </w:r>
    </w:p>
    <w:p w14:paraId="3063BA4A"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Leyes Estatales</w:t>
      </w:r>
    </w:p>
    <w:p w14:paraId="7CEE64E6"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firstLine="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Leyes Federales</w:t>
      </w:r>
    </w:p>
    <w:p w14:paraId="60A1B859"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Reglamentos</w:t>
      </w:r>
    </w:p>
    <w:p w14:paraId="372A24A5"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Decretos</w:t>
      </w:r>
    </w:p>
    <w:p w14:paraId="66CCA083"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Manuales</w:t>
      </w:r>
    </w:p>
    <w:p w14:paraId="5336A1DF"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Reglas de operación</w:t>
      </w:r>
    </w:p>
    <w:p w14:paraId="71ECD182"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Criterios</w:t>
      </w:r>
    </w:p>
    <w:p w14:paraId="252E5ED7"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Políticas</w:t>
      </w:r>
    </w:p>
    <w:p w14:paraId="7EF92642"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Condiciones</w:t>
      </w:r>
    </w:p>
    <w:p w14:paraId="373DAF1C"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Bandos</w:t>
      </w:r>
    </w:p>
    <w:p w14:paraId="547385D6"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Lineamientos</w:t>
      </w:r>
    </w:p>
    <w:p w14:paraId="6EE23336"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Circulares</w:t>
      </w:r>
    </w:p>
    <w:p w14:paraId="76D3A1F7"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Acuerdos</w:t>
      </w:r>
    </w:p>
    <w:p w14:paraId="2FF96A9B" w14:textId="77777777" w:rsidR="00A37F2C" w:rsidRPr="008A4A1F" w:rsidRDefault="009F482A">
      <w:pPr>
        <w:widowControl w:val="0"/>
        <w:numPr>
          <w:ilvl w:val="0"/>
          <w:numId w:val="2"/>
        </w:numPr>
        <w:pBdr>
          <w:top w:val="nil"/>
          <w:left w:val="nil"/>
          <w:bottom w:val="nil"/>
          <w:right w:val="nil"/>
          <w:between w:val="nil"/>
        </w:pBdr>
        <w:tabs>
          <w:tab w:val="left" w:pos="709"/>
        </w:tabs>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Etcétera</w:t>
      </w:r>
    </w:p>
    <w:p w14:paraId="0E7B891D" w14:textId="77777777" w:rsidR="00A37F2C" w:rsidRPr="008A4A1F" w:rsidRDefault="009F482A">
      <w:pPr>
        <w:widowControl w:val="0"/>
        <w:tabs>
          <w:tab w:val="left" w:pos="709"/>
        </w:tabs>
        <w:spacing w:before="240" w:after="240"/>
        <w:ind w:left="426"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Dichos cuerpos normativos no son expedición exclusiva de la Legislatura, sino que son instrumentos en su mayoría de carácter administrativo, creados por los sujetos obligados para facilitar y orientar sus funciones, motivo por el cual resulta impreciso afirmar que corresponde al poder legislativo el desarrollo del marco normativo local.”</w:t>
      </w:r>
    </w:p>
    <w:p w14:paraId="3447D7FB" w14:textId="77777777" w:rsidR="00A37F2C" w:rsidRPr="008A4A1F" w:rsidRDefault="009F482A">
      <w:pPr>
        <w:widowControl w:val="0"/>
        <w:tabs>
          <w:tab w:val="left" w:pos="709"/>
        </w:tabs>
        <w:spacing w:before="240" w:after="240" w:line="360" w:lineRule="auto"/>
        <w:ind w:left="426" w:right="851"/>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Asimismo, hizo del conocimiento de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la liga electrónica en la que podrá consultar el marco normativo de la Comisión de Búsqueda de Personas del Estado de México (COBUPEM).</w:t>
      </w:r>
    </w:p>
    <w:p w14:paraId="433585BC" w14:textId="77777777" w:rsidR="00A37F2C" w:rsidRPr="008A4A1F" w:rsidRDefault="009F482A">
      <w:pPr>
        <w:widowControl w:val="0"/>
        <w:tabs>
          <w:tab w:val="left" w:pos="709"/>
        </w:tabs>
        <w:spacing w:before="240" w:after="240"/>
        <w:ind w:left="426" w:right="851"/>
        <w:jc w:val="center"/>
        <w:rPr>
          <w:rFonts w:ascii="Palatino Linotype" w:eastAsia="Palatino Linotype" w:hAnsi="Palatino Linotype" w:cs="Palatino Linotype"/>
          <w:b/>
        </w:rPr>
      </w:pPr>
      <w:r w:rsidRPr="008A4A1F">
        <w:rPr>
          <w:rFonts w:ascii="Palatino Linotype" w:eastAsia="Palatino Linotype" w:hAnsi="Palatino Linotype" w:cs="Palatino Linotype"/>
          <w:b/>
          <w:noProof/>
          <w:lang w:val="es-MX"/>
        </w:rPr>
        <w:lastRenderedPageBreak/>
        <w:drawing>
          <wp:inline distT="0" distB="0" distL="0" distR="0" wp14:anchorId="0A37836A" wp14:editId="0EB921D3">
            <wp:extent cx="3992749" cy="4516545"/>
            <wp:effectExtent l="0" t="0" r="0" b="0"/>
            <wp:docPr id="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3992749" cy="4516545"/>
                    </a:xfrm>
                    <a:prstGeom prst="rect">
                      <a:avLst/>
                    </a:prstGeom>
                    <a:ln/>
                  </pic:spPr>
                </pic:pic>
              </a:graphicData>
            </a:graphic>
          </wp:inline>
        </w:drawing>
      </w:r>
    </w:p>
    <w:p w14:paraId="7758570F" w14:textId="77777777" w:rsidR="00A37F2C" w:rsidRPr="008A4A1F" w:rsidRDefault="009F482A">
      <w:pPr>
        <w:widowControl w:val="0"/>
        <w:tabs>
          <w:tab w:val="left" w:pos="709"/>
        </w:tabs>
        <w:spacing w:before="240" w:after="240" w:line="360" w:lineRule="auto"/>
        <w:ind w:left="567" w:right="851"/>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b/>
          <w:i/>
        </w:rPr>
        <w:t>“leyvig245.pdf”:</w:t>
      </w:r>
      <w:r w:rsidRPr="008A4A1F">
        <w:rPr>
          <w:rFonts w:ascii="Palatino Linotype" w:eastAsia="Palatino Linotype" w:hAnsi="Palatino Linotype" w:cs="Palatino Linotype"/>
        </w:rPr>
        <w:t xml:space="preserve"> Ley para la Declaración Especial de Ausencia por Desaparición de Personas del Estado de México</w:t>
      </w:r>
      <w:r w:rsidRPr="008A4A1F">
        <w:rPr>
          <w:rFonts w:ascii="Palatino Linotype" w:eastAsia="Palatino Linotype" w:hAnsi="Palatino Linotype" w:cs="Palatino Linotype"/>
        </w:rPr>
        <w:tab/>
      </w:r>
    </w:p>
    <w:p w14:paraId="1310CB85" w14:textId="77777777" w:rsidR="00A37F2C" w:rsidRPr="008A4A1F" w:rsidRDefault="009F482A">
      <w:pPr>
        <w:widowControl w:val="0"/>
        <w:tabs>
          <w:tab w:val="left" w:pos="709"/>
        </w:tabs>
        <w:spacing w:before="240" w:after="240" w:line="360" w:lineRule="auto"/>
        <w:ind w:left="567" w:right="851"/>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b/>
          <w:i/>
        </w:rPr>
        <w:t>“leyvig260.pdf”:</w:t>
      </w:r>
      <w:r w:rsidRPr="008A4A1F">
        <w:rPr>
          <w:rFonts w:ascii="Palatino Linotype" w:eastAsia="Palatino Linotype" w:hAnsi="Palatino Linotype" w:cs="Palatino Linotype"/>
          <w:sz w:val="22"/>
          <w:szCs w:val="22"/>
        </w:rPr>
        <w:t xml:space="preserve"> </w:t>
      </w:r>
      <w:r w:rsidRPr="008A4A1F">
        <w:rPr>
          <w:rFonts w:ascii="Palatino Linotype" w:eastAsia="Palatino Linotype" w:hAnsi="Palatino Linotype" w:cs="Palatino Linotype"/>
        </w:rPr>
        <w:t>Ley en materia de Desaparición Forzada de Personas y Desaparición Cometida por Particulares para el Estado Libre y Soberano de México</w:t>
      </w:r>
    </w:p>
    <w:p w14:paraId="065C648B" w14:textId="77777777" w:rsidR="00A37F2C" w:rsidRPr="008A4A1F" w:rsidRDefault="009F482A">
      <w:pPr>
        <w:widowControl w:val="0"/>
        <w:tabs>
          <w:tab w:val="left" w:pos="709"/>
        </w:tabs>
        <w:spacing w:before="240" w:after="240" w:line="360" w:lineRule="auto"/>
        <w:ind w:left="567" w:right="851"/>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b/>
          <w:i/>
        </w:rPr>
        <w:t>“leyvig223.pdf”</w:t>
      </w:r>
      <w:r w:rsidRPr="008A4A1F">
        <w:rPr>
          <w:rFonts w:ascii="Palatino Linotype" w:eastAsia="Palatino Linotype" w:hAnsi="Palatino Linotype" w:cs="Palatino Linotype"/>
        </w:rPr>
        <w:t>:</w:t>
      </w:r>
      <w:r w:rsidRPr="008A4A1F">
        <w:rPr>
          <w:rFonts w:ascii="Palatino Linotype" w:eastAsia="Palatino Linotype" w:hAnsi="Palatino Linotype" w:cs="Palatino Linotype"/>
          <w:sz w:val="22"/>
          <w:szCs w:val="22"/>
        </w:rPr>
        <w:t xml:space="preserve"> </w:t>
      </w:r>
      <w:r w:rsidRPr="008A4A1F">
        <w:rPr>
          <w:rFonts w:ascii="Palatino Linotype" w:eastAsia="Palatino Linotype" w:hAnsi="Palatino Linotype" w:cs="Palatino Linotype"/>
        </w:rPr>
        <w:t>Ley de Víctimas del Estado de México</w:t>
      </w:r>
    </w:p>
    <w:p w14:paraId="2189D6F4" w14:textId="77777777" w:rsidR="00A37F2C" w:rsidRPr="008A4A1F" w:rsidRDefault="009F482A">
      <w:pPr>
        <w:widowControl w:val="0"/>
        <w:tabs>
          <w:tab w:val="left" w:pos="709"/>
        </w:tabs>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Es de precisar </w:t>
      </w:r>
      <w:proofErr w:type="gramStart"/>
      <w:r w:rsidRPr="008A4A1F">
        <w:rPr>
          <w:rFonts w:ascii="Palatino Linotype" w:eastAsia="Palatino Linotype" w:hAnsi="Palatino Linotype" w:cs="Palatino Linotype"/>
        </w:rPr>
        <w:t>que</w:t>
      </w:r>
      <w:proofErr w:type="gramEnd"/>
      <w:r w:rsidRPr="008A4A1F">
        <w:rPr>
          <w:rFonts w:ascii="Palatino Linotype" w:eastAsia="Palatino Linotype" w:hAnsi="Palatino Linotype" w:cs="Palatino Linotype"/>
        </w:rPr>
        <w:t xml:space="preserve"> una vez analizados los soportes documentales remitidos por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se determinó ponerlos a la vista del particular mediante acuerdo </w:t>
      </w:r>
      <w:r w:rsidRPr="008A4A1F">
        <w:rPr>
          <w:rFonts w:ascii="Palatino Linotype" w:eastAsia="Palatino Linotype" w:hAnsi="Palatino Linotype" w:cs="Palatino Linotype"/>
        </w:rPr>
        <w:lastRenderedPageBreak/>
        <w:t xml:space="preserve">emitido por la Comisionada Ponente, el </w:t>
      </w:r>
      <w:r w:rsidRPr="008A4A1F">
        <w:rPr>
          <w:rFonts w:ascii="Palatino Linotype" w:eastAsia="Palatino Linotype" w:hAnsi="Palatino Linotype" w:cs="Palatino Linotype"/>
          <w:b/>
        </w:rPr>
        <w:t>ocho de agosto de dos mil veintitrés</w:t>
      </w:r>
      <w:r w:rsidRPr="008A4A1F">
        <w:rPr>
          <w:rFonts w:ascii="Palatino Linotype" w:eastAsia="Palatino Linotype" w:hAnsi="Palatino Linotype" w:cs="Palatino Linotype"/>
        </w:rPr>
        <w:t>, asimismo, por cuanto hace a</w:t>
      </w:r>
      <w:r w:rsidRPr="008A4A1F">
        <w:rPr>
          <w:rFonts w:ascii="Palatino Linotype" w:eastAsia="Palatino Linotype" w:hAnsi="Palatino Linotype" w:cs="Palatino Linotype"/>
          <w:b/>
        </w:rPr>
        <w:t xml:space="preserve"> la parte Recurrente</w:t>
      </w:r>
      <w:r w:rsidRPr="008A4A1F">
        <w:rPr>
          <w:rFonts w:ascii="Palatino Linotype" w:eastAsia="Palatino Linotype" w:hAnsi="Palatino Linotype" w:cs="Palatino Linotype"/>
        </w:rPr>
        <w:t xml:space="preserve"> se tiene que fue omisa en emitir pronunciamiento alguno que a su derecho convenga, por lo tanto, se tiene por precluido su derecho para tal efecto. </w:t>
      </w:r>
    </w:p>
    <w:p w14:paraId="400819CB" w14:textId="77777777" w:rsidR="00A37F2C" w:rsidRPr="008A4A1F" w:rsidRDefault="009F482A">
      <w:pPr>
        <w:widowControl w:val="0"/>
        <w:tabs>
          <w:tab w:val="left" w:pos="709"/>
        </w:tabs>
        <w:spacing w:before="240" w:after="240" w:line="360" w:lineRule="auto"/>
        <w:rPr>
          <w:rFonts w:ascii="Palatino Linotype" w:eastAsia="Palatino Linotype" w:hAnsi="Palatino Linotype" w:cs="Palatino Linotype"/>
        </w:rPr>
      </w:pPr>
      <w:r w:rsidRPr="008A4A1F">
        <w:rPr>
          <w:rFonts w:ascii="Palatino Linotype" w:eastAsia="Palatino Linotype" w:hAnsi="Palatino Linotype" w:cs="Palatino Linotype"/>
          <w:noProof/>
          <w:lang w:val="es-MX"/>
        </w:rPr>
        <w:drawing>
          <wp:inline distT="0" distB="0" distL="0" distR="0" wp14:anchorId="6F53447C" wp14:editId="68774906">
            <wp:extent cx="5581015" cy="2765425"/>
            <wp:effectExtent l="0" t="0" r="0" b="0"/>
            <wp:docPr id="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581015" cy="2765425"/>
                    </a:xfrm>
                    <a:prstGeom prst="rect">
                      <a:avLst/>
                    </a:prstGeom>
                    <a:ln/>
                  </pic:spPr>
                </pic:pic>
              </a:graphicData>
            </a:graphic>
          </wp:inline>
        </w:drawing>
      </w:r>
    </w:p>
    <w:p w14:paraId="11D261B5" w14:textId="77777777" w:rsidR="00A37F2C" w:rsidRPr="008A4A1F" w:rsidRDefault="009F482A">
      <w:pPr>
        <w:widowControl w:val="0"/>
        <w:spacing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7.- Ampliación del plazo para emitir resolución.</w:t>
      </w:r>
      <w:r w:rsidRPr="008A4A1F">
        <w:rPr>
          <w:rFonts w:ascii="Palatino Linotype" w:eastAsia="Palatino Linotype" w:hAnsi="Palatino Linotype" w:cs="Palatino Linotype"/>
        </w:rPr>
        <w:t xml:space="preserve"> El </w:t>
      </w:r>
      <w:r w:rsidRPr="008A4A1F">
        <w:rPr>
          <w:rFonts w:ascii="Palatino Linotype" w:eastAsia="Palatino Linotype" w:hAnsi="Palatino Linotype" w:cs="Palatino Linotype"/>
          <w:b/>
        </w:rPr>
        <w:t>ocho de agosto del año dos mil veintitrés</w:t>
      </w:r>
      <w:r w:rsidRPr="008A4A1F">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EFB11E1"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dentro del mismo periodo, se incrementó aproximadamente un 300%, circunstancia atípica que ha rebasado las </w:t>
      </w:r>
      <w:r w:rsidRPr="008A4A1F">
        <w:rPr>
          <w:rFonts w:ascii="Palatino Linotype" w:eastAsia="Palatino Linotype" w:hAnsi="Palatino Linotype" w:cs="Palatino Linotype"/>
        </w:rPr>
        <w:lastRenderedPageBreak/>
        <w:t>capacidades técnicas y humanas del personal encargado de la proyección de las resoluciones a dichos medios de impugnación.</w:t>
      </w:r>
    </w:p>
    <w:p w14:paraId="10E9B643" w14:textId="77777777" w:rsidR="00A37F2C" w:rsidRPr="008A4A1F" w:rsidRDefault="00A37F2C">
      <w:pPr>
        <w:spacing w:line="360" w:lineRule="auto"/>
        <w:jc w:val="both"/>
        <w:rPr>
          <w:rFonts w:ascii="Palatino Linotype" w:eastAsia="Palatino Linotype" w:hAnsi="Palatino Linotype" w:cs="Palatino Linotype"/>
        </w:rPr>
      </w:pPr>
    </w:p>
    <w:p w14:paraId="7101F3CA"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2F28936" w14:textId="77777777" w:rsidR="00A37F2C" w:rsidRPr="008A4A1F" w:rsidRDefault="00A37F2C">
      <w:pPr>
        <w:spacing w:line="360" w:lineRule="auto"/>
        <w:jc w:val="both"/>
        <w:rPr>
          <w:rFonts w:ascii="Palatino Linotype" w:eastAsia="Palatino Linotype" w:hAnsi="Palatino Linotype" w:cs="Palatino Linotype"/>
        </w:rPr>
      </w:pPr>
    </w:p>
    <w:p w14:paraId="5D86CE22"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79ECF63" w14:textId="77777777" w:rsidR="00A37F2C" w:rsidRPr="008A4A1F" w:rsidRDefault="00A37F2C">
      <w:pPr>
        <w:spacing w:line="360" w:lineRule="auto"/>
        <w:jc w:val="both"/>
        <w:rPr>
          <w:rFonts w:ascii="Palatino Linotype" w:eastAsia="Palatino Linotype" w:hAnsi="Palatino Linotype" w:cs="Palatino Linotype"/>
        </w:rPr>
      </w:pPr>
    </w:p>
    <w:p w14:paraId="4286C50F"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429DDA" w14:textId="77777777" w:rsidR="00A37F2C" w:rsidRPr="008A4A1F" w:rsidRDefault="00A37F2C">
      <w:pPr>
        <w:spacing w:line="360" w:lineRule="auto"/>
        <w:jc w:val="both"/>
        <w:rPr>
          <w:rFonts w:ascii="Palatino Linotype" w:eastAsia="Palatino Linotype" w:hAnsi="Palatino Linotype" w:cs="Palatino Linotype"/>
        </w:rPr>
      </w:pPr>
    </w:p>
    <w:p w14:paraId="61AE8005" w14:textId="77777777" w:rsidR="00A37F2C" w:rsidRPr="008A4A1F" w:rsidRDefault="009F482A">
      <w:pPr>
        <w:spacing w:line="360" w:lineRule="auto"/>
        <w:jc w:val="both"/>
        <w:rPr>
          <w:rFonts w:ascii="Palatino Linotype" w:eastAsia="Palatino Linotype" w:hAnsi="Palatino Linotype" w:cs="Palatino Linotype"/>
          <w:strike/>
        </w:rPr>
      </w:pPr>
      <w:r w:rsidRPr="008A4A1F">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7E72391F" w14:textId="77777777" w:rsidR="00A37F2C" w:rsidRPr="008A4A1F" w:rsidRDefault="00A37F2C">
      <w:pPr>
        <w:spacing w:line="360" w:lineRule="auto"/>
        <w:jc w:val="both"/>
        <w:rPr>
          <w:rFonts w:ascii="Palatino Linotype" w:eastAsia="Palatino Linotype" w:hAnsi="Palatino Linotype" w:cs="Palatino Linotype"/>
        </w:rPr>
      </w:pPr>
    </w:p>
    <w:p w14:paraId="7F065D62" w14:textId="77777777" w:rsidR="00A37F2C" w:rsidRPr="008A4A1F" w:rsidRDefault="009F482A">
      <w:pPr>
        <w:numPr>
          <w:ilvl w:val="0"/>
          <w:numId w:val="4"/>
        </w:numPr>
        <w:spacing w:line="360" w:lineRule="auto"/>
        <w:ind w:left="567" w:right="900" w:hanging="141"/>
        <w:jc w:val="both"/>
        <w:rPr>
          <w:rFonts w:ascii="Palatino Linotype" w:eastAsia="Palatino Linotype" w:hAnsi="Palatino Linotype" w:cs="Palatino Linotype"/>
        </w:rPr>
      </w:pPr>
      <w:r w:rsidRPr="008A4A1F">
        <w:rPr>
          <w:rFonts w:ascii="Palatino Linotype" w:eastAsia="Palatino Linotype" w:hAnsi="Palatino Linotype" w:cs="Palatino Linotype"/>
          <w:b/>
        </w:rPr>
        <w:lastRenderedPageBreak/>
        <w:t>Complejidad del Asunto:</w:t>
      </w:r>
      <w:r w:rsidRPr="008A4A1F">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32397402" w14:textId="77777777" w:rsidR="00A37F2C" w:rsidRPr="008A4A1F" w:rsidRDefault="00A37F2C">
      <w:pPr>
        <w:spacing w:line="360" w:lineRule="auto"/>
        <w:ind w:left="567" w:right="900" w:hanging="141"/>
        <w:jc w:val="both"/>
        <w:rPr>
          <w:rFonts w:ascii="Palatino Linotype" w:eastAsia="Palatino Linotype" w:hAnsi="Palatino Linotype" w:cs="Palatino Linotype"/>
          <w:b/>
        </w:rPr>
      </w:pPr>
    </w:p>
    <w:p w14:paraId="612450DC" w14:textId="77777777" w:rsidR="00A37F2C" w:rsidRPr="008A4A1F" w:rsidRDefault="009F482A">
      <w:pPr>
        <w:numPr>
          <w:ilvl w:val="0"/>
          <w:numId w:val="4"/>
        </w:numPr>
        <w:spacing w:line="360" w:lineRule="auto"/>
        <w:ind w:left="567" w:right="900" w:hanging="141"/>
        <w:jc w:val="both"/>
        <w:rPr>
          <w:rFonts w:ascii="Palatino Linotype" w:eastAsia="Palatino Linotype" w:hAnsi="Palatino Linotype" w:cs="Palatino Linotype"/>
        </w:rPr>
      </w:pPr>
      <w:r w:rsidRPr="008A4A1F">
        <w:rPr>
          <w:rFonts w:ascii="Palatino Linotype" w:eastAsia="Palatino Linotype" w:hAnsi="Palatino Linotype" w:cs="Palatino Linotype"/>
          <w:b/>
        </w:rPr>
        <w:t>Actividad Procesal del interesado.</w:t>
      </w:r>
      <w:r w:rsidRPr="008A4A1F">
        <w:rPr>
          <w:rFonts w:ascii="Palatino Linotype" w:eastAsia="Palatino Linotype" w:hAnsi="Palatino Linotype" w:cs="Palatino Linotype"/>
        </w:rPr>
        <w:t xml:space="preserve"> Acciones u omisiones del interesado.</w:t>
      </w:r>
    </w:p>
    <w:p w14:paraId="493EE37C" w14:textId="77777777" w:rsidR="00A37F2C" w:rsidRPr="008A4A1F" w:rsidRDefault="00A37F2C">
      <w:pPr>
        <w:spacing w:line="360" w:lineRule="auto"/>
        <w:ind w:left="567" w:right="900" w:hanging="141"/>
        <w:jc w:val="both"/>
        <w:rPr>
          <w:rFonts w:ascii="Palatino Linotype" w:eastAsia="Palatino Linotype" w:hAnsi="Palatino Linotype" w:cs="Palatino Linotype"/>
        </w:rPr>
      </w:pPr>
    </w:p>
    <w:p w14:paraId="0CA9E48A" w14:textId="77777777" w:rsidR="00A37F2C" w:rsidRPr="008A4A1F" w:rsidRDefault="009F482A">
      <w:pPr>
        <w:numPr>
          <w:ilvl w:val="0"/>
          <w:numId w:val="4"/>
        </w:numPr>
        <w:spacing w:line="360" w:lineRule="auto"/>
        <w:ind w:left="567" w:right="900" w:hanging="141"/>
        <w:jc w:val="both"/>
        <w:rPr>
          <w:rFonts w:ascii="Palatino Linotype" w:eastAsia="Palatino Linotype" w:hAnsi="Palatino Linotype" w:cs="Palatino Linotype"/>
        </w:rPr>
      </w:pPr>
      <w:r w:rsidRPr="008A4A1F">
        <w:rPr>
          <w:rFonts w:ascii="Palatino Linotype" w:eastAsia="Palatino Linotype" w:hAnsi="Palatino Linotype" w:cs="Palatino Linotype"/>
          <w:b/>
        </w:rPr>
        <w:t>Conducta de la Autoridad:</w:t>
      </w:r>
      <w:r w:rsidRPr="008A4A1F">
        <w:rPr>
          <w:rFonts w:ascii="Palatino Linotype" w:eastAsia="Palatino Linotype" w:hAnsi="Palatino Linotype" w:cs="Palatino Linotype"/>
        </w:rPr>
        <w:t xml:space="preserve"> Las Acciones u omisiones realizadas en el procedimiento. Así como si la autoridad actuó con la debida diligencia.</w:t>
      </w:r>
    </w:p>
    <w:p w14:paraId="6CB14976" w14:textId="77777777" w:rsidR="00A37F2C" w:rsidRPr="008A4A1F" w:rsidRDefault="00A37F2C">
      <w:pPr>
        <w:spacing w:line="360" w:lineRule="auto"/>
        <w:ind w:left="567" w:right="900" w:hanging="141"/>
        <w:rPr>
          <w:rFonts w:ascii="Palatino Linotype" w:eastAsia="Palatino Linotype" w:hAnsi="Palatino Linotype" w:cs="Palatino Linotype"/>
        </w:rPr>
      </w:pPr>
    </w:p>
    <w:p w14:paraId="685C3112" w14:textId="77777777" w:rsidR="00A37F2C" w:rsidRPr="008A4A1F" w:rsidRDefault="009F482A">
      <w:pPr>
        <w:spacing w:line="360" w:lineRule="auto"/>
        <w:ind w:left="567" w:right="900" w:hanging="141"/>
        <w:jc w:val="both"/>
        <w:rPr>
          <w:rFonts w:ascii="Palatino Linotype" w:eastAsia="Palatino Linotype" w:hAnsi="Palatino Linotype" w:cs="Palatino Linotype"/>
        </w:rPr>
      </w:pPr>
      <w:r w:rsidRPr="008A4A1F">
        <w:rPr>
          <w:rFonts w:ascii="Palatino Linotype" w:eastAsia="Palatino Linotype" w:hAnsi="Palatino Linotype" w:cs="Palatino Linotype"/>
          <w:b/>
        </w:rPr>
        <w:t>d) La afectación generada en la situación jurídica de la persona involucrada en el proceso</w:t>
      </w:r>
      <w:r w:rsidRPr="008A4A1F">
        <w:rPr>
          <w:rFonts w:ascii="Palatino Linotype" w:eastAsia="Palatino Linotype" w:hAnsi="Palatino Linotype" w:cs="Palatino Linotype"/>
        </w:rPr>
        <w:t>: Violación a sus derechos humanos.</w:t>
      </w:r>
    </w:p>
    <w:p w14:paraId="33D36D76" w14:textId="77777777" w:rsidR="00A37F2C" w:rsidRPr="008A4A1F" w:rsidRDefault="00A37F2C">
      <w:pPr>
        <w:spacing w:line="360" w:lineRule="auto"/>
        <w:jc w:val="both"/>
        <w:rPr>
          <w:rFonts w:ascii="Palatino Linotype" w:eastAsia="Palatino Linotype" w:hAnsi="Palatino Linotype" w:cs="Palatino Linotype"/>
        </w:rPr>
      </w:pPr>
    </w:p>
    <w:p w14:paraId="511B0D40"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5D831BC" w14:textId="77777777" w:rsidR="00A37F2C" w:rsidRPr="008A4A1F" w:rsidRDefault="00A37F2C">
      <w:pPr>
        <w:spacing w:line="360" w:lineRule="auto"/>
        <w:jc w:val="both"/>
        <w:rPr>
          <w:rFonts w:ascii="Palatino Linotype" w:eastAsia="Palatino Linotype" w:hAnsi="Palatino Linotype" w:cs="Palatino Linotype"/>
        </w:rPr>
      </w:pPr>
    </w:p>
    <w:p w14:paraId="21F8B8D7" w14:textId="77777777" w:rsidR="00A37F2C" w:rsidRPr="008A4A1F" w:rsidRDefault="009F482A">
      <w:pPr>
        <w:spacing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A4A1F">
        <w:rPr>
          <w:rFonts w:ascii="Palatino Linotype" w:eastAsia="Palatino Linotype" w:hAnsi="Palatino Linotype" w:cs="Palatino Linotype"/>
          <w:i/>
        </w:rPr>
        <w:t xml:space="preserve">“TÉRMINOS PROCESALES. PARA DETERMINAR SI UN FUNCIONARIO JUDICIAL ACTUÓ INDEBIDAMENTE POR NO RESPETARLOS SE DEBE ATENDER AL </w:t>
      </w:r>
      <w:r w:rsidRPr="008A4A1F">
        <w:rPr>
          <w:rFonts w:ascii="Palatino Linotype" w:eastAsia="Palatino Linotype" w:hAnsi="Palatino Linotype" w:cs="Palatino Linotype"/>
          <w:i/>
        </w:rPr>
        <w:lastRenderedPageBreak/>
        <w:t>PRESUPUESTO QUE CONSIDERÓ EL LEGISLADOR AL FIJARLOS Y LAS CARACTERÍSTICAS DEL CASO.”</w:t>
      </w:r>
      <w:r w:rsidRPr="008A4A1F">
        <w:rPr>
          <w:rFonts w:ascii="Palatino Linotype" w:eastAsia="Palatino Linotype" w:hAnsi="Palatino Linotype" w:cs="Palatino Linotype"/>
        </w:rPr>
        <w:t>, visible en la Gaceta del Seminario Judicial de la Federación con el registro digital 205635.</w:t>
      </w:r>
    </w:p>
    <w:p w14:paraId="5DD7C4C7" w14:textId="77777777" w:rsidR="00A37F2C" w:rsidRPr="008A4A1F" w:rsidRDefault="00A37F2C">
      <w:pPr>
        <w:spacing w:line="360" w:lineRule="auto"/>
        <w:jc w:val="both"/>
        <w:rPr>
          <w:rFonts w:ascii="Palatino Linotype" w:eastAsia="Palatino Linotype" w:hAnsi="Palatino Linotype" w:cs="Palatino Linotype"/>
        </w:rPr>
      </w:pPr>
    </w:p>
    <w:p w14:paraId="39A4FABB"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933BC1E" w14:textId="77777777" w:rsidR="00A37F2C" w:rsidRPr="008A4A1F" w:rsidRDefault="00A37F2C">
      <w:pPr>
        <w:spacing w:line="360" w:lineRule="auto"/>
        <w:jc w:val="both"/>
        <w:rPr>
          <w:rFonts w:ascii="Palatino Linotype" w:eastAsia="Palatino Linotype" w:hAnsi="Palatino Linotype" w:cs="Palatino Linotype"/>
        </w:rPr>
      </w:pPr>
    </w:p>
    <w:p w14:paraId="20C478C2"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C59643F" w14:textId="77777777" w:rsidR="00A37F2C" w:rsidRPr="008A4A1F" w:rsidRDefault="00A37F2C">
      <w:pPr>
        <w:spacing w:line="360" w:lineRule="auto"/>
        <w:jc w:val="both"/>
        <w:rPr>
          <w:rFonts w:ascii="Palatino Linotype" w:eastAsia="Palatino Linotype" w:hAnsi="Palatino Linotype" w:cs="Palatino Linotype"/>
        </w:rPr>
      </w:pPr>
    </w:p>
    <w:p w14:paraId="7C67A072"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 </w:t>
      </w:r>
      <w:r w:rsidRPr="008A4A1F">
        <w:rPr>
          <w:rFonts w:ascii="Palatino Linotype" w:eastAsia="Palatino Linotype" w:hAnsi="Palatino Linotype" w:cs="Palatino Linotype"/>
          <w:i/>
        </w:rPr>
        <w:t>“PLAZO RAZONABLE PARA RESOLVER. DIMENSIÓN Y EFECTOS DE ESTE CONCEPTO CUANDO SE ADUCE EXCESIVA CARGA DE TRABAJO.”</w:t>
      </w:r>
      <w:r w:rsidRPr="008A4A1F">
        <w:rPr>
          <w:rFonts w:ascii="Palatino Linotype" w:eastAsia="Palatino Linotype" w:hAnsi="Palatino Linotype" w:cs="Palatino Linotype"/>
        </w:rPr>
        <w:t xml:space="preserve"> consultable en el Seminario Judicial de la Federación y su gaceta, con el registro digital 2002351.</w:t>
      </w:r>
    </w:p>
    <w:p w14:paraId="2E833445" w14:textId="77777777" w:rsidR="00A37F2C" w:rsidRPr="008A4A1F" w:rsidRDefault="00A37F2C">
      <w:pPr>
        <w:spacing w:line="360" w:lineRule="auto"/>
        <w:jc w:val="both"/>
        <w:rPr>
          <w:rFonts w:ascii="Palatino Linotype" w:eastAsia="Palatino Linotype" w:hAnsi="Palatino Linotype" w:cs="Palatino Linotype"/>
          <w:b/>
        </w:rPr>
      </w:pPr>
    </w:p>
    <w:p w14:paraId="7A790278"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i/>
        </w:rPr>
        <w:t xml:space="preserve">“PLAZO RAZONABLE PARA RESOLVER. CONCEPTO Y ELEMENTOS QUE LO INTEGRAN A LA LUZ DEL DERECHO INTERNACIONAL DE LOS DERECHOS </w:t>
      </w:r>
      <w:r w:rsidRPr="008A4A1F">
        <w:rPr>
          <w:rFonts w:ascii="Palatino Linotype" w:eastAsia="Palatino Linotype" w:hAnsi="Palatino Linotype" w:cs="Palatino Linotype"/>
          <w:i/>
        </w:rPr>
        <w:lastRenderedPageBreak/>
        <w:t>HUMANOS.”</w:t>
      </w:r>
      <w:r w:rsidRPr="008A4A1F">
        <w:rPr>
          <w:rFonts w:ascii="Palatino Linotype" w:eastAsia="Palatino Linotype" w:hAnsi="Palatino Linotype" w:cs="Palatino Linotype"/>
        </w:rPr>
        <w:t>, visible en el Seminario Judicial de la Federación y su gaceta, con el registro digital 2002350.</w:t>
      </w:r>
    </w:p>
    <w:p w14:paraId="0F60B9C5" w14:textId="77777777" w:rsidR="00A37F2C" w:rsidRPr="008A4A1F" w:rsidRDefault="00A37F2C">
      <w:pPr>
        <w:spacing w:line="360" w:lineRule="auto"/>
        <w:jc w:val="both"/>
        <w:rPr>
          <w:rFonts w:ascii="Palatino Linotype" w:eastAsia="Palatino Linotype" w:hAnsi="Palatino Linotype" w:cs="Palatino Linotype"/>
        </w:rPr>
      </w:pPr>
    </w:p>
    <w:p w14:paraId="0CC37DEE"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42C2D240" w14:textId="77777777" w:rsidR="00A37F2C" w:rsidRPr="008A4A1F" w:rsidRDefault="009F482A">
      <w:pPr>
        <w:widowControl w:val="0"/>
        <w:tabs>
          <w:tab w:val="left" w:pos="709"/>
        </w:tabs>
        <w:spacing w:before="240" w:after="240" w:line="360" w:lineRule="auto"/>
        <w:jc w:val="both"/>
        <w:rPr>
          <w:rFonts w:ascii="Palatino Linotype" w:eastAsia="Palatino Linotype" w:hAnsi="Palatino Linotype" w:cs="Palatino Linotype"/>
          <w:b/>
          <w:sz w:val="28"/>
          <w:szCs w:val="28"/>
        </w:rPr>
      </w:pPr>
      <w:r w:rsidRPr="008A4A1F">
        <w:rPr>
          <w:rFonts w:ascii="Palatino Linotype" w:eastAsia="Palatino Linotype" w:hAnsi="Palatino Linotype" w:cs="Palatino Linotype"/>
          <w:b/>
        </w:rPr>
        <w:t xml:space="preserve">8. Cierre de Instrucción. </w:t>
      </w:r>
      <w:r w:rsidRPr="008A4A1F">
        <w:rPr>
          <w:rFonts w:ascii="Palatino Linotype" w:eastAsia="Palatino Linotype" w:hAnsi="Palatino Linotype" w:cs="Palatino Linotype"/>
        </w:rPr>
        <w:t xml:space="preserve">El </w:t>
      </w:r>
      <w:r w:rsidRPr="008A4A1F">
        <w:rPr>
          <w:rFonts w:ascii="Palatino Linotype" w:eastAsia="Palatino Linotype" w:hAnsi="Palatino Linotype" w:cs="Palatino Linotype"/>
          <w:b/>
        </w:rPr>
        <w:t>catorce de agosto del año dos mil veintitrés</w:t>
      </w:r>
      <w:r w:rsidRPr="008A4A1F">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8A4A1F">
        <w:rPr>
          <w:rFonts w:ascii="Palatino Linotype" w:eastAsia="Palatino Linotype" w:hAnsi="Palatino Linotype" w:cs="Palatino Linotype"/>
          <w:b/>
          <w:sz w:val="28"/>
          <w:szCs w:val="28"/>
        </w:rPr>
        <w:t xml:space="preserve"> </w:t>
      </w:r>
    </w:p>
    <w:p w14:paraId="4708C355"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363A64CD" w14:textId="77777777" w:rsidR="00A37F2C" w:rsidRPr="008A4A1F" w:rsidRDefault="009F482A">
      <w:pPr>
        <w:pStyle w:val="Ttulo2"/>
        <w:spacing w:before="240" w:after="240" w:line="360" w:lineRule="auto"/>
        <w:jc w:val="center"/>
        <w:rPr>
          <w:rFonts w:ascii="Palatino Linotype" w:eastAsia="Palatino Linotype" w:hAnsi="Palatino Linotype" w:cs="Palatino Linotype"/>
          <w:b/>
          <w:color w:val="auto"/>
          <w:sz w:val="24"/>
          <w:szCs w:val="24"/>
        </w:rPr>
      </w:pPr>
      <w:r w:rsidRPr="008A4A1F">
        <w:rPr>
          <w:rFonts w:ascii="Palatino Linotype" w:eastAsia="Palatino Linotype" w:hAnsi="Palatino Linotype" w:cs="Palatino Linotype"/>
          <w:b/>
          <w:color w:val="auto"/>
          <w:sz w:val="24"/>
          <w:szCs w:val="24"/>
        </w:rPr>
        <w:t>II. C O N S I D E R A N D O S:</w:t>
      </w:r>
    </w:p>
    <w:p w14:paraId="7939ECE7"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Primero. Competencia</w:t>
      </w:r>
      <w:r w:rsidRPr="008A4A1F">
        <w:rPr>
          <w:rFonts w:ascii="Palatino Linotype" w:eastAsia="Palatino Linotype" w:hAnsi="Palatino Linotype" w:cs="Palatino Linotype"/>
          <w:b/>
          <w:sz w:val="22"/>
          <w:szCs w:val="22"/>
        </w:rPr>
        <w:t xml:space="preserve">. </w:t>
      </w:r>
      <w:r w:rsidRPr="008A4A1F">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w:t>
      </w:r>
      <w:r w:rsidRPr="008A4A1F">
        <w:rPr>
          <w:rFonts w:ascii="Palatino Linotype" w:eastAsia="Palatino Linotype" w:hAnsi="Palatino Linotype" w:cs="Palatino Linotype"/>
        </w:rPr>
        <w:lastRenderedPageBreak/>
        <w:t>Política del Estado Libre y Soberano de México; 1, 2, fracción II; 13,  29, 36, fracciones I y II; 176, 178, 179, 181 párrafo 3 y 185 de la Ley Transparencia y Acceso a la Información Pública del Estado de México y Municipios; 9 fracciones I, XXIII y 11 del Reglamento Interior del Instituto de Transparencia, Acceso a la Información Pública y Protección de Datos Personales del Estado de México y Municipios.</w:t>
      </w:r>
    </w:p>
    <w:p w14:paraId="3E42515B"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Segundo. Oportunidad y Procedibilidad del Recurso de Revisión</w:t>
      </w:r>
      <w:r w:rsidRPr="008A4A1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137D838"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remitió su declaración de incompetencia a la solicitud de información el día </w:t>
      </w:r>
      <w:r w:rsidRPr="008A4A1F">
        <w:rPr>
          <w:rFonts w:ascii="Palatino Linotype" w:eastAsia="Palatino Linotype" w:hAnsi="Palatino Linotype" w:cs="Palatino Linotype"/>
          <w:b/>
        </w:rPr>
        <w:t xml:space="preserve">veintidós de septiembre de dos mil veintidós, </w:t>
      </w:r>
      <w:r w:rsidRPr="008A4A1F">
        <w:rPr>
          <w:rFonts w:ascii="Palatino Linotype" w:eastAsia="Palatino Linotype" w:hAnsi="Palatino Linotype" w:cs="Palatino Linotype"/>
        </w:rPr>
        <w:t xml:space="preserve">mientras que el recurso de revisión interpuesto por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xml:space="preserve">, se tuvo por presentado el día </w:t>
      </w:r>
      <w:r w:rsidRPr="008A4A1F">
        <w:rPr>
          <w:rFonts w:ascii="Palatino Linotype" w:eastAsia="Palatino Linotype" w:hAnsi="Palatino Linotype" w:cs="Palatino Linotype"/>
          <w:b/>
        </w:rPr>
        <w:t>veintinueve de septiembre de dos mil veintidós</w:t>
      </w:r>
      <w:r w:rsidRPr="008A4A1F">
        <w:rPr>
          <w:rFonts w:ascii="Palatino Linotype" w:eastAsia="Palatino Linotype" w:hAnsi="Palatino Linotype" w:cs="Palatino Linotype"/>
        </w:rPr>
        <w:t xml:space="preserve">, esto es, el </w:t>
      </w:r>
      <w:r w:rsidRPr="008A4A1F">
        <w:rPr>
          <w:rFonts w:ascii="Palatino Linotype" w:eastAsia="Palatino Linotype" w:hAnsi="Palatino Linotype" w:cs="Palatino Linotype"/>
          <w:b/>
        </w:rPr>
        <w:t>quinto día hábil</w:t>
      </w:r>
      <w:r w:rsidRPr="008A4A1F">
        <w:rPr>
          <w:rFonts w:ascii="Palatino Linotype" w:eastAsia="Palatino Linotype" w:hAnsi="Palatino Linotype" w:cs="Palatino Linotype"/>
        </w:rPr>
        <w:t xml:space="preserve"> siguiente en que tuvo conocimiento de la respuesta impugnada</w:t>
      </w:r>
      <w:r w:rsidRPr="008A4A1F">
        <w:rPr>
          <w:rFonts w:ascii="Palatino Linotype" w:eastAsia="Palatino Linotype" w:hAnsi="Palatino Linotype" w:cs="Palatino Linotype"/>
          <w:b/>
        </w:rPr>
        <w:t>.</w:t>
      </w:r>
    </w:p>
    <w:p w14:paraId="266E8CC0"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este sentido, al considerar la fecha en que se formuló la solicitud y la fecha en que respondió a esta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7A1A6243" w14:textId="77777777" w:rsidR="00A37F2C" w:rsidRPr="008A4A1F" w:rsidRDefault="009F482A">
      <w:pPr>
        <w:spacing w:before="240" w:after="240" w:line="360" w:lineRule="auto"/>
        <w:ind w:right="-93"/>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1388D3D" w14:textId="77777777" w:rsidR="00A37F2C" w:rsidRPr="008A4A1F" w:rsidRDefault="009F48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Asimismo, por cuanto hace a la procedibilidad del  recurso de revisión, es de suma importancia señalar que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518F4263" w14:textId="77777777" w:rsidR="00A37F2C" w:rsidRPr="008A4A1F" w:rsidRDefault="009F482A">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FF2B903" w14:textId="77777777" w:rsidR="00A37F2C" w:rsidRPr="008A4A1F" w:rsidRDefault="009F482A">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8A4A1F">
        <w:rPr>
          <w:rFonts w:ascii="Palatino Linotype" w:eastAsia="Palatino Linotype" w:hAnsi="Palatino Linotype" w:cs="Palatino Linotype"/>
        </w:rPr>
        <w:t>Ahora bien, resulta procedente la interposición del recurso, según lo aducido por el recurrente en sus razones o motivos de inconformidad, de acuerdo al artículo 179, fracción IV de la Ley de Transparencia y Acceso a la Información Pública del Estado de México y Municipios; que a la letra dice:</w:t>
      </w:r>
    </w:p>
    <w:p w14:paraId="1DB09B42" w14:textId="77777777" w:rsidR="00A37F2C" w:rsidRPr="008A4A1F" w:rsidRDefault="009F482A">
      <w:pPr>
        <w:spacing w:before="240" w:after="240" w:line="276" w:lineRule="auto"/>
        <w:ind w:left="567" w:right="902"/>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rPr>
        <w:t>Artículo 179</w:t>
      </w:r>
      <w:r w:rsidRPr="008A4A1F">
        <w:rPr>
          <w:rFonts w:ascii="Palatino Linotype" w:eastAsia="Palatino Linotype" w:hAnsi="Palatino Linotype" w:cs="Palatino Linotype"/>
          <w:b/>
          <w:sz w:val="22"/>
          <w:szCs w:val="22"/>
        </w:rPr>
        <w:t>.-</w:t>
      </w:r>
      <w:r w:rsidRPr="008A4A1F">
        <w:rPr>
          <w:rFonts w:ascii="Palatino Linotype" w:eastAsia="Palatino Linotype" w:hAnsi="Palatino Linotype" w:cs="Palatino Linotype"/>
          <w:sz w:val="22"/>
          <w:szCs w:val="22"/>
        </w:rPr>
        <w:t xml:space="preserve"> </w:t>
      </w:r>
      <w:r w:rsidRPr="008A4A1F">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B40ED80" w14:textId="77777777" w:rsidR="00A37F2C" w:rsidRPr="008A4A1F" w:rsidRDefault="009F482A">
      <w:pPr>
        <w:spacing w:before="240" w:after="240" w:line="276" w:lineRule="auto"/>
        <w:ind w:left="567" w:right="902"/>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lastRenderedPageBreak/>
        <w:t>…</w:t>
      </w:r>
    </w:p>
    <w:p w14:paraId="24E3F5A8" w14:textId="77777777" w:rsidR="00A37F2C" w:rsidRPr="008A4A1F" w:rsidRDefault="009F482A">
      <w:pPr>
        <w:spacing w:before="240" w:after="240" w:line="276" w:lineRule="auto"/>
        <w:ind w:left="567" w:right="902"/>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rPr>
        <w:t>IV. La declaración de incompetencia por el sujeto obligado;</w:t>
      </w:r>
      <w:r w:rsidRPr="008A4A1F">
        <w:rPr>
          <w:rFonts w:ascii="Palatino Linotype" w:eastAsia="Palatino Linotype" w:hAnsi="Palatino Linotype" w:cs="Palatino Linotype"/>
          <w:i/>
          <w:sz w:val="22"/>
          <w:szCs w:val="22"/>
        </w:rPr>
        <w:t xml:space="preserve">” (Énfasis añadido) </w:t>
      </w:r>
    </w:p>
    <w:p w14:paraId="585403AC"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 xml:space="preserve">Tercero. Materia de la revisión. </w:t>
      </w:r>
      <w:r w:rsidRPr="008A4A1F">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A4A1F">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8A4A1F">
        <w:rPr>
          <w:rFonts w:ascii="Palatino Linotype" w:eastAsia="Palatino Linotype" w:hAnsi="Palatino Linotype" w:cs="Palatino Linotype"/>
        </w:rPr>
        <w:t xml:space="preserve">de </w:t>
      </w:r>
      <w:r w:rsidRPr="008A4A1F">
        <w:rPr>
          <w:rFonts w:ascii="Palatino Linotype" w:eastAsia="Palatino Linotype" w:hAnsi="Palatino Linotype" w:cs="Palatino Linotype"/>
          <w:b/>
        </w:rPr>
        <w:t>la Recurrente</w:t>
      </w:r>
      <w:r w:rsidRPr="008A4A1F">
        <w:rPr>
          <w:rFonts w:ascii="Palatino Linotype" w:eastAsia="Palatino Linotype" w:hAnsi="Palatino Linotype" w:cs="Palatino Linotype"/>
        </w:rPr>
        <w:t>, o en su defecto, en caso de ser procedente, ordenar la entrega de información oportuna.</w:t>
      </w:r>
    </w:p>
    <w:p w14:paraId="2A1DCEED"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b/>
        </w:rPr>
        <w:t xml:space="preserve">Cuarto. Estudio del asunto. </w:t>
      </w:r>
      <w:r w:rsidRPr="008A4A1F">
        <w:rPr>
          <w:rFonts w:ascii="Palatino Linotype" w:eastAsia="Palatino Linotype" w:hAnsi="Palatino Linotype" w:cs="Palatino Linotype"/>
        </w:rPr>
        <w:t xml:space="preserve">Antes de entrar al análisis de los pronunciamientos del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4983416" w14:textId="77777777" w:rsidR="00A37F2C" w:rsidRPr="008A4A1F" w:rsidRDefault="009F482A">
      <w:pPr>
        <w:pBdr>
          <w:top w:val="nil"/>
          <w:left w:val="nil"/>
          <w:bottom w:val="nil"/>
          <w:right w:val="nil"/>
          <w:between w:val="nil"/>
        </w:pBdr>
        <w:spacing w:before="240" w:after="240"/>
        <w:ind w:left="851" w:right="850"/>
        <w:jc w:val="both"/>
      </w:pPr>
      <w:r w:rsidRPr="008A4A1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8A4A1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E130F99" w14:textId="77777777" w:rsidR="00A37F2C" w:rsidRPr="008A4A1F" w:rsidRDefault="009F482A">
      <w:pPr>
        <w:pBdr>
          <w:top w:val="nil"/>
          <w:left w:val="nil"/>
          <w:bottom w:val="nil"/>
          <w:right w:val="nil"/>
          <w:between w:val="nil"/>
        </w:pBdr>
        <w:spacing w:before="240" w:after="240"/>
        <w:ind w:left="851" w:right="850"/>
        <w:jc w:val="both"/>
      </w:pPr>
      <w:r w:rsidRPr="008A4A1F">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w:t>
      </w:r>
      <w:r w:rsidRPr="008A4A1F">
        <w:rPr>
          <w:rFonts w:ascii="Palatino Linotype" w:eastAsia="Palatino Linotype" w:hAnsi="Palatino Linotype" w:cs="Palatino Linotype"/>
          <w:b/>
          <w:i/>
          <w:sz w:val="22"/>
          <w:szCs w:val="22"/>
        </w:rPr>
        <w:lastRenderedPageBreak/>
        <w:t>la materia favoreciendo en todo tiempo a las personas la protección más amplia.</w:t>
      </w:r>
    </w:p>
    <w:p w14:paraId="6C4A5817" w14:textId="77777777" w:rsidR="00A37F2C" w:rsidRPr="008A4A1F" w:rsidRDefault="009F482A">
      <w:pPr>
        <w:pBdr>
          <w:top w:val="nil"/>
          <w:left w:val="nil"/>
          <w:bottom w:val="nil"/>
          <w:right w:val="nil"/>
          <w:between w:val="nil"/>
        </w:pBdr>
        <w:spacing w:before="240" w:after="240"/>
        <w:ind w:left="851" w:right="850"/>
        <w:jc w:val="both"/>
      </w:pPr>
      <w:r w:rsidRPr="008A4A1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A4A1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B225FC4" w14:textId="77777777" w:rsidR="00A37F2C" w:rsidRPr="008A4A1F" w:rsidRDefault="009F482A">
      <w:pPr>
        <w:pBdr>
          <w:top w:val="nil"/>
          <w:left w:val="nil"/>
          <w:bottom w:val="nil"/>
          <w:right w:val="nil"/>
          <w:between w:val="nil"/>
        </w:pBdr>
        <w:spacing w:before="240" w:after="240"/>
        <w:ind w:left="851" w:right="850"/>
        <w:jc w:val="both"/>
      </w:pPr>
      <w:r w:rsidRPr="008A4A1F">
        <w:rPr>
          <w:rFonts w:ascii="Palatino Linotype" w:eastAsia="Palatino Linotype" w:hAnsi="Palatino Linotype" w:cs="Palatino Linotype"/>
          <w:i/>
          <w:sz w:val="22"/>
          <w:szCs w:val="22"/>
        </w:rPr>
        <w:t>[…]</w:t>
      </w:r>
    </w:p>
    <w:p w14:paraId="70C0D451" w14:textId="77777777" w:rsidR="00A37F2C" w:rsidRPr="008A4A1F" w:rsidRDefault="009F482A">
      <w:pPr>
        <w:pBdr>
          <w:top w:val="nil"/>
          <w:left w:val="nil"/>
          <w:bottom w:val="nil"/>
          <w:right w:val="nil"/>
          <w:between w:val="nil"/>
        </w:pBdr>
        <w:spacing w:before="240" w:after="240"/>
        <w:ind w:left="851" w:right="901"/>
        <w:jc w:val="both"/>
      </w:pPr>
      <w:r w:rsidRPr="008A4A1F">
        <w:rPr>
          <w:rFonts w:ascii="Palatino Linotype" w:eastAsia="Palatino Linotype" w:hAnsi="Palatino Linotype" w:cs="Palatino Linotype"/>
          <w:b/>
          <w:i/>
          <w:sz w:val="22"/>
          <w:szCs w:val="22"/>
        </w:rPr>
        <w:t>“Artículo 6o.</w:t>
      </w:r>
    </w:p>
    <w:p w14:paraId="309E19D8" w14:textId="77777777" w:rsidR="00A37F2C" w:rsidRPr="008A4A1F" w:rsidRDefault="009F482A">
      <w:pPr>
        <w:pBdr>
          <w:top w:val="nil"/>
          <w:left w:val="nil"/>
          <w:bottom w:val="nil"/>
          <w:right w:val="nil"/>
          <w:between w:val="nil"/>
        </w:pBdr>
        <w:spacing w:before="240" w:after="240"/>
        <w:ind w:left="851" w:right="901"/>
        <w:jc w:val="both"/>
      </w:pPr>
      <w:r w:rsidRPr="008A4A1F">
        <w:rPr>
          <w:rFonts w:ascii="Palatino Linotype" w:eastAsia="Palatino Linotype" w:hAnsi="Palatino Linotype" w:cs="Palatino Linotype"/>
          <w:i/>
          <w:sz w:val="22"/>
          <w:szCs w:val="22"/>
        </w:rPr>
        <w:t>[...]</w:t>
      </w:r>
    </w:p>
    <w:p w14:paraId="3C523508"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b/>
          <w:i/>
          <w:sz w:val="22"/>
          <w:szCs w:val="22"/>
        </w:rPr>
        <w:t xml:space="preserve">A. Para el ejercicio del derecho de acceso a la información, la Federación y </w:t>
      </w:r>
      <w:r w:rsidRPr="008A4A1F">
        <w:rPr>
          <w:rFonts w:ascii="Palatino Linotype" w:eastAsia="Palatino Linotype" w:hAnsi="Palatino Linotype" w:cs="Palatino Linotype"/>
          <w:b/>
          <w:i/>
          <w:sz w:val="22"/>
          <w:szCs w:val="22"/>
          <w:u w:val="single"/>
        </w:rPr>
        <w:t>las entidades federativas</w:t>
      </w:r>
      <w:r w:rsidRPr="008A4A1F">
        <w:rPr>
          <w:rFonts w:ascii="Palatino Linotype" w:eastAsia="Palatino Linotype" w:hAnsi="Palatino Linotype" w:cs="Palatino Linotype"/>
          <w:b/>
          <w:i/>
          <w:sz w:val="22"/>
          <w:szCs w:val="22"/>
        </w:rPr>
        <w:t>,</w:t>
      </w:r>
      <w:r w:rsidRPr="008A4A1F">
        <w:rPr>
          <w:rFonts w:ascii="Palatino Linotype" w:eastAsia="Palatino Linotype" w:hAnsi="Palatino Linotype" w:cs="Palatino Linotype"/>
          <w:i/>
          <w:sz w:val="22"/>
          <w:szCs w:val="22"/>
        </w:rPr>
        <w:t xml:space="preserve"> en el ámbito de sus respectivas competencias, se regirán por los siguientes principios y bases:</w:t>
      </w:r>
    </w:p>
    <w:p w14:paraId="38C94B46"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 xml:space="preserve">I. </w:t>
      </w:r>
      <w:r w:rsidRPr="008A4A1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8A4A1F">
        <w:rPr>
          <w:rFonts w:ascii="Palatino Linotype" w:eastAsia="Palatino Linotype" w:hAnsi="Palatino Linotype" w:cs="Palatino Linotype"/>
          <w:i/>
          <w:sz w:val="22"/>
          <w:szCs w:val="22"/>
        </w:rPr>
        <w:t xml:space="preserve"> Ejecutivo, Legislativo </w:t>
      </w:r>
      <w:r w:rsidRPr="008A4A1F">
        <w:rPr>
          <w:rFonts w:ascii="Palatino Linotype" w:eastAsia="Palatino Linotype" w:hAnsi="Palatino Linotype" w:cs="Palatino Linotype"/>
          <w:b/>
          <w:i/>
          <w:sz w:val="22"/>
          <w:szCs w:val="22"/>
          <w:u w:val="single"/>
        </w:rPr>
        <w:t>y Judicial</w:t>
      </w:r>
      <w:r w:rsidRPr="008A4A1F">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A4A1F">
        <w:rPr>
          <w:rFonts w:ascii="Palatino Linotype" w:eastAsia="Palatino Linotype" w:hAnsi="Palatino Linotype" w:cs="Palatino Linotype"/>
          <w:b/>
          <w:i/>
          <w:sz w:val="22"/>
          <w:szCs w:val="22"/>
        </w:rPr>
        <w:t>es pública y sólo podrá ser reservada temporalmente por razones de interés público y seguridad nacional,</w:t>
      </w:r>
      <w:r w:rsidRPr="008A4A1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598E54"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FB5F473"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 xml:space="preserve">III. </w:t>
      </w:r>
      <w:r w:rsidRPr="008A4A1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8A4A1F">
        <w:rPr>
          <w:rFonts w:ascii="Palatino Linotype" w:eastAsia="Palatino Linotype" w:hAnsi="Palatino Linotype" w:cs="Palatino Linotype"/>
          <w:i/>
          <w:sz w:val="22"/>
          <w:szCs w:val="22"/>
        </w:rPr>
        <w:t xml:space="preserve"> a sus datos personales o a la rectificación de éstos.</w:t>
      </w:r>
    </w:p>
    <w:p w14:paraId="526FA1A3"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 xml:space="preserve">IV. </w:t>
      </w:r>
      <w:r w:rsidRPr="008A4A1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F98DD75"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b/>
          <w:i/>
          <w:sz w:val="22"/>
          <w:szCs w:val="22"/>
        </w:rPr>
        <w:lastRenderedPageBreak/>
        <w:t xml:space="preserve">V. </w:t>
      </w:r>
      <w:r w:rsidRPr="008A4A1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67492EB"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 xml:space="preserve">VI. </w:t>
      </w:r>
      <w:r w:rsidRPr="008A4A1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1350ACE" w14:textId="77777777" w:rsidR="00A37F2C" w:rsidRPr="008A4A1F" w:rsidRDefault="009F482A">
      <w:pPr>
        <w:pBdr>
          <w:top w:val="nil"/>
          <w:left w:val="nil"/>
          <w:bottom w:val="nil"/>
          <w:right w:val="nil"/>
          <w:between w:val="nil"/>
        </w:pBdr>
        <w:spacing w:before="240" w:after="240"/>
        <w:ind w:left="851" w:right="851"/>
        <w:jc w:val="both"/>
      </w:pPr>
      <w:r w:rsidRPr="008A4A1F">
        <w:rPr>
          <w:rFonts w:ascii="Palatino Linotype" w:eastAsia="Palatino Linotype" w:hAnsi="Palatino Linotype" w:cs="Palatino Linotype"/>
          <w:i/>
          <w:sz w:val="22"/>
          <w:szCs w:val="22"/>
        </w:rPr>
        <w:t> </w:t>
      </w:r>
      <w:r w:rsidRPr="008A4A1F">
        <w:rPr>
          <w:rFonts w:ascii="Palatino Linotype" w:eastAsia="Palatino Linotype" w:hAnsi="Palatino Linotype" w:cs="Palatino Linotype"/>
          <w:b/>
          <w:i/>
          <w:sz w:val="22"/>
          <w:szCs w:val="22"/>
        </w:rPr>
        <w:t xml:space="preserve">VII. </w:t>
      </w:r>
      <w:r w:rsidRPr="008A4A1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AEC349C"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2AB3239" w14:textId="77777777" w:rsidR="00A37F2C" w:rsidRPr="008A4A1F" w:rsidRDefault="009F482A">
      <w:pPr>
        <w:pBdr>
          <w:top w:val="nil"/>
          <w:left w:val="nil"/>
          <w:bottom w:val="nil"/>
          <w:right w:val="nil"/>
          <w:between w:val="nil"/>
        </w:pBdr>
        <w:spacing w:before="240" w:after="240"/>
        <w:ind w:left="709" w:right="760"/>
        <w:jc w:val="both"/>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rPr>
        <w:t>Artículo 4</w:t>
      </w:r>
      <w:r w:rsidRPr="008A4A1F">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CB262C9" w14:textId="77777777" w:rsidR="00A37F2C" w:rsidRPr="008A4A1F" w:rsidRDefault="009F482A">
      <w:pPr>
        <w:pBdr>
          <w:top w:val="nil"/>
          <w:left w:val="nil"/>
          <w:bottom w:val="nil"/>
          <w:right w:val="nil"/>
          <w:between w:val="nil"/>
        </w:pBdr>
        <w:spacing w:before="240" w:after="240"/>
        <w:ind w:left="709" w:right="760"/>
        <w:jc w:val="both"/>
      </w:pPr>
      <w:r w:rsidRPr="008A4A1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w:t>
      </w:r>
      <w:r w:rsidRPr="008A4A1F">
        <w:rPr>
          <w:rFonts w:ascii="Palatino Linotype" w:eastAsia="Palatino Linotype" w:hAnsi="Palatino Linotype" w:cs="Palatino Linotype"/>
          <w:b/>
          <w:i/>
          <w:sz w:val="22"/>
          <w:szCs w:val="22"/>
        </w:rPr>
        <w:lastRenderedPageBreak/>
        <w:t>México y Municipios 29 como reservada temporalmente por razones de interés público, en los términos de las causas legítimas y estrictamente necesarias previstas por esta Ley.</w:t>
      </w:r>
    </w:p>
    <w:p w14:paraId="6284AE0F" w14:textId="77777777" w:rsidR="00A37F2C" w:rsidRPr="008A4A1F" w:rsidRDefault="009F482A">
      <w:pPr>
        <w:pBdr>
          <w:top w:val="nil"/>
          <w:left w:val="nil"/>
          <w:bottom w:val="nil"/>
          <w:right w:val="nil"/>
          <w:between w:val="nil"/>
        </w:pBdr>
        <w:spacing w:before="240" w:after="240"/>
        <w:ind w:left="709" w:right="760"/>
        <w:jc w:val="both"/>
      </w:pPr>
      <w:r w:rsidRPr="008A4A1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A4A1F">
        <w:rPr>
          <w:rFonts w:ascii="Palatino Linotype" w:eastAsia="Palatino Linotype" w:hAnsi="Palatino Linotype" w:cs="Palatino Linotype"/>
          <w:i/>
          <w:sz w:val="22"/>
          <w:szCs w:val="22"/>
        </w:rPr>
        <w:t>.”(</w:t>
      </w:r>
      <w:proofErr w:type="gramEnd"/>
      <w:r w:rsidRPr="008A4A1F">
        <w:rPr>
          <w:rFonts w:ascii="Palatino Linotype" w:eastAsia="Palatino Linotype" w:hAnsi="Palatino Linotype" w:cs="Palatino Linotype"/>
          <w:i/>
          <w:sz w:val="22"/>
          <w:szCs w:val="22"/>
        </w:rPr>
        <w:t>Sic)</w:t>
      </w:r>
    </w:p>
    <w:p w14:paraId="17165BBB"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4FC9C616" w14:textId="77777777" w:rsidR="00A37F2C" w:rsidRPr="008A4A1F" w:rsidRDefault="009F482A">
      <w:pPr>
        <w:pBdr>
          <w:top w:val="nil"/>
          <w:left w:val="nil"/>
          <w:bottom w:val="nil"/>
          <w:right w:val="nil"/>
          <w:between w:val="nil"/>
        </w:pBdr>
        <w:spacing w:before="240" w:after="240"/>
        <w:ind w:left="567" w:right="758"/>
        <w:jc w:val="both"/>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rPr>
        <w:t>Artículo 12</w:t>
      </w:r>
      <w:r w:rsidRPr="008A4A1F">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0AC119D4" w14:textId="77777777" w:rsidR="00A37F2C" w:rsidRPr="008A4A1F" w:rsidRDefault="009F482A">
      <w:pPr>
        <w:pBdr>
          <w:top w:val="nil"/>
          <w:left w:val="nil"/>
          <w:bottom w:val="nil"/>
          <w:right w:val="nil"/>
          <w:between w:val="nil"/>
        </w:pBdr>
        <w:spacing w:before="240" w:after="240"/>
        <w:ind w:left="567" w:right="758"/>
        <w:jc w:val="both"/>
      </w:pPr>
      <w:r w:rsidRPr="008A4A1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2D0899B5"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8A4A1F">
        <w:rPr>
          <w:rFonts w:ascii="Palatino Linotype" w:eastAsia="Palatino Linotype" w:hAnsi="Palatino Linotype" w:cs="Palatino Linotype"/>
          <w:b/>
        </w:rPr>
        <w:t xml:space="preserve"> </w:t>
      </w:r>
      <w:r w:rsidRPr="008A4A1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8A4A1F">
        <w:rPr>
          <w:rFonts w:ascii="Palatino Linotype" w:eastAsia="Palatino Linotype" w:hAnsi="Palatino Linotype" w:cs="Palatino Linotype"/>
          <w:i/>
        </w:rPr>
        <w:t>ad hoc</w:t>
      </w:r>
      <w:r w:rsidRPr="008A4A1F">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3DFD775E"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b/>
          <w:i/>
          <w:sz w:val="22"/>
          <w:szCs w:val="22"/>
        </w:rPr>
        <w:lastRenderedPageBreak/>
        <w:t>03/17</w:t>
      </w:r>
    </w:p>
    <w:p w14:paraId="3FD916FB"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b/>
          <w:i/>
          <w:sz w:val="22"/>
          <w:szCs w:val="22"/>
        </w:rPr>
        <w:t>“NO EXISTE OBLIGACIÓN DE ELABORAR DOCUMENTOS AD HOC PARA ATENDER LAS SOLICITUDES DE ACCESO A LA INFORMACIÓN.</w:t>
      </w:r>
    </w:p>
    <w:p w14:paraId="0653801E"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C66A5B6"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F01468" w14:textId="77777777" w:rsidR="00A37F2C" w:rsidRPr="008A4A1F" w:rsidRDefault="009F482A">
      <w:pPr>
        <w:pBdr>
          <w:top w:val="nil"/>
          <w:left w:val="nil"/>
          <w:bottom w:val="nil"/>
          <w:right w:val="nil"/>
          <w:between w:val="nil"/>
        </w:pBdr>
        <w:spacing w:before="240" w:after="240" w:line="360" w:lineRule="auto"/>
        <w:ind w:right="49"/>
        <w:jc w:val="both"/>
      </w:pPr>
      <w:r w:rsidRPr="008A4A1F">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4B92BA"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748C535"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rPr>
        <w:t xml:space="preserve">Artículo 3. </w:t>
      </w:r>
      <w:r w:rsidRPr="008A4A1F">
        <w:rPr>
          <w:rFonts w:ascii="Palatino Linotype" w:eastAsia="Palatino Linotype" w:hAnsi="Palatino Linotype" w:cs="Palatino Linotype"/>
          <w:i/>
          <w:sz w:val="22"/>
          <w:szCs w:val="22"/>
        </w:rPr>
        <w:t>Para los efectos de la presente Ley se entenderá por:</w:t>
      </w:r>
    </w:p>
    <w:p w14:paraId="6DC261B6"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i/>
          <w:sz w:val="22"/>
          <w:szCs w:val="22"/>
        </w:rPr>
        <w:t>…</w:t>
      </w:r>
    </w:p>
    <w:p w14:paraId="552B6CB1"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b/>
          <w:i/>
          <w:sz w:val="22"/>
          <w:szCs w:val="22"/>
        </w:rPr>
        <w:t>XI. Documento:</w:t>
      </w:r>
      <w:r w:rsidRPr="008A4A1F">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A4A1F">
        <w:rPr>
          <w:rFonts w:ascii="Palatino Linotype" w:eastAsia="Palatino Linotype" w:hAnsi="Palatino Linotype" w:cs="Palatino Linotype"/>
          <w:b/>
          <w:i/>
          <w:sz w:val="22"/>
          <w:szCs w:val="22"/>
        </w:rPr>
        <w:t>…</w:t>
      </w:r>
      <w:r w:rsidRPr="008A4A1F">
        <w:rPr>
          <w:rFonts w:ascii="Palatino Linotype" w:eastAsia="Palatino Linotype" w:hAnsi="Palatino Linotype" w:cs="Palatino Linotype"/>
          <w:i/>
          <w:sz w:val="22"/>
          <w:szCs w:val="22"/>
        </w:rPr>
        <w:t>” (Sic)</w:t>
      </w:r>
    </w:p>
    <w:p w14:paraId="7DF59997"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2122725"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b/>
          <w:sz w:val="22"/>
          <w:szCs w:val="22"/>
        </w:rPr>
        <w:t>“</w:t>
      </w:r>
      <w:r w:rsidRPr="008A4A1F">
        <w:rPr>
          <w:rFonts w:ascii="Palatino Linotype" w:eastAsia="Palatino Linotype" w:hAnsi="Palatino Linotype" w:cs="Palatino Linotype"/>
          <w:b/>
          <w:i/>
          <w:sz w:val="22"/>
          <w:szCs w:val="22"/>
        </w:rPr>
        <w:t>CRITERIO 0002-11</w:t>
      </w:r>
    </w:p>
    <w:p w14:paraId="1D74A8DC"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sidRPr="008A4A1F">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F7EC169" w14:textId="77777777" w:rsidR="00A37F2C" w:rsidRPr="008A4A1F" w:rsidRDefault="009F482A">
      <w:pPr>
        <w:pBdr>
          <w:top w:val="nil"/>
          <w:left w:val="nil"/>
          <w:bottom w:val="nil"/>
          <w:right w:val="nil"/>
          <w:between w:val="nil"/>
        </w:pBdr>
        <w:spacing w:before="240" w:after="240"/>
        <w:ind w:left="567" w:right="567"/>
        <w:jc w:val="both"/>
      </w:pPr>
      <w:r w:rsidRPr="008A4A1F">
        <w:rPr>
          <w:rFonts w:ascii="Palatino Linotype" w:eastAsia="Palatino Linotype" w:hAnsi="Palatino Linotype" w:cs="Palatino Linotype"/>
          <w:i/>
          <w:sz w:val="22"/>
          <w:szCs w:val="22"/>
        </w:rPr>
        <w:t xml:space="preserve">En </w:t>
      </w:r>
      <w:proofErr w:type="gramStart"/>
      <w:r w:rsidRPr="008A4A1F">
        <w:rPr>
          <w:rFonts w:ascii="Palatino Linotype" w:eastAsia="Palatino Linotype" w:hAnsi="Palatino Linotype" w:cs="Palatino Linotype"/>
          <w:i/>
          <w:sz w:val="22"/>
          <w:szCs w:val="22"/>
        </w:rPr>
        <w:t>consecuencia</w:t>
      </w:r>
      <w:proofErr w:type="gramEnd"/>
      <w:r w:rsidRPr="008A4A1F">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5CCEA98B" w14:textId="77777777" w:rsidR="00A37F2C" w:rsidRPr="008A4A1F" w:rsidRDefault="009F482A">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Que se trate de información registrada en cualquier soporte documental, </w:t>
      </w:r>
      <w:proofErr w:type="gramStart"/>
      <w:r w:rsidRPr="008A4A1F">
        <w:rPr>
          <w:rFonts w:ascii="Palatino Linotype" w:eastAsia="Palatino Linotype" w:hAnsi="Palatino Linotype" w:cs="Palatino Linotype"/>
          <w:i/>
          <w:sz w:val="22"/>
          <w:szCs w:val="22"/>
        </w:rPr>
        <w:t>que</w:t>
      </w:r>
      <w:proofErr w:type="gramEnd"/>
      <w:r w:rsidRPr="008A4A1F">
        <w:rPr>
          <w:rFonts w:ascii="Palatino Linotype" w:eastAsia="Palatino Linotype" w:hAnsi="Palatino Linotype" w:cs="Palatino Linotype"/>
          <w:i/>
          <w:sz w:val="22"/>
          <w:szCs w:val="22"/>
        </w:rPr>
        <w:t xml:space="preserve"> en ejercicio de las atribuciones conferidas, sea generada por los Sujetos Obligados;</w:t>
      </w:r>
    </w:p>
    <w:p w14:paraId="7F4B0F83" w14:textId="77777777" w:rsidR="00A37F2C" w:rsidRPr="008A4A1F" w:rsidRDefault="009F482A">
      <w:pPr>
        <w:numPr>
          <w:ilvl w:val="0"/>
          <w:numId w:val="7"/>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Que se trate de información registrada en cualquier soporte documental, </w:t>
      </w:r>
      <w:proofErr w:type="gramStart"/>
      <w:r w:rsidRPr="008A4A1F">
        <w:rPr>
          <w:rFonts w:ascii="Palatino Linotype" w:eastAsia="Palatino Linotype" w:hAnsi="Palatino Linotype" w:cs="Palatino Linotype"/>
          <w:i/>
          <w:sz w:val="22"/>
          <w:szCs w:val="22"/>
        </w:rPr>
        <w:t>que</w:t>
      </w:r>
      <w:proofErr w:type="gramEnd"/>
      <w:r w:rsidRPr="008A4A1F">
        <w:rPr>
          <w:rFonts w:ascii="Palatino Linotype" w:eastAsia="Palatino Linotype" w:hAnsi="Palatino Linotype" w:cs="Palatino Linotype"/>
          <w:i/>
          <w:sz w:val="22"/>
          <w:szCs w:val="22"/>
        </w:rPr>
        <w:t xml:space="preserve"> en ejercicio de las atribuciones conferidas, sea administrada por los Sujetos Obligados, y</w:t>
      </w:r>
    </w:p>
    <w:p w14:paraId="7D9F0282" w14:textId="77777777" w:rsidR="00A37F2C" w:rsidRPr="008A4A1F" w:rsidRDefault="009F482A">
      <w:pPr>
        <w:pBdr>
          <w:top w:val="nil"/>
          <w:left w:val="nil"/>
          <w:bottom w:val="nil"/>
          <w:right w:val="nil"/>
          <w:between w:val="nil"/>
        </w:pBdr>
        <w:spacing w:before="240" w:after="240"/>
        <w:ind w:left="567" w:right="567" w:hanging="284"/>
        <w:jc w:val="both"/>
      </w:pPr>
      <w:r w:rsidRPr="008A4A1F">
        <w:rPr>
          <w:rFonts w:ascii="Palatino Linotype" w:eastAsia="Palatino Linotype" w:hAnsi="Palatino Linotype" w:cs="Palatino Linotype"/>
          <w:i/>
          <w:sz w:val="22"/>
          <w:szCs w:val="22"/>
        </w:rPr>
        <w:t xml:space="preserve">3. </w:t>
      </w:r>
      <w:r w:rsidRPr="008A4A1F">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8A4A1F">
        <w:rPr>
          <w:rFonts w:ascii="Palatino Linotype" w:eastAsia="Palatino Linotype" w:hAnsi="Palatino Linotype" w:cs="Palatino Linotype"/>
          <w:b/>
          <w:i/>
          <w:sz w:val="22"/>
          <w:szCs w:val="22"/>
        </w:rPr>
        <w:t>que</w:t>
      </w:r>
      <w:proofErr w:type="gramEnd"/>
      <w:r w:rsidRPr="008A4A1F">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5830210C" w14:textId="77777777" w:rsidR="00A37F2C" w:rsidRPr="008A4A1F" w:rsidRDefault="009F482A">
      <w:pPr>
        <w:pBdr>
          <w:top w:val="nil"/>
          <w:left w:val="nil"/>
          <w:bottom w:val="nil"/>
          <w:right w:val="nil"/>
          <w:between w:val="nil"/>
        </w:pBdr>
        <w:spacing w:before="240" w:after="240" w:line="360" w:lineRule="auto"/>
        <w:jc w:val="both"/>
      </w:pPr>
      <w:r w:rsidRPr="008A4A1F">
        <w:rPr>
          <w:rFonts w:ascii="Palatino Linotype" w:eastAsia="Palatino Linotype" w:hAnsi="Palatino Linotype" w:cs="Palatino Linotype"/>
        </w:rPr>
        <w:t xml:space="preserve">De ahí que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970B1E2" w14:textId="77777777" w:rsidR="00A37F2C" w:rsidRPr="008A4A1F" w:rsidRDefault="009F48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Ahora bien, para profundizar en el estudio del presente asunto, es conveniente recordar que la solicitante requirió al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le proporcionara lo siguiente:</w:t>
      </w:r>
    </w:p>
    <w:p w14:paraId="036513DB" w14:textId="77777777" w:rsidR="00A37F2C" w:rsidRPr="008A4A1F" w:rsidRDefault="009F482A">
      <w:pPr>
        <w:numPr>
          <w:ilvl w:val="0"/>
          <w:numId w:val="5"/>
        </w:num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sz w:val="22"/>
          <w:szCs w:val="22"/>
          <w:u w:val="single"/>
        </w:rPr>
      </w:pPr>
      <w:r w:rsidRPr="008A4A1F">
        <w:rPr>
          <w:rFonts w:ascii="Palatino Linotype" w:eastAsia="Palatino Linotype" w:hAnsi="Palatino Linotype" w:cs="Palatino Linotype"/>
          <w:b/>
          <w:sz w:val="22"/>
          <w:szCs w:val="22"/>
        </w:rPr>
        <w:lastRenderedPageBreak/>
        <w:t xml:space="preserve">Todos los </w:t>
      </w:r>
      <w:r w:rsidRPr="008A4A1F">
        <w:rPr>
          <w:rFonts w:ascii="Palatino Linotype" w:eastAsia="Palatino Linotype" w:hAnsi="Palatino Linotype" w:cs="Palatino Linotype"/>
          <w:b/>
          <w:sz w:val="22"/>
          <w:szCs w:val="22"/>
          <w:u w:val="single"/>
        </w:rPr>
        <w:t>documentos referentes a las disposiciones legales y las determinaciones que dan inicio, crean o modifican, generan registros o dan seguimiento de las instancias y espacios referidos en la solicitud, así los presupuestos asignados y recursos con los que cuentan.</w:t>
      </w:r>
    </w:p>
    <w:p w14:paraId="57B7697C" w14:textId="77777777" w:rsidR="00A37F2C" w:rsidRPr="008A4A1F" w:rsidRDefault="009F482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Adjuntando a dicho requerimiento un archivo electrónico en el que obran treinta preguntas, mismas que se insertan a continuación:</w:t>
      </w:r>
    </w:p>
    <w:p w14:paraId="3256AB5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 Indicar recursos financieros, materiales, de infraestructura, y humanos destinados por el Estado para la búsqueda de personas desaparecidas y la identificación de personas fallecidas no identificadas entre enero de 2018 y 31 de agosto de 2022.</w:t>
      </w:r>
    </w:p>
    <w:p w14:paraId="41F7F4A8" w14:textId="77777777" w:rsidR="00A37F2C" w:rsidRPr="008A4A1F" w:rsidRDefault="009F482A">
      <w:pPr>
        <w:numPr>
          <w:ilvl w:val="0"/>
          <w:numId w:val="3"/>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qué dependencia se le entregaron (desagregar por recursos materiales y financieros, por rubro, por mes y año)</w:t>
      </w:r>
    </w:p>
    <w:p w14:paraId="6071B8E1" w14:textId="77777777" w:rsidR="00A37F2C" w:rsidRPr="008A4A1F" w:rsidRDefault="009F482A">
      <w:pPr>
        <w:numPr>
          <w:ilvl w:val="0"/>
          <w:numId w:val="3"/>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¿Cuántas personas y en qué dependencias realizan labores de búsqueda y cuántas personas y en qué dependencia realizan labores de identificación humana?</w:t>
      </w:r>
    </w:p>
    <w:p w14:paraId="05CE8681" w14:textId="77777777" w:rsidR="00A37F2C" w:rsidRPr="008A4A1F" w:rsidRDefault="009F482A">
      <w:pPr>
        <w:numPr>
          <w:ilvl w:val="0"/>
          <w:numId w:val="3"/>
        </w:numPr>
        <w:spacing w:before="240" w:after="240"/>
        <w:ind w:left="567" w:right="851" w:hanging="14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¿Qué perfiles tienen las personas asignadas a labores de búsqueda, qué perfiles tienen aquéllas destinadas a identificación?</w:t>
      </w:r>
    </w:p>
    <w:p w14:paraId="5F0AB28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2. ¿Cuántos panteones o cementerios forenses tiene la entidad? </w:t>
      </w:r>
    </w:p>
    <w:p w14:paraId="386F5FE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¿Cuál es su nombre oficial?</w:t>
      </w:r>
    </w:p>
    <w:p w14:paraId="23BDD9C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b) ¿Dónde se encuentran ubicados? ¿Cuándo fueron creados? ¿Qué costo tuvo la creación de este espacio o de su reconversión en caso de que se hubiera utilizado una infraestructura previa?</w:t>
      </w:r>
    </w:p>
    <w:p w14:paraId="4557C8F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c) ¿Qué dependencia se encarga de su administración y resguardo? </w:t>
      </w:r>
    </w:p>
    <w:p w14:paraId="53C544E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d) ¿Quién es la persona servidora pública responsable del registro, seguimiento y atención a los panteones o cementerios forenses de la entidad?</w:t>
      </w:r>
    </w:p>
    <w:p w14:paraId="51F15351"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 ¿Cuál es la normatividad que se sigue para determinar qué cuerpos o restos humanos son enviados a estos espacios?</w:t>
      </w:r>
    </w:p>
    <w:p w14:paraId="32163ED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f) ¿Cuál es el manejo que se le da a la base de datos resultante de los registros en estos espacios? ¿Quién la administra? ¿Cómo se realizan cruces para cotejo con ella?</w:t>
      </w:r>
    </w:p>
    <w:p w14:paraId="1A76887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g) ¿Qué capacidad instalada tienen? ¿Cuál es su ocupación al 31 de agosto de 2022?</w:t>
      </w:r>
    </w:p>
    <w:p w14:paraId="505E117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h) ¿Con qué periodicidad se realizan visitas de supervisión? ¿Quién es la autoridad encargada de las mismas? ¿Cuál es el marco normativo de la supervisión de estos espacios?</w:t>
      </w:r>
    </w:p>
    <w:p w14:paraId="43D048E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i) ¿Cuál es la normatividad sanitaria, ambiental, y urbana que se consideró para la creación de estos espacios? ¿Qué estudios se hicieron previo a la creación de los espacios? ¿Hubo trabajos de adecuación entre enero de 2018 y agosto de 2022? ¿En qué consistieron, quién los realizó, qué valoraciones se hicieron y qué costo tuvo?</w:t>
      </w:r>
    </w:p>
    <w:p w14:paraId="2889EE3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3. ¿En qué espacios de la entidad se resguardan cuerpos o restos humanos de personas fallecidas sin identificar? </w:t>
      </w:r>
    </w:p>
    <w:p w14:paraId="4E843FB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 ¿Cuál es la normatividad que rige los procesos de resguardo, procesamientos y búsqueda de identidad?</w:t>
      </w:r>
    </w:p>
    <w:p w14:paraId="428E49B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b) ¿Qué autoridad o autoridades están a cargo de estos procesos?</w:t>
      </w:r>
    </w:p>
    <w:p w14:paraId="67AEEEA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c) ¿Cuál es el nombre oficial y dónde están ubicados los espacios de resguardo? ¿Cuándo fueron creados?</w:t>
      </w:r>
    </w:p>
    <w:p w14:paraId="3D079D6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d) ¿Qué capacidad instalada tienen? </w:t>
      </w:r>
    </w:p>
    <w:p w14:paraId="682EF6A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e) ¿Qué costos tiene su operación y mantenimiento?</w:t>
      </w:r>
    </w:p>
    <w:p w14:paraId="6CB923E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f) ¿Qué recursos materiales y humanos se destinaron a su operación y mantenimiento?</w:t>
      </w:r>
    </w:p>
    <w:p w14:paraId="15A360D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4. Informar qué normatividad existe en la entidad relacionada con la búsqueda de personas desaparecidas y la identificación de personas fallecidas sin identificar hasta agosto de 2022. Informar fechas de entrada en vigor, normas derogadas (indicar fecha de entrada en vigor y fecha en que fue derogada), avisos, memorándums, oficios circulares, protocolos o lineamientos que existan sobre esos temas. Remitir copia digital de los soportes documentales.</w:t>
      </w:r>
    </w:p>
    <w:p w14:paraId="37C5C3D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5. Informar qué normatividad existe en materia de tratamiento y notificación forense, así como en cuanto a restitución de cuerpos o restos de personas fallecidas a sus familias. Indicar a qué dependencia corresponde la labor y con qué instalaciones y </w:t>
      </w:r>
      <w:r w:rsidRPr="008A4A1F">
        <w:rPr>
          <w:rFonts w:ascii="Palatino Linotype" w:eastAsia="Palatino Linotype" w:hAnsi="Palatino Linotype" w:cs="Palatino Linotype"/>
          <w:i/>
          <w:sz w:val="22"/>
          <w:szCs w:val="22"/>
        </w:rPr>
        <w:lastRenderedPageBreak/>
        <w:t>recursos materiales y humanos cuenta para llevarla a cabo. Remitir copia digital de los soportes documentales.</w:t>
      </w:r>
    </w:p>
    <w:p w14:paraId="38F6AC0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6. Informar en qué tipo de caja, bolsa, o afín, se entregan los cuerpos o restos humanos de personas fallecidas en la entidad. Indicar, en el periodo de enero de 2018 a 2022, quién hizo las adquisiciones de los insumos, los costos mensuales por año, quiénes fueron los proveedores y si el proceso se sujetó a licitación. De haber sido licitación o adjudicación directa, señalar los soportes que llevaron a la elección del proveedor. Remitir copia digital de los soportes documentales.</w:t>
      </w:r>
    </w:p>
    <w:p w14:paraId="6A3266B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7. ¿Cómo se documente el contexto de hallazgo de un cuerpo o restos humanos en la entidad? ¿Cuál es el fundamento en la entidad? ¿Qué formatos o protocolos se siguen? Remitir copia digital de los soportes documentales.</w:t>
      </w:r>
    </w:p>
    <w:p w14:paraId="2A9BD3C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8. A nivel estatal señalar si hay algún mecanismo de coordinación con alguna otra dependencia u organismo local para intervención conjunta. De ser así, explicar cómo funciona y cuál es el fundamento.</w:t>
      </w:r>
    </w:p>
    <w:p w14:paraId="3718237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9. Indicar si acude médico forense a las diligencias de búsqueda. En caso afirmativo señalar protocolos que se siguen, labor que realizan, a qué dependencia pertenece.</w:t>
      </w:r>
    </w:p>
    <w:p w14:paraId="3415E34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10. ¿De quién dependen los servicios periciales y los servicios médicos forenses en la entidad?</w:t>
      </w:r>
    </w:p>
    <w:p w14:paraId="46BCDA1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11. ¿Cuántos peritos y de qué especialidades se tienen? Señale, por perito, la fecha de última actualización en su campo disciplinario y a cargo de quién estuvo. Indicar si fue financiada por la institución, la entidad, algún otro organismo público o a través de un organismo o entidad internacional.</w:t>
      </w:r>
    </w:p>
    <w:p w14:paraId="56082A4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12. Indique la fecha de último abastecimiento de insumos para labores periciales, indicar cuáles se recibieron y quién proporciona los recursos para su adquisición y con qué periodicidad, entre enero de 2018 y el 31 de agosto de 2022.</w:t>
      </w:r>
    </w:p>
    <w:p w14:paraId="124BCCC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13. Número de procesos por declaración de ausencia se han iniciado en la entidad de enero de 2018 al 31 de agosto de 2022. Desagregar por género de la persona promovente y relación con la persona desaparecida por mes y por año.</w:t>
      </w:r>
    </w:p>
    <w:p w14:paraId="00FBAAF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14. Indicar con cuántos centros de identificación humana cuenta la entidad, en dónde se encuentran localizados, qué presupuesto tienen asignado, fecha de entrada en operación y número y tipo de personas adscritas para su operación.</w:t>
      </w:r>
    </w:p>
    <w:p w14:paraId="51DB645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15. Indicar número y tipo de laboratorios forenses en la entidad que están certificados. Especificar el laboratorio, la certificación con la que cuenta, y la fecha en que se obtuvo la misma.</w:t>
      </w:r>
    </w:p>
    <w:p w14:paraId="68A4E21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16.- Enumerar y describir el tipo de estudios que se realizan para registro de datos para identificación de personas fallecidas sin identificar en la entidad. Indicar a cargo de qué autoridad están los peritos que intervienen y qué base de datos se alimenta con la información resultante. Señalar cómo se realizan cruces para cotejo.</w:t>
      </w:r>
    </w:p>
    <w:p w14:paraId="1882E0D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17. ¿Qué tipo de registros se generan en la entidad tanto del procedimiento como de la persona a identificar? ¿Qué mecanismos de protección de datos se utilizan? ¿Quién y cómo determinan los accesos para consulta a los registros, con qué fundamento legal? ¿Qué bases de datos se alimentan con la información resultante? ¿Qué bases de datos se consultan para el llenado o posible cruce con fines de identificación?</w:t>
      </w:r>
    </w:p>
    <w:p w14:paraId="6FF8EA2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18. ¿Qué entidad, institución o dependencia se encarga de recabar perfiles genéticos de familiares de personas desaparecidas o no </w:t>
      </w:r>
      <w:proofErr w:type="gramStart"/>
      <w:r w:rsidRPr="008A4A1F">
        <w:rPr>
          <w:rFonts w:ascii="Palatino Linotype" w:eastAsia="Palatino Linotype" w:hAnsi="Palatino Linotype" w:cs="Palatino Linotype"/>
          <w:i/>
          <w:sz w:val="22"/>
          <w:szCs w:val="22"/>
        </w:rPr>
        <w:t>localizadas?¿</w:t>
      </w:r>
      <w:proofErr w:type="gramEnd"/>
      <w:r w:rsidRPr="008A4A1F">
        <w:rPr>
          <w:rFonts w:ascii="Palatino Linotype" w:eastAsia="Palatino Linotype" w:hAnsi="Palatino Linotype" w:cs="Palatino Linotype"/>
          <w:i/>
          <w:sz w:val="22"/>
          <w:szCs w:val="22"/>
        </w:rPr>
        <w:t>Con qué periodicidad se recaba esa información? ¿Con qué periodicidad se actualizan las bases de datos de los registros con los que se cuenta?</w:t>
      </w:r>
    </w:p>
    <w:p w14:paraId="3B3AD32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19. ¿Dónde y cómo se resguardan las muestras que se toman? ¿Qué procesamiento se realiza en las mismas? Indicar mecanismos, peritos, insumos y espacios que se utilizan para esta parte del proceso.  ¿A cargo de quién queda esta parte del proceso? ¿Qué tipo de acceso para consulta tienen otras entidades estatales o federales?</w:t>
      </w:r>
    </w:p>
    <w:p w14:paraId="5AC326A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20. ¿Qué tipo de registros se generan a partir del procesamiento de las muestras? ¿Se reportan a alguna autoridad? De ser así referir cuál, cómo, y con qué periodicidad. Indicar si se alimenta alguna base de datos con estos registros, de ser así, indicar cuál, cómo y con qué periodicidad. Indicar quién puede consultar esa base de datos.</w:t>
      </w:r>
    </w:p>
    <w:p w14:paraId="0BAECA4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21. Del total de muestras recibidas entre enero de 2018 y el 31 de agosto de 2022, ¿cuántas han sido ya procesadas, cuántas ya están registradas en alguna base de datos, y cuántas están pendientes de procesar o de registrar? ¿A cuántas personas corresponden las muestras en total? ¿Cuántas de estas muestras se han tomado de cadáveres o restos óseos? ¿cuántas han sido ya procesadas, cuántas ya están registradas en alguna base de datos, y cuántas están pendientes de procesar o de registrar?</w:t>
      </w:r>
    </w:p>
    <w:p w14:paraId="4B93F2E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22. ¿Cómo se realiza el cotejo de huellas digitales de personas fallecidas sin identificar en la entidad? ¿Qué registros se generan? ¿En qué base de datos se registran? ¿A </w:t>
      </w:r>
      <w:r w:rsidRPr="008A4A1F">
        <w:rPr>
          <w:rFonts w:ascii="Palatino Linotype" w:eastAsia="Palatino Linotype" w:hAnsi="Palatino Linotype" w:cs="Palatino Linotype"/>
          <w:i/>
          <w:sz w:val="22"/>
          <w:szCs w:val="22"/>
        </w:rPr>
        <w:lastRenderedPageBreak/>
        <w:t>partir de qué fecha se realiza? ¿Ese registro tienen comunicación con algún otro? ¿Cuál es el fundamento legal para el registro (o no) de las huellas en la entidad?</w:t>
      </w:r>
    </w:p>
    <w:p w14:paraId="05DB006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23. En la entidad, como parte de los procesos de identificación, ¿se realizan registros odontológicos? ¿Se documentan radiografías? ¿De qué tipo? ¿Desde cuándo y con qué fundamento se recaba esta información? ¿En qué formato y tipo de soporte se genera el registro? ¿En qué base de datos se registraron? ¿Ese registro tienen comunicación con algún otro? ¿Cómo se actualizan los registros de identificación? ¿Con qué periodicidad?</w:t>
      </w:r>
    </w:p>
    <w:p w14:paraId="3DAA6F5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24. ¿Cómo se actualizan los registros de identificación en la entidad? ¿Con qué periodicidad? ¿Qué proceso se sigue cuando hay una identificación positiva? Indicar fundamento y remitir copia soporte del documento que consigne el proceso.</w:t>
      </w:r>
    </w:p>
    <w:p w14:paraId="4E7F32B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25. En la entidad ¿existe algún registro de señas particulares (cicatrices, tatuajes, lunares, marcas, otros)? ¿Cuál es su nombre oficial y desde cuándo existe? ¿Dónde se encuentra? ¿Cómo se realiza el cotejo con otras bases de datos? ¿Cómo se actualizan los registros de identificación? ¿Con qué periodicidad?</w:t>
      </w:r>
    </w:p>
    <w:p w14:paraId="00C9F1A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26. ¿De qué fecha data el registro más antiguo que tienen de personas fallecidas sin identificar en la entidad? ¿Qué tipo de soporte (físico, virtual, de acceso público, de consulta interna, otro) utiliza? ¿Cómo se actualizan los registros de identificación? ¿Con qué periodicidad?</w:t>
      </w:r>
    </w:p>
    <w:p w14:paraId="5E482C3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27. ¿Hay algún área o personal encargado (de forma temporal o permanente) de actualizar, completar, cruzar las bases de datos? ¿Qué perfil tiene? ¿Con qué periodicidad lo hace? ¿A qué dependencia pertenece? ¿Desde cuándo se encarga de la actualización de estas bases de datos? ¿Cuál es el fundamento legal de su actuación?</w:t>
      </w:r>
    </w:p>
    <w:p w14:paraId="11D6368C"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28. ¿Qué tipo de registros se tienen de los cuerpos inhumados en la entidad? ¿Quién los concentra? ¿Cómo se actualizan? ¿Qué mecanismos de validación y actualización de información se tienen y de qué entidad o persona servidora pública dependen?</w:t>
      </w:r>
    </w:p>
    <w:p w14:paraId="61F746A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29. ¿Quién informa a la familia de la identificación de una persona fallecida en contextos de desaparición? ¿Cómo se realiza la notificación? ¿Qué personal participa? ¿Hay algún espacio físico para el proceso? ¿Dónde se encuentra ubicado? ¿Se lleva a cabo algún seguimiento o canalización?</w:t>
      </w:r>
    </w:p>
    <w:p w14:paraId="665DDAB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30. ¿Se cuenta con protocolos, lineamientos o alguna otra normatividad interna relacionada con la notificación forense con enfoque psicosocial y la entrega digna? </w:t>
      </w:r>
      <w:r w:rsidRPr="008A4A1F">
        <w:rPr>
          <w:rFonts w:ascii="Palatino Linotype" w:eastAsia="Palatino Linotype" w:hAnsi="Palatino Linotype" w:cs="Palatino Linotype"/>
          <w:i/>
          <w:sz w:val="22"/>
          <w:szCs w:val="22"/>
        </w:rPr>
        <w:lastRenderedPageBreak/>
        <w:t>¿Desde cuándo entró en vigor? ¿Qué mecanismos de supervisión de cumplimiento prevé? ¿A quién le corresponde la operación y supervisión? ¿Cuál es el fundamento legal? Remitir copia digital de los soportes documentales.”</w:t>
      </w:r>
    </w:p>
    <w:p w14:paraId="399D8AB5"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respuesta, el </w:t>
      </w:r>
      <w:r w:rsidRPr="008A4A1F">
        <w:rPr>
          <w:rFonts w:ascii="Palatino Linotype" w:eastAsia="Palatino Linotype" w:hAnsi="Palatino Linotype" w:cs="Palatino Linotype"/>
          <w:b/>
        </w:rPr>
        <w:t xml:space="preserve">Sujeto Obligado </w:t>
      </w:r>
      <w:r w:rsidRPr="008A4A1F">
        <w:rPr>
          <w:rFonts w:ascii="Palatino Linotype" w:eastAsia="Palatino Linotype" w:hAnsi="Palatino Linotype" w:cs="Palatino Linotype"/>
        </w:rPr>
        <w:t xml:space="preserve">declaró su incompetencia para conocer de la solicitud de información pública al </w:t>
      </w:r>
      <w:r w:rsidRPr="008A4A1F">
        <w:rPr>
          <w:rFonts w:ascii="Palatino Linotype" w:eastAsia="Palatino Linotype" w:hAnsi="Palatino Linotype" w:cs="Palatino Linotype"/>
          <w:b/>
        </w:rPr>
        <w:t>mismo día hábil de haberse presentado el requerimiento de información</w:t>
      </w:r>
      <w:r w:rsidRPr="008A4A1F">
        <w:rPr>
          <w:rFonts w:ascii="Palatino Linotype" w:eastAsia="Palatino Linotype" w:hAnsi="Palatino Linotype" w:cs="Palatino Linotype"/>
        </w:rPr>
        <w:t>, ello expresando medularmente que los datos requeridos no corresponden a la información generada y contenida por ese sujeto obligado, en virtud de no encontrarse dentro de las facultades y obligaciones de la Legislatura, plasmadas en el artículo 61 de la Constitución Política del Estado Libre y Soberano del Estado de México, así como los artículos 30 al 38 de la Ley Orgánica del Poder Legislativo del Estado Libre y Soberano de México; por lo que al no existir facultad, competencia o atribución dentro de los ordenamientos jurídicos, no se cuenta con información relativa a su petición.</w:t>
      </w:r>
    </w:p>
    <w:p w14:paraId="6BDF19DE"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Asimismo hace del conocimiento de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xml:space="preserve"> que mediante decreto del Poder Ejecutivo del Estado de México de fecha 17 de abril de 2018, se crea la Comisión de Búsqueda de Personas del Estado de México (COBUPEM), órgano desconcentrado de la Secretaría de Justicia y Derechos Humanos, con el fin de ejecutar y dar seguimiento a las acciones para la búsqueda de personas desaparecidas y no localizadas de nuestra entidad en coordinación con las distintas autoridades de los tres órdenes de gobierno para garantizar la protección integral de los derechos de las personas desaparecidas o no localizadas hasta que se conozca su suerte o paradero; así mismo garantizar a sus familiares el acceso a la verdad y a la justicia, en cumplimiento con la Ley General en Materia de Desaparición Forzada de Personas, Desaparición Cometida por Particulares y del Sistema de Búsqueda de Personas, misma que se anexa a la respuesta. </w:t>
      </w:r>
    </w:p>
    <w:p w14:paraId="68F04ADD"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 xml:space="preserve">Por lo que lo orienta para que ingrese de nueva cuenta su solicitud a la Secretaría de Justicia y Derechos Humanos del Gobierno del Estado de México, es de precisar que a este dicho adjuntó el decreto del Ejecutivo por el que se crea la Comisión de Búsqueda de Personas del Estado de México y el Texto de la Ley General en Materia de Desaparición Forzada de Personas, Desaparición Cometida por Particulares y del Sistema Nacional de Búsqueda de Personas. </w:t>
      </w:r>
    </w:p>
    <w:p w14:paraId="6574EBCE" w14:textId="77777777" w:rsidR="00A37F2C" w:rsidRPr="008A4A1F" w:rsidRDefault="009F482A">
      <w:pPr>
        <w:spacing w:before="240" w:after="240" w:line="360" w:lineRule="auto"/>
        <w:jc w:val="both"/>
        <w:rPr>
          <w:rFonts w:ascii="Palatino Linotype" w:eastAsia="Palatino Linotype" w:hAnsi="Palatino Linotype" w:cs="Palatino Linotype"/>
          <w:b/>
          <w:i/>
        </w:rPr>
      </w:pPr>
      <w:r w:rsidRPr="008A4A1F">
        <w:rPr>
          <w:rFonts w:ascii="Palatino Linotype" w:eastAsia="Palatino Linotype" w:hAnsi="Palatino Linotype" w:cs="Palatino Linotype"/>
        </w:rPr>
        <w:t xml:space="preserve">Una vez conocida la respuesta, el particular interpuso el recurso de revisión que se resuelve, inconformándose en el acto impugnado expresando lo siguiente: </w:t>
      </w:r>
      <w:r w:rsidRPr="008A4A1F">
        <w:rPr>
          <w:rFonts w:ascii="Palatino Linotype" w:eastAsia="Palatino Linotype" w:hAnsi="Palatino Linotype" w:cs="Palatino Linotype"/>
          <w:b/>
          <w:i/>
        </w:rPr>
        <w:t>“</w:t>
      </w:r>
      <w:r w:rsidRPr="008A4A1F">
        <w:rPr>
          <w:rFonts w:ascii="Palatino Linotype" w:eastAsia="Palatino Linotype" w:hAnsi="Palatino Linotype" w:cs="Palatino Linotype"/>
          <w:b/>
          <w:i/>
          <w:u w:val="single"/>
        </w:rPr>
        <w:t>Corresponde al poder legislativo el desarrollo del marco normativo local sobre el cual se pregunta en el documento anexo a la solicitud de información inicial. En ese tenor es de esperarse que cuente con los registros correspondientes a su propia producción normativa por lo que se esperaría que la entidad encargada de crear la normatividad estatal tuviera registro, conocimiento y soporte documental de esta información</w:t>
      </w:r>
      <w:r w:rsidRPr="008A4A1F">
        <w:rPr>
          <w:rFonts w:ascii="Palatino Linotype" w:eastAsia="Palatino Linotype" w:hAnsi="Palatino Linotype" w:cs="Palatino Linotype"/>
          <w:b/>
          <w:i/>
        </w:rPr>
        <w:t xml:space="preserve">, </w:t>
      </w:r>
      <w:r w:rsidRPr="008A4A1F">
        <w:rPr>
          <w:rFonts w:ascii="Palatino Linotype" w:eastAsia="Palatino Linotype" w:hAnsi="Palatino Linotype" w:cs="Palatino Linotype"/>
          <w:i/>
        </w:rPr>
        <w:t>que se solicitó de manera detallada en el documento anexo a la solicitud inicial, mismo que se adjunta para pronta referencia. Se observa que el no dar respuesta, principalmente tratándose de una materia que refiere a una violación grave a derechos humanos, como lo es la desaparición, va contra los principios de exhaustividad, máxima publicidad, y transparencia proactiva mediante una interpretación restrictiva de la solicitud contraria al interés público</w:t>
      </w:r>
      <w:r w:rsidRPr="008A4A1F">
        <w:rPr>
          <w:rFonts w:ascii="Palatino Linotype" w:eastAsia="Palatino Linotype" w:hAnsi="Palatino Linotype" w:cs="Palatino Linotype"/>
          <w:b/>
          <w:i/>
        </w:rPr>
        <w:t xml:space="preserve">.” </w:t>
      </w:r>
      <w:r w:rsidRPr="008A4A1F">
        <w:rPr>
          <w:rFonts w:ascii="Palatino Linotype" w:eastAsia="Palatino Linotype" w:hAnsi="Palatino Linotype" w:cs="Palatino Linotype"/>
          <w:i/>
        </w:rPr>
        <w:t>(Sic)</w:t>
      </w:r>
      <w:r w:rsidRPr="008A4A1F">
        <w:rPr>
          <w:rFonts w:ascii="Palatino Linotype" w:eastAsia="Palatino Linotype" w:hAnsi="Palatino Linotype" w:cs="Palatino Linotype"/>
          <w:b/>
          <w:i/>
        </w:rPr>
        <w:t xml:space="preserve"> </w:t>
      </w:r>
      <w:r w:rsidRPr="008A4A1F">
        <w:rPr>
          <w:rFonts w:ascii="Palatino Linotype" w:eastAsia="Palatino Linotype" w:hAnsi="Palatino Linotype" w:cs="Palatino Linotype"/>
          <w:i/>
        </w:rPr>
        <w:t>(Énfasis añadido).</w:t>
      </w:r>
    </w:p>
    <w:p w14:paraId="518730C6"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teniendo así que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rindió su informe justificado, reiterando la incompetencia del Poder Legislativo para atender la solicitud de información y </w:t>
      </w:r>
      <w:r w:rsidRPr="008A4A1F">
        <w:rPr>
          <w:rFonts w:ascii="Palatino Linotype" w:eastAsia="Palatino Linotype" w:hAnsi="Palatino Linotype" w:cs="Palatino Linotype"/>
        </w:rPr>
        <w:lastRenderedPageBreak/>
        <w:t>resaltando el hecho de que la Legislatura no es la única creadora de ordenamientos legales pues el marco normativo se compone de otros documentos que pueden ser de carácter administrativo, de tal suerte a su consideración, quien pudiera ser competente para atender lo solicitado es la Secretaría de Justicia y Derechos Humanos, quien es un sujeto obligado diverso, por cuanto hace a</w:t>
      </w:r>
      <w:r w:rsidRPr="008A4A1F">
        <w:rPr>
          <w:rFonts w:ascii="Palatino Linotype" w:eastAsia="Palatino Linotype" w:hAnsi="Palatino Linotype" w:cs="Palatino Linotype"/>
          <w:b/>
        </w:rPr>
        <w:t xml:space="preserve"> la parte Recurrente</w:t>
      </w:r>
      <w:r w:rsidRPr="008A4A1F">
        <w:rPr>
          <w:rFonts w:ascii="Palatino Linotype" w:eastAsia="Palatino Linotype" w:hAnsi="Palatino Linotype" w:cs="Palatino Linotype"/>
        </w:rPr>
        <w:t>, se tiene que fue omisa en pronunciarse, por lo que se procedió a emitir el respectivo cierre de instrucción para su posterior resolución.</w:t>
      </w:r>
    </w:p>
    <w:p w14:paraId="4A670E32" w14:textId="77777777" w:rsidR="00A37F2C" w:rsidRPr="008A4A1F" w:rsidRDefault="009F482A">
      <w:pPr>
        <w:spacing w:before="240" w:after="240" w:line="360" w:lineRule="auto"/>
        <w:jc w:val="both"/>
        <w:rPr>
          <w:rFonts w:ascii="Palatino Linotype" w:eastAsia="Palatino Linotype" w:hAnsi="Palatino Linotype" w:cs="Palatino Linotype"/>
          <w:b/>
          <w:u w:val="single"/>
        </w:rPr>
      </w:pPr>
      <w:r w:rsidRPr="008A4A1F">
        <w:rPr>
          <w:rFonts w:ascii="Palatino Linotype" w:eastAsia="Palatino Linotype" w:hAnsi="Palatino Linotype" w:cs="Palatino Linotype"/>
        </w:rPr>
        <w:t xml:space="preserve">Una vez expuestas las posturas de las partes, es importante resaltar que de un ejercicio de interpretación al requerimiento de información de la ahora </w:t>
      </w:r>
      <w:r w:rsidRPr="008A4A1F">
        <w:rPr>
          <w:rFonts w:ascii="Palatino Linotype" w:eastAsia="Palatino Linotype" w:hAnsi="Palatino Linotype" w:cs="Palatino Linotype"/>
          <w:b/>
        </w:rPr>
        <w:t>parte Recurrente</w:t>
      </w:r>
      <w:r w:rsidRPr="008A4A1F">
        <w:rPr>
          <w:rFonts w:ascii="Palatino Linotype" w:eastAsia="Palatino Linotype" w:hAnsi="Palatino Linotype" w:cs="Palatino Linotype"/>
        </w:rPr>
        <w:t xml:space="preserve">, se advierte que lo que requiere son </w:t>
      </w:r>
      <w:r w:rsidRPr="008A4A1F">
        <w:rPr>
          <w:rFonts w:ascii="Palatino Linotype" w:eastAsia="Palatino Linotype" w:hAnsi="Palatino Linotype" w:cs="Palatino Linotype"/>
          <w:b/>
          <w:u w:val="single"/>
        </w:rPr>
        <w:t>aquellos documentos consistentes en disposiciones legales, determinaciones que dan inicio, crean, modifican, generan registro o dan seguimiento a las instancias encargadas de la atención a desaparición de personas que se abordan en los treinta cuestionamientos así como los presupuestos asignados y recursos con los que se cuentan.</w:t>
      </w:r>
    </w:p>
    <w:p w14:paraId="6E986E13"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tal tesitura, de un análisis a los cuestionamientos que acompañan esta solicitud de información, </w:t>
      </w:r>
      <w:r w:rsidRPr="008A4A1F">
        <w:rPr>
          <w:rFonts w:ascii="Palatino Linotype" w:eastAsia="Palatino Linotype" w:hAnsi="Palatino Linotype" w:cs="Palatino Linotype"/>
          <w:b/>
        </w:rPr>
        <w:t>se vislumbran interrogantes específicas respecto de la atención que otorga el Estado para la búsqueda de personas desaparecidas e identificación de personas fallecidas, en virtud de que solicita que se le indiquen los recursos financieros, materiales, de infraestructura, y humanos destinados por el Estado para la búsqueda de personas desaparecidas y la identificación de personas fallecidas no identificadas, dependencia a la que se le entregaron dichos recursos, perfiles de las personas asignadas a labores de búsqueda, documentación del hallazgo de un cuerpo o restos humanos, protocolos que siguen, registros de cuerpos inhumados,</w:t>
      </w:r>
      <w:r w:rsidRPr="008A4A1F">
        <w:rPr>
          <w:rFonts w:ascii="Palatino Linotype" w:eastAsia="Palatino Linotype" w:hAnsi="Palatino Linotype" w:cs="Palatino Linotype"/>
        </w:rPr>
        <w:t xml:space="preserve"> etc.</w:t>
      </w:r>
    </w:p>
    <w:p w14:paraId="68C3CDE7"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Bajo tales consideraciones, resulta pertinente analizar la esfera competencial del Poder Legislativo y la Comisión de Búsqueda de Personas del Estado de México, órgano desconcentrado de la Secretaría de Justicia y Derechos Humanos, respectivamente, para ello se subdividirá el presente estudio en dos partes:</w:t>
      </w:r>
    </w:p>
    <w:p w14:paraId="3ABF12A0" w14:textId="77777777" w:rsidR="00A37F2C" w:rsidRPr="008A4A1F" w:rsidRDefault="009F482A">
      <w:pPr>
        <w:spacing w:before="240" w:after="240" w:line="360" w:lineRule="auto"/>
        <w:jc w:val="both"/>
        <w:rPr>
          <w:rFonts w:ascii="Palatino Linotype" w:eastAsia="Palatino Linotype" w:hAnsi="Palatino Linotype" w:cs="Palatino Linotype"/>
          <w:b/>
          <w:u w:val="single"/>
        </w:rPr>
      </w:pPr>
      <w:r w:rsidRPr="008A4A1F">
        <w:rPr>
          <w:rFonts w:ascii="Palatino Linotype" w:eastAsia="Palatino Linotype" w:hAnsi="Palatino Linotype" w:cs="Palatino Linotype"/>
          <w:b/>
          <w:u w:val="single"/>
        </w:rPr>
        <w:t>Análisis de la esfera competencial de:</w:t>
      </w:r>
    </w:p>
    <w:p w14:paraId="4F3A59B1" w14:textId="77777777" w:rsidR="00A37F2C" w:rsidRPr="008A4A1F" w:rsidRDefault="009F482A">
      <w:pPr>
        <w:numPr>
          <w:ilvl w:val="0"/>
          <w:numId w:val="6"/>
        </w:numPr>
        <w:pBdr>
          <w:top w:val="nil"/>
          <w:left w:val="nil"/>
          <w:bottom w:val="nil"/>
          <w:right w:val="nil"/>
          <w:between w:val="nil"/>
        </w:pBdr>
        <w:spacing w:before="240" w:after="240"/>
        <w:ind w:right="851"/>
        <w:jc w:val="both"/>
        <w:rPr>
          <w:rFonts w:ascii="Palatino Linotype" w:eastAsia="Palatino Linotype" w:hAnsi="Palatino Linotype" w:cs="Palatino Linotype"/>
          <w:b/>
        </w:rPr>
      </w:pPr>
      <w:r w:rsidRPr="008A4A1F">
        <w:rPr>
          <w:rFonts w:ascii="Palatino Linotype" w:eastAsia="Palatino Linotype" w:hAnsi="Palatino Linotype" w:cs="Palatino Linotype"/>
          <w:b/>
        </w:rPr>
        <w:t>Poder Legislativo.</w:t>
      </w:r>
    </w:p>
    <w:p w14:paraId="0C8FC5C7" w14:textId="77777777" w:rsidR="00A37F2C" w:rsidRPr="008A4A1F" w:rsidRDefault="009F482A">
      <w:pPr>
        <w:numPr>
          <w:ilvl w:val="0"/>
          <w:numId w:val="6"/>
        </w:numPr>
        <w:pBdr>
          <w:top w:val="nil"/>
          <w:left w:val="nil"/>
          <w:bottom w:val="nil"/>
          <w:right w:val="nil"/>
          <w:between w:val="nil"/>
        </w:pBdr>
        <w:spacing w:before="240" w:after="240"/>
        <w:ind w:right="851"/>
        <w:jc w:val="both"/>
        <w:rPr>
          <w:rFonts w:ascii="Palatino Linotype" w:eastAsia="Palatino Linotype" w:hAnsi="Palatino Linotype" w:cs="Palatino Linotype"/>
          <w:b/>
        </w:rPr>
      </w:pPr>
      <w:r w:rsidRPr="008A4A1F">
        <w:rPr>
          <w:rFonts w:ascii="Palatino Linotype" w:eastAsia="Palatino Linotype" w:hAnsi="Palatino Linotype" w:cs="Palatino Linotype"/>
          <w:b/>
        </w:rPr>
        <w:t>Comisión de Búsqueda de Personas del Estado de México, órgano desconcentrado de la Secretaría de Justicia y Derechos Humanos.</w:t>
      </w:r>
    </w:p>
    <w:p w14:paraId="02A31B0B" w14:textId="77777777" w:rsidR="00A37F2C" w:rsidRPr="008A4A1F" w:rsidRDefault="00A37F2C">
      <w:pPr>
        <w:spacing w:before="240" w:after="240"/>
        <w:ind w:right="851"/>
        <w:jc w:val="both"/>
        <w:rPr>
          <w:rFonts w:ascii="Palatino Linotype" w:eastAsia="Palatino Linotype" w:hAnsi="Palatino Linotype" w:cs="Palatino Linotype"/>
          <w:b/>
        </w:rPr>
      </w:pPr>
    </w:p>
    <w:p w14:paraId="46512DDE" w14:textId="77777777" w:rsidR="00A37F2C" w:rsidRPr="008A4A1F" w:rsidRDefault="009F482A">
      <w:pPr>
        <w:spacing w:before="240" w:after="240"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t>a) De la esfera competencial del Poder Legislativo:</w:t>
      </w:r>
    </w:p>
    <w:p w14:paraId="33597252"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En lo tocante a este punto, el artículo 61 de la Constitución Política del Estado Libre y Soberano de México, señala que la legislatura cuenta con las siguientes facultades y obligaciones:</w:t>
      </w:r>
    </w:p>
    <w:p w14:paraId="0983880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“Artículo 61. Son facultades y obligaciones de la legislatura:</w:t>
      </w:r>
    </w:p>
    <w:p w14:paraId="160594DD"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I. Expedir leyes, decretos o acuerdos para el régimen interior del Estado, en todos los ramos de la administración del gobierno;</w:t>
      </w:r>
    </w:p>
    <w:p w14:paraId="6F2C977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II. Examinar y opinar sobre el Plan de Desarrollo del Estado que le remita el Ejecutivo;</w:t>
      </w:r>
    </w:p>
    <w:p w14:paraId="1CBC488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III. Expedir su Ley Orgánica y todas las normas necesarias para el debido funcionamiento de sus órganos y dependencias;</w:t>
      </w:r>
    </w:p>
    <w:p w14:paraId="7E379D89"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IV. Cumplir con las obligaciones de carácter legislativo que le fueren impuestas por la Constitución Política de los Estados Unidos Mexicanos, las leyes de la Unión, expidiendo al efecto las leyes locales necesarias;</w:t>
      </w:r>
    </w:p>
    <w:p w14:paraId="36A394F2"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VII. Iniciar leyes o decretos ante el Congreso de la Unión;</w:t>
      </w:r>
    </w:p>
    <w:p w14:paraId="3C95CB4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IX. Reclamar ante la Suprema Corte de Justicia de la Nación cuando alguna ley o acto del Gobierno Federal constituya un ataque a la libertad, a la soberanía del Estado, a su Constitución o a la Constitución Federal, dando vista al Gobernador;</w:t>
      </w:r>
    </w:p>
    <w:p w14:paraId="59A4219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 Conocer y resolver sobre las modificaciones a la Constitución General de la República que el Congreso de la Unión le remita;</w:t>
      </w:r>
    </w:p>
    <w:p w14:paraId="08A9333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XI. Autorizar facultades extraordinarias en favor del Ejecutivo, en casos excepcionales, y cuando así lo estime conveniente por las circunstancias especiales en que se encuentre el Estado, por tiempo limitado y previa aprobación de las dos terceras partes del total de sus miembros. </w:t>
      </w:r>
    </w:p>
    <w:p w14:paraId="5E1E6F8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XII. Convocar a elecciones ordinarias o extraordinarias de Gobernador o Gobernadora, diputados o diputadas y miembros de los ayuntamientos.</w:t>
      </w:r>
    </w:p>
    <w:p w14:paraId="50A9E191"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203F48C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XV. Aprobar por las dos terceras partes de la Legislatura, los nombramientos de Magistrados del Tribunal Superior de Justicia y del Tribunal de Justicia Administrativa del Estado de México que hagan el Consejo de la Judicatura y el Gobernador, respectivamente, dentro de los 10 días hábiles siguientes a la fecha de los nombramientos, en los términos que disponga la Ley.</w:t>
      </w:r>
    </w:p>
    <w:p w14:paraId="36D6B5C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66079C4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XVI. Nombrar a los miembros de los ayuntamientos cuya designación le corresponda en los términos de la presente Constitución;</w:t>
      </w:r>
    </w:p>
    <w:p w14:paraId="4D044B7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XVII. Resolver sobre las licencias temporales o absolutas de sus miembros, del Gobernador, de los Magistrados del Tribunal Superior de Justicia y del Tribunal de Justicia Administrativa del Estado de México, cuando las ausencias excedan del término que establezcan las leyes respectivas.</w:t>
      </w:r>
    </w:p>
    <w:p w14:paraId="38CF894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0CD2C82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XIX. Recibir el aviso del Ejecutivo del Estado y de los presidentes municipales, cuando salgan al extranjero en misiones oficiales.</w:t>
      </w:r>
    </w:p>
    <w:p w14:paraId="0D556C11"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 Nombrar y remover al personal del Poder Legislativo y de sus dependencias en los términos de la Legislación respectiva;</w:t>
      </w:r>
    </w:p>
    <w:p w14:paraId="211F913C"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XXI. Recibir la protesta de la Gobernadora o del Gobernador, las Diputadas, los Diputados, las Magistradas y los Magistrados del Tribunal Superior de Justicia, del </w:t>
      </w:r>
      <w:r w:rsidRPr="008A4A1F">
        <w:rPr>
          <w:rFonts w:ascii="Palatino Linotype" w:eastAsia="Palatino Linotype" w:hAnsi="Palatino Linotype" w:cs="Palatino Linotype"/>
          <w:i/>
          <w:sz w:val="22"/>
          <w:szCs w:val="22"/>
        </w:rPr>
        <w:lastRenderedPageBreak/>
        <w:t xml:space="preserve">Tribunal de Justicia Administrativa del Estado de México, de la Auditora o del Auditor Superior de Fiscalización y de la </w:t>
      </w:r>
      <w:proofErr w:type="gramStart"/>
      <w:r w:rsidRPr="008A4A1F">
        <w:rPr>
          <w:rFonts w:ascii="Palatino Linotype" w:eastAsia="Palatino Linotype" w:hAnsi="Palatino Linotype" w:cs="Palatino Linotype"/>
          <w:i/>
          <w:sz w:val="22"/>
          <w:szCs w:val="22"/>
        </w:rPr>
        <w:t>Presidenta</w:t>
      </w:r>
      <w:proofErr w:type="gramEnd"/>
      <w:r w:rsidRPr="008A4A1F">
        <w:rPr>
          <w:rFonts w:ascii="Palatino Linotype" w:eastAsia="Palatino Linotype" w:hAnsi="Palatino Linotype" w:cs="Palatino Linotype"/>
          <w:i/>
          <w:sz w:val="22"/>
          <w:szCs w:val="22"/>
        </w:rPr>
        <w:t xml:space="preserve"> o del Presidente e integrantes del Consejo de la Comisión de Derechos Humanos.</w:t>
      </w:r>
    </w:p>
    <w:p w14:paraId="5313621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29A70E8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XXXI. Expedir anualmente, a más tardar el 15 de diciembre, o hasta el 31 del mismo mes, cuando inicie el periodo constitucional el Ejecutivo Federal, la Ley de Ingresos de los Municipios, cuya iniciativa será turnada por el Ejecutivo del Estado.</w:t>
      </w:r>
    </w:p>
    <w:p w14:paraId="08E4584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3B1ABD4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XXXII. Recibir, revisar, fiscalizar y calificar las cuentas públicas del Estado y de los Municipios, del año anterior, mismas que incluirán, en su caso, la información correspondiente a los Poderes Públicos, organismos autónomos, organismos auxiliares, fideicomisos públicos o privados y demás entes públicos que manejen recursos del Estado y Municipios. Para tal efecto, contará con un Órgano Superior de Fiscalización, dotado de autonomía técnica y de gestión en el ejercicio de sus atribuciones y para decidir sobre su organización interna, funcionamiento y resoluciones, en los términos que disponga la legislación aplicable.</w:t>
      </w:r>
    </w:p>
    <w:p w14:paraId="0BDD57A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4578F80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XXXVI. Autorizar los actos jurídicos que impliquen la transmisión del dominio de los bienes inmuebles propiedad del Estado y de los municipios; establecer los casos en que se requiera el acuerdo de las dos terceras partes de los miembros de los ayuntamientos para dictar resoluciones que afecten el patrimonio inmobiliario municipal; o para celebrar actos o convenios que trasciendan al período del Ayuntamiento;</w:t>
      </w:r>
    </w:p>
    <w:p w14:paraId="4CD064F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XXXVII. Aprobar los montos y conceptos de endeudamiento anual del Estado y de los municipios, de conformidad con las bases establecidas en las leyes de la materia y dentro de las limitaciones previstas en la Constitución Federal;</w:t>
      </w:r>
    </w:p>
    <w:p w14:paraId="71BDF63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XXXVII Bis. Autorizar por el voto de las dos terceras partes de sus miembros presentes los montos máximos para en las mejores condiciones del mercado, contratar empréstitos y obligaciones por parte del Estado, municipios, sus organismos auxiliares y autónomos, así como cualquier otro ente sobre el que tengan control respecto de sus decisiones o acciones, previo análisis de su destino, capacidad de pago y, en su caso, el otorgamiento de garantía o el establecimiento de la fuente de pago, de conformidad con las bases establecidas en las leyes de la materia.</w:t>
      </w:r>
    </w:p>
    <w:p w14:paraId="1F9BE62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XXXVIII. Conceder amnistía por delitos de la competencia de los tribunales del Estado;</w:t>
      </w:r>
    </w:p>
    <w:p w14:paraId="3AD8A94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XXXIX. Declarar en su caso que ha o no lugar a proceder contra servidores públicos que gocen de fuero constitucional, por delitos graves del orden común y de los que cometan con motivo de sus funciones durante el desempeño de éstas;</w:t>
      </w:r>
    </w:p>
    <w:p w14:paraId="24E1E29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XL. Expedir la ley que establezca las bases de coordinación con la Federación, otras entidades y los municipios en materia de seguridad pública, así como para la organización y funcionamiento, el ingreso, selección, promoción y reconocimiento de los integrantes de las instituciones de seguridad pública en el ámbito estatal;</w:t>
      </w:r>
    </w:p>
    <w:p w14:paraId="08BF0C6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XLI. Crear organismos descentralizados;</w:t>
      </w:r>
    </w:p>
    <w:p w14:paraId="244CB3AD"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XLII. Conceder premios y recompensas por servicios eminentes e importantes prestados a la humanidad, al Estado o a la comunidad; y</w:t>
      </w:r>
    </w:p>
    <w:p w14:paraId="2D95B3E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6323D71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XLVIII. Legislar en materia de participación ciudadana;</w:t>
      </w:r>
    </w:p>
    <w:p w14:paraId="70FFB1AC"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XLIX. Convocar a consultas populares en los términos de esta Constitución y de la ley en la materia;</w:t>
      </w:r>
    </w:p>
    <w:p w14:paraId="1C4FFA4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 Nombrar a los comisionados del organismo autónomo garante en materia de transparencia, acceso a la información pública y protección de datos personales.</w:t>
      </w:r>
    </w:p>
    <w:p w14:paraId="4341A47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LI. Ratificar los nombramientos que el Gobernador haga de los servidores públicos que integren su gabinete, cuando opte por un gobierno de coalición, con excepción del titular en el ramo de seguridad pública.</w:t>
      </w:r>
    </w:p>
    <w:p w14:paraId="484EB92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LII. Ejercer las acciones necesarias para el debido cumplimiento de las disposiciones en materia de disciplina financiera, equilibrio presupuestario y responsabilidad hacendaria, en términos de la legislación aplicable.</w:t>
      </w:r>
    </w:p>
    <w:p w14:paraId="0F20E94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LIII. Autorizar al Ejecutivo del Estado la celebración de convenios con la Secretaría de Hacienda y Crédito Público para adherirse al mecanismo de contratación de Deuda Estatal Garantizada.</w:t>
      </w:r>
    </w:p>
    <w:p w14:paraId="7CA2FF4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LIV. Designar por el voto de las dos terceras partes de sus miembros presentes, a los titulares de los órganos internos de control de los organismos a los que esta Constitución reconoce autonomía y que ejerzan recursos del Presupuesto de Egresos del Estado, en términos que disponga la Ley.</w:t>
      </w:r>
    </w:p>
    <w:p w14:paraId="1428D5A9"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 xml:space="preserve">LV. Objetar en su caso, en un plazo no mayor de 10 días hábiles con el voto de las dos terceras partes de los miembros presentes, el nombramiento del titular de la Fiscalía Especializada en Combate a la Corrupción que realice el </w:t>
      </w:r>
      <w:proofErr w:type="gramStart"/>
      <w:r w:rsidRPr="008A4A1F">
        <w:rPr>
          <w:rFonts w:ascii="Palatino Linotype" w:eastAsia="Palatino Linotype" w:hAnsi="Palatino Linotype" w:cs="Palatino Linotype"/>
          <w:i/>
          <w:sz w:val="22"/>
          <w:szCs w:val="22"/>
        </w:rPr>
        <w:t>Fiscal General</w:t>
      </w:r>
      <w:proofErr w:type="gramEnd"/>
      <w:r w:rsidRPr="008A4A1F">
        <w:rPr>
          <w:rFonts w:ascii="Palatino Linotype" w:eastAsia="Palatino Linotype" w:hAnsi="Palatino Linotype" w:cs="Palatino Linotype"/>
          <w:i/>
          <w:sz w:val="22"/>
          <w:szCs w:val="22"/>
        </w:rPr>
        <w:t xml:space="preserve"> de Justicia del Estado de México.</w:t>
      </w:r>
    </w:p>
    <w:p w14:paraId="7D998025"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LVI. Las demás que la Constitución Política de los Estados Unidos Mexicanos, la presente Constitución, las leyes federales, o las del Estado le atribuyan.” </w:t>
      </w:r>
    </w:p>
    <w:p w14:paraId="04D5FDC9"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Del precepto normativo citado con anterioridad, se advierte que efectivamente, el Poder Legislativo cuenta con facultades para expedir leyes, decretos o acuerdos para el régimen interior del Estado, en todos los ramos de la administración del gobierno, así como también cuenta con atribuciones para conocer de cuestiones relativas a licencias de presidentes municipales, elecciones de gobernador en casos fortuitos, delimitación de territorio entre municipios, entre otras, sin embargo, no podemos dejar de lado que su actividad preponderante es la legislativa, sin embargo, es posible advertir que si bien es cierto, expide documentos normativos que rigen en el ámbito local, no menos cierto es que dentro de su patrimonio documental no obran archivos que den cuenta de inicio, creación, modificación, registro o seguimiento a las instancias encargadas la atención a desaparición de personas, tal como se aborda en los treinta cuestionamientos específicos referentes al tópico referido anteriormente.</w:t>
      </w:r>
    </w:p>
    <w:p w14:paraId="2075C2B1"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Ahora bien, en un análisis a las constancias que conforman el expediente electrónico del medio de impugnación que nos ocupa, se tiene </w:t>
      </w:r>
      <w:proofErr w:type="gramStart"/>
      <w:r w:rsidRPr="008A4A1F">
        <w:rPr>
          <w:rFonts w:ascii="Palatino Linotype" w:eastAsia="Palatino Linotype" w:hAnsi="Palatino Linotype" w:cs="Palatino Linotype"/>
        </w:rPr>
        <w:t>que</w:t>
      </w:r>
      <w:proofErr w:type="gramEnd"/>
      <w:r w:rsidRPr="008A4A1F">
        <w:rPr>
          <w:rFonts w:ascii="Palatino Linotype" w:eastAsia="Palatino Linotype" w:hAnsi="Palatino Linotype" w:cs="Palatino Linotype"/>
        </w:rPr>
        <w:t xml:space="preserve"> en apego al principio de máxima publicidad,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remitió en respuesta el Decreto del Ejecutivo por el que se crea la Comisión de Búsqueda de Personas del Estado de México, los cuales dan cuenta de lo siguiente:</w:t>
      </w:r>
    </w:p>
    <w:p w14:paraId="60BABC64" w14:textId="77777777" w:rsidR="00A37F2C" w:rsidRPr="008A4A1F" w:rsidRDefault="009F482A">
      <w:pPr>
        <w:spacing w:before="240" w:after="240" w:line="276" w:lineRule="auto"/>
        <w:ind w:left="567" w:right="851"/>
        <w:jc w:val="both"/>
        <w:rPr>
          <w:rFonts w:ascii="Palatino Linotype" w:eastAsia="Palatino Linotype" w:hAnsi="Palatino Linotype" w:cs="Palatino Linotype"/>
          <w:b/>
          <w:sz w:val="22"/>
          <w:szCs w:val="22"/>
        </w:rPr>
      </w:pPr>
      <w:r w:rsidRPr="008A4A1F">
        <w:rPr>
          <w:rFonts w:ascii="Palatino Linotype" w:eastAsia="Palatino Linotype" w:hAnsi="Palatino Linotype" w:cs="Palatino Linotype"/>
          <w:b/>
          <w:sz w:val="22"/>
          <w:szCs w:val="22"/>
        </w:rPr>
        <w:t xml:space="preserve">Decreto del Ejecutivo por el que se crea la Comisión de Búsqueda de Personas del Estado de México: </w:t>
      </w:r>
    </w:p>
    <w:p w14:paraId="76DA3C17" w14:textId="77777777" w:rsidR="00A37F2C" w:rsidRPr="008A4A1F" w:rsidRDefault="009F482A">
      <w:pPr>
        <w:spacing w:before="240" w:after="240" w:line="276" w:lineRule="auto"/>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w:t>
      </w:r>
      <w:r w:rsidRPr="008A4A1F">
        <w:rPr>
          <w:rFonts w:ascii="Palatino Linotype" w:eastAsia="Palatino Linotype" w:hAnsi="Palatino Linotype" w:cs="Palatino Linotype"/>
          <w:b/>
          <w:i/>
          <w:sz w:val="22"/>
          <w:szCs w:val="22"/>
        </w:rPr>
        <w:t xml:space="preserve">Artículo 1. La Comisión de Búsqueda de Personas del Estado de México es un órgano administrativo desconcentrado de la Secretaría de Justicia y Derechos Humanos, que </w:t>
      </w:r>
      <w:r w:rsidRPr="008A4A1F">
        <w:rPr>
          <w:rFonts w:ascii="Palatino Linotype" w:eastAsia="Palatino Linotype" w:hAnsi="Palatino Linotype" w:cs="Palatino Linotype"/>
          <w:b/>
          <w:i/>
          <w:sz w:val="22"/>
          <w:szCs w:val="22"/>
          <w:u w:val="single"/>
        </w:rPr>
        <w:t>determina, ejecuta y da seguimiento a las acciones de búsqueda de Personas Desaparecidas y No Localizadas, en el territorio del Estado de México</w:t>
      </w:r>
      <w:r w:rsidRPr="008A4A1F">
        <w:rPr>
          <w:rFonts w:ascii="Palatino Linotype" w:eastAsia="Palatino Linotype" w:hAnsi="Palatino Linotype" w:cs="Palatino Linotype"/>
          <w:i/>
          <w:sz w:val="22"/>
          <w:szCs w:val="22"/>
        </w:rPr>
        <w:t xml:space="preserve">, en coordinación con la Comisión Nacional de Búsqueda de Personas, las instituciones que integran el Sistema Nacional de Búsqueda de Personas, las instituciones de Seguridad Pública, las Fiscalías Especializadas de la Procuraduría General de la República, de la Fiscalía General de Justicia del Estado de México y de las Procuradurías o Fiscalías Locales, </w:t>
      </w:r>
      <w:r w:rsidRPr="008A4A1F">
        <w:rPr>
          <w:rFonts w:ascii="Palatino Linotype" w:eastAsia="Palatino Linotype" w:hAnsi="Palatino Linotype" w:cs="Palatino Linotype"/>
          <w:b/>
          <w:i/>
          <w:sz w:val="22"/>
          <w:szCs w:val="22"/>
          <w:u w:val="single"/>
        </w:rPr>
        <w:t>cuyo objeto es la investigación y persecución de los delitos de desaparición forzada de personas y la cometida por particulares y las demás autoridades competentes en la materia, de conformidad con lo establecido en el presente Decreto, en la Ley General en Materia de Desaparición Forzada de Personas, Desaparición Cometida por Particulares y del Sistema Nacional de Búsqueda de Personas y las demás disposiciones legales aplicables, para impulsar los esfuerzos de vinculación, operación, gestión, evaluación y seguimiento de las acciones entre autoridades que participan en la búsqueda, localización e identificación de personas.</w:t>
      </w:r>
      <w:r w:rsidRPr="008A4A1F">
        <w:rPr>
          <w:rFonts w:ascii="Palatino Linotype" w:eastAsia="Palatino Linotype" w:hAnsi="Palatino Linotype" w:cs="Palatino Linotype"/>
          <w:b/>
          <w:i/>
          <w:sz w:val="22"/>
          <w:szCs w:val="22"/>
        </w:rPr>
        <w:t xml:space="preserve">” </w:t>
      </w:r>
      <w:r w:rsidRPr="008A4A1F">
        <w:rPr>
          <w:rFonts w:ascii="Palatino Linotype" w:eastAsia="Palatino Linotype" w:hAnsi="Palatino Linotype" w:cs="Palatino Linotype"/>
          <w:i/>
          <w:sz w:val="22"/>
          <w:szCs w:val="22"/>
        </w:rPr>
        <w:t>(Énfasis añadido)</w:t>
      </w:r>
    </w:p>
    <w:p w14:paraId="2D40308C"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Por lo anterior, se llega a la conclusión de que en efecto, al Poder Legislativo no le compete conocer de la información requerida pues se insiste que esta instancia es la encargada de la formulación de las leyes, sin embargo, en el caso particular lo que se está requiriendo son documentos normativos que atienden a circunstancias específicas en la atención a un hecho delictuoso como lo es la desaparición de personas, por lo que como se aprecia en el decreto del Ejecutivo por el que se crea la Comisión de Búsqueda de Personas del Estado de México, remitido en respuesta, este órgano es el indicado para determinar, ejecutar y dar seguimiento a las acciones de búsqueda de personas desaparecidas y no localizadas en el ámbito estatal, por lo tanto, se procede a analizar de manera exhaustiva su ámbito competencial para mejor proveer del presente estudio.</w:t>
      </w:r>
    </w:p>
    <w:p w14:paraId="12933DCF" w14:textId="77777777" w:rsidR="00A37F2C" w:rsidRPr="008A4A1F" w:rsidRDefault="009F482A">
      <w:pPr>
        <w:spacing w:before="240" w:after="240" w:line="276"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b/>
        </w:rPr>
        <w:lastRenderedPageBreak/>
        <w:t>b) Del ámbito competencial de la Comisión de Búsqueda de Personas del Estado de México, órgano desconcentrado de la Secretaría de Justicia y Derechos Humanos:</w:t>
      </w:r>
    </w:p>
    <w:p w14:paraId="35B6E499"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En lo concerniente a este apartado, la Ley en Materia de Desaparición Forzada de Personas y Desaparición Cometida por Particulares para el Estado Libre y Soberano de México en sus artículos 24 y 27 reconoce la existencia de esta Comisión, la cual tendrá las siguientes atribuciones:</w:t>
      </w:r>
    </w:p>
    <w:p w14:paraId="446C967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 xml:space="preserve">“Artículo 24. </w:t>
      </w:r>
      <w:r w:rsidRPr="008A4A1F">
        <w:rPr>
          <w:rFonts w:ascii="Palatino Linotype" w:eastAsia="Palatino Linotype" w:hAnsi="Palatino Linotype" w:cs="Palatino Linotype"/>
          <w:b/>
          <w:i/>
          <w:sz w:val="22"/>
          <w:szCs w:val="22"/>
          <w:u w:val="single"/>
        </w:rPr>
        <w:t>La Comisión de Búsqueda de Personas es un órgano administrativo desconcentrado de la Secretaría de Justicia y Derechos Humanos, que determina, ejecuta y da seguimiento a las acciones de búsqueda de Personas Desaparecidas, en el territorio del Estado de México, en coordinación con la Comisión Nacional, las instituciones que integran el Sistema Nacional, el Mecanismo Estatal, las instituciones de Seguridad Pública, las Fiscalías Especializadas de la Fiscalía General, de la Fiscalía Estatal y de las Procuradurías o Fiscalías Locales</w:t>
      </w:r>
      <w:r w:rsidRPr="008A4A1F">
        <w:rPr>
          <w:rFonts w:ascii="Palatino Linotype" w:eastAsia="Palatino Linotype" w:hAnsi="Palatino Linotype" w:cs="Palatino Linotype"/>
          <w:i/>
          <w:sz w:val="22"/>
          <w:szCs w:val="22"/>
        </w:rPr>
        <w:t xml:space="preserve"> y las demás autoridades competentes en la materia, de conformidad con lo establecido en la Ley General y las demás disposiciones jurídicas aplicables.</w:t>
      </w:r>
    </w:p>
    <w:p w14:paraId="14D59872"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Tiene por objeto impulsar los esfuerzos de vinculación, operación, gestión, evaluación y seguimiento de las acciones entre autoridades que participan en la búsqueda, localización e identificación de personas.</w:t>
      </w:r>
    </w:p>
    <w:p w14:paraId="614603E3"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560FF753"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Artículo 27. La Comisión de Búsqueda de Personas tiene las siguientes atribuciones:</w:t>
      </w:r>
    </w:p>
    <w:p w14:paraId="3D901F84"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I. Emitir y ejecutar el Programa Estatal de Búsqueda, así como sus lineamientos, el cual deberá formar parte y ser análogo en lo conducente al Programa Nacional de Búsqueda, rector en la materia;</w:t>
      </w:r>
    </w:p>
    <w:p w14:paraId="5D15E82A"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II. Emitir los lineamientos que regulen el funcionamiento del Registro Estatal y coordinar su operación, en concordancia a los lineamientos que regulen el funcionamiento del Registro Nacional, la Ley General, esta Ley y demás ordenamientos aplicables;</w:t>
      </w:r>
    </w:p>
    <w:p w14:paraId="2C786B9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22C4AC58"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i/>
          <w:sz w:val="22"/>
          <w:szCs w:val="22"/>
        </w:rPr>
        <w:lastRenderedPageBreak/>
        <w:t>I</w:t>
      </w:r>
      <w:r w:rsidRPr="008A4A1F">
        <w:rPr>
          <w:rFonts w:ascii="Palatino Linotype" w:eastAsia="Palatino Linotype" w:hAnsi="Palatino Linotype" w:cs="Palatino Linotype"/>
          <w:b/>
          <w:i/>
          <w:sz w:val="22"/>
          <w:szCs w:val="22"/>
          <w:u w:val="single"/>
        </w:rPr>
        <w:t>V. Solicitar el acompañamiento de las instituciones policiales, cuando realice trabajos de campo y lo considere necesario;</w:t>
      </w:r>
    </w:p>
    <w:p w14:paraId="6E1464B0"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V. Solicitar la colaboración de las instituciones policiales y de seguridad pública, de los tres órdenes de gobierno, en términos del artículo 67 de la Ley General, cuando sea necesario para el ejercicio de sus funciones;</w:t>
      </w:r>
    </w:p>
    <w:p w14:paraId="1F67A109"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u w:val="single"/>
        </w:rPr>
        <w:t>X. Atender los protocolos rectores establecidos por el Sistema Nacional y la Comisión Nacional y emitir aquéllos que sean necesarios para el cumplimiento de sus funciones;</w:t>
      </w:r>
    </w:p>
    <w:p w14:paraId="65999BBA"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XI. Promover la revisión y actualización del Protocolo Homologado de Búsqueda;</w:t>
      </w:r>
    </w:p>
    <w:p w14:paraId="50F81705"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XII. Diseñar, proponer y aplicar los mecanismos de coordinación y colaboración con las demás autoridades de los diferentes órdenes de gobierno, a efecto de llevar a cabo las acciones en la búsqueda de Personas Desaparecidas;</w:t>
      </w:r>
    </w:p>
    <w:p w14:paraId="5897FC99"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XIV. Determinar y, en su caso, ejecutar, las acciones de búsqueda que correspondan, a partir de los elementos con que cuente, de conformidad con el protocolo aplicable. Así como, de manera coordinada con la Comisión Nacional y las demás Comisiones Locales de Búsqueda, realizar y dar seguimiento a las acciones de búsqueda, atendiendo a las características propias del caso, así como a las circunstancias de ejecución o la relevancia social del mismo;</w:t>
      </w:r>
    </w:p>
    <w:p w14:paraId="59C254FE"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XVII. Solicitar la colaboración de los tres órdenes de gobierno y demás instancias, para la búsqueda y localización de Personas Desaparecidas;</w:t>
      </w:r>
    </w:p>
    <w:p w14:paraId="0F438532"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2C597860"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XVIII. Mantener comunicación con autoridades federales, locales y municipales y establecer enlaces, cuando lo estime pertinente o por recomendación del Consejo Estatal Ciudadano;</w:t>
      </w:r>
    </w:p>
    <w:p w14:paraId="7F6BD0F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XIX. Integrar grupos de trabajo para proponer acciones específicas de búsqueda de personas, así como analizar el fenómeno de desaparición, a nivel Estatal, Regional o municipal. Así como colaborar con la Comisión Nacional y otras comisiones locales de búsqueda en el análisis del fenómeno de desaparición a nivel Nacional brindando información sobre el problema a nivel estatal y regional;</w:t>
      </w:r>
    </w:p>
    <w:p w14:paraId="663C889E"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lastRenderedPageBreak/>
        <w:t>XXI. Dar aviso de manera inmediata a la Fiscalía Especializada que corresponda sobre la existencia de información relevante y elementos que sean útiles para la investigación de los delitos materia de la Ley General y otras leyes, de conformidad con el Protocolo Homologado de Búsqueda;</w:t>
      </w:r>
    </w:p>
    <w:p w14:paraId="3B51FD06"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XXII. Colaborar con las instituciones de procuración de justicia en la investigación de otros delitos;</w:t>
      </w:r>
    </w:p>
    <w:p w14:paraId="5364B109" w14:textId="77777777" w:rsidR="00A37F2C" w:rsidRPr="008A4A1F" w:rsidRDefault="009F482A">
      <w:pPr>
        <w:spacing w:before="240" w:after="240"/>
        <w:ind w:left="567"/>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58E888A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rPr>
        <w:t>LI. Suministrar, sistematizar, analizar y actualizar la información de hechos y datos sobre la desaparición de personas, así como de los delitos previstos en la Ley General</w:t>
      </w:r>
      <w:r w:rsidRPr="008A4A1F">
        <w:rPr>
          <w:rFonts w:ascii="Palatino Linotype" w:eastAsia="Palatino Linotype" w:hAnsi="Palatino Linotype" w:cs="Palatino Linotype"/>
          <w:i/>
          <w:sz w:val="22"/>
          <w:szCs w:val="22"/>
        </w:rPr>
        <w:t>;” (Énfasis añadido)</w:t>
      </w:r>
    </w:p>
    <w:p w14:paraId="6BCF3519"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De tal suerte que como se aprecia de la cita previamente insertada, se tiene que la </w:t>
      </w:r>
      <w:proofErr w:type="spellStart"/>
      <w:r w:rsidRPr="008A4A1F">
        <w:rPr>
          <w:rFonts w:ascii="Palatino Linotype" w:eastAsia="Palatino Linotype" w:hAnsi="Palatino Linotype" w:cs="Palatino Linotype"/>
        </w:rPr>
        <w:t>multireferida</w:t>
      </w:r>
      <w:proofErr w:type="spellEnd"/>
      <w:r w:rsidRPr="008A4A1F">
        <w:rPr>
          <w:rFonts w:ascii="Palatino Linotype" w:eastAsia="Palatino Linotype" w:hAnsi="Palatino Linotype" w:cs="Palatino Linotype"/>
        </w:rPr>
        <w:t xml:space="preserve"> Comisión de Búsqueda de Personas del Estado de México cuenta con las atribuciones necesarias para dar atención a la solicitud de información, toda vez que es la unidad administrativa encargada de determinar, ejecutar y dar seguimiento a las acciones de búsqueda de Personas Desaparecidas, en el territorio del Estado de México, en coordinación con la Comisión Nacional, las instituciones que integran el Sistema Nacional, el Mecanismo Estatal, las instituciones de Seguridad Pública, las Fiscalías Especializadas de la Fiscalía General, de la Fiscalía Estatal y de las Procuradurías o Fiscalías Locales y las demás autoridades competentes en la materia, por lo tanto, se tiene que a diferencia del Poder Legislativo que se encarga de la emisión de documentos meramente legislativas, este órgano desconcentrado de la Secretaría de Justicia y Derechos Humanos se enfoca a atender cuestiones de la búsqueda, localización y persecución del hecho delictuoso de la desaparición de personas.</w:t>
      </w:r>
    </w:p>
    <w:p w14:paraId="0734F666"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Aunado a lo anteriormente expuesto, del análisis al cuestionario remitido por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xml:space="preserve"> en su solicitud de información, se observa que hace referencia a </w:t>
      </w:r>
      <w:r w:rsidRPr="008A4A1F">
        <w:rPr>
          <w:rFonts w:ascii="Palatino Linotype" w:eastAsia="Palatino Linotype" w:hAnsi="Palatino Linotype" w:cs="Palatino Linotype"/>
        </w:rPr>
        <w:lastRenderedPageBreak/>
        <w:t>cuestiones de índole forense y de panteones, las cuales de conformidad con la Ley en Materia de Desaparición Forzada de Personas y Desaparición Cometida por Particulares para el Estado Libre y Soberano de México son atendidas por la Fiscalía Especializada para la Investigación y Persecución de Delitos en Materia de Desaparición Forzada de Personas y Desaparición Cometida por Particulares, adscrita a la Fiscalía General de Justicia del Estado de México, la cual puede colaborar con la citada Comisión de Búsqueda y cuenta con las siguientes atribuciones:</w:t>
      </w:r>
    </w:p>
    <w:p w14:paraId="15DD5357"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r w:rsidRPr="008A4A1F">
        <w:rPr>
          <w:rFonts w:ascii="Palatino Linotype" w:eastAsia="Palatino Linotype" w:hAnsi="Palatino Linotype" w:cs="Palatino Linotype"/>
          <w:b/>
          <w:i/>
          <w:sz w:val="22"/>
          <w:szCs w:val="22"/>
        </w:rPr>
        <w:t>Artículo 47. La Fiscalía Especializada tiene, en el ámbito de su competencia, además de las atribuciones establecidas en la Constitución Federal, el Código Nacional, la Ley General, las siguientes:</w:t>
      </w:r>
    </w:p>
    <w:p w14:paraId="66D2F17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45875427"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II. Mantener coordinación con la Comisión de Búsqueda de Personas para realizar todas las acciones relativas a la investigación y persecución de los delitos materia de la Ley General, conforme al Protocolo Homologado de Investigación, al Protocolo Homologado de Búsqueda y demás disposiciones aplicables;</w:t>
      </w:r>
    </w:p>
    <w:p w14:paraId="73B42CCA"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62272C4E"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XVII. Localizar a las familias de las personas fallecidas identificadas no reclamadas, en coordinación con las instituciones correspondientes, para poder hacer la entrega de cadáveres o restos humanos, conforme a lo señalado por el Protocolo Homologado de Investigación y demás normas aplicables;</w:t>
      </w:r>
    </w:p>
    <w:p w14:paraId="13DB8DF8"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68E23091" w14:textId="77777777" w:rsidR="00A37F2C" w:rsidRPr="008A4A1F" w:rsidRDefault="009F482A">
      <w:pPr>
        <w:spacing w:before="240" w:after="240"/>
        <w:ind w:left="567" w:right="851"/>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XX. Solicitar a las autoridades jurisdiccionales competentes, la autorización para la realización de las exhumaciones en cementerios, fosas o de otros sitios en los que se encuentren o se tengan razones fundadas para creer que se encuentran cadáveres o restos humanos de Personas Desaparecidas;</w:t>
      </w:r>
    </w:p>
    <w:p w14:paraId="486E23D6"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w:t>
      </w:r>
    </w:p>
    <w:p w14:paraId="44619791"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rPr>
        <w:t>XXII. Localizar a los Familiares de las personas fallecidas identificadas no reclamadas, en coordinación con las instituciones correspondientes, para poder hacer la entrega de cadáveres o restos humanos, conforme a lo señalado por el Protocolo Homologado de Investigación y demás normas aplicables</w:t>
      </w:r>
      <w:r w:rsidRPr="008A4A1F">
        <w:rPr>
          <w:rFonts w:ascii="Palatino Linotype" w:eastAsia="Palatino Linotype" w:hAnsi="Palatino Linotype" w:cs="Palatino Linotype"/>
          <w:i/>
          <w:sz w:val="22"/>
          <w:szCs w:val="22"/>
        </w:rPr>
        <w:t>;</w:t>
      </w:r>
    </w:p>
    <w:p w14:paraId="6F0072CF"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t>…</w:t>
      </w:r>
    </w:p>
    <w:p w14:paraId="7F4166EE"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u w:val="single"/>
        </w:rPr>
        <w:t>Artículo 71. La Fiscalía Especializada deberá contar con un Registro Estatal de Fosas que concentrará la información de las que existen en los cementerios y panteones de todos los municipios de la entidad</w:t>
      </w:r>
      <w:r w:rsidRPr="008A4A1F">
        <w:rPr>
          <w:rFonts w:ascii="Palatino Linotype" w:eastAsia="Palatino Linotype" w:hAnsi="Palatino Linotype" w:cs="Palatino Linotype"/>
          <w:i/>
          <w:sz w:val="22"/>
          <w:szCs w:val="22"/>
        </w:rPr>
        <w:t>, así como de las Fosas Clandestinas que se localicen en la entidad la Fiscalía Estatal o la Fiscalía Especializada; que estará interconectado en tiempo real con el Registro Nacional de Fosas.</w:t>
      </w:r>
    </w:p>
    <w:p w14:paraId="0B16C2DB" w14:textId="77777777" w:rsidR="00A37F2C" w:rsidRPr="008A4A1F" w:rsidRDefault="009F482A">
      <w:pPr>
        <w:spacing w:before="240" w:after="240"/>
        <w:ind w:left="567" w:right="851"/>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u w:val="single"/>
        </w:rPr>
        <w:t>La Comisión de Búsqueda de Personas, para el cumplimiento de sus atribuciones, puede acceder al Registro Estatal de Fosas en cualquier momento.</w:t>
      </w:r>
      <w:r w:rsidRPr="008A4A1F">
        <w:rPr>
          <w:rFonts w:ascii="Palatino Linotype" w:eastAsia="Palatino Linotype" w:hAnsi="Palatino Linotype" w:cs="Palatino Linotype"/>
          <w:i/>
          <w:sz w:val="22"/>
          <w:szCs w:val="22"/>
        </w:rPr>
        <w:t>” (Énfasis añadido)</w:t>
      </w:r>
    </w:p>
    <w:p w14:paraId="033E11EC" w14:textId="77777777" w:rsidR="00A37F2C" w:rsidRPr="008A4A1F" w:rsidRDefault="009F482A">
      <w:pPr>
        <w:spacing w:before="240" w:after="240"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este orden de ideas, se tiene acreditado que estamos ante una serie de facultades concurrentes entre la Comisión de Búsqueda de Personas y la Fiscalía Especializada, ello con el fin de llevar a cabo la localización de las personas desaparecidas, por lo tanto, para este Organismo Garante se tiene por acreditada la falta de atribuciones por parte del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para atender el requerimiento de información, en virtud de que el Poder Legislativo no es la unidad competente para conocer de los documentos o circunstancias específicas tendientes a la búsqueda de personas desaparecidas. </w:t>
      </w:r>
    </w:p>
    <w:p w14:paraId="7F422D59" w14:textId="77777777" w:rsidR="00A37F2C" w:rsidRPr="008A4A1F" w:rsidRDefault="009F482A">
      <w:pPr>
        <w:spacing w:line="360" w:lineRule="auto"/>
        <w:ind w:right="49"/>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Dicho lo anterior, es de recordar que respecto a la Declaración de Incompetencia la Ley de Transparencia y Acceso a la Información Pública del Estado de México, establece, en los artículos 49, fracción II y 167, lo siguiente: </w:t>
      </w:r>
    </w:p>
    <w:p w14:paraId="28D2AC64" w14:textId="77777777" w:rsidR="00A37F2C" w:rsidRPr="008A4A1F" w:rsidRDefault="00A37F2C">
      <w:pPr>
        <w:tabs>
          <w:tab w:val="left" w:pos="1134"/>
        </w:tabs>
        <w:spacing w:line="360" w:lineRule="auto"/>
        <w:ind w:left="567" w:right="902"/>
        <w:jc w:val="both"/>
        <w:rPr>
          <w:rFonts w:ascii="Palatino Linotype" w:eastAsia="Palatino Linotype" w:hAnsi="Palatino Linotype" w:cs="Palatino Linotype"/>
          <w:i/>
          <w:sz w:val="22"/>
          <w:szCs w:val="22"/>
        </w:rPr>
      </w:pPr>
    </w:p>
    <w:p w14:paraId="352C48E1" w14:textId="77777777" w:rsidR="00A37F2C" w:rsidRPr="008A4A1F" w:rsidRDefault="009F482A">
      <w:pPr>
        <w:tabs>
          <w:tab w:val="left" w:pos="1134"/>
          <w:tab w:val="left" w:pos="1276"/>
        </w:tabs>
        <w:spacing w:line="276" w:lineRule="auto"/>
        <w:ind w:left="567" w:right="902"/>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i/>
          <w:sz w:val="22"/>
          <w:szCs w:val="22"/>
        </w:rPr>
        <w:lastRenderedPageBreak/>
        <w:t>“</w:t>
      </w:r>
      <w:r w:rsidRPr="008A4A1F">
        <w:rPr>
          <w:rFonts w:ascii="Palatino Linotype" w:eastAsia="Palatino Linotype" w:hAnsi="Palatino Linotype" w:cs="Palatino Linotype"/>
          <w:b/>
          <w:i/>
          <w:sz w:val="22"/>
          <w:szCs w:val="22"/>
        </w:rPr>
        <w:t>Artículo 49.</w:t>
      </w:r>
      <w:r w:rsidRPr="008A4A1F">
        <w:rPr>
          <w:rFonts w:ascii="Palatino Linotype" w:eastAsia="Palatino Linotype" w:hAnsi="Palatino Linotype" w:cs="Palatino Linotype"/>
          <w:i/>
          <w:sz w:val="22"/>
          <w:szCs w:val="22"/>
        </w:rPr>
        <w:t xml:space="preserve"> </w:t>
      </w:r>
      <w:r w:rsidRPr="008A4A1F">
        <w:rPr>
          <w:rFonts w:ascii="Palatino Linotype" w:eastAsia="Palatino Linotype" w:hAnsi="Palatino Linotype" w:cs="Palatino Linotype"/>
          <w:b/>
          <w:i/>
          <w:sz w:val="22"/>
          <w:szCs w:val="22"/>
        </w:rPr>
        <w:t>Los Comités de Transparencia</w:t>
      </w:r>
      <w:r w:rsidRPr="008A4A1F">
        <w:rPr>
          <w:rFonts w:ascii="Palatino Linotype" w:eastAsia="Palatino Linotype" w:hAnsi="Palatino Linotype" w:cs="Palatino Linotype"/>
          <w:i/>
          <w:sz w:val="22"/>
          <w:szCs w:val="22"/>
        </w:rPr>
        <w:t xml:space="preserve"> tendrán las siguientes atribuciones:</w:t>
      </w:r>
    </w:p>
    <w:p w14:paraId="7EF49D53" w14:textId="77777777" w:rsidR="00A37F2C" w:rsidRPr="008A4A1F" w:rsidRDefault="009F482A">
      <w:pPr>
        <w:tabs>
          <w:tab w:val="left" w:pos="1134"/>
        </w:tabs>
        <w:spacing w:line="276" w:lineRule="auto"/>
        <w:ind w:left="567" w:right="902"/>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w:t>
      </w:r>
    </w:p>
    <w:p w14:paraId="09448532" w14:textId="77777777" w:rsidR="00A37F2C" w:rsidRPr="008A4A1F" w:rsidRDefault="009F482A">
      <w:pPr>
        <w:tabs>
          <w:tab w:val="left" w:pos="1134"/>
        </w:tabs>
        <w:spacing w:line="276" w:lineRule="auto"/>
        <w:ind w:left="567" w:right="902"/>
        <w:jc w:val="both"/>
        <w:rPr>
          <w:rFonts w:ascii="Palatino Linotype" w:eastAsia="Palatino Linotype" w:hAnsi="Palatino Linotype" w:cs="Palatino Linotype"/>
          <w:b/>
          <w:i/>
          <w:sz w:val="22"/>
          <w:szCs w:val="22"/>
          <w:u w:val="single"/>
        </w:rPr>
      </w:pPr>
      <w:r w:rsidRPr="008A4A1F">
        <w:rPr>
          <w:rFonts w:ascii="Palatino Linotype" w:eastAsia="Palatino Linotype" w:hAnsi="Palatino Linotype" w:cs="Palatino Linotype"/>
          <w:b/>
          <w:i/>
          <w:sz w:val="22"/>
          <w:szCs w:val="22"/>
        </w:rPr>
        <w:t>II.</w:t>
      </w:r>
      <w:r w:rsidRPr="008A4A1F">
        <w:rPr>
          <w:rFonts w:ascii="Calibri" w:eastAsia="Calibri" w:hAnsi="Calibri" w:cs="Calibri"/>
          <w:sz w:val="22"/>
          <w:szCs w:val="22"/>
        </w:rPr>
        <w:t xml:space="preserve"> </w:t>
      </w:r>
      <w:r w:rsidRPr="008A4A1F">
        <w:rPr>
          <w:rFonts w:ascii="Palatino Linotype" w:eastAsia="Palatino Linotype" w:hAnsi="Palatino Linotype" w:cs="Palatino Linotype"/>
          <w:b/>
          <w:i/>
          <w:sz w:val="22"/>
          <w:szCs w:val="22"/>
        </w:rPr>
        <w:t>Confirmar, modificar o revocar</w:t>
      </w:r>
      <w:r w:rsidRPr="008A4A1F">
        <w:rPr>
          <w:rFonts w:ascii="Palatino Linotype" w:eastAsia="Palatino Linotype" w:hAnsi="Palatino Linotype" w:cs="Palatino Linotype"/>
          <w:i/>
          <w:sz w:val="22"/>
          <w:szCs w:val="22"/>
        </w:rPr>
        <w:t xml:space="preserve"> las determinaciones </w:t>
      </w:r>
      <w:proofErr w:type="gramStart"/>
      <w:r w:rsidRPr="008A4A1F">
        <w:rPr>
          <w:rFonts w:ascii="Palatino Linotype" w:eastAsia="Palatino Linotype" w:hAnsi="Palatino Linotype" w:cs="Palatino Linotype"/>
          <w:i/>
          <w:sz w:val="22"/>
          <w:szCs w:val="22"/>
        </w:rPr>
        <w:t>que</w:t>
      </w:r>
      <w:proofErr w:type="gramEnd"/>
      <w:r w:rsidRPr="008A4A1F">
        <w:rPr>
          <w:rFonts w:ascii="Palatino Linotype" w:eastAsia="Palatino Linotype" w:hAnsi="Palatino Linotype" w:cs="Palatino Linotype"/>
          <w:i/>
          <w:sz w:val="22"/>
          <w:szCs w:val="22"/>
        </w:rPr>
        <w:t xml:space="preserve"> en materia de ampliación del plazo de respuesta, clasificación de la información </w:t>
      </w:r>
      <w:r w:rsidRPr="008A4A1F">
        <w:rPr>
          <w:rFonts w:ascii="Palatino Linotype" w:eastAsia="Palatino Linotype" w:hAnsi="Palatino Linotype" w:cs="Palatino Linotype"/>
          <w:b/>
          <w:i/>
          <w:sz w:val="22"/>
          <w:szCs w:val="22"/>
        </w:rPr>
        <w:t>y declaración</w:t>
      </w:r>
      <w:r w:rsidRPr="008A4A1F">
        <w:rPr>
          <w:rFonts w:ascii="Palatino Linotype" w:eastAsia="Palatino Linotype" w:hAnsi="Palatino Linotype" w:cs="Palatino Linotype"/>
          <w:i/>
          <w:sz w:val="22"/>
          <w:szCs w:val="22"/>
        </w:rPr>
        <w:t xml:space="preserve"> de inexistencia o </w:t>
      </w:r>
      <w:r w:rsidRPr="008A4A1F">
        <w:rPr>
          <w:rFonts w:ascii="Palatino Linotype" w:eastAsia="Palatino Linotype" w:hAnsi="Palatino Linotype" w:cs="Palatino Linotype"/>
          <w:b/>
          <w:i/>
          <w:sz w:val="22"/>
          <w:szCs w:val="22"/>
        </w:rPr>
        <w:t>de incompetencia realicen los titulares de las áreas de los sujetos obligados;</w:t>
      </w:r>
    </w:p>
    <w:p w14:paraId="24B69560" w14:textId="77777777" w:rsidR="00A37F2C" w:rsidRPr="008A4A1F" w:rsidRDefault="009F482A">
      <w:pPr>
        <w:tabs>
          <w:tab w:val="left" w:pos="1134"/>
        </w:tabs>
        <w:spacing w:line="276" w:lineRule="auto"/>
        <w:ind w:left="567" w:right="902"/>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w:t>
      </w:r>
    </w:p>
    <w:p w14:paraId="0B8D3EEC" w14:textId="77777777" w:rsidR="00A37F2C" w:rsidRPr="008A4A1F" w:rsidRDefault="009F482A">
      <w:pPr>
        <w:tabs>
          <w:tab w:val="left" w:pos="1134"/>
        </w:tabs>
        <w:spacing w:line="276" w:lineRule="auto"/>
        <w:ind w:left="567" w:right="902"/>
        <w:jc w:val="both"/>
        <w:rPr>
          <w:rFonts w:ascii="Palatino Linotype" w:eastAsia="Palatino Linotype" w:hAnsi="Palatino Linotype" w:cs="Palatino Linotype"/>
          <w:b/>
          <w:i/>
          <w:sz w:val="22"/>
          <w:szCs w:val="22"/>
        </w:rPr>
      </w:pPr>
      <w:r w:rsidRPr="008A4A1F">
        <w:rPr>
          <w:rFonts w:ascii="Palatino Linotype" w:eastAsia="Palatino Linotype" w:hAnsi="Palatino Linotype" w:cs="Palatino Linotype"/>
          <w:b/>
          <w:i/>
          <w:sz w:val="22"/>
          <w:szCs w:val="22"/>
        </w:rPr>
        <w:t>Artículo 167</w:t>
      </w:r>
      <w:r w:rsidRPr="008A4A1F">
        <w:rPr>
          <w:rFonts w:ascii="Palatino Linotype" w:eastAsia="Palatino Linotype" w:hAnsi="Palatino Linotype" w:cs="Palatino Linotype"/>
          <w:i/>
          <w:sz w:val="22"/>
          <w:szCs w:val="22"/>
        </w:rPr>
        <w:t xml:space="preserve">. </w:t>
      </w:r>
      <w:r w:rsidRPr="008A4A1F">
        <w:rPr>
          <w:rFonts w:ascii="Palatino Linotype" w:eastAsia="Palatino Linotype" w:hAnsi="Palatino Linotype" w:cs="Palatino Linotype"/>
          <w:b/>
          <w:i/>
          <w:sz w:val="22"/>
          <w:szCs w:val="22"/>
        </w:rPr>
        <w:t>Cuando las unidades de transparencia determinen la notoria incompetencia</w:t>
      </w:r>
      <w:r w:rsidRPr="008A4A1F">
        <w:rPr>
          <w:rFonts w:ascii="Palatino Linotype" w:eastAsia="Palatino Linotype" w:hAnsi="Palatino Linotype" w:cs="Palatino Linotype"/>
          <w:i/>
          <w:sz w:val="22"/>
          <w:szCs w:val="22"/>
        </w:rPr>
        <w:t xml:space="preserve"> por parte de los sujetos obligados, dentro del ámbito de aplicación, para atender la solicitud de acceso a la información, </w:t>
      </w:r>
      <w:r w:rsidRPr="008A4A1F">
        <w:rPr>
          <w:rFonts w:ascii="Palatino Linotype" w:eastAsia="Palatino Linotype" w:hAnsi="Palatino Linotype" w:cs="Palatino Linotype"/>
          <w:b/>
          <w:i/>
          <w:sz w:val="22"/>
          <w:szCs w:val="22"/>
        </w:rPr>
        <w:t>deberán comunicarlo al solicitante, dentro de los tres días hábiles posteriores a la recepción de la solicitud</w:t>
      </w:r>
      <w:r w:rsidRPr="008A4A1F">
        <w:rPr>
          <w:rFonts w:ascii="Palatino Linotype" w:eastAsia="Palatino Linotype" w:hAnsi="Palatino Linotype" w:cs="Palatino Linotype"/>
          <w:i/>
          <w:sz w:val="22"/>
          <w:szCs w:val="22"/>
        </w:rPr>
        <w:t xml:space="preserve"> y, </w:t>
      </w:r>
      <w:r w:rsidRPr="008A4A1F">
        <w:rPr>
          <w:rFonts w:ascii="Palatino Linotype" w:eastAsia="Palatino Linotype" w:hAnsi="Palatino Linotype" w:cs="Palatino Linotype"/>
          <w:b/>
          <w:i/>
          <w:sz w:val="22"/>
          <w:szCs w:val="22"/>
        </w:rPr>
        <w:t>en su caso orientar al solicitante, el o los sujetos obligados competentes.” (Sic)</w:t>
      </w:r>
    </w:p>
    <w:p w14:paraId="44B39C4E" w14:textId="77777777" w:rsidR="00A37F2C" w:rsidRPr="008A4A1F" w:rsidRDefault="00A37F2C">
      <w:pPr>
        <w:tabs>
          <w:tab w:val="left" w:pos="142"/>
          <w:tab w:val="left" w:pos="284"/>
        </w:tabs>
        <w:spacing w:line="360" w:lineRule="auto"/>
        <w:jc w:val="both"/>
        <w:rPr>
          <w:rFonts w:ascii="Palatino Linotype" w:eastAsia="Palatino Linotype" w:hAnsi="Palatino Linotype" w:cs="Palatino Linotype"/>
          <w:sz w:val="22"/>
          <w:szCs w:val="22"/>
        </w:rPr>
      </w:pPr>
    </w:p>
    <w:p w14:paraId="39803B7F" w14:textId="77777777" w:rsidR="00A37F2C" w:rsidRPr="008A4A1F" w:rsidRDefault="009F482A">
      <w:pPr>
        <w:tabs>
          <w:tab w:val="left" w:pos="142"/>
          <w:tab w:val="left" w:pos="284"/>
        </w:tabs>
        <w:spacing w:line="360" w:lineRule="auto"/>
        <w:jc w:val="both"/>
        <w:rPr>
          <w:rFonts w:ascii="Palatino Linotype" w:eastAsia="Palatino Linotype" w:hAnsi="Palatino Linotype" w:cs="Palatino Linotype"/>
          <w:b/>
        </w:rPr>
      </w:pPr>
      <w:r w:rsidRPr="008A4A1F">
        <w:rPr>
          <w:rFonts w:ascii="Palatino Linotype" w:eastAsia="Palatino Linotype" w:hAnsi="Palatino Linotype" w:cs="Palatino Linotype"/>
        </w:rPr>
        <w:t>De los preceptos citados se desprende que es atribución del Comité de Transparencia confirmar, modificar o revocar, en su caso, la declaración de incompetencia,</w:t>
      </w:r>
      <w:r w:rsidRPr="008A4A1F">
        <w:rPr>
          <w:rFonts w:ascii="Palatino Linotype" w:eastAsia="Palatino Linotype" w:hAnsi="Palatino Linotype" w:cs="Palatino Linotype"/>
          <w:b/>
        </w:rPr>
        <w:t xml:space="preserve"> en aquellos casos en los que no se trate de una notoria incompetencia. </w:t>
      </w:r>
    </w:p>
    <w:p w14:paraId="077744D7" w14:textId="77777777" w:rsidR="00A37F2C" w:rsidRPr="008A4A1F" w:rsidRDefault="00A37F2C">
      <w:pPr>
        <w:tabs>
          <w:tab w:val="left" w:pos="142"/>
          <w:tab w:val="left" w:pos="284"/>
        </w:tabs>
        <w:spacing w:line="360" w:lineRule="auto"/>
        <w:jc w:val="both"/>
        <w:rPr>
          <w:rFonts w:ascii="Palatino Linotype" w:eastAsia="Palatino Linotype" w:hAnsi="Palatino Linotype" w:cs="Palatino Linotype"/>
          <w:b/>
          <w:sz w:val="22"/>
          <w:szCs w:val="22"/>
        </w:rPr>
      </w:pPr>
    </w:p>
    <w:p w14:paraId="0598AD72" w14:textId="77777777" w:rsidR="00A37F2C" w:rsidRPr="008A4A1F" w:rsidRDefault="009F482A">
      <w:pPr>
        <w:tabs>
          <w:tab w:val="left" w:pos="142"/>
          <w:tab w:val="left" w:pos="284"/>
        </w:tabs>
        <w:spacing w:line="360" w:lineRule="auto"/>
        <w:jc w:val="both"/>
        <w:rPr>
          <w:rFonts w:ascii="Palatino Linotype" w:eastAsia="Palatino Linotype" w:hAnsi="Palatino Linotype" w:cs="Palatino Linotype"/>
          <w:sz w:val="22"/>
          <w:szCs w:val="22"/>
        </w:rPr>
      </w:pPr>
      <w:r w:rsidRPr="008A4A1F">
        <w:rPr>
          <w:rFonts w:ascii="Palatino Linotype" w:eastAsia="Palatino Linotype" w:hAnsi="Palatino Linotype" w:cs="Palatino Linotype"/>
        </w:rPr>
        <w:t xml:space="preserve">Puesto que la Ley también prevé que dicho acuerdo no es necesario cuando la Unidad de Transparencia determine que la incompetencia es notoria dando un plazo de tres días hábiles para hacerlo del conocimiento del particular. 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RPr="008A4A1F">
        <w:rPr>
          <w:rFonts w:ascii="Palatino Linotype" w:eastAsia="Palatino Linotype" w:hAnsi="Palatino Linotype" w:cs="Palatino Linotype"/>
          <w:u w:val="single"/>
        </w:rPr>
        <w:t xml:space="preserve">para su aprobación. </w:t>
      </w:r>
    </w:p>
    <w:p w14:paraId="4D42B0E0" w14:textId="77777777" w:rsidR="00A37F2C" w:rsidRPr="008A4A1F" w:rsidRDefault="00A37F2C">
      <w:pPr>
        <w:spacing w:line="360" w:lineRule="auto"/>
        <w:ind w:right="18"/>
        <w:jc w:val="both"/>
        <w:rPr>
          <w:rFonts w:ascii="Palatino Linotype" w:eastAsia="Palatino Linotype" w:hAnsi="Palatino Linotype" w:cs="Palatino Linotype"/>
          <w:sz w:val="22"/>
          <w:szCs w:val="22"/>
        </w:rPr>
      </w:pPr>
    </w:p>
    <w:p w14:paraId="12885FA3" w14:textId="77777777" w:rsidR="00A37F2C" w:rsidRPr="008A4A1F" w:rsidRDefault="009F482A">
      <w:pPr>
        <w:spacing w:line="360" w:lineRule="auto"/>
        <w:ind w:right="18"/>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 xml:space="preserve">Como sustento de lo anterior, resulta aplicable el Criterio 20/20, emitido por el Instituto Nacional de Transparencia, Acceso a la Información, y Protección de Datos Personales, INAI, que lleva por rubro y texto los siguientes:  </w:t>
      </w:r>
    </w:p>
    <w:p w14:paraId="14C9B706" w14:textId="77777777" w:rsidR="00A37F2C" w:rsidRPr="008A4A1F" w:rsidRDefault="00A37F2C">
      <w:pPr>
        <w:pBdr>
          <w:top w:val="nil"/>
          <w:left w:val="nil"/>
          <w:bottom w:val="nil"/>
          <w:right w:val="nil"/>
          <w:between w:val="nil"/>
        </w:pBdr>
        <w:spacing w:line="360" w:lineRule="auto"/>
        <w:ind w:left="851" w:right="900"/>
        <w:jc w:val="both"/>
        <w:rPr>
          <w:rFonts w:ascii="Palatino Linotype" w:eastAsia="Palatino Linotype" w:hAnsi="Palatino Linotype" w:cs="Palatino Linotype"/>
          <w:b/>
          <w:i/>
          <w:sz w:val="22"/>
          <w:szCs w:val="22"/>
        </w:rPr>
      </w:pPr>
    </w:p>
    <w:p w14:paraId="197F2D9C" w14:textId="77777777" w:rsidR="00A37F2C" w:rsidRPr="008A4A1F" w:rsidRDefault="009F482A">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rPr>
        <w:t>“Declaración de incompetencia por parte del Comité, cuando no sea notoria o manifiesta.</w:t>
      </w:r>
      <w:r w:rsidRPr="008A4A1F">
        <w:rPr>
          <w:rFonts w:ascii="Palatino Linotype" w:eastAsia="Palatino Linotype" w:hAnsi="Palatino Linotype" w:cs="Palatino Linotype"/>
          <w:i/>
          <w:sz w:val="22"/>
          <w:szCs w:val="22"/>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14:paraId="3F0577A3" w14:textId="77777777" w:rsidR="00A37F2C" w:rsidRPr="008A4A1F" w:rsidRDefault="00A37F2C">
      <w:pPr>
        <w:pBdr>
          <w:top w:val="nil"/>
          <w:left w:val="nil"/>
          <w:bottom w:val="nil"/>
          <w:right w:val="nil"/>
          <w:between w:val="nil"/>
        </w:pBdr>
        <w:spacing w:line="360" w:lineRule="auto"/>
        <w:ind w:left="567" w:right="900"/>
        <w:jc w:val="both"/>
        <w:rPr>
          <w:rFonts w:ascii="Palatino Linotype" w:eastAsia="Palatino Linotype" w:hAnsi="Palatino Linotype" w:cs="Palatino Linotype"/>
          <w:i/>
          <w:sz w:val="22"/>
          <w:szCs w:val="22"/>
        </w:rPr>
      </w:pPr>
    </w:p>
    <w:p w14:paraId="4FCB8A5F" w14:textId="77777777" w:rsidR="00A37F2C" w:rsidRPr="008A4A1F" w:rsidRDefault="009F482A">
      <w:pPr>
        <w:tabs>
          <w:tab w:val="left" w:pos="142"/>
          <w:tab w:val="left" w:pos="284"/>
        </w:tabs>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RPr="008A4A1F">
        <w:rPr>
          <w:rFonts w:ascii="Palatino Linotype" w:eastAsia="Palatino Linotype" w:hAnsi="Palatino Linotype" w:cs="Palatino Linotype"/>
          <w:b/>
        </w:rPr>
        <w:t xml:space="preserve"> </w:t>
      </w:r>
      <w:r w:rsidRPr="008A4A1F">
        <w:rPr>
          <w:rFonts w:ascii="Palatino Linotype" w:eastAsia="Palatino Linotype" w:hAnsi="Palatino Linotype" w:cs="Palatino Linotype"/>
          <w:b/>
          <w:u w:val="single"/>
        </w:rPr>
        <w:t>duda razonable sobre la administración del documento materia de la solicitud de información</w:t>
      </w:r>
      <w:r w:rsidRPr="008A4A1F">
        <w:rPr>
          <w:rFonts w:ascii="Palatino Linotype" w:eastAsia="Palatino Linotype" w:hAnsi="Palatino Linotype" w:cs="Palatino Linotype"/>
        </w:rPr>
        <w:t>, como se lee enseguida:</w:t>
      </w:r>
    </w:p>
    <w:p w14:paraId="4E883667" w14:textId="77777777" w:rsidR="00A37F2C" w:rsidRPr="008A4A1F" w:rsidRDefault="00A37F2C">
      <w:pPr>
        <w:tabs>
          <w:tab w:val="left" w:pos="142"/>
          <w:tab w:val="left" w:pos="284"/>
        </w:tabs>
        <w:spacing w:line="360" w:lineRule="auto"/>
        <w:jc w:val="both"/>
        <w:rPr>
          <w:rFonts w:ascii="Palatino Linotype" w:eastAsia="Palatino Linotype" w:hAnsi="Palatino Linotype" w:cs="Palatino Linotype"/>
          <w:sz w:val="22"/>
          <w:szCs w:val="22"/>
        </w:rPr>
      </w:pPr>
    </w:p>
    <w:p w14:paraId="5A9BE9BA" w14:textId="77777777" w:rsidR="00A37F2C" w:rsidRPr="008A4A1F" w:rsidRDefault="009F482A">
      <w:pPr>
        <w:tabs>
          <w:tab w:val="left" w:pos="1418"/>
        </w:tabs>
        <w:spacing w:line="276" w:lineRule="auto"/>
        <w:ind w:left="567" w:right="900"/>
        <w:jc w:val="both"/>
        <w:rPr>
          <w:rFonts w:ascii="Palatino Linotype" w:eastAsia="Palatino Linotype" w:hAnsi="Palatino Linotype" w:cs="Palatino Linotype"/>
          <w:i/>
          <w:sz w:val="22"/>
          <w:szCs w:val="22"/>
        </w:rPr>
      </w:pPr>
      <w:r w:rsidRPr="008A4A1F">
        <w:rPr>
          <w:rFonts w:ascii="Palatino Linotype" w:eastAsia="Palatino Linotype" w:hAnsi="Palatino Linotype" w:cs="Palatino Linotype"/>
          <w:b/>
          <w:i/>
          <w:sz w:val="22"/>
          <w:szCs w:val="22"/>
        </w:rPr>
        <w:t xml:space="preserve">“DECLARATORIA DE INCOMPETENCIA DEL SUJETO OBLIGADO. SUPUESTO PARA CONFIRMARLA POR ACUERDO DEL COMITÉ DE TRANSPARENCIA. </w:t>
      </w:r>
      <w:r w:rsidRPr="008A4A1F">
        <w:rPr>
          <w:rFonts w:ascii="Palatino Linotype" w:eastAsia="Palatino Linotype" w:hAnsi="Palatino Linotype" w:cs="Palatino Linotype"/>
          <w:i/>
          <w:sz w:val="22"/>
          <w:szCs w:val="22"/>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RPr="008A4A1F">
        <w:rPr>
          <w:rFonts w:ascii="Palatino Linotype" w:eastAsia="Palatino Linotype" w:hAnsi="Palatino Linotype" w:cs="Palatino Linotype"/>
          <w:b/>
          <w:i/>
          <w:sz w:val="22"/>
          <w:szCs w:val="22"/>
        </w:rPr>
        <w:t xml:space="preserve">al ejercer el derecho de acceso a la información pública cabe la posibilidad de que existan atribuciones concurrentes entre dos o más Sujetos Obligados que </w:t>
      </w:r>
      <w:r w:rsidRPr="008A4A1F">
        <w:rPr>
          <w:rFonts w:ascii="Palatino Linotype" w:eastAsia="Palatino Linotype" w:hAnsi="Palatino Linotype" w:cs="Palatino Linotype"/>
          <w:b/>
          <w:i/>
          <w:sz w:val="22"/>
          <w:szCs w:val="22"/>
          <w:u w:val="single"/>
        </w:rPr>
        <w:t>impiden determinar dentro del término legal de tres días hábiles</w:t>
      </w:r>
      <w:r w:rsidRPr="008A4A1F">
        <w:rPr>
          <w:rFonts w:ascii="Palatino Linotype" w:eastAsia="Palatino Linotype" w:hAnsi="Palatino Linotype" w:cs="Palatino Linotype"/>
          <w:b/>
          <w:i/>
          <w:sz w:val="22"/>
          <w:szCs w:val="22"/>
        </w:rPr>
        <w:t>, si se posee o no la información por el Sujeto Obligado requerid</w:t>
      </w:r>
      <w:r w:rsidRPr="008A4A1F">
        <w:rPr>
          <w:rFonts w:ascii="Palatino Linotype" w:eastAsia="Palatino Linotype" w:hAnsi="Palatino Linotype" w:cs="Palatino Linotype"/>
          <w:i/>
          <w:sz w:val="22"/>
          <w:szCs w:val="22"/>
        </w:rPr>
        <w:t xml:space="preserve">o; en virtud de ello, en aras de disipar toda duda razonable sobre la </w:t>
      </w:r>
      <w:r w:rsidRPr="008A4A1F">
        <w:rPr>
          <w:rFonts w:ascii="Palatino Linotype" w:eastAsia="Palatino Linotype" w:hAnsi="Palatino Linotype" w:cs="Palatino Linotype"/>
          <w:i/>
          <w:sz w:val="22"/>
          <w:szCs w:val="22"/>
        </w:rPr>
        <w:lastRenderedPageBreak/>
        <w:t>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14:paraId="2A627C62" w14:textId="77777777" w:rsidR="00A37F2C" w:rsidRPr="008A4A1F" w:rsidRDefault="00A37F2C">
      <w:pPr>
        <w:tabs>
          <w:tab w:val="left" w:pos="1418"/>
        </w:tabs>
        <w:spacing w:line="360" w:lineRule="auto"/>
        <w:ind w:left="567" w:right="900"/>
        <w:jc w:val="both"/>
        <w:rPr>
          <w:rFonts w:ascii="Palatino Linotype" w:eastAsia="Palatino Linotype" w:hAnsi="Palatino Linotype" w:cs="Palatino Linotype"/>
          <w:i/>
          <w:sz w:val="22"/>
          <w:szCs w:val="22"/>
        </w:rPr>
      </w:pPr>
    </w:p>
    <w:p w14:paraId="1F4A8017" w14:textId="77777777" w:rsidR="00A37F2C" w:rsidRPr="008A4A1F" w:rsidRDefault="009F482A">
      <w:pPr>
        <w:tabs>
          <w:tab w:val="left" w:pos="142"/>
          <w:tab w:val="left" w:pos="284"/>
        </w:tabs>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el caso particular, de los registros que obran en el Sistema de Acceso a la Información Mexiquense, se tiene que </w:t>
      </w:r>
      <w:r w:rsidRPr="008A4A1F">
        <w:rPr>
          <w:rFonts w:ascii="Palatino Linotype" w:eastAsia="Palatino Linotype" w:hAnsi="Palatino Linotype" w:cs="Palatino Linotype"/>
          <w:b/>
        </w:rPr>
        <w:t>la parte Recurrente</w:t>
      </w:r>
      <w:r w:rsidRPr="008A4A1F">
        <w:rPr>
          <w:rFonts w:ascii="Palatino Linotype" w:eastAsia="Palatino Linotype" w:hAnsi="Palatino Linotype" w:cs="Palatino Linotype"/>
        </w:rPr>
        <w:t xml:space="preserve"> realizó su solicitud de información en fecha </w:t>
      </w:r>
      <w:r w:rsidRPr="008A4A1F">
        <w:rPr>
          <w:rFonts w:ascii="Palatino Linotype" w:eastAsia="Palatino Linotype" w:hAnsi="Palatino Linotype" w:cs="Palatino Linotype"/>
          <w:b/>
        </w:rPr>
        <w:t>veintidós de septiembre de dos mil veintidós</w:t>
      </w:r>
      <w:r w:rsidRPr="008A4A1F">
        <w:rPr>
          <w:rFonts w:ascii="Palatino Linotype" w:eastAsia="Palatino Linotype" w:hAnsi="Palatino Linotype" w:cs="Palatino Linotype"/>
        </w:rPr>
        <w:t xml:space="preserve"> y,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declinó la competencia en fecha </w:t>
      </w:r>
      <w:r w:rsidRPr="008A4A1F">
        <w:rPr>
          <w:rFonts w:ascii="Palatino Linotype" w:eastAsia="Palatino Linotype" w:hAnsi="Palatino Linotype" w:cs="Palatino Linotype"/>
          <w:b/>
        </w:rPr>
        <w:t>veintidós de septiembre de dos mil veintidós</w:t>
      </w:r>
      <w:r w:rsidRPr="008A4A1F">
        <w:rPr>
          <w:rFonts w:ascii="Palatino Linotype" w:eastAsia="Palatino Linotype" w:hAnsi="Palatino Linotype" w:cs="Palatino Linotype"/>
        </w:rPr>
        <w:t xml:space="preserve">, es decir; al </w:t>
      </w:r>
      <w:r w:rsidRPr="008A4A1F">
        <w:rPr>
          <w:rFonts w:ascii="Palatino Linotype" w:eastAsia="Palatino Linotype" w:hAnsi="Palatino Linotype" w:cs="Palatino Linotype"/>
          <w:b/>
        </w:rPr>
        <w:t>mismo día hábil</w:t>
      </w:r>
      <w:r w:rsidRPr="008A4A1F">
        <w:rPr>
          <w:rFonts w:ascii="Palatino Linotype" w:eastAsia="Palatino Linotype" w:hAnsi="Palatino Linotype" w:cs="Palatino Linotype"/>
        </w:rPr>
        <w:t xml:space="preserve"> en que se tuvo por registrada la solicitud de información, tal como se aprecia a continuación: </w:t>
      </w:r>
    </w:p>
    <w:p w14:paraId="0820A696" w14:textId="77777777" w:rsidR="00A37F2C" w:rsidRPr="008A4A1F" w:rsidRDefault="009F482A">
      <w:pPr>
        <w:tabs>
          <w:tab w:val="left" w:pos="993"/>
        </w:tabs>
        <w:spacing w:line="360" w:lineRule="auto"/>
        <w:ind w:right="-28"/>
        <w:rPr>
          <w:rFonts w:ascii="Palatino Linotype" w:eastAsia="Palatino Linotype" w:hAnsi="Palatino Linotype" w:cs="Palatino Linotype"/>
        </w:rPr>
      </w:pPr>
      <w:r w:rsidRPr="008A4A1F">
        <w:rPr>
          <w:rFonts w:ascii="Palatino Linotype" w:eastAsia="Palatino Linotype" w:hAnsi="Palatino Linotype" w:cs="Palatino Linotype"/>
          <w:noProof/>
          <w:lang w:val="es-MX"/>
        </w:rPr>
        <w:drawing>
          <wp:inline distT="0" distB="0" distL="0" distR="0" wp14:anchorId="43394E4F" wp14:editId="087E1275">
            <wp:extent cx="5581015" cy="1026160"/>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581015" cy="1026160"/>
                    </a:xfrm>
                    <a:prstGeom prst="rect">
                      <a:avLst/>
                    </a:prstGeom>
                    <a:ln/>
                  </pic:spPr>
                </pic:pic>
              </a:graphicData>
            </a:graphic>
          </wp:inline>
        </w:drawing>
      </w:r>
      <w:r w:rsidRPr="008A4A1F">
        <w:rPr>
          <w:noProof/>
          <w:lang w:val="es-MX"/>
        </w:rPr>
        <mc:AlternateContent>
          <mc:Choice Requires="wpg">
            <w:drawing>
              <wp:anchor distT="0" distB="0" distL="114300" distR="114300" simplePos="0" relativeHeight="251658240" behindDoc="0" locked="0" layoutInCell="1" hidden="0" allowOverlap="1" wp14:anchorId="6796B93D" wp14:editId="1C4D55D8">
                <wp:simplePos x="0" y="0"/>
                <wp:positionH relativeFrom="column">
                  <wp:posOffset>1447800</wp:posOffset>
                </wp:positionH>
                <wp:positionV relativeFrom="paragraph">
                  <wp:posOffset>190500</wp:posOffset>
                </wp:positionV>
                <wp:extent cx="762000" cy="864235"/>
                <wp:effectExtent l="0" t="0" r="0" b="0"/>
                <wp:wrapNone/>
                <wp:docPr id="29" name="Rectángulo 29"/>
                <wp:cNvGraphicFramePr/>
                <a:graphic xmlns:a="http://schemas.openxmlformats.org/drawingml/2006/main">
                  <a:graphicData uri="http://schemas.microsoft.com/office/word/2010/wordprocessingShape">
                    <wps:wsp>
                      <wps:cNvSpPr/>
                      <wps:spPr>
                        <a:xfrm>
                          <a:off x="4979288" y="3362170"/>
                          <a:ext cx="733425" cy="835660"/>
                        </a:xfrm>
                        <a:prstGeom prst="rect">
                          <a:avLst/>
                        </a:prstGeom>
                        <a:noFill/>
                        <a:ln w="28575" cap="flat" cmpd="sng">
                          <a:solidFill>
                            <a:srgbClr val="FF0000"/>
                          </a:solidFill>
                          <a:prstDash val="solid"/>
                          <a:round/>
                          <a:headEnd type="none" w="sm" len="sm"/>
                          <a:tailEnd type="none" w="sm" len="sm"/>
                        </a:ln>
                      </wps:spPr>
                      <wps:txbx>
                        <w:txbxContent>
                          <w:p w14:paraId="72D708F5" w14:textId="77777777" w:rsidR="00A37F2C" w:rsidRDefault="00A37F2C">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1447800</wp:posOffset>
                </wp:positionH>
                <wp:positionV relativeFrom="paragraph">
                  <wp:posOffset>190500</wp:posOffset>
                </wp:positionV>
                <wp:extent cx="762000" cy="864235"/>
                <wp:effectExtent b="0" l="0" r="0" t="0"/>
                <wp:wrapNone/>
                <wp:docPr id="29"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762000" cy="864235"/>
                        </a:xfrm>
                        <a:prstGeom prst="rect"/>
                        <a:ln/>
                      </pic:spPr>
                    </pic:pic>
                  </a:graphicData>
                </a:graphic>
              </wp:anchor>
            </w:drawing>
          </mc:Fallback>
        </mc:AlternateContent>
      </w:r>
    </w:p>
    <w:p w14:paraId="67A36CC1" w14:textId="77777777" w:rsidR="00A37F2C" w:rsidRPr="008A4A1F" w:rsidRDefault="009F482A">
      <w:pPr>
        <w:tabs>
          <w:tab w:val="left" w:pos="993"/>
        </w:tabs>
        <w:spacing w:line="360" w:lineRule="auto"/>
        <w:ind w:right="-28"/>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Asimismo,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orientó en su respuesta al particular, </w:t>
      </w:r>
      <w:proofErr w:type="gramStart"/>
      <w:r w:rsidRPr="008A4A1F">
        <w:rPr>
          <w:rFonts w:ascii="Palatino Linotype" w:eastAsia="Palatino Linotype" w:hAnsi="Palatino Linotype" w:cs="Palatino Linotype"/>
        </w:rPr>
        <w:t>refiriendo  que</w:t>
      </w:r>
      <w:proofErr w:type="gramEnd"/>
      <w:r w:rsidRPr="008A4A1F">
        <w:rPr>
          <w:rFonts w:ascii="Palatino Linotype" w:eastAsia="Palatino Linotype" w:hAnsi="Palatino Linotype" w:cs="Palatino Linotype"/>
        </w:rPr>
        <w:t xml:space="preserve"> una vez analizada la información solicitada, se determinó que esta podía estar en posesión de la Secretaría de Justicia y Derechos Humanos, al ser la Comisión de Búsqueda de Personas del Estado de México un órgano desconcentrado de esta Secretaría.</w:t>
      </w:r>
    </w:p>
    <w:p w14:paraId="03902506" w14:textId="77777777" w:rsidR="00A37F2C" w:rsidRPr="008A4A1F" w:rsidRDefault="00A37F2C">
      <w:pPr>
        <w:tabs>
          <w:tab w:val="left" w:pos="993"/>
        </w:tabs>
        <w:spacing w:line="360" w:lineRule="auto"/>
        <w:ind w:right="-28"/>
        <w:rPr>
          <w:rFonts w:ascii="Palatino Linotype" w:eastAsia="Palatino Linotype" w:hAnsi="Palatino Linotype" w:cs="Palatino Linotype"/>
        </w:rPr>
      </w:pPr>
    </w:p>
    <w:p w14:paraId="4BE902CA" w14:textId="77777777" w:rsidR="00A37F2C" w:rsidRPr="008A4A1F" w:rsidRDefault="009F482A">
      <w:pPr>
        <w:tabs>
          <w:tab w:val="left" w:pos="993"/>
        </w:tabs>
        <w:spacing w:line="360" w:lineRule="auto"/>
        <w:ind w:right="-28"/>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En mérito de lo anterior, es de vital importancia señalar que la facultad de orientación al particular para que formule su solicitud ante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competente es potestativa. </w:t>
      </w:r>
    </w:p>
    <w:p w14:paraId="451CCE48" w14:textId="77777777" w:rsidR="00A37F2C" w:rsidRPr="008A4A1F" w:rsidRDefault="00A37F2C">
      <w:pPr>
        <w:tabs>
          <w:tab w:val="left" w:pos="993"/>
        </w:tabs>
        <w:spacing w:line="360" w:lineRule="auto"/>
        <w:ind w:right="-28"/>
        <w:jc w:val="both"/>
        <w:rPr>
          <w:rFonts w:ascii="Palatino Linotype" w:eastAsia="Palatino Linotype" w:hAnsi="Palatino Linotype" w:cs="Palatino Linotype"/>
        </w:rPr>
      </w:pPr>
    </w:p>
    <w:p w14:paraId="7D228442" w14:textId="77777777" w:rsidR="00A37F2C" w:rsidRPr="008A4A1F" w:rsidRDefault="009F482A">
      <w:pPr>
        <w:tabs>
          <w:tab w:val="left" w:pos="993"/>
        </w:tabs>
        <w:spacing w:line="360" w:lineRule="auto"/>
        <w:ind w:right="-28"/>
        <w:jc w:val="both"/>
        <w:rPr>
          <w:rFonts w:ascii="Palatino Linotype" w:eastAsia="Palatino Linotype" w:hAnsi="Palatino Linotype" w:cs="Palatino Linotype"/>
        </w:rPr>
      </w:pPr>
      <w:bookmarkStart w:id="0" w:name="_heading=h.3znysh7" w:colFirst="0" w:colLast="0"/>
      <w:bookmarkEnd w:id="0"/>
      <w:r w:rsidRPr="008A4A1F">
        <w:rPr>
          <w:rFonts w:ascii="Palatino Linotype" w:eastAsia="Palatino Linotype" w:hAnsi="Palatino Linotype" w:cs="Palatino Linotype"/>
        </w:rPr>
        <w:t xml:space="preserve">Es por lo expuesto con antelación que se colige que 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no sólo declinó su competencia dentro del plazo establecido por la Ley para tal efecto, sino que, además, orientó al Solicitante para que este presentara su solicitud de información ante los </w:t>
      </w:r>
      <w:r w:rsidRPr="008A4A1F">
        <w:rPr>
          <w:rFonts w:ascii="Palatino Linotype" w:eastAsia="Palatino Linotype" w:hAnsi="Palatino Linotype" w:cs="Palatino Linotype"/>
          <w:b/>
        </w:rPr>
        <w:t>Sujetos Obligados</w:t>
      </w:r>
      <w:r w:rsidRPr="008A4A1F">
        <w:rPr>
          <w:rFonts w:ascii="Palatino Linotype" w:eastAsia="Palatino Linotype" w:hAnsi="Palatino Linotype" w:cs="Palatino Linotype"/>
        </w:rPr>
        <w:t xml:space="preserve"> correspondientes. En ese sentido, ordenar al Comité de Transparencia del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que sesione para que emita un acuerdo en el que confirme la declaratoria de incompetencia para garantizar el derecho de la parte Recurrente dilata los plazos del procedimiento, genera una carga adicional al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xml:space="preserve">, y ello no modifica el hecho de que la parte Recurrente no obtendrá la información que es de su interés por esta vía, en virtud de que </w:t>
      </w:r>
      <w:r w:rsidRPr="008A4A1F">
        <w:rPr>
          <w:rFonts w:ascii="Palatino Linotype" w:eastAsia="Palatino Linotype" w:hAnsi="Palatino Linotype" w:cs="Palatino Linotype"/>
          <w:b/>
          <w:u w:val="single"/>
        </w:rPr>
        <w:t>el Sujeto Obligado no cuenta con competencia para atender los requerimientos señalados por el particular, por ende no se</w:t>
      </w:r>
      <w:r w:rsidRPr="008A4A1F">
        <w:rPr>
          <w:rFonts w:ascii="Calibri" w:eastAsia="Calibri" w:hAnsi="Calibri" w:cs="Calibri"/>
          <w:b/>
          <w:u w:val="single"/>
        </w:rPr>
        <w:t xml:space="preserve"> </w:t>
      </w:r>
      <w:r w:rsidRPr="008A4A1F">
        <w:rPr>
          <w:rFonts w:ascii="Palatino Linotype" w:eastAsia="Palatino Linotype" w:hAnsi="Palatino Linotype" w:cs="Palatino Linotype"/>
          <w:b/>
          <w:u w:val="single"/>
        </w:rPr>
        <w:t xml:space="preserve">encuentra constreñido a entregar la información requerida ante la falta de atribuciones para generar, poseer o administrar lo solicitado. </w:t>
      </w:r>
    </w:p>
    <w:p w14:paraId="3038CB98" w14:textId="77777777" w:rsidR="00A37F2C" w:rsidRPr="008A4A1F" w:rsidRDefault="00A37F2C">
      <w:pPr>
        <w:tabs>
          <w:tab w:val="left" w:pos="142"/>
          <w:tab w:val="left" w:pos="284"/>
        </w:tabs>
        <w:spacing w:line="360" w:lineRule="auto"/>
        <w:jc w:val="both"/>
        <w:rPr>
          <w:rFonts w:ascii="Palatino Linotype" w:eastAsia="Palatino Linotype" w:hAnsi="Palatino Linotype" w:cs="Palatino Linotype"/>
          <w:sz w:val="22"/>
          <w:szCs w:val="22"/>
        </w:rPr>
      </w:pPr>
    </w:p>
    <w:p w14:paraId="0DE74430" w14:textId="77777777" w:rsidR="00A37F2C" w:rsidRPr="008A4A1F" w:rsidRDefault="009F482A">
      <w:pPr>
        <w:tabs>
          <w:tab w:val="left" w:pos="142"/>
          <w:tab w:val="left" w:pos="284"/>
        </w:tabs>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t xml:space="preserve">Por ello, instruir al Comité de Transparencia para que sesione y emita una resolución en la que se confirme una notoria incompetencia que ya fue declarada y analizada por este Organismo Garante, se aparta de los principios de sencillez y rapidez establecidos por la Ley de Transparencia y Acceso a la Información Pública del Estado de México y Municipios, en sus artículos 2, fracciones II y III, 21 y 150. </w:t>
      </w:r>
    </w:p>
    <w:p w14:paraId="7C2FA13A" w14:textId="77777777" w:rsidR="00A37F2C" w:rsidRPr="008A4A1F" w:rsidRDefault="00A37F2C">
      <w:pPr>
        <w:tabs>
          <w:tab w:val="left" w:pos="993"/>
        </w:tabs>
        <w:spacing w:line="360" w:lineRule="auto"/>
        <w:ind w:right="-28"/>
        <w:jc w:val="both"/>
        <w:rPr>
          <w:rFonts w:ascii="Palatino Linotype" w:eastAsia="Palatino Linotype" w:hAnsi="Palatino Linotype" w:cs="Palatino Linotype"/>
        </w:rPr>
      </w:pPr>
    </w:p>
    <w:p w14:paraId="4A492C53"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rPr>
        <w:lastRenderedPageBreak/>
        <w:t xml:space="preserve">En ese orden de ideas, se determina que los agravios hechos valer por el Recurrente devienen </w:t>
      </w:r>
      <w:r w:rsidRPr="008A4A1F">
        <w:rPr>
          <w:rFonts w:ascii="Palatino Linotype" w:eastAsia="Palatino Linotype" w:hAnsi="Palatino Linotype" w:cs="Palatino Linotype"/>
          <w:b/>
        </w:rPr>
        <w:t xml:space="preserve">INFUNDADOS </w:t>
      </w:r>
      <w:r w:rsidRPr="008A4A1F">
        <w:rPr>
          <w:rFonts w:ascii="Palatino Linotype" w:eastAsia="Palatino Linotype" w:hAnsi="Palatino Linotype" w:cs="Palatino Linotype"/>
        </w:rPr>
        <w:t xml:space="preserve">y, por lo tanto, resulta procedente </w:t>
      </w:r>
      <w:r w:rsidRPr="008A4A1F">
        <w:rPr>
          <w:rFonts w:ascii="Palatino Linotype" w:eastAsia="Palatino Linotype" w:hAnsi="Palatino Linotype" w:cs="Palatino Linotype"/>
          <w:b/>
        </w:rPr>
        <w:t xml:space="preserve">CONFIRMAR </w:t>
      </w:r>
      <w:r w:rsidRPr="008A4A1F">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sin embargo, no pasa por alto mencionar que, se dejan a salvo los derechos del Particular para que </w:t>
      </w:r>
      <w:proofErr w:type="spellStart"/>
      <w:r w:rsidRPr="008A4A1F">
        <w:rPr>
          <w:rFonts w:ascii="Palatino Linotype" w:eastAsia="Palatino Linotype" w:hAnsi="Palatino Linotype" w:cs="Palatino Linotype"/>
        </w:rPr>
        <w:t>este</w:t>
      </w:r>
      <w:proofErr w:type="spellEnd"/>
      <w:r w:rsidRPr="008A4A1F">
        <w:rPr>
          <w:rFonts w:ascii="Palatino Linotype" w:eastAsia="Palatino Linotype" w:hAnsi="Palatino Linotype" w:cs="Palatino Linotype"/>
        </w:rPr>
        <w:t xml:space="preserve"> presente su solicitud de información ante el o los sujetos obligados competentes. </w:t>
      </w:r>
    </w:p>
    <w:p w14:paraId="74364889" w14:textId="77777777" w:rsidR="00A37F2C" w:rsidRPr="008A4A1F" w:rsidRDefault="009F482A">
      <w:pPr>
        <w:spacing w:before="80" w:after="240" w:line="360" w:lineRule="auto"/>
        <w:jc w:val="both"/>
        <w:rPr>
          <w:rFonts w:ascii="Palatino Linotype" w:eastAsia="Palatino Linotype" w:hAnsi="Palatino Linotype" w:cs="Palatino Linotype"/>
        </w:rPr>
      </w:pPr>
      <w:bookmarkStart w:id="1" w:name="_heading=h.2et92p0" w:colFirst="0" w:colLast="0"/>
      <w:bookmarkEnd w:id="1"/>
      <w:r w:rsidRPr="008A4A1F">
        <w:rPr>
          <w:rFonts w:ascii="Palatino Linotype" w:eastAsia="Palatino Linotype" w:hAnsi="Palatino Linotype" w:cs="Palatino Linotype"/>
        </w:rPr>
        <w:t>Así, con fundamento en lo prescrito en los</w:t>
      </w:r>
      <w:r w:rsidRPr="008A4A1F">
        <w:t xml:space="preserve"> </w:t>
      </w:r>
      <w:r w:rsidRPr="008A4A1F">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6189AE8C" w14:textId="77777777" w:rsidR="00A37F2C" w:rsidRPr="008A4A1F" w:rsidRDefault="009F482A">
      <w:pPr>
        <w:spacing w:line="259" w:lineRule="auto"/>
        <w:ind w:left="-142" w:right="49"/>
        <w:jc w:val="center"/>
        <w:rPr>
          <w:rFonts w:ascii="Palatino Linotype" w:eastAsia="Palatino Linotype" w:hAnsi="Palatino Linotype" w:cs="Palatino Linotype"/>
          <w:b/>
          <w:sz w:val="28"/>
          <w:szCs w:val="28"/>
        </w:rPr>
      </w:pPr>
      <w:bookmarkStart w:id="2" w:name="_heading=h.gjdgxs" w:colFirst="0" w:colLast="0"/>
      <w:bookmarkEnd w:id="2"/>
      <w:r w:rsidRPr="008A4A1F">
        <w:rPr>
          <w:rFonts w:ascii="Palatino Linotype" w:eastAsia="Palatino Linotype" w:hAnsi="Palatino Linotype" w:cs="Palatino Linotype"/>
          <w:b/>
          <w:sz w:val="28"/>
          <w:szCs w:val="28"/>
        </w:rPr>
        <w:t>R E S U E L V E:</w:t>
      </w:r>
    </w:p>
    <w:p w14:paraId="79FA1795" w14:textId="77777777" w:rsidR="00A37F2C" w:rsidRPr="008A4A1F" w:rsidRDefault="00A37F2C">
      <w:pPr>
        <w:spacing w:line="259" w:lineRule="auto"/>
        <w:ind w:left="-142" w:right="49"/>
        <w:jc w:val="center"/>
        <w:rPr>
          <w:rFonts w:ascii="Palatino Linotype" w:eastAsia="Palatino Linotype" w:hAnsi="Palatino Linotype" w:cs="Palatino Linotype"/>
          <w:b/>
          <w:sz w:val="28"/>
          <w:szCs w:val="28"/>
        </w:rPr>
      </w:pPr>
    </w:p>
    <w:p w14:paraId="0A67B075" w14:textId="77777777" w:rsidR="00A37F2C" w:rsidRPr="008A4A1F" w:rsidRDefault="009F482A">
      <w:pPr>
        <w:spacing w:line="360" w:lineRule="auto"/>
        <w:jc w:val="both"/>
      </w:pPr>
      <w:r w:rsidRPr="008A4A1F">
        <w:rPr>
          <w:rFonts w:ascii="Palatino Linotype" w:eastAsia="Palatino Linotype" w:hAnsi="Palatino Linotype" w:cs="Palatino Linotype"/>
          <w:b/>
        </w:rPr>
        <w:t>Primero.</w:t>
      </w:r>
      <w:r w:rsidRPr="008A4A1F">
        <w:rPr>
          <w:rFonts w:ascii="Palatino Linotype" w:eastAsia="Palatino Linotype" w:hAnsi="Palatino Linotype" w:cs="Palatino Linotype"/>
        </w:rPr>
        <w:t xml:space="preserve"> Resultan </w:t>
      </w:r>
      <w:r w:rsidRPr="008A4A1F">
        <w:rPr>
          <w:rFonts w:ascii="Palatino Linotype" w:eastAsia="Palatino Linotype" w:hAnsi="Palatino Linotype" w:cs="Palatino Linotype"/>
          <w:b/>
        </w:rPr>
        <w:t>infundados</w:t>
      </w:r>
      <w:r w:rsidRPr="008A4A1F">
        <w:rPr>
          <w:rFonts w:ascii="Palatino Linotype" w:eastAsia="Palatino Linotype" w:hAnsi="Palatino Linotype" w:cs="Palatino Linotype"/>
        </w:rPr>
        <w:t xml:space="preserve"> los motivos de inconformidad aducidos por el </w:t>
      </w:r>
      <w:r w:rsidRPr="008A4A1F">
        <w:rPr>
          <w:rFonts w:ascii="Palatino Linotype" w:eastAsia="Palatino Linotype" w:hAnsi="Palatino Linotype" w:cs="Palatino Linotype"/>
          <w:b/>
        </w:rPr>
        <w:t>Recurrente</w:t>
      </w:r>
      <w:r w:rsidRPr="008A4A1F">
        <w:rPr>
          <w:rFonts w:ascii="Palatino Linotype" w:eastAsia="Palatino Linotype" w:hAnsi="Palatino Linotype" w:cs="Palatino Linotype"/>
        </w:rPr>
        <w:t xml:space="preserve"> en el recurso de revisión </w:t>
      </w:r>
      <w:r w:rsidRPr="008A4A1F">
        <w:rPr>
          <w:rFonts w:ascii="Palatino Linotype" w:eastAsia="Palatino Linotype" w:hAnsi="Palatino Linotype" w:cs="Palatino Linotype"/>
          <w:b/>
        </w:rPr>
        <w:t>15204/INFOEM/IP/RR/2022</w:t>
      </w:r>
      <w:r w:rsidRPr="008A4A1F">
        <w:rPr>
          <w:rFonts w:ascii="Palatino Linotype" w:eastAsia="Palatino Linotype" w:hAnsi="Palatino Linotype" w:cs="Palatino Linotype"/>
        </w:rPr>
        <w:t xml:space="preserve">; por lo que, en términos de los argumentos señalados en el </w:t>
      </w:r>
      <w:r w:rsidRPr="008A4A1F">
        <w:rPr>
          <w:rFonts w:ascii="Palatino Linotype" w:eastAsia="Palatino Linotype" w:hAnsi="Palatino Linotype" w:cs="Palatino Linotype"/>
          <w:b/>
        </w:rPr>
        <w:t>Considerando Cuarto</w:t>
      </w:r>
      <w:r w:rsidRPr="008A4A1F">
        <w:rPr>
          <w:rFonts w:ascii="Palatino Linotype" w:eastAsia="Palatino Linotype" w:hAnsi="Palatino Linotype" w:cs="Palatino Linotype"/>
        </w:rPr>
        <w:t xml:space="preserve">, se </w:t>
      </w:r>
      <w:r w:rsidRPr="008A4A1F">
        <w:rPr>
          <w:rFonts w:ascii="Palatino Linotype" w:eastAsia="Palatino Linotype" w:hAnsi="Palatino Linotype" w:cs="Palatino Linotype"/>
          <w:b/>
        </w:rPr>
        <w:t>CONFIRMA</w:t>
      </w:r>
      <w:r w:rsidRPr="008A4A1F">
        <w:rPr>
          <w:rFonts w:ascii="Palatino Linotype" w:eastAsia="Palatino Linotype" w:hAnsi="Palatino Linotype" w:cs="Palatino Linotype"/>
        </w:rPr>
        <w:t xml:space="preserve"> la respuesta emitida por el </w:t>
      </w:r>
      <w:r w:rsidRPr="008A4A1F">
        <w:rPr>
          <w:rFonts w:ascii="Palatino Linotype" w:eastAsia="Palatino Linotype" w:hAnsi="Palatino Linotype" w:cs="Palatino Linotype"/>
          <w:b/>
        </w:rPr>
        <w:t>Sujeto Obligado.</w:t>
      </w:r>
    </w:p>
    <w:p w14:paraId="46E93FC3" w14:textId="77777777" w:rsidR="00A37F2C" w:rsidRPr="008A4A1F" w:rsidRDefault="00A37F2C">
      <w:pPr>
        <w:spacing w:line="360" w:lineRule="auto"/>
      </w:pPr>
    </w:p>
    <w:p w14:paraId="7D3FEBB6" w14:textId="77777777" w:rsidR="00A37F2C" w:rsidRPr="008A4A1F" w:rsidRDefault="009F482A">
      <w:pPr>
        <w:spacing w:line="360" w:lineRule="auto"/>
        <w:jc w:val="both"/>
      </w:pPr>
      <w:r w:rsidRPr="008A4A1F">
        <w:rPr>
          <w:rFonts w:ascii="Palatino Linotype" w:eastAsia="Palatino Linotype" w:hAnsi="Palatino Linotype" w:cs="Palatino Linotype"/>
          <w:b/>
        </w:rPr>
        <w:t>Segundo</w:t>
      </w:r>
      <w:r w:rsidRPr="008A4A1F">
        <w:rPr>
          <w:rFonts w:ascii="Palatino Linotype" w:eastAsia="Palatino Linotype" w:hAnsi="Palatino Linotype" w:cs="Palatino Linotype"/>
        </w:rPr>
        <w:t xml:space="preserve">. Notifíquese, vía </w:t>
      </w:r>
      <w:r w:rsidRPr="008A4A1F">
        <w:rPr>
          <w:rFonts w:ascii="Palatino Linotype" w:eastAsia="Palatino Linotype" w:hAnsi="Palatino Linotype" w:cs="Palatino Linotype"/>
          <w:b/>
        </w:rPr>
        <w:t>SAIMEX</w:t>
      </w:r>
      <w:r w:rsidRPr="008A4A1F">
        <w:rPr>
          <w:rFonts w:ascii="Palatino Linotype" w:eastAsia="Palatino Linotype" w:hAnsi="Palatino Linotype" w:cs="Palatino Linotype"/>
        </w:rPr>
        <w:t xml:space="preserve">, </w:t>
      </w:r>
      <w:proofErr w:type="gramStart"/>
      <w:r w:rsidRPr="008A4A1F">
        <w:rPr>
          <w:rFonts w:ascii="Palatino Linotype" w:eastAsia="Palatino Linotype" w:hAnsi="Palatino Linotype" w:cs="Palatino Linotype"/>
        </w:rPr>
        <w:t>al  Titular</w:t>
      </w:r>
      <w:proofErr w:type="gramEnd"/>
      <w:r w:rsidRPr="008A4A1F">
        <w:rPr>
          <w:rFonts w:ascii="Palatino Linotype" w:eastAsia="Palatino Linotype" w:hAnsi="Palatino Linotype" w:cs="Palatino Linotype"/>
        </w:rPr>
        <w:t xml:space="preserve">  de la Unidad de Transparencia del </w:t>
      </w:r>
      <w:r w:rsidRPr="008A4A1F">
        <w:rPr>
          <w:rFonts w:ascii="Palatino Linotype" w:eastAsia="Palatino Linotype" w:hAnsi="Palatino Linotype" w:cs="Palatino Linotype"/>
          <w:b/>
        </w:rPr>
        <w:t>Sujeto Obligado</w:t>
      </w:r>
      <w:r w:rsidRPr="008A4A1F">
        <w:rPr>
          <w:rFonts w:ascii="Palatino Linotype" w:eastAsia="Palatino Linotype" w:hAnsi="Palatino Linotype" w:cs="Palatino Linotype"/>
        </w:rPr>
        <w:t>, la presente resolución para su conocimiento.</w:t>
      </w:r>
    </w:p>
    <w:p w14:paraId="18429716" w14:textId="77777777" w:rsidR="00A37F2C" w:rsidRPr="008A4A1F" w:rsidRDefault="00A37F2C">
      <w:pPr>
        <w:spacing w:line="360" w:lineRule="auto"/>
      </w:pPr>
    </w:p>
    <w:p w14:paraId="4DAAE51B" w14:textId="77777777" w:rsidR="00A37F2C" w:rsidRPr="008A4A1F" w:rsidRDefault="009F482A">
      <w:pPr>
        <w:spacing w:line="360" w:lineRule="auto"/>
        <w:jc w:val="both"/>
        <w:rPr>
          <w:rFonts w:ascii="Palatino Linotype" w:eastAsia="Palatino Linotype" w:hAnsi="Palatino Linotype" w:cs="Palatino Linotype"/>
        </w:rPr>
      </w:pPr>
      <w:r w:rsidRPr="008A4A1F">
        <w:rPr>
          <w:rFonts w:ascii="Palatino Linotype" w:eastAsia="Palatino Linotype" w:hAnsi="Palatino Linotype" w:cs="Palatino Linotype"/>
          <w:b/>
        </w:rPr>
        <w:t xml:space="preserve">Tercero.  Notifíquese, </w:t>
      </w:r>
      <w:r w:rsidRPr="008A4A1F">
        <w:rPr>
          <w:rFonts w:ascii="Palatino Linotype" w:eastAsia="Palatino Linotype" w:hAnsi="Palatino Linotype" w:cs="Palatino Linotype"/>
        </w:rPr>
        <w:t xml:space="preserve">al </w:t>
      </w:r>
      <w:r w:rsidRPr="008A4A1F">
        <w:rPr>
          <w:rFonts w:ascii="Palatino Linotype" w:eastAsia="Palatino Linotype" w:hAnsi="Palatino Linotype" w:cs="Palatino Linotype"/>
          <w:b/>
        </w:rPr>
        <w:t>Recurrente</w:t>
      </w:r>
      <w:r w:rsidRPr="008A4A1F">
        <w:rPr>
          <w:rFonts w:ascii="Palatino Linotype" w:eastAsia="Palatino Linotype" w:hAnsi="Palatino Linotype" w:cs="Palatino Linotype"/>
        </w:rPr>
        <w:t xml:space="preserve"> la presente resolución vía </w:t>
      </w:r>
      <w:r w:rsidRPr="008A4A1F">
        <w:rPr>
          <w:rFonts w:ascii="Palatino Linotype" w:eastAsia="Palatino Linotype" w:hAnsi="Palatino Linotype" w:cs="Palatino Linotype"/>
          <w:b/>
        </w:rPr>
        <w:t>SAIMEX y correo electrónico</w:t>
      </w:r>
      <w:r w:rsidRPr="008A4A1F">
        <w:rPr>
          <w:rFonts w:ascii="Palatino Linotype" w:eastAsia="Palatino Linotype" w:hAnsi="Palatino Linotype" w:cs="Palatino Linotype"/>
        </w:rPr>
        <w:t xml:space="preserve">, así como que de conformidad con lo establecido en el artículo 196 de la Ley de Transparencia y Acceso a la Información Pública del Estado de México y </w:t>
      </w:r>
      <w:r w:rsidRPr="008A4A1F">
        <w:rPr>
          <w:rFonts w:ascii="Palatino Linotype" w:eastAsia="Palatino Linotype" w:hAnsi="Palatino Linotype" w:cs="Palatino Linotype"/>
        </w:rPr>
        <w:lastRenderedPageBreak/>
        <w:t>Municipios podrá impugnarla vía Juicio de Amparo en los términos de las leyes aplicables.</w:t>
      </w:r>
    </w:p>
    <w:p w14:paraId="30242CE7" w14:textId="77777777" w:rsidR="00A37F2C" w:rsidRPr="008A4A1F" w:rsidRDefault="009F482A">
      <w:pPr>
        <w:spacing w:before="240" w:after="240" w:line="360" w:lineRule="auto"/>
        <w:jc w:val="both"/>
        <w:rPr>
          <w:rFonts w:ascii="Palatino Linotype" w:eastAsia="Palatino Linotype" w:hAnsi="Palatino Linotype" w:cs="Palatino Linotype"/>
        </w:rPr>
        <w:sectPr w:rsidR="00A37F2C" w:rsidRPr="008A4A1F">
          <w:headerReference w:type="default" r:id="rId16"/>
          <w:footerReference w:type="default" r:id="rId17"/>
          <w:headerReference w:type="first" r:id="rId18"/>
          <w:footerReference w:type="first" r:id="rId19"/>
          <w:pgSz w:w="12240" w:h="15840"/>
          <w:pgMar w:top="1417" w:right="1750" w:bottom="1417" w:left="1701" w:header="709" w:footer="709" w:gutter="0"/>
          <w:pgNumType w:start="1"/>
          <w:cols w:space="720"/>
          <w:titlePg/>
        </w:sectPr>
      </w:pPr>
      <w:bookmarkStart w:id="3" w:name="_heading=h.1fob9te" w:colFirst="0" w:colLast="0"/>
      <w:bookmarkEnd w:id="3"/>
      <w:r w:rsidRPr="008A4A1F">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DE AGOSTO DEL DOS MIL VEINTITRÉS, ANTE EL SECRETARIO TÉCNICO DEL PLENO, ALEXIS TAPIA RAMÍREZ.</w:t>
      </w:r>
    </w:p>
    <w:p w14:paraId="76DB6990" w14:textId="77777777" w:rsidR="00A37F2C" w:rsidRPr="008A4A1F" w:rsidRDefault="00A37F2C">
      <w:pPr>
        <w:spacing w:before="240" w:after="240" w:line="360" w:lineRule="auto"/>
        <w:jc w:val="both"/>
        <w:rPr>
          <w:rFonts w:ascii="Palatino Linotype" w:eastAsia="Palatino Linotype" w:hAnsi="Palatino Linotype" w:cs="Palatino Linotype"/>
        </w:rPr>
      </w:pPr>
    </w:p>
    <w:sectPr w:rsidR="00A37F2C" w:rsidRPr="008A4A1F">
      <w:headerReference w:type="first" r:id="rId20"/>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7B37F" w14:textId="77777777" w:rsidR="008F0545" w:rsidRDefault="008F0545">
      <w:r>
        <w:separator/>
      </w:r>
    </w:p>
  </w:endnote>
  <w:endnote w:type="continuationSeparator" w:id="0">
    <w:p w14:paraId="567B75CC" w14:textId="77777777" w:rsidR="008F0545" w:rsidRDefault="008F0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1DFD8" w14:textId="77777777" w:rsidR="00A37F2C" w:rsidRDefault="009F482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2D74">
      <w:rPr>
        <w:rFonts w:ascii="Arial" w:eastAsia="Arial" w:hAnsi="Arial" w:cs="Arial"/>
        <w:b/>
        <w:noProof/>
        <w:color w:val="000000"/>
        <w:sz w:val="20"/>
        <w:szCs w:val="20"/>
      </w:rPr>
      <w:t>53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2D74">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4645201C" w14:textId="77777777" w:rsidR="00A37F2C" w:rsidRDefault="00A37F2C">
    <w:pPr>
      <w:pBdr>
        <w:top w:val="nil"/>
        <w:left w:val="nil"/>
        <w:bottom w:val="nil"/>
        <w:right w:val="nil"/>
        <w:between w:val="nil"/>
      </w:pBdr>
      <w:tabs>
        <w:tab w:val="center" w:pos="4252"/>
        <w:tab w:val="right" w:pos="8504"/>
      </w:tabs>
      <w:rPr>
        <w:color w:val="000000"/>
      </w:rPr>
    </w:pPr>
  </w:p>
  <w:p w14:paraId="64EDA650" w14:textId="77777777" w:rsidR="00A37F2C" w:rsidRDefault="00A37F2C">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69DF2" w14:textId="77777777" w:rsidR="00A37F2C" w:rsidRDefault="009F482A">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B2D74">
      <w:rPr>
        <w:rFonts w:ascii="Arial" w:eastAsia="Arial" w:hAnsi="Arial" w:cs="Arial"/>
        <w:b/>
        <w:noProof/>
        <w:color w:val="000000"/>
        <w:sz w:val="20"/>
        <w:szCs w:val="20"/>
      </w:rPr>
      <w:t>54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B2D74">
      <w:rPr>
        <w:rFonts w:ascii="Arial" w:eastAsia="Arial" w:hAnsi="Arial" w:cs="Arial"/>
        <w:b/>
        <w:noProof/>
        <w:color w:val="000000"/>
        <w:sz w:val="20"/>
        <w:szCs w:val="20"/>
      </w:rPr>
      <w:t>54</w:t>
    </w:r>
    <w:r>
      <w:rPr>
        <w:rFonts w:ascii="Arial" w:eastAsia="Arial" w:hAnsi="Arial" w:cs="Arial"/>
        <w:b/>
        <w:color w:val="000000"/>
        <w:sz w:val="20"/>
        <w:szCs w:val="20"/>
      </w:rPr>
      <w:fldChar w:fldCharType="end"/>
    </w:r>
  </w:p>
  <w:p w14:paraId="0E36246F" w14:textId="77777777" w:rsidR="00A37F2C" w:rsidRDefault="00A37F2C">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2FC89" w14:textId="77777777" w:rsidR="008F0545" w:rsidRDefault="008F0545">
      <w:r>
        <w:separator/>
      </w:r>
    </w:p>
  </w:footnote>
  <w:footnote w:type="continuationSeparator" w:id="0">
    <w:p w14:paraId="3A24E8E3" w14:textId="77777777" w:rsidR="008F0545" w:rsidRDefault="008F0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2D59F" w14:textId="77777777" w:rsidR="00A37F2C" w:rsidRDefault="009F482A">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55B734D" wp14:editId="706315E7">
          <wp:simplePos x="0" y="0"/>
          <wp:positionH relativeFrom="column">
            <wp:posOffset>-1076322</wp:posOffset>
          </wp:positionH>
          <wp:positionV relativeFrom="paragraph">
            <wp:posOffset>-414015</wp:posOffset>
          </wp:positionV>
          <wp:extent cx="7635600" cy="9943200"/>
          <wp:effectExtent l="0" t="0" r="0" b="0"/>
          <wp:wrapNone/>
          <wp:docPr id="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d"/>
      <w:tblW w:w="6240" w:type="dxa"/>
      <w:tblInd w:w="3746" w:type="dxa"/>
      <w:tblLayout w:type="fixed"/>
      <w:tblLook w:val="0400" w:firstRow="0" w:lastRow="0" w:firstColumn="0" w:lastColumn="0" w:noHBand="0" w:noVBand="1"/>
    </w:tblPr>
    <w:tblGrid>
      <w:gridCol w:w="2553"/>
      <w:gridCol w:w="3687"/>
    </w:tblGrid>
    <w:tr w:rsidR="00A37F2C" w14:paraId="59F30182" w14:textId="77777777">
      <w:tc>
        <w:tcPr>
          <w:tcW w:w="2553" w:type="dxa"/>
          <w:vAlign w:val="center"/>
        </w:tcPr>
        <w:p w14:paraId="11F9F4C1"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3D2F483C" w14:textId="77777777" w:rsidR="00A37F2C" w:rsidRDefault="009F482A">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15204/INFOEM/IP/RR/2022</w:t>
          </w:r>
        </w:p>
      </w:tc>
    </w:tr>
    <w:tr w:rsidR="00A37F2C" w14:paraId="197066DB" w14:textId="77777777">
      <w:trPr>
        <w:trHeight w:val="228"/>
      </w:trPr>
      <w:tc>
        <w:tcPr>
          <w:tcW w:w="2553" w:type="dxa"/>
          <w:vAlign w:val="center"/>
        </w:tcPr>
        <w:p w14:paraId="5A8DBEA7"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0AD7F220" w14:textId="77777777" w:rsidR="00A37F2C" w:rsidRDefault="009F482A">
          <w:pPr>
            <w:tabs>
              <w:tab w:val="left" w:pos="1531"/>
            </w:tabs>
            <w:ind w:right="-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A37F2C" w14:paraId="1CF83307" w14:textId="77777777">
      <w:tc>
        <w:tcPr>
          <w:tcW w:w="2553" w:type="dxa"/>
          <w:vAlign w:val="center"/>
        </w:tcPr>
        <w:p w14:paraId="0826A000"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4CD4DB91" w14:textId="77777777" w:rsidR="00A37F2C" w:rsidRDefault="009F482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8CA55DA" w14:textId="77777777" w:rsidR="00A37F2C" w:rsidRDefault="009F482A">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4628A" w14:textId="77777777" w:rsidR="00A37F2C" w:rsidRDefault="009F482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244C4351" wp14:editId="1CBF52C5">
          <wp:simplePos x="0" y="0"/>
          <wp:positionH relativeFrom="column">
            <wp:posOffset>-973448</wp:posOffset>
          </wp:positionH>
          <wp:positionV relativeFrom="paragraph">
            <wp:posOffset>-354959</wp:posOffset>
          </wp:positionV>
          <wp:extent cx="7635600" cy="9943200"/>
          <wp:effectExtent l="0" t="0" r="0" b="0"/>
          <wp:wrapNone/>
          <wp:docPr id="3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c"/>
      <w:tblW w:w="6240" w:type="dxa"/>
      <w:tblInd w:w="3685" w:type="dxa"/>
      <w:tblLayout w:type="fixed"/>
      <w:tblLook w:val="0400" w:firstRow="0" w:lastRow="0" w:firstColumn="0" w:lastColumn="0" w:noHBand="0" w:noVBand="1"/>
    </w:tblPr>
    <w:tblGrid>
      <w:gridCol w:w="2553"/>
      <w:gridCol w:w="3687"/>
    </w:tblGrid>
    <w:tr w:rsidR="00A37F2C" w14:paraId="06648AF9" w14:textId="77777777">
      <w:tc>
        <w:tcPr>
          <w:tcW w:w="2553" w:type="dxa"/>
          <w:vAlign w:val="center"/>
        </w:tcPr>
        <w:p w14:paraId="6D05203F"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8B3021A"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15204/INFOEM/IP/RR/2022</w:t>
          </w:r>
        </w:p>
      </w:tc>
    </w:tr>
    <w:tr w:rsidR="00A37F2C" w14:paraId="50AFFBC5" w14:textId="77777777">
      <w:tc>
        <w:tcPr>
          <w:tcW w:w="2553" w:type="dxa"/>
          <w:vAlign w:val="center"/>
        </w:tcPr>
        <w:p w14:paraId="5A3418BE"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1BA62A43" w14:textId="489A1508" w:rsidR="00A37F2C" w:rsidRDefault="00C67282">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w:t>
          </w:r>
        </w:p>
      </w:tc>
    </w:tr>
    <w:tr w:rsidR="00A37F2C" w14:paraId="5CA297BB" w14:textId="77777777">
      <w:trPr>
        <w:trHeight w:val="228"/>
      </w:trPr>
      <w:tc>
        <w:tcPr>
          <w:tcW w:w="2553" w:type="dxa"/>
          <w:vAlign w:val="center"/>
        </w:tcPr>
        <w:p w14:paraId="0A5A8D96"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EF65EE0" w14:textId="77777777" w:rsidR="00A37F2C" w:rsidRDefault="009F482A">
          <w:pPr>
            <w:ind w:right="-11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Poder Legislativo</w:t>
          </w:r>
        </w:p>
      </w:tc>
    </w:tr>
    <w:tr w:rsidR="00A37F2C" w14:paraId="0A114B52" w14:textId="77777777">
      <w:tc>
        <w:tcPr>
          <w:tcW w:w="2553" w:type="dxa"/>
          <w:vAlign w:val="center"/>
        </w:tcPr>
        <w:p w14:paraId="64A3D166" w14:textId="77777777" w:rsidR="00A37F2C" w:rsidRDefault="009F482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BA5288B" w14:textId="77777777" w:rsidR="00A37F2C" w:rsidRDefault="009F482A">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4832EC7" w14:textId="77777777" w:rsidR="00A37F2C" w:rsidRDefault="00A37F2C">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DA4CC" w14:textId="77777777" w:rsidR="00A37F2C" w:rsidRDefault="009F482A">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02580F17" w14:textId="77777777" w:rsidR="00A37F2C" w:rsidRDefault="00A37F2C">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843564"/>
    <w:multiLevelType w:val="multilevel"/>
    <w:tmpl w:val="FAA05956"/>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4A9622CD"/>
    <w:multiLevelType w:val="multilevel"/>
    <w:tmpl w:val="95A4240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55D170C7"/>
    <w:multiLevelType w:val="multilevel"/>
    <w:tmpl w:val="9EF480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D42C40"/>
    <w:multiLevelType w:val="multilevel"/>
    <w:tmpl w:val="B686E3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597AEE"/>
    <w:multiLevelType w:val="multilevel"/>
    <w:tmpl w:val="9E1047F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6B8D5ECC"/>
    <w:multiLevelType w:val="multilevel"/>
    <w:tmpl w:val="2A7AED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3C80F9C"/>
    <w:multiLevelType w:val="multilevel"/>
    <w:tmpl w:val="EB9C56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2"/>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F2C"/>
    <w:rsid w:val="000B2D74"/>
    <w:rsid w:val="002C49D9"/>
    <w:rsid w:val="008A4A1F"/>
    <w:rsid w:val="008F0545"/>
    <w:rsid w:val="009F482A"/>
    <w:rsid w:val="00A37F2C"/>
    <w:rsid w:val="00BC3919"/>
    <w:rsid w:val="00C67282"/>
    <w:rsid w:val="00DA3E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017B8"/>
  <w15:docId w15:val="{2764FEB3-8A69-4571-A356-505EEE229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5"/>
      </w:numPr>
      <w:contextualSpacing/>
    </w:p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Ge++xXwc0Lxg4l+uGly/GVA8A==">CgMxLjAyCWguM3pueXNoNzIJaC4yZXQ5MnAwMghoLmdqZGd4czIJaC4xZm9iOXRlOAByITE0TlJ5LVZXUGVxb29ySUowQ1F2eGtpTGZPTFdJa3RvZQ==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13831</Words>
  <Characters>76076</Characters>
  <Application>Microsoft Office Word</Application>
  <DocSecurity>4</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2023-08-18T17:14:00Z</cp:lastPrinted>
  <dcterms:created xsi:type="dcterms:W3CDTF">2023-09-04T19:14:00Z</dcterms:created>
  <dcterms:modified xsi:type="dcterms:W3CDTF">2023-09-04T19:14:00Z</dcterms:modified>
</cp:coreProperties>
</file>