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A0B13BA"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D708C2">
        <w:rPr>
          <w:rFonts w:ascii="Palatino Linotype" w:hAnsi="Palatino Linotype"/>
          <w:color w:val="000000" w:themeColor="text1"/>
        </w:rPr>
        <w:t>quince (15</w:t>
      </w:r>
      <w:r w:rsidR="00E73025">
        <w:rPr>
          <w:rFonts w:ascii="Palatino Linotype" w:hAnsi="Palatino Linotype"/>
          <w:color w:val="000000" w:themeColor="text1"/>
        </w:rPr>
        <w:t xml:space="preserve">) de marzo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20EEBCF"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w:t>
      </w:r>
      <w:r w:rsidR="00817C58">
        <w:rPr>
          <w:rFonts w:ascii="Palatino Linotype" w:hAnsi="Palatino Linotype"/>
          <w:color w:val="000000" w:themeColor="text1"/>
        </w:rPr>
        <w:t xml:space="preserve"> </w:t>
      </w:r>
      <w:r w:rsidRPr="00A85CB7">
        <w:rPr>
          <w:rFonts w:ascii="Palatino Linotype" w:hAnsi="Palatino Linotype"/>
          <w:color w:val="000000" w:themeColor="text1"/>
        </w:rPr>
        <w:t>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D708C2">
        <w:rPr>
          <w:rFonts w:ascii="Palatino Linotype" w:hAnsi="Palatino Linotype"/>
          <w:b/>
          <w:bCs/>
          <w:color w:val="000000" w:themeColor="text1"/>
        </w:rPr>
        <w:t>00128/INFOEM/IP/RR/2023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FD27EA">
        <w:rPr>
          <w:rFonts w:ascii="Palatino Linotype" w:eastAsia="Times New Roman" w:hAnsi="Palatino Linotype" w:cs="Times New Roman"/>
          <w:color w:val="000000" w:themeColor="text1"/>
        </w:rPr>
        <w:t xml:space="preserve"> </w:t>
      </w:r>
      <w:r w:rsidR="000D3C2C">
        <w:rPr>
          <w:rFonts w:ascii="Palatino Linotype" w:eastAsia="Times New Roman" w:hAnsi="Palatino Linotype" w:cs="Times New Roman"/>
          <w:b/>
          <w:bCs/>
          <w:color w:val="000000" w:themeColor="text1"/>
        </w:rPr>
        <w:t>XXXXXXX</w:t>
      </w:r>
      <w:r w:rsidR="00FD27EA" w:rsidRPr="000D3C2C">
        <w:rPr>
          <w:rFonts w:ascii="Palatino Linotype" w:eastAsia="Times New Roman" w:hAnsi="Palatino Linotype" w:cs="Times New Roman"/>
          <w:color w:val="000000" w:themeColor="text1"/>
        </w:rPr>
        <w:t xml:space="preserve">, en lo sucesivo, </w:t>
      </w:r>
      <w:r w:rsidR="008E29BB" w:rsidRPr="000D3C2C">
        <w:rPr>
          <w:rFonts w:ascii="Palatino Linotype" w:eastAsia="Times New Roman" w:hAnsi="Palatino Linotype" w:cs="Times New Roman"/>
          <w:color w:val="000000" w:themeColor="text1"/>
        </w:rPr>
        <w:t>el</w:t>
      </w:r>
      <w:r w:rsidR="00E92215" w:rsidRPr="000D3C2C">
        <w:rPr>
          <w:rFonts w:ascii="Palatino Linotype" w:eastAsia="Times New Roman" w:hAnsi="Palatino Linotype" w:cs="Times New Roman"/>
          <w:color w:val="000000" w:themeColor="text1"/>
        </w:rPr>
        <w:t xml:space="preserve"> </w:t>
      </w:r>
      <w:r w:rsidR="006B31E7" w:rsidRPr="000D3C2C">
        <w:rPr>
          <w:rFonts w:ascii="Palatino Linotype" w:eastAsia="Times New Roman" w:hAnsi="Palatino Linotype" w:cs="Times New Roman"/>
          <w:b/>
          <w:bCs/>
          <w:color w:val="000000" w:themeColor="text1"/>
        </w:rPr>
        <w:t>RECURRENTE</w:t>
      </w:r>
      <w:r w:rsidR="00E647FF" w:rsidRPr="000D3C2C">
        <w:rPr>
          <w:rFonts w:ascii="Palatino Linotype" w:eastAsia="Times New Roman" w:hAnsi="Palatino Linotype" w:cs="Arial"/>
          <w:color w:val="000000" w:themeColor="text1"/>
        </w:rPr>
        <w:t>;</w:t>
      </w:r>
      <w:r w:rsidR="005F1362" w:rsidRPr="000D3C2C">
        <w:rPr>
          <w:rFonts w:ascii="Palatino Linotype" w:eastAsia="Times New Roman" w:hAnsi="Palatino Linotype" w:cs="Arial"/>
          <w:color w:val="000000" w:themeColor="text1"/>
        </w:rPr>
        <w:t xml:space="preserve"> en contra de la respuesta del</w:t>
      </w:r>
      <w:r w:rsidR="002C1007" w:rsidRPr="000D3C2C">
        <w:rPr>
          <w:rFonts w:ascii="Palatino Linotype" w:eastAsia="Times New Roman" w:hAnsi="Palatino Linotype" w:cs="Arial"/>
          <w:color w:val="000000" w:themeColor="text1"/>
        </w:rPr>
        <w:t xml:space="preserve"> </w:t>
      </w:r>
      <w:r w:rsidR="00D708C2" w:rsidRPr="000D3C2C">
        <w:rPr>
          <w:rFonts w:ascii="Palatino Linotype" w:eastAsia="Times New Roman" w:hAnsi="Palatino Linotype" w:cs="Arial"/>
          <w:b/>
          <w:color w:val="000000" w:themeColor="text1"/>
        </w:rPr>
        <w:t>Ayuntamiento de</w:t>
      </w:r>
      <w:r w:rsidR="00D708C2">
        <w:rPr>
          <w:rFonts w:ascii="Palatino Linotype" w:eastAsia="Times New Roman" w:hAnsi="Palatino Linotype" w:cs="Arial"/>
          <w:b/>
          <w:color w:val="000000" w:themeColor="text1"/>
        </w:rPr>
        <w:t xml:space="preserve"> Jocotitlán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DA6DB8C" w:rsidR="00D9392E" w:rsidRPr="00520AC1" w:rsidRDefault="005F0007" w:rsidP="00520AC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520AC1">
        <w:rPr>
          <w:rFonts w:ascii="Palatino Linotype" w:eastAsia="Calibri" w:hAnsi="Palatino Linotype" w:cs="Arial"/>
          <w:color w:val="000000" w:themeColor="text1"/>
          <w:lang w:val="es-ES"/>
        </w:rPr>
        <w:t>veinticuatro (24) de noviembre</w:t>
      </w:r>
      <w:r w:rsidR="00817C58">
        <w:rPr>
          <w:rFonts w:ascii="Palatino Linotype" w:eastAsia="Calibri" w:hAnsi="Palatino Linotype" w:cs="Arial"/>
          <w:color w:val="000000" w:themeColor="text1"/>
          <w:lang w:val="es-ES"/>
        </w:rPr>
        <w:t xml:space="preserve"> </w:t>
      </w:r>
      <w:r w:rsidR="00FE159E" w:rsidRPr="00520AC1">
        <w:rPr>
          <w:rFonts w:ascii="Palatino Linotype" w:eastAsia="Calibri" w:hAnsi="Palatino Linotype" w:cs="Arial"/>
          <w:color w:val="000000" w:themeColor="text1"/>
          <w:lang w:val="es-ES"/>
        </w:rPr>
        <w:t>de dos mil veintidós</w:t>
      </w:r>
      <w:r w:rsidR="005F1362" w:rsidRPr="00520AC1">
        <w:rPr>
          <w:rFonts w:ascii="Palatino Linotype" w:eastAsia="Calibri" w:hAnsi="Palatino Linotype" w:cs="Arial"/>
          <w:color w:val="000000" w:themeColor="text1"/>
          <w:lang w:val="es-ES"/>
        </w:rPr>
        <w:t xml:space="preserve">, </w:t>
      </w:r>
      <w:r w:rsidR="00FE159E" w:rsidRPr="00520AC1">
        <w:rPr>
          <w:rFonts w:ascii="Palatino Linotype" w:eastAsia="Calibri" w:hAnsi="Palatino Linotype" w:cs="Arial"/>
          <w:color w:val="000000" w:themeColor="text1"/>
          <w:lang w:val="es-ES"/>
        </w:rPr>
        <w:t>el particular</w:t>
      </w:r>
      <w:r w:rsidR="005F1362" w:rsidRPr="00520AC1">
        <w:rPr>
          <w:rFonts w:ascii="Palatino Linotype" w:hAnsi="Palatino Linotype"/>
          <w:color w:val="000000" w:themeColor="text1"/>
        </w:rPr>
        <w:t xml:space="preserve"> presentó</w:t>
      </w:r>
      <w:r w:rsidR="005F1362" w:rsidRPr="00520AC1">
        <w:rPr>
          <w:rFonts w:ascii="Palatino Linotype" w:hAnsi="Palatino Linotype"/>
          <w:b/>
          <w:color w:val="000000" w:themeColor="text1"/>
        </w:rPr>
        <w:t xml:space="preserve"> </w:t>
      </w:r>
      <w:r w:rsidR="00127E68" w:rsidRPr="00520AC1">
        <w:rPr>
          <w:rFonts w:ascii="Palatino Linotype" w:hAnsi="Palatino Linotype"/>
          <w:bCs/>
          <w:color w:val="000000" w:themeColor="text1"/>
        </w:rPr>
        <w:t xml:space="preserve">a través </w:t>
      </w:r>
      <w:r w:rsidR="009E58CA" w:rsidRPr="00520AC1">
        <w:rPr>
          <w:rFonts w:ascii="Palatino Linotype" w:hAnsi="Palatino Linotype"/>
          <w:bCs/>
          <w:color w:val="000000" w:themeColor="text1"/>
        </w:rPr>
        <w:t>del</w:t>
      </w:r>
      <w:r w:rsidR="00520AC1">
        <w:rPr>
          <w:rFonts w:ascii="Palatino Linotype" w:hAnsi="Palatino Linotype"/>
          <w:bCs/>
          <w:color w:val="000000" w:themeColor="text1"/>
        </w:rPr>
        <w:t xml:space="preserve"> Sistema de Acceso a la Información Mexiquense</w:t>
      </w:r>
      <w:r w:rsidR="00DE4F75" w:rsidRPr="00520AC1">
        <w:rPr>
          <w:rFonts w:ascii="Palatino Linotype" w:hAnsi="Palatino Linotype"/>
          <w:bCs/>
          <w:color w:val="000000" w:themeColor="text1"/>
        </w:rPr>
        <w:t xml:space="preserve"> </w:t>
      </w:r>
      <w:r w:rsidR="00520AC1">
        <w:rPr>
          <w:rFonts w:ascii="Palatino Linotype" w:hAnsi="Palatino Linotype"/>
          <w:bCs/>
          <w:color w:val="000000" w:themeColor="text1"/>
        </w:rPr>
        <w:t>(</w:t>
      </w:r>
      <w:r w:rsidR="00FE159E" w:rsidRPr="00520AC1">
        <w:rPr>
          <w:rFonts w:ascii="Palatino Linotype" w:eastAsia="Calibri" w:hAnsi="Palatino Linotype" w:cs="Arial"/>
          <w:color w:val="000000" w:themeColor="text1"/>
          <w:lang w:val="es-ES"/>
        </w:rPr>
        <w:t>SAIMEX</w:t>
      </w:r>
      <w:r w:rsidR="00520AC1">
        <w:rPr>
          <w:rFonts w:ascii="Palatino Linotype" w:eastAsia="Calibri" w:hAnsi="Palatino Linotype" w:cs="Arial"/>
          <w:color w:val="000000" w:themeColor="text1"/>
          <w:lang w:val="es-ES"/>
        </w:rPr>
        <w:t>)</w:t>
      </w:r>
      <w:r w:rsidR="005F1362" w:rsidRPr="00520AC1">
        <w:rPr>
          <w:rFonts w:ascii="Palatino Linotype" w:eastAsia="Calibri" w:hAnsi="Palatino Linotype" w:cs="Arial"/>
          <w:color w:val="000000" w:themeColor="text1"/>
          <w:lang w:val="es-ES"/>
        </w:rPr>
        <w:t>, la solicitud de información pública registrada</w:t>
      </w:r>
      <w:r w:rsidR="00772245" w:rsidRPr="00520AC1">
        <w:rPr>
          <w:rFonts w:ascii="Palatino Linotype" w:eastAsia="Calibri" w:hAnsi="Palatino Linotype" w:cs="Arial"/>
          <w:color w:val="000000" w:themeColor="text1"/>
          <w:lang w:val="es-ES"/>
        </w:rPr>
        <w:t xml:space="preserve"> con </w:t>
      </w:r>
      <w:r w:rsidR="00F25B61" w:rsidRPr="00520AC1">
        <w:rPr>
          <w:rFonts w:ascii="Palatino Linotype" w:eastAsia="Calibri" w:hAnsi="Palatino Linotype" w:cs="Arial"/>
          <w:color w:val="000000" w:themeColor="text1"/>
          <w:lang w:val="es-ES"/>
        </w:rPr>
        <w:t>el</w:t>
      </w:r>
      <w:r w:rsidR="005F1362" w:rsidRPr="00520AC1">
        <w:rPr>
          <w:rFonts w:ascii="Palatino Linotype" w:eastAsia="Calibri" w:hAnsi="Palatino Linotype" w:cs="Arial"/>
          <w:color w:val="000000" w:themeColor="text1"/>
          <w:lang w:val="es-ES"/>
        </w:rPr>
        <w:t xml:space="preserve"> número</w:t>
      </w:r>
      <w:r w:rsidR="00772245" w:rsidRPr="00520AC1">
        <w:rPr>
          <w:rFonts w:ascii="Palatino Linotype" w:eastAsia="Calibri" w:hAnsi="Palatino Linotype" w:cs="Arial"/>
          <w:color w:val="000000" w:themeColor="text1"/>
          <w:lang w:val="es-ES"/>
        </w:rPr>
        <w:t xml:space="preserve"> </w:t>
      </w:r>
      <w:r w:rsidR="00D708C2" w:rsidRPr="00520AC1">
        <w:rPr>
          <w:rFonts w:ascii="Palatino Linotype" w:eastAsia="Calibri" w:hAnsi="Palatino Linotype" w:cs="Arial"/>
          <w:b/>
          <w:color w:val="000000" w:themeColor="text1"/>
          <w:lang w:val="es-ES"/>
        </w:rPr>
        <w:t>00139/JOCOTIT/IP/2022</w:t>
      </w:r>
      <w:r w:rsidR="005F1362" w:rsidRPr="00520AC1">
        <w:rPr>
          <w:rFonts w:ascii="Palatino Linotype" w:hAnsi="Palatino Linotype"/>
          <w:b/>
          <w:bCs/>
          <w:color w:val="000000" w:themeColor="text1"/>
        </w:rPr>
        <w:t>,</w:t>
      </w:r>
      <w:r w:rsidR="00F25B61" w:rsidRPr="00520AC1">
        <w:rPr>
          <w:rFonts w:ascii="Palatino Linotype" w:eastAsia="Calibri" w:hAnsi="Palatino Linotype" w:cs="Arial"/>
          <w:color w:val="000000" w:themeColor="text1"/>
          <w:lang w:val="es-ES"/>
        </w:rPr>
        <w:t xml:space="preserve"> mediante la</w:t>
      </w:r>
      <w:r w:rsidR="00772245" w:rsidRPr="00520AC1">
        <w:rPr>
          <w:rFonts w:ascii="Palatino Linotype" w:eastAsia="Calibri" w:hAnsi="Palatino Linotype" w:cs="Arial"/>
          <w:color w:val="000000" w:themeColor="text1"/>
          <w:lang w:val="es-ES"/>
        </w:rPr>
        <w:t xml:space="preserve"> que </w:t>
      </w:r>
      <w:r w:rsidR="005F1362" w:rsidRPr="00520AC1">
        <w:rPr>
          <w:rFonts w:ascii="Palatino Linotype" w:eastAsia="Calibri" w:hAnsi="Palatino Linotype" w:cs="Arial"/>
          <w:color w:val="000000" w:themeColor="text1"/>
          <w:lang w:val="es-ES"/>
        </w:rPr>
        <w:t>requirió</w:t>
      </w:r>
      <w:r w:rsidR="00022D89" w:rsidRPr="00520AC1">
        <w:rPr>
          <w:rFonts w:ascii="Palatino Linotype" w:eastAsia="Calibri" w:hAnsi="Palatino Linotype" w:cs="Arial"/>
          <w:color w:val="000000" w:themeColor="text1"/>
          <w:lang w:val="es-ES"/>
        </w:rPr>
        <w:t xml:space="preserve"> lo siguiente</w:t>
      </w:r>
      <w:r w:rsidR="005F1362" w:rsidRPr="00520AC1">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6C6908"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r w:rsidR="007509C9">
        <w:rPr>
          <w:rFonts w:ascii="Palatino Linotype" w:hAnsi="Palatino Linotype"/>
          <w:i/>
          <w:color w:val="000000" w:themeColor="text1"/>
          <w:sz w:val="22"/>
          <w:szCs w:val="22"/>
        </w:rPr>
        <w:t>S</w:t>
      </w:r>
      <w:r w:rsidR="007509C9" w:rsidRPr="007509C9">
        <w:rPr>
          <w:rFonts w:ascii="Palatino Linotype" w:hAnsi="Palatino Linotype"/>
          <w:i/>
          <w:color w:val="000000" w:themeColor="text1"/>
          <w:sz w:val="22"/>
          <w:szCs w:val="22"/>
        </w:rPr>
        <w:t>olicito por este medio el contrato de obra pùblica identificado con la siguiente clave MJO/DOP/PAD-00/IR-001/2020 y relacionado con la obra denominada Construcciòn de techumbre en Lienzo Charro Ernesto Peralta Quintero de la Cabecera Municipal , asì como las actas de sesiòn de cabildo mediante las cuales se autorizo la ejecuciòn de la obra en menciòn, oficios de autorizaciòn del gobierno estatal y/o federal, acta de apertura y fallo del procedimiento de adjudicaciòn del contrato de obra.</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6E892570" w:rsidR="0039142B" w:rsidRPr="0027463A" w:rsidRDefault="007509C9"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el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D0E3647" w:rsidR="0022448D" w:rsidRPr="00022D89"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w:t>
      </w:r>
      <w:r w:rsidR="00B31E90" w:rsidRPr="00022D89">
        <w:rPr>
          <w:rFonts w:ascii="Palatino Linotype" w:eastAsia="MS Mincho" w:hAnsi="Palatino Linotype" w:cs="Times New Roman"/>
          <w:color w:val="000000" w:themeColor="text1"/>
        </w:rPr>
        <w:t xml:space="preserve">l </w:t>
      </w:r>
      <w:r w:rsidR="007509C9">
        <w:rPr>
          <w:rFonts w:ascii="Palatino Linotype" w:eastAsia="MS Mincho" w:hAnsi="Palatino Linotype" w:cs="Times New Roman"/>
          <w:color w:val="000000" w:themeColor="text1"/>
        </w:rPr>
        <w:t>quince (15) de diciembre</w:t>
      </w:r>
      <w:r w:rsidR="00373F21">
        <w:rPr>
          <w:rFonts w:ascii="Palatino Linotype" w:eastAsia="MS Mincho" w:hAnsi="Palatino Linotype" w:cs="Times New Roman"/>
          <w:color w:val="000000" w:themeColor="text1"/>
        </w:rPr>
        <w:t xml:space="preserve"> </w:t>
      </w:r>
      <w:r w:rsidR="00FE159E">
        <w:rPr>
          <w:rFonts w:ascii="Palatino Linotype" w:eastAsia="MS Mincho" w:hAnsi="Palatino Linotype" w:cs="Times New Roman"/>
          <w:color w:val="000000" w:themeColor="text1"/>
        </w:rPr>
        <w:t xml:space="preserve">de dos mil </w:t>
      </w:r>
      <w:r w:rsidR="00392FF3">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525F905C" w14:textId="77777777" w:rsidR="006E4F12" w:rsidRPr="006E4F12" w:rsidRDefault="00F25B61" w:rsidP="006E4F1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6E4F12" w:rsidRPr="006E4F1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42C9CD" w14:textId="77777777" w:rsidR="006E4F12" w:rsidRDefault="006E4F12" w:rsidP="006E4F1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7320AA4" w14:textId="723E11EE" w:rsidR="006E4F12" w:rsidRPr="006E4F12" w:rsidRDefault="006E4F12" w:rsidP="006E4F1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4F12">
        <w:rPr>
          <w:rFonts w:ascii="Palatino Linotype" w:hAnsi="Palatino Linotype"/>
          <w:i/>
          <w:noProof/>
          <w:color w:val="000000" w:themeColor="text1"/>
          <w:sz w:val="22"/>
          <w:szCs w:val="22"/>
          <w:lang w:val="es-MX" w:eastAsia="es-MX"/>
        </w:rPr>
        <w:t>En atención a la solicitud donde pide: el contrato de obra pública identificado con la siguiente clave MJO/DOP/PAD-00/IR-001/2020 y relacionado con la obra denominada Construcción de techumbre en Lienzo Charro Ernesto Peralta Quintero de la Cabecera Municipal , así como las actas de sesión de cabildo mediante las cuales se autorizo la ejecución de la obra en mención, oficios de autorización del gobierno estatal y/o federal, acta de apertura y fallo del procedimiento de adjudicación del contrato de obra.</w:t>
      </w:r>
    </w:p>
    <w:p w14:paraId="4E819D52" w14:textId="77777777" w:rsidR="006E4F12" w:rsidRDefault="006E4F12" w:rsidP="006E4F1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5CEFAAA" w14:textId="67449E81" w:rsidR="006E4F12" w:rsidRPr="006E4F12" w:rsidRDefault="006E4F12" w:rsidP="006E4F1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4F12">
        <w:rPr>
          <w:rFonts w:ascii="Palatino Linotype" w:hAnsi="Palatino Linotype"/>
          <w:i/>
          <w:noProof/>
          <w:color w:val="000000" w:themeColor="text1"/>
          <w:sz w:val="22"/>
          <w:szCs w:val="22"/>
          <w:lang w:val="es-MX" w:eastAsia="es-MX"/>
        </w:rPr>
        <w:t>ATENTAMENTE</w:t>
      </w:r>
    </w:p>
    <w:p w14:paraId="35A36DE0" w14:textId="4073115E" w:rsidR="0039142B" w:rsidRDefault="006E4F12" w:rsidP="006E4F1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E4F12">
        <w:rPr>
          <w:rFonts w:ascii="Palatino Linotype" w:hAnsi="Palatino Linotype"/>
          <w:i/>
          <w:noProof/>
          <w:color w:val="000000" w:themeColor="text1"/>
          <w:sz w:val="22"/>
          <w:szCs w:val="22"/>
          <w:lang w:val="es-MX" w:eastAsia="es-MX"/>
        </w:rPr>
        <w:t>MTRO. ERICK NAVA MARTÍNEZ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5E2486">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5136209" w14:textId="7F049ACD" w:rsidR="00F25B61" w:rsidRPr="00373F21"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Pr>
          <w:rFonts w:ascii="Palatino Linotype" w:hAnsi="Palatino Linotype"/>
          <w:b/>
          <w:i/>
          <w:color w:val="000000" w:themeColor="text1"/>
          <w:szCs w:val="22"/>
        </w:rPr>
        <w:t>“</w:t>
      </w:r>
      <w:r w:rsidR="006E4F12">
        <w:rPr>
          <w:rFonts w:ascii="Palatino Linotype" w:hAnsi="Palatino Linotype"/>
          <w:b/>
          <w:i/>
          <w:color w:val="000000" w:themeColor="text1"/>
          <w:szCs w:val="22"/>
        </w:rPr>
        <w:t>ANEXO I.pdf</w:t>
      </w:r>
      <w:r>
        <w:rPr>
          <w:rFonts w:ascii="Palatino Linotype" w:hAnsi="Palatino Linotype"/>
          <w:b/>
          <w:i/>
          <w:color w:val="000000" w:themeColor="text1"/>
          <w:szCs w:val="22"/>
        </w:rPr>
        <w:t>”</w:t>
      </w:r>
      <w:r>
        <w:rPr>
          <w:rFonts w:ascii="Palatino Linotype" w:hAnsi="Palatino Linotype"/>
          <w:color w:val="000000" w:themeColor="text1"/>
          <w:szCs w:val="22"/>
        </w:rPr>
        <w:t>: Documento</w:t>
      </w:r>
      <w:r w:rsidR="00CA5FEE">
        <w:rPr>
          <w:rFonts w:ascii="Palatino Linotype" w:hAnsi="Palatino Linotype"/>
          <w:color w:val="000000" w:themeColor="text1"/>
          <w:szCs w:val="22"/>
        </w:rPr>
        <w:t xml:space="preserve"> de</w:t>
      </w:r>
      <w:r w:rsidR="000C5458">
        <w:rPr>
          <w:rFonts w:ascii="Palatino Linotype" w:hAnsi="Palatino Linotype"/>
          <w:color w:val="000000" w:themeColor="text1"/>
          <w:szCs w:val="22"/>
        </w:rPr>
        <w:t xml:space="preserve"> una foja consistente en la copia digitalizada del oficio número </w:t>
      </w:r>
      <w:r w:rsidR="00E1372B">
        <w:rPr>
          <w:rFonts w:ascii="Palatino Linotype" w:hAnsi="Palatino Linotype"/>
          <w:color w:val="000000" w:themeColor="text1"/>
          <w:szCs w:val="22"/>
        </w:rPr>
        <w:t xml:space="preserve">DOPM/CVE/1011/2022, de cinco (05) de diciembre de dos mil veintidós, suscrito por la Directora de Obras Públicas, y dirigido a la Titular de la Unidad de Transparencia, por medio del cual, </w:t>
      </w:r>
      <w:r w:rsidR="00B90468">
        <w:rPr>
          <w:rFonts w:ascii="Palatino Linotype" w:hAnsi="Palatino Linotype"/>
          <w:color w:val="000000" w:themeColor="text1"/>
          <w:szCs w:val="22"/>
        </w:rPr>
        <w:t>informa que no se encontró el número de contrato solicitado.</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223FDF45"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B90468">
        <w:rPr>
          <w:rFonts w:ascii="Palatino Linotype" w:eastAsia="Times New Roman" w:hAnsi="Palatino Linotype" w:cs="Arial"/>
          <w:color w:val="000000" w:themeColor="text1"/>
          <w:lang w:val="es-ES"/>
        </w:rPr>
        <w:t>nueve (09) de enero de dos mil veintitrés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D708C2">
        <w:rPr>
          <w:rFonts w:ascii="Palatino Linotype" w:eastAsia="Calibri" w:hAnsi="Palatino Linotype" w:cs="Arial"/>
          <w:b/>
          <w:color w:val="000000" w:themeColor="text1"/>
          <w:lang w:val="es-ES"/>
        </w:rPr>
        <w:t>00128/INFOEM/IP/RR/2023</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E4AA72" w:rsidR="00E34622"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lastRenderedPageBreak/>
        <w:t>Acto impugnado:</w:t>
      </w:r>
      <w:r w:rsidRPr="000E096F">
        <w:rPr>
          <w:rFonts w:ascii="Palatino Linotype" w:eastAsia="Times New Roman" w:hAnsi="Palatino Linotype" w:cs="Arial"/>
          <w:color w:val="000000" w:themeColor="text1"/>
          <w:sz w:val="22"/>
          <w:lang w:val="es-ES"/>
        </w:rPr>
        <w:t xml:space="preserve"> “</w:t>
      </w:r>
      <w:r w:rsidR="0037794F">
        <w:rPr>
          <w:rFonts w:ascii="Palatino Linotype" w:eastAsia="Times New Roman" w:hAnsi="Palatino Linotype" w:cs="Arial"/>
          <w:i/>
          <w:iCs/>
          <w:color w:val="000000" w:themeColor="text1"/>
          <w:sz w:val="22"/>
          <w:lang w:val="es-ES"/>
        </w:rPr>
        <w:t>s</w:t>
      </w:r>
      <w:r w:rsidR="0037794F" w:rsidRPr="0037794F">
        <w:rPr>
          <w:rFonts w:ascii="Palatino Linotype" w:eastAsia="Times New Roman" w:hAnsi="Palatino Linotype" w:cs="Arial"/>
          <w:i/>
          <w:iCs/>
          <w:color w:val="000000" w:themeColor="text1"/>
          <w:sz w:val="22"/>
          <w:lang w:val="es-ES"/>
        </w:rPr>
        <w:t xml:space="preserve">olicitud de información Jocotitlán, México a 15 de Diciembre de 2022 Nombre del solicitante: </w:t>
      </w:r>
      <w:r w:rsidR="00BC36D0">
        <w:rPr>
          <w:rFonts w:ascii="Palatino Linotype" w:eastAsia="Times New Roman" w:hAnsi="Palatino Linotype" w:cs="Arial"/>
          <w:i/>
          <w:iCs/>
          <w:color w:val="000000" w:themeColor="text1"/>
          <w:sz w:val="22"/>
          <w:lang w:val="es-ES"/>
        </w:rPr>
        <w:t>XXXXXXX</w:t>
      </w:r>
      <w:r w:rsidR="0037794F" w:rsidRPr="0037794F">
        <w:rPr>
          <w:rFonts w:ascii="Palatino Linotype" w:eastAsia="Times New Roman" w:hAnsi="Palatino Linotype" w:cs="Arial"/>
          <w:i/>
          <w:iCs/>
          <w:color w:val="000000" w:themeColor="text1"/>
          <w:sz w:val="22"/>
          <w:lang w:val="es-ES"/>
        </w:rPr>
        <w:t xml:space="preserve"> Folio de la solicitud: 00139/JOCOTIT/IP/2022 En respuesta a la solicitud recibida, nos permitimos hacer de su conocimiento que con fundamento en el artículo 53, Fracciones: II, V y VI de la Ley de Transparencia y Acceso a la Información Pública del Estado de México y Municipios, le contestamos que: En atención a la solicitud donde pide: el contrato de obra pública identificado con la siguiente clave MJO/DOP/PAD-00/IR-001/2020 y relacionado con la obra denominada Construcción de techumbre en Lienzo Charro Ernesto Peralta Quintero de la Cabecera Municipal , así como las actas de sesión de cabildo mediante las cuales se autorizo la ejecución de la obra en mención, oficios de autorización del gobierno estatal y/o federal, acta de apertura y fallo del procedimiento de adjudicación del contrato de obra. Responsable de la Unidad de Informacion</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4A8690F3" w:rsidR="000E096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37794F">
        <w:rPr>
          <w:rFonts w:ascii="Palatino Linotype" w:hAnsi="Palatino Linotype"/>
          <w:i/>
          <w:iCs/>
          <w:color w:val="000000"/>
          <w:sz w:val="22"/>
        </w:rPr>
        <w:t xml:space="preserve">La </w:t>
      </w:r>
      <w:r w:rsidR="0037794F" w:rsidRPr="0037794F">
        <w:rPr>
          <w:rFonts w:ascii="Palatino Linotype" w:hAnsi="Palatino Linotype"/>
          <w:i/>
          <w:iCs/>
          <w:color w:val="000000"/>
          <w:sz w:val="22"/>
        </w:rPr>
        <w:t>información solicitada a través de este sistema SAIMEX y de la cual obtuvimos respuesta negativa, vale la pena mencionar que la solicitud hace referencia tanto al número de contrato y nombre de la obra, derivado de la información oficial publicada por el mismo sujeto obligado, en la CUENTA PUBLICA 2020 específicamente en el formato denominado INFORME ANUAL DE CONSTRUCCIONES EN PROCESO, dentro del apartado de la columna (5) NUM. DE CONTRATO Y columna (4) DENOMINACION DE LA OBRA. por tal razón la información así como la obra si existe en archivos, o si esa información que se publicó no es la correcta, nuevamente solicitamos por este medio al Ayuntamiento de Jocotitlán, la información señalada en nuestra solicitud con número de Folio: 00139/JOCOTIT/IP/2022 y que es de nuestro interés como ciudadano del municipio, ya que es una OBRA QUE SE ENCUENTRA LOCALIZADA EN LA ENTRADA A NUESTRA CABECERA MUNICIPAL Y ESTA A LA VISTA DE TODOS LOS CIUDADANOS.</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300C5464"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F25B61">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D708C2">
        <w:rPr>
          <w:rFonts w:ascii="Palatino Linotype" w:eastAsia="Times New Roman" w:hAnsi="Palatino Linotype" w:cs="Arial"/>
          <w:b/>
          <w:color w:val="000000" w:themeColor="text1"/>
          <w:lang w:val="es-ES"/>
        </w:rPr>
        <w:t>00128/INFOEM/IP/RR/2023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w:t>
      </w:r>
      <w:r w:rsidRPr="000A45FD">
        <w:rPr>
          <w:rFonts w:ascii="Palatino Linotype" w:eastAsia="Calibri" w:hAnsi="Palatino Linotype" w:cs="Arial"/>
          <w:bCs/>
          <w:color w:val="000000" w:themeColor="text1"/>
          <w:lang w:val="es-ES"/>
        </w:rPr>
        <w:lastRenderedPageBreak/>
        <w:t xml:space="preserve">del Estado de México y Municipios </w:t>
      </w:r>
      <w:r>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FA7F190"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976B10">
        <w:rPr>
          <w:rFonts w:ascii="Palatino Linotype" w:eastAsia="Calibri" w:hAnsi="Palatino Linotype" w:cs="Arial"/>
          <w:color w:val="000000" w:themeColor="text1"/>
          <w:lang w:val="es-ES"/>
        </w:rPr>
        <w:t>doce (12) de enero 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los Informes Justificados procedentes</w:t>
      </w:r>
      <w:bookmarkEnd w:id="3"/>
      <w:r w:rsidR="00AE1CCB">
        <w:rPr>
          <w:rFonts w:ascii="Palatino Linotype" w:eastAsia="Calibri" w:hAnsi="Palatino Linotype" w:cs="Arial"/>
          <w:color w:val="000000" w:themeColor="text1"/>
          <w:lang w:val="es-ES"/>
        </w:rPr>
        <w:t>.</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81AB79" w14:textId="1D82D502" w:rsidR="00BD7AEB" w:rsidRDefault="00CF15AD" w:rsidP="00976B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en el expediente digital formado en el SAIMEX, se advierte que </w:t>
      </w:r>
      <w:r w:rsidR="00976B10">
        <w:rPr>
          <w:rFonts w:ascii="Palatino Linotype" w:eastAsia="Calibri" w:hAnsi="Palatino Linotype" w:cs="Arial"/>
          <w:color w:val="000000" w:themeColor="text1"/>
          <w:lang w:val="es-ES"/>
        </w:rPr>
        <w:t xml:space="preserve">diecinueve (19) de enero de dos mil veintirés, el ahora </w:t>
      </w:r>
      <w:r w:rsidR="00976B10">
        <w:rPr>
          <w:rFonts w:ascii="Palatino Linotype" w:eastAsia="Calibri" w:hAnsi="Palatino Linotype" w:cs="Arial"/>
          <w:b/>
          <w:bCs/>
          <w:color w:val="000000" w:themeColor="text1"/>
          <w:lang w:val="es-ES"/>
        </w:rPr>
        <w:t>RECURRENTE</w:t>
      </w:r>
      <w:r w:rsidR="00976B10">
        <w:rPr>
          <w:rFonts w:ascii="Palatino Linotype" w:eastAsia="Calibri" w:hAnsi="Palatino Linotype" w:cs="Arial"/>
          <w:color w:val="000000" w:themeColor="text1"/>
          <w:lang w:val="es-ES"/>
        </w:rPr>
        <w:t xml:space="preserve"> presentó, en vía de alegatos, el archivo electrónico </w:t>
      </w:r>
      <w:r w:rsidR="00287D39">
        <w:rPr>
          <w:rFonts w:ascii="Palatino Linotype" w:eastAsia="Calibri" w:hAnsi="Palatino Linotype" w:cs="Arial"/>
          <w:color w:val="000000" w:themeColor="text1"/>
          <w:lang w:val="es-ES"/>
        </w:rPr>
        <w:t>cuyo título y contenido se exponen a continuación:</w:t>
      </w:r>
    </w:p>
    <w:p w14:paraId="0ED2AB02" w14:textId="19728126" w:rsidR="00287D39" w:rsidRPr="00287D39" w:rsidRDefault="00287D39" w:rsidP="00287D39">
      <w:pPr>
        <w:pStyle w:val="Prrafodelista"/>
        <w:numPr>
          <w:ilvl w:val="1"/>
          <w:numId w:val="1"/>
        </w:numPr>
        <w:tabs>
          <w:tab w:val="left" w:pos="426"/>
        </w:tabs>
        <w:spacing w:line="360" w:lineRule="auto"/>
        <w:ind w:left="1134"/>
        <w:jc w:val="both"/>
        <w:rPr>
          <w:rFonts w:ascii="Palatino Linotype" w:eastAsia="Calibri" w:hAnsi="Palatino Linotype" w:cs="Arial"/>
          <w:b/>
          <w:bCs/>
          <w:i/>
          <w:iCs/>
          <w:color w:val="000000" w:themeColor="text1"/>
          <w:lang w:val="es-ES"/>
        </w:rPr>
      </w:pPr>
      <w:r>
        <w:rPr>
          <w:rFonts w:ascii="Palatino Linotype" w:eastAsia="Calibri" w:hAnsi="Palatino Linotype" w:cs="Arial"/>
          <w:b/>
          <w:bCs/>
          <w:i/>
          <w:iCs/>
          <w:color w:val="000000" w:themeColor="text1"/>
          <w:lang w:val="es-ES"/>
        </w:rPr>
        <w:t>“1</w:t>
      </w:r>
      <w:r w:rsidRPr="00287D39">
        <w:rPr>
          <w:rFonts w:ascii="Palatino Linotype" w:eastAsia="Calibri" w:hAnsi="Palatino Linotype" w:cs="Arial"/>
          <w:b/>
          <w:bCs/>
          <w:i/>
          <w:iCs/>
          <w:color w:val="000000" w:themeColor="text1"/>
          <w:lang w:val="es-ES"/>
        </w:rPr>
        <w:t>.15 INFORME ANUAL DE CONSTRUCCIONES EN PROCESO.pdf</w:t>
      </w:r>
      <w:r>
        <w:rPr>
          <w:rFonts w:ascii="Palatino Linotype" w:eastAsia="Calibri" w:hAnsi="Palatino Linotype" w:cs="Arial"/>
          <w:b/>
          <w:bCs/>
          <w:i/>
          <w:iCs/>
          <w:color w:val="000000" w:themeColor="text1"/>
          <w:lang w:val="es-ES"/>
        </w:rPr>
        <w:t>”</w:t>
      </w:r>
      <w:r>
        <w:rPr>
          <w:rFonts w:ascii="Palatino Linotype" w:eastAsia="Calibri" w:hAnsi="Palatino Linotype" w:cs="Arial"/>
          <w:color w:val="000000" w:themeColor="text1"/>
          <w:lang w:val="es-ES"/>
        </w:rPr>
        <w:t xml:space="preserve">: Documento </w:t>
      </w:r>
      <w:r w:rsidR="00177CB4">
        <w:rPr>
          <w:rFonts w:ascii="Palatino Linotype" w:eastAsia="Calibri" w:hAnsi="Palatino Linotype" w:cs="Arial"/>
          <w:color w:val="000000" w:themeColor="text1"/>
          <w:lang w:val="es-ES"/>
        </w:rPr>
        <w:t xml:space="preserve">de 16 fojas consistente en la copia digitalizada del Informe Anual de Construcciones en Proceso, </w:t>
      </w:r>
      <w:r w:rsidR="00924F8A">
        <w:rPr>
          <w:rFonts w:ascii="Palatino Linotype" w:eastAsia="Calibri" w:hAnsi="Palatino Linotype" w:cs="Arial"/>
          <w:color w:val="000000" w:themeColor="text1"/>
          <w:lang w:val="es-ES"/>
        </w:rPr>
        <w:t>al treinta y uno (31) de diciembre de dos mil veinte, corres</w:t>
      </w:r>
      <w:r w:rsidR="00B708A7">
        <w:rPr>
          <w:rFonts w:ascii="Palatino Linotype" w:eastAsia="Calibri" w:hAnsi="Palatino Linotype" w:cs="Arial"/>
          <w:color w:val="000000" w:themeColor="text1"/>
          <w:lang w:val="es-ES"/>
        </w:rPr>
        <w:t>p</w:t>
      </w:r>
      <w:r w:rsidR="00924F8A">
        <w:rPr>
          <w:rFonts w:ascii="Palatino Linotype" w:eastAsia="Calibri" w:hAnsi="Palatino Linotype" w:cs="Arial"/>
          <w:color w:val="000000" w:themeColor="text1"/>
          <w:lang w:val="es-ES"/>
        </w:rPr>
        <w:t>ondiente al Informe de Cuenta Pública 2020 del Ayuntamiento de Jocotitilán</w:t>
      </w:r>
      <w:r w:rsidR="007E6776">
        <w:rPr>
          <w:rFonts w:ascii="Palatino Linotype" w:eastAsia="Calibri" w:hAnsi="Palatino Linotype" w:cs="Arial"/>
          <w:color w:val="000000" w:themeColor="text1"/>
          <w:lang w:val="es-ES"/>
        </w:rPr>
        <w:t>.</w:t>
      </w:r>
    </w:p>
    <w:p w14:paraId="046CDBF0" w14:textId="77777777" w:rsidR="00BD7AEB"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1343D7C" w14:textId="50E77996" w:rsidR="007E6776" w:rsidRPr="007623F2" w:rsidRDefault="007E6776"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su parte, el </w:t>
      </w:r>
      <w:r w:rsidR="005E748B">
        <w:rPr>
          <w:rFonts w:ascii="Palatino Linotype" w:eastAsia="Times New Roman" w:hAnsi="Palatino Linotype" w:cs="Arial"/>
          <w:color w:val="000000" w:themeColor="text1"/>
        </w:rPr>
        <w:t xml:space="preserve">veintitrés (23) de enero de dos mil veintitrés, el </w:t>
      </w:r>
      <w:r w:rsidR="005E748B">
        <w:rPr>
          <w:rFonts w:ascii="Palatino Linotype" w:eastAsia="Times New Roman" w:hAnsi="Palatino Linotype" w:cs="Arial"/>
          <w:b/>
          <w:bCs/>
          <w:color w:val="000000" w:themeColor="text1"/>
        </w:rPr>
        <w:t>SUJETO OBLIGADO</w:t>
      </w:r>
      <w:r w:rsidR="005E748B">
        <w:rPr>
          <w:rFonts w:ascii="Palatino Linotype" w:eastAsia="Times New Roman" w:hAnsi="Palatino Linotype" w:cs="Arial"/>
          <w:color w:val="000000" w:themeColor="text1"/>
        </w:rPr>
        <w:t xml:space="preserve"> </w:t>
      </w:r>
      <w:r w:rsidR="007623F2">
        <w:rPr>
          <w:rFonts w:ascii="Palatino Linotype" w:eastAsia="Times New Roman" w:hAnsi="Palatino Linotype" w:cs="Arial"/>
          <w:color w:val="000000" w:themeColor="text1"/>
        </w:rPr>
        <w:t>presentó, en vía de informe justificado, el siguiente documento:</w:t>
      </w:r>
    </w:p>
    <w:p w14:paraId="652402F0" w14:textId="306440B8" w:rsidR="007623F2" w:rsidRPr="007E6776" w:rsidRDefault="007623F2" w:rsidP="007623F2">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7623F2">
        <w:rPr>
          <w:rFonts w:ascii="Palatino Linotype" w:eastAsia="Times New Roman" w:hAnsi="Palatino Linotype" w:cs="Arial"/>
          <w:b/>
          <w:bCs/>
          <w:i/>
          <w:iCs/>
          <w:color w:val="000000" w:themeColor="text1"/>
        </w:rPr>
        <w:t>“INFORME JUSTIFICADO AL RR 00128.pdf”</w:t>
      </w:r>
      <w:r>
        <w:rPr>
          <w:rFonts w:ascii="Palatino Linotype" w:eastAsia="Times New Roman" w:hAnsi="Palatino Linotype" w:cs="Arial"/>
          <w:color w:val="000000" w:themeColor="text1"/>
        </w:rPr>
        <w:t xml:space="preserve">: Documento </w:t>
      </w:r>
      <w:r w:rsidR="001C4D57">
        <w:rPr>
          <w:rFonts w:ascii="Palatino Linotype" w:eastAsia="Times New Roman" w:hAnsi="Palatino Linotype" w:cs="Arial"/>
          <w:color w:val="000000" w:themeColor="text1"/>
        </w:rPr>
        <w:t xml:space="preserve">de tres fojas consistente en el informe justificado de veintitrés (23) de enero de dos mil </w:t>
      </w:r>
      <w:r w:rsidR="001C4D57">
        <w:rPr>
          <w:rFonts w:ascii="Palatino Linotype" w:eastAsia="Times New Roman" w:hAnsi="Palatino Linotype" w:cs="Arial"/>
          <w:color w:val="000000" w:themeColor="text1"/>
        </w:rPr>
        <w:lastRenderedPageBreak/>
        <w:t>veintitrés, firmado por la Titular de la Unidad de Transparencia</w:t>
      </w:r>
      <w:r w:rsidR="009A47BD">
        <w:rPr>
          <w:rFonts w:ascii="Palatino Linotype" w:eastAsia="Times New Roman" w:hAnsi="Palatino Linotype" w:cs="Arial"/>
          <w:color w:val="000000" w:themeColor="text1"/>
        </w:rPr>
        <w:t xml:space="preserve"> y, mediante el, esencialmente, ratifica su respuesta inicial.</w:t>
      </w:r>
    </w:p>
    <w:p w14:paraId="6D9D29F4" w14:textId="77777777" w:rsidR="007E6776" w:rsidRPr="007E6776" w:rsidRDefault="007E6776" w:rsidP="007E6776">
      <w:pPr>
        <w:pStyle w:val="Prrafodelista"/>
        <w:tabs>
          <w:tab w:val="left" w:pos="426"/>
        </w:tabs>
        <w:spacing w:line="360" w:lineRule="auto"/>
        <w:ind w:left="0"/>
        <w:jc w:val="both"/>
        <w:rPr>
          <w:rFonts w:ascii="Palatino Linotype" w:hAnsi="Palatino Linotype"/>
          <w:color w:val="000000" w:themeColor="text1"/>
        </w:rPr>
      </w:pPr>
    </w:p>
    <w:p w14:paraId="3BAC1D8C" w14:textId="3936AC60" w:rsidR="009A47BD" w:rsidRPr="009A47BD" w:rsidRDefault="00BA7D1B"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El uno (01) de marzo de dos mil veintitrés,</w:t>
      </w:r>
      <w:r w:rsidR="002B1B3F">
        <w:rPr>
          <w:rFonts w:ascii="Palatino Linotype" w:eastAsia="Times New Roman" w:hAnsi="Palatino Linotype" w:cs="Arial"/>
          <w:color w:val="000000" w:themeColor="text1"/>
        </w:rPr>
        <w:t xml:space="preserve"> el archivo consistente en el informe justificado del Ayuntamiento de Jocotitlán se puso a la vista del </w:t>
      </w:r>
      <w:r w:rsidR="002B1B3F">
        <w:rPr>
          <w:rFonts w:ascii="Palatino Linotype" w:eastAsia="Times New Roman" w:hAnsi="Palatino Linotype" w:cs="Arial"/>
          <w:b/>
          <w:bCs/>
          <w:color w:val="000000" w:themeColor="text1"/>
        </w:rPr>
        <w:t>RECURRENTE</w:t>
      </w:r>
      <w:r w:rsidR="002B1B3F">
        <w:rPr>
          <w:rFonts w:ascii="Palatino Linotype" w:eastAsia="Times New Roman" w:hAnsi="Palatino Linotype" w:cs="Arial"/>
          <w:color w:val="000000" w:themeColor="text1"/>
        </w:rPr>
        <w:t xml:space="preserve">, concediéndole un plazo de tres días hábiles </w:t>
      </w:r>
      <w:r w:rsidR="002D3CA6">
        <w:rPr>
          <w:rFonts w:ascii="Palatino Linotype" w:eastAsia="Times New Roman" w:hAnsi="Palatino Linotype" w:cs="Arial"/>
          <w:color w:val="000000" w:themeColor="text1"/>
        </w:rPr>
        <w:t>a efecto de que manifestara lo que a su derecho conviniera; sin embargo, se hace constar que el particular no ejerció su derecho de réplica sobre los nuevos contenidos.</w:t>
      </w:r>
    </w:p>
    <w:p w14:paraId="425DCB3E" w14:textId="77777777" w:rsidR="009A47BD" w:rsidRPr="009A47BD" w:rsidRDefault="009A47BD" w:rsidP="009A47BD">
      <w:pPr>
        <w:pStyle w:val="Prrafodelista"/>
        <w:tabs>
          <w:tab w:val="left" w:pos="426"/>
        </w:tabs>
        <w:spacing w:line="360" w:lineRule="auto"/>
        <w:ind w:left="0"/>
        <w:jc w:val="both"/>
        <w:rPr>
          <w:rFonts w:ascii="Palatino Linotype" w:hAnsi="Palatino Linotype"/>
          <w:color w:val="000000" w:themeColor="text1"/>
        </w:rPr>
      </w:pPr>
    </w:p>
    <w:p w14:paraId="71C56222" w14:textId="7B95F3F0" w:rsidR="009A7F61" w:rsidRPr="009A7F61" w:rsidRDefault="009A47BD"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w:t>
      </w:r>
      <w:r w:rsidR="009A7F61" w:rsidRPr="009A7F61">
        <w:rPr>
          <w:rFonts w:ascii="Palatino Linotype" w:eastAsia="Times New Roman" w:hAnsi="Palatino Linotype" w:cs="Arial"/>
          <w:color w:val="000000" w:themeColor="text1"/>
        </w:rPr>
        <w:t xml:space="preserve">l </w:t>
      </w:r>
      <w:r w:rsidR="00E65BCC">
        <w:rPr>
          <w:rFonts w:ascii="Palatino Linotype" w:eastAsia="Times New Roman" w:hAnsi="Palatino Linotype" w:cs="Arial"/>
          <w:color w:val="000000" w:themeColor="text1"/>
        </w:rPr>
        <w:t>diez (10</w:t>
      </w:r>
      <w:r w:rsidR="005D545F">
        <w:rPr>
          <w:rFonts w:ascii="Palatino Linotype" w:eastAsia="Times New Roman" w:hAnsi="Palatino Linotype" w:cs="Arial"/>
          <w:color w:val="000000" w:themeColor="text1"/>
        </w:rPr>
        <w:t>) de marzo de dos mil veintitrés</w:t>
      </w:r>
      <w:r w:rsidR="009A7F61" w:rsidRPr="009A7F61">
        <w:rPr>
          <w:rFonts w:ascii="Palatino Linotype" w:eastAsia="Times New Roman" w:hAnsi="Palatino Linotype" w:cs="Arial"/>
          <w:color w:val="000000" w:themeColor="text1"/>
        </w:rPr>
        <w:t xml:space="preserve">, </w:t>
      </w:r>
      <w:r w:rsidR="003D235D" w:rsidRPr="004D5BA4">
        <w:rPr>
          <w:rFonts w:ascii="Palatino Linotype" w:hAnsi="Palatino Linotype" w:cs="Arial"/>
          <w:color w:val="000000" w:themeColor="text1"/>
        </w:rPr>
        <w:t xml:space="preserve">la Comisionada Ponente decretó el cierre del periodo de instrucción, por lo que ordenó turnar </w:t>
      </w:r>
      <w:r w:rsidR="003D235D">
        <w:rPr>
          <w:rFonts w:ascii="Palatino Linotype" w:hAnsi="Palatino Linotype" w:cs="Arial"/>
          <w:color w:val="000000" w:themeColor="text1"/>
        </w:rPr>
        <w:t xml:space="preserve">el expediente </w:t>
      </w:r>
      <w:r w:rsidR="003D235D" w:rsidRPr="004D5BA4">
        <w:rPr>
          <w:rFonts w:ascii="Palatino Linotype" w:hAnsi="Palatino Linotype" w:cs="Arial"/>
          <w:color w:val="000000" w:themeColor="text1"/>
        </w:rPr>
        <w:t>para su resolució</w:t>
      </w:r>
      <w:r w:rsidR="003D235D">
        <w:rPr>
          <w:rFonts w:ascii="Palatino Linotype" w:hAnsi="Palatino Linotype" w:cs="Arial"/>
          <w:color w:val="000000" w:themeColor="text1"/>
        </w:rPr>
        <w:t>n, misma que ahora se pronuncia; y, en misma fecha,</w:t>
      </w:r>
      <w:r w:rsidR="00946BFE">
        <w:rPr>
          <w:rFonts w:ascii="Palatino Linotype" w:eastAsia="Times New Roman" w:hAnsi="Palatino Linotype" w:cs="Arial"/>
          <w:color w:val="000000" w:themeColor="text1"/>
        </w:rPr>
        <w:t xml:space="preserve"> </w:t>
      </w:r>
      <w:r w:rsidR="009A7F61" w:rsidRPr="009A7F6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9A7F61" w:rsidRPr="009A7F61">
        <w:rPr>
          <w:rFonts w:ascii="Palatino Linotype" w:hAnsi="Palatino Linotype" w:cs="Arial"/>
          <w:bCs/>
          <w:color w:val="000000" w:themeColor="text1"/>
          <w:lang w:val="es-ES"/>
        </w:rPr>
        <w:t xml:space="preserve"> </w:t>
      </w:r>
      <w:r w:rsidR="009A7F61" w:rsidRPr="009A7F61">
        <w:rPr>
          <w:rFonts w:ascii="Palatino Linotype" w:hAnsi="Palatino Linotype" w:cs="Arial"/>
          <w:color w:val="000000" w:themeColor="text1"/>
          <w:lang w:val="es-ES"/>
        </w:rPr>
        <w:t>se notificó que el plazo de treinta (30) días para resolver el recurso de revisión sería ampliado por un periodo de 15</w:t>
      </w:r>
      <w:r w:rsidR="009A7F61">
        <w:rPr>
          <w:rFonts w:ascii="Palatino Linotype" w:hAnsi="Palatino Linotype" w:cs="Arial"/>
          <w:color w:val="000000" w:themeColor="text1"/>
          <w:lang w:val="es-ES"/>
        </w:rPr>
        <w:t xml:space="preserve"> días hábiles adicionales</w:t>
      </w:r>
      <w:r w:rsidR="00946BFE">
        <w:rPr>
          <w:rFonts w:ascii="Palatino Linotype" w:hAnsi="Palatino Linotype" w:cs="Arial"/>
          <w:color w:val="000000" w:themeColor="text1"/>
          <w:lang w:val="es-ES"/>
        </w:rPr>
        <w:t>; y</w:t>
      </w:r>
      <w:r w:rsidR="003D235D">
        <w:rPr>
          <w:rFonts w:ascii="Palatino Linotype" w:hAnsi="Palatino Linotype" w:cs="Arial"/>
          <w:color w:val="000000" w:themeColor="text1"/>
          <w:lang w:val="es-ES"/>
        </w:rPr>
        <w:t xml:space="preserve"> ---------------------------------------------------------------------------------</w:t>
      </w: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60708366" w14:textId="77777777" w:rsidR="003D235D" w:rsidRDefault="003D235D" w:rsidP="00B31E90">
      <w:pPr>
        <w:pStyle w:val="Prrafodelista"/>
        <w:tabs>
          <w:tab w:val="left" w:pos="426"/>
        </w:tabs>
        <w:spacing w:line="360" w:lineRule="auto"/>
        <w:ind w:left="0"/>
        <w:jc w:val="both"/>
        <w:rPr>
          <w:rFonts w:ascii="Palatino Linotype" w:hAnsi="Palatino Linotype"/>
          <w:color w:val="000000" w:themeColor="text1"/>
        </w:rPr>
      </w:pPr>
    </w:p>
    <w:p w14:paraId="5CB47E4D" w14:textId="754BAF01"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3D235D">
        <w:rPr>
          <w:b/>
          <w:color w:val="000000" w:themeColor="text1"/>
        </w:rPr>
        <w:t xml:space="preserve"> </w:t>
      </w:r>
      <w:r w:rsidRPr="00A85CB7">
        <w:rPr>
          <w:b/>
          <w:color w:val="000000" w:themeColor="text1"/>
        </w:rPr>
        <w:t>O</w:t>
      </w:r>
      <w:r w:rsidR="003D235D">
        <w:rPr>
          <w:b/>
          <w:color w:val="000000" w:themeColor="text1"/>
        </w:rPr>
        <w:t xml:space="preserve"> </w:t>
      </w:r>
      <w:r w:rsidRPr="00A85CB7">
        <w:rPr>
          <w:b/>
          <w:color w:val="000000" w:themeColor="text1"/>
        </w:rPr>
        <w:t>N</w:t>
      </w:r>
      <w:r w:rsidR="003D235D">
        <w:rPr>
          <w:b/>
          <w:color w:val="000000" w:themeColor="text1"/>
        </w:rPr>
        <w:t xml:space="preserve"> </w:t>
      </w:r>
      <w:r w:rsidRPr="00A85CB7">
        <w:rPr>
          <w:b/>
          <w:color w:val="000000" w:themeColor="text1"/>
        </w:rPr>
        <w:t>S</w:t>
      </w:r>
      <w:r w:rsidR="003D235D">
        <w:rPr>
          <w:b/>
          <w:color w:val="000000" w:themeColor="text1"/>
        </w:rPr>
        <w:t xml:space="preserve"> </w:t>
      </w:r>
      <w:r w:rsidRPr="00A85CB7">
        <w:rPr>
          <w:b/>
          <w:color w:val="000000" w:themeColor="text1"/>
        </w:rPr>
        <w:t>I</w:t>
      </w:r>
      <w:r w:rsidR="003D235D">
        <w:rPr>
          <w:b/>
          <w:color w:val="000000" w:themeColor="text1"/>
        </w:rPr>
        <w:t xml:space="preserve"> </w:t>
      </w:r>
      <w:r w:rsidRPr="00A85CB7">
        <w:rPr>
          <w:b/>
          <w:color w:val="000000" w:themeColor="text1"/>
        </w:rPr>
        <w:t>D</w:t>
      </w:r>
      <w:r w:rsidR="003D235D">
        <w:rPr>
          <w:b/>
          <w:color w:val="000000" w:themeColor="text1"/>
        </w:rPr>
        <w:t xml:space="preserve"> </w:t>
      </w:r>
      <w:r w:rsidRPr="00A85CB7">
        <w:rPr>
          <w:b/>
          <w:color w:val="000000" w:themeColor="text1"/>
        </w:rPr>
        <w:t>E</w:t>
      </w:r>
      <w:r w:rsidR="003D235D">
        <w:rPr>
          <w:b/>
          <w:color w:val="000000" w:themeColor="text1"/>
        </w:rPr>
        <w:t xml:space="preserve"> </w:t>
      </w:r>
      <w:r w:rsidRPr="00A85CB7">
        <w:rPr>
          <w:b/>
          <w:color w:val="000000" w:themeColor="text1"/>
        </w:rPr>
        <w:t>R</w:t>
      </w:r>
      <w:r w:rsidR="003D235D">
        <w:rPr>
          <w:b/>
          <w:color w:val="000000" w:themeColor="text1"/>
        </w:rPr>
        <w:t xml:space="preserve"> </w:t>
      </w:r>
      <w:r w:rsidRPr="00A85CB7">
        <w:rPr>
          <w:b/>
          <w:color w:val="000000" w:themeColor="text1"/>
        </w:rPr>
        <w:t>A</w:t>
      </w:r>
      <w:r w:rsidR="003D235D">
        <w:rPr>
          <w:b/>
          <w:color w:val="000000" w:themeColor="text1"/>
        </w:rPr>
        <w:t xml:space="preserve"> </w:t>
      </w:r>
      <w:r w:rsidRPr="00A85CB7">
        <w:rPr>
          <w:b/>
          <w:color w:val="000000" w:themeColor="text1"/>
        </w:rPr>
        <w:t>N</w:t>
      </w:r>
      <w:r w:rsidR="003D235D">
        <w:rPr>
          <w:b/>
          <w:color w:val="000000" w:themeColor="text1"/>
        </w:rPr>
        <w:t xml:space="preserve"> </w:t>
      </w:r>
      <w:r w:rsidRPr="00A85CB7">
        <w:rPr>
          <w:b/>
          <w:color w:val="000000" w:themeColor="text1"/>
        </w:rPr>
        <w:t>D</w:t>
      </w:r>
      <w:r w:rsidR="003D235D">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lastRenderedPageBreak/>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6C9E1798"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3D235D">
        <w:rPr>
          <w:rFonts w:ascii="Palatino Linotype" w:eastAsia="Calibri" w:hAnsi="Palatino Linotype" w:cs="Arial"/>
          <w:lang w:val="es-ES_tradnl"/>
        </w:rPr>
        <w:t>quince (15) de diciembre</w:t>
      </w:r>
      <w:r w:rsidR="00775193">
        <w:rPr>
          <w:rFonts w:ascii="Palatino Linotype" w:eastAsia="Calibri" w:hAnsi="Palatino Linotype" w:cs="Arial"/>
          <w:lang w:val="es-ES_tradnl"/>
        </w:rPr>
        <w:t xml:space="preserve"> </w:t>
      </w:r>
      <w:r w:rsidRPr="00EA49FC">
        <w:rPr>
          <w:rFonts w:ascii="Palatino Linotype" w:eastAsia="Calibri" w:hAnsi="Palatino Linotype" w:cs="Arial"/>
          <w:lang w:val="es-ES_tradnl"/>
        </w:rPr>
        <w:t>de dos mil veintidós</w:t>
      </w:r>
      <w:r w:rsidRPr="00EA49FC">
        <w:rPr>
          <w:rFonts w:ascii="Palatino Linotype" w:eastAsia="Calibri" w:hAnsi="Palatino Linotype" w:cs="Arial"/>
        </w:rPr>
        <w:t xml:space="preserve">, el plazo para interponer el recurso de revisión trascurrió del </w:t>
      </w:r>
      <w:r w:rsidR="00C37BCD">
        <w:rPr>
          <w:rFonts w:ascii="Palatino Linotype" w:eastAsia="Calibri" w:hAnsi="Palatino Linotype" w:cs="Arial"/>
        </w:rPr>
        <w:t xml:space="preserve">dieciséis (16) de diciembre de dos mil veintidós al </w:t>
      </w:r>
      <w:r w:rsidR="00D27949">
        <w:rPr>
          <w:rFonts w:ascii="Palatino Linotype" w:eastAsia="Calibri" w:hAnsi="Palatino Linotype" w:cs="Arial"/>
        </w:rPr>
        <w:t>veintitrés (23) de enero de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BA200D">
        <w:rPr>
          <w:rFonts w:ascii="Palatino Linotype" w:eastAsia="Calibri" w:hAnsi="Palatino Linotype" w:cs="Arial"/>
        </w:rPr>
        <w:t>,</w:t>
      </w:r>
      <w:r w:rsidR="007E72D5">
        <w:rPr>
          <w:rFonts w:ascii="Palatino Linotype" w:eastAsia="Calibri" w:hAnsi="Palatino Linotype" w:cs="Arial"/>
        </w:rPr>
        <w:t xml:space="preserve"> domingos</w:t>
      </w:r>
      <w:r w:rsidR="00BA200D">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4930F3DF" w:rsidR="00740BA4" w:rsidRPr="009F0467"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D27949">
        <w:rPr>
          <w:rFonts w:ascii="Palatino Linotype" w:eastAsia="Calibri" w:hAnsi="Palatino Linotype" w:cs="Arial"/>
        </w:rPr>
        <w:t>nueve (09) de enero de dos mil veintitrés</w:t>
      </w:r>
      <w:r w:rsidRPr="00EA49FC">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 xml:space="preserve">de </w:t>
      </w:r>
      <w:r w:rsidR="004911B6" w:rsidRPr="00A85CB7">
        <w:rPr>
          <w:rFonts w:ascii="Palatino Linotype" w:eastAsia="Calibri" w:hAnsi="Palatino Linotype" w:cs="Arial"/>
          <w:color w:val="000000" w:themeColor="text1"/>
        </w:rPr>
        <w:lastRenderedPageBreak/>
        <w:t>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00A2AA34" w:rsidR="00635424" w:rsidRDefault="00E80E00"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 xml:space="preserve">Se requirió un contrato de obra pública con folio específico, relacionado con </w:t>
      </w:r>
      <w:r w:rsidR="00496EA6">
        <w:rPr>
          <w:rFonts w:ascii="Palatino Linotype" w:hAnsi="Palatino Linotype" w:cs="Arial"/>
          <w:color w:val="000000" w:themeColor="text1"/>
        </w:rPr>
        <w:t xml:space="preserve">la construcción de una techumbre en el Lienzo Charro </w:t>
      </w:r>
      <w:r w:rsidR="00496EA6">
        <w:rPr>
          <w:rFonts w:ascii="Palatino Linotype" w:hAnsi="Palatino Linotype" w:cs="Arial"/>
          <w:i/>
          <w:iCs/>
          <w:color w:val="000000" w:themeColor="text1"/>
        </w:rPr>
        <w:t>Ernesto Peralta Quintero</w:t>
      </w:r>
      <w:r w:rsidR="00C87066">
        <w:rPr>
          <w:rFonts w:ascii="Palatino Linotype" w:hAnsi="Palatino Linotype" w:cs="Arial"/>
          <w:color w:val="000000" w:themeColor="text1"/>
        </w:rPr>
        <w:t xml:space="preserve">, así como las Actas de Sesiones de Cabildo en las que se autorizó su ejecución; oficios de autorización del Gobierno Estatal y/o federal; </w:t>
      </w:r>
      <w:r w:rsidR="00B66964">
        <w:rPr>
          <w:rFonts w:ascii="Palatino Linotype" w:hAnsi="Palatino Linotype" w:cs="Arial"/>
          <w:color w:val="000000" w:themeColor="text1"/>
        </w:rPr>
        <w:t>y las actas de apertura y fallo del procedimiento de adjudicación</w:t>
      </w:r>
      <w:r w:rsidR="00C76486">
        <w:rPr>
          <w:rFonts w:ascii="Palatino Linotype" w:hAnsi="Palatino Linotype" w:cs="Arial"/>
          <w:color w:val="000000" w:themeColor="text1"/>
        </w:rPr>
        <w:t xml:space="preserve"> respectivo.</w:t>
      </w:r>
    </w:p>
    <w:p w14:paraId="54C012CA" w14:textId="77777777" w:rsidR="0063542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2EDF2F04" w:rsidR="0056788F"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E50385" w:rsidRPr="006D57BE">
        <w:rPr>
          <w:rFonts w:ascii="Palatino Linotype" w:hAnsi="Palatino Linotype" w:cs="Arial"/>
          <w:color w:val="000000" w:themeColor="text1"/>
        </w:rPr>
        <w:t xml:space="preserve"> </w:t>
      </w:r>
      <w:r w:rsidR="00635424">
        <w:rPr>
          <w:rFonts w:ascii="Palatino Linotype" w:hAnsi="Palatino Linotype" w:cs="Arial"/>
          <w:color w:val="000000" w:themeColor="text1"/>
        </w:rPr>
        <w:t xml:space="preserve">entregó un oficio </w:t>
      </w:r>
      <w:r w:rsidR="00A822C6">
        <w:rPr>
          <w:rFonts w:ascii="Palatino Linotype" w:hAnsi="Palatino Linotype" w:cs="Arial"/>
          <w:color w:val="000000" w:themeColor="text1"/>
        </w:rPr>
        <w:t xml:space="preserve">suscrito por </w:t>
      </w:r>
      <w:r w:rsidR="00C76486">
        <w:rPr>
          <w:rFonts w:ascii="Palatino Linotype" w:hAnsi="Palatino Linotype" w:cs="Arial"/>
          <w:color w:val="000000" w:themeColor="text1"/>
        </w:rPr>
        <w:t xml:space="preserve">la Directora de Obras Públicas, en el que informó que no </w:t>
      </w:r>
      <w:r w:rsidR="00843261">
        <w:rPr>
          <w:rFonts w:ascii="Palatino Linotype" w:hAnsi="Palatino Linotype" w:cs="Arial"/>
          <w:color w:val="000000" w:themeColor="text1"/>
        </w:rPr>
        <w:t>se encontró el número de contrato solicitado para la obra mencionada.</w:t>
      </w:r>
    </w:p>
    <w:p w14:paraId="384AFD18" w14:textId="77777777" w:rsidR="00117D31"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1AA17F4B" w:rsidR="00117D31" w:rsidRPr="006D57BE"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particular impugnó la respuesta del </w:t>
      </w:r>
      <w:r>
        <w:rPr>
          <w:rFonts w:ascii="Palatino Linotype" w:hAnsi="Palatino Linotype" w:cs="Arial"/>
          <w:b/>
          <w:bCs/>
          <w:color w:val="000000" w:themeColor="text1"/>
        </w:rPr>
        <w:t>SUJETO OBLIGADO</w:t>
      </w:r>
      <w:r>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B7620B">
        <w:rPr>
          <w:rFonts w:ascii="Palatino Linotype" w:hAnsi="Palatino Linotype" w:cs="Arial"/>
          <w:color w:val="000000" w:themeColor="text1"/>
        </w:rPr>
        <w:t xml:space="preserve">que la obra pública solicitada se encontraba registrada </w:t>
      </w:r>
      <w:r w:rsidR="00993C3F">
        <w:rPr>
          <w:rFonts w:ascii="Palatino Linotype" w:hAnsi="Palatino Linotype" w:cs="Arial"/>
          <w:color w:val="000000" w:themeColor="text1"/>
        </w:rPr>
        <w:t xml:space="preserve">dentro de la Cuenta Pública 2020 del ayuntamiento, específicamente </w:t>
      </w:r>
      <w:r w:rsidR="00B7620B">
        <w:rPr>
          <w:rFonts w:ascii="Palatino Linotype" w:hAnsi="Palatino Linotype" w:cs="Arial"/>
          <w:color w:val="000000" w:themeColor="text1"/>
        </w:rPr>
        <w:t>en el Informe Anual de Construcciones en Proces</w:t>
      </w:r>
      <w:r w:rsidR="00993C3F">
        <w:rPr>
          <w:rFonts w:ascii="Palatino Linotype" w:hAnsi="Palatino Linotype" w:cs="Arial"/>
          <w:color w:val="000000" w:themeColor="text1"/>
        </w:rPr>
        <w:t>o.</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54981F0" w:rsidR="001A032D" w:rsidRPr="00ED6A4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6A4E">
        <w:rPr>
          <w:rFonts w:ascii="Palatino Linotype" w:hAnsi="Palatino Linotype" w:cs="Arial"/>
          <w:color w:val="000000" w:themeColor="text1"/>
        </w:rPr>
        <w:t xml:space="preserve">En ese sentido, </w:t>
      </w:r>
      <w:r w:rsidR="00566BC5" w:rsidRPr="00ED6A4E">
        <w:rPr>
          <w:rFonts w:ascii="Palatino Linotype" w:hAnsi="Palatino Linotype" w:cs="Arial"/>
          <w:color w:val="000000" w:themeColor="text1"/>
        </w:rPr>
        <w:t>este Órgano Garante</w:t>
      </w:r>
      <w:r w:rsidR="002E160F" w:rsidRPr="00ED6A4E">
        <w:rPr>
          <w:rFonts w:ascii="Palatino Linotype" w:hAnsi="Palatino Linotype" w:cs="Arial"/>
          <w:color w:val="000000" w:themeColor="text1"/>
        </w:rPr>
        <w:t xml:space="preserve"> advierte que las razones o motivos de inconformidad manifestados por el </w:t>
      </w:r>
      <w:r w:rsidRPr="00ED6A4E">
        <w:rPr>
          <w:rFonts w:ascii="Palatino Linotype" w:hAnsi="Palatino Linotype" w:cs="Arial"/>
          <w:b/>
          <w:bCs/>
          <w:color w:val="000000" w:themeColor="text1"/>
        </w:rPr>
        <w:t>RECURRENTE</w:t>
      </w:r>
      <w:r w:rsidRPr="00ED6A4E">
        <w:rPr>
          <w:rFonts w:ascii="Palatino Linotype" w:hAnsi="Palatino Linotype" w:cs="Arial"/>
          <w:color w:val="000000" w:themeColor="text1"/>
        </w:rPr>
        <w:t xml:space="preserve"> </w:t>
      </w:r>
      <w:r w:rsidR="002E160F" w:rsidRPr="00ED6A4E">
        <w:rPr>
          <w:rFonts w:ascii="Palatino Linotype" w:hAnsi="Palatino Linotype" w:cs="Arial"/>
          <w:color w:val="000000" w:themeColor="text1"/>
        </w:rPr>
        <w:t xml:space="preserve">sugieren que la respuesta </w:t>
      </w:r>
      <w:r w:rsidR="002E160F" w:rsidRPr="00ED6A4E">
        <w:rPr>
          <w:rFonts w:ascii="Palatino Linotype" w:hAnsi="Palatino Linotype" w:cs="Arial"/>
          <w:color w:val="000000" w:themeColor="text1"/>
        </w:rPr>
        <w:lastRenderedPageBreak/>
        <w:t>proporcionada</w:t>
      </w:r>
      <w:r w:rsidR="00B855AA" w:rsidRPr="00ED6A4E">
        <w:rPr>
          <w:rFonts w:ascii="Palatino Linotype" w:hAnsi="Palatino Linotype" w:cs="Arial"/>
          <w:color w:val="000000" w:themeColor="text1"/>
        </w:rPr>
        <w:t xml:space="preserve"> por el </w:t>
      </w:r>
      <w:r w:rsidR="00B855AA" w:rsidRPr="00ED6A4E">
        <w:rPr>
          <w:rFonts w:ascii="Palatino Linotype" w:hAnsi="Palatino Linotype" w:cs="Arial"/>
          <w:b/>
          <w:bCs/>
          <w:color w:val="000000" w:themeColor="text1"/>
        </w:rPr>
        <w:t>SUJETO OBLIGADO</w:t>
      </w:r>
      <w:r w:rsidR="007409D8" w:rsidRPr="00ED6A4E">
        <w:rPr>
          <w:rFonts w:ascii="Palatino Linotype" w:hAnsi="Palatino Linotype" w:cs="Arial"/>
          <w:color w:val="000000" w:themeColor="text1"/>
        </w:rPr>
        <w:t xml:space="preserve"> no </w:t>
      </w:r>
      <w:r w:rsidR="006D57BE" w:rsidRPr="00ED6A4E">
        <w:rPr>
          <w:rFonts w:ascii="Palatino Linotype" w:hAnsi="Palatino Linotype" w:cs="Arial"/>
          <w:color w:val="000000" w:themeColor="text1"/>
        </w:rPr>
        <w:t>cumplió</w:t>
      </w:r>
      <w:r w:rsidR="00B855AA" w:rsidRPr="00ED6A4E">
        <w:rPr>
          <w:rFonts w:ascii="Palatino Linotype" w:hAnsi="Palatino Linotype" w:cs="Arial"/>
          <w:color w:val="000000" w:themeColor="text1"/>
        </w:rPr>
        <w:t xml:space="preserve"> con </w:t>
      </w:r>
      <w:r w:rsidR="008F7752" w:rsidRPr="00ED6A4E">
        <w:rPr>
          <w:rFonts w:ascii="Palatino Linotype" w:hAnsi="Palatino Linotype" w:cs="Arial"/>
          <w:color w:val="000000" w:themeColor="text1"/>
        </w:rPr>
        <w:t>los</w:t>
      </w:r>
      <w:r w:rsidR="00B855AA" w:rsidRPr="00ED6A4E">
        <w:rPr>
          <w:rFonts w:ascii="Palatino Linotype" w:hAnsi="Palatino Linotype" w:cs="Arial"/>
          <w:color w:val="000000" w:themeColor="text1"/>
        </w:rPr>
        <w:t xml:space="preserve"> principio</w:t>
      </w:r>
      <w:r w:rsidR="008F7752" w:rsidRPr="00ED6A4E">
        <w:rPr>
          <w:rFonts w:ascii="Palatino Linotype" w:hAnsi="Palatino Linotype" w:cs="Arial"/>
          <w:color w:val="000000" w:themeColor="text1"/>
        </w:rPr>
        <w:t>s</w:t>
      </w:r>
      <w:r w:rsidR="00B855AA" w:rsidRPr="00ED6A4E">
        <w:rPr>
          <w:rFonts w:ascii="Palatino Linotype" w:hAnsi="Palatino Linotype" w:cs="Arial"/>
          <w:color w:val="000000" w:themeColor="text1"/>
        </w:rPr>
        <w:t xml:space="preserve"> contendido</w:t>
      </w:r>
      <w:r w:rsidR="008F7752" w:rsidRPr="00ED6A4E">
        <w:rPr>
          <w:rFonts w:ascii="Palatino Linotype" w:hAnsi="Palatino Linotype" w:cs="Arial"/>
          <w:color w:val="000000" w:themeColor="text1"/>
        </w:rPr>
        <w:t>s</w:t>
      </w:r>
      <w:r w:rsidR="00B855AA" w:rsidRPr="00ED6A4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D6A4E">
        <w:rPr>
          <w:rFonts w:ascii="Palatino Linotype" w:hAnsi="Palatino Linotype" w:cs="Arial"/>
          <w:color w:val="000000" w:themeColor="text1"/>
        </w:rPr>
        <w:t>os</w:t>
      </w:r>
      <w:r w:rsidR="00B855AA" w:rsidRPr="00ED6A4E">
        <w:rPr>
          <w:rFonts w:ascii="Palatino Linotype" w:hAnsi="Palatino Linotype" w:cs="Arial"/>
          <w:color w:val="000000" w:themeColor="text1"/>
        </w:rPr>
        <w:t xml:space="preserve"> cual</w:t>
      </w:r>
      <w:r w:rsidR="008F7752" w:rsidRPr="00ED6A4E">
        <w:rPr>
          <w:rFonts w:ascii="Palatino Linotype" w:hAnsi="Palatino Linotype" w:cs="Arial"/>
          <w:color w:val="000000" w:themeColor="text1"/>
        </w:rPr>
        <w:t>es</w:t>
      </w:r>
      <w:r w:rsidR="00B855AA" w:rsidRPr="00ED6A4E">
        <w:rPr>
          <w:rFonts w:ascii="Palatino Linotype" w:hAnsi="Palatino Linotype" w:cs="Arial"/>
          <w:color w:val="000000" w:themeColor="text1"/>
        </w:rPr>
        <w:t xml:space="preserve"> señala</w:t>
      </w:r>
      <w:r w:rsidR="008F7752" w:rsidRPr="00ED6A4E">
        <w:rPr>
          <w:rFonts w:ascii="Palatino Linotype" w:hAnsi="Palatino Linotype" w:cs="Arial"/>
          <w:color w:val="000000" w:themeColor="text1"/>
        </w:rPr>
        <w:t>n</w:t>
      </w:r>
      <w:r w:rsidR="00B855AA" w:rsidRPr="00ED6A4E">
        <w:rPr>
          <w:rFonts w:ascii="Palatino Linotype" w:hAnsi="Palatino Linotype" w:cs="Arial"/>
          <w:color w:val="000000" w:themeColor="text1"/>
        </w:rPr>
        <w:t xml:space="preserve"> que en la generación, publicación y entrega de información se deberá garantizar que ésta </w:t>
      </w:r>
      <w:r w:rsidR="00C51671" w:rsidRPr="00ED6A4E">
        <w:rPr>
          <w:rFonts w:ascii="Palatino Linotype" w:hAnsi="Palatino Linotype" w:cs="Arial"/>
          <w:color w:val="000000" w:themeColor="text1"/>
        </w:rPr>
        <w:t>sea</w:t>
      </w:r>
      <w:r w:rsidR="007409D8" w:rsidRPr="00ED6A4E">
        <w:rPr>
          <w:rFonts w:ascii="Palatino Linotype" w:hAnsi="Palatino Linotype" w:cs="Arial"/>
          <w:color w:val="000000" w:themeColor="text1"/>
        </w:rPr>
        <w:t xml:space="preserve"> </w:t>
      </w:r>
      <w:r w:rsidR="007E5825">
        <w:rPr>
          <w:rFonts w:ascii="Palatino Linotype" w:hAnsi="Palatino Linotype" w:cs="Arial"/>
          <w:b/>
          <w:color w:val="000000" w:themeColor="text1"/>
        </w:rPr>
        <w:t>confiable</w:t>
      </w:r>
      <w:r w:rsidR="00E73025" w:rsidRPr="00ED6A4E">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3B2E019"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640B8E">
        <w:rPr>
          <w:rFonts w:ascii="Palatino Linotype" w:hAnsi="Palatino Linotype" w:cs="Arial"/>
          <w:color w:val="000000" w:themeColor="text1"/>
          <w:szCs w:val="23"/>
        </w:rPr>
        <w:t>,</w:t>
      </w:r>
      <w:r w:rsidR="0021056F">
        <w:rPr>
          <w:rFonts w:ascii="Palatino Linotype" w:hAnsi="Palatino Linotype" w:cs="Arial"/>
          <w:color w:val="000000" w:themeColor="text1"/>
          <w:szCs w:val="23"/>
        </w:rPr>
        <w:t xml:space="preserve"> </w:t>
      </w:r>
      <w:r w:rsidR="001F3163">
        <w:rPr>
          <w:rFonts w:ascii="Palatino Linotype" w:hAnsi="Palatino Linotype" w:cs="Arial"/>
          <w:color w:val="000000" w:themeColor="text1"/>
          <w:szCs w:val="23"/>
        </w:rPr>
        <w:t>XI</w:t>
      </w:r>
      <w:r w:rsidR="007D7B65">
        <w:rPr>
          <w:rFonts w:ascii="Palatino Linotype" w:hAnsi="Palatino Linotype" w:cs="Arial"/>
          <w:color w:val="000000" w:themeColor="text1"/>
          <w:szCs w:val="23"/>
        </w:rPr>
        <w:t>, y/o X</w:t>
      </w:r>
      <w:r w:rsidR="001F3163">
        <w:rPr>
          <w:rFonts w:ascii="Palatino Linotype" w:hAnsi="Palatino Linotype" w:cs="Arial"/>
          <w:color w:val="000000" w:themeColor="text1"/>
          <w:szCs w:val="23"/>
        </w:rPr>
        <w:t>II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05B06739" w14:textId="721EE66C" w:rsidR="007D7B65" w:rsidRPr="005F5F37" w:rsidRDefault="005F5F37" w:rsidP="004170BE">
      <w:pPr>
        <w:pStyle w:val="Sinespaciado"/>
        <w:tabs>
          <w:tab w:val="left" w:pos="426"/>
        </w:tabs>
        <w:ind w:left="851" w:right="567"/>
        <w:jc w:val="both"/>
        <w:rPr>
          <w:rFonts w:ascii="Palatino Linotype" w:hAnsi="Palatino Linotype"/>
          <w:bCs/>
          <w:i/>
          <w:color w:val="000000" w:themeColor="text1"/>
          <w:sz w:val="22"/>
          <w:lang w:val="es-MX"/>
        </w:rPr>
      </w:pPr>
      <w:r>
        <w:rPr>
          <w:rFonts w:ascii="Palatino Linotype" w:hAnsi="Palatino Linotype"/>
          <w:b/>
          <w:i/>
          <w:color w:val="000000" w:themeColor="text1"/>
          <w:sz w:val="22"/>
          <w:lang w:val="es-MX"/>
        </w:rPr>
        <w:t>XI.</w:t>
      </w:r>
      <w:r>
        <w:rPr>
          <w:rFonts w:ascii="Palatino Linotype" w:hAnsi="Palatino Linotype"/>
          <w:bCs/>
          <w:i/>
          <w:color w:val="000000" w:themeColor="text1"/>
          <w:sz w:val="22"/>
          <w:lang w:val="es-MX"/>
        </w:rPr>
        <w:t xml:space="preserve"> La falta de trámite a una solicitud</w:t>
      </w:r>
      <w:r w:rsidR="001F3163">
        <w:rPr>
          <w:rFonts w:ascii="Palatino Linotype" w:hAnsi="Palatino Linotype"/>
          <w:bCs/>
          <w:i/>
          <w:color w:val="000000" w:themeColor="text1"/>
          <w:sz w:val="22"/>
          <w:lang w:val="es-MX"/>
        </w:rPr>
        <w:t>;</w:t>
      </w:r>
    </w:p>
    <w:p w14:paraId="4D85E639" w14:textId="77777777" w:rsidR="001F3163" w:rsidRDefault="004170BE" w:rsidP="004170BE">
      <w:pPr>
        <w:pStyle w:val="Sinespaciado"/>
        <w:tabs>
          <w:tab w:val="left" w:pos="426"/>
        </w:tabs>
        <w:ind w:left="851" w:right="567"/>
        <w:jc w:val="both"/>
        <w:rPr>
          <w:rFonts w:ascii="Palatino Linotype" w:hAnsi="Palatino Linotype"/>
          <w:bCs/>
          <w:i/>
          <w:color w:val="000000" w:themeColor="text1"/>
          <w:sz w:val="22"/>
        </w:rPr>
      </w:pPr>
      <w:r w:rsidRPr="007D7B65">
        <w:rPr>
          <w:rFonts w:ascii="Palatino Linotype" w:hAnsi="Palatino Linotype"/>
          <w:bCs/>
          <w:i/>
          <w:color w:val="000000" w:themeColor="text1"/>
          <w:sz w:val="22"/>
        </w:rPr>
        <w:t>(...)</w:t>
      </w:r>
    </w:p>
    <w:p w14:paraId="74CCB167" w14:textId="77777777" w:rsidR="001F3163" w:rsidRDefault="001F3163" w:rsidP="004170BE">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XIII.</w:t>
      </w:r>
      <w:r>
        <w:rPr>
          <w:rFonts w:ascii="Palatino Linotype" w:hAnsi="Palatino Linotype"/>
          <w:bCs/>
          <w:i/>
          <w:color w:val="000000" w:themeColor="text1"/>
          <w:sz w:val="22"/>
        </w:rPr>
        <w:t xml:space="preserve"> La falta, deficiencia o insuficiencia de la fundamentación y/o motivación en la respuesta; y</w:t>
      </w:r>
    </w:p>
    <w:p w14:paraId="4FCA9B3F" w14:textId="7A84075D" w:rsidR="00515DEC" w:rsidRPr="007D7B65" w:rsidRDefault="001F3163" w:rsidP="004170BE">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Cs/>
          <w:i/>
          <w:color w:val="000000" w:themeColor="text1"/>
          <w:sz w:val="22"/>
        </w:rPr>
        <w:t>(...)</w:t>
      </w:r>
      <w:r w:rsidR="007D7B65">
        <w:rPr>
          <w:rFonts w:ascii="Palatino Linotype" w:hAnsi="Palatino Linotype"/>
          <w:bCs/>
          <w:i/>
          <w:color w:val="000000" w:themeColor="text1"/>
          <w:sz w:val="22"/>
        </w:rPr>
        <w:t>”</w:t>
      </w:r>
    </w:p>
    <w:p w14:paraId="3000BF2B" w14:textId="43F12A12"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2"/>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w:t>
      </w:r>
      <w:r w:rsidRPr="00A767B9">
        <w:rPr>
          <w:rFonts w:ascii="Palatino Linotype" w:hAnsi="Palatino Linotype"/>
          <w:bCs/>
          <w:lang w:val="es-ES_tradnl"/>
        </w:rPr>
        <w:t>en el Pacto</w:t>
      </w:r>
      <w:bookmarkStart w:id="23" w:name="_GoBack"/>
      <w:bookmarkEnd w:id="23"/>
      <w:r w:rsidRPr="008C33F9">
        <w:rPr>
          <w:rFonts w:ascii="Palatino Linotype" w:hAnsi="Palatino Linotype"/>
          <w:bCs/>
          <w:lang w:val="es-ES_tradnl"/>
        </w:rPr>
        <w:t xml:space="preserve">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2"/>
      </w:r>
      <w:r w:rsidRPr="00DA2D95">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A2D95">
        <w:rPr>
          <w:rFonts w:ascii="Palatino Linotype" w:hAnsi="Palatino Linotype"/>
          <w:i/>
          <w:color w:val="000000" w:themeColor="text1"/>
        </w:rPr>
        <w:lastRenderedPageBreak/>
        <w:t>actos de autoridad en el ámbito federal, estatal y municipal,</w:t>
      </w:r>
      <w:r w:rsidRPr="00DA2D95">
        <w:rPr>
          <w:rFonts w:ascii="Palatino Linotype" w:hAnsi="Palatino Linotype"/>
          <w:i/>
          <w:color w:val="000000" w:themeColor="text1"/>
          <w:vertAlign w:val="superscript"/>
        </w:rPr>
        <w:footnoteReference w:id="3"/>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6582407"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055FBDF4" w14:textId="3D2672B7" w:rsidR="0022042D" w:rsidRPr="0022042D"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Pr>
          <w:rFonts w:ascii="Palatino Linotype" w:hAnsi="Palatino Linotype"/>
          <w:b/>
          <w:bCs/>
          <w:lang w:val="es-ES"/>
        </w:rPr>
        <w:t>II. De los límites del derecho de acceso a la información.</w:t>
      </w:r>
    </w:p>
    <w:p w14:paraId="38474C9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Previo a iniciar el análisis de la información solicitada, se considera </w:t>
      </w:r>
      <w:r w:rsidRPr="002403CB">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Default="0022042D" w:rsidP="0022042D">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para darnos un mejor panorama:</w:t>
      </w:r>
    </w:p>
    <w:p w14:paraId="547E48D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Documento: </w:t>
      </w:r>
      <w:r w:rsidRPr="002403CB">
        <w:rPr>
          <w:rFonts w:ascii="Palatino Linotype" w:eastAsia="Palatino Linotype" w:hAnsi="Palatino Linotype" w:cs="Palatino Linotype"/>
          <w:b/>
          <w:bCs/>
          <w:i/>
          <w:sz w:val="22"/>
          <w:szCs w:val="22"/>
        </w:rPr>
        <w:t xml:space="preserve">Los </w:t>
      </w:r>
      <w:r w:rsidRPr="00AF49E4">
        <w:rPr>
          <w:rFonts w:ascii="Palatino Linotype" w:eastAsia="Palatino Linotype" w:hAnsi="Palatino Linotype" w:cs="Palatino Linotype"/>
          <w:b/>
          <w:bCs/>
          <w:i/>
          <w:sz w:val="22"/>
          <w:szCs w:val="22"/>
        </w:rPr>
        <w:t>expedientes, reportes, estudios,</w:t>
      </w:r>
      <w:r w:rsidRPr="00AF49E4">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Pr>
          <w:rFonts w:ascii="Palatino Linotype" w:eastAsia="Palatino Linotype" w:hAnsi="Palatino Linotype" w:cs="Palatino Linotype"/>
          <w:i/>
          <w:sz w:val="22"/>
          <w:szCs w:val="22"/>
        </w:rPr>
        <w:t xml:space="preserve"> bien,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893537" w:rsidRDefault="0022042D" w:rsidP="0022042D">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18197C76"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Default="0022042D" w:rsidP="0022042D">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675CBA10"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Default="0022042D" w:rsidP="0022042D">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799B4C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w:t>
      </w:r>
    </w:p>
    <w:p w14:paraId="12A884C9"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8"/>
      </w:r>
      <w:r>
        <w:rPr>
          <w:rFonts w:ascii="Palatino Linotype" w:eastAsia="Palatino Linotype" w:hAnsi="Palatino Linotype" w:cs="Palatino Linotype"/>
          <w:color w:val="000000"/>
        </w:rPr>
        <w:t xml:space="preserve"> y máxima publicidad; sobre éste último se debe poner mayor </w:t>
      </w:r>
      <w:r>
        <w:rPr>
          <w:rFonts w:ascii="Palatino Linotype" w:eastAsia="Palatino Linotype" w:hAnsi="Palatino Linotype" w:cs="Palatino Linotype"/>
          <w:color w:val="000000"/>
        </w:rPr>
        <w:lastRenderedPageBreak/>
        <w:t xml:space="preserve">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60D1857B"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Pr>
          <w:rFonts w:ascii="Palatino Linotype" w:eastAsia="Palatino Linotype" w:hAnsi="Palatino Linotype" w:cs="Palatino Linotype"/>
          <w:i/>
          <w:color w:val="000000"/>
          <w:sz w:val="22"/>
          <w:szCs w:val="22"/>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4D886182"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39BDABA0"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Pr>
          <w:rFonts w:ascii="Palatino Linotype" w:hAnsi="Palatino Linotype"/>
          <w:b/>
          <w:color w:val="000000" w:themeColor="text1"/>
        </w:rPr>
        <w:t>I</w:t>
      </w:r>
      <w:r w:rsidR="0022042D">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4"/>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22F3F5A" w:rsidR="009E260E" w:rsidRPr="00910076"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na</w:t>
      </w:r>
      <w:r w:rsidR="007D7B65">
        <w:rPr>
          <w:rFonts w:ascii="Palatino Linotype" w:hAnsi="Palatino Linotype"/>
        </w:rPr>
        <w:t xml:space="preserve"> vez</w:t>
      </w:r>
      <w:r w:rsidR="00215A63">
        <w:rPr>
          <w:rFonts w:ascii="Palatino Linotype" w:hAnsi="Palatino Linotype"/>
        </w:rPr>
        <w:t xml:space="preserve"> expuesto lo anterior, </w:t>
      </w:r>
      <w:r w:rsidR="009E260E">
        <w:rPr>
          <w:rFonts w:ascii="Palatino Linotype" w:hAnsi="Palatino Linotype"/>
        </w:rPr>
        <w:t xml:space="preserve">de </w:t>
      </w:r>
      <w:r w:rsidR="009E260E" w:rsidRPr="00132F52">
        <w:rPr>
          <w:rFonts w:ascii="Palatino Linotype" w:hAnsi="Palatino Linotype"/>
        </w:rPr>
        <w:t xml:space="preserve">la lectura a la solicitud de información </w:t>
      </w:r>
      <w:r w:rsidR="00D708C2">
        <w:rPr>
          <w:rFonts w:ascii="Palatino Linotype" w:hAnsi="Palatino Linotype"/>
          <w:b/>
        </w:rPr>
        <w:t>00139/JOCOTIT/IP/2022</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r w:rsidR="00EB3D90">
        <w:rPr>
          <w:rFonts w:ascii="Palatino Linotype" w:hAnsi="Palatino Linotype"/>
        </w:rPr>
        <w:t xml:space="preserve"> relacionada con el contrato de obra pública número MJO/DOP/PAD-00/IR-001/2020</w:t>
      </w:r>
      <w:r w:rsidR="009E260E">
        <w:rPr>
          <w:rFonts w:ascii="Palatino Linotype" w:hAnsi="Palatino Linotype"/>
        </w:rPr>
        <w:t>:</w:t>
      </w:r>
    </w:p>
    <w:p w14:paraId="75954B38" w14:textId="5191EBD5" w:rsidR="00E609D1" w:rsidRPr="00EB3D90" w:rsidRDefault="00EB3D9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Contrato;</w:t>
      </w:r>
    </w:p>
    <w:p w14:paraId="3E841D87" w14:textId="2861B61E" w:rsidR="00EB3D90" w:rsidRDefault="007F264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Actas de Sesión de Cabildo en las que se aprobó la ejecución de la obra;</w:t>
      </w:r>
    </w:p>
    <w:p w14:paraId="20A29BA0" w14:textId="0A9CD368" w:rsidR="007F264E" w:rsidRDefault="007F264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Oficios de autorización del Gobierno Estatal y/o Federal</w:t>
      </w:r>
      <w:r w:rsidR="005466B2">
        <w:rPr>
          <w:rFonts w:ascii="Palatino Linotype" w:hAnsi="Palatino Linotype"/>
          <w:color w:val="000000" w:themeColor="text1"/>
        </w:rPr>
        <w:t>;</w:t>
      </w:r>
    </w:p>
    <w:p w14:paraId="32E4F116" w14:textId="4E9D206D" w:rsidR="005466B2" w:rsidRPr="00D16177" w:rsidRDefault="005466B2"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Actas de apertura y fallo del procedimiento de adjudicación.</w:t>
      </w:r>
    </w:p>
    <w:p w14:paraId="3F9DDF83" w14:textId="77777777" w:rsidR="00D16177" w:rsidRPr="00D16177" w:rsidRDefault="00D16177" w:rsidP="00D16177">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651155F0" w:rsidR="0021056F" w:rsidRPr="000A0678"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w:t>
      </w:r>
      <w:r w:rsidR="00984D47">
        <w:rPr>
          <w:rFonts w:ascii="Palatino Linotype" w:hAnsi="Palatino Linotype"/>
        </w:rPr>
        <w:t xml:space="preserve">n respuesta a </w:t>
      </w:r>
      <w:r w:rsidR="00984D47" w:rsidRPr="00C0234A">
        <w:rPr>
          <w:rFonts w:ascii="Palatino Linotype" w:hAnsi="Palatino Linotype"/>
        </w:rPr>
        <w:t xml:space="preserve">la solicitud de información </w:t>
      </w:r>
      <w:r w:rsidR="00D708C2">
        <w:rPr>
          <w:rFonts w:ascii="Palatino Linotype" w:hAnsi="Palatino Linotype"/>
          <w:b/>
          <w:bCs/>
        </w:rPr>
        <w:t>00139/JOCOTIT/IP/2022</w:t>
      </w:r>
      <w:r w:rsidR="00984D47" w:rsidRPr="00C0234A">
        <w:rPr>
          <w:rFonts w:ascii="Palatino Linotype" w:hAnsi="Palatino Linotype"/>
        </w:rPr>
        <w:t xml:space="preserve">, </w:t>
      </w:r>
      <w:r w:rsidRPr="00C0234A">
        <w:rPr>
          <w:rFonts w:ascii="Palatino Linotype" w:hAnsi="Palatino Linotype"/>
        </w:rPr>
        <w:t xml:space="preserve">el </w:t>
      </w:r>
      <w:r w:rsidRPr="00C0234A">
        <w:rPr>
          <w:rFonts w:ascii="Palatino Linotype" w:hAnsi="Palatino Linotype"/>
          <w:b/>
        </w:rPr>
        <w:t>SUJETO OBLIGADO</w:t>
      </w:r>
      <w:r w:rsidRPr="00C0234A">
        <w:rPr>
          <w:rFonts w:ascii="Palatino Linotype" w:hAnsi="Palatino Linotype"/>
        </w:rPr>
        <w:t xml:space="preserve"> </w:t>
      </w:r>
      <w:r w:rsidR="000A0678" w:rsidRPr="00C0234A">
        <w:rPr>
          <w:rFonts w:ascii="Palatino Linotype" w:hAnsi="Palatino Linotype"/>
        </w:rPr>
        <w:t>entregó</w:t>
      </w:r>
      <w:r w:rsidRPr="00C0234A">
        <w:rPr>
          <w:rFonts w:ascii="Palatino Linotype" w:hAnsi="Palatino Linotype"/>
        </w:rPr>
        <w:t xml:space="preserve"> al particular </w:t>
      </w:r>
      <w:r w:rsidR="00D14673" w:rsidRPr="00C0234A">
        <w:rPr>
          <w:rFonts w:ascii="Palatino Linotype" w:hAnsi="Palatino Linotype"/>
        </w:rPr>
        <w:t>la copia digitalizada del</w:t>
      </w:r>
      <w:r w:rsidR="00C0234A">
        <w:rPr>
          <w:rFonts w:ascii="Palatino Linotype" w:hAnsi="Palatino Linotype"/>
        </w:rPr>
        <w:t xml:space="preserve"> oficio</w:t>
      </w:r>
      <w:r w:rsidR="00750FC0">
        <w:rPr>
          <w:rFonts w:ascii="Palatino Linotype" w:hAnsi="Palatino Linotype"/>
        </w:rPr>
        <w:t xml:space="preserve"> número </w:t>
      </w:r>
      <w:r w:rsidR="005466B2">
        <w:rPr>
          <w:rFonts w:ascii="Palatino Linotype" w:hAnsi="Palatino Linotype"/>
        </w:rPr>
        <w:t>DOPM/CVE/1011/2022</w:t>
      </w:r>
      <w:r w:rsidR="00E3451B">
        <w:rPr>
          <w:rFonts w:ascii="Palatino Linotype" w:hAnsi="Palatino Linotype"/>
        </w:rPr>
        <w:t>,</w:t>
      </w:r>
      <w:r w:rsidR="00C0234A">
        <w:rPr>
          <w:rFonts w:ascii="Palatino Linotype" w:hAnsi="Palatino Linotype"/>
        </w:rPr>
        <w:t xml:space="preserve"> de</w:t>
      </w:r>
      <w:r w:rsidR="005466B2">
        <w:rPr>
          <w:rFonts w:ascii="Palatino Linotype" w:hAnsi="Palatino Linotype"/>
        </w:rPr>
        <w:t xml:space="preserve"> cinco (05) de diciembre</w:t>
      </w:r>
      <w:r w:rsidR="00750FC0">
        <w:rPr>
          <w:rFonts w:ascii="Palatino Linotype" w:hAnsi="Palatino Linotype"/>
        </w:rPr>
        <w:t xml:space="preserve"> </w:t>
      </w:r>
      <w:r w:rsidR="00C0234A">
        <w:rPr>
          <w:rFonts w:ascii="Palatino Linotype" w:hAnsi="Palatino Linotype"/>
        </w:rPr>
        <w:t xml:space="preserve">de dos mil veintidós, emitido por </w:t>
      </w:r>
      <w:r w:rsidR="005466B2">
        <w:rPr>
          <w:rFonts w:ascii="Palatino Linotype" w:hAnsi="Palatino Linotype"/>
        </w:rPr>
        <w:lastRenderedPageBreak/>
        <w:t>la Directora de Obras Públicas</w:t>
      </w:r>
      <w:r w:rsidR="00D14673" w:rsidRPr="00C0234A">
        <w:rPr>
          <w:rFonts w:ascii="Palatino Linotype" w:hAnsi="Palatino Linotype"/>
        </w:rPr>
        <w:t>, cuyo contenido elemental</w:t>
      </w:r>
      <w:r w:rsidR="00D14673">
        <w:rPr>
          <w:rFonts w:ascii="Palatino Linotype" w:hAnsi="Palatino Linotype"/>
        </w:rPr>
        <w:t xml:space="preserve"> se transcribe a continuación:</w:t>
      </w:r>
    </w:p>
    <w:p w14:paraId="350AF06A" w14:textId="5E3D2E1E" w:rsidR="002E7464"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05EE91B6" w:rsidR="000A0678" w:rsidRPr="005466B2" w:rsidRDefault="00C0234A" w:rsidP="005466B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AC297D">
        <w:rPr>
          <w:rFonts w:ascii="Palatino Linotype" w:hAnsi="Palatino Linotype"/>
          <w:i/>
          <w:iCs/>
          <w:color w:val="000000" w:themeColor="text1"/>
          <w:sz w:val="22"/>
          <w:szCs w:val="22"/>
        </w:rPr>
        <w:t>(...) me permito informarle que (...) después de realizar una búsqueda exhaustiva en los archivos que obran en la Dirección de Obras Públicas, no se encontró ese número de contrato para la obra a la que hace mención.</w:t>
      </w:r>
      <w:r w:rsidR="00D80F7C" w:rsidRPr="005466B2">
        <w:rPr>
          <w:rFonts w:ascii="Palatino Linotype" w:hAnsi="Palatino Linotype"/>
          <w:i/>
          <w:iCs/>
          <w:color w:val="000000" w:themeColor="text1"/>
          <w:sz w:val="22"/>
          <w:szCs w:val="22"/>
        </w:rPr>
        <w:t>”</w:t>
      </w:r>
      <w:r w:rsidR="003E2ED8" w:rsidRPr="005466B2">
        <w:rPr>
          <w:rFonts w:ascii="Palatino Linotype" w:hAnsi="Palatino Linotype"/>
          <w:color w:val="000000" w:themeColor="text1"/>
          <w:sz w:val="22"/>
          <w:szCs w:val="22"/>
        </w:rPr>
        <w:t xml:space="preserve"> (Sic)</w:t>
      </w:r>
    </w:p>
    <w:p w14:paraId="0BEA6015" w14:textId="77777777" w:rsidR="002E7464"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63DA103" w:rsidR="009747E8" w:rsidRPr="008971FC"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71FC">
        <w:rPr>
          <w:rFonts w:ascii="Palatino Linotype" w:hAnsi="Palatino Linotype"/>
          <w:color w:val="000000" w:themeColor="text1"/>
        </w:rPr>
        <w:t xml:space="preserve">Por su parte, el ahora </w:t>
      </w:r>
      <w:r w:rsidRPr="008971FC">
        <w:rPr>
          <w:rFonts w:ascii="Palatino Linotype" w:hAnsi="Palatino Linotype"/>
          <w:b/>
          <w:color w:val="000000" w:themeColor="text1"/>
        </w:rPr>
        <w:t>RECURRENTE</w:t>
      </w:r>
      <w:r w:rsidRPr="008971FC">
        <w:rPr>
          <w:rFonts w:ascii="Palatino Linotype" w:hAnsi="Palatino Linotype"/>
          <w:color w:val="000000" w:themeColor="text1"/>
        </w:rPr>
        <w:t xml:space="preserve"> promovió el recurso de revisión con número al rubro indicado, en contra de la respuesta del </w:t>
      </w:r>
      <w:r w:rsidRPr="008971FC">
        <w:rPr>
          <w:rFonts w:ascii="Palatino Linotype" w:hAnsi="Palatino Linotype"/>
          <w:b/>
          <w:color w:val="000000" w:themeColor="text1"/>
        </w:rPr>
        <w:t>SUJETO OBLIGADO</w:t>
      </w:r>
      <w:r w:rsidRPr="008971FC">
        <w:rPr>
          <w:rFonts w:ascii="Palatino Linotype" w:hAnsi="Palatino Linotype"/>
          <w:color w:val="000000" w:themeColor="text1"/>
        </w:rPr>
        <w:t>, y en los que señaló por agravios</w:t>
      </w:r>
      <w:r w:rsidR="003E2ED8" w:rsidRPr="008971FC">
        <w:rPr>
          <w:rFonts w:ascii="Palatino Linotype" w:hAnsi="Palatino Linotype"/>
          <w:color w:val="000000" w:themeColor="text1"/>
        </w:rPr>
        <w:t>, lo siguiente:</w:t>
      </w:r>
    </w:p>
    <w:p w14:paraId="307E8328" w14:textId="3A3CBBAB" w:rsidR="00C0234A" w:rsidRPr="00C0234A" w:rsidRDefault="00243284" w:rsidP="00243284">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w:t>
      </w:r>
      <w:r w:rsidR="00432FA7">
        <w:rPr>
          <w:rFonts w:ascii="Palatino Linotype" w:hAnsi="Palatino Linotype"/>
          <w:color w:val="000000" w:themeColor="text1"/>
        </w:rPr>
        <w:t xml:space="preserve">el número de contrato, y concepto de la obra, fueron recuperados de del </w:t>
      </w:r>
      <w:r w:rsidR="00CB5642">
        <w:rPr>
          <w:rFonts w:ascii="Palatino Linotype" w:hAnsi="Palatino Linotype"/>
          <w:color w:val="000000" w:themeColor="text1"/>
        </w:rPr>
        <w:t>Informe Anual de Construcciones en Proceso, de la Cuenta Pública 2022 del</w:t>
      </w:r>
      <w:r w:rsidR="00A55E88">
        <w:rPr>
          <w:rFonts w:ascii="Palatino Linotype" w:hAnsi="Palatino Linotype"/>
          <w:color w:val="000000" w:themeColor="text1"/>
        </w:rPr>
        <w:t xml:space="preserve"> propio</w:t>
      </w:r>
      <w:r w:rsidR="00CB5642">
        <w:rPr>
          <w:rFonts w:ascii="Palatino Linotype" w:hAnsi="Palatino Linotype"/>
          <w:color w:val="000000" w:themeColor="text1"/>
        </w:rPr>
        <w:t xml:space="preserve"> </w:t>
      </w:r>
      <w:r w:rsidR="00CB5642">
        <w:rPr>
          <w:rFonts w:ascii="Palatino Linotype" w:hAnsi="Palatino Linotype"/>
          <w:b/>
          <w:bCs/>
          <w:color w:val="000000" w:themeColor="text1"/>
        </w:rPr>
        <w:t>SUJETO OBLIGADO</w:t>
      </w:r>
      <w:r w:rsidR="00A55E88">
        <w:rPr>
          <w:rFonts w:ascii="Palatino Linotype" w:hAnsi="Palatino Linotype"/>
          <w:color w:val="000000" w:themeColor="text1"/>
        </w:rPr>
        <w:t>.</w:t>
      </w:r>
    </w:p>
    <w:p w14:paraId="12EE11F7" w14:textId="77777777" w:rsidR="00243284" w:rsidRDefault="00243284" w:rsidP="00243284">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4973FBDE" w:rsidR="004107D7" w:rsidRDefault="00AF49E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w:t>
      </w:r>
      <w:r w:rsidR="0072136F">
        <w:rPr>
          <w:rFonts w:ascii="Palatino Linotype" w:hAnsi="Palatino Linotype"/>
          <w:color w:val="000000" w:themeColor="text1"/>
        </w:rPr>
        <w:t>sí las cosas</w:t>
      </w:r>
      <w:r w:rsidR="004A2A62">
        <w:rPr>
          <w:rFonts w:ascii="Palatino Linotype" w:hAnsi="Palatino Linotype"/>
          <w:color w:val="000000" w:themeColor="text1"/>
        </w:rPr>
        <w:t>, se procede</w:t>
      </w:r>
      <w:r w:rsidR="00923604">
        <w:rPr>
          <w:rFonts w:ascii="Palatino Linotype" w:hAnsi="Palatino Linotype"/>
          <w:color w:val="000000" w:themeColor="text1"/>
        </w:rPr>
        <w:t>rá</w:t>
      </w:r>
      <w:r w:rsidR="004A2A62">
        <w:rPr>
          <w:rFonts w:ascii="Palatino Linotype" w:hAnsi="Palatino Linotype"/>
          <w:color w:val="000000" w:themeColor="text1"/>
        </w:rPr>
        <w:t xml:space="preserve"> a analizar </w:t>
      </w:r>
      <w:r w:rsidR="00106847">
        <w:rPr>
          <w:rFonts w:ascii="Palatino Linotype" w:hAnsi="Palatino Linotype"/>
          <w:color w:val="000000" w:themeColor="text1"/>
        </w:rPr>
        <w:t xml:space="preserve">la naturaleza de </w:t>
      </w:r>
      <w:r w:rsidR="004A2A62">
        <w:rPr>
          <w:rFonts w:ascii="Palatino Linotype" w:hAnsi="Palatino Linotype"/>
          <w:color w:val="000000" w:themeColor="text1"/>
        </w:rPr>
        <w:t>la información solicitada,</w:t>
      </w:r>
      <w:r w:rsidR="0072136F">
        <w:rPr>
          <w:rFonts w:ascii="Palatino Linotype" w:hAnsi="Palatino Linotype"/>
          <w:color w:val="000000" w:themeColor="text1"/>
        </w:rPr>
        <w:t xml:space="preserve"> </w:t>
      </w:r>
      <w:r w:rsidR="00DF6794">
        <w:rPr>
          <w:rFonts w:ascii="Palatino Linotype" w:hAnsi="Palatino Linotype"/>
          <w:color w:val="000000" w:themeColor="text1"/>
        </w:rPr>
        <w:t>a fin de determinar si, con su respuesta</w:t>
      </w:r>
      <w:r w:rsidR="00A526B0">
        <w:rPr>
          <w:rFonts w:ascii="Palatino Linotype" w:hAnsi="Palatino Linotype"/>
          <w:color w:val="000000" w:themeColor="text1"/>
        </w:rPr>
        <w:t xml:space="preserve">, </w:t>
      </w:r>
      <w:r w:rsidR="004A2A62">
        <w:rPr>
          <w:rFonts w:ascii="Palatino Linotype" w:hAnsi="Palatino Linotype"/>
          <w:color w:val="000000" w:themeColor="text1"/>
        </w:rPr>
        <w:t xml:space="preserve">el </w:t>
      </w:r>
      <w:r w:rsidR="004A2A62">
        <w:rPr>
          <w:rFonts w:ascii="Palatino Linotype" w:hAnsi="Palatino Linotype"/>
          <w:b/>
          <w:color w:val="000000" w:themeColor="text1"/>
        </w:rPr>
        <w:t>SUJETO OBLIGADO</w:t>
      </w:r>
      <w:r w:rsidR="004A2A62">
        <w:rPr>
          <w:rFonts w:ascii="Palatino Linotype" w:hAnsi="Palatino Linotype"/>
          <w:color w:val="000000" w:themeColor="text1"/>
        </w:rPr>
        <w:t xml:space="preserve"> logró colmar el derecho de acceso a la información ejercido por el </w:t>
      </w:r>
      <w:r w:rsidR="004A2A62">
        <w:rPr>
          <w:rFonts w:ascii="Palatino Linotype" w:hAnsi="Palatino Linotype"/>
          <w:b/>
          <w:color w:val="000000" w:themeColor="text1"/>
        </w:rPr>
        <w:t>RECURRENTE</w:t>
      </w:r>
      <w:r w:rsidR="00923604" w:rsidRPr="00923604">
        <w:rPr>
          <w:rFonts w:ascii="Palatino Linotype" w:hAnsi="Palatino Linotype"/>
          <w:bCs/>
          <w:color w:val="000000" w:themeColor="text1"/>
        </w:rPr>
        <w:t>;</w:t>
      </w:r>
      <w:r w:rsidR="004A2A62">
        <w:rPr>
          <w:rFonts w:ascii="Palatino Linotype" w:hAnsi="Palatino Linotype"/>
          <w:color w:val="000000" w:themeColor="text1"/>
        </w:rPr>
        <w:t xml:space="preserve"> o, si por el contrario, procede la entrega de información.</w:t>
      </w:r>
    </w:p>
    <w:p w14:paraId="3DA0F3B3" w14:textId="77777777" w:rsidR="00EB6084"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49E497CA" w:rsidR="00893537" w:rsidRPr="00893537"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w:t>
      </w:r>
      <w:r w:rsidR="00893537">
        <w:rPr>
          <w:rFonts w:ascii="Palatino Linotype" w:hAnsi="Palatino Linotype"/>
          <w:b/>
          <w:color w:val="000000" w:themeColor="text1"/>
        </w:rPr>
        <w:t xml:space="preserve">V. </w:t>
      </w:r>
      <w:r w:rsidR="00FE3235">
        <w:rPr>
          <w:rFonts w:ascii="Palatino Linotype" w:hAnsi="Palatino Linotype"/>
          <w:b/>
          <w:color w:val="000000" w:themeColor="text1"/>
        </w:rPr>
        <w:t>De las obras públicas en general</w:t>
      </w:r>
      <w:r w:rsidR="004161B8">
        <w:rPr>
          <w:rFonts w:ascii="Palatino Linotype" w:hAnsi="Palatino Linotype"/>
          <w:b/>
          <w:color w:val="000000" w:themeColor="text1"/>
        </w:rPr>
        <w:t xml:space="preserve"> y el procedimiento de adjudicación.</w:t>
      </w:r>
    </w:p>
    <w:p w14:paraId="56B52BDA" w14:textId="77777777" w:rsidR="00893537"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5EBE1706" w14:textId="5117F7F7" w:rsidR="00A63AD7" w:rsidRDefault="0069264C"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El </w:t>
      </w:r>
      <w:r w:rsidR="00FE3235">
        <w:rPr>
          <w:rFonts w:ascii="Palatino Linotype" w:hAnsi="Palatino Linotype"/>
          <w:color w:val="000000" w:themeColor="text1"/>
        </w:rPr>
        <w:t>Libro Décimo Segundo del Código Administrativo del Estado de México, tiene por</w:t>
      </w:r>
      <w:r w:rsidR="00FE3235" w:rsidRPr="00FE3235">
        <w:rPr>
          <w:rFonts w:ascii="Palatino Linotype" w:hAnsi="Palatino Linotype"/>
          <w:color w:val="000000" w:themeColor="text1"/>
        </w:rPr>
        <w:t xml:space="preserve"> objeto regular los actos relativos a la planeación, programación, presupuestación, adjudicación, contratación, ejecución y control de la </w:t>
      </w:r>
      <w:r w:rsidR="00FE3235" w:rsidRPr="00FE3235">
        <w:rPr>
          <w:rFonts w:ascii="Palatino Linotype" w:hAnsi="Palatino Linotype"/>
          <w:b/>
          <w:color w:val="000000" w:themeColor="text1"/>
        </w:rPr>
        <w:t>obra pública</w:t>
      </w:r>
      <w:r w:rsidR="00FE3235" w:rsidRPr="00FE3235">
        <w:rPr>
          <w:rFonts w:ascii="Palatino Linotype" w:hAnsi="Palatino Linotype"/>
          <w:color w:val="000000" w:themeColor="text1"/>
        </w:rPr>
        <w:t xml:space="preserve">, </w:t>
      </w:r>
      <w:r w:rsidR="00FE3235" w:rsidRPr="00FE3235">
        <w:rPr>
          <w:rFonts w:ascii="Palatino Linotype" w:hAnsi="Palatino Linotype"/>
          <w:color w:val="000000" w:themeColor="text1"/>
        </w:rPr>
        <w:lastRenderedPageBreak/>
        <w:t>así como los servicios relacionados con la misma que, por sí o por conducto de terceros, realicen</w:t>
      </w:r>
      <w:r w:rsidR="00BF2B50">
        <w:rPr>
          <w:rStyle w:val="Refdenotaalpie"/>
          <w:rFonts w:ascii="Palatino Linotype" w:hAnsi="Palatino Linotype"/>
          <w:color w:val="000000" w:themeColor="text1"/>
        </w:rPr>
        <w:footnoteReference w:id="9"/>
      </w:r>
      <w:r w:rsidR="00FE3235" w:rsidRPr="00FE3235">
        <w:rPr>
          <w:rFonts w:ascii="Palatino Linotype" w:hAnsi="Palatino Linotype"/>
          <w:color w:val="000000" w:themeColor="text1"/>
        </w:rPr>
        <w:t>:</w:t>
      </w:r>
    </w:p>
    <w:p w14:paraId="4185B20E" w14:textId="77777777" w:rsidR="00BF2B50" w:rsidRP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rPr>
        <w:t xml:space="preserve">Las </w:t>
      </w:r>
      <w:r w:rsidRPr="00BF2B50">
        <w:rPr>
          <w:rFonts w:ascii="Palatino Linotype" w:hAnsi="Palatino Linotype"/>
        </w:rPr>
        <w:t xml:space="preserve">secretarías y unidades administrativas del Poder Ejecutivo del Estado; </w:t>
      </w:r>
    </w:p>
    <w:p w14:paraId="393CF9A1" w14:textId="77777777" w:rsidR="00BF2B50" w:rsidRP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rPr>
        <w:t xml:space="preserve">La Fiscalía General de Justicia; </w:t>
      </w:r>
    </w:p>
    <w:p w14:paraId="0890114A" w14:textId="77777777" w:rsidR="00BF2B50" w:rsidRP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BF2B50">
        <w:rPr>
          <w:rFonts w:ascii="Palatino Linotype" w:hAnsi="Palatino Linotype"/>
          <w:b/>
        </w:rPr>
        <w:t xml:space="preserve">Los ayuntamientos de los municipios del Estado; </w:t>
      </w:r>
    </w:p>
    <w:p w14:paraId="0C75BF47" w14:textId="21E32FE1" w:rsidR="00BF2B50" w:rsidRP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rPr>
        <w:t xml:space="preserve">Los organismos auxiliares y fideicomisos públicos del Estado y municipios; </w:t>
      </w:r>
      <w:r>
        <w:rPr>
          <w:rFonts w:ascii="Palatino Linotype" w:hAnsi="Palatino Linotype"/>
        </w:rPr>
        <w:t>y</w:t>
      </w:r>
    </w:p>
    <w:p w14:paraId="66568CB5" w14:textId="1C37C091"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rPr>
        <w:t>Los tribunales administrativos.</w:t>
      </w:r>
    </w:p>
    <w:p w14:paraId="706B1360"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1E67E0D1" w14:textId="26C2A6F4" w:rsidR="00FE3235" w:rsidRPr="00FE3235" w:rsidRDefault="00BF2B5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Se considerará como </w:t>
      </w:r>
      <w:r w:rsidRPr="00BF2B50">
        <w:rPr>
          <w:rFonts w:ascii="Palatino Linotype" w:hAnsi="Palatino Linotype"/>
          <w:b/>
        </w:rPr>
        <w:t>obra pública</w:t>
      </w:r>
      <w:r w:rsidRPr="00BF2B50">
        <w:rPr>
          <w:rFonts w:ascii="Palatino Linotype" w:hAnsi="Palatino Linotype"/>
        </w:rPr>
        <w:t xml:space="preserve"> </w:t>
      </w:r>
      <w:r>
        <w:rPr>
          <w:rFonts w:ascii="Palatino Linotype" w:hAnsi="Palatino Linotype"/>
        </w:rPr>
        <w:t xml:space="preserve">a </w:t>
      </w:r>
      <w:r w:rsidRPr="00BF2B50">
        <w:rPr>
          <w:rFonts w:ascii="Palatino Linotype" w:hAnsi="Palatino Linotype"/>
        </w:rPr>
        <w:t>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w:t>
      </w:r>
      <w:r>
        <w:rPr>
          <w:rStyle w:val="Refdenotaalpie"/>
          <w:rFonts w:ascii="Palatino Linotype" w:hAnsi="Palatino Linotype"/>
        </w:rPr>
        <w:footnoteReference w:id="10"/>
      </w:r>
      <w:r w:rsidRPr="00BF2B50">
        <w:rPr>
          <w:rFonts w:ascii="Palatino Linotype" w:hAnsi="Palatino Linotype"/>
        </w:rPr>
        <w:t>.</w:t>
      </w:r>
    </w:p>
    <w:p w14:paraId="56D34AC0"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35EBCDE1" w14:textId="3D230398" w:rsidR="00FE3235" w:rsidRDefault="00BF2B5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lo establecido por el artículo 12.4 del Código Administrativo del Estado de México, estarán comprendidos dentro de la obra pública:</w:t>
      </w:r>
    </w:p>
    <w:p w14:paraId="034DB2BE" w14:textId="734A0487"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 </w:t>
      </w:r>
      <w:r w:rsidRPr="00BF2B50">
        <w:rPr>
          <w:rFonts w:ascii="Palatino Linotype" w:hAnsi="Palatino Linotype"/>
          <w:color w:val="000000" w:themeColor="text1"/>
        </w:rPr>
        <w:t>mantenimiento, restauración, desmantelamiento o remoción de bienes muebles incorporados o adheridos a un inmueble;</w:t>
      </w:r>
    </w:p>
    <w:p w14:paraId="12AB8305" w14:textId="77777777"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Los </w:t>
      </w:r>
      <w:r w:rsidRPr="00BF2B50">
        <w:rPr>
          <w:rFonts w:ascii="Palatino Linotype" w:hAnsi="Palatino Linotype"/>
          <w:color w:val="000000" w:themeColor="text1"/>
        </w:rPr>
        <w:t xml:space="preserve">proyectos integrales o comúnmente denominados llave en mano, en los cuales el contratista se obliga desde el diseño de la obra hasta su </w:t>
      </w:r>
      <w:r w:rsidRPr="00BF2B50">
        <w:rPr>
          <w:rFonts w:ascii="Palatino Linotype" w:hAnsi="Palatino Linotype"/>
          <w:color w:val="000000" w:themeColor="text1"/>
        </w:rPr>
        <w:lastRenderedPageBreak/>
        <w:t xml:space="preserve">terminación total, incluyéndose, cuando se requiera, la transferencia de tecnología; </w:t>
      </w:r>
    </w:p>
    <w:p w14:paraId="242B41B3" w14:textId="77777777"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Los </w:t>
      </w:r>
      <w:r w:rsidRPr="00BF2B50">
        <w:rPr>
          <w:rFonts w:ascii="Palatino Linotype" w:hAnsi="Palatino Linotype"/>
          <w:color w:val="000000" w:themeColor="text1"/>
        </w:rPr>
        <w:t xml:space="preserve">trabajos de exploración, localización y perforación; mejoramiento del suelo y/o subsuelo; desmontes y extracción y aquellos similares que tengan por objeto la explotación y desarrollo de los recursos naturales que se encuentran en el suelo y/o subsuelo; </w:t>
      </w:r>
    </w:p>
    <w:p w14:paraId="45681774" w14:textId="204A0686"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color w:val="000000" w:themeColor="text1"/>
        </w:rPr>
        <w:t>Los trabajos de infraestructur</w:t>
      </w:r>
      <w:r>
        <w:rPr>
          <w:rFonts w:ascii="Palatino Linotype" w:hAnsi="Palatino Linotype"/>
          <w:color w:val="000000" w:themeColor="text1"/>
        </w:rPr>
        <w:t>a agropecuaria e hidroagrícola;</w:t>
      </w:r>
    </w:p>
    <w:p w14:paraId="5068B4FC" w14:textId="77777777"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color w:val="000000" w:themeColor="text1"/>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0AFBD5A3" w14:textId="662B06E9" w:rsidR="00BF2B50" w:rsidRDefault="00BF2B50" w:rsidP="00BF2B5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2B50">
        <w:rPr>
          <w:rFonts w:ascii="Palatino Linotype" w:hAnsi="Palatino Linotype"/>
          <w:color w:val="000000" w:themeColor="text1"/>
        </w:rPr>
        <w:t>Los demás que tengan por objeto principal alguno de los conceptos a que se refiere el párrafo primero de este artículo, excluyéndose expresamente los trabajos regulad</w:t>
      </w:r>
      <w:r>
        <w:rPr>
          <w:rFonts w:ascii="Palatino Linotype" w:hAnsi="Palatino Linotype"/>
          <w:color w:val="000000" w:themeColor="text1"/>
        </w:rPr>
        <w:t>os por el Libro Décimo Sexto del Código Administrativo.</w:t>
      </w:r>
    </w:p>
    <w:p w14:paraId="02E791C7"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61A00E27" w14:textId="230E4CD1" w:rsidR="004161B8" w:rsidRDefault="004161B8"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en lo que respecta a la planeación, programación y presupuestación de la obra pública, el artículo 12.12 del Código Administrativo del Estado de México establece lo siguiente:</w:t>
      </w:r>
    </w:p>
    <w:p w14:paraId="5ED39090"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6782268A"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4161B8">
        <w:rPr>
          <w:rFonts w:ascii="Palatino Linotype" w:hAnsi="Palatino Linotype"/>
          <w:b/>
          <w:i/>
          <w:color w:val="000000" w:themeColor="text1"/>
          <w:sz w:val="22"/>
        </w:rPr>
        <w:t>Artículo 12.12.</w:t>
      </w:r>
      <w:r w:rsidRPr="004161B8">
        <w:rPr>
          <w:rFonts w:ascii="Palatino Linotype" w:hAnsi="Palatino Linotype"/>
          <w:i/>
          <w:color w:val="000000" w:themeColor="text1"/>
          <w:sz w:val="22"/>
        </w:rPr>
        <w:t xml:space="preserve"> En la planeación de la obra pública o de los servicios relacionados con la misma, las dependencias, entidades y ayuntamientos en lo que les corresponda, deberán: </w:t>
      </w:r>
    </w:p>
    <w:p w14:paraId="29AFF4B4"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lastRenderedPageBreak/>
        <w:t>I.</w:t>
      </w:r>
      <w:r w:rsidRPr="004161B8">
        <w:rPr>
          <w:rFonts w:ascii="Palatino Linotype" w:hAnsi="Palatino Linotype"/>
          <w:i/>
          <w:color w:val="000000" w:themeColor="text1"/>
          <w:sz w:val="22"/>
        </w:rPr>
        <w:t xml:space="preserve"> Ajustarse a las políticas, objetivos y prioridades señalados en los planes de desarrollo estatal y municipales. Los programas de obra municipales serán congruentes con los programas estatales; </w:t>
      </w:r>
    </w:p>
    <w:p w14:paraId="0CD9EA43"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II.</w:t>
      </w:r>
      <w:r w:rsidRPr="004161B8">
        <w:rPr>
          <w:rFonts w:ascii="Palatino Linotype" w:hAnsi="Palatino Linotype"/>
          <w:i/>
          <w:color w:val="000000" w:themeColor="text1"/>
          <w:sz w:val="22"/>
        </w:rPr>
        <w:t xml:space="preserve"> Jerarquizar las obras públicas en función de las necesidades del Estado o del municipio, considerando el beneficia económico, social y ambiental que representen; </w:t>
      </w:r>
    </w:p>
    <w:p w14:paraId="5F7D3BEF"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III.</w:t>
      </w:r>
      <w:r w:rsidRPr="004161B8">
        <w:rPr>
          <w:rFonts w:ascii="Palatino Linotype" w:hAnsi="Palatino Linotype"/>
          <w:i/>
          <w:color w:val="000000" w:themeColor="text1"/>
          <w:sz w:val="22"/>
        </w:rPr>
        <w:t xml:space="preserve"> Sujetarse a lo establecido por las disposiciones legales; </w:t>
      </w:r>
    </w:p>
    <w:p w14:paraId="3E176627"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IV.</w:t>
      </w:r>
      <w:r w:rsidRPr="004161B8">
        <w:rPr>
          <w:rFonts w:ascii="Palatino Linotype" w:hAnsi="Palatino Linotype"/>
          <w:i/>
          <w:color w:val="000000" w:themeColor="text1"/>
          <w:sz w:val="22"/>
        </w:rPr>
        <w:t xml:space="preserve"> Contar con inmuebles aptos para la obra pública que se pretenda ejecutar. Tratándose de obra con cargo a recursos estatales total o parcialmente, se requerirá dictamen de la Secretaría del Ramo; </w:t>
      </w:r>
    </w:p>
    <w:p w14:paraId="2C0B913A" w14:textId="22B6C21B"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V.</w:t>
      </w:r>
      <w:r w:rsidRPr="004161B8">
        <w:rPr>
          <w:rFonts w:ascii="Palatino Linotype" w:hAnsi="Palatino Linotype"/>
          <w:i/>
          <w:color w:val="000000" w:themeColor="text1"/>
          <w:sz w:val="22"/>
        </w:rPr>
        <w:t xml:space="preserve"> Considerar la disponibilidad de recursos financieros; </w:t>
      </w:r>
    </w:p>
    <w:p w14:paraId="715BE5ED"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VI.</w:t>
      </w:r>
      <w:r w:rsidRPr="004161B8">
        <w:rPr>
          <w:rFonts w:ascii="Palatino Linotype" w:hAnsi="Palatino Linotype"/>
          <w:i/>
          <w:color w:val="000000" w:themeColor="text1"/>
          <w:sz w:val="22"/>
        </w:rPr>
        <w:t xml:space="preserve"> Prever las obras principales, de infraestructura, complementarias y accesorias, así como las acciones necesarias para poner aquellas en servicio, estableciendo las etapas que se requieran para su terminación; </w:t>
      </w:r>
    </w:p>
    <w:p w14:paraId="6442F43D"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VII.</w:t>
      </w:r>
      <w:r w:rsidRPr="004161B8">
        <w:rPr>
          <w:rFonts w:ascii="Palatino Linotype" w:hAnsi="Palatino Linotype"/>
          <w:i/>
          <w:color w:val="000000" w:themeColor="text1"/>
          <w:sz w:val="22"/>
        </w:rPr>
        <w:t xml:space="preserve"> Considerar la tecnología aplicable, en función de la naturaleza de las obras y la selección de</w:t>
      </w:r>
      <w:r>
        <w:rPr>
          <w:rFonts w:ascii="Palatino Linotype" w:hAnsi="Palatino Linotype"/>
          <w:i/>
          <w:color w:val="000000" w:themeColor="text1"/>
          <w:sz w:val="22"/>
        </w:rPr>
        <w:t xml:space="preserve"> </w:t>
      </w:r>
      <w:r w:rsidRPr="004161B8">
        <w:rPr>
          <w:rFonts w:ascii="Palatino Linotype" w:hAnsi="Palatino Linotype"/>
          <w:i/>
          <w:color w:val="000000" w:themeColor="text1"/>
          <w:sz w:val="22"/>
        </w:rPr>
        <w:t xml:space="preserve">materiales, productos, equipos y procedimientos de tecnología nacional preferentemente, que satisfagan los requerimientos técnicos y económicos del proyecto; </w:t>
      </w:r>
    </w:p>
    <w:p w14:paraId="687F2B27" w14:textId="77777777" w:rsid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VIII.</w:t>
      </w:r>
      <w:r w:rsidRPr="004161B8">
        <w:rPr>
          <w:rFonts w:ascii="Palatino Linotype" w:hAnsi="Palatino Linotype"/>
          <w:i/>
          <w:color w:val="000000" w:themeColor="text1"/>
          <w:sz w:val="22"/>
        </w:rPr>
        <w:t xml:space="preserve"> Preferir el empleo de los recursos humanos y la utilización de los materiales propios de la región donde se ubiquen las obras; </w:t>
      </w:r>
    </w:p>
    <w:p w14:paraId="76A5C597" w14:textId="71A76695" w:rsidR="004161B8" w:rsidRPr="004161B8" w:rsidRDefault="004161B8" w:rsidP="004161B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161B8">
        <w:rPr>
          <w:rFonts w:ascii="Palatino Linotype" w:hAnsi="Palatino Linotype"/>
          <w:b/>
          <w:i/>
          <w:color w:val="000000" w:themeColor="text1"/>
          <w:sz w:val="22"/>
        </w:rPr>
        <w:t>IX.</w:t>
      </w:r>
      <w:r w:rsidRPr="004161B8">
        <w:rPr>
          <w:rFonts w:ascii="Palatino Linotype" w:hAnsi="Palatino Linotype"/>
          <w:i/>
          <w:color w:val="000000" w:themeColor="text1"/>
          <w:sz w:val="22"/>
        </w:rPr>
        <w:t xml:space="preserve"> Cuando así se requiera, ajustarse a lo establecido en la Evaluación de Impacto Estatal.</w:t>
      </w:r>
      <w:r>
        <w:rPr>
          <w:rFonts w:ascii="Palatino Linotype" w:hAnsi="Palatino Linotype"/>
          <w:i/>
          <w:color w:val="000000" w:themeColor="text1"/>
          <w:sz w:val="22"/>
        </w:rPr>
        <w:t>”</w:t>
      </w:r>
    </w:p>
    <w:p w14:paraId="509A36A1"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100FFCA7" w14:textId="796ACEEA" w:rsidR="004161B8" w:rsidRDefault="004161B8"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lo anterior se coligue que, para la proyección de obras públicas, se deberán seguir las políticas, objetivos y prioridades que se establezca en los Planes de Dasarrollo Estatal y Municipal</w:t>
      </w:r>
      <w:r w:rsidR="00CB0CF0">
        <w:rPr>
          <w:rFonts w:ascii="Palatino Linotype" w:hAnsi="Palatino Linotype"/>
          <w:color w:val="000000" w:themeColor="text1"/>
        </w:rPr>
        <w:t>;</w:t>
      </w:r>
      <w:r>
        <w:rPr>
          <w:rFonts w:ascii="Palatino Linotype" w:hAnsi="Palatino Linotype"/>
          <w:color w:val="000000" w:themeColor="text1"/>
        </w:rPr>
        <w:t xml:space="preserve"> asimismo, se deberán de jerarquizar los proyectos de obra buscando el mayor impacto en beneficio de la sociedad</w:t>
      </w:r>
      <w:r w:rsidR="00CB0CF0">
        <w:rPr>
          <w:rFonts w:ascii="Palatino Linotype" w:hAnsi="Palatino Linotype"/>
          <w:color w:val="000000" w:themeColor="text1"/>
        </w:rPr>
        <w:t>, considerando también las capacidades financieras del ente.</w:t>
      </w:r>
    </w:p>
    <w:p w14:paraId="755DC245"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505C4E89" w14:textId="0BB6849C" w:rsidR="004161B8" w:rsidRDefault="00CB0CF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de conformidad con el artículo 115 de la Constitución Política de los Estados Unidos Mexicanos, cada </w:t>
      </w:r>
      <w:r w:rsidRPr="00CB0CF0">
        <w:rPr>
          <w:rFonts w:ascii="Palatino Linotype" w:hAnsi="Palatino Linotype"/>
          <w:color w:val="000000" w:themeColor="text1"/>
        </w:rPr>
        <w:t xml:space="preserve">municipio será gobernado por un Ayuntamiento de elección popular directa, integrado por un Presidente o </w:t>
      </w:r>
      <w:r w:rsidRPr="00CB0CF0">
        <w:rPr>
          <w:rFonts w:ascii="Palatino Linotype" w:hAnsi="Palatino Linotype"/>
          <w:color w:val="000000" w:themeColor="text1"/>
        </w:rPr>
        <w:lastRenderedPageBreak/>
        <w:t>Presidenta Municipal y el número de regidurías y sindicaturas que la ley determine, de conformi</w:t>
      </w:r>
      <w:r>
        <w:rPr>
          <w:rFonts w:ascii="Palatino Linotype" w:hAnsi="Palatino Linotype"/>
          <w:color w:val="000000" w:themeColor="text1"/>
        </w:rPr>
        <w:t>dad con el principio de paridad</w:t>
      </w:r>
      <w:r>
        <w:rPr>
          <w:rStyle w:val="Refdenotaalpie"/>
          <w:rFonts w:ascii="Palatino Linotype" w:hAnsi="Palatino Linotype"/>
          <w:color w:val="000000" w:themeColor="text1"/>
        </w:rPr>
        <w:footnoteReference w:id="11"/>
      </w:r>
    </w:p>
    <w:p w14:paraId="28F2C8BB"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1160BD9F" w14:textId="033701B6" w:rsidR="004161B8" w:rsidRDefault="00CB0CF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seguimiento del mandato </w:t>
      </w:r>
      <w:r w:rsidR="00B708A7">
        <w:rPr>
          <w:rFonts w:ascii="Palatino Linotype" w:hAnsi="Palatino Linotype"/>
          <w:color w:val="000000" w:themeColor="text1"/>
        </w:rPr>
        <w:t>constitucional</w:t>
      </w:r>
      <w:r>
        <w:rPr>
          <w:rFonts w:ascii="Palatino Linotype" w:hAnsi="Palatino Linotype"/>
          <w:color w:val="000000" w:themeColor="text1"/>
        </w:rPr>
        <w:t xml:space="preserve">, la Ley Orgánica Municipal del Estado de México, reconoce que cada </w:t>
      </w:r>
      <w:r w:rsidRPr="00CB0CF0">
        <w:rPr>
          <w:rFonts w:ascii="Palatino Linotype" w:hAnsi="Palatino Linotype"/>
          <w:color w:val="000000" w:themeColor="text1"/>
        </w:rPr>
        <w:t>municipio</w:t>
      </w:r>
      <w:r>
        <w:rPr>
          <w:rFonts w:ascii="Palatino Linotype" w:hAnsi="Palatino Linotype"/>
          <w:color w:val="000000" w:themeColor="text1"/>
        </w:rPr>
        <w:t xml:space="preserve"> perteneciente al Estado de México</w:t>
      </w:r>
      <w:r w:rsidRPr="00CB0CF0">
        <w:rPr>
          <w:rFonts w:ascii="Palatino Linotype" w:hAnsi="Palatino Linotype"/>
          <w:color w:val="000000" w:themeColor="text1"/>
        </w:rPr>
        <w:t xml:space="preserve"> será gobernado por un ayuntamiento de elección popular directa</w:t>
      </w:r>
      <w:r>
        <w:rPr>
          <w:rFonts w:ascii="Palatino Linotype" w:hAnsi="Palatino Linotype"/>
          <w:color w:val="000000" w:themeColor="text1"/>
        </w:rPr>
        <w:t>,</w:t>
      </w:r>
      <w:r w:rsidRPr="00CB0CF0">
        <w:rPr>
          <w:rFonts w:ascii="Palatino Linotype" w:hAnsi="Palatino Linotype"/>
          <w:color w:val="000000" w:themeColor="text1"/>
        </w:rPr>
        <w:t xml:space="preserve"> y no habrá ninguna autoridad intermedia entre éste y el Gobierno del Estado</w:t>
      </w:r>
      <w:r>
        <w:rPr>
          <w:rStyle w:val="Refdenotaalpie"/>
          <w:rFonts w:ascii="Palatino Linotype" w:hAnsi="Palatino Linotype"/>
          <w:color w:val="000000" w:themeColor="text1"/>
        </w:rPr>
        <w:footnoteReference w:id="12"/>
      </w:r>
      <w:r w:rsidRPr="00CB0CF0">
        <w:rPr>
          <w:rFonts w:ascii="Palatino Linotype" w:hAnsi="Palatino Linotype"/>
          <w:color w:val="000000" w:themeColor="text1"/>
        </w:rPr>
        <w:t>.</w:t>
      </w:r>
    </w:p>
    <w:p w14:paraId="050B648F"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55B17A2D" w14:textId="6804D80A" w:rsidR="004161B8" w:rsidRDefault="00CB0CF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ayuntamientos </w:t>
      </w:r>
      <w:r w:rsidRPr="00CB0CF0">
        <w:rPr>
          <w:rFonts w:ascii="Palatino Linotype" w:hAnsi="Palatino Linotype"/>
          <w:color w:val="000000" w:themeColor="text1"/>
        </w:rPr>
        <w:t>se renovarán cada tres años, iniciarán su periodo el 1 de enero del año inmediato siguiente al de las elecciones municipales ordinarias y concluirán el 31 de diciembre del año de las elecciones para su renovación; y se integrarán por</w:t>
      </w:r>
      <w:r>
        <w:rPr>
          <w:rStyle w:val="Refdenotaalpie"/>
          <w:rFonts w:ascii="Palatino Linotype" w:hAnsi="Palatino Linotype"/>
          <w:color w:val="000000" w:themeColor="text1"/>
        </w:rPr>
        <w:footnoteReference w:id="13"/>
      </w:r>
      <w:r w:rsidRPr="00CB0CF0">
        <w:rPr>
          <w:rFonts w:ascii="Palatino Linotype" w:hAnsi="Palatino Linotype"/>
          <w:color w:val="000000" w:themeColor="text1"/>
        </w:rPr>
        <w:t>:</w:t>
      </w:r>
    </w:p>
    <w:p w14:paraId="75F751F4" w14:textId="0125FF6D" w:rsidR="00CB0CF0" w:rsidRDefault="00CB0CF0" w:rsidP="00CB0CF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Un </w:t>
      </w:r>
      <w:r w:rsidRPr="00CB0CF0">
        <w:rPr>
          <w:rFonts w:ascii="Palatino Linotype" w:hAnsi="Palatino Linotype"/>
          <w:color w:val="000000" w:themeColor="text1"/>
        </w:rPr>
        <w:t>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4382849C" w14:textId="77777777" w:rsidR="00CB0CF0" w:rsidRDefault="00CB0CF0" w:rsidP="00CB0CF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Un </w:t>
      </w:r>
      <w:r w:rsidRPr="00CB0CF0">
        <w:rPr>
          <w:rFonts w:ascii="Palatino Linotype" w:hAnsi="Palatino Linotype"/>
          <w:color w:val="000000" w:themeColor="text1"/>
        </w:rPr>
        <w:t xml:space="preserve">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76CE204F" w14:textId="012624C6" w:rsidR="00CB0CF0" w:rsidRDefault="00CB0CF0" w:rsidP="00CB0CF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B0CF0">
        <w:rPr>
          <w:rFonts w:ascii="Palatino Linotype" w:hAnsi="Palatino Linotype"/>
          <w:color w:val="000000" w:themeColor="text1"/>
        </w:rPr>
        <w:t xml:space="preserve">Un presidente, un síndico y siete regidores, electos por planilla según el principio de mayoría relativa; un síndico y cinco regidores designados </w:t>
      </w:r>
      <w:r w:rsidRPr="00CB0CF0">
        <w:rPr>
          <w:rFonts w:ascii="Palatino Linotype" w:hAnsi="Palatino Linotype"/>
          <w:color w:val="000000" w:themeColor="text1"/>
        </w:rPr>
        <w:lastRenderedPageBreak/>
        <w:t>según el principio de representación proporcional, cuando se trate de municipios que tengan una población de más de 500 mil habitantes.</w:t>
      </w:r>
    </w:p>
    <w:p w14:paraId="211D8563"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795F16A0" w14:textId="7E0F9682" w:rsidR="004161B8" w:rsidRDefault="00CB0CF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Como órganos deliberantes, los ayuntamientos deberán resolver colegiadamente los asuntos de su competencia</w:t>
      </w:r>
      <w:r>
        <w:rPr>
          <w:rStyle w:val="Refdenotaalpie"/>
          <w:rFonts w:ascii="Palatino Linotype" w:hAnsi="Palatino Linotype"/>
          <w:color w:val="000000" w:themeColor="text1"/>
        </w:rPr>
        <w:footnoteReference w:id="14"/>
      </w:r>
      <w:r>
        <w:rPr>
          <w:rFonts w:ascii="Palatino Linotype" w:hAnsi="Palatino Linotype"/>
          <w:color w:val="000000" w:themeColor="text1"/>
        </w:rPr>
        <w:t xml:space="preserve">; por ello, sesionarán </w:t>
      </w:r>
      <w:r w:rsidRPr="00CB0CF0">
        <w:rPr>
          <w:rFonts w:ascii="Palatino Linotype" w:hAnsi="Palatino Linotype"/>
          <w:color w:val="000000" w:themeColor="text1"/>
        </w:rPr>
        <w:t>cuando menos una vez cada ocho días o cuantas veces sea necesario en asuntos de urgente resolución, a petición de la mayoría de sus miembros y podrán declararse en sesión permanente cuando la importancia del asunto lo requiera</w:t>
      </w:r>
      <w:r>
        <w:rPr>
          <w:rStyle w:val="Refdenotaalpie"/>
          <w:rFonts w:ascii="Palatino Linotype" w:hAnsi="Palatino Linotype"/>
          <w:color w:val="000000" w:themeColor="text1"/>
        </w:rPr>
        <w:footnoteReference w:id="15"/>
      </w:r>
      <w:r w:rsidRPr="00CB0CF0">
        <w:rPr>
          <w:rFonts w:ascii="Palatino Linotype" w:hAnsi="Palatino Linotype"/>
          <w:color w:val="000000" w:themeColor="text1"/>
        </w:rPr>
        <w:t>.</w:t>
      </w:r>
    </w:p>
    <w:p w14:paraId="0492ECBA"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04ACDB59" w14:textId="63A2EF36" w:rsidR="004161B8" w:rsidRDefault="00CB0CF0"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el artículo 31 de la Ley Orgánica Municipal del Estado de México, los ayuntamientos tendrán, entre sus atribuciones, las siguientes:</w:t>
      </w:r>
    </w:p>
    <w:p w14:paraId="1390532C"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7CBFCD72" w14:textId="377EA559" w:rsidR="00CB0CF0" w:rsidRDefault="00CB0CF0" w:rsidP="00CB0C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0318F1">
        <w:rPr>
          <w:rFonts w:ascii="Palatino Linotype" w:hAnsi="Palatino Linotype"/>
          <w:b/>
          <w:i/>
          <w:color w:val="000000" w:themeColor="text1"/>
          <w:sz w:val="22"/>
        </w:rPr>
        <w:t>Artículo 31.-</w:t>
      </w:r>
      <w:r w:rsidRPr="00CB0CF0">
        <w:rPr>
          <w:rFonts w:ascii="Palatino Linotype" w:hAnsi="Palatino Linotype"/>
          <w:i/>
          <w:color w:val="000000" w:themeColor="text1"/>
          <w:sz w:val="22"/>
        </w:rPr>
        <w:t xml:space="preserve"> Son atribuciones de los ayuntamientos:</w:t>
      </w:r>
    </w:p>
    <w:p w14:paraId="00C42B85" w14:textId="675D8F60" w:rsidR="00CB0CF0" w:rsidRDefault="00CB0CF0" w:rsidP="00CB0C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BB52B79" w14:textId="77777777" w:rsidR="000318F1" w:rsidRDefault="000318F1" w:rsidP="00CB0C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318F1">
        <w:rPr>
          <w:rFonts w:ascii="Palatino Linotype" w:hAnsi="Palatino Linotype"/>
          <w:b/>
          <w:i/>
          <w:color w:val="000000" w:themeColor="text1"/>
          <w:sz w:val="22"/>
        </w:rPr>
        <w:t>VII. Convenir, contratar o concesionar</w:t>
      </w:r>
      <w:r w:rsidRPr="000318F1">
        <w:rPr>
          <w:rFonts w:ascii="Palatino Linotype" w:hAnsi="Palatino Linotype"/>
          <w:i/>
          <w:color w:val="000000" w:themeColor="text1"/>
          <w:sz w:val="22"/>
        </w:rPr>
        <w:t xml:space="preserve">, en términos de ley, </w:t>
      </w:r>
      <w:r w:rsidRPr="000318F1">
        <w:rPr>
          <w:rFonts w:ascii="Palatino Linotype" w:hAnsi="Palatino Linotype"/>
          <w:b/>
          <w:i/>
          <w:color w:val="000000" w:themeColor="text1"/>
          <w:sz w:val="22"/>
        </w:rPr>
        <w:t>la ejecución de obras</w:t>
      </w:r>
      <w:r w:rsidRPr="000318F1">
        <w:rPr>
          <w:rFonts w:ascii="Palatino Linotype" w:hAnsi="Palatino Linotype"/>
          <w:i/>
          <w:color w:val="000000" w:themeColor="text1"/>
          <w:sz w:val="22"/>
        </w:rPr>
        <w:t xml:space="preserve"> y la prestación de servicios públicos, con el Estado, con otros municipios de la entidad o con particulares, recabando, cuando proceda, la autorización de la Legislatura del Estado; </w:t>
      </w:r>
    </w:p>
    <w:p w14:paraId="0B524692" w14:textId="105177A8" w:rsidR="00CB0CF0" w:rsidRDefault="000318F1" w:rsidP="00CB0C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318F1">
        <w:rPr>
          <w:rFonts w:ascii="Palatino Linotype" w:hAnsi="Palatino Linotype"/>
          <w:b/>
          <w:i/>
          <w:color w:val="000000" w:themeColor="text1"/>
          <w:sz w:val="22"/>
        </w:rPr>
        <w:t>VIII. Concluir las obras iniciadas por administraciones anteriores y dar mantenimiento a la infraestructura</w:t>
      </w:r>
      <w:r w:rsidRPr="000318F1">
        <w:rPr>
          <w:rFonts w:ascii="Palatino Linotype" w:hAnsi="Palatino Linotype"/>
          <w:i/>
          <w:color w:val="000000" w:themeColor="text1"/>
          <w:sz w:val="22"/>
        </w:rPr>
        <w:t xml:space="preserve"> e instalaciones de los servicios públicos municipales;</w:t>
      </w:r>
    </w:p>
    <w:p w14:paraId="20683270" w14:textId="52676BD3" w:rsidR="000318F1" w:rsidRDefault="000318F1" w:rsidP="00CB0C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318F1">
        <w:rPr>
          <w:rFonts w:ascii="Palatino Linotype" w:hAnsi="Palatino Linotype"/>
          <w:i/>
          <w:color w:val="000000" w:themeColor="text1"/>
          <w:sz w:val="22"/>
        </w:rPr>
        <w:t>(…)</w:t>
      </w:r>
      <w:r>
        <w:rPr>
          <w:rFonts w:ascii="Palatino Linotype" w:hAnsi="Palatino Linotype"/>
          <w:i/>
          <w:color w:val="000000" w:themeColor="text1"/>
          <w:sz w:val="22"/>
        </w:rPr>
        <w:t>”</w:t>
      </w:r>
    </w:p>
    <w:p w14:paraId="64A06AD2" w14:textId="313DEBAE" w:rsidR="000318F1" w:rsidRPr="000318F1" w:rsidRDefault="000318F1" w:rsidP="00CB0CF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65397EA8" w14:textId="77777777" w:rsidR="00CB0CF0" w:rsidRDefault="00CB0CF0"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4644F8DC" w14:textId="07A903C6" w:rsidR="004161B8" w:rsidRPr="000318F1" w:rsidRDefault="000318F1" w:rsidP="000318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como lo solicitara el particular, uno de los diversos temas que se discuten </w:t>
      </w:r>
      <w:r w:rsidRPr="000318F1">
        <w:rPr>
          <w:rFonts w:ascii="Palatino Linotype" w:hAnsi="Palatino Linotype"/>
          <w:color w:val="000000" w:themeColor="text1"/>
        </w:rPr>
        <w:t>e</w:t>
      </w:r>
      <w:r>
        <w:rPr>
          <w:rFonts w:ascii="Palatino Linotype" w:hAnsi="Palatino Linotype"/>
          <w:color w:val="000000" w:themeColor="text1"/>
        </w:rPr>
        <w:t>n</w:t>
      </w:r>
      <w:r w:rsidRPr="000318F1">
        <w:rPr>
          <w:rFonts w:ascii="Palatino Linotype" w:hAnsi="Palatino Linotype"/>
          <w:color w:val="000000" w:themeColor="text1"/>
        </w:rPr>
        <w:t xml:space="preserve"> las sesiones de Cabildo </w:t>
      </w:r>
      <w:r>
        <w:rPr>
          <w:rFonts w:ascii="Palatino Linotype" w:hAnsi="Palatino Linotype"/>
          <w:color w:val="000000" w:themeColor="text1"/>
        </w:rPr>
        <w:t>son, justamente, la contratación o concesión de obra pública con el Estado de México, otros municipios o particulares.</w:t>
      </w:r>
    </w:p>
    <w:p w14:paraId="22D369EC" w14:textId="77777777" w:rsidR="004161B8" w:rsidRDefault="004161B8" w:rsidP="004161B8">
      <w:pPr>
        <w:pStyle w:val="Prrafodelista"/>
        <w:tabs>
          <w:tab w:val="left" w:pos="426"/>
        </w:tabs>
        <w:spacing w:before="240" w:after="240" w:line="360" w:lineRule="auto"/>
        <w:ind w:left="0" w:right="51"/>
        <w:jc w:val="both"/>
        <w:rPr>
          <w:rFonts w:ascii="Palatino Linotype" w:hAnsi="Palatino Linotype"/>
          <w:color w:val="000000" w:themeColor="text1"/>
        </w:rPr>
      </w:pPr>
    </w:p>
    <w:p w14:paraId="7C67181A" w14:textId="471067F7" w:rsidR="00FE3235" w:rsidRDefault="000318F1"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Cabe señalar que los</w:t>
      </w:r>
      <w:r w:rsidR="00D837C9">
        <w:rPr>
          <w:rFonts w:ascii="Palatino Linotype" w:hAnsi="Palatino Linotype"/>
          <w:color w:val="000000" w:themeColor="text1"/>
        </w:rPr>
        <w:t xml:space="preserve"> contratos que deriven de la ejecución de obras públicas deberán realizarse a través de </w:t>
      </w:r>
      <w:r w:rsidR="00D837C9" w:rsidRPr="00B13F15">
        <w:rPr>
          <w:rFonts w:ascii="Palatino Linotype" w:hAnsi="Palatino Linotype"/>
          <w:b/>
          <w:color w:val="000000" w:themeColor="text1"/>
        </w:rPr>
        <w:t>licitaciones públicas</w:t>
      </w:r>
      <w:r w:rsidR="00D837C9">
        <w:rPr>
          <w:rFonts w:ascii="Palatino Linotype" w:hAnsi="Palatino Linotype"/>
          <w:color w:val="000000" w:themeColor="text1"/>
        </w:rPr>
        <w:t>, mediante convocatoria abierta</w:t>
      </w:r>
      <w:r w:rsidR="00D837C9">
        <w:rPr>
          <w:rStyle w:val="Refdenotaalpie"/>
          <w:rFonts w:ascii="Palatino Linotype" w:hAnsi="Palatino Linotype"/>
          <w:color w:val="000000" w:themeColor="text1"/>
        </w:rPr>
        <w:footnoteReference w:id="16"/>
      </w:r>
      <w:r w:rsidR="00D837C9">
        <w:rPr>
          <w:rFonts w:ascii="Palatino Linotype" w:hAnsi="Palatino Linotype"/>
          <w:color w:val="000000" w:themeColor="text1"/>
        </w:rPr>
        <w:t xml:space="preserve">. </w:t>
      </w:r>
      <w:r w:rsidR="00B13F15">
        <w:rPr>
          <w:rFonts w:ascii="Palatino Linotype" w:hAnsi="Palatino Linotype"/>
          <w:color w:val="000000" w:themeColor="text1"/>
        </w:rPr>
        <w:t xml:space="preserve">De manera excepcional, cuando no sea posible realizar una licitación pública, se podrá recurrir a la invitación </w:t>
      </w:r>
      <w:r w:rsidR="00B708A7">
        <w:rPr>
          <w:rFonts w:ascii="Palatino Linotype" w:hAnsi="Palatino Linotype"/>
          <w:color w:val="000000" w:themeColor="text1"/>
        </w:rPr>
        <w:t>restringida</w:t>
      </w:r>
      <w:r w:rsidR="00B13F15">
        <w:rPr>
          <w:rFonts w:ascii="Palatino Linotype" w:hAnsi="Palatino Linotype"/>
          <w:color w:val="000000" w:themeColor="text1"/>
        </w:rPr>
        <w:t xml:space="preserve"> o adjudicación directa</w:t>
      </w:r>
      <w:r w:rsidR="00B13F15">
        <w:rPr>
          <w:rStyle w:val="Refdenotaalpie"/>
          <w:rFonts w:ascii="Palatino Linotype" w:hAnsi="Palatino Linotype"/>
          <w:color w:val="000000" w:themeColor="text1"/>
        </w:rPr>
        <w:footnoteReference w:id="17"/>
      </w:r>
      <w:r w:rsidR="00B13F15">
        <w:rPr>
          <w:rFonts w:ascii="Palatino Linotype" w:hAnsi="Palatino Linotype"/>
          <w:color w:val="000000" w:themeColor="text1"/>
        </w:rPr>
        <w:t>.</w:t>
      </w:r>
    </w:p>
    <w:p w14:paraId="08D03399"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2AF89D60" w14:textId="6ED38268" w:rsidR="00FE3235" w:rsidRDefault="00B13F15"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la Ley de Contratación Pública del Estado de México y </w:t>
      </w:r>
      <w:r w:rsidR="00B708A7">
        <w:rPr>
          <w:rFonts w:ascii="Palatino Linotype" w:hAnsi="Palatino Linotype"/>
          <w:color w:val="000000" w:themeColor="text1"/>
        </w:rPr>
        <w:t>Municipios</w:t>
      </w:r>
      <w:r>
        <w:rPr>
          <w:rFonts w:ascii="Palatino Linotype" w:hAnsi="Palatino Linotype"/>
          <w:color w:val="000000" w:themeColor="text1"/>
        </w:rPr>
        <w:t xml:space="preserve"> tiene </w:t>
      </w:r>
      <w:r w:rsidRPr="00B13F15">
        <w:rPr>
          <w:rFonts w:ascii="Palatino Linotype" w:hAnsi="Palatino Linotype"/>
          <w:color w:val="000000" w:themeColor="text1"/>
        </w:rPr>
        <w:t>por objeto regular los actos relativos a la planeación, programación, presupuestación, ejecución y control de la adquisición, enajenación y arrendamiento de bienes, y la contratación de servicios de cua</w:t>
      </w:r>
      <w:r>
        <w:rPr>
          <w:rFonts w:ascii="Palatino Linotype" w:hAnsi="Palatino Linotype"/>
          <w:color w:val="000000" w:themeColor="text1"/>
        </w:rPr>
        <w:t>lquier naturaleza</w:t>
      </w:r>
      <w:r>
        <w:rPr>
          <w:rStyle w:val="Refdenotaalpie"/>
          <w:rFonts w:ascii="Palatino Linotype" w:hAnsi="Palatino Linotype"/>
          <w:color w:val="000000" w:themeColor="text1"/>
        </w:rPr>
        <w:footnoteReference w:id="18"/>
      </w:r>
      <w:r>
        <w:rPr>
          <w:rFonts w:ascii="Palatino Linotype" w:hAnsi="Palatino Linotype"/>
          <w:color w:val="000000" w:themeColor="text1"/>
        </w:rPr>
        <w:t>.</w:t>
      </w:r>
    </w:p>
    <w:p w14:paraId="36581FD2"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76379FB7" w14:textId="4970C271" w:rsidR="00FE3235" w:rsidRDefault="00426287"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35 de la Ley de Contratación Pública del Estado de México expone de manera puntual las etapas que suponen la realización de una licitación pública, a saber: </w:t>
      </w:r>
    </w:p>
    <w:p w14:paraId="0DDADA52" w14:textId="6600AFF6"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74339553"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426287">
        <w:rPr>
          <w:rFonts w:ascii="Palatino Linotype" w:hAnsi="Palatino Linotype"/>
          <w:b/>
          <w:i/>
          <w:color w:val="000000" w:themeColor="text1"/>
          <w:sz w:val="22"/>
        </w:rPr>
        <w:t>Artículo 35.-</w:t>
      </w:r>
      <w:r w:rsidRPr="00426287">
        <w:rPr>
          <w:rFonts w:ascii="Palatino Linotype" w:hAnsi="Palatino Linotype"/>
          <w:i/>
          <w:color w:val="000000" w:themeColor="text1"/>
          <w:sz w:val="22"/>
        </w:rPr>
        <w:t xml:space="preserve"> En los procedimientos de licitación pública se observará lo siguiente: </w:t>
      </w:r>
    </w:p>
    <w:p w14:paraId="363FA465"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I.</w:t>
      </w:r>
      <w:r w:rsidRPr="00426287">
        <w:rPr>
          <w:rFonts w:ascii="Palatino Linotype" w:hAnsi="Palatino Linotype"/>
          <w:i/>
          <w:color w:val="000000" w:themeColor="text1"/>
          <w:sz w:val="22"/>
        </w:rPr>
        <w:t xml:space="preserve"> El acto de presentación y apertura de propuestas se llevará a cabo por el servidor público que designe la convocante, conforme al procedimiento que se establezca en el reglamento de esta Ley. </w:t>
      </w:r>
    </w:p>
    <w:p w14:paraId="07D73016"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II.</w:t>
      </w:r>
      <w:r w:rsidRPr="00426287">
        <w:rPr>
          <w:rFonts w:ascii="Palatino Linotype" w:hAnsi="Palatino Linotype"/>
          <w:i/>
          <w:color w:val="000000" w:themeColor="text1"/>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284F47B2"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III.</w:t>
      </w:r>
      <w:r w:rsidRPr="00426287">
        <w:rPr>
          <w:rFonts w:ascii="Palatino Linotype" w:hAnsi="Palatino Linotype"/>
          <w:i/>
          <w:color w:val="000000" w:themeColor="text1"/>
          <w:sz w:val="22"/>
        </w:rPr>
        <w:t xml:space="preserve"> Las bases de licitación se pondrán a la venta a partir de la fecha de publicación de la convocatoria y hasta el día hábil anterior a la fecha de celebración de la junta de aclaraciones o, en su defecto, del </w:t>
      </w:r>
      <w:r w:rsidRPr="00426287">
        <w:rPr>
          <w:rFonts w:ascii="Palatino Linotype" w:hAnsi="Palatino Linotype"/>
          <w:b/>
          <w:i/>
          <w:color w:val="000000" w:themeColor="text1"/>
          <w:sz w:val="22"/>
        </w:rPr>
        <w:t>acto de presentación y apertura de propuestas</w:t>
      </w:r>
      <w:r w:rsidRPr="00426287">
        <w:rPr>
          <w:rFonts w:ascii="Palatino Linotype" w:hAnsi="Palatino Linotype"/>
          <w:i/>
          <w:color w:val="000000" w:themeColor="text1"/>
          <w:sz w:val="22"/>
        </w:rPr>
        <w:t xml:space="preserve">. </w:t>
      </w:r>
    </w:p>
    <w:p w14:paraId="7A9CAF77"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lastRenderedPageBreak/>
        <w:t>IV.</w:t>
      </w:r>
      <w:r w:rsidRPr="00426287">
        <w:rPr>
          <w:rFonts w:ascii="Palatino Linotype" w:hAnsi="Palatino Linotype"/>
          <w:i/>
          <w:color w:val="000000" w:themeColor="text1"/>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r>
        <w:rPr>
          <w:rFonts w:ascii="Palatino Linotype" w:hAnsi="Palatino Linotype"/>
          <w:i/>
          <w:color w:val="000000" w:themeColor="text1"/>
          <w:sz w:val="22"/>
        </w:rPr>
        <w:t xml:space="preserve"> </w:t>
      </w:r>
    </w:p>
    <w:p w14:paraId="0D40EF67"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V.</w:t>
      </w:r>
      <w:r w:rsidRPr="00426287">
        <w:rPr>
          <w:rFonts w:ascii="Palatino Linotype" w:hAnsi="Palatino Linotype"/>
          <w:i/>
          <w:color w:val="000000" w:themeColor="text1"/>
          <w:sz w:val="22"/>
        </w:rPr>
        <w:t xml:space="preserve"> Las modificaciones no podrán limitar el número de licitantes, sustituir o variar sustancialmente los bienes o servicios convocados originalmente, ni adicionar otros distintos. </w:t>
      </w:r>
    </w:p>
    <w:p w14:paraId="48D41B88"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VI.</w:t>
      </w:r>
      <w:r w:rsidRPr="00426287">
        <w:rPr>
          <w:rFonts w:ascii="Palatino Linotype" w:hAnsi="Palatino Linotype"/>
          <w:i/>
          <w:color w:val="000000" w:themeColor="text1"/>
          <w:sz w:val="22"/>
        </w:rPr>
        <w:t xml:space="preserve"> Las modificaciones a la convocatoria o a las bases se harán del conocimiento de los interesados hasta tres días hábiles antes de la fecha señalada para el acto de presentación y apertura de propuestas. </w:t>
      </w:r>
    </w:p>
    <w:p w14:paraId="4E5A9BF7" w14:textId="77777777"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VII.</w:t>
      </w:r>
      <w:r w:rsidRPr="00426287">
        <w:rPr>
          <w:rFonts w:ascii="Palatino Linotype" w:hAnsi="Palatino Linotype"/>
          <w:i/>
          <w:color w:val="000000" w:themeColor="text1"/>
          <w:sz w:val="22"/>
        </w:rPr>
        <w:t xml:space="preserve"> Se emitirá el </w:t>
      </w:r>
      <w:r w:rsidRPr="00426287">
        <w:rPr>
          <w:rFonts w:ascii="Palatino Linotype" w:hAnsi="Palatino Linotype"/>
          <w:b/>
          <w:i/>
          <w:color w:val="000000" w:themeColor="text1"/>
          <w:sz w:val="22"/>
        </w:rPr>
        <w:t>fallo</w:t>
      </w:r>
      <w:r w:rsidRPr="00426287">
        <w:rPr>
          <w:rFonts w:ascii="Palatino Linotype" w:hAnsi="Palatino Linotype"/>
          <w:i/>
          <w:color w:val="000000" w:themeColor="text1"/>
          <w:sz w:val="22"/>
        </w:rPr>
        <w:t xml:space="preserve"> dentro de los 15 días hábiles siguientes a la publicación de la convocatoria. </w:t>
      </w:r>
    </w:p>
    <w:p w14:paraId="05E0334F" w14:textId="051E3D22" w:rsidR="00426287" w:rsidRDefault="00426287" w:rsidP="0042628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426287">
        <w:rPr>
          <w:rFonts w:ascii="Palatino Linotype" w:hAnsi="Palatino Linotype"/>
          <w:b/>
          <w:i/>
          <w:color w:val="000000" w:themeColor="text1"/>
          <w:sz w:val="22"/>
        </w:rPr>
        <w:t>VIII.</w:t>
      </w:r>
      <w:r w:rsidRPr="00426287">
        <w:rPr>
          <w:rFonts w:ascii="Palatino Linotype" w:hAnsi="Palatino Linotype"/>
          <w:i/>
          <w:color w:val="000000" w:themeColor="text1"/>
          <w:sz w:val="22"/>
        </w:rPr>
        <w:t xml:space="preserve"> Los licitantes se podrán registrar hasta el día y la hora fijados para el acto de presentación y apertura de propuestas.</w:t>
      </w:r>
      <w:r>
        <w:rPr>
          <w:rFonts w:ascii="Palatino Linotype" w:hAnsi="Palatino Linotype"/>
          <w:i/>
          <w:color w:val="000000" w:themeColor="text1"/>
          <w:sz w:val="22"/>
        </w:rPr>
        <w:t>”</w:t>
      </w:r>
    </w:p>
    <w:p w14:paraId="741BF221" w14:textId="7D19E637" w:rsidR="00426287" w:rsidRPr="00426287" w:rsidRDefault="00426287" w:rsidP="0042628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426287">
        <w:rPr>
          <w:rFonts w:ascii="Palatino Linotype" w:hAnsi="Palatino Linotype"/>
          <w:color w:val="000000" w:themeColor="text1"/>
          <w:sz w:val="22"/>
        </w:rPr>
        <w:t>(Énfasis añadido)</w:t>
      </w:r>
    </w:p>
    <w:p w14:paraId="051D1167" w14:textId="77777777" w:rsidR="00426287" w:rsidRDefault="00426287"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2002527E" w14:textId="461057B2" w:rsidR="00FE3235" w:rsidRDefault="00426287"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Siendo de especial interés el Acto de Presentación y Apertura de Propuestas, el cual se celebrará de manera pública y en presencia de todos los ofertantes de la forma siguiente</w:t>
      </w:r>
      <w:r>
        <w:rPr>
          <w:rStyle w:val="Refdenotaalpie"/>
          <w:rFonts w:ascii="Palatino Linotype" w:hAnsi="Palatino Linotype"/>
          <w:color w:val="000000" w:themeColor="text1"/>
        </w:rPr>
        <w:footnoteReference w:id="19"/>
      </w:r>
      <w:r>
        <w:rPr>
          <w:rFonts w:ascii="Palatino Linotype" w:hAnsi="Palatino Linotype"/>
          <w:color w:val="000000" w:themeColor="text1"/>
        </w:rPr>
        <w:t>:</w:t>
      </w:r>
    </w:p>
    <w:p w14:paraId="57DDFB03"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Los </w:t>
      </w:r>
      <w:r w:rsidRPr="00426287">
        <w:rPr>
          <w:rFonts w:ascii="Palatino Linotype" w:hAnsi="Palatino Linotype"/>
          <w:color w:val="000000" w:themeColor="text1"/>
        </w:rPr>
        <w:t xml:space="preserve">licitantes presentarán, por escrito y en sobre cerrado por separado, sus propuestas técnica y económica, así como los demás documentos requeridos en las bases de la licitación. </w:t>
      </w:r>
    </w:p>
    <w:p w14:paraId="3C17065C"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 xml:space="preserve">La apertura de propuestas podrá efectuarse cuando se haya presentado una propuesta cuando menos. </w:t>
      </w:r>
    </w:p>
    <w:p w14:paraId="3C48C000"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 xml:space="preserve">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62855535"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lastRenderedPageBreak/>
        <w:t xml:space="preserve">Se procederá a la apertura de las propuestas económicas de los licitantes cuyas propuestas técnicas fueron aceptadas cuantitativamente. </w:t>
      </w:r>
    </w:p>
    <w:p w14:paraId="15BF2856"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 xml:space="preserve">Se desecharán las propuestas económicas que cuantitativamente no cumplan con cualquiera de los requisitos establecidos en las bases de la licitación, poniéndolas a disposición del interesado. </w:t>
      </w:r>
    </w:p>
    <w:p w14:paraId="6BAA7558"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 xml:space="preserve">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5317F95F" w14:textId="77777777"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 xml:space="preserve">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096C9593" w14:textId="59C69BFC" w:rsidR="00426287" w:rsidRDefault="00426287" w:rsidP="0042628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26287">
        <w:rPr>
          <w:rFonts w:ascii="Palatino Linotype" w:hAnsi="Palatino Linotype"/>
          <w:color w:val="000000" w:themeColor="text1"/>
        </w:rPr>
        <w:t>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w:t>
      </w:r>
    </w:p>
    <w:p w14:paraId="436B60FC"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60BD86E9" w14:textId="6918C4C2" w:rsidR="00FE3235" w:rsidRDefault="004161B8"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4161B8">
        <w:rPr>
          <w:rFonts w:ascii="Palatino Linotype" w:hAnsi="Palatino Linotype"/>
          <w:color w:val="000000" w:themeColor="text1"/>
        </w:rPr>
        <w:t xml:space="preserve">Comité de Adquisiciones y Servicios realizará el análisis y evaluación de las propuestas, mediante la verificación del cumplimiento de la información y de la </w:t>
      </w:r>
      <w:r w:rsidRPr="004161B8">
        <w:rPr>
          <w:rFonts w:ascii="Palatino Linotype" w:hAnsi="Palatino Linotype"/>
          <w:color w:val="000000" w:themeColor="text1"/>
        </w:rPr>
        <w:lastRenderedPageBreak/>
        <w:t>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r>
        <w:rPr>
          <w:rStyle w:val="Refdenotaalpie"/>
          <w:rFonts w:ascii="Palatino Linotype" w:hAnsi="Palatino Linotype"/>
          <w:color w:val="000000" w:themeColor="text1"/>
        </w:rPr>
        <w:footnoteReference w:id="20"/>
      </w:r>
      <w:r w:rsidRPr="004161B8">
        <w:rPr>
          <w:rFonts w:ascii="Palatino Linotype" w:hAnsi="Palatino Linotype"/>
          <w:color w:val="000000" w:themeColor="text1"/>
        </w:rPr>
        <w:t>.</w:t>
      </w:r>
    </w:p>
    <w:p w14:paraId="09747D9D"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7B46D0BD" w14:textId="3467B06C" w:rsidR="00FE3235" w:rsidRPr="004161B8" w:rsidRDefault="004161B8" w:rsidP="004161B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convocante </w:t>
      </w:r>
      <w:r w:rsidRPr="004161B8">
        <w:rPr>
          <w:rFonts w:ascii="Palatino Linotype" w:hAnsi="Palatino Linotype"/>
          <w:color w:val="000000" w:themeColor="text1"/>
        </w:rPr>
        <w:t xml:space="preserve">emitirá el </w:t>
      </w:r>
      <w:r w:rsidRPr="004161B8">
        <w:rPr>
          <w:rFonts w:ascii="Palatino Linotype" w:hAnsi="Palatino Linotype"/>
          <w:b/>
          <w:color w:val="000000" w:themeColor="text1"/>
        </w:rPr>
        <w:t>fallo</w:t>
      </w:r>
      <w:r w:rsidRPr="004161B8">
        <w:rPr>
          <w:rFonts w:ascii="Palatino Linotype" w:hAnsi="Palatino Linotype"/>
          <w:color w:val="000000" w:themeColor="text1"/>
        </w:rPr>
        <w:t xml:space="preserve"> con base en el dictamen de adjudicación emitido por el Comité de Adquisiciones y Servicios, y lo dará a conocer a los licitantes en junta pública, cuya fecha se informará en el acto de presentación y apertura de proposiciones, pudiéndose diferir por una sola ocasión</w:t>
      </w:r>
      <w:r>
        <w:rPr>
          <w:rFonts w:ascii="Palatino Linotype" w:hAnsi="Palatino Linotype"/>
          <w:color w:val="000000" w:themeColor="text1"/>
        </w:rPr>
        <w:t>; el</w:t>
      </w:r>
      <w:r w:rsidRPr="004161B8">
        <w:rPr>
          <w:rFonts w:ascii="Palatino Linotype" w:hAnsi="Palatino Linotype"/>
          <w:color w:val="000000" w:themeColor="text1"/>
        </w:rPr>
        <w:t xml:space="preserve"> fallo de adjudicación surtirá efectos desde </w:t>
      </w:r>
      <w:r>
        <w:rPr>
          <w:rFonts w:ascii="Palatino Linotype" w:hAnsi="Palatino Linotype"/>
          <w:color w:val="000000" w:themeColor="text1"/>
        </w:rPr>
        <w:t>su</w:t>
      </w:r>
      <w:r w:rsidRPr="004161B8">
        <w:rPr>
          <w:rFonts w:ascii="Palatino Linotype" w:hAnsi="Palatino Linotype"/>
          <w:color w:val="000000" w:themeColor="text1"/>
        </w:rPr>
        <w:t xml:space="preserve"> emisión, siendo responsabilidad de los licitantes enterarse de su contenido, por lo que a partir de ese momento, las obligaciones derivadas de éste serán exigibles sin perjuicio de la formalización del contrato respe</w:t>
      </w:r>
      <w:r>
        <w:rPr>
          <w:rFonts w:ascii="Palatino Linotype" w:hAnsi="Palatino Linotype"/>
          <w:color w:val="000000" w:themeColor="text1"/>
        </w:rPr>
        <w:t>ctivo, en los términos que se señalen</w:t>
      </w:r>
      <w:r>
        <w:rPr>
          <w:rStyle w:val="Refdenotaalpie"/>
          <w:rFonts w:ascii="Palatino Linotype" w:hAnsi="Palatino Linotype"/>
          <w:color w:val="000000" w:themeColor="text1"/>
        </w:rPr>
        <w:footnoteReference w:id="21"/>
      </w:r>
      <w:r w:rsidRPr="004161B8">
        <w:rPr>
          <w:rFonts w:ascii="Palatino Linotype" w:hAnsi="Palatino Linotype"/>
          <w:color w:val="000000" w:themeColor="text1"/>
        </w:rPr>
        <w:t>.</w:t>
      </w:r>
    </w:p>
    <w:p w14:paraId="5503B03F"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6346E55B" w14:textId="3398290E" w:rsidR="000318F1" w:rsidRPr="000318F1" w:rsidRDefault="000318F1" w:rsidP="000318F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V. De la competencia del SUJETO OBLIGADO para poseer, generar y administrar la información solicitada.</w:t>
      </w:r>
    </w:p>
    <w:p w14:paraId="31D9B0BF" w14:textId="77777777" w:rsidR="000318F1" w:rsidRDefault="000318F1"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3AEDB50E" w14:textId="5AD64E86" w:rsidR="00FE3235" w:rsidRDefault="000318F1"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reiterar que el particular solicitó diversa información relacionada con un contrato específico, con folio único de identificación </w:t>
      </w:r>
      <w:r w:rsidRPr="000318F1">
        <w:rPr>
          <w:rFonts w:ascii="Palatino Linotype" w:hAnsi="Palatino Linotype"/>
          <w:color w:val="000000" w:themeColor="text1"/>
        </w:rPr>
        <w:t>MJO/DOP/PAD-00/IR-</w:t>
      </w:r>
      <w:r w:rsidRPr="000318F1">
        <w:rPr>
          <w:rFonts w:ascii="Palatino Linotype" w:hAnsi="Palatino Linotype"/>
          <w:color w:val="000000" w:themeColor="text1"/>
        </w:rPr>
        <w:lastRenderedPageBreak/>
        <w:t>001/2020</w:t>
      </w:r>
      <w:r>
        <w:rPr>
          <w:rFonts w:ascii="Palatino Linotype" w:hAnsi="Palatino Linotype"/>
          <w:color w:val="000000" w:themeColor="text1"/>
        </w:rPr>
        <w:t xml:space="preserve">, cuyo objeto consiste en la obra pública denominada </w:t>
      </w:r>
      <w:r>
        <w:rPr>
          <w:rFonts w:ascii="Palatino Linotype" w:hAnsi="Palatino Linotype"/>
          <w:i/>
          <w:color w:val="000000" w:themeColor="text1"/>
        </w:rPr>
        <w:t>“Construcción de techumbre en Lienzo Charro Ernesto Peralta Quintero de la Cabecera Municipal”</w:t>
      </w:r>
      <w:r>
        <w:rPr>
          <w:rFonts w:ascii="Palatino Linotype" w:hAnsi="Palatino Linotype"/>
          <w:color w:val="000000" w:themeColor="text1"/>
        </w:rPr>
        <w:t>.</w:t>
      </w:r>
    </w:p>
    <w:p w14:paraId="098D5448"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00BCBC61" w14:textId="610EFE65" w:rsidR="00FE3235" w:rsidRDefault="000318F1"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tanto, y gracias a que el particular no sólo señaló el folio del contrato, sino el objeto de la obra pública, este Organismo Garante tuvo los indicios suficientes para realizar una búsqueda </w:t>
      </w:r>
      <w:r w:rsidR="00D538B7">
        <w:rPr>
          <w:rFonts w:ascii="Palatino Linotype" w:hAnsi="Palatino Linotype"/>
          <w:color w:val="000000" w:themeColor="text1"/>
        </w:rPr>
        <w:t xml:space="preserve">de la misma </w:t>
      </w:r>
      <w:r>
        <w:rPr>
          <w:rFonts w:ascii="Palatino Linotype" w:hAnsi="Palatino Linotype"/>
          <w:color w:val="000000" w:themeColor="text1"/>
        </w:rPr>
        <w:t xml:space="preserve">en </w:t>
      </w:r>
      <w:r w:rsidR="00D538B7">
        <w:rPr>
          <w:rFonts w:ascii="Palatino Linotype" w:hAnsi="Palatino Linotype"/>
          <w:color w:val="000000" w:themeColor="text1"/>
        </w:rPr>
        <w:t xml:space="preserve">fuentes oficiales del Ayuntamiento de Jocotitlán, encontrándose una publicación de veintitrés (23) de octubre de dos mil veinte, en la red social oficial </w:t>
      </w:r>
      <w:r w:rsidR="00D538B7">
        <w:rPr>
          <w:rFonts w:ascii="Palatino Linotype" w:hAnsi="Palatino Linotype"/>
          <w:i/>
          <w:color w:val="000000" w:themeColor="text1"/>
        </w:rPr>
        <w:t>Facebook</w:t>
      </w:r>
      <w:r w:rsidR="00D538B7">
        <w:rPr>
          <w:rFonts w:ascii="Palatino Linotype" w:hAnsi="Palatino Linotype"/>
          <w:color w:val="000000" w:themeColor="text1"/>
        </w:rPr>
        <w:t xml:space="preserve"> del </w:t>
      </w:r>
      <w:r w:rsidR="00D538B7">
        <w:rPr>
          <w:rFonts w:ascii="Palatino Linotype" w:hAnsi="Palatino Linotype"/>
          <w:b/>
          <w:color w:val="000000" w:themeColor="text1"/>
        </w:rPr>
        <w:t>SUJETO OBLIGADO</w:t>
      </w:r>
      <w:r w:rsidR="00D538B7">
        <w:rPr>
          <w:rStyle w:val="Refdenotaalpie"/>
          <w:rFonts w:ascii="Palatino Linotype" w:hAnsi="Palatino Linotype"/>
          <w:b/>
          <w:color w:val="000000" w:themeColor="text1"/>
        </w:rPr>
        <w:footnoteReference w:id="22"/>
      </w:r>
      <w:r w:rsidR="00D538B7">
        <w:rPr>
          <w:rFonts w:ascii="Palatino Linotype" w:hAnsi="Palatino Linotype"/>
          <w:color w:val="000000" w:themeColor="text1"/>
        </w:rPr>
        <w:t>, misma que se agrega a continuación para efectos referenciativos:</w:t>
      </w:r>
    </w:p>
    <w:p w14:paraId="0DE6F725"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174261DA" w14:textId="068F0130" w:rsidR="00D538B7" w:rsidRDefault="00D538B7" w:rsidP="00D538B7">
      <w:pPr>
        <w:pStyle w:val="Prrafodelista"/>
        <w:tabs>
          <w:tab w:val="left" w:pos="426"/>
        </w:tabs>
        <w:spacing w:before="240" w:after="240" w:line="360" w:lineRule="auto"/>
        <w:ind w:left="0" w:right="51"/>
        <w:jc w:val="center"/>
        <w:rPr>
          <w:rFonts w:ascii="Palatino Linotype" w:hAnsi="Palatino Linotype"/>
          <w:color w:val="000000" w:themeColor="text1"/>
        </w:rPr>
      </w:pPr>
      <w:r w:rsidRPr="00D538B7">
        <w:rPr>
          <w:rFonts w:ascii="Palatino Linotype" w:hAnsi="Palatino Linotype"/>
          <w:noProof/>
          <w:color w:val="000000" w:themeColor="text1"/>
          <w:lang w:eastAsia="es-MX"/>
        </w:rPr>
        <w:drawing>
          <wp:inline distT="0" distB="0" distL="0" distR="0" wp14:anchorId="372D4FB3" wp14:editId="07AB0CD2">
            <wp:extent cx="4759145" cy="3847487"/>
            <wp:effectExtent l="57150" t="57150" r="118110" b="114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6991" cy="385383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B0B705" w14:textId="77777777" w:rsidR="00D538B7" w:rsidRDefault="00D538B7"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63FFFD2C" w14:textId="6BABA2F2" w:rsidR="00FE3235" w:rsidRDefault="00D538B7"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podemos advertir que el veintitrés (23) de octubre de dos mil veinte se dio el banderazo de inicio de la construcción  consistente en una techumbre para el Lienzo Charro </w:t>
      </w:r>
      <w:r>
        <w:rPr>
          <w:rFonts w:ascii="Palatino Linotype" w:hAnsi="Palatino Linotype"/>
          <w:i/>
          <w:color w:val="000000" w:themeColor="text1"/>
        </w:rPr>
        <w:t>“Ernesto Peralta Quintero”</w:t>
      </w:r>
      <w:r>
        <w:rPr>
          <w:rFonts w:ascii="Palatino Linotype" w:hAnsi="Palatino Linotype"/>
          <w:color w:val="000000" w:themeColor="text1"/>
        </w:rPr>
        <w:t>; la cual, coincide con la obra pública solicitada por el particular.</w:t>
      </w:r>
    </w:p>
    <w:p w14:paraId="70A407A0" w14:textId="77777777" w:rsidR="00FE3235"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4BBEF44D" w14:textId="237DA583" w:rsidR="00FE3235" w:rsidRDefault="003C0A8F"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mencionar que la información publicada en redes sociales oficiales del </w:t>
      </w:r>
      <w:r>
        <w:rPr>
          <w:rFonts w:ascii="Palatino Linotype" w:hAnsi="Palatino Linotype"/>
          <w:b/>
          <w:color w:val="000000" w:themeColor="text1"/>
        </w:rPr>
        <w:t>SUJETO OBLIGADO</w:t>
      </w:r>
      <w:r>
        <w:rPr>
          <w:rFonts w:ascii="Palatino Linotype" w:hAnsi="Palatino Linotype"/>
          <w:color w:val="000000" w:themeColor="text1"/>
        </w:rPr>
        <w:t xml:space="preserve"> se presume veraz y auténtica, al ser hoy en día un medio de comunicación eficaz que acerca a los gobiernos y los gobernados no sólo para proveer de información, sino también para interactuar, atender y, en general, tener una cultura de atención en favor de la ciudadanía.</w:t>
      </w:r>
    </w:p>
    <w:p w14:paraId="41320008" w14:textId="77777777" w:rsidR="00D538B7" w:rsidRDefault="00D538B7"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3296FCD9" w14:textId="59200680" w:rsidR="00D538B7" w:rsidRDefault="003C0A8F" w:rsidP="003C0A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como sustento de lo anterior, la Tesis Aislada del orden Constitucional </w:t>
      </w:r>
      <w:r w:rsidRPr="003C0A8F">
        <w:rPr>
          <w:rFonts w:ascii="Palatino Linotype" w:hAnsi="Palatino Linotype"/>
          <w:color w:val="000000" w:themeColor="text1"/>
        </w:rPr>
        <w:t>2a. XXXIV/2019 (10a.)</w:t>
      </w:r>
      <w:r>
        <w:rPr>
          <w:rFonts w:ascii="Palatino Linotype" w:hAnsi="Palatino Linotype"/>
          <w:color w:val="000000" w:themeColor="text1"/>
        </w:rPr>
        <w:t xml:space="preserve">, publicada en el amparo en revisión 1005/2018, cuyo rubro y texto se </w:t>
      </w:r>
      <w:r w:rsidR="00B708A7">
        <w:rPr>
          <w:rFonts w:ascii="Palatino Linotype" w:hAnsi="Palatino Linotype"/>
          <w:color w:val="000000" w:themeColor="text1"/>
        </w:rPr>
        <w:t>agregar</w:t>
      </w:r>
      <w:r>
        <w:rPr>
          <w:rFonts w:ascii="Palatino Linotype" w:hAnsi="Palatino Linotype"/>
          <w:color w:val="000000" w:themeColor="text1"/>
        </w:rPr>
        <w:t xml:space="preserve"> a continuación:</w:t>
      </w:r>
    </w:p>
    <w:p w14:paraId="3638094D" w14:textId="77777777" w:rsidR="00D538B7" w:rsidRDefault="00D538B7"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6D285CC3" w14:textId="665941A7" w:rsidR="003C0A8F" w:rsidRDefault="003C0A8F" w:rsidP="003C0A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C0A8F">
        <w:rPr>
          <w:rFonts w:ascii="Palatino Linotype" w:hAnsi="Palatino Linotype"/>
          <w:b/>
          <w:i/>
          <w:color w:val="000000" w:themeColor="text1"/>
          <w:sz w:val="22"/>
        </w:rPr>
        <w:t>REDES SOCIALES DE LOS SERVIDORES PÚBLICOS. BLOQUEAR O NO PERMITIR EL ACCESO A UN USUARIO A LAS CUENTAS EN LAS QUE COMPARTEN INFORMACIÓN RELATIVA A SU GESTIÓN GUBERNAMENTAL SIN CAUSA JUSTIFICADA, ATENTA CONTRA LOS DERECHOS DE LIBERTAD DE EXPRESIÓN Y DE ACCESO A LA INFORMACIÓN DE LA CIUDADANÍA.</w:t>
      </w:r>
      <w:r>
        <w:rPr>
          <w:rFonts w:ascii="Palatino Linotype" w:hAnsi="Palatino Linotype"/>
          <w:i/>
          <w:color w:val="000000" w:themeColor="text1"/>
          <w:sz w:val="22"/>
        </w:rPr>
        <w:t xml:space="preserve"> “</w:t>
      </w:r>
      <w:r w:rsidRPr="003C0A8F">
        <w:rPr>
          <w:rFonts w:ascii="Palatino Linotype" w:hAnsi="Palatino Linotype"/>
          <w:b/>
          <w:i/>
          <w:color w:val="000000" w:themeColor="text1"/>
          <w:sz w:val="22"/>
        </w:rPr>
        <w:t>Las redes sociales se han convertido en una fuente de información</w:t>
      </w:r>
      <w:r w:rsidRPr="003C0A8F">
        <w:rPr>
          <w:rFonts w:ascii="Palatino Linotype" w:hAnsi="Palatino Linotype"/>
          <w:i/>
          <w:color w:val="000000" w:themeColor="text1"/>
          <w:sz w:val="22"/>
        </w:rPr>
        <w:t xml:space="preserve"> para las personas y un espacio donde la discusión pública se desarrolla diariamente. En este entendido, </w:t>
      </w:r>
      <w:r w:rsidRPr="003C0A8F">
        <w:rPr>
          <w:rFonts w:ascii="Palatino Linotype" w:hAnsi="Palatino Linotype"/>
          <w:b/>
          <w:i/>
          <w:color w:val="000000" w:themeColor="text1"/>
          <w:sz w:val="22"/>
        </w:rPr>
        <w:t>muchas instituciones gubernamentales</w:t>
      </w:r>
      <w:r w:rsidRPr="003C0A8F">
        <w:rPr>
          <w:rFonts w:ascii="Palatino Linotype" w:hAnsi="Palatino Linotype"/>
          <w:i/>
          <w:color w:val="000000" w:themeColor="text1"/>
          <w:sz w:val="22"/>
        </w:rPr>
        <w:t xml:space="preserve"> y servidores públicos </w:t>
      </w:r>
      <w:r w:rsidRPr="003C0A8F">
        <w:rPr>
          <w:rFonts w:ascii="Palatino Linotype" w:hAnsi="Palatino Linotype"/>
          <w:b/>
          <w:i/>
          <w:color w:val="000000" w:themeColor="text1"/>
          <w:sz w:val="22"/>
        </w:rPr>
        <w:t>disponen de cuentas en redes sociales, en las que aprovechan sus niveles de expansión y exposición para establecer un nuevo canal de comunicación con la sociedad</w:t>
      </w:r>
      <w:r w:rsidRPr="003C0A8F">
        <w:rPr>
          <w:rFonts w:ascii="Palatino Linotype" w:hAnsi="Palatino Linotype"/>
          <w:i/>
          <w:color w:val="000000" w:themeColor="text1"/>
          <w:sz w:val="22"/>
        </w:rPr>
        <w:t xml:space="preserve">. </w:t>
      </w:r>
      <w:r w:rsidRPr="003C0A8F">
        <w:rPr>
          <w:rFonts w:ascii="Palatino Linotype" w:hAnsi="Palatino Linotype"/>
          <w:b/>
          <w:i/>
          <w:color w:val="000000" w:themeColor="text1"/>
          <w:sz w:val="22"/>
        </w:rPr>
        <w:t xml:space="preserve">Es así como las cuentas de redes sociales utilizadas por los servidores públicos para compartir información relacionada con su gestión gubernamental adquieren notoriedad pública y se </w:t>
      </w:r>
      <w:r w:rsidRPr="003C0A8F">
        <w:rPr>
          <w:rFonts w:ascii="Palatino Linotype" w:hAnsi="Palatino Linotype"/>
          <w:b/>
          <w:i/>
          <w:color w:val="000000" w:themeColor="text1"/>
          <w:sz w:val="22"/>
        </w:rPr>
        <w:lastRenderedPageBreak/>
        <w:t>convierten en relevantes para el interés general</w:t>
      </w:r>
      <w:r w:rsidRPr="003C0A8F">
        <w:rPr>
          <w:rFonts w:ascii="Palatino Linotype" w:hAnsi="Palatino Linotype"/>
          <w:i/>
          <w:color w:val="000000" w:themeColor="text1"/>
          <w:sz w:val="22"/>
        </w:rPr>
        <w:t>. En estos casos, el derecho de acceso a la información (reconocido por el artículo 6o. de la Constitución Política de los Estados Unidos Mexicanos) debe prevalecer sobre el derecho a la privacidad de los servidores públicos (establecido en los artículos 6o., párrafo primero, 7o., párrafo segundo y 16, párrafo primero, constitucionales), que voluntariamente decidieron colocarse bajo un nivel mayor de escrutinio social. En consecuencia, los contenidos compartidos a través de las redes sociales gozan de una presunción de publicidad, y bajo el principio de máxima publicidad previsto en el artículo 6o., apartado A, fracción I, de la Constitución Federal, deben ser accesibles para cualquier persona, razón por la cual bloquear o no permitir el acceso a un usuario sin una causa justificada, atenta contra los derechos de libertad de expresión y de acceso a la información de la ciudadanía.</w:t>
      </w:r>
      <w:r>
        <w:rPr>
          <w:rFonts w:ascii="Palatino Linotype" w:hAnsi="Palatino Linotype"/>
          <w:i/>
          <w:color w:val="000000" w:themeColor="text1"/>
          <w:sz w:val="22"/>
        </w:rPr>
        <w:t>”</w:t>
      </w:r>
    </w:p>
    <w:p w14:paraId="09388B5F" w14:textId="4D6DB718" w:rsidR="003C0A8F" w:rsidRPr="003C0A8F" w:rsidRDefault="003C0A8F" w:rsidP="003C0A8F">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C0A8F">
        <w:rPr>
          <w:rFonts w:ascii="Palatino Linotype" w:hAnsi="Palatino Linotype"/>
          <w:color w:val="000000" w:themeColor="text1"/>
          <w:sz w:val="22"/>
        </w:rPr>
        <w:t>(Énfasis añadido)</w:t>
      </w:r>
    </w:p>
    <w:p w14:paraId="407B84AC" w14:textId="77777777" w:rsidR="003C0A8F" w:rsidRDefault="003C0A8F"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656EF010" w14:textId="50FAE9F1" w:rsidR="00D538B7" w:rsidRDefault="006875B5"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tiene por acreditada la existencia de una obra pública ejecutada en el Municipio de Jocotitlán, consistente en techumbre para el Lienzo Charro </w:t>
      </w:r>
      <w:r>
        <w:rPr>
          <w:rFonts w:ascii="Palatino Linotype" w:hAnsi="Palatino Linotype"/>
          <w:i/>
          <w:color w:val="000000" w:themeColor="text1"/>
        </w:rPr>
        <w:t>“Ernesto Peralta Quintero”</w:t>
      </w:r>
      <w:r>
        <w:rPr>
          <w:rFonts w:ascii="Palatino Linotype" w:hAnsi="Palatino Linotype"/>
          <w:color w:val="000000" w:themeColor="text1"/>
        </w:rPr>
        <w:t>.</w:t>
      </w:r>
    </w:p>
    <w:p w14:paraId="1EC99303" w14:textId="77777777" w:rsidR="00D538B7" w:rsidRDefault="00D538B7"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390C8B8F" w14:textId="0BD3E0C6" w:rsidR="00D538B7" w:rsidRDefault="006875B5"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no debe ignorarse que, durante la etapa de </w:t>
      </w:r>
      <w:r>
        <w:rPr>
          <w:rFonts w:ascii="Palatino Linotype" w:hAnsi="Palatino Linotype"/>
          <w:i/>
          <w:color w:val="000000" w:themeColor="text1"/>
        </w:rPr>
        <w:t>Manifestaciones</w:t>
      </w:r>
      <w:r>
        <w:rPr>
          <w:rFonts w:ascii="Palatino Linotype" w:hAnsi="Palatino Linotype"/>
          <w:color w:val="000000" w:themeColor="text1"/>
        </w:rPr>
        <w:t xml:space="preserve">, el </w:t>
      </w:r>
      <w:r>
        <w:rPr>
          <w:rFonts w:ascii="Palatino Linotype" w:hAnsi="Palatino Linotype"/>
          <w:b/>
          <w:color w:val="000000" w:themeColor="text1"/>
        </w:rPr>
        <w:t>RECURRENTE</w:t>
      </w:r>
      <w:r>
        <w:rPr>
          <w:rFonts w:ascii="Palatino Linotype" w:hAnsi="Palatino Linotype"/>
          <w:color w:val="000000" w:themeColor="text1"/>
        </w:rPr>
        <w:t xml:space="preserve"> exhibió un archivo electrónico titulado </w:t>
      </w:r>
      <w:r>
        <w:rPr>
          <w:rFonts w:ascii="Palatino Linotype" w:hAnsi="Palatino Linotype"/>
          <w:b/>
          <w:i/>
          <w:color w:val="000000" w:themeColor="text1"/>
        </w:rPr>
        <w:t>“1.15 INFORME ANUAL DE CONSTRUCCIONES EN PROCESO.pdf”</w:t>
      </w:r>
      <w:r>
        <w:rPr>
          <w:rFonts w:ascii="Palatino Linotype" w:hAnsi="Palatino Linotype"/>
          <w:color w:val="000000" w:themeColor="text1"/>
        </w:rPr>
        <w:t xml:space="preserve"> que, como fuera referido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consiste en el Informe Anual de Construcciones en Proceso, correspondiente a la Cuenta Pública 2020 del Ayuntamiento de Jocotitlán.</w:t>
      </w:r>
    </w:p>
    <w:p w14:paraId="36198ADE" w14:textId="77777777" w:rsidR="00D538B7" w:rsidRDefault="00D538B7"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5B205EF2" w14:textId="67A06D5D" w:rsidR="00D538B7" w:rsidRDefault="006875B5"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analizar el listado de las Construcciones en Proceso, reportadas al treinta y uno (31) de diciembre de dos mil veinte por el </w:t>
      </w:r>
      <w:r>
        <w:rPr>
          <w:rFonts w:ascii="Palatino Linotype" w:hAnsi="Palatino Linotype"/>
          <w:b/>
          <w:color w:val="000000" w:themeColor="text1"/>
        </w:rPr>
        <w:t>SUJETO OBLIGADO</w:t>
      </w:r>
      <w:r>
        <w:rPr>
          <w:rFonts w:ascii="Palatino Linotype" w:hAnsi="Palatino Linotype"/>
          <w:color w:val="000000" w:themeColor="text1"/>
        </w:rPr>
        <w:t>, en la última foja, se advierte el registro de la obra pública denominada “</w:t>
      </w:r>
      <w:r>
        <w:rPr>
          <w:rFonts w:ascii="Palatino Linotype" w:hAnsi="Palatino Linotype"/>
          <w:i/>
          <w:color w:val="000000" w:themeColor="text1"/>
        </w:rPr>
        <w:t>CONSTRUCCION DE TECHUMBRE EN LIENZO CHARRO ERNESTO PERALTA QUINTERO</w:t>
      </w:r>
      <w:r>
        <w:rPr>
          <w:rFonts w:ascii="Palatino Linotype" w:hAnsi="Palatino Linotype"/>
          <w:color w:val="000000" w:themeColor="text1"/>
        </w:rPr>
        <w:t>”</w:t>
      </w:r>
      <w:r>
        <w:rPr>
          <w:rFonts w:ascii="Palatino Linotype" w:hAnsi="Palatino Linotype"/>
          <w:i/>
          <w:color w:val="000000" w:themeColor="text1"/>
        </w:rPr>
        <w:t xml:space="preserve">, </w:t>
      </w:r>
      <w:r>
        <w:rPr>
          <w:rFonts w:ascii="Palatino Linotype" w:hAnsi="Palatino Linotype"/>
          <w:color w:val="000000" w:themeColor="text1"/>
        </w:rPr>
        <w:t>con clave presupuestaria 1235-106-001, y contrato número MUO/DOP/PAD-00/IR-001/2020</w:t>
      </w:r>
      <w:r w:rsidR="00CE450B">
        <w:rPr>
          <w:rFonts w:ascii="Palatino Linotype" w:hAnsi="Palatino Linotype"/>
          <w:color w:val="000000" w:themeColor="text1"/>
        </w:rPr>
        <w:t xml:space="preserve">, </w:t>
      </w:r>
      <w:r w:rsidR="00CE450B">
        <w:rPr>
          <w:rFonts w:ascii="Palatino Linotype" w:hAnsi="Palatino Linotype"/>
          <w:color w:val="000000" w:themeColor="text1"/>
        </w:rPr>
        <w:lastRenderedPageBreak/>
        <w:t>por un valor de $2,999,987.26 (DOS MILLONES NOVECIENTOS NOVENTA Y NUEVE MIL NOVECIENTOS OCHENTA Y SIETE PESOS 26/100 M.N.).</w:t>
      </w:r>
    </w:p>
    <w:p w14:paraId="767F4A19" w14:textId="77777777" w:rsidR="00801B93"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0D739F29" w14:textId="75A8CEA6" w:rsidR="00801B93" w:rsidRPr="006B24D6" w:rsidRDefault="00056A5C"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 xml:space="preserve">Por otro lado, las Reglas de Operación del Programa de Acciones para el Desarrollo, publicadas en el Periódico Oficial </w:t>
      </w:r>
      <w:r w:rsidRPr="006B24D6">
        <w:rPr>
          <w:rFonts w:ascii="Palatino Linotype" w:hAnsi="Palatino Linotype"/>
          <w:i/>
          <w:color w:val="000000" w:themeColor="text1"/>
        </w:rPr>
        <w:t>Gaceta del Gobierno</w:t>
      </w:r>
      <w:r w:rsidRPr="006B24D6">
        <w:rPr>
          <w:rFonts w:ascii="Palatino Linotype" w:hAnsi="Palatino Linotype"/>
          <w:color w:val="000000" w:themeColor="text1"/>
        </w:rPr>
        <w:t xml:space="preserve">, el seis (06) de mayo de dos mil catorce, tienen por objeto el establecer las disposiciones normativas mediante las cuales se deberán regir los recursos del Programa de </w:t>
      </w:r>
      <w:r w:rsidRPr="006B24D6">
        <w:rPr>
          <w:rFonts w:ascii="Palatino Linotype" w:hAnsi="Palatino Linotype"/>
          <w:i/>
          <w:color w:val="000000" w:themeColor="text1"/>
        </w:rPr>
        <w:t>Acciones para el Desarrollo</w:t>
      </w:r>
      <w:r w:rsidRPr="006B24D6">
        <w:rPr>
          <w:rFonts w:ascii="Palatino Linotype" w:hAnsi="Palatino Linotype"/>
          <w:color w:val="000000" w:themeColor="text1"/>
        </w:rPr>
        <w:t xml:space="preserve"> que sean autorizados a los diferentes sectores del Gobierno del Estado</w:t>
      </w:r>
      <w:r w:rsidRPr="006B24D6">
        <w:rPr>
          <w:rStyle w:val="Refdenotaalpie"/>
          <w:rFonts w:ascii="Palatino Linotype" w:hAnsi="Palatino Linotype"/>
          <w:color w:val="000000" w:themeColor="text1"/>
        </w:rPr>
        <w:footnoteReference w:id="23"/>
      </w:r>
      <w:r w:rsidRPr="006B24D6">
        <w:rPr>
          <w:rFonts w:ascii="Palatino Linotype" w:hAnsi="Palatino Linotype"/>
          <w:color w:val="000000" w:themeColor="text1"/>
        </w:rPr>
        <w:t>.</w:t>
      </w:r>
    </w:p>
    <w:p w14:paraId="0C4A93CD" w14:textId="77777777" w:rsidR="00801B93" w:rsidRPr="006B24D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27ADA5A3" w14:textId="510D460D" w:rsidR="00801B93" w:rsidRPr="006B24D6" w:rsidRDefault="00056A5C"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La finalidad de las Reglas de Operación consiste en dar r a conocer los lineamientos, procedimientos y formatos que permitan ejercer de manera eficiente y conforme a la normatividad aplicable los recursos del Programa de Acciones para el Desarrollo, en la ejecución de estos en</w:t>
      </w:r>
      <w:r w:rsidRPr="006B24D6">
        <w:rPr>
          <w:rStyle w:val="Refdenotaalpie"/>
          <w:rFonts w:ascii="Palatino Linotype" w:hAnsi="Palatino Linotype"/>
          <w:color w:val="000000" w:themeColor="text1"/>
        </w:rPr>
        <w:footnoteReference w:id="24"/>
      </w:r>
      <w:r w:rsidRPr="006B24D6">
        <w:rPr>
          <w:rFonts w:ascii="Palatino Linotype" w:hAnsi="Palatino Linotype"/>
          <w:color w:val="000000" w:themeColor="text1"/>
        </w:rPr>
        <w:t>:</w:t>
      </w:r>
    </w:p>
    <w:p w14:paraId="0F5EF062"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6B24D6">
        <w:rPr>
          <w:rFonts w:ascii="Palatino Linotype" w:hAnsi="Palatino Linotype"/>
          <w:b/>
          <w:color w:val="000000" w:themeColor="text1"/>
        </w:rPr>
        <w:t xml:space="preserve">Obra pública y servicios relacionados, </w:t>
      </w:r>
    </w:p>
    <w:p w14:paraId="76BAB326"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Liberación de derecho de vía, </w:t>
      </w:r>
    </w:p>
    <w:p w14:paraId="64FA5A3C" w14:textId="51B0000F"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Programas </w:t>
      </w:r>
      <w:r w:rsidR="00B708A7" w:rsidRPr="006B24D6">
        <w:rPr>
          <w:rFonts w:ascii="Palatino Linotype" w:hAnsi="Palatino Linotype"/>
          <w:color w:val="000000" w:themeColor="text1"/>
        </w:rPr>
        <w:t>sustantivos</w:t>
      </w:r>
      <w:r w:rsidRPr="006B24D6">
        <w:rPr>
          <w:rFonts w:ascii="Palatino Linotype" w:hAnsi="Palatino Linotype"/>
          <w:color w:val="000000" w:themeColor="text1"/>
        </w:rPr>
        <w:t xml:space="preserve">, </w:t>
      </w:r>
    </w:p>
    <w:p w14:paraId="531783F6" w14:textId="742404A5"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Proyectos </w:t>
      </w:r>
      <w:r w:rsidR="00747540" w:rsidRPr="006B24D6">
        <w:rPr>
          <w:rFonts w:ascii="Palatino Linotype" w:hAnsi="Palatino Linotype"/>
          <w:color w:val="000000" w:themeColor="text1"/>
        </w:rPr>
        <w:t>productivos</w:t>
      </w:r>
      <w:r w:rsidRPr="006B24D6">
        <w:rPr>
          <w:rFonts w:ascii="Palatino Linotype" w:hAnsi="Palatino Linotype"/>
          <w:color w:val="000000" w:themeColor="text1"/>
        </w:rPr>
        <w:t xml:space="preserve">, </w:t>
      </w:r>
    </w:p>
    <w:p w14:paraId="0CDC853C"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Adquisición de bienes muebles e inmuebles, </w:t>
      </w:r>
    </w:p>
    <w:p w14:paraId="1529A58D"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Previsiones económicas para atender los compromisos de la política salarial y pago del Impuesto sobre Erogaciones por Remuneraciones al Trabajo Personal, </w:t>
      </w:r>
    </w:p>
    <w:p w14:paraId="0AC36562"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Transferencias fiscales, </w:t>
      </w:r>
    </w:p>
    <w:p w14:paraId="43B17A2E" w14:textId="0515064B"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Apoyo para afectaciones por contingencias naturales y/o externos,</w:t>
      </w:r>
    </w:p>
    <w:p w14:paraId="36CF0C81"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lastRenderedPageBreak/>
        <w:t xml:space="preserve">Fortalecimiento o financiero, </w:t>
      </w:r>
    </w:p>
    <w:p w14:paraId="64C9FB22"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Apoyos al sector social y/o privado, </w:t>
      </w:r>
    </w:p>
    <w:p w14:paraId="16D16B01"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Apoyos para eventos sociales, culturales y deportivos, </w:t>
      </w:r>
    </w:p>
    <w:p w14:paraId="5F331BD8" w14:textId="77777777"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 xml:space="preserve">Aportación estatal a programas con el gobierno Federal y </w:t>
      </w:r>
    </w:p>
    <w:p w14:paraId="129F2CBD" w14:textId="46C00F06" w:rsidR="00056A5C" w:rsidRPr="006B24D6" w:rsidRDefault="00056A5C" w:rsidP="00056A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B24D6">
        <w:rPr>
          <w:rFonts w:ascii="Palatino Linotype" w:hAnsi="Palatino Linotype"/>
          <w:color w:val="000000" w:themeColor="text1"/>
        </w:rPr>
        <w:t>Aportación a estudios y proyectos estratégicos y vinculación con universidades públicas.</w:t>
      </w:r>
    </w:p>
    <w:p w14:paraId="2414D68C" w14:textId="77777777" w:rsidR="00801B93" w:rsidRPr="006B24D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6E06A1E2" w14:textId="69805CD4" w:rsidR="00801B93" w:rsidRPr="006B24D6" w:rsidRDefault="00056A5C"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 xml:space="preserve">A fin de solicitar el apoyo del programa </w:t>
      </w:r>
      <w:r w:rsidRPr="006B24D6">
        <w:rPr>
          <w:rFonts w:ascii="Palatino Linotype" w:hAnsi="Palatino Linotype"/>
          <w:i/>
          <w:color w:val="000000" w:themeColor="text1"/>
        </w:rPr>
        <w:t>Acciones para el Desarrollo</w:t>
      </w:r>
      <w:r w:rsidRPr="006B24D6">
        <w:rPr>
          <w:rFonts w:ascii="Palatino Linotype" w:hAnsi="Palatino Linotype"/>
          <w:color w:val="000000" w:themeColor="text1"/>
        </w:rPr>
        <w:t>, primeramente se deberán registrar los proyectos en el Banco de Proyectos de Inversión, cuyo objeto es justamente el registrar los proyectos de inversión que reúnan los elementos básicos para su ejecución o desarrollo y por lo mismo de asignarles presupuesto estatal, o para gestionarlo ante instancias federales u otras fuentes de financiamiento</w:t>
      </w:r>
      <w:r w:rsidRPr="006B24D6">
        <w:rPr>
          <w:rStyle w:val="Refdenotaalpie"/>
          <w:rFonts w:ascii="Palatino Linotype" w:hAnsi="Palatino Linotype"/>
          <w:color w:val="000000" w:themeColor="text1"/>
        </w:rPr>
        <w:footnoteReference w:id="25"/>
      </w:r>
      <w:r w:rsidRPr="006B24D6">
        <w:rPr>
          <w:rFonts w:ascii="Palatino Linotype" w:hAnsi="Palatino Linotype"/>
          <w:color w:val="000000" w:themeColor="text1"/>
        </w:rPr>
        <w:t>.</w:t>
      </w:r>
    </w:p>
    <w:p w14:paraId="5AE98D16" w14:textId="77777777" w:rsidR="00801B93" w:rsidRPr="006B24D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4E777FBE" w14:textId="2F3A43F6" w:rsidR="00801B93" w:rsidRPr="006B24D6" w:rsidRDefault="009E3476"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Para obtener el visto bueno de la Dirección General de Inversión con respecto al estudio socioeconómico, la dependencia y entidades públicas deberán registrar su proyecto en el banco de proyectos, el cual brindará un folio al término de la captura del proyecto. Una vez capturado el proyecto, la dependencia y entidades públicas deberán hacer su petición de recursos de manera oficial, mencionando el número de folio del banco de proyectos</w:t>
      </w:r>
      <w:r w:rsidRPr="006B24D6">
        <w:rPr>
          <w:rStyle w:val="Refdenotaalpie"/>
          <w:rFonts w:ascii="Palatino Linotype" w:hAnsi="Palatino Linotype"/>
          <w:color w:val="000000" w:themeColor="text1"/>
        </w:rPr>
        <w:footnoteReference w:id="26"/>
      </w:r>
      <w:r w:rsidRPr="006B24D6">
        <w:rPr>
          <w:rFonts w:ascii="Palatino Linotype" w:hAnsi="Palatino Linotype"/>
          <w:color w:val="000000" w:themeColor="text1"/>
        </w:rPr>
        <w:t>.</w:t>
      </w:r>
    </w:p>
    <w:p w14:paraId="4CD66D24" w14:textId="77777777" w:rsidR="00801B93" w:rsidRPr="009E347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543CADCC" w14:textId="53C0BD38" w:rsidR="00801B93" w:rsidRPr="006B24D6" w:rsidRDefault="009E3476"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 xml:space="preserve">Para poder obtener recursos para realizar un estudio socioeconómico, además de la solicitud de asignación, la Dirección General de Inversión deberá aprobar </w:t>
      </w:r>
      <w:r w:rsidR="00747540" w:rsidRPr="006B24D6">
        <w:rPr>
          <w:rFonts w:ascii="Palatino Linotype" w:hAnsi="Palatino Linotype"/>
          <w:color w:val="000000" w:themeColor="text1"/>
        </w:rPr>
        <w:t>l</w:t>
      </w:r>
      <w:r w:rsidRPr="006B24D6">
        <w:rPr>
          <w:rFonts w:ascii="Palatino Linotype" w:hAnsi="Palatino Linotype"/>
          <w:color w:val="000000" w:themeColor="text1"/>
        </w:rPr>
        <w:t xml:space="preserve">os </w:t>
      </w:r>
      <w:r w:rsidRPr="006B24D6">
        <w:rPr>
          <w:rFonts w:ascii="Palatino Linotype" w:hAnsi="Palatino Linotype"/>
          <w:color w:val="000000" w:themeColor="text1"/>
        </w:rPr>
        <w:lastRenderedPageBreak/>
        <w:t>términos de referencia y costo del estudio. Los estudios socioeconómicos que elaboren las dependencias y entidades públicas se clasificarán en las siguientes categorías</w:t>
      </w:r>
      <w:r w:rsidRPr="006B24D6">
        <w:rPr>
          <w:rStyle w:val="Refdenotaalpie"/>
          <w:rFonts w:ascii="Palatino Linotype" w:hAnsi="Palatino Linotype"/>
          <w:color w:val="000000" w:themeColor="text1"/>
        </w:rPr>
        <w:footnoteReference w:id="27"/>
      </w:r>
      <w:r w:rsidRPr="006B24D6">
        <w:rPr>
          <w:rFonts w:ascii="Palatino Linotype" w:hAnsi="Palatino Linotype"/>
          <w:color w:val="000000" w:themeColor="text1"/>
        </w:rPr>
        <w:t>:</w:t>
      </w:r>
    </w:p>
    <w:p w14:paraId="2106203B" w14:textId="77777777" w:rsidR="009E3476" w:rsidRPr="006B24D6" w:rsidRDefault="009E3476" w:rsidP="009E3476">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b/>
          <w:color w:val="000000" w:themeColor="text1"/>
        </w:rPr>
        <w:t>Análisis costo - beneficio (pre factibilidad).</w:t>
      </w:r>
      <w:r w:rsidRPr="006B24D6">
        <w:rPr>
          <w:rFonts w:ascii="Palatino Linotype" w:hAnsi="Palatino Linotype"/>
          <w:color w:val="000000" w:themeColor="text1"/>
        </w:rPr>
        <w:t xml:space="preserve"> Se aplicará a proyectos cuyo costo total sea mayor a 500 millones de pesos. </w:t>
      </w:r>
    </w:p>
    <w:p w14:paraId="3755E936" w14:textId="0D922A54" w:rsidR="009E3476" w:rsidRPr="006B24D6" w:rsidRDefault="009E3476" w:rsidP="009E3476">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b/>
          <w:color w:val="000000" w:themeColor="text1"/>
        </w:rPr>
        <w:t xml:space="preserve">Análisis costo - beneficio simplificado (perfil). </w:t>
      </w:r>
      <w:r w:rsidRPr="006B24D6">
        <w:rPr>
          <w:rFonts w:ascii="Palatino Linotype" w:hAnsi="Palatino Linotype"/>
          <w:color w:val="000000" w:themeColor="text1"/>
        </w:rPr>
        <w:t xml:space="preserve">Se aplicará a proyectos cuyo costo total sea mayor a 50 millones de pesos, y hasta 500 millones de pesos. </w:t>
      </w:r>
    </w:p>
    <w:p w14:paraId="2B2DD0F3" w14:textId="77777777" w:rsidR="009E3476" w:rsidRPr="006B24D6" w:rsidRDefault="009E3476" w:rsidP="009E3476">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b/>
          <w:color w:val="000000" w:themeColor="text1"/>
        </w:rPr>
        <w:t xml:space="preserve">Ficha Técnica. </w:t>
      </w:r>
      <w:r w:rsidRPr="006B24D6">
        <w:rPr>
          <w:rFonts w:ascii="Palatino Linotype" w:hAnsi="Palatino Linotype"/>
          <w:color w:val="000000" w:themeColor="text1"/>
        </w:rPr>
        <w:t xml:space="preserve">Se aplicará a proyectos cuyo costo total sea hasta de 50 millones de pesos. </w:t>
      </w:r>
    </w:p>
    <w:p w14:paraId="348CAAD8" w14:textId="51C8B270" w:rsidR="009E3476" w:rsidRPr="006B24D6" w:rsidRDefault="009E3476" w:rsidP="009E3476">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b/>
          <w:color w:val="000000" w:themeColor="text1"/>
        </w:rPr>
        <w:t>Análisis costo — eficiencia.</w:t>
      </w:r>
      <w:r w:rsidRPr="006B24D6">
        <w:rPr>
          <w:rFonts w:ascii="Palatino Linotype" w:hAnsi="Palatino Linotype"/>
          <w:color w:val="000000" w:themeColor="text1"/>
        </w:rPr>
        <w:t xml:space="preserve"> Se aplicará a proyectos en los que los beneficios no sean cuantificables monetariamente o aquellos que respondan a motivos de seguridad pública.</w:t>
      </w:r>
    </w:p>
    <w:p w14:paraId="5925EA59" w14:textId="77777777" w:rsidR="00801B93" w:rsidRPr="006B24D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06068D8C" w14:textId="7C1AAAC0" w:rsidR="00801B93" w:rsidRPr="006B24D6" w:rsidRDefault="009E3476"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t>Una vez aprobado el Decreto del Presupuesto de Egresos por la Legislatura y conforme al techo financiero asignado, la Secretaría previa solicitud de las unidades ejecutoras, procederá a la emisión del oficio de asignación de recursos a nivel obra o acción, para lo cual la unidad ejecutora deberá contar con el expediente técnico, para dar inicio al procedimiento de adjudicación de las mismas; para el caso de los recursos federales, se deberá presentar el convenio o documento debidamente firmado que acredite la suficiencia presupuestal; si no se presenta dicha información, no se asignarán los recursos</w:t>
      </w:r>
      <w:r w:rsidRPr="006B24D6">
        <w:rPr>
          <w:rStyle w:val="Refdenotaalpie"/>
          <w:rFonts w:ascii="Palatino Linotype" w:hAnsi="Palatino Linotype"/>
          <w:color w:val="000000" w:themeColor="text1"/>
        </w:rPr>
        <w:footnoteReference w:id="28"/>
      </w:r>
      <w:r w:rsidRPr="006B24D6">
        <w:rPr>
          <w:rFonts w:ascii="Palatino Linotype" w:hAnsi="Palatino Linotype"/>
          <w:color w:val="000000" w:themeColor="text1"/>
        </w:rPr>
        <w:t>.</w:t>
      </w:r>
    </w:p>
    <w:p w14:paraId="1E9C443B" w14:textId="77777777" w:rsidR="00801B93" w:rsidRPr="006B24D6" w:rsidRDefault="00801B93" w:rsidP="00801B93">
      <w:pPr>
        <w:pStyle w:val="Prrafodelista"/>
        <w:tabs>
          <w:tab w:val="left" w:pos="426"/>
        </w:tabs>
        <w:spacing w:before="240" w:after="240" w:line="360" w:lineRule="auto"/>
        <w:ind w:left="0" w:right="51"/>
        <w:jc w:val="both"/>
        <w:rPr>
          <w:rFonts w:ascii="Palatino Linotype" w:hAnsi="Palatino Linotype"/>
          <w:color w:val="000000" w:themeColor="text1"/>
        </w:rPr>
      </w:pPr>
    </w:p>
    <w:p w14:paraId="48F882F4" w14:textId="1CA90AED" w:rsidR="00801B93" w:rsidRPr="006B24D6" w:rsidRDefault="009E3476"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B24D6">
        <w:rPr>
          <w:rFonts w:ascii="Palatino Linotype" w:hAnsi="Palatino Linotype"/>
          <w:color w:val="000000" w:themeColor="text1"/>
        </w:rPr>
        <w:lastRenderedPageBreak/>
        <w:t xml:space="preserve">Así las cosas, queda demostrado que para la realización de la obra pública solicitada, el </w:t>
      </w:r>
      <w:r w:rsidRPr="006B24D6">
        <w:rPr>
          <w:rFonts w:ascii="Palatino Linotype" w:hAnsi="Palatino Linotype"/>
          <w:b/>
          <w:color w:val="000000" w:themeColor="text1"/>
        </w:rPr>
        <w:t>SUJETO OBLIGADO</w:t>
      </w:r>
      <w:r w:rsidRPr="006B24D6">
        <w:rPr>
          <w:rFonts w:ascii="Palatino Linotype" w:hAnsi="Palatino Linotype"/>
          <w:color w:val="000000" w:themeColor="text1"/>
        </w:rPr>
        <w:t xml:space="preserve"> debió de establecer una comunicación sostenida, al menos, con el Gobierno del Estado de México, a fin de solicitar integrar el proyecto al programa de </w:t>
      </w:r>
      <w:r w:rsidRPr="006B24D6">
        <w:rPr>
          <w:rFonts w:ascii="Palatino Linotype" w:hAnsi="Palatino Linotype"/>
          <w:i/>
          <w:color w:val="000000" w:themeColor="text1"/>
        </w:rPr>
        <w:t>Acciones para el Desarrollo</w:t>
      </w:r>
      <w:r w:rsidRPr="006B24D6">
        <w:rPr>
          <w:rFonts w:ascii="Palatino Linotype" w:hAnsi="Palatino Linotype"/>
          <w:color w:val="000000" w:themeColor="text1"/>
        </w:rPr>
        <w:t>.</w:t>
      </w:r>
    </w:p>
    <w:p w14:paraId="0CF14A02" w14:textId="77777777" w:rsidR="00D538B7" w:rsidRDefault="00D538B7" w:rsidP="00D538B7">
      <w:pPr>
        <w:pStyle w:val="Prrafodelista"/>
        <w:tabs>
          <w:tab w:val="left" w:pos="426"/>
        </w:tabs>
        <w:spacing w:before="240" w:after="240" w:line="360" w:lineRule="auto"/>
        <w:ind w:left="0" w:right="51"/>
        <w:jc w:val="both"/>
        <w:rPr>
          <w:rFonts w:ascii="Palatino Linotype" w:hAnsi="Palatino Linotype"/>
          <w:color w:val="000000" w:themeColor="text1"/>
        </w:rPr>
      </w:pPr>
    </w:p>
    <w:p w14:paraId="13AA2F84" w14:textId="2D71BE7E" w:rsidR="00D538B7" w:rsidRDefault="00CE450B" w:rsidP="00FE32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realizar una búsqueda </w:t>
      </w:r>
      <w:r w:rsidR="00747540">
        <w:rPr>
          <w:rFonts w:ascii="Palatino Linotype" w:hAnsi="Palatino Linotype"/>
          <w:color w:val="000000" w:themeColor="text1"/>
        </w:rPr>
        <w:t>exhaustiva</w:t>
      </w:r>
      <w:r>
        <w:rPr>
          <w:rFonts w:ascii="Palatino Linotype" w:hAnsi="Palatino Linotype"/>
          <w:color w:val="000000" w:themeColor="text1"/>
        </w:rPr>
        <w:t xml:space="preserve"> y razonable en sus archivos a efecto de entregar, en versión pública de ser procedente, el contrato de obra pública número MUO/DOP/PAD-00/IR-001/2020, derivado de la construcción de una techumbre en el Lienzo Charro Municipal; así como las Actas de Cabildo en las que haya autorizado su ejecución; los oficios de autorización por parte del Gobierno Federal y Estatal, de ser el caso; y las Actas de Apertura y Fallo del procedimiento de adjudicación que culminó en la suscripción del contrato antes mencionado.</w:t>
      </w:r>
    </w:p>
    <w:p w14:paraId="4AD2DA02" w14:textId="77777777" w:rsidR="00CE450B"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46C37217" w14:textId="7BADDC0A"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Pr="00944150">
        <w:rPr>
          <w:rFonts w:ascii="Palatino Linotype" w:hAnsi="Palatino Linotype" w:cs="Arial"/>
          <w:color w:val="000000" w:themeColor="text1"/>
        </w:rPr>
        <w:t>, si</w:t>
      </w:r>
      <w:r>
        <w:rPr>
          <w:rFonts w:ascii="Palatino Linotype" w:hAnsi="Palatino Linotype" w:cs="Arial"/>
          <w:color w:val="000000" w:themeColor="text1"/>
        </w:rPr>
        <w:t xml:space="preserve"> una vez</w:t>
      </w:r>
      <w:r w:rsidRPr="00944150">
        <w:rPr>
          <w:rFonts w:ascii="Palatino Linotype" w:hAnsi="Palatino Linotype" w:cs="Arial"/>
          <w:color w:val="000000" w:themeColor="text1"/>
        </w:rPr>
        <w:t xml:space="preserve"> realizada la búsqueda de la información, ésta no fuere localizada, el </w:t>
      </w:r>
      <w:r w:rsidRPr="00944150">
        <w:rPr>
          <w:rFonts w:ascii="Palatino Linotype" w:hAnsi="Palatino Linotype" w:cs="Arial"/>
          <w:b/>
          <w:bCs/>
          <w:color w:val="000000" w:themeColor="text1"/>
        </w:rPr>
        <w:t>SUJETO OBLIGADO</w:t>
      </w:r>
      <w:r w:rsidRPr="00944150">
        <w:rPr>
          <w:rFonts w:ascii="Palatino Linotype" w:hAnsi="Palatino Linotype" w:cs="Arial"/>
          <w:color w:val="000000" w:themeColor="text1"/>
        </w:rPr>
        <w:t xml:space="preserve"> deberá entregar al particular, el Acuerdo del Comité de Transparencia que sustente las razones de la inexistencia de la información solicitada de manera clara y precisa.</w:t>
      </w:r>
    </w:p>
    <w:p w14:paraId="52FCABB4"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4253FFF1" w14:textId="77777777" w:rsidR="00CE450B" w:rsidRPr="00A44145"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944150">
        <w:rPr>
          <w:rFonts w:ascii="Palatino Linotype" w:hAnsi="Palatino Linotype" w:cs="Arial"/>
          <w:b/>
          <w:color w:val="000000" w:themeColor="text1"/>
        </w:rPr>
        <w:t xml:space="preserve">SUJETO OBLIGADO </w:t>
      </w:r>
      <w:r w:rsidRPr="00944150">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2B8E9B71" w14:textId="77777777" w:rsidR="00CE450B"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18EDFE31" w14:textId="77777777" w:rsidR="00CE450B" w:rsidRPr="00944150" w:rsidRDefault="00CE450B" w:rsidP="00CE450B">
      <w:pPr>
        <w:pStyle w:val="Prrafodelista"/>
        <w:spacing w:line="276" w:lineRule="auto"/>
        <w:ind w:left="567" w:right="567"/>
        <w:jc w:val="both"/>
        <w:rPr>
          <w:rFonts w:ascii="Palatino Linotype" w:eastAsia="MS Mincho" w:hAnsi="Palatino Linotype" w:cs="Times New Roman"/>
          <w:i/>
          <w:sz w:val="22"/>
          <w:szCs w:val="22"/>
        </w:rPr>
      </w:pPr>
      <w:r w:rsidRPr="00944150">
        <w:rPr>
          <w:rFonts w:ascii="Palatino Linotype" w:eastAsia="MS Mincho" w:hAnsi="Palatino Linotype"/>
          <w:i/>
          <w:sz w:val="22"/>
          <w:szCs w:val="22"/>
        </w:rPr>
        <w:t>“</w:t>
      </w:r>
      <w:r w:rsidRPr="00944150">
        <w:rPr>
          <w:rFonts w:ascii="Palatino Linotype" w:eastAsia="MS Mincho" w:hAnsi="Palatino Linotype"/>
          <w:b/>
          <w:i/>
          <w:sz w:val="22"/>
          <w:szCs w:val="22"/>
        </w:rPr>
        <w:t>Artículo 47.</w:t>
      </w:r>
      <w:r w:rsidRPr="00944150">
        <w:rPr>
          <w:rFonts w:ascii="Palatino Linotype" w:eastAsia="MS Mincho" w:hAnsi="Palatino Linotype"/>
          <w:i/>
          <w:sz w:val="22"/>
          <w:szCs w:val="22"/>
        </w:rPr>
        <w:t xml:space="preserve"> </w:t>
      </w:r>
      <w:r w:rsidRPr="00944150">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7D3D63DB"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72CC265"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El Comité se reunirá en sesión ordinaria o extraordinaria las veces que estime necesario. El tipo de sesión se precisará en la convocatoria emitida.</w:t>
      </w:r>
    </w:p>
    <w:p w14:paraId="4B2A5DA7"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357BC04"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En las sesiones y trabajos del Comité, podrán participar como invitados permanentes, los representantes de las áreas que decida el Comité, y contará con derecho de voz, pero no voto.</w:t>
      </w:r>
    </w:p>
    <w:p w14:paraId="47D4B1F4"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b/>
          <w:bCs/>
          <w:i/>
          <w:sz w:val="22"/>
          <w:szCs w:val="22"/>
        </w:rPr>
        <w:t xml:space="preserve">Los titulares de las unidades administrativas que </w:t>
      </w:r>
      <w:r w:rsidRPr="00944150">
        <w:rPr>
          <w:rFonts w:ascii="Palatino Linotype" w:eastAsia="MS Mincho" w:hAnsi="Palatino Linotype"/>
          <w:i/>
          <w:sz w:val="22"/>
          <w:szCs w:val="22"/>
        </w:rPr>
        <w:t xml:space="preserve">propongan la reserva, confidencialidad o </w:t>
      </w:r>
      <w:r w:rsidRPr="00944150">
        <w:rPr>
          <w:rFonts w:ascii="Palatino Linotype" w:eastAsia="MS Mincho" w:hAnsi="Palatino Linotype"/>
          <w:b/>
          <w:bCs/>
          <w:i/>
          <w:sz w:val="22"/>
          <w:szCs w:val="22"/>
        </w:rPr>
        <w:t>declaren la inexistencia de información, acudirán a las sesiones de dicho Comité donde se discuta la propuesta correspondiente</w:t>
      </w:r>
      <w:r w:rsidRPr="00944150">
        <w:rPr>
          <w:rFonts w:ascii="Palatino Linotype" w:eastAsia="MS Mincho" w:hAnsi="Palatino Linotype"/>
          <w:i/>
          <w:sz w:val="22"/>
          <w:szCs w:val="22"/>
        </w:rPr>
        <w:t>.”</w:t>
      </w:r>
    </w:p>
    <w:p w14:paraId="45BBC8F0"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p>
    <w:p w14:paraId="50187D39"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w:t>
      </w:r>
      <w:r w:rsidRPr="00944150">
        <w:rPr>
          <w:rFonts w:ascii="Palatino Linotype" w:eastAsia="MS Mincho" w:hAnsi="Palatino Linotype"/>
          <w:b/>
          <w:i/>
          <w:sz w:val="22"/>
          <w:szCs w:val="22"/>
        </w:rPr>
        <w:t>Artículo 49.</w:t>
      </w:r>
      <w:r w:rsidRPr="00944150">
        <w:rPr>
          <w:rFonts w:ascii="Palatino Linotype" w:eastAsia="MS Mincho" w:hAnsi="Palatino Linotype"/>
          <w:i/>
          <w:sz w:val="22"/>
          <w:szCs w:val="22"/>
        </w:rPr>
        <w:t xml:space="preserve"> </w:t>
      </w:r>
      <w:r w:rsidRPr="00944150">
        <w:rPr>
          <w:rFonts w:ascii="Palatino Linotype" w:eastAsia="MS Mincho" w:hAnsi="Palatino Linotype"/>
          <w:b/>
          <w:bCs/>
          <w:i/>
          <w:sz w:val="22"/>
          <w:szCs w:val="22"/>
        </w:rPr>
        <w:t>Los Comités de Transparencia tendrán las siguientes atribuciones:</w:t>
      </w:r>
    </w:p>
    <w:p w14:paraId="5688CBF9"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w:t>
      </w:r>
    </w:p>
    <w:p w14:paraId="5905E83F"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b/>
          <w:bCs/>
          <w:i/>
          <w:sz w:val="22"/>
          <w:szCs w:val="22"/>
        </w:rPr>
        <w:t>II.</w:t>
      </w:r>
      <w:r w:rsidRPr="00944150">
        <w:rPr>
          <w:rFonts w:ascii="Palatino Linotype" w:eastAsia="MS Mincho" w:hAnsi="Palatino Linotype"/>
          <w:i/>
          <w:sz w:val="22"/>
          <w:szCs w:val="22"/>
        </w:rPr>
        <w:t xml:space="preserve"> </w:t>
      </w:r>
      <w:r w:rsidRPr="00944150">
        <w:rPr>
          <w:rFonts w:ascii="Palatino Linotype" w:eastAsia="MS Mincho" w:hAnsi="Palatino Linotype"/>
          <w:b/>
          <w:bCs/>
          <w:i/>
          <w:sz w:val="22"/>
          <w:szCs w:val="22"/>
        </w:rPr>
        <w:t>Confirmar, modificar o revocar las determinaciones que en materia de</w:t>
      </w:r>
      <w:r w:rsidRPr="00944150">
        <w:rPr>
          <w:rFonts w:ascii="Palatino Linotype" w:eastAsia="MS Mincho" w:hAnsi="Palatino Linotype"/>
          <w:i/>
          <w:sz w:val="22"/>
          <w:szCs w:val="22"/>
        </w:rPr>
        <w:t xml:space="preserve"> ampliación del plazo de respuesta, clasificación de la información y </w:t>
      </w:r>
      <w:r w:rsidRPr="00944150">
        <w:rPr>
          <w:rFonts w:ascii="Palatino Linotype" w:eastAsia="MS Mincho" w:hAnsi="Palatino Linotype"/>
          <w:b/>
          <w:bCs/>
          <w:i/>
          <w:sz w:val="22"/>
          <w:szCs w:val="22"/>
        </w:rPr>
        <w:t>declaración de inexistencia</w:t>
      </w:r>
      <w:r w:rsidRPr="00944150">
        <w:rPr>
          <w:rFonts w:ascii="Palatino Linotype" w:eastAsia="MS Mincho" w:hAnsi="Palatino Linotype"/>
          <w:i/>
          <w:sz w:val="22"/>
          <w:szCs w:val="22"/>
        </w:rPr>
        <w:t xml:space="preserve"> o de incompetencia </w:t>
      </w:r>
      <w:r w:rsidRPr="00944150">
        <w:rPr>
          <w:rFonts w:ascii="Palatino Linotype" w:eastAsia="MS Mincho" w:hAnsi="Palatino Linotype"/>
          <w:b/>
          <w:bCs/>
          <w:i/>
          <w:sz w:val="22"/>
          <w:szCs w:val="22"/>
        </w:rPr>
        <w:t>realicen los titulares de las áreas de los sujetos obligados</w:t>
      </w:r>
      <w:r w:rsidRPr="00944150">
        <w:rPr>
          <w:rFonts w:ascii="Palatino Linotype" w:eastAsia="MS Mincho" w:hAnsi="Palatino Linotype"/>
          <w:i/>
          <w:sz w:val="22"/>
          <w:szCs w:val="22"/>
        </w:rPr>
        <w:t>;</w:t>
      </w:r>
    </w:p>
    <w:p w14:paraId="52AB9C17"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w:t>
      </w:r>
    </w:p>
    <w:p w14:paraId="1C900B14"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b/>
          <w:bCs/>
          <w:i/>
          <w:sz w:val="22"/>
          <w:szCs w:val="22"/>
        </w:rPr>
        <w:t>XIII.</w:t>
      </w:r>
      <w:r w:rsidRPr="00944150">
        <w:rPr>
          <w:rFonts w:ascii="Palatino Linotype" w:eastAsia="MS Mincho" w:hAnsi="Palatino Linotype"/>
          <w:i/>
          <w:sz w:val="22"/>
          <w:szCs w:val="22"/>
        </w:rPr>
        <w:t xml:space="preserve"> </w:t>
      </w:r>
      <w:r w:rsidRPr="00944150">
        <w:rPr>
          <w:rFonts w:ascii="Palatino Linotype" w:eastAsia="MS Mincho" w:hAnsi="Palatino Linotype"/>
          <w:b/>
          <w:bCs/>
          <w:i/>
          <w:sz w:val="22"/>
          <w:szCs w:val="22"/>
        </w:rPr>
        <w:t>Dictaminar las declaratorias de inexistencia de la información que les remitan las unidades administrativas y resolver en consecuencia</w:t>
      </w:r>
      <w:r w:rsidRPr="00944150">
        <w:rPr>
          <w:rFonts w:ascii="Palatino Linotype" w:eastAsia="MS Mincho" w:hAnsi="Palatino Linotype"/>
          <w:i/>
          <w:sz w:val="22"/>
          <w:szCs w:val="22"/>
        </w:rPr>
        <w:t>;</w:t>
      </w:r>
    </w:p>
    <w:p w14:paraId="5D05C73F" w14:textId="77777777" w:rsidR="00CE450B" w:rsidRPr="00944150" w:rsidRDefault="00CE450B" w:rsidP="00CE450B">
      <w:pPr>
        <w:pStyle w:val="Prrafodelista"/>
        <w:spacing w:line="276" w:lineRule="auto"/>
        <w:ind w:left="567" w:right="567"/>
        <w:jc w:val="both"/>
        <w:rPr>
          <w:rFonts w:ascii="Palatino Linotype" w:eastAsia="MS Mincho" w:hAnsi="Palatino Linotype"/>
          <w:i/>
          <w:sz w:val="22"/>
          <w:szCs w:val="22"/>
        </w:rPr>
      </w:pPr>
      <w:r w:rsidRPr="00944150">
        <w:rPr>
          <w:rFonts w:ascii="Palatino Linotype" w:eastAsia="MS Mincho" w:hAnsi="Palatino Linotype"/>
          <w:i/>
          <w:sz w:val="22"/>
          <w:szCs w:val="22"/>
        </w:rPr>
        <w:t>(…)”</w:t>
      </w:r>
    </w:p>
    <w:p w14:paraId="41B99294" w14:textId="77777777" w:rsidR="00CE450B" w:rsidRPr="00944150" w:rsidRDefault="00CE450B" w:rsidP="00CE450B">
      <w:pPr>
        <w:pStyle w:val="Prrafodelista"/>
        <w:spacing w:line="276" w:lineRule="auto"/>
        <w:ind w:left="567" w:right="567"/>
        <w:jc w:val="both"/>
        <w:rPr>
          <w:rFonts w:ascii="Palatino Linotype" w:eastAsia="MS Mincho" w:hAnsi="Palatino Linotype"/>
          <w:iCs/>
          <w:sz w:val="22"/>
          <w:szCs w:val="22"/>
        </w:rPr>
      </w:pPr>
      <w:r w:rsidRPr="00944150">
        <w:rPr>
          <w:rFonts w:ascii="Palatino Linotype" w:eastAsia="MS Mincho" w:hAnsi="Palatino Linotype"/>
          <w:iCs/>
          <w:sz w:val="22"/>
          <w:szCs w:val="22"/>
        </w:rPr>
        <w:t>(Énfasis añadido)</w:t>
      </w:r>
    </w:p>
    <w:p w14:paraId="073917AD" w14:textId="77777777" w:rsidR="00CE450B" w:rsidRPr="00AD1795"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344E0E82"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Asimismo, </w:t>
      </w:r>
      <w:r w:rsidRPr="00944150">
        <w:rPr>
          <w:rFonts w:ascii="Palatino Linotype" w:hAnsi="Palatino Linotype" w:cs="Arial"/>
          <w:color w:val="000000" w:themeColor="text1"/>
        </w:rPr>
        <w:t>el Acuerdo de Inexistencia deberá llevarse conforme a lo dispuesto por los artículos 169 y 170 de la Ley de la materia que ordenan:</w:t>
      </w:r>
    </w:p>
    <w:p w14:paraId="318F4FB8"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61F20C0D"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i/>
        </w:rPr>
        <w:lastRenderedPageBreak/>
        <w:t>“</w:t>
      </w:r>
      <w:r w:rsidRPr="00944150">
        <w:rPr>
          <w:rFonts w:ascii="Palatino Linotype" w:eastAsia="MS Mincho" w:hAnsi="Palatino Linotype"/>
          <w:b/>
          <w:i/>
        </w:rPr>
        <w:t>Artículo 169.</w:t>
      </w:r>
      <w:r w:rsidRPr="00944150">
        <w:rPr>
          <w:rFonts w:ascii="Palatino Linotype" w:eastAsia="MS Mincho" w:hAnsi="Palatino Linotype"/>
          <w:i/>
        </w:rPr>
        <w:t xml:space="preserve"> </w:t>
      </w:r>
      <w:r w:rsidRPr="00944150">
        <w:rPr>
          <w:rFonts w:ascii="Palatino Linotype" w:eastAsia="MS Mincho" w:hAnsi="Palatino Linotype"/>
          <w:b/>
          <w:bCs/>
          <w:i/>
        </w:rPr>
        <w:t>Cuando la información no se encuentre en los archivos del sujeto obligado, el Comité de Transparencia:</w:t>
      </w:r>
    </w:p>
    <w:p w14:paraId="1DC53022"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b/>
          <w:bCs/>
          <w:i/>
        </w:rPr>
        <w:t>I.</w:t>
      </w:r>
      <w:r w:rsidRPr="00944150">
        <w:rPr>
          <w:rFonts w:ascii="Palatino Linotype" w:eastAsia="MS Mincho" w:hAnsi="Palatino Linotype"/>
          <w:i/>
        </w:rPr>
        <w:t xml:space="preserve"> </w:t>
      </w:r>
      <w:r w:rsidRPr="00944150">
        <w:rPr>
          <w:rFonts w:ascii="Palatino Linotype" w:eastAsia="MS Mincho" w:hAnsi="Palatino Linotype"/>
          <w:b/>
          <w:bCs/>
          <w:i/>
        </w:rPr>
        <w:t>Analizará el caso y tomará las medidas necesarias para localizar la información</w:t>
      </w:r>
      <w:r w:rsidRPr="00944150">
        <w:rPr>
          <w:rFonts w:ascii="Palatino Linotype" w:eastAsia="MS Mincho" w:hAnsi="Palatino Linotype"/>
          <w:i/>
        </w:rPr>
        <w:t>;</w:t>
      </w:r>
    </w:p>
    <w:p w14:paraId="30D440EC"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b/>
          <w:bCs/>
          <w:i/>
        </w:rPr>
        <w:t>II.</w:t>
      </w:r>
      <w:r w:rsidRPr="00944150">
        <w:rPr>
          <w:rFonts w:ascii="Palatino Linotype" w:eastAsia="MS Mincho" w:hAnsi="Palatino Linotype"/>
          <w:i/>
        </w:rPr>
        <w:t xml:space="preserve"> </w:t>
      </w:r>
      <w:r w:rsidRPr="00944150">
        <w:rPr>
          <w:rFonts w:ascii="Palatino Linotype" w:eastAsia="MS Mincho" w:hAnsi="Palatino Linotype"/>
          <w:b/>
          <w:bCs/>
          <w:i/>
        </w:rPr>
        <w:t>Expedirá una resolución que confirme la inexistencia del documento</w:t>
      </w:r>
      <w:r w:rsidRPr="00944150">
        <w:rPr>
          <w:rFonts w:ascii="Palatino Linotype" w:eastAsia="MS Mincho" w:hAnsi="Palatino Linotype"/>
          <w:i/>
        </w:rPr>
        <w:t>;</w:t>
      </w:r>
    </w:p>
    <w:p w14:paraId="59CB7CE4"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b/>
          <w:bCs/>
          <w:i/>
        </w:rPr>
        <w:t>III.</w:t>
      </w:r>
      <w:r w:rsidRPr="00944150">
        <w:rPr>
          <w:rFonts w:ascii="Palatino Linotype" w:eastAsia="MS Mincho" w:hAnsi="Palatino Linotype"/>
          <w:i/>
        </w:rPr>
        <w:t xml:space="preserve"> </w:t>
      </w:r>
      <w:r w:rsidRPr="00944150">
        <w:rPr>
          <w:rFonts w:ascii="Palatino Linotype" w:eastAsia="MS Mincho" w:hAnsi="Palatino Linotype"/>
          <w:b/>
          <w:bCs/>
          <w:i/>
        </w:rPr>
        <w:t>Ordenará, siempre que sea materialmente posible, que se genere o se reponga la información</w:t>
      </w:r>
      <w:r w:rsidRPr="00944150">
        <w:rPr>
          <w:rFonts w:ascii="Palatino Linotype" w:eastAsia="MS Mincho" w:hAnsi="Palatino Linotype"/>
          <w:i/>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E832AE4"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b/>
          <w:bCs/>
          <w:i/>
        </w:rPr>
        <w:t>IV. Notificará al órgano interno de control o equivalente</w:t>
      </w:r>
      <w:r w:rsidRPr="00944150">
        <w:rPr>
          <w:rFonts w:ascii="Palatino Linotype" w:eastAsia="MS Mincho" w:hAnsi="Palatino Linotype"/>
          <w:i/>
        </w:rPr>
        <w:t xml:space="preserve"> del sujeto obligado </w:t>
      </w:r>
      <w:r w:rsidRPr="00944150">
        <w:rPr>
          <w:rFonts w:ascii="Palatino Linotype" w:eastAsia="MS Mincho" w:hAnsi="Palatino Linotype"/>
          <w:b/>
          <w:bCs/>
          <w:i/>
        </w:rPr>
        <w:t>quien, en su caso, deberá iniciar el procedimiento de responsabilidad administrativa que corresponda</w:t>
      </w:r>
      <w:r w:rsidRPr="00944150">
        <w:rPr>
          <w:rFonts w:ascii="Palatino Linotype" w:eastAsia="MS Mincho" w:hAnsi="Palatino Linotype"/>
          <w:i/>
        </w:rPr>
        <w:t>.</w:t>
      </w:r>
    </w:p>
    <w:p w14:paraId="39115488"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i/>
        </w:rPr>
        <w:t>La Unidad de Transparencia deberá notificarlo al solicitante por escrito, en un plazo que no exceda de quince días hábiles contados a partir del día siguiente a la presentación de la solicitud.</w:t>
      </w:r>
    </w:p>
    <w:p w14:paraId="68E4A7DE"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i/>
        </w:rPr>
        <w:t>Este plazo podrá ampliarse hasta por otros siete días hábiles, siempre que existan razones para ello, debiendo notificarse por escrito al solicitante”.</w:t>
      </w:r>
    </w:p>
    <w:p w14:paraId="2708CDE9" w14:textId="77777777" w:rsidR="00CE450B" w:rsidRPr="00944150" w:rsidRDefault="00CE450B" w:rsidP="00CE450B">
      <w:pPr>
        <w:spacing w:line="276" w:lineRule="auto"/>
        <w:ind w:left="567" w:right="567"/>
        <w:jc w:val="both"/>
        <w:rPr>
          <w:rFonts w:ascii="Palatino Linotype" w:eastAsia="MS Mincho" w:hAnsi="Palatino Linotype"/>
          <w:i/>
        </w:rPr>
      </w:pPr>
    </w:p>
    <w:p w14:paraId="17D02A74" w14:textId="77777777" w:rsidR="00CE450B" w:rsidRPr="00944150" w:rsidRDefault="00CE450B" w:rsidP="00CE450B">
      <w:pPr>
        <w:spacing w:line="276" w:lineRule="auto"/>
        <w:ind w:left="567" w:right="567"/>
        <w:jc w:val="both"/>
        <w:rPr>
          <w:rFonts w:ascii="Palatino Linotype" w:eastAsia="MS Mincho" w:hAnsi="Palatino Linotype"/>
          <w:i/>
        </w:rPr>
      </w:pPr>
      <w:r w:rsidRPr="00944150">
        <w:rPr>
          <w:rFonts w:ascii="Palatino Linotype" w:eastAsia="MS Mincho" w:hAnsi="Palatino Linotype"/>
          <w:i/>
        </w:rPr>
        <w:t>“</w:t>
      </w:r>
      <w:r w:rsidRPr="00944150">
        <w:rPr>
          <w:rFonts w:ascii="Palatino Linotype" w:eastAsia="MS Mincho" w:hAnsi="Palatino Linotype"/>
          <w:b/>
          <w:i/>
        </w:rPr>
        <w:t>Artículo 170.</w:t>
      </w:r>
      <w:r w:rsidRPr="00944150">
        <w:rPr>
          <w:rFonts w:ascii="Palatino Linotype" w:eastAsia="MS Mincho" w:hAnsi="Palatino Linotype"/>
          <w:i/>
        </w:rPr>
        <w:t xml:space="preserve"> </w:t>
      </w:r>
      <w:r w:rsidRPr="00944150">
        <w:rPr>
          <w:rFonts w:ascii="Palatino Linotype" w:eastAsia="MS Mincho" w:hAnsi="Palatino Linotype"/>
          <w:b/>
          <w:bCs/>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944150">
        <w:rPr>
          <w:rFonts w:ascii="Palatino Linotype" w:eastAsia="MS Mincho" w:hAnsi="Palatino Linotype"/>
          <w:i/>
        </w:rPr>
        <w:t xml:space="preserve"> y señalará al servidor público responsable de contar con la misma.”</w:t>
      </w:r>
    </w:p>
    <w:p w14:paraId="27F97092" w14:textId="77777777" w:rsidR="00CE450B" w:rsidRPr="00944150" w:rsidRDefault="00CE450B" w:rsidP="00CE450B">
      <w:pPr>
        <w:spacing w:line="276" w:lineRule="auto"/>
        <w:ind w:left="567" w:right="567"/>
        <w:jc w:val="both"/>
        <w:rPr>
          <w:rFonts w:ascii="Palatino Linotype" w:eastAsia="MS Mincho" w:hAnsi="Palatino Linotype"/>
          <w:iCs/>
        </w:rPr>
      </w:pPr>
      <w:r w:rsidRPr="00944150">
        <w:rPr>
          <w:rFonts w:ascii="Palatino Linotype" w:eastAsia="MS Mincho" w:hAnsi="Palatino Linotype"/>
          <w:iCs/>
        </w:rPr>
        <w:t>(Énfasis añadido)</w:t>
      </w:r>
    </w:p>
    <w:p w14:paraId="27604F02"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34C3BB85"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rPr>
        <w:t>En ese sentido, con el propósito de exponer mayores elementos sobre cómo debe de acordarse la declaratoria de inexistencia, se reproducen los criterios 0003-</w:t>
      </w:r>
      <w:r w:rsidRPr="00944150">
        <w:rPr>
          <w:rFonts w:ascii="Palatino Linotype" w:hAnsi="Palatino Linotype" w:cs="Arial"/>
          <w:color w:val="000000" w:themeColor="text1"/>
        </w:rPr>
        <w:lastRenderedPageBreak/>
        <w:t>11 y 0004-11 aprobados por el Pleno de este Organismo Garante, en la Sesión Ordinaria del veinticinco (25) de agosto de dos mil once, que demuestran claramente el concepto de inexistencia, y en qué circunstancias debe emitirse la declaratoria respectiva.</w:t>
      </w:r>
    </w:p>
    <w:p w14:paraId="53FDB535"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471D8E91" w14:textId="77777777" w:rsidR="00CE450B" w:rsidRPr="00944150" w:rsidRDefault="00CE450B" w:rsidP="00CE450B">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944150">
        <w:rPr>
          <w:rFonts w:ascii="Palatino Linotype" w:eastAsia="MS Mincho" w:hAnsi="Palatino Linotype" w:cs="Arial"/>
          <w:b/>
          <w:i/>
          <w:sz w:val="22"/>
          <w:szCs w:val="22"/>
        </w:rPr>
        <w:t>CRITERIO 0003-11</w:t>
      </w:r>
    </w:p>
    <w:p w14:paraId="53F3221F" w14:textId="77777777" w:rsidR="00CE450B" w:rsidRPr="00944150" w:rsidRDefault="00CE450B" w:rsidP="00CE450B">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3170EA1C" w14:textId="77777777" w:rsidR="00CE450B" w:rsidRPr="00944150" w:rsidRDefault="00CE450B" w:rsidP="00CE450B">
      <w:pPr>
        <w:pStyle w:val="Prrafodelista"/>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b/>
          <w:i/>
          <w:sz w:val="22"/>
          <w:szCs w:val="22"/>
        </w:rPr>
        <w:t>INEXISTENCIA, CONCEPTO DE, EN MATERIA DE TRANSPARENCIA</w:t>
      </w:r>
      <w:r w:rsidRPr="00944150">
        <w:rPr>
          <w:rFonts w:ascii="Palatino Linotype" w:eastAsia="MS Mincho"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3D20EC2"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C8D1978"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0C16E724"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5ADFBAF"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p>
    <w:p w14:paraId="5E9D5DD6" w14:textId="77777777" w:rsidR="00CE450B" w:rsidRPr="00944150" w:rsidRDefault="00CE450B" w:rsidP="00CE450B">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944150">
        <w:rPr>
          <w:rFonts w:ascii="Palatino Linotype" w:eastAsia="MS Mincho" w:hAnsi="Palatino Linotype" w:cs="Arial"/>
          <w:b/>
          <w:i/>
          <w:sz w:val="22"/>
          <w:szCs w:val="22"/>
        </w:rPr>
        <w:t>CRITERIO 0004-11</w:t>
      </w:r>
    </w:p>
    <w:p w14:paraId="5625BED8" w14:textId="77777777" w:rsidR="00CE450B" w:rsidRPr="00944150" w:rsidRDefault="00CE450B" w:rsidP="00CE450B">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01175816"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b/>
          <w:i/>
          <w:sz w:val="22"/>
          <w:szCs w:val="22"/>
        </w:rPr>
        <w:t>INEXISTENCIA. DECLARATORIA DE LA. ALCANCES Y PROCEDIMIENTOS</w:t>
      </w:r>
      <w:r w:rsidRPr="00944150">
        <w:rPr>
          <w:rFonts w:ascii="Palatino Linotype" w:eastAsia="MS Mincho"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944150">
        <w:rPr>
          <w:rFonts w:ascii="Palatino Linotype" w:eastAsia="MS Mincho" w:hAnsi="Palatino Linotype" w:cs="Arial"/>
          <w:i/>
          <w:sz w:val="22"/>
          <w:szCs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79B01E1"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Bajo el entendido de que dicha búsqueda exhaustiva permitirá dos determinaciones:</w:t>
      </w:r>
    </w:p>
    <w:p w14:paraId="10A4164B"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1ª) Que se localice la documentación que contenga la información solicitada y de ser así la información pueda entregarse al solicitante en la forma en que se encuentra disponible, o</w:t>
      </w:r>
    </w:p>
    <w:p w14:paraId="01F7FC83"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19EE916" w14:textId="77777777" w:rsidR="00CE450B" w:rsidRPr="00944150" w:rsidRDefault="00CE450B" w:rsidP="00CE450B">
      <w:pPr>
        <w:pStyle w:val="Prrafodelista"/>
        <w:tabs>
          <w:tab w:val="left" w:pos="8647"/>
        </w:tabs>
        <w:spacing w:line="276" w:lineRule="auto"/>
        <w:ind w:left="567" w:right="567"/>
        <w:jc w:val="both"/>
        <w:rPr>
          <w:rFonts w:ascii="Palatino Linotype" w:eastAsia="MS Mincho" w:hAnsi="Palatino Linotype" w:cs="Arial"/>
          <w:i/>
          <w:sz w:val="22"/>
          <w:szCs w:val="22"/>
        </w:rPr>
      </w:pPr>
      <w:r w:rsidRPr="00944150">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860AD03"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5FDA2986"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944150">
        <w:rPr>
          <w:rFonts w:ascii="Palatino Linotype" w:hAnsi="Palatino Linotype" w:cs="Arial"/>
          <w:b/>
          <w:color w:val="000000" w:themeColor="text1"/>
        </w:rPr>
        <w:t>SUJETO OBLIGADO</w:t>
      </w:r>
      <w:r w:rsidRPr="00944150">
        <w:rPr>
          <w:rFonts w:ascii="Palatino Linotype" w:hAnsi="Palatino Linotype" w:cs="Arial"/>
          <w:color w:val="000000" w:themeColor="text1"/>
        </w:rPr>
        <w:t xml:space="preserve">, esto es, que la información se generó, poseyó o administró en el marco de las atribuciones conferidas al </w:t>
      </w:r>
      <w:r w:rsidRPr="00944150">
        <w:rPr>
          <w:rFonts w:ascii="Palatino Linotype" w:hAnsi="Palatino Linotype" w:cs="Arial"/>
          <w:b/>
          <w:color w:val="000000" w:themeColor="text1"/>
        </w:rPr>
        <w:t xml:space="preserve">SUJETO OBLIGADO </w:t>
      </w:r>
      <w:r w:rsidRPr="00944150">
        <w:rPr>
          <w:rFonts w:ascii="Palatino Linotype" w:hAnsi="Palatino Linotype" w:cs="Arial"/>
          <w:color w:val="000000" w:themeColor="text1"/>
        </w:rPr>
        <w:t xml:space="preserve">pero no la conserva por diversas razones (destrucción física, desaparición física, sustracción ilícita, </w:t>
      </w:r>
      <w:r w:rsidRPr="00CE450B">
        <w:rPr>
          <w:rFonts w:ascii="Palatino Linotype" w:hAnsi="Palatino Linotype" w:cs="Arial"/>
          <w:color w:val="000000" w:themeColor="text1"/>
        </w:rPr>
        <w:t>baja documental</w:t>
      </w:r>
      <w:r w:rsidRPr="00944150">
        <w:rPr>
          <w:rFonts w:ascii="Palatino Linotype" w:hAnsi="Palatino Linotype" w:cs="Arial"/>
          <w:color w:val="000000" w:themeColor="text1"/>
        </w:rPr>
        <w:t>, etcétera).</w:t>
      </w:r>
    </w:p>
    <w:p w14:paraId="4F77E6ED"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45E2E57E"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olor w:val="000000" w:themeColor="text1"/>
        </w:rPr>
        <w:lastRenderedPageBreak/>
        <w:t xml:space="preserve">En </w:t>
      </w:r>
      <w:r w:rsidRPr="00944150">
        <w:rPr>
          <w:rFonts w:ascii="Palatino Linotype" w:hAnsi="Palatino Linotype" w:cs="Arial"/>
          <w:color w:val="000000" w:themeColor="text1"/>
        </w:rPr>
        <w:t xml:space="preserve">consecuencia, </w:t>
      </w:r>
      <w:r w:rsidRPr="00944150">
        <w:rPr>
          <w:rFonts w:ascii="Palatino Linotype" w:hAnsi="Palatino Linotype" w:cs="Arial"/>
          <w:bCs/>
          <w:color w:val="000000" w:themeColor="text1"/>
        </w:rPr>
        <w:t>el</w:t>
      </w:r>
      <w:r w:rsidRPr="00944150">
        <w:rPr>
          <w:rFonts w:ascii="Palatino Linotype" w:hAnsi="Palatino Linotype" w:cs="Arial"/>
          <w:b/>
          <w:color w:val="000000" w:themeColor="text1"/>
        </w:rPr>
        <w:t xml:space="preserve"> SUJETO OBLIGADO </w:t>
      </w:r>
      <w:r w:rsidRPr="00944150">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944150">
        <w:rPr>
          <w:rFonts w:ascii="Palatino Linotype" w:hAnsi="Palatino Linotype" w:cs="Arial"/>
          <w:b/>
          <w:bCs/>
          <w:color w:val="000000" w:themeColor="text1"/>
        </w:rPr>
        <w:t>RECURRENTE</w:t>
      </w:r>
      <w:r w:rsidRPr="00944150">
        <w:rPr>
          <w:rFonts w:ascii="Palatino Linotype" w:hAnsi="Palatino Linotype" w:cs="Arial"/>
          <w:color w:val="000000" w:themeColor="text1"/>
        </w:rPr>
        <w:t>, en los siguientes términos:</w:t>
      </w:r>
    </w:p>
    <w:p w14:paraId="2C8AF2FC" w14:textId="77777777" w:rsidR="00CE450B" w:rsidRPr="00944150" w:rsidRDefault="00CE450B" w:rsidP="00CE450B">
      <w:pPr>
        <w:numPr>
          <w:ilvl w:val="1"/>
          <w:numId w:val="1"/>
        </w:numPr>
        <w:spacing w:line="360" w:lineRule="auto"/>
        <w:ind w:left="993" w:right="49"/>
        <w:contextualSpacing/>
        <w:jc w:val="both"/>
        <w:rPr>
          <w:rFonts w:ascii="Palatino Linotype" w:hAnsi="Palatino Linotype" w:cs="Arial"/>
          <w:color w:val="000000" w:themeColor="text1"/>
        </w:rPr>
      </w:pPr>
      <w:r w:rsidRPr="00944150">
        <w:rPr>
          <w:rFonts w:ascii="Palatino Linotype" w:hAnsi="Palatino Linotype" w:cs="Arial"/>
          <w:color w:val="000000" w:themeColor="text1"/>
        </w:rPr>
        <w:t xml:space="preserve">Deberá </w:t>
      </w:r>
      <w:r w:rsidRPr="00944150">
        <w:rPr>
          <w:rFonts w:ascii="Palatino Linotype" w:hAnsi="Palatino Linotype" w:cs="Arial"/>
          <w:color w:val="000000" w:themeColor="text1"/>
          <w:lang w:val="es-ES"/>
        </w:rPr>
        <w:t>emitir el Acuerdo de Inexistencia respectivo, en el entendido, que el acto de autoridad debe estar debidamente fundado y razonado.</w:t>
      </w:r>
    </w:p>
    <w:p w14:paraId="699869B6" w14:textId="77777777" w:rsidR="00CE450B" w:rsidRPr="00944150" w:rsidRDefault="00CE450B" w:rsidP="00CE450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944150">
        <w:rPr>
          <w:rFonts w:ascii="Palatino Linotype" w:hAnsi="Palatino Linotype" w:cs="Arial"/>
          <w:color w:val="000000" w:themeColor="text1"/>
        </w:rPr>
        <w:t xml:space="preserve">Señalará </w:t>
      </w:r>
      <w:r w:rsidRPr="00944150">
        <w:rPr>
          <w:rFonts w:ascii="Palatino Linotype" w:hAnsi="Palatino Linotype" w:cs="Arial"/>
          <w:color w:val="000000" w:themeColor="text1"/>
          <w:lang w:val="es-ES"/>
        </w:rPr>
        <w:t>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171C65DA"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377C23E7" w14:textId="77777777" w:rsidR="00CE450B" w:rsidRPr="00A44145"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lang w:val="es-ES"/>
        </w:rPr>
        <w:t xml:space="preserve">Lo </w:t>
      </w:r>
      <w:r w:rsidRPr="00944150">
        <w:rPr>
          <w:rFonts w:ascii="Palatino Linotype" w:hAnsi="Palatino Linotype" w:cs="Arial"/>
          <w:color w:val="000000" w:themeColor="text1"/>
        </w:rPr>
        <w:t xml:space="preserve">anterior es así, toda vez que </w:t>
      </w:r>
      <w:r w:rsidRPr="00944150">
        <w:rPr>
          <w:rFonts w:ascii="Palatino Linotype" w:hAnsi="Palatino Linotype" w:cs="Arial"/>
          <w:b/>
          <w:color w:val="000000" w:themeColor="text1"/>
          <w:u w:val="single"/>
        </w:rPr>
        <w:t>es necesaria</w:t>
      </w:r>
      <w:r w:rsidRPr="00944150">
        <w:rPr>
          <w:rFonts w:ascii="Palatino Linotype" w:hAnsi="Palatino Linotype" w:cs="Arial"/>
          <w:color w:val="000000" w:themeColor="text1"/>
        </w:rPr>
        <w:t xml:space="preserve"> la emisión del acuerdo de inexistencia en aquellos casos en que el </w:t>
      </w:r>
      <w:r w:rsidRPr="00944150">
        <w:rPr>
          <w:rFonts w:ascii="Palatino Linotype" w:hAnsi="Palatino Linotype" w:cs="Arial"/>
          <w:b/>
          <w:color w:val="000000" w:themeColor="text1"/>
        </w:rPr>
        <w:t xml:space="preserve">SUJETO OBLIGADO </w:t>
      </w:r>
      <w:r w:rsidRPr="00944150">
        <w:rPr>
          <w:rFonts w:ascii="Palatino Linotype" w:hAnsi="Palatino Linotype" w:cs="Arial"/>
          <w:b/>
          <w:color w:val="000000" w:themeColor="text1"/>
          <w:u w:val="single"/>
        </w:rPr>
        <w:t>generó</w:t>
      </w:r>
      <w:r w:rsidRPr="00944150">
        <w:rPr>
          <w:rFonts w:ascii="Palatino Linotype" w:hAnsi="Palatino Linotype" w:cs="Arial"/>
          <w:b/>
          <w:color w:val="000000" w:themeColor="text1"/>
        </w:rPr>
        <w:t xml:space="preserve"> </w:t>
      </w:r>
      <w:r w:rsidRPr="00944150">
        <w:rPr>
          <w:rFonts w:ascii="Palatino Linotype" w:hAnsi="Palatino Linotype" w:cs="Arial"/>
          <w:color w:val="000000" w:themeColor="text1"/>
        </w:rPr>
        <w:t>la información solicitada empero previa búsqueda exhaustiva y minuciosa de la misma, no localiza la información requerida.</w:t>
      </w:r>
    </w:p>
    <w:p w14:paraId="307A283D" w14:textId="77777777" w:rsidR="00CE450B" w:rsidRPr="00A44145" w:rsidRDefault="00CE450B" w:rsidP="00CE450B">
      <w:pPr>
        <w:pStyle w:val="Prrafodelista"/>
        <w:rPr>
          <w:rFonts w:ascii="Palatino Linotype" w:hAnsi="Palatino Linotype"/>
          <w:color w:val="000000" w:themeColor="text1"/>
        </w:rPr>
      </w:pPr>
    </w:p>
    <w:p w14:paraId="59668566"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En </w:t>
      </w:r>
      <w:r w:rsidRPr="00944150">
        <w:rPr>
          <w:rFonts w:ascii="Palatino Linotype" w:hAnsi="Palatino Linotype" w:cs="Arial"/>
          <w:color w:val="000000" w:themeColor="text1"/>
        </w:rPr>
        <w:t xml:space="preserve">ese caso, su Comité de Transparencia tiene el deber de emitir un Acuerdo de Inexistencia, el cual -se insiste-, se dicta en aquellos supuestos en los que si bien la información solicitada la genera, posee o administra el </w:t>
      </w:r>
      <w:r w:rsidRPr="00944150">
        <w:rPr>
          <w:rFonts w:ascii="Palatino Linotype" w:hAnsi="Palatino Linotype" w:cs="Arial"/>
          <w:b/>
          <w:color w:val="000000" w:themeColor="text1"/>
        </w:rPr>
        <w:t>SUJETO OBLIGADO</w:t>
      </w:r>
      <w:r w:rsidRPr="00944150">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4D1880B5"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400E73C0" w14:textId="77777777" w:rsidR="00CE450B" w:rsidRPr="00944150"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14:paraId="057B57FB" w14:textId="77777777" w:rsidR="00CE450B" w:rsidRPr="00944150" w:rsidRDefault="00CE450B" w:rsidP="00CE450B">
      <w:pPr>
        <w:pStyle w:val="Prrafodelista"/>
        <w:tabs>
          <w:tab w:val="left" w:pos="426"/>
        </w:tabs>
        <w:spacing w:before="240" w:after="240" w:line="360" w:lineRule="auto"/>
        <w:ind w:left="0" w:right="51"/>
        <w:jc w:val="both"/>
        <w:rPr>
          <w:rFonts w:ascii="Palatino Linotype" w:hAnsi="Palatino Linotype"/>
          <w:color w:val="000000" w:themeColor="text1"/>
        </w:rPr>
      </w:pPr>
    </w:p>
    <w:p w14:paraId="10907B21" w14:textId="67EAF9BE" w:rsidR="00CE450B" w:rsidRDefault="00CE450B" w:rsidP="00CE45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4150">
        <w:rPr>
          <w:rFonts w:ascii="Palatino Linotype" w:hAnsi="Palatino Linotype" w:cs="Arial"/>
          <w:color w:val="000000" w:themeColor="text1"/>
        </w:rPr>
        <w:t xml:space="preserve">Criterios y fundamentos que el </w:t>
      </w:r>
      <w:r w:rsidRPr="00944150">
        <w:rPr>
          <w:rFonts w:ascii="Palatino Linotype" w:hAnsi="Palatino Linotype" w:cs="Arial"/>
          <w:b/>
          <w:color w:val="000000" w:themeColor="text1"/>
        </w:rPr>
        <w:t>SUJETO OBLIGADO</w:t>
      </w:r>
      <w:r w:rsidRPr="00944150">
        <w:rPr>
          <w:rFonts w:ascii="Palatino Linotype" w:hAnsi="Palatino Linotype" w:cs="Arial"/>
          <w:color w:val="000000" w:themeColor="text1"/>
        </w:rPr>
        <w:t xml:space="preserve"> deberá considerar para la emisión del Acuerdo por el cual se declare la inexistencia de la información peticionada.</w:t>
      </w:r>
    </w:p>
    <w:p w14:paraId="5FC58660" w14:textId="77777777" w:rsidR="00FE3235" w:rsidRPr="00A63AD7" w:rsidRDefault="00FE3235" w:rsidP="00FE3235">
      <w:pPr>
        <w:pStyle w:val="Prrafodelista"/>
        <w:tabs>
          <w:tab w:val="left" w:pos="426"/>
        </w:tabs>
        <w:spacing w:before="240" w:after="240" w:line="360" w:lineRule="auto"/>
        <w:ind w:left="0" w:right="51"/>
        <w:jc w:val="both"/>
        <w:rPr>
          <w:rFonts w:ascii="Palatino Linotype" w:hAnsi="Palatino Linotype"/>
          <w:color w:val="000000" w:themeColor="text1"/>
        </w:rPr>
      </w:pPr>
    </w:p>
    <w:p w14:paraId="118F9137" w14:textId="270B364E" w:rsidR="006149C2" w:rsidRPr="006149C2" w:rsidRDefault="006149C2" w:rsidP="006149C2">
      <w:pPr>
        <w:pStyle w:val="Prrafodelista"/>
        <w:tabs>
          <w:tab w:val="left" w:pos="426"/>
        </w:tabs>
        <w:spacing w:before="240" w:after="240" w:line="360" w:lineRule="auto"/>
        <w:ind w:left="0" w:right="51"/>
        <w:jc w:val="both"/>
        <w:outlineLvl w:val="1"/>
        <w:rPr>
          <w:rFonts w:ascii="Palatino Linotype" w:hAnsi="Palatino Linotype" w:cs="Arial"/>
          <w:b/>
          <w:color w:val="000000" w:themeColor="text1"/>
        </w:rPr>
      </w:pPr>
      <w:r>
        <w:rPr>
          <w:rFonts w:ascii="Palatino Linotype" w:hAnsi="Palatino Linotype" w:cs="Arial"/>
          <w:b/>
          <w:color w:val="000000" w:themeColor="text1"/>
        </w:rPr>
        <w:t>QUINTO. De la versión pública.</w:t>
      </w:r>
    </w:p>
    <w:p w14:paraId="4BC29BC2" w14:textId="77777777" w:rsidR="006149C2" w:rsidRPr="006149C2"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B88B713"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Debe </w:t>
      </w:r>
      <w:r w:rsidRPr="00F01443">
        <w:rPr>
          <w:rFonts w:ascii="Palatino Linotype" w:hAnsi="Palatino Linotype"/>
          <w:color w:val="000000" w:themeColor="text1"/>
        </w:rPr>
        <w:t xml:space="preserve">destacarse que, debido a la naturaleza de la información </w:t>
      </w:r>
      <w:r w:rsidRPr="00BB6ADD">
        <w:rPr>
          <w:rFonts w:ascii="Palatino Linotype" w:hAnsi="Palatino Linotype"/>
          <w:bCs/>
          <w:color w:val="000000" w:themeColor="text1"/>
        </w:rPr>
        <w:t>solicitada</w:t>
      </w:r>
      <w:r>
        <w:rPr>
          <w:rFonts w:ascii="Palatino Linotype" w:hAnsi="Palatino Linotype"/>
          <w:bCs/>
          <w:color w:val="000000" w:themeColor="text1"/>
        </w:rPr>
        <w:t xml:space="preserve">, </w:t>
      </w:r>
      <w:r w:rsidRPr="00BB6ADD">
        <w:rPr>
          <w:rFonts w:ascii="Palatino Linotype" w:hAnsi="Palatino Linotype"/>
          <w:bCs/>
          <w:color w:val="000000" w:themeColor="text1"/>
        </w:rPr>
        <w:t>eventualmente</w:t>
      </w:r>
      <w:r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6E417CA"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7716996"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62325E">
        <w:rPr>
          <w:rFonts w:ascii="Palatino Linotype" w:hAnsi="Palatino Linotype" w:cs="Arial"/>
          <w:color w:val="000000" w:themeColor="text1"/>
        </w:rPr>
        <w:lastRenderedPageBreak/>
        <w:t>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4EC8B18"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1A0C4E8"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FAE99B4"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84B4251" w14:textId="77777777" w:rsidR="00635127" w:rsidRPr="00020F92"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3A3BFE0C"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2A8DE1A3"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015E470"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2E95556"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C7B8401"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9840A4F"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98C516B"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71C2BBF" w14:textId="77777777" w:rsidR="00635127" w:rsidRPr="00020F92"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4EC708DD"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44ABF541"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3EC98D4"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6AFCB2A" w14:textId="77777777" w:rsidR="00635127" w:rsidRPr="00FF335C"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111F568" w14:textId="77777777" w:rsidR="00635127"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39006708" w14:textId="77777777" w:rsidR="00635127" w:rsidRPr="00F01443"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lastRenderedPageBreak/>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F7D65FC" w14:textId="77777777" w:rsidR="00635127" w:rsidRPr="00F01443"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8BE6AB5" w14:textId="77777777" w:rsidR="00635127" w:rsidRPr="00F01443"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C108CC0" w14:textId="77777777" w:rsidR="00635127" w:rsidRPr="00F01443"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1F48A46" w14:textId="77777777" w:rsidR="00635127" w:rsidRPr="00F01443"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D698841" w14:textId="77777777" w:rsidR="00635127" w:rsidRPr="00FF335C"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449D03E0"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AA6F2E"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3782A80"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40354D5"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5EDA2B2C" w14:textId="77777777" w:rsidR="00635127" w:rsidRPr="00FF335C"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2B70EDF" w14:textId="77777777" w:rsidR="00635127"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73C283AF"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42C863"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0E4287"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0F1AF03D"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177F1AAC"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022EE90B"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5CAEF315"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3EB04D4A"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0C91E681"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54449570"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6625DAD4"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548DB7E"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71960DD"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3A5F44C" w14:textId="77777777" w:rsidR="00635127" w:rsidRPr="00F01443"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099E4AC" w14:textId="77777777" w:rsidR="00635127"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4AE664E3" w14:textId="77777777" w:rsidR="00635127" w:rsidRDefault="00635127" w:rsidP="00635127">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3AD3FFB2" wp14:editId="720521DC">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B94078" w14:textId="77777777" w:rsidR="00635127" w:rsidRPr="00FF335C"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4EAF390"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48ECF73"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25B95D99" w14:textId="77777777" w:rsidR="00635127" w:rsidRPr="00020F92"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534882EF" w14:textId="77777777" w:rsidR="00635127" w:rsidRPr="00020F92" w:rsidRDefault="00635127" w:rsidP="00635127">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1FD3E830"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1F7F395B"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C80936"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B163C74"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F19EDE7"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50C8A6DC"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3CB62E26"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41534AF" w14:textId="77777777" w:rsidR="00635127" w:rsidRPr="00020F92" w:rsidRDefault="00635127" w:rsidP="00635127">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2C92DEFD"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19815958"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4D38BF"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786BE92"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49AFF2"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0EFA6A3"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34D89F3F"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561FA3E" w14:textId="77777777" w:rsidR="00635127" w:rsidRPr="00FF335C"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9"/>
      </w:r>
      <w:r w:rsidRPr="0062325E">
        <w:rPr>
          <w:rFonts w:ascii="Palatino Linotype" w:eastAsia="MS Mincho" w:hAnsi="Palatino Linotype" w:cs="Times New Roman"/>
        </w:rPr>
        <w:t xml:space="preserve"> respecto a qué debe entenderse por fundamentación y motivación, en los siguientes términos:</w:t>
      </w:r>
    </w:p>
    <w:p w14:paraId="4ACA0BDE" w14:textId="77777777" w:rsidR="00635127"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44361A7E" w14:textId="77777777" w:rsidR="00635127" w:rsidRPr="003E6079" w:rsidRDefault="00635127" w:rsidP="00635127">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A31B41" w14:textId="77777777" w:rsidR="00635127" w:rsidRPr="00FF335C"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E597165"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5FEEEF"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35E05FD"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189978"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FC47345" w14:textId="77777777" w:rsidR="00635127"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E8726BD" w14:textId="77777777" w:rsidR="00635127"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9498458" w14:textId="11E5E021" w:rsidR="006149C2" w:rsidRPr="006149C2"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4947C6D" w14:textId="77777777" w:rsidR="00DF6794"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5DB7A533" w:rsidR="00C65875" w:rsidRPr="00C65875" w:rsidRDefault="006149C2"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SEXTO</w:t>
      </w:r>
      <w:r w:rsidR="00C6587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6932D0E0" w:rsidR="00C65875" w:rsidRPr="006B218B"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A</w:t>
      </w:r>
      <w:r w:rsidR="00CE450B">
        <w:rPr>
          <w:rFonts w:ascii="Palatino Linotype" w:hAnsi="Palatino Linotype" w:cs="Arial"/>
          <w:lang w:eastAsia="es-MX"/>
        </w:rPr>
        <w:t xml:space="preserve"> lo largo del presente estudio se analizó el concepto y marco legal que recubren a las obras públicas; asimismo, mediante fuentes oficiales de información y documentos públicos, se demostró la existencia de la obra pública específica solicitada por el </w:t>
      </w:r>
      <w:r w:rsidR="00CE450B">
        <w:rPr>
          <w:rFonts w:ascii="Palatino Linotype" w:hAnsi="Palatino Linotype" w:cs="Arial"/>
          <w:b/>
          <w:lang w:eastAsia="es-MX"/>
        </w:rPr>
        <w:t>RECURRENTE</w:t>
      </w:r>
      <w:r w:rsidR="00CE450B">
        <w:rPr>
          <w:rFonts w:ascii="Palatino Linotype" w:hAnsi="Palatino Linotype" w:cs="Arial"/>
          <w:lang w:eastAsia="es-MX"/>
        </w:rPr>
        <w:t xml:space="preserve">. Por lo tanto, se ordenó al </w:t>
      </w:r>
      <w:r w:rsidR="00CE450B">
        <w:rPr>
          <w:rFonts w:ascii="Palatino Linotype" w:hAnsi="Palatino Linotype" w:cs="Arial"/>
          <w:b/>
          <w:lang w:eastAsia="es-MX"/>
        </w:rPr>
        <w:t>SUJETO OBLIGADO</w:t>
      </w:r>
      <w:r w:rsidR="00CE450B">
        <w:rPr>
          <w:rFonts w:ascii="Palatino Linotype" w:hAnsi="Palatino Linotype" w:cs="Arial"/>
          <w:lang w:eastAsia="es-MX"/>
        </w:rPr>
        <w:t xml:space="preserve"> realizar una nueva búsqueda de la información solicitada.</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A7B6EAF"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lastRenderedPageBreak/>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parcialmente</w:t>
      </w:r>
      <w:r w:rsidR="00094B41">
        <w:rPr>
          <w:rFonts w:ascii="Palatino Linotype" w:eastAsia="MS Mincho" w:hAnsi="Palatino Linotype" w:cstheme="majorBidi"/>
          <w:lang w:val="es-ES"/>
        </w:rPr>
        <w:t xml:space="preserve"> </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D708C2">
        <w:rPr>
          <w:rFonts w:ascii="Palatino Linotype" w:eastAsia="MS Mincho" w:hAnsi="Palatino Linotype" w:cstheme="majorBidi"/>
          <w:b/>
          <w:bCs/>
          <w:lang w:val="es-ES"/>
        </w:rPr>
        <w:t>00128/INFOEM/IP/RR/2023</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D708C2">
        <w:rPr>
          <w:rFonts w:ascii="Palatino Linotype" w:eastAsia="MS Mincho" w:hAnsi="Palatino Linotype" w:cstheme="majorBidi"/>
          <w:b/>
          <w:lang w:val="es-ES"/>
        </w:rPr>
        <w:t>00139/JOCOTIT/IP/2022</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2603B9B8" w:rsidR="00A73C04" w:rsidRDefault="00A73C04">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A73C04">
        <w:rPr>
          <w:b/>
          <w:color w:val="000000" w:themeColor="text1"/>
          <w:sz w:val="28"/>
          <w:szCs w:val="24"/>
        </w:rPr>
        <w:t>R E S O L U T I V O S</w:t>
      </w:r>
      <w:bookmarkEnd w:id="20"/>
      <w:bookmarkEnd w:id="21"/>
      <w:bookmarkEnd w:id="25"/>
      <w:bookmarkEnd w:id="26"/>
      <w:bookmarkEnd w:id="27"/>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00C31175"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sidR="00743CAC">
        <w:rPr>
          <w:rFonts w:ascii="Palatino Linotype" w:eastAsia="Times New Roman" w:hAnsi="Palatino Linotype" w:cs="Arial"/>
        </w:rPr>
        <w:t xml:space="preserve">Resultan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00291D91">
        <w:rPr>
          <w:rFonts w:ascii="Palatino Linotype" w:eastAsia="Calibri" w:hAnsi="Palatino Linotype" w:cs="Arial"/>
          <w:lang w:val="es-ES"/>
        </w:rPr>
        <w:t>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D708C2">
        <w:rPr>
          <w:rFonts w:ascii="Palatino Linotype" w:eastAsia="Times New Roman" w:hAnsi="Palatino Linotype" w:cs="Times New Roman"/>
          <w:b/>
        </w:rPr>
        <w:t>00128/INFOEM/IP/RR/2023</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743CAC">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743CAC">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743CAC">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743CAC">
        <w:rPr>
          <w:rFonts w:ascii="Palatino Linotype" w:eastAsia="Times New Roman" w:hAnsi="Palatino Linotype" w:cs="Times New Roman"/>
        </w:rPr>
        <w:t xml:space="preserve">y </w:t>
      </w:r>
      <w:r w:rsidR="00743CAC" w:rsidRPr="00743CAC">
        <w:rPr>
          <w:rFonts w:ascii="Palatino Linotype" w:eastAsia="Times New Roman" w:hAnsi="Palatino Linotype" w:cs="Times New Roman"/>
          <w:b/>
        </w:rPr>
        <w:t>QUINTO</w:t>
      </w:r>
      <w:r w:rsidR="00743CAC">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2A288E5F" w14:textId="09595276" w:rsidR="00743CAC" w:rsidRDefault="00743CAC" w:rsidP="00743CAC">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3F3757">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D708C2">
        <w:rPr>
          <w:rFonts w:ascii="Palatino Linotype" w:eastAsia="Calibri" w:hAnsi="Palatino Linotype" w:cs="Arial"/>
          <w:b/>
        </w:rPr>
        <w:t>Ayuntamiento de Jocotitlán</w:t>
      </w:r>
      <w:r>
        <w:rPr>
          <w:rFonts w:ascii="Palatino Linotype" w:eastAsia="Calibri" w:hAnsi="Palatino Linotype" w:cs="Arial"/>
          <w:bCs/>
        </w:rPr>
        <w:t xml:space="preserve"> a la solicitud </w:t>
      </w:r>
      <w:r w:rsidR="00D708C2">
        <w:rPr>
          <w:rFonts w:ascii="Palatino Linotype" w:eastAsia="MS Mincho" w:hAnsi="Palatino Linotype" w:cstheme="majorBidi"/>
          <w:b/>
          <w:lang w:val="es-ES"/>
        </w:rPr>
        <w:t>00139/JOCOTIT/IP/2022</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28" w:name="_Toc460947013"/>
      <w:r>
        <w:rPr>
          <w:rFonts w:ascii="Palatino Linotype" w:eastAsia="Calibri" w:hAnsi="Palatino Linotype" w:cs="Arial"/>
          <w:lang w:val="es-ES"/>
        </w:rPr>
        <w:t>vía Sistema de Acceso a la Información Pública Mexiquense (SAIMEX)</w:t>
      </w:r>
      <w:r>
        <w:rPr>
          <w:rFonts w:ascii="Palatino Linotype" w:eastAsia="Times New Roman" w:hAnsi="Palatino Linotype" w:cs="Arial"/>
          <w:color w:val="000000"/>
        </w:rPr>
        <w:t xml:space="preserve">, </w:t>
      </w:r>
      <w:r w:rsidR="00871304">
        <w:rPr>
          <w:rFonts w:ascii="Palatino Linotype" w:eastAsia="Times New Roman" w:hAnsi="Palatino Linotype" w:cs="Arial"/>
          <w:color w:val="000000"/>
        </w:rPr>
        <w:t xml:space="preserve">en versión pública de ser procedente, los documentos donde conste </w:t>
      </w:r>
      <w:r w:rsidR="00821ACB">
        <w:rPr>
          <w:rFonts w:ascii="Palatino Linotype" w:eastAsia="Times New Roman" w:hAnsi="Palatino Linotype" w:cs="Arial"/>
          <w:color w:val="000000"/>
        </w:rPr>
        <w:t>lo siguiente</w:t>
      </w:r>
      <w:r>
        <w:rPr>
          <w:rFonts w:ascii="Palatino Linotype" w:eastAsia="Times New Roman" w:hAnsi="Palatino Linotype" w:cs="Arial"/>
          <w:color w:val="000000"/>
        </w:rPr>
        <w:t xml:space="preserve">: </w:t>
      </w:r>
    </w:p>
    <w:p w14:paraId="5A34926D" w14:textId="56AFE65D" w:rsidR="00821ACB" w:rsidRPr="00821ACB" w:rsidRDefault="00CE450B"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Pr>
          <w:rFonts w:ascii="Palatino Linotype" w:hAnsi="Palatino Linotype"/>
          <w:b/>
          <w:color w:val="000000" w:themeColor="text1"/>
        </w:rPr>
        <w:lastRenderedPageBreak/>
        <w:t xml:space="preserve">De la obra pública identificada con la clave presupuestaria 1235-106-001, </w:t>
      </w:r>
      <w:r w:rsidR="0062726B">
        <w:rPr>
          <w:rFonts w:ascii="Palatino Linotype" w:hAnsi="Palatino Linotype"/>
          <w:b/>
          <w:color w:val="000000" w:themeColor="text1"/>
        </w:rPr>
        <w:t xml:space="preserve">consistente en la construcción de techumbre en el Lienzo Charro </w:t>
      </w:r>
      <w:r w:rsidR="0062726B">
        <w:rPr>
          <w:rFonts w:ascii="Palatino Linotype" w:hAnsi="Palatino Linotype"/>
          <w:b/>
          <w:i/>
          <w:color w:val="000000" w:themeColor="text1"/>
        </w:rPr>
        <w:t>“Ernesto Peralta Quintero”</w:t>
      </w:r>
      <w:r w:rsidR="0062726B">
        <w:rPr>
          <w:rFonts w:ascii="Palatino Linotype" w:hAnsi="Palatino Linotype"/>
          <w:b/>
          <w:color w:val="000000" w:themeColor="text1"/>
        </w:rPr>
        <w:t>:</w:t>
      </w:r>
    </w:p>
    <w:p w14:paraId="5FAA45D9" w14:textId="380BB0FD" w:rsidR="00821ACB" w:rsidRDefault="0062726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Pr>
          <w:rFonts w:ascii="Palatino Linotype" w:hAnsi="Palatino Linotype"/>
          <w:b/>
          <w:color w:val="000000" w:themeColor="text1"/>
        </w:rPr>
        <w:t>Contrato;</w:t>
      </w:r>
    </w:p>
    <w:p w14:paraId="3391BAB8" w14:textId="7425DCB7" w:rsidR="0062726B" w:rsidRDefault="0062726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Pr>
          <w:rFonts w:ascii="Palatino Linotype" w:hAnsi="Palatino Linotype"/>
          <w:b/>
          <w:color w:val="000000" w:themeColor="text1"/>
        </w:rPr>
        <w:t>Acta o Actas de Sesión de Cabildo en las que se autorizó su ejecución;</w:t>
      </w:r>
    </w:p>
    <w:p w14:paraId="6B914DAA" w14:textId="18BD2A23" w:rsidR="0062726B" w:rsidRDefault="0062726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Pr>
          <w:rFonts w:ascii="Palatino Linotype" w:hAnsi="Palatino Linotype"/>
          <w:b/>
          <w:color w:val="000000" w:themeColor="text1"/>
        </w:rPr>
        <w:t>Oficios de autorización del Gobierno Estatal y/o Federal; y</w:t>
      </w:r>
    </w:p>
    <w:p w14:paraId="7693A210" w14:textId="6990F6E5" w:rsidR="0062726B" w:rsidRPr="00821ACB" w:rsidRDefault="0062726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Pr>
          <w:rFonts w:ascii="Palatino Linotype" w:hAnsi="Palatino Linotype"/>
          <w:b/>
          <w:color w:val="000000" w:themeColor="text1"/>
        </w:rPr>
        <w:t>Actas de Apertura y Fallo del procedimiento de adjudicación.</w:t>
      </w:r>
    </w:p>
    <w:p w14:paraId="0A9E6057" w14:textId="77777777" w:rsidR="00871304" w:rsidRDefault="00871304" w:rsidP="00871304">
      <w:pPr>
        <w:tabs>
          <w:tab w:val="left" w:pos="993"/>
        </w:tabs>
        <w:spacing w:line="360" w:lineRule="auto"/>
        <w:jc w:val="both"/>
        <w:rPr>
          <w:rFonts w:ascii="Palatino Linotype" w:eastAsia="Calibri" w:hAnsi="Palatino Linotype" w:cs="Arial"/>
        </w:rPr>
      </w:pPr>
      <w:r w:rsidRPr="00267985">
        <w:rPr>
          <w:rFonts w:ascii="Palatino Linotype" w:hAnsi="Palatino Linotype"/>
          <w:color w:val="000000"/>
        </w:rPr>
        <w:t xml:space="preserve">Para </w:t>
      </w:r>
      <w:r w:rsidRPr="00267985">
        <w:rPr>
          <w:rFonts w:ascii="Palatino Linotype" w:eastAsia="Calibri" w:hAnsi="Palatino Linotype" w:cs="Arial"/>
        </w:rPr>
        <w:t>efectos de lo anterior se deberá emitir el Acuerdo del Comité de Transparencia en términos de los artículos 49</w:t>
      </w:r>
      <w:r>
        <w:rPr>
          <w:rFonts w:ascii="Palatino Linotype" w:eastAsia="Calibri" w:hAnsi="Palatino Linotype" w:cs="Arial"/>
        </w:rPr>
        <w:t>,</w:t>
      </w:r>
      <w:r w:rsidRPr="00267985">
        <w:rPr>
          <w:rFonts w:ascii="Palatino Linotype" w:eastAsia="Calibri" w:hAnsi="Palatino Linotype" w:cs="Arial"/>
        </w:rPr>
        <w:t xml:space="preserve"> fracción VIII</w:t>
      </w:r>
      <w:r>
        <w:rPr>
          <w:rFonts w:ascii="Palatino Linotype" w:eastAsia="Calibri" w:hAnsi="Palatino Linotype" w:cs="Arial"/>
        </w:rPr>
        <w:t>,</w:t>
      </w:r>
      <w:r w:rsidRPr="00267985">
        <w:rPr>
          <w:rFonts w:ascii="Palatino Linotype" w:eastAsia="Calibri" w:hAnsi="Palatino Linotype" w:cs="Arial"/>
        </w:rPr>
        <w:t xml:space="preserve"> y 132</w:t>
      </w:r>
      <w:r>
        <w:rPr>
          <w:rFonts w:ascii="Palatino Linotype" w:eastAsia="Calibri" w:hAnsi="Palatino Linotype" w:cs="Arial"/>
        </w:rPr>
        <w:t>,</w:t>
      </w:r>
      <w:r w:rsidRPr="00267985">
        <w:rPr>
          <w:rFonts w:ascii="Palatino Linotype" w:eastAsia="Calibri" w:hAnsi="Palatino Linotype" w:cs="Arial"/>
        </w:rPr>
        <w:t xml:space="preserve"> fracción II</w:t>
      </w:r>
      <w:r>
        <w:rPr>
          <w:rFonts w:ascii="Palatino Linotype" w:eastAsia="Calibri" w:hAnsi="Palatino Linotype" w:cs="Arial"/>
        </w:rPr>
        <w:t>,</w:t>
      </w:r>
      <w:r w:rsidRPr="00267985">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67985">
        <w:rPr>
          <w:rFonts w:ascii="Palatino Linotype" w:eastAsia="Calibri" w:hAnsi="Palatino Linotype" w:cs="Arial"/>
          <w:b/>
        </w:rPr>
        <w:t>RECURRENTE</w:t>
      </w:r>
      <w:r w:rsidRPr="00267985">
        <w:rPr>
          <w:rFonts w:ascii="Palatino Linotype" w:eastAsia="Calibri" w:hAnsi="Palatino Linotype" w:cs="Arial"/>
        </w:rPr>
        <w:t>.</w:t>
      </w:r>
    </w:p>
    <w:p w14:paraId="1035B58E" w14:textId="77777777" w:rsidR="009978E1" w:rsidRDefault="009978E1" w:rsidP="00871304">
      <w:pPr>
        <w:tabs>
          <w:tab w:val="left" w:pos="993"/>
        </w:tabs>
        <w:spacing w:line="360" w:lineRule="auto"/>
        <w:jc w:val="both"/>
        <w:rPr>
          <w:rFonts w:ascii="Palatino Linotype" w:eastAsia="Calibri" w:hAnsi="Palatino Linotype" w:cs="Arial"/>
        </w:rPr>
      </w:pPr>
    </w:p>
    <w:p w14:paraId="7782B491" w14:textId="2E30492A" w:rsidR="009978E1" w:rsidRDefault="009978E1" w:rsidP="00871304">
      <w:pPr>
        <w:tabs>
          <w:tab w:val="left" w:pos="993"/>
        </w:tabs>
        <w:spacing w:line="360" w:lineRule="auto"/>
        <w:jc w:val="both"/>
        <w:rPr>
          <w:rFonts w:ascii="Palatino Linotype" w:eastAsia="Calibri" w:hAnsi="Palatino Linotype" w:cs="Arial"/>
        </w:rPr>
      </w:pPr>
      <w:r w:rsidRPr="006B24D6">
        <w:rPr>
          <w:rFonts w:ascii="Palatino Linotype" w:eastAsia="Calibri" w:hAnsi="Palatino Linotype" w:cs="Arial"/>
        </w:rPr>
        <w:t xml:space="preserve">Por otro lado, si una vez realizada la búsqueda de la información, el </w:t>
      </w:r>
      <w:r w:rsidRPr="006B24D6">
        <w:rPr>
          <w:rFonts w:ascii="Palatino Linotype" w:eastAsia="Calibri" w:hAnsi="Palatino Linotype" w:cs="Arial"/>
          <w:b/>
        </w:rPr>
        <w:t>SUJETO OBLIGADO</w:t>
      </w:r>
      <w:r w:rsidRPr="006B24D6">
        <w:rPr>
          <w:rFonts w:ascii="Palatino Linotype" w:eastAsia="Calibri" w:hAnsi="Palatino Linotype" w:cs="Arial"/>
        </w:rPr>
        <w:t xml:space="preserve"> </w:t>
      </w:r>
      <w:r w:rsidR="00F20B85" w:rsidRPr="006B24D6">
        <w:rPr>
          <w:rFonts w:ascii="Palatino Linotype" w:eastAsia="Calibri" w:hAnsi="Palatino Linotype" w:cs="Arial"/>
        </w:rPr>
        <w:t>confluyera</w:t>
      </w:r>
      <w:r w:rsidRPr="006B24D6">
        <w:rPr>
          <w:rFonts w:ascii="Palatino Linotype" w:eastAsia="Calibri" w:hAnsi="Palatino Linotype" w:cs="Arial"/>
        </w:rPr>
        <w:t xml:space="preserve"> que no cuenta con documentos relacionados con la info</w:t>
      </w:r>
      <w:r w:rsidR="0062726B" w:rsidRPr="006B24D6">
        <w:rPr>
          <w:rFonts w:ascii="Palatino Linotype" w:eastAsia="Calibri" w:hAnsi="Palatino Linotype" w:cs="Arial"/>
        </w:rPr>
        <w:t xml:space="preserve">rmación se ordena entregar en </w:t>
      </w:r>
      <w:r w:rsidR="00801B93" w:rsidRPr="006B24D6">
        <w:rPr>
          <w:rFonts w:ascii="Palatino Linotype" w:eastAsia="Calibri" w:hAnsi="Palatino Linotype" w:cs="Arial"/>
        </w:rPr>
        <w:t>el inciso</w:t>
      </w:r>
      <w:r w:rsidRPr="006B24D6">
        <w:rPr>
          <w:rFonts w:ascii="Palatino Linotype" w:eastAsia="Calibri" w:hAnsi="Palatino Linotype" w:cs="Arial"/>
          <w:b/>
        </w:rPr>
        <w:t xml:space="preserve"> d)</w:t>
      </w:r>
      <w:r w:rsidRPr="006B24D6">
        <w:rPr>
          <w:rFonts w:ascii="Palatino Linotype" w:eastAsia="Calibri" w:hAnsi="Palatino Linotype" w:cs="Arial"/>
        </w:rPr>
        <w:t xml:space="preserve">, deberá hacerlo del conocimiento del </w:t>
      </w:r>
      <w:r w:rsidRPr="006B24D6">
        <w:rPr>
          <w:rFonts w:ascii="Palatino Linotype" w:eastAsia="Calibri" w:hAnsi="Palatino Linotype" w:cs="Arial"/>
          <w:b/>
        </w:rPr>
        <w:t>RECURRENTE</w:t>
      </w:r>
      <w:r w:rsidRPr="006B24D6">
        <w:rPr>
          <w:rFonts w:ascii="Palatino Linotype" w:eastAsia="Calibri" w:hAnsi="Palatino Linotype" w:cs="Arial"/>
        </w:rPr>
        <w:t xml:space="preserve">, donde explique las razones por las que no se genera, posee o administra la información de manera </w:t>
      </w:r>
      <w:r w:rsidRPr="006B24D6">
        <w:rPr>
          <w:rFonts w:ascii="Palatino Linotype" w:eastAsia="Calibri" w:hAnsi="Palatino Linotype" w:cs="Arial"/>
          <w:b/>
        </w:rPr>
        <w:t>clara</w:t>
      </w:r>
      <w:r w:rsidRPr="006B24D6">
        <w:rPr>
          <w:rFonts w:ascii="Palatino Linotype" w:eastAsia="Calibri" w:hAnsi="Palatino Linotype" w:cs="Arial"/>
        </w:rPr>
        <w:t xml:space="preserve"> y </w:t>
      </w:r>
      <w:r w:rsidRPr="006B24D6">
        <w:rPr>
          <w:rFonts w:ascii="Palatino Linotype" w:eastAsia="Calibri" w:hAnsi="Palatino Linotype" w:cs="Arial"/>
          <w:b/>
        </w:rPr>
        <w:t>precisa</w:t>
      </w:r>
      <w:r w:rsidRPr="006B24D6">
        <w:rPr>
          <w:rFonts w:ascii="Palatino Linotype" w:eastAsia="Calibri" w:hAnsi="Palatino Linotype" w:cs="Arial"/>
        </w:rPr>
        <w:t>.</w:t>
      </w:r>
    </w:p>
    <w:p w14:paraId="0B6EAB15" w14:textId="77777777" w:rsidR="0062726B" w:rsidRDefault="0062726B" w:rsidP="00871304">
      <w:pPr>
        <w:tabs>
          <w:tab w:val="left" w:pos="993"/>
        </w:tabs>
        <w:spacing w:line="360" w:lineRule="auto"/>
        <w:jc w:val="both"/>
        <w:rPr>
          <w:rFonts w:ascii="Palatino Linotype" w:eastAsia="Calibri" w:hAnsi="Palatino Linotype" w:cs="Arial"/>
        </w:rPr>
      </w:pPr>
    </w:p>
    <w:p w14:paraId="0D2A9C48" w14:textId="1F96EC1D" w:rsidR="0062726B" w:rsidRPr="007724BD" w:rsidRDefault="0062726B" w:rsidP="0062726B">
      <w:pPr>
        <w:tabs>
          <w:tab w:val="left" w:pos="993"/>
        </w:tabs>
        <w:spacing w:line="360" w:lineRule="auto"/>
        <w:jc w:val="both"/>
        <w:rPr>
          <w:rFonts w:ascii="Palatino Linotype" w:eastAsia="Calibri" w:hAnsi="Palatino Linotype" w:cs="Arial"/>
        </w:rPr>
      </w:pPr>
      <w:r>
        <w:rPr>
          <w:rFonts w:ascii="Palatino Linotype" w:eastAsia="Calibri" w:hAnsi="Palatino Linotype" w:cs="Arial"/>
        </w:rPr>
        <w:t xml:space="preserve">Asimismo, si una vez realizada la búsqueda de la información que se ordena entregar el </w:t>
      </w:r>
      <w:r>
        <w:rPr>
          <w:rFonts w:ascii="Palatino Linotype" w:eastAsia="Calibri" w:hAnsi="Palatino Linotype" w:cs="Arial"/>
          <w:b/>
          <w:bCs/>
        </w:rPr>
        <w:t>SUJETO OBLIGADO</w:t>
      </w:r>
      <w:r>
        <w:rPr>
          <w:rFonts w:ascii="Palatino Linotype" w:eastAsia="Calibri" w:hAnsi="Palatino Linotype" w:cs="Arial"/>
        </w:rPr>
        <w:t xml:space="preserve"> concluyera que ésta no obra en sus archivos, deberá entregar al </w:t>
      </w:r>
      <w:r>
        <w:rPr>
          <w:rFonts w:ascii="Palatino Linotype" w:eastAsia="Calibri" w:hAnsi="Palatino Linotype" w:cs="Arial"/>
          <w:b/>
          <w:bCs/>
        </w:rPr>
        <w:t>RECURRENTE</w:t>
      </w:r>
      <w:r>
        <w:rPr>
          <w:rFonts w:ascii="Palatino Linotype" w:eastAsia="Calibri" w:hAnsi="Palatino Linotype" w:cs="Arial"/>
        </w:rPr>
        <w:t xml:space="preserve"> el Acuerdo de Inexistencia respectivo, elaborado por su Comité de Transparencia.</w:t>
      </w:r>
    </w:p>
    <w:p w14:paraId="42CFD909" w14:textId="77777777" w:rsidR="004D54E4" w:rsidRDefault="004D54E4" w:rsidP="00743CAC">
      <w:pPr>
        <w:tabs>
          <w:tab w:val="left" w:pos="993"/>
        </w:tabs>
        <w:spacing w:line="360" w:lineRule="auto"/>
        <w:jc w:val="both"/>
        <w:rPr>
          <w:rFonts w:ascii="Palatino Linotype" w:hAnsi="Palatino Linotype"/>
          <w:color w:val="000000"/>
        </w:rPr>
      </w:pPr>
    </w:p>
    <w:p w14:paraId="22EACC04" w14:textId="3801BF54"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C603F1">
        <w:rPr>
          <w:rFonts w:ascii="Palatino Linotype" w:eastAsia="MS Mincho" w:hAnsi="Palatino Linotype" w:cs="Times New Roman"/>
          <w:color w:val="000000"/>
        </w:rPr>
        <w:t>l</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Titular de la Unidad de Transparencia del</w:t>
      </w:r>
      <w:r w:rsidRPr="007B222D">
        <w:rPr>
          <w:rFonts w:ascii="Palatino Linotype" w:eastAsia="MS Mincho" w:hAnsi="Palatino Linotype" w:cs="Times New Roman"/>
          <w:b/>
          <w:color w:val="000000"/>
        </w:rPr>
        <w:t xml:space="preserve"> </w:t>
      </w:r>
      <w:r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para que conforme a los artículos 186</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24A1876D" w14:textId="77777777" w:rsidR="00743CAC" w:rsidRDefault="00743CAC" w:rsidP="00743CAC">
      <w:pPr>
        <w:spacing w:line="360" w:lineRule="auto"/>
        <w:jc w:val="both"/>
        <w:rPr>
          <w:rFonts w:ascii="Palatino Linotype" w:eastAsia="MS Mincho" w:hAnsi="Palatino Linotype" w:cs="Times New Roman"/>
          <w:color w:val="000000"/>
        </w:rPr>
      </w:pPr>
    </w:p>
    <w:p w14:paraId="63D52F7F" w14:textId="77777777"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7B222D" w:rsidRDefault="00743CAC" w:rsidP="00743CAC">
      <w:pPr>
        <w:spacing w:line="360" w:lineRule="auto"/>
        <w:jc w:val="both"/>
        <w:rPr>
          <w:rFonts w:ascii="Palatino Linotype" w:eastAsia="MS Mincho" w:hAnsi="Palatino Linotype" w:cs="Times New Roman"/>
          <w:color w:val="000000"/>
        </w:rPr>
      </w:pPr>
    </w:p>
    <w:p w14:paraId="09CBBAC7" w14:textId="56FF2929"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67C9222E" w14:textId="77777777" w:rsidR="00743CAC" w:rsidRPr="00970362" w:rsidRDefault="00743CAC" w:rsidP="00743CAC">
      <w:pPr>
        <w:spacing w:line="360" w:lineRule="auto"/>
        <w:jc w:val="both"/>
        <w:rPr>
          <w:rFonts w:ascii="Palatino Linotype" w:hAnsi="Palatino Linotype"/>
          <w:b/>
        </w:rPr>
      </w:pPr>
    </w:p>
    <w:p w14:paraId="2A314043" w14:textId="741DB04E" w:rsidR="00743CAC" w:rsidRPr="00F75114" w:rsidRDefault="00743CAC" w:rsidP="00743CAC">
      <w:pPr>
        <w:spacing w:line="360" w:lineRule="auto"/>
        <w:jc w:val="both"/>
        <w:rPr>
          <w:rFonts w:ascii="Palatino Linotype" w:eastAsia="MS Mincho" w:hAnsi="Palatino Linotype" w:cs="Times New Roman"/>
          <w:color w:val="000000"/>
        </w:rPr>
      </w:pPr>
      <w:r w:rsidRPr="00596238">
        <w:rPr>
          <w:rFonts w:ascii="Palatino Linotype" w:eastAsia="MS Mincho" w:hAnsi="Palatino Linotype" w:cs="Times New Roman"/>
          <w:b/>
          <w:sz w:val="28"/>
          <w:szCs w:val="28"/>
        </w:rPr>
        <w:t>SEXTO</w:t>
      </w:r>
      <w:r w:rsidRPr="00596238">
        <w:rPr>
          <w:rFonts w:ascii="Palatino Linotype" w:eastAsia="MS Mincho" w:hAnsi="Palatino Linotype" w:cs="Times New Roman"/>
          <w:b/>
          <w:color w:val="000000"/>
        </w:rPr>
        <w:t xml:space="preserve">. </w:t>
      </w:r>
      <w:r w:rsidRPr="00596238">
        <w:rPr>
          <w:rFonts w:ascii="Palatino Linotype" w:eastAsia="MS Mincho" w:hAnsi="Palatino Linotype" w:cs="Times New Roman"/>
          <w:color w:val="000000"/>
        </w:rPr>
        <w:t xml:space="preserve">Se </w:t>
      </w:r>
      <w:bookmarkEnd w:id="28"/>
      <w:r w:rsidRPr="00596238">
        <w:rPr>
          <w:rFonts w:ascii="Palatino Linotype" w:eastAsia="MS Mincho" w:hAnsi="Palatino Linotype" w:cs="Times New Roman"/>
          <w:color w:val="000000" w:themeColor="text1"/>
        </w:rPr>
        <w:t>hace del conocimiento del</w:t>
      </w:r>
      <w:r w:rsidRPr="00596238">
        <w:rPr>
          <w:rFonts w:ascii="Palatino Linotype" w:eastAsia="MS Mincho" w:hAnsi="Palatino Linotype" w:cs="Times New Roman"/>
          <w:b/>
          <w:color w:val="000000" w:themeColor="text1"/>
        </w:rPr>
        <w:t xml:space="preserve"> RECURRENTE </w:t>
      </w:r>
      <w:r w:rsidRPr="00596238">
        <w:rPr>
          <w:rFonts w:ascii="Palatino Linotype" w:eastAsia="MS Mincho" w:hAnsi="Palatino Linotype" w:cs="Times New Roman"/>
          <w:color w:val="000000" w:themeColor="text1"/>
        </w:rPr>
        <w:t xml:space="preserve">que, </w:t>
      </w:r>
      <w:r w:rsidR="00F75114" w:rsidRPr="005962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96238">
        <w:rPr>
          <w:rFonts w:ascii="Palatino Linotype" w:eastAsia="MS Mincho" w:hAnsi="Palatino Linotype" w:cs="Times New Roman"/>
          <w:bCs/>
          <w:color w:val="000000"/>
          <w:lang w:val="es-ES"/>
        </w:rPr>
        <w:t>vía juicio de amparo</w:t>
      </w:r>
      <w:r w:rsidR="00F75114" w:rsidRPr="00596238">
        <w:rPr>
          <w:rFonts w:ascii="Palatino Linotype" w:eastAsia="MS Mincho" w:hAnsi="Palatino Linotype" w:cs="Times New Roman"/>
          <w:color w:val="000000"/>
          <w:lang w:val="es-ES"/>
        </w:rPr>
        <w:t xml:space="preserve"> en los términos de las leyes aplicables</w:t>
      </w:r>
      <w:r w:rsidR="00C603F1" w:rsidRPr="00596238">
        <w:rPr>
          <w:rFonts w:ascii="Palatino Linotype" w:eastAsia="MS Mincho" w:hAnsi="Palatino Linotype"/>
          <w:color w:val="000000" w:themeColor="text1"/>
        </w:rPr>
        <w:t>.</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1D1449AD" w14:textId="77777777" w:rsidR="007C5B4B" w:rsidRDefault="007C5B4B" w:rsidP="007C5B4B">
      <w:pPr>
        <w:spacing w:before="240" w:after="240" w:line="360" w:lineRule="auto"/>
        <w:ind w:firstLine="1"/>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04BC1" w14:textId="77777777" w:rsidR="001E4AAF" w:rsidRDefault="001E4AAF" w:rsidP="00587366">
      <w:r>
        <w:separator/>
      </w:r>
    </w:p>
  </w:endnote>
  <w:endnote w:type="continuationSeparator" w:id="0">
    <w:p w14:paraId="7B769928" w14:textId="77777777" w:rsidR="001E4AAF" w:rsidRDefault="001E4AAF" w:rsidP="00587366">
      <w:r>
        <w:continuationSeparator/>
      </w:r>
    </w:p>
  </w:endnote>
  <w:endnote w:type="continuationNotice" w:id="1">
    <w:p w14:paraId="651C0FFA" w14:textId="77777777" w:rsidR="001E4AAF" w:rsidRDefault="001E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A767B9" w:rsidRPr="00883450" w:rsidRDefault="00A767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2662A">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2662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A767B9" w:rsidRDefault="00A767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767B9" w:rsidRPr="00883450" w:rsidRDefault="00A767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2662A" w:rsidRPr="00A266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2662A" w:rsidRPr="00A2662A">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A767B9" w:rsidRPr="00883450" w:rsidRDefault="00A767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4073B" w14:textId="77777777" w:rsidR="001E4AAF" w:rsidRDefault="001E4AAF" w:rsidP="00587366">
      <w:r>
        <w:separator/>
      </w:r>
    </w:p>
  </w:footnote>
  <w:footnote w:type="continuationSeparator" w:id="0">
    <w:p w14:paraId="5C796C07" w14:textId="77777777" w:rsidR="001E4AAF" w:rsidRDefault="001E4AAF" w:rsidP="00587366">
      <w:r>
        <w:continuationSeparator/>
      </w:r>
    </w:p>
  </w:footnote>
  <w:footnote w:type="continuationNotice" w:id="1">
    <w:p w14:paraId="52B722C6" w14:textId="77777777" w:rsidR="001E4AAF" w:rsidRDefault="001E4AAF"/>
  </w:footnote>
  <w:footnote w:id="2">
    <w:p w14:paraId="7CFF1D76" w14:textId="77777777" w:rsidR="00A767B9" w:rsidRPr="009C43C2" w:rsidRDefault="00A767B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A767B9" w:rsidRPr="009C43C2" w:rsidRDefault="00A767B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A767B9" w:rsidRPr="009C43C2" w:rsidRDefault="00A767B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A767B9" w:rsidRDefault="00A767B9"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41EBEAA8" w14:textId="77777777" w:rsidR="00A767B9" w:rsidRDefault="00A767B9"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12960953" w14:textId="77777777" w:rsidR="00A767B9" w:rsidRDefault="00A767B9"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20F063E9" w14:textId="77777777" w:rsidR="00A767B9" w:rsidRDefault="00A767B9"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A767B9" w:rsidRDefault="00A767B9"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A0812C" w14:textId="77777777" w:rsidR="00A767B9" w:rsidRDefault="00A767B9"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A767B9" w:rsidRDefault="00A767B9" w:rsidP="0022042D">
      <w:pPr>
        <w:pBdr>
          <w:top w:val="nil"/>
          <w:left w:val="nil"/>
          <w:bottom w:val="nil"/>
          <w:right w:val="nil"/>
          <w:between w:val="nil"/>
        </w:pBdr>
        <w:rPr>
          <w:color w:val="000000"/>
          <w:sz w:val="20"/>
          <w:szCs w:val="20"/>
        </w:rPr>
      </w:pPr>
      <w:r>
        <w:rPr>
          <w:color w:val="000000"/>
          <w:sz w:val="20"/>
          <w:szCs w:val="20"/>
        </w:rPr>
        <w:t>(…)”</w:t>
      </w:r>
    </w:p>
  </w:footnote>
  <w:footnote w:id="9">
    <w:p w14:paraId="1F90B27F" w14:textId="53C92328" w:rsidR="00A767B9" w:rsidRDefault="00A767B9">
      <w:pPr>
        <w:pStyle w:val="Textonotapie"/>
      </w:pPr>
      <w:r>
        <w:rPr>
          <w:rStyle w:val="Refdenotaalpie"/>
        </w:rPr>
        <w:footnoteRef/>
      </w:r>
      <w:r>
        <w:t xml:space="preserve"> Artículo 12.1, Código Administrativo del Estado de México.</w:t>
      </w:r>
    </w:p>
  </w:footnote>
  <w:footnote w:id="10">
    <w:p w14:paraId="148B9FD5" w14:textId="1244A2C3" w:rsidR="00A767B9" w:rsidRDefault="00A767B9">
      <w:pPr>
        <w:pStyle w:val="Textonotapie"/>
      </w:pPr>
      <w:r>
        <w:rPr>
          <w:rStyle w:val="Refdenotaalpie"/>
        </w:rPr>
        <w:footnoteRef/>
      </w:r>
      <w:r>
        <w:t xml:space="preserve"> Artículo 12.4, Ídem.</w:t>
      </w:r>
    </w:p>
  </w:footnote>
  <w:footnote w:id="11">
    <w:p w14:paraId="7409FEEE" w14:textId="22E9A791" w:rsidR="00A767B9" w:rsidRDefault="00A767B9">
      <w:pPr>
        <w:pStyle w:val="Textonotapie"/>
      </w:pPr>
      <w:r>
        <w:rPr>
          <w:rStyle w:val="Refdenotaalpie"/>
        </w:rPr>
        <w:footnoteRef/>
      </w:r>
      <w:r>
        <w:t xml:space="preserve"> Artículo 115, fracción I, Constitución Política de los Estados Unidos Mexicanos.</w:t>
      </w:r>
    </w:p>
  </w:footnote>
  <w:footnote w:id="12">
    <w:p w14:paraId="4F31C290" w14:textId="2DE0C0C7" w:rsidR="00A767B9" w:rsidRDefault="00A767B9">
      <w:pPr>
        <w:pStyle w:val="Textonotapie"/>
      </w:pPr>
      <w:r>
        <w:rPr>
          <w:rStyle w:val="Refdenotaalpie"/>
        </w:rPr>
        <w:footnoteRef/>
      </w:r>
      <w:r>
        <w:t xml:space="preserve"> Artículo 15, Ley Orgánica Municipal del Estado de México.</w:t>
      </w:r>
    </w:p>
  </w:footnote>
  <w:footnote w:id="13">
    <w:p w14:paraId="1CE0EA9D" w14:textId="4AE60915" w:rsidR="00A767B9" w:rsidRDefault="00A767B9">
      <w:pPr>
        <w:pStyle w:val="Textonotapie"/>
      </w:pPr>
      <w:r>
        <w:rPr>
          <w:rStyle w:val="Refdenotaalpie"/>
        </w:rPr>
        <w:footnoteRef/>
      </w:r>
      <w:r>
        <w:t xml:space="preserve"> Artículo 16, Ídem.</w:t>
      </w:r>
    </w:p>
  </w:footnote>
  <w:footnote w:id="14">
    <w:p w14:paraId="2434DB6E" w14:textId="6E9235F8" w:rsidR="00A767B9" w:rsidRDefault="00A767B9">
      <w:pPr>
        <w:pStyle w:val="Textonotapie"/>
      </w:pPr>
      <w:r>
        <w:rPr>
          <w:rStyle w:val="Refdenotaalpie"/>
        </w:rPr>
        <w:footnoteRef/>
      </w:r>
      <w:r>
        <w:t xml:space="preserve"> Artículo 27, Ley Orgánica Municipal del Estado de México.</w:t>
      </w:r>
    </w:p>
  </w:footnote>
  <w:footnote w:id="15">
    <w:p w14:paraId="370DEE91" w14:textId="755723E3" w:rsidR="00A767B9" w:rsidRDefault="00A767B9">
      <w:pPr>
        <w:pStyle w:val="Textonotapie"/>
      </w:pPr>
      <w:r>
        <w:rPr>
          <w:rStyle w:val="Refdenotaalpie"/>
        </w:rPr>
        <w:footnoteRef/>
      </w:r>
      <w:r>
        <w:t xml:space="preserve"> Artículo 28, Ídem.</w:t>
      </w:r>
    </w:p>
  </w:footnote>
  <w:footnote w:id="16">
    <w:p w14:paraId="5F872BAE" w14:textId="3CEC663A" w:rsidR="00A767B9" w:rsidRDefault="00A767B9">
      <w:pPr>
        <w:pStyle w:val="Textonotapie"/>
      </w:pPr>
      <w:r>
        <w:rPr>
          <w:rStyle w:val="Refdenotaalpie"/>
        </w:rPr>
        <w:footnoteRef/>
      </w:r>
      <w:r>
        <w:t xml:space="preserve"> Artículo 12.20, Código Administrativo del Estado de México.</w:t>
      </w:r>
    </w:p>
  </w:footnote>
  <w:footnote w:id="17">
    <w:p w14:paraId="5855F5B2" w14:textId="4B1B20B7" w:rsidR="00A767B9" w:rsidRDefault="00A767B9">
      <w:pPr>
        <w:pStyle w:val="Textonotapie"/>
      </w:pPr>
      <w:r>
        <w:rPr>
          <w:rStyle w:val="Refdenotaalpie"/>
        </w:rPr>
        <w:footnoteRef/>
      </w:r>
      <w:r>
        <w:t xml:space="preserve"> Artículo 12.21, Ídem.</w:t>
      </w:r>
    </w:p>
  </w:footnote>
  <w:footnote w:id="18">
    <w:p w14:paraId="3E5A8440" w14:textId="2AC6C75A" w:rsidR="00A767B9" w:rsidRDefault="00A767B9">
      <w:pPr>
        <w:pStyle w:val="Textonotapie"/>
      </w:pPr>
      <w:r>
        <w:rPr>
          <w:rStyle w:val="Refdenotaalpie"/>
        </w:rPr>
        <w:footnoteRef/>
      </w:r>
      <w:r>
        <w:t xml:space="preserve"> Artículo 1, Ley de </w:t>
      </w:r>
    </w:p>
  </w:footnote>
  <w:footnote w:id="19">
    <w:p w14:paraId="7C0122A0" w14:textId="426DCD5F" w:rsidR="00A767B9" w:rsidRDefault="00A767B9">
      <w:pPr>
        <w:pStyle w:val="Textonotapie"/>
      </w:pPr>
      <w:r>
        <w:rPr>
          <w:rStyle w:val="Refdenotaalpie"/>
        </w:rPr>
        <w:footnoteRef/>
      </w:r>
      <w:r>
        <w:t xml:space="preserve"> Artículo 36, Ley de Contratación Pública del Estado de México y Municipios.</w:t>
      </w:r>
    </w:p>
  </w:footnote>
  <w:footnote w:id="20">
    <w:p w14:paraId="76412508" w14:textId="0BC9A6BD" w:rsidR="00A767B9" w:rsidRDefault="00A767B9">
      <w:pPr>
        <w:pStyle w:val="Textonotapie"/>
      </w:pPr>
      <w:r>
        <w:rPr>
          <w:rStyle w:val="Refdenotaalpie"/>
        </w:rPr>
        <w:footnoteRef/>
      </w:r>
      <w:r>
        <w:t xml:space="preserve"> Artículo 37, Ley de contratación Pública del Estado de México y Municipios.</w:t>
      </w:r>
    </w:p>
  </w:footnote>
  <w:footnote w:id="21">
    <w:p w14:paraId="5BAB9524" w14:textId="57D9F103" w:rsidR="00A767B9" w:rsidRDefault="00A767B9">
      <w:pPr>
        <w:pStyle w:val="Textonotapie"/>
      </w:pPr>
      <w:r>
        <w:rPr>
          <w:rStyle w:val="Refdenotaalpie"/>
        </w:rPr>
        <w:footnoteRef/>
      </w:r>
      <w:r>
        <w:t xml:space="preserve"> Artículo 38, Ley de Contratación Pública del Estado de México y Municipios,</w:t>
      </w:r>
    </w:p>
  </w:footnote>
  <w:footnote w:id="22">
    <w:p w14:paraId="5BDE0EAC" w14:textId="1329407E" w:rsidR="00A767B9" w:rsidRDefault="00A767B9">
      <w:pPr>
        <w:pStyle w:val="Textonotapie"/>
      </w:pPr>
      <w:r>
        <w:rPr>
          <w:rStyle w:val="Refdenotaalpie"/>
        </w:rPr>
        <w:footnoteRef/>
      </w:r>
      <w:r>
        <w:t xml:space="preserve"> Consulatable en: </w:t>
      </w:r>
      <w:r w:rsidRPr="00D538B7">
        <w:t>https://www.facebook.com/ayuntamiento.dejocotitlan.7/posts/inicio-de-techumbre-en-el-lienzo-charro-ernesto-peralta-quintero23-de-octubre-de/1300006943671956/</w:t>
      </w:r>
    </w:p>
  </w:footnote>
  <w:footnote w:id="23">
    <w:p w14:paraId="680CAA97" w14:textId="23615566" w:rsidR="00A767B9" w:rsidRDefault="00A767B9" w:rsidP="00056A5C">
      <w:pPr>
        <w:pStyle w:val="Textonotapie"/>
        <w:jc w:val="both"/>
      </w:pPr>
      <w:r>
        <w:rPr>
          <w:rStyle w:val="Refdenotaalpie"/>
        </w:rPr>
        <w:footnoteRef/>
      </w:r>
      <w:r>
        <w:t xml:space="preserve"> Objetivo, </w:t>
      </w:r>
      <w:r w:rsidRPr="00056A5C">
        <w:t xml:space="preserve">Reglas de Operación del Programa de Acciones para el Desarrollo, publicadas en el Periódico Oficial </w:t>
      </w:r>
      <w:r w:rsidRPr="00056A5C">
        <w:rPr>
          <w:i/>
        </w:rPr>
        <w:t>Gaceta del Gobierno</w:t>
      </w:r>
      <w:r w:rsidRPr="00056A5C">
        <w:t>, el seis (06) de mayo de dos mil catorce</w:t>
      </w:r>
      <w:r>
        <w:t>.</w:t>
      </w:r>
    </w:p>
  </w:footnote>
  <w:footnote w:id="24">
    <w:p w14:paraId="054537A5" w14:textId="5BD17A48" w:rsidR="00A767B9" w:rsidRDefault="00A767B9">
      <w:pPr>
        <w:pStyle w:val="Textonotapie"/>
      </w:pPr>
      <w:r>
        <w:rPr>
          <w:rStyle w:val="Refdenotaalpie"/>
        </w:rPr>
        <w:footnoteRef/>
      </w:r>
      <w:r>
        <w:t xml:space="preserve"> Finalidad, Ídem.</w:t>
      </w:r>
    </w:p>
  </w:footnote>
  <w:footnote w:id="25">
    <w:p w14:paraId="7C760F92" w14:textId="50F5AA01" w:rsidR="00A767B9" w:rsidRDefault="00A767B9">
      <w:pPr>
        <w:pStyle w:val="Textonotapie"/>
      </w:pPr>
      <w:r>
        <w:rPr>
          <w:rStyle w:val="Refdenotaalpie"/>
        </w:rPr>
        <w:footnoteRef/>
      </w:r>
      <w:r>
        <w:t xml:space="preserve"> Proceso de planeación, </w:t>
      </w:r>
      <w:r w:rsidRPr="00056A5C">
        <w:t xml:space="preserve">Reglas de Operación del Programa de Acciones para el Desarrollo, publicadas en el Periódico Oficial </w:t>
      </w:r>
      <w:r w:rsidRPr="00056A5C">
        <w:rPr>
          <w:i/>
        </w:rPr>
        <w:t>Gaceta del Gobierno</w:t>
      </w:r>
      <w:r w:rsidRPr="00056A5C">
        <w:t>, el seis (06) de mayo de dos mil catorce</w:t>
      </w:r>
      <w:r>
        <w:t>.</w:t>
      </w:r>
    </w:p>
  </w:footnote>
  <w:footnote w:id="26">
    <w:p w14:paraId="2851FE9F" w14:textId="19A94A70" w:rsidR="00A767B9" w:rsidRDefault="00A767B9">
      <w:pPr>
        <w:pStyle w:val="Textonotapie"/>
      </w:pPr>
      <w:r>
        <w:rPr>
          <w:rStyle w:val="Refdenotaalpie"/>
        </w:rPr>
        <w:footnoteRef/>
      </w:r>
      <w:r>
        <w:t xml:space="preserve"> Ibídem.</w:t>
      </w:r>
    </w:p>
  </w:footnote>
  <w:footnote w:id="27">
    <w:p w14:paraId="7AD0A6A0" w14:textId="4DCD77CC" w:rsidR="00A767B9" w:rsidRDefault="00A767B9">
      <w:pPr>
        <w:pStyle w:val="Textonotapie"/>
      </w:pPr>
      <w:r>
        <w:rPr>
          <w:rStyle w:val="Refdenotaalpie"/>
        </w:rPr>
        <w:footnoteRef/>
      </w:r>
      <w:r>
        <w:t xml:space="preserve"> Proceso de planeación, </w:t>
      </w:r>
      <w:r w:rsidRPr="00056A5C">
        <w:t xml:space="preserve">Reglas de Operación del Programa de Acciones para el Desarrollo, publicadas en el Periódico Oficial </w:t>
      </w:r>
      <w:r w:rsidRPr="00056A5C">
        <w:rPr>
          <w:i/>
        </w:rPr>
        <w:t>Gaceta del Gobierno</w:t>
      </w:r>
      <w:r w:rsidRPr="00056A5C">
        <w:t>, el seis (06) de mayo de dos mil catorce</w:t>
      </w:r>
      <w:r>
        <w:t>.</w:t>
      </w:r>
    </w:p>
  </w:footnote>
  <w:footnote w:id="28">
    <w:p w14:paraId="261579B8" w14:textId="18DD1B96" w:rsidR="00A767B9" w:rsidRDefault="00A767B9">
      <w:pPr>
        <w:pStyle w:val="Textonotapie"/>
      </w:pPr>
      <w:r>
        <w:rPr>
          <w:rStyle w:val="Refdenotaalpie"/>
        </w:rPr>
        <w:footnoteRef/>
      </w:r>
      <w:r>
        <w:t xml:space="preserve"> Proceso operativo, </w:t>
      </w:r>
      <w:r w:rsidRPr="00056A5C">
        <w:t xml:space="preserve">Reglas de Operación del Programa de Acciones para el Desarrollo, publicadas en el Periódico Oficial </w:t>
      </w:r>
      <w:r w:rsidRPr="00056A5C">
        <w:rPr>
          <w:i/>
        </w:rPr>
        <w:t>Gaceta del Gobierno</w:t>
      </w:r>
      <w:r w:rsidRPr="00056A5C">
        <w:t>, el seis (06) de mayo de dos mil catorce</w:t>
      </w:r>
      <w:r>
        <w:t>.</w:t>
      </w:r>
    </w:p>
  </w:footnote>
  <w:footnote w:id="29">
    <w:p w14:paraId="49F0D8BA" w14:textId="77777777" w:rsidR="00A767B9" w:rsidRDefault="00A767B9" w:rsidP="0063512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A767B9" w:rsidRPr="00025127" w14:paraId="07F2896E" w14:textId="77777777" w:rsidTr="008E29BB">
      <w:trPr>
        <w:trHeight w:val="138"/>
        <w:jc w:val="right"/>
      </w:trPr>
      <w:tc>
        <w:tcPr>
          <w:tcW w:w="3828" w:type="dxa"/>
          <w:vAlign w:val="center"/>
        </w:tcPr>
        <w:p w14:paraId="4A5B1974" w14:textId="172F35BB" w:rsidR="00A767B9" w:rsidRPr="00025127" w:rsidRDefault="00A767B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857FB6B" w:rsidR="00A767B9" w:rsidRPr="00025127" w:rsidRDefault="00A767B9" w:rsidP="00F25B61">
          <w:pPr>
            <w:pStyle w:val="Encabezado"/>
            <w:jc w:val="both"/>
            <w:rPr>
              <w:rFonts w:ascii="Palatino Linotype" w:hAnsi="Palatino Linotype"/>
              <w:b/>
              <w:sz w:val="22"/>
              <w:szCs w:val="22"/>
            </w:rPr>
          </w:pPr>
          <w:r>
            <w:rPr>
              <w:rFonts w:ascii="Palatino Linotype" w:hAnsi="Palatino Linotype"/>
              <w:b/>
              <w:sz w:val="22"/>
              <w:szCs w:val="22"/>
            </w:rPr>
            <w:t>00128</w:t>
          </w:r>
          <w:r w:rsidRPr="00025127">
            <w:rPr>
              <w:rFonts w:ascii="Palatino Linotype" w:hAnsi="Palatino Linotype"/>
              <w:b/>
              <w:sz w:val="22"/>
              <w:szCs w:val="22"/>
            </w:rPr>
            <w:t>/INFOEM/IP/RR/</w:t>
          </w:r>
          <w:r>
            <w:rPr>
              <w:rFonts w:ascii="Palatino Linotype" w:hAnsi="Palatino Linotype"/>
              <w:b/>
              <w:sz w:val="22"/>
              <w:szCs w:val="22"/>
            </w:rPr>
            <w:t>2023</w:t>
          </w:r>
        </w:p>
      </w:tc>
    </w:tr>
    <w:tr w:rsidR="00A767B9" w:rsidRPr="00025127" w14:paraId="1B5D8690" w14:textId="77777777" w:rsidTr="008E29BB">
      <w:trPr>
        <w:trHeight w:val="233"/>
        <w:jc w:val="right"/>
      </w:trPr>
      <w:tc>
        <w:tcPr>
          <w:tcW w:w="3828" w:type="dxa"/>
          <w:vAlign w:val="center"/>
        </w:tcPr>
        <w:p w14:paraId="3903F2C6" w14:textId="22D569F8" w:rsidR="00A767B9" w:rsidRPr="00025127" w:rsidRDefault="00A767B9"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75AE6FCD" w:rsidR="00A767B9" w:rsidRPr="00025127" w:rsidRDefault="00A767B9" w:rsidP="00D4447E">
          <w:pPr>
            <w:pStyle w:val="Encabezado"/>
            <w:rPr>
              <w:rFonts w:ascii="Palatino Linotype" w:hAnsi="Palatino Linotype"/>
              <w:b/>
              <w:sz w:val="22"/>
              <w:szCs w:val="22"/>
            </w:rPr>
          </w:pPr>
          <w:r>
            <w:rPr>
              <w:rFonts w:ascii="Palatino Linotype" w:hAnsi="Palatino Linotype"/>
              <w:b/>
              <w:bCs/>
              <w:color w:val="000000"/>
              <w:sz w:val="22"/>
              <w:szCs w:val="22"/>
            </w:rPr>
            <w:t>Ayuntamiento de Jocotitlán</w:t>
          </w:r>
        </w:p>
      </w:tc>
    </w:tr>
    <w:tr w:rsidR="00A767B9" w:rsidRPr="00025127" w14:paraId="095EB01B" w14:textId="77777777" w:rsidTr="008E29BB">
      <w:trPr>
        <w:trHeight w:val="321"/>
        <w:jc w:val="right"/>
      </w:trPr>
      <w:tc>
        <w:tcPr>
          <w:tcW w:w="3828" w:type="dxa"/>
          <w:vAlign w:val="center"/>
        </w:tcPr>
        <w:p w14:paraId="6E000A51" w14:textId="05E1861A" w:rsidR="00A767B9" w:rsidRPr="00025127" w:rsidRDefault="00A767B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A767B9" w:rsidRPr="00025127" w:rsidRDefault="00A767B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A767B9" w:rsidRDefault="00A767B9"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A767B9" w:rsidRPr="00025127" w14:paraId="0A3256F2" w14:textId="77777777" w:rsidTr="008E29BB">
      <w:trPr>
        <w:trHeight w:val="138"/>
        <w:jc w:val="right"/>
      </w:trPr>
      <w:tc>
        <w:tcPr>
          <w:tcW w:w="3828" w:type="dxa"/>
          <w:vAlign w:val="center"/>
        </w:tcPr>
        <w:p w14:paraId="3D80769D" w14:textId="44A35B8D" w:rsidR="00A767B9" w:rsidRPr="00025127" w:rsidRDefault="00A767B9"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1169A44" w:rsidR="00A767B9" w:rsidRPr="00025127" w:rsidRDefault="00A767B9" w:rsidP="00F25B61">
          <w:pPr>
            <w:pStyle w:val="Encabezado"/>
            <w:rPr>
              <w:rFonts w:ascii="Palatino Linotype" w:hAnsi="Palatino Linotype"/>
              <w:b/>
              <w:sz w:val="22"/>
              <w:szCs w:val="22"/>
            </w:rPr>
          </w:pPr>
          <w:r>
            <w:rPr>
              <w:rFonts w:ascii="Palatino Linotype" w:hAnsi="Palatino Linotype"/>
              <w:b/>
              <w:sz w:val="22"/>
              <w:szCs w:val="22"/>
            </w:rPr>
            <w:t>00128</w:t>
          </w:r>
          <w:r w:rsidRPr="00025127">
            <w:rPr>
              <w:rFonts w:ascii="Palatino Linotype" w:hAnsi="Palatino Linotype"/>
              <w:b/>
              <w:sz w:val="22"/>
              <w:szCs w:val="22"/>
            </w:rPr>
            <w:t>/INFOEM/IP/RR/</w:t>
          </w:r>
          <w:r>
            <w:rPr>
              <w:rFonts w:ascii="Palatino Linotype" w:hAnsi="Palatino Linotype"/>
              <w:b/>
              <w:sz w:val="22"/>
              <w:szCs w:val="22"/>
            </w:rPr>
            <w:t>2023</w:t>
          </w:r>
        </w:p>
      </w:tc>
    </w:tr>
    <w:tr w:rsidR="00A767B9" w:rsidRPr="00025127" w14:paraId="128C8B3C" w14:textId="77777777" w:rsidTr="008E29BB">
      <w:trPr>
        <w:trHeight w:val="233"/>
        <w:jc w:val="right"/>
      </w:trPr>
      <w:tc>
        <w:tcPr>
          <w:tcW w:w="3828" w:type="dxa"/>
          <w:vAlign w:val="center"/>
        </w:tcPr>
        <w:p w14:paraId="483E3371" w14:textId="66B1BC74" w:rsidR="00A767B9" w:rsidRPr="00025127" w:rsidRDefault="00A767B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950E035" w:rsidR="00A767B9" w:rsidRPr="00025127" w:rsidRDefault="00A767B9" w:rsidP="0058757A">
          <w:pPr>
            <w:pStyle w:val="Encabezado"/>
            <w:rPr>
              <w:rFonts w:ascii="Palatino Linotype" w:hAnsi="Palatino Linotype"/>
              <w:b/>
              <w:sz w:val="22"/>
              <w:szCs w:val="22"/>
            </w:rPr>
          </w:pPr>
          <w:r>
            <w:rPr>
              <w:rFonts w:ascii="Palatino Linotype" w:hAnsi="Palatino Linotype"/>
              <w:b/>
              <w:sz w:val="22"/>
              <w:szCs w:val="22"/>
            </w:rPr>
            <w:t>XXXXXX</w:t>
          </w:r>
        </w:p>
      </w:tc>
    </w:tr>
    <w:tr w:rsidR="00A767B9" w:rsidRPr="00025127" w14:paraId="41BE0704" w14:textId="77777777" w:rsidTr="008E29BB">
      <w:trPr>
        <w:trHeight w:val="321"/>
        <w:jc w:val="right"/>
      </w:trPr>
      <w:tc>
        <w:tcPr>
          <w:tcW w:w="3828" w:type="dxa"/>
          <w:vAlign w:val="center"/>
        </w:tcPr>
        <w:p w14:paraId="34C64148" w14:textId="10C6C8A9" w:rsidR="00A767B9" w:rsidRPr="00025127" w:rsidRDefault="00A767B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6528723A" w:rsidR="00A767B9" w:rsidRPr="00025127" w:rsidRDefault="00A767B9" w:rsidP="00507D4A">
          <w:pPr>
            <w:pStyle w:val="Encabezado"/>
            <w:rPr>
              <w:rFonts w:ascii="Palatino Linotype" w:hAnsi="Palatino Linotype"/>
              <w:b/>
              <w:sz w:val="22"/>
              <w:szCs w:val="22"/>
            </w:rPr>
          </w:pPr>
          <w:r>
            <w:rPr>
              <w:rFonts w:ascii="Palatino Linotype" w:hAnsi="Palatino Linotype"/>
              <w:b/>
              <w:bCs/>
              <w:color w:val="000000"/>
              <w:sz w:val="22"/>
              <w:szCs w:val="22"/>
            </w:rPr>
            <w:t>Ayuntamiento de Jocotitlán</w:t>
          </w:r>
        </w:p>
      </w:tc>
    </w:tr>
    <w:tr w:rsidR="00A767B9" w:rsidRPr="00025127" w14:paraId="0C8B6193" w14:textId="77777777" w:rsidTr="008E29BB">
      <w:trPr>
        <w:trHeight w:val="321"/>
        <w:jc w:val="right"/>
      </w:trPr>
      <w:tc>
        <w:tcPr>
          <w:tcW w:w="3828" w:type="dxa"/>
          <w:vAlign w:val="center"/>
        </w:tcPr>
        <w:p w14:paraId="321FFAFF" w14:textId="0E8C2CE7" w:rsidR="00A767B9" w:rsidRPr="00025127" w:rsidRDefault="00A767B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A767B9" w:rsidRPr="00025127" w:rsidRDefault="00A767B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A767B9" w:rsidRDefault="00A767B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E2E86218"/>
    <w:lvl w:ilvl="0" w:tplc="7EE0C6EC">
      <w:start w:val="1"/>
      <w:numFmt w:val="decimal"/>
      <w:lvlText w:val="%1."/>
      <w:lvlJc w:val="left"/>
      <w:pPr>
        <w:ind w:left="0" w:firstLine="0"/>
      </w:pPr>
      <w:rPr>
        <w:rFonts w:ascii="Palatino Linotype" w:hAnsi="Palatino Linotype" w:hint="default"/>
        <w:b/>
        <w:i w:val="0"/>
        <w:sz w:val="24"/>
      </w:rPr>
    </w:lvl>
    <w:lvl w:ilvl="1" w:tplc="979228B6">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7"/>
  </w:num>
  <w:num w:numId="5">
    <w:abstractNumId w:val="12"/>
  </w:num>
  <w:num w:numId="6">
    <w:abstractNumId w:val="5"/>
  </w:num>
  <w:num w:numId="7">
    <w:abstractNumId w:val="2"/>
  </w:num>
  <w:num w:numId="8">
    <w:abstractNumId w:val="11"/>
  </w:num>
  <w:num w:numId="9">
    <w:abstractNumId w:val="8"/>
  </w:num>
  <w:num w:numId="10">
    <w:abstractNumId w:val="10"/>
  </w:num>
  <w:num w:numId="11">
    <w:abstractNumId w:val="9"/>
  </w:num>
  <w:num w:numId="12">
    <w:abstractNumId w:val="14"/>
  </w:num>
  <w:num w:numId="13">
    <w:abstractNumId w:val="1"/>
  </w:num>
  <w:num w:numId="14">
    <w:abstractNumId w:val="13"/>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2D89"/>
    <w:rsid w:val="000236A3"/>
    <w:rsid w:val="00024F35"/>
    <w:rsid w:val="00025127"/>
    <w:rsid w:val="00025266"/>
    <w:rsid w:val="0003063D"/>
    <w:rsid w:val="000318F1"/>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01DE"/>
    <w:rsid w:val="0005237C"/>
    <w:rsid w:val="00052A3C"/>
    <w:rsid w:val="00054A03"/>
    <w:rsid w:val="000557BC"/>
    <w:rsid w:val="00055DD8"/>
    <w:rsid w:val="00056317"/>
    <w:rsid w:val="00056A5C"/>
    <w:rsid w:val="00056A79"/>
    <w:rsid w:val="0005777B"/>
    <w:rsid w:val="00061344"/>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1D66"/>
    <w:rsid w:val="000A26B8"/>
    <w:rsid w:val="000A3F90"/>
    <w:rsid w:val="000A44DE"/>
    <w:rsid w:val="000A4554"/>
    <w:rsid w:val="000A45FD"/>
    <w:rsid w:val="000A4E44"/>
    <w:rsid w:val="000A556A"/>
    <w:rsid w:val="000A663B"/>
    <w:rsid w:val="000A77ED"/>
    <w:rsid w:val="000B0370"/>
    <w:rsid w:val="000B2BA0"/>
    <w:rsid w:val="000B405C"/>
    <w:rsid w:val="000B4DDD"/>
    <w:rsid w:val="000B5AB1"/>
    <w:rsid w:val="000B5CF4"/>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3C2C"/>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5176"/>
    <w:rsid w:val="000E67FC"/>
    <w:rsid w:val="000E77B8"/>
    <w:rsid w:val="000F0E7A"/>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77CB4"/>
    <w:rsid w:val="001809A7"/>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4D57"/>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4AAF"/>
    <w:rsid w:val="001E5C94"/>
    <w:rsid w:val="001E6822"/>
    <w:rsid w:val="001E74A5"/>
    <w:rsid w:val="001E7B9E"/>
    <w:rsid w:val="001F025B"/>
    <w:rsid w:val="001F094C"/>
    <w:rsid w:val="001F2B8C"/>
    <w:rsid w:val="001F3163"/>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42D"/>
    <w:rsid w:val="00220ADB"/>
    <w:rsid w:val="002217BA"/>
    <w:rsid w:val="00221E74"/>
    <w:rsid w:val="00222ADA"/>
    <w:rsid w:val="00223507"/>
    <w:rsid w:val="00223ACC"/>
    <w:rsid w:val="0022448D"/>
    <w:rsid w:val="00226ED6"/>
    <w:rsid w:val="002275DE"/>
    <w:rsid w:val="00230170"/>
    <w:rsid w:val="002305CF"/>
    <w:rsid w:val="00232110"/>
    <w:rsid w:val="00232A11"/>
    <w:rsid w:val="00233E08"/>
    <w:rsid w:val="002345FF"/>
    <w:rsid w:val="00235DF2"/>
    <w:rsid w:val="00237611"/>
    <w:rsid w:val="002408D7"/>
    <w:rsid w:val="002426EA"/>
    <w:rsid w:val="00243284"/>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30E4"/>
    <w:rsid w:val="002638E7"/>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B05"/>
    <w:rsid w:val="00282D4D"/>
    <w:rsid w:val="0028323A"/>
    <w:rsid w:val="002856F3"/>
    <w:rsid w:val="00286DDB"/>
    <w:rsid w:val="002871EB"/>
    <w:rsid w:val="00287D39"/>
    <w:rsid w:val="00290DBD"/>
    <w:rsid w:val="00291D91"/>
    <w:rsid w:val="002948C4"/>
    <w:rsid w:val="00294D2D"/>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1B3F"/>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3CA6"/>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0B3"/>
    <w:rsid w:val="00303717"/>
    <w:rsid w:val="00304013"/>
    <w:rsid w:val="00304137"/>
    <w:rsid w:val="003046AA"/>
    <w:rsid w:val="0030494E"/>
    <w:rsid w:val="003049F3"/>
    <w:rsid w:val="00304CDF"/>
    <w:rsid w:val="00305493"/>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21B2"/>
    <w:rsid w:val="00372328"/>
    <w:rsid w:val="00373F21"/>
    <w:rsid w:val="00374CE8"/>
    <w:rsid w:val="003762FD"/>
    <w:rsid w:val="00376FD2"/>
    <w:rsid w:val="00377278"/>
    <w:rsid w:val="0037794F"/>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0A8F"/>
    <w:rsid w:val="003C183D"/>
    <w:rsid w:val="003C19CA"/>
    <w:rsid w:val="003C7282"/>
    <w:rsid w:val="003D00D5"/>
    <w:rsid w:val="003D0A29"/>
    <w:rsid w:val="003D0BC7"/>
    <w:rsid w:val="003D181D"/>
    <w:rsid w:val="003D187D"/>
    <w:rsid w:val="003D20C4"/>
    <w:rsid w:val="003D235D"/>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674A"/>
    <w:rsid w:val="004078C8"/>
    <w:rsid w:val="004102DE"/>
    <w:rsid w:val="004107D7"/>
    <w:rsid w:val="00412696"/>
    <w:rsid w:val="00412E24"/>
    <w:rsid w:val="00414335"/>
    <w:rsid w:val="004147B1"/>
    <w:rsid w:val="004161B8"/>
    <w:rsid w:val="00416727"/>
    <w:rsid w:val="004170BE"/>
    <w:rsid w:val="004171E4"/>
    <w:rsid w:val="00417A0E"/>
    <w:rsid w:val="0042068A"/>
    <w:rsid w:val="00422378"/>
    <w:rsid w:val="0042267F"/>
    <w:rsid w:val="0042437A"/>
    <w:rsid w:val="00424992"/>
    <w:rsid w:val="00424AE3"/>
    <w:rsid w:val="00424E72"/>
    <w:rsid w:val="00425F0D"/>
    <w:rsid w:val="00426287"/>
    <w:rsid w:val="00426D7C"/>
    <w:rsid w:val="00427621"/>
    <w:rsid w:val="004300ED"/>
    <w:rsid w:val="00431687"/>
    <w:rsid w:val="00432B72"/>
    <w:rsid w:val="00432FA7"/>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024"/>
    <w:rsid w:val="00495611"/>
    <w:rsid w:val="004961DA"/>
    <w:rsid w:val="00496359"/>
    <w:rsid w:val="00496EA6"/>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24A2"/>
    <w:rsid w:val="004E6E3A"/>
    <w:rsid w:val="004F0C96"/>
    <w:rsid w:val="004F0F98"/>
    <w:rsid w:val="004F28A0"/>
    <w:rsid w:val="004F39A4"/>
    <w:rsid w:val="004F3DD7"/>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AC1"/>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6B2"/>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579"/>
    <w:rsid w:val="0059089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0D5"/>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545F"/>
    <w:rsid w:val="005D622E"/>
    <w:rsid w:val="005D6617"/>
    <w:rsid w:val="005D6FF0"/>
    <w:rsid w:val="005E11D5"/>
    <w:rsid w:val="005E2486"/>
    <w:rsid w:val="005E34D4"/>
    <w:rsid w:val="005E3716"/>
    <w:rsid w:val="005E3AE2"/>
    <w:rsid w:val="005E3FDE"/>
    <w:rsid w:val="005E55F2"/>
    <w:rsid w:val="005E68FC"/>
    <w:rsid w:val="005E7271"/>
    <w:rsid w:val="005E748B"/>
    <w:rsid w:val="005E76A0"/>
    <w:rsid w:val="005E7CC9"/>
    <w:rsid w:val="005F0007"/>
    <w:rsid w:val="005F0E6C"/>
    <w:rsid w:val="005F1362"/>
    <w:rsid w:val="005F1BAD"/>
    <w:rsid w:val="005F32AC"/>
    <w:rsid w:val="005F3685"/>
    <w:rsid w:val="005F487C"/>
    <w:rsid w:val="005F53A4"/>
    <w:rsid w:val="005F5F37"/>
    <w:rsid w:val="005F5FE1"/>
    <w:rsid w:val="005F62B2"/>
    <w:rsid w:val="005F692C"/>
    <w:rsid w:val="005F715E"/>
    <w:rsid w:val="006010DA"/>
    <w:rsid w:val="006015F0"/>
    <w:rsid w:val="006017AB"/>
    <w:rsid w:val="00604AC3"/>
    <w:rsid w:val="00605865"/>
    <w:rsid w:val="00611DC1"/>
    <w:rsid w:val="00613655"/>
    <w:rsid w:val="006144EE"/>
    <w:rsid w:val="006149C2"/>
    <w:rsid w:val="00616236"/>
    <w:rsid w:val="00616F2E"/>
    <w:rsid w:val="00617125"/>
    <w:rsid w:val="0061724D"/>
    <w:rsid w:val="00617813"/>
    <w:rsid w:val="006206CC"/>
    <w:rsid w:val="0062118E"/>
    <w:rsid w:val="00622B06"/>
    <w:rsid w:val="00623C15"/>
    <w:rsid w:val="00624425"/>
    <w:rsid w:val="006257C2"/>
    <w:rsid w:val="00627163"/>
    <w:rsid w:val="0062726B"/>
    <w:rsid w:val="00627CA9"/>
    <w:rsid w:val="0063034E"/>
    <w:rsid w:val="00632E24"/>
    <w:rsid w:val="00634476"/>
    <w:rsid w:val="00634AC3"/>
    <w:rsid w:val="00635127"/>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3E9"/>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80F25"/>
    <w:rsid w:val="00682297"/>
    <w:rsid w:val="006842C0"/>
    <w:rsid w:val="00685689"/>
    <w:rsid w:val="0068594B"/>
    <w:rsid w:val="0068681F"/>
    <w:rsid w:val="00686B04"/>
    <w:rsid w:val="006875B5"/>
    <w:rsid w:val="00687CAD"/>
    <w:rsid w:val="006901FA"/>
    <w:rsid w:val="006904D3"/>
    <w:rsid w:val="00690ED0"/>
    <w:rsid w:val="0069264C"/>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9C3"/>
    <w:rsid w:val="006B004E"/>
    <w:rsid w:val="006B0198"/>
    <w:rsid w:val="006B12E8"/>
    <w:rsid w:val="006B1A37"/>
    <w:rsid w:val="006B1C19"/>
    <w:rsid w:val="006B218B"/>
    <w:rsid w:val="006B249F"/>
    <w:rsid w:val="006B24D6"/>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4F12"/>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5909"/>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DF4"/>
    <w:rsid w:val="00731F1F"/>
    <w:rsid w:val="00732319"/>
    <w:rsid w:val="0073324B"/>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540"/>
    <w:rsid w:val="007479C2"/>
    <w:rsid w:val="007509C9"/>
    <w:rsid w:val="00750A80"/>
    <w:rsid w:val="00750FC0"/>
    <w:rsid w:val="00751061"/>
    <w:rsid w:val="0075151E"/>
    <w:rsid w:val="0075265E"/>
    <w:rsid w:val="0075440D"/>
    <w:rsid w:val="00754EF8"/>
    <w:rsid w:val="00755369"/>
    <w:rsid w:val="0075604A"/>
    <w:rsid w:val="0075650E"/>
    <w:rsid w:val="00757995"/>
    <w:rsid w:val="00760BAE"/>
    <w:rsid w:val="007623F2"/>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5786"/>
    <w:rsid w:val="00795FC5"/>
    <w:rsid w:val="00797D59"/>
    <w:rsid w:val="007A0692"/>
    <w:rsid w:val="007A082B"/>
    <w:rsid w:val="007A0A0E"/>
    <w:rsid w:val="007A1303"/>
    <w:rsid w:val="007A28D5"/>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5B4B"/>
    <w:rsid w:val="007C6110"/>
    <w:rsid w:val="007C6AE2"/>
    <w:rsid w:val="007C7154"/>
    <w:rsid w:val="007C7CA2"/>
    <w:rsid w:val="007D0C01"/>
    <w:rsid w:val="007D26D2"/>
    <w:rsid w:val="007D2E26"/>
    <w:rsid w:val="007D3356"/>
    <w:rsid w:val="007D3FBD"/>
    <w:rsid w:val="007D49A0"/>
    <w:rsid w:val="007D7B65"/>
    <w:rsid w:val="007D7EF3"/>
    <w:rsid w:val="007E0553"/>
    <w:rsid w:val="007E31A3"/>
    <w:rsid w:val="007E5125"/>
    <w:rsid w:val="007E5825"/>
    <w:rsid w:val="007E5A30"/>
    <w:rsid w:val="007E5DB4"/>
    <w:rsid w:val="007E6334"/>
    <w:rsid w:val="007E64B6"/>
    <w:rsid w:val="007E6776"/>
    <w:rsid w:val="007E72D5"/>
    <w:rsid w:val="007E72DF"/>
    <w:rsid w:val="007F0617"/>
    <w:rsid w:val="007F264E"/>
    <w:rsid w:val="007F313E"/>
    <w:rsid w:val="007F372C"/>
    <w:rsid w:val="007F3993"/>
    <w:rsid w:val="007F3A5A"/>
    <w:rsid w:val="007F57FD"/>
    <w:rsid w:val="007F5AD6"/>
    <w:rsid w:val="007F6F57"/>
    <w:rsid w:val="007F729E"/>
    <w:rsid w:val="007F7734"/>
    <w:rsid w:val="00800E69"/>
    <w:rsid w:val="00800EFF"/>
    <w:rsid w:val="00801B93"/>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C58"/>
    <w:rsid w:val="00817D8E"/>
    <w:rsid w:val="008200A3"/>
    <w:rsid w:val="00820222"/>
    <w:rsid w:val="00820BF2"/>
    <w:rsid w:val="00821ACB"/>
    <w:rsid w:val="008223ED"/>
    <w:rsid w:val="00824749"/>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261"/>
    <w:rsid w:val="008433C1"/>
    <w:rsid w:val="00843908"/>
    <w:rsid w:val="008443E1"/>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015"/>
    <w:rsid w:val="008645F1"/>
    <w:rsid w:val="00864EBB"/>
    <w:rsid w:val="008662C0"/>
    <w:rsid w:val="0086644C"/>
    <w:rsid w:val="0087030B"/>
    <w:rsid w:val="008705E1"/>
    <w:rsid w:val="00871304"/>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2B30"/>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4F8A"/>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3E62"/>
    <w:rsid w:val="00945A61"/>
    <w:rsid w:val="009467D2"/>
    <w:rsid w:val="00946BFE"/>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6B10"/>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3C3F"/>
    <w:rsid w:val="0099439C"/>
    <w:rsid w:val="00994E5F"/>
    <w:rsid w:val="009959DB"/>
    <w:rsid w:val="00995C9F"/>
    <w:rsid w:val="0099752D"/>
    <w:rsid w:val="009978E1"/>
    <w:rsid w:val="00997C2A"/>
    <w:rsid w:val="009A0358"/>
    <w:rsid w:val="009A0461"/>
    <w:rsid w:val="009A0E2A"/>
    <w:rsid w:val="009A1E9E"/>
    <w:rsid w:val="009A28A2"/>
    <w:rsid w:val="009A2D33"/>
    <w:rsid w:val="009A3F10"/>
    <w:rsid w:val="009A47BD"/>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0AC"/>
    <w:rsid w:val="009B649B"/>
    <w:rsid w:val="009B6F16"/>
    <w:rsid w:val="009C0940"/>
    <w:rsid w:val="009C0950"/>
    <w:rsid w:val="009C1D99"/>
    <w:rsid w:val="009C1F8B"/>
    <w:rsid w:val="009C20A8"/>
    <w:rsid w:val="009C5057"/>
    <w:rsid w:val="009C6069"/>
    <w:rsid w:val="009D1243"/>
    <w:rsid w:val="009D1378"/>
    <w:rsid w:val="009D1780"/>
    <w:rsid w:val="009D2384"/>
    <w:rsid w:val="009D3240"/>
    <w:rsid w:val="009D3A6E"/>
    <w:rsid w:val="009D563E"/>
    <w:rsid w:val="009D61D9"/>
    <w:rsid w:val="009D624D"/>
    <w:rsid w:val="009D6AD5"/>
    <w:rsid w:val="009E09BF"/>
    <w:rsid w:val="009E0AB4"/>
    <w:rsid w:val="009E10C7"/>
    <w:rsid w:val="009E260E"/>
    <w:rsid w:val="009E3476"/>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662A"/>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5E88"/>
    <w:rsid w:val="00A572BC"/>
    <w:rsid w:val="00A57A82"/>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7B9"/>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297D"/>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3F1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964"/>
    <w:rsid w:val="00B66BC8"/>
    <w:rsid w:val="00B6723D"/>
    <w:rsid w:val="00B67B60"/>
    <w:rsid w:val="00B67BD4"/>
    <w:rsid w:val="00B708A7"/>
    <w:rsid w:val="00B71F08"/>
    <w:rsid w:val="00B73838"/>
    <w:rsid w:val="00B7421A"/>
    <w:rsid w:val="00B74366"/>
    <w:rsid w:val="00B74D4D"/>
    <w:rsid w:val="00B75F20"/>
    <w:rsid w:val="00B7620B"/>
    <w:rsid w:val="00B762FD"/>
    <w:rsid w:val="00B76BC1"/>
    <w:rsid w:val="00B76C73"/>
    <w:rsid w:val="00B808A4"/>
    <w:rsid w:val="00B81371"/>
    <w:rsid w:val="00B818B8"/>
    <w:rsid w:val="00B8225B"/>
    <w:rsid w:val="00B83B1F"/>
    <w:rsid w:val="00B83E2E"/>
    <w:rsid w:val="00B840A7"/>
    <w:rsid w:val="00B84739"/>
    <w:rsid w:val="00B855AA"/>
    <w:rsid w:val="00B8780A"/>
    <w:rsid w:val="00B902E7"/>
    <w:rsid w:val="00B90468"/>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6D15"/>
    <w:rsid w:val="00BA7987"/>
    <w:rsid w:val="00BA7CFA"/>
    <w:rsid w:val="00BA7D1B"/>
    <w:rsid w:val="00BB1309"/>
    <w:rsid w:val="00BB2592"/>
    <w:rsid w:val="00BB3156"/>
    <w:rsid w:val="00BB4F26"/>
    <w:rsid w:val="00BB5CA9"/>
    <w:rsid w:val="00BB6662"/>
    <w:rsid w:val="00BB7E0C"/>
    <w:rsid w:val="00BC0CE4"/>
    <w:rsid w:val="00BC22CD"/>
    <w:rsid w:val="00BC260A"/>
    <w:rsid w:val="00BC30BF"/>
    <w:rsid w:val="00BC3150"/>
    <w:rsid w:val="00BC36D0"/>
    <w:rsid w:val="00BC428C"/>
    <w:rsid w:val="00BC4307"/>
    <w:rsid w:val="00BC4C44"/>
    <w:rsid w:val="00BC61B2"/>
    <w:rsid w:val="00BC7E69"/>
    <w:rsid w:val="00BD025A"/>
    <w:rsid w:val="00BD02D5"/>
    <w:rsid w:val="00BD0A1C"/>
    <w:rsid w:val="00BD0DA4"/>
    <w:rsid w:val="00BD0F9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346"/>
    <w:rsid w:val="00BF2B50"/>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7421"/>
    <w:rsid w:val="00C37BCD"/>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6486"/>
    <w:rsid w:val="00C76B87"/>
    <w:rsid w:val="00C80034"/>
    <w:rsid w:val="00C80729"/>
    <w:rsid w:val="00C828E8"/>
    <w:rsid w:val="00C83043"/>
    <w:rsid w:val="00C83579"/>
    <w:rsid w:val="00C837E5"/>
    <w:rsid w:val="00C83C79"/>
    <w:rsid w:val="00C83EA7"/>
    <w:rsid w:val="00C84559"/>
    <w:rsid w:val="00C84E31"/>
    <w:rsid w:val="00C862C4"/>
    <w:rsid w:val="00C86977"/>
    <w:rsid w:val="00C86B34"/>
    <w:rsid w:val="00C86FFF"/>
    <w:rsid w:val="00C87066"/>
    <w:rsid w:val="00C871C7"/>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0CF0"/>
    <w:rsid w:val="00CB2FC0"/>
    <w:rsid w:val="00CB3C69"/>
    <w:rsid w:val="00CB5642"/>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450B"/>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5A9F"/>
    <w:rsid w:val="00D266ED"/>
    <w:rsid w:val="00D2734A"/>
    <w:rsid w:val="00D276CF"/>
    <w:rsid w:val="00D27949"/>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38B7"/>
    <w:rsid w:val="00D5750C"/>
    <w:rsid w:val="00D60582"/>
    <w:rsid w:val="00D61222"/>
    <w:rsid w:val="00D6172F"/>
    <w:rsid w:val="00D63800"/>
    <w:rsid w:val="00D63990"/>
    <w:rsid w:val="00D63D90"/>
    <w:rsid w:val="00D65068"/>
    <w:rsid w:val="00D65243"/>
    <w:rsid w:val="00D658A1"/>
    <w:rsid w:val="00D65BBD"/>
    <w:rsid w:val="00D67B28"/>
    <w:rsid w:val="00D67E99"/>
    <w:rsid w:val="00D70202"/>
    <w:rsid w:val="00D708C2"/>
    <w:rsid w:val="00D70FC1"/>
    <w:rsid w:val="00D71057"/>
    <w:rsid w:val="00D72F6C"/>
    <w:rsid w:val="00D730F6"/>
    <w:rsid w:val="00D738F0"/>
    <w:rsid w:val="00D74685"/>
    <w:rsid w:val="00D75E6C"/>
    <w:rsid w:val="00D80F7C"/>
    <w:rsid w:val="00D82CB3"/>
    <w:rsid w:val="00D82FC0"/>
    <w:rsid w:val="00D8322A"/>
    <w:rsid w:val="00D837C9"/>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372B"/>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5BCC"/>
    <w:rsid w:val="00E6662D"/>
    <w:rsid w:val="00E66A80"/>
    <w:rsid w:val="00E66EE6"/>
    <w:rsid w:val="00E7063D"/>
    <w:rsid w:val="00E71329"/>
    <w:rsid w:val="00E71633"/>
    <w:rsid w:val="00E71851"/>
    <w:rsid w:val="00E7218C"/>
    <w:rsid w:val="00E72689"/>
    <w:rsid w:val="00E73025"/>
    <w:rsid w:val="00E730AA"/>
    <w:rsid w:val="00E74C7A"/>
    <w:rsid w:val="00E76F52"/>
    <w:rsid w:val="00E77069"/>
    <w:rsid w:val="00E80E00"/>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D90"/>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2270"/>
    <w:rsid w:val="00ED26C0"/>
    <w:rsid w:val="00ED3818"/>
    <w:rsid w:val="00ED3B1D"/>
    <w:rsid w:val="00ED512E"/>
    <w:rsid w:val="00ED5912"/>
    <w:rsid w:val="00ED5EFD"/>
    <w:rsid w:val="00ED6A4E"/>
    <w:rsid w:val="00EE0293"/>
    <w:rsid w:val="00EE03EC"/>
    <w:rsid w:val="00EE048D"/>
    <w:rsid w:val="00EE0ACB"/>
    <w:rsid w:val="00EE107C"/>
    <w:rsid w:val="00EE123D"/>
    <w:rsid w:val="00EE1B02"/>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7DAE"/>
    <w:rsid w:val="00F9000A"/>
    <w:rsid w:val="00F9002A"/>
    <w:rsid w:val="00F906D0"/>
    <w:rsid w:val="00F90CC8"/>
    <w:rsid w:val="00F91388"/>
    <w:rsid w:val="00F93FEB"/>
    <w:rsid w:val="00F94E43"/>
    <w:rsid w:val="00F954D4"/>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D9D"/>
    <w:rsid w:val="00FE3235"/>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02965164">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59937105">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391852">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29378360">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54D6-4388-4F38-AB1B-B3132CD0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52</Pages>
  <Words>11998</Words>
  <Characters>65990</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25</cp:revision>
  <cp:lastPrinted>2019-12-11T01:19:00Z</cp:lastPrinted>
  <dcterms:created xsi:type="dcterms:W3CDTF">2023-03-09T05:47:00Z</dcterms:created>
  <dcterms:modified xsi:type="dcterms:W3CDTF">2023-04-12T22:35:00Z</dcterms:modified>
</cp:coreProperties>
</file>