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126F3" w14:textId="77777777" w:rsidR="000201F2" w:rsidRDefault="000201F2">
      <w:pPr>
        <w:widowControl w:val="0"/>
        <w:pBdr>
          <w:top w:val="nil"/>
          <w:left w:val="nil"/>
          <w:bottom w:val="nil"/>
          <w:right w:val="nil"/>
          <w:between w:val="nil"/>
        </w:pBdr>
        <w:spacing w:line="276" w:lineRule="auto"/>
      </w:pPr>
    </w:p>
    <w:p w14:paraId="658FE322"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veinticinco de octubre de dos mil veintitrés.</w:t>
      </w:r>
    </w:p>
    <w:p w14:paraId="5C098BA8" w14:textId="540D3707" w:rsidR="000201F2" w:rsidRDefault="0073512A">
      <w:pPr>
        <w:spacing w:line="360" w:lineRule="auto"/>
        <w:ind w:right="-112"/>
        <w:jc w:val="both"/>
        <w:rPr>
          <w:rFonts w:ascii="Palatino Linotype" w:eastAsia="Palatino Linotype" w:hAnsi="Palatino Linotype" w:cs="Palatino Linotype"/>
        </w:rPr>
      </w:pPr>
      <w:bookmarkStart w:id="0" w:name="_heading=h.30j0zll" w:colFirst="0" w:colLast="0"/>
      <w:bookmarkEnd w:id="0"/>
      <w:r>
        <w:rPr>
          <w:rFonts w:ascii="Palatino Linotype" w:eastAsia="Palatino Linotype" w:hAnsi="Palatino Linotype" w:cs="Palatino Linotype"/>
          <w:b/>
        </w:rPr>
        <w:t xml:space="preserve">VISTOS </w:t>
      </w:r>
      <w:r>
        <w:rPr>
          <w:rFonts w:ascii="Palatino Linotype" w:eastAsia="Palatino Linotype" w:hAnsi="Palatino Linotype" w:cs="Palatino Linotype"/>
        </w:rPr>
        <w:t xml:space="preserve">los expedientes relativos a los recursos de revisión </w:t>
      </w:r>
      <w:r>
        <w:rPr>
          <w:rFonts w:ascii="Palatino Linotype" w:eastAsia="Palatino Linotype" w:hAnsi="Palatino Linotype" w:cs="Palatino Linotype"/>
          <w:b/>
        </w:rPr>
        <w:t>01359/INFOEM/IP/RR/2023 y 01360/INFOEM/IP/RR/2023, acumulados</w:t>
      </w:r>
      <w:r>
        <w:rPr>
          <w:rFonts w:ascii="Palatino Linotype" w:eastAsia="Palatino Linotype" w:hAnsi="Palatino Linotype" w:cs="Palatino Linotype"/>
        </w:rPr>
        <w:t xml:space="preserve">, interpuestos por </w:t>
      </w:r>
      <w:r w:rsidR="00A00380">
        <w:rPr>
          <w:rFonts w:ascii="Palatino Linotype" w:eastAsia="Palatino Linotype" w:hAnsi="Palatino Linotype" w:cs="Palatino Linotype"/>
          <w:b/>
        </w:rPr>
        <w:t>XXXXXX XXXXX XXXX</w:t>
      </w:r>
      <w:r>
        <w:rPr>
          <w:rFonts w:ascii="Palatino Linotype" w:eastAsia="Palatino Linotype" w:hAnsi="Palatino Linotype" w:cs="Palatino Linotype"/>
          <w:b/>
        </w:rPr>
        <w:t>,</w:t>
      </w:r>
      <w:r>
        <w:rPr>
          <w:rFonts w:ascii="Palatino Linotype" w:eastAsia="Palatino Linotype" w:hAnsi="Palatino Linotype" w:cs="Palatino Linotype"/>
        </w:rPr>
        <w:t xml:space="preserve"> en lo sucesivo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sus solicitudes de información por parte del </w:t>
      </w:r>
      <w:r>
        <w:rPr>
          <w:rFonts w:ascii="Palatino Linotype" w:eastAsia="Palatino Linotype" w:hAnsi="Palatino Linotype" w:cs="Palatino Linotype"/>
          <w:b/>
        </w:rPr>
        <w:t>Ayuntamiento de Toluca</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 siguiente. </w:t>
      </w:r>
    </w:p>
    <w:p w14:paraId="753F92FB" w14:textId="77777777" w:rsidR="000201F2" w:rsidRDefault="0073512A">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22F6970E" w14:textId="77777777" w:rsidR="000201F2" w:rsidRDefault="0073512A">
      <w:pPr>
        <w:spacing w:before="240"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rPr>
        <w:t>1. Solicitudes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treinta de enero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de dos mil veintitrés, </w:t>
      </w:r>
      <w:r>
        <w:rPr>
          <w:rFonts w:ascii="Palatino Linotype" w:eastAsia="Palatino Linotype" w:hAnsi="Palatino Linotype" w:cs="Palatino Linotype"/>
        </w:rPr>
        <w:t>la persona solicitante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presentó, través del Sistema de Acceso a la Información Mexiquense, en lo subsecuente 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ante el </w:t>
      </w:r>
      <w:r>
        <w:rPr>
          <w:rFonts w:ascii="Palatino Linotype" w:eastAsia="Palatino Linotype" w:hAnsi="Palatino Linotype" w:cs="Palatino Linotype"/>
          <w:b/>
        </w:rPr>
        <w:t>Sujeto Obligado</w:t>
      </w:r>
      <w:r>
        <w:rPr>
          <w:rFonts w:ascii="Palatino Linotype" w:eastAsia="Palatino Linotype" w:hAnsi="Palatino Linotype" w:cs="Palatino Linotype"/>
        </w:rPr>
        <w:t>, las solicitudes de acceso a la información pública, mediante las cuales requirió la información siguiente:</w:t>
      </w:r>
    </w:p>
    <w:tbl>
      <w:tblPr>
        <w:tblStyle w:val="a"/>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423"/>
      </w:tblGrid>
      <w:tr w:rsidR="000201F2" w14:paraId="71A6F638" w14:textId="77777777">
        <w:trPr>
          <w:jc w:val="center"/>
        </w:trPr>
        <w:tc>
          <w:tcPr>
            <w:tcW w:w="2405" w:type="dxa"/>
            <w:shd w:val="clear" w:color="auto" w:fill="A6A6A6"/>
          </w:tcPr>
          <w:p w14:paraId="690DAEE7" w14:textId="77777777" w:rsidR="000201F2" w:rsidRDefault="0073512A">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Número de solicitud</w:t>
            </w:r>
          </w:p>
        </w:tc>
        <w:tc>
          <w:tcPr>
            <w:tcW w:w="6423" w:type="dxa"/>
            <w:shd w:val="clear" w:color="auto" w:fill="A6A6A6"/>
          </w:tcPr>
          <w:p w14:paraId="4CFBC44F" w14:textId="77777777" w:rsidR="000201F2" w:rsidRDefault="0073512A">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Información solicitada</w:t>
            </w:r>
          </w:p>
        </w:tc>
      </w:tr>
      <w:tr w:rsidR="000201F2" w14:paraId="511931E4" w14:textId="77777777">
        <w:trPr>
          <w:jc w:val="center"/>
        </w:trPr>
        <w:tc>
          <w:tcPr>
            <w:tcW w:w="2405" w:type="dxa"/>
            <w:vAlign w:val="center"/>
          </w:tcPr>
          <w:p w14:paraId="2D40B549" w14:textId="77777777" w:rsidR="000201F2" w:rsidRDefault="0073512A">
            <w:pPr>
              <w:spacing w:before="120" w:after="120"/>
              <w:jc w:val="center"/>
              <w:rPr>
                <w:rFonts w:ascii="Palatino Linotype" w:eastAsia="Palatino Linotype" w:hAnsi="Palatino Linotype" w:cs="Palatino Linotype"/>
                <w:b/>
                <w:sz w:val="20"/>
                <w:szCs w:val="20"/>
              </w:rPr>
            </w:pPr>
            <w:bookmarkStart w:id="2" w:name="_heading=h.1fob9te" w:colFirst="0" w:colLast="0"/>
            <w:bookmarkEnd w:id="2"/>
            <w:r>
              <w:rPr>
                <w:rFonts w:ascii="Palatino Linotype" w:eastAsia="Palatino Linotype" w:hAnsi="Palatino Linotype" w:cs="Palatino Linotype"/>
                <w:b/>
                <w:sz w:val="20"/>
                <w:szCs w:val="20"/>
              </w:rPr>
              <w:t>00311/TOLUCA/IP/2023</w:t>
            </w:r>
          </w:p>
        </w:tc>
        <w:tc>
          <w:tcPr>
            <w:tcW w:w="6423" w:type="dxa"/>
          </w:tcPr>
          <w:p w14:paraId="26777D93" w14:textId="77777777" w:rsidR="000201F2" w:rsidRDefault="0073512A">
            <w:pPr>
              <w:spacing w:before="120" w:after="120"/>
              <w:jc w:val="both"/>
              <w:rPr>
                <w:rFonts w:ascii="Palatino Linotype" w:eastAsia="Palatino Linotype" w:hAnsi="Palatino Linotype" w:cs="Palatino Linotype"/>
                <w:i/>
                <w:sz w:val="20"/>
                <w:szCs w:val="20"/>
              </w:rPr>
            </w:pPr>
            <w:bookmarkStart w:id="3" w:name="_heading=h.3dy6vkm" w:colFirst="0" w:colLast="0"/>
            <w:bookmarkEnd w:id="3"/>
            <w:r>
              <w:rPr>
                <w:rFonts w:ascii="Palatino Linotype" w:eastAsia="Palatino Linotype" w:hAnsi="Palatino Linotype" w:cs="Palatino Linotype"/>
                <w:i/>
                <w:sz w:val="20"/>
                <w:szCs w:val="20"/>
              </w:rPr>
              <w:t xml:space="preserve">“En el primer informe de Gobierno de Resultados, del presidente Municipal de Toluca Raymundo Martínez, específicamente en las páginas 182 y 183 mencionaron lo siguiente: Hoy en día la clave para un Gobierno Municipal más democrático, moderno y eficiente, es la rendición de cuentas y el acceso a la información pública, garantizando los derechos reconocidos en la Carta Magna a todas las personas, además de cumplir con la normatividad vigente en la materia de Acceso a la Información Pública y Protección de Datos </w:t>
            </w:r>
            <w:r>
              <w:rPr>
                <w:rFonts w:ascii="Palatino Linotype" w:eastAsia="Palatino Linotype" w:hAnsi="Palatino Linotype" w:cs="Palatino Linotype"/>
                <w:i/>
                <w:sz w:val="20"/>
                <w:szCs w:val="20"/>
              </w:rPr>
              <w:lastRenderedPageBreak/>
              <w:t xml:space="preserve">Personales; por ello, todos los gobiernos están obligados no sólo a reconocerlo, sino a salvaguardarlo. Cabe destacar que, bajo el principio de certeza y máxima publicidad, el Gobierno Municipal de Toluca obtuvo la calificación más alta de la historia de la capital en materia de Transparencia, con 100% en la Verificación Virtual Oficiosa realizada por el INFOEM, cumpliendo en su totalidad con las obligaciones comunes y específicas que señala la Ley General en materia de Transparencia y Acceso a la Información Pública del Estado de México y Municipios, siempre apegados a los criterios establecidos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Requiero todos los dictámenes de la verificación virtual oficiosa del año 2022, realizada al ayuntamiento de Toluca por el INFOEM.( También se pedirán a INFOEM para cotejar que no se mintió en el informe de resultados) Con el objeto de ser un ente político-administrativo más cercano a la sociedad, el Ayuntamiento de Toluca trabaja de manera permanente para lograr un gobierno transparente y cercano, mediante la implementación de políticas públicas y herramientas necesarias para dar legalidad, legitimidad, certeza y eficacia a su actividad, cambiando el paradigma de una transparencia pasiva por una transparencia proactiva; para ello se implementaron cuatro prácticas de información proactiva denominadas “Conoce a tu Regidor”, “Tesorería Municipal”, “Información Cívica y Jurídica” y “Derechos Humanos”, con el propósito de disminuir la asimetría de </w:t>
            </w:r>
            <w:proofErr w:type="spellStart"/>
            <w:r>
              <w:rPr>
                <w:rFonts w:ascii="Palatino Linotype" w:eastAsia="Palatino Linotype" w:hAnsi="Palatino Linotype" w:cs="Palatino Linotype"/>
                <w:i/>
                <w:sz w:val="20"/>
                <w:szCs w:val="20"/>
              </w:rPr>
              <w:t>lainformación</w:t>
            </w:r>
            <w:proofErr w:type="spellEnd"/>
            <w:r>
              <w:rPr>
                <w:rFonts w:ascii="Palatino Linotype" w:eastAsia="Palatino Linotype" w:hAnsi="Palatino Linotype" w:cs="Palatino Linotype"/>
                <w:i/>
                <w:sz w:val="20"/>
                <w:szCs w:val="20"/>
              </w:rPr>
              <w:t xml:space="preserve"> y acercar a las y los toluqueños a los trámites e información que contribuyen en la toma de decisiones personales o públicas, obteniendo una calificación del 90%, siendo una mención por parte del INFOEM. Solicito el documento donde se compruebe por parte del INFOEM que se obtuvo el 90% de calificación, así como las prácticas de transparencia productiva (las cuales también se pedirán a INFOEM, para cotejar esta información) Es imperante enunciar que durante los últimos años la ciudadanía ejerce cada vez más su derecho de acceso a la información pública para conocer la actuación y la rendición de cuentas de los gobernantes; en tal virtud durante el ejercicio que se informa se recibieron y atendieron un aproximado de 2,800 solicitudes de acceso a la información pública, garantizando en todo momento el derecho humano de las personas como principio de máxima publicidad. Es de destacar que el Ayuntamiento de Toluca es el cuarto lugar de los Sujetos Obligados de la entidad con el mayor número de solicitudes de transparencia. Como una garantía secundaria a la prerrogativa del derecho de acceso a la información pública que el solicitante decide ejercer para subsanar cuando consideró una posible afectación, se recibieron 546 recursos de revisión, de los cuales más de </w:t>
            </w:r>
            <w:r>
              <w:rPr>
                <w:rFonts w:ascii="Palatino Linotype" w:eastAsia="Palatino Linotype" w:hAnsi="Palatino Linotype" w:cs="Palatino Linotype"/>
                <w:i/>
                <w:sz w:val="20"/>
                <w:szCs w:val="20"/>
              </w:rPr>
              <w:lastRenderedPageBreak/>
              <w:t xml:space="preserve">175 fueron confirmados, tres más desechados, 189 modificados o revocados y el resto está en proceso de resolución; es imperante señalar que este número de recursos revocados y/o modificados sólo representa el 6% del total de las solicitudes recibidas, pese al número tan importante de solicitudes que fueron atendidas, lo que se muestra que este Sujeto Obligado garantiza el principio de máxima publicidad y el Derecho de Acceso a la Información Pública como su eje rector de la democracia. Se ha garantizado a la ciudadanía el derecho de decidir sobre el uso y estado de sus datos personales a través de los derechos ARCO (Acceso, Rectificación, Cancelación y Oposición), ya que es una facultad de decisión y de conocer en todo momento quién dispone de tus datos y para qué están siendo utilizados; en el año que se informa se recibieron cuatro solicitudes que se atendieron hasta su etapa de conclusión. Solicito el </w:t>
            </w:r>
            <w:proofErr w:type="spellStart"/>
            <w:r>
              <w:rPr>
                <w:rFonts w:ascii="Palatino Linotype" w:eastAsia="Palatino Linotype" w:hAnsi="Palatino Linotype" w:cs="Palatino Linotype"/>
                <w:i/>
                <w:sz w:val="20"/>
                <w:szCs w:val="20"/>
              </w:rPr>
              <w:t>numero</w:t>
            </w:r>
            <w:proofErr w:type="spellEnd"/>
            <w:r>
              <w:rPr>
                <w:rFonts w:ascii="Palatino Linotype" w:eastAsia="Palatino Linotype" w:hAnsi="Palatino Linotype" w:cs="Palatino Linotype"/>
                <w:i/>
                <w:sz w:val="20"/>
                <w:szCs w:val="20"/>
              </w:rPr>
              <w:t xml:space="preserve"> de solicitudes ingresadas en cualquier modalidad del año 2022, cuantos Recursos de Revisión se interpusieron ante este Sujeto Obligado, ya que el porcentaje no coincide con la estadística que tiene el INFOEM en su página oficial, este dato también lo corroboraremos con el INFOEM. La rendición de cuentas y la transparencia son dos componentes necesarios para transitar hacia un gobierno democrático y eficiente, donde los gobernados puedan verificar y analizar el quehacer gubernamental, por ello, se actualizó en cuatro ocasiones el portal de Información Pública de Oficio Mexiquense (IPOMEX), cumpliendo con las obligaciones determinadas en la Ley de Transparencia y Acceso a la Información Pública del Estado de México y Municipios y los Lineamientos Generales para la publicación, homologación y estandarización de la información. Solicito los oficios de las unidades administrativas, Direcciones, </w:t>
            </w:r>
            <w:proofErr w:type="spellStart"/>
            <w:r>
              <w:rPr>
                <w:rFonts w:ascii="Palatino Linotype" w:eastAsia="Palatino Linotype" w:hAnsi="Palatino Linotype" w:cs="Palatino Linotype"/>
                <w:i/>
                <w:sz w:val="20"/>
                <w:szCs w:val="20"/>
              </w:rPr>
              <w:t>redigidurias</w:t>
            </w:r>
            <w:proofErr w:type="spellEnd"/>
            <w:r>
              <w:rPr>
                <w:rFonts w:ascii="Palatino Linotype" w:eastAsia="Palatino Linotype" w:hAnsi="Palatino Linotype" w:cs="Palatino Linotype"/>
                <w:i/>
                <w:sz w:val="20"/>
                <w:szCs w:val="20"/>
              </w:rPr>
              <w:t xml:space="preserve">, presidencia municipal, secretaria del ayuntamiento, síndicos, enviados a la Unidad de Transparencia y recibidos en la Unidad de Transparencia, con el propósito de actualizar su información de IPOMEX. Tener servidoras y servidores públicos profesionalizados es una obligación y un reto de esta Administración Pública Municipal 2022-2024, para lograrlo se impartieron capacitaciones continuas y especializadas, en coordinación con el INFOEM y el INAI, en diez ocasiones en materia de acceso a la información, protección de datos personales en posesión de los sujetos obligados, clasificación, reserva y prueba de daño; obligaciones comunes y específicas en materia de intranet, DAI y SAIMEX. Solicito todas las constancias o reconocimientos de los 10 cursos que tomaron los servidores públicos en el INFOEM y el INAI, cursos en materia de acceso a la información, protección de datos personales en posesión de los sujetos obligados, clasificación, reserva y prueba de daño; obligaciones comunes y específicas en materia de intranet, DAI y SAIMEX. Asimismo, se participó en el Taller Nacional de Avisos de Privacidad, de igual forma se asistió a diversos foros regionales, jornadas de sensibilización en materia de transparencia proactiva, en materia de difusión y reflexión sobre los alcances y desafíos de las leyes en la materia y conferencias </w:t>
            </w:r>
            <w:r>
              <w:rPr>
                <w:rFonts w:ascii="Palatino Linotype" w:eastAsia="Palatino Linotype" w:hAnsi="Palatino Linotype" w:cs="Palatino Linotype"/>
                <w:i/>
                <w:sz w:val="20"/>
                <w:szCs w:val="20"/>
              </w:rPr>
              <w:lastRenderedPageBreak/>
              <w:t>magistrales; de igual forma, es de destacar que la Unidad de Transparencia asesora y capacita de manera permanente a los servidoras públicos habilitados, para ser más eficientes en temas de transparencia, acceso a la información, protección de datos personales, avisos de privacidad, bases de datos, rendición de cuentas y todo lo que se deriva de la Ley en la materia. Solicito los certificados, reconocimientos u otro que avalen que se cursó el Taller Nacional de Avisos de Privacidad. Solicito los certificados, reconocimientos u otro que avalen que sede igual forma se asistieron los servidores públicos a diversos foros regionales, jornadas de sensibilización en materia de transparencia proactiva, en materia de difusión y reflexión sobre los alcances y desafíos de las leyes en la materia y conferencias magistrales; Solicito los certificados, reconocimientos u otro que avalen que la Unidad de Transparencia asesora y capacita de manera permanente a los servidoras públicos habilitados, para ser más eficientes en temas de transparencia, acceso a la información, protección de datos personales, avisos de privacidad, bases de datos, rendición de cuentas y todo lo que se deriva de la Ley en la materia. Para ser un gobierno abierto y cercano con la ciudadanía, se emitió un informe anual de actividades y cuatro más de manera trimestral en materia de Transparencia al INFOEM, mediante los que se dieron a conocer las acciones realizadas en pro de la transparencia y rendición de cuentas. Reconociendo el Derecho de Protección de Datos Personales, bajo los principios de calidad, consentimiento, finalidad y lealtad, se trabajó de manera coordinada con las unidades administrativas de este Gobierno Municipal, para dar certeza a las y los ciudadanos toluqueños que proporcionan sus datos personales y que son administrados y resguardados por este Sujeto Obligado; por ello, se actualizaron en dos ocasiones las 119 Cédulas de Bases de Datos que tiene registradas en el portal ex profeso para ello, mismas que cuentan con su aviso de privacidad correspondiente, conforme a lo dispuesto en la Ley de Protección de Datos Personales en Posesión de los Sujetos Obligados del Estado de México y Municipios. Solicito la actualización de esas 119 cédulas de bases de datos personales, supresión, modificación de dichas bases, del año 2022. Oficios recibidos y enviados a todos los Titulares, por parte de la Unidad de Transparencia y enviados a la Unidad de Transparencia.” (sic)</w:t>
            </w:r>
          </w:p>
        </w:tc>
      </w:tr>
      <w:tr w:rsidR="000201F2" w14:paraId="16E44CEA" w14:textId="77777777">
        <w:trPr>
          <w:jc w:val="center"/>
        </w:trPr>
        <w:tc>
          <w:tcPr>
            <w:tcW w:w="2405" w:type="dxa"/>
            <w:vAlign w:val="center"/>
          </w:tcPr>
          <w:p w14:paraId="4E9BC83A" w14:textId="77777777" w:rsidR="000201F2" w:rsidRDefault="0073512A">
            <w:pPr>
              <w:spacing w:before="120" w:after="120"/>
              <w:jc w:val="center"/>
              <w:rPr>
                <w:rFonts w:ascii="Palatino Linotype" w:eastAsia="Palatino Linotype" w:hAnsi="Palatino Linotype" w:cs="Palatino Linotype"/>
                <w:b/>
                <w:i/>
                <w:sz w:val="20"/>
                <w:szCs w:val="20"/>
              </w:rPr>
            </w:pPr>
            <w:bookmarkStart w:id="4" w:name="_heading=h.1t3h5sf" w:colFirst="0" w:colLast="0"/>
            <w:bookmarkEnd w:id="4"/>
            <w:r>
              <w:rPr>
                <w:rFonts w:ascii="Palatino Linotype" w:eastAsia="Palatino Linotype" w:hAnsi="Palatino Linotype" w:cs="Palatino Linotype"/>
                <w:b/>
                <w:sz w:val="20"/>
                <w:szCs w:val="20"/>
              </w:rPr>
              <w:lastRenderedPageBreak/>
              <w:t>00312/TOLUCA/IP/2023</w:t>
            </w:r>
          </w:p>
        </w:tc>
        <w:tc>
          <w:tcPr>
            <w:tcW w:w="6423" w:type="dxa"/>
          </w:tcPr>
          <w:p w14:paraId="495D2F16" w14:textId="77777777" w:rsidR="000201F2" w:rsidRDefault="0073512A">
            <w:pPr>
              <w:spacing w:before="120" w:after="120"/>
              <w:jc w:val="both"/>
              <w:rPr>
                <w:rFonts w:ascii="Palatino Linotype" w:eastAsia="Palatino Linotype" w:hAnsi="Palatino Linotype" w:cs="Palatino Linotype"/>
                <w:i/>
                <w:sz w:val="20"/>
                <w:szCs w:val="20"/>
              </w:rPr>
            </w:pPr>
            <w:bookmarkStart w:id="5" w:name="_heading=h.2s8eyo1" w:colFirst="0" w:colLast="0"/>
            <w:bookmarkEnd w:id="5"/>
            <w:r>
              <w:rPr>
                <w:rFonts w:ascii="Palatino Linotype" w:eastAsia="Palatino Linotype" w:hAnsi="Palatino Linotype" w:cs="Palatino Linotype"/>
                <w:i/>
                <w:sz w:val="20"/>
                <w:szCs w:val="20"/>
              </w:rPr>
              <w:t xml:space="preserve">“Requiero todos los dictámenes de la verificación virtual oficiosa del año 2022, realizada al ayuntamiento de Toluca por el INFOEM. Solicito el documento donde se compruebe por parte del INFOEM que se obtuvo el 90% de calificación en el año 2022, del Ayuntamiento de Toluca, así como las prácticas de transparencia proactiva. Solicito el </w:t>
            </w:r>
            <w:proofErr w:type="spellStart"/>
            <w:r>
              <w:rPr>
                <w:rFonts w:ascii="Palatino Linotype" w:eastAsia="Palatino Linotype" w:hAnsi="Palatino Linotype" w:cs="Palatino Linotype"/>
                <w:i/>
                <w:sz w:val="20"/>
                <w:szCs w:val="20"/>
              </w:rPr>
              <w:t>numero</w:t>
            </w:r>
            <w:proofErr w:type="spellEnd"/>
            <w:r>
              <w:rPr>
                <w:rFonts w:ascii="Palatino Linotype" w:eastAsia="Palatino Linotype" w:hAnsi="Palatino Linotype" w:cs="Palatino Linotype"/>
                <w:i/>
                <w:sz w:val="20"/>
                <w:szCs w:val="20"/>
              </w:rPr>
              <w:t xml:space="preserve"> de solicitudes ingresadas en cualquier modalidad del año 2022 al Ayuntamiento de Toluca, cuantos Recursos de Revisión se interpusieron al Ayuntamiento de Toluca, en el año </w:t>
            </w:r>
            <w:proofErr w:type="gramStart"/>
            <w:r>
              <w:rPr>
                <w:rFonts w:ascii="Palatino Linotype" w:eastAsia="Palatino Linotype" w:hAnsi="Palatino Linotype" w:cs="Palatino Linotype"/>
                <w:i/>
                <w:sz w:val="20"/>
                <w:szCs w:val="20"/>
              </w:rPr>
              <w:t>2022,.</w:t>
            </w:r>
            <w:proofErr w:type="gramEnd"/>
            <w:r>
              <w:rPr>
                <w:rFonts w:ascii="Palatino Linotype" w:eastAsia="Palatino Linotype" w:hAnsi="Palatino Linotype" w:cs="Palatino Linotype"/>
                <w:i/>
                <w:sz w:val="20"/>
                <w:szCs w:val="20"/>
              </w:rPr>
              <w:t xml:space="preserve"> Solicito todas las constancias o reconocimientos impartidos por el </w:t>
            </w:r>
            <w:r>
              <w:rPr>
                <w:rFonts w:ascii="Palatino Linotype" w:eastAsia="Palatino Linotype" w:hAnsi="Palatino Linotype" w:cs="Palatino Linotype"/>
                <w:i/>
                <w:sz w:val="20"/>
                <w:szCs w:val="20"/>
              </w:rPr>
              <w:lastRenderedPageBreak/>
              <w:t>INFOEM al Ayuntamiento de Toluca en el año 2022, de todos los servidores públicos. Así como los oficios por parte de la Unidad de Transparencia enviados y recibidos en las Unidades Administrativas, invitándolos a estos cursos, Solicito los certificados, reconocimientos u otro que avalen que sede igual forma se asistieron los servidores públicos del ayuntamiento de Toluca en el año 2022, a diversos foros regionales, jornadas de sensibilización en materia de transparencia proactiva, en materia de difusión y reflexión sobre los alcances y desafíos de las leyes en la materia. Solicito la actualización de las 119 cédulas de bases de datos personales, supresión, modificación de dichas bases, del año 2022. del ayuntamiento de Toluca.” (sic)</w:t>
            </w:r>
          </w:p>
        </w:tc>
      </w:tr>
    </w:tbl>
    <w:p w14:paraId="4F677264" w14:textId="77777777" w:rsidR="000201F2" w:rsidRDefault="0073512A">
      <w:pPr>
        <w:spacing w:before="240" w:after="240" w:line="360" w:lineRule="auto"/>
        <w:jc w:val="both"/>
        <w:rPr>
          <w:rFonts w:ascii="Palatino Linotype" w:eastAsia="Palatino Linotype" w:hAnsi="Palatino Linotype" w:cs="Palatino Linotype"/>
        </w:rPr>
      </w:pPr>
      <w:bookmarkStart w:id="6" w:name="_heading=h.2et92p0" w:colFirst="0" w:colLast="0"/>
      <w:bookmarkEnd w:id="6"/>
      <w:r>
        <w:rPr>
          <w:rFonts w:ascii="Palatino Linotype" w:eastAsia="Palatino Linotype" w:hAnsi="Palatino Linotype" w:cs="Palatino Linotype"/>
          <w:b/>
        </w:rPr>
        <w:lastRenderedPageBreak/>
        <w:t xml:space="preserve">Modalidad elegida para la entrega de la información: </w:t>
      </w:r>
      <w:r>
        <w:rPr>
          <w:rFonts w:ascii="Palatino Linotype" w:eastAsia="Palatino Linotype" w:hAnsi="Palatino Linotype" w:cs="Palatino Linotype"/>
        </w:rPr>
        <w:t>a través del SAIMEX en todos los casos.</w:t>
      </w:r>
    </w:p>
    <w:p w14:paraId="4E9C47CF"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Prórroga.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veinte de febrero de dos mil veintitrés,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informó que el plazo de quince días hábiles para atender las solicitudes de mérito fue prorrogado por siete días más en virtud de las siguientes razones: </w:t>
      </w:r>
    </w:p>
    <w:tbl>
      <w:tblPr>
        <w:tblStyle w:val="a0"/>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0201F2" w14:paraId="29350920" w14:textId="77777777">
        <w:trPr>
          <w:jc w:val="center"/>
        </w:trPr>
        <w:tc>
          <w:tcPr>
            <w:tcW w:w="2972" w:type="dxa"/>
            <w:shd w:val="clear" w:color="auto" w:fill="A6A6A6"/>
          </w:tcPr>
          <w:p w14:paraId="5C7BB61A" w14:textId="77777777" w:rsidR="000201F2" w:rsidRDefault="0073512A">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Número de solicitud</w:t>
            </w:r>
          </w:p>
        </w:tc>
        <w:tc>
          <w:tcPr>
            <w:tcW w:w="5856" w:type="dxa"/>
            <w:shd w:val="clear" w:color="auto" w:fill="A6A6A6"/>
          </w:tcPr>
          <w:p w14:paraId="1105DE7D" w14:textId="77777777" w:rsidR="000201F2" w:rsidRDefault="0073512A">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Solicitud de prórroga</w:t>
            </w:r>
          </w:p>
        </w:tc>
      </w:tr>
      <w:tr w:rsidR="000201F2" w14:paraId="71D3CC32" w14:textId="77777777">
        <w:trPr>
          <w:jc w:val="center"/>
        </w:trPr>
        <w:tc>
          <w:tcPr>
            <w:tcW w:w="2972" w:type="dxa"/>
            <w:vAlign w:val="center"/>
          </w:tcPr>
          <w:p w14:paraId="72ABCE70" w14:textId="77777777" w:rsidR="000201F2" w:rsidRDefault="0073512A">
            <w:pPr>
              <w:spacing w:before="120" w:after="12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00311/TOLUCA/IP/2023</w:t>
            </w:r>
          </w:p>
        </w:tc>
        <w:tc>
          <w:tcPr>
            <w:tcW w:w="5856" w:type="dxa"/>
          </w:tcPr>
          <w:p w14:paraId="441B9945" w14:textId="77777777" w:rsidR="000201F2" w:rsidRDefault="0073512A">
            <w:pPr>
              <w:spacing w:before="120" w:after="12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“De conformidad con lo establecido en el artículo 163, segundo párrafo de la Ley de Transparencia y Acceso a la Información Pública del estado de México y Municipios, me permito comentar que se solicitó la prórroga por siete días hábiles para dar atención a la solicitud de información con folio 00311/TOLUCA/IP/2023, misma que quedo establecida en el Acta de la Centésima Cuadragésima Novena Sesión Extraordinaria del Comité de Transparencia del Municipio de Toluca, Administración 2022-2024” (sic)</w:t>
            </w:r>
          </w:p>
        </w:tc>
      </w:tr>
      <w:tr w:rsidR="000201F2" w14:paraId="153569E8" w14:textId="77777777">
        <w:trPr>
          <w:jc w:val="center"/>
        </w:trPr>
        <w:tc>
          <w:tcPr>
            <w:tcW w:w="2972" w:type="dxa"/>
            <w:vAlign w:val="center"/>
          </w:tcPr>
          <w:p w14:paraId="654D9C16" w14:textId="77777777" w:rsidR="000201F2" w:rsidRDefault="0073512A">
            <w:pPr>
              <w:spacing w:before="120" w:after="120"/>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sz w:val="20"/>
                <w:szCs w:val="20"/>
              </w:rPr>
              <w:t>00312/TOLUCA/IP/2023</w:t>
            </w:r>
          </w:p>
        </w:tc>
        <w:tc>
          <w:tcPr>
            <w:tcW w:w="5856" w:type="dxa"/>
          </w:tcPr>
          <w:p w14:paraId="6D69F6FE" w14:textId="77777777" w:rsidR="000201F2" w:rsidRDefault="0073512A">
            <w:pPr>
              <w:spacing w:before="120" w:after="12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“De conformidad con lo establecido en el artículo 163, segundo párrafo de la Ley de Transparencia y Acceso a la Información Pública del estado de México y Municipios, me permito comentar que se solicitó la prórroga por siete días hábiles para dar atención a la solicitud de información con folio 00312/TOLUCA/IP/2023, misma que quedo establecida en el Acta de la Centésima Cuadragésima Novena Sesión Extraordinaria del Comité de Transparencia del Municipio de Toluca, Administración 2022-2024.” (sic)</w:t>
            </w:r>
          </w:p>
        </w:tc>
      </w:tr>
    </w:tbl>
    <w:p w14:paraId="3D2CB808" w14:textId="77777777" w:rsidR="000201F2" w:rsidRDefault="0073512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Prórrogas a las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 ambas solicitudes proporcionó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un archivo electrónico denominado </w:t>
      </w:r>
      <w:r>
        <w:rPr>
          <w:rFonts w:ascii="Palatino Linotype" w:eastAsia="Palatino Linotype" w:hAnsi="Palatino Linotype" w:cs="Palatino Linotype"/>
          <w:b/>
          <w:i/>
        </w:rPr>
        <w:t xml:space="preserve">Centésima Cuadragésima Novena Sesión </w:t>
      </w:r>
      <w:proofErr w:type="spellStart"/>
      <w:r>
        <w:rPr>
          <w:rFonts w:ascii="Palatino Linotype" w:eastAsia="Palatino Linotype" w:hAnsi="Palatino Linotype" w:cs="Palatino Linotype"/>
          <w:b/>
          <w:i/>
        </w:rPr>
        <w:t>Extraordibria</w:t>
      </w:r>
      <w:proofErr w:type="spellEnd"/>
      <w:r>
        <w:rPr>
          <w:rFonts w:ascii="Palatino Linotype" w:eastAsia="Palatino Linotype" w:hAnsi="Palatino Linotype" w:cs="Palatino Linotype"/>
          <w:b/>
          <w:i/>
        </w:rPr>
        <w:t xml:space="preserve"> 2023.pdf, </w:t>
      </w:r>
      <w:r>
        <w:rPr>
          <w:rFonts w:ascii="Palatino Linotype" w:eastAsia="Palatino Linotype" w:hAnsi="Palatino Linotype" w:cs="Palatino Linotype"/>
        </w:rPr>
        <w:t xml:space="preserve">que contiene: el Acta de la Centésima Cuadragésima Novena Sesión Extraordinaria del Comité de Transparencia del Municipio de Toluca, Administración 2022-2024, en la que bajo el punto tres del orden del día se llevó a cabo el análisis y aprobación de la prórroga con motivo de diversas solicitudes de información, incluidas las número </w:t>
      </w:r>
      <w:r>
        <w:rPr>
          <w:rFonts w:ascii="Palatino Linotype" w:eastAsia="Palatino Linotype" w:hAnsi="Palatino Linotype" w:cs="Palatino Linotype"/>
          <w:b/>
        </w:rPr>
        <w:t>00311/TOLUCA/IP/2023 y 00312/TOLUCA/IP/2023.</w:t>
      </w:r>
    </w:p>
    <w:p w14:paraId="779CE112"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esta manera, como refiere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Pr>
          <w:rFonts w:ascii="Palatino Linotype" w:eastAsia="Palatino Linotype" w:hAnsi="Palatino Linotype" w:cs="Palatino Linotype"/>
          <w:b/>
        </w:rPr>
        <w:t>si se observaron las formalidades que establece la Ley de la materia</w:t>
      </w:r>
      <w:r>
        <w:rPr>
          <w:rFonts w:ascii="Palatino Linotype" w:eastAsia="Palatino Linotype" w:hAnsi="Palatino Linotype" w:cs="Palatino Linotype"/>
        </w:rPr>
        <w:t>, pues se anexó el Acta de la Centésima Cuadragésima Novena Sesión Extraordinaria del Comité de Transparencia del Municipio de Toluca, Administración 2022-2024, mediante la cual el Comité de Transparencia aprobó la ampliación del plazo, mediante el acuerdo AT/CT/01/2022.</w:t>
      </w:r>
    </w:p>
    <w:p w14:paraId="58736B65"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tres de marzo de dos mil veintitrés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envió sus respuestas a las solicitudes de acceso a la información a través de SAIMEX, sustancialmente en los términos siguientes:</w:t>
      </w:r>
    </w:p>
    <w:p w14:paraId="5EEBE545" w14:textId="77777777" w:rsidR="000201F2" w:rsidRDefault="000201F2">
      <w:pPr>
        <w:spacing w:before="240" w:after="240" w:line="360" w:lineRule="auto"/>
        <w:jc w:val="both"/>
        <w:rPr>
          <w:rFonts w:ascii="Palatino Linotype" w:eastAsia="Palatino Linotype" w:hAnsi="Palatino Linotype" w:cs="Palatino Linotype"/>
        </w:rPr>
      </w:pPr>
    </w:p>
    <w:tbl>
      <w:tblPr>
        <w:tblStyle w:val="a1"/>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0201F2" w14:paraId="72237F9D" w14:textId="77777777">
        <w:trPr>
          <w:jc w:val="center"/>
        </w:trPr>
        <w:tc>
          <w:tcPr>
            <w:tcW w:w="2972" w:type="dxa"/>
            <w:shd w:val="clear" w:color="auto" w:fill="A6A6A6"/>
          </w:tcPr>
          <w:p w14:paraId="1AC77145" w14:textId="77777777" w:rsidR="000201F2" w:rsidRDefault="0073512A">
            <w:pPr>
              <w:jc w:val="center"/>
              <w:rPr>
                <w:rFonts w:ascii="Palatino Linotype" w:eastAsia="Palatino Linotype" w:hAnsi="Palatino Linotype" w:cs="Palatino Linotype"/>
                <w:b/>
                <w:sz w:val="20"/>
                <w:szCs w:val="20"/>
              </w:rPr>
            </w:pPr>
            <w:bookmarkStart w:id="7" w:name="_heading=h.17dp8vu" w:colFirst="0" w:colLast="0"/>
            <w:bookmarkEnd w:id="7"/>
            <w:r>
              <w:rPr>
                <w:rFonts w:ascii="Palatino Linotype" w:eastAsia="Palatino Linotype" w:hAnsi="Palatino Linotype" w:cs="Palatino Linotype"/>
                <w:b/>
                <w:sz w:val="20"/>
                <w:szCs w:val="20"/>
              </w:rPr>
              <w:t>Número de solicitud</w:t>
            </w:r>
          </w:p>
        </w:tc>
        <w:tc>
          <w:tcPr>
            <w:tcW w:w="5856" w:type="dxa"/>
            <w:shd w:val="clear" w:color="auto" w:fill="A6A6A6"/>
          </w:tcPr>
          <w:p w14:paraId="70511870" w14:textId="77777777" w:rsidR="000201F2" w:rsidRDefault="0073512A">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Respuesta</w:t>
            </w:r>
          </w:p>
        </w:tc>
      </w:tr>
      <w:tr w:rsidR="000201F2" w14:paraId="1A2A018C" w14:textId="77777777">
        <w:trPr>
          <w:jc w:val="center"/>
        </w:trPr>
        <w:tc>
          <w:tcPr>
            <w:tcW w:w="2972" w:type="dxa"/>
            <w:vAlign w:val="center"/>
          </w:tcPr>
          <w:p w14:paraId="56E39ED9" w14:textId="77777777" w:rsidR="000201F2" w:rsidRDefault="0073512A">
            <w:pPr>
              <w:spacing w:before="120" w:after="12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00311/TOLUCA/IP/2023</w:t>
            </w:r>
          </w:p>
        </w:tc>
        <w:tc>
          <w:tcPr>
            <w:tcW w:w="5856" w:type="dxa"/>
          </w:tcPr>
          <w:p w14:paraId="7551CB90" w14:textId="77777777" w:rsidR="000201F2" w:rsidRDefault="0073512A">
            <w:pPr>
              <w:spacing w:before="120" w:after="12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DFB4042" w14:textId="77777777" w:rsidR="000201F2" w:rsidRDefault="0073512A">
            <w:pPr>
              <w:spacing w:before="120" w:after="12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En atención a la solicitud física con folio 00311/TOLUCA/IP/2023, me permito adjuntar al presente la respuesta correspondiente. Sin más por el momento, reciba un saludo” (sic)</w:t>
            </w:r>
          </w:p>
          <w:p w14:paraId="0ADD0204" w14:textId="77777777" w:rsidR="000201F2" w:rsidRDefault="0073512A">
            <w:pPr>
              <w:pBdr>
                <w:top w:val="nil"/>
                <w:left w:val="nil"/>
                <w:bottom w:val="nil"/>
                <w:right w:val="nil"/>
                <w:between w:val="nil"/>
              </w:pBd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Adjunto a su respuesta, el </w:t>
            </w:r>
            <w:r>
              <w:rPr>
                <w:rFonts w:ascii="Palatino Linotype" w:eastAsia="Palatino Linotype" w:hAnsi="Palatino Linotype" w:cs="Palatino Linotype"/>
                <w:b/>
                <w:color w:val="000000"/>
                <w:sz w:val="20"/>
                <w:szCs w:val="20"/>
              </w:rPr>
              <w:t xml:space="preserve">Sujeto Obligado </w:t>
            </w:r>
            <w:r>
              <w:rPr>
                <w:rFonts w:ascii="Palatino Linotype" w:eastAsia="Palatino Linotype" w:hAnsi="Palatino Linotype" w:cs="Palatino Linotype"/>
                <w:color w:val="000000"/>
                <w:sz w:val="20"/>
                <w:szCs w:val="20"/>
              </w:rPr>
              <w:t>proporcionó un archivo electrónico denominado “</w:t>
            </w:r>
            <w:r>
              <w:rPr>
                <w:rFonts w:ascii="Palatino Linotype" w:eastAsia="Palatino Linotype" w:hAnsi="Palatino Linotype" w:cs="Palatino Linotype"/>
                <w:b/>
                <w:i/>
                <w:color w:val="000000"/>
                <w:sz w:val="20"/>
                <w:szCs w:val="20"/>
              </w:rPr>
              <w:t>Respuesta311_23.pdf</w:t>
            </w:r>
            <w:r>
              <w:rPr>
                <w:rFonts w:ascii="Palatino Linotype" w:eastAsia="Palatino Linotype" w:hAnsi="Palatino Linotype" w:cs="Palatino Linotype"/>
                <w:color w:val="000000"/>
                <w:sz w:val="20"/>
                <w:szCs w:val="20"/>
              </w:rPr>
              <w:t>, que contiene un escrito de fecha 03 de marzo de 2023, a través del cual la Titular de la Unidad de Transparencia informó al entonces solicitante que con relación a la información requerida después de una búsqueda exhaustiva y razonable se indicaba lo siguiente:</w:t>
            </w:r>
          </w:p>
          <w:p w14:paraId="5BA3055B" w14:textId="77777777" w:rsidR="000201F2" w:rsidRDefault="0073512A">
            <w:pPr>
              <w:pBdr>
                <w:top w:val="nil"/>
                <w:left w:val="nil"/>
                <w:bottom w:val="nil"/>
                <w:right w:val="nil"/>
                <w:between w:val="nil"/>
              </w:pBd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Por lo que hace a "</w:t>
            </w:r>
            <w:r>
              <w:rPr>
                <w:rFonts w:ascii="Palatino Linotype" w:eastAsia="Palatino Linotype" w:hAnsi="Palatino Linotype" w:cs="Palatino Linotype"/>
                <w:i/>
                <w:color w:val="000000"/>
                <w:sz w:val="20"/>
                <w:szCs w:val="20"/>
              </w:rPr>
              <w:t>Solicito el número de solicitudes ingresadas en cualquier modalidad del año 2022, cuantos Recursos de Revisión se interpusieron ante este Sujeto Obligado, ya que el porcentaje no coincide con la estadística que tiene el INFOEM en su página oficial..</w:t>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informó que se recibieron 3046 solicitudes de acceso a la información pública en sus distintas modalidades y 768 recursos de revisión durante el año referido del primer día hábil de enero al último día hábil del mes de diciembre del año 2022.</w:t>
            </w:r>
          </w:p>
          <w:p w14:paraId="18114CDA" w14:textId="77777777" w:rsidR="000201F2" w:rsidRDefault="0073512A">
            <w:pPr>
              <w:spacing w:before="120" w:after="12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-Por lo que hace a </w:t>
            </w:r>
            <w:r>
              <w:rPr>
                <w:rFonts w:ascii="Palatino Linotype" w:eastAsia="Palatino Linotype" w:hAnsi="Palatino Linotype" w:cs="Palatino Linotype"/>
                <w:i/>
                <w:sz w:val="20"/>
                <w:szCs w:val="20"/>
              </w:rPr>
              <w:t xml:space="preserve">"Requiero todos los dictámenes de la verificación virtual oficiosa del año 2022, realizada al ayuntamiento de Toluca por el INFOEM...", "..Solicito el documento donde se compruebe por parte del INFOEM que se obtuvo el 90% de calificación, así como las prácticas de transparencia productiva..."; "..Para ser un gobierno </w:t>
            </w:r>
            <w:r>
              <w:rPr>
                <w:rFonts w:ascii="Palatino Linotype" w:eastAsia="Palatino Linotype" w:hAnsi="Palatino Linotype" w:cs="Palatino Linotype"/>
                <w:i/>
                <w:sz w:val="20"/>
                <w:szCs w:val="20"/>
              </w:rPr>
              <w:lastRenderedPageBreak/>
              <w:t xml:space="preserve">abierto y cercano con la ciudadanía, se emitió un informe anual de actividades y cuatro más de manera trimestral en materia de Transparencia al INFOEM..."; "..Solicito los oficios de las unidades administrativas, Direcciones, </w:t>
            </w:r>
            <w:proofErr w:type="spellStart"/>
            <w:r>
              <w:rPr>
                <w:rFonts w:ascii="Palatino Linotype" w:eastAsia="Palatino Linotype" w:hAnsi="Palatino Linotype" w:cs="Palatino Linotype"/>
                <w:i/>
                <w:sz w:val="20"/>
                <w:szCs w:val="20"/>
              </w:rPr>
              <w:t>redigidurías</w:t>
            </w:r>
            <w:proofErr w:type="spellEnd"/>
            <w:r>
              <w:rPr>
                <w:rFonts w:ascii="Palatino Linotype" w:eastAsia="Palatino Linotype" w:hAnsi="Palatino Linotype" w:cs="Palatino Linotype"/>
                <w:i/>
                <w:sz w:val="20"/>
                <w:szCs w:val="20"/>
              </w:rPr>
              <w:t xml:space="preserve">, presidencia municipal, secretaria del ayuntamiento, síndicos, enviados a la Unidad de Transparencia y recibidos en la Unidad de Transparencia, con el propósito de actualizar su información de IPOMEX...", "Solicito todas las constancias o reconocimientos de los 10 cursos que tomaron los servidores públicos en el INFOEM y el </w:t>
            </w:r>
            <w:proofErr w:type="spellStart"/>
            <w:r>
              <w:rPr>
                <w:rFonts w:ascii="Palatino Linotype" w:eastAsia="Palatino Linotype" w:hAnsi="Palatino Linotype" w:cs="Palatino Linotype"/>
                <w:i/>
                <w:sz w:val="20"/>
                <w:szCs w:val="20"/>
              </w:rPr>
              <w:t>INAl</w:t>
            </w:r>
            <w:proofErr w:type="spellEnd"/>
            <w:r>
              <w:rPr>
                <w:rFonts w:ascii="Palatino Linotype" w:eastAsia="Palatino Linotype" w:hAnsi="Palatino Linotype" w:cs="Palatino Linotype"/>
                <w:i/>
                <w:sz w:val="20"/>
                <w:szCs w:val="20"/>
              </w:rPr>
              <w:t xml:space="preserve">, cursos en materia de acceso a la información, protección de datos personales en posesión de los sujetos obligados, clasificación, reserva y prueba de daño…"; "...Solicito los certificados, reconocimientos u otro que avalen que se cursó el Taller Nacional de Avisos de Privacidad". “...Solicito los certificados, reconocimientos u otro que avalen que sede igual forma se asistieron los servidores públicos a diversos foros regionales, jornadas de sensibilización en materia de transparencia proactiva, en materia de difusión y reflexión sobre los alcances y desafíos de las leyes en la materia y conferencias magistrales; "Solicito los certificados, reconocimientos u otro que avalen que la Unidad de Transparencia asesora y capacita de manera permanente a los servidoras públicos habilitados.."; ".Solicito la actualización de esas 119 cédulas de bases de datos personales, supresión, modificación de dichas bases, del año 2022.". y por último y "Oficios recibidos y enviados a todos los Titulares, por parte de la Unidad de Transparencia y enviados a la Unidad de Transparencia..." (sic); </w:t>
            </w:r>
            <w:r>
              <w:rPr>
                <w:rFonts w:ascii="Palatino Linotype" w:eastAsia="Palatino Linotype" w:hAnsi="Palatino Linotype" w:cs="Palatino Linotype"/>
                <w:sz w:val="20"/>
                <w:szCs w:val="20"/>
              </w:rPr>
              <w:t xml:space="preserve">el </w:t>
            </w:r>
            <w:r>
              <w:rPr>
                <w:rFonts w:ascii="Palatino Linotype" w:eastAsia="Palatino Linotype" w:hAnsi="Palatino Linotype" w:cs="Palatino Linotype"/>
                <w:b/>
                <w:sz w:val="20"/>
                <w:szCs w:val="20"/>
              </w:rPr>
              <w:t xml:space="preserve">Sujeto Obligado </w:t>
            </w:r>
            <w:r>
              <w:rPr>
                <w:rFonts w:ascii="Palatino Linotype" w:eastAsia="Palatino Linotype" w:hAnsi="Palatino Linotype" w:cs="Palatino Linotype"/>
                <w:sz w:val="20"/>
                <w:szCs w:val="20"/>
              </w:rPr>
              <w:t>informó que después de una búsqueda exhaustiva y razonable en los archivos de la Unidad de Transparencia el cúmulo de información requerida tenía un peso de 29.69 GB lo que rebasaba las capacidades técnicas del sistema SAIMEX, por lo que el primero de marzo del año dos mil veintitrés, fue aprobado por el Comité de Transparencia del Municipio de Toluca Administración 2022-2024, mediante el Acta de la Ducentésima Tercera Sesión Extraordinaria 2023 con el número de acuerdo AT/CT/01/2023 el Cambio de Modalidad para que la entrega de la información fuera In Situ, y que mediante acuerdo AT/CT/02/2023 se aprobó la clasificación en partes de la información requerida para salvaguardar los datos personales que contiene los oficios enviados y recibidos por esta unidad de Transparencia.</w:t>
            </w:r>
          </w:p>
          <w:p w14:paraId="6ABE0409" w14:textId="77777777" w:rsidR="000201F2" w:rsidRDefault="000201F2">
            <w:pPr>
              <w:spacing w:before="120" w:after="120"/>
              <w:jc w:val="both"/>
              <w:rPr>
                <w:rFonts w:ascii="Palatino Linotype" w:eastAsia="Palatino Linotype" w:hAnsi="Palatino Linotype" w:cs="Palatino Linotype"/>
                <w:sz w:val="20"/>
                <w:szCs w:val="20"/>
              </w:rPr>
            </w:pPr>
          </w:p>
          <w:p w14:paraId="16ADB9FE" w14:textId="77777777" w:rsidR="000201F2" w:rsidRDefault="0073512A">
            <w:pPr>
              <w:spacing w:before="120" w:after="12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Con base en lo anterior, el </w:t>
            </w:r>
            <w:r>
              <w:rPr>
                <w:rFonts w:ascii="Palatino Linotype" w:eastAsia="Palatino Linotype" w:hAnsi="Palatino Linotype" w:cs="Palatino Linotype"/>
                <w:b/>
                <w:sz w:val="20"/>
                <w:szCs w:val="20"/>
              </w:rPr>
              <w:t>Sujeto Obligado</w:t>
            </w:r>
            <w:r>
              <w:rPr>
                <w:rFonts w:ascii="Palatino Linotype" w:eastAsia="Palatino Linotype" w:hAnsi="Palatino Linotype" w:cs="Palatino Linotype"/>
                <w:sz w:val="20"/>
                <w:szCs w:val="20"/>
              </w:rPr>
              <w:t xml:space="preserve"> indicó al entonces solicitante la dirección, fecha y horario, así como número telefónico de contacto de la Jefa de Departamento de Acceso a la Información, quien sería la encargada de atenderlo y proporcionarle la información requerida en su solicitud; asimismo, haciendo del conocimiento que con lo anterior no se está negando la información, sino, por el contrario, solo se está argumentando la situación que impedía hacer la entrega de la información mediante la modalidad que requiere el particular, puesto que sobrepasa las capacidades técnicas del sistema, por lo que, de conformidad con el artículo 164 de la Ley de Transparencia y Acceso a la Información Pública del Estado de México y Municipios se ponía a disposición en Consulta Directa.</w:t>
            </w:r>
          </w:p>
          <w:p w14:paraId="21C50E41" w14:textId="77777777" w:rsidR="000201F2" w:rsidRDefault="000201F2">
            <w:pPr>
              <w:spacing w:before="120" w:after="120"/>
              <w:jc w:val="both"/>
              <w:rPr>
                <w:rFonts w:ascii="Palatino Linotype" w:eastAsia="Palatino Linotype" w:hAnsi="Palatino Linotype" w:cs="Palatino Linotype"/>
                <w:sz w:val="20"/>
                <w:szCs w:val="20"/>
              </w:rPr>
            </w:pPr>
          </w:p>
          <w:p w14:paraId="1FC0AA4F" w14:textId="77777777" w:rsidR="000201F2" w:rsidRDefault="0073512A">
            <w:pPr>
              <w:spacing w:before="120" w:after="12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Finalmente, el </w:t>
            </w:r>
            <w:r>
              <w:rPr>
                <w:rFonts w:ascii="Palatino Linotype" w:eastAsia="Palatino Linotype" w:hAnsi="Palatino Linotype" w:cs="Palatino Linotype"/>
                <w:b/>
                <w:sz w:val="20"/>
                <w:szCs w:val="20"/>
              </w:rPr>
              <w:t>Sujeto Obligado</w:t>
            </w:r>
            <w:r>
              <w:rPr>
                <w:rFonts w:ascii="Palatino Linotype" w:eastAsia="Palatino Linotype" w:hAnsi="Palatino Linotype" w:cs="Palatino Linotype"/>
                <w:sz w:val="20"/>
                <w:szCs w:val="20"/>
              </w:rPr>
              <w:t xml:space="preserve"> no fue omiso en indicar que aún y cuando la información debía ser entregada en la modalidad que eligió el particular, también lo era que se ponía a disposición la misma en medios electrónicos; precisándole lo siguiente:</w:t>
            </w:r>
          </w:p>
          <w:p w14:paraId="3D52523F" w14:textId="77777777" w:rsidR="000201F2" w:rsidRDefault="0073512A">
            <w:pPr>
              <w:spacing w:before="120" w:after="12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w:t>
            </w:r>
            <w:r>
              <w:rPr>
                <w:rFonts w:ascii="Times New Roman" w:eastAsia="Times New Roman" w:hAnsi="Times New Roman" w:cs="Times New Roman"/>
              </w:rPr>
              <w:object w:dxaOrig="5611" w:dyaOrig="5152" w14:anchorId="7BDD0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257.5pt" o:ole="">
                  <v:imagedata r:id="rId8" o:title=""/>
                </v:shape>
                <o:OLEObject Type="Embed" ProgID="PBrush" ShapeID="_x0000_i1025" DrawAspect="Content" ObjectID="_1760785024" r:id="rId9"/>
              </w:object>
            </w:r>
          </w:p>
        </w:tc>
      </w:tr>
      <w:tr w:rsidR="000201F2" w14:paraId="10F00597" w14:textId="77777777">
        <w:trPr>
          <w:jc w:val="center"/>
        </w:trPr>
        <w:tc>
          <w:tcPr>
            <w:tcW w:w="2972" w:type="dxa"/>
            <w:vAlign w:val="center"/>
          </w:tcPr>
          <w:p w14:paraId="588A1659" w14:textId="77777777" w:rsidR="000201F2" w:rsidRDefault="0073512A">
            <w:pPr>
              <w:spacing w:before="120" w:after="120"/>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sz w:val="20"/>
                <w:szCs w:val="20"/>
              </w:rPr>
              <w:lastRenderedPageBreak/>
              <w:t>00312/TOLUCA/IP/2023</w:t>
            </w:r>
          </w:p>
        </w:tc>
        <w:tc>
          <w:tcPr>
            <w:tcW w:w="5856" w:type="dxa"/>
          </w:tcPr>
          <w:p w14:paraId="448840E7" w14:textId="77777777" w:rsidR="000201F2" w:rsidRDefault="0073512A">
            <w:pPr>
              <w:spacing w:before="120" w:after="12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“En respuesta a la solicitud recibida, nos permitimos hacer de su conocimiento que con fundamento en el artículo 53, Fracciones: II, V y </w:t>
            </w:r>
            <w:r>
              <w:rPr>
                <w:rFonts w:ascii="Palatino Linotype" w:eastAsia="Palatino Linotype" w:hAnsi="Palatino Linotype" w:cs="Palatino Linotype"/>
                <w:i/>
                <w:sz w:val="20"/>
                <w:szCs w:val="20"/>
              </w:rPr>
              <w:lastRenderedPageBreak/>
              <w:t>VI de la Ley de Transparencia y Acceso a la Información Pública del Estado de México y Municipios, le contestamos que:</w:t>
            </w:r>
          </w:p>
          <w:p w14:paraId="3A2EBF53" w14:textId="77777777" w:rsidR="000201F2" w:rsidRDefault="0073512A">
            <w:pPr>
              <w:spacing w:before="120" w:after="12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En atención a la solicitud física con folio 00312/TOLUCA/IP/2023, me permito adjuntar al presente la respuesta correspondiente. Sin más por el momento, reciba un saludo” (sic).</w:t>
            </w:r>
          </w:p>
          <w:p w14:paraId="2E6EB216" w14:textId="77777777" w:rsidR="000201F2" w:rsidRDefault="0073512A">
            <w:pPr>
              <w:pBdr>
                <w:top w:val="nil"/>
                <w:left w:val="nil"/>
                <w:bottom w:val="nil"/>
                <w:right w:val="nil"/>
                <w:between w:val="nil"/>
              </w:pBd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Adjunto a su respuesta, el </w:t>
            </w:r>
            <w:r>
              <w:rPr>
                <w:rFonts w:ascii="Palatino Linotype" w:eastAsia="Palatino Linotype" w:hAnsi="Palatino Linotype" w:cs="Palatino Linotype"/>
                <w:b/>
                <w:color w:val="000000"/>
                <w:sz w:val="20"/>
                <w:szCs w:val="20"/>
              </w:rPr>
              <w:t xml:space="preserve">Sujeto Obligado </w:t>
            </w:r>
            <w:r>
              <w:rPr>
                <w:rFonts w:ascii="Palatino Linotype" w:eastAsia="Palatino Linotype" w:hAnsi="Palatino Linotype" w:cs="Palatino Linotype"/>
                <w:color w:val="000000"/>
                <w:sz w:val="20"/>
                <w:szCs w:val="20"/>
              </w:rPr>
              <w:t>remitió cinco archivos electrónicos a través de los cuales adjuntó lo siguiente:</w:t>
            </w:r>
          </w:p>
          <w:p w14:paraId="67B2D526" w14:textId="77777777" w:rsidR="000201F2" w:rsidRDefault="0073512A">
            <w:pPr>
              <w:numPr>
                <w:ilvl w:val="0"/>
                <w:numId w:val="1"/>
              </w:numPr>
              <w:pBdr>
                <w:top w:val="nil"/>
                <w:left w:val="nil"/>
                <w:bottom w:val="nil"/>
                <w:right w:val="nil"/>
                <w:between w:val="nil"/>
              </w:pBdr>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Dictamen_Convocatoria_Practicas_TP_2022 VF.pdf:</w:t>
            </w:r>
            <w:r>
              <w:rPr>
                <w:rFonts w:ascii="Palatino Linotype" w:eastAsia="Palatino Linotype" w:hAnsi="Palatino Linotype" w:cs="Palatino Linotype"/>
                <w:b/>
                <w:color w:val="000000"/>
                <w:sz w:val="20"/>
                <w:szCs w:val="20"/>
              </w:rPr>
              <w:t xml:space="preserve"> </w:t>
            </w:r>
            <w:r>
              <w:rPr>
                <w:rFonts w:ascii="Palatino Linotype" w:eastAsia="Palatino Linotype" w:hAnsi="Palatino Linotype" w:cs="Palatino Linotype"/>
                <w:color w:val="000000"/>
                <w:sz w:val="20"/>
                <w:szCs w:val="20"/>
              </w:rPr>
              <w:t>Contiene un</w:t>
            </w:r>
            <w:r>
              <w:rPr>
                <w:rFonts w:ascii="Palatino Linotype" w:eastAsia="Palatino Linotype" w:hAnsi="Palatino Linotype" w:cs="Palatino Linotype"/>
                <w:b/>
                <w:color w:val="000000"/>
                <w:sz w:val="20"/>
                <w:szCs w:val="20"/>
              </w:rPr>
              <w:t xml:space="preserve"> </w:t>
            </w:r>
            <w:r>
              <w:rPr>
                <w:rFonts w:ascii="Palatino Linotype" w:eastAsia="Palatino Linotype" w:hAnsi="Palatino Linotype" w:cs="Palatino Linotype"/>
                <w:color w:val="000000"/>
                <w:sz w:val="20"/>
                <w:szCs w:val="20"/>
              </w:rPr>
              <w:t>Dictamen para determinar reconocimiento de prácticas trasparencia proactiva 2022.</w:t>
            </w:r>
          </w:p>
          <w:p w14:paraId="52A806DE" w14:textId="77777777" w:rsidR="000201F2" w:rsidRDefault="000201F2">
            <w:pPr>
              <w:pBdr>
                <w:top w:val="nil"/>
                <w:left w:val="nil"/>
                <w:bottom w:val="nil"/>
                <w:right w:val="nil"/>
                <w:between w:val="nil"/>
              </w:pBdr>
              <w:ind w:left="360"/>
              <w:jc w:val="both"/>
              <w:rPr>
                <w:rFonts w:ascii="Palatino Linotype" w:eastAsia="Palatino Linotype" w:hAnsi="Palatino Linotype" w:cs="Palatino Linotype"/>
                <w:b/>
                <w:i/>
                <w:color w:val="000000"/>
                <w:sz w:val="20"/>
                <w:szCs w:val="20"/>
              </w:rPr>
            </w:pPr>
          </w:p>
          <w:p w14:paraId="131C5A5A" w14:textId="77777777" w:rsidR="000201F2" w:rsidRDefault="0073512A">
            <w:pPr>
              <w:numPr>
                <w:ilvl w:val="0"/>
                <w:numId w:val="1"/>
              </w:numPr>
              <w:pBdr>
                <w:top w:val="nil"/>
                <w:left w:val="nil"/>
                <w:bottom w:val="nil"/>
                <w:right w:val="nil"/>
                <w:between w:val="nil"/>
              </w:pBdr>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tol-</w:t>
            </w:r>
            <w:proofErr w:type="spellStart"/>
            <w:r>
              <w:rPr>
                <w:rFonts w:ascii="Palatino Linotype" w:eastAsia="Palatino Linotype" w:hAnsi="Palatino Linotype" w:cs="Palatino Linotype"/>
                <w:b/>
                <w:i/>
                <w:color w:val="000000"/>
                <w:sz w:val="20"/>
                <w:szCs w:val="20"/>
              </w:rPr>
              <w:t>pdf</w:t>
            </w:r>
            <w:proofErr w:type="spellEnd"/>
            <w:r>
              <w:rPr>
                <w:rFonts w:ascii="Palatino Linotype" w:eastAsia="Palatino Linotype" w:hAnsi="Palatino Linotype" w:cs="Palatino Linotype"/>
                <w:b/>
                <w:i/>
                <w:color w:val="000000"/>
                <w:sz w:val="20"/>
                <w:szCs w:val="20"/>
              </w:rPr>
              <w:t>-</w:t>
            </w:r>
            <w:proofErr w:type="gramStart"/>
            <w:r>
              <w:rPr>
                <w:rFonts w:ascii="Palatino Linotype" w:eastAsia="Palatino Linotype" w:hAnsi="Palatino Linotype" w:cs="Palatino Linotype"/>
                <w:b/>
                <w:i/>
                <w:color w:val="000000"/>
                <w:sz w:val="20"/>
                <w:szCs w:val="20"/>
              </w:rPr>
              <w:t>comisiones....</w:t>
            </w:r>
            <w:proofErr w:type="gramEnd"/>
            <w:r>
              <w:rPr>
                <w:rFonts w:ascii="Palatino Linotype" w:eastAsia="Palatino Linotype" w:hAnsi="Palatino Linotype" w:cs="Palatino Linotype"/>
                <w:b/>
                <w:i/>
                <w:color w:val="000000"/>
                <w:sz w:val="20"/>
                <w:szCs w:val="20"/>
              </w:rPr>
              <w:t>.</w:t>
            </w:r>
            <w:proofErr w:type="spellStart"/>
            <w:r>
              <w:rPr>
                <w:rFonts w:ascii="Palatino Linotype" w:eastAsia="Palatino Linotype" w:hAnsi="Palatino Linotype" w:cs="Palatino Linotype"/>
                <w:b/>
                <w:i/>
                <w:color w:val="000000"/>
                <w:sz w:val="20"/>
                <w:szCs w:val="20"/>
              </w:rPr>
              <w:t>pdf</w:t>
            </w:r>
            <w:proofErr w:type="spellEnd"/>
            <w:r>
              <w:rPr>
                <w:rFonts w:ascii="Palatino Linotype" w:eastAsia="Palatino Linotype" w:hAnsi="Palatino Linotype" w:cs="Palatino Linotype"/>
                <w:b/>
                <w:i/>
                <w:color w:val="000000"/>
                <w:sz w:val="20"/>
                <w:szCs w:val="20"/>
              </w:rPr>
              <w:t xml:space="preserve">: </w:t>
            </w:r>
            <w:r>
              <w:rPr>
                <w:rFonts w:ascii="Palatino Linotype" w:eastAsia="Palatino Linotype" w:hAnsi="Palatino Linotype" w:cs="Palatino Linotype"/>
                <w:color w:val="000000"/>
                <w:sz w:val="20"/>
                <w:szCs w:val="20"/>
              </w:rPr>
              <w:t>Consiste en un documento sobre “Conoce a tu Regidor o Regidora y sus Comisiones” del Ayuntamiento de Toluca 2022-2024.</w:t>
            </w:r>
          </w:p>
          <w:p w14:paraId="41C2F128" w14:textId="77777777" w:rsidR="000201F2" w:rsidRDefault="000201F2">
            <w:pPr>
              <w:pBdr>
                <w:top w:val="nil"/>
                <w:left w:val="nil"/>
                <w:bottom w:val="nil"/>
                <w:right w:val="nil"/>
                <w:between w:val="nil"/>
              </w:pBdr>
              <w:ind w:left="708"/>
              <w:rPr>
                <w:rFonts w:ascii="Palatino Linotype" w:eastAsia="Palatino Linotype" w:hAnsi="Palatino Linotype" w:cs="Palatino Linotype"/>
                <w:b/>
                <w:i/>
                <w:color w:val="000000"/>
                <w:sz w:val="20"/>
                <w:szCs w:val="20"/>
              </w:rPr>
            </w:pPr>
          </w:p>
          <w:p w14:paraId="6EAA69CA" w14:textId="77777777" w:rsidR="000201F2" w:rsidRDefault="000201F2">
            <w:pPr>
              <w:pBdr>
                <w:top w:val="nil"/>
                <w:left w:val="nil"/>
                <w:bottom w:val="nil"/>
                <w:right w:val="nil"/>
                <w:between w:val="nil"/>
              </w:pBdr>
              <w:ind w:left="360"/>
              <w:rPr>
                <w:rFonts w:ascii="Palatino Linotype" w:eastAsia="Palatino Linotype" w:hAnsi="Palatino Linotype" w:cs="Palatino Linotype"/>
                <w:b/>
                <w:i/>
                <w:color w:val="000000"/>
                <w:sz w:val="20"/>
                <w:szCs w:val="20"/>
              </w:rPr>
            </w:pPr>
          </w:p>
          <w:p w14:paraId="1AA9578E" w14:textId="77777777" w:rsidR="000201F2" w:rsidRDefault="0073512A">
            <w:pPr>
              <w:numPr>
                <w:ilvl w:val="0"/>
                <w:numId w:val="1"/>
              </w:numPr>
              <w:pBdr>
                <w:top w:val="nil"/>
                <w:left w:val="nil"/>
                <w:bottom w:val="nil"/>
                <w:right w:val="nil"/>
                <w:between w:val="nil"/>
              </w:pBdr>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ACVVO</w:t>
            </w:r>
            <w:proofErr w:type="gramStart"/>
            <w:r>
              <w:rPr>
                <w:rFonts w:ascii="Palatino Linotype" w:eastAsia="Palatino Linotype" w:hAnsi="Palatino Linotype" w:cs="Palatino Linotype"/>
                <w:b/>
                <w:i/>
                <w:color w:val="000000"/>
                <w:sz w:val="20"/>
                <w:szCs w:val="20"/>
              </w:rPr>
              <w:t>_....</w:t>
            </w:r>
            <w:proofErr w:type="spellStart"/>
            <w:proofErr w:type="gramEnd"/>
            <w:r>
              <w:rPr>
                <w:rFonts w:ascii="Palatino Linotype" w:eastAsia="Palatino Linotype" w:hAnsi="Palatino Linotype" w:cs="Palatino Linotype"/>
                <w:b/>
                <w:i/>
                <w:color w:val="000000"/>
                <w:sz w:val="20"/>
                <w:szCs w:val="20"/>
              </w:rPr>
              <w:t>pdf</w:t>
            </w:r>
            <w:proofErr w:type="spellEnd"/>
            <w:r>
              <w:rPr>
                <w:rFonts w:ascii="Palatino Linotype" w:eastAsia="Palatino Linotype" w:hAnsi="Palatino Linotype" w:cs="Palatino Linotype"/>
                <w:b/>
                <w:i/>
                <w:color w:val="000000"/>
                <w:sz w:val="20"/>
                <w:szCs w:val="20"/>
              </w:rPr>
              <w:t xml:space="preserve">: </w:t>
            </w:r>
            <w:r>
              <w:rPr>
                <w:rFonts w:ascii="Palatino Linotype" w:eastAsia="Palatino Linotype" w:hAnsi="Palatino Linotype" w:cs="Palatino Linotype"/>
                <w:color w:val="000000"/>
                <w:sz w:val="20"/>
                <w:szCs w:val="20"/>
              </w:rPr>
              <w:t>Contiene el Acuerdo de cumplimiento de la verificación virtual oficiosa número INFOEM/DGJV/DJ/SJV/</w:t>
            </w:r>
            <w:proofErr w:type="spellStart"/>
            <w:r>
              <w:rPr>
                <w:rFonts w:ascii="Palatino Linotype" w:eastAsia="Palatino Linotype" w:hAnsi="Palatino Linotype" w:cs="Palatino Linotype"/>
                <w:color w:val="000000"/>
                <w:sz w:val="20"/>
                <w:szCs w:val="20"/>
              </w:rPr>
              <w:t>Vvo</w:t>
            </w:r>
            <w:proofErr w:type="spellEnd"/>
            <w:r>
              <w:rPr>
                <w:rFonts w:ascii="Palatino Linotype" w:eastAsia="Palatino Linotype" w:hAnsi="Palatino Linotype" w:cs="Palatino Linotype"/>
                <w:color w:val="000000"/>
                <w:sz w:val="20"/>
                <w:szCs w:val="20"/>
              </w:rPr>
              <w:t>/229/2022 del siete de septiembre de dos mil veintidós, mediante el cual se acordó el cumplimiento a la verificación virtual oficiosa del Ayuntamiento de Toluca.</w:t>
            </w:r>
          </w:p>
          <w:p w14:paraId="6D90AF16" w14:textId="77777777" w:rsidR="000201F2" w:rsidRDefault="000201F2">
            <w:pPr>
              <w:pBdr>
                <w:top w:val="nil"/>
                <w:left w:val="nil"/>
                <w:bottom w:val="nil"/>
                <w:right w:val="nil"/>
                <w:between w:val="nil"/>
              </w:pBdr>
              <w:ind w:left="360"/>
              <w:jc w:val="both"/>
              <w:rPr>
                <w:rFonts w:ascii="Palatino Linotype" w:eastAsia="Palatino Linotype" w:hAnsi="Palatino Linotype" w:cs="Palatino Linotype"/>
                <w:b/>
                <w:i/>
                <w:color w:val="000000"/>
                <w:sz w:val="20"/>
                <w:szCs w:val="20"/>
              </w:rPr>
            </w:pPr>
          </w:p>
          <w:p w14:paraId="6299CA4A" w14:textId="77777777" w:rsidR="000201F2" w:rsidRDefault="0073512A">
            <w:pPr>
              <w:numPr>
                <w:ilvl w:val="0"/>
                <w:numId w:val="1"/>
              </w:numPr>
              <w:pBdr>
                <w:top w:val="nil"/>
                <w:left w:val="nil"/>
                <w:bottom w:val="nil"/>
                <w:right w:val="nil"/>
                <w:between w:val="nil"/>
              </w:pBdr>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 xml:space="preserve">312.pdf: </w:t>
            </w:r>
            <w:r>
              <w:rPr>
                <w:rFonts w:ascii="Palatino Linotype" w:eastAsia="Palatino Linotype" w:hAnsi="Palatino Linotype" w:cs="Palatino Linotype"/>
                <w:color w:val="000000"/>
                <w:sz w:val="20"/>
                <w:szCs w:val="20"/>
              </w:rPr>
              <w:t xml:space="preserve">Contiene un escrito de fecha tres de marzo de dos mil veintitrés a través del cual la Titular de la Unidad de Transparencia del </w:t>
            </w:r>
            <w:r>
              <w:rPr>
                <w:rFonts w:ascii="Palatino Linotype" w:eastAsia="Palatino Linotype" w:hAnsi="Palatino Linotype" w:cs="Palatino Linotype"/>
                <w:b/>
                <w:color w:val="000000"/>
                <w:sz w:val="20"/>
                <w:szCs w:val="20"/>
              </w:rPr>
              <w:t>Sujeto Obligado</w:t>
            </w:r>
            <w:r>
              <w:rPr>
                <w:rFonts w:ascii="Palatino Linotype" w:eastAsia="Palatino Linotype" w:hAnsi="Palatino Linotype" w:cs="Palatino Linotype"/>
                <w:color w:val="000000"/>
                <w:sz w:val="20"/>
                <w:szCs w:val="20"/>
              </w:rPr>
              <w:t xml:space="preserve"> le informa al entonces solicitante lo siguiente:</w:t>
            </w:r>
          </w:p>
          <w:p w14:paraId="40F256EB" w14:textId="77777777" w:rsidR="000201F2" w:rsidRDefault="000201F2">
            <w:pPr>
              <w:pBdr>
                <w:top w:val="nil"/>
                <w:left w:val="nil"/>
                <w:bottom w:val="nil"/>
                <w:right w:val="nil"/>
                <w:between w:val="nil"/>
              </w:pBdr>
              <w:ind w:left="708"/>
              <w:rPr>
                <w:rFonts w:ascii="Palatino Linotype" w:eastAsia="Palatino Linotype" w:hAnsi="Palatino Linotype" w:cs="Palatino Linotype"/>
                <w:b/>
                <w:i/>
                <w:color w:val="000000"/>
                <w:sz w:val="20"/>
                <w:szCs w:val="20"/>
              </w:rPr>
            </w:pPr>
          </w:p>
          <w:p w14:paraId="2BFD4DA3" w14:textId="77777777" w:rsidR="000201F2" w:rsidRDefault="0073512A">
            <w:pPr>
              <w:pBdr>
                <w:top w:val="nil"/>
                <w:left w:val="nil"/>
                <w:bottom w:val="nil"/>
                <w:right w:val="nil"/>
                <w:between w:val="nil"/>
              </w:pBdr>
              <w:ind w:left="360"/>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w:t>
            </w:r>
            <w:r>
              <w:rPr>
                <w:rFonts w:ascii="Palatino Linotype" w:eastAsia="Palatino Linotype" w:hAnsi="Palatino Linotype" w:cs="Palatino Linotype"/>
                <w:color w:val="000000"/>
                <w:sz w:val="20"/>
                <w:szCs w:val="20"/>
              </w:rPr>
              <w:t>Que con relación a “</w:t>
            </w:r>
            <w:r>
              <w:rPr>
                <w:rFonts w:ascii="Palatino Linotype" w:eastAsia="Palatino Linotype" w:hAnsi="Palatino Linotype" w:cs="Palatino Linotype"/>
                <w:i/>
                <w:color w:val="000000"/>
                <w:sz w:val="20"/>
                <w:szCs w:val="20"/>
              </w:rPr>
              <w:t>Requiero todos los dictámenes de la verificación virtual oficiosa del año 2022, realizada al ayuntamiento de Toluca por el INFOEM</w:t>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indicó que se hacía entrega del Acuerdo de cumplimiento de la verificación virtual oficiosa emitido por el INFOEM.</w:t>
            </w:r>
          </w:p>
          <w:p w14:paraId="2F983F02" w14:textId="77777777" w:rsidR="000201F2" w:rsidRDefault="000201F2">
            <w:pPr>
              <w:pBdr>
                <w:top w:val="nil"/>
                <w:left w:val="nil"/>
                <w:bottom w:val="nil"/>
                <w:right w:val="nil"/>
                <w:between w:val="nil"/>
              </w:pBdr>
              <w:ind w:left="360"/>
              <w:jc w:val="both"/>
              <w:rPr>
                <w:rFonts w:ascii="Palatino Linotype" w:eastAsia="Palatino Linotype" w:hAnsi="Palatino Linotype" w:cs="Palatino Linotype"/>
                <w:b/>
                <w:color w:val="000000"/>
                <w:sz w:val="20"/>
                <w:szCs w:val="20"/>
              </w:rPr>
            </w:pPr>
          </w:p>
          <w:p w14:paraId="7EB5EC91" w14:textId="77777777" w:rsidR="000201F2" w:rsidRDefault="0073512A">
            <w:pPr>
              <w:pBdr>
                <w:top w:val="nil"/>
                <w:left w:val="nil"/>
                <w:bottom w:val="nil"/>
                <w:right w:val="nil"/>
                <w:between w:val="nil"/>
              </w:pBdr>
              <w:ind w:left="360"/>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w:t>
            </w:r>
            <w:r>
              <w:rPr>
                <w:rFonts w:ascii="Palatino Linotype" w:eastAsia="Palatino Linotype" w:hAnsi="Palatino Linotype" w:cs="Palatino Linotype"/>
                <w:color w:val="000000"/>
                <w:sz w:val="20"/>
                <w:szCs w:val="20"/>
              </w:rPr>
              <w:t>Que con relación a “</w:t>
            </w:r>
            <w:r>
              <w:rPr>
                <w:rFonts w:ascii="Palatino Linotype" w:eastAsia="Palatino Linotype" w:hAnsi="Palatino Linotype" w:cs="Palatino Linotype"/>
                <w:i/>
                <w:color w:val="000000"/>
                <w:sz w:val="20"/>
                <w:szCs w:val="20"/>
              </w:rPr>
              <w:t>Solicito el documento donde se compruebe por parte del INFOEM que se obtuvo el 90% de calificación, así como las prácticas de transparencia proactiva</w:t>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 xml:space="preserve">indicó que se hacía entrega del Dictamen para determinar reconocimiento de prácticas trasparencia proactiva 2022 emitido por el INFOEM y que con relación a las prácticas </w:t>
            </w:r>
            <w:r>
              <w:rPr>
                <w:rFonts w:ascii="Palatino Linotype" w:eastAsia="Palatino Linotype" w:hAnsi="Palatino Linotype" w:cs="Palatino Linotype"/>
                <w:b/>
                <w:color w:val="000000"/>
                <w:sz w:val="20"/>
                <w:szCs w:val="20"/>
              </w:rPr>
              <w:lastRenderedPageBreak/>
              <w:t>de información proactiva las mismas se podían consultar en los siguientes links:</w:t>
            </w:r>
          </w:p>
          <w:p w14:paraId="24416366" w14:textId="77777777" w:rsidR="000201F2" w:rsidRDefault="000201F2">
            <w:pPr>
              <w:pBdr>
                <w:top w:val="nil"/>
                <w:left w:val="nil"/>
                <w:bottom w:val="nil"/>
                <w:right w:val="nil"/>
                <w:between w:val="nil"/>
              </w:pBdr>
              <w:ind w:left="360"/>
              <w:jc w:val="both"/>
              <w:rPr>
                <w:rFonts w:ascii="Palatino Linotype" w:eastAsia="Palatino Linotype" w:hAnsi="Palatino Linotype" w:cs="Palatino Linotype"/>
                <w:b/>
                <w:color w:val="000000"/>
                <w:sz w:val="20"/>
                <w:szCs w:val="20"/>
              </w:rPr>
            </w:pPr>
          </w:p>
          <w:p w14:paraId="7B8F091B" w14:textId="77777777" w:rsidR="000201F2" w:rsidRDefault="0073512A">
            <w:pPr>
              <w:pBdr>
                <w:top w:val="nil"/>
                <w:left w:val="nil"/>
                <w:bottom w:val="nil"/>
                <w:right w:val="nil"/>
                <w:between w:val="nil"/>
              </w:pBdr>
              <w:ind w:left="360"/>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https://www2.toluca.gob.mx/informacion-civica-y-juridica/</w:t>
            </w:r>
          </w:p>
          <w:p w14:paraId="395D54D5" w14:textId="77777777" w:rsidR="000201F2" w:rsidRDefault="0073512A">
            <w:pPr>
              <w:pBdr>
                <w:top w:val="nil"/>
                <w:left w:val="nil"/>
                <w:bottom w:val="nil"/>
                <w:right w:val="nil"/>
                <w:between w:val="nil"/>
              </w:pBdr>
              <w:ind w:left="360"/>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https://www2.toluca.gob.mx/garantizando-tus-derechos-humanos/</w:t>
            </w:r>
          </w:p>
          <w:p w14:paraId="4C8C4B51" w14:textId="77777777" w:rsidR="000201F2" w:rsidRDefault="0073512A">
            <w:pPr>
              <w:pBdr>
                <w:top w:val="nil"/>
                <w:left w:val="nil"/>
                <w:bottom w:val="nil"/>
                <w:right w:val="nil"/>
                <w:between w:val="nil"/>
              </w:pBdr>
              <w:ind w:left="360"/>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https://www2.toluca.gob.mx/conoce-a-tu-regidor-o-regidora/</w:t>
            </w:r>
          </w:p>
          <w:p w14:paraId="3D323765" w14:textId="77777777" w:rsidR="000201F2" w:rsidRDefault="000201F2">
            <w:pPr>
              <w:pBdr>
                <w:top w:val="nil"/>
                <w:left w:val="nil"/>
                <w:bottom w:val="nil"/>
                <w:right w:val="nil"/>
                <w:between w:val="nil"/>
              </w:pBdr>
              <w:ind w:left="360"/>
              <w:jc w:val="both"/>
              <w:rPr>
                <w:rFonts w:ascii="Palatino Linotype" w:eastAsia="Palatino Linotype" w:hAnsi="Palatino Linotype" w:cs="Palatino Linotype"/>
                <w:b/>
                <w:color w:val="000000"/>
                <w:sz w:val="20"/>
                <w:szCs w:val="20"/>
              </w:rPr>
            </w:pPr>
          </w:p>
          <w:p w14:paraId="4A83F6C8" w14:textId="77777777" w:rsidR="000201F2" w:rsidRDefault="0073512A">
            <w:pPr>
              <w:pBdr>
                <w:top w:val="nil"/>
                <w:left w:val="nil"/>
                <w:bottom w:val="nil"/>
                <w:right w:val="nil"/>
                <w:between w:val="nil"/>
              </w:pBdr>
              <w:ind w:left="36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Y que, bajo el principio de máxima publicidad anexaba la información a la respuesta, insertando captura de pantalla del contenido del segundo link.</w:t>
            </w:r>
          </w:p>
          <w:p w14:paraId="439F2F5F" w14:textId="77777777" w:rsidR="000201F2" w:rsidRDefault="000201F2">
            <w:pPr>
              <w:pBdr>
                <w:top w:val="nil"/>
                <w:left w:val="nil"/>
                <w:bottom w:val="nil"/>
                <w:right w:val="nil"/>
                <w:between w:val="nil"/>
              </w:pBdr>
              <w:ind w:left="360"/>
              <w:jc w:val="both"/>
              <w:rPr>
                <w:rFonts w:ascii="Palatino Linotype" w:eastAsia="Palatino Linotype" w:hAnsi="Palatino Linotype" w:cs="Palatino Linotype"/>
                <w:color w:val="000000"/>
                <w:sz w:val="20"/>
                <w:szCs w:val="20"/>
              </w:rPr>
            </w:pPr>
          </w:p>
          <w:p w14:paraId="4CE92BBF" w14:textId="77777777" w:rsidR="000201F2" w:rsidRDefault="0073512A">
            <w:pPr>
              <w:pBdr>
                <w:top w:val="nil"/>
                <w:left w:val="nil"/>
                <w:bottom w:val="nil"/>
                <w:right w:val="nil"/>
                <w:between w:val="nil"/>
              </w:pBdr>
              <w:ind w:left="36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-Que con relación a “</w:t>
            </w:r>
            <w:r>
              <w:rPr>
                <w:rFonts w:ascii="Palatino Linotype" w:eastAsia="Palatino Linotype" w:hAnsi="Palatino Linotype" w:cs="Palatino Linotype"/>
                <w:i/>
                <w:color w:val="000000"/>
                <w:sz w:val="20"/>
                <w:szCs w:val="20"/>
              </w:rPr>
              <w:t xml:space="preserve">Solicito el </w:t>
            </w:r>
            <w:proofErr w:type="spellStart"/>
            <w:r>
              <w:rPr>
                <w:rFonts w:ascii="Palatino Linotype" w:eastAsia="Palatino Linotype" w:hAnsi="Palatino Linotype" w:cs="Palatino Linotype"/>
                <w:i/>
                <w:color w:val="000000"/>
                <w:sz w:val="20"/>
                <w:szCs w:val="20"/>
              </w:rPr>
              <w:t>numero</w:t>
            </w:r>
            <w:proofErr w:type="spellEnd"/>
            <w:r>
              <w:rPr>
                <w:rFonts w:ascii="Palatino Linotype" w:eastAsia="Palatino Linotype" w:hAnsi="Palatino Linotype" w:cs="Palatino Linotype"/>
                <w:i/>
                <w:color w:val="000000"/>
                <w:sz w:val="20"/>
                <w:szCs w:val="20"/>
              </w:rPr>
              <w:t xml:space="preserve"> de solicitudes ingresadas en cualquier modalidad del año 2022 al Ayuntamiento de Toluca, cuantos Recursos de Revisión se interpusieron al Ayuntamiento de Toluca, en el año </w:t>
            </w:r>
            <w:proofErr w:type="gramStart"/>
            <w:r>
              <w:rPr>
                <w:rFonts w:ascii="Palatino Linotype" w:eastAsia="Palatino Linotype" w:hAnsi="Palatino Linotype" w:cs="Palatino Linotype"/>
                <w:i/>
                <w:color w:val="000000"/>
                <w:sz w:val="20"/>
                <w:szCs w:val="20"/>
              </w:rPr>
              <w:t>2022</w:t>
            </w:r>
            <w:r>
              <w:rPr>
                <w:rFonts w:ascii="Palatino Linotype" w:eastAsia="Palatino Linotype" w:hAnsi="Palatino Linotype" w:cs="Palatino Linotype"/>
                <w:color w:val="000000"/>
                <w:sz w:val="20"/>
                <w:szCs w:val="20"/>
              </w:rPr>
              <w:t>..</w:t>
            </w:r>
            <w:proofErr w:type="gramEnd"/>
            <w:r>
              <w:rPr>
                <w:rFonts w:ascii="Palatino Linotype" w:eastAsia="Palatino Linotype" w:hAnsi="Palatino Linotype" w:cs="Palatino Linotype"/>
                <w:color w:val="000000"/>
                <w:sz w:val="20"/>
                <w:szCs w:val="20"/>
              </w:rPr>
              <w:t xml:space="preserve">" (sic); el </w:t>
            </w:r>
            <w:r>
              <w:rPr>
                <w:rFonts w:ascii="Palatino Linotype" w:eastAsia="Palatino Linotype" w:hAnsi="Palatino Linotype" w:cs="Palatino Linotype"/>
                <w:b/>
                <w:color w:val="000000"/>
                <w:sz w:val="20"/>
                <w:szCs w:val="20"/>
              </w:rPr>
              <w:t>Sujeto Obligado indicó que se recibieron 3046 solicitudes de acceso a la información pública en sus distintas modalidades y 768 recursos de revisión durante el año referido del primer día hábil de enero al último día hábil del mes de diciembre del año 2022.</w:t>
            </w:r>
          </w:p>
          <w:p w14:paraId="28402F3B" w14:textId="77777777" w:rsidR="000201F2" w:rsidRDefault="000201F2">
            <w:pPr>
              <w:pBdr>
                <w:top w:val="nil"/>
                <w:left w:val="nil"/>
                <w:bottom w:val="nil"/>
                <w:right w:val="nil"/>
                <w:between w:val="nil"/>
              </w:pBdr>
              <w:ind w:left="360"/>
              <w:jc w:val="both"/>
              <w:rPr>
                <w:rFonts w:ascii="Palatino Linotype" w:eastAsia="Palatino Linotype" w:hAnsi="Palatino Linotype" w:cs="Palatino Linotype"/>
                <w:color w:val="000000"/>
                <w:sz w:val="20"/>
                <w:szCs w:val="20"/>
              </w:rPr>
            </w:pPr>
          </w:p>
          <w:p w14:paraId="4160B30A" w14:textId="77777777" w:rsidR="000201F2" w:rsidRDefault="0073512A">
            <w:pPr>
              <w:pBdr>
                <w:top w:val="nil"/>
                <w:left w:val="nil"/>
                <w:bottom w:val="nil"/>
                <w:right w:val="nil"/>
                <w:between w:val="nil"/>
              </w:pBdr>
              <w:ind w:left="36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Que con relación a “</w:t>
            </w:r>
            <w:r>
              <w:rPr>
                <w:rFonts w:ascii="Palatino Linotype" w:eastAsia="Palatino Linotype" w:hAnsi="Palatino Linotype" w:cs="Palatino Linotype"/>
                <w:i/>
                <w:color w:val="000000"/>
                <w:sz w:val="20"/>
                <w:szCs w:val="20"/>
              </w:rPr>
              <w:t>Solicito todas las constancias o reconocimientos impartidos por el INFOEM al Ayuntamiento de Toluca en el año 2022, de todos los servidores públicos</w:t>
            </w:r>
            <w:r>
              <w:rPr>
                <w:rFonts w:ascii="Palatino Linotype" w:eastAsia="Palatino Linotype" w:hAnsi="Palatino Linotype" w:cs="Palatino Linotype"/>
                <w:color w:val="000000"/>
                <w:sz w:val="20"/>
                <w:szCs w:val="20"/>
              </w:rPr>
              <w:t xml:space="preserve">"; al respecto, se informó que después de una búsqueda exhaustiva y razonable en los archivos de la Unidad de Transparencia del </w:t>
            </w:r>
            <w:r>
              <w:rPr>
                <w:rFonts w:ascii="Palatino Linotype" w:eastAsia="Palatino Linotype" w:hAnsi="Palatino Linotype" w:cs="Palatino Linotype"/>
                <w:b/>
                <w:color w:val="000000"/>
                <w:sz w:val="20"/>
                <w:szCs w:val="20"/>
              </w:rPr>
              <w:t>Sujeto Obligado</w:t>
            </w:r>
            <w:r>
              <w:rPr>
                <w:rFonts w:ascii="Palatino Linotype" w:eastAsia="Palatino Linotype" w:hAnsi="Palatino Linotype" w:cs="Palatino Linotype"/>
                <w:color w:val="000000"/>
                <w:sz w:val="20"/>
                <w:szCs w:val="20"/>
              </w:rPr>
              <w:t>, se localizaron 4 documentos con los cuales se colma la pretensión, sin embargo al no encontrarse digitalizados, de conformidad con lo dispuesto en los artículos 163, 165 y 174 fracción I de la Ley de Transparencia y Acceso a la Información Pública del Estado de México y Municipios; hacía del conocimiento que la información solicitada consta de 4 fojas, misma que se digitalizarían y debiéndose cubrir el costo correspondiente por el escaneo y digitalización.</w:t>
            </w:r>
          </w:p>
          <w:p w14:paraId="35C160D9" w14:textId="77777777" w:rsidR="000201F2" w:rsidRDefault="000201F2">
            <w:pPr>
              <w:pBdr>
                <w:top w:val="nil"/>
                <w:left w:val="nil"/>
                <w:bottom w:val="nil"/>
                <w:right w:val="nil"/>
                <w:between w:val="nil"/>
              </w:pBdr>
              <w:ind w:left="360"/>
              <w:jc w:val="both"/>
              <w:rPr>
                <w:rFonts w:ascii="Palatino Linotype" w:eastAsia="Palatino Linotype" w:hAnsi="Palatino Linotype" w:cs="Palatino Linotype"/>
                <w:color w:val="000000"/>
                <w:sz w:val="20"/>
                <w:szCs w:val="20"/>
              </w:rPr>
            </w:pPr>
          </w:p>
          <w:p w14:paraId="56AD32FB" w14:textId="77777777" w:rsidR="000201F2" w:rsidRDefault="0073512A">
            <w:pPr>
              <w:pBdr>
                <w:top w:val="nil"/>
                <w:left w:val="nil"/>
                <w:bottom w:val="nil"/>
                <w:right w:val="nil"/>
                <w:between w:val="nil"/>
              </w:pBdr>
              <w:ind w:left="36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-Que con relación a la solicitud en específico a: "</w:t>
            </w:r>
            <w:r>
              <w:rPr>
                <w:rFonts w:ascii="Palatino Linotype" w:eastAsia="Palatino Linotype" w:hAnsi="Palatino Linotype" w:cs="Palatino Linotype"/>
                <w:i/>
                <w:color w:val="000000"/>
                <w:sz w:val="20"/>
                <w:szCs w:val="20"/>
              </w:rPr>
              <w:t xml:space="preserve">Así como los oficios por parte de la Unidad de Transparencia enviados y recibidos en las Unidades Administrativas, invitándolos a estos </w:t>
            </w:r>
            <w:r>
              <w:rPr>
                <w:rFonts w:ascii="Palatino Linotype" w:eastAsia="Palatino Linotype" w:hAnsi="Palatino Linotype" w:cs="Palatino Linotype"/>
                <w:i/>
                <w:color w:val="000000"/>
                <w:sz w:val="20"/>
                <w:szCs w:val="20"/>
              </w:rPr>
              <w:lastRenderedPageBreak/>
              <w:t xml:space="preserve">cursos, Solicito los certificados, reconocimientos u otro que avalen que sede igual forma se asistieron los servidores públicos del ayuntamiento de Toluca en el año </w:t>
            </w:r>
            <w:proofErr w:type="gramStart"/>
            <w:r>
              <w:rPr>
                <w:rFonts w:ascii="Palatino Linotype" w:eastAsia="Palatino Linotype" w:hAnsi="Palatino Linotype" w:cs="Palatino Linotype"/>
                <w:i/>
                <w:color w:val="000000"/>
                <w:sz w:val="20"/>
                <w:szCs w:val="20"/>
              </w:rPr>
              <w:t>2022</w:t>
            </w:r>
            <w:r>
              <w:rPr>
                <w:rFonts w:ascii="Palatino Linotype" w:eastAsia="Palatino Linotype" w:hAnsi="Palatino Linotype" w:cs="Palatino Linotype"/>
                <w:color w:val="000000"/>
                <w:sz w:val="20"/>
                <w:szCs w:val="20"/>
              </w:rPr>
              <w:t>..</w:t>
            </w:r>
            <w:proofErr w:type="gramEnd"/>
            <w:r>
              <w:rPr>
                <w:rFonts w:ascii="Palatino Linotype" w:eastAsia="Palatino Linotype" w:hAnsi="Palatino Linotype" w:cs="Palatino Linotype"/>
                <w:color w:val="000000"/>
                <w:sz w:val="20"/>
                <w:szCs w:val="20"/>
              </w:rPr>
              <w:t>" y "</w:t>
            </w:r>
            <w:r>
              <w:rPr>
                <w:rFonts w:ascii="Palatino Linotype" w:eastAsia="Palatino Linotype" w:hAnsi="Palatino Linotype" w:cs="Palatino Linotype"/>
                <w:i/>
                <w:color w:val="000000"/>
                <w:sz w:val="20"/>
                <w:szCs w:val="20"/>
              </w:rPr>
              <w:t>Solicito la actualización de las 119 cédulas de bases de datos personales, supresión, modificación de dichas bases, del año 2022. del ayuntamiento de Toluca..</w:t>
            </w:r>
            <w:r>
              <w:rPr>
                <w:rFonts w:ascii="Palatino Linotype" w:eastAsia="Palatino Linotype" w:hAnsi="Palatino Linotype" w:cs="Palatino Linotype"/>
                <w:color w:val="000000"/>
                <w:sz w:val="20"/>
                <w:szCs w:val="20"/>
              </w:rPr>
              <w:t xml:space="preserve">." (sic); el </w:t>
            </w:r>
            <w:r>
              <w:rPr>
                <w:rFonts w:ascii="Palatino Linotype" w:eastAsia="Palatino Linotype" w:hAnsi="Palatino Linotype" w:cs="Palatino Linotype"/>
                <w:b/>
                <w:color w:val="000000"/>
                <w:sz w:val="20"/>
                <w:szCs w:val="20"/>
              </w:rPr>
              <w:t xml:space="preserve">Sujeto Obligado </w:t>
            </w:r>
            <w:r>
              <w:rPr>
                <w:rFonts w:ascii="Palatino Linotype" w:eastAsia="Palatino Linotype" w:hAnsi="Palatino Linotype" w:cs="Palatino Linotype"/>
                <w:color w:val="000000"/>
                <w:sz w:val="20"/>
                <w:szCs w:val="20"/>
              </w:rPr>
              <w:t>hizo del conocimiento que después de una búsqueda exhaustiva y razonable en los archivos de la Unidad de Transparencia se localizaron 188 fojas con los cuales se colma la pretensión, sin embargo, los mismos no se encontraban digitalizados por no existir un precepto legal para determinar la obligatoriedad.</w:t>
            </w:r>
          </w:p>
          <w:p w14:paraId="4D89B255" w14:textId="77777777" w:rsidR="000201F2" w:rsidRDefault="000201F2">
            <w:pPr>
              <w:pBdr>
                <w:top w:val="nil"/>
                <w:left w:val="nil"/>
                <w:bottom w:val="nil"/>
                <w:right w:val="nil"/>
                <w:between w:val="nil"/>
              </w:pBdr>
              <w:ind w:left="360"/>
              <w:jc w:val="both"/>
              <w:rPr>
                <w:rFonts w:ascii="Palatino Linotype" w:eastAsia="Palatino Linotype" w:hAnsi="Palatino Linotype" w:cs="Palatino Linotype"/>
                <w:color w:val="000000"/>
                <w:sz w:val="20"/>
                <w:szCs w:val="20"/>
              </w:rPr>
            </w:pPr>
          </w:p>
          <w:p w14:paraId="368B36FA" w14:textId="77777777" w:rsidR="000201F2" w:rsidRDefault="0073512A">
            <w:pPr>
              <w:pBdr>
                <w:top w:val="nil"/>
                <w:left w:val="nil"/>
                <w:bottom w:val="nil"/>
                <w:right w:val="nil"/>
                <w:between w:val="nil"/>
              </w:pBdr>
              <w:ind w:left="36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En tal virtud de conformidad con lo dispuesto en los artículos 163, 165 y 174 fracción I de la Ley de Transparencia y Acceso a la Información Pública del Estado de México y Municipios; el </w:t>
            </w:r>
            <w:r>
              <w:rPr>
                <w:rFonts w:ascii="Palatino Linotype" w:eastAsia="Palatino Linotype" w:hAnsi="Palatino Linotype" w:cs="Palatino Linotype"/>
                <w:b/>
                <w:color w:val="000000"/>
                <w:sz w:val="20"/>
                <w:szCs w:val="20"/>
              </w:rPr>
              <w:t xml:space="preserve">Sujeto Obligado </w:t>
            </w:r>
            <w:r>
              <w:rPr>
                <w:rFonts w:ascii="Palatino Linotype" w:eastAsia="Palatino Linotype" w:hAnsi="Palatino Linotype" w:cs="Palatino Linotype"/>
                <w:color w:val="000000"/>
                <w:sz w:val="20"/>
                <w:szCs w:val="20"/>
              </w:rPr>
              <w:t>informa que la información solicitada consta de un total de 192 fojas mismas que se digitalizarían, debiéndose cubrir el costo correspondiente por el escaneo y digitalización, tomando en cuenta el número de veces el valor diario de la Unidad de Medida y Actualización (UMA) vigente de: $103.74 de conformidad con el artículo 148 del Código Financiero del Estado de México y Municipios; en tal virtud, se indicó que el entonces solicitante debía pagar la cantidad de $142.76 (ciento cuarenta y dos pesos 76/100 M.N.), precisándole el procedimiento a seguir para efectuar el pago y poder disponer de la información.</w:t>
            </w:r>
          </w:p>
          <w:p w14:paraId="15C8F555" w14:textId="77777777" w:rsidR="000201F2" w:rsidRDefault="000201F2">
            <w:pPr>
              <w:pBdr>
                <w:top w:val="nil"/>
                <w:left w:val="nil"/>
                <w:bottom w:val="nil"/>
                <w:right w:val="nil"/>
                <w:between w:val="nil"/>
              </w:pBdr>
              <w:ind w:left="360"/>
              <w:jc w:val="both"/>
              <w:rPr>
                <w:rFonts w:ascii="Palatino Linotype" w:eastAsia="Palatino Linotype" w:hAnsi="Palatino Linotype" w:cs="Palatino Linotype"/>
                <w:color w:val="000000"/>
                <w:sz w:val="20"/>
                <w:szCs w:val="20"/>
              </w:rPr>
            </w:pPr>
          </w:p>
          <w:p w14:paraId="59786F8E" w14:textId="77777777" w:rsidR="000201F2" w:rsidRDefault="0073512A">
            <w:pPr>
              <w:pBdr>
                <w:top w:val="nil"/>
                <w:left w:val="nil"/>
                <w:bottom w:val="nil"/>
                <w:right w:val="nil"/>
                <w:between w:val="nil"/>
              </w:pBdr>
              <w:ind w:left="36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Finalmente por dicho escrito de respuesta, el </w:t>
            </w:r>
            <w:r>
              <w:rPr>
                <w:rFonts w:ascii="Palatino Linotype" w:eastAsia="Palatino Linotype" w:hAnsi="Palatino Linotype" w:cs="Palatino Linotype"/>
                <w:b/>
                <w:color w:val="000000"/>
                <w:sz w:val="20"/>
                <w:szCs w:val="20"/>
              </w:rPr>
              <w:t xml:space="preserve">Sujeto Obligado </w:t>
            </w:r>
            <w:r>
              <w:rPr>
                <w:rFonts w:ascii="Palatino Linotype" w:eastAsia="Palatino Linotype" w:hAnsi="Palatino Linotype" w:cs="Palatino Linotype"/>
                <w:color w:val="000000"/>
                <w:sz w:val="20"/>
                <w:szCs w:val="20"/>
              </w:rPr>
              <w:t>le precisó al entonces solicitante que atendiendo el contenido del artículo 174, fracción I y último párrafo de la Ley de la materia, en el caso se atendió el derecho fundamental atendiendo el principio de gratuidad, sólo en los casos de excepción, tomando como base que la información debía ser entregada sin costo cuando implique la entrega de no más de veinte hojas simples, adjuntando una orden de pago por la cantidad indicada y otorgando gratuidad contabilizando con costo únicamente 172 fojas.</w:t>
            </w:r>
          </w:p>
          <w:p w14:paraId="7C5C84D5" w14:textId="77777777" w:rsidR="000201F2" w:rsidRDefault="000201F2">
            <w:pPr>
              <w:rPr>
                <w:rFonts w:ascii="Palatino Linotype" w:eastAsia="Palatino Linotype" w:hAnsi="Palatino Linotype" w:cs="Palatino Linotype"/>
                <w:b/>
                <w:i/>
                <w:sz w:val="20"/>
                <w:szCs w:val="20"/>
              </w:rPr>
            </w:pPr>
          </w:p>
          <w:p w14:paraId="0460CEF3" w14:textId="77777777" w:rsidR="000201F2" w:rsidRDefault="0073512A">
            <w:pPr>
              <w:numPr>
                <w:ilvl w:val="0"/>
                <w:numId w:val="1"/>
              </w:numPr>
              <w:pBdr>
                <w:top w:val="nil"/>
                <w:left w:val="nil"/>
                <w:bottom w:val="nil"/>
                <w:right w:val="nil"/>
                <w:between w:val="nil"/>
              </w:pBdr>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 xml:space="preserve">tol-pdf-inf_civ_jur_2022.pdf: </w:t>
            </w:r>
            <w:r>
              <w:rPr>
                <w:rFonts w:ascii="Palatino Linotype" w:eastAsia="Palatino Linotype" w:hAnsi="Palatino Linotype" w:cs="Palatino Linotype"/>
                <w:color w:val="000000"/>
                <w:sz w:val="20"/>
                <w:szCs w:val="20"/>
              </w:rPr>
              <w:t xml:space="preserve">Contiene un documento con información cívica y jurídica del Ayuntamiento de Toluca, </w:t>
            </w:r>
            <w:r>
              <w:rPr>
                <w:rFonts w:ascii="Palatino Linotype" w:eastAsia="Palatino Linotype" w:hAnsi="Palatino Linotype" w:cs="Palatino Linotype"/>
                <w:color w:val="000000"/>
                <w:sz w:val="20"/>
                <w:szCs w:val="20"/>
              </w:rPr>
              <w:lastRenderedPageBreak/>
              <w:t>relacionada con información acerca de las Oficialías del Registro Civil de Toluca y los Principio de Mediación.</w:t>
            </w:r>
          </w:p>
        </w:tc>
      </w:tr>
    </w:tbl>
    <w:p w14:paraId="63132601"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4. Interposición de los recursos de revisión. </w:t>
      </w:r>
      <w:r>
        <w:rPr>
          <w:rFonts w:ascii="Palatino Linotype" w:eastAsia="Palatino Linotype" w:hAnsi="Palatino Linotype" w:cs="Palatino Linotype"/>
        </w:rPr>
        <w:t xml:space="preserve">Inconforme la persona solicitante con la respuesta emitida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sus solicitudes, en fecha </w:t>
      </w:r>
      <w:r>
        <w:rPr>
          <w:rFonts w:ascii="Palatino Linotype" w:eastAsia="Palatino Linotype" w:hAnsi="Palatino Linotype" w:cs="Palatino Linotype"/>
          <w:b/>
        </w:rPr>
        <w:t>catorce de marzo de dos mil veintitrés</w:t>
      </w:r>
      <w:r>
        <w:rPr>
          <w:rFonts w:ascii="Palatino Linotype" w:eastAsia="Palatino Linotype" w:hAnsi="Palatino Linotype" w:cs="Palatino Linotype"/>
        </w:rPr>
        <w:t>, interpuso los recursos de revisión a través del SAIMEX, expresando lo siguiente en todos los casos:</w:t>
      </w:r>
    </w:p>
    <w:tbl>
      <w:tblPr>
        <w:tblStyle w:val="a2"/>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0201F2" w14:paraId="1975303D" w14:textId="77777777">
        <w:trPr>
          <w:jc w:val="center"/>
        </w:trPr>
        <w:tc>
          <w:tcPr>
            <w:tcW w:w="2972" w:type="dxa"/>
            <w:shd w:val="clear" w:color="auto" w:fill="A6A6A6"/>
          </w:tcPr>
          <w:p w14:paraId="70A5DE62" w14:textId="77777777" w:rsidR="000201F2" w:rsidRDefault="0073512A">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Número de recurso de revisión</w:t>
            </w:r>
          </w:p>
        </w:tc>
        <w:tc>
          <w:tcPr>
            <w:tcW w:w="5856" w:type="dxa"/>
            <w:shd w:val="clear" w:color="auto" w:fill="A6A6A6"/>
          </w:tcPr>
          <w:p w14:paraId="265156A1" w14:textId="77777777" w:rsidR="000201F2" w:rsidRDefault="0073512A">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Acto impugnado y razones o motivos de inconformidad</w:t>
            </w:r>
          </w:p>
        </w:tc>
      </w:tr>
      <w:tr w:rsidR="000201F2" w14:paraId="46D14D56" w14:textId="77777777">
        <w:trPr>
          <w:jc w:val="center"/>
        </w:trPr>
        <w:tc>
          <w:tcPr>
            <w:tcW w:w="2972" w:type="dxa"/>
            <w:vAlign w:val="center"/>
          </w:tcPr>
          <w:p w14:paraId="3FC84E28" w14:textId="77777777" w:rsidR="000201F2" w:rsidRDefault="0073512A">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01359/INFOEM/IP/RR/2023</w:t>
            </w:r>
          </w:p>
        </w:tc>
        <w:tc>
          <w:tcPr>
            <w:tcW w:w="5856" w:type="dxa"/>
          </w:tcPr>
          <w:p w14:paraId="026B1EA4" w14:textId="77777777" w:rsidR="000201F2" w:rsidRDefault="000201F2">
            <w:pPr>
              <w:tabs>
                <w:tab w:val="left" w:pos="2745"/>
              </w:tabs>
              <w:spacing w:line="360" w:lineRule="auto"/>
              <w:jc w:val="both"/>
              <w:rPr>
                <w:rFonts w:ascii="Palatino Linotype" w:eastAsia="Palatino Linotype" w:hAnsi="Palatino Linotype" w:cs="Palatino Linotype"/>
                <w:b/>
                <w:sz w:val="20"/>
                <w:szCs w:val="20"/>
              </w:rPr>
            </w:pPr>
          </w:p>
          <w:p w14:paraId="62831F57" w14:textId="77777777" w:rsidR="000201F2" w:rsidRDefault="0073512A">
            <w:pPr>
              <w:tabs>
                <w:tab w:val="left" w:pos="2745"/>
              </w:tabs>
              <w:spacing w:line="360" w:lineRule="auto"/>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Acto impugnado: </w:t>
            </w:r>
          </w:p>
          <w:p w14:paraId="5B563B6D" w14:textId="77777777" w:rsidR="000201F2" w:rsidRDefault="0073512A">
            <w:pPr>
              <w:tabs>
                <w:tab w:val="left" w:pos="2745"/>
              </w:tabs>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RESPUESTA PROPORCIONADA” (sic)</w:t>
            </w:r>
          </w:p>
          <w:p w14:paraId="1632A7E1" w14:textId="77777777" w:rsidR="000201F2" w:rsidRDefault="0073512A">
            <w:pPr>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Razones o motivos de inconformidad</w:t>
            </w:r>
            <w:r>
              <w:rPr>
                <w:rFonts w:ascii="Palatino Linotype" w:eastAsia="Palatino Linotype" w:hAnsi="Palatino Linotype" w:cs="Palatino Linotype"/>
                <w:sz w:val="20"/>
                <w:szCs w:val="20"/>
              </w:rPr>
              <w:t xml:space="preserve">: </w:t>
            </w:r>
          </w:p>
          <w:p w14:paraId="305F3011" w14:textId="77777777" w:rsidR="000201F2" w:rsidRDefault="0073512A">
            <w:pPr>
              <w:ind w:left="851"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i/>
                <w:sz w:val="20"/>
                <w:szCs w:val="20"/>
              </w:rPr>
              <w:t>“NO ME ENTREGARON LO QUE PEDI, ARGUMENTAN QUE REBASA LA CAPACIDAD TECNICA.</w:t>
            </w:r>
            <w:r>
              <w:rPr>
                <w:rFonts w:ascii="Palatino Linotype" w:eastAsia="Palatino Linotype" w:hAnsi="Palatino Linotype" w:cs="Palatino Linotype"/>
                <w:b/>
                <w:i/>
                <w:sz w:val="20"/>
                <w:szCs w:val="20"/>
              </w:rPr>
              <w:t xml:space="preserve">” </w:t>
            </w:r>
            <w:r>
              <w:rPr>
                <w:rFonts w:ascii="Palatino Linotype" w:eastAsia="Palatino Linotype" w:hAnsi="Palatino Linotype" w:cs="Palatino Linotype"/>
                <w:i/>
                <w:sz w:val="20"/>
                <w:szCs w:val="20"/>
              </w:rPr>
              <w:t>(sic)</w:t>
            </w:r>
          </w:p>
          <w:p w14:paraId="4EC3C109" w14:textId="77777777" w:rsidR="000201F2" w:rsidRDefault="000201F2">
            <w:pPr>
              <w:jc w:val="both"/>
              <w:rPr>
                <w:rFonts w:ascii="Palatino Linotype" w:eastAsia="Palatino Linotype" w:hAnsi="Palatino Linotype" w:cs="Palatino Linotype"/>
                <w:i/>
                <w:sz w:val="20"/>
                <w:szCs w:val="20"/>
              </w:rPr>
            </w:pPr>
          </w:p>
        </w:tc>
      </w:tr>
      <w:tr w:rsidR="000201F2" w14:paraId="4B948F83" w14:textId="77777777">
        <w:trPr>
          <w:jc w:val="center"/>
        </w:trPr>
        <w:tc>
          <w:tcPr>
            <w:tcW w:w="2972" w:type="dxa"/>
            <w:vAlign w:val="center"/>
          </w:tcPr>
          <w:p w14:paraId="6690B8A0" w14:textId="77777777" w:rsidR="000201F2" w:rsidRDefault="0073512A">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01360/INFOEM/IP/RR/2023</w:t>
            </w:r>
          </w:p>
        </w:tc>
        <w:tc>
          <w:tcPr>
            <w:tcW w:w="5856" w:type="dxa"/>
          </w:tcPr>
          <w:p w14:paraId="5907D0E7" w14:textId="77777777" w:rsidR="000201F2" w:rsidRDefault="000201F2">
            <w:pPr>
              <w:tabs>
                <w:tab w:val="left" w:pos="2745"/>
              </w:tabs>
              <w:spacing w:line="360" w:lineRule="auto"/>
              <w:jc w:val="both"/>
              <w:rPr>
                <w:rFonts w:ascii="Palatino Linotype" w:eastAsia="Palatino Linotype" w:hAnsi="Palatino Linotype" w:cs="Palatino Linotype"/>
                <w:b/>
                <w:sz w:val="20"/>
                <w:szCs w:val="20"/>
              </w:rPr>
            </w:pPr>
          </w:p>
          <w:p w14:paraId="1BE614A6" w14:textId="77777777" w:rsidR="000201F2" w:rsidRDefault="0073512A">
            <w:pPr>
              <w:tabs>
                <w:tab w:val="left" w:pos="2745"/>
              </w:tabs>
              <w:spacing w:line="360" w:lineRule="auto"/>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Acto impugnado: </w:t>
            </w:r>
          </w:p>
          <w:p w14:paraId="64B2D8E7" w14:textId="77777777" w:rsidR="000201F2" w:rsidRDefault="0073512A">
            <w:pPr>
              <w:tabs>
                <w:tab w:val="left" w:pos="2745"/>
              </w:tabs>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“NO ME ENTREGARON LO QUE PEDI POR ESTE SISTEMA” (sic)</w:t>
            </w:r>
          </w:p>
          <w:p w14:paraId="3C380364" w14:textId="77777777" w:rsidR="000201F2" w:rsidRDefault="0073512A">
            <w:pPr>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Razones o motivos de inconformidad</w:t>
            </w:r>
            <w:r>
              <w:rPr>
                <w:rFonts w:ascii="Palatino Linotype" w:eastAsia="Palatino Linotype" w:hAnsi="Palatino Linotype" w:cs="Palatino Linotype"/>
                <w:sz w:val="20"/>
                <w:szCs w:val="20"/>
              </w:rPr>
              <w:t xml:space="preserve">: </w:t>
            </w:r>
          </w:p>
          <w:p w14:paraId="4BE6D544" w14:textId="77777777" w:rsidR="000201F2" w:rsidRDefault="0073512A">
            <w:pPr>
              <w:ind w:left="851"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i/>
                <w:sz w:val="20"/>
                <w:szCs w:val="20"/>
              </w:rPr>
              <w:t>“NO ME ENTREGARON LO QUE PEDI POR ESTE SISTEMA</w:t>
            </w:r>
            <w:r>
              <w:rPr>
                <w:rFonts w:ascii="Palatino Linotype" w:eastAsia="Palatino Linotype" w:hAnsi="Palatino Linotype" w:cs="Palatino Linotype"/>
                <w:b/>
                <w:i/>
                <w:sz w:val="20"/>
                <w:szCs w:val="20"/>
              </w:rPr>
              <w:t xml:space="preserve">” </w:t>
            </w:r>
            <w:r>
              <w:rPr>
                <w:rFonts w:ascii="Palatino Linotype" w:eastAsia="Palatino Linotype" w:hAnsi="Palatino Linotype" w:cs="Palatino Linotype"/>
                <w:i/>
                <w:sz w:val="20"/>
                <w:szCs w:val="20"/>
              </w:rPr>
              <w:t>(sic)</w:t>
            </w:r>
          </w:p>
          <w:p w14:paraId="7190658C" w14:textId="77777777" w:rsidR="000201F2" w:rsidRDefault="000201F2">
            <w:pPr>
              <w:jc w:val="both"/>
              <w:rPr>
                <w:rFonts w:ascii="Palatino Linotype" w:eastAsia="Palatino Linotype" w:hAnsi="Palatino Linotype" w:cs="Palatino Linotype"/>
                <w:i/>
                <w:sz w:val="20"/>
                <w:szCs w:val="20"/>
              </w:rPr>
            </w:pPr>
          </w:p>
        </w:tc>
      </w:tr>
    </w:tbl>
    <w:p w14:paraId="1D5284E9"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Turno.</w:t>
      </w:r>
      <w:r>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vigente, los presentes recursos de revisión </w:t>
      </w:r>
      <w:r>
        <w:rPr>
          <w:rFonts w:ascii="Palatino Linotype" w:eastAsia="Palatino Linotype" w:hAnsi="Palatino Linotype" w:cs="Palatino Linotype"/>
          <w:b/>
        </w:rPr>
        <w:t>01359/INFOEM/IP/RR/2023 y 01360/INFOEM/IP/RR/2023, acumulados</w:t>
      </w:r>
      <w:r>
        <w:rPr>
          <w:rFonts w:ascii="Palatino Linotype" w:eastAsia="Palatino Linotype" w:hAnsi="Palatino Linotype" w:cs="Palatino Linotype"/>
        </w:rPr>
        <w:t xml:space="preserve"> se turnaron por el sistema electrónico del Instituto de Transparencia, Acceso a la Información Pública y Protección de Datos </w:t>
      </w:r>
      <w:r>
        <w:rPr>
          <w:rFonts w:ascii="Palatino Linotype" w:eastAsia="Palatino Linotype" w:hAnsi="Palatino Linotype" w:cs="Palatino Linotype"/>
        </w:rPr>
        <w:lastRenderedPageBreak/>
        <w:t>Personales del Estado de México y Municipios, a los Comisionados</w:t>
      </w:r>
      <w:r>
        <w:rPr>
          <w:rFonts w:ascii="Palatino Linotype" w:eastAsia="Palatino Linotype" w:hAnsi="Palatino Linotype" w:cs="Palatino Linotype"/>
          <w:b/>
        </w:rPr>
        <w:t xml:space="preserve"> Guadalupe Ramírez Peña </w:t>
      </w:r>
      <w:r>
        <w:rPr>
          <w:rFonts w:ascii="Palatino Linotype" w:eastAsia="Palatino Linotype" w:hAnsi="Palatino Linotype" w:cs="Palatino Linotype"/>
        </w:rPr>
        <w:t xml:space="preserve">y </w:t>
      </w:r>
      <w:r>
        <w:rPr>
          <w:rFonts w:ascii="Palatino Linotype" w:eastAsia="Palatino Linotype" w:hAnsi="Palatino Linotype" w:cs="Palatino Linotype"/>
          <w:b/>
        </w:rPr>
        <w:t xml:space="preserve">José Martínez Vilchis,  </w:t>
      </w:r>
      <w:r>
        <w:rPr>
          <w:rFonts w:ascii="Palatino Linotype" w:eastAsia="Palatino Linotype" w:hAnsi="Palatino Linotype" w:cs="Palatino Linotype"/>
        </w:rPr>
        <w:t xml:space="preserve">a efecto de que analizaran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 xml:space="preserve">. </w:t>
      </w:r>
    </w:p>
    <w:p w14:paraId="01C19CD7"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Admisión de los Recursos de Revisión. </w:t>
      </w:r>
      <w:r>
        <w:rPr>
          <w:rFonts w:ascii="Palatino Linotype" w:eastAsia="Palatino Linotype" w:hAnsi="Palatino Linotype" w:cs="Palatino Linotype"/>
        </w:rPr>
        <w:t xml:space="preserve">En fechas </w:t>
      </w:r>
      <w:r>
        <w:rPr>
          <w:rFonts w:ascii="Palatino Linotype" w:eastAsia="Palatino Linotype" w:hAnsi="Palatino Linotype" w:cs="Palatino Linotype"/>
          <w:b/>
        </w:rPr>
        <w:t>diecisiete y veintisiete de marzo de dos de dos mil veintitrés</w:t>
      </w:r>
      <w:r>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admitieron a trámite los recursos de revisión al rubro indicado.</w:t>
      </w:r>
    </w:p>
    <w:p w14:paraId="7BAA8E70" w14:textId="77777777" w:rsidR="000201F2" w:rsidRDefault="0073512A">
      <w:pPr>
        <w:pBdr>
          <w:top w:val="nil"/>
          <w:left w:val="nil"/>
          <w:bottom w:val="nil"/>
          <w:right w:val="nil"/>
          <w:between w:val="nil"/>
        </w:pBdr>
        <w:spacing w:before="240" w:after="240" w:line="360" w:lineRule="auto"/>
        <w:jc w:val="both"/>
      </w:pPr>
      <w:r>
        <w:rPr>
          <w:rFonts w:ascii="Palatino Linotype" w:eastAsia="Palatino Linotype" w:hAnsi="Palatino Linotype" w:cs="Palatino Linotype"/>
          <w:b/>
        </w:rPr>
        <w:t xml:space="preserve">7. Acumulación de los recursos de revisión. </w:t>
      </w:r>
      <w:r>
        <w:rPr>
          <w:rFonts w:ascii="Palatino Linotype" w:eastAsia="Palatino Linotype" w:hAnsi="Palatino Linotype" w:cs="Palatino Linotype"/>
        </w:rPr>
        <w:t xml:space="preserve">Al respecto cabe señalar, que el Pleno de este Instituto, en la </w:t>
      </w:r>
      <w:r>
        <w:rPr>
          <w:rFonts w:ascii="Palatino Linotype" w:eastAsia="Palatino Linotype" w:hAnsi="Palatino Linotype" w:cs="Palatino Linotype"/>
          <w:b/>
        </w:rPr>
        <w:t>Décima Segunda Sesión</w:t>
      </w:r>
      <w:r>
        <w:rPr>
          <w:rFonts w:ascii="Palatino Linotype" w:eastAsia="Palatino Linotype" w:hAnsi="Palatino Linotype" w:cs="Palatino Linotype"/>
        </w:rPr>
        <w:t xml:space="preserve"> </w:t>
      </w:r>
      <w:r>
        <w:rPr>
          <w:rFonts w:ascii="Palatino Linotype" w:eastAsia="Palatino Linotype" w:hAnsi="Palatino Linotype" w:cs="Palatino Linotype"/>
          <w:b/>
        </w:rPr>
        <w:t>Ordinaria</w:t>
      </w:r>
      <w:r>
        <w:rPr>
          <w:rFonts w:ascii="Palatino Linotype" w:eastAsia="Palatino Linotype" w:hAnsi="Palatino Linotype" w:cs="Palatino Linotype"/>
        </w:rPr>
        <w:t xml:space="preserve"> de fecha</w:t>
      </w:r>
      <w:r>
        <w:rPr>
          <w:rFonts w:ascii="Palatino Linotype" w:eastAsia="Palatino Linotype" w:hAnsi="Palatino Linotype" w:cs="Palatino Linotype"/>
          <w:b/>
        </w:rPr>
        <w:t xml:space="preserve"> veintinueve de marzo de dos mil veintitrés,</w:t>
      </w:r>
      <w:r>
        <w:rPr>
          <w:rFonts w:ascii="Palatino Linotype" w:eastAsia="Palatino Linotype" w:hAnsi="Palatino Linotype" w:cs="Palatino Linotype"/>
        </w:rPr>
        <w:t xml:space="preserve"> ordenó la acumulación de los expedientes citados, a efecto de que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59275094" w14:textId="77777777" w:rsidR="000201F2" w:rsidRDefault="0073512A">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Código de Procedimientos Administrativos del Estado de México</w:t>
      </w:r>
    </w:p>
    <w:p w14:paraId="544B3247" w14:textId="77777777" w:rsidR="000201F2" w:rsidRDefault="0073512A">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Pr>
          <w:rFonts w:ascii="Palatino Linotype" w:eastAsia="Palatino Linotype" w:hAnsi="Palatino Linotype" w:cs="Palatino Linotype"/>
          <w:i/>
          <w:sz w:val="22"/>
          <w:szCs w:val="22"/>
        </w:rPr>
        <w:t xml:space="preserve"> o a petición de parte, </w:t>
      </w:r>
      <w:r>
        <w:rPr>
          <w:rFonts w:ascii="Palatino Linotype" w:eastAsia="Palatino Linotype" w:hAnsi="Palatino Linotype" w:cs="Palatino Linotype"/>
          <w:b/>
          <w:i/>
          <w:sz w:val="22"/>
          <w:szCs w:val="22"/>
        </w:rPr>
        <w:t>cuando las partes</w:t>
      </w:r>
      <w:r>
        <w:rPr>
          <w:rFonts w:ascii="Palatino Linotype" w:eastAsia="Palatino Linotype" w:hAnsi="Palatino Linotype" w:cs="Palatino Linotype"/>
          <w:i/>
          <w:sz w:val="22"/>
          <w:szCs w:val="22"/>
        </w:rPr>
        <w:t xml:space="preserve"> o los actos administrativos sean iguales, se trate de actos conexos o </w:t>
      </w:r>
      <w:r>
        <w:rPr>
          <w:rFonts w:ascii="Palatino Linotype" w:eastAsia="Palatino Linotype" w:hAnsi="Palatino Linotype" w:cs="Palatino Linotype"/>
          <w:b/>
          <w:i/>
          <w:sz w:val="22"/>
          <w:szCs w:val="22"/>
        </w:rPr>
        <w:t>resulte conveniente el trámite unificado de los asuntos, para evitar la emisión de resoluciones contradictorias</w:t>
      </w:r>
      <w:r>
        <w:rPr>
          <w:rFonts w:ascii="Palatino Linotype" w:eastAsia="Palatino Linotype" w:hAnsi="Palatino Linotype" w:cs="Palatino Linotype"/>
          <w:i/>
          <w:sz w:val="22"/>
          <w:szCs w:val="22"/>
        </w:rPr>
        <w:t>. La misma regla se aplicará, en lo conducente, para la separación de los expedientes.”</w:t>
      </w:r>
    </w:p>
    <w:p w14:paraId="63D4B8F0" w14:textId="77777777" w:rsidR="000201F2" w:rsidRDefault="0073512A">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lastRenderedPageBreak/>
        <w:t>Ley de Transparencia y Acceso a la Información Pública del Estado de México y Municipios</w:t>
      </w:r>
    </w:p>
    <w:p w14:paraId="72C7C5A5" w14:textId="77777777" w:rsidR="000201F2" w:rsidRDefault="0073512A">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“Artículo 195.-</w:t>
      </w:r>
      <w:r>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74F651CF" w14:textId="77777777" w:rsidR="000201F2" w:rsidRDefault="0073512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Durante la sustanciación de los medios de impugnación citados se advirtió que los mismos fueron interpuestos por la misma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ante el mismo </w:t>
      </w:r>
      <w:r>
        <w:rPr>
          <w:rFonts w:ascii="Palatino Linotype" w:eastAsia="Palatino Linotype" w:hAnsi="Palatino Linotype" w:cs="Palatino Linotype"/>
          <w:b/>
        </w:rPr>
        <w:t>Sujeto Obligado</w:t>
      </w:r>
      <w:r>
        <w:rPr>
          <w:rFonts w:ascii="Palatino Linotype" w:eastAsia="Palatino Linotype" w:hAnsi="Palatino Linotype" w:cs="Palatino Linotype"/>
        </w:rPr>
        <w:t>, razón por la cual, la Comisionada Ponente consideró que resultaba conveniente su acumulación a efecto de que formulara y presentara el proyecto de resolución correspondiente.</w:t>
      </w:r>
    </w:p>
    <w:p w14:paraId="28AD709B" w14:textId="77777777" w:rsidR="000201F2" w:rsidRDefault="0073512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8. Manifestaciones. </w:t>
      </w:r>
      <w:r>
        <w:rPr>
          <w:rFonts w:ascii="Palatino Linotype" w:eastAsia="Palatino Linotype" w:hAnsi="Palatino Linotype" w:cs="Palatino Linotype"/>
        </w:rPr>
        <w:t xml:space="preserve">De las constancias que integran los expedientes electrónicos en los que se actúa se advierte que en fechas </w:t>
      </w:r>
      <w:r>
        <w:rPr>
          <w:rFonts w:ascii="Palatino Linotype" w:eastAsia="Palatino Linotype" w:hAnsi="Palatino Linotype" w:cs="Palatino Linotype"/>
          <w:b/>
        </w:rPr>
        <w:t xml:space="preserve">veintinueve de marzo y doce de abril de dos mil veintitrés, </w:t>
      </w: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sus informes justificados, en los siguientes términos: </w:t>
      </w:r>
    </w:p>
    <w:tbl>
      <w:tblPr>
        <w:tblStyle w:val="a3"/>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0201F2" w14:paraId="60F4D4A2" w14:textId="77777777">
        <w:tc>
          <w:tcPr>
            <w:tcW w:w="2972" w:type="dxa"/>
            <w:shd w:val="clear" w:color="auto" w:fill="A6A6A6"/>
          </w:tcPr>
          <w:p w14:paraId="20C5AE45" w14:textId="77777777" w:rsidR="000201F2" w:rsidRDefault="0073512A">
            <w:pPr>
              <w:spacing w:before="120" w:after="120"/>
              <w:jc w:val="center"/>
              <w:rPr>
                <w:rFonts w:ascii="Palatino Linotype" w:eastAsia="Palatino Linotype" w:hAnsi="Palatino Linotype" w:cs="Palatino Linotype"/>
                <w:b/>
                <w:sz w:val="20"/>
                <w:szCs w:val="20"/>
              </w:rPr>
            </w:pPr>
            <w:bookmarkStart w:id="8" w:name="_heading=h.3rdcrjn" w:colFirst="0" w:colLast="0"/>
            <w:bookmarkEnd w:id="8"/>
            <w:r>
              <w:rPr>
                <w:rFonts w:ascii="Palatino Linotype" w:eastAsia="Palatino Linotype" w:hAnsi="Palatino Linotype" w:cs="Palatino Linotype"/>
                <w:b/>
                <w:sz w:val="20"/>
                <w:szCs w:val="20"/>
              </w:rPr>
              <w:t>Recuso de Revisión</w:t>
            </w:r>
          </w:p>
        </w:tc>
        <w:tc>
          <w:tcPr>
            <w:tcW w:w="5856" w:type="dxa"/>
            <w:shd w:val="clear" w:color="auto" w:fill="A6A6A6"/>
          </w:tcPr>
          <w:p w14:paraId="5ABB5D3D" w14:textId="77777777" w:rsidR="000201F2" w:rsidRDefault="0073512A">
            <w:pPr>
              <w:spacing w:before="120" w:after="12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Información entregada</w:t>
            </w:r>
          </w:p>
        </w:tc>
      </w:tr>
      <w:tr w:rsidR="000201F2" w14:paraId="34927069" w14:textId="77777777">
        <w:trPr>
          <w:trHeight w:val="432"/>
        </w:trPr>
        <w:tc>
          <w:tcPr>
            <w:tcW w:w="2972" w:type="dxa"/>
            <w:vAlign w:val="center"/>
          </w:tcPr>
          <w:p w14:paraId="2B8E4523" w14:textId="77777777" w:rsidR="000201F2" w:rsidRDefault="0073512A">
            <w:pPr>
              <w:spacing w:before="120" w:after="12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01359/INFOEM/IP/RR/2023</w:t>
            </w:r>
          </w:p>
          <w:p w14:paraId="0BFF13FA" w14:textId="77777777" w:rsidR="000201F2" w:rsidRDefault="0073512A">
            <w:pPr>
              <w:spacing w:before="120" w:after="120"/>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16"/>
                <w:szCs w:val="16"/>
              </w:rPr>
              <w:t>Solicitud 00311/TOLUCA/IP/2023</w:t>
            </w:r>
          </w:p>
        </w:tc>
        <w:tc>
          <w:tcPr>
            <w:tcW w:w="5856" w:type="dxa"/>
          </w:tcPr>
          <w:p w14:paraId="53AE2381" w14:textId="77777777" w:rsidR="000201F2" w:rsidRDefault="0073512A">
            <w:pPr>
              <w:spacing w:before="120" w:after="12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 Mediante archivo electrónico “</w:t>
            </w:r>
            <w:r>
              <w:rPr>
                <w:rFonts w:ascii="Palatino Linotype" w:eastAsia="Palatino Linotype" w:hAnsi="Palatino Linotype" w:cs="Palatino Linotype"/>
                <w:b/>
                <w:i/>
                <w:sz w:val="20"/>
                <w:szCs w:val="20"/>
              </w:rPr>
              <w:t>RR1359_23.pdf</w:t>
            </w:r>
            <w:r>
              <w:rPr>
                <w:rFonts w:ascii="Palatino Linotype" w:eastAsia="Palatino Linotype" w:hAnsi="Palatino Linotype" w:cs="Palatino Linotype"/>
                <w:sz w:val="20"/>
                <w:szCs w:val="20"/>
              </w:rPr>
              <w:t>”, se aportó el Oficio número 2010A4000/UT/RR/190/2023 del 29 de marzo de 2023, a través del cual la Titular de la Unidad de Transparencia del Sujeto Obligado rinde informe justificado, haciendo del conocimiento que el tres de marzo de dos mil veintitrés dio atención a la solicitud de información, insertando la digitalización del escrito de respuesta mismo que en obvio de repeticiones innecesarias se tiene por inserto.</w:t>
            </w:r>
          </w:p>
          <w:p w14:paraId="5A94E2DB" w14:textId="77777777" w:rsidR="000201F2" w:rsidRDefault="0073512A">
            <w:pPr>
              <w:spacing w:before="120" w:after="12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Asimismo, mediante el oficio de referencia el </w:t>
            </w:r>
            <w:r>
              <w:rPr>
                <w:rFonts w:ascii="Palatino Linotype" w:eastAsia="Palatino Linotype" w:hAnsi="Palatino Linotype" w:cs="Palatino Linotype"/>
                <w:b/>
                <w:sz w:val="20"/>
                <w:szCs w:val="20"/>
              </w:rPr>
              <w:t>Sujeto Obligado</w:t>
            </w:r>
            <w:r>
              <w:rPr>
                <w:rFonts w:ascii="Palatino Linotype" w:eastAsia="Palatino Linotype" w:hAnsi="Palatino Linotype" w:cs="Palatino Linotype"/>
                <w:sz w:val="20"/>
                <w:szCs w:val="20"/>
              </w:rPr>
              <w:t xml:space="preserve"> en atención a las razones o motivos de inconformidad indicó que en su respuesta se le había informado al entonces solicitante las razones que imposibilitaron la entrega de la información vía SAIMEX; ello, en virtud de que la misma sobrepasa las capacidades técnicas del Sistema, por lo que mediante Acuerdo </w:t>
            </w:r>
            <w:r>
              <w:rPr>
                <w:rFonts w:ascii="Palatino Linotype" w:eastAsia="Palatino Linotype" w:hAnsi="Palatino Linotype" w:cs="Palatino Linotype"/>
                <w:sz w:val="20"/>
                <w:szCs w:val="20"/>
              </w:rPr>
              <w:lastRenderedPageBreak/>
              <w:t>del Comité de Transparencia número Ducentésima Tercera Sesión Extraordinaria, se aprobó el cambio de modalidad y que tal circunstancia obra en la Bitácora de la Dirección General de Informática del INFOEM, insertando la digitalización del oficio INFOEM/DGI/199/2023 del 06 de marzo de 2023, a través de la cual el Director General de Informática del INFOEM informó a la Titular de la Unidad de Transparencia del Sujeto Obligado que en atención a su diverso oficio 2010A4000/00155/2023, con relación a la solicitud de información la incidencia técnica había quedado registrada en la bitácora de incidencias pues se trata de subir un peso de 29.69GB, que sobrepasa las capacidades técnicas del SAIMEX.</w:t>
            </w:r>
          </w:p>
          <w:p w14:paraId="1CCFC0FB" w14:textId="77777777" w:rsidR="000201F2" w:rsidRDefault="000201F2">
            <w:pPr>
              <w:spacing w:before="120" w:after="120"/>
              <w:jc w:val="both"/>
              <w:rPr>
                <w:rFonts w:ascii="Palatino Linotype" w:eastAsia="Palatino Linotype" w:hAnsi="Palatino Linotype" w:cs="Palatino Linotype"/>
                <w:sz w:val="20"/>
                <w:szCs w:val="20"/>
              </w:rPr>
            </w:pPr>
          </w:p>
          <w:p w14:paraId="692B135B" w14:textId="77777777" w:rsidR="000201F2" w:rsidRDefault="0073512A">
            <w:pPr>
              <w:spacing w:before="120" w:after="12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Por lo anterior, el </w:t>
            </w:r>
            <w:r>
              <w:rPr>
                <w:rFonts w:ascii="Palatino Linotype" w:eastAsia="Palatino Linotype" w:hAnsi="Palatino Linotype" w:cs="Palatino Linotype"/>
                <w:b/>
                <w:sz w:val="20"/>
                <w:szCs w:val="20"/>
              </w:rPr>
              <w:t>Sujeto Obligado</w:t>
            </w:r>
            <w:r>
              <w:rPr>
                <w:rFonts w:ascii="Palatino Linotype" w:eastAsia="Palatino Linotype" w:hAnsi="Palatino Linotype" w:cs="Palatino Linotype"/>
                <w:sz w:val="20"/>
                <w:szCs w:val="20"/>
              </w:rPr>
              <w:t xml:space="preserve"> agregó que con lo anterior se le otorgó la seguridad al particular sobre el derecho de acceso a la información pública, ya que, por un lado, se entregó parte de la información requerida y, por el otro, en el acta que se menciona se fundó y motivó la imposibilidad para otorgarle la información requerida, haciendo procedente el cambio de modalidad en los términos indicados en su respuesta.</w:t>
            </w:r>
          </w:p>
        </w:tc>
      </w:tr>
      <w:tr w:rsidR="000201F2" w14:paraId="44B5E618" w14:textId="77777777">
        <w:trPr>
          <w:trHeight w:val="432"/>
        </w:trPr>
        <w:tc>
          <w:tcPr>
            <w:tcW w:w="2972" w:type="dxa"/>
            <w:vAlign w:val="center"/>
          </w:tcPr>
          <w:p w14:paraId="70EF4AA0" w14:textId="77777777" w:rsidR="000201F2" w:rsidRDefault="0073512A">
            <w:pPr>
              <w:spacing w:before="120" w:after="12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01360/INFOEM/IP/RR/2023</w:t>
            </w:r>
          </w:p>
          <w:p w14:paraId="270EDE34" w14:textId="77777777" w:rsidR="000201F2" w:rsidRDefault="0073512A">
            <w:pPr>
              <w:spacing w:before="120" w:after="120"/>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16"/>
                <w:szCs w:val="16"/>
              </w:rPr>
              <w:t>Solicitud 00312/TOLUCA/IP/2023</w:t>
            </w:r>
          </w:p>
        </w:tc>
        <w:tc>
          <w:tcPr>
            <w:tcW w:w="5856" w:type="dxa"/>
          </w:tcPr>
          <w:p w14:paraId="006F30F5" w14:textId="77777777" w:rsidR="000201F2" w:rsidRDefault="0073512A">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 Mediante archivo electrónico “</w:t>
            </w:r>
            <w:r>
              <w:rPr>
                <w:rFonts w:ascii="Palatino Linotype" w:eastAsia="Palatino Linotype" w:hAnsi="Palatino Linotype" w:cs="Palatino Linotype"/>
                <w:b/>
                <w:i/>
                <w:sz w:val="20"/>
                <w:szCs w:val="20"/>
              </w:rPr>
              <w:t>RR1360.pdf</w:t>
            </w:r>
            <w:r>
              <w:rPr>
                <w:rFonts w:ascii="Palatino Linotype" w:eastAsia="Palatino Linotype" w:hAnsi="Palatino Linotype" w:cs="Palatino Linotype"/>
                <w:sz w:val="20"/>
                <w:szCs w:val="20"/>
              </w:rPr>
              <w:t xml:space="preserve">”, se aportó el Oficio número 2010A40000/UT/RR/0251/2023 del 12 de abril de 2023, a través del cual la Titular de la Unidad de Transparencia del </w:t>
            </w:r>
            <w:r>
              <w:rPr>
                <w:rFonts w:ascii="Palatino Linotype" w:eastAsia="Palatino Linotype" w:hAnsi="Palatino Linotype" w:cs="Palatino Linotype"/>
                <w:b/>
                <w:sz w:val="20"/>
                <w:szCs w:val="20"/>
              </w:rPr>
              <w:t>Sujeto Obligado</w:t>
            </w:r>
            <w:r>
              <w:rPr>
                <w:rFonts w:ascii="Palatino Linotype" w:eastAsia="Palatino Linotype" w:hAnsi="Palatino Linotype" w:cs="Palatino Linotype"/>
                <w:sz w:val="20"/>
                <w:szCs w:val="20"/>
              </w:rPr>
              <w:t xml:space="preserve"> rinde informe justificado, haciendo del conocimiento que si bien no cuenta con la obligación de generar, poseer o administrar la información pública con el grado de detalle solicitado y/o bien de generar un documento ad hoc, dio atención a los planteamientos de la solicitud de información, insertando la digitalización del escrito de respuesta mismo que en obvio de repeticiones innecesarias se tiene por inserto y </w:t>
            </w:r>
            <w:r>
              <w:rPr>
                <w:rFonts w:ascii="Palatino Linotype" w:eastAsia="Palatino Linotype" w:hAnsi="Palatino Linotype" w:cs="Palatino Linotype"/>
                <w:b/>
                <w:sz w:val="20"/>
                <w:szCs w:val="20"/>
              </w:rPr>
              <w:t>ratificando su respuesta</w:t>
            </w:r>
            <w:r>
              <w:rPr>
                <w:rFonts w:ascii="Palatino Linotype" w:eastAsia="Palatino Linotype" w:hAnsi="Palatino Linotype" w:cs="Palatino Linotype"/>
                <w:sz w:val="20"/>
                <w:szCs w:val="20"/>
              </w:rPr>
              <w:t>, adicionando que la Administración 2022-2024 se encontraba en un problema financiero, ya que no contaba con los equipos informáticos suficientes y en óptimas condiciones, careciendo de las capacidades para realizar la tarea del escaneo y entrega de la información, sumado a ello, para atender el gran número de solicitudes de información y que no se contaba con el personal suficiente para llevar a cabo esa tarea.</w:t>
            </w:r>
          </w:p>
        </w:tc>
      </w:tr>
    </w:tbl>
    <w:p w14:paraId="1148FE50"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Documentos que se hicieron del conocimiento de la parte </w:t>
      </w:r>
      <w:r>
        <w:rPr>
          <w:rFonts w:ascii="Palatino Linotype" w:eastAsia="Palatino Linotype" w:hAnsi="Palatino Linotype" w:cs="Palatino Linotype"/>
          <w:b/>
        </w:rPr>
        <w:t>Recurrente</w:t>
      </w:r>
      <w:r>
        <w:rPr>
          <w:rFonts w:ascii="Palatino Linotype" w:eastAsia="Palatino Linotype" w:hAnsi="Palatino Linotype" w:cs="Palatino Linotype"/>
        </w:rPr>
        <w:t>, una vez que fueron analizados, con la finalidad de que manifestara lo que a su derecho estimara conveniente, sin embargo, fue omisa en ejercer dicha prerrogativa.</w:t>
      </w:r>
    </w:p>
    <w:p w14:paraId="38510EF7" w14:textId="77777777" w:rsidR="000201F2" w:rsidRDefault="0073512A">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 Ampliación del término para resolver</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cuatro de octubre de dos mil veintitrés</w:t>
      </w:r>
      <w:r>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del Estado de México y Municipios.</w:t>
      </w:r>
    </w:p>
    <w:p w14:paraId="18B7F3A6"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640AD994"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F49FE67"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Pr>
          <w:rFonts w:ascii="Palatino Linotype" w:eastAsia="Palatino Linotype" w:hAnsi="Palatino Linotype" w:cs="Palatino Linotype"/>
        </w:rPr>
        <w:lastRenderedPageBreak/>
        <w:t>en el menor tiempo posible, tomando en consideración la dilación total del procedimiento; esto es, en un plazo razonable.</w:t>
      </w:r>
    </w:p>
    <w:p w14:paraId="24B15DA8"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362BE43" w14:textId="77777777" w:rsidR="000201F2" w:rsidRDefault="0073512A">
      <w:pPr>
        <w:spacing w:before="240" w:after="240" w:line="360" w:lineRule="auto"/>
        <w:jc w:val="both"/>
        <w:rPr>
          <w:rFonts w:ascii="Palatino Linotype" w:eastAsia="Palatino Linotype" w:hAnsi="Palatino Linotype" w:cs="Palatino Linotype"/>
          <w:strike/>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E29EE13" w14:textId="77777777" w:rsidR="000201F2" w:rsidRDefault="0073512A">
      <w:pPr>
        <w:numPr>
          <w:ilvl w:val="0"/>
          <w:numId w:val="9"/>
        </w:numPr>
        <w:tabs>
          <w:tab w:val="left" w:pos="993"/>
        </w:tabs>
        <w:spacing w:before="240" w:after="240"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99F31A8" w14:textId="77777777" w:rsidR="000201F2" w:rsidRDefault="0073512A">
      <w:pPr>
        <w:numPr>
          <w:ilvl w:val="0"/>
          <w:numId w:val="9"/>
        </w:numPr>
        <w:tabs>
          <w:tab w:val="left" w:pos="993"/>
        </w:tabs>
        <w:spacing w:before="240" w:after="240"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1B40E34F" w14:textId="77777777" w:rsidR="000201F2" w:rsidRDefault="0073512A">
      <w:pPr>
        <w:numPr>
          <w:ilvl w:val="0"/>
          <w:numId w:val="9"/>
        </w:numPr>
        <w:tabs>
          <w:tab w:val="left" w:pos="993"/>
        </w:tabs>
        <w:spacing w:before="240" w:after="240"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235D090B" w14:textId="77777777" w:rsidR="000201F2" w:rsidRDefault="0073512A">
      <w:pPr>
        <w:numPr>
          <w:ilvl w:val="0"/>
          <w:numId w:val="9"/>
        </w:numPr>
        <w:tabs>
          <w:tab w:val="left" w:pos="993"/>
        </w:tabs>
        <w:spacing w:before="240" w:after="240"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rPr>
        <w:t>La afectación generada en la situación jurídica de la persona involucrada en el proceso: Violación a sus derechos humanos.</w:t>
      </w:r>
    </w:p>
    <w:p w14:paraId="4330BF71"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402D20BA" w14:textId="77777777" w:rsidR="000201F2" w:rsidRDefault="0073512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1E4D4EC6"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D3B52F"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52DA88D7" w14:textId="77777777" w:rsidR="000201F2" w:rsidRDefault="0073512A">
      <w:pPr>
        <w:spacing w:before="240" w:after="240"/>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i/>
          <w:sz w:val="22"/>
          <w:szCs w:val="22"/>
        </w:rPr>
        <w:t>“PLAZO RAZONABLE PARA RESOLVER. DIMENSIÓN Y EFECTOS DE ESTE CONCEPTO CUANDO SE ADUCE EXCESIVA CARGA DE TRABAJO</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xml:space="preserve"> consultable en el Seminario Judicial de la Federación y su gaceta, con el registro digital 2002351.</w:t>
      </w:r>
    </w:p>
    <w:p w14:paraId="24C085DC" w14:textId="77777777" w:rsidR="000201F2" w:rsidRDefault="0073512A">
      <w:pPr>
        <w:spacing w:before="240" w:after="240"/>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Pr>
          <w:rFonts w:ascii="Palatino Linotype" w:eastAsia="Palatino Linotype" w:hAnsi="Palatino Linotype" w:cs="Palatino Linotype"/>
          <w:sz w:val="22"/>
          <w:szCs w:val="22"/>
        </w:rPr>
        <w:t>, visible en el Seminario Judicial de la Federación y su gaceta, con el registro digital 2002350.</w:t>
      </w:r>
    </w:p>
    <w:p w14:paraId="08DC1607"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E45BA7E" w14:textId="77777777" w:rsidR="000201F2" w:rsidRDefault="0073512A">
      <w:pPr>
        <w:widowControl w:val="0"/>
        <w:spacing w:before="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10. Solicitud de reporte de incidencia.</w:t>
      </w:r>
      <w:r>
        <w:t xml:space="preserve">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 xml:space="preserve">cuatro de octubre de dos mil veintitrés, </w:t>
      </w:r>
      <w:r>
        <w:rPr>
          <w:rFonts w:ascii="Palatino Linotype" w:eastAsia="Palatino Linotype" w:hAnsi="Palatino Linotype" w:cs="Palatino Linotype"/>
        </w:rPr>
        <w:t>se realizó la consulta, a través de correo electrónico, a la Dirección General de Informática</w:t>
      </w:r>
      <w:r>
        <w:t xml:space="preserve"> </w:t>
      </w:r>
      <w:r>
        <w:rPr>
          <w:rFonts w:ascii="Palatino Linotype" w:eastAsia="Palatino Linotype" w:hAnsi="Palatino Linotype" w:cs="Palatino Linotype"/>
        </w:rPr>
        <w:t xml:space="preserve">sobre las incidencias presentadas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informe justificado para atender la solicitud de información </w:t>
      </w:r>
      <w:r>
        <w:rPr>
          <w:rFonts w:ascii="Palatino Linotype" w:eastAsia="Palatino Linotype" w:hAnsi="Palatino Linotype" w:cs="Palatino Linotype"/>
          <w:b/>
        </w:rPr>
        <w:t>00311/TOLUCA/IP/2023</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que dio origen al recurso de revisión </w:t>
      </w:r>
      <w:r>
        <w:rPr>
          <w:rFonts w:ascii="Palatino Linotype" w:eastAsia="Palatino Linotype" w:hAnsi="Palatino Linotype" w:cs="Palatino Linotype"/>
          <w:b/>
        </w:rPr>
        <w:t xml:space="preserve">01359/INFOEM/IP/RR/2023 </w:t>
      </w:r>
      <w:r>
        <w:rPr>
          <w:rFonts w:ascii="Palatino Linotype" w:eastAsia="Palatino Linotype" w:hAnsi="Palatino Linotype" w:cs="Palatino Linotype"/>
        </w:rPr>
        <w:t>que se resuelve, tal como se advierte a continuación:</w:t>
      </w:r>
    </w:p>
    <w:p w14:paraId="54107D91" w14:textId="77777777" w:rsidR="000201F2" w:rsidRDefault="0073512A">
      <w:pPr>
        <w:widowControl w:val="0"/>
        <w:spacing w:before="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14:anchorId="692FB129" wp14:editId="65AC60B6">
            <wp:extent cx="5617405" cy="2248511"/>
            <wp:effectExtent l="0" t="0" r="0" b="0"/>
            <wp:docPr id="213309267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617405" cy="2248511"/>
                    </a:xfrm>
                    <a:prstGeom prst="rect">
                      <a:avLst/>
                    </a:prstGeom>
                    <a:ln/>
                  </pic:spPr>
                </pic:pic>
              </a:graphicData>
            </a:graphic>
          </wp:inline>
        </w:drawing>
      </w:r>
    </w:p>
    <w:p w14:paraId="17ADFF04" w14:textId="77777777" w:rsidR="000201F2" w:rsidRDefault="0073512A">
      <w:pPr>
        <w:pBdr>
          <w:top w:val="nil"/>
          <w:left w:val="nil"/>
          <w:bottom w:val="nil"/>
          <w:right w:val="nil"/>
          <w:between w:val="nil"/>
        </w:pBd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12. Reporte de incidencia.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 xml:space="preserve">cuatro de octubre de dos mil veintitrés, </w:t>
      </w:r>
      <w:r>
        <w:rPr>
          <w:rFonts w:ascii="Palatino Linotype" w:eastAsia="Palatino Linotype" w:hAnsi="Palatino Linotype" w:cs="Palatino Linotype"/>
        </w:rPr>
        <w:t>en respuesta al correo electrónico referido en el punto anterior,</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Dirección General de Informática, informó que </w:t>
      </w:r>
      <w:r>
        <w:rPr>
          <w:rFonts w:ascii="Palatino Linotype" w:eastAsia="Palatino Linotype" w:hAnsi="Palatino Linotype" w:cs="Palatino Linotype"/>
          <w:b/>
        </w:rPr>
        <w:t xml:space="preserve">se tenía registro de incidencia por parte del Sujeto Obligado </w:t>
      </w:r>
      <w:r>
        <w:rPr>
          <w:rFonts w:ascii="Palatino Linotype" w:eastAsia="Palatino Linotype" w:hAnsi="Palatino Linotype" w:cs="Palatino Linotype"/>
        </w:rPr>
        <w:t xml:space="preserve">en comento, tal como se aprecia en la siguiente imagen. </w:t>
      </w:r>
    </w:p>
    <w:p w14:paraId="091D000B" w14:textId="77777777" w:rsidR="000201F2" w:rsidRDefault="0073512A">
      <w:pPr>
        <w:pBdr>
          <w:top w:val="nil"/>
          <w:left w:val="nil"/>
          <w:bottom w:val="nil"/>
          <w:right w:val="nil"/>
          <w:between w:val="nil"/>
        </w:pBd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noProof/>
          <w:lang w:eastAsia="es-MX"/>
        </w:rPr>
        <w:drawing>
          <wp:inline distT="0" distB="0" distL="0" distR="0" wp14:anchorId="210718C2" wp14:editId="284DA0DF">
            <wp:extent cx="5612130" cy="1666240"/>
            <wp:effectExtent l="0" t="0" r="0" b="0"/>
            <wp:docPr id="213309267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612130" cy="1666240"/>
                    </a:xfrm>
                    <a:prstGeom prst="rect">
                      <a:avLst/>
                    </a:prstGeom>
                    <a:ln/>
                  </pic:spPr>
                </pic:pic>
              </a:graphicData>
            </a:graphic>
          </wp:inline>
        </w:drawing>
      </w:r>
    </w:p>
    <w:p w14:paraId="38975354" w14:textId="77777777" w:rsidR="000201F2" w:rsidRDefault="000201F2">
      <w:pPr>
        <w:pBdr>
          <w:top w:val="nil"/>
          <w:left w:val="nil"/>
          <w:bottom w:val="nil"/>
          <w:right w:val="nil"/>
          <w:between w:val="nil"/>
        </w:pBdr>
        <w:spacing w:line="360" w:lineRule="auto"/>
        <w:ind w:right="49"/>
        <w:jc w:val="both"/>
        <w:rPr>
          <w:rFonts w:ascii="Palatino Linotype" w:eastAsia="Palatino Linotype" w:hAnsi="Palatino Linotype" w:cs="Palatino Linotype"/>
          <w:b/>
          <w:sz w:val="12"/>
          <w:szCs w:val="12"/>
        </w:rPr>
      </w:pPr>
    </w:p>
    <w:p w14:paraId="2064933C" w14:textId="77777777" w:rsidR="000201F2" w:rsidRDefault="0073512A">
      <w:pPr>
        <w:pBdr>
          <w:top w:val="nil"/>
          <w:left w:val="nil"/>
          <w:bottom w:val="nil"/>
          <w:right w:val="nil"/>
          <w:between w:val="nil"/>
        </w:pBd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Correo electrónico al que adjunto el oficio INFOEM/DGI/199/2023 de fecha seis de marzo de dos mil veintitrés suscrito y signado por el </w:t>
      </w:r>
      <w:proofErr w:type="gramStart"/>
      <w:r>
        <w:rPr>
          <w:rFonts w:ascii="Palatino Linotype" w:eastAsia="Palatino Linotype" w:hAnsi="Palatino Linotype" w:cs="Palatino Linotype"/>
        </w:rPr>
        <w:t>Director General</w:t>
      </w:r>
      <w:proofErr w:type="gramEnd"/>
      <w:r>
        <w:rPr>
          <w:rFonts w:ascii="Palatino Linotype" w:eastAsia="Palatino Linotype" w:hAnsi="Palatino Linotype" w:cs="Palatino Linotype"/>
        </w:rPr>
        <w:t xml:space="preserve"> de Informática dirigido a la Titular de la Unidad de Transparencia por medio del cual le informó que la incidencia técnica quedó registrada en la bitácora de incidencias. </w:t>
      </w:r>
    </w:p>
    <w:p w14:paraId="4D7136D8"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12. Cierre de Instrucción.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 xml:space="preserve">diez de octubre de dos mil veintitrés, </w:t>
      </w:r>
      <w:r>
        <w:rPr>
          <w:rFonts w:ascii="Palatino Linotype" w:eastAsia="Palatino Linotype" w:hAnsi="Palatino Linotype" w:cs="Palatino Linotype"/>
        </w:rPr>
        <w:t>con fundamento en lo establecido en el artículo 185, fracción VI de la Ley de Transparencia y Acceso a la Información Pública del Estado de México y Municipios, al no existir trámite pendiente por realizar y haber sido sustanciados medios de impugnación se acordó el cierre de instrucción y se procede a formular la resolución que en derecho corresponda.</w:t>
      </w:r>
    </w:p>
    <w:p w14:paraId="0B51D257"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5CFF0D39" w14:textId="77777777" w:rsidR="000201F2" w:rsidRDefault="0073512A">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3FAB37B2"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w:t>
      </w:r>
      <w:r>
        <w:rPr>
          <w:rFonts w:ascii="Palatino Linotype" w:eastAsia="Palatino Linotype" w:hAnsi="Palatino Linotype" w:cs="Palatino Linotype"/>
          <w:b/>
        </w:rPr>
        <w:t>Recurrente</w:t>
      </w:r>
      <w:r>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XIV, y 11 del Reglamento Interior del Instituto de Transparencia, Acceso a la Información Pública y Protección de Datos Personales del Estado de México y Municipios.</w:t>
      </w:r>
    </w:p>
    <w:p w14:paraId="26848866"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457177A3"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las solicitudes de información el día </w:t>
      </w:r>
      <w:r>
        <w:rPr>
          <w:rFonts w:ascii="Palatino Linotype" w:eastAsia="Palatino Linotype" w:hAnsi="Palatino Linotype" w:cs="Palatino Linotype"/>
          <w:b/>
        </w:rPr>
        <w:t xml:space="preserve">tres de marzo de dos mil veintitrés, </w:t>
      </w:r>
      <w:r>
        <w:rPr>
          <w:rFonts w:ascii="Palatino Linotype" w:eastAsia="Palatino Linotype" w:hAnsi="Palatino Linotype" w:cs="Palatino Linotype"/>
        </w:rPr>
        <w:t xml:space="preserve">mientras que los recursos de revisión interpuestos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tuvieron por presentados el día </w:t>
      </w:r>
      <w:r>
        <w:rPr>
          <w:rFonts w:ascii="Palatino Linotype" w:eastAsia="Palatino Linotype" w:hAnsi="Palatino Linotype" w:cs="Palatino Linotype"/>
          <w:b/>
        </w:rPr>
        <w:t>catorce de marzo</w:t>
      </w:r>
      <w:r>
        <w:rPr>
          <w:rFonts w:ascii="Palatino Linotype" w:eastAsia="Palatino Linotype" w:hAnsi="Palatino Linotype" w:cs="Palatino Linotype"/>
        </w:rPr>
        <w:t xml:space="preserve"> </w:t>
      </w:r>
      <w:r>
        <w:rPr>
          <w:rFonts w:ascii="Palatino Linotype" w:eastAsia="Palatino Linotype" w:hAnsi="Palatino Linotype" w:cs="Palatino Linotype"/>
          <w:b/>
        </w:rPr>
        <w:t>de dos mil veintitrés</w:t>
      </w:r>
      <w:r>
        <w:rPr>
          <w:rFonts w:ascii="Palatino Linotype" w:eastAsia="Palatino Linotype" w:hAnsi="Palatino Linotype" w:cs="Palatino Linotype"/>
        </w:rPr>
        <w:t>, esto es al séptimo día hábil posterior en que tuvo conocimiento de las respuestas impugnadas. En este sentido, se concluye que los presentes recurso de revisión se encuentran dentro de los márgenes temporales previstos en las disposiciones legales referidas.</w:t>
      </w:r>
    </w:p>
    <w:p w14:paraId="2D07861A"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14B05DC7"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 efecto de sustentar lo anterior, es de suma importancia mencionar que si bien la persona solicitante </w:t>
      </w:r>
      <w:r>
        <w:rPr>
          <w:rFonts w:ascii="Palatino Linotype" w:eastAsia="Palatino Linotype" w:hAnsi="Palatino Linotype" w:cs="Palatino Linotype"/>
          <w:b/>
        </w:rPr>
        <w:t>no proporcionó nombre,</w:t>
      </w:r>
      <w:r>
        <w:rPr>
          <w:rFonts w:ascii="Palatino Linotype" w:eastAsia="Palatino Linotype" w:hAnsi="Palatino Linotype" w:cs="Palatino Linotype"/>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D0A55F6" w14:textId="77777777" w:rsidR="000201F2" w:rsidRDefault="0073512A">
      <w:pPr>
        <w:spacing w:before="120" w:after="120"/>
        <w:ind w:left="851" w:right="902"/>
        <w:jc w:val="both"/>
        <w:rPr>
          <w:rFonts w:ascii="Palatino Linotype" w:eastAsia="Palatino Linotype" w:hAnsi="Palatino Linotype" w:cs="Palatino Linotype"/>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14:paraId="2090A0D3"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Pr>
          <w:rFonts w:ascii="Palatino Linotype" w:eastAsia="Palatino Linotype" w:hAnsi="Palatino Linotype" w:cs="Palatino Linotype"/>
          <w:b/>
        </w:rPr>
        <w:t>Recurrente</w:t>
      </w:r>
      <w:r>
        <w:rPr>
          <w:rFonts w:ascii="Palatino Linotype" w:eastAsia="Palatino Linotype" w:hAnsi="Palatino Linotype" w:cs="Palatino Linotype"/>
        </w:rPr>
        <w:t>, por lo que, en el presente caso, al haber sido presentado el recurso de revisión vía SAIMEX, dicho requisito resulta innecesario.</w:t>
      </w:r>
    </w:p>
    <w:p w14:paraId="67768C0D"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 los recursos, según lo manifestado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fracciones I y VIII del ordenamiento legal citado, que a la letra dice: </w:t>
      </w:r>
    </w:p>
    <w:p w14:paraId="49E7C0EA" w14:textId="77777777" w:rsidR="000201F2" w:rsidRDefault="0073512A">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AE0A3F4" w14:textId="77777777" w:rsidR="000201F2" w:rsidRDefault="0073512A">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La negativa a la información solicitada;</w:t>
      </w:r>
    </w:p>
    <w:p w14:paraId="76FEA466" w14:textId="77777777" w:rsidR="000201F2" w:rsidRDefault="0073512A">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21F5D850" w14:textId="77777777" w:rsidR="000201F2" w:rsidRDefault="0073512A">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La notificación, entrega o puesta a disposición de información en una modalidad o formato distinto al solicitado;”</w:t>
      </w:r>
    </w:p>
    <w:p w14:paraId="6F784742"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Este Organismo Garante procede del análisis de los agravios hechos valer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745292C7" w14:textId="77777777" w:rsidR="000201F2" w:rsidRDefault="0073512A">
      <w:pPr>
        <w:tabs>
          <w:tab w:val="left" w:pos="8647"/>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ED5DA66" w14:textId="77777777" w:rsidR="000201F2" w:rsidRDefault="0073512A">
      <w:pPr>
        <w:tabs>
          <w:tab w:val="left" w:pos="709"/>
        </w:tabs>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D284982" w14:textId="77777777" w:rsidR="000201F2" w:rsidRDefault="0073512A">
      <w:pPr>
        <w:tabs>
          <w:tab w:val="left" w:pos="709"/>
        </w:tabs>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D98BA85" w14:textId="77777777" w:rsidR="000201F2" w:rsidRDefault="0073512A">
      <w:pPr>
        <w:tabs>
          <w:tab w:val="left" w:pos="709"/>
        </w:tabs>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w:t>
      </w:r>
      <w:r>
        <w:rPr>
          <w:rFonts w:ascii="Palatino Linotype" w:eastAsia="Palatino Linotype" w:hAnsi="Palatino Linotype" w:cs="Palatino Linotype"/>
          <w:i/>
          <w:sz w:val="22"/>
          <w:szCs w:val="22"/>
        </w:rPr>
        <w:lastRenderedPageBreak/>
        <w:t>deberá prevenir, investigar, sancionar y reparar las violaciones a los derechos humanos, en los términos que establezca la ley</w:t>
      </w:r>
    </w:p>
    <w:p w14:paraId="4738664B" w14:textId="77777777" w:rsidR="000201F2" w:rsidRDefault="0073512A">
      <w:pPr>
        <w:tabs>
          <w:tab w:val="left" w:pos="709"/>
        </w:tabs>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9B92D40"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3009E092"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5F8FF3C"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3C644B22"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6EA322E0"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37DEF2E"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114D584F" w14:textId="77777777" w:rsidR="000201F2" w:rsidRDefault="0073512A">
      <w:pPr>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5F4182B3"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6F3FE91D"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01DEE072"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5E551FE6"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2B59407" w14:textId="77777777" w:rsidR="000201F2" w:rsidRDefault="000201F2">
      <w:pPr>
        <w:ind w:left="851" w:right="616"/>
        <w:jc w:val="both"/>
        <w:rPr>
          <w:rFonts w:ascii="Palatino Linotype" w:eastAsia="Palatino Linotype" w:hAnsi="Palatino Linotype" w:cs="Palatino Linotype"/>
          <w:i/>
          <w:sz w:val="22"/>
          <w:szCs w:val="22"/>
        </w:rPr>
      </w:pPr>
    </w:p>
    <w:p w14:paraId="0AFC7004"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1620806"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78DA8BFC"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3392DE1"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73A2058C"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9BBD2F5" w14:textId="77777777" w:rsidR="000201F2" w:rsidRDefault="000201F2">
      <w:pPr>
        <w:ind w:right="616"/>
        <w:jc w:val="both"/>
        <w:rPr>
          <w:rFonts w:ascii="Palatino Linotype" w:eastAsia="Palatino Linotype" w:hAnsi="Palatino Linotype" w:cs="Palatino Linotype"/>
          <w:i/>
          <w:sz w:val="22"/>
          <w:szCs w:val="22"/>
        </w:rPr>
      </w:pPr>
    </w:p>
    <w:p w14:paraId="2598C7AA" w14:textId="77777777" w:rsidR="000201F2" w:rsidRDefault="0073512A">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7130833F" w14:textId="77777777" w:rsidR="000201F2" w:rsidRDefault="0073512A">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xml:space="preserve">,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Pr>
          <w:rFonts w:ascii="Palatino Linotype" w:eastAsia="Palatino Linotype" w:hAnsi="Palatino Linotype" w:cs="Palatino Linotype"/>
        </w:rPr>
        <w:t>transcribe</w:t>
      </w:r>
      <w:r>
        <w:rPr>
          <w:rFonts w:ascii="Palatino Linotype" w:eastAsia="Palatino Linotype" w:hAnsi="Palatino Linotype" w:cs="Palatino Linotype"/>
          <w:color w:val="000000"/>
        </w:rPr>
        <w:t xml:space="preserve"> para un mejor entendimiento:</w:t>
      </w:r>
    </w:p>
    <w:p w14:paraId="6D27F475" w14:textId="77777777" w:rsidR="000201F2" w:rsidRDefault="0073512A">
      <w:pPr>
        <w:spacing w:before="24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0DA0DFD" w14:textId="77777777" w:rsidR="000201F2" w:rsidRDefault="000201F2">
      <w:pPr>
        <w:spacing w:before="240"/>
        <w:ind w:left="851" w:right="616"/>
        <w:jc w:val="both"/>
        <w:rPr>
          <w:rFonts w:ascii="Palatino Linotype" w:eastAsia="Palatino Linotype" w:hAnsi="Palatino Linotype" w:cs="Palatino Linotype"/>
          <w:i/>
          <w:sz w:val="22"/>
          <w:szCs w:val="22"/>
        </w:rPr>
      </w:pPr>
    </w:p>
    <w:p w14:paraId="38576286"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B6B90B0" w14:textId="77777777" w:rsidR="000201F2" w:rsidRDefault="000201F2">
      <w:pPr>
        <w:ind w:left="851" w:right="616"/>
        <w:jc w:val="both"/>
        <w:rPr>
          <w:rFonts w:ascii="Palatino Linotype" w:eastAsia="Palatino Linotype" w:hAnsi="Palatino Linotype" w:cs="Palatino Linotype"/>
          <w:i/>
          <w:sz w:val="22"/>
          <w:szCs w:val="22"/>
        </w:rPr>
      </w:pPr>
    </w:p>
    <w:p w14:paraId="389A79E4"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19430462" w14:textId="77777777" w:rsidR="000201F2" w:rsidRDefault="000201F2">
      <w:pPr>
        <w:ind w:left="851" w:right="760"/>
        <w:jc w:val="both"/>
        <w:rPr>
          <w:rFonts w:ascii="Palatino Linotype" w:eastAsia="Palatino Linotype" w:hAnsi="Palatino Linotype" w:cs="Palatino Linotype"/>
          <w:i/>
        </w:rPr>
      </w:pPr>
    </w:p>
    <w:p w14:paraId="3B0BF44D"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54A7F980"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B1B80EF"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792E3E11" w14:textId="77777777" w:rsidR="000201F2" w:rsidRDefault="000201F2">
      <w:pPr>
        <w:spacing w:line="360" w:lineRule="auto"/>
        <w:ind w:right="-93"/>
        <w:jc w:val="both"/>
        <w:rPr>
          <w:rFonts w:ascii="Palatino Linotype" w:eastAsia="Palatino Linotype" w:hAnsi="Palatino Linotype" w:cs="Palatino Linotype"/>
          <w:color w:val="000000"/>
        </w:rPr>
      </w:pPr>
    </w:p>
    <w:p w14:paraId="7E100BEE" w14:textId="77777777" w:rsidR="000201F2" w:rsidRDefault="0073512A">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48A6B01B" w14:textId="77777777" w:rsidR="000201F2" w:rsidRDefault="000201F2">
      <w:pPr>
        <w:spacing w:line="360" w:lineRule="auto"/>
        <w:jc w:val="both"/>
        <w:rPr>
          <w:rFonts w:ascii="Palatino Linotype" w:eastAsia="Palatino Linotype" w:hAnsi="Palatino Linotype" w:cs="Palatino Linotype"/>
          <w:color w:val="000000"/>
        </w:rPr>
      </w:pPr>
    </w:p>
    <w:p w14:paraId="3DBEE562" w14:textId="77777777" w:rsidR="000201F2" w:rsidRDefault="0073512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F72B7D1" w14:textId="77777777" w:rsidR="000201F2" w:rsidRDefault="000201F2">
      <w:pPr>
        <w:spacing w:line="360" w:lineRule="auto"/>
        <w:ind w:right="49"/>
        <w:jc w:val="both"/>
        <w:rPr>
          <w:rFonts w:ascii="Palatino Linotype" w:eastAsia="Palatino Linotype" w:hAnsi="Palatino Linotype" w:cs="Palatino Linotype"/>
        </w:rPr>
      </w:pPr>
    </w:p>
    <w:p w14:paraId="4F02B740" w14:textId="77777777" w:rsidR="000201F2" w:rsidRDefault="0073512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14:paraId="363CE26D" w14:textId="77777777" w:rsidR="000201F2" w:rsidRDefault="000201F2">
      <w:pPr>
        <w:spacing w:line="360" w:lineRule="auto"/>
        <w:jc w:val="both"/>
        <w:rPr>
          <w:rFonts w:ascii="Palatino Linotype" w:eastAsia="Palatino Linotype" w:hAnsi="Palatino Linotype" w:cs="Palatino Linotype"/>
        </w:rPr>
      </w:pPr>
    </w:p>
    <w:p w14:paraId="58C730B6"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14:paraId="6CA48A09" w14:textId="77777777" w:rsidR="000201F2" w:rsidRDefault="000201F2">
      <w:pPr>
        <w:ind w:left="851" w:right="616"/>
        <w:jc w:val="both"/>
        <w:rPr>
          <w:rFonts w:ascii="Palatino Linotype" w:eastAsia="Palatino Linotype" w:hAnsi="Palatino Linotype" w:cs="Palatino Linotype"/>
          <w:b/>
          <w:i/>
          <w:sz w:val="22"/>
          <w:szCs w:val="22"/>
        </w:rPr>
      </w:pPr>
    </w:p>
    <w:p w14:paraId="7F5065E4"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14:paraId="4A61C7F3" w14:textId="77777777" w:rsidR="000201F2" w:rsidRDefault="000201F2">
      <w:pPr>
        <w:ind w:left="851" w:right="616"/>
        <w:jc w:val="both"/>
        <w:rPr>
          <w:rFonts w:ascii="Palatino Linotype" w:eastAsia="Palatino Linotype" w:hAnsi="Palatino Linotype" w:cs="Palatino Linotype"/>
          <w:i/>
          <w:sz w:val="22"/>
          <w:szCs w:val="22"/>
        </w:rPr>
      </w:pPr>
    </w:p>
    <w:p w14:paraId="24409350"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5C603C54" w14:textId="77777777" w:rsidR="000201F2" w:rsidRDefault="000201F2">
      <w:pPr>
        <w:ind w:left="851" w:right="616"/>
        <w:jc w:val="both"/>
        <w:rPr>
          <w:rFonts w:ascii="Palatino Linotype" w:eastAsia="Palatino Linotype" w:hAnsi="Palatino Linotype" w:cs="Palatino Linotype"/>
          <w:i/>
          <w:sz w:val="22"/>
          <w:szCs w:val="22"/>
        </w:rPr>
      </w:pPr>
    </w:p>
    <w:p w14:paraId="72F73B4E"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1AB028B" w14:textId="77777777" w:rsidR="000201F2" w:rsidRDefault="000201F2">
      <w:pPr>
        <w:ind w:left="851" w:right="851"/>
        <w:jc w:val="both"/>
        <w:rPr>
          <w:rFonts w:ascii="Palatino Linotype" w:eastAsia="Palatino Linotype" w:hAnsi="Palatino Linotype" w:cs="Palatino Linotype"/>
          <w:i/>
          <w:sz w:val="22"/>
          <w:szCs w:val="22"/>
        </w:rPr>
      </w:pPr>
    </w:p>
    <w:p w14:paraId="688D54DA" w14:textId="77777777" w:rsidR="000201F2" w:rsidRDefault="0073512A">
      <w:pPr>
        <w:ind w:left="851" w:right="851"/>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10FD1E8B" w14:textId="77777777" w:rsidR="000201F2" w:rsidRDefault="000201F2">
      <w:pPr>
        <w:spacing w:line="360" w:lineRule="auto"/>
        <w:jc w:val="both"/>
        <w:rPr>
          <w:rFonts w:ascii="Palatino Linotype" w:eastAsia="Palatino Linotype" w:hAnsi="Palatino Linotype" w:cs="Palatino Linotype"/>
        </w:rPr>
      </w:pPr>
    </w:p>
    <w:p w14:paraId="59896AD3" w14:textId="77777777" w:rsidR="000201F2" w:rsidRDefault="0073512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07D40090" w14:textId="77777777" w:rsidR="000201F2" w:rsidRDefault="000201F2">
      <w:pPr>
        <w:spacing w:line="360" w:lineRule="auto"/>
        <w:jc w:val="both"/>
        <w:rPr>
          <w:rFonts w:ascii="Palatino Linotype" w:eastAsia="Palatino Linotype" w:hAnsi="Palatino Linotype" w:cs="Palatino Linotype"/>
        </w:rPr>
      </w:pPr>
    </w:p>
    <w:p w14:paraId="6B265AF8" w14:textId="77777777" w:rsidR="000201F2" w:rsidRDefault="0073512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w:t>
      </w:r>
      <w:r>
        <w:rPr>
          <w:rFonts w:ascii="Palatino Linotype" w:eastAsia="Palatino Linotype" w:hAnsi="Palatino Linotype" w:cs="Palatino Linotype"/>
        </w:rPr>
        <w:lastRenderedPageBreak/>
        <w:t xml:space="preserve">podrán estar en cualquier medio, sea escrito, impreso, sonoro, visual, electrónico, informático u holográfico de conformidad con el artículo 3, fracción XI de la Ley de la materia, el cual señala lo siguiente: </w:t>
      </w:r>
    </w:p>
    <w:p w14:paraId="397CC0F3" w14:textId="77777777" w:rsidR="000201F2" w:rsidRDefault="000201F2">
      <w:pPr>
        <w:ind w:left="851" w:right="899"/>
        <w:jc w:val="both"/>
        <w:rPr>
          <w:rFonts w:ascii="Palatino Linotype" w:eastAsia="Palatino Linotype" w:hAnsi="Palatino Linotype" w:cs="Palatino Linotype"/>
          <w:i/>
          <w:sz w:val="22"/>
          <w:szCs w:val="22"/>
        </w:rPr>
      </w:pPr>
    </w:p>
    <w:p w14:paraId="0202F0A4" w14:textId="77777777" w:rsidR="000201F2" w:rsidRDefault="0073512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45D66632" w14:textId="77777777" w:rsidR="000201F2" w:rsidRDefault="0073512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D1B62DC" w14:textId="77777777" w:rsidR="000201F2" w:rsidRDefault="0073512A">
      <w:pPr>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w:t>
      </w:r>
      <w:r>
        <w:rPr>
          <w:rFonts w:ascii="Palatino Linotype" w:eastAsia="Palatino Linotype" w:hAnsi="Palatino Linotype" w:cs="Palatino Linotype"/>
          <w:b/>
          <w:i/>
          <w:color w:val="000000"/>
          <w:sz w:val="22"/>
          <w:szCs w:val="22"/>
          <w:u w:val="single"/>
        </w:rPr>
        <w:t>registro que documente el ejercicio de las facultades, funciones y competencias de los sujetos obligados</w:t>
      </w:r>
      <w:r>
        <w:rPr>
          <w:rFonts w:ascii="Palatino Linotype" w:eastAsia="Palatino Linotype" w:hAnsi="Palatino Linotype" w:cs="Palatino Linotype"/>
          <w:i/>
          <w:color w:val="000000"/>
          <w:sz w:val="22"/>
          <w:szCs w:val="22"/>
        </w:rPr>
        <w:t xml:space="preserve">, sus servidores públicos e integrantes, sin importar su fuente o fecha de elaboración. Los documentos podrán estar en cualquier medio, sea escrito, impreso, sonoro, visual, </w:t>
      </w:r>
      <w:r>
        <w:rPr>
          <w:rFonts w:ascii="Palatino Linotype" w:eastAsia="Palatino Linotype" w:hAnsi="Palatino Linotype" w:cs="Palatino Linotype"/>
          <w:b/>
          <w:i/>
          <w:color w:val="000000"/>
          <w:sz w:val="22"/>
          <w:szCs w:val="22"/>
          <w:u w:val="single"/>
        </w:rPr>
        <w:t>electrónico, informático</w:t>
      </w:r>
      <w:r>
        <w:rPr>
          <w:rFonts w:ascii="Palatino Linotype" w:eastAsia="Palatino Linotype" w:hAnsi="Palatino Linotype" w:cs="Palatino Linotype"/>
          <w:i/>
          <w:color w:val="000000"/>
          <w:sz w:val="22"/>
          <w:szCs w:val="22"/>
        </w:rPr>
        <w:t xml:space="preserve"> u holográfico…” (Sic)</w:t>
      </w:r>
    </w:p>
    <w:p w14:paraId="2EAC6279" w14:textId="77777777" w:rsidR="000201F2" w:rsidRDefault="000201F2">
      <w:pPr>
        <w:ind w:left="851" w:right="899"/>
        <w:jc w:val="both"/>
        <w:rPr>
          <w:rFonts w:ascii="Palatino Linotype" w:eastAsia="Palatino Linotype" w:hAnsi="Palatino Linotype" w:cs="Palatino Linotype"/>
          <w:sz w:val="22"/>
          <w:szCs w:val="22"/>
        </w:rPr>
      </w:pPr>
    </w:p>
    <w:p w14:paraId="264A798D" w14:textId="77777777" w:rsidR="000201F2" w:rsidRDefault="0073512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225D58A" w14:textId="77777777" w:rsidR="000201F2" w:rsidRDefault="000201F2">
      <w:pPr>
        <w:ind w:left="851" w:right="899"/>
        <w:jc w:val="both"/>
        <w:rPr>
          <w:rFonts w:ascii="Palatino Linotype" w:eastAsia="Palatino Linotype" w:hAnsi="Palatino Linotype" w:cs="Palatino Linotype"/>
        </w:rPr>
      </w:pPr>
    </w:p>
    <w:p w14:paraId="507DD544" w14:textId="77777777" w:rsidR="000201F2" w:rsidRDefault="0073512A">
      <w:pPr>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066B6C25"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2208422"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w:t>
      </w:r>
      <w:proofErr w:type="gramStart"/>
      <w:r>
        <w:rPr>
          <w:rFonts w:ascii="Palatino Linotype" w:eastAsia="Palatino Linotype" w:hAnsi="Palatino Linotype" w:cs="Palatino Linotype"/>
          <w:i/>
          <w:sz w:val="22"/>
          <w:szCs w:val="22"/>
        </w:rPr>
        <w:t>consecuencia</w:t>
      </w:r>
      <w:proofErr w:type="gramEnd"/>
      <w:r>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1479EB24"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generada por los Sujetos Obligados;</w:t>
      </w:r>
    </w:p>
    <w:p w14:paraId="243E6EF0"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2)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administrada por los Sujetos Obligados, y</w:t>
      </w:r>
    </w:p>
    <w:p w14:paraId="0A32C322" w14:textId="77777777" w:rsidR="000201F2" w:rsidRDefault="0073512A">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 encuentre en posesión de los Sujetos Obligados.” </w:t>
      </w:r>
    </w:p>
    <w:p w14:paraId="5874AFF0" w14:textId="77777777" w:rsidR="000201F2" w:rsidRDefault="0073512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0F8E7A0F" w14:textId="77777777" w:rsidR="000201F2" w:rsidRDefault="0073512A">
      <w:pPr>
        <w:tabs>
          <w:tab w:val="left" w:pos="8647"/>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Precisado lo anterior, </w:t>
      </w:r>
      <w:r>
        <w:rPr>
          <w:rFonts w:ascii="Palatino Linotype" w:eastAsia="Palatino Linotype" w:hAnsi="Palatino Linotype" w:cs="Palatino Linotype"/>
        </w:rPr>
        <w:t xml:space="preserve">en el presente asunto, del análisis realizado a las solicitudes de información, motivo de los recursos de revisión que ahora se resuelven se advierte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requirió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bajo la solicitud de </w:t>
      </w:r>
      <w:r>
        <w:rPr>
          <w:rFonts w:ascii="Palatino Linotype" w:eastAsia="Palatino Linotype" w:hAnsi="Palatino Linotype" w:cs="Palatino Linotype"/>
        </w:rPr>
        <w:lastRenderedPageBreak/>
        <w:t xml:space="preserve">información </w:t>
      </w:r>
      <w:r>
        <w:rPr>
          <w:rFonts w:ascii="Palatino Linotype" w:eastAsia="Palatino Linotype" w:hAnsi="Palatino Linotype" w:cs="Palatino Linotype"/>
          <w:b/>
        </w:rPr>
        <w:t>00311/TOLUCA/IP/2023</w:t>
      </w:r>
      <w:r>
        <w:rPr>
          <w:rFonts w:ascii="Palatino Linotype" w:eastAsia="Palatino Linotype" w:hAnsi="Palatino Linotype" w:cs="Palatino Linotype"/>
        </w:rPr>
        <w:t xml:space="preserve"> le proporcione, información consistente en lo siguiente:</w:t>
      </w: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0201F2" w14:paraId="1590DD3A" w14:textId="77777777">
        <w:trPr>
          <w:trHeight w:val="595"/>
        </w:trPr>
        <w:tc>
          <w:tcPr>
            <w:tcW w:w="8828" w:type="dxa"/>
            <w:shd w:val="clear" w:color="auto" w:fill="D0CECE"/>
          </w:tcPr>
          <w:p w14:paraId="67ED4C31" w14:textId="77777777" w:rsidR="000201F2" w:rsidRDefault="0073512A">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Solicitud de información 00311/TOLUCA/IP/2023</w:t>
            </w:r>
          </w:p>
        </w:tc>
      </w:tr>
      <w:tr w:rsidR="000201F2" w14:paraId="32B15882" w14:textId="77777777">
        <w:tc>
          <w:tcPr>
            <w:tcW w:w="8828" w:type="dxa"/>
          </w:tcPr>
          <w:p w14:paraId="7183C359" w14:textId="77777777" w:rsidR="000201F2" w:rsidRDefault="0073512A">
            <w:pPr>
              <w:numPr>
                <w:ilvl w:val="3"/>
                <w:numId w:val="2"/>
              </w:numPr>
              <w:pBdr>
                <w:top w:val="nil"/>
                <w:left w:val="nil"/>
                <w:bottom w:val="nil"/>
                <w:right w:val="nil"/>
                <w:between w:val="nil"/>
              </w:pBdr>
              <w:ind w:left="45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Dictámenes de la verificación virtual oficiosa del año 2022, realizada al ayuntamiento de Toluca por el INFOEM.</w:t>
            </w:r>
          </w:p>
          <w:p w14:paraId="66EA1FE5" w14:textId="77777777" w:rsidR="000201F2" w:rsidRDefault="000201F2">
            <w:pPr>
              <w:pBdr>
                <w:top w:val="nil"/>
                <w:left w:val="nil"/>
                <w:bottom w:val="nil"/>
                <w:right w:val="nil"/>
                <w:between w:val="nil"/>
              </w:pBdr>
              <w:ind w:left="454" w:hanging="360"/>
              <w:rPr>
                <w:rFonts w:ascii="Palatino Linotype" w:eastAsia="Palatino Linotype" w:hAnsi="Palatino Linotype" w:cs="Palatino Linotype"/>
                <w:color w:val="000000"/>
                <w:sz w:val="22"/>
                <w:szCs w:val="22"/>
              </w:rPr>
            </w:pPr>
          </w:p>
          <w:p w14:paraId="3ED68A0E" w14:textId="77777777" w:rsidR="000201F2" w:rsidRDefault="0073512A">
            <w:pPr>
              <w:numPr>
                <w:ilvl w:val="3"/>
                <w:numId w:val="2"/>
              </w:numPr>
              <w:pBdr>
                <w:top w:val="nil"/>
                <w:left w:val="nil"/>
                <w:bottom w:val="nil"/>
                <w:right w:val="nil"/>
                <w:between w:val="nil"/>
              </w:pBdr>
              <w:ind w:left="45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documento donde se compruebe por parte del INFOEM que se obtuvo el 90% de calificación, así como las prácticas de transparencia proactiva.</w:t>
            </w:r>
          </w:p>
          <w:p w14:paraId="477B0A36" w14:textId="77777777" w:rsidR="000201F2" w:rsidRDefault="000201F2">
            <w:pPr>
              <w:pBdr>
                <w:top w:val="nil"/>
                <w:left w:val="nil"/>
                <w:bottom w:val="nil"/>
                <w:right w:val="nil"/>
                <w:between w:val="nil"/>
              </w:pBdr>
              <w:ind w:left="454" w:hanging="360"/>
              <w:jc w:val="both"/>
              <w:rPr>
                <w:rFonts w:ascii="Palatino Linotype" w:eastAsia="Palatino Linotype" w:hAnsi="Palatino Linotype" w:cs="Palatino Linotype"/>
                <w:color w:val="000000"/>
                <w:sz w:val="22"/>
                <w:szCs w:val="22"/>
              </w:rPr>
            </w:pPr>
          </w:p>
          <w:p w14:paraId="56438C43" w14:textId="77777777" w:rsidR="000201F2" w:rsidRDefault="0073512A">
            <w:pPr>
              <w:numPr>
                <w:ilvl w:val="3"/>
                <w:numId w:val="2"/>
              </w:numPr>
              <w:pBdr>
                <w:top w:val="nil"/>
                <w:left w:val="nil"/>
                <w:bottom w:val="nil"/>
                <w:right w:val="nil"/>
                <w:between w:val="nil"/>
              </w:pBdr>
              <w:ind w:left="454"/>
              <w:jc w:val="both"/>
              <w:rPr>
                <w:rFonts w:ascii="Palatino Linotype" w:eastAsia="Palatino Linotype" w:hAnsi="Palatino Linotype" w:cs="Palatino Linotype"/>
                <w:color w:val="000000"/>
                <w:sz w:val="22"/>
                <w:szCs w:val="22"/>
              </w:rPr>
            </w:pPr>
            <w:bookmarkStart w:id="9" w:name="_heading=h.26in1rg" w:colFirst="0" w:colLast="0"/>
            <w:bookmarkEnd w:id="9"/>
            <w:r>
              <w:rPr>
                <w:rFonts w:ascii="Palatino Linotype" w:eastAsia="Palatino Linotype" w:hAnsi="Palatino Linotype" w:cs="Palatino Linotype"/>
                <w:color w:val="000000"/>
                <w:sz w:val="22"/>
                <w:szCs w:val="22"/>
              </w:rPr>
              <w:t>El número de solicitudes ingresadas en cualquier modalidad del año 2022, y de Recursos de Revisión que se interpusieron ante ese Sujeto Obligado.</w:t>
            </w:r>
          </w:p>
          <w:p w14:paraId="7868CD97" w14:textId="77777777" w:rsidR="000201F2" w:rsidRDefault="000201F2">
            <w:pPr>
              <w:pBdr>
                <w:top w:val="nil"/>
                <w:left w:val="nil"/>
                <w:bottom w:val="nil"/>
                <w:right w:val="nil"/>
                <w:between w:val="nil"/>
              </w:pBdr>
              <w:ind w:left="454" w:hanging="360"/>
              <w:jc w:val="both"/>
              <w:rPr>
                <w:rFonts w:ascii="Palatino Linotype" w:eastAsia="Palatino Linotype" w:hAnsi="Palatino Linotype" w:cs="Palatino Linotype"/>
                <w:color w:val="000000"/>
                <w:sz w:val="22"/>
                <w:szCs w:val="22"/>
              </w:rPr>
            </w:pPr>
          </w:p>
          <w:p w14:paraId="67A3FF3B" w14:textId="77777777" w:rsidR="000201F2" w:rsidRDefault="0073512A">
            <w:pPr>
              <w:numPr>
                <w:ilvl w:val="3"/>
                <w:numId w:val="2"/>
              </w:numPr>
              <w:pBdr>
                <w:top w:val="nil"/>
                <w:left w:val="nil"/>
                <w:bottom w:val="nil"/>
                <w:right w:val="nil"/>
                <w:between w:val="nil"/>
              </w:pBdr>
              <w:ind w:left="45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Oficios de las unidades administrativas, Direcciones, Regidurías, presidencia municipal, secretaria del ayuntamiento, síndicos, enviados a la Unidad de Transparencia y recibidos en la Unidad de Transparencia, con el propósito de actualizar su información de IPOMEX.</w:t>
            </w:r>
          </w:p>
          <w:p w14:paraId="1983717F" w14:textId="77777777" w:rsidR="000201F2" w:rsidRDefault="000201F2">
            <w:pPr>
              <w:pBdr>
                <w:top w:val="nil"/>
                <w:left w:val="nil"/>
                <w:bottom w:val="nil"/>
                <w:right w:val="nil"/>
                <w:between w:val="nil"/>
              </w:pBdr>
              <w:ind w:left="454" w:hanging="360"/>
              <w:jc w:val="both"/>
              <w:rPr>
                <w:rFonts w:ascii="Palatino Linotype" w:eastAsia="Palatino Linotype" w:hAnsi="Palatino Linotype" w:cs="Palatino Linotype"/>
                <w:color w:val="000000"/>
                <w:sz w:val="22"/>
                <w:szCs w:val="22"/>
              </w:rPr>
            </w:pPr>
          </w:p>
          <w:p w14:paraId="62A5E0AA" w14:textId="77777777" w:rsidR="000201F2" w:rsidRDefault="0073512A">
            <w:pPr>
              <w:numPr>
                <w:ilvl w:val="3"/>
                <w:numId w:val="2"/>
              </w:numPr>
              <w:pBdr>
                <w:top w:val="nil"/>
                <w:left w:val="nil"/>
                <w:bottom w:val="nil"/>
                <w:right w:val="nil"/>
                <w:between w:val="nil"/>
              </w:pBdr>
              <w:ind w:left="45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Constancias o reconocimientos de los 10 cursos que tomaron los servidores públicos en el INFOEM y el INAI, cursos en materia de acceso a la información, protección de datos personales en posesión de los sujetos obligados, clasificación, reserva y prueba de daño.</w:t>
            </w:r>
          </w:p>
          <w:p w14:paraId="10A8B732" w14:textId="77777777" w:rsidR="000201F2" w:rsidRDefault="000201F2">
            <w:pPr>
              <w:pBdr>
                <w:top w:val="nil"/>
                <w:left w:val="nil"/>
                <w:bottom w:val="nil"/>
                <w:right w:val="nil"/>
                <w:between w:val="nil"/>
              </w:pBdr>
              <w:ind w:left="454" w:hanging="360"/>
              <w:jc w:val="both"/>
              <w:rPr>
                <w:rFonts w:ascii="Palatino Linotype" w:eastAsia="Palatino Linotype" w:hAnsi="Palatino Linotype" w:cs="Palatino Linotype"/>
                <w:color w:val="000000"/>
                <w:sz w:val="22"/>
                <w:szCs w:val="22"/>
              </w:rPr>
            </w:pPr>
          </w:p>
          <w:p w14:paraId="3388C00C" w14:textId="77777777" w:rsidR="000201F2" w:rsidRDefault="0073512A">
            <w:pPr>
              <w:numPr>
                <w:ilvl w:val="3"/>
                <w:numId w:val="2"/>
              </w:numPr>
              <w:pBdr>
                <w:top w:val="nil"/>
                <w:left w:val="nil"/>
                <w:bottom w:val="nil"/>
                <w:right w:val="nil"/>
                <w:between w:val="nil"/>
              </w:pBdr>
              <w:ind w:left="45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Certificados, reconocimientos u otro que avalen que se cursó el Taller Nacional de Avisos de Privacidad.</w:t>
            </w:r>
          </w:p>
          <w:p w14:paraId="203C5FC2" w14:textId="77777777" w:rsidR="000201F2" w:rsidRDefault="000201F2">
            <w:pPr>
              <w:pBdr>
                <w:top w:val="nil"/>
                <w:left w:val="nil"/>
                <w:bottom w:val="nil"/>
                <w:right w:val="nil"/>
                <w:between w:val="nil"/>
              </w:pBdr>
              <w:ind w:left="454" w:hanging="360"/>
              <w:jc w:val="both"/>
              <w:rPr>
                <w:rFonts w:ascii="Palatino Linotype" w:eastAsia="Palatino Linotype" w:hAnsi="Palatino Linotype" w:cs="Palatino Linotype"/>
                <w:color w:val="000000"/>
                <w:sz w:val="22"/>
                <w:szCs w:val="22"/>
              </w:rPr>
            </w:pPr>
          </w:p>
          <w:p w14:paraId="47324F52" w14:textId="77777777" w:rsidR="000201F2" w:rsidRDefault="0073512A">
            <w:pPr>
              <w:numPr>
                <w:ilvl w:val="3"/>
                <w:numId w:val="2"/>
              </w:numPr>
              <w:pBdr>
                <w:top w:val="nil"/>
                <w:left w:val="nil"/>
                <w:bottom w:val="nil"/>
                <w:right w:val="nil"/>
                <w:between w:val="nil"/>
              </w:pBdr>
              <w:ind w:left="45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Certificados, reconocimientos u otro que avalen que asistieron los servidores públicos a diversos foros regionales, jornadas de sensibilización en materia de transparencia proactiva, en materia de difusión y reflexión sobre los alcances y desafíos de las leyes en la materia y conferencias magistrales.</w:t>
            </w:r>
          </w:p>
          <w:p w14:paraId="7019DF51" w14:textId="77777777" w:rsidR="000201F2" w:rsidRDefault="000201F2">
            <w:pPr>
              <w:pBdr>
                <w:top w:val="nil"/>
                <w:left w:val="nil"/>
                <w:bottom w:val="nil"/>
                <w:right w:val="nil"/>
                <w:between w:val="nil"/>
              </w:pBdr>
              <w:ind w:left="454" w:hanging="360"/>
              <w:jc w:val="both"/>
              <w:rPr>
                <w:rFonts w:ascii="Palatino Linotype" w:eastAsia="Palatino Linotype" w:hAnsi="Palatino Linotype" w:cs="Palatino Linotype"/>
                <w:color w:val="000000"/>
                <w:sz w:val="22"/>
                <w:szCs w:val="22"/>
              </w:rPr>
            </w:pPr>
          </w:p>
          <w:p w14:paraId="2B992129" w14:textId="77777777" w:rsidR="000201F2" w:rsidRDefault="0073512A">
            <w:pPr>
              <w:numPr>
                <w:ilvl w:val="3"/>
                <w:numId w:val="2"/>
              </w:numPr>
              <w:pBdr>
                <w:top w:val="nil"/>
                <w:left w:val="nil"/>
                <w:bottom w:val="nil"/>
                <w:right w:val="nil"/>
                <w:between w:val="nil"/>
              </w:pBdr>
              <w:ind w:left="45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Certificados, reconocimientos u otro que avalen que la Unidad de Transparencia asesora y capacita de manera permanente a los servidores públicos habilitados.</w:t>
            </w:r>
          </w:p>
          <w:p w14:paraId="2C99E9C1" w14:textId="77777777" w:rsidR="000201F2" w:rsidRDefault="000201F2">
            <w:pPr>
              <w:pBdr>
                <w:top w:val="nil"/>
                <w:left w:val="nil"/>
                <w:bottom w:val="nil"/>
                <w:right w:val="nil"/>
                <w:between w:val="nil"/>
              </w:pBdr>
              <w:ind w:left="454" w:hanging="360"/>
              <w:jc w:val="both"/>
              <w:rPr>
                <w:rFonts w:ascii="Palatino Linotype" w:eastAsia="Palatino Linotype" w:hAnsi="Palatino Linotype" w:cs="Palatino Linotype"/>
                <w:color w:val="000000"/>
                <w:sz w:val="22"/>
                <w:szCs w:val="22"/>
              </w:rPr>
            </w:pPr>
          </w:p>
          <w:p w14:paraId="27A94C02" w14:textId="77777777" w:rsidR="000201F2" w:rsidRDefault="0073512A">
            <w:pPr>
              <w:numPr>
                <w:ilvl w:val="3"/>
                <w:numId w:val="2"/>
              </w:numPr>
              <w:pBdr>
                <w:top w:val="nil"/>
                <w:left w:val="nil"/>
                <w:bottom w:val="nil"/>
                <w:right w:val="nil"/>
                <w:between w:val="nil"/>
              </w:pBdr>
              <w:ind w:left="45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Solicito la actualización de esas 119 cédulas de bases de datos personales, supresión, modificación de dichas bases, del año 2022. </w:t>
            </w:r>
          </w:p>
          <w:p w14:paraId="24D5B9BA" w14:textId="77777777" w:rsidR="000201F2" w:rsidRDefault="000201F2">
            <w:pPr>
              <w:pBdr>
                <w:top w:val="nil"/>
                <w:left w:val="nil"/>
                <w:bottom w:val="nil"/>
                <w:right w:val="nil"/>
                <w:between w:val="nil"/>
              </w:pBdr>
              <w:ind w:left="454" w:hanging="360"/>
              <w:jc w:val="both"/>
              <w:rPr>
                <w:rFonts w:ascii="Palatino Linotype" w:eastAsia="Palatino Linotype" w:hAnsi="Palatino Linotype" w:cs="Palatino Linotype"/>
                <w:color w:val="000000"/>
                <w:sz w:val="22"/>
                <w:szCs w:val="22"/>
              </w:rPr>
            </w:pPr>
          </w:p>
          <w:p w14:paraId="3642D59C" w14:textId="77777777" w:rsidR="000201F2" w:rsidRDefault="0073512A">
            <w:pPr>
              <w:numPr>
                <w:ilvl w:val="3"/>
                <w:numId w:val="2"/>
              </w:numPr>
              <w:pBdr>
                <w:top w:val="nil"/>
                <w:left w:val="nil"/>
                <w:bottom w:val="nil"/>
                <w:right w:val="nil"/>
                <w:between w:val="nil"/>
              </w:pBdr>
              <w:ind w:left="45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Oficios recibidos y enviados a todos los Titulares, por parte de la Unidad de Transparencia y enviados a la Unidad de Transparencia.</w:t>
            </w:r>
          </w:p>
          <w:p w14:paraId="3D098EA0" w14:textId="77777777" w:rsidR="000201F2" w:rsidRDefault="000201F2">
            <w:pPr>
              <w:pBdr>
                <w:top w:val="nil"/>
                <w:left w:val="nil"/>
                <w:bottom w:val="nil"/>
                <w:right w:val="nil"/>
                <w:between w:val="nil"/>
              </w:pBdr>
              <w:ind w:left="29" w:hanging="360"/>
              <w:jc w:val="both"/>
              <w:rPr>
                <w:rFonts w:ascii="Palatino Linotype" w:eastAsia="Palatino Linotype" w:hAnsi="Palatino Linotype" w:cs="Palatino Linotype"/>
                <w:color w:val="000000"/>
                <w:sz w:val="22"/>
                <w:szCs w:val="22"/>
              </w:rPr>
            </w:pPr>
          </w:p>
        </w:tc>
      </w:tr>
    </w:tbl>
    <w:p w14:paraId="589D3889" w14:textId="77777777" w:rsidR="000201F2" w:rsidRDefault="000201F2">
      <w:pPr>
        <w:spacing w:before="240" w:after="240" w:line="360" w:lineRule="auto"/>
        <w:jc w:val="both"/>
        <w:rPr>
          <w:rFonts w:ascii="Palatino Linotype" w:eastAsia="Palatino Linotype" w:hAnsi="Palatino Linotype" w:cs="Palatino Linotype"/>
          <w:sz w:val="10"/>
          <w:szCs w:val="10"/>
        </w:rPr>
      </w:pPr>
    </w:p>
    <w:p w14:paraId="228EBA49" w14:textId="77777777" w:rsidR="000201F2" w:rsidRDefault="0073512A">
      <w:pPr>
        <w:spacing w:before="240" w:after="240" w:line="360" w:lineRule="auto"/>
        <w:jc w:val="both"/>
        <w:rPr>
          <w:rFonts w:ascii="Palatino Linotype" w:eastAsia="Palatino Linotype" w:hAnsi="Palatino Linotype" w:cs="Palatino Linotype"/>
        </w:rPr>
      </w:pPr>
      <w:bookmarkStart w:id="10" w:name="_heading=h.lnxbz9" w:colFirst="0" w:colLast="0"/>
      <w:bookmarkEnd w:id="10"/>
      <w:r>
        <w:rPr>
          <w:rFonts w:ascii="Palatino Linotype" w:eastAsia="Palatino Linotype" w:hAnsi="Palatino Linotype" w:cs="Palatino Linotype"/>
        </w:rPr>
        <w:t xml:space="preserve">Así, en atención a la solicitud de información número </w:t>
      </w:r>
      <w:r>
        <w:rPr>
          <w:rFonts w:ascii="Palatino Linotype" w:eastAsia="Palatino Linotype" w:hAnsi="Palatino Linotype" w:cs="Palatino Linotype"/>
          <w:b/>
        </w:rPr>
        <w:t xml:space="preserve">00311/TOLUCA/IP/2023,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Sistema de Acceso a la Información Mexiquense (SAIMEX) adjuntó un escrito de fecha tres de marzo de dos mil veintitrés, mediante el cual le informó al entonces solicitante que con relación a la información requerida por cuanto hace a lo solicitado bajo el numeral </w:t>
      </w:r>
      <w:r>
        <w:rPr>
          <w:rFonts w:ascii="Palatino Linotype" w:eastAsia="Palatino Linotype" w:hAnsi="Palatino Linotype" w:cs="Palatino Linotype"/>
          <w:b/>
        </w:rPr>
        <w:t>3</w:t>
      </w:r>
      <w:r>
        <w:rPr>
          <w:rFonts w:ascii="Palatino Linotype" w:eastAsia="Palatino Linotype" w:hAnsi="Palatino Linotype" w:cs="Palatino Linotype"/>
        </w:rPr>
        <w:t xml:space="preserve"> que se indica en el cuadro inserto,  </w:t>
      </w:r>
      <w:r>
        <w:rPr>
          <w:rFonts w:ascii="Palatino Linotype" w:eastAsia="Palatino Linotype" w:hAnsi="Palatino Linotype" w:cs="Palatino Linotype"/>
          <w:b/>
        </w:rPr>
        <w:t>informó que se recibieron 3046 solicitudes de acceso a la información pública en sus distintas modalidades y 768 recursos de revisión durante el año referido del primer día hábil de enero al último día hábil del mes de diciembre del año 2022.</w:t>
      </w:r>
    </w:p>
    <w:p w14:paraId="588D462E"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con relación a la información requerida y que se precisó bajo los numerales </w:t>
      </w:r>
      <w:r>
        <w:rPr>
          <w:rFonts w:ascii="Palatino Linotype" w:eastAsia="Palatino Linotype" w:hAnsi="Palatino Linotype" w:cs="Palatino Linotype"/>
          <w:b/>
        </w:rPr>
        <w:t xml:space="preserve">1, 2, 4 </w:t>
      </w:r>
      <w:r>
        <w:rPr>
          <w:rFonts w:ascii="Palatino Linotype" w:eastAsia="Palatino Linotype" w:hAnsi="Palatino Linotype" w:cs="Palatino Linotype"/>
        </w:rPr>
        <w:t xml:space="preserve">al </w:t>
      </w:r>
      <w:r>
        <w:rPr>
          <w:rFonts w:ascii="Palatino Linotype" w:eastAsia="Palatino Linotype" w:hAnsi="Palatino Linotype" w:cs="Palatino Linotype"/>
          <w:b/>
        </w:rPr>
        <w:t>10</w:t>
      </w:r>
      <w:r>
        <w:rPr>
          <w:rFonts w:ascii="Palatino Linotype" w:eastAsia="Palatino Linotype" w:hAnsi="Palatino Linotype" w:cs="Palatino Linotype"/>
        </w:rPr>
        <w:t xml:space="preserve"> del cuadro de análisis inserto,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informó que después de una búsqueda exhaustiva y razonable en los archivos de la Unidad de Transparencia el cúmulo de información requerida tenía un peso de 29.69 GB lo que rebasaba las capacidades técnicas del sistema SAIMEX, por lo que informó que el primero de marzo del año dos mil veintitrés, fue aprobado por el Comité de Transparencia del Municipio de Toluca Administración 2022-2024, mediante el Acta de la Ducentésima Tercera Sesión Extraordinaria 2023 con el número de acuerdo AT/CT/01/2023 el Cambio de Modalidad para que la entrega de la información fuera In Situ, y que mediante acuerdo AT/CT/02/2023 se aprobó la clasificación en partes </w:t>
      </w:r>
      <w:r>
        <w:rPr>
          <w:rFonts w:ascii="Palatino Linotype" w:eastAsia="Palatino Linotype" w:hAnsi="Palatino Linotype" w:cs="Palatino Linotype"/>
        </w:rPr>
        <w:lastRenderedPageBreak/>
        <w:t>de la información requerida para salvaguardar los datos personales que contiene los oficios enviados y recibidos por esa Unidad de Transparencia.</w:t>
      </w:r>
    </w:p>
    <w:p w14:paraId="3ECA2D60"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indicó al entonces solicitante la dirección, fecha y horario, así como número telefónico de contacto de la Jefa de Departamento de Acceso a la Información, quien sería la encargada de atenderlo y proporcionarle la información requerida en su solicitud; haciendo del conocimiento que con lo anterior no se estaba negando la información, sino, por el contrario, sólo se está argumentando la situación que impedía hacer la entrega de la información mediante la modalidad que requería el particular, puesto que sobrepasaba las capacidades técnicas del sistema, y de conformidad con el artículo 164 de la Ley de Transparencia y Acceso a la Información Pública del Estado de México y Municipios se ponía a disposición en Consulta Directa.</w:t>
      </w:r>
    </w:p>
    <w:p w14:paraId="6D3B8D78"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en dicha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indicó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aún y cuando la información debía ser entregada en la modalidad que eligió el particular, también lo era que se ponía a disposición la misma en medios electrónicos; precisándole al entonces solicitante los medios con que contaba para disponer de la información, ya sea </w:t>
      </w:r>
      <w:r>
        <w:rPr>
          <w:rFonts w:ascii="Palatino Linotype" w:eastAsia="Palatino Linotype" w:hAnsi="Palatino Linotype" w:cs="Palatino Linotype"/>
          <w:b/>
        </w:rPr>
        <w:t xml:space="preserve">con costo </w:t>
      </w:r>
      <w:r>
        <w:rPr>
          <w:rFonts w:ascii="Palatino Linotype" w:eastAsia="Palatino Linotype" w:hAnsi="Palatino Linotype" w:cs="Palatino Linotype"/>
        </w:rPr>
        <w:t xml:space="preserve">o </w:t>
      </w:r>
      <w:r>
        <w:rPr>
          <w:rFonts w:ascii="Palatino Linotype" w:eastAsia="Palatino Linotype" w:hAnsi="Palatino Linotype" w:cs="Palatino Linotype"/>
          <w:b/>
        </w:rPr>
        <w:t xml:space="preserve">sin costo, </w:t>
      </w:r>
      <w:r>
        <w:rPr>
          <w:rFonts w:ascii="Palatino Linotype" w:eastAsia="Palatino Linotype" w:hAnsi="Palatino Linotype" w:cs="Palatino Linotype"/>
        </w:rPr>
        <w:t>y que la misma quedaría disponible durante un plazo de mínimo sesenta días hábiles de conformidad con el artículo 166 de la Ley de la materia, como se muestra del contenido de la foja 6 de la respuesta, que indica lo siguiente:</w:t>
      </w:r>
    </w:p>
    <w:p w14:paraId="20AF2D61" w14:textId="77777777" w:rsidR="000201F2" w:rsidRDefault="0073512A">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rPr>
        <w:object w:dxaOrig="7883" w:dyaOrig="5205" w14:anchorId="45214F0C">
          <v:shape id="_x0000_i1026" type="#_x0000_t75" style="width:394.5pt;height:260.5pt" o:ole="">
            <v:imagedata r:id="rId8" o:title=""/>
          </v:shape>
          <o:OLEObject Type="Embed" ProgID="PBrush" ShapeID="_x0000_i1026" DrawAspect="Content" ObjectID="_1760785025" r:id="rId12"/>
        </w:object>
      </w:r>
    </w:p>
    <w:p w14:paraId="7B6CB495"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señaló en el apartado de antecedentes, inconforme con la respuesta, el entonces solicitante promovió recurso de revisión mismo que quedó radicado bajo el número de expediente </w:t>
      </w:r>
      <w:r>
        <w:rPr>
          <w:rFonts w:ascii="Palatino Linotype" w:eastAsia="Palatino Linotype" w:hAnsi="Palatino Linotype" w:cs="Palatino Linotype"/>
          <w:b/>
        </w:rPr>
        <w:t>01359/INFOEM/IP/RR/2023</w:t>
      </w:r>
      <w:r>
        <w:rPr>
          <w:rFonts w:ascii="Palatino Linotype" w:eastAsia="Palatino Linotype" w:hAnsi="Palatino Linotype" w:cs="Palatino Linotype"/>
        </w:rPr>
        <w:t>, haciendo valer dentro de sus motivos de inconformidad que no se le había entregado la información que solicitó.</w:t>
      </w:r>
    </w:p>
    <w:p w14:paraId="1458A9E0" w14:textId="77777777" w:rsidR="000201F2" w:rsidRDefault="0073512A">
      <w:pPr>
        <w:spacing w:before="240" w:after="240" w:line="360" w:lineRule="auto"/>
        <w:jc w:val="both"/>
        <w:rPr>
          <w:rFonts w:ascii="Palatino Linotype" w:eastAsia="Palatino Linotype" w:hAnsi="Palatino Linotype" w:cs="Palatino Linotype"/>
        </w:rPr>
      </w:pPr>
      <w:bookmarkStart w:id="11" w:name="_heading=h.35nkun2" w:colFirst="0" w:colLast="0"/>
      <w:bookmarkEnd w:id="11"/>
      <w:r>
        <w:rPr>
          <w:rFonts w:ascii="Palatino Linotype" w:eastAsia="Palatino Linotype" w:hAnsi="Palatino Linotype" w:cs="Palatino Linotype"/>
        </w:rPr>
        <w:t xml:space="preserve">De esta manera, durante la substanciación del recurso de revisión de mérito,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rindió su informe justificado, en el que medularmente ratificó su respuesta primigenia; no obstante, adicionó que mediante Acuerdo del Comité de Transparencia número Ducentésima Tercera Sesión Extraordinaria, se aprobó el cambio de modalidad y que tal circunstancia obra en la Bitácora de la Dirección General de Informática del INFOEM, insertando la digitalización del oficio INFOEM/DGI/199/2023 del seis de marzo de dos mil veintitrés, a través de la cual el </w:t>
      </w:r>
      <w:r>
        <w:rPr>
          <w:rFonts w:ascii="Palatino Linotype" w:eastAsia="Palatino Linotype" w:hAnsi="Palatino Linotype" w:cs="Palatino Linotype"/>
        </w:rPr>
        <w:lastRenderedPageBreak/>
        <w:t>Director General de Informática del INFOEM informó a la Titular de la Unidad de Transparencia del Sujeto Obligado que en atención a su diverso oficio 2010A4000/00155/2023, con relación a la solicitud de información la incidencia técnica había quedado registrada en la bitácora de incidencias pues se trata de subir un peso de 29.69GB, que sobrepasa las capacidades técnicas del SAIMEX, como a continuación se muestra:</w:t>
      </w:r>
    </w:p>
    <w:p w14:paraId="28799FAA" w14:textId="77777777" w:rsidR="000201F2" w:rsidRDefault="0073512A">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14:anchorId="29E25681" wp14:editId="6B1D4FDA">
            <wp:extent cx="4791202" cy="3039909"/>
            <wp:effectExtent l="3175" t="3175" r="3175" b="3175"/>
            <wp:docPr id="213309267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4791202" cy="3039909"/>
                    </a:xfrm>
                    <a:prstGeom prst="rect">
                      <a:avLst/>
                    </a:prstGeom>
                    <a:ln w="3175">
                      <a:solidFill>
                        <a:srgbClr val="000000"/>
                      </a:solidFill>
                      <a:prstDash val="solid"/>
                    </a:ln>
                  </pic:spPr>
                </pic:pic>
              </a:graphicData>
            </a:graphic>
          </wp:inline>
        </w:drawing>
      </w:r>
    </w:p>
    <w:p w14:paraId="5CEEF374"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Situación la anterior que se corroboró en virtud de que la Dirección General de Informática del INFOEM, como se precisó en los antecedentes reportó vía correo institucional que en efecto tenía el registro de dicha incidencia.</w:t>
      </w:r>
    </w:p>
    <w:p w14:paraId="55FE99E8" w14:textId="77777777" w:rsidR="000201F2" w:rsidRDefault="0073512A">
      <w:pPr>
        <w:spacing w:before="240" w:after="240" w:line="360" w:lineRule="auto"/>
        <w:jc w:val="both"/>
        <w:rPr>
          <w:rFonts w:ascii="Palatino Linotype" w:eastAsia="Palatino Linotype" w:hAnsi="Palatino Linotype" w:cs="Palatino Linotype"/>
        </w:rPr>
      </w:pPr>
      <w:bookmarkStart w:id="12" w:name="_heading=h.1ksv4uv" w:colFirst="0" w:colLast="0"/>
      <w:bookmarkEnd w:id="12"/>
      <w:r>
        <w:rPr>
          <w:rFonts w:ascii="Palatino Linotype" w:eastAsia="Palatino Linotype" w:hAnsi="Palatino Linotype" w:cs="Palatino Linotype"/>
        </w:rPr>
        <w:t xml:space="preserve">Ahora bien, por cuando hace a la información requerida por el entonces solicitante y que se precisó en el numeral </w:t>
      </w:r>
      <w:r>
        <w:rPr>
          <w:rFonts w:ascii="Palatino Linotype" w:eastAsia="Palatino Linotype" w:hAnsi="Palatino Linotype" w:cs="Palatino Linotype"/>
          <w:b/>
        </w:rPr>
        <w:t xml:space="preserve">3, </w:t>
      </w:r>
      <w:r>
        <w:rPr>
          <w:rFonts w:ascii="Palatino Linotype" w:eastAsia="Palatino Linotype" w:hAnsi="Palatino Linotype" w:cs="Palatino Linotype"/>
        </w:rPr>
        <w:t xml:space="preserve">si bien el derecho de acceso a la información pública se satisface en aquellos casos en que se entregue el soporte documental en que conste </w:t>
      </w:r>
      <w:r>
        <w:rPr>
          <w:rFonts w:ascii="Palatino Linotype" w:eastAsia="Palatino Linotype" w:hAnsi="Palatino Linotype" w:cs="Palatino Linotype"/>
        </w:rPr>
        <w:lastRenderedPageBreak/>
        <w:t xml:space="preserve">la información pública, sin la necesidad de elaborar documentos </w:t>
      </w:r>
      <w:r>
        <w:rPr>
          <w:rFonts w:ascii="Palatino Linotype" w:eastAsia="Palatino Linotype" w:hAnsi="Palatino Linotype" w:cs="Palatino Linotype"/>
          <w:i/>
        </w:rPr>
        <w:t>ad hoc</w:t>
      </w:r>
      <w:r>
        <w:rPr>
          <w:rFonts w:ascii="Palatino Linotype" w:eastAsia="Palatino Linotype" w:hAnsi="Palatino Linotype" w:cs="Palatino Linotype"/>
        </w:rPr>
        <w:t>; lo cual, toma sustento en el artículo 160 de la Ley de Transparencia y Acceso a la Información Pública del Estado de México y Municipios, el cual refiere que los sujetos obligados deberán entregar la información que obre en sus archivos.</w:t>
      </w:r>
    </w:p>
    <w:p w14:paraId="23634149" w14:textId="77777777" w:rsidR="000201F2" w:rsidRDefault="0073512A">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Sin embargo, en el caso se aprecia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elaboró un documento ad hoc para dar cabal cumplimiento al derecho de acceso a la información del particular aún y </w:t>
      </w:r>
      <w:r>
        <w:rPr>
          <w:rFonts w:ascii="Palatino Linotype" w:eastAsia="Palatino Linotype" w:hAnsi="Palatino Linotype" w:cs="Palatino Linotype"/>
          <w:b/>
        </w:rPr>
        <w:t>cuando no es una obligación de las autoridades</w:t>
      </w:r>
      <w:r>
        <w:rPr>
          <w:rFonts w:ascii="Palatino Linotype" w:eastAsia="Palatino Linotype" w:hAnsi="Palatino Linotype" w:cs="Palatino Linotype"/>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Pr>
          <w:rFonts w:ascii="Palatino Linotype" w:eastAsia="Palatino Linotype" w:hAnsi="Palatino Linotype" w:cs="Palatino Linotype"/>
          <w:b/>
        </w:rPr>
        <w:t xml:space="preserve"> </w:t>
      </w:r>
    </w:p>
    <w:p w14:paraId="31CC457E" w14:textId="77777777" w:rsidR="000201F2" w:rsidRDefault="000201F2">
      <w:pPr>
        <w:spacing w:line="360" w:lineRule="auto"/>
        <w:jc w:val="both"/>
        <w:rPr>
          <w:rFonts w:ascii="Palatino Linotype" w:eastAsia="Palatino Linotype" w:hAnsi="Palatino Linotype" w:cs="Palatino Linotype"/>
        </w:rPr>
      </w:pPr>
    </w:p>
    <w:p w14:paraId="0492C08E" w14:textId="77777777" w:rsidR="000201F2" w:rsidRDefault="0073512A">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0CF1A988" w14:textId="77777777" w:rsidR="000201F2" w:rsidRDefault="0073512A">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Expedientes:</w:t>
      </w:r>
    </w:p>
    <w:p w14:paraId="2E0184BF" w14:textId="77777777" w:rsidR="000201F2" w:rsidRDefault="0073512A">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0438/08 Pemex Exploración y Producción – Alonso Lujambio Irazábal</w:t>
      </w:r>
    </w:p>
    <w:p w14:paraId="0B4E7206" w14:textId="77777777" w:rsidR="000201F2" w:rsidRDefault="0073512A">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1751/09 Laboratorios de Biológicos y Reactivos de México S.A. de C.V. –</w:t>
      </w:r>
    </w:p>
    <w:p w14:paraId="5B791377" w14:textId="77777777" w:rsidR="000201F2" w:rsidRDefault="0073512A">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María </w:t>
      </w:r>
      <w:proofErr w:type="spellStart"/>
      <w:r>
        <w:rPr>
          <w:rFonts w:ascii="Palatino Linotype" w:eastAsia="Palatino Linotype" w:hAnsi="Palatino Linotype" w:cs="Palatino Linotype"/>
          <w:i/>
          <w:sz w:val="22"/>
          <w:szCs w:val="22"/>
        </w:rPr>
        <w:t>Marván</w:t>
      </w:r>
      <w:proofErr w:type="spellEnd"/>
      <w:r>
        <w:rPr>
          <w:rFonts w:ascii="Palatino Linotype" w:eastAsia="Palatino Linotype" w:hAnsi="Palatino Linotype" w:cs="Palatino Linotype"/>
          <w:i/>
          <w:sz w:val="22"/>
          <w:szCs w:val="22"/>
        </w:rPr>
        <w:t xml:space="preserve"> Laborde</w:t>
      </w:r>
    </w:p>
    <w:p w14:paraId="4EEC9A6A" w14:textId="77777777" w:rsidR="000201F2" w:rsidRDefault="0073512A">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2868/09 Consejo Nacional de Ciencia y Tecnología – Jacqueline </w:t>
      </w:r>
      <w:proofErr w:type="spellStart"/>
      <w:r>
        <w:rPr>
          <w:rFonts w:ascii="Palatino Linotype" w:eastAsia="Palatino Linotype" w:hAnsi="Palatino Linotype" w:cs="Palatino Linotype"/>
          <w:i/>
          <w:sz w:val="22"/>
          <w:szCs w:val="22"/>
        </w:rPr>
        <w:t>Peschard</w:t>
      </w:r>
      <w:proofErr w:type="spellEnd"/>
    </w:p>
    <w:p w14:paraId="65ECBAB5" w14:textId="77777777" w:rsidR="000201F2" w:rsidRDefault="0073512A">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Mariscal</w:t>
      </w:r>
    </w:p>
    <w:p w14:paraId="45C3A8AA" w14:textId="77777777" w:rsidR="000201F2" w:rsidRDefault="0073512A">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5160/09 Secretaría de Hacienda y Crédito Público – Ángel Trinidad Zaldívar</w:t>
      </w:r>
    </w:p>
    <w:p w14:paraId="7E2A65B5" w14:textId="77777777" w:rsidR="000201F2" w:rsidRDefault="0073512A">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0304/10 Instituto Nacional de Cancerología – Jacqueline </w:t>
      </w:r>
      <w:proofErr w:type="spellStart"/>
      <w:r>
        <w:rPr>
          <w:rFonts w:ascii="Palatino Linotype" w:eastAsia="Palatino Linotype" w:hAnsi="Palatino Linotype" w:cs="Palatino Linotype"/>
          <w:i/>
          <w:sz w:val="22"/>
          <w:szCs w:val="22"/>
        </w:rPr>
        <w:t>Peschard</w:t>
      </w:r>
      <w:proofErr w:type="spellEnd"/>
      <w:r>
        <w:rPr>
          <w:rFonts w:ascii="Palatino Linotype" w:eastAsia="Palatino Linotype" w:hAnsi="Palatino Linotype" w:cs="Palatino Linotype"/>
          <w:i/>
          <w:sz w:val="22"/>
          <w:szCs w:val="22"/>
        </w:rPr>
        <w:t xml:space="preserve"> Mariscal”</w:t>
      </w:r>
    </w:p>
    <w:p w14:paraId="3B8CDCCC" w14:textId="77777777" w:rsidR="000201F2" w:rsidRDefault="0073512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Entonces, dado a que el criterio en mención establece que las autoridades </w:t>
      </w:r>
      <w:r>
        <w:rPr>
          <w:rFonts w:ascii="Palatino Linotype" w:eastAsia="Palatino Linotype" w:hAnsi="Palatino Linotype" w:cs="Palatino Linotype"/>
          <w:b/>
        </w:rPr>
        <w:t xml:space="preserve">no están obligadas a generar documentos “ad hoc” </w:t>
      </w:r>
      <w:r>
        <w:rPr>
          <w:rFonts w:ascii="Palatino Linotype" w:eastAsia="Palatino Linotype" w:hAnsi="Palatino Linotype" w:cs="Palatino Linotype"/>
        </w:rPr>
        <w:t xml:space="preserve">en contrario sensu, dicho criterio se puede interpretar resultando que las autoridades no están impedidas a generar documentos “ad hoc”, esto, siempre que con dicho documento elaborado se dé cabal cumplimiento a los requerimientos planteados; cuestión que se cumplió a cabalidad pues el entonces solicitante requirió “El número de solicitudes ingresadas en cualquier modalidad del año 2022, y de Recursos de Revisión que se interpusieron ante ese Sujeto Obligado”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la información haciéndole del conocimiento que </w:t>
      </w:r>
      <w:r>
        <w:rPr>
          <w:rFonts w:ascii="Palatino Linotype" w:eastAsia="Palatino Linotype" w:hAnsi="Palatino Linotype" w:cs="Palatino Linotype"/>
          <w:b/>
        </w:rPr>
        <w:t>se recibieron 3046 solicitudes de acceso a la información pública en sus distintas modalidades y 768 recursos de revisión durante el año referido del primer día hábil de enero al último día hábil del mes de diciembre del año 2022; teniéndose por colmada la información requerida y precisada en el numeral 3 del cuadro de análisis inserto.</w:t>
      </w:r>
    </w:p>
    <w:p w14:paraId="25FF4452"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con relación al </w:t>
      </w:r>
      <w:r>
        <w:rPr>
          <w:rFonts w:ascii="Palatino Linotype" w:eastAsia="Palatino Linotype" w:hAnsi="Palatino Linotype" w:cs="Palatino Linotype"/>
          <w:b/>
          <w:u w:val="single"/>
        </w:rPr>
        <w:t>cambio de modalidad</w:t>
      </w:r>
      <w:r>
        <w:rPr>
          <w:rFonts w:ascii="Palatino Linotype" w:eastAsia="Palatino Linotype" w:hAnsi="Palatino Linotype" w:cs="Palatino Linotype"/>
        </w:rPr>
        <w:t xml:space="preserve"> respecto de la información requerida y precisada bajo los numerales </w:t>
      </w:r>
      <w:r>
        <w:rPr>
          <w:rFonts w:ascii="Palatino Linotype" w:eastAsia="Palatino Linotype" w:hAnsi="Palatino Linotype" w:cs="Palatino Linotype"/>
          <w:b/>
        </w:rPr>
        <w:t>1, 2, 4 a 10</w:t>
      </w:r>
      <w:r>
        <w:rPr>
          <w:rFonts w:ascii="Palatino Linotype" w:eastAsia="Palatino Linotype" w:hAnsi="Palatino Linotype" w:cs="Palatino Linotype"/>
        </w:rPr>
        <w:t xml:space="preserve"> del cuadro inserto, se manifiesta lo siguiente:</w:t>
      </w:r>
    </w:p>
    <w:p w14:paraId="4CECB8D5"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artículo 155, fracción V, de la Ley de Transparencia y Acceso a la Información Pública del Estado de México y Municipios, precisa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para presentar una solicitud, el particular podrá señalar </w:t>
      </w:r>
      <w:r>
        <w:rPr>
          <w:rFonts w:ascii="Palatino Linotype" w:eastAsia="Palatino Linotype" w:hAnsi="Palatino Linotype" w:cs="Palatino Linotype"/>
          <w:b/>
        </w:rPr>
        <w:t>la modalidad en la que prefiere se otorgue el acceso a la información</w:t>
      </w:r>
      <w:r>
        <w:rPr>
          <w:rFonts w:ascii="Palatino Linotype" w:eastAsia="Palatino Linotype" w:hAnsi="Palatino Linotype" w:cs="Palatino Linotype"/>
        </w:rPr>
        <w:t xml:space="preserve">,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w:t>
      </w:r>
      <w:r>
        <w:rPr>
          <w:rFonts w:ascii="Palatino Linotype" w:eastAsia="Palatino Linotype" w:hAnsi="Palatino Linotype" w:cs="Palatino Linotype"/>
        </w:rPr>
        <w:lastRenderedPageBreak/>
        <w:t xml:space="preserve">ser SAIMEX, </w:t>
      </w:r>
      <w:proofErr w:type="spellStart"/>
      <w:r>
        <w:rPr>
          <w:rFonts w:ascii="Palatino Linotype" w:eastAsia="Palatino Linotype" w:hAnsi="Palatino Linotype" w:cs="Palatino Linotype"/>
        </w:rPr>
        <w:t>CD-Rom</w:t>
      </w:r>
      <w:proofErr w:type="spellEnd"/>
      <w:r>
        <w:rPr>
          <w:rFonts w:ascii="Palatino Linotype" w:eastAsia="Palatino Linotype" w:hAnsi="Palatino Linotype" w:cs="Palatino Linotype"/>
        </w:rPr>
        <w:t xml:space="preserve"> (con costo), copias simples (con costo), copias certificadas (con costo), consulta directa (sin costo), o bien, cualquier otro que determine la persona solicitante.</w:t>
      </w:r>
    </w:p>
    <w:p w14:paraId="307BA250" w14:textId="77777777" w:rsidR="000201F2" w:rsidRDefault="0073512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Por su parte, el artículo 158, dispone que, de manera excepcional, cuando de manera fundada y motivada lo determine el Sujeto Obligado, </w:t>
      </w:r>
      <w:r>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120EB639"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el acceso a la información debe darse en la modalidad de entrega elegida por la parte solicitante,  y sólo para los casos en que se encuentren impedidos los sujetos obligados podrán ofrecer otra u otras modalidades debiendo fundar y motivar adecuadamente el cambio de modalidad en la entrega de la información</w:t>
      </w:r>
      <w:r>
        <w:rPr>
          <w:rFonts w:ascii="Palatino Linotype" w:eastAsia="Palatino Linotype" w:hAnsi="Palatino Linotype" w:cs="Palatino Linotype"/>
          <w:vertAlign w:val="superscript"/>
        </w:rPr>
        <w:t xml:space="preserve"> </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59717668" w14:textId="77777777" w:rsidR="000201F2" w:rsidRDefault="0073512A">
      <w:pPr>
        <w:spacing w:before="120" w:after="120"/>
        <w:ind w:left="851" w:right="99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“FUNDAMENTACIÓN Y MOTIVACIÓN DE LOS ACTOS ADMINISTRATIVOS</w:t>
      </w:r>
      <w:r>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Pr>
          <w:rFonts w:ascii="Palatino Linotype" w:eastAsia="Palatino Linotype" w:hAnsi="Palatino Linotype" w:cs="Palatino Linotype"/>
          <w:i/>
          <w:sz w:val="22"/>
          <w:szCs w:val="22"/>
        </w:rPr>
        <w:t>subincisos</w:t>
      </w:r>
      <w:proofErr w:type="spellEnd"/>
      <w:r>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w:t>
      </w:r>
    </w:p>
    <w:p w14:paraId="70D85B7B" w14:textId="77777777" w:rsidR="000201F2" w:rsidRDefault="000201F2">
      <w:pPr>
        <w:spacing w:before="120" w:after="120"/>
        <w:ind w:left="851" w:right="992"/>
        <w:jc w:val="both"/>
        <w:rPr>
          <w:rFonts w:ascii="Palatino Linotype" w:eastAsia="Palatino Linotype" w:hAnsi="Palatino Linotype" w:cs="Palatino Linotype"/>
          <w:i/>
          <w:sz w:val="22"/>
          <w:szCs w:val="22"/>
        </w:rPr>
      </w:pPr>
    </w:p>
    <w:p w14:paraId="373A6682" w14:textId="77777777" w:rsidR="000201F2" w:rsidRDefault="0073512A">
      <w:pPr>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567B678F" w14:textId="77777777" w:rsidR="000201F2" w:rsidRDefault="0073512A">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rPr>
        <w:t>“</w:t>
      </w:r>
      <w:r>
        <w:rPr>
          <w:rFonts w:ascii="Palatino Linotype" w:eastAsia="Palatino Linotype" w:hAnsi="Palatino Linotype" w:cs="Palatino Linotype"/>
          <w:b/>
          <w:i/>
          <w:sz w:val="22"/>
          <w:szCs w:val="22"/>
        </w:rPr>
        <w:t>Artículo 160.</w:t>
      </w:r>
      <w:r>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w:t>
      </w:r>
      <w:r>
        <w:rPr>
          <w:rFonts w:ascii="Palatino Linotype" w:eastAsia="Palatino Linotype" w:hAnsi="Palatino Linotype" w:cs="Palatino Linotype"/>
          <w:i/>
          <w:sz w:val="22"/>
          <w:szCs w:val="22"/>
        </w:rPr>
        <w:lastRenderedPageBreak/>
        <w:t>sus facultades, competencias o funciones en el formato que el solicitante manifieste, de entre aquellos formatos existentes, conforme a las características físicas de la información o del lugar donde se encuentre así lo permita.</w:t>
      </w:r>
    </w:p>
    <w:p w14:paraId="5740CD16" w14:textId="77777777" w:rsidR="000201F2" w:rsidRDefault="0073512A">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164.</w:t>
      </w:r>
      <w:r>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Pr>
          <w:rFonts w:ascii="Palatino Linotype" w:eastAsia="Palatino Linotype" w:hAnsi="Palatino Linotype" w:cs="Palatino Linotype"/>
          <w:b/>
          <w:i/>
          <w:sz w:val="22"/>
          <w:szCs w:val="22"/>
          <w:u w:val="single"/>
        </w:rPr>
        <w:t>el sujeto obligado deberá ofrecer otra u otras modalidades de entrega.</w:t>
      </w:r>
      <w:r>
        <w:rPr>
          <w:rFonts w:ascii="Palatino Linotype" w:eastAsia="Palatino Linotype" w:hAnsi="Palatino Linotype" w:cs="Palatino Linotype"/>
          <w:i/>
          <w:sz w:val="22"/>
          <w:szCs w:val="22"/>
        </w:rPr>
        <w:t xml:space="preserve"> En cualquier caso, se deberá fundar y motivar la necesidad de ofrecer otras modalidades.”</w:t>
      </w:r>
    </w:p>
    <w:p w14:paraId="6C08B3A9"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cual,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24E13F1A"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Pr>
          <w:rFonts w:ascii="Palatino Linotype" w:eastAsia="Palatino Linotype" w:hAnsi="Palatino Linotype" w:cs="Palatino Linotype"/>
          <w:b/>
        </w:rPr>
        <w:t>en la medida de lo posible, en la forma solicitada por el interesado, salvo que exista un impedimento justificado para atenderla</w:t>
      </w:r>
      <w:r>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Pr>
          <w:rFonts w:ascii="Palatino Linotype" w:eastAsia="Palatino Linotype" w:hAnsi="Palatino Linotype" w:cs="Palatino Linotype"/>
          <w:b/>
        </w:rPr>
        <w:t>sólo procede, en caso de que se acredite la imposibilidad de atenderla.</w:t>
      </w:r>
      <w:r>
        <w:rPr>
          <w:rFonts w:ascii="Palatino Linotype" w:eastAsia="Palatino Linotype" w:hAnsi="Palatino Linotype" w:cs="Palatino Linotype"/>
        </w:rPr>
        <w:t xml:space="preserve"> </w:t>
      </w:r>
    </w:p>
    <w:p w14:paraId="703E80B7"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cuando se justifique el impedimento, </w:t>
      </w:r>
      <w:r>
        <w:rPr>
          <w:rFonts w:ascii="Palatino Linotype" w:eastAsia="Palatino Linotype" w:hAnsi="Palatino Linotype" w:cs="Palatino Linotype"/>
          <w:b/>
        </w:rPr>
        <w:t>los Sujetos Obligados deberán ofrecer al particular otras modalidades de entrega que permita la información</w:t>
      </w:r>
      <w:r>
        <w:rPr>
          <w:rFonts w:ascii="Palatino Linotype" w:eastAsia="Palatino Linotype" w:hAnsi="Palatino Linotype" w:cs="Palatino Linotype"/>
        </w:rPr>
        <w:t xml:space="preserve">, como consulta directa en las oficinas de la Unidad de Transparencia, la expedición de </w:t>
      </w:r>
      <w:r>
        <w:rPr>
          <w:rFonts w:ascii="Palatino Linotype" w:eastAsia="Palatino Linotype" w:hAnsi="Palatino Linotype" w:cs="Palatino Linotype"/>
        </w:rPr>
        <w:lastRenderedPageBreak/>
        <w:t>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14:paraId="28DCD622" w14:textId="77777777" w:rsidR="000201F2" w:rsidRDefault="0073512A">
      <w:pPr>
        <w:spacing w:before="120" w:after="120"/>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r>
        <w:rPr>
          <w:rFonts w:ascii="Palatino Linotype" w:eastAsia="Palatino Linotype" w:hAnsi="Palatino Linotype" w:cs="Palatino Linotype"/>
          <w:b/>
          <w:i/>
          <w:sz w:val="22"/>
          <w:szCs w:val="22"/>
        </w:rPr>
        <w:t>.”</w:t>
      </w:r>
    </w:p>
    <w:p w14:paraId="3B0F8E53" w14:textId="77777777" w:rsidR="000201F2" w:rsidRDefault="0073512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Del citado criterio, se desprende que cuando</w:t>
      </w:r>
      <w:r>
        <w:rPr>
          <w:rFonts w:ascii="Palatino Linotype" w:eastAsia="Palatino Linotype" w:hAnsi="Palatino Linotype" w:cs="Palatino Linotype"/>
          <w:b/>
        </w:rPr>
        <w:t xml:space="preserve"> la información no pueda entregarse o enviarse en la modalidad elegida, </w:t>
      </w:r>
      <w:r>
        <w:rPr>
          <w:rFonts w:ascii="Palatino Linotype" w:eastAsia="Palatino Linotype" w:hAnsi="Palatino Linotype" w:cs="Palatino Linotype"/>
        </w:rPr>
        <w:t xml:space="preserve">para que la obligación de acceso a la información se tenga por cumplida, </w:t>
      </w:r>
      <w:r>
        <w:rPr>
          <w:rFonts w:ascii="Palatino Linotype" w:eastAsia="Palatino Linotype" w:hAnsi="Palatino Linotype" w:cs="Palatino Linotype"/>
          <w:b/>
        </w:rPr>
        <w:t>el Sujeto Obligado deberá ofrecer otra u otras modalidades de entrega.</w:t>
      </w:r>
      <w:r>
        <w:rPr>
          <w:rFonts w:ascii="Palatino Linotype" w:eastAsia="Palatino Linotype" w:hAnsi="Palatino Linotype" w:cs="Palatino Linotype"/>
        </w:rPr>
        <w:t xml:space="preserve"> En cualquier caso, </w:t>
      </w:r>
      <w:r>
        <w:rPr>
          <w:rFonts w:ascii="Palatino Linotype" w:eastAsia="Palatino Linotype" w:hAnsi="Palatino Linotype" w:cs="Palatino Linotype"/>
          <w:b/>
        </w:rPr>
        <w:t>se deberá fundar y motivar la necesidad de ofrecer otras modalidades</w:t>
      </w:r>
      <w:r>
        <w:rPr>
          <w:rFonts w:ascii="Palatino Linotype" w:eastAsia="Palatino Linotype" w:hAnsi="Palatino Linotype" w:cs="Palatino Linotype"/>
        </w:rPr>
        <w:t xml:space="preserve"> que lo permitan, </w:t>
      </w:r>
      <w:r>
        <w:rPr>
          <w:rFonts w:ascii="Palatino Linotype" w:eastAsia="Palatino Linotype" w:hAnsi="Palatino Linotype" w:cs="Palatino Linotype"/>
          <w:b/>
        </w:rPr>
        <w:t>procurando reducir los costos de entrega.</w:t>
      </w:r>
    </w:p>
    <w:p w14:paraId="5ED3D3ED" w14:textId="77777777" w:rsidR="000201F2" w:rsidRDefault="0073512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7F7619C3" w14:textId="77777777" w:rsidR="000201F2" w:rsidRDefault="0073512A">
      <w:pPr>
        <w:numPr>
          <w:ilvl w:val="0"/>
          <w:numId w:val="6"/>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Las razones por las cuales la información implicaba un análisis, estudio o procesamiento de datos;</w:t>
      </w:r>
    </w:p>
    <w:p w14:paraId="70C758E7" w14:textId="77777777" w:rsidR="000201F2" w:rsidRDefault="0073512A">
      <w:pPr>
        <w:numPr>
          <w:ilvl w:val="0"/>
          <w:numId w:val="6"/>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Pr>
          <w:rFonts w:ascii="Palatino Linotype" w:eastAsia="Palatino Linotype" w:hAnsi="Palatino Linotype" w:cs="Palatino Linotype"/>
        </w:rPr>
        <w:t>El tiempo no es suficiente para atender la solicitud en la modalidad elegida, y</w:t>
      </w:r>
    </w:p>
    <w:p w14:paraId="2AAA9AEB" w14:textId="77777777" w:rsidR="000201F2" w:rsidRDefault="0073512A">
      <w:pPr>
        <w:numPr>
          <w:ilvl w:val="0"/>
          <w:numId w:val="6"/>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Pr>
          <w:rFonts w:ascii="Palatino Linotype" w:eastAsia="Palatino Linotype" w:hAnsi="Palatino Linotype" w:cs="Palatino Linotype"/>
        </w:rPr>
        <w:t>La cantidad de recursos humanos y materiales con los que cuenta el Sujeto Obligado son insuficientes.</w:t>
      </w:r>
    </w:p>
    <w:p w14:paraId="6E05ECBB"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tenor, toda vez que, de la respuesta y del informe justificado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desprende que motivó la imposibilidad para proporcionar la información en la vía solicitada por el entonces solicitante mediante sistema de Acceso a la Información Mexiquense (SAIMEX), pues la misma sobrepasaba las capacidades técnicas y humanas para atenderla.</w:t>
      </w:r>
    </w:p>
    <w:p w14:paraId="7457A715"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a efecto de demostrar lo anterior,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 su informe justificado manifestó que mediante Acuerdo del Comité de Transparencia número Ducentésima Tercera Sesión Extraordinaria, se aprobó el cambio de modalidad y que tal circunstancia obra en la Bitácora de la Dirección General de Informática del INFOEM, insertando la digitalización del oficio INFOEM/DGI/199/2023 del seis de marzo de dos mil veintitrés, a través de la cual el Director General de Informática del INFOEM informó a la Titular de la Unidad de Transparencia del Sujeto Obligado que en atención a su diverso oficio 2010A4000/00155/2023, con relación a la solicitud de información la incidencia técnica había quedado registrada en la bitácora de incidencias pues se trata de subir un peso de 29.69GB, que sobrepasa las capacidades técnicas del SAIMEX.</w:t>
      </w:r>
    </w:p>
    <w:p w14:paraId="61B1D939"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 fin de esclarecer si el presente asunto reunida los elementos necesarios para realizar el cambio de modalidad en la entrega de la información, y, en desahogo del mismo se corroboró y en efecto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reportó dicha incidencia, misma que quedó registrada en la bitácora de incidencias en la Dirección General de Informática del INFOEM.</w:t>
      </w:r>
    </w:p>
    <w:p w14:paraId="7EE73EA3"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cobra relevancia, pues la Dirección General de Informática del INFOEM, precisó que el peso máximo de archivos que soporta el SAIMEX para adjuntar como respuesta a las solicitudes de información, tiene el soporte tecnológico para que se puedan adjuntar archivos con un peso aprox.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w:t>
      </w:r>
    </w:p>
    <w:p w14:paraId="085AF8BE" w14:textId="77777777" w:rsidR="000201F2" w:rsidRDefault="0073512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la imposibilidad para atender la solicitud de información </w:t>
      </w:r>
      <w:r>
        <w:rPr>
          <w:rFonts w:ascii="Palatino Linotype" w:eastAsia="Palatino Linotype" w:hAnsi="Palatino Linotype" w:cs="Palatino Linotype"/>
          <w:b/>
        </w:rPr>
        <w:t>00311/TOLUCA/IP/2023</w:t>
      </w:r>
      <w:r>
        <w:rPr>
          <w:rFonts w:ascii="Palatino Linotype" w:eastAsia="Palatino Linotype" w:hAnsi="Palatino Linotype" w:cs="Palatino Linotype"/>
        </w:rPr>
        <w:t xml:space="preserve"> a través del sistema SAIMEX, ha quedado demostrada.</w:t>
      </w:r>
    </w:p>
    <w:p w14:paraId="25053883"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Caber recordar que el artículo 158 de la Ley de la materia, dispone que cuando la información implique un análisis, estudio o procesamiento de documentos, cuya entrega o reproducción sobrepase las capacidades técnicas, administrativas y humanas del Sujeto Obligado, deberá poner la información a disposición del Solicitante en consulta directa.</w:t>
      </w:r>
    </w:p>
    <w:p w14:paraId="5455C8DD"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descrito, el Organismo Garante Nacional, ha considerado que no resulta suficiente justificar una imposibilidad técnica y humana para acreditar un cambio </w:t>
      </w:r>
      <w:r>
        <w:rPr>
          <w:rFonts w:ascii="Palatino Linotype" w:eastAsia="Palatino Linotype" w:hAnsi="Palatino Linotype" w:cs="Palatino Linotype"/>
        </w:rPr>
        <w:lastRenderedPageBreak/>
        <w:t xml:space="preserve">de modalidad, sino que es necesario demostrar otros impedimentos, como que la información se encontrará en un formato diverso a lo solicitado, que fuera de imposible reproducción en el medio elegido por el Solicitante, que la información ameritara el cruce de información en los sistemas de datos, entre otros, argumentos que encuentran sustento dentro diversas de sus resoluciones de Recursos de Inconformidad, por enunciar algunas, RIA 136/20, RIA 140/20, RIA 153/20 RIA 237/20, RIA 257/20, RIA 258/20, ello con el fin de privilegiar el Principio de Gratuidad y Máxima Publicidad, </w:t>
      </w:r>
      <w:r>
        <w:rPr>
          <w:rFonts w:ascii="Palatino Linotype" w:eastAsia="Palatino Linotype" w:hAnsi="Palatino Linotype" w:cs="Palatino Linotype"/>
          <w:b/>
        </w:rPr>
        <w:t xml:space="preserve">por lo que en el presente caso el Sujeto Obligado proporcionó otras modalidades para de la entrega de la información, a través de su respuesta que adjuntó al Sistema de Acceso a la Información Mexiquense (SAIMEX); </w:t>
      </w:r>
      <w:r>
        <w:rPr>
          <w:rFonts w:ascii="Palatino Linotype" w:eastAsia="Palatino Linotype" w:hAnsi="Palatino Linotype" w:cs="Palatino Linotype"/>
        </w:rPr>
        <w:t xml:space="preserve">tal como copia simple o certificada; de dispositivo electrónico disco o medios de almacenamiento (USB), e incluso su envió a través de correo certificado previo pago de los costos de reproducción correspondientes, con costo o sin </w:t>
      </w:r>
      <w:proofErr w:type="spellStart"/>
      <w:r>
        <w:rPr>
          <w:rFonts w:ascii="Palatino Linotype" w:eastAsia="Palatino Linotype" w:hAnsi="Palatino Linotype" w:cs="Palatino Linotype"/>
        </w:rPr>
        <w:t>el</w:t>
      </w:r>
      <w:proofErr w:type="spellEnd"/>
      <w:r>
        <w:rPr>
          <w:rFonts w:ascii="Palatino Linotype" w:eastAsia="Palatino Linotype" w:hAnsi="Palatino Linotype" w:cs="Palatino Linotype"/>
        </w:rPr>
        <w:t>, si el Particular proporciona los medios para la entrega de la misma.</w:t>
      </w:r>
    </w:p>
    <w:p w14:paraId="7A07A6DD"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de suma importancia hacer énfasis que, desde la respuesta inicial,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garantizó el ejercicio del Derecho de Acceso a la Información en favor de 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considerando que, con independencia de la consulta directa, se debían ofrecer otras formas de entrega, las cuales definió puntualmente, en los siguientes términos:</w:t>
      </w:r>
    </w:p>
    <w:p w14:paraId="129971A9" w14:textId="77777777" w:rsidR="000201F2" w:rsidRDefault="0073512A">
      <w:pPr>
        <w:spacing w:before="240" w:after="240"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b/>
          <w:u w:val="single"/>
        </w:rPr>
        <w:t>CON COSTO.</w:t>
      </w:r>
    </w:p>
    <w:p w14:paraId="23AA2029"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b/>
        </w:rPr>
        <w:t>Disco compacto, copias simples o certificadas:</w:t>
      </w:r>
      <w:r>
        <w:rPr>
          <w:rFonts w:ascii="Palatino Linotype" w:eastAsia="Palatino Linotype" w:hAnsi="Palatino Linotype" w:cs="Palatino Linotype"/>
        </w:rPr>
        <w:t xml:space="preserve"> con posibilidad de entrega en las oficinas que ocupan las unidades administrativas.</w:t>
      </w:r>
    </w:p>
    <w:p w14:paraId="50A08E79"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Es importante mencionar que toda la información que se le entregará será en versión pública, esto podrá ser posible una vez que se acredite el pago respectivo y para ello deberá realizar las siguientes acciones:</w:t>
      </w:r>
    </w:p>
    <w:p w14:paraId="3A86A008"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1. Solicitar línea de pago, a fin de efectuar el pago en las cajas de la Tesorería Municipal, ubicadas en la Plaza Fray Andrés de Castro, a un costado del Edificio A, Col. Centro; Toluca, México. C.P. 50000).</w:t>
      </w:r>
    </w:p>
    <w:p w14:paraId="59B63835"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2. Una vez efectuado el pago, deberá hacer llegar una copia del recibo que acredite el pago correspondiente a las oficinas que ocupa de la Unidad de Transparencia, cuyo domicilio se encuentra en párrafos que anteceden.</w:t>
      </w:r>
    </w:p>
    <w:p w14:paraId="3E973946"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3. Cuando la información ya se encuentre disponible para su entrega, la Unidad de Transparencia lo hará de su conocimiento por el medio de contacto que desea.</w:t>
      </w:r>
    </w:p>
    <w:p w14:paraId="4A7CFB1C" w14:textId="77777777" w:rsidR="000201F2" w:rsidRDefault="0073512A">
      <w:pPr>
        <w:spacing w:before="240" w:after="240"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b/>
          <w:u w:val="single"/>
        </w:rPr>
        <w:t>SIN COSTO.</w:t>
      </w:r>
    </w:p>
    <w:p w14:paraId="37BA425B" w14:textId="77777777" w:rsidR="000201F2" w:rsidRDefault="0073512A">
      <w:pPr>
        <w:numPr>
          <w:ilvl w:val="0"/>
          <w:numId w:val="7"/>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Dispositivo electrónico disco o memoria USB:</w:t>
      </w:r>
      <w:r>
        <w:rPr>
          <w:rFonts w:ascii="Palatino Linotype" w:eastAsia="Palatino Linotype" w:hAnsi="Palatino Linotype" w:cs="Palatino Linotype"/>
          <w:color w:val="000000"/>
        </w:rPr>
        <w:t xml:space="preserve"> El solicitante lo debe proporcionar y deberá acudir por la información a las oficinas que ocupan la Unidad de Transparencia.</w:t>
      </w:r>
    </w:p>
    <w:p w14:paraId="7F906716" w14:textId="77777777" w:rsidR="000201F2" w:rsidRDefault="0073512A">
      <w:pPr>
        <w:numPr>
          <w:ilvl w:val="0"/>
          <w:numId w:val="7"/>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Consulta directa, </w:t>
      </w:r>
      <w:r>
        <w:rPr>
          <w:rFonts w:ascii="Palatino Linotype" w:eastAsia="Palatino Linotype" w:hAnsi="Palatino Linotype" w:cs="Palatino Linotype"/>
        </w:rPr>
        <w:t>la persona solicitante deberá presentarse en las oficinas de la Unidad de Transparencia, para lo cual se le proporciona la dirección, el nombre del servidor público que le atenderá, horario y número telefónico de contacto.</w:t>
      </w:r>
    </w:p>
    <w:p w14:paraId="61CFA283" w14:textId="77777777" w:rsidR="000201F2" w:rsidRDefault="0073512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hizo del conocimiento a la persona solicitante que la información estará disponible, por un plazo mínimo de sesenta días hábiles, en </w:t>
      </w:r>
      <w:r>
        <w:rPr>
          <w:rFonts w:ascii="Palatino Linotype" w:eastAsia="Palatino Linotype" w:hAnsi="Palatino Linotype" w:cs="Palatino Linotype"/>
        </w:rPr>
        <w:lastRenderedPageBreak/>
        <w:t>términos del segundo párrafo del artículo 166 de la Ley de Transparencia y Acceso a la Información Pública del Estado de México y Municipios.</w:t>
      </w:r>
    </w:p>
    <w:p w14:paraId="759A6E9A"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tenor, se colige que el Ayuntamiento de Toluca, como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acreditó la imposibilidad técnica para proporcionar la información solicitada a través del SAIMEX, toda vez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de conformidad con los registros en la Bitácora de Incidencias, la misma sobrepasa las capacidades técnicas de dicho sistema; por lo cual, resulta procedente el cambio de modalidad en la entrega de la información y se pone a disposición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efectos de que se haga llegar de la misma.</w:t>
      </w:r>
    </w:p>
    <w:p w14:paraId="4092032E"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si bien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hizo del conocimiento a 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en la respuesta a la solicitud, que la información estaría disponible para su consulta por un plazo de sesenta días hábiles, este se deberá volver a contar a partir del día siguiente al que se notifique la presente resolución, en términos del segundo párrafo del artículo 166 de la Ley de Transparencia y Acceso a la Información Pública del Estado de México y Municipios.</w:t>
      </w:r>
    </w:p>
    <w:p w14:paraId="3C90D1A7"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 dentro del transcurso del término señalado en el párrafo anterior, la parte</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acude por la información,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debe remitir a este Instituto, por conducto de la Secretaría Técnica del Pleno, el acuse de recibo de la información de 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sin embargo, si una vez fenecido el plazo, el solicitante no acudiera por los documentos ordenados,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mediante acuerdo </w:t>
      </w:r>
      <w:r>
        <w:rPr>
          <w:rFonts w:ascii="Palatino Linotype" w:eastAsia="Palatino Linotype" w:hAnsi="Palatino Linotype" w:cs="Palatino Linotype"/>
          <w:b/>
        </w:rPr>
        <w:t>dará por concluida la solicitud</w:t>
      </w:r>
      <w:r>
        <w:rPr>
          <w:rFonts w:ascii="Palatino Linotype" w:eastAsia="Palatino Linotype" w:hAnsi="Palatino Linotype" w:cs="Palatino Linotype"/>
        </w:rPr>
        <w:t xml:space="preserve"> y podrá, de ser el caso, realizar la destrucción del material en el que se reprodujo, situación que también deberá informar a este Instituto, por el mismo conducto.</w:t>
      </w:r>
    </w:p>
    <w:p w14:paraId="1AC7DA9F" w14:textId="77777777" w:rsidR="000201F2" w:rsidRDefault="0073512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En consecuencia, ante la información adicional y precisada remitida vía informe justificado, conviene hacer alusión a lo que señala el artículo 192, fracción III de la Ley de Transparencia y Acceso a la Información Pública del Estado de México y Municipios vigente, a saber:</w:t>
      </w:r>
    </w:p>
    <w:p w14:paraId="001ACF45" w14:textId="77777777" w:rsidR="000201F2" w:rsidRDefault="0073512A">
      <w:pPr>
        <w:pBdr>
          <w:top w:val="nil"/>
          <w:left w:val="nil"/>
          <w:bottom w:val="nil"/>
          <w:right w:val="nil"/>
          <w:between w:val="nil"/>
        </w:pBdr>
        <w:spacing w:before="240" w:after="240"/>
        <w:ind w:left="851" w:right="90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192</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será sobreseído</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en todo o en parte,</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cuando una vez admitido, se actualicen alguno de los siguientes supuestos</w:t>
      </w:r>
      <w:r>
        <w:rPr>
          <w:rFonts w:ascii="Palatino Linotype" w:eastAsia="Palatino Linotype" w:hAnsi="Palatino Linotype" w:cs="Palatino Linotype"/>
          <w:i/>
          <w:color w:val="000000"/>
          <w:sz w:val="22"/>
          <w:szCs w:val="22"/>
        </w:rPr>
        <w:t>: </w:t>
      </w:r>
    </w:p>
    <w:p w14:paraId="1F8E44D0" w14:textId="77777777" w:rsidR="000201F2" w:rsidRDefault="0073512A">
      <w:pPr>
        <w:pBdr>
          <w:top w:val="nil"/>
          <w:left w:val="nil"/>
          <w:bottom w:val="nil"/>
          <w:right w:val="nil"/>
          <w:between w:val="nil"/>
        </w:pBdr>
        <w:spacing w:before="240" w:after="240"/>
        <w:ind w:left="1134" w:right="900"/>
        <w:jc w:val="both"/>
        <w:rPr>
          <w:color w:val="000000"/>
        </w:rPr>
      </w:pPr>
      <w:r>
        <w:rPr>
          <w:rFonts w:ascii="Palatino Linotype" w:eastAsia="Palatino Linotype" w:hAnsi="Palatino Linotype" w:cs="Palatino Linotype"/>
          <w:i/>
          <w:color w:val="000000"/>
          <w:sz w:val="22"/>
          <w:szCs w:val="22"/>
        </w:rPr>
        <w:t>(…)</w:t>
      </w:r>
    </w:p>
    <w:p w14:paraId="2FF2A2A0" w14:textId="77777777" w:rsidR="000201F2" w:rsidRDefault="0073512A">
      <w:pPr>
        <w:pBdr>
          <w:top w:val="nil"/>
          <w:left w:val="nil"/>
          <w:bottom w:val="nil"/>
          <w:right w:val="nil"/>
          <w:between w:val="nil"/>
        </w:pBdr>
        <w:spacing w:before="240" w:after="240"/>
        <w:ind w:left="1134" w:right="900"/>
        <w:jc w:val="both"/>
        <w:rPr>
          <w:color w:val="000000"/>
        </w:rPr>
      </w:pPr>
      <w:r>
        <w:rPr>
          <w:rFonts w:ascii="Palatino Linotype" w:eastAsia="Palatino Linotype" w:hAnsi="Palatino Linotype" w:cs="Palatino Linotype"/>
          <w:b/>
          <w:i/>
          <w:color w:val="000000"/>
          <w:sz w:val="22"/>
          <w:szCs w:val="22"/>
        </w:rPr>
        <w:t>III. El sujeto obligado responsable del acto, lo modifique o revoque de tal manera que el recurso de revisión quede sin materia...</w:t>
      </w:r>
      <w:r>
        <w:rPr>
          <w:rFonts w:ascii="Palatino Linotype" w:eastAsia="Palatino Linotype" w:hAnsi="Palatino Linotype" w:cs="Palatino Linotype"/>
          <w:i/>
          <w:color w:val="000000"/>
          <w:sz w:val="22"/>
          <w:szCs w:val="22"/>
        </w:rPr>
        <w:t>”</w:t>
      </w:r>
    </w:p>
    <w:p w14:paraId="0A55ABCB" w14:textId="77777777" w:rsidR="000201F2" w:rsidRDefault="0073512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De lo establecido en el precepto legal citado se advierte que el sobreseimiento del recurso de revisión procede en los siguientes casos:</w:t>
      </w:r>
    </w:p>
    <w:p w14:paraId="13AC5228" w14:textId="77777777" w:rsidR="000201F2" w:rsidRDefault="0073512A">
      <w:pPr>
        <w:pBdr>
          <w:top w:val="nil"/>
          <w:left w:val="nil"/>
          <w:bottom w:val="nil"/>
          <w:right w:val="nil"/>
          <w:between w:val="nil"/>
        </w:pBdr>
        <w:spacing w:before="240" w:after="240"/>
        <w:ind w:left="284"/>
        <w:jc w:val="both"/>
        <w:rPr>
          <w:color w:val="000000"/>
        </w:rPr>
      </w:pPr>
      <w:r>
        <w:rPr>
          <w:rFonts w:ascii="Palatino Linotype" w:eastAsia="Palatino Linotype" w:hAnsi="Palatino Linotype" w:cs="Palatino Linotype"/>
          <w:color w:val="000000"/>
        </w:rPr>
        <w:t>a) Cuando el Sujeto Obligado modifique el acto impugnado. </w:t>
      </w:r>
    </w:p>
    <w:p w14:paraId="54D87FFA" w14:textId="77777777" w:rsidR="000201F2" w:rsidRDefault="0073512A">
      <w:pPr>
        <w:pBdr>
          <w:top w:val="nil"/>
          <w:left w:val="nil"/>
          <w:bottom w:val="nil"/>
          <w:right w:val="nil"/>
          <w:between w:val="nil"/>
        </w:pBdr>
        <w:spacing w:before="240" w:after="240"/>
        <w:ind w:left="284"/>
        <w:jc w:val="both"/>
        <w:rPr>
          <w:color w:val="000000"/>
        </w:rPr>
      </w:pPr>
      <w:r>
        <w:rPr>
          <w:rFonts w:ascii="Palatino Linotype" w:eastAsia="Palatino Linotype" w:hAnsi="Palatino Linotype" w:cs="Palatino Linotype"/>
          <w:color w:val="000000"/>
        </w:rPr>
        <w:t>b) Cuando el Sujeto Obligado revoque el acto impugnado; </w:t>
      </w:r>
    </w:p>
    <w:p w14:paraId="10B2838C" w14:textId="77777777" w:rsidR="000201F2" w:rsidRDefault="0073512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Quedando en ambos casos el acto combatido sin materia o sin efectos.</w:t>
      </w:r>
    </w:p>
    <w:p w14:paraId="2B6D50A7" w14:textId="77777777" w:rsidR="000201F2" w:rsidRDefault="0073512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Como se observa de lo anterior, un acto impugnado es modificado en aquellos casos en los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después de haber otorgado una respuesta, o haber omitido hacerlo (acto de no hacer), emite una o una diversa de manera posterior y en </w:t>
      </w:r>
      <w:r>
        <w:rPr>
          <w:rFonts w:ascii="Palatino Linotype" w:eastAsia="Palatino Linotype" w:hAnsi="Palatino Linotype" w:cs="Palatino Linotype"/>
        </w:rPr>
        <w:t>e</w:t>
      </w:r>
      <w:r>
        <w:rPr>
          <w:rFonts w:ascii="Palatino Linotype" w:eastAsia="Palatino Linotype" w:hAnsi="Palatino Linotype" w:cs="Palatino Linotype"/>
          <w:color w:val="000000"/>
        </w:rPr>
        <w:t>sta subsan</w:t>
      </w:r>
      <w:r>
        <w:rPr>
          <w:rFonts w:ascii="Palatino Linotype" w:eastAsia="Palatino Linotype" w:hAnsi="Palatino Linotype" w:cs="Palatino Linotype"/>
        </w:rPr>
        <w:t>ó</w:t>
      </w:r>
      <w:r>
        <w:rPr>
          <w:rFonts w:ascii="Palatino Linotype" w:eastAsia="Palatino Linotype" w:hAnsi="Palatino Linotype" w:cs="Palatino Linotype"/>
          <w:color w:val="000000"/>
        </w:rPr>
        <w:t xml:space="preserve"> las deficiencias que hubiera tenido, quedando satisfecho el derecho subjetivo accionado por la parte recurrente.</w:t>
      </w:r>
    </w:p>
    <w:p w14:paraId="1BBBD263" w14:textId="77777777" w:rsidR="000201F2" w:rsidRDefault="0073512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Por lo que hace a la revocación, esta se actualiza cuando el Sujeto Obligado deja sin efectos la primera respuesta o su primer acto y en su lugar emite otro con las </w:t>
      </w:r>
      <w:r>
        <w:rPr>
          <w:rFonts w:ascii="Palatino Linotype" w:eastAsia="Palatino Linotype" w:hAnsi="Palatino Linotype" w:cs="Palatino Linotype"/>
          <w:color w:val="000000"/>
        </w:rPr>
        <w:lastRenderedPageBreak/>
        <w:t>características y cualidades suficientes para dejar satisfecho el ejercicio del derecho al acceso a la información pública.</w:t>
      </w:r>
    </w:p>
    <w:p w14:paraId="0F82F0E4" w14:textId="77777777" w:rsidR="000201F2" w:rsidRDefault="0073512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este orden de ideas, un acto impugnado queda sin efectos, cuando aun existiendo jurídicamente (esto es, que no se ha modificado, ni revocado) ya no genera ninguna consecuencia legal.</w:t>
      </w:r>
    </w:p>
    <w:p w14:paraId="2D6014E6" w14:textId="77777777" w:rsidR="000201F2" w:rsidRDefault="0073512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En tanto que, un acto impugnado queda sin materia, cuando ha sido satisfecha la pretensión del recurrente de manera que el Sujeto Obligado entrega una respuesta </w:t>
      </w:r>
      <w:proofErr w:type="gramStart"/>
      <w:r>
        <w:rPr>
          <w:rFonts w:ascii="Palatino Linotype" w:eastAsia="Palatino Linotype" w:hAnsi="Palatino Linotype" w:cs="Palatino Linotype"/>
          <w:color w:val="000000"/>
        </w:rPr>
        <w:t>completa</w:t>
      </w:r>
      <w:proofErr w:type="gramEnd"/>
      <w:r>
        <w:rPr>
          <w:rFonts w:ascii="Palatino Linotype" w:eastAsia="Palatino Linotype" w:hAnsi="Palatino Linotype" w:cs="Palatino Linotype"/>
          <w:color w:val="000000"/>
        </w:rPr>
        <w:t xml:space="preserve"> aunque sea posterior a los términos previstos en la ley y mediante ésta concede la información solicitada.</w:t>
      </w:r>
    </w:p>
    <w:p w14:paraId="5A0E8CA0" w14:textId="77777777" w:rsidR="000201F2" w:rsidRDefault="0073512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en el caso concreto, es evidente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modificó su respuesta, ya que, a través de su pronunciamiento emitido en la etapa de manifestaciones a manera de informe justificado proporcionó la información para justificar el cambio de modalidad en la entrega de la información, pues señaló que </w:t>
      </w:r>
      <w:proofErr w:type="spellStart"/>
      <w:r>
        <w:rPr>
          <w:rFonts w:ascii="Palatino Linotype" w:eastAsia="Palatino Linotype" w:hAnsi="Palatino Linotype" w:cs="Palatino Linotype"/>
          <w:color w:val="000000"/>
        </w:rPr>
        <w:t>que</w:t>
      </w:r>
      <w:proofErr w:type="spellEnd"/>
      <w:r>
        <w:rPr>
          <w:rFonts w:ascii="Palatino Linotype" w:eastAsia="Palatino Linotype" w:hAnsi="Palatino Linotype" w:cs="Palatino Linotype"/>
          <w:color w:val="000000"/>
        </w:rPr>
        <w:t xml:space="preserve"> mediante Acuerdo del Comité de Transparencia número Ducentésima Tercera Sesión Extraordinaria, se aprobó el cambio de modalidad y que tal circunstancia obra en la Bitácora de la Dirección General de Informática del INFOEM, insertando la digitalización del oficio INFOEM/DGI/199/2023 del seis de marzo de dos mil veintitrés, a través de la cual el Director General de Informática del INFOEM informó a la Titular de la Unidad de Transparencia del Sujeto Obligado que en atención a su diverso oficio 2010A4000/00155/2023, con relación a la solicitud de información la incidencia técnica había quedado registrada en la bitácora de </w:t>
      </w:r>
      <w:r>
        <w:rPr>
          <w:rFonts w:ascii="Palatino Linotype" w:eastAsia="Palatino Linotype" w:hAnsi="Palatino Linotype" w:cs="Palatino Linotype"/>
          <w:color w:val="000000"/>
        </w:rPr>
        <w:lastRenderedPageBreak/>
        <w:t>incidencias pues se trata de subir un peso de 29.69GB, que sobrepasa las capacidades técnicas del SAIMEX.</w:t>
      </w:r>
    </w:p>
    <w:p w14:paraId="7B35C47E" w14:textId="77777777" w:rsidR="000201F2" w:rsidRDefault="0073512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este modo, cuando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antes de que se dicte resolución definitiva, entrega la información solicitada o </w:t>
      </w:r>
      <w:r>
        <w:rPr>
          <w:rFonts w:ascii="Palatino Linotype" w:eastAsia="Palatino Linotype" w:hAnsi="Palatino Linotype" w:cs="Palatino Linotype"/>
          <w:color w:val="000000"/>
          <w:u w:val="single"/>
        </w:rPr>
        <w:t>completa la respuesta que en un primer momento fue incompleta</w:t>
      </w:r>
      <w:r>
        <w:rPr>
          <w:rFonts w:ascii="Palatino Linotype" w:eastAsia="Palatino Linotype" w:hAnsi="Palatino Linotype" w:cs="Palatino Linotype"/>
          <w:color w:val="000000"/>
        </w:rPr>
        <w:t xml:space="preserve"> o no correspondió con lo solicitado; el recurso de revisión que al efecto se haya interpuesto queda sin materia lo que imposibilita el estudio de fondo de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planteada, debido a que la afectación en su esfera de derechos fue restituida por la propia autoridad que emitió el acto motivo de impugnación.</w:t>
      </w:r>
    </w:p>
    <w:p w14:paraId="58C004F7" w14:textId="77777777" w:rsidR="000201F2" w:rsidRDefault="000201F2">
      <w:pPr>
        <w:pBdr>
          <w:top w:val="nil"/>
          <w:left w:val="nil"/>
          <w:bottom w:val="nil"/>
          <w:right w:val="nil"/>
          <w:between w:val="nil"/>
        </w:pBdr>
        <w:ind w:left="720"/>
        <w:rPr>
          <w:rFonts w:ascii="Palatino Linotype" w:eastAsia="Palatino Linotype" w:hAnsi="Palatino Linotype" w:cs="Palatino Linotype"/>
          <w:color w:val="000000"/>
        </w:rPr>
      </w:pPr>
    </w:p>
    <w:p w14:paraId="598B66D9" w14:textId="77777777" w:rsidR="000201F2" w:rsidRDefault="0073512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tanto, para que se actualice el sobreseimiento de un recurso de revisión,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puede entregar o completar la información al momento de rendir su </w:t>
      </w:r>
      <w:r>
        <w:rPr>
          <w:rFonts w:ascii="Palatino Linotype" w:eastAsia="Palatino Linotype" w:hAnsi="Palatino Linotype" w:cs="Palatino Linotype"/>
          <w:b/>
          <w:color w:val="000000"/>
          <w:u w:val="single"/>
        </w:rPr>
        <w:t>informe de justificación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u w:val="single"/>
        </w:rPr>
        <w:t>dentro de los siete días</w:t>
      </w:r>
      <w:r>
        <w:rPr>
          <w:rFonts w:ascii="Palatino Linotype" w:eastAsia="Palatino Linotype" w:hAnsi="Palatino Linotype" w:cs="Palatino Linotype"/>
          <w:color w:val="000000"/>
        </w:rPr>
        <w:t xml:space="preserve"> previstos para manifestar lo que a su derecho convenga, </w:t>
      </w:r>
      <w:r>
        <w:rPr>
          <w:rFonts w:ascii="Palatino Linotype" w:eastAsia="Palatino Linotype" w:hAnsi="Palatino Linotype" w:cs="Palatino Linotype"/>
          <w:b/>
          <w:color w:val="000000"/>
          <w:u w:val="single"/>
        </w:rPr>
        <w:t>lo anterior también puede ocurrir si entrega la información después de ese lapso, pero antes del cierre de instrucción</w:t>
      </w:r>
      <w:r>
        <w:rPr>
          <w:rFonts w:ascii="Palatino Linotype" w:eastAsia="Palatino Linotype" w:hAnsi="Palatino Linotype" w:cs="Palatino Linotype"/>
          <w:color w:val="000000"/>
        </w:rPr>
        <w:t xml:space="preserve">. </w:t>
      </w:r>
    </w:p>
    <w:p w14:paraId="53F57AFB" w14:textId="77777777" w:rsidR="000201F2" w:rsidRDefault="000201F2">
      <w:pPr>
        <w:pBdr>
          <w:top w:val="nil"/>
          <w:left w:val="nil"/>
          <w:bottom w:val="nil"/>
          <w:right w:val="nil"/>
          <w:between w:val="nil"/>
        </w:pBdr>
        <w:ind w:left="720"/>
        <w:rPr>
          <w:rFonts w:ascii="Palatino Linotype" w:eastAsia="Palatino Linotype" w:hAnsi="Palatino Linotype" w:cs="Palatino Linotype"/>
          <w:color w:val="000000"/>
        </w:rPr>
      </w:pPr>
    </w:p>
    <w:p w14:paraId="0B7BDB75" w14:textId="77777777" w:rsidR="000201F2" w:rsidRDefault="0073512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Pleno advierte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con la información enviada, </w:t>
      </w:r>
      <w:r>
        <w:rPr>
          <w:rFonts w:ascii="Palatino Linotype" w:eastAsia="Palatino Linotype" w:hAnsi="Palatino Linotype" w:cs="Palatino Linotype"/>
          <w:b/>
          <w:color w:val="000000"/>
        </w:rPr>
        <w:t>modifica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u w:val="single"/>
        </w:rPr>
        <w:t>el acto que le dio origen al recurso de revisión, por lo que trae como consecuencia que el mismo quede sin materia</w:t>
      </w:r>
      <w:r>
        <w:rPr>
          <w:rFonts w:ascii="Palatino Linotype" w:eastAsia="Palatino Linotype" w:hAnsi="Palatino Linotype" w:cs="Palatino Linotype"/>
          <w:color w:val="000000"/>
        </w:rPr>
        <w:t xml:space="preserve">, actualizándose de este modo, la hipótesis jurídica contenida en la </w:t>
      </w:r>
      <w:r>
        <w:rPr>
          <w:rFonts w:ascii="Palatino Linotype" w:eastAsia="Palatino Linotype" w:hAnsi="Palatino Linotype" w:cs="Palatino Linotype"/>
          <w:b/>
          <w:color w:val="000000"/>
        </w:rPr>
        <w:t>fracción III</w:t>
      </w:r>
      <w:r>
        <w:rPr>
          <w:rFonts w:ascii="Palatino Linotype" w:eastAsia="Palatino Linotype" w:hAnsi="Palatino Linotype" w:cs="Palatino Linotype"/>
          <w:color w:val="000000"/>
        </w:rPr>
        <w:t xml:space="preserve"> del citado artículo </w:t>
      </w:r>
      <w:r>
        <w:rPr>
          <w:rFonts w:ascii="Palatino Linotype" w:eastAsia="Palatino Linotype" w:hAnsi="Palatino Linotype" w:cs="Palatino Linotype"/>
          <w:b/>
          <w:color w:val="000000"/>
        </w:rPr>
        <w:t>192</w:t>
      </w:r>
      <w:r>
        <w:rPr>
          <w:rFonts w:ascii="Palatino Linotype" w:eastAsia="Palatino Linotype" w:hAnsi="Palatino Linotype" w:cs="Palatino Linotype"/>
          <w:color w:val="000000"/>
        </w:rPr>
        <w:t>.</w:t>
      </w:r>
    </w:p>
    <w:p w14:paraId="299EDD0A" w14:textId="77777777" w:rsidR="000201F2" w:rsidRDefault="000201F2">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4E9291B0" w14:textId="77777777" w:rsidR="000201F2" w:rsidRDefault="0073512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siendo el </w:t>
      </w:r>
      <w:r>
        <w:rPr>
          <w:rFonts w:ascii="Palatino Linotype" w:eastAsia="Palatino Linotype" w:hAnsi="Palatino Linotype" w:cs="Palatino Linotype"/>
          <w:i/>
          <w:color w:val="000000"/>
        </w:rPr>
        <w:t>sobreseimiento</w:t>
      </w:r>
      <w:r>
        <w:rPr>
          <w:rFonts w:ascii="Palatino Linotype" w:eastAsia="Palatino Linotype" w:hAnsi="Palatino Linotype" w:cs="Palatino Linotype"/>
          <w:color w:val="000000"/>
        </w:rPr>
        <w:t xml:space="preserve"> un acto que da por terminado el procedimiento administrativo de impugnación por alguna causa sobreviniente en el juicio de que </w:t>
      </w:r>
      <w:r>
        <w:rPr>
          <w:rFonts w:ascii="Palatino Linotype" w:eastAsia="Palatino Linotype" w:hAnsi="Palatino Linotype" w:cs="Palatino Linotype"/>
          <w:color w:val="000000"/>
        </w:rPr>
        <w:lastRenderedPageBreak/>
        <w:t>se trate, que impide a la autoridad referirse a lo sustancial de lo planteado por la parte Recurrente, este Instituto se encuentra imposibilitado para entrar al estudio de fondo del recurso de revisión, lo anterior con apoyo en la Tesis Aislada del Segundo Tribunal Colegiado del Segundo Distrito, de la Suprema Corte de Justicia de la Nación, registrada con el rubro: SOBRESEIMIENTO, NO PERMITE ENTRAR AL ESTUDIO DE LAS CUESTIONES DE FONDO</w:t>
      </w:r>
    </w:p>
    <w:p w14:paraId="67EBEA99" w14:textId="77777777" w:rsidR="000201F2" w:rsidRDefault="000201F2">
      <w:pPr>
        <w:pBdr>
          <w:top w:val="nil"/>
          <w:left w:val="nil"/>
          <w:bottom w:val="nil"/>
          <w:right w:val="nil"/>
          <w:between w:val="nil"/>
        </w:pBdr>
        <w:spacing w:line="360" w:lineRule="auto"/>
        <w:ind w:right="96"/>
        <w:jc w:val="both"/>
        <w:rPr>
          <w:rFonts w:ascii="Palatino Linotype" w:eastAsia="Palatino Linotype" w:hAnsi="Palatino Linotype" w:cs="Palatino Linotype"/>
        </w:rPr>
      </w:pPr>
    </w:p>
    <w:p w14:paraId="6093CB5E" w14:textId="77777777" w:rsidR="000201F2" w:rsidRDefault="0073512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tanto, en términos del artículo 186 fracción I de la Ley </w:t>
      </w:r>
      <w:r>
        <w:rPr>
          <w:rFonts w:ascii="Palatino Linotype" w:eastAsia="Palatino Linotype" w:hAnsi="Palatino Linotype" w:cs="Palatino Linotype"/>
        </w:rPr>
        <w:t xml:space="preserve">Transparencia, Acceso a la Información Pública y Protección de Datos Personales del Estado de México y Municipios, </w:t>
      </w:r>
      <w:r>
        <w:rPr>
          <w:rFonts w:ascii="Palatino Linotype" w:eastAsia="Palatino Linotype" w:hAnsi="Palatino Linotype" w:cs="Palatino Linotype"/>
          <w:color w:val="000000"/>
        </w:rPr>
        <w:t xml:space="preserve">este Pleno determina el </w:t>
      </w:r>
      <w:r>
        <w:rPr>
          <w:rFonts w:ascii="Palatino Linotype" w:eastAsia="Palatino Linotype" w:hAnsi="Palatino Linotype" w:cs="Palatino Linotype"/>
          <w:b/>
          <w:color w:val="000000"/>
        </w:rPr>
        <w:t xml:space="preserve">Sobreseimiento </w:t>
      </w:r>
      <w:r>
        <w:rPr>
          <w:rFonts w:ascii="Palatino Linotype" w:eastAsia="Palatino Linotype" w:hAnsi="Palatino Linotype" w:cs="Palatino Linotype"/>
          <w:color w:val="000000"/>
        </w:rPr>
        <w:t>del presente recurso de revisión, toda vez que la afectación al derecho de acceso a la información pública establecido constitucionalmente a favor del particular ha sido resarcida al proporcionar la información que ha sido observada por este Organismo Garante.</w:t>
      </w:r>
    </w:p>
    <w:p w14:paraId="20EDC28C"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Por otro lado</w:t>
      </w:r>
      <w:r>
        <w:rPr>
          <w:rFonts w:ascii="Palatino Linotype" w:eastAsia="Palatino Linotype" w:hAnsi="Palatino Linotype" w:cs="Palatino Linotype"/>
        </w:rPr>
        <w:t xml:space="preserve">, del análisis realizado a las solicitudes de información, motivo de los recursos de revisión que ahora se resuelven, se advierte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requirió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bajo la solicitud de información </w:t>
      </w:r>
      <w:r>
        <w:rPr>
          <w:rFonts w:ascii="Palatino Linotype" w:eastAsia="Palatino Linotype" w:hAnsi="Palatino Linotype" w:cs="Palatino Linotype"/>
          <w:b/>
        </w:rPr>
        <w:t>00312/TOLUCA/IP/2023</w:t>
      </w:r>
      <w:r>
        <w:rPr>
          <w:rFonts w:ascii="Palatino Linotype" w:eastAsia="Palatino Linotype" w:hAnsi="Palatino Linotype" w:cs="Palatino Linotype"/>
        </w:rPr>
        <w:t xml:space="preserve"> le proporcione información consistente en lo siguiente:</w:t>
      </w:r>
    </w:p>
    <w:tbl>
      <w:tblPr>
        <w:tblStyle w:val="a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0201F2" w14:paraId="1830AFFC" w14:textId="77777777">
        <w:tc>
          <w:tcPr>
            <w:tcW w:w="8828" w:type="dxa"/>
            <w:shd w:val="clear" w:color="auto" w:fill="D0CECE"/>
          </w:tcPr>
          <w:p w14:paraId="5C4D2FD4" w14:textId="77777777" w:rsidR="000201F2" w:rsidRDefault="0073512A">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Solicitud de información 00312/TOLUCA/IP/2023</w:t>
            </w:r>
          </w:p>
        </w:tc>
      </w:tr>
      <w:tr w:rsidR="000201F2" w14:paraId="2A999244" w14:textId="77777777">
        <w:tc>
          <w:tcPr>
            <w:tcW w:w="8828" w:type="dxa"/>
          </w:tcPr>
          <w:p w14:paraId="1EDC1377" w14:textId="77777777" w:rsidR="000201F2" w:rsidRDefault="0073512A">
            <w:pPr>
              <w:numPr>
                <w:ilvl w:val="0"/>
                <w:numId w:val="5"/>
              </w:numPr>
              <w:pBdr>
                <w:top w:val="nil"/>
                <w:left w:val="nil"/>
                <w:bottom w:val="nil"/>
                <w:right w:val="nil"/>
                <w:between w:val="nil"/>
              </w:pBdr>
              <w:ind w:left="45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Dictámenes de la verificación virtual oficiosa del año 2022, realizada al ayuntamiento de Toluca por el INFOEM.</w:t>
            </w:r>
          </w:p>
          <w:p w14:paraId="7BE3898E" w14:textId="77777777" w:rsidR="000201F2" w:rsidRDefault="000201F2">
            <w:pPr>
              <w:pBdr>
                <w:top w:val="nil"/>
                <w:left w:val="nil"/>
                <w:bottom w:val="nil"/>
                <w:right w:val="nil"/>
                <w:between w:val="nil"/>
              </w:pBdr>
              <w:ind w:left="454" w:hanging="360"/>
              <w:rPr>
                <w:rFonts w:ascii="Palatino Linotype" w:eastAsia="Palatino Linotype" w:hAnsi="Palatino Linotype" w:cs="Palatino Linotype"/>
                <w:color w:val="000000"/>
                <w:sz w:val="22"/>
                <w:szCs w:val="22"/>
              </w:rPr>
            </w:pPr>
          </w:p>
          <w:p w14:paraId="6320F7CE" w14:textId="77777777" w:rsidR="000201F2" w:rsidRDefault="0073512A">
            <w:pPr>
              <w:numPr>
                <w:ilvl w:val="0"/>
                <w:numId w:val="5"/>
              </w:numPr>
              <w:pBdr>
                <w:top w:val="nil"/>
                <w:left w:val="nil"/>
                <w:bottom w:val="nil"/>
                <w:right w:val="nil"/>
                <w:between w:val="nil"/>
              </w:pBdr>
              <w:ind w:left="45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documento donde se compruebe por parte del INFOEM que se obtuvo el 90% de calificación, así como las prácticas de transparencia proactiva.</w:t>
            </w:r>
          </w:p>
          <w:p w14:paraId="02CF9758" w14:textId="77777777" w:rsidR="000201F2" w:rsidRDefault="000201F2">
            <w:pPr>
              <w:pBdr>
                <w:top w:val="nil"/>
                <w:left w:val="nil"/>
                <w:bottom w:val="nil"/>
                <w:right w:val="nil"/>
                <w:between w:val="nil"/>
              </w:pBdr>
              <w:ind w:left="454"/>
              <w:rPr>
                <w:rFonts w:ascii="Palatino Linotype" w:eastAsia="Palatino Linotype" w:hAnsi="Palatino Linotype" w:cs="Palatino Linotype"/>
                <w:color w:val="000000"/>
                <w:sz w:val="22"/>
                <w:szCs w:val="22"/>
              </w:rPr>
            </w:pPr>
          </w:p>
          <w:p w14:paraId="70EDC7F5" w14:textId="77777777" w:rsidR="000201F2" w:rsidRDefault="0073512A">
            <w:pPr>
              <w:numPr>
                <w:ilvl w:val="0"/>
                <w:numId w:val="5"/>
              </w:numPr>
              <w:pBdr>
                <w:top w:val="nil"/>
                <w:left w:val="nil"/>
                <w:bottom w:val="nil"/>
                <w:right w:val="nil"/>
                <w:between w:val="nil"/>
              </w:pBdr>
              <w:ind w:left="45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número de solicitudes ingresadas en cualquier modalidad del año 2022, y de Recursos de Revisión que se interpusieron ante ese Sujeto Obligado.</w:t>
            </w:r>
          </w:p>
          <w:p w14:paraId="6D1CFCA9" w14:textId="77777777" w:rsidR="000201F2" w:rsidRDefault="000201F2">
            <w:pPr>
              <w:pBdr>
                <w:top w:val="nil"/>
                <w:left w:val="nil"/>
                <w:bottom w:val="nil"/>
                <w:right w:val="nil"/>
                <w:between w:val="nil"/>
              </w:pBdr>
              <w:ind w:left="454"/>
              <w:rPr>
                <w:rFonts w:ascii="Palatino Linotype" w:eastAsia="Palatino Linotype" w:hAnsi="Palatino Linotype" w:cs="Palatino Linotype"/>
                <w:color w:val="000000"/>
                <w:sz w:val="22"/>
                <w:szCs w:val="22"/>
              </w:rPr>
            </w:pPr>
          </w:p>
          <w:p w14:paraId="0C15DD81" w14:textId="77777777" w:rsidR="000201F2" w:rsidRDefault="0073512A">
            <w:pPr>
              <w:numPr>
                <w:ilvl w:val="0"/>
                <w:numId w:val="5"/>
              </w:numPr>
              <w:pBdr>
                <w:top w:val="nil"/>
                <w:left w:val="nil"/>
                <w:bottom w:val="nil"/>
                <w:right w:val="nil"/>
                <w:between w:val="nil"/>
              </w:pBdr>
              <w:ind w:left="454"/>
              <w:jc w:val="both"/>
              <w:rPr>
                <w:rFonts w:ascii="Palatino Linotype" w:eastAsia="Palatino Linotype" w:hAnsi="Palatino Linotype" w:cs="Palatino Linotype"/>
                <w:color w:val="000000"/>
                <w:sz w:val="22"/>
                <w:szCs w:val="22"/>
              </w:rPr>
            </w:pPr>
            <w:bookmarkStart w:id="13" w:name="_heading=h.44sinio" w:colFirst="0" w:colLast="0"/>
            <w:bookmarkEnd w:id="13"/>
            <w:r>
              <w:rPr>
                <w:rFonts w:ascii="Palatino Linotype" w:eastAsia="Palatino Linotype" w:hAnsi="Palatino Linotype" w:cs="Palatino Linotype"/>
                <w:color w:val="000000"/>
                <w:sz w:val="22"/>
                <w:szCs w:val="22"/>
              </w:rPr>
              <w:t xml:space="preserve">Las constancias o reconocimientos impartidos por el INFOEM al Ayuntamiento de Toluca en el año 2022, de todos los servidores públicos. </w:t>
            </w:r>
          </w:p>
          <w:p w14:paraId="3DDF45F3" w14:textId="77777777" w:rsidR="000201F2" w:rsidRDefault="000201F2">
            <w:pPr>
              <w:pBdr>
                <w:top w:val="nil"/>
                <w:left w:val="nil"/>
                <w:bottom w:val="nil"/>
                <w:right w:val="nil"/>
                <w:between w:val="nil"/>
              </w:pBdr>
              <w:ind w:left="454"/>
              <w:rPr>
                <w:rFonts w:ascii="Palatino Linotype" w:eastAsia="Palatino Linotype" w:hAnsi="Palatino Linotype" w:cs="Palatino Linotype"/>
                <w:color w:val="000000"/>
                <w:sz w:val="22"/>
                <w:szCs w:val="22"/>
              </w:rPr>
            </w:pPr>
          </w:p>
          <w:p w14:paraId="398B5BF0" w14:textId="77777777" w:rsidR="000201F2" w:rsidRDefault="0073512A">
            <w:pPr>
              <w:numPr>
                <w:ilvl w:val="0"/>
                <w:numId w:val="5"/>
              </w:numPr>
              <w:pBdr>
                <w:top w:val="nil"/>
                <w:left w:val="nil"/>
                <w:bottom w:val="nil"/>
                <w:right w:val="nil"/>
                <w:between w:val="nil"/>
              </w:pBdr>
              <w:ind w:left="45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oficios por parte de la Unidad de Transparencia enviados y recibidos en las Unidades Administrativas, invitándolos a dichos cursos.</w:t>
            </w:r>
          </w:p>
          <w:p w14:paraId="3252C5CE" w14:textId="77777777" w:rsidR="000201F2" w:rsidRDefault="000201F2">
            <w:pPr>
              <w:pBdr>
                <w:top w:val="nil"/>
                <w:left w:val="nil"/>
                <w:bottom w:val="nil"/>
                <w:right w:val="nil"/>
                <w:between w:val="nil"/>
              </w:pBdr>
              <w:ind w:left="454"/>
              <w:rPr>
                <w:rFonts w:ascii="Palatino Linotype" w:eastAsia="Palatino Linotype" w:hAnsi="Palatino Linotype" w:cs="Palatino Linotype"/>
                <w:color w:val="000000"/>
                <w:sz w:val="22"/>
                <w:szCs w:val="22"/>
              </w:rPr>
            </w:pPr>
          </w:p>
          <w:p w14:paraId="2C7B2B7B" w14:textId="77777777" w:rsidR="000201F2" w:rsidRDefault="0073512A">
            <w:pPr>
              <w:numPr>
                <w:ilvl w:val="0"/>
                <w:numId w:val="5"/>
              </w:numPr>
              <w:pBdr>
                <w:top w:val="nil"/>
                <w:left w:val="nil"/>
                <w:bottom w:val="nil"/>
                <w:right w:val="nil"/>
                <w:between w:val="nil"/>
              </w:pBdr>
              <w:ind w:left="45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certificados, reconocimientos u otro que avalen que los servidores públicos del Ayuntamiento de Toluca en el año 2022, asistieron a diversos foros regionales, jornadas de sensibilización en materia de transparencia proactiva, en materia de difusión y reflexión sobre los alcances y desafíos de las leyes en la materia. </w:t>
            </w:r>
          </w:p>
          <w:p w14:paraId="0C3FD7A4" w14:textId="77777777" w:rsidR="000201F2" w:rsidRDefault="000201F2">
            <w:pPr>
              <w:pBdr>
                <w:top w:val="nil"/>
                <w:left w:val="nil"/>
                <w:bottom w:val="nil"/>
                <w:right w:val="nil"/>
                <w:between w:val="nil"/>
              </w:pBdr>
              <w:ind w:left="454"/>
              <w:rPr>
                <w:rFonts w:ascii="Palatino Linotype" w:eastAsia="Palatino Linotype" w:hAnsi="Palatino Linotype" w:cs="Palatino Linotype"/>
                <w:color w:val="000000"/>
                <w:sz w:val="22"/>
                <w:szCs w:val="22"/>
              </w:rPr>
            </w:pPr>
          </w:p>
          <w:p w14:paraId="08406CC6" w14:textId="77777777" w:rsidR="000201F2" w:rsidRDefault="0073512A">
            <w:pPr>
              <w:numPr>
                <w:ilvl w:val="0"/>
                <w:numId w:val="5"/>
              </w:numPr>
              <w:pBdr>
                <w:top w:val="nil"/>
                <w:left w:val="nil"/>
                <w:bottom w:val="nil"/>
                <w:right w:val="nil"/>
                <w:between w:val="nil"/>
              </w:pBdr>
              <w:ind w:left="45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actualización de las 119 cédulas de bases de datos personales, supresión, modificación de dichas bases, del año 2022. del ayuntamiento de Toluca.</w:t>
            </w:r>
          </w:p>
        </w:tc>
      </w:tr>
    </w:tbl>
    <w:p w14:paraId="608D063B"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en atención a la solicitud de información número </w:t>
      </w:r>
      <w:r>
        <w:rPr>
          <w:rFonts w:ascii="Palatino Linotype" w:eastAsia="Palatino Linotype" w:hAnsi="Palatino Linotype" w:cs="Palatino Linotype"/>
          <w:b/>
        </w:rPr>
        <w:t xml:space="preserve">00312/TOLUCA/IP/2023,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 través del Sistema de Acceso a la Información Mexiquense (SAIMEX) remitió cinco archivos electrónicos, mediante los cuales proporcionó información y documentación en atención a lo requerido, así como mediante escrito de tres de marzo de dos mi veintitrés precisó la información que aportaba a cada requerimiento, como se analizará de manera particular.</w:t>
      </w:r>
    </w:p>
    <w:p w14:paraId="1D34E2DF" w14:textId="77777777" w:rsidR="000201F2" w:rsidRDefault="0073512A">
      <w:pPr>
        <w:spacing w:before="240" w:after="240" w:line="360" w:lineRule="auto"/>
        <w:jc w:val="both"/>
        <w:rPr>
          <w:rFonts w:ascii="Palatino Linotype" w:eastAsia="Palatino Linotype" w:hAnsi="Palatino Linotype" w:cs="Palatino Linotype"/>
          <w:u w:val="single"/>
        </w:rPr>
      </w:pPr>
      <w:bookmarkStart w:id="14" w:name="_heading=h.2jxsxqh" w:colFirst="0" w:colLast="0"/>
      <w:bookmarkEnd w:id="14"/>
      <w:r>
        <w:rPr>
          <w:rFonts w:ascii="Palatino Linotype" w:eastAsia="Palatino Linotype" w:hAnsi="Palatino Linotype" w:cs="Palatino Linotype"/>
        </w:rPr>
        <w:t xml:space="preserve">Así, respecto a la información requerida y precisada en los numerales </w:t>
      </w:r>
      <w:r>
        <w:rPr>
          <w:rFonts w:ascii="Palatino Linotype" w:eastAsia="Palatino Linotype" w:hAnsi="Palatino Linotype" w:cs="Palatino Linotype"/>
          <w:b/>
        </w:rPr>
        <w:t xml:space="preserve">1 </w:t>
      </w:r>
      <w:r>
        <w:rPr>
          <w:rFonts w:ascii="Palatino Linotype" w:eastAsia="Palatino Linotype" w:hAnsi="Palatino Linotype" w:cs="Palatino Linotype"/>
        </w:rPr>
        <w:t xml:space="preserve">y </w:t>
      </w:r>
      <w:r>
        <w:rPr>
          <w:rFonts w:ascii="Palatino Linotype" w:eastAsia="Palatino Linotype" w:hAnsi="Palatino Linotype" w:cs="Palatino Linotype"/>
          <w:b/>
        </w:rPr>
        <w:t xml:space="preserve">2 </w:t>
      </w:r>
      <w:r>
        <w:rPr>
          <w:rFonts w:ascii="Palatino Linotype" w:eastAsia="Palatino Linotype" w:hAnsi="Palatino Linotype" w:cs="Palatino Linotype"/>
        </w:rPr>
        <w:t xml:space="preserve">del cuadró de análisis que antecede, se desprende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mediante el escrito señalado en el párrafo que antecede indicó que se hacía entrega del </w:t>
      </w:r>
      <w:r>
        <w:rPr>
          <w:rFonts w:ascii="Palatino Linotype" w:eastAsia="Palatino Linotype" w:hAnsi="Palatino Linotype" w:cs="Palatino Linotype"/>
          <w:u w:val="single"/>
        </w:rPr>
        <w:t xml:space="preserve">Acuerdo de cumplimiento de la verificación virtual oficiosa emitido por el INFOEM, del Dictamen para determinar reconocimiento de prácticas trasparencia proactiva 2022; links relacionados a las prácticas de información proactiva que maneja el ente público: https://www2.toluca.gob.mx/informacion-civica-y-juridica/; </w:t>
      </w:r>
      <w:hyperlink r:id="rId14">
        <w:r>
          <w:rPr>
            <w:rFonts w:ascii="Palatino Linotype" w:eastAsia="Palatino Linotype" w:hAnsi="Palatino Linotype" w:cs="Palatino Linotype"/>
            <w:color w:val="000000"/>
            <w:u w:val="single"/>
          </w:rPr>
          <w:t>https://www2.toluca.gob.mx/garantizando-tus-derechos-humanos/</w:t>
        </w:r>
      </w:hyperlink>
      <w:r>
        <w:rPr>
          <w:rFonts w:ascii="Palatino Linotype" w:eastAsia="Palatino Linotype" w:hAnsi="Palatino Linotype" w:cs="Palatino Linotype"/>
          <w:color w:val="000000"/>
          <w:u w:val="single"/>
        </w:rPr>
        <w:t xml:space="preserve">; </w:t>
      </w:r>
      <w:r>
        <w:rPr>
          <w:rFonts w:ascii="Palatino Linotype" w:eastAsia="Palatino Linotype" w:hAnsi="Palatino Linotype" w:cs="Palatino Linotype"/>
          <w:u w:val="single"/>
        </w:rPr>
        <w:t xml:space="preserve">y, </w:t>
      </w:r>
      <w:r>
        <w:rPr>
          <w:rFonts w:ascii="Palatino Linotype" w:eastAsia="Palatino Linotype" w:hAnsi="Palatino Linotype" w:cs="Palatino Linotype"/>
          <w:u w:val="single"/>
        </w:rPr>
        <w:lastRenderedPageBreak/>
        <w:t>https://www2.toluca.gob.mx/conoce-a-tu-regidor-o-regidora/; así como, un documento con información cívica y jurídica del Ayuntamiento de Toluca, relacionada con información acerca de las Oficialías del Registro Civil de Toluca y los Principio de Mediación.</w:t>
      </w:r>
    </w:p>
    <w:p w14:paraId="10F04BE6"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con relación a la información requerida y precisada bajo el numeral </w:t>
      </w:r>
      <w:r>
        <w:rPr>
          <w:rFonts w:ascii="Palatino Linotype" w:eastAsia="Palatino Linotype" w:hAnsi="Palatino Linotype" w:cs="Palatino Linotype"/>
          <w:b/>
        </w:rPr>
        <w:t>3</w:t>
      </w:r>
      <w:r>
        <w:rPr>
          <w:rFonts w:ascii="Palatino Linotype" w:eastAsia="Palatino Linotype" w:hAnsi="Palatino Linotype" w:cs="Palatino Linotype"/>
        </w:rPr>
        <w:t xml:space="preserve"> que se indica en el cuadro de análisis inserto,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b/>
        </w:rPr>
        <w:t>informó que se recibieron 3046 solicitudes de acceso a la información pública en sus distintas modalidades y 768 recursos de revisión durante el año referido del primer día hábil de enero al último día hábil del mes de diciembre del año 2022.</w:t>
      </w:r>
    </w:p>
    <w:p w14:paraId="6D9C6396"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con relación a la información requerida y que se precisó bajo el numeral </w:t>
      </w:r>
      <w:r>
        <w:rPr>
          <w:rFonts w:ascii="Palatino Linotype" w:eastAsia="Palatino Linotype" w:hAnsi="Palatino Linotype" w:cs="Palatino Linotype"/>
          <w:b/>
        </w:rPr>
        <w:t xml:space="preserve">4 </w:t>
      </w:r>
      <w:r>
        <w:rPr>
          <w:rFonts w:ascii="Palatino Linotype" w:eastAsia="Palatino Linotype" w:hAnsi="Palatino Linotype" w:cs="Palatino Linotype"/>
        </w:rPr>
        <w:t xml:space="preserve">del cuadro de análisis inserto,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informó que después de una búsqueda exhaustiva y razonable en los archivos de la Unidad de Transparencia se localizaron cuatro documentos con los cuales se colma la pretensión, sin embargo al no encontrarse digitalizados, de conformidad con lo dispuesto en los artículos 163, 165 y 174 fracción I de la Ley de Transparencia y Acceso a la Información Pública del Estado de México y Municipios; hacía del conocimiento que la información solicitada consta de 4 fojas, mismas que se digitalizarían y se debía cubrir el costo correspondiente por el escaneo y digitalización.</w:t>
      </w:r>
    </w:p>
    <w:p w14:paraId="23A551B4"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igual manera, respecto a la información requerida y que se precisa en los numerales </w:t>
      </w:r>
      <w:r>
        <w:rPr>
          <w:rFonts w:ascii="Palatino Linotype" w:eastAsia="Palatino Linotype" w:hAnsi="Palatino Linotype" w:cs="Palatino Linotype"/>
          <w:b/>
        </w:rPr>
        <w:t>5</w:t>
      </w:r>
      <w:r>
        <w:rPr>
          <w:rFonts w:ascii="Palatino Linotype" w:eastAsia="Palatino Linotype" w:hAnsi="Palatino Linotype" w:cs="Palatino Linotype"/>
        </w:rPr>
        <w:t xml:space="preserve"> a</w:t>
      </w:r>
      <w:r>
        <w:rPr>
          <w:rFonts w:ascii="Palatino Linotype" w:eastAsia="Palatino Linotype" w:hAnsi="Palatino Linotype" w:cs="Palatino Linotype"/>
          <w:b/>
        </w:rPr>
        <w:t xml:space="preserve"> 7</w:t>
      </w:r>
      <w:r>
        <w:rPr>
          <w:rFonts w:ascii="Palatino Linotype" w:eastAsia="Palatino Linotype" w:hAnsi="Palatino Linotype" w:cs="Palatino Linotype"/>
        </w:rPr>
        <w:t xml:space="preserve"> del cuadro de análisis inserto,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indicó que también se realizó una búsqueda exhaustiva y razonable, encontrándose con 188 </w:t>
      </w:r>
      <w:r>
        <w:rPr>
          <w:rFonts w:ascii="Palatino Linotype" w:eastAsia="Palatino Linotype" w:hAnsi="Palatino Linotype" w:cs="Palatino Linotype"/>
        </w:rPr>
        <w:lastRenderedPageBreak/>
        <w:t>fojas con los cuales se colma la pretensión, sin embargo, los mismos no se encontraban digitalizados por no existir un precepto legal para determinar la obligatoriedad.</w:t>
      </w:r>
    </w:p>
    <w:p w14:paraId="183C2290"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de conformidad con lo dispuesto en los artículos 163, 165 y 174 fracción I de la Ley de Transparencia y Acceso a la Información Pública del Estado de México y Municipios;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hizo del conocimiento del entonces solicitante que la información requerida consta de un total de 192 fojas mismas que se digitalizarían, debiéndose cubrir el costo correspondiente por el escaneo y digitalización, tomando en cuenta el número de veces el valor diario de la Unidad de Medida y Actualización (UMA) vigente de: $103.74 de conformidad con el artículo 148 del Código Financiero del Estado de México y Municipios; precisando que la cantidad correspondiente a pagar era de $142.76 (ciento cuarenta y dos pesos 76/100 M.N.), así como el procedimiento a seguir para efectuar el pago y poder disponer de la información.</w:t>
      </w:r>
    </w:p>
    <w:p w14:paraId="56069C51"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esta manera,  en el escrito de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adicionó al entonces solicitante que atendiendo el contenido del artículo 174, fracción I y último párrafo de la Ley de la materia, en el caso se atendió el derecho fundamental atendiendo el principio de gratuidad, sólo en los casos de excepción, tomando como base que la información debía ser entregada sin costo cuando implique la entrega de no más de veinte hojas simples, adjuntando una orden de pago por la cantidad indicada y otorgando gratuidad contabilizando con costo únicamente 172 fojas.</w:t>
      </w:r>
    </w:p>
    <w:p w14:paraId="56A7BD7F"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Inconforme con la respuesta, el entonces solicitante promovió recurso de revisión mismo que quedó radicado bajo el número de expediente </w:t>
      </w:r>
      <w:r>
        <w:rPr>
          <w:rFonts w:ascii="Palatino Linotype" w:eastAsia="Palatino Linotype" w:hAnsi="Palatino Linotype" w:cs="Palatino Linotype"/>
          <w:b/>
        </w:rPr>
        <w:lastRenderedPageBreak/>
        <w:t>01360/INFOEM/IP/RR/2023</w:t>
      </w:r>
      <w:r>
        <w:rPr>
          <w:rFonts w:ascii="Palatino Linotype" w:eastAsia="Palatino Linotype" w:hAnsi="Palatino Linotype" w:cs="Palatino Linotype"/>
        </w:rPr>
        <w:t>, haciendo valer dentro de sus motivos de inconformidad que no se le había entregado la información por la vía que lo solicitó.</w:t>
      </w:r>
    </w:p>
    <w:p w14:paraId="7C1D8474"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esta manera, durante la substanciación del recurso de revisión de mérito,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rindió su informe justificado, en el que medularmente ratificó su respuesta primigenia; no obstante, adicionó que la actual Administración 2022-2024 se encontraba en un problema financiero, ya que no contaba con los equipos informáticos suficientes y en óptimas condiciones, careciendo de las capacidades para realizar la tarea del escaneo y entrega de la información, sumado a ello, para atender el gran número de solicitudes de información y que no se contaba con el personal suficiente para llevar a cabo esa tarea.</w:t>
      </w:r>
    </w:p>
    <w:p w14:paraId="136F55BF"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por cuanto hace a la información requerida por el entonces solicitante y que se precisó en el numeral </w:t>
      </w:r>
      <w:r>
        <w:rPr>
          <w:rFonts w:ascii="Palatino Linotype" w:eastAsia="Palatino Linotype" w:hAnsi="Palatino Linotype" w:cs="Palatino Linotype"/>
          <w:b/>
        </w:rPr>
        <w:t xml:space="preserve">1 y 2, </w:t>
      </w:r>
      <w:r>
        <w:rPr>
          <w:rFonts w:ascii="Palatino Linotype" w:eastAsia="Palatino Linotype" w:hAnsi="Palatino Linotype" w:cs="Palatino Linotype"/>
        </w:rPr>
        <w:t xml:space="preserve">se desprende que la misma fue parcialmente colmada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esto en virtud de que, en su respuesta a la solicitud de información, se puso a disposición en la vía solicitada Sistema de Acceso a la Información Mexiquense (SAIMEX) al entonces solicitante lo siguiente:</w:t>
      </w:r>
    </w:p>
    <w:p w14:paraId="313940C0" w14:textId="77777777" w:rsidR="000201F2" w:rsidRDefault="0073512A">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u w:val="single"/>
        </w:rPr>
      </w:pPr>
      <w:r>
        <w:rPr>
          <w:rFonts w:ascii="Palatino Linotype" w:eastAsia="Palatino Linotype" w:hAnsi="Palatino Linotype" w:cs="Palatino Linotype"/>
          <w:color w:val="000000"/>
          <w:sz w:val="22"/>
          <w:szCs w:val="22"/>
          <w:u w:val="single"/>
        </w:rPr>
        <w:t>Acuerdo de cumplimiento de la verificación virtual oficiosa emitido por el INFOEM número INFOEM/DGJV/DJ/SJV/</w:t>
      </w:r>
      <w:proofErr w:type="spellStart"/>
      <w:r>
        <w:rPr>
          <w:rFonts w:ascii="Palatino Linotype" w:eastAsia="Palatino Linotype" w:hAnsi="Palatino Linotype" w:cs="Palatino Linotype"/>
          <w:color w:val="000000"/>
          <w:sz w:val="22"/>
          <w:szCs w:val="22"/>
          <w:u w:val="single"/>
        </w:rPr>
        <w:t>Vvo</w:t>
      </w:r>
      <w:proofErr w:type="spellEnd"/>
      <w:r>
        <w:rPr>
          <w:rFonts w:ascii="Palatino Linotype" w:eastAsia="Palatino Linotype" w:hAnsi="Palatino Linotype" w:cs="Palatino Linotype"/>
          <w:color w:val="000000"/>
          <w:sz w:val="22"/>
          <w:szCs w:val="22"/>
          <w:u w:val="single"/>
        </w:rPr>
        <w:t>/229/2022 del siete de septiembre de dos mil veintidós,</w:t>
      </w:r>
    </w:p>
    <w:p w14:paraId="7C75E0B6" w14:textId="77777777" w:rsidR="000201F2" w:rsidRDefault="0073512A">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u w:val="single"/>
        </w:rPr>
      </w:pPr>
      <w:bookmarkStart w:id="15" w:name="_heading=h.z337ya" w:colFirst="0" w:colLast="0"/>
      <w:bookmarkEnd w:id="15"/>
      <w:r>
        <w:rPr>
          <w:rFonts w:ascii="Palatino Linotype" w:eastAsia="Palatino Linotype" w:hAnsi="Palatino Linotype" w:cs="Palatino Linotype"/>
          <w:color w:val="000000"/>
          <w:sz w:val="22"/>
          <w:szCs w:val="22"/>
          <w:u w:val="single"/>
        </w:rPr>
        <w:t xml:space="preserve">Dictamen para determinar reconocimiento de prácticas trasparencia proactiva 2022; </w:t>
      </w:r>
    </w:p>
    <w:p w14:paraId="513A9396" w14:textId="77777777" w:rsidR="000201F2" w:rsidRDefault="0073512A">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u w:val="single"/>
        </w:rPr>
      </w:pPr>
      <w:r>
        <w:rPr>
          <w:rFonts w:ascii="Palatino Linotype" w:eastAsia="Palatino Linotype" w:hAnsi="Palatino Linotype" w:cs="Palatino Linotype"/>
          <w:color w:val="000000"/>
          <w:sz w:val="22"/>
          <w:szCs w:val="22"/>
          <w:u w:val="single"/>
        </w:rPr>
        <w:t xml:space="preserve">Links relacionados a las prácticas de información proactiva que maneja el ente público: https://www2.toluca.gob.mx/informacion-civica-y-juridica/; </w:t>
      </w:r>
      <w:hyperlink r:id="rId15">
        <w:r>
          <w:rPr>
            <w:rFonts w:ascii="Palatino Linotype" w:eastAsia="Palatino Linotype" w:hAnsi="Palatino Linotype" w:cs="Palatino Linotype"/>
            <w:color w:val="000000"/>
            <w:sz w:val="22"/>
            <w:szCs w:val="22"/>
            <w:u w:val="single"/>
          </w:rPr>
          <w:t>https://www2.toluca.gob.mx/garantizando-tus-derechos-humanos/</w:t>
        </w:r>
      </w:hyperlink>
      <w:r>
        <w:rPr>
          <w:rFonts w:ascii="Palatino Linotype" w:eastAsia="Palatino Linotype" w:hAnsi="Palatino Linotype" w:cs="Palatino Linotype"/>
          <w:color w:val="000000"/>
          <w:sz w:val="22"/>
          <w:szCs w:val="22"/>
          <w:u w:val="single"/>
        </w:rPr>
        <w:t xml:space="preserve">; y, https://www2.toluca.gob.mx/conoce-a-tu-regidor-o-regidora/; así como, </w:t>
      </w:r>
    </w:p>
    <w:p w14:paraId="4F3CC9DE" w14:textId="77777777" w:rsidR="000201F2" w:rsidRDefault="0073512A">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u w:val="single"/>
        </w:rPr>
      </w:pPr>
      <w:r>
        <w:rPr>
          <w:rFonts w:ascii="Palatino Linotype" w:eastAsia="Palatino Linotype" w:hAnsi="Palatino Linotype" w:cs="Palatino Linotype"/>
          <w:color w:val="000000"/>
          <w:sz w:val="22"/>
          <w:szCs w:val="22"/>
          <w:u w:val="single"/>
        </w:rPr>
        <w:t>Documento con información cívica y jurídica del Ayuntamiento de Toluca, relacionada con información acerca de las Oficialías del Registro Civil de Toluca y los Principio de Mediación.</w:t>
      </w:r>
    </w:p>
    <w:p w14:paraId="6A192476" w14:textId="77777777" w:rsidR="000201F2" w:rsidRDefault="0073512A">
      <w:pPr>
        <w:spacing w:before="240" w:after="240" w:line="360" w:lineRule="auto"/>
        <w:jc w:val="both"/>
        <w:rPr>
          <w:rFonts w:ascii="Palatino Linotype" w:eastAsia="Palatino Linotype" w:hAnsi="Palatino Linotype" w:cs="Palatino Linotype"/>
        </w:rPr>
      </w:pPr>
      <w:bookmarkStart w:id="16" w:name="_heading=h.3j2qqm3" w:colFirst="0" w:colLast="0"/>
      <w:bookmarkEnd w:id="16"/>
      <w:r>
        <w:rPr>
          <w:rFonts w:ascii="Palatino Linotype" w:eastAsia="Palatino Linotype" w:hAnsi="Palatino Linotype" w:cs="Palatino Linotype"/>
        </w:rPr>
        <w:t>Por cuanto hace al acuerdo indicado, se desprende que a través del mismo con fundamento en el artículo 110 de la Ley de Transparencia y el numeral Vigésimo Segundo, fracción VII, párrafo segundo de los Lineamientos de Verificación, el INFOEM declaró que el Ayuntamiento de Toluca dio cumplimiento a la verificación virtual oficiosa con número INFOEM/DGJV/DJ/SJV/</w:t>
      </w:r>
      <w:proofErr w:type="spellStart"/>
      <w:r>
        <w:rPr>
          <w:rFonts w:ascii="Palatino Linotype" w:eastAsia="Palatino Linotype" w:hAnsi="Palatino Linotype" w:cs="Palatino Linotype"/>
        </w:rPr>
        <w:t>Vvo</w:t>
      </w:r>
      <w:proofErr w:type="spellEnd"/>
      <w:r>
        <w:rPr>
          <w:rFonts w:ascii="Palatino Linotype" w:eastAsia="Palatino Linotype" w:hAnsi="Palatino Linotype" w:cs="Palatino Linotype"/>
        </w:rPr>
        <w:t xml:space="preserve">/229/2022 en términos de los razonamientos y fundamentos expuestos en dicho acuerdo, indicando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obtuvo un porcentaje de cumplimiento del 100% conformado por los artículos 92, 94 fracción I y II de la Ley de Transparencia.; lo cual atiende específicamente lo solicitado por la hoy parte </w:t>
      </w:r>
      <w:r>
        <w:rPr>
          <w:rFonts w:ascii="Palatino Linotype" w:eastAsia="Palatino Linotype" w:hAnsi="Palatino Linotype" w:cs="Palatino Linotype"/>
          <w:b/>
        </w:rPr>
        <w:t>Recurrente.</w:t>
      </w:r>
    </w:p>
    <w:p w14:paraId="6198A266" w14:textId="77777777" w:rsidR="000201F2" w:rsidRDefault="0073512A">
      <w:pPr>
        <w:spacing w:before="240" w:after="240" w:line="360" w:lineRule="auto"/>
        <w:jc w:val="both"/>
        <w:rPr>
          <w:rFonts w:ascii="Palatino Linotype" w:eastAsia="Palatino Linotype" w:hAnsi="Palatino Linotype" w:cs="Palatino Linotype"/>
        </w:rPr>
      </w:pPr>
      <w:bookmarkStart w:id="17" w:name="_heading=h.1y810tw" w:colFirst="0" w:colLast="0"/>
      <w:bookmarkEnd w:id="17"/>
      <w:r>
        <w:rPr>
          <w:rFonts w:ascii="Palatino Linotype" w:eastAsia="Palatino Linotype" w:hAnsi="Palatino Linotype" w:cs="Palatino Linotype"/>
        </w:rPr>
        <w:t xml:space="preserve">Asimismo, respecto del dictamen aportado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desprende que el mismo, en efecto consiste en el “Dictamen para determinar el reconocimiento de prácticas de transparencia proactiva 2022” emitido por este Instituto, a través del cual se sientan las bases para efectuar el proceso de evaluación de las prácticas en materia de transparencia proactiva respecto del Ayuntamiento de Toluca, en el que a fojas 16 y 17 indica las variables de evaluación y el puntaje obtenido, como a continuación se muestra:</w:t>
      </w:r>
    </w:p>
    <w:p w14:paraId="379B1399" w14:textId="77777777" w:rsidR="000201F2" w:rsidRDefault="000201F2">
      <w:pPr>
        <w:spacing w:before="240" w:after="240" w:line="360" w:lineRule="auto"/>
        <w:jc w:val="both"/>
        <w:rPr>
          <w:rFonts w:ascii="Palatino Linotype" w:eastAsia="Palatino Linotype" w:hAnsi="Palatino Linotype" w:cs="Palatino Linotype"/>
        </w:rPr>
      </w:pPr>
    </w:p>
    <w:p w14:paraId="534BA7AD" w14:textId="77777777" w:rsidR="000201F2" w:rsidRDefault="0073512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14:anchorId="5E8D58DA" wp14:editId="6F968A5E">
            <wp:extent cx="5623118" cy="2327419"/>
            <wp:effectExtent l="0" t="0" r="0" b="0"/>
            <wp:docPr id="213309267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623118" cy="2327419"/>
                    </a:xfrm>
                    <a:prstGeom prst="rect">
                      <a:avLst/>
                    </a:prstGeom>
                    <a:ln/>
                  </pic:spPr>
                </pic:pic>
              </a:graphicData>
            </a:graphic>
          </wp:inline>
        </w:drawing>
      </w:r>
    </w:p>
    <w:p w14:paraId="186C828C" w14:textId="77777777" w:rsidR="000201F2" w:rsidRDefault="0073512A">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rPr>
        <w:t>[…]</w:t>
      </w:r>
    </w:p>
    <w:p w14:paraId="15D90184" w14:textId="77777777" w:rsidR="000201F2" w:rsidRDefault="0073512A">
      <w:pPr>
        <w:spacing w:before="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14:anchorId="7D473CEB" wp14:editId="30F8FE7B">
            <wp:extent cx="5624725" cy="3903103"/>
            <wp:effectExtent l="0" t="0" r="0" b="0"/>
            <wp:docPr id="21330926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624725" cy="3903103"/>
                    </a:xfrm>
                    <a:prstGeom prst="rect">
                      <a:avLst/>
                    </a:prstGeom>
                    <a:ln/>
                  </pic:spPr>
                </pic:pic>
              </a:graphicData>
            </a:graphic>
          </wp:inline>
        </w:drawing>
      </w:r>
    </w:p>
    <w:p w14:paraId="411BD176" w14:textId="77777777" w:rsidR="000201F2" w:rsidRDefault="0073512A">
      <w:pPr>
        <w:spacing w:before="240" w:line="360" w:lineRule="auto"/>
        <w:jc w:val="center"/>
        <w:rPr>
          <w:rFonts w:ascii="Palatino Linotype" w:eastAsia="Palatino Linotype" w:hAnsi="Palatino Linotype" w:cs="Palatino Linotype"/>
        </w:rPr>
      </w:pPr>
      <w:r>
        <w:rPr>
          <w:rFonts w:ascii="Palatino Linotype" w:eastAsia="Palatino Linotype" w:hAnsi="Palatino Linotype" w:cs="Palatino Linotype"/>
        </w:rPr>
        <w:t>[…]”</w:t>
      </w:r>
    </w:p>
    <w:p w14:paraId="633F71A9" w14:textId="77777777" w:rsidR="000201F2" w:rsidRDefault="0073512A">
      <w:pPr>
        <w:spacing w:before="240" w:line="360" w:lineRule="auto"/>
        <w:jc w:val="both"/>
        <w:rPr>
          <w:rFonts w:ascii="Palatino Linotype" w:eastAsia="Palatino Linotype" w:hAnsi="Palatino Linotype" w:cs="Palatino Linotype"/>
        </w:rPr>
      </w:pPr>
      <w:bookmarkStart w:id="18" w:name="_heading=h.4i7ojhp" w:colFirst="0" w:colLast="0"/>
      <w:bookmarkEnd w:id="18"/>
      <w:r>
        <w:rPr>
          <w:rFonts w:ascii="Palatino Linotype" w:eastAsia="Palatino Linotype" w:hAnsi="Palatino Linotype" w:cs="Palatino Linotype"/>
        </w:rPr>
        <w:lastRenderedPageBreak/>
        <w:t xml:space="preserve">Como se desprende de lo anterior, en efecto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al aportar el dictamen de mérito, aportó el documento donde se comprueba que obtuvo el 90% de calificación; sin embargo, es de precisar que dicho puntaje únicamente obedeció a la práctica denominada “Conoce a tu regidor o regidora y sus comisiones”, misma de la cual el ente público mediante archivo electrónico adjunto a su respuesta, proporcionó el contenido la práctica de referencia, como se muestra a continuación:</w:t>
      </w:r>
    </w:p>
    <w:p w14:paraId="13F8396A" w14:textId="77777777" w:rsidR="000201F2" w:rsidRDefault="0073512A">
      <w:pPr>
        <w:spacing w:before="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14:anchorId="5B4778F1" wp14:editId="5FF7A199">
            <wp:extent cx="3829788" cy="2379425"/>
            <wp:effectExtent l="3175" t="3175" r="3175" b="3175"/>
            <wp:docPr id="21330926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3829788" cy="2379425"/>
                    </a:xfrm>
                    <a:prstGeom prst="rect">
                      <a:avLst/>
                    </a:prstGeom>
                    <a:ln w="3175">
                      <a:solidFill>
                        <a:srgbClr val="000000"/>
                      </a:solidFill>
                      <a:prstDash val="solid"/>
                    </a:ln>
                  </pic:spPr>
                </pic:pic>
              </a:graphicData>
            </a:graphic>
          </wp:inline>
        </w:drawing>
      </w:r>
    </w:p>
    <w:p w14:paraId="34BF42E4" w14:textId="77777777" w:rsidR="000201F2" w:rsidRDefault="0073512A">
      <w:pPr>
        <w:spacing w:before="240" w:line="360" w:lineRule="auto"/>
        <w:jc w:val="both"/>
        <w:rPr>
          <w:rFonts w:ascii="Palatino Linotype" w:eastAsia="Palatino Linotype" w:hAnsi="Palatino Linotype" w:cs="Palatino Linotype"/>
          <w:b/>
        </w:rPr>
      </w:pPr>
      <w:bookmarkStart w:id="19" w:name="_heading=h.2xcytpi" w:colFirst="0" w:colLast="0"/>
      <w:bookmarkEnd w:id="19"/>
      <w:r>
        <w:rPr>
          <w:rFonts w:ascii="Palatino Linotype" w:eastAsia="Palatino Linotype" w:hAnsi="Palatino Linotype" w:cs="Palatino Linotype"/>
        </w:rPr>
        <w:t xml:space="preserve">Asimismo, si bien se desprende de la consulta efectuada por este Órgano Garante a los links aportados, los mismos corresponden a algunas de las prácticas que fueron evaluadas mediante el referido dictamen, como lo es: Información cívica y jurídica por una Toluca llena de vida; garantizando tus derechos humanos; y, conoce a tu regidor o regidora y sus comisiones; </w:t>
      </w:r>
      <w:r>
        <w:rPr>
          <w:rFonts w:ascii="Palatino Linotype" w:eastAsia="Palatino Linotype" w:hAnsi="Palatino Linotype" w:cs="Palatino Linotype"/>
          <w:b/>
        </w:rPr>
        <w:t>también lo es que, no se proporcionó una práctica que fue sujeta a evaluación, como lo fue la denominada “Tesorería Municipal” como se desprende del contenido del dictamen de referencia.</w:t>
      </w:r>
    </w:p>
    <w:p w14:paraId="28760530" w14:textId="77777777" w:rsidR="000201F2" w:rsidRDefault="0073512A">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Por lo que,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 xml:space="preserve">Recurrente al requerir en su solicitud las prácticas de trasparencia proactiva, </w:t>
      </w:r>
      <w:r>
        <w:rPr>
          <w:rFonts w:ascii="Palatino Linotype" w:eastAsia="Palatino Linotype" w:hAnsi="Palatino Linotype" w:cs="Palatino Linotype"/>
        </w:rPr>
        <w:t>ello hace alusión a que requiere aquellas que haya generado el ente público.</w:t>
      </w:r>
    </w:p>
    <w:p w14:paraId="52B1CC8A" w14:textId="77777777" w:rsidR="000201F2" w:rsidRDefault="0073512A">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en el caso conviene analizar si existe fuente obligacional para requerir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las prácticas de trasparencia proactiva, en particular la denominada “Tesorería Municipal”, que fue sujeta a evaluación dentro del dictamen para determinar reconocimiento de prácticas de transparencia proactiva 2022 aportado en respuesta.</w:t>
      </w:r>
    </w:p>
    <w:p w14:paraId="0A00BCA0" w14:textId="77777777" w:rsidR="000201F2" w:rsidRDefault="0073512A">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conviene traer a contexto el contenido de los artículos 3 fracción XLII, 70, 71, 72 y 73 de la Ley de Transparencia Local, que a la letra disponen lo siguiente:</w:t>
      </w:r>
    </w:p>
    <w:p w14:paraId="59510E94" w14:textId="77777777" w:rsidR="000201F2" w:rsidRDefault="0073512A">
      <w:pPr>
        <w:spacing w:before="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14:paraId="15A93669" w14:textId="77777777" w:rsidR="000201F2" w:rsidRDefault="0073512A">
      <w:pPr>
        <w:spacing w:before="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7990A2D" w14:textId="77777777" w:rsidR="000201F2" w:rsidRDefault="0073512A">
      <w:pPr>
        <w:spacing w:before="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XLII. Transparencia proactiva:</w:t>
      </w:r>
      <w:r>
        <w:rPr>
          <w:rFonts w:ascii="Palatino Linotype" w:eastAsia="Palatino Linotype" w:hAnsi="Palatino Linotype" w:cs="Palatino Linotype"/>
          <w:i/>
          <w:sz w:val="22"/>
          <w:szCs w:val="22"/>
        </w:rPr>
        <w:t xml:space="preserve"> Conjunto de actividades e iniciativas ordenadas que van más allá de las obligaciones que marca esta Ley y, que tienen como propósito elevar en forma sostenida la publicación de información y bases de datos relevantes en formato de datos abiertos de información pública, que permitan la rendición de cuentas, promuevan la participación activa de la sociedad en la solución de problemas públicos de manera permanente y den respuesta a la demanda;”</w:t>
      </w:r>
    </w:p>
    <w:p w14:paraId="65282461" w14:textId="77777777" w:rsidR="000201F2" w:rsidRDefault="0073512A">
      <w:pPr>
        <w:spacing w:before="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70.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Instituto emitirá políticas de transparencia proactiva, en atención a los lineamientos generales definidos para ello por el Sistema Nacional, diseñadas para incentivar a los sujetos obligados a publicar información adicional a la que establece como mínimo la presente Ley.</w:t>
      </w:r>
      <w:r>
        <w:rPr>
          <w:rFonts w:ascii="Palatino Linotype" w:eastAsia="Palatino Linotype" w:hAnsi="Palatino Linotype" w:cs="Palatino Linotype"/>
          <w:i/>
          <w:sz w:val="22"/>
          <w:szCs w:val="22"/>
        </w:rPr>
        <w:t xml:space="preserve"> Dichas políticas tendrán por objeto, promover la reutilización de la información que generan los sujetos obligados, considerando la demanda de la sociedad, identificada con base en las metodologías previamente establecidas.</w:t>
      </w:r>
    </w:p>
    <w:p w14:paraId="50089ABE" w14:textId="77777777" w:rsidR="000201F2" w:rsidRDefault="0073512A">
      <w:pPr>
        <w:spacing w:before="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 “</w:t>
      </w:r>
      <w:r>
        <w:rPr>
          <w:rFonts w:ascii="Palatino Linotype" w:eastAsia="Palatino Linotype" w:hAnsi="Palatino Linotype" w:cs="Palatino Linotype"/>
          <w:b/>
          <w:i/>
          <w:sz w:val="22"/>
          <w:szCs w:val="22"/>
        </w:rPr>
        <w:t>Artículo 71.</w:t>
      </w:r>
      <w:r>
        <w:rPr>
          <w:rFonts w:ascii="Palatino Linotype" w:eastAsia="Palatino Linotype" w:hAnsi="Palatino Linotype" w:cs="Palatino Linotype"/>
          <w:i/>
          <w:sz w:val="22"/>
          <w:szCs w:val="22"/>
        </w:rPr>
        <w:t xml:space="preserve"> La información publicada por los sujetos obligados, en el marco de la política de transparencia proactiva, se difundirá en los medios y formatos que más convengan al que va dirigida.” </w:t>
      </w:r>
    </w:p>
    <w:p w14:paraId="75254E60" w14:textId="77777777" w:rsidR="000201F2" w:rsidRDefault="0073512A">
      <w:pPr>
        <w:spacing w:before="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72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Instituto publicará los criterios para evaluar la efectividad de la política de la transparencia proactiva, considerando como base, la reutilización que la sociedad haga a la información.</w:t>
      </w:r>
      <w:r>
        <w:rPr>
          <w:rFonts w:ascii="Palatino Linotype" w:eastAsia="Palatino Linotype" w:hAnsi="Palatino Linotype" w:cs="Palatino Linotype"/>
          <w:i/>
          <w:sz w:val="22"/>
          <w:szCs w:val="22"/>
        </w:rPr>
        <w:t xml:space="preserve"> “</w:t>
      </w:r>
    </w:p>
    <w:p w14:paraId="333CB389" w14:textId="77777777" w:rsidR="000201F2" w:rsidRDefault="0073512A">
      <w:pPr>
        <w:spacing w:before="240" w:line="276" w:lineRule="auto"/>
        <w:ind w:left="567" w:right="758"/>
        <w:jc w:val="both"/>
        <w:rPr>
          <w:rFonts w:ascii="Palatino Linotype" w:eastAsia="Palatino Linotype" w:hAnsi="Palatino Linotype" w:cs="Palatino Linotype"/>
          <w:i/>
          <w:sz w:val="22"/>
          <w:szCs w:val="22"/>
        </w:rPr>
      </w:pPr>
      <w:bookmarkStart w:id="20" w:name="_heading=h.1ci93xb" w:colFirst="0" w:colLast="0"/>
      <w:bookmarkEnd w:id="20"/>
      <w:r>
        <w:rPr>
          <w:rFonts w:ascii="Palatino Linotype" w:eastAsia="Palatino Linotype" w:hAnsi="Palatino Linotype" w:cs="Palatino Linotype"/>
          <w:b/>
          <w:i/>
          <w:sz w:val="22"/>
          <w:szCs w:val="22"/>
        </w:rPr>
        <w:t>“Artículo 73.</w:t>
      </w:r>
      <w:r>
        <w:rPr>
          <w:rFonts w:ascii="Palatino Linotype" w:eastAsia="Palatino Linotype" w:hAnsi="Palatino Linotype" w:cs="Palatino Linotype"/>
          <w:i/>
          <w:sz w:val="22"/>
          <w:szCs w:val="22"/>
        </w:rPr>
        <w:t xml:space="preserve"> La información que se publique, como resultado de las políticas de transparencia, deberá permitir la generación de conocimiento público útil, para disminuir asimetrías de la información, mejorar los accesos a trámites y servicios, optimizar la toma de decisiones de autoridades o ciudadanos y deberá tener un objeto claro enfocado a las necesidades de sectores de la sociedad determinados o determinables.”</w:t>
      </w:r>
    </w:p>
    <w:p w14:paraId="3AC04F95" w14:textId="77777777" w:rsidR="000201F2" w:rsidRDefault="0073512A">
      <w:pPr>
        <w:spacing w:before="240" w:line="276" w:lineRule="auto"/>
        <w:ind w:left="567" w:right="758"/>
        <w:jc w:val="right"/>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i/>
          <w:sz w:val="22"/>
          <w:szCs w:val="22"/>
        </w:rPr>
        <w:t>Énfasis añadido</w:t>
      </w:r>
      <w:r>
        <w:rPr>
          <w:rFonts w:ascii="Palatino Linotype" w:eastAsia="Palatino Linotype" w:hAnsi="Palatino Linotype" w:cs="Palatino Linotype"/>
          <w:sz w:val="22"/>
          <w:szCs w:val="22"/>
        </w:rPr>
        <w:t>)</w:t>
      </w:r>
    </w:p>
    <w:p w14:paraId="7EB9E589" w14:textId="77777777" w:rsidR="000201F2" w:rsidRDefault="0073512A">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cuerpo normativo trascrito, se desprende que la </w:t>
      </w:r>
      <w:r>
        <w:rPr>
          <w:rFonts w:ascii="Palatino Linotype" w:eastAsia="Palatino Linotype" w:hAnsi="Palatino Linotype" w:cs="Palatino Linotype"/>
          <w:b/>
          <w:u w:val="single"/>
        </w:rPr>
        <w:t>transparencia proactiva</w:t>
      </w:r>
      <w:r>
        <w:rPr>
          <w:rFonts w:ascii="Palatino Linotype" w:eastAsia="Palatino Linotype" w:hAnsi="Palatino Linotype" w:cs="Palatino Linotype"/>
        </w:rPr>
        <w:t xml:space="preserve"> consiste en todas aquellas actividades e iniciativas ordenadas que van más allá de las obligaciones que marca la Ley de la materia y tienen como finalidad elevar la publicación de información y bases de datos relevantes en formato de datos abiertos de información pública, que permitan la rendición de cuentas, promuevan la participación activa de la sociedad en la solución de problemas públicos de manera permanente y den respuesta a la demanda.</w:t>
      </w:r>
    </w:p>
    <w:p w14:paraId="3CA7B3E1" w14:textId="77777777" w:rsidR="000201F2" w:rsidRDefault="0073512A">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se dispone que este Instituto será el encargado de emitir políticas de transparencia proactiva, con el objetivo de incentivar a los sujetos obligados a publicar información adicional a la que establece como mínimo la Ley de Transparencia Local; por lo que, a fin de facilitar lo anterior, este Órgano Garante publicará los criterios para evaluar la efectividad de la política de la transparencia </w:t>
      </w:r>
      <w:r>
        <w:rPr>
          <w:rFonts w:ascii="Palatino Linotype" w:eastAsia="Palatino Linotype" w:hAnsi="Palatino Linotype" w:cs="Palatino Linotype"/>
        </w:rPr>
        <w:lastRenderedPageBreak/>
        <w:t>proactiva, considerando como base, la reutilización que la sociedad haga a la información.</w:t>
      </w:r>
    </w:p>
    <w:p w14:paraId="08AC8300" w14:textId="77777777" w:rsidR="000201F2" w:rsidRDefault="0073512A">
      <w:pPr>
        <w:spacing w:before="240" w:line="360" w:lineRule="auto"/>
        <w:jc w:val="both"/>
        <w:rPr>
          <w:rFonts w:ascii="Palatino Linotype" w:eastAsia="Palatino Linotype" w:hAnsi="Palatino Linotype" w:cs="Palatino Linotype"/>
        </w:rPr>
      </w:pPr>
      <w:bookmarkStart w:id="21" w:name="_heading=h.3whwml4" w:colFirst="0" w:colLast="0"/>
      <w:bookmarkEnd w:id="21"/>
      <w:r>
        <w:rPr>
          <w:rFonts w:ascii="Palatino Linotype" w:eastAsia="Palatino Linotype" w:hAnsi="Palatino Linotype" w:cs="Palatino Linotype"/>
        </w:rPr>
        <w:t>Por lo que, la información que se publique por parte de los Sujetos Obligados, como resultado de las políticas de transparencia, deberá permitir la generación de conocimiento público útil, para disminuir asimetrías de la información, mejorar los accesos a trámites y servicios, optimizar la toma de decisiones de autoridades o ciudadanos.</w:t>
      </w:r>
    </w:p>
    <w:p w14:paraId="5D2A5CAF" w14:textId="77777777" w:rsidR="000201F2" w:rsidRDefault="0073512A">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para lograr lo anterior, se debe atender lo previsto en las Políticas de Transparencia Proactiva, que en su base quinta definen lo siguiente:</w:t>
      </w:r>
    </w:p>
    <w:p w14:paraId="3D327C91" w14:textId="77777777" w:rsidR="000201F2" w:rsidRDefault="0073512A">
      <w:pPr>
        <w:spacing w:before="240"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QUINTA. Para identificar la información susceptible de publicarse en el marco de la transparencia proactiva, los Sujetos Obligados se sujetarán a lo siguiente:</w:t>
      </w:r>
    </w:p>
    <w:p w14:paraId="54E19C18" w14:textId="77777777" w:rsidR="000201F2" w:rsidRDefault="0073512A">
      <w:pPr>
        <w:spacing w:before="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Deberán atender al menos las fases siguientes:</w:t>
      </w:r>
    </w:p>
    <w:p w14:paraId="6E2E2141" w14:textId="77777777" w:rsidR="000201F2" w:rsidRDefault="0073512A">
      <w:pPr>
        <w:spacing w:before="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Detección de información mediante la implementación de mecanismos de participación de la población;</w:t>
      </w:r>
    </w:p>
    <w:p w14:paraId="7ABEA0F6" w14:textId="77777777" w:rsidR="000201F2" w:rsidRDefault="0073512A">
      <w:pPr>
        <w:spacing w:before="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Definir el tema, población a la que se dirige, problemática que atiende, demanda o necesidad de información que resuelve;</w:t>
      </w:r>
    </w:p>
    <w:p w14:paraId="7E32025D" w14:textId="77777777" w:rsidR="000201F2" w:rsidRDefault="0073512A">
      <w:pPr>
        <w:spacing w:before="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Identificación de contenidos existentes o cuya construcción es necesaria;</w:t>
      </w:r>
    </w:p>
    <w:p w14:paraId="5F919382" w14:textId="77777777" w:rsidR="000201F2" w:rsidRDefault="0073512A">
      <w:pPr>
        <w:spacing w:before="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Acopio, sistematización y categorización de la información;</w:t>
      </w:r>
    </w:p>
    <w:p w14:paraId="6ED4C774" w14:textId="77777777" w:rsidR="000201F2" w:rsidRDefault="0073512A">
      <w:pPr>
        <w:spacing w:before="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Generación, publicación y difusión de conocimiento público útil;</w:t>
      </w:r>
    </w:p>
    <w:p w14:paraId="73F49630" w14:textId="77777777" w:rsidR="000201F2" w:rsidRDefault="0073512A">
      <w:pPr>
        <w:spacing w:before="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Diseño de herramientas e indicadores de medición de reutilización e impacto de la información proactiva;</w:t>
      </w:r>
    </w:p>
    <w:p w14:paraId="0932A2C1" w14:textId="77777777" w:rsidR="000201F2" w:rsidRDefault="0073512A">
      <w:pPr>
        <w:spacing w:before="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Verificación." [Sic]</w:t>
      </w:r>
    </w:p>
    <w:p w14:paraId="769A8E91" w14:textId="77777777" w:rsidR="000201F2" w:rsidRDefault="0073512A">
      <w:pPr>
        <w:spacing w:before="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igual forma, los Criterios de Evaluación señalan, en su párrafo segundo, los elementos a valorar para la calificación de las prácticas de Transparencia proactiva siendo los siguientes:</w:t>
      </w:r>
    </w:p>
    <w:p w14:paraId="225C4351" w14:textId="77777777" w:rsidR="000201F2" w:rsidRDefault="0073512A">
      <w:pPr>
        <w:spacing w:before="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Los procedimientos para la identificación de información proactiva.</w:t>
      </w:r>
    </w:p>
    <w:p w14:paraId="488F50F8" w14:textId="77777777" w:rsidR="000201F2" w:rsidRDefault="0073512A">
      <w:pPr>
        <w:spacing w:before="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La calidad de la información publicada en materia de transparencia proactiva.</w:t>
      </w:r>
    </w:p>
    <w:p w14:paraId="3D220C11" w14:textId="77777777" w:rsidR="000201F2" w:rsidRDefault="0073512A">
      <w:pPr>
        <w:spacing w:before="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La diversificación y el uso de medios alternativos de difusión de la información.</w:t>
      </w:r>
    </w:p>
    <w:p w14:paraId="5E35B713" w14:textId="77777777" w:rsidR="000201F2" w:rsidRDefault="0073512A">
      <w:pPr>
        <w:spacing w:before="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 La contabilización de las consultas y/o reutilización de la información publicada, en los medios de difusión definidos por el Sujeto Obligado.</w:t>
      </w:r>
    </w:p>
    <w:p w14:paraId="4DBD3802" w14:textId="77777777" w:rsidR="000201F2" w:rsidRDefault="0073512A">
      <w:pPr>
        <w:spacing w:before="240" w:line="276" w:lineRule="auto"/>
        <w:ind w:left="567" w:right="616"/>
        <w:jc w:val="both"/>
        <w:rPr>
          <w:rFonts w:ascii="Palatino Linotype" w:eastAsia="Palatino Linotype" w:hAnsi="Palatino Linotype" w:cs="Palatino Linotype"/>
          <w:i/>
          <w:sz w:val="22"/>
          <w:szCs w:val="22"/>
        </w:rPr>
      </w:pPr>
      <w:bookmarkStart w:id="22" w:name="_heading=h.2bn6wsx" w:colFirst="0" w:colLast="0"/>
      <w:bookmarkEnd w:id="22"/>
      <w:r>
        <w:rPr>
          <w:rFonts w:ascii="Palatino Linotype" w:eastAsia="Palatino Linotype" w:hAnsi="Palatino Linotype" w:cs="Palatino Linotype"/>
          <w:i/>
          <w:sz w:val="22"/>
          <w:szCs w:val="22"/>
        </w:rPr>
        <w:t>e) La participación ciudadana efectiva e informada en el proceso de publicación y difusión de información de manera proactiva.</w:t>
      </w:r>
    </w:p>
    <w:p w14:paraId="6F1A71FA" w14:textId="77777777" w:rsidR="000201F2" w:rsidRDefault="0073512A">
      <w:pPr>
        <w:spacing w:before="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efectos positivos generados a partir de la información difundida en el marco de la política de transparencia proactiva." [Sic)</w:t>
      </w:r>
    </w:p>
    <w:p w14:paraId="64936813" w14:textId="77777777" w:rsidR="000201F2" w:rsidRDefault="0073512A">
      <w:pPr>
        <w:spacing w:before="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Bajo ese contexto, si bien las prácticas de transparencia son el resultado de llevar a cabo por parte de los sujetos obligados un procedimiento que inicia identificando la información que pueda tener el carácter de proactiva, es decir, que pueda generar conocimiento público útil, para disminuir asimetrías de la información, o bien mejorar los accesos a trámites y servicios, y culmina hasta la participación ciudadana efectiva e informada en el proceso de publicación y la difusión de información; también, lo es que de primer momento, ello no constituye una obligación de transparencia para el </w:t>
      </w:r>
      <w:r>
        <w:rPr>
          <w:rFonts w:ascii="Palatino Linotype" w:eastAsia="Palatino Linotype" w:hAnsi="Palatino Linotype" w:cs="Palatino Linotype"/>
          <w:b/>
        </w:rPr>
        <w:t>Sujeto Obligado.</w:t>
      </w:r>
    </w:p>
    <w:p w14:paraId="060C7C3E" w14:textId="77777777" w:rsidR="000201F2" w:rsidRDefault="0073512A">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Lo anterior, pues en el caso, la transparencia proactiva a través de las prácticas emitidas por los sujetos obligados son el resultado de incentivar a estos a que publiquen información adicional a la que establece como mínimo la Ley de Transparencia Local, con la finalidad de coadyuvar con la población con la generación de conocimiento público útil, como lo puede ser acerca de trámites y servicios. </w:t>
      </w:r>
    </w:p>
    <w:p w14:paraId="28071A1C" w14:textId="77777777" w:rsidR="000201F2" w:rsidRDefault="0073512A">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Puntualizado lo anterior, si bien en el caso, no se desprende precepto legal que obligue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llevar a cabo prácticas de transparencia proactiva, sino por el contrario se incentiva a que los mismos participen en la generación de la misma; también lo es que, </w:t>
      </w:r>
      <w:r>
        <w:rPr>
          <w:rFonts w:ascii="Palatino Linotype" w:eastAsia="Palatino Linotype" w:hAnsi="Palatino Linotype" w:cs="Palatino Linotype"/>
          <w:b/>
        </w:rPr>
        <w:t>ello no constituye un impedimento para que 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b/>
        </w:rPr>
        <w:t>las proporcione</w:t>
      </w:r>
      <w:r>
        <w:rPr>
          <w:rFonts w:ascii="Palatino Linotype" w:eastAsia="Palatino Linotype" w:hAnsi="Palatino Linotype" w:cs="Palatino Linotype"/>
        </w:rPr>
        <w:t xml:space="preserve">, máxime si en el caso, a través del dictamen para determinar reconocimiento de prácticas de transparencia proactiva 2022, a fojas 16 y 17, se desprende que el ente público que nos ocupa sometió a evaluación de este Instituto </w:t>
      </w:r>
      <w:r>
        <w:rPr>
          <w:rFonts w:ascii="Palatino Linotype" w:eastAsia="Palatino Linotype" w:hAnsi="Palatino Linotype" w:cs="Palatino Linotype"/>
          <w:b/>
          <w:u w:val="single"/>
        </w:rPr>
        <w:t>cuatro</w:t>
      </w:r>
      <w:r>
        <w:rPr>
          <w:rFonts w:ascii="Palatino Linotype" w:eastAsia="Palatino Linotype" w:hAnsi="Palatino Linotype" w:cs="Palatino Linotype"/>
        </w:rPr>
        <w:t xml:space="preserve"> prácticas que a su consideración eran relativas a transparencia proactiva, siendo estas las siguientes:</w:t>
      </w:r>
    </w:p>
    <w:p w14:paraId="338177DE" w14:textId="77777777" w:rsidR="000201F2" w:rsidRDefault="0073512A">
      <w:pPr>
        <w:numPr>
          <w:ilvl w:val="0"/>
          <w:numId w:val="4"/>
        </w:numPr>
        <w:pBdr>
          <w:top w:val="nil"/>
          <w:left w:val="nil"/>
          <w:bottom w:val="nil"/>
          <w:right w:val="nil"/>
          <w:between w:val="nil"/>
        </w:pBdr>
        <w:spacing w:before="240"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Conoce a tu regidor o regidora y sus comisiones;</w:t>
      </w:r>
    </w:p>
    <w:p w14:paraId="08E0555F" w14:textId="77777777" w:rsidR="000201F2" w:rsidRDefault="0073512A">
      <w:pPr>
        <w:numPr>
          <w:ilvl w:val="0"/>
          <w:numId w:val="4"/>
        </w:numPr>
        <w:pBdr>
          <w:top w:val="nil"/>
          <w:left w:val="nil"/>
          <w:bottom w:val="nil"/>
          <w:right w:val="nil"/>
          <w:between w:val="nil"/>
        </w:pBdr>
        <w:spacing w:before="240" w:line="360" w:lineRule="auto"/>
        <w:jc w:val="both"/>
        <w:rPr>
          <w:rFonts w:ascii="Palatino Linotype" w:eastAsia="Palatino Linotype" w:hAnsi="Palatino Linotype" w:cs="Palatino Linotype"/>
          <w:b/>
          <w:color w:val="000000"/>
          <w:sz w:val="22"/>
          <w:szCs w:val="22"/>
        </w:rPr>
      </w:pPr>
      <w:bookmarkStart w:id="23" w:name="_heading=h.qsh70q" w:colFirst="0" w:colLast="0"/>
      <w:bookmarkEnd w:id="23"/>
      <w:r>
        <w:rPr>
          <w:rFonts w:ascii="Palatino Linotype" w:eastAsia="Palatino Linotype" w:hAnsi="Palatino Linotype" w:cs="Palatino Linotype"/>
          <w:b/>
          <w:color w:val="000000"/>
          <w:sz w:val="22"/>
          <w:szCs w:val="22"/>
        </w:rPr>
        <w:t>Información cívica y jurídica por una Toluca llena de vida;</w:t>
      </w:r>
    </w:p>
    <w:p w14:paraId="2137C932" w14:textId="77777777" w:rsidR="000201F2" w:rsidRDefault="0073512A">
      <w:pPr>
        <w:numPr>
          <w:ilvl w:val="0"/>
          <w:numId w:val="4"/>
        </w:numPr>
        <w:pBdr>
          <w:top w:val="nil"/>
          <w:left w:val="nil"/>
          <w:bottom w:val="nil"/>
          <w:right w:val="nil"/>
          <w:between w:val="nil"/>
        </w:pBdr>
        <w:spacing w:before="240"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Tesorería Municipal; y,</w:t>
      </w:r>
    </w:p>
    <w:p w14:paraId="742E5907" w14:textId="77777777" w:rsidR="000201F2" w:rsidRDefault="0073512A">
      <w:pPr>
        <w:numPr>
          <w:ilvl w:val="0"/>
          <w:numId w:val="4"/>
        </w:numPr>
        <w:pBdr>
          <w:top w:val="nil"/>
          <w:left w:val="nil"/>
          <w:bottom w:val="nil"/>
          <w:right w:val="nil"/>
          <w:between w:val="nil"/>
        </w:pBdr>
        <w:spacing w:before="240"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Garantizando tus derechos humanos. </w:t>
      </w:r>
    </w:p>
    <w:p w14:paraId="311A67E4" w14:textId="77777777" w:rsidR="000201F2" w:rsidRDefault="0073512A">
      <w:pPr>
        <w:spacing w:before="240" w:line="360" w:lineRule="auto"/>
        <w:jc w:val="both"/>
        <w:rPr>
          <w:rFonts w:ascii="Palatino Linotype" w:eastAsia="Palatino Linotype" w:hAnsi="Palatino Linotype" w:cs="Palatino Linotype"/>
        </w:rPr>
      </w:pPr>
      <w:bookmarkStart w:id="24" w:name="_heading=h.3as4poj" w:colFirst="0" w:colLast="0"/>
      <w:bookmarkEnd w:id="24"/>
      <w:r>
        <w:rPr>
          <w:rFonts w:ascii="Palatino Linotype" w:eastAsia="Palatino Linotype" w:hAnsi="Palatino Linotype" w:cs="Palatino Linotype"/>
        </w:rPr>
        <w:t xml:space="preserve">Sin embargo, como se desprende de la respuesta, únicamente proporcionó en formato </w:t>
      </w:r>
      <w:proofErr w:type="spellStart"/>
      <w:r>
        <w:rPr>
          <w:rFonts w:ascii="Palatino Linotype" w:eastAsia="Palatino Linotype" w:hAnsi="Palatino Linotype" w:cs="Palatino Linotype"/>
        </w:rPr>
        <w:t>pdf</w:t>
      </w:r>
      <w:proofErr w:type="spellEnd"/>
      <w:r>
        <w:rPr>
          <w:rFonts w:ascii="Palatino Linotype" w:eastAsia="Palatino Linotype" w:hAnsi="Palatino Linotype" w:cs="Palatino Linotype"/>
        </w:rPr>
        <w:t xml:space="preserve"> y liga electrónica, las prácticas denominadas “</w:t>
      </w:r>
      <w:r>
        <w:rPr>
          <w:rFonts w:ascii="Palatino Linotype" w:eastAsia="Palatino Linotype" w:hAnsi="Palatino Linotype" w:cs="Palatino Linotype"/>
          <w:b/>
        </w:rPr>
        <w:t xml:space="preserve">Información cívica y </w:t>
      </w:r>
      <w:r>
        <w:rPr>
          <w:rFonts w:ascii="Palatino Linotype" w:eastAsia="Palatino Linotype" w:hAnsi="Palatino Linotype" w:cs="Palatino Linotype"/>
          <w:b/>
        </w:rPr>
        <w:lastRenderedPageBreak/>
        <w:t xml:space="preserve">jurídica por una Toluca llena de vida” </w:t>
      </w:r>
      <w:r>
        <w:rPr>
          <w:rFonts w:ascii="Palatino Linotype" w:eastAsia="Palatino Linotype" w:hAnsi="Palatino Linotype" w:cs="Palatino Linotype"/>
        </w:rPr>
        <w:t>y “</w:t>
      </w:r>
      <w:r>
        <w:rPr>
          <w:rFonts w:ascii="Palatino Linotype" w:eastAsia="Palatino Linotype" w:hAnsi="Palatino Linotype" w:cs="Palatino Linotype"/>
          <w:b/>
        </w:rPr>
        <w:t xml:space="preserve">Conoce a tu regidor o regidora y sus comisiones”; </w:t>
      </w:r>
      <w:r>
        <w:rPr>
          <w:rFonts w:ascii="Palatino Linotype" w:eastAsia="Palatino Linotype" w:hAnsi="Palatino Linotype" w:cs="Palatino Linotype"/>
        </w:rPr>
        <w:t>así como,</w:t>
      </w:r>
      <w:r>
        <w:rPr>
          <w:rFonts w:ascii="Palatino Linotype" w:eastAsia="Palatino Linotype" w:hAnsi="Palatino Linotype" w:cs="Palatino Linotype"/>
          <w:b/>
        </w:rPr>
        <w:t xml:space="preserve"> </w:t>
      </w:r>
      <w:r>
        <w:rPr>
          <w:rFonts w:ascii="Palatino Linotype" w:eastAsia="Palatino Linotype" w:hAnsi="Palatino Linotype" w:cs="Palatino Linotype"/>
        </w:rPr>
        <w:t>la liga electrónica de la práctica denominada</w:t>
      </w:r>
      <w:r>
        <w:rPr>
          <w:rFonts w:ascii="Palatino Linotype" w:eastAsia="Palatino Linotype" w:hAnsi="Palatino Linotype" w:cs="Palatino Linotype"/>
          <w:b/>
        </w:rPr>
        <w:t xml:space="preserve"> “Garantizando tus derechos humanos”; </w:t>
      </w:r>
      <w:r>
        <w:rPr>
          <w:rFonts w:ascii="Palatino Linotype" w:eastAsia="Palatino Linotype" w:hAnsi="Palatino Linotype" w:cs="Palatino Linotype"/>
        </w:rPr>
        <w:t xml:space="preserve">haciendo falta la práctica de transparencia proactiva denominada </w:t>
      </w:r>
      <w:r>
        <w:rPr>
          <w:rFonts w:ascii="Palatino Linotype" w:eastAsia="Palatino Linotype" w:hAnsi="Palatino Linotype" w:cs="Palatino Linotype"/>
          <w:b/>
        </w:rPr>
        <w:t>“Tesorería Municipal”</w:t>
      </w:r>
      <w:r>
        <w:rPr>
          <w:rFonts w:ascii="Palatino Linotype" w:eastAsia="Palatino Linotype" w:hAnsi="Palatino Linotype" w:cs="Palatino Linotype"/>
        </w:rPr>
        <w:t xml:space="preserve"> que proporcionó a este Instituto para su evaluación, tal y como consta en el dictamen multicitado.</w:t>
      </w:r>
    </w:p>
    <w:p w14:paraId="5D106387" w14:textId="77777777" w:rsidR="000201F2" w:rsidRDefault="0073512A">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esta manera, al advertirse de dicho dictamen que la información relativa a la </w:t>
      </w:r>
      <w:r>
        <w:rPr>
          <w:rFonts w:ascii="Palatino Linotype" w:eastAsia="Palatino Linotype" w:hAnsi="Palatino Linotype" w:cs="Palatino Linotype"/>
          <w:b/>
        </w:rPr>
        <w:t xml:space="preserve">práctica “Tesorería Municipal” </w:t>
      </w:r>
      <w:r>
        <w:rPr>
          <w:rFonts w:ascii="Palatino Linotype" w:eastAsia="Palatino Linotype" w:hAnsi="Palatino Linotype" w:cs="Palatino Linotype"/>
        </w:rPr>
        <w:t>obra en poder del ente público</w:t>
      </w:r>
      <w:r>
        <w:rPr>
          <w:rFonts w:ascii="Palatino Linotype" w:eastAsia="Palatino Linotype" w:hAnsi="Palatino Linotype" w:cs="Palatino Linotype"/>
          <w:b/>
        </w:rPr>
        <w:t xml:space="preserve">; </w:t>
      </w:r>
      <w:r>
        <w:rPr>
          <w:rFonts w:ascii="Palatino Linotype" w:eastAsia="Palatino Linotype" w:hAnsi="Palatino Linotype" w:cs="Palatino Linotype"/>
        </w:rPr>
        <w:t>de conformidad con el artículo 12 de la Ley de Transparencia Local, la misma es susceptible de ponerse a la vista de la parte Recurrente, pues los sujetos obligados se encuentran constreñidos a proporcionar la misma por obrar en sus archivos y acreditarse en el presente medio de impugnación dicha circunstancia.</w:t>
      </w:r>
    </w:p>
    <w:p w14:paraId="58C719BE" w14:textId="77777777" w:rsidR="000201F2" w:rsidRDefault="0073512A">
      <w:pPr>
        <w:spacing w:before="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Es por lo anterior,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a fin de garantizar el acceso a la información pública, es dable modificar la respuesta y ordenar la entrega del documento donde conste la práctica de transparencia proactiva denominada </w:t>
      </w:r>
      <w:r>
        <w:rPr>
          <w:rFonts w:ascii="Palatino Linotype" w:eastAsia="Palatino Linotype" w:hAnsi="Palatino Linotype" w:cs="Palatino Linotype"/>
          <w:b/>
        </w:rPr>
        <w:t>“Tesorería Municipal”</w:t>
      </w:r>
      <w:r>
        <w:rPr>
          <w:rFonts w:ascii="Palatino Linotype" w:eastAsia="Palatino Linotype" w:hAnsi="Palatino Linotype" w:cs="Palatino Linotype"/>
        </w:rPr>
        <w:t xml:space="preserve"> del 2022, al ser información pública que genera, posee o administra el </w:t>
      </w:r>
      <w:r>
        <w:rPr>
          <w:rFonts w:ascii="Palatino Linotype" w:eastAsia="Palatino Linotype" w:hAnsi="Palatino Linotype" w:cs="Palatino Linotype"/>
          <w:b/>
        </w:rPr>
        <w:t>Sujeto Obligado.</w:t>
      </w:r>
    </w:p>
    <w:p w14:paraId="693376D9" w14:textId="77777777" w:rsidR="000201F2" w:rsidRDefault="000201F2">
      <w:pPr>
        <w:spacing w:line="360" w:lineRule="auto"/>
        <w:ind w:right="49"/>
        <w:jc w:val="both"/>
        <w:rPr>
          <w:rFonts w:ascii="Palatino Linotype" w:eastAsia="Palatino Linotype" w:hAnsi="Palatino Linotype" w:cs="Palatino Linotype"/>
        </w:rPr>
      </w:pPr>
    </w:p>
    <w:p w14:paraId="76634117" w14:textId="77777777" w:rsidR="000201F2" w:rsidRDefault="0073512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Adicional a lo anterior, con relación a las ligas electrónicas proporcionadas en respuesta por el Sujeto Obligado, se logra observar que dichos vínculos redirigen directamente a las prácticas de “</w:t>
      </w:r>
      <w:r>
        <w:rPr>
          <w:rFonts w:ascii="Palatino Linotype" w:eastAsia="Palatino Linotype" w:hAnsi="Palatino Linotype" w:cs="Palatino Linotype"/>
          <w:b/>
        </w:rPr>
        <w:t xml:space="preserve">Información cívica y jurídica por una Toluca llena de vida”, </w:t>
      </w:r>
      <w:r>
        <w:rPr>
          <w:rFonts w:ascii="Palatino Linotype" w:eastAsia="Palatino Linotype" w:hAnsi="Palatino Linotype" w:cs="Palatino Linotype"/>
        </w:rPr>
        <w:t>“</w:t>
      </w:r>
      <w:r>
        <w:rPr>
          <w:rFonts w:ascii="Palatino Linotype" w:eastAsia="Palatino Linotype" w:hAnsi="Palatino Linotype" w:cs="Palatino Linotype"/>
          <w:b/>
        </w:rPr>
        <w:t xml:space="preserve">Conoce a tu regidor o regidora y sus comisiones” </w:t>
      </w:r>
      <w:r>
        <w:rPr>
          <w:rFonts w:ascii="Palatino Linotype" w:eastAsia="Palatino Linotype" w:hAnsi="Palatino Linotype" w:cs="Palatino Linotype"/>
        </w:rPr>
        <w:t>y</w:t>
      </w:r>
      <w:r>
        <w:rPr>
          <w:rFonts w:ascii="Palatino Linotype" w:eastAsia="Palatino Linotype" w:hAnsi="Palatino Linotype" w:cs="Palatino Linotype"/>
          <w:b/>
        </w:rPr>
        <w:t xml:space="preserve"> “Garantizando tus derechos humanos”;</w:t>
      </w:r>
      <w:r>
        <w:rPr>
          <w:rFonts w:ascii="Palatino Linotype" w:eastAsia="Palatino Linotype" w:hAnsi="Palatino Linotype" w:cs="Palatino Linotype"/>
        </w:rPr>
        <w:t xml:space="preserve"> de modo que, es importante traer a colación que el artículo 161</w:t>
      </w:r>
      <w:r>
        <w:rPr>
          <w:rFonts w:ascii="Palatino Linotype" w:eastAsia="Palatino Linotype" w:hAnsi="Palatino Linotype" w:cs="Palatino Linotype"/>
          <w:vertAlign w:val="superscript"/>
        </w:rPr>
        <w:t xml:space="preserve"> </w:t>
      </w:r>
      <w:r>
        <w:rPr>
          <w:rFonts w:ascii="Palatino Linotype" w:eastAsia="Palatino Linotype" w:hAnsi="Palatino Linotype" w:cs="Palatino Linotype"/>
        </w:rPr>
        <w:t>de la Ley de Transparencia y Acceso a la Información Pública del Estado de México y Municipios, que</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establece las características que debe tener la información desde </w:t>
      </w:r>
      <w:r>
        <w:rPr>
          <w:rFonts w:ascii="Palatino Linotype" w:eastAsia="Palatino Linotype" w:hAnsi="Palatino Linotype" w:cs="Palatino Linotype"/>
        </w:rPr>
        <w:lastRenderedPageBreak/>
        <w:t xml:space="preserve">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w:t>
      </w:r>
      <w:r>
        <w:rPr>
          <w:rFonts w:ascii="Palatino Linotype" w:eastAsia="Palatino Linotype" w:hAnsi="Palatino Linotype" w:cs="Palatino Linotype"/>
          <w:b/>
          <w:u w:val="single"/>
        </w:rPr>
        <w:t>en un plazo no mayor a cinco días hábiles</w:t>
      </w:r>
      <w:r>
        <w:rPr>
          <w:rFonts w:ascii="Palatino Linotype" w:eastAsia="Palatino Linotype" w:hAnsi="Palatino Linotype" w:cs="Palatino Linotype"/>
        </w:rPr>
        <w:t>, comprendiendo:</w:t>
      </w:r>
    </w:p>
    <w:p w14:paraId="58C4FC86" w14:textId="77777777" w:rsidR="000201F2" w:rsidRDefault="000201F2">
      <w:pPr>
        <w:spacing w:line="360" w:lineRule="auto"/>
        <w:ind w:right="49"/>
        <w:jc w:val="both"/>
        <w:rPr>
          <w:rFonts w:ascii="Palatino Linotype" w:eastAsia="Palatino Linotype" w:hAnsi="Palatino Linotype" w:cs="Palatino Linotype"/>
        </w:rPr>
      </w:pPr>
    </w:p>
    <w:p w14:paraId="1818938C" w14:textId="77777777" w:rsidR="000201F2" w:rsidRDefault="0073512A">
      <w:pPr>
        <w:spacing w:line="276"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a) La fuente</w:t>
      </w:r>
    </w:p>
    <w:p w14:paraId="01E126CC" w14:textId="77777777" w:rsidR="000201F2" w:rsidRDefault="0073512A">
      <w:pPr>
        <w:spacing w:line="276"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b) El lugar y</w:t>
      </w:r>
    </w:p>
    <w:p w14:paraId="359A17C8" w14:textId="77777777" w:rsidR="000201F2" w:rsidRDefault="0073512A">
      <w:pPr>
        <w:spacing w:line="276"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c) La forma</w:t>
      </w:r>
    </w:p>
    <w:p w14:paraId="738F2BEC" w14:textId="77777777" w:rsidR="000201F2" w:rsidRDefault="000201F2">
      <w:pPr>
        <w:spacing w:line="276" w:lineRule="auto"/>
        <w:ind w:left="284" w:right="49"/>
        <w:jc w:val="both"/>
        <w:rPr>
          <w:rFonts w:ascii="Palatino Linotype" w:eastAsia="Palatino Linotype" w:hAnsi="Palatino Linotype" w:cs="Palatino Linotype"/>
        </w:rPr>
      </w:pPr>
    </w:p>
    <w:p w14:paraId="5694EC87" w14:textId="77777777" w:rsidR="000201F2" w:rsidRDefault="0073512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Asimismo, se establece que la fuente de la información deberá ser:</w:t>
      </w:r>
    </w:p>
    <w:p w14:paraId="2A42D12F" w14:textId="77777777" w:rsidR="000201F2" w:rsidRDefault="0073512A">
      <w:pPr>
        <w:spacing w:line="276"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a) Precisa</w:t>
      </w:r>
    </w:p>
    <w:p w14:paraId="605FBF41" w14:textId="77777777" w:rsidR="000201F2" w:rsidRDefault="0073512A">
      <w:pPr>
        <w:spacing w:line="276"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b) Concreta</w:t>
      </w:r>
    </w:p>
    <w:p w14:paraId="54390FE2" w14:textId="77777777" w:rsidR="000201F2" w:rsidRDefault="0073512A">
      <w:pPr>
        <w:spacing w:line="360" w:lineRule="auto"/>
        <w:ind w:left="284" w:right="560"/>
        <w:jc w:val="both"/>
        <w:rPr>
          <w:rFonts w:ascii="Palatino Linotype" w:eastAsia="Palatino Linotype" w:hAnsi="Palatino Linotype" w:cs="Palatino Linotype"/>
          <w:b/>
          <w:u w:val="single"/>
        </w:rPr>
      </w:pPr>
      <w:r>
        <w:rPr>
          <w:rFonts w:ascii="Palatino Linotype" w:eastAsia="Palatino Linotype" w:hAnsi="Palatino Linotype" w:cs="Palatino Linotype"/>
          <w:b/>
          <w:u w:val="single"/>
        </w:rPr>
        <w:t>c) Y no debe implicar que el solicitante realice una búsqueda en toda la información que se encuentre disponible.</w:t>
      </w:r>
    </w:p>
    <w:p w14:paraId="2C2320D4" w14:textId="77777777" w:rsidR="000201F2" w:rsidRDefault="000201F2">
      <w:pPr>
        <w:spacing w:line="360" w:lineRule="auto"/>
        <w:ind w:right="51"/>
        <w:jc w:val="both"/>
        <w:rPr>
          <w:rFonts w:ascii="Palatino Linotype" w:eastAsia="Palatino Linotype" w:hAnsi="Palatino Linotype" w:cs="Palatino Linotype"/>
        </w:rPr>
      </w:pPr>
    </w:p>
    <w:p w14:paraId="5AAF22AE" w14:textId="77777777" w:rsidR="000201F2" w:rsidRDefault="0073512A">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Imperativos legales que detallan el procedimiento que debe seguir el Sujeto Obligado para que pueda tomarse como válida su orientación sobre la forma en que puede consultar la información requerida.</w:t>
      </w:r>
    </w:p>
    <w:p w14:paraId="0BD259DC" w14:textId="77777777" w:rsidR="000201F2" w:rsidRDefault="0073512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Dicho esto, se tiene que, respecto a las prácticas de transparencia proactiva que la persona Solicitante requirió, las ligas electrónicas que proporcionó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en tres de ellas, </w:t>
      </w:r>
      <w:r>
        <w:rPr>
          <w:rFonts w:ascii="Palatino Linotype" w:eastAsia="Palatino Linotype" w:hAnsi="Palatino Linotype" w:cs="Palatino Linotype"/>
          <w:b/>
          <w:color w:val="000000"/>
          <w:u w:val="single"/>
        </w:rPr>
        <w:t>efectivamente</w:t>
      </w:r>
      <w:r>
        <w:rPr>
          <w:rFonts w:ascii="Palatino Linotype" w:eastAsia="Palatino Linotype" w:hAnsi="Palatino Linotype" w:cs="Palatino Linotype"/>
          <w:color w:val="000000"/>
          <w:u w:val="single"/>
        </w:rPr>
        <w:t xml:space="preserve"> </w:t>
      </w:r>
      <w:r>
        <w:rPr>
          <w:rFonts w:ascii="Palatino Linotype" w:eastAsia="Palatino Linotype" w:hAnsi="Palatino Linotype" w:cs="Palatino Linotype"/>
          <w:b/>
          <w:color w:val="000000"/>
          <w:u w:val="single"/>
        </w:rPr>
        <w:t xml:space="preserve">redirigen directamente a la información </w:t>
      </w:r>
      <w:r>
        <w:rPr>
          <w:rFonts w:ascii="Palatino Linotype" w:eastAsia="Palatino Linotype" w:hAnsi="Palatino Linotype" w:cs="Palatino Linotype"/>
          <w:b/>
          <w:color w:val="000000"/>
          <w:u w:val="single"/>
        </w:rPr>
        <w:lastRenderedPageBreak/>
        <w:t>requerida</w:t>
      </w:r>
      <w:r>
        <w:rPr>
          <w:rFonts w:ascii="Palatino Linotype" w:eastAsia="Palatino Linotype" w:hAnsi="Palatino Linotype" w:cs="Palatino Linotype"/>
          <w:color w:val="000000"/>
        </w:rPr>
        <w:t>, observando puntualmente lo dispuesto en el artículo 161 de la Ley en la materia.</w:t>
      </w:r>
    </w:p>
    <w:p w14:paraId="1FCE0EF0"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por cuando hace a la información requerida por el entonces solicitante y que se precisó en el numeral </w:t>
      </w:r>
      <w:r>
        <w:rPr>
          <w:rFonts w:ascii="Palatino Linotype" w:eastAsia="Palatino Linotype" w:hAnsi="Palatino Linotype" w:cs="Palatino Linotype"/>
          <w:b/>
        </w:rPr>
        <w:t xml:space="preserve">3, </w:t>
      </w:r>
      <w:r>
        <w:rPr>
          <w:rFonts w:ascii="Palatino Linotype" w:eastAsia="Palatino Linotype" w:hAnsi="Palatino Linotype" w:cs="Palatino Linotype"/>
        </w:rPr>
        <w:t xml:space="preserve">si bien el derecho de acceso a la información pública se satisface en aquellos casos en que se entregue el soporte documental en que conste la información pública, sin la necesidad de elaborar documentos </w:t>
      </w:r>
      <w:r>
        <w:rPr>
          <w:rFonts w:ascii="Palatino Linotype" w:eastAsia="Palatino Linotype" w:hAnsi="Palatino Linotype" w:cs="Palatino Linotype"/>
          <w:i/>
        </w:rPr>
        <w:t>ad hoc</w:t>
      </w:r>
      <w:r>
        <w:rPr>
          <w:rFonts w:ascii="Palatino Linotype" w:eastAsia="Palatino Linotype" w:hAnsi="Palatino Linotype" w:cs="Palatino Linotype"/>
        </w:rPr>
        <w:t>; lo cual, toma sustento en el artículo 160 de la Ley de Transparencia y Acceso a la Información Pública del Estado de México y Municipios, el cual refiere que los sujetos obligados deberán entregar la información que obre en sus archivos.</w:t>
      </w:r>
    </w:p>
    <w:p w14:paraId="3F1FC1A3" w14:textId="77777777" w:rsidR="000201F2" w:rsidRDefault="0073512A">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Sin embargo, en el caso se aprecia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elaboró un documento ad hoc para dar cabal cumplimiento al derecho de acceso a la información del particular aún y </w:t>
      </w:r>
      <w:r>
        <w:rPr>
          <w:rFonts w:ascii="Palatino Linotype" w:eastAsia="Palatino Linotype" w:hAnsi="Palatino Linotype" w:cs="Palatino Linotype"/>
          <w:b/>
        </w:rPr>
        <w:t>cuando no es una obligación de las autoridades</w:t>
      </w:r>
      <w:r>
        <w:rPr>
          <w:rFonts w:ascii="Palatino Linotype" w:eastAsia="Palatino Linotype" w:hAnsi="Palatino Linotype" w:cs="Palatino Linotype"/>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Pr>
          <w:rFonts w:ascii="Palatino Linotype" w:eastAsia="Palatino Linotype" w:hAnsi="Palatino Linotype" w:cs="Palatino Linotype"/>
          <w:b/>
        </w:rPr>
        <w:t xml:space="preserve"> </w:t>
      </w:r>
    </w:p>
    <w:p w14:paraId="405469C0" w14:textId="77777777" w:rsidR="000201F2" w:rsidRDefault="000201F2">
      <w:pPr>
        <w:spacing w:line="360" w:lineRule="auto"/>
        <w:jc w:val="both"/>
        <w:rPr>
          <w:rFonts w:ascii="Palatino Linotype" w:eastAsia="Palatino Linotype" w:hAnsi="Palatino Linotype" w:cs="Palatino Linotype"/>
        </w:rPr>
      </w:pPr>
    </w:p>
    <w:p w14:paraId="0169B4EF" w14:textId="77777777" w:rsidR="000201F2" w:rsidRDefault="0073512A">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4F4EE18E" w14:textId="77777777" w:rsidR="000201F2" w:rsidRDefault="0073512A">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Expedientes:</w:t>
      </w:r>
    </w:p>
    <w:p w14:paraId="202FEF4A" w14:textId="77777777" w:rsidR="000201F2" w:rsidRDefault="0073512A">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0438/08 Pemex Exploración y Producción – Alonso Lujambio Irazábal</w:t>
      </w:r>
    </w:p>
    <w:p w14:paraId="69FB9BA2" w14:textId="77777777" w:rsidR="000201F2" w:rsidRDefault="0073512A">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1751/09 Laboratorios de Biológicos y Reactivos de México S.A. de C.V. –</w:t>
      </w:r>
    </w:p>
    <w:p w14:paraId="748E8711" w14:textId="77777777" w:rsidR="000201F2" w:rsidRDefault="0073512A">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María </w:t>
      </w:r>
      <w:proofErr w:type="spellStart"/>
      <w:r>
        <w:rPr>
          <w:rFonts w:ascii="Palatino Linotype" w:eastAsia="Palatino Linotype" w:hAnsi="Palatino Linotype" w:cs="Palatino Linotype"/>
          <w:i/>
          <w:sz w:val="22"/>
          <w:szCs w:val="22"/>
        </w:rPr>
        <w:t>Marván</w:t>
      </w:r>
      <w:proofErr w:type="spellEnd"/>
      <w:r>
        <w:rPr>
          <w:rFonts w:ascii="Palatino Linotype" w:eastAsia="Palatino Linotype" w:hAnsi="Palatino Linotype" w:cs="Palatino Linotype"/>
          <w:i/>
          <w:sz w:val="22"/>
          <w:szCs w:val="22"/>
        </w:rPr>
        <w:t xml:space="preserve"> Laborde</w:t>
      </w:r>
    </w:p>
    <w:p w14:paraId="1AE082A0" w14:textId="77777777" w:rsidR="000201F2" w:rsidRDefault="0073512A">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2868/09 Consejo Nacional de Ciencia y Tecnología – Jacqueline </w:t>
      </w:r>
      <w:proofErr w:type="spellStart"/>
      <w:r>
        <w:rPr>
          <w:rFonts w:ascii="Palatino Linotype" w:eastAsia="Palatino Linotype" w:hAnsi="Palatino Linotype" w:cs="Palatino Linotype"/>
          <w:i/>
          <w:sz w:val="22"/>
          <w:szCs w:val="22"/>
        </w:rPr>
        <w:t>Peschard</w:t>
      </w:r>
      <w:proofErr w:type="spellEnd"/>
    </w:p>
    <w:p w14:paraId="31FFF9E2" w14:textId="77777777" w:rsidR="000201F2" w:rsidRDefault="0073512A">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Mariscal</w:t>
      </w:r>
    </w:p>
    <w:p w14:paraId="44223110" w14:textId="77777777" w:rsidR="000201F2" w:rsidRDefault="0073512A">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5160/09 Secretaría de Hacienda y Crédito Público – Ángel Trinidad Zaldívar</w:t>
      </w:r>
    </w:p>
    <w:p w14:paraId="6EC1041B" w14:textId="77777777" w:rsidR="000201F2" w:rsidRDefault="0073512A">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0304/10 Instituto Nacional de Cancerología – Jacqueline </w:t>
      </w:r>
      <w:proofErr w:type="spellStart"/>
      <w:r>
        <w:rPr>
          <w:rFonts w:ascii="Palatino Linotype" w:eastAsia="Palatino Linotype" w:hAnsi="Palatino Linotype" w:cs="Palatino Linotype"/>
          <w:i/>
          <w:sz w:val="22"/>
          <w:szCs w:val="22"/>
        </w:rPr>
        <w:t>Peschard</w:t>
      </w:r>
      <w:proofErr w:type="spellEnd"/>
      <w:r>
        <w:rPr>
          <w:rFonts w:ascii="Palatino Linotype" w:eastAsia="Palatino Linotype" w:hAnsi="Palatino Linotype" w:cs="Palatino Linotype"/>
          <w:i/>
          <w:sz w:val="22"/>
          <w:szCs w:val="22"/>
        </w:rPr>
        <w:t xml:space="preserve"> Mariscal”</w:t>
      </w:r>
    </w:p>
    <w:p w14:paraId="7DC78314" w14:textId="77777777" w:rsidR="000201F2" w:rsidRDefault="0073512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Entonces, dado a que el criterio en mención establece que las autoridades </w:t>
      </w:r>
      <w:r>
        <w:rPr>
          <w:rFonts w:ascii="Palatino Linotype" w:eastAsia="Palatino Linotype" w:hAnsi="Palatino Linotype" w:cs="Palatino Linotype"/>
          <w:b/>
        </w:rPr>
        <w:t xml:space="preserve">no están obligadas a generar documentos “ad hoc” </w:t>
      </w:r>
      <w:r>
        <w:rPr>
          <w:rFonts w:ascii="Palatino Linotype" w:eastAsia="Palatino Linotype" w:hAnsi="Palatino Linotype" w:cs="Palatino Linotype"/>
        </w:rPr>
        <w:t xml:space="preserve">en contrario sensu, dicho criterio se puede interpretar resultando que las autoridades no están impedidas a generar documentos “ad hoc”, esto, siempre que con dicho documento elaborado se dé cabal cumplimiento a los requerimientos planteados; cuestión que se cumplió a cabalidad pues el entonces solicitante requirió “El número de solicitudes ingresadas en cualquier modalidad del año 2022, y de Recursos de Revisión que se interpusieron ante ese Sujeto Obligado”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la información haciéndole del conocimiento que </w:t>
      </w:r>
      <w:r>
        <w:rPr>
          <w:rFonts w:ascii="Palatino Linotype" w:eastAsia="Palatino Linotype" w:hAnsi="Palatino Linotype" w:cs="Palatino Linotype"/>
          <w:b/>
        </w:rPr>
        <w:t>se recibieron 3046 solicitudes de acceso a la información pública en sus distintas modalidades y 768 recursos de revisión durante el año referido del primer día hábil de enero al último día hábil del mes de diciembre del año 2022; teniéndose por colmada la información requerida y precisada en el numeral 3 del cuadro de análisis inserto.</w:t>
      </w:r>
    </w:p>
    <w:p w14:paraId="69FC9F75" w14:textId="77777777" w:rsidR="000201F2" w:rsidRDefault="0073512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y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dio respuesta a la solicitud de información, este Organismo Garante estima conveniente señalar que no está facultado para manifestarse sobre la veracidad de la información proporcionada, ya que no existe precepto legal alguno en la Ley de la Materia que permita, vía recurso </w:t>
      </w:r>
      <w:r>
        <w:rPr>
          <w:rFonts w:ascii="Palatino Linotype" w:eastAsia="Palatino Linotype" w:hAnsi="Palatino Linotype" w:cs="Palatino Linotype"/>
        </w:rPr>
        <w:lastRenderedPageBreak/>
        <w:t>de revisión, se pronuncie al respecto. Por analogía, sirve de apoyo a lo anterior el Criterio 31-10 emitido por el entonces Instituto Federal de Accesos a la Información y Protección de Datos, que a la letra establece lo siguiente:</w:t>
      </w:r>
    </w:p>
    <w:p w14:paraId="1B7E3BD3" w14:textId="77777777" w:rsidR="000201F2" w:rsidRDefault="000201F2">
      <w:pPr>
        <w:spacing w:after="120" w:line="360" w:lineRule="auto"/>
        <w:jc w:val="both"/>
        <w:rPr>
          <w:rFonts w:ascii="Palatino Linotype" w:eastAsia="Palatino Linotype" w:hAnsi="Palatino Linotype" w:cs="Palatino Linotype"/>
        </w:rPr>
      </w:pPr>
    </w:p>
    <w:p w14:paraId="54C9CBD8" w14:textId="77777777" w:rsidR="000201F2" w:rsidRDefault="0073512A">
      <w:pPr>
        <w:spacing w:before="120"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roofErr w:type="gramStart"/>
      <w:r>
        <w:rPr>
          <w:rFonts w:ascii="Palatino Linotype" w:eastAsia="Palatino Linotype" w:hAnsi="Palatino Linotype" w:cs="Palatino Linotype"/>
          <w:i/>
        </w:rPr>
        <w:t>.”(</w:t>
      </w:r>
      <w:proofErr w:type="gramEnd"/>
      <w:r>
        <w:rPr>
          <w:rFonts w:ascii="Palatino Linotype" w:eastAsia="Palatino Linotype" w:hAnsi="Palatino Linotype" w:cs="Palatino Linotype"/>
          <w:i/>
        </w:rPr>
        <w:t>Sic)</w:t>
      </w:r>
    </w:p>
    <w:p w14:paraId="5C9DEE2A"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por lo que corresponde a la información requerida y precisada en los numerales del </w:t>
      </w:r>
      <w:r>
        <w:rPr>
          <w:rFonts w:ascii="Palatino Linotype" w:eastAsia="Palatino Linotype" w:hAnsi="Palatino Linotype" w:cs="Palatino Linotype"/>
          <w:b/>
        </w:rPr>
        <w:t>4</w:t>
      </w:r>
      <w:r>
        <w:rPr>
          <w:rFonts w:ascii="Palatino Linotype" w:eastAsia="Palatino Linotype" w:hAnsi="Palatino Linotype" w:cs="Palatino Linotype"/>
        </w:rPr>
        <w:t xml:space="preserve"> al </w:t>
      </w:r>
      <w:r>
        <w:rPr>
          <w:rFonts w:ascii="Palatino Linotype" w:eastAsia="Palatino Linotype" w:hAnsi="Palatino Linotype" w:cs="Palatino Linotype"/>
          <w:b/>
        </w:rPr>
        <w:t>7</w:t>
      </w:r>
      <w:r>
        <w:rPr>
          <w:rFonts w:ascii="Palatino Linotype" w:eastAsia="Palatino Linotype" w:hAnsi="Palatino Linotype" w:cs="Palatino Linotype"/>
        </w:rPr>
        <w:t xml:space="preserve"> del cuadro de análisis inserto, en términos generales el </w:t>
      </w:r>
      <w:r>
        <w:rPr>
          <w:rFonts w:ascii="Palatino Linotype" w:eastAsia="Palatino Linotype" w:hAnsi="Palatino Linotype" w:cs="Palatino Linotype"/>
          <w:b/>
        </w:rPr>
        <w:t>Sujeto Obligado acepto contar con la información, misma que en su totalidad consta de 192 fojas;</w:t>
      </w:r>
      <w:r>
        <w:rPr>
          <w:rFonts w:ascii="Palatino Linotype" w:eastAsia="Palatino Linotype" w:hAnsi="Palatino Linotype" w:cs="Palatino Linotype"/>
        </w:rPr>
        <w:t xml:space="preserve"> no obstante, indicó al entonces solicitante que debía cubrir el costo correspondiente por el escaneo y digitalización en cantidad de $142.76 (ciento cuarenta y dos pesos 76/100 M.N.); precisando que atendiendo el contenido del artículo 174, fracción I y último párrafo de la Ley de la materia, en el caso se atendió el derecho fundamental bajo el principio de gratuidad, en el que se señala que sólo </w:t>
      </w:r>
      <w:r>
        <w:rPr>
          <w:rFonts w:ascii="Palatino Linotype" w:eastAsia="Palatino Linotype" w:hAnsi="Palatino Linotype" w:cs="Palatino Linotype"/>
        </w:rPr>
        <w:lastRenderedPageBreak/>
        <w:t>en los casos de excepción, la información debía ser entregada sin costo cuando implique la entrega de no más de veinte hojas simples, adjuntando una orden de pago por la cantidad indicada y otorgando gratuidad contabilizando con costo únicamente 172 fojas, es decir, restando las veinte fojas que prevé este último numeral.</w:t>
      </w:r>
    </w:p>
    <w:p w14:paraId="31C6B326" w14:textId="77777777" w:rsidR="000201F2" w:rsidRDefault="0073512A">
      <w:pPr>
        <w:spacing w:before="240" w:after="240" w:line="360" w:lineRule="auto"/>
        <w:jc w:val="both"/>
      </w:pPr>
      <w:r>
        <w:rPr>
          <w:rFonts w:ascii="Palatino Linotype" w:eastAsia="Palatino Linotype" w:hAnsi="Palatino Linotype" w:cs="Palatino Linotype"/>
        </w:rPr>
        <w:t xml:space="preserve">En tal contexto, y del análisis de las constancias que integran el expediente en que se actúa, así como de la materia sobre la que versa la solicitud de acceso a la información pública </w:t>
      </w:r>
      <w:r>
        <w:rPr>
          <w:rFonts w:ascii="Palatino Linotype" w:eastAsia="Palatino Linotype" w:hAnsi="Palatino Linotype" w:cs="Palatino Linotype"/>
          <w:b/>
        </w:rPr>
        <w:t>00312/TOLUCA/IP/2023</w:t>
      </w:r>
      <w:r>
        <w:rPr>
          <w:rFonts w:ascii="Palatino Linotype" w:eastAsia="Palatino Linotype" w:hAnsi="Palatino Linotype" w:cs="Palatino Linotype"/>
        </w:rPr>
        <w:t xml:space="preserve">, se advierte que las razones o motivos de inconformidad devienen </w:t>
      </w:r>
      <w:r>
        <w:rPr>
          <w:rFonts w:ascii="Palatino Linotype" w:eastAsia="Palatino Linotype" w:hAnsi="Palatino Linotype" w:cs="Palatino Linotype"/>
          <w:b/>
        </w:rPr>
        <w:t>parcialmente fundados</w:t>
      </w:r>
      <w:r>
        <w:rPr>
          <w:rFonts w:ascii="Palatino Linotype" w:eastAsia="Palatino Linotype" w:hAnsi="Palatino Linotype" w:cs="Palatino Linotype"/>
        </w:rPr>
        <w:t xml:space="preserve">, en razón 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proporcionó parte de la información que le fue requerida, a pesar de haber reconocido, de manera expresa, que cuenta con ella, por tal motivo el derecho de acceso de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no ha quedado colmado, toda vez que se condiciona la entrega de dicha información a la realización de un pago por concepto de derechos por la digitalización y escaneo, bajo el argumento 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no cuenta con la obligatoriedad para tener la digitalización de los documentos requeridos, lo que implica que se tengan que realizar acciones para poder entregar la información que se solicita.</w:t>
      </w:r>
    </w:p>
    <w:p w14:paraId="2ED3963E" w14:textId="77777777" w:rsidR="000201F2" w:rsidRDefault="0073512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respecto al pago requerido 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w:t>
      </w:r>
      <w:r>
        <w:rPr>
          <w:rFonts w:ascii="Palatino Linotype" w:eastAsia="Palatino Linotype" w:hAnsi="Palatino Linotype" w:cs="Palatino Linotype"/>
        </w:rPr>
        <w:lastRenderedPageBreak/>
        <w:t xml:space="preserve">genérica, los principios de acceso universal, de máxima publicidad,  de </w:t>
      </w:r>
      <w:r>
        <w:rPr>
          <w:rFonts w:ascii="Palatino Linotype" w:eastAsia="Palatino Linotype" w:hAnsi="Palatino Linotype" w:cs="Palatino Linotype"/>
          <w:b/>
        </w:rPr>
        <w:t>gratuidad</w:t>
      </w:r>
      <w:r>
        <w:rPr>
          <w:rFonts w:ascii="Palatino Linotype" w:eastAsia="Palatino Linotype" w:hAnsi="Palatino Linotype" w:cs="Palatino Linotype"/>
        </w:rPr>
        <w:t>, de certeza, de celeridad, de objetividad, entre otros.</w:t>
      </w:r>
    </w:p>
    <w:p w14:paraId="06378F69" w14:textId="77777777" w:rsidR="000201F2" w:rsidRDefault="0073512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a través del </w:t>
      </w:r>
      <w:r>
        <w:rPr>
          <w:rFonts w:ascii="Palatino Linotype" w:eastAsia="Palatino Linotype" w:hAnsi="Palatino Linotype" w:cs="Palatino Linotype"/>
          <w:b/>
        </w:rPr>
        <w:t>principio de gratuidad</w:t>
      </w:r>
      <w:r>
        <w:rPr>
          <w:rFonts w:ascii="Palatino Linotype" w:eastAsia="Palatino Linotype" w:hAnsi="Palatino Linotype" w:cs="Palatino Linotype"/>
        </w:rPr>
        <w:t xml:space="preserve">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 </w:t>
      </w:r>
    </w:p>
    <w:p w14:paraId="1C855C2E" w14:textId="77777777" w:rsidR="000201F2" w:rsidRDefault="0073512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Pr>
          <w:rFonts w:ascii="Palatino Linotype" w:eastAsia="Palatino Linotype" w:hAnsi="Palatino Linotype" w:cs="Palatino Linotype"/>
          <w:b/>
        </w:rPr>
        <w:t>reproducción</w:t>
      </w:r>
      <w:r>
        <w:rPr>
          <w:rFonts w:ascii="Palatino Linotype" w:eastAsia="Palatino Linotype" w:hAnsi="Palatino Linotype" w:cs="Palatino Linotype"/>
        </w:rPr>
        <w:t xml:space="preserve"> de la información, y en su caso del costo de </w:t>
      </w:r>
      <w:r>
        <w:rPr>
          <w:rFonts w:ascii="Palatino Linotype" w:eastAsia="Palatino Linotype" w:hAnsi="Palatino Linotype" w:cs="Palatino Linotype"/>
          <w:b/>
        </w:rPr>
        <w:t>envío</w:t>
      </w:r>
      <w:r>
        <w:rPr>
          <w:rFonts w:ascii="Palatino Linotype" w:eastAsia="Palatino Linotype" w:hAnsi="Palatino Linotype" w:cs="Palatino Linotype"/>
        </w:rPr>
        <w:t>, finalmente, conlleva implícitamente un esfuerzo por parte de los Sujetos Obligados para reducir los costos de entrega de la información.</w:t>
      </w:r>
    </w:p>
    <w:p w14:paraId="432E0A8E" w14:textId="77777777" w:rsidR="000201F2" w:rsidRDefault="0073512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Atento a lo anterior, nuestra Carta Magna,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14:paraId="5857CC1E" w14:textId="77777777" w:rsidR="000201F2" w:rsidRDefault="0073512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Pr>
          <w:rFonts w:ascii="Palatino Linotype" w:eastAsia="Palatino Linotype" w:hAnsi="Palatino Linotype" w:cs="Palatino Linotype"/>
          <w:b/>
          <w:i/>
        </w:rPr>
        <w:t>gratuitos</w:t>
      </w:r>
      <w:r>
        <w:rPr>
          <w:rFonts w:ascii="Palatino Linotype" w:eastAsia="Palatino Linotype" w:hAnsi="Palatino Linotype" w:cs="Palatino Linotype"/>
        </w:rPr>
        <w:t xml:space="preserve">, refiere en los artículos 17 y 150, que la búsqueda y acceso a la información es gratuita y </w:t>
      </w:r>
      <w:r>
        <w:rPr>
          <w:rFonts w:ascii="Palatino Linotype" w:eastAsia="Palatino Linotype" w:hAnsi="Palatino Linotype" w:cs="Palatino Linotype"/>
          <w:b/>
          <w:i/>
        </w:rPr>
        <w:t xml:space="preserve">sólo se cubrirá en su caso, los gastos de reproducción, </w:t>
      </w:r>
      <w:r>
        <w:rPr>
          <w:rFonts w:ascii="Palatino Linotype" w:eastAsia="Palatino Linotype" w:hAnsi="Palatino Linotype" w:cs="Palatino Linotype"/>
          <w:b/>
          <w:i/>
          <w:u w:val="single"/>
        </w:rPr>
        <w:t xml:space="preserve">por la modalidad de entrega solicitada, o por </w:t>
      </w:r>
      <w:proofErr w:type="spellStart"/>
      <w:r>
        <w:rPr>
          <w:rFonts w:ascii="Palatino Linotype" w:eastAsia="Palatino Linotype" w:hAnsi="Palatino Linotype" w:cs="Palatino Linotype"/>
          <w:b/>
          <w:i/>
          <w:u w:val="single"/>
        </w:rPr>
        <w:t>el</w:t>
      </w:r>
      <w:proofErr w:type="spellEnd"/>
      <w:r>
        <w:rPr>
          <w:rFonts w:ascii="Palatino Linotype" w:eastAsia="Palatino Linotype" w:hAnsi="Palatino Linotype" w:cs="Palatino Linotype"/>
          <w:b/>
          <w:i/>
          <w:u w:val="single"/>
        </w:rPr>
        <w:t xml:space="preserve"> envió</w:t>
      </w:r>
      <w:r>
        <w:rPr>
          <w:rFonts w:ascii="Palatino Linotype" w:eastAsia="Palatino Linotype" w:hAnsi="Palatino Linotype" w:cs="Palatino Linotype"/>
          <w:u w:val="single"/>
        </w:rPr>
        <w:t xml:space="preserve"> </w:t>
      </w:r>
      <w:r>
        <w:rPr>
          <w:rFonts w:ascii="Palatino Linotype" w:eastAsia="Palatino Linotype" w:hAnsi="Palatino Linotype" w:cs="Palatino Linotype"/>
        </w:rPr>
        <w:t xml:space="preserve">de conformidad con los derechos, productos y aprovechamientos establecidos en la legislación aplicable, en razón de que el procedimiento de acceso a la información es la garantía primaria del derecho en cuestión y </w:t>
      </w:r>
      <w:r>
        <w:rPr>
          <w:rFonts w:ascii="Palatino Linotype" w:eastAsia="Palatino Linotype" w:hAnsi="Palatino Linotype" w:cs="Palatino Linotype"/>
          <w:i/>
        </w:rPr>
        <w:t xml:space="preserve">se rige por los principios de </w:t>
      </w:r>
      <w:r>
        <w:rPr>
          <w:rFonts w:ascii="Palatino Linotype" w:eastAsia="Palatino Linotype" w:hAnsi="Palatino Linotype" w:cs="Palatino Linotype"/>
        </w:rPr>
        <w:t xml:space="preserve">simplicidad, rapidez, </w:t>
      </w:r>
      <w:r>
        <w:rPr>
          <w:rFonts w:ascii="Palatino Linotype" w:eastAsia="Palatino Linotype" w:hAnsi="Palatino Linotype" w:cs="Palatino Linotype"/>
          <w:b/>
          <w:i/>
        </w:rPr>
        <w:t>gratuidad</w:t>
      </w:r>
      <w:r>
        <w:rPr>
          <w:rFonts w:ascii="Palatino Linotype" w:eastAsia="Palatino Linotype" w:hAnsi="Palatino Linotype" w:cs="Palatino Linotype"/>
        </w:rPr>
        <w:t>, auxilio y orientación a los particulares, en virtud de que constituye el primer paso para integrar activamente a la ciudadanía en la acción gubernamental, toda vez que con la información proporcionada por medio de las políticas de transparencia, los ciudadanos son partícipes de las acciones realizadas por los entes públicos, lo que favorece la rendición de cuentas.</w:t>
      </w:r>
    </w:p>
    <w:p w14:paraId="3B3E6F45" w14:textId="77777777" w:rsidR="000201F2" w:rsidRDefault="0073512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Pr>
          <w:rFonts w:ascii="Palatino Linotype" w:eastAsia="Palatino Linotype" w:hAnsi="Palatino Linotype" w:cs="Palatino Linotype"/>
          <w:b/>
          <w:i/>
        </w:rPr>
        <w:t>en caso de que se tenga que generar un gasto por la reproducción, por el envío, o por la modalidad de entrega solicitada</w:t>
      </w:r>
      <w:r>
        <w:rPr>
          <w:rFonts w:ascii="Palatino Linotype" w:eastAsia="Palatino Linotype" w:hAnsi="Palatino Linotype" w:cs="Palatino Linotype"/>
        </w:rPr>
        <w:t>, supuestos que encuadran con lo establecido en los artículos 9 fracción III, 17, 165, 174, 175 de la Ley de Acceso a la Información Pública del Estado de México y Municipios, así como el artículo 4.22 de su Reglamento.</w:t>
      </w:r>
    </w:p>
    <w:p w14:paraId="653F71C5" w14:textId="77777777" w:rsidR="000201F2" w:rsidRDefault="0073512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No obstante, en el caso concreto, dichos preceptos son interpretados en perjuicio de la solicitante, como se explica enseguida, para lo cual es necesario hacer referencia a los mismos en su parte conducente: </w:t>
      </w:r>
    </w:p>
    <w:p w14:paraId="4DFC8C40" w14:textId="77777777" w:rsidR="000201F2" w:rsidRDefault="0073512A">
      <w:pPr>
        <w:spacing w:before="280" w:after="28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i/>
          <w:sz w:val="22"/>
          <w:szCs w:val="22"/>
        </w:rPr>
        <w:t xml:space="preserve">Artículo 9. </w:t>
      </w:r>
      <w:r>
        <w:rPr>
          <w:rFonts w:ascii="Palatino Linotype" w:eastAsia="Palatino Linotype" w:hAnsi="Palatino Linotype" w:cs="Palatino Linotype"/>
          <w:i/>
          <w:sz w:val="22"/>
          <w:szCs w:val="22"/>
        </w:rPr>
        <w:t>El Instituto deberá regir su funcionamiento de acuerdo a los siguientes principios:</w:t>
      </w:r>
    </w:p>
    <w:p w14:paraId="6C9D4C7D" w14:textId="77777777" w:rsidR="000201F2" w:rsidRDefault="0073512A">
      <w:pPr>
        <w:spacing w:before="280" w:after="280" w:line="276"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p>
    <w:p w14:paraId="698C3E0F" w14:textId="77777777" w:rsidR="000201F2" w:rsidRDefault="0073512A">
      <w:pPr>
        <w:spacing w:before="280" w:after="28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 Gratuidad:</w:t>
      </w:r>
      <w:r>
        <w:rPr>
          <w:rFonts w:ascii="Palatino Linotype" w:eastAsia="Palatino Linotype" w:hAnsi="Palatino Linotype" w:cs="Palatino Linotype"/>
          <w:i/>
          <w:sz w:val="22"/>
          <w:szCs w:val="22"/>
        </w:rPr>
        <w:t xml:space="preserve"> Consiste en que el acceso a la información pública no genera costo alguno para los solicitantes, </w:t>
      </w:r>
      <w:r>
        <w:rPr>
          <w:rFonts w:ascii="Palatino Linotype" w:eastAsia="Palatino Linotype" w:hAnsi="Palatino Linotype" w:cs="Palatino Linotype"/>
          <w:b/>
          <w:i/>
          <w:sz w:val="22"/>
          <w:szCs w:val="22"/>
        </w:rPr>
        <w:t>sólo podrá requerirse el cobro correspondiente a la modalidad de reproducción y</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entrega solicitada</w:t>
      </w:r>
      <w:r>
        <w:rPr>
          <w:rFonts w:ascii="Palatino Linotype" w:eastAsia="Palatino Linotype" w:hAnsi="Palatino Linotype" w:cs="Palatino Linotype"/>
          <w:i/>
          <w:sz w:val="22"/>
          <w:szCs w:val="22"/>
        </w:rPr>
        <w:t xml:space="preserve"> conforme a lo establecido en la presente Ley y demás disposiciones jurídicas aplicables;</w:t>
      </w:r>
    </w:p>
    <w:p w14:paraId="4435BFF5" w14:textId="77777777" w:rsidR="000201F2" w:rsidRDefault="0073512A">
      <w:pPr>
        <w:spacing w:before="280" w:after="28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D11F32B" w14:textId="77777777" w:rsidR="000201F2" w:rsidRDefault="0073512A">
      <w:pPr>
        <w:spacing w:before="280" w:after="28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w:t>
      </w:r>
      <w:r>
        <w:rPr>
          <w:rFonts w:ascii="Palatino Linotype" w:eastAsia="Palatino Linotype" w:hAnsi="Palatino Linotype" w:cs="Palatino Linotype"/>
          <w:i/>
          <w:sz w:val="22"/>
          <w:szCs w:val="22"/>
        </w:rPr>
        <w:t xml:space="preserve"> La búsqueda y acceso a la información es gratuita y </w:t>
      </w:r>
      <w:r>
        <w:rPr>
          <w:rFonts w:ascii="Palatino Linotype" w:eastAsia="Palatino Linotype" w:hAnsi="Palatino Linotype" w:cs="Palatino Linotype"/>
          <w:b/>
          <w:i/>
          <w:sz w:val="22"/>
          <w:szCs w:val="22"/>
        </w:rPr>
        <w:t>solo se cubrirán los gastos de reproducción, o por la modalidad de entrega solicitada, así como por el envío,</w:t>
      </w:r>
      <w:r>
        <w:rPr>
          <w:rFonts w:ascii="Palatino Linotype" w:eastAsia="Palatino Linotype" w:hAnsi="Palatino Linotype" w:cs="Palatino Linotype"/>
          <w:i/>
          <w:sz w:val="22"/>
          <w:szCs w:val="22"/>
        </w:rPr>
        <w:t xml:space="preserve"> que en su caso se genere, de conformidad con los derechos, productos y aprovechamientos establecidos en la legislación aplicable, sin que exceda de los límites establecidos en la presente Ley.</w:t>
      </w:r>
    </w:p>
    <w:p w14:paraId="14AA984F" w14:textId="77777777" w:rsidR="000201F2" w:rsidRDefault="0073512A">
      <w:pPr>
        <w:spacing w:before="280" w:after="28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FA1C073" w14:textId="77777777" w:rsidR="000201F2" w:rsidRDefault="0073512A">
      <w:pPr>
        <w:spacing w:before="280" w:after="280"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165. …</w:t>
      </w:r>
    </w:p>
    <w:p w14:paraId="2B60ECFF" w14:textId="77777777" w:rsidR="000201F2" w:rsidRDefault="0073512A">
      <w:pPr>
        <w:spacing w:before="280" w:after="28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información que se entregue en versión pública, </w:t>
      </w:r>
      <w:r>
        <w:rPr>
          <w:rFonts w:ascii="Palatino Linotype" w:eastAsia="Palatino Linotype" w:hAnsi="Palatino Linotype" w:cs="Palatino Linotype"/>
          <w:b/>
          <w:i/>
          <w:sz w:val="22"/>
          <w:szCs w:val="22"/>
        </w:rPr>
        <w:t>cuya modalidad de reproducción o envío tenga un costo,</w:t>
      </w:r>
      <w:r>
        <w:rPr>
          <w:rFonts w:ascii="Palatino Linotype" w:eastAsia="Palatino Linotype" w:hAnsi="Palatino Linotype" w:cs="Palatino Linotype"/>
          <w:i/>
          <w:sz w:val="22"/>
          <w:szCs w:val="22"/>
        </w:rPr>
        <w:t xml:space="preserve"> procederá una vez que se acredite el pago respectivo. No puede entenderse como reproducción la elaboración de la misma.</w:t>
      </w:r>
    </w:p>
    <w:p w14:paraId="4070B7CC" w14:textId="77777777" w:rsidR="000201F2" w:rsidRDefault="0073512A">
      <w:pPr>
        <w:spacing w:before="280" w:after="28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F47D9B0" w14:textId="77777777" w:rsidR="000201F2" w:rsidRDefault="0073512A">
      <w:pPr>
        <w:spacing w:before="280" w:after="280"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174. En caso de existir costos para obtener la información </w:t>
      </w:r>
      <w:r>
        <w:rPr>
          <w:rFonts w:ascii="Palatino Linotype" w:eastAsia="Palatino Linotype" w:hAnsi="Palatino Linotype" w:cs="Palatino Linotype"/>
          <w:i/>
          <w:sz w:val="22"/>
          <w:szCs w:val="22"/>
        </w:rPr>
        <w:t xml:space="preserve">deberán cubrirse de manera previa a la entrega y </w:t>
      </w:r>
      <w:r>
        <w:rPr>
          <w:rFonts w:ascii="Palatino Linotype" w:eastAsia="Palatino Linotype" w:hAnsi="Palatino Linotype" w:cs="Palatino Linotype"/>
          <w:b/>
          <w:i/>
          <w:sz w:val="22"/>
          <w:szCs w:val="22"/>
        </w:rPr>
        <w:t xml:space="preserve">no podrán ser superiores a la suma de: </w:t>
      </w:r>
    </w:p>
    <w:p w14:paraId="427700D7" w14:textId="77777777" w:rsidR="000201F2" w:rsidRDefault="0073512A">
      <w:pPr>
        <w:spacing w:before="280" w:after="28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 El costo de los materiales utilizados en la reproducción</w:t>
      </w:r>
      <w:r>
        <w:rPr>
          <w:rFonts w:ascii="Palatino Linotype" w:eastAsia="Palatino Linotype" w:hAnsi="Palatino Linotype" w:cs="Palatino Linotype"/>
          <w:i/>
          <w:sz w:val="22"/>
          <w:szCs w:val="22"/>
        </w:rPr>
        <w:t xml:space="preserve"> de la información;</w:t>
      </w:r>
    </w:p>
    <w:p w14:paraId="6A681204" w14:textId="77777777" w:rsidR="000201F2" w:rsidRDefault="0073512A">
      <w:pPr>
        <w:spacing w:before="280" w:after="28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 El costo de envío,</w:t>
      </w:r>
      <w:r>
        <w:rPr>
          <w:rFonts w:ascii="Palatino Linotype" w:eastAsia="Palatino Linotype" w:hAnsi="Palatino Linotype" w:cs="Palatino Linotype"/>
          <w:i/>
          <w:sz w:val="22"/>
          <w:szCs w:val="22"/>
        </w:rPr>
        <w:t xml:space="preserve"> en su caso; y</w:t>
      </w:r>
    </w:p>
    <w:p w14:paraId="35882275" w14:textId="77777777" w:rsidR="000201F2" w:rsidRDefault="0073512A">
      <w:pPr>
        <w:spacing w:before="280" w:after="28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 El pago de la certificación de los documentos,</w:t>
      </w:r>
      <w:r>
        <w:rPr>
          <w:rFonts w:ascii="Palatino Linotype" w:eastAsia="Palatino Linotype" w:hAnsi="Palatino Linotype" w:cs="Palatino Linotype"/>
          <w:i/>
          <w:sz w:val="22"/>
          <w:szCs w:val="22"/>
        </w:rPr>
        <w:t xml:space="preserve"> cuando proceda.</w:t>
      </w:r>
    </w:p>
    <w:p w14:paraId="429EB7C6" w14:textId="77777777" w:rsidR="000201F2" w:rsidRDefault="0073512A">
      <w:pPr>
        <w:spacing w:before="280" w:after="28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Las cuotas de los derechos aplicables deberán establecerse, en su caso, en el </w:t>
      </w:r>
      <w:r>
        <w:rPr>
          <w:rFonts w:ascii="Palatino Linotype" w:eastAsia="Palatino Linotype" w:hAnsi="Palatino Linotype" w:cs="Palatino Linotype"/>
          <w:b/>
          <w:i/>
          <w:sz w:val="22"/>
          <w:szCs w:val="22"/>
        </w:rPr>
        <w:t xml:space="preserve">Código Financiero del Estado de México y Municipios </w:t>
      </w:r>
      <w:r>
        <w:rPr>
          <w:rFonts w:ascii="Palatino Linotype" w:eastAsia="Palatino Linotype" w:hAnsi="Palatino Linotype" w:cs="Palatino Linotype"/>
          <w:i/>
          <w:sz w:val="22"/>
          <w:szCs w:val="22"/>
        </w:rPr>
        <w:t>y demás disposiciones jurídicas aplicables, las cuales se publicarán en los sitios de internet de los sujetos obligados…”</w:t>
      </w:r>
    </w:p>
    <w:p w14:paraId="5DFCF587" w14:textId="77777777" w:rsidR="000201F2" w:rsidRDefault="0073512A">
      <w:pPr>
        <w:spacing w:before="280" w:after="28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C642AA3" w14:textId="77777777" w:rsidR="000201F2" w:rsidRDefault="0073512A">
      <w:pPr>
        <w:spacing w:before="280" w:after="280"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175. …</w:t>
      </w:r>
    </w:p>
    <w:p w14:paraId="39C48CF3" w14:textId="77777777" w:rsidR="000201F2" w:rsidRDefault="0073512A">
      <w:pPr>
        <w:spacing w:before="280" w:after="280"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En ningún caso, el pago de derechos deberá exceder el </w:t>
      </w:r>
      <w:r>
        <w:rPr>
          <w:rFonts w:ascii="Palatino Linotype" w:eastAsia="Palatino Linotype" w:hAnsi="Palatino Linotype" w:cs="Palatino Linotype"/>
          <w:b/>
          <w:i/>
          <w:sz w:val="22"/>
          <w:szCs w:val="22"/>
        </w:rPr>
        <w:t>costo de reproducción de la información en el material solicitado.”</w:t>
      </w:r>
    </w:p>
    <w:p w14:paraId="44602908" w14:textId="77777777" w:rsidR="000201F2" w:rsidRDefault="0073512A">
      <w:pPr>
        <w:spacing w:before="280" w:after="28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4.22.- </w:t>
      </w:r>
      <w:r>
        <w:rPr>
          <w:rFonts w:ascii="Palatino Linotype" w:eastAsia="Palatino Linotype" w:hAnsi="Palatino Linotype" w:cs="Palatino Linotype"/>
          <w:i/>
          <w:sz w:val="22"/>
          <w:szCs w:val="22"/>
        </w:rPr>
        <w:t>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p>
    <w:p w14:paraId="3813012E" w14:textId="77777777" w:rsidR="000201F2" w:rsidRDefault="0073512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efecto, de los preceptos citados se desprende que Ley de la Materia estableció el cobró de derechos para la entrega de la información, con el objeto de que se cubran los costos de los materiales utilizados en la reproducción de la información, el costo por </w:t>
      </w:r>
      <w:proofErr w:type="spellStart"/>
      <w:r>
        <w:rPr>
          <w:rFonts w:ascii="Palatino Linotype" w:eastAsia="Palatino Linotype" w:hAnsi="Palatino Linotype" w:cs="Palatino Linotype"/>
        </w:rPr>
        <w:t>el</w:t>
      </w:r>
      <w:proofErr w:type="spellEnd"/>
      <w:r>
        <w:rPr>
          <w:rFonts w:ascii="Palatino Linotype" w:eastAsia="Palatino Linotype" w:hAnsi="Palatino Linotype" w:cs="Palatino Linotype"/>
        </w:rPr>
        <w:t xml:space="preserve"> envió de la misma o el pago por la certificación; sin embargo, en el caso que nos ocupa, no se estima que se actualice alguno de los supuestos previstos en la norma, toda vez que la parte solicitante requirió la información a través del sistema </w:t>
      </w:r>
      <w:r>
        <w:rPr>
          <w:rFonts w:ascii="Palatino Linotype" w:eastAsia="Palatino Linotype" w:hAnsi="Palatino Linotype" w:cs="Palatino Linotype"/>
        </w:rPr>
        <w:lastRenderedPageBreak/>
        <w:t xml:space="preserve">SAIMEX, por lo tanto no se le está requiriendo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expida copias certificadas o que reproduzca la información que ya asumió poseer, en cualquier otro medio físico, sino que proporcione la información de manera electrónica, en otras palabras, con la finalidad de satisfacer la solicitud, </w:t>
      </w:r>
      <w:r>
        <w:rPr>
          <w:rFonts w:ascii="Palatino Linotype" w:eastAsia="Palatino Linotype" w:hAnsi="Palatino Linotype" w:cs="Palatino Linotype"/>
          <w:b/>
        </w:rPr>
        <w:t>no es necesario que el Sujeto Obligado realice una reproducción física de la información que conserva en sus archivos,</w:t>
      </w:r>
      <w:r>
        <w:rPr>
          <w:rFonts w:ascii="Palatino Linotype" w:eastAsia="Palatino Linotype" w:hAnsi="Palatino Linotype" w:cs="Palatino Linotype"/>
        </w:rPr>
        <w:t xml:space="preserve"> más bien implicaría realizar una digitalización o escaneo de aquellos documentos que por su naturaleza se encuentran en un medio físico.</w:t>
      </w:r>
    </w:p>
    <w:p w14:paraId="4C21236B" w14:textId="77777777" w:rsidR="000201F2" w:rsidRDefault="0073512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necesario precisar que la digitalización o escaneo de la información, </w:t>
      </w:r>
      <w:r>
        <w:rPr>
          <w:rFonts w:ascii="Palatino Linotype" w:eastAsia="Palatino Linotype" w:hAnsi="Palatino Linotype" w:cs="Palatino Linotype"/>
          <w:b/>
        </w:rPr>
        <w:t>no conlleva la utilización de materiales que le generen un costo</w:t>
      </w:r>
      <w:r>
        <w:rPr>
          <w:rFonts w:ascii="Palatino Linotype" w:eastAsia="Palatino Linotype" w:hAnsi="Palatino Linotype" w:cs="Palatino Linotype"/>
        </w:rPr>
        <w:t xml:space="preserve">, como podría serlo por ejemplo hojas de papel para la emisión de copias; de igual manera, tampoco se actualiza el cobro por certificación, ya que la parte solicitante no requirió la entrega en dicha modalidad, así tampoco se genera un gasto por </w:t>
      </w:r>
      <w:proofErr w:type="spellStart"/>
      <w:r>
        <w:rPr>
          <w:rFonts w:ascii="Palatino Linotype" w:eastAsia="Palatino Linotype" w:hAnsi="Palatino Linotype" w:cs="Palatino Linotype"/>
        </w:rPr>
        <w:t>el</w:t>
      </w:r>
      <w:proofErr w:type="spellEnd"/>
      <w:r>
        <w:rPr>
          <w:rFonts w:ascii="Palatino Linotype" w:eastAsia="Palatino Linotype" w:hAnsi="Palatino Linotype" w:cs="Palatino Linotype"/>
        </w:rPr>
        <w:t xml:space="preserve"> envió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w:t>
      </w:r>
    </w:p>
    <w:p w14:paraId="2E589451" w14:textId="77777777" w:rsidR="000201F2" w:rsidRDefault="0073512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w:t>
      </w:r>
      <w:r>
        <w:rPr>
          <w:rFonts w:ascii="Palatino Linotype" w:eastAsia="Palatino Linotype" w:hAnsi="Palatino Linotype" w:cs="Palatino Linotype"/>
        </w:rPr>
        <w:lastRenderedPageBreak/>
        <w:t xml:space="preserve">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w:t>
      </w:r>
      <w:r>
        <w:rPr>
          <w:rFonts w:ascii="Palatino Linotype" w:eastAsia="Palatino Linotype" w:hAnsi="Palatino Linotype" w:cs="Palatino Linotype"/>
          <w:b/>
          <w:i/>
        </w:rPr>
        <w:t>ningún costo</w:t>
      </w:r>
      <w:r>
        <w:rPr>
          <w:rFonts w:ascii="Palatino Linotype" w:eastAsia="Palatino Linotype" w:hAnsi="Palatino Linotype" w:cs="Palatino Linotype"/>
          <w:i/>
        </w:rPr>
        <w:t>,</w:t>
      </w:r>
      <w:r>
        <w:rPr>
          <w:rFonts w:ascii="Palatino Linotype" w:eastAsia="Palatino Linotype" w:hAnsi="Palatino Linotype" w:cs="Palatino Linotype"/>
        </w:rPr>
        <w:t xml:space="preserve"> incluyendo aquella que se hubiera digitalizado previamente por cualquier motivo, y aún menos en aquellos casos en que la modalidad de entrega sea por medio de la plataforma o vía electrónica.</w:t>
      </w:r>
    </w:p>
    <w:p w14:paraId="173EB61A" w14:textId="77777777" w:rsidR="000201F2" w:rsidRDefault="0073512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no existe presupuesto jurídico que autorice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requerir un pago para entregar la información vía SAIMEX, debido a que dicho sistema fue creado para facilitar el registro y atención de las solicitudes de información, y es su obligación trasladar la información de un soporte físico a uno electrónico y cuidar que los medios electrónicos o impresos en los que conste tanto información pública, como confidencial y reservada se entreguen en versión pública en los casos que eso resulte necesario.</w:t>
      </w:r>
    </w:p>
    <w:p w14:paraId="5BDCD2A5" w14:textId="77777777" w:rsidR="000201F2" w:rsidRDefault="0073512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Pensar lo contrario, sería tanto como reconocer que la utilización del sistema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cierta información no existe la obligación de tenerla digitalizada.</w:t>
      </w:r>
    </w:p>
    <w:p w14:paraId="4189DD8E"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Bajo esta óptica, el derecho del particular de acceder a los documentos que obran en posesión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encuentra limitado, en virtud de que no le fue proporcionada la información solicitada, incumpliendo así lo previsto en el artículo 4 de la Ley de la Materia;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sólo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14:paraId="610573B7"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bajo los argumentos expuestos, se presume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los medios para poder llevar a cabo la referida digitalización y posteriormente realizar la versión pública, de ser el caso, -</w:t>
      </w:r>
      <w:r>
        <w:rPr>
          <w:rFonts w:ascii="Palatino Linotype" w:eastAsia="Palatino Linotype" w:hAnsi="Palatino Linotype" w:cs="Palatino Linotype"/>
          <w:sz w:val="22"/>
          <w:szCs w:val="22"/>
        </w:rPr>
        <w:t>mediante algún software o algún programa, sin que deba necesariamente reproducir la información en formato físico-</w:t>
      </w:r>
      <w:r>
        <w:rPr>
          <w:rFonts w:ascii="Palatino Linotype" w:eastAsia="Palatino Linotype" w:hAnsi="Palatino Linotype" w:cs="Palatino Linotype"/>
        </w:rPr>
        <w:t xml:space="preserve">para estar en condiciones </w:t>
      </w:r>
      <w:proofErr w:type="gramStart"/>
      <w:r>
        <w:rPr>
          <w:rFonts w:ascii="Palatino Linotype" w:eastAsia="Palatino Linotype" w:hAnsi="Palatino Linotype" w:cs="Palatino Linotype"/>
        </w:rPr>
        <w:t>de  atender</w:t>
      </w:r>
      <w:proofErr w:type="gramEnd"/>
      <w:r>
        <w:rPr>
          <w:rFonts w:ascii="Palatino Linotype" w:eastAsia="Palatino Linotype" w:hAnsi="Palatino Linotype" w:cs="Palatino Linotype"/>
        </w:rPr>
        <w:t xml:space="preserve"> la solicitud como el que a continuación se sugiere. </w:t>
      </w:r>
    </w:p>
    <w:p w14:paraId="2935193C" w14:textId="77777777" w:rsidR="000201F2" w:rsidRDefault="0073512A">
      <w:pPr>
        <w:spacing w:line="360" w:lineRule="auto"/>
        <w:ind w:right="49"/>
        <w:jc w:val="both"/>
        <w:rPr>
          <w:rFonts w:ascii="Palatino Linotype" w:eastAsia="Palatino Linotype" w:hAnsi="Palatino Linotype" w:cs="Palatino Linotype"/>
        </w:rPr>
      </w:pPr>
      <w:proofErr w:type="gramStart"/>
      <w:r>
        <w:rPr>
          <w:rFonts w:ascii="Palatino Linotype" w:eastAsia="Palatino Linotype" w:hAnsi="Palatino Linotype" w:cs="Palatino Linotype"/>
        </w:rPr>
        <w:t>Primeramente</w:t>
      </w:r>
      <w:proofErr w:type="gramEnd"/>
      <w:r>
        <w:rPr>
          <w:rFonts w:ascii="Palatino Linotype" w:eastAsia="Palatino Linotype" w:hAnsi="Palatino Linotype" w:cs="Palatino Linotype"/>
        </w:rPr>
        <w:t xml:space="preserve"> se requiere adquirir un programa de aplicación informática denominado </w:t>
      </w:r>
      <w:r>
        <w:rPr>
          <w:rFonts w:ascii="Palatino Linotype" w:eastAsia="Palatino Linotype" w:hAnsi="Palatino Linotype" w:cs="Palatino Linotype"/>
          <w:b/>
        </w:rPr>
        <w:t>“Adobe Acrobat Reader”</w:t>
      </w:r>
      <w:r>
        <w:rPr>
          <w:rFonts w:ascii="Palatino Linotype" w:eastAsia="Palatino Linotype" w:hAnsi="Palatino Linotype" w:cs="Palatino Linotype"/>
        </w:rPr>
        <w:t xml:space="preserve"> diseñado para visualizar, crear y modificar archivos con el formato “Portable </w:t>
      </w:r>
      <w:proofErr w:type="spellStart"/>
      <w:r>
        <w:rPr>
          <w:rFonts w:ascii="Palatino Linotype" w:eastAsia="Palatino Linotype" w:hAnsi="Palatino Linotype" w:cs="Palatino Linotype"/>
        </w:rPr>
        <w:t>Document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Format</w:t>
      </w:r>
      <w:proofErr w:type="spellEnd"/>
      <w:r>
        <w:rPr>
          <w:rFonts w:ascii="Palatino Linotype" w:eastAsia="Palatino Linotype" w:hAnsi="Palatino Linotype" w:cs="Palatino Linotype"/>
        </w:rPr>
        <w:t xml:space="preserve">”, más conocido como “PDF”, </w:t>
      </w:r>
      <w:r>
        <w:rPr>
          <w:rFonts w:ascii="Palatino Linotype" w:eastAsia="Palatino Linotype" w:hAnsi="Palatino Linotype" w:cs="Palatino Linotype"/>
        </w:rPr>
        <w:lastRenderedPageBreak/>
        <w:t xml:space="preserve">programa que de acuerdo a las tareas y actividades efectuadas por el </w:t>
      </w:r>
      <w:r>
        <w:rPr>
          <w:rFonts w:ascii="Palatino Linotype" w:eastAsia="Palatino Linotype" w:hAnsi="Palatino Linotype" w:cs="Palatino Linotype"/>
          <w:b/>
        </w:rPr>
        <w:t>Sujeto Obligado</w:t>
      </w:r>
      <w:r>
        <w:rPr>
          <w:rFonts w:ascii="Palatino Linotype" w:eastAsia="Palatino Linotype" w:hAnsi="Palatino Linotype" w:cs="Palatino Linotype"/>
        </w:rPr>
        <w:t>, se colige se encuentra instalado en sus equipos de cómputo.</w:t>
      </w:r>
    </w:p>
    <w:p w14:paraId="7515DFE5" w14:textId="77777777" w:rsidR="000201F2" w:rsidRDefault="000201F2">
      <w:pPr>
        <w:spacing w:line="360" w:lineRule="auto"/>
        <w:ind w:left="720"/>
        <w:rPr>
          <w:rFonts w:ascii="Palatino Linotype" w:eastAsia="Palatino Linotype" w:hAnsi="Palatino Linotype" w:cs="Palatino Linotype"/>
        </w:rPr>
      </w:pPr>
    </w:p>
    <w:p w14:paraId="633B50DF" w14:textId="77777777" w:rsidR="000201F2" w:rsidRDefault="0073512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no ser así se encuentra disponible para descarga en español en la dirección electrónica siguiente:</w:t>
      </w:r>
    </w:p>
    <w:p w14:paraId="759A5E70" w14:textId="77777777" w:rsidR="000201F2" w:rsidRDefault="000201F2">
      <w:pPr>
        <w:spacing w:line="360" w:lineRule="auto"/>
        <w:ind w:right="49"/>
        <w:jc w:val="both"/>
        <w:rPr>
          <w:rFonts w:ascii="Palatino Linotype" w:eastAsia="Palatino Linotype" w:hAnsi="Palatino Linotype" w:cs="Palatino Linotype"/>
        </w:rPr>
      </w:pPr>
    </w:p>
    <w:p w14:paraId="3E25F050" w14:textId="77777777" w:rsidR="000201F2" w:rsidRPr="006E1991" w:rsidRDefault="0073512A">
      <w:pPr>
        <w:spacing w:line="360" w:lineRule="auto"/>
        <w:ind w:left="567"/>
        <w:jc w:val="both"/>
        <w:rPr>
          <w:rFonts w:ascii="Palatino Linotype" w:eastAsia="Palatino Linotype" w:hAnsi="Palatino Linotype" w:cs="Palatino Linotype"/>
        </w:rPr>
      </w:pPr>
      <w:r w:rsidRPr="006E1991">
        <w:rPr>
          <w:rFonts w:ascii="Palatino Linotype" w:eastAsia="Palatino Linotype" w:hAnsi="Palatino Linotype" w:cs="Palatino Linotype"/>
        </w:rPr>
        <w:t>https://acrobat.adobe.com/mx/es/acrobat/pdf-reader.html</w:t>
      </w:r>
    </w:p>
    <w:p w14:paraId="50811031" w14:textId="77777777" w:rsidR="000201F2" w:rsidRPr="006E1991" w:rsidRDefault="000201F2">
      <w:pPr>
        <w:spacing w:line="360" w:lineRule="auto"/>
        <w:ind w:left="720"/>
        <w:rPr>
          <w:rFonts w:ascii="Palatino Linotype" w:eastAsia="Palatino Linotype" w:hAnsi="Palatino Linotype" w:cs="Palatino Linotype"/>
        </w:rPr>
      </w:pPr>
    </w:p>
    <w:p w14:paraId="02570D8F" w14:textId="77777777" w:rsidR="000201F2" w:rsidRPr="006E1991" w:rsidRDefault="0073512A">
      <w:pPr>
        <w:spacing w:line="360" w:lineRule="auto"/>
        <w:ind w:right="49"/>
        <w:jc w:val="both"/>
        <w:rPr>
          <w:rFonts w:ascii="Palatino Linotype" w:eastAsia="Palatino Linotype" w:hAnsi="Palatino Linotype" w:cs="Palatino Linotype"/>
        </w:rPr>
      </w:pPr>
      <w:r w:rsidRPr="006E1991">
        <w:rPr>
          <w:rFonts w:ascii="Palatino Linotype" w:eastAsia="Palatino Linotype" w:hAnsi="Palatino Linotype" w:cs="Palatino Linotype"/>
        </w:rPr>
        <w:t>Una vez descargado el programa, el proceso de testado reside en lo siguiente:</w:t>
      </w:r>
    </w:p>
    <w:p w14:paraId="60AFCDAF" w14:textId="77777777" w:rsidR="000201F2" w:rsidRPr="006E1991" w:rsidRDefault="0073512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1991">
        <w:rPr>
          <w:rFonts w:ascii="Palatino Linotype" w:eastAsia="Palatino Linotype" w:hAnsi="Palatino Linotype" w:cs="Palatino Linotype"/>
          <w:color w:val="000000"/>
          <w:sz w:val="22"/>
          <w:szCs w:val="22"/>
        </w:rPr>
        <w:t xml:space="preserve">Se procede a abrir el archivo a editar, dar clic en la pestaña </w:t>
      </w:r>
      <w:r w:rsidRPr="006E1991">
        <w:rPr>
          <w:rFonts w:ascii="Palatino Linotype" w:eastAsia="Palatino Linotype" w:hAnsi="Palatino Linotype" w:cs="Palatino Linotype"/>
          <w:b/>
          <w:i/>
          <w:color w:val="000000"/>
          <w:sz w:val="22"/>
          <w:szCs w:val="22"/>
        </w:rPr>
        <w:t>Herramientas</w:t>
      </w:r>
      <w:r w:rsidRPr="006E1991">
        <w:rPr>
          <w:rFonts w:ascii="Palatino Linotype" w:eastAsia="Palatino Linotype" w:hAnsi="Palatino Linotype" w:cs="Palatino Linotype"/>
          <w:color w:val="000000"/>
          <w:sz w:val="22"/>
          <w:szCs w:val="22"/>
        </w:rPr>
        <w:t xml:space="preserve">, </w:t>
      </w:r>
      <w:proofErr w:type="gramStart"/>
      <w:r w:rsidRPr="006E1991">
        <w:rPr>
          <w:rFonts w:ascii="Palatino Linotype" w:eastAsia="Palatino Linotype" w:hAnsi="Palatino Linotype" w:cs="Palatino Linotype"/>
          <w:color w:val="000000"/>
          <w:sz w:val="22"/>
          <w:szCs w:val="22"/>
        </w:rPr>
        <w:t>y  seleccionar</w:t>
      </w:r>
      <w:proofErr w:type="gramEnd"/>
      <w:r w:rsidRPr="006E1991">
        <w:rPr>
          <w:rFonts w:ascii="Palatino Linotype" w:eastAsia="Palatino Linotype" w:hAnsi="Palatino Linotype" w:cs="Palatino Linotype"/>
          <w:color w:val="000000"/>
          <w:sz w:val="22"/>
          <w:szCs w:val="22"/>
        </w:rPr>
        <w:t xml:space="preserve"> la herramienta de </w:t>
      </w:r>
      <w:r w:rsidRPr="006E1991">
        <w:rPr>
          <w:rFonts w:ascii="Palatino Linotype" w:eastAsia="Palatino Linotype" w:hAnsi="Palatino Linotype" w:cs="Palatino Linotype"/>
          <w:b/>
          <w:i/>
          <w:color w:val="000000"/>
          <w:sz w:val="22"/>
          <w:szCs w:val="22"/>
        </w:rPr>
        <w:t>Censurar.</w:t>
      </w:r>
    </w:p>
    <w:p w14:paraId="5372AF42" w14:textId="77777777" w:rsidR="000201F2" w:rsidRPr="006E1991" w:rsidRDefault="0073512A">
      <w:pPr>
        <w:spacing w:line="360" w:lineRule="auto"/>
        <w:jc w:val="center"/>
        <w:rPr>
          <w:rFonts w:ascii="Palatino Linotype" w:eastAsia="Palatino Linotype" w:hAnsi="Palatino Linotype" w:cs="Palatino Linotype"/>
        </w:rPr>
      </w:pPr>
      <w:r w:rsidRPr="006E1991">
        <w:rPr>
          <w:rFonts w:ascii="Palatino Linotype" w:eastAsia="Palatino Linotype" w:hAnsi="Palatino Linotype" w:cs="Palatino Linotype"/>
          <w:noProof/>
          <w:lang w:eastAsia="es-MX"/>
        </w:rPr>
        <w:drawing>
          <wp:inline distT="0" distB="0" distL="0" distR="0" wp14:anchorId="39FF4193" wp14:editId="108379D3">
            <wp:extent cx="5579970" cy="2620773"/>
            <wp:effectExtent l="0" t="0" r="0" b="0"/>
            <wp:docPr id="21330926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579970" cy="2620773"/>
                    </a:xfrm>
                    <a:prstGeom prst="rect">
                      <a:avLst/>
                    </a:prstGeom>
                    <a:ln/>
                  </pic:spPr>
                </pic:pic>
              </a:graphicData>
            </a:graphic>
          </wp:inline>
        </w:drawing>
      </w:r>
      <w:r w:rsidRPr="006E1991">
        <w:rPr>
          <w:noProof/>
          <w:lang w:eastAsia="es-MX"/>
        </w:rPr>
        <mc:AlternateContent>
          <mc:Choice Requires="wpg">
            <w:drawing>
              <wp:anchor distT="0" distB="0" distL="114300" distR="114300" simplePos="0" relativeHeight="251658240" behindDoc="0" locked="0" layoutInCell="1" hidden="0" allowOverlap="1" wp14:anchorId="1EE549D4" wp14:editId="5D4E0A01">
                <wp:simplePos x="0" y="0"/>
                <wp:positionH relativeFrom="column">
                  <wp:posOffset>1778000</wp:posOffset>
                </wp:positionH>
                <wp:positionV relativeFrom="paragraph">
                  <wp:posOffset>876300</wp:posOffset>
                </wp:positionV>
                <wp:extent cx="614351" cy="603460"/>
                <wp:effectExtent l="0" t="0" r="0" b="0"/>
                <wp:wrapNone/>
                <wp:docPr id="2133092671" name="Flecha: a la derecha 2133092671"/>
                <wp:cNvGraphicFramePr/>
                <a:graphic xmlns:a="http://schemas.openxmlformats.org/drawingml/2006/main">
                  <a:graphicData uri="http://schemas.microsoft.com/office/word/2010/wordprocessingShape">
                    <wps:wsp>
                      <wps:cNvSpPr/>
                      <wps:spPr>
                        <a:xfrm rot="1883494">
                          <a:off x="5169284" y="3649803"/>
                          <a:ext cx="353432" cy="260394"/>
                        </a:xfrm>
                        <a:prstGeom prst="rightArrow">
                          <a:avLst>
                            <a:gd name="adj1" fmla="val 50000"/>
                            <a:gd name="adj2" fmla="val 50000"/>
                          </a:avLst>
                        </a:prstGeom>
                        <a:solidFill>
                          <a:srgbClr val="000000"/>
                        </a:solidFill>
                        <a:ln w="9525" cap="flat" cmpd="sng">
                          <a:solidFill>
                            <a:srgbClr val="000000"/>
                          </a:solidFill>
                          <a:prstDash val="solid"/>
                          <a:miter lim="800000"/>
                          <a:headEnd type="none" w="sm" len="sm"/>
                          <a:tailEnd type="none" w="sm" len="sm"/>
                        </a:ln>
                      </wps:spPr>
                      <wps:txbx>
                        <w:txbxContent>
                          <w:p w14:paraId="1C53DDE0" w14:textId="77777777" w:rsidR="000201F2" w:rsidRDefault="000201F2">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1778000</wp:posOffset>
                </wp:positionH>
                <wp:positionV relativeFrom="paragraph">
                  <wp:posOffset>876300</wp:posOffset>
                </wp:positionV>
                <wp:extent cx="614351" cy="603460"/>
                <wp:effectExtent b="0" l="0" r="0" t="0"/>
                <wp:wrapNone/>
                <wp:docPr id="2133092671" name="image16.png"/>
                <a:graphic>
                  <a:graphicData uri="http://schemas.openxmlformats.org/drawingml/2006/picture">
                    <pic:pic>
                      <pic:nvPicPr>
                        <pic:cNvPr id="0" name="image16.png"/>
                        <pic:cNvPicPr preferRelativeResize="0"/>
                      </pic:nvPicPr>
                      <pic:blipFill>
                        <a:blip r:embed="rId21"/>
                        <a:srcRect/>
                        <a:stretch>
                          <a:fillRect/>
                        </a:stretch>
                      </pic:blipFill>
                      <pic:spPr>
                        <a:xfrm>
                          <a:off x="0" y="0"/>
                          <a:ext cx="614351" cy="603460"/>
                        </a:xfrm>
                        <a:prstGeom prst="rect"/>
                        <a:ln/>
                      </pic:spPr>
                    </pic:pic>
                  </a:graphicData>
                </a:graphic>
              </wp:anchor>
            </w:drawing>
          </mc:Fallback>
        </mc:AlternateContent>
      </w:r>
      <w:r w:rsidRPr="006E1991">
        <w:rPr>
          <w:noProof/>
          <w:lang w:eastAsia="es-MX"/>
        </w:rPr>
        <mc:AlternateContent>
          <mc:Choice Requires="wpg">
            <w:drawing>
              <wp:anchor distT="0" distB="0" distL="114300" distR="114300" simplePos="0" relativeHeight="251659264" behindDoc="0" locked="0" layoutInCell="1" hidden="0" allowOverlap="1" wp14:anchorId="15E2A6DA" wp14:editId="3327AE8C">
                <wp:simplePos x="0" y="0"/>
                <wp:positionH relativeFrom="column">
                  <wp:posOffset>508000</wp:posOffset>
                </wp:positionH>
                <wp:positionV relativeFrom="paragraph">
                  <wp:posOffset>304800</wp:posOffset>
                </wp:positionV>
                <wp:extent cx="372482" cy="279444"/>
                <wp:effectExtent l="0" t="0" r="0" b="0"/>
                <wp:wrapNone/>
                <wp:docPr id="2133092669" name="Flecha: a la derecha 2133092669"/>
                <wp:cNvGraphicFramePr/>
                <a:graphic xmlns:a="http://schemas.openxmlformats.org/drawingml/2006/main">
                  <a:graphicData uri="http://schemas.microsoft.com/office/word/2010/wordprocessingShape">
                    <wps:wsp>
                      <wps:cNvSpPr/>
                      <wps:spPr>
                        <a:xfrm rot="-5400000">
                          <a:off x="5169284" y="3649803"/>
                          <a:ext cx="353432" cy="260394"/>
                        </a:xfrm>
                        <a:prstGeom prst="rightArrow">
                          <a:avLst>
                            <a:gd name="adj1" fmla="val 50000"/>
                            <a:gd name="adj2" fmla="val 50000"/>
                          </a:avLst>
                        </a:prstGeom>
                        <a:solidFill>
                          <a:srgbClr val="000000"/>
                        </a:solidFill>
                        <a:ln w="9525" cap="flat" cmpd="sng">
                          <a:solidFill>
                            <a:srgbClr val="000000"/>
                          </a:solidFill>
                          <a:prstDash val="solid"/>
                          <a:miter lim="800000"/>
                          <a:headEnd type="none" w="sm" len="sm"/>
                          <a:tailEnd type="none" w="sm" len="sm"/>
                        </a:ln>
                      </wps:spPr>
                      <wps:txbx>
                        <w:txbxContent>
                          <w:p w14:paraId="6385FC55" w14:textId="77777777" w:rsidR="000201F2" w:rsidRDefault="000201F2">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508000</wp:posOffset>
                </wp:positionH>
                <wp:positionV relativeFrom="paragraph">
                  <wp:posOffset>304800</wp:posOffset>
                </wp:positionV>
                <wp:extent cx="372482" cy="279444"/>
                <wp:effectExtent b="0" l="0" r="0" t="0"/>
                <wp:wrapNone/>
                <wp:docPr id="2133092669" name="image14.png"/>
                <a:graphic>
                  <a:graphicData uri="http://schemas.openxmlformats.org/drawingml/2006/picture">
                    <pic:pic>
                      <pic:nvPicPr>
                        <pic:cNvPr id="0" name="image14.png"/>
                        <pic:cNvPicPr preferRelativeResize="0"/>
                      </pic:nvPicPr>
                      <pic:blipFill>
                        <a:blip r:embed="rId22"/>
                        <a:srcRect/>
                        <a:stretch>
                          <a:fillRect/>
                        </a:stretch>
                      </pic:blipFill>
                      <pic:spPr>
                        <a:xfrm>
                          <a:off x="0" y="0"/>
                          <a:ext cx="372482" cy="279444"/>
                        </a:xfrm>
                        <a:prstGeom prst="rect"/>
                        <a:ln/>
                      </pic:spPr>
                    </pic:pic>
                  </a:graphicData>
                </a:graphic>
              </wp:anchor>
            </w:drawing>
          </mc:Fallback>
        </mc:AlternateContent>
      </w:r>
    </w:p>
    <w:p w14:paraId="71BA4B0B" w14:textId="77777777" w:rsidR="000201F2" w:rsidRPr="006E1991" w:rsidRDefault="000201F2">
      <w:pPr>
        <w:spacing w:line="360" w:lineRule="auto"/>
        <w:rPr>
          <w:rFonts w:ascii="Palatino Linotype" w:eastAsia="Palatino Linotype" w:hAnsi="Palatino Linotype" w:cs="Palatino Linotype"/>
        </w:rPr>
      </w:pPr>
    </w:p>
    <w:p w14:paraId="12DDDD8F" w14:textId="77777777" w:rsidR="000201F2" w:rsidRPr="006E1991" w:rsidRDefault="0073512A">
      <w:pPr>
        <w:spacing w:line="360" w:lineRule="auto"/>
        <w:jc w:val="both"/>
        <w:rPr>
          <w:rFonts w:ascii="Palatino Linotype" w:eastAsia="Palatino Linotype" w:hAnsi="Palatino Linotype" w:cs="Palatino Linotype"/>
        </w:rPr>
      </w:pPr>
      <w:r w:rsidRPr="006E1991">
        <w:rPr>
          <w:rFonts w:ascii="Palatino Linotype" w:eastAsia="Palatino Linotype" w:hAnsi="Palatino Linotype" w:cs="Palatino Linotype"/>
        </w:rPr>
        <w:t xml:space="preserve">Posteriormente seleccionar la pestaña denominada </w:t>
      </w:r>
      <w:r w:rsidRPr="006E1991">
        <w:rPr>
          <w:rFonts w:ascii="Palatino Linotype" w:eastAsia="Palatino Linotype" w:hAnsi="Palatino Linotype" w:cs="Palatino Linotype"/>
          <w:b/>
          <w:i/>
        </w:rPr>
        <w:t>Marcar para censura,</w:t>
      </w:r>
      <w:r w:rsidRPr="006E1991">
        <w:rPr>
          <w:rFonts w:ascii="Palatino Linotype" w:eastAsia="Palatino Linotype" w:hAnsi="Palatino Linotype" w:cs="Palatino Linotype"/>
        </w:rPr>
        <w:t xml:space="preserve"> y seleccionar la opción de </w:t>
      </w:r>
      <w:r w:rsidRPr="006E1991">
        <w:rPr>
          <w:rFonts w:ascii="Palatino Linotype" w:eastAsia="Palatino Linotype" w:hAnsi="Palatino Linotype" w:cs="Palatino Linotype"/>
          <w:b/>
          <w:i/>
        </w:rPr>
        <w:t>Texto e Imágenes</w:t>
      </w:r>
      <w:r w:rsidRPr="006E1991">
        <w:rPr>
          <w:rFonts w:ascii="Palatino Linotype" w:eastAsia="Palatino Linotype" w:hAnsi="Palatino Linotype" w:cs="Palatino Linotype"/>
        </w:rPr>
        <w:t>, y proceder al testado del documento.</w:t>
      </w:r>
      <w:r w:rsidRPr="006E1991">
        <w:rPr>
          <w:noProof/>
          <w:lang w:eastAsia="es-MX"/>
        </w:rPr>
        <mc:AlternateContent>
          <mc:Choice Requires="wpg">
            <w:drawing>
              <wp:anchor distT="0" distB="0" distL="114300" distR="114300" simplePos="0" relativeHeight="251660288" behindDoc="0" locked="0" layoutInCell="1" hidden="0" allowOverlap="1" wp14:anchorId="145FF0ED" wp14:editId="3FAA7330">
                <wp:simplePos x="0" y="0"/>
                <wp:positionH relativeFrom="column">
                  <wp:posOffset>-50799</wp:posOffset>
                </wp:positionH>
                <wp:positionV relativeFrom="paragraph">
                  <wp:posOffset>800100</wp:posOffset>
                </wp:positionV>
                <wp:extent cx="5681980" cy="1198033"/>
                <wp:effectExtent l="0" t="0" r="0" b="0"/>
                <wp:wrapNone/>
                <wp:docPr id="2133092670" name="Rectángulo 2133092670"/>
                <wp:cNvGraphicFramePr/>
                <a:graphic xmlns:a="http://schemas.openxmlformats.org/drawingml/2006/main">
                  <a:graphicData uri="http://schemas.microsoft.com/office/word/2010/wordprocessingShape">
                    <wps:wsp>
                      <wps:cNvSpPr/>
                      <wps:spPr>
                        <a:xfrm>
                          <a:off x="2511360" y="3187334"/>
                          <a:ext cx="5669280" cy="118533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507A6B8" w14:textId="77777777" w:rsidR="000201F2" w:rsidRDefault="0073512A">
                            <w:pPr>
                              <w:jc w:val="center"/>
                              <w:textDirection w:val="btLr"/>
                            </w:pPr>
                            <w:r>
                              <w:rPr>
                                <w:rFonts w:ascii="Palatino Linotype" w:eastAsia="Palatino Linotype" w:hAnsi="Palatino Linotype" w:cs="Palatino Linotype"/>
                                <w:color w:val="000000"/>
                                <w:sz w:val="32"/>
                              </w:rPr>
                              <w:t>SIN TEXTO</w:t>
                            </w:r>
                          </w:p>
                        </w:txbxContent>
                      </wps:txbx>
                      <wps:bodyPr spcFirstLastPara="1" wrap="square" lIns="91425" tIns="45700" rIns="91425" bIns="45700" anchor="ctr" anchorCtr="0">
                        <a:noAutofit/>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-50799</wp:posOffset>
                </wp:positionH>
                <wp:positionV relativeFrom="paragraph">
                  <wp:posOffset>800100</wp:posOffset>
                </wp:positionV>
                <wp:extent cx="5681980" cy="1198033"/>
                <wp:effectExtent b="0" l="0" r="0" t="0"/>
                <wp:wrapNone/>
                <wp:docPr id="2133092670" name="image15.png"/>
                <a:graphic>
                  <a:graphicData uri="http://schemas.openxmlformats.org/drawingml/2006/picture">
                    <pic:pic>
                      <pic:nvPicPr>
                        <pic:cNvPr id="0" name="image15.png"/>
                        <pic:cNvPicPr preferRelativeResize="0"/>
                      </pic:nvPicPr>
                      <pic:blipFill>
                        <a:blip r:embed="rId23"/>
                        <a:srcRect/>
                        <a:stretch>
                          <a:fillRect/>
                        </a:stretch>
                      </pic:blipFill>
                      <pic:spPr>
                        <a:xfrm>
                          <a:off x="0" y="0"/>
                          <a:ext cx="5681980" cy="1198033"/>
                        </a:xfrm>
                        <a:prstGeom prst="rect"/>
                        <a:ln/>
                      </pic:spPr>
                    </pic:pic>
                  </a:graphicData>
                </a:graphic>
              </wp:anchor>
            </w:drawing>
          </mc:Fallback>
        </mc:AlternateContent>
      </w:r>
    </w:p>
    <w:p w14:paraId="64897477" w14:textId="77777777" w:rsidR="000201F2" w:rsidRPr="006E1991" w:rsidRDefault="0073512A">
      <w:pPr>
        <w:spacing w:line="360" w:lineRule="auto"/>
        <w:jc w:val="center"/>
        <w:rPr>
          <w:rFonts w:ascii="Palatino Linotype" w:eastAsia="Palatino Linotype" w:hAnsi="Palatino Linotype" w:cs="Palatino Linotype"/>
        </w:rPr>
      </w:pPr>
      <w:r w:rsidRPr="006E1991">
        <w:rPr>
          <w:rFonts w:ascii="Calibri" w:eastAsia="Calibri" w:hAnsi="Calibri" w:cs="Calibri"/>
          <w:noProof/>
          <w:lang w:eastAsia="es-MX"/>
        </w:rPr>
        <w:lastRenderedPageBreak/>
        <w:drawing>
          <wp:inline distT="0" distB="0" distL="0" distR="0" wp14:anchorId="0911D008" wp14:editId="0B668359">
            <wp:extent cx="5476875" cy="5476875"/>
            <wp:effectExtent l="0" t="0" r="0" b="0"/>
            <wp:docPr id="21330926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l="31914" t="20631" r="32244" b="15655"/>
                    <a:stretch>
                      <a:fillRect/>
                    </a:stretch>
                  </pic:blipFill>
                  <pic:spPr>
                    <a:xfrm>
                      <a:off x="0" y="0"/>
                      <a:ext cx="5476875" cy="5476875"/>
                    </a:xfrm>
                    <a:prstGeom prst="rect">
                      <a:avLst/>
                    </a:prstGeom>
                    <a:ln/>
                  </pic:spPr>
                </pic:pic>
              </a:graphicData>
            </a:graphic>
          </wp:inline>
        </w:drawing>
      </w:r>
    </w:p>
    <w:p w14:paraId="0845D7F2" w14:textId="77777777" w:rsidR="000201F2" w:rsidRPr="006E1991" w:rsidRDefault="000201F2">
      <w:pPr>
        <w:spacing w:line="360" w:lineRule="auto"/>
        <w:ind w:left="720"/>
        <w:jc w:val="both"/>
        <w:rPr>
          <w:rFonts w:ascii="Palatino Linotype" w:eastAsia="Palatino Linotype" w:hAnsi="Palatino Linotype" w:cs="Palatino Linotype"/>
        </w:rPr>
      </w:pPr>
    </w:p>
    <w:p w14:paraId="7A7A02CD" w14:textId="77777777" w:rsidR="000201F2" w:rsidRPr="006E1991" w:rsidRDefault="0073512A">
      <w:pPr>
        <w:spacing w:line="360" w:lineRule="auto"/>
        <w:jc w:val="both"/>
        <w:rPr>
          <w:rFonts w:ascii="Palatino Linotype" w:eastAsia="Palatino Linotype" w:hAnsi="Palatino Linotype" w:cs="Palatino Linotype"/>
        </w:rPr>
      </w:pPr>
      <w:r w:rsidRPr="006E1991">
        <w:rPr>
          <w:rFonts w:ascii="Palatino Linotype" w:eastAsia="Palatino Linotype" w:hAnsi="Palatino Linotype" w:cs="Palatino Linotype"/>
        </w:rPr>
        <w:t xml:space="preserve">Una vez realizado lo anterior, se procede a seleccionar el texto que se desea testar, y se debe presionar el apartado </w:t>
      </w:r>
      <w:r w:rsidRPr="006E1991">
        <w:rPr>
          <w:rFonts w:ascii="Palatino Linotype" w:eastAsia="Palatino Linotype" w:hAnsi="Palatino Linotype" w:cs="Palatino Linotype"/>
          <w:b/>
          <w:i/>
        </w:rPr>
        <w:t xml:space="preserve">Aplicar, </w:t>
      </w:r>
      <w:r w:rsidRPr="006E1991">
        <w:rPr>
          <w:rFonts w:ascii="Palatino Linotype" w:eastAsia="Palatino Linotype" w:hAnsi="Palatino Linotype" w:cs="Palatino Linotype"/>
        </w:rPr>
        <w:t>para que el documento quede de la siguiente manera:</w:t>
      </w:r>
    </w:p>
    <w:p w14:paraId="35CA72E7" w14:textId="77777777" w:rsidR="000201F2" w:rsidRPr="006E1991" w:rsidRDefault="0073512A">
      <w:pPr>
        <w:spacing w:after="360" w:line="360" w:lineRule="auto"/>
        <w:jc w:val="center"/>
        <w:rPr>
          <w:rFonts w:ascii="Palatino Linotype" w:eastAsia="Palatino Linotype" w:hAnsi="Palatino Linotype" w:cs="Palatino Linotype"/>
        </w:rPr>
      </w:pPr>
      <w:r w:rsidRPr="006E1991">
        <w:rPr>
          <w:rFonts w:ascii="Calibri" w:eastAsia="Calibri" w:hAnsi="Calibri" w:cs="Calibri"/>
          <w:noProof/>
          <w:lang w:eastAsia="es-MX"/>
        </w:rPr>
        <w:lastRenderedPageBreak/>
        <w:drawing>
          <wp:inline distT="0" distB="0" distL="0" distR="0" wp14:anchorId="76C9A8E6" wp14:editId="316168E8">
            <wp:extent cx="5529565" cy="5452251"/>
            <wp:effectExtent l="0" t="0" r="0" b="0"/>
            <wp:docPr id="213309268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l="31726" t="20271" r="31711" b="15638"/>
                    <a:stretch>
                      <a:fillRect/>
                    </a:stretch>
                  </pic:blipFill>
                  <pic:spPr>
                    <a:xfrm>
                      <a:off x="0" y="0"/>
                      <a:ext cx="5529565" cy="5452251"/>
                    </a:xfrm>
                    <a:prstGeom prst="rect">
                      <a:avLst/>
                    </a:prstGeom>
                    <a:ln/>
                  </pic:spPr>
                </pic:pic>
              </a:graphicData>
            </a:graphic>
          </wp:inline>
        </w:drawing>
      </w:r>
    </w:p>
    <w:p w14:paraId="32A6C848" w14:textId="77777777" w:rsidR="000201F2" w:rsidRDefault="0073512A">
      <w:pPr>
        <w:spacing w:before="240" w:after="360" w:line="360" w:lineRule="auto"/>
        <w:jc w:val="both"/>
        <w:rPr>
          <w:rFonts w:ascii="Palatino Linotype" w:eastAsia="Palatino Linotype" w:hAnsi="Palatino Linotype" w:cs="Palatino Linotype"/>
          <w:color w:val="000000"/>
        </w:rPr>
      </w:pPr>
      <w:r w:rsidRPr="006E1991">
        <w:rPr>
          <w:rFonts w:ascii="Palatino Linotype" w:eastAsia="Palatino Linotype" w:hAnsi="Palatino Linotype" w:cs="Palatino Linotype"/>
        </w:rPr>
        <w:t>Asimismo, no pasa desapercibido que la opción de censura se encuentra disponible en la versión más completa del programa de referencia, la cual tiene un costo; sin</w:t>
      </w:r>
      <w:r>
        <w:rPr>
          <w:rFonts w:ascii="Palatino Linotype" w:eastAsia="Palatino Linotype" w:hAnsi="Palatino Linotype" w:cs="Palatino Linotype"/>
        </w:rPr>
        <w:t xml:space="preserve"> embargo, dicho programa también puede ser descargado en una versión gratuita de prueba con acceso a todas sus funciones, en el hipervínculo adjunto en párrafos anteriores. Además, también es necesario señalar que no es el único medio para </w:t>
      </w:r>
      <w:r>
        <w:rPr>
          <w:rFonts w:ascii="Palatino Linotype" w:eastAsia="Palatino Linotype" w:hAnsi="Palatino Linotype" w:cs="Palatino Linotype"/>
        </w:rPr>
        <w:lastRenderedPageBreak/>
        <w:t xml:space="preserve">poder elaborar una versión pública de un documento, toda vez que existen algunos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por su formato, puede ser suprimida la información sin necesidad de utilizar el método anterior</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por lo que la versión pública que se realice debe de ser permanente,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asegurarse de que la misma no pueda ser retirada por ningún motivo.</w:t>
      </w:r>
    </w:p>
    <w:p w14:paraId="435E4D1F" w14:textId="77777777" w:rsidR="000201F2" w:rsidRDefault="0073512A">
      <w:pPr>
        <w:spacing w:before="240" w:after="240"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color w:val="000000"/>
        </w:rPr>
        <w:t xml:space="preserve">De lo anterior, este Organismo Garante estima procedente </w:t>
      </w:r>
      <w:r>
        <w:rPr>
          <w:rFonts w:ascii="Palatino Linotype" w:eastAsia="Palatino Linotype" w:hAnsi="Palatino Linotype" w:cs="Palatino Linotype"/>
          <w:b/>
          <w:color w:val="000000"/>
        </w:rPr>
        <w:t xml:space="preserve">ordenar la entrega, de ser procedente en versión pública, </w:t>
      </w:r>
      <w:r>
        <w:rPr>
          <w:rFonts w:ascii="Palatino Linotype" w:eastAsia="Palatino Linotype" w:hAnsi="Palatino Linotype" w:cs="Palatino Linotype"/>
          <w:b/>
        </w:rPr>
        <w:t>mediante el sistema SAIMEX, sin costo para la solicitante, de la siguiente información:</w:t>
      </w:r>
      <w:r>
        <w:rPr>
          <w:rFonts w:ascii="Palatino Linotype" w:eastAsia="Palatino Linotype" w:hAnsi="Palatino Linotype" w:cs="Palatino Linotype"/>
        </w:rPr>
        <w:t xml:space="preserve"> </w:t>
      </w:r>
      <w:r>
        <w:rPr>
          <w:rFonts w:ascii="Palatino Linotype" w:eastAsia="Palatino Linotype" w:hAnsi="Palatino Linotype" w:cs="Palatino Linotype"/>
          <w:u w:val="single"/>
        </w:rPr>
        <w:t xml:space="preserve">El documento donde conste la práctica proactiva consistente en “Tesorería Municipal” del ejercicio 2022; Las constancias o reconocimientos impartidos por el INFOEM al Ayuntamiento de Toluca en el año 2022, de todos los servidores públicos; Los oficios por parte de la Unidad de Transparencia enviados y recibidos en las Unidades Administrativas, </w:t>
      </w:r>
      <w:r>
        <w:rPr>
          <w:rFonts w:ascii="Palatino Linotype" w:eastAsia="Palatino Linotype" w:hAnsi="Palatino Linotype" w:cs="Palatino Linotype"/>
          <w:color w:val="000000"/>
          <w:u w:val="single"/>
        </w:rPr>
        <w:t xml:space="preserve">a través de los cuales invitó a los servidores públicos </w:t>
      </w:r>
      <w:r>
        <w:rPr>
          <w:rFonts w:ascii="Palatino Linotype" w:eastAsia="Palatino Linotype" w:hAnsi="Palatino Linotype" w:cs="Palatino Linotype"/>
          <w:u w:val="single"/>
        </w:rPr>
        <w:t xml:space="preserve">a los cursos indicados en el numeral anterior; Los certificados, reconocimientos u otro documento que avalen que los servidores públicos del Ayuntamiento de Toluca en el año 2022, asistieron a diversos foros regionales, jornadas de sensibilización en materia de transparencia proactiva, en materia de difusión y reflexión sobre los alcances y desafíos de las leyes en la materia; y, </w:t>
      </w:r>
      <w:r>
        <w:rPr>
          <w:rFonts w:ascii="Palatino Linotype" w:eastAsia="Palatino Linotype" w:hAnsi="Palatino Linotype" w:cs="Palatino Linotype"/>
          <w:color w:val="000000"/>
          <w:u w:val="single"/>
        </w:rPr>
        <w:t xml:space="preserve">Documentos donde conste </w:t>
      </w:r>
      <w:r>
        <w:rPr>
          <w:rFonts w:ascii="Palatino Linotype" w:eastAsia="Palatino Linotype" w:hAnsi="Palatino Linotype" w:cs="Palatino Linotype"/>
          <w:u w:val="single"/>
        </w:rPr>
        <w:t>la actualización de las 119 cédulas de bases de datos personales, supresión, modificación de dichas bases del año 2022.</w:t>
      </w:r>
    </w:p>
    <w:p w14:paraId="13C1655F" w14:textId="77777777" w:rsidR="000201F2" w:rsidRDefault="0073512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expuesto en líneas anteriores, al resultar </w:t>
      </w:r>
      <w:r>
        <w:rPr>
          <w:rFonts w:ascii="Palatino Linotype" w:eastAsia="Palatino Linotype" w:hAnsi="Palatino Linotype" w:cs="Palatino Linotype"/>
          <w:b/>
        </w:rPr>
        <w:t>parcialmente fundados</w:t>
      </w:r>
      <w:r>
        <w:rPr>
          <w:rFonts w:ascii="Palatino Linotype" w:eastAsia="Palatino Linotype" w:hAnsi="Palatino Linotype" w:cs="Palatino Linotype"/>
        </w:rPr>
        <w:t xml:space="preserve"> los motivos de inconformidad vertidos por 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con fundamento en el artículo 186, fracción III, de la Ley de Transparencia y Acceso a la Información </w:t>
      </w:r>
      <w:r>
        <w:rPr>
          <w:rFonts w:ascii="Palatino Linotype" w:eastAsia="Palatino Linotype" w:hAnsi="Palatino Linotype" w:cs="Palatino Linotype"/>
        </w:rPr>
        <w:lastRenderedPageBreak/>
        <w:t>Pública del Estado de México y Municipios, se</w:t>
      </w:r>
      <w:r>
        <w:rPr>
          <w:rFonts w:ascii="Palatino Linotype" w:eastAsia="Palatino Linotype" w:hAnsi="Palatino Linotype" w:cs="Palatino Linotype"/>
          <w:b/>
        </w:rPr>
        <w:t xml:space="preserve"> </w:t>
      </w:r>
      <w:r>
        <w:rPr>
          <w:rFonts w:ascii="Palatino Linotype" w:eastAsia="Palatino Linotype" w:hAnsi="Palatino Linotype" w:cs="Palatino Linotype"/>
          <w:b/>
          <w:i/>
        </w:rPr>
        <w:t>Modifica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respuesta a la solicitud de información </w:t>
      </w:r>
      <w:r>
        <w:rPr>
          <w:rFonts w:ascii="Palatino Linotype" w:eastAsia="Palatino Linotype" w:hAnsi="Palatino Linotype" w:cs="Palatino Linotype"/>
          <w:b/>
        </w:rPr>
        <w:t>00312/TOLUCA/IP/2023</w:t>
      </w:r>
      <w:r>
        <w:rPr>
          <w:rFonts w:ascii="Palatino Linotype" w:eastAsia="Palatino Linotype" w:hAnsi="Palatino Linotype" w:cs="Palatino Linotype"/>
        </w:rPr>
        <w:t>, y se ordena la entrega de la información antes indicada, en los casos que aplique en versión pública. </w:t>
      </w:r>
    </w:p>
    <w:p w14:paraId="7D5AAF72" w14:textId="77777777" w:rsidR="000201F2" w:rsidRDefault="000201F2">
      <w:pPr>
        <w:spacing w:line="360" w:lineRule="auto"/>
        <w:jc w:val="both"/>
      </w:pPr>
    </w:p>
    <w:p w14:paraId="1B09A2A0" w14:textId="77777777" w:rsidR="000201F2" w:rsidRDefault="0073512A">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b/>
          <w:color w:val="000000"/>
        </w:rPr>
        <w:t xml:space="preserve">Quinto. Versión Pública. </w:t>
      </w:r>
      <w:r>
        <w:rPr>
          <w:rFonts w:ascii="Palatino Linotype" w:eastAsia="Palatino Linotype" w:hAnsi="Palatino Linotype" w:cs="Palatino Linotype"/>
          <w:color w:val="000000"/>
        </w:rPr>
        <w:t xml:space="preserve">Finalmente, para la entrega de la información que se determina ordenar,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5BB0917D" w14:textId="77777777" w:rsidR="000201F2" w:rsidRDefault="000201F2">
      <w:pPr>
        <w:spacing w:line="360" w:lineRule="auto"/>
      </w:pPr>
    </w:p>
    <w:p w14:paraId="1FCA5F8C" w14:textId="77777777" w:rsidR="000201F2" w:rsidRDefault="0073512A">
      <w:pPr>
        <w:pBdr>
          <w:top w:val="nil"/>
          <w:left w:val="nil"/>
          <w:bottom w:val="nil"/>
          <w:right w:val="nil"/>
          <w:between w:val="nil"/>
        </w:pBdr>
        <w:spacing w:line="360" w:lineRule="auto"/>
        <w:ind w:right="50"/>
        <w:jc w:val="both"/>
        <w:rPr>
          <w:color w:val="000000"/>
        </w:rPr>
      </w:pPr>
      <w:r>
        <w:rPr>
          <w:rFonts w:ascii="Palatino Linotype" w:eastAsia="Palatino Linotype" w:hAnsi="Palatino Linotype" w:cs="Palatino Linotype"/>
          <w:color w:val="000000"/>
        </w:rPr>
        <w:t>Lo anterior, de conformidad con lo que señalan los artículos 3 fracciones IX, XX, XXI y XLV, 91, 132 fracciones II y III, y 143 de la Ley de Transparencia y Acceso a la Información Pública del Estado de México y Municipios que establecen:</w:t>
      </w:r>
    </w:p>
    <w:p w14:paraId="31C0505B" w14:textId="77777777" w:rsidR="000201F2" w:rsidRDefault="000201F2"/>
    <w:p w14:paraId="39D78C60" w14:textId="77777777" w:rsidR="000201F2" w:rsidRDefault="0073512A">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3.</w:t>
      </w:r>
      <w:r>
        <w:rPr>
          <w:rFonts w:ascii="Palatino Linotype" w:eastAsia="Palatino Linotype" w:hAnsi="Palatino Linotype" w:cs="Palatino Linotype"/>
          <w:i/>
          <w:color w:val="000000"/>
          <w:sz w:val="22"/>
          <w:szCs w:val="22"/>
        </w:rPr>
        <w:t xml:space="preserve"> Para los efectos de la presente Ley se entenderá por:</w:t>
      </w:r>
    </w:p>
    <w:p w14:paraId="1D310622" w14:textId="77777777" w:rsidR="000201F2" w:rsidRDefault="0073512A">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w:t>
      </w:r>
    </w:p>
    <w:p w14:paraId="7CC51639" w14:textId="77777777" w:rsidR="000201F2" w:rsidRDefault="0073512A">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IX. Datos personales: La información concerniente a una persona, identificada o identificable según lo dispuesto por la Ley de Protección de Datos Personales del Estado de México; </w:t>
      </w:r>
    </w:p>
    <w:p w14:paraId="2FF27AAD" w14:textId="77777777" w:rsidR="000201F2" w:rsidRDefault="0073512A">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XX. Información clasificada: Aquella considerada por la presente Ley como reservada o confidencial;</w:t>
      </w:r>
    </w:p>
    <w:p w14:paraId="0458FCF8" w14:textId="77777777" w:rsidR="000201F2" w:rsidRDefault="0073512A">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4ED5975" w14:textId="77777777" w:rsidR="000201F2" w:rsidRDefault="0073512A">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lastRenderedPageBreak/>
        <w:t>XLV. Versión pública: Documento en el que se elimine, suprime o borra la información clasificada como reservada o confidencial para permitir su acceso.</w:t>
      </w:r>
    </w:p>
    <w:p w14:paraId="008DD385" w14:textId="77777777" w:rsidR="000201F2" w:rsidRDefault="0073512A">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w:t>
      </w:r>
    </w:p>
    <w:p w14:paraId="5BF84C03" w14:textId="77777777" w:rsidR="000201F2" w:rsidRDefault="0073512A">
      <w:pPr>
        <w:pBdr>
          <w:top w:val="nil"/>
          <w:left w:val="nil"/>
          <w:bottom w:val="nil"/>
          <w:right w:val="nil"/>
          <w:between w:val="nil"/>
        </w:pBdr>
        <w:ind w:left="567" w:right="616"/>
        <w:jc w:val="both"/>
        <w:rPr>
          <w:color w:val="000000"/>
        </w:rPr>
      </w:pPr>
      <w:r>
        <w:rPr>
          <w:rFonts w:ascii="Palatino Linotype" w:eastAsia="Palatino Linotype" w:hAnsi="Palatino Linotype" w:cs="Palatino Linotype"/>
          <w:b/>
          <w:i/>
          <w:color w:val="000000"/>
          <w:sz w:val="22"/>
          <w:szCs w:val="22"/>
        </w:rPr>
        <w:t>Artículo 91.</w:t>
      </w:r>
      <w:r>
        <w:rPr>
          <w:rFonts w:ascii="Palatino Linotype" w:eastAsia="Palatino Linotype" w:hAnsi="Palatino Linotype" w:cs="Palatino Linotype"/>
          <w:i/>
          <w:color w:val="000000"/>
          <w:sz w:val="22"/>
          <w:szCs w:val="22"/>
        </w:rPr>
        <w:t xml:space="preserve"> El acceso a la información pública será restringido excepcionalmente, cuando ésta sea clasificada como reservada o confidencial.</w:t>
      </w:r>
    </w:p>
    <w:p w14:paraId="5F88FFDB" w14:textId="77777777" w:rsidR="000201F2" w:rsidRDefault="0073512A">
      <w:pPr>
        <w:pBdr>
          <w:top w:val="nil"/>
          <w:left w:val="nil"/>
          <w:bottom w:val="nil"/>
          <w:right w:val="nil"/>
          <w:between w:val="nil"/>
        </w:pBdr>
        <w:ind w:left="567" w:right="616"/>
        <w:jc w:val="both"/>
        <w:rPr>
          <w:color w:val="000000"/>
        </w:rPr>
      </w:pPr>
      <w:r>
        <w:rPr>
          <w:rFonts w:ascii="Palatino Linotype" w:eastAsia="Palatino Linotype" w:hAnsi="Palatino Linotype" w:cs="Palatino Linotype"/>
          <w:b/>
          <w:i/>
          <w:color w:val="000000"/>
          <w:sz w:val="22"/>
          <w:szCs w:val="22"/>
        </w:rPr>
        <w:t>Artículo 132.</w:t>
      </w:r>
      <w:r>
        <w:rPr>
          <w:rFonts w:ascii="Palatino Linotype" w:eastAsia="Palatino Linotype" w:hAnsi="Palatino Linotype" w:cs="Palatino Linotype"/>
          <w:i/>
          <w:color w:val="000000"/>
          <w:sz w:val="22"/>
          <w:szCs w:val="22"/>
        </w:rPr>
        <w:t xml:space="preserve"> La clasificación de la información se llevará a cabo en el momento en que:</w:t>
      </w:r>
    </w:p>
    <w:p w14:paraId="25CC6806" w14:textId="77777777" w:rsidR="000201F2" w:rsidRDefault="0073512A">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I. Se reciba una solicitud de acceso a la información;</w:t>
      </w:r>
    </w:p>
    <w:p w14:paraId="2DBF8480" w14:textId="77777777" w:rsidR="000201F2" w:rsidRDefault="0073512A">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II. Se determine mediante resolución de autoridad competente; o</w:t>
      </w:r>
    </w:p>
    <w:p w14:paraId="274ADF92" w14:textId="77777777" w:rsidR="000201F2" w:rsidRDefault="0073512A">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III. Se generen versiones públicas para dar cumplimiento a las obligaciones de transparencia previstas en esta Ley.</w:t>
      </w:r>
    </w:p>
    <w:p w14:paraId="7E6F98EF" w14:textId="77777777" w:rsidR="000201F2" w:rsidRDefault="0073512A">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w:t>
      </w:r>
    </w:p>
    <w:p w14:paraId="1A4B122C" w14:textId="77777777" w:rsidR="000201F2" w:rsidRDefault="0073512A">
      <w:pPr>
        <w:pBdr>
          <w:top w:val="nil"/>
          <w:left w:val="nil"/>
          <w:bottom w:val="nil"/>
          <w:right w:val="nil"/>
          <w:between w:val="nil"/>
        </w:pBdr>
        <w:ind w:left="567" w:right="616"/>
        <w:jc w:val="both"/>
        <w:rPr>
          <w:color w:val="000000"/>
        </w:rPr>
      </w:pPr>
      <w:r>
        <w:rPr>
          <w:rFonts w:ascii="Palatino Linotype" w:eastAsia="Palatino Linotype" w:hAnsi="Palatino Linotype" w:cs="Palatino Linotype"/>
          <w:b/>
          <w:i/>
          <w:color w:val="000000"/>
          <w:sz w:val="22"/>
          <w:szCs w:val="22"/>
        </w:rPr>
        <w:t>Artículo 143</w:t>
      </w:r>
      <w:r>
        <w:rPr>
          <w:rFonts w:ascii="Palatino Linotype" w:eastAsia="Palatino Linotype" w:hAnsi="Palatino Linotype" w:cs="Palatino Linotype"/>
          <w:i/>
          <w:color w:val="000000"/>
          <w:sz w:val="22"/>
          <w:szCs w:val="22"/>
        </w:rPr>
        <w:t>. Para los efectos de esta Ley se considera información confidencial, la clasificada como tal, de manera permanente, por su naturaleza, cuando:</w:t>
      </w:r>
    </w:p>
    <w:p w14:paraId="4D04D383" w14:textId="77777777" w:rsidR="000201F2" w:rsidRDefault="0073512A">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I. Se refiera a la información privada y los datos personales concernientes a una persona física o jurídico colectiva identificada o identificable;</w:t>
      </w:r>
    </w:p>
    <w:p w14:paraId="4D3324E7" w14:textId="77777777" w:rsidR="000201F2" w:rsidRDefault="0073512A">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3E1B835E" w14:textId="77777777" w:rsidR="000201F2" w:rsidRDefault="0073512A">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III. La que presenten los particulares a los sujetos obligados, de conformidad con lo dispuesto por las leyes o los tratados internacionales.</w:t>
      </w:r>
    </w:p>
    <w:p w14:paraId="408B71A2" w14:textId="77777777" w:rsidR="000201F2" w:rsidRDefault="0073512A">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La información confidencial no estará sujeta a temporalidad alguna y sólo podrán tener acceso a ella los titulares de la misma, sus representantes y los servidores públicos facultados para ello.</w:t>
      </w:r>
    </w:p>
    <w:p w14:paraId="40932E71" w14:textId="77777777" w:rsidR="000201F2" w:rsidRDefault="0073512A">
      <w:pPr>
        <w:pBdr>
          <w:top w:val="nil"/>
          <w:left w:val="nil"/>
          <w:bottom w:val="nil"/>
          <w:right w:val="nil"/>
          <w:between w:val="nil"/>
        </w:pBdr>
        <w:ind w:left="567" w:right="616"/>
        <w:jc w:val="both"/>
        <w:rPr>
          <w:color w:val="000000"/>
        </w:rPr>
      </w:pPr>
      <w:r>
        <w:rPr>
          <w:rFonts w:ascii="Palatino Linotype" w:eastAsia="Palatino Linotype" w:hAnsi="Palatino Linotype" w:cs="Palatino Linotype"/>
          <w:i/>
          <w:color w:val="000000"/>
          <w:sz w:val="22"/>
          <w:szCs w:val="22"/>
        </w:rPr>
        <w:t>No se considerará confidencial la información que se encuentre en los registros públicos o en fuentes de acceso público, ni tampoco la que sea considerada por la presente ley como información pública.”</w:t>
      </w:r>
    </w:p>
    <w:p w14:paraId="69696FAD" w14:textId="77777777" w:rsidR="000201F2" w:rsidRDefault="000201F2"/>
    <w:p w14:paraId="0CEE3CC2"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w:t>
      </w:r>
      <w:r>
        <w:rPr>
          <w:rFonts w:ascii="Palatino Linotype" w:eastAsia="Palatino Linotype" w:hAnsi="Palatino Linotype" w:cs="Palatino Linotype"/>
        </w:rPr>
        <w:lastRenderedPageBreak/>
        <w:t>desclasificarán y generarán, en su caso, versiones públicas de expedientes o documentos que contengan partes o secciones clasificadas.</w:t>
      </w:r>
    </w:p>
    <w:p w14:paraId="2A9D8A16" w14:textId="77777777" w:rsidR="000201F2" w:rsidRDefault="0073512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Entorno a lo que aquí nos interesa,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Pr>
          <w:rFonts w:ascii="Palatino Linotype" w:eastAsia="Palatino Linotype" w:hAnsi="Palatino Linotype" w:cs="Palatino Linotype"/>
          <w:b/>
        </w:rPr>
        <w:t>Sujeto Obligado</w:t>
      </w:r>
      <w:r>
        <w:rPr>
          <w:rFonts w:ascii="Palatino Linotype" w:eastAsia="Palatino Linotype" w:hAnsi="Palatino Linotype" w:cs="Palatino Linotype"/>
        </w:rPr>
        <w:t>, siendo estas las siguientes:</w:t>
      </w:r>
    </w:p>
    <w:p w14:paraId="78C73CE3" w14:textId="77777777" w:rsidR="000201F2" w:rsidRDefault="0073512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“Quincuagésimo. </w:t>
      </w:r>
      <w:r>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E77DAF0" w14:textId="77777777" w:rsidR="000201F2" w:rsidRDefault="0073512A">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primero. </w:t>
      </w:r>
      <w:r>
        <w:rPr>
          <w:rFonts w:ascii="Palatino Linotype" w:eastAsia="Palatino Linotype" w:hAnsi="Palatino Linotype" w:cs="Palatino Linotype"/>
          <w:i/>
          <w:sz w:val="22"/>
          <w:szCs w:val="22"/>
        </w:rPr>
        <w:t xml:space="preserve">Toda acta del Comité de Transparencia deberá contener: </w:t>
      </w:r>
    </w:p>
    <w:p w14:paraId="2716D014" w14:textId="77777777" w:rsidR="000201F2" w:rsidRDefault="0073512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número de sesión y fecha; </w:t>
      </w:r>
    </w:p>
    <w:p w14:paraId="31394D28" w14:textId="77777777" w:rsidR="000201F2" w:rsidRDefault="0073512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del área que solicitó la clasificación de información; </w:t>
      </w:r>
    </w:p>
    <w:p w14:paraId="7E51D2B7" w14:textId="77777777" w:rsidR="000201F2" w:rsidRDefault="0073512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fundamentación legal y motivación correspondiente; </w:t>
      </w:r>
    </w:p>
    <w:p w14:paraId="240DB8DC" w14:textId="77777777" w:rsidR="000201F2" w:rsidRDefault="0073512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La resolución o resoluciones aprobadas; y </w:t>
      </w:r>
    </w:p>
    <w:p w14:paraId="3D79857F" w14:textId="77777777" w:rsidR="000201F2" w:rsidRDefault="0073512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La rúbrica o firma digital de cada integrante del Comité de Transparencia. </w:t>
      </w:r>
    </w:p>
    <w:p w14:paraId="7A032E1A" w14:textId="77777777" w:rsidR="000201F2" w:rsidRDefault="0073512A">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670C9AE5" w14:textId="77777777" w:rsidR="000201F2" w:rsidRDefault="0073512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Los motivos y razonamientos que sustenten la confirmación o modificación de la prueba de daño;</w:t>
      </w:r>
    </w:p>
    <w:p w14:paraId="699F4258" w14:textId="77777777" w:rsidR="000201F2" w:rsidRDefault="0073512A">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Descripción de las partes o secciones reservadas, en caso de clasificación parcial</w:t>
      </w:r>
      <w:r>
        <w:rPr>
          <w:rFonts w:ascii="Palatino Linotype" w:eastAsia="Palatino Linotype" w:hAnsi="Palatino Linotype" w:cs="Palatino Linotype"/>
          <w:b/>
          <w:i/>
          <w:sz w:val="22"/>
          <w:szCs w:val="22"/>
        </w:rPr>
        <w:t xml:space="preserve">; </w:t>
      </w:r>
    </w:p>
    <w:p w14:paraId="1DC10D2D" w14:textId="77777777" w:rsidR="000201F2" w:rsidRDefault="0073512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El periodo por el que mantendrá su clasificación y fecha de expiración; y </w:t>
      </w:r>
    </w:p>
    <w:p w14:paraId="12233DB5" w14:textId="77777777" w:rsidR="000201F2" w:rsidRDefault="0073512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IV.</w:t>
      </w:r>
      <w:r>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6D0311BB" w14:textId="77777777" w:rsidR="000201F2" w:rsidRDefault="0073512A">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29CC2FFE" w14:textId="77777777" w:rsidR="000201F2" w:rsidRDefault="0073512A">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959DCE5" w14:textId="77777777" w:rsidR="000201F2" w:rsidRDefault="0073512A">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Quincuagésimo segundo</w:t>
      </w:r>
      <w:r>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77C0AD2" w14:textId="77777777" w:rsidR="000201F2" w:rsidRDefault="0073512A">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el caso </w:t>
      </w:r>
      <w:proofErr w:type="spellStart"/>
      <w:r>
        <w:rPr>
          <w:rFonts w:ascii="Palatino Linotype" w:eastAsia="Palatino Linotype" w:hAnsi="Palatino Linotype" w:cs="Palatino Linotype"/>
          <w:i/>
          <w:sz w:val="22"/>
          <w:szCs w:val="22"/>
        </w:rPr>
        <w:t>especifico</w:t>
      </w:r>
      <w:proofErr w:type="spellEnd"/>
      <w:r>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5CB7D4A8" w14:textId="77777777" w:rsidR="000201F2" w:rsidRDefault="0073512A">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13661DFB" w14:textId="77777777" w:rsidR="000201F2" w:rsidRDefault="0073512A">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4F98DDB4" w14:textId="77777777" w:rsidR="000201F2" w:rsidRDefault="0073512A">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Señalar las personas o instancias autorizadas a acceder a la información clasificada.</w:t>
      </w:r>
    </w:p>
    <w:p w14:paraId="367E3315" w14:textId="77777777" w:rsidR="000201F2" w:rsidRDefault="0073512A">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27A8DAA" w14:textId="77777777" w:rsidR="000201F2" w:rsidRDefault="0073512A">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En relación directa con ello deberá observar el Lineamiento Quincuagésimo tercero de los Lineamientos Generales en Materia de Clasificación y Desclasificación de la Información </w:t>
      </w:r>
      <w:proofErr w:type="spellStart"/>
      <w:r>
        <w:rPr>
          <w:rFonts w:ascii="Palatino Linotype" w:eastAsia="Palatino Linotype" w:hAnsi="Palatino Linotype" w:cs="Palatino Linotype"/>
        </w:rPr>
        <w:t>supraindicados</w:t>
      </w:r>
      <w:proofErr w:type="spellEnd"/>
      <w:r>
        <w:rPr>
          <w:rFonts w:ascii="Palatino Linotype" w:eastAsia="Palatino Linotype" w:hAnsi="Palatino Linotype" w:cs="Palatino Linotype"/>
        </w:rPr>
        <w:t xml:space="preserve">, que establece los formatos para la clasificación de los documentos, conforme a lo siguiente: </w:t>
      </w:r>
    </w:p>
    <w:p w14:paraId="52996ED9" w14:textId="77777777" w:rsidR="000201F2" w:rsidRDefault="0073512A">
      <w:pPr>
        <w:ind w:left="851"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14:paraId="633E6E98" w14:textId="77777777" w:rsidR="000201F2" w:rsidRDefault="0073512A">
      <w:pPr>
        <w:ind w:left="851"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DE LOS ELEMENTOS PARA LA CLASIFICACIÓN </w:t>
      </w:r>
    </w:p>
    <w:p w14:paraId="6D25AF68" w14:textId="77777777" w:rsidR="000201F2" w:rsidRDefault="0073512A">
      <w:pPr>
        <w:ind w:left="851"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9C72217" w14:textId="77777777" w:rsidR="000201F2" w:rsidRDefault="0073512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de un documento o expediente que contenga información reservada</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xml:space="preserve">es el siguiente: </w:t>
      </w:r>
    </w:p>
    <w:p w14:paraId="4773A931" w14:textId="77777777" w:rsidR="000201F2" w:rsidRDefault="0073512A">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eastAsia="es-MX"/>
        </w:rPr>
        <w:drawing>
          <wp:inline distT="0" distB="0" distL="0" distR="0" wp14:anchorId="01024EBF" wp14:editId="5093AD48">
            <wp:extent cx="4295775" cy="295275"/>
            <wp:effectExtent l="0" t="0" r="0" b="0"/>
            <wp:docPr id="21330926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b="95731"/>
                    <a:stretch>
                      <a:fillRect/>
                    </a:stretch>
                  </pic:blipFill>
                  <pic:spPr>
                    <a:xfrm>
                      <a:off x="0" y="0"/>
                      <a:ext cx="4295775" cy="295275"/>
                    </a:xfrm>
                    <a:prstGeom prst="rect">
                      <a:avLst/>
                    </a:prstGeom>
                    <a:ln/>
                  </pic:spPr>
                </pic:pic>
              </a:graphicData>
            </a:graphic>
          </wp:inline>
        </w:drawing>
      </w:r>
    </w:p>
    <w:p w14:paraId="3B2E98AA" w14:textId="77777777" w:rsidR="000201F2" w:rsidRDefault="0073512A">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eastAsia="es-MX"/>
        </w:rPr>
        <w:drawing>
          <wp:inline distT="0" distB="0" distL="0" distR="0" wp14:anchorId="4C6B9054" wp14:editId="558CBE68">
            <wp:extent cx="4333875" cy="4725619"/>
            <wp:effectExtent l="0" t="0" r="0" b="0"/>
            <wp:docPr id="21330926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t="30908" b="669"/>
                    <a:stretch>
                      <a:fillRect/>
                    </a:stretch>
                  </pic:blipFill>
                  <pic:spPr>
                    <a:xfrm>
                      <a:off x="0" y="0"/>
                      <a:ext cx="4333875" cy="4725619"/>
                    </a:xfrm>
                    <a:prstGeom prst="rect">
                      <a:avLst/>
                    </a:prstGeom>
                    <a:ln/>
                  </pic:spPr>
                </pic:pic>
              </a:graphicData>
            </a:graphic>
          </wp:inline>
        </w:drawing>
      </w:r>
    </w:p>
    <w:p w14:paraId="05A37FC3" w14:textId="77777777" w:rsidR="000201F2" w:rsidRDefault="0073512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que integren un expediente reservado en su totalidad no deberán marcarse en lo individual.</w:t>
      </w:r>
    </w:p>
    <w:p w14:paraId="6C6912AF" w14:textId="77777777" w:rsidR="000201F2" w:rsidRDefault="0073512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15FEC248"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deberá observar los Lineamientos Quincuagésimo cuarto, Quincuagésimo quinto, Quincuagésimo sexto, Quincuagésimo séptimo y Quincuagésimo octavo, establecen lo siguiente:</w:t>
      </w:r>
    </w:p>
    <w:p w14:paraId="696FFDA0" w14:textId="77777777" w:rsidR="000201F2" w:rsidRDefault="0073512A">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Quincuagésimo cuarto. </w:t>
      </w:r>
      <w:r>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Pr>
          <w:rFonts w:ascii="Palatino Linotype" w:eastAsia="Palatino Linotype" w:hAnsi="Palatino Linotype" w:cs="Palatino Linotype"/>
          <w:b/>
          <w:i/>
          <w:sz w:val="22"/>
          <w:szCs w:val="22"/>
        </w:rPr>
        <w:t xml:space="preserve"> </w:t>
      </w:r>
    </w:p>
    <w:p w14:paraId="0861C92E" w14:textId="77777777" w:rsidR="000201F2" w:rsidRDefault="0073512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quinto. </w:t>
      </w:r>
      <w:r>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Pr>
          <w:rFonts w:ascii="Palatino Linotype" w:eastAsia="Palatino Linotype" w:hAnsi="Palatino Linotype" w:cs="Palatino Linotype"/>
          <w:i/>
          <w:sz w:val="22"/>
          <w:szCs w:val="22"/>
        </w:rPr>
        <w:t>testado</w:t>
      </w:r>
      <w:proofErr w:type="spellEnd"/>
      <w:r>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A6FAC53" w14:textId="77777777" w:rsidR="000201F2" w:rsidRDefault="0073512A">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1932B1FD" w14:textId="77777777" w:rsidR="000201F2" w:rsidRDefault="0073512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8E2F57A" w14:textId="77777777" w:rsidR="000201F2" w:rsidRDefault="0073512A">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5F0167F" w14:textId="77777777" w:rsidR="000201F2" w:rsidRDefault="0073512A">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269BE36D" w14:textId="77777777" w:rsidR="000201F2" w:rsidRDefault="0073512A">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4570858B" w14:textId="77777777" w:rsidR="000201F2" w:rsidRDefault="0073512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08C00123" w14:textId="77777777" w:rsidR="000201F2" w:rsidRDefault="0073512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xml:space="preserve">. Los sujetos obligados garantizarán que los sistemas o medios empleados para eliminar la información en las versiones públicas sean </w:t>
      </w:r>
      <w:r>
        <w:rPr>
          <w:rFonts w:ascii="Palatino Linotype" w:eastAsia="Palatino Linotype" w:hAnsi="Palatino Linotype" w:cs="Palatino Linotype"/>
          <w:i/>
          <w:sz w:val="22"/>
          <w:szCs w:val="22"/>
        </w:rPr>
        <w:lastRenderedPageBreak/>
        <w:t>irreversibles, de tal forma que no permitan su recuperación o la visualización de la misma.”</w:t>
      </w:r>
    </w:p>
    <w:p w14:paraId="48F854CF"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9DA72C5" w14:textId="77777777" w:rsidR="000201F2" w:rsidRDefault="0073512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expuesto en líneas anteriores; por un lado, devienen infundados los motivos de inconformidad de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hechos valer en el recurso de revisión </w:t>
      </w:r>
      <w:r>
        <w:rPr>
          <w:rFonts w:ascii="Palatino Linotype" w:eastAsia="Palatino Linotype" w:hAnsi="Palatino Linotype" w:cs="Palatino Linotype"/>
          <w:b/>
        </w:rPr>
        <w:t>01359/INFOEM/IP/RR/2023,</w:t>
      </w:r>
      <w:r>
        <w:rPr>
          <w:rFonts w:ascii="Palatino Linotype" w:eastAsia="Palatino Linotype" w:hAnsi="Palatino Linotype" w:cs="Palatino Linotype"/>
        </w:rPr>
        <w:t xml:space="preserve"> siendo procedente </w:t>
      </w:r>
      <w:r>
        <w:rPr>
          <w:rFonts w:ascii="Palatino Linotype" w:eastAsia="Palatino Linotype" w:hAnsi="Palatino Linotype" w:cs="Palatino Linotype"/>
          <w:i/>
          <w:color w:val="000000"/>
        </w:rPr>
        <w:t xml:space="preserve">Sobreseer </w:t>
      </w:r>
      <w:r>
        <w:rPr>
          <w:rFonts w:ascii="Palatino Linotype" w:eastAsia="Palatino Linotype" w:hAnsi="Palatino Linotype" w:cs="Palatino Linotype"/>
          <w:color w:val="000000"/>
        </w:rPr>
        <w:t xml:space="preserve">dicho medio de impugnación, de conformidad con el artículo 186 fracción I de la Ley de Transparencia, Acceso a la Información Pública y Protección de Datos Personales del Estado de México y Municipios, toda vez que la afectación al derecho de acceso a la información pública establecido constitucionalmente a favor del particular ha sido resarcida al proporcionar la información vía informe justificado que ha sido observada por este Organismo Garante; y, </w:t>
      </w:r>
      <w:r>
        <w:rPr>
          <w:rFonts w:ascii="Palatino Linotype" w:eastAsia="Palatino Linotype" w:hAnsi="Palatino Linotype" w:cs="Palatino Linotype"/>
        </w:rPr>
        <w:t xml:space="preserve">por el otro, devienen parcialmente fundados los motivos de inconformidad esgrimidos en el recurso de revisión </w:t>
      </w:r>
      <w:r>
        <w:rPr>
          <w:rFonts w:ascii="Palatino Linotype" w:eastAsia="Palatino Linotype" w:hAnsi="Palatino Linotype" w:cs="Palatino Linotype"/>
          <w:b/>
        </w:rPr>
        <w:t xml:space="preserve">01360/INFOEM/IP/RR/2023, </w:t>
      </w:r>
      <w:r>
        <w:rPr>
          <w:rFonts w:ascii="Palatino Linotype" w:eastAsia="Palatino Linotype" w:hAnsi="Palatino Linotype" w:cs="Palatino Linotype"/>
        </w:rPr>
        <w:t xml:space="preserve">resultando procedente </w:t>
      </w:r>
      <w:r>
        <w:rPr>
          <w:rFonts w:ascii="Palatino Linotype" w:eastAsia="Palatino Linotype" w:hAnsi="Palatino Linotype" w:cs="Palatino Linotype"/>
          <w:i/>
        </w:rPr>
        <w:t xml:space="preserve">Modificar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rPr>
        <w:lastRenderedPageBreak/>
        <w:t xml:space="preserve">Sujeto Obligado </w:t>
      </w:r>
      <w:r>
        <w:rPr>
          <w:rFonts w:ascii="Palatino Linotype" w:eastAsia="Palatino Linotype" w:hAnsi="Palatino Linotype" w:cs="Palatino Linotype"/>
        </w:rPr>
        <w:t xml:space="preserve">y ordenando la entrega de la información en los términos señalados en 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esta resolución.</w:t>
      </w:r>
    </w:p>
    <w:p w14:paraId="4C71ED25"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fracciones I y III, así como 188 de la Ley de Transparencia y Acceso a la Información Pública del Estado de México y Municipios, este Pleno:</w:t>
      </w:r>
    </w:p>
    <w:p w14:paraId="49A38EC4" w14:textId="77777777" w:rsidR="000201F2" w:rsidRDefault="0073512A">
      <w:pPr>
        <w:pBdr>
          <w:top w:val="nil"/>
          <w:left w:val="nil"/>
          <w:bottom w:val="nil"/>
          <w:right w:val="nil"/>
          <w:between w:val="nil"/>
        </w:pBdr>
        <w:spacing w:before="280" w:after="28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14:paraId="22A8C561" w14:textId="77777777" w:rsidR="000201F2" w:rsidRDefault="0073512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Se</w:t>
      </w:r>
      <w:r>
        <w:rPr>
          <w:rFonts w:ascii="Palatino Linotype" w:eastAsia="Palatino Linotype" w:hAnsi="Palatino Linotype" w:cs="Palatino Linotype"/>
          <w:b/>
        </w:rPr>
        <w:t xml:space="preserve"> Sobresee </w:t>
      </w:r>
      <w:r>
        <w:rPr>
          <w:rFonts w:ascii="Palatino Linotype" w:eastAsia="Palatino Linotype" w:hAnsi="Palatino Linotype" w:cs="Palatino Linotype"/>
        </w:rPr>
        <w:t xml:space="preserve">el recurso de revisión número </w:t>
      </w:r>
      <w:r>
        <w:rPr>
          <w:rFonts w:ascii="Palatino Linotype" w:eastAsia="Palatino Linotype" w:hAnsi="Palatino Linotype" w:cs="Palatino Linotype"/>
          <w:b/>
        </w:rPr>
        <w:t xml:space="preserve">01359/INFOEM/IP/RR/2023, </w:t>
      </w:r>
      <w:r>
        <w:rPr>
          <w:rFonts w:ascii="Palatino Linotype" w:eastAsia="Palatino Linotype" w:hAnsi="Palatino Linotype" w:cs="Palatino Linotype"/>
        </w:rPr>
        <w:t xml:space="preserve">porque al </w:t>
      </w:r>
      <w:r>
        <w:rPr>
          <w:rFonts w:ascii="Palatino Linotype" w:eastAsia="Palatino Linotype" w:hAnsi="Palatino Linotype" w:cs="Palatino Linotype"/>
          <w:b/>
        </w:rPr>
        <w:t>modificar la respuesta</w:t>
      </w:r>
      <w:r>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Pr>
          <w:rFonts w:ascii="Palatino Linotype" w:eastAsia="Palatino Linotype" w:hAnsi="Palatino Linotype" w:cs="Palatino Linotype"/>
          <w:b/>
          <w:color w:val="000000"/>
        </w:rPr>
        <w:t>Cuarto</w:t>
      </w:r>
      <w:r>
        <w:rPr>
          <w:rFonts w:ascii="Palatino Linotype" w:eastAsia="Palatino Linotype" w:hAnsi="Palatino Linotype" w:cs="Palatino Linotype"/>
          <w:b/>
          <w:color w:val="FF0000"/>
        </w:rPr>
        <w:t xml:space="preserve"> </w:t>
      </w:r>
      <w:r>
        <w:rPr>
          <w:rFonts w:ascii="Palatino Linotype" w:eastAsia="Palatino Linotype" w:hAnsi="Palatino Linotype" w:cs="Palatino Linotype"/>
        </w:rPr>
        <w:t>de la presente Resolución.</w:t>
      </w:r>
    </w:p>
    <w:p w14:paraId="3FA8DB5A"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parcialmente fundados</w:t>
      </w:r>
      <w:r>
        <w:rPr>
          <w:rFonts w:ascii="Palatino Linotype" w:eastAsia="Palatino Linotype" w:hAnsi="Palatino Linotype" w:cs="Palatino Linotype"/>
        </w:rPr>
        <w:t xml:space="preserve"> los motivos de inconformidad hechos valer por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01360/INFOEM/IP/RR/2023,</w:t>
      </w:r>
      <w:r>
        <w:rPr>
          <w:rFonts w:ascii="Palatino Linotype" w:eastAsia="Palatino Linotype" w:hAnsi="Palatino Linotype" w:cs="Palatino Linotype"/>
        </w:rPr>
        <w:t xml:space="preserve"> por lo que, 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 se</w:t>
      </w:r>
      <w:r>
        <w:rPr>
          <w:rFonts w:ascii="Palatino Linotype" w:eastAsia="Palatino Linotype" w:hAnsi="Palatino Linotype" w:cs="Palatino Linotype"/>
          <w:b/>
        </w:rPr>
        <w:t xml:space="preserve"> Modifica </w:t>
      </w:r>
      <w:r>
        <w:rPr>
          <w:rFonts w:ascii="Palatino Linotype" w:eastAsia="Palatino Linotype" w:hAnsi="Palatino Linotype" w:cs="Palatino Linotype"/>
        </w:rPr>
        <w:t>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y 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la entrega de la información que a continuación se indica, en su caso, en versión pública:</w:t>
      </w:r>
    </w:p>
    <w:p w14:paraId="4BF3DF9D" w14:textId="77777777" w:rsidR="000201F2" w:rsidRDefault="0073512A">
      <w:pPr>
        <w:numPr>
          <w:ilvl w:val="3"/>
          <w:numId w:val="3"/>
        </w:numPr>
        <w:pBdr>
          <w:top w:val="nil"/>
          <w:left w:val="nil"/>
          <w:bottom w:val="nil"/>
          <w:right w:val="nil"/>
          <w:between w:val="nil"/>
        </w:pBdr>
        <w:spacing w:before="240" w:after="240" w:line="360" w:lineRule="auto"/>
        <w:ind w:left="567"/>
        <w:jc w:val="both"/>
        <w:rPr>
          <w:rFonts w:ascii="Palatino Linotype" w:eastAsia="Palatino Linotype" w:hAnsi="Palatino Linotype" w:cs="Palatino Linotype"/>
          <w:color w:val="000000"/>
          <w:sz w:val="22"/>
          <w:szCs w:val="22"/>
        </w:rPr>
      </w:pPr>
      <w:bookmarkStart w:id="25" w:name="_heading=h.1pxezwc" w:colFirst="0" w:colLast="0"/>
      <w:bookmarkEnd w:id="25"/>
      <w:r>
        <w:rPr>
          <w:rFonts w:ascii="Palatino Linotype" w:eastAsia="Palatino Linotype" w:hAnsi="Palatino Linotype" w:cs="Palatino Linotype"/>
          <w:color w:val="000000"/>
          <w:sz w:val="22"/>
          <w:szCs w:val="22"/>
        </w:rPr>
        <w:t>El documento donde conste la práctica de trasparencia proactiva consistente en “Tesorería Municipal” del ejercicio 2022.</w:t>
      </w:r>
    </w:p>
    <w:p w14:paraId="65D674A8" w14:textId="77777777" w:rsidR="000201F2" w:rsidRDefault="0073512A">
      <w:pPr>
        <w:numPr>
          <w:ilvl w:val="0"/>
          <w:numId w:val="3"/>
        </w:numPr>
        <w:pBdr>
          <w:top w:val="nil"/>
          <w:left w:val="nil"/>
          <w:bottom w:val="nil"/>
          <w:right w:val="nil"/>
          <w:between w:val="nil"/>
        </w:pBdr>
        <w:ind w:lef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Las constancias o reconocimientos impartidos por el INFOEM al Ayuntamiento de Toluca en el año 2022, de todos los servidores públicos. </w:t>
      </w:r>
    </w:p>
    <w:p w14:paraId="6F463D13" w14:textId="77777777" w:rsidR="000201F2" w:rsidRDefault="000201F2">
      <w:pPr>
        <w:ind w:left="567"/>
        <w:jc w:val="both"/>
        <w:rPr>
          <w:rFonts w:ascii="Palatino Linotype" w:eastAsia="Palatino Linotype" w:hAnsi="Palatino Linotype" w:cs="Palatino Linotype"/>
          <w:sz w:val="22"/>
          <w:szCs w:val="22"/>
        </w:rPr>
      </w:pPr>
    </w:p>
    <w:p w14:paraId="74A1FF41" w14:textId="77777777" w:rsidR="000201F2" w:rsidRDefault="0073512A">
      <w:pPr>
        <w:numPr>
          <w:ilvl w:val="0"/>
          <w:numId w:val="3"/>
        </w:numPr>
        <w:pBdr>
          <w:top w:val="nil"/>
          <w:left w:val="nil"/>
          <w:bottom w:val="nil"/>
          <w:right w:val="nil"/>
          <w:between w:val="nil"/>
        </w:pBdr>
        <w:ind w:lef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oficios por parte de la Unidad de Transparencia enviados y recibidos en las Unidades Administrativas, a través de los cuales invitó a los servidores públicos a los cursos indicados en el numeral anterior.</w:t>
      </w:r>
    </w:p>
    <w:p w14:paraId="05CA5C79" w14:textId="77777777" w:rsidR="000201F2" w:rsidRDefault="000201F2">
      <w:pPr>
        <w:ind w:left="567"/>
        <w:jc w:val="both"/>
        <w:rPr>
          <w:rFonts w:ascii="Palatino Linotype" w:eastAsia="Palatino Linotype" w:hAnsi="Palatino Linotype" w:cs="Palatino Linotype"/>
          <w:sz w:val="22"/>
          <w:szCs w:val="22"/>
        </w:rPr>
      </w:pPr>
    </w:p>
    <w:p w14:paraId="3F4A4B2C" w14:textId="77777777" w:rsidR="000201F2" w:rsidRDefault="0073512A">
      <w:pPr>
        <w:numPr>
          <w:ilvl w:val="0"/>
          <w:numId w:val="3"/>
        </w:numPr>
        <w:pBdr>
          <w:top w:val="nil"/>
          <w:left w:val="nil"/>
          <w:bottom w:val="nil"/>
          <w:right w:val="nil"/>
          <w:between w:val="nil"/>
        </w:pBdr>
        <w:ind w:lef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certificados, reconocimientos u otro documento que avalen que los servidores públicos del Ayuntamiento de Toluca en el año 2022, asistieron a diversos foros regionales, jornadas de sensibilización en materia de transparencia proactiva, en materia de difusión y reflexión sobre los alcances y desafíos de las leyes en la materia. </w:t>
      </w:r>
    </w:p>
    <w:p w14:paraId="2032C030" w14:textId="77777777" w:rsidR="000201F2" w:rsidRDefault="000201F2">
      <w:pPr>
        <w:ind w:left="567"/>
        <w:jc w:val="both"/>
        <w:rPr>
          <w:rFonts w:ascii="Palatino Linotype" w:eastAsia="Palatino Linotype" w:hAnsi="Palatino Linotype" w:cs="Palatino Linotype"/>
          <w:sz w:val="22"/>
          <w:szCs w:val="22"/>
        </w:rPr>
      </w:pPr>
    </w:p>
    <w:p w14:paraId="5603A5D0" w14:textId="77777777" w:rsidR="000201F2" w:rsidRDefault="0073512A">
      <w:pPr>
        <w:numPr>
          <w:ilvl w:val="0"/>
          <w:numId w:val="3"/>
        </w:numPr>
        <w:pBdr>
          <w:top w:val="nil"/>
          <w:left w:val="nil"/>
          <w:bottom w:val="nil"/>
          <w:right w:val="nil"/>
          <w:between w:val="nil"/>
        </w:pBdr>
        <w:ind w:lef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Documentos donde conste la actualización de las 119 cédulas de bases de datos personales, supresión, modificación de dichas bases del año 2022.</w:t>
      </w:r>
    </w:p>
    <w:p w14:paraId="64FCF520" w14:textId="77777777" w:rsidR="000201F2" w:rsidRDefault="0073512A">
      <w:pPr>
        <w:spacing w:before="120" w:after="120"/>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w:t>
      </w:r>
    </w:p>
    <w:p w14:paraId="5754C14A" w14:textId="77777777" w:rsidR="000201F2" w:rsidRDefault="0073512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988069A"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2272302B" w14:textId="77777777" w:rsidR="000201F2" w:rsidRDefault="007351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1AE9C85" w14:textId="3C1BAA25" w:rsidR="006E1991" w:rsidRDefault="0073512A">
      <w:pPr>
        <w:spacing w:line="360" w:lineRule="auto"/>
        <w:jc w:val="both"/>
        <w:rPr>
          <w:rFonts w:ascii="Palatino Linotype" w:eastAsia="Palatino Linotype" w:hAnsi="Palatino Linotype" w:cs="Palatino Linotype"/>
        </w:rPr>
        <w:sectPr w:rsidR="006E1991" w:rsidSect="006E1991">
          <w:headerReference w:type="default" r:id="rId27"/>
          <w:footerReference w:type="default" r:id="rId28"/>
          <w:headerReference w:type="first" r:id="rId29"/>
          <w:footerReference w:type="first" r:id="rId30"/>
          <w:pgSz w:w="12240" w:h="15840"/>
          <w:pgMar w:top="1985" w:right="1701" w:bottom="1701" w:left="1701" w:header="851" w:footer="709" w:gutter="0"/>
          <w:pgNumType w:start="1"/>
          <w:cols w:space="720"/>
          <w:titlePg/>
        </w:sectPr>
      </w:pPr>
      <w:bookmarkStart w:id="27" w:name="_heading=h.tyjcwt" w:colFirst="0" w:colLast="0"/>
      <w:bookmarkEnd w:id="27"/>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354B1A">
        <w:rPr>
          <w:rFonts w:ascii="Palatino Linotype" w:eastAsia="Palatino Linotype" w:hAnsi="Palatino Linotype" w:cs="Palatino Linotype"/>
        </w:rPr>
        <w:t>;</w:t>
      </w:r>
      <w:r>
        <w:rPr>
          <w:rFonts w:ascii="Palatino Linotype" w:eastAsia="Palatino Linotype" w:hAnsi="Palatino Linotype" w:cs="Palatino Linotype"/>
        </w:rPr>
        <w:t xml:space="preserve"> SHARON CRISTINA MORALES MARTÍNEZ; LUIS GUSTAVO PARRA NORIEGA Y GUADALUPE RAMÍREZ PEÑA; EN LA TRIGÉSIMA OCTAVA SESIÓN ORDINARIA CELEBRADA EL VEINTICINCO DE OCTUBRE DE DOS MIL VEINTITRÉS, ANTE EL SECRETARIO TÉCNICO DEL PLENO ALEXIS TAPIA RAMÍREZ</w:t>
      </w:r>
    </w:p>
    <w:p w14:paraId="72B744F3" w14:textId="576596F3" w:rsidR="000201F2" w:rsidRDefault="000201F2" w:rsidP="006E1991">
      <w:pPr>
        <w:rPr>
          <w:rFonts w:ascii="Palatino Linotype" w:eastAsia="Palatino Linotype" w:hAnsi="Palatino Linotype" w:cs="Palatino Linotype"/>
        </w:rPr>
      </w:pPr>
    </w:p>
    <w:sectPr w:rsidR="000201F2">
      <w:headerReference w:type="even" r:id="rId31"/>
      <w:headerReference w:type="default" r:id="rId32"/>
      <w:footerReference w:type="even" r:id="rId33"/>
      <w:footerReference w:type="default" r:id="rId34"/>
      <w:headerReference w:type="first" r:id="rId35"/>
      <w:footerReference w:type="first" r:id="rId36"/>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3FB38" w14:textId="77777777" w:rsidR="0073512A" w:rsidRDefault="0073512A">
      <w:r>
        <w:separator/>
      </w:r>
    </w:p>
  </w:endnote>
  <w:endnote w:type="continuationSeparator" w:id="0">
    <w:p w14:paraId="110D1B92" w14:textId="77777777" w:rsidR="0073512A" w:rsidRDefault="00735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166C3" w14:textId="77777777" w:rsidR="000201F2" w:rsidRDefault="0073512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A040C">
      <w:rPr>
        <w:rFonts w:ascii="Arial" w:eastAsia="Arial" w:hAnsi="Arial" w:cs="Arial"/>
        <w:b/>
        <w:noProof/>
        <w:color w:val="000000"/>
        <w:sz w:val="20"/>
        <w:szCs w:val="20"/>
      </w:rPr>
      <w:t>91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A040C">
      <w:rPr>
        <w:rFonts w:ascii="Arial" w:eastAsia="Arial" w:hAnsi="Arial" w:cs="Arial"/>
        <w:b/>
        <w:noProof/>
        <w:color w:val="000000"/>
        <w:sz w:val="20"/>
        <w:szCs w:val="20"/>
      </w:rPr>
      <w:t>92</w:t>
    </w:r>
    <w:r>
      <w:rPr>
        <w:rFonts w:ascii="Arial" w:eastAsia="Arial" w:hAnsi="Arial" w:cs="Arial"/>
        <w:b/>
        <w:color w:val="000000"/>
        <w:sz w:val="20"/>
        <w:szCs w:val="20"/>
      </w:rPr>
      <w:fldChar w:fldCharType="end"/>
    </w:r>
  </w:p>
  <w:p w14:paraId="4A201EBB" w14:textId="77777777" w:rsidR="000201F2" w:rsidRDefault="000201F2">
    <w:pPr>
      <w:pBdr>
        <w:top w:val="nil"/>
        <w:left w:val="nil"/>
        <w:bottom w:val="nil"/>
        <w:right w:val="nil"/>
        <w:between w:val="nil"/>
      </w:pBdr>
      <w:tabs>
        <w:tab w:val="center" w:pos="4252"/>
        <w:tab w:val="right" w:pos="8504"/>
      </w:tabs>
      <w:rPr>
        <w:color w:val="000000"/>
      </w:rPr>
    </w:pPr>
  </w:p>
  <w:p w14:paraId="4D47C83F" w14:textId="77777777" w:rsidR="000201F2" w:rsidRDefault="000201F2">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476BF" w14:textId="77777777" w:rsidR="000201F2" w:rsidRDefault="0073512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A040C">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A040C">
      <w:rPr>
        <w:rFonts w:ascii="Arial" w:eastAsia="Arial" w:hAnsi="Arial" w:cs="Arial"/>
        <w:b/>
        <w:noProof/>
        <w:color w:val="000000"/>
        <w:sz w:val="20"/>
        <w:szCs w:val="20"/>
      </w:rPr>
      <w:t>92</w:t>
    </w:r>
    <w:r>
      <w:rPr>
        <w:rFonts w:ascii="Arial" w:eastAsia="Arial" w:hAnsi="Arial" w:cs="Arial"/>
        <w:b/>
        <w:color w:val="000000"/>
        <w:sz w:val="20"/>
        <w:szCs w:val="20"/>
      </w:rPr>
      <w:fldChar w:fldCharType="end"/>
    </w:r>
  </w:p>
  <w:p w14:paraId="025C62EB" w14:textId="77777777" w:rsidR="000201F2" w:rsidRDefault="000201F2">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D7277" w14:textId="77777777" w:rsidR="006E1991" w:rsidRDefault="006E199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41BDA" w14:textId="77777777" w:rsidR="006E1991" w:rsidRDefault="006E199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878A2" w14:textId="77777777" w:rsidR="00E2676A" w:rsidRDefault="00E2676A" w:rsidP="00E2676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tab/>
    </w: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A040C">
      <w:rPr>
        <w:rFonts w:ascii="Arial" w:eastAsia="Arial" w:hAnsi="Arial" w:cs="Arial"/>
        <w:b/>
        <w:noProof/>
        <w:color w:val="000000"/>
        <w:sz w:val="20"/>
        <w:szCs w:val="20"/>
      </w:rPr>
      <w:t>92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A040C">
      <w:rPr>
        <w:rFonts w:ascii="Arial" w:eastAsia="Arial" w:hAnsi="Arial" w:cs="Arial"/>
        <w:b/>
        <w:noProof/>
        <w:color w:val="000000"/>
        <w:sz w:val="20"/>
        <w:szCs w:val="20"/>
      </w:rPr>
      <w:t>92</w:t>
    </w:r>
    <w:r>
      <w:rPr>
        <w:rFonts w:ascii="Arial" w:eastAsia="Arial" w:hAnsi="Arial" w:cs="Arial"/>
        <w:b/>
        <w:color w:val="000000"/>
        <w:sz w:val="20"/>
        <w:szCs w:val="20"/>
      </w:rPr>
      <w:fldChar w:fldCharType="end"/>
    </w:r>
  </w:p>
  <w:p w14:paraId="7B55E6FA" w14:textId="72988EF4" w:rsidR="006E1991" w:rsidRDefault="006E1991" w:rsidP="00E2676A">
    <w:pPr>
      <w:pStyle w:val="Piedepgina"/>
      <w:tabs>
        <w:tab w:val="clear" w:pos="4252"/>
        <w:tab w:val="clear" w:pos="8504"/>
        <w:tab w:val="left" w:pos="51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C02A9" w14:textId="77777777" w:rsidR="0073512A" w:rsidRDefault="0073512A">
      <w:r>
        <w:separator/>
      </w:r>
    </w:p>
  </w:footnote>
  <w:footnote w:type="continuationSeparator" w:id="0">
    <w:p w14:paraId="27FB1066" w14:textId="77777777" w:rsidR="0073512A" w:rsidRDefault="0073512A">
      <w:r>
        <w:continuationSeparator/>
      </w:r>
    </w:p>
  </w:footnote>
  <w:footnote w:id="1">
    <w:p w14:paraId="111C25DF" w14:textId="77777777" w:rsidR="000201F2" w:rsidRDefault="0073512A">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FE58E5C" w14:textId="77777777" w:rsidR="000201F2" w:rsidRDefault="0073512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4936206" w14:textId="77777777" w:rsidR="000201F2" w:rsidRDefault="0073512A">
      <w:pP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39ECF" w14:textId="77777777" w:rsidR="000201F2" w:rsidRDefault="0073512A">
    <w:pPr>
      <w:widowControl w:val="0"/>
      <w:pBdr>
        <w:top w:val="nil"/>
        <w:left w:val="nil"/>
        <w:bottom w:val="nil"/>
        <w:right w:val="nil"/>
        <w:between w:val="nil"/>
      </w:pBdr>
      <w:spacing w:line="276" w:lineRule="auto"/>
      <w:rPr>
        <w:rFonts w:ascii="Calibri" w:eastAsia="Calibri" w:hAnsi="Calibri" w:cs="Calibri"/>
        <w:color w:val="000000"/>
      </w:rPr>
    </w:pPr>
    <w:r>
      <w:rPr>
        <w:noProof/>
        <w:lang w:eastAsia="es-MX"/>
      </w:rPr>
      <w:drawing>
        <wp:anchor distT="0" distB="0" distL="0" distR="0" simplePos="0" relativeHeight="251658240" behindDoc="1" locked="0" layoutInCell="1" hidden="0" allowOverlap="1" wp14:anchorId="6C01F340" wp14:editId="21DDE174">
          <wp:simplePos x="0" y="0"/>
          <wp:positionH relativeFrom="column">
            <wp:posOffset>-990586</wp:posOffset>
          </wp:positionH>
          <wp:positionV relativeFrom="paragraph">
            <wp:posOffset>-412738</wp:posOffset>
          </wp:positionV>
          <wp:extent cx="7635163" cy="9944100"/>
          <wp:effectExtent l="0" t="0" r="0" b="0"/>
          <wp:wrapNone/>
          <wp:docPr id="916095914" name="Imagen 916095914"/>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7"/>
      <w:tblW w:w="5812" w:type="dxa"/>
      <w:tblInd w:w="3119" w:type="dxa"/>
      <w:tblLayout w:type="fixed"/>
      <w:tblLook w:val="0400" w:firstRow="0" w:lastRow="0" w:firstColumn="0" w:lastColumn="0" w:noHBand="0" w:noVBand="1"/>
    </w:tblPr>
    <w:tblGrid>
      <w:gridCol w:w="2694"/>
      <w:gridCol w:w="3118"/>
    </w:tblGrid>
    <w:tr w:rsidR="000201F2" w14:paraId="52F85101" w14:textId="77777777">
      <w:tc>
        <w:tcPr>
          <w:tcW w:w="2694" w:type="dxa"/>
          <w:vAlign w:val="center"/>
        </w:tcPr>
        <w:p w14:paraId="2F0063AF" w14:textId="77777777" w:rsidR="000201F2" w:rsidRDefault="0073512A">
          <w:pPr>
            <w:rPr>
              <w:rFonts w:ascii="Palatino Linotype" w:eastAsia="Palatino Linotype" w:hAnsi="Palatino Linotype" w:cs="Palatino Linotype"/>
              <w:b/>
              <w:sz w:val="22"/>
              <w:szCs w:val="22"/>
            </w:rPr>
          </w:pPr>
          <w:bookmarkStart w:id="26" w:name="_Hlk148690481"/>
          <w:r>
            <w:rPr>
              <w:rFonts w:ascii="Palatino Linotype" w:eastAsia="Palatino Linotype" w:hAnsi="Palatino Linotype" w:cs="Palatino Linotype"/>
              <w:b/>
              <w:sz w:val="22"/>
              <w:szCs w:val="22"/>
            </w:rPr>
            <w:t>Recurso de Revisión:</w:t>
          </w:r>
        </w:p>
      </w:tc>
      <w:tc>
        <w:tcPr>
          <w:tcW w:w="3118" w:type="dxa"/>
          <w:vAlign w:val="center"/>
        </w:tcPr>
        <w:p w14:paraId="3CFD0D69" w14:textId="77777777" w:rsidR="000201F2" w:rsidRDefault="0073512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1"/>
              <w:szCs w:val="21"/>
            </w:rPr>
            <w:t>01359/INFOEM/IP/RR/2023 y acumulado</w:t>
          </w:r>
        </w:p>
      </w:tc>
    </w:tr>
    <w:tr w:rsidR="000201F2" w14:paraId="357C1BFF" w14:textId="77777777">
      <w:trPr>
        <w:trHeight w:val="228"/>
      </w:trPr>
      <w:tc>
        <w:tcPr>
          <w:tcW w:w="2694" w:type="dxa"/>
          <w:vAlign w:val="center"/>
        </w:tcPr>
        <w:p w14:paraId="1B4887BB" w14:textId="77777777" w:rsidR="000201F2" w:rsidRDefault="007351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8" w:type="dxa"/>
          <w:vAlign w:val="center"/>
        </w:tcPr>
        <w:p w14:paraId="488BC7C8" w14:textId="77777777" w:rsidR="000201F2" w:rsidRDefault="0073512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0201F2" w14:paraId="5A5BC319" w14:textId="77777777">
      <w:tc>
        <w:tcPr>
          <w:tcW w:w="2694" w:type="dxa"/>
          <w:vAlign w:val="center"/>
        </w:tcPr>
        <w:p w14:paraId="754AE564" w14:textId="77777777" w:rsidR="000201F2" w:rsidRDefault="007351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8" w:type="dxa"/>
          <w:vAlign w:val="center"/>
        </w:tcPr>
        <w:p w14:paraId="554F32C6" w14:textId="77777777" w:rsidR="000201F2" w:rsidRDefault="0073512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bookmarkEnd w:id="26"/>
  <w:p w14:paraId="0D5888E0" w14:textId="77777777" w:rsidR="000201F2" w:rsidRDefault="0073512A">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FA9BB" w14:textId="77777777" w:rsidR="000201F2" w:rsidRDefault="0073512A">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tbl>
    <w:tblPr>
      <w:tblStyle w:val="a6"/>
      <w:tblW w:w="5953" w:type="dxa"/>
      <w:tblInd w:w="3119" w:type="dxa"/>
      <w:tblLayout w:type="fixed"/>
      <w:tblLook w:val="0400" w:firstRow="0" w:lastRow="0" w:firstColumn="0" w:lastColumn="0" w:noHBand="0" w:noVBand="1"/>
    </w:tblPr>
    <w:tblGrid>
      <w:gridCol w:w="2551"/>
      <w:gridCol w:w="3261"/>
      <w:gridCol w:w="141"/>
    </w:tblGrid>
    <w:tr w:rsidR="000201F2" w14:paraId="25CE1539" w14:textId="77777777">
      <w:trPr>
        <w:gridAfter w:val="1"/>
        <w:wAfter w:w="141" w:type="dxa"/>
      </w:trPr>
      <w:tc>
        <w:tcPr>
          <w:tcW w:w="2551" w:type="dxa"/>
          <w:vAlign w:val="center"/>
        </w:tcPr>
        <w:p w14:paraId="221F1F29" w14:textId="77777777" w:rsidR="000201F2" w:rsidRDefault="007351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14:paraId="1EFB3287" w14:textId="77777777" w:rsidR="000201F2" w:rsidRDefault="0073512A">
          <w:pPr>
            <w:ind w:right="-11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01359/INFOEM/IP/RR/2023 y acumulado</w:t>
          </w:r>
        </w:p>
      </w:tc>
    </w:tr>
    <w:tr w:rsidR="000201F2" w14:paraId="76DCD559" w14:textId="77777777">
      <w:tc>
        <w:tcPr>
          <w:tcW w:w="2551" w:type="dxa"/>
          <w:vAlign w:val="center"/>
        </w:tcPr>
        <w:p w14:paraId="6E10FDAD" w14:textId="77777777" w:rsidR="000201F2" w:rsidRDefault="0073512A">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gridSpan w:val="2"/>
          <w:vAlign w:val="center"/>
        </w:tcPr>
        <w:p w14:paraId="1CE0CB1D" w14:textId="1AA7DBC8" w:rsidR="000201F2" w:rsidRDefault="00A00380">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w:t>
          </w:r>
          <w:r w:rsidR="0073512A">
            <w:rPr>
              <w:noProof/>
              <w:lang w:eastAsia="es-MX"/>
            </w:rPr>
            <w:drawing>
              <wp:anchor distT="0" distB="0" distL="0" distR="0" simplePos="0" relativeHeight="251659264" behindDoc="1" locked="0" layoutInCell="1" hidden="0" allowOverlap="1" wp14:anchorId="581ED4B7" wp14:editId="31D34573">
                <wp:simplePos x="0" y="0"/>
                <wp:positionH relativeFrom="column">
                  <wp:posOffset>-4685658</wp:posOffset>
                </wp:positionH>
                <wp:positionV relativeFrom="paragraph">
                  <wp:posOffset>-913755</wp:posOffset>
                </wp:positionV>
                <wp:extent cx="7635240" cy="9942830"/>
                <wp:effectExtent l="0" t="0" r="0" b="0"/>
                <wp:wrapNone/>
                <wp:docPr id="142536196" name="Imagen 142536196"/>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c>
    </w:tr>
    <w:tr w:rsidR="000201F2" w14:paraId="65B3C6A3" w14:textId="77777777">
      <w:trPr>
        <w:trHeight w:val="228"/>
      </w:trPr>
      <w:tc>
        <w:tcPr>
          <w:tcW w:w="2551" w:type="dxa"/>
          <w:vAlign w:val="center"/>
        </w:tcPr>
        <w:p w14:paraId="10F1B1EB" w14:textId="77777777" w:rsidR="000201F2" w:rsidRDefault="007351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gridSpan w:val="2"/>
          <w:vAlign w:val="center"/>
        </w:tcPr>
        <w:p w14:paraId="23433E25" w14:textId="77777777" w:rsidR="000201F2" w:rsidRDefault="0073512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0201F2" w14:paraId="6213E0DA" w14:textId="77777777">
      <w:tc>
        <w:tcPr>
          <w:tcW w:w="2551" w:type="dxa"/>
          <w:vAlign w:val="center"/>
        </w:tcPr>
        <w:p w14:paraId="3CD85A12" w14:textId="77777777" w:rsidR="000201F2" w:rsidRDefault="007351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gridSpan w:val="2"/>
          <w:vAlign w:val="center"/>
        </w:tcPr>
        <w:p w14:paraId="53042BDF" w14:textId="77777777" w:rsidR="000201F2" w:rsidRDefault="0073512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FA5F90B" w14:textId="77777777" w:rsidR="000201F2" w:rsidRDefault="000201F2">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D87DA" w14:textId="77777777" w:rsidR="006E1991" w:rsidRDefault="006E199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ECECD" w14:textId="77777777" w:rsidR="006E1991" w:rsidRDefault="006E1991">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812" w:type="dxa"/>
      <w:tblInd w:w="3119" w:type="dxa"/>
      <w:tblLayout w:type="fixed"/>
      <w:tblLook w:val="0400" w:firstRow="0" w:lastRow="0" w:firstColumn="0" w:lastColumn="0" w:noHBand="0" w:noVBand="1"/>
    </w:tblPr>
    <w:tblGrid>
      <w:gridCol w:w="2694"/>
      <w:gridCol w:w="3118"/>
    </w:tblGrid>
    <w:tr w:rsidR="006E1991" w14:paraId="6AA558AE" w14:textId="77777777" w:rsidTr="00125CC1">
      <w:tc>
        <w:tcPr>
          <w:tcW w:w="2694" w:type="dxa"/>
          <w:vAlign w:val="center"/>
        </w:tcPr>
        <w:p w14:paraId="5C990D77" w14:textId="40EB11CD" w:rsidR="006E1991" w:rsidRDefault="006E1991" w:rsidP="006E19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8" w:type="dxa"/>
          <w:vAlign w:val="center"/>
        </w:tcPr>
        <w:p w14:paraId="76A67361" w14:textId="77777777" w:rsidR="006E1991" w:rsidRDefault="006E1991" w:rsidP="006E199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1"/>
              <w:szCs w:val="21"/>
            </w:rPr>
            <w:t>01359/INFOEM/IP/RR/2023 y acumulado</w:t>
          </w:r>
        </w:p>
      </w:tc>
    </w:tr>
    <w:tr w:rsidR="006E1991" w14:paraId="0473F602" w14:textId="77777777" w:rsidTr="00125CC1">
      <w:trPr>
        <w:trHeight w:val="228"/>
      </w:trPr>
      <w:tc>
        <w:tcPr>
          <w:tcW w:w="2694" w:type="dxa"/>
          <w:vAlign w:val="center"/>
        </w:tcPr>
        <w:p w14:paraId="64480292" w14:textId="05F49CFC" w:rsidR="006E1991" w:rsidRDefault="006E1991" w:rsidP="006E19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8" w:type="dxa"/>
          <w:vAlign w:val="center"/>
        </w:tcPr>
        <w:p w14:paraId="39978271" w14:textId="77777777" w:rsidR="006E1991" w:rsidRDefault="006E1991" w:rsidP="006E199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6E1991" w14:paraId="69598740" w14:textId="77777777" w:rsidTr="00125CC1">
      <w:tc>
        <w:tcPr>
          <w:tcW w:w="2694" w:type="dxa"/>
          <w:vAlign w:val="center"/>
        </w:tcPr>
        <w:p w14:paraId="6FB14CBE" w14:textId="77777777" w:rsidR="006E1991" w:rsidRDefault="006E1991" w:rsidP="006E19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8" w:type="dxa"/>
          <w:vAlign w:val="center"/>
        </w:tcPr>
        <w:p w14:paraId="7FDA00B1" w14:textId="77777777" w:rsidR="006E1991" w:rsidRDefault="006E1991" w:rsidP="006E199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5E9625C" w14:textId="1516CB4E" w:rsidR="000201F2" w:rsidRDefault="006E1991">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eastAsia="es-MX"/>
      </w:rPr>
      <w:drawing>
        <wp:anchor distT="0" distB="0" distL="0" distR="0" simplePos="0" relativeHeight="251661312" behindDoc="1" locked="0" layoutInCell="1" hidden="0" allowOverlap="1" wp14:anchorId="5A9198BF" wp14:editId="56D0F05F">
          <wp:simplePos x="0" y="0"/>
          <wp:positionH relativeFrom="page">
            <wp:posOffset>6350</wp:posOffset>
          </wp:positionH>
          <wp:positionV relativeFrom="paragraph">
            <wp:posOffset>-1099820</wp:posOffset>
          </wp:positionV>
          <wp:extent cx="7634605" cy="9944100"/>
          <wp:effectExtent l="0" t="0" r="4445" b="0"/>
          <wp:wrapNone/>
          <wp:docPr id="1616156954" name="Imagen 1616156954"/>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4605" cy="9944100"/>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000000"/>
      </w:rPr>
      <w:t xml:space="preserve">                                  </w:t>
    </w:r>
  </w:p>
  <w:p w14:paraId="256F365F" w14:textId="693A0B9F" w:rsidR="000201F2" w:rsidRDefault="000201F2">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E17C0"/>
    <w:multiLevelType w:val="multilevel"/>
    <w:tmpl w:val="CB40E64C"/>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D046B7"/>
    <w:multiLevelType w:val="multilevel"/>
    <w:tmpl w:val="50D206E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36FE7417"/>
    <w:multiLevelType w:val="multilevel"/>
    <w:tmpl w:val="A9A24772"/>
    <w:lvl w:ilvl="0">
      <w:start w:val="1"/>
      <w:numFmt w:val="bullet"/>
      <w:lvlText w:val="-"/>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8B238D2"/>
    <w:multiLevelType w:val="multilevel"/>
    <w:tmpl w:val="2182D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867755"/>
    <w:multiLevelType w:val="multilevel"/>
    <w:tmpl w:val="B9581E10"/>
    <w:lvl w:ilvl="0">
      <w:start w:val="1"/>
      <w:numFmt w:val="decimal"/>
      <w:pStyle w:val="Listaconvietas"/>
      <w:lvlText w:val="%1."/>
      <w:lvlJc w:val="left"/>
      <w:pPr>
        <w:ind w:left="749" w:hanging="359"/>
      </w:pPr>
    </w:lvl>
    <w:lvl w:ilvl="1">
      <w:start w:val="1"/>
      <w:numFmt w:val="lowerLetter"/>
      <w:lvlText w:val="%2."/>
      <w:lvlJc w:val="left"/>
      <w:pPr>
        <w:ind w:left="1469" w:hanging="360"/>
      </w:pPr>
    </w:lvl>
    <w:lvl w:ilvl="2">
      <w:start w:val="1"/>
      <w:numFmt w:val="lowerRoman"/>
      <w:lvlText w:val="%3."/>
      <w:lvlJc w:val="right"/>
      <w:pPr>
        <w:ind w:left="2189" w:hanging="180"/>
      </w:pPr>
    </w:lvl>
    <w:lvl w:ilvl="3">
      <w:start w:val="1"/>
      <w:numFmt w:val="decimal"/>
      <w:lvlText w:val="%4."/>
      <w:lvlJc w:val="left"/>
      <w:pPr>
        <w:ind w:left="2909" w:hanging="360"/>
      </w:pPr>
    </w:lvl>
    <w:lvl w:ilvl="4">
      <w:start w:val="1"/>
      <w:numFmt w:val="lowerLetter"/>
      <w:lvlText w:val="%5."/>
      <w:lvlJc w:val="left"/>
      <w:pPr>
        <w:ind w:left="3629" w:hanging="360"/>
      </w:pPr>
    </w:lvl>
    <w:lvl w:ilvl="5">
      <w:start w:val="1"/>
      <w:numFmt w:val="lowerRoman"/>
      <w:lvlText w:val="%6."/>
      <w:lvlJc w:val="right"/>
      <w:pPr>
        <w:ind w:left="4349" w:hanging="180"/>
      </w:pPr>
    </w:lvl>
    <w:lvl w:ilvl="6">
      <w:start w:val="1"/>
      <w:numFmt w:val="decimal"/>
      <w:lvlText w:val="%7."/>
      <w:lvlJc w:val="left"/>
      <w:pPr>
        <w:ind w:left="5069" w:hanging="360"/>
      </w:pPr>
    </w:lvl>
    <w:lvl w:ilvl="7">
      <w:start w:val="1"/>
      <w:numFmt w:val="lowerLetter"/>
      <w:lvlText w:val="%8."/>
      <w:lvlJc w:val="left"/>
      <w:pPr>
        <w:ind w:left="5789" w:hanging="360"/>
      </w:pPr>
    </w:lvl>
    <w:lvl w:ilvl="8">
      <w:start w:val="1"/>
      <w:numFmt w:val="lowerRoman"/>
      <w:lvlText w:val="%9."/>
      <w:lvlJc w:val="right"/>
      <w:pPr>
        <w:ind w:left="6509" w:hanging="180"/>
      </w:pPr>
    </w:lvl>
  </w:abstractNum>
  <w:abstractNum w:abstractNumId="5" w15:restartNumberingAfterBreak="0">
    <w:nsid w:val="68526609"/>
    <w:multiLevelType w:val="multilevel"/>
    <w:tmpl w:val="5CBE53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6A9F1884"/>
    <w:multiLevelType w:val="multilevel"/>
    <w:tmpl w:val="8E0034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2480EBC"/>
    <w:multiLevelType w:val="multilevel"/>
    <w:tmpl w:val="0DC46B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CB44C14"/>
    <w:multiLevelType w:val="multilevel"/>
    <w:tmpl w:val="CA967E72"/>
    <w:lvl w:ilvl="0">
      <w:start w:val="1"/>
      <w:numFmt w:val="decimal"/>
      <w:lvlText w:val="%1."/>
      <w:lvlJc w:val="left"/>
      <w:pPr>
        <w:ind w:left="2909" w:hanging="360"/>
      </w:pPr>
    </w:lvl>
    <w:lvl w:ilvl="1">
      <w:start w:val="1"/>
      <w:numFmt w:val="lowerLetter"/>
      <w:lvlText w:val="%2."/>
      <w:lvlJc w:val="left"/>
      <w:pPr>
        <w:ind w:left="3629" w:hanging="360"/>
      </w:pPr>
    </w:lvl>
    <w:lvl w:ilvl="2">
      <w:start w:val="1"/>
      <w:numFmt w:val="lowerRoman"/>
      <w:lvlText w:val="%3."/>
      <w:lvlJc w:val="right"/>
      <w:pPr>
        <w:ind w:left="4349" w:hanging="180"/>
      </w:pPr>
    </w:lvl>
    <w:lvl w:ilvl="3">
      <w:start w:val="1"/>
      <w:numFmt w:val="decimal"/>
      <w:lvlText w:val="%4."/>
      <w:lvlJc w:val="left"/>
      <w:pPr>
        <w:ind w:left="5069" w:hanging="360"/>
      </w:pPr>
    </w:lvl>
    <w:lvl w:ilvl="4">
      <w:start w:val="1"/>
      <w:numFmt w:val="lowerLetter"/>
      <w:lvlText w:val="%5."/>
      <w:lvlJc w:val="left"/>
      <w:pPr>
        <w:ind w:left="5789" w:hanging="360"/>
      </w:pPr>
    </w:lvl>
    <w:lvl w:ilvl="5">
      <w:start w:val="1"/>
      <w:numFmt w:val="lowerRoman"/>
      <w:lvlText w:val="%6."/>
      <w:lvlJc w:val="right"/>
      <w:pPr>
        <w:ind w:left="6509" w:hanging="180"/>
      </w:pPr>
    </w:lvl>
    <w:lvl w:ilvl="6">
      <w:start w:val="1"/>
      <w:numFmt w:val="decimal"/>
      <w:lvlText w:val="%7."/>
      <w:lvlJc w:val="left"/>
      <w:pPr>
        <w:ind w:left="7229" w:hanging="360"/>
      </w:pPr>
    </w:lvl>
    <w:lvl w:ilvl="7">
      <w:start w:val="1"/>
      <w:numFmt w:val="lowerLetter"/>
      <w:lvlText w:val="%8."/>
      <w:lvlJc w:val="left"/>
      <w:pPr>
        <w:ind w:left="7949" w:hanging="360"/>
      </w:pPr>
    </w:lvl>
    <w:lvl w:ilvl="8">
      <w:start w:val="1"/>
      <w:numFmt w:val="lowerRoman"/>
      <w:lvlText w:val="%9."/>
      <w:lvlJc w:val="right"/>
      <w:pPr>
        <w:ind w:left="8669" w:hanging="180"/>
      </w:pPr>
    </w:lvl>
  </w:abstractNum>
  <w:num w:numId="1">
    <w:abstractNumId w:val="5"/>
  </w:num>
  <w:num w:numId="2">
    <w:abstractNumId w:val="4"/>
  </w:num>
  <w:num w:numId="3">
    <w:abstractNumId w:val="0"/>
  </w:num>
  <w:num w:numId="4">
    <w:abstractNumId w:val="6"/>
  </w:num>
  <w:num w:numId="5">
    <w:abstractNumId w:val="8"/>
  </w:num>
  <w:num w:numId="6">
    <w:abstractNumId w:val="3"/>
  </w:num>
  <w:num w:numId="7">
    <w:abstractNumId w:val="2"/>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1F2"/>
    <w:rsid w:val="000201F2"/>
    <w:rsid w:val="000A040C"/>
    <w:rsid w:val="00354B1A"/>
    <w:rsid w:val="006E1991"/>
    <w:rsid w:val="0073512A"/>
    <w:rsid w:val="00751B0A"/>
    <w:rsid w:val="0077098E"/>
    <w:rsid w:val="00A00380"/>
    <w:rsid w:val="00D04A05"/>
    <w:rsid w:val="00E267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215021"/>
  <w15:docId w15:val="{73CD9680-A872-4E3A-BB0B-8F8364F38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991"/>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1">
    <w:name w:val="51"/>
    <w:basedOn w:val="TableNormal1"/>
    <w:tblPr>
      <w:tblStyleRowBandSize w:val="1"/>
      <w:tblStyleColBandSize w:val="1"/>
      <w:tblCellMar>
        <w:left w:w="115" w:type="dxa"/>
        <w:right w:w="115" w:type="dxa"/>
      </w:tblCellMar>
    </w:tblPr>
  </w:style>
  <w:style w:type="table" w:customStyle="1" w:styleId="50">
    <w:name w:val="50"/>
    <w:basedOn w:val="TableNormal1"/>
    <w:tblPr>
      <w:tblStyleRowBandSize w:val="1"/>
      <w:tblStyleColBandSize w:val="1"/>
      <w:tblCellMar>
        <w:left w:w="115" w:type="dxa"/>
        <w:right w:w="115" w:type="dxa"/>
      </w:tblCellMar>
    </w:tblPr>
  </w:style>
  <w:style w:type="paragraph" w:styleId="Sinespaciado">
    <w:name w:val="No Spacing"/>
    <w:aliases w:val="Francesa"/>
    <w:link w:val="SinespaciadoCar"/>
    <w:uiPriority w:val="1"/>
    <w:qFormat/>
    <w:rsid w:val="000039DE"/>
    <w:rPr>
      <w:lang w:eastAsia="es-ES"/>
    </w:rPr>
  </w:style>
  <w:style w:type="character" w:customStyle="1" w:styleId="SinespaciadoCar">
    <w:name w:val="Sin espaciado Car"/>
    <w:aliases w:val="Francesa Car"/>
    <w:link w:val="Sinespaciado"/>
    <w:uiPriority w:val="1"/>
    <w:locked/>
    <w:rsid w:val="000039DE"/>
    <w:rPr>
      <w:lang w:val="es-MX" w:eastAsia="es-ES"/>
    </w:rPr>
  </w:style>
  <w:style w:type="table" w:customStyle="1" w:styleId="49">
    <w:name w:val="49"/>
    <w:basedOn w:val="TableNormal1"/>
    <w:tblPr>
      <w:tblStyleRowBandSize w:val="1"/>
      <w:tblStyleColBandSize w:val="1"/>
      <w:tblCellMar>
        <w:left w:w="108" w:type="dxa"/>
        <w:right w:w="108" w:type="dxa"/>
      </w:tblCellMar>
    </w:tblPr>
  </w:style>
  <w:style w:type="table" w:customStyle="1" w:styleId="48">
    <w:name w:val="48"/>
    <w:basedOn w:val="TableNormal1"/>
    <w:tblPr>
      <w:tblStyleRowBandSize w:val="1"/>
      <w:tblStyleColBandSize w:val="1"/>
      <w:tblCellMar>
        <w:left w:w="108" w:type="dxa"/>
        <w:right w:w="108" w:type="dxa"/>
      </w:tblCellMar>
    </w:tblPr>
  </w:style>
  <w:style w:type="table" w:customStyle="1" w:styleId="47">
    <w:name w:val="47"/>
    <w:basedOn w:val="TableNormal1"/>
    <w:tblPr>
      <w:tblStyleRowBandSize w:val="1"/>
      <w:tblStyleColBandSize w:val="1"/>
      <w:tblCellMar>
        <w:left w:w="115" w:type="dxa"/>
        <w:right w:w="115" w:type="dxa"/>
      </w:tblCellMar>
    </w:tblPr>
  </w:style>
  <w:style w:type="table" w:customStyle="1" w:styleId="46">
    <w:name w:val="46"/>
    <w:basedOn w:val="TableNormal1"/>
    <w:tblPr>
      <w:tblStyleRowBandSize w:val="1"/>
      <w:tblStyleColBandSize w:val="1"/>
      <w:tblCellMar>
        <w:left w:w="115" w:type="dxa"/>
        <w:right w:w="115" w:type="dxa"/>
      </w:tblCellMar>
    </w:tblPr>
  </w:style>
  <w:style w:type="table" w:customStyle="1" w:styleId="45">
    <w:name w:val="45"/>
    <w:basedOn w:val="TableNormal2"/>
    <w:tblPr>
      <w:tblStyleRowBandSize w:val="1"/>
      <w:tblStyleColBandSize w:val="1"/>
      <w:tblCellMar>
        <w:left w:w="115" w:type="dxa"/>
        <w:right w:w="115" w:type="dxa"/>
      </w:tblCellMar>
    </w:tblPr>
  </w:style>
  <w:style w:type="table" w:customStyle="1" w:styleId="44">
    <w:name w:val="44"/>
    <w:basedOn w:val="TableNormal2"/>
    <w:tblPr>
      <w:tblStyleRowBandSize w:val="1"/>
      <w:tblStyleColBandSize w:val="1"/>
      <w:tblCellMar>
        <w:left w:w="115" w:type="dxa"/>
        <w:right w:w="115" w:type="dxa"/>
      </w:tblCellMar>
    </w:tblPr>
  </w:style>
  <w:style w:type="table" w:customStyle="1" w:styleId="43">
    <w:name w:val="43"/>
    <w:basedOn w:val="TableNormal2"/>
    <w:tblPr>
      <w:tblStyleRowBandSize w:val="1"/>
      <w:tblStyleColBandSize w:val="1"/>
      <w:tblCellMar>
        <w:left w:w="115" w:type="dxa"/>
        <w:right w:w="115" w:type="dxa"/>
      </w:tblCellMar>
    </w:tblPr>
  </w:style>
  <w:style w:type="table" w:customStyle="1" w:styleId="42">
    <w:name w:val="42"/>
    <w:basedOn w:val="TableNormal2"/>
    <w:tblPr>
      <w:tblStyleRowBandSize w:val="1"/>
      <w:tblStyleColBandSize w:val="1"/>
      <w:tblCellMar>
        <w:left w:w="115" w:type="dxa"/>
        <w:right w:w="115" w:type="dxa"/>
      </w:tblCellMar>
    </w:tblPr>
  </w:style>
  <w:style w:type="table" w:customStyle="1" w:styleId="41">
    <w:name w:val="41"/>
    <w:basedOn w:val="TableNormal2"/>
    <w:tblPr>
      <w:tblStyleRowBandSize w:val="1"/>
      <w:tblStyleColBandSize w:val="1"/>
      <w:tblCellMar>
        <w:left w:w="115" w:type="dxa"/>
        <w:right w:w="115" w:type="dxa"/>
      </w:tblCellMar>
    </w:tblPr>
  </w:style>
  <w:style w:type="table" w:customStyle="1" w:styleId="40">
    <w:name w:val="40"/>
    <w:basedOn w:val="TableNormal3"/>
    <w:tblPr>
      <w:tblStyleRowBandSize w:val="1"/>
      <w:tblStyleColBandSize w:val="1"/>
      <w:tblCellMar>
        <w:left w:w="115" w:type="dxa"/>
        <w:right w:w="115" w:type="dxa"/>
      </w:tblCellMar>
    </w:tblPr>
  </w:style>
  <w:style w:type="table" w:customStyle="1" w:styleId="39">
    <w:name w:val="39"/>
    <w:basedOn w:val="TableNormal3"/>
    <w:tblPr>
      <w:tblStyleRowBandSize w:val="1"/>
      <w:tblStyleColBandSize w:val="1"/>
      <w:tblCellMar>
        <w:left w:w="115" w:type="dxa"/>
        <w:right w:w="115" w:type="dxa"/>
      </w:tblCellMar>
    </w:tblPr>
  </w:style>
  <w:style w:type="table" w:customStyle="1" w:styleId="38">
    <w:name w:val="38"/>
    <w:basedOn w:val="TableNormal3"/>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6D213A"/>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37">
    <w:name w:val="37"/>
    <w:basedOn w:val="TableNormal4"/>
    <w:tblPr>
      <w:tblStyleRowBandSize w:val="1"/>
      <w:tblStyleColBandSize w:val="1"/>
      <w:tblCellMar>
        <w:left w:w="115" w:type="dxa"/>
        <w:right w:w="115" w:type="dxa"/>
      </w:tblCellMar>
    </w:tblPr>
  </w:style>
  <w:style w:type="table" w:customStyle="1" w:styleId="36">
    <w:name w:val="36"/>
    <w:basedOn w:val="TableNormal4"/>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35">
    <w:name w:val="35"/>
    <w:basedOn w:val="TableNormal4"/>
    <w:tblPr>
      <w:tblStyleRowBandSize w:val="1"/>
      <w:tblStyleColBandSize w:val="1"/>
      <w:tblCellMar>
        <w:left w:w="115" w:type="dxa"/>
        <w:right w:w="115" w:type="dxa"/>
      </w:tblCellMar>
    </w:tblPr>
  </w:style>
  <w:style w:type="table" w:customStyle="1" w:styleId="34">
    <w:name w:val="34"/>
    <w:basedOn w:val="TableNormal4"/>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E44466"/>
    <w:rPr>
      <w:color w:val="605E5C"/>
      <w:shd w:val="clear" w:color="auto" w:fill="E1DFDD"/>
    </w:rPr>
  </w:style>
  <w:style w:type="character" w:styleId="Hipervnculovisitado">
    <w:name w:val="FollowedHyperlink"/>
    <w:basedOn w:val="Fuentedeprrafopredeter"/>
    <w:uiPriority w:val="99"/>
    <w:semiHidden/>
    <w:unhideWhenUsed/>
    <w:rsid w:val="00E44466"/>
    <w:rPr>
      <w:color w:val="954F72" w:themeColor="followedHyperlink"/>
      <w:u w:val="single"/>
    </w:rPr>
  </w:style>
  <w:style w:type="table" w:customStyle="1" w:styleId="33">
    <w:name w:val="33"/>
    <w:basedOn w:val="TableNormal5"/>
    <w:tblPr>
      <w:tblStyleRowBandSize w:val="1"/>
      <w:tblStyleColBandSize w:val="1"/>
      <w:tblCellMar>
        <w:left w:w="115" w:type="dxa"/>
        <w:right w:w="115" w:type="dxa"/>
      </w:tblCellMar>
    </w:tblPr>
  </w:style>
  <w:style w:type="table" w:customStyle="1" w:styleId="32">
    <w:name w:val="32"/>
    <w:basedOn w:val="TableNormal5"/>
    <w:tblPr>
      <w:tblStyleRowBandSize w:val="1"/>
      <w:tblStyleColBandSize w:val="1"/>
      <w:tblCellMar>
        <w:left w:w="115" w:type="dxa"/>
        <w:right w:w="115" w:type="dxa"/>
      </w:tblCellMar>
    </w:tblPr>
  </w:style>
  <w:style w:type="table" w:customStyle="1" w:styleId="31">
    <w:name w:val="31"/>
    <w:basedOn w:val="TableNormal5"/>
    <w:tblPr>
      <w:tblStyleRowBandSize w:val="1"/>
      <w:tblStyleColBandSize w:val="1"/>
      <w:tblCellMar>
        <w:left w:w="115" w:type="dxa"/>
        <w:right w:w="115" w:type="dxa"/>
      </w:tblCellMar>
    </w:tblPr>
  </w:style>
  <w:style w:type="table" w:customStyle="1" w:styleId="30">
    <w:name w:val="30"/>
    <w:basedOn w:val="TableNormal5"/>
    <w:tblPr>
      <w:tblStyleRowBandSize w:val="1"/>
      <w:tblStyleColBandSize w:val="1"/>
      <w:tblCellMar>
        <w:left w:w="115" w:type="dxa"/>
        <w:right w:w="115" w:type="dxa"/>
      </w:tblCellMar>
    </w:tblPr>
  </w:style>
  <w:style w:type="table" w:customStyle="1" w:styleId="29">
    <w:name w:val="29"/>
    <w:basedOn w:val="TableNormal5"/>
    <w:rPr>
      <w:rFonts w:ascii="Calibri" w:eastAsia="Calibri" w:hAnsi="Calibri" w:cs="Calibri"/>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8">
    <w:name w:val="28"/>
    <w:basedOn w:val="TableNormal5"/>
    <w:rPr>
      <w:rFonts w:ascii="Calibri" w:eastAsia="Calibri" w:hAnsi="Calibri" w:cs="Calibri"/>
    </w:rPr>
    <w:tblPr>
      <w:tblStyleRowBandSize w:val="1"/>
      <w:tblStyleColBandSize w:val="1"/>
      <w:tblCellMar>
        <w:left w:w="115" w:type="dxa"/>
        <w:right w:w="115" w:type="dxa"/>
      </w:tblCellMar>
    </w:tblPr>
  </w:style>
  <w:style w:type="table" w:customStyle="1" w:styleId="27">
    <w:name w:val="27"/>
    <w:basedOn w:val="TableNormal5"/>
    <w:rPr>
      <w:rFonts w:ascii="Calibri" w:eastAsia="Calibri" w:hAnsi="Calibri" w:cs="Calibri"/>
    </w:rPr>
    <w:tblPr>
      <w:tblStyleRowBandSize w:val="1"/>
      <w:tblStyleColBandSize w:val="1"/>
      <w:tblCellMar>
        <w:left w:w="115" w:type="dxa"/>
        <w:right w:w="115" w:type="dxa"/>
      </w:tblCellMar>
    </w:tblPr>
  </w:style>
  <w:style w:type="paragraph" w:styleId="Lista">
    <w:name w:val="List"/>
    <w:basedOn w:val="Normal"/>
    <w:uiPriority w:val="99"/>
    <w:unhideWhenUsed/>
    <w:rsid w:val="00236BC4"/>
    <w:pPr>
      <w:ind w:left="283" w:hanging="283"/>
      <w:contextualSpacing/>
    </w:pPr>
  </w:style>
  <w:style w:type="paragraph" w:styleId="Lista2">
    <w:name w:val="List 2"/>
    <w:basedOn w:val="Normal"/>
    <w:uiPriority w:val="99"/>
    <w:unhideWhenUsed/>
    <w:rsid w:val="00236BC4"/>
    <w:pPr>
      <w:ind w:left="566" w:hanging="283"/>
      <w:contextualSpacing/>
    </w:pPr>
  </w:style>
  <w:style w:type="paragraph" w:styleId="Listaconvietas">
    <w:name w:val="List Bullet"/>
    <w:basedOn w:val="Normal"/>
    <w:uiPriority w:val="99"/>
    <w:unhideWhenUsed/>
    <w:rsid w:val="00236BC4"/>
    <w:pPr>
      <w:numPr>
        <w:numId w:val="2"/>
      </w:numPr>
      <w:contextualSpacing/>
    </w:pPr>
  </w:style>
  <w:style w:type="paragraph" w:styleId="Continuarlista">
    <w:name w:val="List Continue"/>
    <w:basedOn w:val="Normal"/>
    <w:uiPriority w:val="99"/>
    <w:unhideWhenUsed/>
    <w:rsid w:val="00236BC4"/>
    <w:pPr>
      <w:spacing w:after="120"/>
      <w:ind w:left="283"/>
      <w:contextualSpacing/>
    </w:pPr>
  </w:style>
  <w:style w:type="paragraph" w:styleId="Textoindependiente">
    <w:name w:val="Body Text"/>
    <w:basedOn w:val="Normal"/>
    <w:link w:val="TextoindependienteCar"/>
    <w:uiPriority w:val="99"/>
    <w:unhideWhenUsed/>
    <w:rsid w:val="00236BC4"/>
    <w:pPr>
      <w:spacing w:after="120"/>
    </w:pPr>
  </w:style>
  <w:style w:type="character" w:customStyle="1" w:styleId="TextoindependienteCar">
    <w:name w:val="Texto independiente Car"/>
    <w:basedOn w:val="Fuentedeprrafopredeter"/>
    <w:link w:val="Textoindependiente"/>
    <w:uiPriority w:val="99"/>
    <w:rsid w:val="00236BC4"/>
    <w:rPr>
      <w:lang w:eastAsia="es-ES"/>
    </w:rPr>
  </w:style>
  <w:style w:type="paragraph" w:styleId="Sangradetextonormal">
    <w:name w:val="Body Text Indent"/>
    <w:basedOn w:val="Normal"/>
    <w:link w:val="SangradetextonormalCar"/>
    <w:uiPriority w:val="99"/>
    <w:unhideWhenUsed/>
    <w:rsid w:val="00236BC4"/>
    <w:pPr>
      <w:spacing w:after="120"/>
      <w:ind w:left="283"/>
    </w:pPr>
  </w:style>
  <w:style w:type="character" w:customStyle="1" w:styleId="SangradetextonormalCar">
    <w:name w:val="Sangría de texto normal Car"/>
    <w:basedOn w:val="Fuentedeprrafopredeter"/>
    <w:link w:val="Sangradetextonormal"/>
    <w:uiPriority w:val="99"/>
    <w:rsid w:val="00236BC4"/>
    <w:rPr>
      <w:lang w:eastAsia="es-ES"/>
    </w:rPr>
  </w:style>
  <w:style w:type="paragraph" w:styleId="Textoindependienteprimerasangra2">
    <w:name w:val="Body Text First Indent 2"/>
    <w:basedOn w:val="Sangradetextonormal"/>
    <w:link w:val="Textoindependienteprimerasangra2Car"/>
    <w:uiPriority w:val="99"/>
    <w:unhideWhenUsed/>
    <w:rsid w:val="00236BC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36BC4"/>
    <w:rPr>
      <w:lang w:eastAsia="es-ES"/>
    </w:rPr>
  </w:style>
  <w:style w:type="table" w:customStyle="1" w:styleId="26">
    <w:name w:val="26"/>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25">
    <w:name w:val="25"/>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24">
    <w:name w:val="24"/>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23">
    <w:name w:val="23"/>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22">
    <w:name w:val="22"/>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21">
    <w:name w:val="21"/>
    <w:basedOn w:val="TableNormal6"/>
    <w:tblPr>
      <w:tblStyleRowBandSize w:val="1"/>
      <w:tblStyleColBandSize w:val="1"/>
      <w:tblCellMar>
        <w:left w:w="115" w:type="dxa"/>
        <w:right w:w="115" w:type="dxa"/>
      </w:tblCellMar>
    </w:tblPr>
  </w:style>
  <w:style w:type="table" w:customStyle="1" w:styleId="20">
    <w:name w:val="20"/>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19">
    <w:name w:val="19"/>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18">
    <w:name w:val="18"/>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17">
    <w:name w:val="17"/>
    <w:basedOn w:val="TableNormal7"/>
    <w:rPr>
      <w:rFonts w:ascii="Calibri" w:eastAsia="Calibri" w:hAnsi="Calibri" w:cs="Calibri"/>
    </w:rPr>
    <w:tblPr>
      <w:tblStyleRowBandSize w:val="1"/>
      <w:tblStyleColBandSize w:val="1"/>
      <w:tblCellMar>
        <w:left w:w="115" w:type="dxa"/>
        <w:right w:w="115" w:type="dxa"/>
      </w:tblCellMar>
    </w:tblPr>
  </w:style>
  <w:style w:type="table" w:customStyle="1" w:styleId="16">
    <w:name w:val="16"/>
    <w:basedOn w:val="TableNormal7"/>
    <w:rPr>
      <w:rFonts w:ascii="Calibri" w:eastAsia="Calibri" w:hAnsi="Calibri" w:cs="Calibri"/>
    </w:rPr>
    <w:tblPr>
      <w:tblStyleRowBandSize w:val="1"/>
      <w:tblStyleColBandSize w:val="1"/>
      <w:tblCellMar>
        <w:left w:w="115" w:type="dxa"/>
        <w:right w:w="115" w:type="dxa"/>
      </w:tblCellMar>
    </w:tblPr>
  </w:style>
  <w:style w:type="table" w:customStyle="1" w:styleId="15">
    <w:name w:val="15"/>
    <w:basedOn w:val="TableNormal7"/>
    <w:rPr>
      <w:rFonts w:ascii="Calibri" w:eastAsia="Calibri" w:hAnsi="Calibri" w:cs="Calibri"/>
    </w:rPr>
    <w:tblPr>
      <w:tblStyleRowBandSize w:val="1"/>
      <w:tblStyleColBandSize w:val="1"/>
      <w:tblCellMar>
        <w:left w:w="115" w:type="dxa"/>
        <w:right w:w="115" w:type="dxa"/>
      </w:tblCellMar>
    </w:tblPr>
  </w:style>
  <w:style w:type="table" w:customStyle="1" w:styleId="14">
    <w:name w:val="14"/>
    <w:basedOn w:val="TableNormal7"/>
    <w:rPr>
      <w:rFonts w:ascii="Calibri" w:eastAsia="Calibri" w:hAnsi="Calibri" w:cs="Calibri"/>
    </w:rPr>
    <w:tblPr>
      <w:tblStyleRowBandSize w:val="1"/>
      <w:tblStyleColBandSize w:val="1"/>
      <w:tblCellMar>
        <w:left w:w="115" w:type="dxa"/>
        <w:right w:w="115" w:type="dxa"/>
      </w:tblCellMar>
    </w:tblPr>
  </w:style>
  <w:style w:type="table" w:customStyle="1" w:styleId="13">
    <w:name w:val="13"/>
    <w:basedOn w:val="TableNormal7"/>
    <w:rPr>
      <w:rFonts w:ascii="Calibri" w:eastAsia="Calibri" w:hAnsi="Calibri" w:cs="Calibri"/>
    </w:rPr>
    <w:tblPr>
      <w:tblStyleRowBandSize w:val="1"/>
      <w:tblStyleColBandSize w:val="1"/>
      <w:tblCellMar>
        <w:left w:w="115" w:type="dxa"/>
        <w:right w:w="115" w:type="dxa"/>
      </w:tblCellMar>
    </w:tblPr>
  </w:style>
  <w:style w:type="table" w:customStyle="1" w:styleId="12">
    <w:name w:val="12"/>
    <w:basedOn w:val="TableNormal7"/>
    <w:rPr>
      <w:rFonts w:ascii="Calibri" w:eastAsia="Calibri" w:hAnsi="Calibri" w:cs="Calibri"/>
    </w:rPr>
    <w:tblPr>
      <w:tblStyleRowBandSize w:val="1"/>
      <w:tblStyleColBandSize w:val="1"/>
      <w:tblCellMar>
        <w:left w:w="115" w:type="dxa"/>
        <w:right w:w="115" w:type="dxa"/>
      </w:tblCellMar>
    </w:tblPr>
  </w:style>
  <w:style w:type="table" w:customStyle="1" w:styleId="11">
    <w:name w:val="11"/>
    <w:basedOn w:val="TableNormal8"/>
    <w:rPr>
      <w:rFonts w:ascii="Calibri" w:eastAsia="Calibri" w:hAnsi="Calibri" w:cs="Calibri"/>
    </w:rPr>
    <w:tblPr>
      <w:tblStyleRowBandSize w:val="1"/>
      <w:tblStyleColBandSize w:val="1"/>
      <w:tblCellMar>
        <w:left w:w="115" w:type="dxa"/>
        <w:right w:w="115" w:type="dxa"/>
      </w:tblCellMar>
    </w:tblPr>
  </w:style>
  <w:style w:type="table" w:customStyle="1" w:styleId="10">
    <w:name w:val="10"/>
    <w:basedOn w:val="TableNormal8"/>
    <w:rPr>
      <w:rFonts w:ascii="Calibri" w:eastAsia="Calibri" w:hAnsi="Calibri" w:cs="Calibri"/>
    </w:rPr>
    <w:tblPr>
      <w:tblStyleRowBandSize w:val="1"/>
      <w:tblStyleColBandSize w:val="1"/>
      <w:tblCellMar>
        <w:left w:w="115" w:type="dxa"/>
        <w:right w:w="115" w:type="dxa"/>
      </w:tblCellMar>
    </w:tblPr>
  </w:style>
  <w:style w:type="table" w:customStyle="1" w:styleId="9">
    <w:name w:val="9"/>
    <w:basedOn w:val="TableNormal8"/>
    <w:rPr>
      <w:rFonts w:ascii="Calibri" w:eastAsia="Calibri" w:hAnsi="Calibri" w:cs="Calibri"/>
    </w:rPr>
    <w:tblPr>
      <w:tblStyleRowBandSize w:val="1"/>
      <w:tblStyleColBandSize w:val="1"/>
      <w:tblCellMar>
        <w:left w:w="115" w:type="dxa"/>
        <w:right w:w="115" w:type="dxa"/>
      </w:tblCellMar>
    </w:tblPr>
  </w:style>
  <w:style w:type="table" w:customStyle="1" w:styleId="8">
    <w:name w:val="8"/>
    <w:basedOn w:val="TableNormal8"/>
    <w:rPr>
      <w:rFonts w:ascii="Calibri" w:eastAsia="Calibri" w:hAnsi="Calibri" w:cs="Calibri"/>
    </w:rPr>
    <w:tblPr>
      <w:tblStyleRowBandSize w:val="1"/>
      <w:tblStyleColBandSize w:val="1"/>
      <w:tblCellMar>
        <w:left w:w="115" w:type="dxa"/>
        <w:right w:w="115" w:type="dxa"/>
      </w:tblCellMar>
    </w:tblPr>
  </w:style>
  <w:style w:type="table" w:customStyle="1" w:styleId="7">
    <w:name w:val="7"/>
    <w:basedOn w:val="TableNormal8"/>
    <w:rPr>
      <w:rFonts w:ascii="Calibri" w:eastAsia="Calibri" w:hAnsi="Calibri" w:cs="Calibri"/>
    </w:rPr>
    <w:tblPr>
      <w:tblStyleRowBandSize w:val="1"/>
      <w:tblStyleColBandSize w:val="1"/>
      <w:tblCellMar>
        <w:left w:w="108" w:type="dxa"/>
        <w:right w:w="108" w:type="dxa"/>
      </w:tblCellMar>
    </w:tblPr>
  </w:style>
  <w:style w:type="table" w:customStyle="1" w:styleId="6">
    <w:name w:val="6"/>
    <w:basedOn w:val="TableNormal8"/>
    <w:rPr>
      <w:rFonts w:ascii="Calibri" w:eastAsia="Calibri" w:hAnsi="Calibri" w:cs="Calibri"/>
    </w:rPr>
    <w:tblPr>
      <w:tblStyleRowBandSize w:val="1"/>
      <w:tblStyleColBandSize w:val="1"/>
      <w:tblCellMar>
        <w:left w:w="115" w:type="dxa"/>
        <w:right w:w="115" w:type="dxa"/>
      </w:tblCellMar>
    </w:tblPr>
  </w:style>
  <w:style w:type="table" w:customStyle="1" w:styleId="5">
    <w:name w:val="5"/>
    <w:basedOn w:val="TableNormal8"/>
    <w:rPr>
      <w:rFonts w:ascii="Calibri" w:eastAsia="Calibri" w:hAnsi="Calibri" w:cs="Calibri"/>
    </w:rPr>
    <w:tblPr>
      <w:tblStyleRowBandSize w:val="1"/>
      <w:tblStyleColBandSize w:val="1"/>
      <w:tblCellMar>
        <w:left w:w="115" w:type="dxa"/>
        <w:right w:w="115" w:type="dxa"/>
      </w:tblCellMar>
    </w:tblPr>
  </w:style>
  <w:style w:type="paragraph" w:customStyle="1" w:styleId="Default">
    <w:name w:val="Default"/>
    <w:rsid w:val="00237D2A"/>
    <w:pPr>
      <w:autoSpaceDE w:val="0"/>
      <w:autoSpaceDN w:val="0"/>
      <w:adjustRightInd w:val="0"/>
    </w:pPr>
    <w:rPr>
      <w:color w:val="000000"/>
    </w:rPr>
  </w:style>
  <w:style w:type="paragraph" w:styleId="Listaconvietas3">
    <w:name w:val="List Bullet 3"/>
    <w:basedOn w:val="Normal"/>
    <w:uiPriority w:val="99"/>
    <w:unhideWhenUsed/>
    <w:rsid w:val="00601CF7"/>
    <w:pPr>
      <w:numPr>
        <w:numId w:val="3"/>
      </w:numPr>
      <w:contextualSpacing/>
    </w:pPr>
    <w:rPr>
      <w:lang w:val="es-ES" w:eastAsia="es-MX"/>
    </w:rPr>
  </w:style>
  <w:style w:type="table" w:customStyle="1" w:styleId="4">
    <w:name w:val="4"/>
    <w:basedOn w:val="TableNormal9"/>
    <w:rPr>
      <w:rFonts w:ascii="Calibri" w:eastAsia="Calibri" w:hAnsi="Calibri" w:cs="Calibri"/>
    </w:rPr>
    <w:tblPr>
      <w:tblStyleRowBandSize w:val="1"/>
      <w:tblStyleColBandSize w:val="1"/>
      <w:tblCellMar>
        <w:left w:w="115" w:type="dxa"/>
        <w:right w:w="115" w:type="dxa"/>
      </w:tblCellMar>
    </w:tblPr>
  </w:style>
  <w:style w:type="table" w:customStyle="1" w:styleId="3">
    <w:name w:val="3"/>
    <w:basedOn w:val="TableNormal9"/>
    <w:rPr>
      <w:rFonts w:ascii="Calibri" w:eastAsia="Calibri" w:hAnsi="Calibri" w:cs="Calibri"/>
    </w:rPr>
    <w:tblPr>
      <w:tblStyleRowBandSize w:val="1"/>
      <w:tblStyleColBandSize w:val="1"/>
      <w:tblCellMar>
        <w:left w:w="115" w:type="dxa"/>
        <w:right w:w="115" w:type="dxa"/>
      </w:tblCellMar>
    </w:tblPr>
  </w:style>
  <w:style w:type="table" w:customStyle="1" w:styleId="2">
    <w:name w:val="2"/>
    <w:basedOn w:val="TableNormal9"/>
    <w:rPr>
      <w:rFonts w:ascii="Calibri" w:eastAsia="Calibri" w:hAnsi="Calibri" w:cs="Calibri"/>
    </w:rPr>
    <w:tblPr>
      <w:tblStyleRowBandSize w:val="1"/>
      <w:tblStyleColBandSize w:val="1"/>
      <w:tblCellMar>
        <w:left w:w="115" w:type="dxa"/>
        <w:right w:w="115" w:type="dxa"/>
      </w:tblCellMar>
    </w:tblPr>
  </w:style>
  <w:style w:type="table" w:customStyle="1" w:styleId="1">
    <w:name w:val="1"/>
    <w:basedOn w:val="TableNormal9"/>
    <w:rPr>
      <w:rFonts w:ascii="Calibri" w:eastAsia="Calibri" w:hAnsi="Calibri" w:cs="Calibri"/>
    </w:rPr>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7764AE"/>
    <w:rPr>
      <w:color w:val="605E5C"/>
      <w:shd w:val="clear" w:color="auto" w:fill="E1DFDD"/>
    </w:rPr>
  </w:style>
  <w:style w:type="table" w:customStyle="1" w:styleId="a">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0">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1">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2">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3">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4">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5">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6">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7">
    <w:basedOn w:val="TableNormal0"/>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21" Type="http://schemas.openxmlformats.org/officeDocument/2006/relationships/image" Target="media/image16.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2.toluca.gob.mx/garantizando-tus-derechos-humanos/" TargetMode="External"/><Relationship Id="rId23" Type="http://schemas.openxmlformats.org/officeDocument/2006/relationships/image" Target="media/image15.png"/><Relationship Id="rId28" Type="http://schemas.openxmlformats.org/officeDocument/2006/relationships/footer" Target="footer1.xml"/><Relationship Id="rId36"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2.toluca.gob.mx/garantizando-tus-derechos-humanos/" TargetMode="External"/><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5.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29AuH+oDzkLURb8N0p4JK0ElZw==">CgMxLjAyCWguMzBqMHpsbDIIaC5namRneHMyCWguMWZvYjl0ZTIJaC4zZHk2dmttMgloLjF0M2g1c2YyCWguMnM4ZXlvMTIJaC4yZXQ5MnAwMgloLjE3ZHA4dnUyCWguM3JkY3JqbjIJaC4yNmluMXJnMghoLmxueGJ6OTIJaC4zNW5rdW4yMgloLjFrc3Y0dXYyCWguNDRzaW5pbzIJaC4yanhzeHFoMghoLnozMzd5YTIJaC4zajJxcW0zMgloLjF5ODEwdHcyCWguNGk3b2pocDIJaC4yeGN5dHBpMgloLjFjaTkzeGIyCWguM3dod21sNDIJaC4yYm42d3N4MghoLnFzaDcwcTIJaC4zYXM0cG9qMgloLjFweGV6d2MyCGgudHlqY3d0OAByITFWUmtZZmswc1dmeUFBNzhKcHp6a1A4OFNNYnFfUFhK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92</Pages>
  <Words>22889</Words>
  <Characters>125892</Characters>
  <Application>Microsoft Office Word</Application>
  <DocSecurity>0</DocSecurity>
  <Lines>1049</Lines>
  <Paragraphs>296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Villagomez</cp:lastModifiedBy>
  <cp:revision>2</cp:revision>
  <cp:lastPrinted>2023-10-27T18:15:00Z</cp:lastPrinted>
  <dcterms:created xsi:type="dcterms:W3CDTF">2023-11-06T20:11:00Z</dcterms:created>
  <dcterms:modified xsi:type="dcterms:W3CDTF">2023-11-06T20:11:00Z</dcterms:modified>
</cp:coreProperties>
</file>