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471390" w:rsidR="007C73B6" w:rsidP="00A26963" w:rsidRDefault="007C73B6" w14:paraId="7701DFEE" w14:textId="0493B515">
      <w:pPr>
        <w:spacing w:after="0" w:line="360" w:lineRule="auto"/>
        <w:contextualSpacing/>
        <w:rPr>
          <w:rFonts w:eastAsia="Times New Roman" w:cs="Times New Roman"/>
          <w:noProof/>
          <w:color w:val="auto"/>
          <w:lang w:val="es-ES" w:eastAsia="es-ES"/>
        </w:rPr>
      </w:pPr>
      <w:r w:rsidRPr="00471390">
        <w:rPr>
          <w:rFonts w:eastAsia="Times New Roman" w:cs="Tahoma"/>
          <w:bCs/>
          <w:color w:val="auto"/>
          <w:lang w:eastAsia="es-ES"/>
        </w:rPr>
        <w:t xml:space="preserve">Resolución del Pleno del Instituto de Transparencia, Acceso a la Información Pública y Protección de Datos Personales del Estado de México y Municipios, con domicilio en Metepec, Estado de México, de fecha </w:t>
      </w:r>
      <w:r w:rsidRPr="00471390" w:rsidR="00D4231E">
        <w:rPr>
          <w:rFonts w:eastAsia="Times New Roman" w:cs="Tahoma"/>
          <w:bCs/>
          <w:color w:val="auto"/>
          <w:lang w:eastAsia="es-ES"/>
        </w:rPr>
        <w:t>treinta y uno</w:t>
      </w:r>
      <w:r w:rsidRPr="00471390">
        <w:rPr>
          <w:rFonts w:eastAsia="Times New Roman" w:cs="Tahoma"/>
          <w:bCs/>
          <w:color w:val="auto"/>
          <w:lang w:eastAsia="es-ES"/>
        </w:rPr>
        <w:t xml:space="preserve"> de </w:t>
      </w:r>
      <w:r w:rsidRPr="00471390" w:rsidR="0048321A">
        <w:rPr>
          <w:rFonts w:eastAsia="Times New Roman" w:cs="Tahoma"/>
          <w:bCs/>
          <w:color w:val="auto"/>
          <w:lang w:eastAsia="es-ES"/>
        </w:rPr>
        <w:t>mayo de dos mil veintitrés.</w:t>
      </w:r>
    </w:p>
    <w:p w:rsidRPr="00471390" w:rsidR="007C73B6" w:rsidP="00A26963" w:rsidRDefault="007C73B6" w14:paraId="1DF8A294" w14:textId="77777777">
      <w:pPr>
        <w:spacing w:after="0" w:line="360" w:lineRule="auto"/>
        <w:contextualSpacing/>
        <w:rPr>
          <w:rFonts w:eastAsia="Times New Roman" w:cs="Times New Roman"/>
          <w:noProof/>
          <w:color w:val="auto"/>
          <w:lang w:val="es-ES" w:eastAsia="es-ES"/>
        </w:rPr>
      </w:pPr>
    </w:p>
    <w:p w:rsidRPr="00471390" w:rsidR="007C73B6" w:rsidP="00A26963" w:rsidRDefault="007C73B6" w14:paraId="6681B7A5" w14:textId="2EA98407">
      <w:pPr>
        <w:spacing w:after="0" w:line="360" w:lineRule="auto"/>
        <w:contextualSpacing/>
        <w:rPr>
          <w:rFonts w:eastAsia="Calibri" w:cs="Tahoma"/>
          <w:color w:val="auto"/>
          <w:lang w:val="es-ES"/>
        </w:rPr>
      </w:pPr>
      <w:r w:rsidRPr="5A80853C" w:rsidR="5A80853C">
        <w:rPr>
          <w:rFonts w:eastAsia="Times New Roman" w:cs="Tahoma"/>
          <w:b w:val="1"/>
          <w:bCs w:val="1"/>
          <w:color w:val="0D0D0D" w:themeColor="text1" w:themeTint="F2" w:themeShade="FF"/>
          <w:lang w:eastAsia="es-ES"/>
        </w:rPr>
        <w:t>VISTO</w:t>
      </w:r>
      <w:r w:rsidRPr="5A80853C" w:rsidR="5A80853C">
        <w:rPr>
          <w:rFonts w:eastAsia="Times New Roman" w:cs="Tahoma"/>
          <w:color w:val="0D0D0D" w:themeColor="text1" w:themeTint="F2" w:themeShade="FF"/>
          <w:lang w:eastAsia="es-ES"/>
        </w:rPr>
        <w:t xml:space="preserve"> el expediente conformado con motivo del Recurso de Revisión </w:t>
      </w:r>
      <w:r w:rsidRPr="5A80853C" w:rsidR="5A80853C">
        <w:rPr>
          <w:rFonts w:eastAsia="Calibri" w:cs="Tahoma"/>
          <w:color w:val="auto"/>
        </w:rPr>
        <w:t xml:space="preserve">02386/INFOEM/IP/RR/2023, </w:t>
      </w:r>
      <w:r w:rsidRPr="5A80853C" w:rsidR="5A80853C">
        <w:rPr>
          <w:rFonts w:eastAsia="Times New Roman" w:cs="Tahoma"/>
          <w:color w:val="0D0D0D" w:themeColor="text1" w:themeTint="F2" w:themeShade="FF"/>
          <w:lang w:eastAsia="es-ES"/>
        </w:rPr>
        <w:t xml:space="preserve">interpuesto por </w:t>
      </w:r>
      <w:r w:rsidRPr="5A80853C" w:rsidR="5A80853C">
        <w:rPr>
          <w:rFonts w:eastAsia="Times New Roman" w:cs="Tahoma"/>
          <w:color w:val="0D0D0D" w:themeColor="text1" w:themeTint="F2" w:themeShade="FF"/>
          <w:highlight w:val="black"/>
          <w:lang w:eastAsia="es-ES"/>
        </w:rPr>
        <w:t>XXXXXXXXXXXXXXXXXX</w:t>
      </w:r>
      <w:r w:rsidRPr="5A80853C" w:rsidR="5A80853C">
        <w:rPr>
          <w:rFonts w:eastAsia="Times New Roman" w:cs="Tahoma"/>
          <w:color w:val="0D0D0D" w:themeColor="text1" w:themeTint="F2" w:themeShade="FF"/>
          <w:lang w:eastAsia="es-ES"/>
        </w:rPr>
        <w:t xml:space="preserve">, en lo sucesivo, Recurrente o Particular, </w:t>
      </w:r>
      <w:r w:rsidRPr="5A80853C" w:rsidR="5A80853C">
        <w:rPr>
          <w:rFonts w:eastAsia="Calibri" w:cs="Tahoma"/>
          <w:color w:val="auto"/>
          <w:lang w:val="es-ES"/>
        </w:rPr>
        <w:t xml:space="preserve">en contra de la respuesta del Sujeto Obligado, </w:t>
      </w:r>
      <w:r w:rsidRPr="5A80853C" w:rsidR="5A80853C">
        <w:rPr>
          <w:rFonts w:eastAsia="Calibri" w:cs="Tahoma"/>
          <w:color w:val="auto"/>
        </w:rPr>
        <w:t xml:space="preserve">Ayuntamiento de </w:t>
      </w:r>
      <w:r w:rsidRPr="5A80853C" w:rsidR="5A80853C">
        <w:rPr>
          <w:rFonts w:eastAsia="Calibri" w:cs="Tahoma"/>
          <w:color w:val="auto"/>
        </w:rPr>
        <w:t>Tlalmanalco</w:t>
      </w:r>
      <w:r w:rsidRPr="5A80853C" w:rsidR="5A80853C">
        <w:rPr>
          <w:rFonts w:eastAsia="Calibri" w:cs="Tahoma"/>
          <w:color w:val="auto"/>
          <w:lang w:val="es-ES"/>
        </w:rPr>
        <w:t xml:space="preserve">, a la solicitud de acceso a la información </w:t>
      </w:r>
      <w:r w:rsidRPr="5A80853C" w:rsidR="5A80853C">
        <w:rPr>
          <w:rFonts w:eastAsia="Calibri" w:cs="Tahoma"/>
          <w:color w:val="auto"/>
        </w:rPr>
        <w:t>00116/TLALMANA/IP/2023</w:t>
      </w:r>
      <w:r w:rsidRPr="5A80853C" w:rsidR="5A80853C">
        <w:rPr>
          <w:rFonts w:eastAsia="Calibri" w:cs="Tahoma"/>
          <w:color w:val="auto"/>
          <w:lang w:val="es-ES"/>
        </w:rPr>
        <w:t>, se emite la presente Resolución, con base en los Antecedentes y Consideraciones que a continuación se exponen:</w:t>
      </w:r>
    </w:p>
    <w:p w:rsidRPr="00471390" w:rsidR="007C73B6" w:rsidP="00A26963" w:rsidRDefault="007C73B6" w14:paraId="196F1168" w14:textId="77777777">
      <w:pPr>
        <w:tabs>
          <w:tab w:val="left" w:pos="2835"/>
        </w:tabs>
        <w:spacing w:after="0" w:line="360" w:lineRule="auto"/>
        <w:ind w:right="-93"/>
        <w:contextualSpacing/>
        <w:rPr>
          <w:rFonts w:eastAsia="Calibri" w:cs="Tahoma"/>
          <w:b/>
          <w:bCs/>
          <w:color w:val="auto"/>
        </w:rPr>
      </w:pPr>
    </w:p>
    <w:p w:rsidRPr="00471390" w:rsidR="007C73B6" w:rsidP="00A26963" w:rsidRDefault="007C73B6" w14:paraId="54FB7BCD" w14:textId="77777777">
      <w:pPr>
        <w:spacing w:after="0" w:line="360" w:lineRule="auto"/>
        <w:ind w:right="-93"/>
        <w:contextualSpacing/>
        <w:jc w:val="center"/>
        <w:rPr>
          <w:rFonts w:eastAsia="Calibri" w:cs="Tahoma"/>
          <w:b/>
          <w:bCs/>
          <w:color w:val="auto"/>
        </w:rPr>
      </w:pPr>
      <w:r w:rsidRPr="00471390">
        <w:rPr>
          <w:rFonts w:eastAsia="Calibri" w:cs="Tahoma"/>
          <w:b/>
          <w:bCs/>
          <w:color w:val="auto"/>
        </w:rPr>
        <w:t>A N T E C E D E N T E S:</w:t>
      </w:r>
    </w:p>
    <w:p w:rsidRPr="00471390" w:rsidR="007C73B6" w:rsidP="00A26963" w:rsidRDefault="007C73B6" w14:paraId="4EC94A14" w14:textId="77777777">
      <w:pPr>
        <w:spacing w:after="0" w:line="360" w:lineRule="auto"/>
        <w:ind w:right="-93"/>
        <w:contextualSpacing/>
        <w:rPr>
          <w:rFonts w:eastAsia="Calibri" w:cs="Tahoma"/>
          <w:bCs/>
          <w:color w:val="auto"/>
        </w:rPr>
      </w:pPr>
    </w:p>
    <w:p w:rsidRPr="00471390" w:rsidR="007C73B6" w:rsidP="00A26963" w:rsidRDefault="007C73B6" w14:paraId="1B2BBC9B" w14:textId="77777777">
      <w:pPr>
        <w:spacing w:after="0" w:line="360" w:lineRule="auto"/>
        <w:contextualSpacing/>
        <w:rPr>
          <w:rFonts w:eastAsia="Calibri" w:cs="Tahoma"/>
          <w:b/>
          <w:bCs/>
          <w:color w:val="auto"/>
        </w:rPr>
      </w:pPr>
      <w:r w:rsidRPr="00471390">
        <w:rPr>
          <w:rFonts w:eastAsia="Calibri" w:cs="Tahoma"/>
          <w:b/>
          <w:bCs/>
          <w:color w:val="auto"/>
        </w:rPr>
        <w:t xml:space="preserve">I. Presentación de la solicitud de información. </w:t>
      </w:r>
    </w:p>
    <w:p w:rsidRPr="00471390" w:rsidR="007C73B6" w:rsidP="00A26963" w:rsidRDefault="007C73B6" w14:paraId="77EF49E4" w14:textId="77777777">
      <w:pPr>
        <w:autoSpaceDE w:val="0"/>
        <w:autoSpaceDN w:val="0"/>
        <w:adjustRightInd w:val="0"/>
        <w:spacing w:after="0" w:line="360" w:lineRule="auto"/>
        <w:rPr>
          <w:rFonts w:eastAsia="Times New Roman" w:cs="Tahoma"/>
          <w:color w:val="auto"/>
          <w:lang w:eastAsia="es-ES"/>
        </w:rPr>
      </w:pPr>
    </w:p>
    <w:p w:rsidRPr="00471390" w:rsidR="007C73B6" w:rsidP="00A26963" w:rsidRDefault="007C73B6" w14:paraId="31F2A9E3" w14:textId="180E1A41">
      <w:pPr>
        <w:autoSpaceDE w:val="0"/>
        <w:autoSpaceDN w:val="0"/>
        <w:adjustRightInd w:val="0"/>
        <w:spacing w:after="0" w:line="360" w:lineRule="auto"/>
        <w:rPr>
          <w:rFonts w:cs="Tahoma"/>
          <w:bCs/>
        </w:rPr>
      </w:pPr>
      <w:r w:rsidRPr="00471390">
        <w:rPr>
          <w:rFonts w:cs="Tahoma"/>
        </w:rPr>
        <w:t>Con fecha cato</w:t>
      </w:r>
      <w:r w:rsidRPr="00471390" w:rsidR="0048321A">
        <w:rPr>
          <w:rFonts w:cs="Tahoma"/>
        </w:rPr>
        <w:t xml:space="preserve">rce de </w:t>
      </w:r>
      <w:r w:rsidRPr="00471390" w:rsidR="00D4231E">
        <w:rPr>
          <w:rFonts w:cs="Tahoma"/>
        </w:rPr>
        <w:t>abril</w:t>
      </w:r>
      <w:r w:rsidRPr="00471390" w:rsidR="0048321A">
        <w:rPr>
          <w:rFonts w:cs="Tahoma"/>
        </w:rPr>
        <w:t xml:space="preserve"> de dos mil veintitré</w:t>
      </w:r>
      <w:r w:rsidRPr="00471390">
        <w:rPr>
          <w:rFonts w:cs="Tahoma"/>
        </w:rPr>
        <w:t xml:space="preserve">s, el Particular presentó una solicitud de acceso a la información pública, a través del Sistema de Acceso a la Información Mexiquense (SAIMEX), ante el Ayuntamiento de </w:t>
      </w:r>
      <w:proofErr w:type="spellStart"/>
      <w:r w:rsidRPr="00471390" w:rsidR="00D4231E">
        <w:rPr>
          <w:rFonts w:cs="Tahoma"/>
        </w:rPr>
        <w:t>Tlalmanalco</w:t>
      </w:r>
      <w:proofErr w:type="spellEnd"/>
      <w:r w:rsidRPr="00471390">
        <w:rPr>
          <w:rFonts w:cs="Tahoma"/>
          <w:bCs/>
        </w:rPr>
        <w:t>, en los siguientes términos:</w:t>
      </w:r>
    </w:p>
    <w:p w:rsidRPr="00471390" w:rsidR="007C73B6" w:rsidP="00A26963" w:rsidRDefault="007C73B6" w14:paraId="456C3F42" w14:textId="77777777">
      <w:pPr>
        <w:spacing w:after="0" w:line="360" w:lineRule="auto"/>
        <w:ind w:right="567"/>
        <w:contextualSpacing/>
        <w:rPr>
          <w:rFonts w:eastAsia="Times New Roman" w:cs="Tahoma"/>
          <w:b/>
          <w:i/>
          <w:iCs/>
          <w:color w:val="auto"/>
          <w:lang w:eastAsia="es-ES"/>
        </w:rPr>
      </w:pPr>
    </w:p>
    <w:p w:rsidRPr="00471390" w:rsidR="007C73B6" w:rsidP="00A26963" w:rsidRDefault="007C73B6" w14:paraId="64C39FFD" w14:textId="77777777">
      <w:pPr>
        <w:spacing w:after="0" w:line="360" w:lineRule="auto"/>
        <w:ind w:left="567" w:right="567"/>
        <w:contextualSpacing/>
        <w:rPr>
          <w:rFonts w:eastAsia="Times New Roman" w:cs="Tahoma"/>
          <w:b/>
          <w:i/>
          <w:iCs/>
          <w:color w:val="auto"/>
          <w:sz w:val="20"/>
          <w:szCs w:val="20"/>
          <w:lang w:eastAsia="es-ES"/>
        </w:rPr>
      </w:pPr>
      <w:r w:rsidRPr="00471390">
        <w:rPr>
          <w:rFonts w:eastAsia="Times New Roman" w:cs="Tahoma"/>
          <w:b/>
          <w:i/>
          <w:iCs/>
          <w:color w:val="auto"/>
          <w:sz w:val="20"/>
          <w:szCs w:val="20"/>
          <w:lang w:eastAsia="es-ES"/>
        </w:rPr>
        <w:t>“DESCRIPCIÓN CLARA Y PRECISA DE LA INFORMACIÓN SOLICITADA</w:t>
      </w:r>
    </w:p>
    <w:p w:rsidRPr="00471390" w:rsidR="007C73B6" w:rsidP="00A26963" w:rsidRDefault="00D4231E" w14:paraId="3FDDA505" w14:textId="3A812551">
      <w:pPr>
        <w:spacing w:after="0" w:line="360" w:lineRule="auto"/>
        <w:ind w:left="567" w:right="567"/>
        <w:contextualSpacing/>
        <w:rPr>
          <w:rFonts w:eastAsia="Times New Roman" w:cs="Times New Roman"/>
          <w:bCs/>
          <w:i/>
          <w:iCs/>
          <w:color w:val="000000"/>
          <w:sz w:val="20"/>
          <w:szCs w:val="20"/>
          <w:lang w:eastAsia="es-ES"/>
        </w:rPr>
      </w:pPr>
      <w:r w:rsidRPr="00471390">
        <w:rPr>
          <w:rFonts w:eastAsia="Times New Roman" w:cs="Times New Roman"/>
          <w:bCs/>
          <w:i/>
          <w:iCs/>
          <w:color w:val="000000"/>
          <w:sz w:val="20"/>
          <w:szCs w:val="20"/>
          <w:lang w:eastAsia="es-ES"/>
        </w:rPr>
        <w:t>MANUAL DE PROCEDIMIENTOS DE LA COORDINACIÓN DE COMUNICACIÓN SOCIAL DE DIF DE TLALMANALCO</w:t>
      </w:r>
      <w:r w:rsidRPr="00471390" w:rsidR="007C73B6">
        <w:rPr>
          <w:rFonts w:eastAsia="Times New Roman" w:cs="Times New Roman"/>
          <w:bCs/>
          <w:i/>
          <w:iCs/>
          <w:color w:val="000000"/>
          <w:sz w:val="20"/>
          <w:szCs w:val="20"/>
          <w:lang w:eastAsia="es-ES"/>
        </w:rPr>
        <w:t>” (Sic)</w:t>
      </w:r>
    </w:p>
    <w:p w:rsidRPr="00471390" w:rsidR="007C73B6" w:rsidP="00A26963" w:rsidRDefault="007C73B6" w14:paraId="3510912D" w14:textId="77777777">
      <w:pPr>
        <w:spacing w:after="0" w:line="360" w:lineRule="auto"/>
        <w:ind w:left="567" w:right="567"/>
        <w:contextualSpacing/>
        <w:rPr>
          <w:rFonts w:eastAsia="Times New Roman" w:cs="Times New Roman"/>
          <w:bCs/>
          <w:i/>
          <w:iCs/>
          <w:color w:val="000000"/>
          <w:sz w:val="20"/>
          <w:szCs w:val="20"/>
          <w:lang w:eastAsia="es-ES"/>
        </w:rPr>
      </w:pPr>
    </w:p>
    <w:p w:rsidRPr="00471390" w:rsidR="007C73B6" w:rsidP="00A26963" w:rsidRDefault="007C73B6" w14:paraId="579E3573" w14:textId="77777777">
      <w:pPr>
        <w:tabs>
          <w:tab w:val="left" w:pos="4667"/>
        </w:tabs>
        <w:spacing w:after="0" w:line="360" w:lineRule="auto"/>
        <w:ind w:left="567" w:right="567"/>
        <w:rPr>
          <w:rFonts w:ascii="Times New Roman" w:hAnsi="Times New Roman" w:eastAsia="Times New Roman" w:cs="Tahoma"/>
          <w:b/>
          <w:bCs/>
          <w:i/>
          <w:iCs/>
          <w:color w:val="auto"/>
          <w:sz w:val="20"/>
          <w:szCs w:val="20"/>
          <w:lang w:eastAsia="es-ES"/>
        </w:rPr>
      </w:pPr>
      <w:r w:rsidRPr="00471390">
        <w:rPr>
          <w:rFonts w:ascii="Times New Roman" w:hAnsi="Times New Roman" w:eastAsia="Times New Roman" w:cs="Tahoma"/>
          <w:b/>
          <w:bCs/>
          <w:i/>
          <w:iCs/>
          <w:color w:val="auto"/>
          <w:sz w:val="20"/>
          <w:szCs w:val="20"/>
          <w:lang w:eastAsia="es-ES"/>
        </w:rPr>
        <w:t>“MODALIDAD DE ENTREGA</w:t>
      </w:r>
    </w:p>
    <w:p w:rsidRPr="00471390" w:rsidR="007C73B6" w:rsidP="00A26963" w:rsidRDefault="007C73B6" w14:paraId="6B756F44" w14:textId="77777777">
      <w:pPr>
        <w:spacing w:after="0" w:line="360" w:lineRule="auto"/>
        <w:ind w:left="567" w:right="567"/>
        <w:rPr>
          <w:rFonts w:ascii="Times New Roman" w:hAnsi="Times New Roman" w:eastAsia="Times New Roman" w:cs="Arial"/>
          <w:bCs/>
          <w:i/>
          <w:iCs/>
          <w:color w:val="auto"/>
          <w:sz w:val="20"/>
          <w:szCs w:val="20"/>
          <w:lang w:eastAsia="es-ES"/>
        </w:rPr>
      </w:pPr>
      <w:r w:rsidRPr="00471390">
        <w:rPr>
          <w:rFonts w:ascii="Times New Roman" w:hAnsi="Times New Roman" w:eastAsia="Times New Roman" w:cs="Arial"/>
          <w:bCs/>
          <w:i/>
          <w:iCs/>
          <w:color w:val="auto"/>
          <w:sz w:val="20"/>
          <w:szCs w:val="20"/>
          <w:lang w:eastAsia="es-ES"/>
        </w:rPr>
        <w:t>A través de SAIMEX”</w:t>
      </w:r>
    </w:p>
    <w:p w:rsidRPr="00471390" w:rsidR="007C73B6" w:rsidP="00A26963" w:rsidRDefault="007C73B6" w14:paraId="133A7286" w14:textId="77777777">
      <w:pPr>
        <w:tabs>
          <w:tab w:val="left" w:pos="567"/>
        </w:tabs>
        <w:spacing w:after="0" w:line="360" w:lineRule="auto"/>
        <w:ind w:left="-153"/>
        <w:rPr>
          <w:rFonts w:eastAsia="Times New Roman" w:cs="Tahoma"/>
          <w:color w:val="auto"/>
          <w:sz w:val="20"/>
          <w:lang w:eastAsia="es-ES"/>
        </w:rPr>
      </w:pPr>
    </w:p>
    <w:p w:rsidRPr="00471390" w:rsidR="007C73B6" w:rsidP="00A26963" w:rsidRDefault="007C73B6" w14:paraId="44484B08" w14:textId="77777777">
      <w:pPr>
        <w:tabs>
          <w:tab w:val="left" w:pos="567"/>
        </w:tabs>
        <w:spacing w:after="0" w:line="360" w:lineRule="auto"/>
        <w:contextualSpacing/>
        <w:rPr>
          <w:rFonts w:eastAsia="Times New Roman" w:cs="Tahoma"/>
          <w:b/>
          <w:color w:val="auto"/>
          <w:lang w:eastAsia="es-ES"/>
        </w:rPr>
      </w:pPr>
      <w:r w:rsidRPr="00471390">
        <w:rPr>
          <w:rFonts w:eastAsia="Times New Roman" w:cs="Tahoma"/>
          <w:b/>
          <w:color w:val="auto"/>
          <w:lang w:eastAsia="es-ES"/>
        </w:rPr>
        <w:t xml:space="preserve">II. Respuesta del Sujeto Obligado. </w:t>
      </w:r>
    </w:p>
    <w:p w:rsidRPr="00471390" w:rsidR="007C73B6" w:rsidP="00A26963" w:rsidRDefault="007C73B6" w14:paraId="24734F45" w14:textId="77777777">
      <w:pPr>
        <w:tabs>
          <w:tab w:val="left" w:pos="567"/>
        </w:tabs>
        <w:spacing w:after="0" w:line="360" w:lineRule="auto"/>
        <w:contextualSpacing/>
        <w:rPr>
          <w:rFonts w:eastAsia="Times New Roman" w:cs="Tahoma"/>
          <w:bCs/>
          <w:color w:val="auto"/>
          <w:lang w:eastAsia="es-ES"/>
        </w:rPr>
      </w:pPr>
    </w:p>
    <w:p w:rsidRPr="00471390" w:rsidR="007C73B6" w:rsidP="00A26963" w:rsidRDefault="007C73B6" w14:paraId="76B4C9FA" w14:textId="77777777">
      <w:pPr>
        <w:tabs>
          <w:tab w:val="left" w:pos="567"/>
        </w:tabs>
        <w:spacing w:after="0" w:line="360" w:lineRule="auto"/>
        <w:contextualSpacing/>
        <w:rPr>
          <w:rFonts w:eastAsia="Times New Roman" w:cs="Tahoma"/>
          <w:bCs/>
          <w:color w:val="auto"/>
          <w:lang w:eastAsia="es-ES"/>
        </w:rPr>
      </w:pPr>
    </w:p>
    <w:p w:rsidRPr="00471390" w:rsidR="007C73B6" w:rsidP="00A26963" w:rsidRDefault="007C73B6" w14:paraId="10B579B4" w14:textId="3779502E">
      <w:pPr>
        <w:tabs>
          <w:tab w:val="left" w:pos="567"/>
        </w:tabs>
        <w:spacing w:after="0" w:line="360" w:lineRule="auto"/>
        <w:contextualSpacing/>
        <w:rPr>
          <w:rFonts w:eastAsia="Times New Roman" w:cs="Tahoma"/>
          <w:color w:val="auto"/>
          <w:lang w:eastAsia="es-ES"/>
        </w:rPr>
      </w:pPr>
      <w:r w:rsidRPr="00471390">
        <w:rPr>
          <w:rFonts w:eastAsia="Times New Roman" w:cs="Tahoma"/>
          <w:bCs/>
          <w:color w:val="auto"/>
          <w:lang w:eastAsia="es-ES"/>
        </w:rPr>
        <w:lastRenderedPageBreak/>
        <w:t xml:space="preserve">Con fecha </w:t>
      </w:r>
      <w:r w:rsidRPr="00471390" w:rsidR="00EB05F9">
        <w:rPr>
          <w:rFonts w:eastAsia="Times New Roman" w:cs="Tahoma"/>
          <w:bCs/>
          <w:color w:val="auto"/>
          <w:lang w:eastAsia="es-ES"/>
        </w:rPr>
        <w:t>veinte de abril</w:t>
      </w:r>
      <w:r w:rsidRPr="00471390" w:rsidR="0048321A">
        <w:rPr>
          <w:rFonts w:eastAsia="Times New Roman" w:cs="Tahoma"/>
          <w:bCs/>
          <w:color w:val="auto"/>
          <w:lang w:eastAsia="es-ES"/>
        </w:rPr>
        <w:t xml:space="preserve"> de dos mil veintitrés</w:t>
      </w:r>
      <w:r w:rsidRPr="00471390">
        <w:rPr>
          <w:rFonts w:eastAsia="Times New Roman" w:cs="Tahoma"/>
          <w:bCs/>
          <w:color w:val="auto"/>
          <w:lang w:eastAsia="es-ES"/>
        </w:rPr>
        <w:t xml:space="preserve">, el Sujeto Obligado notificó la respuesta a la solicitud de acceso a la información, a través del </w:t>
      </w:r>
      <w:r w:rsidRPr="00471390">
        <w:rPr>
          <w:rFonts w:eastAsia="Times New Roman" w:cs="Tahoma"/>
          <w:color w:val="auto"/>
          <w:lang w:eastAsia="es-ES"/>
        </w:rPr>
        <w:t xml:space="preserve">Sistema de Acceso a la Información Mexiquense (SAIMEX), por medio de oficio </w:t>
      </w:r>
      <w:r w:rsidRPr="00471390" w:rsidR="007F13EE">
        <w:rPr>
          <w:rFonts w:eastAsia="Times New Roman" w:cs="Tahoma"/>
          <w:color w:val="auto"/>
          <w:lang w:eastAsia="es-ES"/>
        </w:rPr>
        <w:t xml:space="preserve">número </w:t>
      </w:r>
      <w:r w:rsidRPr="00471390" w:rsidR="00D4231E">
        <w:rPr>
          <w:rFonts w:eastAsia="Times New Roman" w:cs="Tahoma"/>
          <w:color w:val="auto"/>
          <w:lang w:eastAsia="es-ES"/>
        </w:rPr>
        <w:t>DIR/SMDIF/0194/2023</w:t>
      </w:r>
      <w:r w:rsidRPr="00471390">
        <w:rPr>
          <w:rFonts w:eastAsia="Times New Roman" w:cs="Tahoma"/>
          <w:color w:val="auto"/>
          <w:lang w:eastAsia="es-ES"/>
        </w:rPr>
        <w:t xml:space="preserve">, </w:t>
      </w:r>
      <w:r w:rsidRPr="00471390" w:rsidR="00D4231E">
        <w:rPr>
          <w:rFonts w:eastAsia="Times New Roman" w:cs="Tahoma"/>
          <w:color w:val="auto"/>
          <w:lang w:eastAsia="es-ES"/>
        </w:rPr>
        <w:t>del veinte de abril de dos mil veintitrés</w:t>
      </w:r>
      <w:r w:rsidRPr="00471390">
        <w:rPr>
          <w:rFonts w:eastAsia="Times New Roman" w:cs="Tahoma"/>
          <w:color w:val="auto"/>
          <w:lang w:eastAsia="es-ES"/>
        </w:rPr>
        <w:t xml:space="preserve">, suscrito por </w:t>
      </w:r>
      <w:r w:rsidRPr="00471390" w:rsidR="007F13EE">
        <w:rPr>
          <w:rFonts w:eastAsia="Times New Roman" w:cs="Tahoma"/>
          <w:color w:val="auto"/>
          <w:lang w:eastAsia="es-ES"/>
        </w:rPr>
        <w:t xml:space="preserve">el </w:t>
      </w:r>
      <w:r w:rsidRPr="00471390" w:rsidR="00D4231E">
        <w:rPr>
          <w:rFonts w:eastAsia="Times New Roman" w:cs="Tahoma"/>
          <w:color w:val="auto"/>
          <w:lang w:eastAsia="es-ES"/>
        </w:rPr>
        <w:t>Director del Sistema Municipal para el Desarrollo Integral de la Familia</w:t>
      </w:r>
      <w:r w:rsidRPr="00471390">
        <w:rPr>
          <w:rFonts w:eastAsia="Times New Roman" w:cs="Tahoma"/>
          <w:color w:val="auto"/>
          <w:lang w:eastAsia="es-ES"/>
        </w:rPr>
        <w:t xml:space="preserve"> y dirigido al </w:t>
      </w:r>
      <w:r w:rsidRPr="00471390" w:rsidR="007F13EE">
        <w:rPr>
          <w:rFonts w:eastAsia="Times New Roman" w:cs="Tahoma"/>
          <w:color w:val="auto"/>
          <w:lang w:eastAsia="es-ES"/>
        </w:rPr>
        <w:t>Titular de la Unidad de Transparencia</w:t>
      </w:r>
      <w:r w:rsidRPr="00471390" w:rsidR="00D4231E">
        <w:rPr>
          <w:rFonts w:eastAsia="Times New Roman" w:cs="Tahoma"/>
          <w:color w:val="auto"/>
          <w:lang w:eastAsia="es-ES"/>
        </w:rPr>
        <w:t xml:space="preserve"> y Acceso a la Información</w:t>
      </w:r>
      <w:r w:rsidRPr="00471390">
        <w:rPr>
          <w:rFonts w:eastAsia="Times New Roman" w:cs="Tahoma"/>
          <w:color w:val="auto"/>
          <w:lang w:eastAsia="es-ES"/>
        </w:rPr>
        <w:t xml:space="preserve">, </w:t>
      </w:r>
      <w:r w:rsidRPr="00471390" w:rsidR="007F13EE">
        <w:rPr>
          <w:rFonts w:eastAsia="Times New Roman" w:cs="Tahoma"/>
          <w:color w:val="auto"/>
          <w:lang w:eastAsia="es-ES"/>
        </w:rPr>
        <w:t xml:space="preserve">por medio del cual </w:t>
      </w:r>
      <w:r w:rsidRPr="00471390" w:rsidR="00D4231E">
        <w:rPr>
          <w:rFonts w:eastAsia="Times New Roman" w:cs="Tahoma"/>
          <w:color w:val="auto"/>
          <w:lang w:eastAsia="es-ES"/>
        </w:rPr>
        <w:t>remite el diverso número 14-CS-2023.</w:t>
      </w:r>
    </w:p>
    <w:p w:rsidRPr="00471390" w:rsidR="00D4231E" w:rsidP="00A26963" w:rsidRDefault="00D4231E" w14:paraId="3A45924B" w14:textId="77777777">
      <w:pPr>
        <w:tabs>
          <w:tab w:val="left" w:pos="567"/>
        </w:tabs>
        <w:spacing w:after="0" w:line="360" w:lineRule="auto"/>
        <w:contextualSpacing/>
        <w:rPr>
          <w:rFonts w:eastAsia="Times New Roman" w:cs="Tahoma"/>
          <w:color w:val="auto"/>
          <w:lang w:eastAsia="es-ES"/>
        </w:rPr>
      </w:pPr>
    </w:p>
    <w:p w:rsidRPr="00471390" w:rsidR="00D4231E" w:rsidP="00A26963" w:rsidRDefault="00D4231E" w14:paraId="67A9FC3C" w14:textId="77777777">
      <w:pPr>
        <w:autoSpaceDE w:val="0"/>
        <w:autoSpaceDN w:val="0"/>
        <w:adjustRightInd w:val="0"/>
        <w:spacing w:after="0" w:line="360" w:lineRule="auto"/>
        <w:ind w:right="-28"/>
        <w:jc w:val="left"/>
        <w:rPr>
          <w:rFonts w:eastAsia="Times New Roman" w:cs="Times New Roman"/>
          <w:bCs/>
          <w:color w:val="auto"/>
          <w:lang w:val="es-ES_tradnl" w:eastAsia="es-ES"/>
        </w:rPr>
      </w:pPr>
      <w:r w:rsidRPr="00471390">
        <w:rPr>
          <w:rFonts w:eastAsia="Times New Roman" w:cs="Tahoma"/>
          <w:color w:val="auto"/>
          <w:lang w:eastAsia="es-ES"/>
        </w:rPr>
        <w:t>E</w:t>
      </w:r>
      <w:r w:rsidRPr="00471390">
        <w:rPr>
          <w:rFonts w:eastAsia="Times New Roman" w:cs="Times New Roman"/>
          <w:bCs/>
          <w:color w:val="auto"/>
          <w:lang w:val="es-ES_tradnl" w:eastAsia="es-ES"/>
        </w:rPr>
        <w:t>l Sujeto Obligado adjuntó la digitalización de los siguientes documentos:</w:t>
      </w:r>
    </w:p>
    <w:p w:rsidRPr="00471390" w:rsidR="007C73B6" w:rsidP="00A26963" w:rsidRDefault="007C73B6" w14:paraId="1D0AA7DD" w14:textId="77777777">
      <w:pPr>
        <w:tabs>
          <w:tab w:val="left" w:pos="567"/>
        </w:tabs>
        <w:spacing w:after="0" w:line="360" w:lineRule="auto"/>
        <w:contextualSpacing/>
        <w:rPr>
          <w:rFonts w:eastAsia="Times New Roman" w:cs="Tahoma"/>
          <w:color w:val="auto"/>
          <w:lang w:eastAsia="es-ES"/>
        </w:rPr>
      </w:pPr>
    </w:p>
    <w:p w:rsidRPr="00471390" w:rsidR="00D4231E" w:rsidP="00A26963" w:rsidRDefault="00D4231E" w14:paraId="2335FF6F" w14:textId="1193861D">
      <w:pPr>
        <w:autoSpaceDE w:val="0"/>
        <w:autoSpaceDN w:val="0"/>
        <w:adjustRightInd w:val="0"/>
        <w:spacing w:after="0" w:line="360" w:lineRule="auto"/>
        <w:ind w:right="-28"/>
        <w:rPr>
          <w:rFonts w:eastAsia="Times New Roman" w:cs="Times New Roman"/>
          <w:bCs/>
          <w:color w:val="auto"/>
          <w:lang w:val="es-ES_tradnl" w:eastAsia="es-ES"/>
        </w:rPr>
      </w:pPr>
      <w:r w:rsidRPr="00471390">
        <w:rPr>
          <w:rFonts w:eastAsia="Times New Roman" w:cs="Times New Roman"/>
          <w:bCs/>
          <w:color w:val="auto"/>
          <w:lang w:val="es-ES_tradnl" w:eastAsia="es-ES"/>
        </w:rPr>
        <w:t>i)</w:t>
      </w:r>
      <w:r w:rsidRPr="00471390">
        <w:t xml:space="preserve"> </w:t>
      </w:r>
      <w:r w:rsidRPr="00471390">
        <w:rPr>
          <w:rFonts w:eastAsia="Times New Roman" w:cs="Times New Roman"/>
          <w:bCs/>
          <w:color w:val="auto"/>
          <w:lang w:val="es-ES_tradnl" w:eastAsia="es-ES"/>
        </w:rPr>
        <w:t xml:space="preserve">Oficio número </w:t>
      </w:r>
      <w:r w:rsidRPr="00471390">
        <w:rPr>
          <w:rFonts w:eastAsia="Times New Roman" w:cs="Times New Roman"/>
          <w:bCs/>
          <w:color w:val="auto"/>
          <w:lang w:eastAsia="es-ES"/>
        </w:rPr>
        <w:t xml:space="preserve">14-CS-2023, </w:t>
      </w:r>
      <w:r w:rsidRPr="00471390">
        <w:rPr>
          <w:rFonts w:eastAsia="Times New Roman" w:cs="Times New Roman"/>
          <w:bCs/>
          <w:color w:val="auto"/>
          <w:lang w:val="es-ES_tradnl" w:eastAsia="es-ES"/>
        </w:rPr>
        <w:t>del dieciocho de abril de dos mil veintitrés, suscrito por Coordinador de Comunicación Social</w:t>
      </w:r>
      <w:r w:rsidRPr="00471390" w:rsidR="00EB05F9">
        <w:rPr>
          <w:rFonts w:eastAsia="Times New Roman" w:cs="Times New Roman"/>
          <w:bCs/>
          <w:color w:val="auto"/>
          <w:lang w:val="es-ES_tradnl" w:eastAsia="es-ES"/>
        </w:rPr>
        <w:t xml:space="preserve"> y dirigido al Director del Sistema Municipal para el Desarrollo Integral de la Familia, por </w:t>
      </w:r>
      <w:r w:rsidRPr="00471390">
        <w:rPr>
          <w:rFonts w:eastAsia="Times New Roman" w:cs="Times New Roman"/>
          <w:bCs/>
          <w:color w:val="auto"/>
          <w:lang w:val="es-ES_tradnl" w:eastAsia="es-ES"/>
        </w:rPr>
        <w:t>medio del cual, manifestó y expuso lo siguiente:</w:t>
      </w:r>
    </w:p>
    <w:p w:rsidRPr="00471390" w:rsidR="00D4231E" w:rsidP="00A26963" w:rsidRDefault="00D4231E" w14:paraId="51F858F2" w14:textId="77777777">
      <w:pPr>
        <w:tabs>
          <w:tab w:val="left" w:pos="567"/>
        </w:tabs>
        <w:spacing w:after="0" w:line="360" w:lineRule="auto"/>
        <w:contextualSpacing/>
        <w:rPr>
          <w:rFonts w:eastAsia="Times New Roman" w:cs="Tahoma"/>
          <w:color w:val="auto"/>
          <w:lang w:eastAsia="es-ES"/>
        </w:rPr>
      </w:pPr>
    </w:p>
    <w:p w:rsidRPr="00471390" w:rsidR="007F13EE" w:rsidP="00A26963" w:rsidRDefault="007C73B6" w14:paraId="3FD0BE62" w14:textId="4127CD15">
      <w:pPr>
        <w:tabs>
          <w:tab w:val="left" w:pos="567"/>
        </w:tabs>
        <w:spacing w:after="0" w:line="360" w:lineRule="auto"/>
        <w:ind w:left="567" w:right="567"/>
        <w:contextualSpacing/>
        <w:rPr>
          <w:rFonts w:eastAsia="Times New Roman" w:cs="Tahoma"/>
          <w:i/>
          <w:iCs/>
          <w:color w:val="auto"/>
          <w:sz w:val="20"/>
          <w:szCs w:val="20"/>
          <w:lang w:eastAsia="es-ES"/>
        </w:rPr>
      </w:pPr>
      <w:bookmarkStart w:name="_Hlk96424462" w:id="0"/>
      <w:r w:rsidRPr="00471390">
        <w:rPr>
          <w:rFonts w:eastAsia="Times New Roman" w:cs="Tahoma"/>
          <w:i/>
          <w:iCs/>
          <w:color w:val="auto"/>
          <w:sz w:val="20"/>
          <w:szCs w:val="20"/>
          <w:lang w:eastAsia="es-ES"/>
        </w:rPr>
        <w:t>“…</w:t>
      </w:r>
      <w:r w:rsidRPr="00471390" w:rsidR="00EB05F9">
        <w:rPr>
          <w:rFonts w:eastAsia="Times New Roman" w:cs="Tahoma"/>
          <w:i/>
          <w:iCs/>
          <w:color w:val="auto"/>
          <w:sz w:val="20"/>
          <w:szCs w:val="20"/>
          <w:lang w:eastAsia="es-ES"/>
        </w:rPr>
        <w:t xml:space="preserve">donde solicita el Manual de Procedimientos de la Coordinación de Comunicación Social, dando cumplimiento a esta petición le hago de su conocimiento que </w:t>
      </w:r>
      <w:proofErr w:type="spellStart"/>
      <w:r w:rsidRPr="00471390" w:rsidR="00EB05F9">
        <w:rPr>
          <w:rFonts w:eastAsia="Times New Roman" w:cs="Tahoma"/>
          <w:i/>
          <w:iCs/>
          <w:color w:val="auto"/>
          <w:sz w:val="20"/>
          <w:szCs w:val="20"/>
          <w:lang w:eastAsia="es-ES"/>
        </w:rPr>
        <w:t>contiuo</w:t>
      </w:r>
      <w:proofErr w:type="spellEnd"/>
      <w:r w:rsidRPr="00471390" w:rsidR="00EB05F9">
        <w:rPr>
          <w:rFonts w:eastAsia="Times New Roman" w:cs="Tahoma"/>
          <w:i/>
          <w:iCs/>
          <w:color w:val="auto"/>
          <w:sz w:val="20"/>
          <w:szCs w:val="20"/>
          <w:lang w:eastAsia="es-ES"/>
        </w:rPr>
        <w:t xml:space="preserve"> con el mismo procedimiento del manual anterior, entregándolo en forma digital.</w:t>
      </w:r>
    </w:p>
    <w:p w:rsidRPr="00471390" w:rsidR="007C73B6" w:rsidP="00A26963" w:rsidRDefault="007C73B6" w14:paraId="52F0B5B5" w14:textId="462487CC">
      <w:pPr>
        <w:tabs>
          <w:tab w:val="left" w:pos="567"/>
        </w:tabs>
        <w:spacing w:after="0" w:line="360" w:lineRule="auto"/>
        <w:ind w:left="567" w:right="567"/>
        <w:contextualSpacing/>
        <w:rPr>
          <w:rFonts w:eastAsia="Times New Roman" w:cs="Tahoma"/>
          <w:i/>
          <w:iCs/>
          <w:color w:val="auto"/>
          <w:sz w:val="20"/>
          <w:szCs w:val="20"/>
          <w:lang w:eastAsia="es-ES"/>
        </w:rPr>
      </w:pPr>
      <w:r w:rsidRPr="00471390">
        <w:rPr>
          <w:rFonts w:eastAsia="Times New Roman" w:cs="Tahoma"/>
          <w:i/>
          <w:iCs/>
          <w:color w:val="auto"/>
          <w:sz w:val="20"/>
          <w:szCs w:val="20"/>
          <w:lang w:eastAsia="es-ES"/>
        </w:rPr>
        <w:t xml:space="preserve"> …”</w:t>
      </w:r>
    </w:p>
    <w:bookmarkEnd w:id="0"/>
    <w:p w:rsidRPr="00471390" w:rsidR="007F13EE" w:rsidP="00A26963" w:rsidRDefault="007F13EE" w14:paraId="19D9E82A" w14:textId="77777777">
      <w:pPr>
        <w:autoSpaceDE w:val="0"/>
        <w:autoSpaceDN w:val="0"/>
        <w:adjustRightInd w:val="0"/>
        <w:spacing w:after="0" w:line="360" w:lineRule="auto"/>
        <w:ind w:right="-28"/>
        <w:jc w:val="left"/>
        <w:rPr>
          <w:rFonts w:eastAsia="Times New Roman" w:cs="Times New Roman"/>
          <w:bCs/>
          <w:color w:val="auto"/>
          <w:lang w:val="es-ES_tradnl" w:eastAsia="es-ES"/>
        </w:rPr>
      </w:pPr>
    </w:p>
    <w:p w:rsidRPr="00471390" w:rsidR="007C73B6" w:rsidP="00A26963" w:rsidRDefault="007F13EE" w14:paraId="50A28B00" w14:textId="050212F5">
      <w:pPr>
        <w:autoSpaceDE w:val="0"/>
        <w:autoSpaceDN w:val="0"/>
        <w:adjustRightInd w:val="0"/>
        <w:spacing w:after="0" w:line="360" w:lineRule="auto"/>
        <w:ind w:right="-28"/>
        <w:jc w:val="left"/>
        <w:rPr>
          <w:rFonts w:eastAsia="Times New Roman" w:cs="Times New Roman"/>
          <w:bCs/>
          <w:color w:val="auto"/>
          <w:lang w:val="es-ES_tradnl" w:eastAsia="es-ES"/>
        </w:rPr>
      </w:pPr>
      <w:r w:rsidRPr="00471390">
        <w:rPr>
          <w:rFonts w:eastAsia="Times New Roman" w:cs="Times New Roman"/>
          <w:bCs/>
          <w:color w:val="auto"/>
          <w:lang w:val="es-ES_tradnl" w:eastAsia="es-ES"/>
        </w:rPr>
        <w:t>i</w:t>
      </w:r>
      <w:r w:rsidRPr="00471390" w:rsidR="00EB05F9">
        <w:rPr>
          <w:rFonts w:eastAsia="Times New Roman" w:cs="Times New Roman"/>
          <w:bCs/>
          <w:color w:val="auto"/>
          <w:lang w:val="es-ES_tradnl" w:eastAsia="es-ES"/>
        </w:rPr>
        <w:t>i</w:t>
      </w:r>
      <w:r w:rsidRPr="00471390">
        <w:rPr>
          <w:rFonts w:eastAsia="Times New Roman" w:cs="Times New Roman"/>
          <w:bCs/>
          <w:color w:val="auto"/>
          <w:lang w:val="es-ES_tradnl" w:eastAsia="es-ES"/>
        </w:rPr>
        <w:t xml:space="preserve">) Manual de </w:t>
      </w:r>
      <w:r w:rsidRPr="00471390" w:rsidR="00EB05F9">
        <w:rPr>
          <w:rFonts w:eastAsia="Times New Roman" w:cs="Times New Roman"/>
          <w:bCs/>
          <w:color w:val="auto"/>
          <w:lang w:val="es-ES_tradnl" w:eastAsia="es-ES"/>
        </w:rPr>
        <w:t xml:space="preserve">Procedimientos del Sistema Municipal para el Desarrollo Integral de la Familia del Municipio de </w:t>
      </w:r>
      <w:proofErr w:type="spellStart"/>
      <w:r w:rsidRPr="00471390" w:rsidR="00EB05F9">
        <w:rPr>
          <w:rFonts w:eastAsia="Times New Roman" w:cs="Times New Roman"/>
          <w:bCs/>
          <w:color w:val="auto"/>
          <w:lang w:val="es-ES_tradnl" w:eastAsia="es-ES"/>
        </w:rPr>
        <w:t>Tlalmanlaco</w:t>
      </w:r>
      <w:proofErr w:type="spellEnd"/>
      <w:r w:rsidRPr="00471390" w:rsidR="00EB05F9">
        <w:rPr>
          <w:rFonts w:eastAsia="Times New Roman" w:cs="Times New Roman"/>
          <w:bCs/>
          <w:color w:val="auto"/>
          <w:lang w:val="es-ES_tradnl" w:eastAsia="es-ES"/>
        </w:rPr>
        <w:t xml:space="preserve"> 2019-2021</w:t>
      </w:r>
      <w:r w:rsidRPr="00471390">
        <w:rPr>
          <w:rFonts w:eastAsia="Times New Roman" w:cs="Times New Roman"/>
          <w:bCs/>
          <w:color w:val="auto"/>
          <w:lang w:val="es-ES_tradnl" w:eastAsia="es-ES"/>
        </w:rPr>
        <w:t>.</w:t>
      </w:r>
    </w:p>
    <w:p w:rsidRPr="00471390" w:rsidR="009506C0" w:rsidP="00A26963" w:rsidRDefault="009506C0" w14:paraId="31D4E1DD" w14:textId="77777777">
      <w:pPr>
        <w:autoSpaceDE w:val="0"/>
        <w:autoSpaceDN w:val="0"/>
        <w:adjustRightInd w:val="0"/>
        <w:spacing w:after="0" w:line="360" w:lineRule="auto"/>
        <w:ind w:right="-28"/>
        <w:jc w:val="left"/>
        <w:rPr>
          <w:rFonts w:eastAsia="Times New Roman" w:cs="Times New Roman"/>
          <w:bCs/>
          <w:color w:val="auto"/>
          <w:lang w:val="es-ES_tradnl" w:eastAsia="es-ES"/>
        </w:rPr>
      </w:pPr>
    </w:p>
    <w:p w:rsidRPr="00471390" w:rsidR="007C73B6" w:rsidP="00A26963" w:rsidRDefault="007C73B6" w14:paraId="5F2BE0AB" w14:textId="77777777">
      <w:pPr>
        <w:autoSpaceDE w:val="0"/>
        <w:autoSpaceDN w:val="0"/>
        <w:adjustRightInd w:val="0"/>
        <w:spacing w:after="0" w:line="360" w:lineRule="auto"/>
        <w:rPr>
          <w:rFonts w:eastAsia="Times New Roman" w:cs="Tahoma"/>
          <w:b/>
          <w:color w:val="auto"/>
          <w:lang w:eastAsia="es-ES"/>
        </w:rPr>
      </w:pPr>
      <w:r w:rsidRPr="00471390">
        <w:rPr>
          <w:rFonts w:eastAsia="Times New Roman" w:cs="Tahoma"/>
          <w:b/>
          <w:color w:val="auto"/>
          <w:lang w:eastAsia="es-ES"/>
        </w:rPr>
        <w:t>III. Interposición del Recurso de Revisión.</w:t>
      </w:r>
    </w:p>
    <w:p w:rsidRPr="00471390" w:rsidR="007C73B6" w:rsidP="00A26963" w:rsidRDefault="007C73B6" w14:paraId="3156ECB2" w14:textId="77777777">
      <w:pPr>
        <w:widowControl w:val="0"/>
        <w:spacing w:after="0" w:line="360" w:lineRule="auto"/>
        <w:rPr>
          <w:rFonts w:eastAsia="Times New Roman" w:cs="Tahoma"/>
          <w:color w:val="auto"/>
          <w:lang w:eastAsia="es-ES"/>
        </w:rPr>
      </w:pPr>
    </w:p>
    <w:p w:rsidRPr="00471390" w:rsidR="007C73B6" w:rsidP="00A26963" w:rsidRDefault="007C73B6" w14:paraId="6EC323B4" w14:textId="2F24F9A3">
      <w:pPr>
        <w:widowControl w:val="0"/>
        <w:spacing w:after="0" w:line="360" w:lineRule="auto"/>
        <w:rPr>
          <w:rFonts w:eastAsia="Times New Roman" w:cs="Tahoma"/>
          <w:color w:val="auto"/>
          <w:lang w:val="es-ES" w:eastAsia="es-ES"/>
        </w:rPr>
      </w:pPr>
      <w:r w:rsidRPr="00471390">
        <w:rPr>
          <w:rFonts w:eastAsia="Times New Roman" w:cs="Tahoma"/>
          <w:color w:val="auto"/>
          <w:lang w:val="es-ES" w:eastAsia="es-ES"/>
        </w:rPr>
        <w:t xml:space="preserve">Con fecha </w:t>
      </w:r>
      <w:r w:rsidRPr="00471390" w:rsidR="00EB05F9">
        <w:rPr>
          <w:rFonts w:eastAsia="Times New Roman" w:cs="Tahoma"/>
          <w:color w:val="auto"/>
          <w:lang w:val="es-ES" w:eastAsia="es-ES"/>
        </w:rPr>
        <w:t>dos de mayo</w:t>
      </w:r>
      <w:r w:rsidRPr="00471390" w:rsidR="009506C0">
        <w:rPr>
          <w:rFonts w:eastAsia="Times New Roman" w:cs="Tahoma"/>
          <w:color w:val="auto"/>
          <w:lang w:val="es-ES" w:eastAsia="es-ES"/>
        </w:rPr>
        <w:t xml:space="preserve"> de dos mil veintitrés</w:t>
      </w:r>
      <w:r w:rsidRPr="00471390">
        <w:rPr>
          <w:rFonts w:eastAsia="Times New Roman" w:cs="Tahoma"/>
          <w:color w:val="auto"/>
          <w:lang w:val="es-ES" w:eastAsia="es-ES"/>
        </w:rPr>
        <w:t xml:space="preserve">, se presentó un Recurso de Revisión ante este Instituto, por parte del Solicitante, a través del Sistema de Acceso a la Información Mexiquense (SAIMEX), en contra de la respuesta otorgada por el Ayuntamiento de </w:t>
      </w:r>
      <w:proofErr w:type="spellStart"/>
      <w:r w:rsidRPr="00471390" w:rsidR="00D4231E">
        <w:rPr>
          <w:rFonts w:eastAsia="Times New Roman" w:cs="Tahoma"/>
          <w:color w:val="auto"/>
          <w:lang w:val="es-ES" w:eastAsia="es-ES"/>
        </w:rPr>
        <w:t>Tlalmanalco</w:t>
      </w:r>
      <w:proofErr w:type="spellEnd"/>
      <w:r w:rsidRPr="00471390">
        <w:rPr>
          <w:rFonts w:eastAsia="Times New Roman" w:cs="Tahoma"/>
          <w:color w:val="auto"/>
          <w:lang w:val="es-ES" w:eastAsia="es-ES"/>
        </w:rPr>
        <w:t xml:space="preserve">, a la solicitud de información, en los siguientes términos: </w:t>
      </w:r>
    </w:p>
    <w:p w:rsidRPr="00471390" w:rsidR="007C73B6" w:rsidP="00A26963" w:rsidRDefault="007C73B6" w14:paraId="4F3DB5B0" w14:textId="77777777">
      <w:pPr>
        <w:widowControl w:val="0"/>
        <w:spacing w:after="0" w:line="360" w:lineRule="auto"/>
        <w:rPr>
          <w:rFonts w:eastAsia="Times New Roman" w:cs="Tahoma"/>
          <w:b/>
          <w:bCs/>
          <w:color w:val="auto"/>
          <w:lang w:val="es-ES" w:eastAsia="es-ES"/>
        </w:rPr>
      </w:pPr>
    </w:p>
    <w:p w:rsidRPr="00471390" w:rsidR="007C73B6" w:rsidP="00A26963" w:rsidRDefault="007C73B6" w14:paraId="0D70002D" w14:textId="77777777">
      <w:pPr>
        <w:spacing w:after="0" w:line="360" w:lineRule="auto"/>
        <w:ind w:left="567" w:right="567"/>
        <w:contextualSpacing/>
        <w:rPr>
          <w:rFonts w:eastAsia="Times New Roman" w:cs="Tahoma"/>
          <w:b/>
          <w:i/>
          <w:iCs/>
          <w:color w:val="auto"/>
          <w:sz w:val="20"/>
          <w:szCs w:val="20"/>
          <w:lang w:eastAsia="es-ES"/>
        </w:rPr>
      </w:pPr>
      <w:r w:rsidRPr="00471390">
        <w:rPr>
          <w:rFonts w:eastAsia="Times New Roman" w:cs="Tahoma"/>
          <w:b/>
          <w:i/>
          <w:iCs/>
          <w:color w:val="auto"/>
          <w:sz w:val="20"/>
          <w:szCs w:val="20"/>
          <w:lang w:eastAsia="es-ES"/>
        </w:rPr>
        <w:t xml:space="preserve"> “ACTO IMPUGNADO</w:t>
      </w:r>
    </w:p>
    <w:p w:rsidRPr="00471390" w:rsidR="007C73B6" w:rsidP="00A26963" w:rsidRDefault="00EB05F9" w14:paraId="1CC36CA8" w14:textId="006A51F1">
      <w:pPr>
        <w:spacing w:after="0" w:line="360" w:lineRule="auto"/>
        <w:ind w:left="567" w:right="567"/>
        <w:contextualSpacing/>
        <w:rPr>
          <w:rFonts w:eastAsia="Times New Roman" w:cs="Tahoma"/>
          <w:i/>
          <w:iCs/>
          <w:color w:val="auto"/>
          <w:sz w:val="20"/>
          <w:szCs w:val="20"/>
          <w:lang w:eastAsia="es-ES"/>
        </w:rPr>
      </w:pPr>
      <w:r w:rsidRPr="00471390">
        <w:rPr>
          <w:rFonts w:eastAsia="Times New Roman" w:cs="Tahoma"/>
          <w:i/>
          <w:iCs/>
          <w:color w:val="auto"/>
          <w:sz w:val="20"/>
          <w:szCs w:val="20"/>
          <w:lang w:eastAsia="es-ES"/>
        </w:rPr>
        <w:t>SE SOLICITO EL MANUAL DE PROCEDIMIENTOS DE LA COORDINACIÓN DE COMUNICACIÓN SOCIAL DE DIF DE TLALMANALCO</w:t>
      </w:r>
      <w:r w:rsidRPr="00471390" w:rsidR="007C73B6">
        <w:rPr>
          <w:rFonts w:eastAsia="Times New Roman" w:cs="Tahoma"/>
          <w:i/>
          <w:iCs/>
          <w:color w:val="auto"/>
          <w:sz w:val="20"/>
          <w:szCs w:val="20"/>
          <w:lang w:eastAsia="es-ES"/>
        </w:rPr>
        <w:t>” (Sic.)</w:t>
      </w:r>
    </w:p>
    <w:p w:rsidRPr="00471390" w:rsidR="007C73B6" w:rsidP="00A26963" w:rsidRDefault="007C73B6" w14:paraId="102C2640" w14:textId="77777777">
      <w:pPr>
        <w:spacing w:after="0" w:line="360" w:lineRule="auto"/>
        <w:ind w:left="567" w:right="567"/>
        <w:contextualSpacing/>
        <w:rPr>
          <w:rFonts w:eastAsia="Times New Roman" w:cs="Tahoma"/>
          <w:b/>
          <w:color w:val="auto"/>
          <w:sz w:val="20"/>
          <w:szCs w:val="20"/>
          <w:lang w:eastAsia="es-ES"/>
        </w:rPr>
      </w:pPr>
    </w:p>
    <w:p w:rsidRPr="00471390" w:rsidR="007C73B6" w:rsidP="00A26963" w:rsidRDefault="007C73B6" w14:paraId="08C42817" w14:textId="77777777">
      <w:pPr>
        <w:spacing w:after="0" w:line="360" w:lineRule="auto"/>
        <w:ind w:left="567" w:right="567"/>
        <w:contextualSpacing/>
        <w:rPr>
          <w:rFonts w:eastAsia="Times New Roman" w:cs="Tahoma"/>
          <w:b/>
          <w:i/>
          <w:iCs/>
          <w:color w:val="auto"/>
          <w:sz w:val="20"/>
          <w:szCs w:val="20"/>
          <w:lang w:eastAsia="es-ES"/>
        </w:rPr>
      </w:pPr>
      <w:r w:rsidRPr="00471390">
        <w:rPr>
          <w:rFonts w:eastAsia="Times New Roman" w:cs="Tahoma"/>
          <w:b/>
          <w:i/>
          <w:iCs/>
          <w:color w:val="auto"/>
          <w:sz w:val="20"/>
          <w:szCs w:val="20"/>
          <w:lang w:eastAsia="es-ES"/>
        </w:rPr>
        <w:t>“RAZONES O MOTIVOS DE LA INCONFORMIDAD</w:t>
      </w:r>
    </w:p>
    <w:p w:rsidRPr="00471390" w:rsidR="007C73B6" w:rsidP="00A26963" w:rsidRDefault="00EB05F9" w14:paraId="6842AEBA" w14:textId="7CFBA9E3">
      <w:pPr>
        <w:spacing w:after="0" w:line="360" w:lineRule="auto"/>
        <w:ind w:left="567" w:right="567"/>
        <w:contextualSpacing/>
        <w:rPr>
          <w:rFonts w:eastAsia="Times New Roman" w:cs="Tahoma"/>
          <w:b/>
          <w:i/>
          <w:iCs/>
          <w:color w:val="auto"/>
          <w:sz w:val="20"/>
          <w:szCs w:val="20"/>
          <w:lang w:eastAsia="es-ES"/>
        </w:rPr>
      </w:pPr>
      <w:r w:rsidRPr="00471390">
        <w:rPr>
          <w:rFonts w:eastAsia="Calibri" w:cs="Tahoma"/>
          <w:bCs/>
          <w:i/>
          <w:iCs/>
          <w:color w:val="auto"/>
          <w:sz w:val="20"/>
          <w:szCs w:val="20"/>
        </w:rPr>
        <w:t xml:space="preserve">Proporcionan el manual de procedimientos de la administración 2019-2021, argumentando por oficio que el procedimiento de la coordinación se lleva a cabo conforme a lo establecido en el Manual de Procedimientos de dicha administración; considero que hay negativa en la entrega de la información debido a que no es creíble que a más de un año de que inicio la administración 2022-2024 aun no cuenten con el manual de procedimientos del área que estoy solicitando; esto con fundamento en lo siguiente: En la Constitución Política de los Estados Unidos Mexicanos en el artículo 115 fracción II se establece que los ayuntamientos tendrán facultades para aprobar, de acuerdo con las leyes en materia municipal……. Los bandos de policía y gobierno, los reglamentos, circulares, disposiciones administrativas de observancia general dentro de sus respectivas jurisdicciones. En la Constitución Política del Estado Libre y Soberano de México dispone en el artículo 124 que los ayuntamientos expedirán el Bando Municipal, que será promulgado el 5 de febrero de cada año, los reglamentos y las normas necesarias para su organización y funcionamiento, conforme a las previsiones de la Constitución General de la Republica, de la presente Constitución, de la Ley Orgánica Municipal y demás ordenamientos aplicables. La Ley Orgánica Municipal del Estado de México establece en el artículo 3 que los municipios regulan su funcionamiento de conformidad con los Bandos Municipales, los Reglamentos y otras disposiciones. La misma Ley Orgánica establece en el artículo 31 que son atribuciones de los ayuntamientos Expedir y reformar el Bando Municipal, así como los reglamentos, circulares y disposiciones administrativas de observancia general dentro del territorio del municipio, que sean necesarias para su organización, prestación de los servicios públicos y en general para el cumplimiento de sus atribuciones. Además de que en la Ley de Transparencia y Acceso a la Información Pública del Estado de México y Municipios en el artículo 92 fracción I, establece que los sujetos obligados deberán poner a disposición del público de manera permanente y actualizada de forma sencilla, precisa y entendible, en los respectivos medios electrónicos, de acuerdo </w:t>
      </w:r>
      <w:r w:rsidRPr="00471390">
        <w:rPr>
          <w:rFonts w:eastAsia="Calibri" w:cs="Tahoma"/>
          <w:bCs/>
          <w:i/>
          <w:iCs/>
          <w:color w:val="auto"/>
          <w:sz w:val="20"/>
          <w:szCs w:val="20"/>
        </w:rPr>
        <w:lastRenderedPageBreak/>
        <w:t>con sus facultades, atribuciones, funciones u objeto social, según corresponda, la información por lo menos, de los temas, documentos y políticas que a continuación se señalan: I. El marco normativo aplicable al sujeto obligado, en el que deberá incluirse leyes, códigos, reglamentos, decretos de creación, acuerdos, convenios, manuales de organización y procedimientos, reglas de operación, criterios, políticas, entre otros,…. Con base en lo antes fundamentado es obligatorio que el DIF cuente con las disposiciones generales que permitan su correcto funcionamiento, considerando no valido el que no cuenten con un manual de procedimientos elaborado por la actual administración; ya que además se encuentra obligado a tener disponible en medio impreso o electrónico de manera permanente, actualizada, sencilla, precisa y de fácil acceso para los particulares la información pública de oficio.</w:t>
      </w:r>
      <w:r w:rsidRPr="00471390" w:rsidR="007C73B6">
        <w:rPr>
          <w:rFonts w:eastAsia="Calibri" w:cs="Tahoma"/>
          <w:bCs/>
          <w:i/>
          <w:iCs/>
          <w:color w:val="auto"/>
          <w:sz w:val="20"/>
          <w:szCs w:val="20"/>
        </w:rPr>
        <w:t>” (Sic.)</w:t>
      </w:r>
    </w:p>
    <w:p w:rsidRPr="00471390" w:rsidR="007C73B6" w:rsidP="00A26963" w:rsidRDefault="007C73B6" w14:paraId="6136147F" w14:textId="77777777">
      <w:pPr>
        <w:spacing w:after="0" w:line="360" w:lineRule="auto"/>
        <w:ind w:right="567"/>
        <w:contextualSpacing/>
        <w:rPr>
          <w:rFonts w:eastAsia="Calibri" w:cs="Tahoma"/>
          <w:bCs/>
          <w:color w:val="auto"/>
        </w:rPr>
      </w:pPr>
    </w:p>
    <w:p w:rsidRPr="00471390" w:rsidR="007C73B6" w:rsidP="00A26963" w:rsidRDefault="007C73B6" w14:paraId="72BD40CC" w14:textId="77777777">
      <w:pPr>
        <w:spacing w:after="0" w:line="360" w:lineRule="auto"/>
        <w:rPr>
          <w:rFonts w:eastAsia="Batang" w:cs="Tahoma"/>
          <w:b/>
          <w:bCs/>
          <w:color w:val="auto"/>
          <w:lang w:eastAsia="es-ES"/>
        </w:rPr>
      </w:pPr>
      <w:r w:rsidRPr="00471390">
        <w:rPr>
          <w:rFonts w:eastAsia="Times New Roman" w:cs="Tahoma"/>
          <w:b/>
          <w:color w:val="auto"/>
          <w:lang w:eastAsia="es-ES"/>
        </w:rPr>
        <w:t xml:space="preserve">IV. </w:t>
      </w:r>
      <w:r w:rsidRPr="00471390">
        <w:rPr>
          <w:rFonts w:eastAsia="Batang" w:cs="Tahoma"/>
          <w:b/>
          <w:bCs/>
          <w:color w:val="auto"/>
          <w:lang w:eastAsia="es-ES"/>
        </w:rPr>
        <w:t>Trámite del Recurso de Revisión</w:t>
      </w:r>
      <w:r w:rsidRPr="00471390">
        <w:rPr>
          <w:rFonts w:eastAsia="Times New Roman" w:cs="Tahoma"/>
          <w:b/>
          <w:color w:val="auto"/>
          <w:lang w:eastAsia="es-ES"/>
        </w:rPr>
        <w:t xml:space="preserve"> </w:t>
      </w:r>
      <w:r w:rsidRPr="00471390">
        <w:rPr>
          <w:rFonts w:eastAsia="Batang" w:cs="Tahoma"/>
          <w:b/>
          <w:bCs/>
          <w:color w:val="auto"/>
          <w:lang w:eastAsia="es-ES"/>
        </w:rPr>
        <w:t>ante el Instituto.</w:t>
      </w:r>
    </w:p>
    <w:p w:rsidRPr="00471390" w:rsidR="007C73B6" w:rsidP="00A26963" w:rsidRDefault="007C73B6" w14:paraId="616BCB31" w14:textId="77777777">
      <w:pPr>
        <w:spacing w:after="0" w:line="360" w:lineRule="auto"/>
        <w:rPr>
          <w:rFonts w:eastAsia="Batang" w:cs="Tahoma"/>
          <w:b/>
          <w:bCs/>
          <w:color w:val="auto"/>
          <w:lang w:eastAsia="es-ES"/>
        </w:rPr>
      </w:pPr>
    </w:p>
    <w:p w:rsidRPr="00471390" w:rsidR="007C73B6" w:rsidP="00A26963" w:rsidRDefault="007C73B6" w14:paraId="7F5F0504" w14:textId="75EEB402">
      <w:pPr>
        <w:spacing w:after="0" w:line="360" w:lineRule="auto"/>
        <w:rPr>
          <w:rFonts w:eastAsia="Batang" w:cs="Tahoma"/>
          <w:b/>
          <w:bCs/>
          <w:color w:val="auto"/>
          <w:lang w:eastAsia="es-ES"/>
        </w:rPr>
      </w:pPr>
      <w:r w:rsidRPr="00471390">
        <w:rPr>
          <w:rFonts w:eastAsia="Batang" w:cs="Tahoma"/>
          <w:b/>
          <w:bCs/>
          <w:color w:val="auto"/>
          <w:lang w:eastAsia="es-ES"/>
        </w:rPr>
        <w:t xml:space="preserve">a) Turno del Recurso de Revisión. </w:t>
      </w:r>
      <w:r w:rsidRPr="00471390">
        <w:rPr>
          <w:rFonts w:eastAsia="Batang" w:cs="Tahoma"/>
          <w:color w:val="auto"/>
          <w:lang w:eastAsia="es-ES"/>
        </w:rPr>
        <w:t xml:space="preserve">El </w:t>
      </w:r>
      <w:r w:rsidRPr="00471390" w:rsidR="002207E1">
        <w:rPr>
          <w:rFonts w:eastAsia="Batang" w:cs="Tahoma"/>
          <w:color w:val="auto"/>
          <w:lang w:eastAsia="es-ES"/>
        </w:rPr>
        <w:t>dos</w:t>
      </w:r>
      <w:r w:rsidRPr="00471390" w:rsidR="002207E1">
        <w:rPr>
          <w:rFonts w:eastAsia="Times New Roman" w:cs="Tahoma"/>
          <w:color w:val="auto"/>
          <w:lang w:val="es-ES" w:eastAsia="es-ES"/>
        </w:rPr>
        <w:t xml:space="preserve"> de mayo</w:t>
      </w:r>
      <w:r w:rsidRPr="00471390" w:rsidR="009506C0">
        <w:rPr>
          <w:rFonts w:eastAsia="Times New Roman" w:cs="Tahoma"/>
          <w:color w:val="auto"/>
          <w:lang w:val="es-ES" w:eastAsia="es-ES"/>
        </w:rPr>
        <w:t xml:space="preserve"> de dos mil veintitrés</w:t>
      </w:r>
      <w:r w:rsidRPr="00471390">
        <w:rPr>
          <w:rFonts w:eastAsia="Batang" w:cs="Tahoma"/>
          <w:color w:val="auto"/>
          <w:lang w:eastAsia="es-ES"/>
        </w:rPr>
        <w:t xml:space="preserve">, el </w:t>
      </w:r>
      <w:r w:rsidRPr="00471390">
        <w:rPr>
          <w:rFonts w:eastAsia="Batang" w:cs="Tahoma"/>
          <w:color w:val="auto"/>
          <w:lang w:val="es-ES" w:eastAsia="es-ES"/>
        </w:rPr>
        <w:t>Sistema de Acceso a la Información Mexiquense (SAIMEX),</w:t>
      </w:r>
      <w:r w:rsidRPr="00471390">
        <w:rPr>
          <w:rFonts w:eastAsia="Batang" w:cs="Tahoma"/>
          <w:color w:val="auto"/>
          <w:lang w:eastAsia="es-ES"/>
        </w:rPr>
        <w:t xml:space="preserve"> asignó el número de expediente </w:t>
      </w:r>
      <w:r w:rsidRPr="00471390" w:rsidR="009506C0">
        <w:rPr>
          <w:rFonts w:eastAsia="Calibri" w:cs="Tahoma"/>
          <w:b/>
          <w:bCs/>
          <w:color w:val="auto"/>
          <w:lang w:eastAsia="es-ES"/>
        </w:rPr>
        <w:t>0</w:t>
      </w:r>
      <w:r w:rsidRPr="00471390" w:rsidR="00D4231E">
        <w:rPr>
          <w:rFonts w:eastAsia="Calibri" w:cs="Tahoma"/>
          <w:b/>
          <w:bCs/>
          <w:color w:val="auto"/>
          <w:lang w:eastAsia="es-ES"/>
        </w:rPr>
        <w:t>2386</w:t>
      </w:r>
      <w:r w:rsidRPr="00471390" w:rsidR="009506C0">
        <w:rPr>
          <w:rFonts w:eastAsia="Calibri" w:cs="Tahoma"/>
          <w:b/>
          <w:bCs/>
          <w:color w:val="auto"/>
          <w:lang w:eastAsia="es-ES"/>
        </w:rPr>
        <w:t>/INFOEM/IP/RR/2023</w:t>
      </w:r>
      <w:r w:rsidRPr="00471390">
        <w:rPr>
          <w:rFonts w:eastAsia="Batang" w:cs="Tahoma"/>
          <w:color w:val="auto"/>
          <w:lang w:eastAsia="es-ES"/>
        </w:rPr>
        <w:t xml:space="preserve">, al medio de impugnación que nos ocupa, con base en el sistema aprobado por el Pleno de este Órgano Garante y lo turnó al </w:t>
      </w:r>
      <w:r w:rsidRPr="00471390">
        <w:rPr>
          <w:rFonts w:eastAsia="Batang" w:cs="Tahoma"/>
          <w:b/>
          <w:bCs/>
          <w:color w:val="auto"/>
          <w:lang w:eastAsia="es-ES"/>
        </w:rPr>
        <w:t>Comisionado Ponente Luis Gustavo Parra Noriega</w:t>
      </w:r>
      <w:r w:rsidRPr="00471390">
        <w:rPr>
          <w:rFonts w:eastAsia="Batang" w:cs="Tahoma"/>
          <w:color w:val="auto"/>
          <w:lang w:eastAsia="es-ES"/>
        </w:rPr>
        <w:t>, para los efectos del artículo 185, fracción I de la Ley de Transparencia y Acceso a la Información Pública del Estado de México y Municipios.</w:t>
      </w:r>
    </w:p>
    <w:p w:rsidRPr="00471390" w:rsidR="007C73B6" w:rsidP="00A26963" w:rsidRDefault="007C73B6" w14:paraId="7B507212" w14:textId="77777777">
      <w:pPr>
        <w:spacing w:after="0" w:line="360" w:lineRule="auto"/>
        <w:rPr>
          <w:rFonts w:eastAsia="Batang" w:cs="Tahoma"/>
          <w:b/>
          <w:bCs/>
          <w:color w:val="auto"/>
          <w:lang w:eastAsia="es-ES"/>
        </w:rPr>
      </w:pPr>
    </w:p>
    <w:p w:rsidRPr="00471390" w:rsidR="007C73B6" w:rsidP="00A26963" w:rsidRDefault="007C73B6" w14:paraId="5835140C" w14:textId="0751AF93">
      <w:pPr>
        <w:spacing w:after="0" w:line="360" w:lineRule="auto"/>
        <w:rPr>
          <w:rFonts w:eastAsia="Batang" w:cs="Tahoma"/>
          <w:color w:val="auto"/>
          <w:lang w:val="es-ES_tradnl" w:eastAsia="es-ES"/>
        </w:rPr>
      </w:pPr>
      <w:r w:rsidRPr="00471390">
        <w:rPr>
          <w:rFonts w:eastAsia="Batang" w:cs="Tahoma"/>
          <w:b/>
          <w:bCs/>
          <w:color w:val="auto"/>
          <w:lang w:eastAsia="es-ES"/>
        </w:rPr>
        <w:t>b) Admisión del Recurso de Revisión</w:t>
      </w:r>
      <w:r w:rsidRPr="00471390">
        <w:rPr>
          <w:rFonts w:eastAsia="Batang" w:cs="Tahoma"/>
          <w:b/>
          <w:bCs/>
          <w:color w:val="auto"/>
          <w:lang w:val="es-ES_tradnl" w:eastAsia="es-ES"/>
        </w:rPr>
        <w:t xml:space="preserve">. </w:t>
      </w:r>
      <w:r w:rsidRPr="00471390">
        <w:rPr>
          <w:rFonts w:eastAsia="Batang" w:cs="Tahoma"/>
          <w:color w:val="auto"/>
          <w:lang w:val="es-ES_tradnl" w:eastAsia="es-ES"/>
        </w:rPr>
        <w:t xml:space="preserve">El </w:t>
      </w:r>
      <w:r w:rsidRPr="00471390" w:rsidR="002207E1">
        <w:rPr>
          <w:rFonts w:eastAsia="Batang" w:cs="Tahoma"/>
          <w:color w:val="auto"/>
          <w:lang w:val="es-ES_tradnl" w:eastAsia="es-ES"/>
        </w:rPr>
        <w:t>ocho de mayo</w:t>
      </w:r>
      <w:r w:rsidRPr="00471390" w:rsidR="009506C0">
        <w:rPr>
          <w:rFonts w:eastAsia="Batang" w:cs="Tahoma"/>
          <w:color w:val="auto"/>
          <w:lang w:val="es-ES_tradnl" w:eastAsia="es-ES"/>
        </w:rPr>
        <w:t xml:space="preserve"> de dos mil veintitrés</w:t>
      </w:r>
      <w:r w:rsidRPr="00471390">
        <w:rPr>
          <w:rFonts w:eastAsia="Batang" w:cs="Tahoma"/>
          <w:color w:val="auto"/>
          <w:lang w:val="es-ES_tradnl" w:eastAsia="es-ES"/>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veinti</w:t>
      </w:r>
      <w:r w:rsidRPr="00471390" w:rsidR="009506C0">
        <w:rPr>
          <w:rFonts w:eastAsia="Batang" w:cs="Tahoma"/>
          <w:color w:val="auto"/>
          <w:lang w:val="es-ES_tradnl" w:eastAsia="es-ES"/>
        </w:rPr>
        <w:t>siete</w:t>
      </w:r>
      <w:r w:rsidRPr="00471390">
        <w:rPr>
          <w:rFonts w:eastAsia="Batang" w:cs="Tahoma"/>
          <w:color w:val="auto"/>
          <w:lang w:val="es-ES_tradnl" w:eastAsia="es-ES"/>
        </w:rPr>
        <w:t xml:space="preserve"> del mismo mes y año, a través del Sistema de Acceso a la Información Mexiquense (SAIMEX), en el que se les otorgó un plazo de siete días hábiles posteriores a la misma, para que manifestaran lo que a su derecho conviniera y formularan alegatos.</w:t>
      </w:r>
    </w:p>
    <w:p w:rsidRPr="00471390" w:rsidR="00C232D8" w:rsidP="00A26963" w:rsidRDefault="00C232D8" w14:paraId="38EE67AA" w14:textId="26C28413">
      <w:pPr>
        <w:widowControl w:val="0"/>
        <w:spacing w:after="0" w:line="360" w:lineRule="auto"/>
        <w:rPr>
          <w:rFonts w:eastAsia="Times New Roman" w:cs="Tahoma"/>
          <w:bCs/>
          <w:color w:val="auto"/>
          <w:lang w:eastAsia="es-ES"/>
        </w:rPr>
      </w:pPr>
    </w:p>
    <w:p w:rsidRPr="00471390" w:rsidR="00017212" w:rsidP="00A26963" w:rsidRDefault="007C73B6" w14:paraId="67C6774C" w14:textId="5CB26E60">
      <w:pPr>
        <w:widowControl w:val="0"/>
        <w:spacing w:after="0" w:line="360" w:lineRule="auto"/>
        <w:rPr>
          <w:rStyle w:val="eop"/>
          <w:color w:val="000000"/>
          <w:shd w:val="clear" w:color="auto" w:fill="FFFFFF"/>
        </w:rPr>
      </w:pPr>
      <w:r w:rsidRPr="00471390">
        <w:rPr>
          <w:rFonts w:eastAsia="Times New Roman" w:cs="Times New Roman"/>
          <w:b/>
          <w:bCs/>
          <w:color w:val="auto"/>
          <w:lang w:eastAsia="es-ES"/>
        </w:rPr>
        <w:lastRenderedPageBreak/>
        <w:t xml:space="preserve">c) </w:t>
      </w:r>
      <w:r w:rsidRPr="00471390">
        <w:rPr>
          <w:rFonts w:eastAsia="Times New Roman" w:cs="Times New Roman"/>
          <w:b/>
          <w:color w:val="auto"/>
          <w:lang w:val="es-ES_tradnl" w:eastAsia="es-ES"/>
        </w:rPr>
        <w:t xml:space="preserve">Informe Justificado o manifestaciones. </w:t>
      </w:r>
      <w:r w:rsidRPr="00471390" w:rsidR="002207E1">
        <w:rPr>
          <w:rFonts w:eastAsia="Times New Roman" w:cs="Times New Roman"/>
          <w:color w:val="auto"/>
          <w:lang w:val="es-ES_tradnl" w:eastAsia="es-ES"/>
        </w:rPr>
        <w:t>Las partes fueron omisas en emitir manifestaciones o alegatos.</w:t>
      </w:r>
    </w:p>
    <w:p w:rsidRPr="00471390" w:rsidR="00A76A86" w:rsidP="00A26963" w:rsidRDefault="00A76A86" w14:paraId="74CF588D" w14:textId="77777777">
      <w:pPr>
        <w:widowControl w:val="0"/>
        <w:spacing w:after="0" w:line="360" w:lineRule="auto"/>
        <w:rPr>
          <w:rFonts w:eastAsia="Times New Roman" w:cs="Times New Roman"/>
          <w:bCs/>
          <w:color w:val="auto"/>
          <w:lang w:val="es-ES_tradnl" w:eastAsia="es-ES"/>
        </w:rPr>
      </w:pPr>
    </w:p>
    <w:p w:rsidRPr="00471390" w:rsidR="007C73B6" w:rsidP="00A26963" w:rsidRDefault="00DB3E89" w14:paraId="1FC8AA48" w14:textId="191D3049">
      <w:pPr>
        <w:spacing w:after="0" w:line="360" w:lineRule="auto"/>
        <w:rPr>
          <w:rFonts w:eastAsia="Times New Roman" w:cs="Tahoma"/>
          <w:color w:val="auto"/>
          <w:lang w:eastAsia="es-ES"/>
        </w:rPr>
      </w:pPr>
      <w:r w:rsidRPr="00471390">
        <w:rPr>
          <w:rFonts w:eastAsia="Times New Roman" w:cs="Tahoma"/>
          <w:b/>
          <w:color w:val="auto"/>
          <w:lang w:eastAsia="es-ES"/>
        </w:rPr>
        <w:t>f</w:t>
      </w:r>
      <w:r w:rsidRPr="00471390" w:rsidR="007C73B6">
        <w:rPr>
          <w:rFonts w:eastAsia="Times New Roman" w:cs="Tahoma"/>
          <w:b/>
          <w:color w:val="auto"/>
          <w:lang w:eastAsia="es-ES"/>
        </w:rPr>
        <w:t>) Cierre de instrucción.</w:t>
      </w:r>
      <w:r w:rsidRPr="00471390" w:rsidR="007C73B6">
        <w:rPr>
          <w:rFonts w:eastAsia="Times New Roman" w:cs="Tahoma"/>
          <w:color w:val="auto"/>
          <w:lang w:eastAsia="es-ES"/>
        </w:rPr>
        <w:t xml:space="preserve"> El </w:t>
      </w:r>
      <w:r w:rsidRPr="00471390" w:rsidR="002207E1">
        <w:rPr>
          <w:rFonts w:eastAsia="Times New Roman" w:cs="Tahoma"/>
          <w:color w:val="auto"/>
          <w:lang w:eastAsia="es-ES"/>
        </w:rPr>
        <w:t>veinticinco</w:t>
      </w:r>
      <w:r w:rsidRPr="00471390" w:rsidR="007C73B6">
        <w:rPr>
          <w:rFonts w:eastAsia="Times New Roman" w:cs="Tahoma"/>
          <w:color w:val="auto"/>
          <w:lang w:val="es-ES" w:eastAsia="es-ES"/>
        </w:rPr>
        <w:t xml:space="preserve"> de </w:t>
      </w:r>
      <w:r w:rsidRPr="00471390" w:rsidR="00445EC4">
        <w:rPr>
          <w:rFonts w:eastAsia="Times New Roman" w:cs="Tahoma"/>
          <w:color w:val="auto"/>
          <w:lang w:val="es-ES" w:eastAsia="es-ES"/>
        </w:rPr>
        <w:t>mayo</w:t>
      </w:r>
      <w:r w:rsidRPr="00471390" w:rsidR="007C73B6">
        <w:rPr>
          <w:rFonts w:eastAsia="Times New Roman" w:cs="Tahoma"/>
          <w:color w:val="auto"/>
          <w:lang w:val="es-ES" w:eastAsia="es-ES"/>
        </w:rPr>
        <w:t xml:space="preserve"> de dos mil veinti</w:t>
      </w:r>
      <w:r w:rsidRPr="00471390" w:rsidR="00445EC4">
        <w:rPr>
          <w:rFonts w:eastAsia="Times New Roman" w:cs="Tahoma"/>
          <w:color w:val="auto"/>
          <w:lang w:val="es-ES" w:eastAsia="es-ES"/>
        </w:rPr>
        <w:t>trés</w:t>
      </w:r>
      <w:r w:rsidRPr="00471390" w:rsidR="007C73B6">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471390" w:rsidR="007C73B6">
        <w:rPr>
          <w:rFonts w:eastAsia="Times New Roman" w:cs="Tahoma"/>
          <w:color w:val="auto"/>
          <w:lang w:val="es-ES" w:eastAsia="es-ES"/>
        </w:rPr>
        <w:t>Sistema de Acceso a la Información Mexiquense (SAIMEX)</w:t>
      </w:r>
      <w:r w:rsidRPr="00471390" w:rsidR="007C73B6">
        <w:rPr>
          <w:rFonts w:eastAsia="Times New Roman" w:cs="Tahoma"/>
          <w:color w:val="auto"/>
          <w:lang w:eastAsia="es-ES"/>
        </w:rPr>
        <w:t>.</w:t>
      </w:r>
    </w:p>
    <w:p w:rsidRPr="00471390" w:rsidR="0045650B" w:rsidP="00A26963" w:rsidRDefault="0045650B" w14:paraId="025C126C" w14:textId="77777777">
      <w:pPr>
        <w:spacing w:after="0" w:line="360" w:lineRule="auto"/>
        <w:rPr>
          <w:rFonts w:eastAsia="Times New Roman" w:cs="Tahoma"/>
          <w:color w:val="auto"/>
          <w:lang w:eastAsia="es-ES"/>
        </w:rPr>
      </w:pPr>
    </w:p>
    <w:p w:rsidRPr="00471390" w:rsidR="007C73B6" w:rsidP="00A26963" w:rsidRDefault="007C73B6" w14:paraId="703959C8" w14:textId="77777777">
      <w:pPr>
        <w:spacing w:after="0" w:line="360" w:lineRule="auto"/>
        <w:rPr>
          <w:rFonts w:eastAsia="Times New Roman" w:cs="Tahoma"/>
          <w:color w:val="000000"/>
          <w:lang w:eastAsia="es-ES"/>
        </w:rPr>
      </w:pPr>
      <w:r w:rsidRPr="00471390">
        <w:rPr>
          <w:rFonts w:eastAsia="Times New Roman" w:cs="Tahoma"/>
          <w:color w:val="000000"/>
          <w:lang w:eastAsia="es-ES"/>
        </w:rPr>
        <w:t xml:space="preserve">En razón de que fue debidamente sustanciado e integrado el expediente electrónico y no existe diligencia pendiente de desahogo, se emite la resolución que conforme a Derecho proceda, de acuerdo a los siguientes: </w:t>
      </w:r>
    </w:p>
    <w:p w:rsidRPr="00471390" w:rsidR="002207E1" w:rsidP="00A26963" w:rsidRDefault="002207E1" w14:paraId="0FD22A54" w14:textId="77777777">
      <w:pPr>
        <w:spacing w:after="0" w:line="360" w:lineRule="auto"/>
        <w:rPr>
          <w:rFonts w:eastAsia="Times New Roman" w:cs="Tahoma"/>
          <w:color w:val="000000"/>
          <w:lang w:eastAsia="es-ES"/>
        </w:rPr>
      </w:pPr>
    </w:p>
    <w:p w:rsidRPr="00471390" w:rsidR="00066B31" w:rsidP="00A26963" w:rsidRDefault="00066B31" w14:paraId="2D6C5172" w14:textId="3569EDDE">
      <w:pPr>
        <w:spacing w:after="0" w:line="360" w:lineRule="auto"/>
        <w:jc w:val="center"/>
        <w:rPr>
          <w:rFonts w:cs="Tahoma"/>
          <w:b/>
          <w:lang w:val="es-ES"/>
        </w:rPr>
      </w:pPr>
      <w:r w:rsidRPr="00471390">
        <w:rPr>
          <w:rFonts w:cs="Tahoma"/>
          <w:b/>
          <w:lang w:val="es-ES"/>
        </w:rPr>
        <w:t>CONSIDERANDOS:</w:t>
      </w:r>
    </w:p>
    <w:p w:rsidRPr="00471390" w:rsidR="005D6213" w:rsidP="00A26963" w:rsidRDefault="005D6213" w14:paraId="3BD73B02" w14:textId="77777777">
      <w:pPr>
        <w:spacing w:after="0" w:line="360" w:lineRule="auto"/>
        <w:jc w:val="center"/>
        <w:rPr>
          <w:rFonts w:cs="Tahoma"/>
          <w:b/>
          <w:lang w:val="es-ES"/>
        </w:rPr>
      </w:pPr>
    </w:p>
    <w:p w:rsidRPr="00471390" w:rsidR="009A2169" w:rsidP="00A26963" w:rsidRDefault="009A2169" w14:paraId="3BEB7B58" w14:textId="77777777">
      <w:pPr>
        <w:spacing w:after="0" w:line="360" w:lineRule="auto"/>
        <w:rPr>
          <w:rFonts w:eastAsia="Batang" w:cs="Tahoma"/>
          <w:b/>
          <w:bCs/>
          <w:color w:val="auto"/>
          <w:lang w:eastAsia="es-ES"/>
        </w:rPr>
      </w:pPr>
      <w:r w:rsidRPr="00471390">
        <w:rPr>
          <w:rFonts w:eastAsia="Batang" w:cs="Tahoma"/>
          <w:b/>
          <w:bCs/>
          <w:color w:val="auto"/>
          <w:lang w:eastAsia="es-ES"/>
        </w:rPr>
        <w:t xml:space="preserve">PRIMERO. Competencia. </w:t>
      </w:r>
    </w:p>
    <w:p w:rsidRPr="00471390" w:rsidR="009A2169" w:rsidP="00A26963" w:rsidRDefault="009A2169" w14:paraId="53E7BC07" w14:textId="77777777">
      <w:pPr>
        <w:spacing w:after="0" w:line="360" w:lineRule="auto"/>
        <w:rPr>
          <w:rFonts w:eastAsia="Batang" w:cs="Tahoma"/>
          <w:b/>
          <w:bCs/>
          <w:color w:val="auto"/>
          <w:lang w:eastAsia="es-ES"/>
        </w:rPr>
      </w:pPr>
    </w:p>
    <w:p w:rsidRPr="00471390" w:rsidR="009A2169" w:rsidP="00A26963" w:rsidRDefault="009A2169" w14:paraId="7C25494F" w14:textId="00BD5D93">
      <w:pPr>
        <w:spacing w:after="0" w:line="360" w:lineRule="auto"/>
        <w:rPr>
          <w:rFonts w:eastAsia="Times New Roman" w:cs="Tahoma"/>
          <w:bCs/>
          <w:color w:val="auto"/>
          <w:lang w:eastAsia="es-ES"/>
        </w:rPr>
      </w:pPr>
      <w:bookmarkStart w:name="_Hlk63334754" w:id="1"/>
      <w:r w:rsidRPr="00471390">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71390">
        <w:rPr>
          <w:rFonts w:eastAsia="Times New Roman" w:cs="Times New Roman"/>
          <w:bCs/>
          <w:color w:val="auto"/>
          <w:lang w:eastAsia="es-ES"/>
        </w:rPr>
        <w:t xml:space="preserve"> 7°, </w:t>
      </w:r>
      <w:r w:rsidRPr="00471390">
        <w:rPr>
          <w:rFonts w:eastAsia="Times New Roman" w:cs="Tahoma"/>
          <w:bCs/>
          <w:color w:val="auto"/>
          <w:lang w:eastAsia="es-ES"/>
        </w:rPr>
        <w:t xml:space="preserve">9°, </w:t>
      </w:r>
      <w:r w:rsidRPr="00471390">
        <w:rPr>
          <w:rFonts w:eastAsia="Times New Roman" w:cs="Tahoma"/>
          <w:bCs/>
          <w:color w:val="auto"/>
          <w:lang w:eastAsia="es-ES"/>
        </w:rPr>
        <w:lastRenderedPageBreak/>
        <w:t>fracciones I y XXI</w:t>
      </w:r>
      <w:r w:rsidRPr="00471390" w:rsidR="00306C98">
        <w:rPr>
          <w:rFonts w:eastAsia="Times New Roman" w:cs="Tahoma"/>
          <w:bCs/>
          <w:color w:val="auto"/>
          <w:lang w:eastAsia="es-ES"/>
        </w:rPr>
        <w:t>II</w:t>
      </w:r>
      <w:r w:rsidRPr="00471390">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bookmarkEnd w:id="1"/>
    <w:p w:rsidRPr="00471390" w:rsidR="009A2169" w:rsidP="00A26963" w:rsidRDefault="009A2169" w14:paraId="3D7A43B3" w14:textId="77777777">
      <w:pPr>
        <w:spacing w:after="0" w:line="360" w:lineRule="auto"/>
        <w:rPr>
          <w:rFonts w:eastAsia="Calibri" w:cs="Tahoma"/>
          <w:bCs/>
          <w:color w:val="000000"/>
          <w:lang w:eastAsia="es-ES_tradnl"/>
        </w:rPr>
      </w:pPr>
    </w:p>
    <w:p w:rsidRPr="00471390" w:rsidR="009A2169" w:rsidP="00A26963" w:rsidRDefault="009A2169" w14:paraId="1684085D" w14:textId="77777777">
      <w:pPr>
        <w:shd w:val="clear" w:color="auto" w:fill="FFFFFF"/>
        <w:spacing w:after="0" w:line="360" w:lineRule="auto"/>
        <w:rPr>
          <w:rFonts w:eastAsia="Times New Roman" w:cs="Times New Roman"/>
          <w:color w:val="222222"/>
          <w:sz w:val="20"/>
          <w:szCs w:val="20"/>
          <w:lang w:val="es-ES" w:eastAsia="es-ES"/>
        </w:rPr>
      </w:pPr>
      <w:r w:rsidRPr="00471390">
        <w:rPr>
          <w:rFonts w:eastAsia="Times New Roman" w:cs="Times New Roman"/>
          <w:b/>
          <w:bCs/>
          <w:color w:val="000000"/>
          <w:lang w:val="es-ES" w:eastAsia="es-ES"/>
        </w:rPr>
        <w:t>SEGUNDO. Causales de procedencia y sobreseimiento.</w:t>
      </w:r>
    </w:p>
    <w:p w:rsidRPr="00471390" w:rsidR="009A2169" w:rsidP="00A26963" w:rsidRDefault="009A2169" w14:paraId="6241A58F" w14:textId="77777777">
      <w:pPr>
        <w:shd w:val="clear" w:color="auto" w:fill="FFFFFF"/>
        <w:spacing w:after="0" w:line="360" w:lineRule="auto"/>
        <w:rPr>
          <w:rFonts w:eastAsia="Times New Roman" w:cs="Times New Roman"/>
          <w:color w:val="222222"/>
          <w:sz w:val="20"/>
          <w:szCs w:val="20"/>
          <w:lang w:val="es-ES" w:eastAsia="es-ES"/>
        </w:rPr>
      </w:pPr>
    </w:p>
    <w:p w:rsidRPr="00471390" w:rsidR="009A2169" w:rsidP="00A26963" w:rsidRDefault="009A2169" w14:paraId="0B794D9F" w14:textId="77777777">
      <w:pPr>
        <w:shd w:val="clear" w:color="auto" w:fill="FFFFFF"/>
        <w:spacing w:after="0" w:line="360" w:lineRule="auto"/>
        <w:rPr>
          <w:rFonts w:eastAsia="Times New Roman" w:cs="Times New Roman"/>
          <w:color w:val="222222"/>
          <w:sz w:val="20"/>
          <w:szCs w:val="20"/>
          <w:lang w:val="es-ES" w:eastAsia="es-ES"/>
        </w:rPr>
      </w:pPr>
      <w:r w:rsidRPr="00471390">
        <w:rPr>
          <w:rFonts w:eastAsia="Times New Roman" w:cs="Times New Roman"/>
          <w:color w:val="000000"/>
          <w:lang w:val="es-ES" w:eastAsia="es-ES"/>
        </w:rPr>
        <w:t xml:space="preserve">De las constancias que forman parte de los Recursos de Revisión que se analizan, se advierte que previo al estudio del fondo de la </w:t>
      </w:r>
      <w:proofErr w:type="spellStart"/>
      <w:r w:rsidRPr="00471390">
        <w:rPr>
          <w:rFonts w:eastAsia="Times New Roman" w:cs="Times New Roman"/>
          <w:i/>
          <w:color w:val="000000"/>
          <w:lang w:val="es-ES" w:eastAsia="es-ES"/>
        </w:rPr>
        <w:t>litis</w:t>
      </w:r>
      <w:proofErr w:type="spellEnd"/>
      <w:r w:rsidRPr="00471390">
        <w:rPr>
          <w:rFonts w:eastAsia="Times New Roman" w:cs="Times New Roman"/>
          <w:color w:val="000000"/>
          <w:lang w:val="es-ES" w:eastAsia="es-ES"/>
        </w:rPr>
        <w:t>, es necesario estudiar las causales de improcedencia y sobreseimiento que se adviertan, para determinar lo que en Derecho proceda.</w:t>
      </w:r>
    </w:p>
    <w:p w:rsidRPr="00471390" w:rsidR="009A2169" w:rsidP="00A26963" w:rsidRDefault="009A2169" w14:paraId="47A38B1A" w14:textId="77777777">
      <w:pPr>
        <w:shd w:val="clear" w:color="auto" w:fill="FFFFFF"/>
        <w:spacing w:after="0" w:line="360" w:lineRule="auto"/>
        <w:rPr>
          <w:rFonts w:eastAsia="Times New Roman" w:cs="Times New Roman"/>
          <w:b/>
          <w:bCs/>
          <w:color w:val="000000"/>
          <w:lang w:val="es-ES" w:eastAsia="es-ES"/>
        </w:rPr>
      </w:pPr>
    </w:p>
    <w:p w:rsidRPr="00471390" w:rsidR="009A2169" w:rsidP="00A26963" w:rsidRDefault="009A2169" w14:paraId="681C4314" w14:textId="77777777">
      <w:pPr>
        <w:shd w:val="clear" w:color="auto" w:fill="FFFFFF"/>
        <w:spacing w:after="0" w:line="360" w:lineRule="auto"/>
        <w:rPr>
          <w:rFonts w:eastAsia="Times New Roman" w:cs="Times New Roman"/>
          <w:color w:val="222222"/>
          <w:sz w:val="20"/>
          <w:szCs w:val="20"/>
          <w:lang w:val="es-ES" w:eastAsia="es-ES"/>
        </w:rPr>
      </w:pPr>
      <w:r w:rsidRPr="00471390">
        <w:rPr>
          <w:rFonts w:eastAsia="Times New Roman" w:cs="Times New Roman"/>
          <w:b/>
          <w:bCs/>
          <w:color w:val="000000"/>
          <w:lang w:val="es-ES" w:eastAsia="es-ES"/>
        </w:rPr>
        <w:t>Causales de improcedencia.</w:t>
      </w:r>
    </w:p>
    <w:p w:rsidRPr="00471390" w:rsidR="009A2169" w:rsidP="00A26963" w:rsidRDefault="009A2169" w14:paraId="1F463FEB" w14:textId="77777777">
      <w:pPr>
        <w:shd w:val="clear" w:color="auto" w:fill="FFFFFF"/>
        <w:spacing w:after="0" w:line="360" w:lineRule="auto"/>
        <w:rPr>
          <w:rFonts w:eastAsia="Times New Roman" w:cs="Times New Roman"/>
          <w:color w:val="222222"/>
          <w:sz w:val="20"/>
          <w:szCs w:val="20"/>
          <w:lang w:val="es-ES" w:eastAsia="es-ES"/>
        </w:rPr>
      </w:pPr>
    </w:p>
    <w:p w:rsidRPr="00471390" w:rsidR="009A2169" w:rsidP="00A26963" w:rsidRDefault="009A2169" w14:paraId="650ED231" w14:textId="77777777">
      <w:pPr>
        <w:spacing w:after="0" w:line="360" w:lineRule="auto"/>
        <w:rPr>
          <w:rFonts w:eastAsia="Times New Roman" w:cs="Tahoma"/>
          <w:bCs/>
          <w:color w:val="000000"/>
          <w:lang w:eastAsia="es-ES"/>
        </w:rPr>
      </w:pPr>
      <w:r w:rsidRPr="00471390">
        <w:rPr>
          <w:rFonts w:eastAsia="Times New Roman" w:cs="Tahoma"/>
          <w:bCs/>
          <w:color w:val="000000"/>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71390" w:rsidR="009A2169" w:rsidP="00A26963" w:rsidRDefault="009A2169" w14:paraId="04A28802" w14:textId="77777777">
      <w:pPr>
        <w:spacing w:after="0" w:line="360" w:lineRule="auto"/>
        <w:rPr>
          <w:rFonts w:eastAsia="Times New Roman" w:cs="Tahoma"/>
          <w:bCs/>
          <w:color w:val="000000"/>
          <w:lang w:eastAsia="es-ES"/>
        </w:rPr>
      </w:pPr>
    </w:p>
    <w:p w:rsidRPr="00471390" w:rsidR="009A2169" w:rsidP="00A26963" w:rsidRDefault="009A2169" w14:paraId="6A485EE9" w14:textId="77777777">
      <w:pPr>
        <w:spacing w:after="0" w:line="360" w:lineRule="auto"/>
        <w:rPr>
          <w:rFonts w:eastAsia="Times New Roman" w:cs="Tahoma"/>
          <w:bCs/>
          <w:color w:val="000000"/>
          <w:lang w:eastAsia="es-ES"/>
        </w:rPr>
      </w:pPr>
      <w:r w:rsidRPr="00471390">
        <w:rPr>
          <w:rFonts w:eastAsia="Times New Roman" w:cs="Tahoma"/>
          <w:bCs/>
          <w:color w:val="000000"/>
          <w:lang w:eastAsia="es-ES"/>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471390" w:rsidR="009A2169" w:rsidP="00A26963" w:rsidRDefault="009A2169" w14:paraId="756DF499" w14:textId="77777777">
      <w:pPr>
        <w:widowControl w:val="0"/>
        <w:spacing w:after="0" w:line="360" w:lineRule="auto"/>
        <w:rPr>
          <w:rFonts w:eastAsia="Times New Roman" w:cs="Times New Roman"/>
          <w:color w:val="222222"/>
          <w:sz w:val="20"/>
          <w:szCs w:val="20"/>
          <w:lang w:val="es-ES" w:eastAsia="es-ES"/>
        </w:rPr>
      </w:pPr>
    </w:p>
    <w:p w:rsidRPr="00471390" w:rsidR="009A2169" w:rsidP="00A26963" w:rsidRDefault="009A2169" w14:paraId="164D7743" w14:textId="2F7CEED8">
      <w:pPr>
        <w:autoSpaceDE w:val="0"/>
        <w:autoSpaceDN w:val="0"/>
        <w:adjustRightInd w:val="0"/>
        <w:spacing w:after="0" w:line="360" w:lineRule="auto"/>
        <w:rPr>
          <w:rFonts w:eastAsia="Calibri" w:cs="Tahoma"/>
          <w:color w:val="000000"/>
          <w:lang w:eastAsia="es-MX"/>
        </w:rPr>
      </w:pPr>
      <w:r w:rsidRPr="00471390">
        <w:rPr>
          <w:rFonts w:eastAsia="Calibri" w:cs="Tahoma"/>
          <w:color w:val="000000"/>
          <w:lang w:eastAsia="es-MX"/>
        </w:rPr>
        <w:t>Asimismo, se actualiza la causal de procedencia señalada en el artículo 179, fracción V</w:t>
      </w:r>
      <w:r w:rsidRPr="00471390" w:rsidR="002207E1">
        <w:rPr>
          <w:rFonts w:eastAsia="Calibri" w:cs="Tahoma"/>
          <w:color w:val="000000"/>
          <w:lang w:eastAsia="es-MX"/>
        </w:rPr>
        <w:t>I</w:t>
      </w:r>
      <w:r w:rsidRPr="00471390">
        <w:rPr>
          <w:rFonts w:eastAsia="Calibri" w:cs="Tahoma"/>
          <w:color w:val="000000"/>
          <w:lang w:eastAsia="es-MX"/>
        </w:rPr>
        <w:t xml:space="preserve">, de la Ley de la materia, toda vez que el Solicitante se inconformó con la </w:t>
      </w:r>
      <w:r w:rsidRPr="00471390" w:rsidR="005D6213">
        <w:rPr>
          <w:rFonts w:eastAsia="Calibri" w:cs="Tahoma"/>
          <w:color w:val="000000"/>
          <w:lang w:eastAsia="es-MX"/>
        </w:rPr>
        <w:t xml:space="preserve">entrega de información </w:t>
      </w:r>
      <w:r w:rsidRPr="00471390" w:rsidR="002207E1">
        <w:rPr>
          <w:rFonts w:eastAsia="Calibri" w:cs="Tahoma"/>
          <w:color w:val="000000"/>
          <w:lang w:eastAsia="es-MX"/>
        </w:rPr>
        <w:t>que no corresponde con lo solicitado.</w:t>
      </w:r>
    </w:p>
    <w:p w:rsidRPr="00471390" w:rsidR="009A2169" w:rsidP="00A26963" w:rsidRDefault="009A2169" w14:paraId="34E50B8C" w14:textId="77777777">
      <w:pPr>
        <w:widowControl w:val="0"/>
        <w:spacing w:after="0" w:line="360" w:lineRule="auto"/>
        <w:rPr>
          <w:rFonts w:eastAsia="Times New Roman" w:cs="Times New Roman"/>
          <w:color w:val="222222"/>
          <w:sz w:val="20"/>
          <w:szCs w:val="20"/>
          <w:lang w:val="es-ES" w:eastAsia="es-ES"/>
        </w:rPr>
      </w:pPr>
    </w:p>
    <w:p w:rsidRPr="00471390" w:rsidR="009A2169" w:rsidP="00A26963" w:rsidRDefault="009A2169" w14:paraId="51F8DB44" w14:textId="77777777">
      <w:pPr>
        <w:spacing w:after="0" w:line="360" w:lineRule="auto"/>
        <w:rPr>
          <w:rFonts w:eastAsia="Times New Roman" w:cs="Tahoma"/>
          <w:bCs/>
          <w:color w:val="0D0D0D" w:themeColor="text1" w:themeTint="F2"/>
          <w:lang w:eastAsia="es-ES"/>
        </w:rPr>
      </w:pPr>
      <w:r w:rsidRPr="00471390">
        <w:rPr>
          <w:rFonts w:eastAsia="Times New Roman" w:cs="Tahoma"/>
          <w:b/>
          <w:bCs/>
          <w:color w:val="0D0D0D" w:themeColor="text1" w:themeTint="F2"/>
          <w:lang w:eastAsia="es-ES"/>
        </w:rPr>
        <w:t>Causales de sobreseimiento.</w:t>
      </w:r>
    </w:p>
    <w:p w:rsidRPr="00471390" w:rsidR="009A2169" w:rsidP="00A26963" w:rsidRDefault="009A2169" w14:paraId="53009EA3" w14:textId="77777777">
      <w:pPr>
        <w:spacing w:after="0" w:line="360" w:lineRule="auto"/>
        <w:rPr>
          <w:rFonts w:eastAsia="Times New Roman" w:cs="Tahoma"/>
          <w:bCs/>
          <w:color w:val="0D0D0D" w:themeColor="text1" w:themeTint="F2"/>
          <w:lang w:eastAsia="es-ES"/>
        </w:rPr>
      </w:pPr>
    </w:p>
    <w:p w:rsidRPr="00471390" w:rsidR="009A2169" w:rsidP="00A26963" w:rsidRDefault="009A2169" w14:paraId="59D2B25F" w14:textId="77777777">
      <w:pPr>
        <w:spacing w:after="0" w:line="360" w:lineRule="auto"/>
        <w:rPr>
          <w:rFonts w:eastAsia="Times New Roman" w:cs="Tahoma"/>
          <w:bCs/>
          <w:color w:val="0D0D0D" w:themeColor="text1" w:themeTint="F2"/>
          <w:lang w:eastAsia="es-ES"/>
        </w:rPr>
      </w:pPr>
      <w:r w:rsidRPr="00471390">
        <w:rPr>
          <w:rFonts w:eastAsia="Times New Roman" w:cs="Tahoma"/>
          <w:bCs/>
          <w:color w:val="0D0D0D" w:themeColor="text1" w:themeTint="F2"/>
          <w:lang w:eastAsia="es-ES"/>
        </w:rPr>
        <w:t>Por ser de previo y especial pronunciamiento, este Instituto analiza si se actualiza alguna causal de sobreseimiento.</w:t>
      </w:r>
    </w:p>
    <w:p w:rsidRPr="00471390" w:rsidR="009A2169" w:rsidP="00A26963" w:rsidRDefault="009A2169" w14:paraId="0311DA94" w14:textId="77777777">
      <w:pPr>
        <w:spacing w:after="0" w:line="360" w:lineRule="auto"/>
        <w:rPr>
          <w:rFonts w:eastAsia="Times New Roman" w:cs="Tahoma"/>
          <w:bCs/>
          <w:color w:val="0D0D0D" w:themeColor="text1" w:themeTint="F2"/>
          <w:lang w:eastAsia="es-ES"/>
        </w:rPr>
      </w:pPr>
    </w:p>
    <w:p w:rsidRPr="00471390" w:rsidR="009A2169" w:rsidP="00A26963" w:rsidRDefault="009A2169" w14:paraId="5EFB211A" w14:textId="77777777">
      <w:pPr>
        <w:spacing w:after="0" w:line="360" w:lineRule="auto"/>
        <w:rPr>
          <w:rFonts w:eastAsia="Times New Roman" w:cs="Tahoma"/>
          <w:color w:val="auto"/>
          <w:szCs w:val="24"/>
          <w:lang w:eastAsia="es-ES"/>
        </w:rPr>
      </w:pPr>
      <w:r w:rsidRPr="00471390">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71390" w:rsidR="009A2169" w:rsidP="00A26963" w:rsidRDefault="009A2169" w14:paraId="6331CB45" w14:textId="77777777">
      <w:pPr>
        <w:spacing w:after="0" w:line="360" w:lineRule="auto"/>
        <w:rPr>
          <w:rFonts w:eastAsia="Times New Roman" w:cs="Tahoma"/>
          <w:bCs/>
          <w:color w:val="0D0D0D" w:themeColor="text1" w:themeTint="F2"/>
          <w:lang w:eastAsia="es-ES"/>
        </w:rPr>
      </w:pPr>
    </w:p>
    <w:p w:rsidRPr="00471390" w:rsidR="00066B31" w:rsidP="00A26963" w:rsidRDefault="009A2169" w14:paraId="26EA214E" w14:textId="08500B55">
      <w:pPr>
        <w:tabs>
          <w:tab w:val="left" w:pos="4962"/>
        </w:tabs>
        <w:spacing w:after="0" w:line="360" w:lineRule="auto"/>
        <w:rPr>
          <w:rFonts w:cs="Tahoma"/>
          <w:lang w:val="es-ES"/>
        </w:rPr>
      </w:pPr>
      <w:r w:rsidRPr="00471390">
        <w:rPr>
          <w:rFonts w:eastAsia="Times New Roman" w:cs="Tahoma"/>
          <w:bCs/>
          <w:color w:val="0D0D0D" w:themeColor="text1" w:themeTint="F2"/>
          <w:lang w:eastAsia="es-ES"/>
        </w:rPr>
        <w:t>Por tales motivos, se considera procedente entrar al fondo del presente asunto</w:t>
      </w:r>
      <w:r w:rsidRPr="00471390" w:rsidR="00066B31">
        <w:rPr>
          <w:rFonts w:cs="Tahoma"/>
          <w:lang w:val="es-ES"/>
        </w:rPr>
        <w:t xml:space="preserve">. </w:t>
      </w:r>
    </w:p>
    <w:p w:rsidRPr="00471390" w:rsidR="00066B31" w:rsidP="00A26963" w:rsidRDefault="00066B31" w14:paraId="7F0C6A66" w14:textId="77777777">
      <w:pPr>
        <w:tabs>
          <w:tab w:val="left" w:pos="4962"/>
        </w:tabs>
        <w:spacing w:after="0" w:line="360" w:lineRule="auto"/>
        <w:rPr>
          <w:rFonts w:cs="Tahoma"/>
          <w:lang w:val="es-ES"/>
        </w:rPr>
      </w:pPr>
    </w:p>
    <w:p w:rsidRPr="00471390" w:rsidR="00066B31" w:rsidP="00A26963" w:rsidRDefault="00066B31" w14:paraId="1A5ACCAF" w14:textId="77777777">
      <w:pPr>
        <w:tabs>
          <w:tab w:val="left" w:pos="4962"/>
        </w:tabs>
        <w:spacing w:after="0" w:line="360" w:lineRule="auto"/>
        <w:rPr>
          <w:rFonts w:eastAsia="Calibri" w:cs="Tahoma"/>
          <w:b/>
          <w:iCs/>
          <w:lang w:val="es-ES" w:eastAsia="es-ES_tradnl"/>
        </w:rPr>
      </w:pPr>
      <w:r w:rsidRPr="00471390">
        <w:rPr>
          <w:rFonts w:eastAsia="Calibri" w:cs="Tahoma"/>
          <w:b/>
          <w:iCs/>
          <w:lang w:val="es-ES" w:eastAsia="es-ES_tradnl"/>
        </w:rPr>
        <w:t xml:space="preserve">TERCERO. Determinación de la Controversia. </w:t>
      </w:r>
    </w:p>
    <w:p w:rsidRPr="00471390" w:rsidR="00066B31" w:rsidP="00A26963" w:rsidRDefault="00066B31" w14:paraId="286B1258" w14:textId="77777777">
      <w:pPr>
        <w:spacing w:after="0" w:line="360" w:lineRule="auto"/>
      </w:pPr>
    </w:p>
    <w:p w:rsidRPr="00471390" w:rsidR="00066B31" w:rsidP="00A26963" w:rsidRDefault="00066B31" w14:paraId="2EAB795C" w14:textId="491E15AE">
      <w:pPr>
        <w:tabs>
          <w:tab w:val="left" w:pos="4962"/>
        </w:tabs>
        <w:spacing w:after="0" w:line="360" w:lineRule="auto"/>
        <w:rPr>
          <w:rFonts w:eastAsia="Calibri" w:cs="Tahoma"/>
          <w:iCs/>
          <w:lang w:val="es-ES" w:eastAsia="es-ES_tradnl"/>
        </w:rPr>
      </w:pPr>
      <w:r w:rsidRPr="00471390">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Pr="00471390" w:rsidR="00731799">
        <w:rPr>
          <w:rFonts w:eastAsia="Calibri" w:cs="Tahoma"/>
          <w:iCs/>
          <w:lang w:val="es-ES" w:eastAsia="es-ES_tradnl"/>
        </w:rPr>
        <w:t xml:space="preserve"> </w:t>
      </w:r>
      <w:r w:rsidRPr="00471390" w:rsidR="00B44037">
        <w:rPr>
          <w:rFonts w:eastAsia="Calibri" w:cs="Tahoma"/>
          <w:iCs/>
          <w:lang w:val="es-ES" w:eastAsia="es-ES_tradnl"/>
        </w:rPr>
        <w:t xml:space="preserve">el Manual </w:t>
      </w:r>
      <w:r w:rsidRPr="00471390" w:rsidR="0095014A">
        <w:rPr>
          <w:rFonts w:eastAsia="Calibri" w:cs="Tahoma"/>
          <w:iCs/>
          <w:lang w:val="es-ES" w:eastAsia="es-ES_tradnl"/>
        </w:rPr>
        <w:t xml:space="preserve">de Procedimientos de la Coordinación de Comunicación Social del Sistema Municipal para el Desarrollo Integral de la Familia de </w:t>
      </w:r>
      <w:proofErr w:type="spellStart"/>
      <w:r w:rsidRPr="00471390" w:rsidR="0095014A">
        <w:rPr>
          <w:rFonts w:eastAsia="Calibri" w:cs="Tahoma"/>
          <w:iCs/>
          <w:lang w:val="es-ES" w:eastAsia="es-ES_tradnl"/>
        </w:rPr>
        <w:t>Tlalmanalco</w:t>
      </w:r>
      <w:proofErr w:type="spellEnd"/>
      <w:r w:rsidRPr="00471390" w:rsidR="0095014A">
        <w:rPr>
          <w:rFonts w:eastAsia="Calibri" w:cs="Tahoma"/>
          <w:iCs/>
          <w:lang w:val="es-ES" w:eastAsia="es-ES_tradnl"/>
        </w:rPr>
        <w:t>.</w:t>
      </w:r>
    </w:p>
    <w:p w:rsidRPr="00471390" w:rsidR="00066B31" w:rsidP="00A26963" w:rsidRDefault="00066B31" w14:paraId="035B8B87" w14:textId="77777777">
      <w:pPr>
        <w:tabs>
          <w:tab w:val="left" w:pos="4962"/>
        </w:tabs>
        <w:spacing w:after="0" w:line="360" w:lineRule="auto"/>
        <w:rPr>
          <w:rFonts w:eastAsia="Calibri" w:cs="Tahoma"/>
          <w:iCs/>
          <w:lang w:val="es-ES" w:eastAsia="es-ES_tradnl"/>
        </w:rPr>
      </w:pPr>
    </w:p>
    <w:p w:rsidRPr="00471390" w:rsidR="007D66FA" w:rsidP="00A26963" w:rsidRDefault="007D66FA" w14:paraId="58809B39" w14:textId="77777777">
      <w:pPr>
        <w:tabs>
          <w:tab w:val="left" w:pos="4962"/>
        </w:tabs>
        <w:spacing w:after="0" w:line="360" w:lineRule="auto"/>
        <w:rPr>
          <w:rFonts w:eastAsia="Calibri" w:cs="Tahoma"/>
          <w:iCs/>
          <w:lang w:val="es-ES" w:eastAsia="es-ES_tradnl"/>
        </w:rPr>
      </w:pPr>
    </w:p>
    <w:p w:rsidRPr="00471390" w:rsidR="00193484" w:rsidP="00A26963" w:rsidRDefault="00FE24DD" w14:paraId="6500E22B" w14:textId="18D18D6F">
      <w:pPr>
        <w:autoSpaceDE w:val="0"/>
        <w:autoSpaceDN w:val="0"/>
        <w:adjustRightInd w:val="0"/>
        <w:spacing w:after="0" w:line="360" w:lineRule="auto"/>
        <w:rPr>
          <w:rFonts w:eastAsia="Calibri" w:cs="Tahoma"/>
          <w:color w:val="000000"/>
          <w:sz w:val="20"/>
          <w:szCs w:val="20"/>
          <w:lang w:val="es-ES" w:eastAsia="es-MX"/>
        </w:rPr>
      </w:pPr>
      <w:r w:rsidRPr="00471390">
        <w:rPr>
          <w:rFonts w:cs="Tahoma"/>
          <w:bCs/>
          <w:iCs/>
          <w:lang w:val="es-ES"/>
        </w:rPr>
        <w:t xml:space="preserve">En respuesta, el Sujeto Obligado, a través </w:t>
      </w:r>
      <w:r w:rsidRPr="00471390" w:rsidR="004E2C2D">
        <w:rPr>
          <w:rFonts w:cs="Tahoma"/>
          <w:bCs/>
          <w:iCs/>
          <w:lang w:val="es-ES"/>
        </w:rPr>
        <w:t>de la</w:t>
      </w:r>
      <w:r w:rsidRPr="00471390" w:rsidR="00731799">
        <w:rPr>
          <w:rFonts w:cs="Tahoma"/>
          <w:bCs/>
          <w:iCs/>
          <w:lang w:val="es-ES"/>
        </w:rPr>
        <w:t xml:space="preserve"> </w:t>
      </w:r>
      <w:r w:rsidRPr="00471390" w:rsidR="0095014A">
        <w:rPr>
          <w:rFonts w:cs="Tahoma"/>
          <w:bCs/>
          <w:iCs/>
          <w:lang w:val="es-ES"/>
        </w:rPr>
        <w:t>Coordinación de Comunicación Social del Sistema Municipal para el Desarrollo Integral de la Familia</w:t>
      </w:r>
      <w:r w:rsidRPr="00471390" w:rsidR="004E2C2D">
        <w:rPr>
          <w:rFonts w:cs="Tahoma"/>
          <w:bCs/>
          <w:iCs/>
          <w:lang w:val="es-ES"/>
        </w:rPr>
        <w:t xml:space="preserve">, </w:t>
      </w:r>
      <w:r w:rsidRPr="00471390" w:rsidR="0095014A">
        <w:rPr>
          <w:rFonts w:cs="Tahoma"/>
          <w:bCs/>
          <w:iCs/>
          <w:lang w:val="es-ES"/>
        </w:rPr>
        <w:t xml:space="preserve">precisó que a la fecha de la solicitud utilizaba el procedimiento establecido en el Manual de Procedimientos del Sistema Municipal para el Desarrollo Integral de la Familia del Municipio de </w:t>
      </w:r>
      <w:proofErr w:type="spellStart"/>
      <w:r w:rsidRPr="00471390" w:rsidR="0095014A">
        <w:rPr>
          <w:rFonts w:cs="Tahoma"/>
          <w:bCs/>
          <w:iCs/>
          <w:lang w:val="es-ES"/>
        </w:rPr>
        <w:t>Tlalmanalco</w:t>
      </w:r>
      <w:proofErr w:type="spellEnd"/>
      <w:r w:rsidRPr="00471390" w:rsidR="0095014A">
        <w:rPr>
          <w:rFonts w:cs="Tahoma"/>
          <w:bCs/>
          <w:iCs/>
          <w:lang w:val="es-ES"/>
        </w:rPr>
        <w:t xml:space="preserve"> 2019-2021</w:t>
      </w:r>
      <w:r w:rsidRPr="00471390" w:rsidR="007A4607">
        <w:rPr>
          <w:rFonts w:eastAsia="Calibri" w:cs="Tahoma"/>
          <w:bCs/>
          <w:color w:val="000000"/>
          <w:lang w:val="es-ES_tradnl"/>
        </w:rPr>
        <w:t>; ante tal circunstancia,</w:t>
      </w:r>
      <w:r w:rsidRPr="00471390" w:rsidR="006220B8">
        <w:rPr>
          <w:rFonts w:eastAsia="Calibri" w:cs="Tahoma"/>
          <w:bCs/>
          <w:color w:val="000000"/>
          <w:lang w:val="es-ES_tradnl"/>
        </w:rPr>
        <w:t xml:space="preserve"> el Solicitante </w:t>
      </w:r>
      <w:r w:rsidRPr="00471390" w:rsidR="00B44037">
        <w:rPr>
          <w:rFonts w:eastAsia="Calibri" w:cs="Tahoma"/>
          <w:bCs/>
          <w:color w:val="000000"/>
          <w:lang w:val="es-ES_tradnl"/>
        </w:rPr>
        <w:t xml:space="preserve">se inconformó con la entrega de información </w:t>
      </w:r>
      <w:r w:rsidRPr="00471390" w:rsidR="0095014A">
        <w:rPr>
          <w:rFonts w:eastAsia="Calibri" w:cs="Tahoma"/>
          <w:bCs/>
          <w:color w:val="000000"/>
          <w:lang w:val="es-ES_tradnl"/>
        </w:rPr>
        <w:t>que no corresponde con lo solicitado</w:t>
      </w:r>
      <w:r w:rsidRPr="00471390" w:rsidR="007A4607">
        <w:rPr>
          <w:rFonts w:eastAsia="Calibri" w:cs="Tahoma"/>
          <w:bCs/>
          <w:color w:val="000000"/>
          <w:lang w:val="es-ES_tradnl"/>
        </w:rPr>
        <w:t xml:space="preserve">, al señalar que no </w:t>
      </w:r>
      <w:r w:rsidRPr="00471390" w:rsidR="0095014A">
        <w:rPr>
          <w:rFonts w:eastAsia="Calibri" w:cs="Tahoma"/>
          <w:bCs/>
          <w:color w:val="000000"/>
          <w:lang w:val="es-ES_tradnl"/>
        </w:rPr>
        <w:t>le entregaban el documento actualizado, dado que a la fecha no se había actualizado este</w:t>
      </w:r>
      <w:r w:rsidRPr="00471390" w:rsidR="006220B8">
        <w:rPr>
          <w:rFonts w:eastAsia="Calibri" w:cs="Tahoma"/>
          <w:bCs/>
          <w:color w:val="000000"/>
          <w:lang w:val="es-ES_tradnl"/>
        </w:rPr>
        <w:t xml:space="preserve">, lo cual actualiza la causal de procedencia establecida en el artículo 179, fracción </w:t>
      </w:r>
      <w:r w:rsidRPr="00471390" w:rsidR="00193484">
        <w:rPr>
          <w:rFonts w:eastAsia="Calibri" w:cs="Tahoma"/>
          <w:bCs/>
          <w:color w:val="000000"/>
          <w:lang w:val="es-ES_tradnl"/>
        </w:rPr>
        <w:t>V</w:t>
      </w:r>
      <w:r w:rsidRPr="00471390" w:rsidR="0095014A">
        <w:rPr>
          <w:rFonts w:eastAsia="Calibri" w:cs="Tahoma"/>
          <w:bCs/>
          <w:color w:val="000000"/>
          <w:lang w:val="es-ES_tradnl"/>
        </w:rPr>
        <w:t>I</w:t>
      </w:r>
      <w:r w:rsidRPr="00471390" w:rsidR="006220B8">
        <w:rPr>
          <w:rFonts w:eastAsia="Calibri" w:cs="Tahoma"/>
          <w:bCs/>
          <w:color w:val="000000"/>
          <w:lang w:val="es-ES_tradnl"/>
        </w:rPr>
        <w:t>, de la Ley de Transparencia y Acceso a la Información Pública del Estado de México y Municipios.</w:t>
      </w:r>
      <w:r w:rsidRPr="00471390" w:rsidR="006220B8">
        <w:rPr>
          <w:rFonts w:eastAsia="Times New Roman" w:cs="Tahoma"/>
          <w:color w:val="000000"/>
          <w:lang w:eastAsia="es-ES"/>
        </w:rPr>
        <w:t xml:space="preserve"> </w:t>
      </w:r>
      <w:r w:rsidRPr="00471390" w:rsidR="00193484">
        <w:rPr>
          <w:rFonts w:eastAsia="Times New Roman" w:cs="Times New Roman"/>
          <w:color w:val="000000"/>
          <w:lang w:eastAsia="es-ES_tradnl"/>
        </w:rPr>
        <w:t>Así las cosas, una vez interpuesto y notificado el Recurso de Revisión a las partes,</w:t>
      </w:r>
      <w:r w:rsidRPr="00471390" w:rsidR="00193484">
        <w:rPr>
          <w:rFonts w:eastAsia="Times New Roman" w:cs="Tahoma"/>
          <w:iCs/>
          <w:color w:val="auto"/>
          <w:lang w:val="es-ES" w:eastAsia="es-ES"/>
        </w:rPr>
        <w:t xml:space="preserve"> </w:t>
      </w:r>
      <w:r w:rsidRPr="00471390" w:rsidR="0095014A">
        <w:rPr>
          <w:rFonts w:eastAsia="Times New Roman" w:cs="Tahoma"/>
          <w:iCs/>
          <w:color w:val="auto"/>
          <w:lang w:val="es-ES" w:eastAsia="es-ES"/>
        </w:rPr>
        <w:t>estas fueron omisas en emitir manifestaciones o alegatos.</w:t>
      </w:r>
    </w:p>
    <w:p w:rsidRPr="00471390" w:rsidR="00193484" w:rsidP="00A26963" w:rsidRDefault="00193484" w14:paraId="6DF16EC0" w14:textId="77777777">
      <w:pPr>
        <w:autoSpaceDE w:val="0"/>
        <w:autoSpaceDN w:val="0"/>
        <w:adjustRightInd w:val="0"/>
        <w:spacing w:after="0" w:line="360" w:lineRule="auto"/>
        <w:ind w:left="360"/>
        <w:rPr>
          <w:rFonts w:eastAsia="Calibri" w:cs="Tahoma"/>
          <w:color w:val="000000"/>
          <w:szCs w:val="20"/>
          <w:lang w:val="es-ES" w:eastAsia="es-MX"/>
        </w:rPr>
      </w:pPr>
    </w:p>
    <w:p w:rsidRPr="00471390" w:rsidR="00193484" w:rsidP="00A26963" w:rsidRDefault="00193484" w14:paraId="6232ACF7" w14:textId="435E0695">
      <w:pPr>
        <w:spacing w:after="0" w:line="360" w:lineRule="auto"/>
        <w:rPr>
          <w:rFonts w:eastAsia="Times New Roman" w:cs="Tahoma"/>
          <w:iCs/>
          <w:color w:val="auto"/>
          <w:lang w:val="es-ES" w:eastAsia="es-ES"/>
        </w:rPr>
      </w:pPr>
      <w:r w:rsidRPr="00471390">
        <w:rPr>
          <w:rFonts w:eastAsia="Times New Roman" w:cs="Tahoma"/>
          <w:iCs/>
          <w:color w:val="auto"/>
          <w:lang w:val="es-ES" w:eastAsia="es-ES"/>
        </w:rPr>
        <w:t xml:space="preserve">Lo anterior, se desprende de las documentales que obran en el expediente de referencia, materia de la presente resolución, consistentes en la solicitud de acceso a la información; la respuesta del </w:t>
      </w:r>
      <w:r w:rsidRPr="00471390" w:rsidR="00B62E7D">
        <w:rPr>
          <w:rFonts w:eastAsia="Calibri" w:cs="Tahoma"/>
          <w:bCs/>
          <w:color w:val="auto"/>
        </w:rPr>
        <w:t>Sujeto Obligado</w:t>
      </w:r>
      <w:r w:rsidRPr="00471390">
        <w:rPr>
          <w:rFonts w:eastAsia="Calibri" w:cs="Tahoma"/>
          <w:color w:val="auto"/>
        </w:rPr>
        <w:t xml:space="preserve">; el escrito </w:t>
      </w:r>
      <w:proofErr w:type="spellStart"/>
      <w:r w:rsidRPr="00471390">
        <w:rPr>
          <w:rFonts w:eastAsia="Calibri" w:cs="Tahoma"/>
          <w:color w:val="auto"/>
        </w:rPr>
        <w:t>recursal</w:t>
      </w:r>
      <w:proofErr w:type="spellEnd"/>
      <w:r w:rsidRPr="00471390">
        <w:rPr>
          <w:rFonts w:eastAsia="Times New Roman" w:cs="Tahoma"/>
          <w:iCs/>
          <w:color w:val="auto"/>
          <w:lang w:val="es-ES" w:eastAsia="es-ES"/>
        </w:rPr>
        <w:t xml:space="preserve">, y el Informe con Justificación, instrumentales que se toman en cuenta a efecto de resolver el presente medio de impugnación, conforme a lo dispuesto por el artículo 185, fracción IV, de la Ley de Transparencia y Acceso a la Información Pública del Estado de México y Municipios. </w:t>
      </w:r>
    </w:p>
    <w:p w:rsidRPr="00471390" w:rsidR="00066B31" w:rsidP="00A26963" w:rsidRDefault="00066B31" w14:paraId="436F8DAB" w14:textId="77777777">
      <w:pPr>
        <w:tabs>
          <w:tab w:val="left" w:pos="4962"/>
        </w:tabs>
        <w:spacing w:after="0" w:line="360" w:lineRule="auto"/>
        <w:rPr>
          <w:rFonts w:eastAsia="Calibri" w:cs="Tahoma"/>
          <w:bCs/>
        </w:rPr>
      </w:pPr>
    </w:p>
    <w:p w:rsidRPr="00471390" w:rsidR="00066B31" w:rsidP="00A26963" w:rsidRDefault="00066B31" w14:paraId="299AB0F0" w14:textId="77777777">
      <w:pPr>
        <w:spacing w:after="0" w:line="360" w:lineRule="auto"/>
        <w:rPr>
          <w:rFonts w:cs="Tahoma"/>
          <w:b/>
        </w:rPr>
      </w:pPr>
      <w:r w:rsidRPr="00471390">
        <w:rPr>
          <w:rFonts w:cs="Tahoma"/>
          <w:b/>
          <w:lang w:val="es-ES"/>
        </w:rPr>
        <w:t xml:space="preserve">CUARTO. </w:t>
      </w:r>
      <w:r w:rsidRPr="00471390">
        <w:rPr>
          <w:rFonts w:cs="Tahoma"/>
          <w:b/>
        </w:rPr>
        <w:t>Marco normativo aplicable en materia de transparencia y acceso a la información pública.</w:t>
      </w:r>
    </w:p>
    <w:p w:rsidRPr="00471390" w:rsidR="00066B31" w:rsidP="00A26963" w:rsidRDefault="00066B31" w14:paraId="2E82BC88" w14:textId="77777777">
      <w:pPr>
        <w:spacing w:after="0" w:line="360" w:lineRule="auto"/>
        <w:rPr>
          <w:rFonts w:cs="Tahoma"/>
          <w:b/>
        </w:rPr>
      </w:pPr>
    </w:p>
    <w:p w:rsidRPr="00471390" w:rsidR="00066B31" w:rsidP="00A26963" w:rsidRDefault="00066B31" w14:paraId="688782F9" w14:textId="77777777">
      <w:pPr>
        <w:widowControl w:val="0"/>
        <w:spacing w:after="0" w:line="360" w:lineRule="auto"/>
        <w:rPr>
          <w:rFonts w:eastAsia="Times New Roman" w:cs="Tahoma"/>
          <w:lang w:eastAsia="es-MX"/>
        </w:rPr>
      </w:pPr>
      <w:r w:rsidRPr="00471390">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71390" w:rsidR="00066B31" w:rsidP="00A26963" w:rsidRDefault="00066B31" w14:paraId="31B874EE" w14:textId="77777777">
      <w:pPr>
        <w:widowControl w:val="0"/>
        <w:spacing w:after="0" w:line="360" w:lineRule="auto"/>
        <w:rPr>
          <w:rFonts w:eastAsia="Times New Roman" w:cs="Tahoma"/>
          <w:lang w:eastAsia="es-MX"/>
        </w:rPr>
      </w:pPr>
    </w:p>
    <w:p w:rsidRPr="00471390" w:rsidR="007D66FA" w:rsidP="00A26963" w:rsidRDefault="007D66FA" w14:paraId="58CFCE25" w14:textId="77777777">
      <w:pPr>
        <w:widowControl w:val="0"/>
        <w:spacing w:after="0" w:line="360" w:lineRule="auto"/>
        <w:rPr>
          <w:rFonts w:eastAsia="Times New Roman" w:cs="Tahoma"/>
          <w:lang w:eastAsia="es-MX"/>
        </w:rPr>
      </w:pPr>
    </w:p>
    <w:p w:rsidRPr="00471390" w:rsidR="00066B31" w:rsidP="00A26963" w:rsidRDefault="00066B31" w14:paraId="0C6AAC93" w14:textId="77777777">
      <w:pPr>
        <w:widowControl w:val="0"/>
        <w:spacing w:after="0" w:line="360" w:lineRule="auto"/>
        <w:rPr>
          <w:rFonts w:eastAsia="Times New Roman" w:cs="Tahoma"/>
          <w:lang w:eastAsia="es-MX"/>
        </w:rPr>
      </w:pPr>
      <w:r w:rsidRPr="00471390">
        <w:rPr>
          <w:rFonts w:eastAsia="Times New Roman" w:cs="Tahoma"/>
          <w:lang w:eastAsia="es-MX"/>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71390" w:rsidR="00066B31" w:rsidP="00A26963" w:rsidRDefault="00066B31" w14:paraId="736B3C45" w14:textId="77777777">
      <w:pPr>
        <w:widowControl w:val="0"/>
        <w:spacing w:after="0" w:line="360" w:lineRule="auto"/>
        <w:rPr>
          <w:rFonts w:eastAsia="Times New Roman" w:cs="Tahoma"/>
          <w:lang w:eastAsia="es-MX"/>
        </w:rPr>
      </w:pPr>
    </w:p>
    <w:p w:rsidRPr="00471390" w:rsidR="00066B31" w:rsidP="00A26963" w:rsidRDefault="00066B31" w14:paraId="73F41E19" w14:textId="77777777">
      <w:pPr>
        <w:spacing w:after="0" w:line="360" w:lineRule="auto"/>
        <w:rPr>
          <w:rFonts w:eastAsia="Times New Roman" w:cs="Tahoma"/>
          <w:lang w:eastAsia="es-MX"/>
        </w:rPr>
      </w:pPr>
      <w:r w:rsidRPr="00471390">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71390" w:rsidR="00066B31" w:rsidP="00A26963" w:rsidRDefault="00066B31" w14:paraId="773388CF" w14:textId="77777777">
      <w:pPr>
        <w:widowControl w:val="0"/>
        <w:spacing w:after="0" w:line="360" w:lineRule="auto"/>
        <w:rPr>
          <w:rFonts w:eastAsia="Times New Roman" w:cs="Tahoma"/>
          <w:lang w:eastAsia="es-MX"/>
        </w:rPr>
      </w:pPr>
    </w:p>
    <w:p w:rsidRPr="00471390" w:rsidR="00066B31" w:rsidP="00A26963" w:rsidRDefault="00066B31" w14:paraId="0F14646A" w14:textId="77777777">
      <w:pPr>
        <w:widowControl w:val="0"/>
        <w:spacing w:after="0" w:line="360" w:lineRule="auto"/>
        <w:rPr>
          <w:rFonts w:eastAsia="Times New Roman" w:cs="Tahoma"/>
          <w:lang w:eastAsia="es-MX"/>
        </w:rPr>
      </w:pPr>
      <w:r w:rsidRPr="00471390">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471390" w:rsidR="00066B31" w:rsidP="00A26963" w:rsidRDefault="00066B31" w14:paraId="1C5CE9B0" w14:textId="7A498C63">
      <w:pPr>
        <w:widowControl w:val="0"/>
        <w:spacing w:after="0" w:line="360" w:lineRule="auto"/>
        <w:rPr>
          <w:rFonts w:eastAsia="Times New Roman" w:cs="Tahoma"/>
          <w:lang w:eastAsia="es-MX"/>
        </w:rPr>
      </w:pPr>
    </w:p>
    <w:p w:rsidRPr="00471390" w:rsidR="00066B31" w:rsidP="00A26963" w:rsidRDefault="00066B31" w14:paraId="337DBABD" w14:textId="77777777">
      <w:pPr>
        <w:widowControl w:val="0"/>
        <w:spacing w:after="0" w:line="360" w:lineRule="auto"/>
        <w:rPr>
          <w:rFonts w:eastAsia="Times New Roman" w:cs="Tahoma"/>
          <w:lang w:eastAsia="es-MX"/>
        </w:rPr>
      </w:pPr>
      <w:r w:rsidRPr="00471390">
        <w:rPr>
          <w:rFonts w:eastAsia="Times New Roman" w:cs="Tahoma"/>
          <w:lang w:eastAsia="es-MX"/>
        </w:rPr>
        <w:t>El artículo 12, que, quienes generen, recopilen, administren, manejen, procesen, archiven o conserven información pública serán responsables de la misma.</w:t>
      </w:r>
    </w:p>
    <w:p w:rsidRPr="00471390" w:rsidR="00066B31" w:rsidP="00A26963" w:rsidRDefault="00066B31" w14:paraId="7971A82B" w14:textId="77777777">
      <w:pPr>
        <w:widowControl w:val="0"/>
        <w:spacing w:after="0" w:line="360" w:lineRule="auto"/>
        <w:rPr>
          <w:rFonts w:eastAsia="Times New Roman" w:cs="Tahoma"/>
          <w:lang w:eastAsia="es-MX"/>
        </w:rPr>
      </w:pPr>
    </w:p>
    <w:p w:rsidRPr="00471390" w:rsidR="00066B31" w:rsidP="00A26963" w:rsidRDefault="00066B31" w14:paraId="184D6CB7" w14:textId="77777777">
      <w:pPr>
        <w:widowControl w:val="0"/>
        <w:spacing w:after="0" w:line="360" w:lineRule="auto"/>
        <w:rPr>
          <w:rFonts w:eastAsia="Times New Roman" w:cs="Tahoma"/>
          <w:lang w:eastAsia="es-MX"/>
        </w:rPr>
      </w:pPr>
      <w:r w:rsidRPr="00471390">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71390" w:rsidR="00066B31" w:rsidP="00A26963" w:rsidRDefault="00066B31" w14:paraId="6D505BF4" w14:textId="77777777">
      <w:pPr>
        <w:widowControl w:val="0"/>
        <w:spacing w:after="0" w:line="360" w:lineRule="auto"/>
        <w:rPr>
          <w:rFonts w:eastAsia="Times New Roman" w:cs="Tahoma"/>
          <w:lang w:eastAsia="es-MX"/>
        </w:rPr>
      </w:pPr>
    </w:p>
    <w:p w:rsidRPr="00471390" w:rsidR="00066B31" w:rsidP="00A26963" w:rsidRDefault="00066B31" w14:paraId="3EE497AD" w14:textId="77777777">
      <w:pPr>
        <w:widowControl w:val="0"/>
        <w:spacing w:after="0" w:line="360" w:lineRule="auto"/>
        <w:rPr>
          <w:rFonts w:eastAsia="Times New Roman" w:cs="Tahoma"/>
          <w:lang w:eastAsia="es-MX"/>
        </w:rPr>
      </w:pPr>
      <w:r w:rsidRPr="00471390">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71390" w:rsidR="00EF5D50" w:rsidP="00A26963" w:rsidRDefault="00EF5D50" w14:paraId="070EDB00" w14:textId="77777777">
      <w:pPr>
        <w:widowControl w:val="0"/>
        <w:spacing w:after="0" w:line="360" w:lineRule="auto"/>
        <w:rPr>
          <w:rFonts w:eastAsia="Times New Roman" w:cs="Tahoma"/>
          <w:lang w:eastAsia="es-MX"/>
        </w:rPr>
      </w:pPr>
    </w:p>
    <w:p w:rsidRPr="00471390" w:rsidR="0095014A" w:rsidP="00A26963" w:rsidRDefault="0095014A" w14:paraId="67042E04" w14:textId="77777777">
      <w:pPr>
        <w:spacing w:after="0" w:line="360" w:lineRule="auto"/>
        <w:rPr>
          <w:rFonts w:eastAsia="Times New Roman" w:cs="Tahoma"/>
          <w:color w:val="auto"/>
          <w:lang w:eastAsia="es-ES"/>
        </w:rPr>
      </w:pPr>
      <w:r w:rsidRPr="00471390">
        <w:rPr>
          <w:rFonts w:eastAsia="Times New Roman" w:cs="Tahoma"/>
          <w:color w:val="auto"/>
          <w:lang w:eastAsia="es-ES"/>
        </w:rPr>
        <w:lastRenderedPageBreak/>
        <w:t>El artículo 92, detalla la información que corresponde a las Obligaciones Comunes de Transparencia, de las que destaca la contenida en la fracción I, concerniente al marco normativo aplicable al Sujeto Obligado, que incluya los manuales de organización y procedimientos.</w:t>
      </w:r>
    </w:p>
    <w:p w:rsidRPr="00471390" w:rsidR="0095014A" w:rsidP="00A26963" w:rsidRDefault="0095014A" w14:paraId="26663582" w14:textId="77777777">
      <w:pPr>
        <w:spacing w:after="0" w:line="360" w:lineRule="auto"/>
        <w:rPr>
          <w:rFonts w:eastAsia="Times New Roman" w:cs="Tahoma"/>
          <w:b/>
          <w:lang w:val="es-ES" w:eastAsia="es-ES"/>
        </w:rPr>
      </w:pPr>
    </w:p>
    <w:p w:rsidRPr="00471390" w:rsidR="00066B31" w:rsidP="00A26963" w:rsidRDefault="00066B31" w14:paraId="078B2F21" w14:textId="77777777">
      <w:pPr>
        <w:spacing w:after="0" w:line="360" w:lineRule="auto"/>
        <w:rPr>
          <w:rFonts w:eastAsia="Times New Roman" w:cs="Tahoma"/>
          <w:b/>
          <w:lang w:val="es-ES" w:eastAsia="es-ES"/>
        </w:rPr>
      </w:pPr>
      <w:r w:rsidRPr="00471390">
        <w:rPr>
          <w:rFonts w:eastAsia="Times New Roman" w:cs="Tahoma"/>
          <w:b/>
          <w:lang w:val="es-ES" w:eastAsia="es-ES"/>
        </w:rPr>
        <w:t>QUINTO. Estudio de Fondo.</w:t>
      </w:r>
    </w:p>
    <w:p w:rsidRPr="00471390" w:rsidR="00610C0E" w:rsidP="00A26963" w:rsidRDefault="00610C0E" w14:paraId="1138C427" w14:textId="77777777">
      <w:pPr>
        <w:spacing w:after="0" w:line="360" w:lineRule="auto"/>
        <w:rPr>
          <w:rFonts w:eastAsia="Times New Roman" w:cs="Tahoma"/>
          <w:b/>
          <w:lang w:val="es-ES" w:eastAsia="es-ES"/>
        </w:rPr>
      </w:pPr>
    </w:p>
    <w:p w:rsidRPr="00471390" w:rsidR="00A158AB" w:rsidP="00A26963" w:rsidRDefault="00066B31" w14:paraId="30B3A515" w14:textId="459FD647">
      <w:pPr>
        <w:spacing w:after="0" w:line="360" w:lineRule="auto"/>
        <w:rPr>
          <w:rFonts w:eastAsia="Times New Roman" w:cs="Times New Roman"/>
          <w:color w:val="auto"/>
          <w:lang w:eastAsia="es-ES"/>
        </w:rPr>
      </w:pPr>
      <w:r w:rsidRPr="00471390">
        <w:rPr>
          <w:rFonts w:eastAsia="Times New Roman" w:cs="Tahoma"/>
          <w:lang w:eastAsia="es-MX"/>
        </w:rPr>
        <w:t xml:space="preserve">Expuestas las posturas de las partes, se procede al análisis del agravio hecho valer por el ahora Recurrente, concerniente </w:t>
      </w:r>
      <w:r w:rsidRPr="00471390" w:rsidR="00062470">
        <w:rPr>
          <w:rFonts w:eastAsia="Times New Roman" w:cs="Tahoma"/>
          <w:lang w:eastAsia="es-MX"/>
        </w:rPr>
        <w:t xml:space="preserve">a la entrega de información </w:t>
      </w:r>
      <w:r w:rsidRPr="00471390" w:rsidR="003B1463">
        <w:rPr>
          <w:rFonts w:eastAsia="Times New Roman" w:cs="Tahoma"/>
          <w:lang w:eastAsia="es-MX"/>
        </w:rPr>
        <w:t>que no corresponde con lo solicitado</w:t>
      </w:r>
      <w:r w:rsidRPr="00471390" w:rsidR="00A158AB">
        <w:rPr>
          <w:rFonts w:eastAsia="Times New Roman" w:cs="Tahoma"/>
          <w:lang w:eastAsia="es-MX"/>
        </w:rPr>
        <w:t xml:space="preserve">; </w:t>
      </w:r>
      <w:r w:rsidRPr="00471390" w:rsidR="00A158AB">
        <w:rPr>
          <w:rFonts w:eastAsia="Times New Roman" w:cs="Times New Roman"/>
          <w:color w:val="auto"/>
          <w:lang w:eastAsia="es-ES"/>
        </w:rPr>
        <w:t>sin embargo, para realizar dicha acción, en principio es necesario contextualizar la solicitud de información</w:t>
      </w:r>
      <w:r w:rsidRPr="00471390" w:rsidR="00C20AC6">
        <w:rPr>
          <w:rFonts w:eastAsia="Times New Roman" w:cs="Times New Roman"/>
          <w:color w:val="auto"/>
          <w:lang w:eastAsia="es-ES"/>
        </w:rPr>
        <w:t xml:space="preserve"> respecto a</w:t>
      </w:r>
      <w:r w:rsidRPr="00471390" w:rsidR="002736D7">
        <w:t xml:space="preserve"> </w:t>
      </w:r>
      <w:r w:rsidRPr="00471390" w:rsidR="002736D7">
        <w:rPr>
          <w:rFonts w:eastAsia="Times New Roman" w:cs="Times New Roman"/>
          <w:color w:val="auto"/>
          <w:lang w:eastAsia="es-ES"/>
        </w:rPr>
        <w:t xml:space="preserve">el Manual </w:t>
      </w:r>
      <w:r w:rsidRPr="00471390" w:rsidR="003B1463">
        <w:rPr>
          <w:rFonts w:eastAsia="Times New Roman" w:cs="Times New Roman"/>
          <w:color w:val="auto"/>
          <w:lang w:eastAsia="es-ES"/>
        </w:rPr>
        <w:t>de Procedimientos de un área del Sistema Municipal para el Desarrollo Integral de la Familia del Sujeto Obligado.</w:t>
      </w:r>
    </w:p>
    <w:p w:rsidRPr="00471390" w:rsidR="009A2B1A" w:rsidP="00A26963" w:rsidRDefault="009A2B1A" w14:paraId="24A5EA16" w14:textId="77777777">
      <w:pPr>
        <w:spacing w:after="0" w:line="360" w:lineRule="auto"/>
        <w:rPr>
          <w:rFonts w:eastAsia="Times New Roman" w:cs="Tahoma"/>
          <w:b/>
          <w:bCs/>
          <w:iCs/>
          <w:color w:val="auto"/>
          <w:lang w:eastAsia="es-MX"/>
        </w:rPr>
      </w:pPr>
    </w:p>
    <w:p w:rsidRPr="00471390" w:rsidR="003B1463" w:rsidP="00A26963" w:rsidRDefault="006F21BE" w14:paraId="539DB872" w14:textId="795D1E3D">
      <w:pPr>
        <w:spacing w:after="0" w:line="360" w:lineRule="auto"/>
      </w:pPr>
      <w:r w:rsidRPr="00471390">
        <w:rPr>
          <w:rFonts w:eastAsia="Times New Roman" w:cs="Tahoma"/>
          <w:bCs/>
          <w:iCs/>
          <w:color w:val="auto"/>
          <w:lang w:eastAsia="es-MX"/>
        </w:rPr>
        <w:t xml:space="preserve">En principio, </w:t>
      </w:r>
      <w:r w:rsidRPr="00471390">
        <w:t xml:space="preserve">la </w:t>
      </w:r>
      <w:r w:rsidRPr="00471390" w:rsidR="003B1463">
        <w:t>Guía Técnica para la Elaboración de Manuales de Procedimientos, traído por analogía, precisa que las instituciones públicas cuentan con diversos procedimientos administrativos (plan o método de trabajo que establece una sucesión cronológica de operaciones relacionadas entre sí, que tienen como propósito la realización de una actividad o tarea específica) para la ejecución de las funciones que tienen encomendadas, así como, para la obtención de los resultados establecidos en los programas operativos de trabajo.</w:t>
      </w:r>
    </w:p>
    <w:p w:rsidRPr="00471390" w:rsidR="003B1463" w:rsidP="00A26963" w:rsidRDefault="003B1463" w14:paraId="6B280538" w14:textId="77777777">
      <w:pPr>
        <w:spacing w:after="0" w:line="360" w:lineRule="auto"/>
      </w:pPr>
    </w:p>
    <w:p w:rsidRPr="00471390" w:rsidR="003B1463" w:rsidP="00A26963" w:rsidRDefault="003B1463" w14:paraId="045E15C1" w14:textId="4EC93D2F">
      <w:pPr>
        <w:spacing w:after="0" w:line="360" w:lineRule="auto"/>
      </w:pPr>
      <w:r w:rsidRPr="00471390">
        <w:t>Además, precisa que las unidades administrativas deben documentar sus procedimientos; los cuales, se deben agrupar en una carpeta denominada Manual de Procedimientos, es decir, dicho documento constituy</w:t>
      </w:r>
      <w:r w:rsidRPr="00471390" w:rsidR="004048FC">
        <w:t>e un instrumento administrativo, que contiene la descripción de las actividades y métodos de trabajo como partes de la misma.</w:t>
      </w:r>
    </w:p>
    <w:p w:rsidRPr="00471390" w:rsidR="004048FC" w:rsidP="00A26963" w:rsidRDefault="004048FC" w14:paraId="21A4EA9D" w14:textId="77777777">
      <w:pPr>
        <w:spacing w:after="0" w:line="360" w:lineRule="auto"/>
      </w:pPr>
    </w:p>
    <w:p w:rsidRPr="00471390" w:rsidR="004048FC" w:rsidP="00A26963" w:rsidRDefault="004048FC" w14:paraId="193D1E1A" w14:textId="0FCD24ED">
      <w:pPr>
        <w:spacing w:after="0" w:line="360" w:lineRule="auto"/>
      </w:pPr>
      <w:r w:rsidRPr="00471390">
        <w:t xml:space="preserve">En otras palabras, el Manual de Procedimientos es un documento administrativo que contiene información relacionada con el conjunto de operaciones o actividades que deben realizarse de manera secuencial y cronológica para dar cumplimiento a una función que coadyuve a la </w:t>
      </w:r>
      <w:r w:rsidRPr="00471390">
        <w:lastRenderedPageBreak/>
        <w:t>generación de bienes o servicios, por lo cual considera a las unidades administrativas y puestos de carácter interno o externo que intervienen en los procesos de trabajo.</w:t>
      </w:r>
    </w:p>
    <w:p w:rsidRPr="00471390" w:rsidR="003B1463" w:rsidP="00A26963" w:rsidRDefault="003B1463" w14:paraId="465D1771" w14:textId="77777777">
      <w:pPr>
        <w:spacing w:after="0" w:line="360" w:lineRule="auto"/>
      </w:pPr>
    </w:p>
    <w:p w:rsidRPr="00471390" w:rsidR="003B1463" w:rsidP="00A26963" w:rsidRDefault="004048FC" w14:paraId="7C591580" w14:textId="28AC5772">
      <w:pPr>
        <w:spacing w:after="0" w:line="360" w:lineRule="auto"/>
      </w:pPr>
      <w:r w:rsidRPr="00471390">
        <w:t>En ese orden de ideas</w:t>
      </w:r>
      <w:r w:rsidRPr="00471390" w:rsidR="00313309">
        <w:t xml:space="preserve">, el artículo 33 del Bando Municipal de </w:t>
      </w:r>
      <w:proofErr w:type="spellStart"/>
      <w:r w:rsidRPr="00471390" w:rsidR="00313309">
        <w:t>Tlalmanalco</w:t>
      </w:r>
      <w:proofErr w:type="spellEnd"/>
      <w:r w:rsidRPr="00471390" w:rsidR="00313309">
        <w:t xml:space="preserve">, dos mil veintitrés, establece que el Sujeto Obligado para el cumplimiento de sus funciones, se integrará de diversos organismos públicos descentralizados, entre los cuáles se encuentra  </w:t>
      </w:r>
    </w:p>
    <w:p w:rsidRPr="00471390" w:rsidR="004048FC" w:rsidP="00A26963" w:rsidRDefault="004048FC" w14:paraId="5DDA5C87" w14:textId="77777777">
      <w:pPr>
        <w:spacing w:after="0" w:line="360" w:lineRule="auto"/>
      </w:pPr>
    </w:p>
    <w:p w:rsidRPr="00471390" w:rsidR="004048FC" w:rsidP="00A26963" w:rsidRDefault="004048FC" w14:paraId="6A2748A9" w14:textId="2463846F">
      <w:pPr>
        <w:spacing w:after="0" w:line="360" w:lineRule="auto"/>
      </w:pPr>
      <w:r w:rsidRPr="00471390">
        <w:t xml:space="preserve">Además, el Manual de Organización del Sistema Municipal para el Desarrollo Integral de la Familia del Municipio de </w:t>
      </w:r>
      <w:proofErr w:type="spellStart"/>
      <w:r w:rsidRPr="00471390">
        <w:t>T</w:t>
      </w:r>
      <w:r w:rsidRPr="00471390" w:rsidR="00313309">
        <w:t>lalmanalco</w:t>
      </w:r>
      <w:proofErr w:type="spellEnd"/>
      <w:r w:rsidRPr="00471390" w:rsidR="006D5F1C">
        <w:t>, 2019-2021</w:t>
      </w:r>
      <w:r w:rsidRPr="00471390" w:rsidR="00313309">
        <w:t xml:space="preserve">, que precisa que el Sistema Municipal para el Desarrollo Integral de la </w:t>
      </w:r>
      <w:r w:rsidRPr="00471390" w:rsidR="006D5F1C">
        <w:t>familia, cuyo labor es promover el desarrollo integral de las familias del Municipio, así como, de grupos en situación de vulnerabilidad, por medio de programas preventivos y formativos que promuevan valores y encaucen el fortalecimiento del tejido social.</w:t>
      </w:r>
    </w:p>
    <w:p w:rsidRPr="00471390" w:rsidR="003B1463" w:rsidP="00A26963" w:rsidRDefault="003B1463" w14:paraId="03243643" w14:textId="0DF8B4F3">
      <w:pPr>
        <w:spacing w:after="0" w:line="360" w:lineRule="auto"/>
      </w:pPr>
    </w:p>
    <w:p w:rsidRPr="00471390" w:rsidR="006D5F1C" w:rsidP="00A26963" w:rsidRDefault="006D5F1C" w14:paraId="19428B59" w14:textId="1DCA0EA7">
      <w:pPr>
        <w:spacing w:after="0" w:line="360" w:lineRule="auto"/>
      </w:pPr>
      <w:r w:rsidRPr="00471390">
        <w:t xml:space="preserve">En ese sentido, dicho ordenamiento administrativo y los artículos 26, fracción XIV, y 41 del Reglamento Interno del Sistema Municipal para el Desarrollo Integral de la Familia del Municipio de </w:t>
      </w:r>
      <w:proofErr w:type="spellStart"/>
      <w:r w:rsidRPr="00471390">
        <w:t>Tlalmanalco</w:t>
      </w:r>
      <w:proofErr w:type="spellEnd"/>
      <w:r w:rsidRPr="00471390">
        <w:t xml:space="preserve">, 2019-2021, precisa que dicho Organismo Descentralizado, cuenta con la Coordinación de Comunicación Social. Situación, que se robustece con la fracción II A, del Portal de Información Pública de Oficio Mexiquense de </w:t>
      </w:r>
      <w:proofErr w:type="spellStart"/>
      <w:r w:rsidRPr="00471390">
        <w:t>Tlalmanalco</w:t>
      </w:r>
      <w:proofErr w:type="spellEnd"/>
      <w:r w:rsidRPr="00471390">
        <w:t>, tal como se muestra a continuación:</w:t>
      </w:r>
    </w:p>
    <w:p w:rsidRPr="00471390" w:rsidR="006D5F1C" w:rsidP="00A26963" w:rsidRDefault="006D5F1C" w14:paraId="6BA0EBCA" w14:textId="77777777">
      <w:pPr>
        <w:spacing w:after="0" w:line="360" w:lineRule="auto"/>
      </w:pPr>
    </w:p>
    <w:p w:rsidRPr="00471390" w:rsidR="006D5F1C" w:rsidP="00A26963" w:rsidRDefault="006D5F1C" w14:paraId="17829D65" w14:textId="7C725717">
      <w:pPr>
        <w:spacing w:after="0" w:line="360" w:lineRule="auto"/>
        <w:jc w:val="center"/>
      </w:pPr>
      <w:r w:rsidRPr="00471390">
        <w:rPr>
          <w:noProof/>
          <w:lang w:eastAsia="es-MX"/>
        </w:rPr>
        <w:drawing>
          <wp:inline distT="0" distB="0" distL="0" distR="0" wp14:anchorId="4983FA13" wp14:editId="48B48181">
            <wp:extent cx="3184769" cy="15525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4405"/>
                    <a:stretch/>
                  </pic:blipFill>
                  <pic:spPr bwMode="auto">
                    <a:xfrm>
                      <a:off x="0" y="0"/>
                      <a:ext cx="3230430" cy="1574835"/>
                    </a:xfrm>
                    <a:prstGeom prst="rect">
                      <a:avLst/>
                    </a:prstGeom>
                    <a:ln>
                      <a:noFill/>
                    </a:ln>
                    <a:extLst>
                      <a:ext uri="{53640926-AAD7-44D8-BBD7-CCE9431645EC}">
                        <a14:shadowObscured xmlns:a14="http://schemas.microsoft.com/office/drawing/2010/main"/>
                      </a:ext>
                    </a:extLst>
                  </pic:spPr>
                </pic:pic>
              </a:graphicData>
            </a:graphic>
          </wp:inline>
        </w:drawing>
      </w:r>
    </w:p>
    <w:p w:rsidRPr="00471390" w:rsidR="006D5F1C" w:rsidP="00A26963" w:rsidRDefault="007D66FA" w14:paraId="18DC4ADA" w14:textId="37DC10CE">
      <w:pPr>
        <w:spacing w:after="0" w:line="360" w:lineRule="auto"/>
      </w:pPr>
      <w:r w:rsidRPr="00471390">
        <w:lastRenderedPageBreak/>
        <w:t xml:space="preserve">Conforme a lo anterior, se logra vislumbrar que la pretensión del Recurrente es obtener el Manual de Procedimientos de la Coordinación de Comunicación Social del Sistema Municipal para el Desarrollo Integral de la Familia de </w:t>
      </w:r>
      <w:proofErr w:type="spellStart"/>
      <w:r w:rsidRPr="00471390">
        <w:t>Tlalmanalco</w:t>
      </w:r>
      <w:proofErr w:type="spellEnd"/>
      <w:r w:rsidRPr="00471390">
        <w:t>, vigente a la fecha de la solicitud, es decir, al catorce de abril de dos mil veintitrés.</w:t>
      </w:r>
    </w:p>
    <w:p w:rsidRPr="00471390" w:rsidR="00257CCF" w:rsidP="00A26963" w:rsidRDefault="00257CCF" w14:paraId="2AC3E953" w14:textId="77777777">
      <w:pPr>
        <w:spacing w:after="0" w:line="360" w:lineRule="auto"/>
      </w:pPr>
    </w:p>
    <w:p w:rsidRPr="00471390" w:rsidR="00B452C5" w:rsidP="00A26963" w:rsidRDefault="001031B9" w14:paraId="47FF2917" w14:textId="0530C407">
      <w:pPr>
        <w:spacing w:after="0" w:line="360" w:lineRule="auto"/>
        <w:rPr>
          <w:rFonts w:eastAsia="Times New Roman" w:cs="Times New Roman"/>
          <w:color w:val="auto"/>
          <w:lang w:eastAsia="es-ES"/>
        </w:rPr>
      </w:pPr>
      <w:r w:rsidRPr="00471390">
        <w:rPr>
          <w:rFonts w:eastAsia="Times New Roman" w:cs="Tahoma"/>
          <w:iCs/>
          <w:color w:val="auto"/>
          <w:lang w:val="es-ES" w:eastAsia="es-ES"/>
        </w:rPr>
        <w:t xml:space="preserve">Establecida dicha circunstancia, se procede analizar la respuesta entregada, para lo cual de la revisión de las constancias que obran en el expediente en el que se actúa, se advierte que el Ente Recurrido </w:t>
      </w:r>
      <w:r w:rsidRPr="00471390">
        <w:rPr>
          <w:rFonts w:eastAsia="Calibri" w:cs="Tahoma"/>
          <w:iCs/>
          <w:color w:val="auto"/>
          <w:lang w:val="es-ES"/>
        </w:rPr>
        <w:t xml:space="preserve">turno la solicitud de información a la </w:t>
      </w:r>
      <w:r w:rsidRPr="00471390" w:rsidR="007D66FA">
        <w:rPr>
          <w:rFonts w:eastAsia="Calibri" w:cs="Tahoma"/>
          <w:b/>
          <w:bCs/>
          <w:iCs/>
          <w:color w:val="auto"/>
          <w:lang w:val="es-ES"/>
        </w:rPr>
        <w:t>Coordinación de Comunicación Social</w:t>
      </w:r>
      <w:r w:rsidRPr="00471390" w:rsidR="00EC1436">
        <w:rPr>
          <w:rFonts w:eastAsia="Calibri" w:cs="Tahoma"/>
          <w:b/>
          <w:bCs/>
          <w:iCs/>
          <w:color w:val="auto"/>
          <w:lang w:val="es-ES"/>
        </w:rPr>
        <w:t>,</w:t>
      </w:r>
      <w:r w:rsidRPr="00471390" w:rsidR="00EC1436">
        <w:rPr>
          <w:rFonts w:eastAsia="Calibri" w:cs="Tahoma"/>
          <w:bCs/>
          <w:iCs/>
          <w:color w:val="auto"/>
          <w:lang w:val="es-ES"/>
        </w:rPr>
        <w:t xml:space="preserve"> área de la cual, se requiere la normatividad aplicable; por lo que, se considera que cumplió con el procedimiento de búsqueda establecido en el artículo 162, de la Ley de Transparencia y Acceso a la Información Pública del Estado de México y Municipios.</w:t>
      </w:r>
    </w:p>
    <w:p w:rsidRPr="00471390" w:rsidR="00441AD4" w:rsidP="00A26963" w:rsidRDefault="00441AD4" w14:paraId="260943CA" w14:textId="77777777">
      <w:pPr>
        <w:spacing w:after="0" w:line="360" w:lineRule="auto"/>
        <w:rPr>
          <w:rFonts w:eastAsia="Times New Roman" w:cs="Times New Roman"/>
          <w:b/>
          <w:color w:val="auto"/>
          <w:lang w:eastAsia="es-ES"/>
        </w:rPr>
      </w:pPr>
    </w:p>
    <w:p w:rsidRPr="00471390" w:rsidR="00336427" w:rsidP="00A26963" w:rsidRDefault="007D66FA" w14:paraId="7BA7FA14" w14:textId="65CB87A0">
      <w:pPr>
        <w:spacing w:after="0" w:line="360" w:lineRule="auto"/>
        <w:rPr>
          <w:rFonts w:eastAsia="Times New Roman" w:cs="Tahoma"/>
          <w:bCs/>
          <w:iCs/>
          <w:color w:val="auto"/>
          <w:lang w:eastAsia="es-ES"/>
        </w:rPr>
      </w:pPr>
      <w:r w:rsidRPr="00471390">
        <w:t xml:space="preserve">Ahora bien, </w:t>
      </w:r>
      <w:r w:rsidRPr="00471390" w:rsidR="00EC1436">
        <w:t xml:space="preserve">en respuesta, </w:t>
      </w:r>
      <w:r w:rsidRPr="00471390">
        <w:t xml:space="preserve">dicha área precisó que únicamente realizaba el procedimiento establecido en el </w:t>
      </w:r>
      <w:r w:rsidRPr="00471390" w:rsidR="00336427">
        <w:rPr>
          <w:rFonts w:cs="Tahoma"/>
          <w:bCs/>
          <w:iCs/>
          <w:lang w:val="es-ES"/>
        </w:rPr>
        <w:t xml:space="preserve">Manual de Procedimientos del Sistema Municipal para el Desarrollo Integral de la Familia del Municipio de </w:t>
      </w:r>
      <w:proofErr w:type="spellStart"/>
      <w:r w:rsidRPr="00471390" w:rsidR="00336427">
        <w:rPr>
          <w:rFonts w:cs="Tahoma"/>
          <w:bCs/>
          <w:iCs/>
          <w:lang w:val="es-ES"/>
        </w:rPr>
        <w:t>Tlalmanalco</w:t>
      </w:r>
      <w:proofErr w:type="spellEnd"/>
      <w:r w:rsidRPr="00471390" w:rsidR="00336427">
        <w:rPr>
          <w:rFonts w:cs="Tahoma"/>
          <w:bCs/>
          <w:iCs/>
          <w:lang w:val="es-ES"/>
        </w:rPr>
        <w:t>, 2019-2021; s</w:t>
      </w:r>
      <w:r w:rsidRPr="00471390" w:rsidR="00336427">
        <w:rPr>
          <w:rFonts w:eastAsia="Times New Roman" w:cs="Tahoma"/>
          <w:color w:val="auto"/>
          <w:szCs w:val="24"/>
          <w:lang w:eastAsia="es-ES"/>
        </w:rPr>
        <w:t xml:space="preserve">obre dicha circunstancia, es importante precisar que </w:t>
      </w:r>
      <w:r w:rsidRPr="00471390" w:rsidR="00336427">
        <w:rPr>
          <w:rFonts w:eastAsia="Times New Roman" w:cs="Tahoma"/>
          <w:bCs/>
          <w:iCs/>
          <w:color w:val="auto"/>
          <w:lang w:eastAsia="es-ES"/>
        </w:rPr>
        <w:t>este Instituto, no tiene atribuciones para pronunciarse sobre la veracidad de la información proporcionada y pronunciamientos realizados por las unidades administrativas. Apoya lo anterior, el Criterio de interpretación, con clave de control SO/031/2010, de la Primera Época y emitido por el Pleno del entonces Instituto Federal de Acceso a la Información y Protección de Datos, que a continuación se cita:</w:t>
      </w:r>
    </w:p>
    <w:p w:rsidRPr="00471390" w:rsidR="00336427" w:rsidP="00A26963" w:rsidRDefault="00336427" w14:paraId="7631DD3B" w14:textId="77777777">
      <w:pPr>
        <w:spacing w:after="0" w:line="360" w:lineRule="auto"/>
        <w:rPr>
          <w:rFonts w:eastAsia="Times New Roman" w:cs="Tahoma"/>
          <w:iCs/>
          <w:color w:val="auto"/>
          <w:lang w:val="es-ES" w:eastAsia="es-ES"/>
        </w:rPr>
      </w:pPr>
    </w:p>
    <w:p w:rsidRPr="00471390" w:rsidR="00336427" w:rsidP="00A26963" w:rsidRDefault="00336427" w14:paraId="720105F5" w14:textId="77777777">
      <w:pPr>
        <w:spacing w:after="0" w:line="360" w:lineRule="auto"/>
        <w:ind w:left="567" w:right="567"/>
        <w:rPr>
          <w:rFonts w:eastAsia="Times New Roman" w:cs="Tahoma"/>
          <w:bCs/>
          <w:i/>
          <w:iCs/>
          <w:color w:val="auto"/>
          <w:sz w:val="20"/>
          <w:szCs w:val="20"/>
          <w:lang w:eastAsia="es-ES"/>
        </w:rPr>
      </w:pPr>
      <w:r w:rsidRPr="00471390">
        <w:rPr>
          <w:rFonts w:eastAsia="Times New Roman" w:cs="Tahoma"/>
          <w:b/>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471390">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w:t>
      </w:r>
      <w:r w:rsidRPr="00471390">
        <w:rPr>
          <w:rFonts w:eastAsia="Times New Roman" w:cs="Tahoma"/>
          <w:bCs/>
          <w:i/>
          <w:iCs/>
          <w:color w:val="auto"/>
          <w:sz w:val="20"/>
          <w:szCs w:val="20"/>
          <w:lang w:eastAsia="es-ES"/>
        </w:rPr>
        <w:lastRenderedPageBreak/>
        <w:t>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471390" w:rsidR="00336427" w:rsidP="00A26963" w:rsidRDefault="00336427" w14:paraId="2C4E8D01" w14:textId="77777777">
      <w:pPr>
        <w:spacing w:after="0" w:line="360" w:lineRule="auto"/>
      </w:pPr>
    </w:p>
    <w:p w:rsidRPr="00471390" w:rsidR="007D66FA" w:rsidP="00A26963" w:rsidRDefault="00336427" w14:paraId="05F426C3" w14:textId="5C03C57F">
      <w:pPr>
        <w:spacing w:after="0" w:line="360" w:lineRule="auto"/>
        <w:rPr>
          <w:rFonts w:cs="Tahoma"/>
          <w:bCs/>
          <w:iCs/>
          <w:lang w:val="es-ES"/>
        </w:rPr>
      </w:pPr>
      <w:r w:rsidRPr="00471390">
        <w:t xml:space="preserve">En ese contexto, dicha área proporcionó el </w:t>
      </w:r>
      <w:r w:rsidRPr="00471390">
        <w:rPr>
          <w:rFonts w:cs="Tahoma"/>
          <w:bCs/>
          <w:iCs/>
          <w:lang w:val="es-ES"/>
        </w:rPr>
        <w:t xml:space="preserve">Manual de Procedimientos del Sistema Municipal para el Desarrollo Integral de la Familia del Municipio de </w:t>
      </w:r>
      <w:proofErr w:type="spellStart"/>
      <w:r w:rsidRPr="00471390">
        <w:rPr>
          <w:rFonts w:cs="Tahoma"/>
          <w:bCs/>
          <w:iCs/>
          <w:lang w:val="es-ES"/>
        </w:rPr>
        <w:t>Tlalmanalco</w:t>
      </w:r>
      <w:proofErr w:type="spellEnd"/>
      <w:r w:rsidRPr="00471390">
        <w:rPr>
          <w:rFonts w:cs="Tahoma"/>
          <w:bCs/>
          <w:iCs/>
          <w:lang w:val="es-ES"/>
        </w:rPr>
        <w:t>, 2019-2021, de cuya revisión se logra vislumbrar que contiene la información de los procedimientos realizados por  cada una de las áreas que conforman al Organismo Público Descentralizado, entre las cuales, se encuentra el área requerida, a saber, Comunicación Social, tal como se muestra a continuación:</w:t>
      </w:r>
    </w:p>
    <w:p w:rsidRPr="00471390" w:rsidR="00336427" w:rsidP="00A26963" w:rsidRDefault="00336427" w14:paraId="17BC870F" w14:textId="77777777">
      <w:pPr>
        <w:spacing w:after="0" w:line="360" w:lineRule="auto"/>
        <w:rPr>
          <w:rFonts w:cs="Tahoma"/>
          <w:bCs/>
          <w:iCs/>
          <w:lang w:val="es-ES"/>
        </w:rPr>
      </w:pPr>
    </w:p>
    <w:p w:rsidRPr="00471390" w:rsidR="00336427" w:rsidP="00A26963" w:rsidRDefault="00336427" w14:paraId="36960FD5" w14:textId="46A931EE">
      <w:pPr>
        <w:spacing w:after="0" w:line="360" w:lineRule="auto"/>
        <w:jc w:val="center"/>
      </w:pPr>
      <w:r w:rsidRPr="00471390">
        <w:rPr>
          <w:noProof/>
          <w:lang w:eastAsia="es-MX"/>
        </w:rPr>
        <w:drawing>
          <wp:inline distT="0" distB="0" distL="0" distR="0" wp14:anchorId="63ED40AA" wp14:editId="08601421">
            <wp:extent cx="4152900" cy="3577543"/>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7411"/>
                    <a:stretch/>
                  </pic:blipFill>
                  <pic:spPr bwMode="auto">
                    <a:xfrm>
                      <a:off x="0" y="0"/>
                      <a:ext cx="4158944" cy="3582750"/>
                    </a:xfrm>
                    <a:prstGeom prst="rect">
                      <a:avLst/>
                    </a:prstGeom>
                    <a:ln>
                      <a:noFill/>
                    </a:ln>
                    <a:extLst>
                      <a:ext uri="{53640926-AAD7-44D8-BBD7-CCE9431645EC}">
                        <a14:shadowObscured xmlns:a14="http://schemas.microsoft.com/office/drawing/2010/main"/>
                      </a:ext>
                    </a:extLst>
                  </pic:spPr>
                </pic:pic>
              </a:graphicData>
            </a:graphic>
          </wp:inline>
        </w:drawing>
      </w:r>
    </w:p>
    <w:p w:rsidRPr="00471390" w:rsidR="00C15725" w:rsidP="00A26963" w:rsidRDefault="00336427" w14:paraId="727A3A45" w14:textId="3F01F088">
      <w:pPr>
        <w:spacing w:after="0" w:line="360" w:lineRule="auto"/>
      </w:pPr>
      <w:r w:rsidRPr="00471390">
        <w:lastRenderedPageBreak/>
        <w:t>Conforme a lo anterior, se logra vislumbrar que el Manual de Procedimientos del Sistema Municipal para el Desarrollo Integral de la Familia entregado en respuesta, contiene los procedimientos que realiza la Coordinación de Comunicación Social.</w:t>
      </w:r>
      <w:r w:rsidRPr="00471390" w:rsidR="000F249C">
        <w:t xml:space="preserve"> Además, el área en comentó aludió a que el Manual proporcionado era el vigente a la solicitud, al ser el utilizado a la fecha de la solicitud.</w:t>
      </w:r>
    </w:p>
    <w:p w:rsidRPr="00471390" w:rsidR="000F249C" w:rsidP="00A26963" w:rsidRDefault="000F249C" w14:paraId="243FCF57" w14:textId="77777777">
      <w:pPr>
        <w:spacing w:after="0" w:line="360" w:lineRule="auto"/>
      </w:pPr>
    </w:p>
    <w:p w:rsidRPr="00471390" w:rsidR="000F249C" w:rsidP="00A26963" w:rsidRDefault="000F249C" w14:paraId="68991EED" w14:textId="2FEFE5E3">
      <w:pPr>
        <w:spacing w:after="0" w:line="360" w:lineRule="auto"/>
      </w:pPr>
      <w:r w:rsidRPr="00471390">
        <w:t xml:space="preserve">En ese orden de ideas, se localizó el Plan de Desarrollo Municipal de </w:t>
      </w:r>
      <w:proofErr w:type="spellStart"/>
      <w:r w:rsidRPr="00471390">
        <w:t>Tlalmanalco</w:t>
      </w:r>
      <w:proofErr w:type="spellEnd"/>
      <w:r w:rsidRPr="00471390">
        <w:t xml:space="preserve"> 2022-2024, que precisa que el Sujeto Obligado únicamente ha emitido los Manuales de Organización y de Procedimientos de Sistema Municipal para el Desarrollo Integral de la Familia de </w:t>
      </w:r>
      <w:proofErr w:type="spellStart"/>
      <w:r w:rsidRPr="00471390">
        <w:t>Tlalmanalco</w:t>
      </w:r>
      <w:proofErr w:type="spellEnd"/>
      <w:r w:rsidRPr="00471390">
        <w:t>, y no de las áreas que lo conforman.</w:t>
      </w:r>
    </w:p>
    <w:p w:rsidRPr="00471390" w:rsidR="000F249C" w:rsidP="00A26963" w:rsidRDefault="000F249C" w14:paraId="55446B46" w14:textId="77777777">
      <w:pPr>
        <w:spacing w:after="0" w:line="360" w:lineRule="auto"/>
      </w:pPr>
    </w:p>
    <w:p w:rsidRPr="00471390" w:rsidR="000F249C" w:rsidP="00A26963" w:rsidRDefault="000854C3" w14:paraId="48756686" w14:textId="185FACE2">
      <w:pPr>
        <w:spacing w:after="0" w:line="360" w:lineRule="auto"/>
      </w:pPr>
      <w:r w:rsidRPr="00471390">
        <w:t>Además</w:t>
      </w:r>
      <w:r w:rsidRPr="00471390" w:rsidR="000F249C">
        <w:t xml:space="preserve">, este Instituto revisó el Primer Informe de Gobierno de </w:t>
      </w:r>
      <w:proofErr w:type="spellStart"/>
      <w:r w:rsidRPr="00471390" w:rsidR="000F249C">
        <w:t>Tlalmanalco</w:t>
      </w:r>
      <w:proofErr w:type="spellEnd"/>
      <w:r w:rsidRPr="00471390" w:rsidR="000F249C">
        <w:t>, dos mil veintidós, mismo que precisa que durante el dos mil veintidós, únicamente se aprobaron cuatro Reglamentos y el Bando Municipal, dos mil veintidós; lo cual, se traduce al hecho en que en dicho año no se aprobaron Manuales de Organización, ni de Procedimientos, y se siguieron usando los de la administración 2019-2021.</w:t>
      </w:r>
    </w:p>
    <w:p w:rsidRPr="00471390" w:rsidR="000854C3" w:rsidP="00A26963" w:rsidRDefault="000854C3" w14:paraId="297813B9" w14:textId="77777777">
      <w:pPr>
        <w:spacing w:after="0" w:line="360" w:lineRule="auto"/>
      </w:pPr>
    </w:p>
    <w:p w:rsidRPr="00471390" w:rsidR="000854C3" w:rsidP="00A26963" w:rsidRDefault="000854C3" w14:paraId="7E996DD4" w14:textId="6FD8F0C8">
      <w:pPr>
        <w:spacing w:after="0" w:line="360" w:lineRule="auto"/>
      </w:pPr>
      <w:r w:rsidRPr="00471390">
        <w:t>Esta situación, se robustece con el hecho de que el Sujeto Obligado únicamente tiene publicados en su página oficial de internet (</w:t>
      </w:r>
      <w:hyperlink w:history="1" r:id="rId10">
        <w:r w:rsidRPr="00471390">
          <w:rPr>
            <w:rStyle w:val="Hipervnculo"/>
          </w:rPr>
          <w:t>https://tlalmanalco.gob.mx/manuales2019_2021.php</w:t>
        </w:r>
      </w:hyperlink>
      <w:r w:rsidRPr="00471390">
        <w:t>), los Manuales de la anterior administración, al ser los vigentes a la fecha de la solicitud, tal como se muestra a continuación:</w:t>
      </w:r>
    </w:p>
    <w:p w:rsidRPr="00471390" w:rsidR="00336427" w:rsidP="00A26963" w:rsidRDefault="00336427" w14:paraId="68F0E857" w14:textId="77777777">
      <w:pPr>
        <w:spacing w:after="0" w:line="360" w:lineRule="auto"/>
      </w:pPr>
    </w:p>
    <w:p w:rsidRPr="00471390" w:rsidR="00336427" w:rsidP="00A26963" w:rsidRDefault="000854C3" w14:paraId="7D0E2DD7" w14:textId="10920A8E">
      <w:pPr>
        <w:spacing w:after="0" w:line="360" w:lineRule="auto"/>
        <w:jc w:val="center"/>
      </w:pPr>
      <w:r w:rsidRPr="00471390">
        <w:rPr>
          <w:noProof/>
          <w:lang w:eastAsia="es-MX"/>
        </w:rPr>
        <w:drawing>
          <wp:inline distT="0" distB="0" distL="0" distR="0" wp14:anchorId="4DABAB4C" wp14:editId="30BFA5E5">
            <wp:extent cx="4392317" cy="125730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9417"/>
                    <a:stretch/>
                  </pic:blipFill>
                  <pic:spPr bwMode="auto">
                    <a:xfrm>
                      <a:off x="0" y="0"/>
                      <a:ext cx="4403402" cy="1260473"/>
                    </a:xfrm>
                    <a:prstGeom prst="rect">
                      <a:avLst/>
                    </a:prstGeom>
                    <a:ln>
                      <a:noFill/>
                    </a:ln>
                    <a:extLst>
                      <a:ext uri="{53640926-AAD7-44D8-BBD7-CCE9431645EC}">
                        <a14:shadowObscured xmlns:a14="http://schemas.microsoft.com/office/drawing/2010/main"/>
                      </a:ext>
                    </a:extLst>
                  </pic:spPr>
                </pic:pic>
              </a:graphicData>
            </a:graphic>
          </wp:inline>
        </w:drawing>
      </w:r>
    </w:p>
    <w:p w:rsidRPr="00471390" w:rsidR="007B197A" w:rsidP="00A26963" w:rsidRDefault="007B197A" w14:paraId="34ED0A30" w14:textId="77777777">
      <w:pPr>
        <w:spacing w:after="0" w:line="360" w:lineRule="auto"/>
        <w:jc w:val="center"/>
      </w:pPr>
    </w:p>
    <w:p w:rsidRPr="00471390" w:rsidR="00AA06A1" w:rsidP="00A26963" w:rsidRDefault="00E329EA" w14:paraId="6F103C4D" w14:textId="77777777">
      <w:pPr>
        <w:spacing w:after="0" w:line="360" w:lineRule="auto"/>
      </w:pPr>
      <w:r w:rsidRPr="00471390">
        <w:t xml:space="preserve">Además, se revisaron las Gacetas Municipales y Actas de las Sesiones de Cabildo </w:t>
      </w:r>
      <w:r w:rsidRPr="00471390" w:rsidR="00AA06A1">
        <w:t>localizadas en la página oficial del Sujeto Obligado, así como, del Portal de Información Pública de Oficio Mexiquense y no se localizó algún indicio de actualización o emisión de un nuevo Manual de Procedimientos del Organismo Público Descentralizado o bien del área solicitada.</w:t>
      </w:r>
    </w:p>
    <w:p w:rsidRPr="00471390" w:rsidR="00AA06A1" w:rsidP="00A26963" w:rsidRDefault="00AA06A1" w14:paraId="071E00CB" w14:textId="77777777">
      <w:pPr>
        <w:spacing w:after="0" w:line="360" w:lineRule="auto"/>
      </w:pPr>
    </w:p>
    <w:p w:rsidRPr="00471390" w:rsidR="00E329EA" w:rsidP="00A26963" w:rsidRDefault="00AA06A1" w14:paraId="79CAC1F3" w14:textId="649A5A86">
      <w:pPr>
        <w:spacing w:after="0" w:line="360" w:lineRule="auto"/>
      </w:pPr>
      <w:r w:rsidRPr="00471390">
        <w:t xml:space="preserve">Conforme a lo anterior, se logra vislumbrar, que contrario a lo señalado por la parte Recurrente, el Sujeto Obligado proporcionó el documento que obraba en sus archivos, que estaba vigente a la fecha de la solicitud y respuesta, </w:t>
      </w:r>
      <w:r w:rsidRPr="00471390" w:rsidR="00A26963">
        <w:t xml:space="preserve">y que da cuenta de lo peticionado, a saber, el </w:t>
      </w:r>
      <w:r w:rsidRPr="00471390" w:rsidR="00A26963">
        <w:rPr>
          <w:rFonts w:cs="Tahoma"/>
          <w:bCs/>
          <w:iCs/>
          <w:lang w:val="es-ES"/>
        </w:rPr>
        <w:t xml:space="preserve">Manual de Procedimientos del Sistema Municipal para el Desarrollo Integral de la Familia del Municipio de </w:t>
      </w:r>
      <w:proofErr w:type="spellStart"/>
      <w:r w:rsidRPr="00471390" w:rsidR="00A26963">
        <w:rPr>
          <w:rFonts w:cs="Tahoma"/>
          <w:bCs/>
          <w:iCs/>
          <w:lang w:val="es-ES"/>
        </w:rPr>
        <w:t>Tlalmanalco</w:t>
      </w:r>
      <w:proofErr w:type="spellEnd"/>
      <w:r w:rsidRPr="00471390" w:rsidR="00A26963">
        <w:rPr>
          <w:rFonts w:cs="Tahoma"/>
          <w:bCs/>
          <w:iCs/>
          <w:lang w:val="es-ES"/>
        </w:rPr>
        <w:t>, 2019-2021, que contiene el procedimiento realizado por la Coordinación de Comunicación Social.</w:t>
      </w:r>
    </w:p>
    <w:p w:rsidRPr="00471390" w:rsidR="00E329EA" w:rsidP="00A26963" w:rsidRDefault="00E329EA" w14:paraId="727F7545" w14:textId="77777777">
      <w:pPr>
        <w:spacing w:after="0" w:line="360" w:lineRule="auto"/>
        <w:jc w:val="center"/>
      </w:pPr>
    </w:p>
    <w:p w:rsidRPr="00471390" w:rsidR="00CE7AC5" w:rsidP="00A26963" w:rsidRDefault="00CE7AC5" w14:paraId="3E83EEF6" w14:textId="77777777">
      <w:pPr>
        <w:tabs>
          <w:tab w:val="left" w:pos="4962"/>
        </w:tabs>
        <w:spacing w:after="0" w:line="360" w:lineRule="auto"/>
        <w:rPr>
          <w:rFonts w:eastAsia="Times New Roman" w:cs="Tahoma"/>
          <w:color w:val="auto"/>
          <w:lang w:eastAsia="es-ES"/>
        </w:rPr>
      </w:pPr>
      <w:r w:rsidRPr="00471390">
        <w:rPr>
          <w:rFonts w:eastAsia="Calibri" w:cs="Tahoma"/>
          <w:bCs/>
          <w:iCs/>
          <w:color w:val="auto"/>
        </w:rPr>
        <w:t>Dicha situación, toma sustento en</w:t>
      </w:r>
      <w:r w:rsidRPr="00471390">
        <w:rPr>
          <w:rFonts w:eastAsia="Calibri" w:cs="Tahoma"/>
          <w:bCs/>
          <w:color w:val="auto"/>
        </w:rPr>
        <w:t xml:space="preserve"> el</w:t>
      </w:r>
      <w:r w:rsidRPr="00471390">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471390" w:rsidR="00CE7AC5" w:rsidP="00A26963" w:rsidRDefault="00CE7AC5" w14:paraId="66732869" w14:textId="77777777">
      <w:pPr>
        <w:tabs>
          <w:tab w:val="left" w:pos="4962"/>
        </w:tabs>
        <w:spacing w:after="0" w:line="360" w:lineRule="auto"/>
        <w:rPr>
          <w:rFonts w:eastAsia="Times New Roman" w:cs="Tahoma"/>
          <w:color w:val="auto"/>
          <w:lang w:eastAsia="es-ES"/>
        </w:rPr>
      </w:pPr>
    </w:p>
    <w:p w:rsidRPr="00471390" w:rsidR="00CE7AC5" w:rsidP="00A26963" w:rsidRDefault="00CE7AC5" w14:paraId="6AE22433" w14:textId="77777777">
      <w:pPr>
        <w:tabs>
          <w:tab w:val="left" w:pos="4962"/>
        </w:tabs>
        <w:spacing w:after="0" w:line="360" w:lineRule="auto"/>
        <w:rPr>
          <w:rFonts w:eastAsia="Arial" w:cs="Arial"/>
          <w:i/>
          <w:color w:val="auto"/>
          <w:sz w:val="20"/>
          <w:szCs w:val="20"/>
          <w:lang w:eastAsia="es-ES"/>
        </w:rPr>
      </w:pPr>
      <w:r w:rsidRPr="00471390">
        <w:rPr>
          <w:rFonts w:eastAsia="Times New Roman" w:cs="Tahoma"/>
          <w:color w:val="auto"/>
          <w:lang w:eastAsia="es-ES"/>
        </w:rPr>
        <w:t xml:space="preserve">De esta manera, </w:t>
      </w:r>
      <w:r w:rsidRPr="00471390">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471390">
        <w:rPr>
          <w:rFonts w:eastAsia="Times New Roman" w:cs="Tahoma"/>
          <w:i/>
          <w:color w:val="auto"/>
          <w:lang w:eastAsia="es-ES"/>
        </w:rPr>
        <w:t>ad hoc</w:t>
      </w:r>
      <w:r w:rsidRPr="00471390">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471390" w:rsidR="00CE7AC5" w:rsidP="00A26963" w:rsidRDefault="00CE7AC5" w14:paraId="0093B37D" w14:textId="77777777">
      <w:pPr>
        <w:spacing w:after="0" w:line="360" w:lineRule="auto"/>
        <w:rPr>
          <w:rFonts w:eastAsia="Times New Roman" w:cs="Tahoma"/>
          <w:color w:val="auto"/>
          <w:szCs w:val="24"/>
          <w:lang w:val="es-ES" w:eastAsia="es-ES"/>
        </w:rPr>
      </w:pPr>
    </w:p>
    <w:p w:rsidRPr="00471390" w:rsidR="00A26963" w:rsidP="00A26963" w:rsidRDefault="00CE7AC5" w14:paraId="75664DF0" w14:textId="200B3DC2">
      <w:pPr>
        <w:spacing w:after="0" w:line="360" w:lineRule="auto"/>
        <w:rPr>
          <w:rFonts w:eastAsia="Times New Roman" w:cs="Tahoma"/>
          <w:color w:val="auto"/>
          <w:lang w:val="es-ES" w:eastAsia="es-ES"/>
        </w:rPr>
      </w:pPr>
      <w:r w:rsidRPr="00471390">
        <w:rPr>
          <w:rFonts w:eastAsia="Times New Roman" w:cs="Tahoma"/>
          <w:color w:val="auto"/>
          <w:lang w:val="es-ES" w:eastAsia="es-ES"/>
        </w:rPr>
        <w:t xml:space="preserve">De tales circunstancias, se concluye que los sujetos obligados únicamente se encuentran constreñidos a proporcionar los documentos que den cuenta de la información solicitada, como </w:t>
      </w:r>
      <w:r w:rsidRPr="00471390">
        <w:rPr>
          <w:rFonts w:eastAsia="Times New Roman" w:cs="Tahoma"/>
          <w:color w:val="auto"/>
          <w:lang w:val="es-ES" w:eastAsia="es-ES"/>
        </w:rPr>
        <w:lastRenderedPageBreak/>
        <w:t xml:space="preserve">obren en sus archivos, sin tener que elaborarlos a las necesidades del Recurrente; </w:t>
      </w:r>
      <w:r w:rsidRPr="00471390" w:rsidR="00A26963">
        <w:rPr>
          <w:rFonts w:eastAsia="Times New Roman" w:cs="Tahoma"/>
          <w:color w:val="auto"/>
          <w:lang w:val="es-ES" w:eastAsia="es-ES"/>
        </w:rPr>
        <w:t xml:space="preserve">lo cual, aconteció pues proporcionó el documento que daba cuenta de lo solicitado y que estaba vigente a la fecha de la solicitud, lo cual da como resultado que el agravio </w:t>
      </w:r>
      <w:r w:rsidRPr="00471390" w:rsidR="007B197A">
        <w:rPr>
          <w:rFonts w:eastAsia="Times New Roman" w:cs="Tahoma"/>
          <w:color w:val="auto"/>
          <w:lang w:val="es-ES" w:eastAsia="es-ES"/>
        </w:rPr>
        <w:t xml:space="preserve">devenga de </w:t>
      </w:r>
      <w:r w:rsidRPr="00471390" w:rsidR="007B197A">
        <w:rPr>
          <w:rFonts w:eastAsia="Times New Roman" w:cs="Tahoma"/>
          <w:b/>
          <w:color w:val="auto"/>
          <w:lang w:val="es-ES" w:eastAsia="es-ES"/>
        </w:rPr>
        <w:t xml:space="preserve">INFUNDADO, </w:t>
      </w:r>
      <w:r w:rsidRPr="00471390" w:rsidR="007B197A">
        <w:rPr>
          <w:rFonts w:eastAsia="Times New Roman" w:cs="Tahoma"/>
          <w:color w:val="auto"/>
          <w:lang w:val="es-ES" w:eastAsia="es-ES"/>
        </w:rPr>
        <w:t>al haber cumplido con los artículos 12 y 160 de la Ley de Transparencia y Acceso a la Información Pública del Estado de México y Municipios.</w:t>
      </w:r>
    </w:p>
    <w:p w:rsidRPr="00471390" w:rsidR="00CE7AC5" w:rsidP="00A26963" w:rsidRDefault="00CE7AC5" w14:paraId="4BB856C9" w14:textId="77777777">
      <w:pPr>
        <w:spacing w:after="0" w:line="360" w:lineRule="auto"/>
        <w:rPr>
          <w:rFonts w:eastAsia="Times New Roman" w:cs="Tahoma"/>
          <w:b/>
          <w:lang w:eastAsia="es-ES"/>
        </w:rPr>
      </w:pPr>
    </w:p>
    <w:p w:rsidRPr="00471390" w:rsidR="00A26963" w:rsidP="00A26963" w:rsidRDefault="00A26963" w14:paraId="479E348B" w14:textId="77777777">
      <w:pPr>
        <w:spacing w:after="0" w:line="360" w:lineRule="auto"/>
        <w:rPr>
          <w:rFonts w:eastAsia="Calibri" w:cs="Tahoma"/>
          <w:b/>
          <w:color w:val="auto"/>
        </w:rPr>
      </w:pPr>
      <w:r w:rsidRPr="00471390">
        <w:rPr>
          <w:rFonts w:eastAsia="Calibri" w:cs="Tahoma"/>
          <w:b/>
          <w:color w:val="auto"/>
        </w:rPr>
        <w:t xml:space="preserve">SEXTO. Decisión. </w:t>
      </w:r>
    </w:p>
    <w:p w:rsidRPr="00471390" w:rsidR="00A26963" w:rsidP="00A26963" w:rsidRDefault="00A26963" w14:paraId="1B528646" w14:textId="77777777">
      <w:pPr>
        <w:spacing w:after="0" w:line="360" w:lineRule="auto"/>
        <w:rPr>
          <w:rFonts w:eastAsia="Calibri" w:cs="Tahoma"/>
          <w:b/>
          <w:color w:val="auto"/>
        </w:rPr>
      </w:pPr>
    </w:p>
    <w:p w:rsidRPr="00471390" w:rsidR="00A26963" w:rsidP="00A26963" w:rsidRDefault="00A26963" w14:paraId="47F5F3BC" w14:textId="77777777">
      <w:pPr>
        <w:spacing w:after="0" w:line="360" w:lineRule="auto"/>
        <w:rPr>
          <w:rFonts w:eastAsia="Times New Roman" w:cs="Tahoma"/>
          <w:color w:val="auto"/>
          <w:lang w:eastAsia="es-ES"/>
        </w:rPr>
      </w:pPr>
      <w:r w:rsidRPr="00471390">
        <w:rPr>
          <w:rFonts w:eastAsia="Times New Roman" w:cs="Tahoma"/>
          <w:color w:val="auto"/>
          <w:lang w:eastAsia="es-ES"/>
        </w:rPr>
        <w:t xml:space="preserve">Con fundamento en el artículo 186, fracción II, de la Ley de Transparencia y Acceso a la Información Pública del Estado de México y Municipios, este Instituto considera procedente </w:t>
      </w:r>
      <w:r w:rsidRPr="00471390">
        <w:rPr>
          <w:rFonts w:eastAsia="Times New Roman" w:cs="Tahoma"/>
          <w:b/>
          <w:color w:val="auto"/>
          <w:lang w:eastAsia="es-ES"/>
        </w:rPr>
        <w:t xml:space="preserve">CONFIRMAR </w:t>
      </w:r>
      <w:r w:rsidRPr="00471390">
        <w:rPr>
          <w:rFonts w:eastAsia="Times New Roman" w:cs="Tahoma"/>
          <w:color w:val="auto"/>
          <w:lang w:eastAsia="es-ES"/>
        </w:rPr>
        <w:t xml:space="preserve">la respuesta otorgada por el Sujeto Obligado. </w:t>
      </w:r>
    </w:p>
    <w:p w:rsidRPr="00471390" w:rsidR="00A26963" w:rsidP="00A26963" w:rsidRDefault="00A26963" w14:paraId="41945800" w14:textId="77777777">
      <w:pPr>
        <w:tabs>
          <w:tab w:val="left" w:pos="4962"/>
        </w:tabs>
        <w:spacing w:after="0" w:line="360" w:lineRule="auto"/>
        <w:rPr>
          <w:rFonts w:eastAsia="Times New Roman" w:cs="Tahoma"/>
          <w:color w:val="auto"/>
          <w:sz w:val="20"/>
          <w:lang w:eastAsia="es-ES"/>
        </w:rPr>
      </w:pPr>
    </w:p>
    <w:p w:rsidRPr="00471390" w:rsidR="00A26963" w:rsidP="00A26963" w:rsidRDefault="00A26963" w14:paraId="7300D6A2" w14:textId="77777777">
      <w:pPr>
        <w:spacing w:after="0" w:line="360" w:lineRule="auto"/>
        <w:rPr>
          <w:rFonts w:eastAsia="Calibri" w:cs="Tahoma"/>
          <w:b/>
          <w:bCs/>
          <w:color w:val="auto"/>
        </w:rPr>
      </w:pPr>
      <w:r w:rsidRPr="00471390">
        <w:rPr>
          <w:rFonts w:eastAsia="Calibri" w:cs="Tahoma"/>
          <w:b/>
          <w:bCs/>
          <w:color w:val="auto"/>
        </w:rPr>
        <w:t>Términos de la Resolución para conocimiento del Particular.</w:t>
      </w:r>
    </w:p>
    <w:p w:rsidRPr="00471390" w:rsidR="00A26963" w:rsidP="00A26963" w:rsidRDefault="00A26963" w14:paraId="0236EE81" w14:textId="77777777">
      <w:pPr>
        <w:spacing w:after="0" w:line="360" w:lineRule="auto"/>
        <w:rPr>
          <w:rFonts w:eastAsia="Calibri" w:cs="Tahoma"/>
          <w:b/>
          <w:bCs/>
          <w:color w:val="auto"/>
        </w:rPr>
      </w:pPr>
    </w:p>
    <w:p w:rsidRPr="00471390" w:rsidR="00A26963" w:rsidP="00A26963" w:rsidRDefault="00A26963" w14:paraId="5848892A" w14:textId="07ABEDFF">
      <w:pPr>
        <w:spacing w:after="0" w:line="360" w:lineRule="auto"/>
        <w:rPr>
          <w:rFonts w:eastAsia="Times New Roman" w:cs="Tahoma"/>
          <w:b/>
          <w:lang w:eastAsia="es-ES"/>
        </w:rPr>
      </w:pPr>
      <w:r w:rsidRPr="00471390">
        <w:rPr>
          <w:rFonts w:eastAsia="Calibri" w:cs="Tahoma"/>
          <w:bCs/>
          <w:iCs/>
          <w:color w:val="000000"/>
        </w:rPr>
        <w:t>Se le hace del conocimiento al Particular, que, en el presente caso, no se le da la razón pues el Sujeto Obligado, desde respuesta, proporcionó el documento que da cuenta de lo solicitado, al contener los procedimientos que realiza la Coordinación de Comunicación Social, a la fecha de la solicitud, por lo que, se tuvo por atendido el requerimiento de información.</w:t>
      </w:r>
    </w:p>
    <w:p w:rsidRPr="00471390" w:rsidR="00A26963" w:rsidP="00A26963" w:rsidRDefault="00A26963" w14:paraId="71C2E932" w14:textId="77777777">
      <w:pPr>
        <w:spacing w:after="0" w:line="360" w:lineRule="auto"/>
        <w:ind w:right="-28"/>
        <w:rPr>
          <w:rFonts w:eastAsia="Calibri" w:cs="Tahoma"/>
        </w:rPr>
      </w:pPr>
    </w:p>
    <w:p w:rsidRPr="00471390" w:rsidR="0044277D" w:rsidP="00A26963" w:rsidRDefault="0044277D" w14:paraId="2BBF3F7D" w14:textId="4C0FD8CC">
      <w:pPr>
        <w:spacing w:after="0" w:line="360" w:lineRule="auto"/>
        <w:ind w:right="-28"/>
        <w:rPr>
          <w:rFonts w:eastAsia="Calibri" w:cs="Tahoma"/>
        </w:rPr>
      </w:pPr>
      <w:r w:rsidRPr="00471390">
        <w:t>Finalmente, se le hace del conocimiento que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471390" w:rsidR="00066B31" w:rsidP="00A26963" w:rsidRDefault="00066B31" w14:paraId="757085B2" w14:textId="77777777">
      <w:pPr>
        <w:spacing w:after="0" w:line="360" w:lineRule="auto"/>
        <w:rPr>
          <w:rFonts w:eastAsia="Calibri" w:cs="Tahoma"/>
          <w:bCs/>
          <w:iCs/>
          <w:lang w:val="es-ES" w:eastAsia="es-ES_tradnl"/>
        </w:rPr>
      </w:pPr>
    </w:p>
    <w:p w:rsidRPr="00471390" w:rsidR="00066B31" w:rsidP="00A26963" w:rsidRDefault="00066B31" w14:paraId="7685FAAA" w14:textId="77777777">
      <w:pPr>
        <w:spacing w:after="0" w:line="360" w:lineRule="auto"/>
        <w:rPr>
          <w:rFonts w:eastAsia="Calibri" w:cs="Tahoma"/>
          <w:bCs/>
        </w:rPr>
      </w:pPr>
      <w:r w:rsidRPr="00471390">
        <w:rPr>
          <w:rFonts w:eastAsia="Calibri" w:cs="Tahoma"/>
          <w:bCs/>
        </w:rPr>
        <w:t>Por lo expuesto y fundado, este Pleno:</w:t>
      </w:r>
    </w:p>
    <w:p w:rsidRPr="00471390" w:rsidR="0091734E" w:rsidP="00A26963" w:rsidRDefault="0091734E" w14:paraId="576F1B15" w14:textId="77777777">
      <w:pPr>
        <w:spacing w:after="0" w:line="360" w:lineRule="auto"/>
        <w:rPr>
          <w:rFonts w:eastAsia="Calibri" w:cs="Tahoma"/>
          <w:b/>
          <w:bCs/>
          <w:sz w:val="14"/>
          <w:szCs w:val="14"/>
        </w:rPr>
      </w:pPr>
    </w:p>
    <w:p w:rsidRPr="00471390" w:rsidR="007B197A" w:rsidP="00A26963" w:rsidRDefault="007B197A" w14:paraId="6A4D0AE6" w14:textId="77777777">
      <w:pPr>
        <w:spacing w:after="0" w:line="360" w:lineRule="auto"/>
        <w:rPr>
          <w:rFonts w:eastAsia="Calibri" w:cs="Tahoma"/>
          <w:b/>
          <w:bCs/>
          <w:sz w:val="14"/>
          <w:szCs w:val="14"/>
        </w:rPr>
      </w:pPr>
    </w:p>
    <w:p w:rsidRPr="00471390" w:rsidR="007B197A" w:rsidP="00A26963" w:rsidRDefault="007B197A" w14:paraId="28A80813" w14:textId="77777777">
      <w:pPr>
        <w:spacing w:after="0" w:line="360" w:lineRule="auto"/>
        <w:rPr>
          <w:rFonts w:eastAsia="Calibri" w:cs="Tahoma"/>
          <w:b/>
          <w:bCs/>
          <w:sz w:val="14"/>
          <w:szCs w:val="14"/>
        </w:rPr>
      </w:pPr>
    </w:p>
    <w:p w:rsidRPr="00471390" w:rsidR="007B197A" w:rsidP="00A26963" w:rsidRDefault="007B197A" w14:paraId="514A97AB" w14:textId="77777777">
      <w:pPr>
        <w:spacing w:after="0" w:line="360" w:lineRule="auto"/>
        <w:rPr>
          <w:rFonts w:eastAsia="Calibri" w:cs="Tahoma"/>
          <w:b/>
          <w:bCs/>
          <w:sz w:val="14"/>
          <w:szCs w:val="14"/>
        </w:rPr>
      </w:pPr>
    </w:p>
    <w:p w:rsidRPr="00471390" w:rsidR="00066B31" w:rsidP="00A26963" w:rsidRDefault="00066B31" w14:paraId="2CBCAFED" w14:textId="31EF801C">
      <w:pPr>
        <w:spacing w:after="0" w:line="360" w:lineRule="auto"/>
        <w:jc w:val="center"/>
        <w:rPr>
          <w:rFonts w:eastAsia="Calibri" w:cs="Tahoma"/>
          <w:b/>
          <w:bCs/>
        </w:rPr>
      </w:pPr>
      <w:r w:rsidRPr="00471390">
        <w:rPr>
          <w:rFonts w:eastAsia="Calibri" w:cs="Tahoma"/>
          <w:b/>
          <w:bCs/>
        </w:rPr>
        <w:t>R E S U E L V E:</w:t>
      </w:r>
    </w:p>
    <w:p w:rsidRPr="00471390" w:rsidR="00066B31" w:rsidP="00A26963" w:rsidRDefault="00066B31" w14:paraId="5DB5E46C" w14:textId="77777777">
      <w:pPr>
        <w:spacing w:after="0" w:line="360" w:lineRule="auto"/>
        <w:jc w:val="left"/>
        <w:rPr>
          <w:rFonts w:eastAsia="Calibri" w:cs="Tahoma"/>
          <w:b/>
          <w:bCs/>
        </w:rPr>
      </w:pPr>
    </w:p>
    <w:p w:rsidRPr="00471390" w:rsidR="007B197A" w:rsidP="007B197A" w:rsidRDefault="007B197A" w14:paraId="098D6077" w14:textId="3BC2A2D1">
      <w:pPr>
        <w:spacing w:line="360" w:lineRule="auto"/>
        <w:contextualSpacing/>
        <w:rPr>
          <w:rFonts w:eastAsia="Calibri" w:cs="Tahoma"/>
          <w:iCs/>
        </w:rPr>
      </w:pPr>
      <w:r w:rsidRPr="00471390">
        <w:rPr>
          <w:rFonts w:eastAsia="Calibri" w:cs="Tahoma"/>
          <w:b/>
          <w:bCs/>
          <w:iCs/>
        </w:rPr>
        <w:t xml:space="preserve">PRIMERO. </w:t>
      </w:r>
      <w:r w:rsidRPr="00471390">
        <w:rPr>
          <w:rFonts w:eastAsia="Calibri" w:cs="Tahoma"/>
          <w:bCs/>
          <w:iCs/>
        </w:rPr>
        <w:t xml:space="preserve">Se </w:t>
      </w:r>
      <w:r w:rsidRPr="00471390">
        <w:rPr>
          <w:rFonts w:eastAsia="Calibri" w:cs="Tahoma"/>
          <w:b/>
          <w:bCs/>
          <w:iCs/>
        </w:rPr>
        <w:t xml:space="preserve">CONFIRMA </w:t>
      </w:r>
      <w:r w:rsidRPr="00471390">
        <w:rPr>
          <w:rFonts w:eastAsia="Calibri" w:cs="Tahoma"/>
          <w:iCs/>
        </w:rPr>
        <w:t xml:space="preserve">la respuesta entregada por el Sujeto Obligado a la solicitud de acceso a la información </w:t>
      </w:r>
      <w:r w:rsidRPr="00471390">
        <w:rPr>
          <w:rFonts w:cs="Arial"/>
        </w:rPr>
        <w:t>00116/TLALMANA/IP/2023</w:t>
      </w:r>
      <w:r w:rsidRPr="00471390">
        <w:rPr>
          <w:rFonts w:cs="Tahoma"/>
          <w:bCs/>
          <w:color w:val="0D0D0D" w:themeColor="text1" w:themeTint="F2"/>
        </w:rPr>
        <w:t xml:space="preserve">, </w:t>
      </w:r>
      <w:r w:rsidRPr="00471390">
        <w:rPr>
          <w:rFonts w:eastAsia="Calibri" w:cs="Tahoma"/>
          <w:bCs/>
          <w:iCs/>
        </w:rPr>
        <w:t xml:space="preserve">por resultar </w:t>
      </w:r>
      <w:r w:rsidRPr="00471390">
        <w:rPr>
          <w:rFonts w:eastAsia="Calibri" w:cs="Tahoma"/>
          <w:b/>
          <w:bCs/>
          <w:iCs/>
        </w:rPr>
        <w:t>INFUNDADAS</w:t>
      </w:r>
      <w:r w:rsidRPr="00471390">
        <w:rPr>
          <w:rFonts w:eastAsia="Calibri" w:cs="Tahoma"/>
          <w:bCs/>
          <w:iCs/>
        </w:rPr>
        <w:t xml:space="preserve"> las razones o motivos de inconformidad hechos valer por el Recurrente, en términos de los Considerandos </w:t>
      </w:r>
      <w:r w:rsidRPr="00471390">
        <w:rPr>
          <w:rFonts w:eastAsia="Calibri" w:cs="Tahoma"/>
          <w:iCs/>
        </w:rPr>
        <w:t>QUINTO y SEXTO</w:t>
      </w:r>
      <w:r w:rsidRPr="00471390">
        <w:rPr>
          <w:rFonts w:eastAsia="Calibri" w:cs="Tahoma"/>
          <w:b/>
          <w:bCs/>
          <w:iCs/>
        </w:rPr>
        <w:t xml:space="preserve"> </w:t>
      </w:r>
      <w:r w:rsidRPr="00471390">
        <w:rPr>
          <w:rFonts w:eastAsia="Calibri" w:cs="Tahoma"/>
          <w:bCs/>
          <w:iCs/>
        </w:rPr>
        <w:t>de esta Resolución.</w:t>
      </w:r>
    </w:p>
    <w:p w:rsidRPr="00471390" w:rsidR="007B197A" w:rsidP="007B197A" w:rsidRDefault="007B197A" w14:paraId="0FBA6902" w14:textId="77777777">
      <w:pPr>
        <w:spacing w:line="360" w:lineRule="auto"/>
        <w:contextualSpacing/>
        <w:rPr>
          <w:rFonts w:eastAsia="Calibri" w:cs="Tahoma"/>
          <w:bCs/>
          <w:iCs/>
        </w:rPr>
      </w:pPr>
    </w:p>
    <w:p w:rsidRPr="00471390" w:rsidR="007B197A" w:rsidP="007B197A" w:rsidRDefault="007B197A" w14:paraId="7D5B38E8" w14:textId="77777777">
      <w:pPr>
        <w:spacing w:line="360" w:lineRule="auto"/>
        <w:contextualSpacing/>
        <w:rPr>
          <w:rFonts w:eastAsia="Calibri" w:cs="Tahoma"/>
          <w:bCs/>
          <w:i/>
          <w:iCs/>
        </w:rPr>
      </w:pPr>
      <w:r w:rsidRPr="00471390">
        <w:rPr>
          <w:rFonts w:eastAsia="Calibri" w:cs="Tahoma"/>
          <w:b/>
          <w:bCs/>
          <w:iCs/>
        </w:rPr>
        <w:t xml:space="preserve">SEGUNDO. NOTIFÍQUESE </w:t>
      </w:r>
      <w:r w:rsidRPr="00471390">
        <w:rPr>
          <w:rFonts w:eastAsia="Calibri" w:cs="Tahoma"/>
          <w:bCs/>
          <w:iCs/>
        </w:rPr>
        <w:t>la presente resolución al Titular de la Unidad de Transparencia del Sujeto Obligado.</w:t>
      </w:r>
    </w:p>
    <w:p w:rsidRPr="00471390" w:rsidR="007B197A" w:rsidP="007B197A" w:rsidRDefault="007B197A" w14:paraId="2FA30B8D" w14:textId="77777777">
      <w:pPr>
        <w:spacing w:line="360" w:lineRule="auto"/>
        <w:contextualSpacing/>
        <w:rPr>
          <w:rFonts w:eastAsia="Calibri" w:cs="Tahoma"/>
          <w:bCs/>
          <w:iCs/>
        </w:rPr>
      </w:pPr>
    </w:p>
    <w:p w:rsidRPr="00471390" w:rsidR="007B197A" w:rsidP="007B197A" w:rsidRDefault="007B197A" w14:paraId="1CFEF006" w14:textId="77777777">
      <w:pPr>
        <w:spacing w:line="360" w:lineRule="auto"/>
        <w:contextualSpacing/>
        <w:rPr>
          <w:rFonts w:eastAsia="Calibri" w:cs="Tahoma"/>
          <w:bCs/>
          <w:iCs/>
        </w:rPr>
      </w:pPr>
      <w:r w:rsidRPr="00471390">
        <w:rPr>
          <w:rFonts w:eastAsia="Calibri" w:cs="Tahoma"/>
          <w:b/>
          <w:bCs/>
          <w:iCs/>
        </w:rPr>
        <w:t>TERCERO. NOTIFÍQUESE</w:t>
      </w:r>
      <w:r w:rsidRPr="00471390">
        <w:rPr>
          <w:rFonts w:eastAsia="Calibri" w:cs="Tahoma"/>
          <w:bCs/>
          <w:iC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71390" w:rsidR="00A26963" w:rsidP="00A26963" w:rsidRDefault="00A26963" w14:paraId="0E03C637" w14:textId="77777777">
      <w:pPr>
        <w:spacing w:after="0" w:line="360" w:lineRule="auto"/>
        <w:jc w:val="left"/>
        <w:rPr>
          <w:rFonts w:eastAsia="Calibri" w:cs="Tahoma"/>
          <w:b/>
          <w:bCs/>
        </w:rPr>
      </w:pPr>
    </w:p>
    <w:p w:rsidR="0040526C" w:rsidP="00A26963" w:rsidRDefault="0040526C" w14:paraId="427DAFB5" w14:textId="4CA8463D">
      <w:pPr>
        <w:spacing w:after="0" w:line="360" w:lineRule="auto"/>
        <w:rPr>
          <w:rFonts w:eastAsia="Times New Roman" w:cs="Tahoma"/>
          <w:lang w:eastAsia="es-MX"/>
        </w:rPr>
      </w:pPr>
      <w:r w:rsidRPr="00471390">
        <w:t xml:space="preserve">ASÍ LO RESUELVE, POR </w:t>
      </w:r>
      <w:r w:rsidRPr="00471390" w:rsidR="00FA383B">
        <w:rPr>
          <w:b/>
          <w:bCs/>
        </w:rPr>
        <w:t>UNANIMIDAD</w:t>
      </w:r>
      <w:r w:rsidRPr="00471390">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w:t>
      </w:r>
      <w:r w:rsidRPr="00471390" w:rsidR="005105E4">
        <w:t xml:space="preserve">A Y GUADALUPE RAMÍREZ PEÑA </w:t>
      </w:r>
      <w:r w:rsidRPr="00471390">
        <w:t xml:space="preserve">EN LA </w:t>
      </w:r>
      <w:r w:rsidRPr="00471390" w:rsidR="007B197A">
        <w:t>VIGÉSIMA</w:t>
      </w:r>
      <w:r w:rsidRPr="00471390">
        <w:t xml:space="preserve"> SESIÓN ORDINARIA CELEBRADA EL </w:t>
      </w:r>
      <w:r w:rsidRPr="00471390" w:rsidR="007B197A">
        <w:t>TREINTA Y UNO</w:t>
      </w:r>
      <w:r w:rsidRPr="00471390">
        <w:t xml:space="preserve"> DE </w:t>
      </w:r>
      <w:r w:rsidRPr="00471390" w:rsidR="00970C7A">
        <w:t>MAYO</w:t>
      </w:r>
      <w:r w:rsidRPr="00471390">
        <w:t xml:space="preserve"> DE DOS MIL VEINTI</w:t>
      </w:r>
      <w:r w:rsidRPr="00471390" w:rsidR="00970C7A">
        <w:t>TRÉS</w:t>
      </w:r>
      <w:r w:rsidRPr="00471390">
        <w:t>, ANTE EL SECRETARIO TÉCNICO DEL PLENO, ALEXIS TAPIA RAMÍREZ.</w:t>
      </w:r>
      <w:bookmarkStart w:name="_GoBack" w:id="2"/>
      <w:bookmarkEnd w:id="2"/>
      <w:r>
        <w:rPr>
          <w:rFonts w:eastAsia="Times New Roman" w:cs="Tahoma"/>
          <w:lang w:eastAsia="es-MX"/>
        </w:rPr>
        <w:br w:type="page"/>
      </w:r>
    </w:p>
    <w:p w:rsidR="00E439ED" w:rsidP="00A26963" w:rsidRDefault="00E439ED" w14:paraId="179D3A74" w14:textId="77777777">
      <w:pPr>
        <w:spacing w:after="0" w:line="360" w:lineRule="auto"/>
      </w:pPr>
    </w:p>
    <w:sectPr w:rsidR="00E439ED" w:rsidSect="003E2E42">
      <w:headerReference w:type="even" r:id="rId12"/>
      <w:headerReference w:type="default" r:id="rId13"/>
      <w:footerReference w:type="even" r:id="rId14"/>
      <w:footerReference w:type="default" r:id="rId15"/>
      <w:headerReference w:type="first" r:id="rId16"/>
      <w:footerReference w:type="first" r:id="rId17"/>
      <w:pgSz w:w="12240" w:h="15840" w:orient="portrait"/>
      <w:pgMar w:top="1418" w:right="1418" w:bottom="1134"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08C" w:rsidP="00066B31" w:rsidRDefault="00AF208C" w14:paraId="6460BF4A" w14:textId="77777777">
      <w:pPr>
        <w:spacing w:after="0" w:line="240" w:lineRule="auto"/>
      </w:pPr>
      <w:r>
        <w:separator/>
      </w:r>
    </w:p>
  </w:endnote>
  <w:endnote w:type="continuationSeparator" w:id="0">
    <w:p w:rsidR="00AF208C" w:rsidP="00066B31" w:rsidRDefault="00AF208C" w14:paraId="43E5D3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427" w:rsidRDefault="00336427"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336427" w:rsidRDefault="00336427" w14:paraId="3B0A68EB"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336427" w:rsidRDefault="00336427"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1390">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1390">
              <w:rPr>
                <w:b/>
                <w:bCs/>
                <w:noProof/>
              </w:rPr>
              <w:t>18</w:t>
            </w:r>
            <w:r>
              <w:rPr>
                <w:b/>
                <w:bCs/>
                <w:sz w:val="24"/>
                <w:szCs w:val="24"/>
              </w:rPr>
              <w:fldChar w:fldCharType="end"/>
            </w:r>
          </w:p>
        </w:sdtContent>
      </w:sdt>
    </w:sdtContent>
  </w:sdt>
  <w:p w:rsidR="00336427" w:rsidRDefault="00336427" w14:paraId="42C147CB"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427" w:rsidRDefault="00336427"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139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1390">
      <w:rPr>
        <w:b/>
        <w:bCs/>
        <w:noProof/>
      </w:rPr>
      <w:t>18</w:t>
    </w:r>
    <w:r>
      <w:rPr>
        <w:b/>
        <w:bCs/>
        <w:sz w:val="24"/>
        <w:szCs w:val="24"/>
      </w:rPr>
      <w:fldChar w:fldCharType="end"/>
    </w:r>
  </w:p>
  <w:p w:rsidR="00336427" w:rsidP="00336427" w:rsidRDefault="00336427"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08C" w:rsidP="00066B31" w:rsidRDefault="00AF208C" w14:paraId="5719AB26" w14:textId="77777777">
      <w:pPr>
        <w:spacing w:after="0" w:line="240" w:lineRule="auto"/>
      </w:pPr>
      <w:r>
        <w:separator/>
      </w:r>
    </w:p>
  </w:footnote>
  <w:footnote w:type="continuationSeparator" w:id="0">
    <w:p w:rsidR="00AF208C" w:rsidP="00066B31" w:rsidRDefault="00AF208C" w14:paraId="1C6333B2"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0" w:type="dxa"/>
      <w:tblLayout w:type="fixed"/>
      <w:tblLook w:val="04A0" w:firstRow="1" w:lastRow="0" w:firstColumn="1" w:lastColumn="0" w:noHBand="0" w:noVBand="1"/>
    </w:tblPr>
    <w:tblGrid>
      <w:gridCol w:w="3260"/>
      <w:gridCol w:w="6730"/>
    </w:tblGrid>
    <w:tr w:rsidRPr="008C644E" w:rsidR="00336427" w:rsidTr="00336427" w14:paraId="04C853ED" w14:textId="77777777">
      <w:trPr>
        <w:trHeight w:val="1435"/>
      </w:trPr>
      <w:tc>
        <w:tcPr>
          <w:tcW w:w="3261" w:type="dxa"/>
        </w:tcPr>
        <w:p w:rsidRPr="008C644E" w:rsidR="00336427" w:rsidP="00336427" w:rsidRDefault="00336427"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336427" w:rsidTr="00336427" w14:paraId="3C8FA9F1" w14:textId="77777777">
            <w:trPr>
              <w:trHeight w:val="144"/>
            </w:trPr>
            <w:tc>
              <w:tcPr>
                <w:tcW w:w="2559" w:type="dxa"/>
                <w:hideMark/>
              </w:tcPr>
              <w:p w:rsidRPr="008C644E" w:rsidR="00336427" w:rsidP="00336427" w:rsidRDefault="00336427" w14:paraId="73DACB1F" w14:textId="77777777">
                <w:pPr>
                  <w:pStyle w:val="Encabezado"/>
                  <w:rPr>
                    <w:b/>
                  </w:rPr>
                </w:pPr>
                <w:r w:rsidRPr="008C644E">
                  <w:rPr>
                    <w:b/>
                  </w:rPr>
                  <w:t>Recurso de Revisión:</w:t>
                </w:r>
              </w:p>
            </w:tc>
            <w:tc>
              <w:tcPr>
                <w:tcW w:w="3259" w:type="dxa"/>
                <w:hideMark/>
              </w:tcPr>
              <w:p w:rsidRPr="008C644E" w:rsidR="00336427" w:rsidP="00336427" w:rsidRDefault="00336427" w14:paraId="2BAF54F5" w14:textId="77777777">
                <w:pPr>
                  <w:pStyle w:val="Encabezado"/>
                </w:pPr>
                <w:r>
                  <w:t>01206/INFOEM/IP/RR/2022</w:t>
                </w:r>
              </w:p>
            </w:tc>
            <w:tc>
              <w:tcPr>
                <w:tcW w:w="3402" w:type="dxa"/>
              </w:tcPr>
              <w:p w:rsidRPr="008C644E" w:rsidR="00336427" w:rsidP="00336427" w:rsidRDefault="00336427" w14:paraId="005AF5AD" w14:textId="77777777">
                <w:pPr>
                  <w:pStyle w:val="Encabezado"/>
                  <w:rPr>
                    <w:bCs/>
                  </w:rPr>
                </w:pPr>
              </w:p>
            </w:tc>
          </w:tr>
          <w:tr w:rsidRPr="008C644E" w:rsidR="00336427" w:rsidTr="00336427" w14:paraId="266F92FA" w14:textId="77777777">
            <w:trPr>
              <w:trHeight w:val="283"/>
            </w:trPr>
            <w:tc>
              <w:tcPr>
                <w:tcW w:w="2559" w:type="dxa"/>
                <w:hideMark/>
              </w:tcPr>
              <w:p w:rsidRPr="008C644E" w:rsidR="00336427" w:rsidP="00336427" w:rsidRDefault="00336427" w14:paraId="6E774FF3" w14:textId="77777777">
                <w:pPr>
                  <w:pStyle w:val="Encabezado"/>
                  <w:rPr>
                    <w:b/>
                  </w:rPr>
                </w:pPr>
                <w:r w:rsidRPr="008C644E">
                  <w:rPr>
                    <w:b/>
                  </w:rPr>
                  <w:t>Sujeto Obligado:</w:t>
                </w:r>
              </w:p>
            </w:tc>
            <w:tc>
              <w:tcPr>
                <w:tcW w:w="3259" w:type="dxa"/>
                <w:hideMark/>
              </w:tcPr>
              <w:p w:rsidRPr="008C644E" w:rsidR="00336427" w:rsidP="00336427" w:rsidRDefault="00336427" w14:paraId="72431DDA" w14:textId="11AF2492">
                <w:pPr>
                  <w:pStyle w:val="Encabezado"/>
                </w:pPr>
                <w:r w:rsidRPr="008C644E">
                  <w:rPr>
                    <w:lang w:val="es-MX"/>
                  </w:rPr>
                  <w:t>Ayuntamiento</w:t>
                </w:r>
                <w:r>
                  <w:rPr>
                    <w:lang w:val="es-MX"/>
                  </w:rPr>
                  <w:t xml:space="preserve"> de</w:t>
                </w:r>
                <w:r w:rsidRPr="008C644E">
                  <w:rPr>
                    <w:lang w:val="es-MX"/>
                  </w:rPr>
                  <w:t xml:space="preserve"> </w:t>
                </w:r>
                <w:r>
                  <w:rPr>
                    <w:lang w:val="es-MX"/>
                  </w:rPr>
                  <w:t>Tezoyuca</w:t>
                </w:r>
              </w:p>
            </w:tc>
            <w:tc>
              <w:tcPr>
                <w:tcW w:w="3402" w:type="dxa"/>
              </w:tcPr>
              <w:p w:rsidRPr="008C644E" w:rsidR="00336427" w:rsidP="00336427" w:rsidRDefault="00336427" w14:paraId="13DD28B6" w14:textId="77777777">
                <w:pPr>
                  <w:pStyle w:val="Encabezado"/>
                </w:pPr>
              </w:p>
            </w:tc>
          </w:tr>
          <w:tr w:rsidRPr="008C644E" w:rsidR="00336427" w:rsidTr="00336427" w14:paraId="1F447167" w14:textId="77777777">
            <w:trPr>
              <w:trHeight w:val="283"/>
            </w:trPr>
            <w:tc>
              <w:tcPr>
                <w:tcW w:w="2559" w:type="dxa"/>
                <w:hideMark/>
              </w:tcPr>
              <w:p w:rsidRPr="008C644E" w:rsidR="00336427" w:rsidP="00336427" w:rsidRDefault="00336427" w14:paraId="216657E4" w14:textId="77777777">
                <w:pPr>
                  <w:pStyle w:val="Encabezado"/>
                  <w:rPr>
                    <w:b/>
                  </w:rPr>
                </w:pPr>
                <w:r w:rsidRPr="008C644E">
                  <w:rPr>
                    <w:b/>
                  </w:rPr>
                  <w:t xml:space="preserve">Comisionado Ponente: </w:t>
                </w:r>
              </w:p>
            </w:tc>
            <w:tc>
              <w:tcPr>
                <w:tcW w:w="3259" w:type="dxa"/>
                <w:hideMark/>
              </w:tcPr>
              <w:p w:rsidRPr="008C644E" w:rsidR="00336427" w:rsidP="00336427" w:rsidRDefault="00336427" w14:paraId="6E467BD9" w14:textId="77777777">
                <w:pPr>
                  <w:pStyle w:val="Encabezado"/>
                  <w:rPr>
                    <w:b/>
                  </w:rPr>
                </w:pPr>
                <w:r w:rsidRPr="008C644E">
                  <w:t>Luis Gustavo Parra Noriega</w:t>
                </w:r>
              </w:p>
            </w:tc>
            <w:tc>
              <w:tcPr>
                <w:tcW w:w="3402" w:type="dxa"/>
              </w:tcPr>
              <w:p w:rsidRPr="008C644E" w:rsidR="00336427" w:rsidP="00336427" w:rsidRDefault="00336427" w14:paraId="210A329D" w14:textId="77777777">
                <w:pPr>
                  <w:pStyle w:val="Encabezado"/>
                </w:pPr>
              </w:p>
            </w:tc>
          </w:tr>
        </w:tbl>
        <w:p w:rsidRPr="008C644E" w:rsidR="00336427" w:rsidP="00336427" w:rsidRDefault="00336427" w14:paraId="1FBF3105" w14:textId="77777777">
          <w:pPr>
            <w:pStyle w:val="Encabezado"/>
            <w:rPr>
              <w:b/>
            </w:rPr>
          </w:pPr>
        </w:p>
      </w:tc>
    </w:tr>
  </w:tbl>
  <w:p w:rsidR="00336427" w:rsidRDefault="00AF208C"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4" w:type="dxa"/>
      <w:tblLayout w:type="fixed"/>
      <w:tblLook w:val="04A0" w:firstRow="1" w:lastRow="0" w:firstColumn="1" w:lastColumn="0" w:noHBand="0" w:noVBand="1"/>
    </w:tblPr>
    <w:tblGrid>
      <w:gridCol w:w="2694"/>
      <w:gridCol w:w="6730"/>
    </w:tblGrid>
    <w:tr w:rsidR="00336427" w:rsidTr="00EB05F9" w14:paraId="4EA32E14" w14:textId="77777777">
      <w:trPr>
        <w:trHeight w:val="1435"/>
      </w:trPr>
      <w:tc>
        <w:tcPr>
          <w:tcW w:w="2694" w:type="dxa"/>
        </w:tcPr>
        <w:p w:rsidR="00336427" w:rsidP="00336427" w:rsidRDefault="00336427" w14:paraId="423C2A31" w14:textId="77777777">
          <w:pPr>
            <w:tabs>
              <w:tab w:val="right" w:pos="4273"/>
            </w:tabs>
            <w:spacing w:line="256" w:lineRule="auto"/>
            <w:rPr>
              <w:rFonts w:ascii="Garamond" w:hAnsi="Garamond" w:eastAsia="Calibri"/>
              <w:color w:val="auto"/>
            </w:rPr>
          </w:pPr>
        </w:p>
      </w:tc>
      <w:tc>
        <w:tcPr>
          <w:tcW w:w="6730" w:type="dxa"/>
          <w:hideMark/>
        </w:tcPr>
        <w:p w:rsidR="00336427" w:rsidRDefault="00336427" w14:paraId="192B639C" w14:textId="77777777"/>
        <w:tbl>
          <w:tblPr>
            <w:tblStyle w:val="Tablaconcuadrcula"/>
            <w:tblW w:w="9247" w:type="dxa"/>
            <w:tblInd w:w="7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86"/>
            <w:gridCol w:w="3402"/>
          </w:tblGrid>
          <w:tr w:rsidR="00336427" w:rsidTr="00EB05F9" w14:paraId="4460AAC6" w14:textId="77777777">
            <w:trPr>
              <w:trHeight w:val="144"/>
            </w:trPr>
            <w:tc>
              <w:tcPr>
                <w:tcW w:w="2559" w:type="dxa"/>
                <w:hideMark/>
              </w:tcPr>
              <w:p w:rsidR="00336427" w:rsidP="00336427" w:rsidRDefault="00336427" w14:paraId="309907ED" w14:textId="77777777">
                <w:pPr>
                  <w:tabs>
                    <w:tab w:val="right" w:pos="8838"/>
                  </w:tabs>
                  <w:ind w:left="-74" w:right="-105"/>
                  <w:rPr>
                    <w:rFonts w:eastAsia="Calibri" w:cs="Tahoma"/>
                    <w:b/>
                  </w:rPr>
                </w:pPr>
                <w:bookmarkStart w:name="_Hlk12526980" w:id="3"/>
                <w:r>
                  <w:rPr>
                    <w:rFonts w:eastAsia="Calibri" w:cs="Tahoma"/>
                    <w:b/>
                  </w:rPr>
                  <w:t>Recurso de Revisión:</w:t>
                </w:r>
              </w:p>
            </w:tc>
            <w:tc>
              <w:tcPr>
                <w:tcW w:w="3286" w:type="dxa"/>
                <w:hideMark/>
              </w:tcPr>
              <w:p w:rsidR="00336427" w:rsidP="00336427" w:rsidRDefault="00336427" w14:paraId="79D1E809" w14:textId="7041529D">
                <w:pPr>
                  <w:tabs>
                    <w:tab w:val="right" w:pos="8838"/>
                  </w:tabs>
                  <w:ind w:left="-74" w:right="-105"/>
                  <w:rPr>
                    <w:rFonts w:eastAsia="Calibri" w:cs="Tahoma"/>
                    <w:bCs/>
                  </w:rPr>
                </w:pPr>
                <w:r w:rsidRPr="0048321A">
                  <w:t>0</w:t>
                </w:r>
                <w:r>
                  <w:t>2386</w:t>
                </w:r>
                <w:r w:rsidRPr="0048321A">
                  <w:t>/INFOEM/IP/RR/2023</w:t>
                </w:r>
              </w:p>
            </w:tc>
            <w:tc>
              <w:tcPr>
                <w:tcW w:w="3402" w:type="dxa"/>
              </w:tcPr>
              <w:p w:rsidR="00336427" w:rsidP="00336427" w:rsidRDefault="00336427" w14:paraId="04BF926A" w14:textId="77777777">
                <w:pPr>
                  <w:tabs>
                    <w:tab w:val="right" w:pos="8838"/>
                  </w:tabs>
                  <w:ind w:left="-74" w:right="-105"/>
                  <w:rPr>
                    <w:rFonts w:eastAsia="Calibri" w:cs="Tahoma"/>
                    <w:bCs/>
                  </w:rPr>
                </w:pPr>
              </w:p>
            </w:tc>
            <w:bookmarkEnd w:id="3"/>
          </w:tr>
          <w:tr w:rsidR="00336427" w:rsidTr="00EB05F9" w14:paraId="2B8E7492" w14:textId="77777777">
            <w:trPr>
              <w:trHeight w:val="283"/>
            </w:trPr>
            <w:tc>
              <w:tcPr>
                <w:tcW w:w="2559" w:type="dxa"/>
                <w:hideMark/>
              </w:tcPr>
              <w:p w:rsidR="00336427" w:rsidP="00336427" w:rsidRDefault="00336427" w14:paraId="4B844598" w14:textId="77777777">
                <w:pPr>
                  <w:tabs>
                    <w:tab w:val="right" w:pos="8838"/>
                  </w:tabs>
                  <w:ind w:left="-74" w:right="-105"/>
                  <w:rPr>
                    <w:rFonts w:eastAsia="Calibri" w:cs="Tahoma"/>
                    <w:b/>
                  </w:rPr>
                </w:pPr>
                <w:r>
                  <w:rPr>
                    <w:rFonts w:eastAsia="Calibri" w:cs="Tahoma"/>
                    <w:b/>
                  </w:rPr>
                  <w:t>Sujeto Obligado:</w:t>
                </w:r>
              </w:p>
            </w:tc>
            <w:tc>
              <w:tcPr>
                <w:tcW w:w="3286" w:type="dxa"/>
                <w:hideMark/>
              </w:tcPr>
              <w:p w:rsidRPr="008C644E" w:rsidR="00336427" w:rsidP="00336427" w:rsidRDefault="00336427" w14:paraId="2C6EC5FD" w14:textId="52097A0A">
                <w:pPr>
                  <w:tabs>
                    <w:tab w:val="left" w:pos="2834"/>
                    <w:tab w:val="right" w:pos="8838"/>
                  </w:tabs>
                  <w:ind w:left="-74" w:right="-105"/>
                  <w:rPr>
                    <w:rFonts w:eastAsia="Calibri" w:cs="Tahoma"/>
                  </w:rPr>
                </w:pPr>
                <w:r w:rsidRPr="0048321A">
                  <w:rPr>
                    <w:rFonts w:eastAsia="Calibri" w:cs="Tahoma"/>
                    <w:lang w:val="es-MX"/>
                  </w:rPr>
                  <w:t xml:space="preserve">Ayuntamiento de </w:t>
                </w:r>
                <w:proofErr w:type="spellStart"/>
                <w:r>
                  <w:rPr>
                    <w:rFonts w:eastAsia="Calibri" w:cs="Tahoma"/>
                    <w:lang w:val="es-MX"/>
                  </w:rPr>
                  <w:t>Tlalmanalco</w:t>
                </w:r>
                <w:proofErr w:type="spellEnd"/>
              </w:p>
            </w:tc>
            <w:tc>
              <w:tcPr>
                <w:tcW w:w="3402" w:type="dxa"/>
              </w:tcPr>
              <w:p w:rsidR="00336427" w:rsidP="00336427" w:rsidRDefault="00336427" w14:paraId="30AE58B9" w14:textId="77777777">
                <w:pPr>
                  <w:tabs>
                    <w:tab w:val="left" w:pos="2834"/>
                    <w:tab w:val="right" w:pos="8838"/>
                  </w:tabs>
                  <w:ind w:left="-74" w:right="-105"/>
                  <w:rPr>
                    <w:rFonts w:eastAsia="Calibri" w:cs="Tahoma"/>
                  </w:rPr>
                </w:pPr>
              </w:p>
            </w:tc>
          </w:tr>
          <w:tr w:rsidR="00336427" w:rsidTr="00EB05F9" w14:paraId="4CA944CC" w14:textId="77777777">
            <w:trPr>
              <w:trHeight w:val="283"/>
            </w:trPr>
            <w:tc>
              <w:tcPr>
                <w:tcW w:w="2559" w:type="dxa"/>
                <w:hideMark/>
              </w:tcPr>
              <w:p w:rsidR="00336427" w:rsidP="00336427" w:rsidRDefault="00336427" w14:paraId="131AC3D5" w14:textId="77777777">
                <w:pPr>
                  <w:tabs>
                    <w:tab w:val="right" w:pos="8838"/>
                  </w:tabs>
                  <w:ind w:left="-74" w:right="-105"/>
                  <w:rPr>
                    <w:rFonts w:eastAsia="Calibri" w:cs="Tahoma"/>
                    <w:b/>
                  </w:rPr>
                </w:pPr>
                <w:r>
                  <w:rPr>
                    <w:rFonts w:eastAsia="Calibri" w:cs="Tahoma"/>
                    <w:b/>
                  </w:rPr>
                  <w:t xml:space="preserve">Comisionado Ponente: </w:t>
                </w:r>
              </w:p>
            </w:tc>
            <w:tc>
              <w:tcPr>
                <w:tcW w:w="3286" w:type="dxa"/>
                <w:hideMark/>
              </w:tcPr>
              <w:p w:rsidR="00336427" w:rsidP="00336427" w:rsidRDefault="00336427"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336427" w:rsidP="00336427" w:rsidRDefault="00336427" w14:paraId="5A0D5601" w14:textId="77777777">
                <w:pPr>
                  <w:tabs>
                    <w:tab w:val="right" w:pos="8838"/>
                  </w:tabs>
                  <w:ind w:left="-74" w:right="-105"/>
                  <w:rPr>
                    <w:rFonts w:eastAsia="Calibri" w:cs="Tahoma"/>
                  </w:rPr>
                </w:pPr>
              </w:p>
            </w:tc>
          </w:tr>
        </w:tbl>
        <w:p w:rsidR="00336427" w:rsidP="00336427" w:rsidRDefault="00336427" w14:paraId="14C1172F" w14:textId="77777777">
          <w:pPr>
            <w:tabs>
              <w:tab w:val="right" w:pos="8838"/>
            </w:tabs>
            <w:spacing w:line="256" w:lineRule="auto"/>
            <w:ind w:left="-28"/>
            <w:rPr>
              <w:rFonts w:ascii="Arial" w:hAnsi="Arial" w:eastAsia="Calibri" w:cs="Arial"/>
              <w:b/>
            </w:rPr>
          </w:pPr>
        </w:p>
      </w:tc>
    </w:tr>
  </w:tbl>
  <w:p w:rsidR="00336427" w:rsidRDefault="00AF208C"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101.6pt;margin-top:-126.4pt;width:663.5pt;height:12in;z-index:-251658752;mso-position-horizontal-relative:margin;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A0" w:firstRow="1" w:lastRow="0" w:firstColumn="1" w:lastColumn="0" w:noHBand="0" w:noVBand="1"/>
    </w:tblPr>
    <w:tblGrid>
      <w:gridCol w:w="2127"/>
      <w:gridCol w:w="7512"/>
    </w:tblGrid>
    <w:tr w:rsidRPr="008C644E" w:rsidR="00336427" w:rsidTr="5A80853C" w14:paraId="7C3509A9" w14:textId="77777777">
      <w:trPr>
        <w:trHeight w:val="1435"/>
      </w:trPr>
      <w:tc>
        <w:tcPr>
          <w:tcW w:w="2127" w:type="dxa"/>
          <w:tcMar/>
        </w:tcPr>
        <w:p w:rsidRPr="008C644E" w:rsidR="00336427" w:rsidP="00336427" w:rsidRDefault="00336427" w14:paraId="7A9E3827" w14:textId="77777777">
          <w:pPr>
            <w:pStyle w:val="Encabezado"/>
          </w:pPr>
        </w:p>
      </w:tc>
      <w:tc>
        <w:tcPr>
          <w:tcW w:w="7512" w:type="dxa"/>
          <w:tcMar/>
          <w:hideMark/>
        </w:tcPr>
        <w:tbl>
          <w:tblPr>
            <w:tblStyle w:val="Tablaconcuadrcula"/>
            <w:tblW w:w="12616" w:type="dxa"/>
            <w:tblInd w:w="1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3"/>
            <w:gridCol w:w="3402"/>
            <w:gridCol w:w="3402"/>
          </w:tblGrid>
          <w:tr w:rsidRPr="008C644E" w:rsidR="00336427" w:rsidTr="5A80853C" w14:paraId="1551C454" w14:textId="77777777">
            <w:trPr>
              <w:trHeight w:val="144"/>
            </w:trPr>
            <w:tc>
              <w:tcPr>
                <w:tcW w:w="2559" w:type="dxa"/>
                <w:tcMar/>
                <w:hideMark/>
              </w:tcPr>
              <w:p w:rsidRPr="008C644E" w:rsidR="00336427" w:rsidP="00336427" w:rsidRDefault="00336427" w14:paraId="189E74D1" w14:textId="77777777">
                <w:pPr>
                  <w:pStyle w:val="Encabezado"/>
                  <w:rPr>
                    <w:b/>
                  </w:rPr>
                </w:pPr>
                <w:r w:rsidRPr="008C644E">
                  <w:rPr>
                    <w:b/>
                  </w:rPr>
                  <w:t>Recurso de Revisión:</w:t>
                </w:r>
              </w:p>
            </w:tc>
            <w:tc>
              <w:tcPr>
                <w:tcW w:w="3253" w:type="dxa"/>
                <w:tcMar/>
                <w:hideMark/>
              </w:tcPr>
              <w:p w:rsidRPr="00AC018A" w:rsidR="00336427" w:rsidP="00336427" w:rsidRDefault="00336427" w14:paraId="11F4479A" w14:textId="6BA62098">
                <w:pPr>
                  <w:pStyle w:val="Encabezado"/>
                </w:pPr>
                <w:r w:rsidRPr="0048321A">
                  <w:rPr>
                    <w:color w:val="000000"/>
                  </w:rPr>
                  <w:t>0</w:t>
                </w:r>
                <w:r>
                  <w:rPr>
                    <w:color w:val="000000"/>
                  </w:rPr>
                  <w:t>2386</w:t>
                </w:r>
                <w:r w:rsidRPr="0048321A">
                  <w:rPr>
                    <w:color w:val="000000"/>
                  </w:rPr>
                  <w:t>/INFOEM/IP/RR/2023</w:t>
                </w:r>
              </w:p>
            </w:tc>
            <w:tc>
              <w:tcPr>
                <w:tcW w:w="3402" w:type="dxa"/>
                <w:tcMar/>
              </w:tcPr>
              <w:p w:rsidRPr="008C644E" w:rsidR="00336427" w:rsidP="00336427" w:rsidRDefault="00336427" w14:paraId="636B91F8" w14:textId="77777777">
                <w:pPr>
                  <w:pStyle w:val="Encabezado"/>
                  <w:rPr>
                    <w:bCs/>
                  </w:rPr>
                </w:pPr>
              </w:p>
            </w:tc>
            <w:tc>
              <w:tcPr>
                <w:tcW w:w="3402" w:type="dxa"/>
                <w:tcMar/>
              </w:tcPr>
              <w:p w:rsidRPr="008C644E" w:rsidR="00336427" w:rsidP="00336427" w:rsidRDefault="00336427" w14:paraId="30CBCBAF" w14:textId="77777777">
                <w:pPr>
                  <w:pStyle w:val="Encabezado"/>
                  <w:rPr>
                    <w:bCs/>
                  </w:rPr>
                </w:pPr>
              </w:p>
            </w:tc>
          </w:tr>
          <w:tr w:rsidRPr="008C644E" w:rsidR="00336427" w:rsidTr="5A80853C" w14:paraId="61DAE09E" w14:textId="77777777">
            <w:trPr>
              <w:trHeight w:val="144"/>
            </w:trPr>
            <w:tc>
              <w:tcPr>
                <w:tcW w:w="2559" w:type="dxa"/>
                <w:tcMar/>
                <w:hideMark/>
              </w:tcPr>
              <w:p w:rsidRPr="008C644E" w:rsidR="00336427" w:rsidP="00336427" w:rsidRDefault="00336427" w14:paraId="7CE5967D" w14:textId="77777777">
                <w:pPr>
                  <w:pStyle w:val="Encabezado"/>
                  <w:rPr>
                    <w:b/>
                  </w:rPr>
                </w:pPr>
                <w:r w:rsidRPr="008C644E">
                  <w:rPr>
                    <w:b/>
                  </w:rPr>
                  <w:t>Recurrente:</w:t>
                </w:r>
              </w:p>
            </w:tc>
            <w:tc>
              <w:tcPr>
                <w:tcW w:w="3253" w:type="dxa"/>
                <w:tcMar/>
              </w:tcPr>
              <w:p w:rsidRPr="008C644E" w:rsidR="00336427" w:rsidP="5A80853C" w:rsidRDefault="00336427" w14:paraId="0ECB40A9" w14:textId="780148D1">
                <w:pPr>
                  <w:pStyle w:val="Encabezado"/>
                  <w:bidi w:val="0"/>
                  <w:spacing w:before="0" w:beforeAutospacing="off" w:after="0" w:afterAutospacing="off" w:line="240" w:lineRule="auto"/>
                  <w:ind w:left="0" w:right="0"/>
                  <w:jc w:val="both"/>
                  <w:rPr>
                    <w:highlight w:val="black"/>
                  </w:rPr>
                </w:pPr>
                <w:r w:rsidRPr="5A80853C" w:rsidR="5A80853C">
                  <w:rPr>
                    <w:highlight w:val="black"/>
                  </w:rPr>
                  <w:t>XXXXXXXXXXXXXXX</w:t>
                </w:r>
              </w:p>
            </w:tc>
            <w:tc>
              <w:tcPr>
                <w:tcW w:w="3402" w:type="dxa"/>
                <w:tcMar/>
              </w:tcPr>
              <w:p w:rsidRPr="008C644E" w:rsidR="00336427" w:rsidP="00336427" w:rsidRDefault="00336427" w14:paraId="267C41A1" w14:textId="77777777">
                <w:pPr>
                  <w:pStyle w:val="Encabezado"/>
                </w:pPr>
              </w:p>
            </w:tc>
            <w:tc>
              <w:tcPr>
                <w:tcW w:w="3402" w:type="dxa"/>
                <w:tcMar/>
              </w:tcPr>
              <w:p w:rsidRPr="008C644E" w:rsidR="00336427" w:rsidP="00336427" w:rsidRDefault="00336427" w14:paraId="07EE73BD" w14:textId="77777777">
                <w:pPr>
                  <w:pStyle w:val="Encabezado"/>
                </w:pPr>
              </w:p>
            </w:tc>
          </w:tr>
          <w:tr w:rsidRPr="008C644E" w:rsidR="00336427" w:rsidTr="5A80853C" w14:paraId="7C378614" w14:textId="77777777">
            <w:trPr>
              <w:trHeight w:val="283"/>
            </w:trPr>
            <w:tc>
              <w:tcPr>
                <w:tcW w:w="2559" w:type="dxa"/>
                <w:tcMar/>
                <w:hideMark/>
              </w:tcPr>
              <w:p w:rsidRPr="008C644E" w:rsidR="00336427" w:rsidP="00336427" w:rsidRDefault="00336427" w14:paraId="24E7E7C4" w14:textId="77777777">
                <w:pPr>
                  <w:pStyle w:val="Encabezado"/>
                  <w:rPr>
                    <w:b/>
                  </w:rPr>
                </w:pPr>
                <w:r w:rsidRPr="008C644E">
                  <w:rPr>
                    <w:b/>
                  </w:rPr>
                  <w:t>Sujeto Obligado:</w:t>
                </w:r>
              </w:p>
            </w:tc>
            <w:tc>
              <w:tcPr>
                <w:tcW w:w="3253" w:type="dxa"/>
                <w:tcMar/>
                <w:hideMark/>
              </w:tcPr>
              <w:p w:rsidRPr="008C644E" w:rsidR="00336427" w:rsidP="00336427" w:rsidRDefault="00336427" w14:paraId="6FB2FFED" w14:textId="019D7526">
                <w:pPr>
                  <w:pStyle w:val="Encabezado"/>
                </w:pPr>
                <w:r w:rsidRPr="0048321A">
                  <w:rPr>
                    <w:lang w:val="es-MX"/>
                  </w:rPr>
                  <w:t xml:space="preserve">Ayuntamiento de </w:t>
                </w:r>
                <w:proofErr w:type="spellStart"/>
                <w:r>
                  <w:rPr>
                    <w:lang w:val="es-MX"/>
                  </w:rPr>
                  <w:t>Tlalmanalco</w:t>
                </w:r>
                <w:proofErr w:type="spellEnd"/>
              </w:p>
            </w:tc>
            <w:tc>
              <w:tcPr>
                <w:tcW w:w="3402" w:type="dxa"/>
                <w:tcMar/>
              </w:tcPr>
              <w:p w:rsidRPr="008C644E" w:rsidR="00336427" w:rsidP="00336427" w:rsidRDefault="00336427" w14:paraId="41110A01" w14:textId="77777777">
                <w:pPr>
                  <w:pStyle w:val="Encabezado"/>
                </w:pPr>
              </w:p>
            </w:tc>
            <w:tc>
              <w:tcPr>
                <w:tcW w:w="3402" w:type="dxa"/>
                <w:tcMar/>
              </w:tcPr>
              <w:p w:rsidRPr="008C644E" w:rsidR="00336427" w:rsidP="00336427" w:rsidRDefault="00336427" w14:paraId="45B99936" w14:textId="77777777">
                <w:pPr>
                  <w:pStyle w:val="Encabezado"/>
                </w:pPr>
              </w:p>
            </w:tc>
          </w:tr>
          <w:tr w:rsidRPr="008C644E" w:rsidR="00336427" w:rsidTr="5A80853C" w14:paraId="439AC6E2" w14:textId="77777777">
            <w:trPr>
              <w:trHeight w:val="283"/>
            </w:trPr>
            <w:tc>
              <w:tcPr>
                <w:tcW w:w="2559" w:type="dxa"/>
                <w:tcMar/>
                <w:hideMark/>
              </w:tcPr>
              <w:p w:rsidRPr="008C644E" w:rsidR="00336427" w:rsidP="00336427" w:rsidRDefault="00336427" w14:paraId="791FA8D2" w14:textId="77777777">
                <w:pPr>
                  <w:pStyle w:val="Encabezado"/>
                  <w:rPr>
                    <w:b/>
                  </w:rPr>
                </w:pPr>
                <w:r w:rsidRPr="008C644E">
                  <w:rPr>
                    <w:b/>
                  </w:rPr>
                  <w:t xml:space="preserve">Comisionado Ponente: </w:t>
                </w:r>
              </w:p>
            </w:tc>
            <w:tc>
              <w:tcPr>
                <w:tcW w:w="3253" w:type="dxa"/>
                <w:tcMar/>
                <w:hideMark/>
              </w:tcPr>
              <w:p w:rsidRPr="008C644E" w:rsidR="00336427" w:rsidP="00336427" w:rsidRDefault="00336427" w14:paraId="4E9C6E5C" w14:textId="77777777">
                <w:pPr>
                  <w:pStyle w:val="Encabezado"/>
                  <w:rPr>
                    <w:b/>
                  </w:rPr>
                </w:pPr>
                <w:r w:rsidRPr="008C644E">
                  <w:t>Luis Gustavo Parra Noriega</w:t>
                </w:r>
              </w:p>
            </w:tc>
            <w:tc>
              <w:tcPr>
                <w:tcW w:w="3402" w:type="dxa"/>
                <w:tcMar/>
              </w:tcPr>
              <w:p w:rsidRPr="008C644E" w:rsidR="00336427" w:rsidP="00336427" w:rsidRDefault="00336427" w14:paraId="624292D1" w14:textId="77777777">
                <w:pPr>
                  <w:pStyle w:val="Encabezado"/>
                </w:pPr>
              </w:p>
            </w:tc>
            <w:tc>
              <w:tcPr>
                <w:tcW w:w="3402" w:type="dxa"/>
                <w:tcMar/>
              </w:tcPr>
              <w:p w:rsidRPr="008C644E" w:rsidR="00336427" w:rsidP="00336427" w:rsidRDefault="00336427" w14:paraId="2F073C23" w14:textId="77777777">
                <w:pPr>
                  <w:pStyle w:val="Encabezado"/>
                </w:pPr>
              </w:p>
            </w:tc>
          </w:tr>
        </w:tbl>
        <w:p w:rsidRPr="008C644E" w:rsidR="00336427" w:rsidP="00336427" w:rsidRDefault="00336427" w14:paraId="23CCA079" w14:textId="77777777">
          <w:pPr>
            <w:pStyle w:val="Encabezado"/>
            <w:rPr>
              <w:b/>
            </w:rPr>
          </w:pPr>
        </w:p>
      </w:tc>
    </w:tr>
  </w:tbl>
  <w:p w:rsidR="00336427" w:rsidRDefault="00AF208C"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5.5pt;width:663.5pt;height:12in;z-index:-251657728;mso-position-horizontal-relative:margin;mso-position-vertical-relative:margin" o:spid="_x0000_s2049"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236F2"/>
    <w:multiLevelType w:val="hybridMultilevel"/>
    <w:tmpl w:val="41D2A9CC"/>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 w15:restartNumberingAfterBreak="0">
    <w:nsid w:val="0DE3784F"/>
    <w:multiLevelType w:val="hybridMultilevel"/>
    <w:tmpl w:val="1632F55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11D37DEB"/>
    <w:multiLevelType w:val="hybridMultilevel"/>
    <w:tmpl w:val="F40643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C470AAB"/>
    <w:multiLevelType w:val="hybridMultilevel"/>
    <w:tmpl w:val="DD1649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5BF52FA"/>
    <w:multiLevelType w:val="hybridMultilevel"/>
    <w:tmpl w:val="197E54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34DC08B9"/>
    <w:multiLevelType w:val="hybridMultilevel"/>
    <w:tmpl w:val="A2C4B1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7A859D6"/>
    <w:multiLevelType w:val="hybridMultilevel"/>
    <w:tmpl w:val="850825A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44E0440"/>
    <w:multiLevelType w:val="hybridMultilevel"/>
    <w:tmpl w:val="6EC26AAC"/>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3" w15:restartNumberingAfterBreak="0">
    <w:nsid w:val="66E36A86"/>
    <w:multiLevelType w:val="hybridMultilevel"/>
    <w:tmpl w:val="D2AA815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15:restartNumberingAfterBreak="0">
    <w:nsid w:val="73282357"/>
    <w:multiLevelType w:val="hybridMultilevel"/>
    <w:tmpl w:val="C7049EEC"/>
    <w:lvl w:ilvl="0" w:tplc="45D8BF5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7"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6"/>
  </w:num>
  <w:num w:numId="2">
    <w:abstractNumId w:val="16"/>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1"/>
  </w:num>
  <w:num w:numId="10">
    <w:abstractNumId w:val="14"/>
  </w:num>
  <w:num w:numId="11">
    <w:abstractNumId w:val="9"/>
  </w:num>
  <w:num w:numId="12">
    <w:abstractNumId w:val="15"/>
  </w:num>
  <w:num w:numId="13">
    <w:abstractNumId w:val="4"/>
  </w:num>
  <w:num w:numId="14">
    <w:abstractNumId w:val="12"/>
  </w:num>
  <w:num w:numId="15">
    <w:abstractNumId w:val="13"/>
  </w:num>
  <w:num w:numId="16">
    <w:abstractNumId w:val="2"/>
  </w:num>
  <w:num w:numId="17">
    <w:abstractNumId w:val="0"/>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31"/>
    <w:rsid w:val="00017212"/>
    <w:rsid w:val="00037914"/>
    <w:rsid w:val="00043C41"/>
    <w:rsid w:val="00046320"/>
    <w:rsid w:val="00062470"/>
    <w:rsid w:val="00062EF2"/>
    <w:rsid w:val="00066B31"/>
    <w:rsid w:val="00075334"/>
    <w:rsid w:val="00082F64"/>
    <w:rsid w:val="00083307"/>
    <w:rsid w:val="00084FA2"/>
    <w:rsid w:val="000854C3"/>
    <w:rsid w:val="00085698"/>
    <w:rsid w:val="000B12BC"/>
    <w:rsid w:val="000C6862"/>
    <w:rsid w:val="000D26C7"/>
    <w:rsid w:val="000E1C0A"/>
    <w:rsid w:val="000E36CE"/>
    <w:rsid w:val="000E50B3"/>
    <w:rsid w:val="000F249C"/>
    <w:rsid w:val="000F62E2"/>
    <w:rsid w:val="001004BB"/>
    <w:rsid w:val="001031B9"/>
    <w:rsid w:val="00106BF0"/>
    <w:rsid w:val="00117E3C"/>
    <w:rsid w:val="00134D79"/>
    <w:rsid w:val="001443E6"/>
    <w:rsid w:val="00156D9E"/>
    <w:rsid w:val="001577CA"/>
    <w:rsid w:val="001579B1"/>
    <w:rsid w:val="0016436B"/>
    <w:rsid w:val="00172D32"/>
    <w:rsid w:val="0017521E"/>
    <w:rsid w:val="00181258"/>
    <w:rsid w:val="00184934"/>
    <w:rsid w:val="00186DAE"/>
    <w:rsid w:val="001927F6"/>
    <w:rsid w:val="00193484"/>
    <w:rsid w:val="00195757"/>
    <w:rsid w:val="001A5045"/>
    <w:rsid w:val="001A7452"/>
    <w:rsid w:val="001B6ECC"/>
    <w:rsid w:val="001C10AC"/>
    <w:rsid w:val="001C4991"/>
    <w:rsid w:val="001C70D9"/>
    <w:rsid w:val="001D2F08"/>
    <w:rsid w:val="001E12EE"/>
    <w:rsid w:val="001F52D5"/>
    <w:rsid w:val="001F5EEB"/>
    <w:rsid w:val="001F62F3"/>
    <w:rsid w:val="001F7D27"/>
    <w:rsid w:val="002128C8"/>
    <w:rsid w:val="002207E1"/>
    <w:rsid w:val="00245F82"/>
    <w:rsid w:val="00245FFA"/>
    <w:rsid w:val="00257CCF"/>
    <w:rsid w:val="002609B4"/>
    <w:rsid w:val="002648DF"/>
    <w:rsid w:val="0027112B"/>
    <w:rsid w:val="002736D7"/>
    <w:rsid w:val="00283CA3"/>
    <w:rsid w:val="0028514A"/>
    <w:rsid w:val="002A10BA"/>
    <w:rsid w:val="002C77CA"/>
    <w:rsid w:val="002D10E0"/>
    <w:rsid w:val="002D5F76"/>
    <w:rsid w:val="002E21C8"/>
    <w:rsid w:val="002F0825"/>
    <w:rsid w:val="002F321B"/>
    <w:rsid w:val="00306C98"/>
    <w:rsid w:val="00313309"/>
    <w:rsid w:val="0031422C"/>
    <w:rsid w:val="0032668E"/>
    <w:rsid w:val="00336427"/>
    <w:rsid w:val="00364068"/>
    <w:rsid w:val="00386C97"/>
    <w:rsid w:val="003B1418"/>
    <w:rsid w:val="003B1463"/>
    <w:rsid w:val="003C2716"/>
    <w:rsid w:val="003C2FD2"/>
    <w:rsid w:val="003C31A0"/>
    <w:rsid w:val="003C4517"/>
    <w:rsid w:val="003E17DD"/>
    <w:rsid w:val="003E2E42"/>
    <w:rsid w:val="003F3B06"/>
    <w:rsid w:val="00403E8F"/>
    <w:rsid w:val="004048FC"/>
    <w:rsid w:val="0040526C"/>
    <w:rsid w:val="00407871"/>
    <w:rsid w:val="0043086A"/>
    <w:rsid w:val="00441AD4"/>
    <w:rsid w:val="0044277D"/>
    <w:rsid w:val="00445EC4"/>
    <w:rsid w:val="00446BCA"/>
    <w:rsid w:val="0045650B"/>
    <w:rsid w:val="00456635"/>
    <w:rsid w:val="00471390"/>
    <w:rsid w:val="004730F1"/>
    <w:rsid w:val="00474E01"/>
    <w:rsid w:val="00480903"/>
    <w:rsid w:val="00481490"/>
    <w:rsid w:val="004823D7"/>
    <w:rsid w:val="00482EFD"/>
    <w:rsid w:val="0048321A"/>
    <w:rsid w:val="004832D6"/>
    <w:rsid w:val="0048610B"/>
    <w:rsid w:val="004907A4"/>
    <w:rsid w:val="004950A0"/>
    <w:rsid w:val="00497692"/>
    <w:rsid w:val="00497C8F"/>
    <w:rsid w:val="004B3C2B"/>
    <w:rsid w:val="004E2C2D"/>
    <w:rsid w:val="005027D8"/>
    <w:rsid w:val="005105E4"/>
    <w:rsid w:val="00514645"/>
    <w:rsid w:val="00520273"/>
    <w:rsid w:val="00534234"/>
    <w:rsid w:val="00544546"/>
    <w:rsid w:val="005447DD"/>
    <w:rsid w:val="00547807"/>
    <w:rsid w:val="00564652"/>
    <w:rsid w:val="00564C04"/>
    <w:rsid w:val="00570E62"/>
    <w:rsid w:val="00576074"/>
    <w:rsid w:val="005763D3"/>
    <w:rsid w:val="00596BCF"/>
    <w:rsid w:val="005A3F30"/>
    <w:rsid w:val="005C4F9A"/>
    <w:rsid w:val="005D5EBF"/>
    <w:rsid w:val="005D6213"/>
    <w:rsid w:val="005E6AF5"/>
    <w:rsid w:val="00610C0E"/>
    <w:rsid w:val="00613C98"/>
    <w:rsid w:val="006220B8"/>
    <w:rsid w:val="00623867"/>
    <w:rsid w:val="0063432B"/>
    <w:rsid w:val="006426D2"/>
    <w:rsid w:val="00643079"/>
    <w:rsid w:val="00655443"/>
    <w:rsid w:val="006559F2"/>
    <w:rsid w:val="0066554B"/>
    <w:rsid w:val="006710D3"/>
    <w:rsid w:val="006716AF"/>
    <w:rsid w:val="00672F00"/>
    <w:rsid w:val="00674325"/>
    <w:rsid w:val="0067550D"/>
    <w:rsid w:val="00676D85"/>
    <w:rsid w:val="00684F08"/>
    <w:rsid w:val="006940FB"/>
    <w:rsid w:val="006A635A"/>
    <w:rsid w:val="006A6F5E"/>
    <w:rsid w:val="006B2B29"/>
    <w:rsid w:val="006B6642"/>
    <w:rsid w:val="006C2A6E"/>
    <w:rsid w:val="006C4E85"/>
    <w:rsid w:val="006D0BC2"/>
    <w:rsid w:val="006D5F1C"/>
    <w:rsid w:val="006F21BE"/>
    <w:rsid w:val="00704448"/>
    <w:rsid w:val="0072328D"/>
    <w:rsid w:val="00725283"/>
    <w:rsid w:val="0072736D"/>
    <w:rsid w:val="00730A1A"/>
    <w:rsid w:val="00731799"/>
    <w:rsid w:val="007358BC"/>
    <w:rsid w:val="00746092"/>
    <w:rsid w:val="00756C7F"/>
    <w:rsid w:val="007636BA"/>
    <w:rsid w:val="00777F70"/>
    <w:rsid w:val="007843F1"/>
    <w:rsid w:val="00786BB8"/>
    <w:rsid w:val="007944F9"/>
    <w:rsid w:val="00797E95"/>
    <w:rsid w:val="007A23DF"/>
    <w:rsid w:val="007A4607"/>
    <w:rsid w:val="007A6CC7"/>
    <w:rsid w:val="007B197A"/>
    <w:rsid w:val="007C7102"/>
    <w:rsid w:val="007C73B6"/>
    <w:rsid w:val="007D0449"/>
    <w:rsid w:val="007D66FA"/>
    <w:rsid w:val="007E70A0"/>
    <w:rsid w:val="007F05A8"/>
    <w:rsid w:val="007F13EE"/>
    <w:rsid w:val="007F37B3"/>
    <w:rsid w:val="007F4983"/>
    <w:rsid w:val="00806C05"/>
    <w:rsid w:val="00810E77"/>
    <w:rsid w:val="00812FEA"/>
    <w:rsid w:val="0081647F"/>
    <w:rsid w:val="008263D1"/>
    <w:rsid w:val="00844830"/>
    <w:rsid w:val="008449DD"/>
    <w:rsid w:val="00852C61"/>
    <w:rsid w:val="00880564"/>
    <w:rsid w:val="00886AAA"/>
    <w:rsid w:val="00890086"/>
    <w:rsid w:val="008A27FD"/>
    <w:rsid w:val="008A386D"/>
    <w:rsid w:val="008A4B29"/>
    <w:rsid w:val="008B1873"/>
    <w:rsid w:val="008B3837"/>
    <w:rsid w:val="008B3C4E"/>
    <w:rsid w:val="008C23E3"/>
    <w:rsid w:val="008C2AE5"/>
    <w:rsid w:val="008D5408"/>
    <w:rsid w:val="008D5873"/>
    <w:rsid w:val="008E1F82"/>
    <w:rsid w:val="008F1971"/>
    <w:rsid w:val="009060F7"/>
    <w:rsid w:val="00912D29"/>
    <w:rsid w:val="0091734E"/>
    <w:rsid w:val="009325F6"/>
    <w:rsid w:val="0095014A"/>
    <w:rsid w:val="009506C0"/>
    <w:rsid w:val="00957133"/>
    <w:rsid w:val="00957B55"/>
    <w:rsid w:val="00970BAD"/>
    <w:rsid w:val="00970C7A"/>
    <w:rsid w:val="00972568"/>
    <w:rsid w:val="0097311F"/>
    <w:rsid w:val="00975497"/>
    <w:rsid w:val="00976695"/>
    <w:rsid w:val="00984A9C"/>
    <w:rsid w:val="00985E40"/>
    <w:rsid w:val="009906F8"/>
    <w:rsid w:val="009A2169"/>
    <w:rsid w:val="009A2B1A"/>
    <w:rsid w:val="009A6AA7"/>
    <w:rsid w:val="009C18F7"/>
    <w:rsid w:val="009C210A"/>
    <w:rsid w:val="009C3EFA"/>
    <w:rsid w:val="009E22E8"/>
    <w:rsid w:val="009E5129"/>
    <w:rsid w:val="00A0672F"/>
    <w:rsid w:val="00A07373"/>
    <w:rsid w:val="00A10988"/>
    <w:rsid w:val="00A158AB"/>
    <w:rsid w:val="00A2185E"/>
    <w:rsid w:val="00A2644F"/>
    <w:rsid w:val="00A26963"/>
    <w:rsid w:val="00A463E5"/>
    <w:rsid w:val="00A47A01"/>
    <w:rsid w:val="00A47EB9"/>
    <w:rsid w:val="00A61518"/>
    <w:rsid w:val="00A615C8"/>
    <w:rsid w:val="00A63C7D"/>
    <w:rsid w:val="00A70E4E"/>
    <w:rsid w:val="00A730D8"/>
    <w:rsid w:val="00A76A86"/>
    <w:rsid w:val="00A80686"/>
    <w:rsid w:val="00A8070B"/>
    <w:rsid w:val="00A91161"/>
    <w:rsid w:val="00A94C96"/>
    <w:rsid w:val="00AA06A1"/>
    <w:rsid w:val="00AB2C30"/>
    <w:rsid w:val="00AD4550"/>
    <w:rsid w:val="00AE0905"/>
    <w:rsid w:val="00AF2044"/>
    <w:rsid w:val="00AF208C"/>
    <w:rsid w:val="00AF71BA"/>
    <w:rsid w:val="00B11EB5"/>
    <w:rsid w:val="00B11F59"/>
    <w:rsid w:val="00B15AFB"/>
    <w:rsid w:val="00B17AC1"/>
    <w:rsid w:val="00B2307A"/>
    <w:rsid w:val="00B2722D"/>
    <w:rsid w:val="00B44037"/>
    <w:rsid w:val="00B44AA0"/>
    <w:rsid w:val="00B452C5"/>
    <w:rsid w:val="00B5786A"/>
    <w:rsid w:val="00B62E7D"/>
    <w:rsid w:val="00B7023A"/>
    <w:rsid w:val="00B766FD"/>
    <w:rsid w:val="00B904A1"/>
    <w:rsid w:val="00B91C3F"/>
    <w:rsid w:val="00B92C75"/>
    <w:rsid w:val="00BB0E7F"/>
    <w:rsid w:val="00BB52A9"/>
    <w:rsid w:val="00BD6C52"/>
    <w:rsid w:val="00BE69C6"/>
    <w:rsid w:val="00BF48FE"/>
    <w:rsid w:val="00C0148B"/>
    <w:rsid w:val="00C15725"/>
    <w:rsid w:val="00C20AC6"/>
    <w:rsid w:val="00C20D61"/>
    <w:rsid w:val="00C2316D"/>
    <w:rsid w:val="00C232D8"/>
    <w:rsid w:val="00C30B5F"/>
    <w:rsid w:val="00C327A7"/>
    <w:rsid w:val="00C32FC1"/>
    <w:rsid w:val="00C440EE"/>
    <w:rsid w:val="00C5465D"/>
    <w:rsid w:val="00C56DF1"/>
    <w:rsid w:val="00C75F0C"/>
    <w:rsid w:val="00C76478"/>
    <w:rsid w:val="00C8149E"/>
    <w:rsid w:val="00C91AFD"/>
    <w:rsid w:val="00C967F2"/>
    <w:rsid w:val="00C97744"/>
    <w:rsid w:val="00CA1616"/>
    <w:rsid w:val="00CC520F"/>
    <w:rsid w:val="00CD0BBF"/>
    <w:rsid w:val="00CE7AC5"/>
    <w:rsid w:val="00D40B9F"/>
    <w:rsid w:val="00D4231E"/>
    <w:rsid w:val="00D55624"/>
    <w:rsid w:val="00D56577"/>
    <w:rsid w:val="00D658A9"/>
    <w:rsid w:val="00D71437"/>
    <w:rsid w:val="00D9430C"/>
    <w:rsid w:val="00DB3E89"/>
    <w:rsid w:val="00DC0BAB"/>
    <w:rsid w:val="00DC411A"/>
    <w:rsid w:val="00DC7CD9"/>
    <w:rsid w:val="00DD6ABE"/>
    <w:rsid w:val="00DF0A21"/>
    <w:rsid w:val="00DF5DB2"/>
    <w:rsid w:val="00DF6F08"/>
    <w:rsid w:val="00E10673"/>
    <w:rsid w:val="00E11DED"/>
    <w:rsid w:val="00E17462"/>
    <w:rsid w:val="00E17BEE"/>
    <w:rsid w:val="00E203C7"/>
    <w:rsid w:val="00E27D8C"/>
    <w:rsid w:val="00E32882"/>
    <w:rsid w:val="00E329EA"/>
    <w:rsid w:val="00E439ED"/>
    <w:rsid w:val="00E4610A"/>
    <w:rsid w:val="00E53B03"/>
    <w:rsid w:val="00E95F22"/>
    <w:rsid w:val="00E976B1"/>
    <w:rsid w:val="00EA3060"/>
    <w:rsid w:val="00EB05F9"/>
    <w:rsid w:val="00EC1436"/>
    <w:rsid w:val="00ED7E78"/>
    <w:rsid w:val="00EE0DDB"/>
    <w:rsid w:val="00EF02EC"/>
    <w:rsid w:val="00EF2ACF"/>
    <w:rsid w:val="00EF5D50"/>
    <w:rsid w:val="00F14AA6"/>
    <w:rsid w:val="00F162F6"/>
    <w:rsid w:val="00F2443B"/>
    <w:rsid w:val="00F263D2"/>
    <w:rsid w:val="00F27C4B"/>
    <w:rsid w:val="00F50A74"/>
    <w:rsid w:val="00F54281"/>
    <w:rsid w:val="00F616A1"/>
    <w:rsid w:val="00F70FD8"/>
    <w:rsid w:val="00FA383B"/>
    <w:rsid w:val="00FA46A1"/>
    <w:rsid w:val="00FB4093"/>
    <w:rsid w:val="00FB4AE8"/>
    <w:rsid w:val="00FC0186"/>
    <w:rsid w:val="00FC41CE"/>
    <w:rsid w:val="00FC6C9A"/>
    <w:rsid w:val="00FC7732"/>
    <w:rsid w:val="00FD0A8F"/>
    <w:rsid w:val="00FE0ADD"/>
    <w:rsid w:val="00FE24DD"/>
    <w:rsid w:val="5A8085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B2C30"/>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unhideWhenUsed/>
    <w:rsid w:val="00C8149E"/>
    <w:pPr>
      <w:spacing w:line="256" w:lineRule="auto"/>
    </w:pPr>
    <w:rPr>
      <w:rFonts w:ascii="Times New Roman" w:hAnsi="Times New Roman" w:cs="Times New Roman"/>
      <w:sz w:val="24"/>
      <w:szCs w:val="24"/>
    </w:rPr>
  </w:style>
  <w:style w:type="character" w:styleId="normaltextrun" w:customStyle="1">
    <w:name w:val="normaltextrun"/>
    <w:basedOn w:val="Fuentedeprrafopredeter"/>
    <w:rsid w:val="00810E77"/>
  </w:style>
  <w:style w:type="character" w:styleId="eop" w:customStyle="1">
    <w:name w:val="eop"/>
    <w:basedOn w:val="Fuentedeprrafopredeter"/>
    <w:rsid w:val="00810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65885824">
      <w:bodyDiv w:val="1"/>
      <w:marLeft w:val="0"/>
      <w:marRight w:val="0"/>
      <w:marTop w:val="0"/>
      <w:marBottom w:val="0"/>
      <w:divBdr>
        <w:top w:val="none" w:sz="0" w:space="0" w:color="auto"/>
        <w:left w:val="none" w:sz="0" w:space="0" w:color="auto"/>
        <w:bottom w:val="none" w:sz="0" w:space="0" w:color="auto"/>
        <w:right w:val="none" w:sz="0" w:space="0" w:color="auto"/>
      </w:divBdr>
    </w:div>
    <w:div w:id="77405036">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87379254">
      <w:bodyDiv w:val="1"/>
      <w:marLeft w:val="0"/>
      <w:marRight w:val="0"/>
      <w:marTop w:val="0"/>
      <w:marBottom w:val="0"/>
      <w:divBdr>
        <w:top w:val="none" w:sz="0" w:space="0" w:color="auto"/>
        <w:left w:val="none" w:sz="0" w:space="0" w:color="auto"/>
        <w:bottom w:val="none" w:sz="0" w:space="0" w:color="auto"/>
        <w:right w:val="none" w:sz="0" w:space="0" w:color="auto"/>
      </w:divBdr>
    </w:div>
    <w:div w:id="307708555">
      <w:bodyDiv w:val="1"/>
      <w:marLeft w:val="0"/>
      <w:marRight w:val="0"/>
      <w:marTop w:val="0"/>
      <w:marBottom w:val="0"/>
      <w:divBdr>
        <w:top w:val="none" w:sz="0" w:space="0" w:color="auto"/>
        <w:left w:val="none" w:sz="0" w:space="0" w:color="auto"/>
        <w:bottom w:val="none" w:sz="0" w:space="0" w:color="auto"/>
        <w:right w:val="none" w:sz="0" w:space="0" w:color="auto"/>
      </w:divBdr>
    </w:div>
    <w:div w:id="323628964">
      <w:bodyDiv w:val="1"/>
      <w:marLeft w:val="0"/>
      <w:marRight w:val="0"/>
      <w:marTop w:val="0"/>
      <w:marBottom w:val="0"/>
      <w:divBdr>
        <w:top w:val="none" w:sz="0" w:space="0" w:color="auto"/>
        <w:left w:val="none" w:sz="0" w:space="0" w:color="auto"/>
        <w:bottom w:val="none" w:sz="0" w:space="0" w:color="auto"/>
        <w:right w:val="none" w:sz="0" w:space="0" w:color="auto"/>
      </w:divBdr>
    </w:div>
    <w:div w:id="330521772">
      <w:bodyDiv w:val="1"/>
      <w:marLeft w:val="0"/>
      <w:marRight w:val="0"/>
      <w:marTop w:val="0"/>
      <w:marBottom w:val="0"/>
      <w:divBdr>
        <w:top w:val="none" w:sz="0" w:space="0" w:color="auto"/>
        <w:left w:val="none" w:sz="0" w:space="0" w:color="auto"/>
        <w:bottom w:val="none" w:sz="0" w:space="0" w:color="auto"/>
        <w:right w:val="none" w:sz="0" w:space="0" w:color="auto"/>
      </w:divBdr>
    </w:div>
    <w:div w:id="375275756">
      <w:bodyDiv w:val="1"/>
      <w:marLeft w:val="0"/>
      <w:marRight w:val="0"/>
      <w:marTop w:val="0"/>
      <w:marBottom w:val="0"/>
      <w:divBdr>
        <w:top w:val="none" w:sz="0" w:space="0" w:color="auto"/>
        <w:left w:val="none" w:sz="0" w:space="0" w:color="auto"/>
        <w:bottom w:val="none" w:sz="0" w:space="0" w:color="auto"/>
        <w:right w:val="none" w:sz="0" w:space="0" w:color="auto"/>
      </w:divBdr>
    </w:div>
    <w:div w:id="402797212">
      <w:bodyDiv w:val="1"/>
      <w:marLeft w:val="0"/>
      <w:marRight w:val="0"/>
      <w:marTop w:val="0"/>
      <w:marBottom w:val="0"/>
      <w:divBdr>
        <w:top w:val="none" w:sz="0" w:space="0" w:color="auto"/>
        <w:left w:val="none" w:sz="0" w:space="0" w:color="auto"/>
        <w:bottom w:val="none" w:sz="0" w:space="0" w:color="auto"/>
        <w:right w:val="none" w:sz="0" w:space="0" w:color="auto"/>
      </w:divBdr>
    </w:div>
    <w:div w:id="49244852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689574042">
      <w:bodyDiv w:val="1"/>
      <w:marLeft w:val="0"/>
      <w:marRight w:val="0"/>
      <w:marTop w:val="0"/>
      <w:marBottom w:val="0"/>
      <w:divBdr>
        <w:top w:val="none" w:sz="0" w:space="0" w:color="auto"/>
        <w:left w:val="none" w:sz="0" w:space="0" w:color="auto"/>
        <w:bottom w:val="none" w:sz="0" w:space="0" w:color="auto"/>
        <w:right w:val="none" w:sz="0" w:space="0" w:color="auto"/>
      </w:divBdr>
    </w:div>
    <w:div w:id="841161007">
      <w:bodyDiv w:val="1"/>
      <w:marLeft w:val="0"/>
      <w:marRight w:val="0"/>
      <w:marTop w:val="0"/>
      <w:marBottom w:val="0"/>
      <w:divBdr>
        <w:top w:val="none" w:sz="0" w:space="0" w:color="auto"/>
        <w:left w:val="none" w:sz="0" w:space="0" w:color="auto"/>
        <w:bottom w:val="none" w:sz="0" w:space="0" w:color="auto"/>
        <w:right w:val="none" w:sz="0" w:space="0" w:color="auto"/>
      </w:divBdr>
    </w:div>
    <w:div w:id="947590116">
      <w:bodyDiv w:val="1"/>
      <w:marLeft w:val="0"/>
      <w:marRight w:val="0"/>
      <w:marTop w:val="0"/>
      <w:marBottom w:val="0"/>
      <w:divBdr>
        <w:top w:val="none" w:sz="0" w:space="0" w:color="auto"/>
        <w:left w:val="none" w:sz="0" w:space="0" w:color="auto"/>
        <w:bottom w:val="none" w:sz="0" w:space="0" w:color="auto"/>
        <w:right w:val="none" w:sz="0" w:space="0" w:color="auto"/>
      </w:divBdr>
    </w:div>
    <w:div w:id="1085569808">
      <w:bodyDiv w:val="1"/>
      <w:marLeft w:val="0"/>
      <w:marRight w:val="0"/>
      <w:marTop w:val="0"/>
      <w:marBottom w:val="0"/>
      <w:divBdr>
        <w:top w:val="none" w:sz="0" w:space="0" w:color="auto"/>
        <w:left w:val="none" w:sz="0" w:space="0" w:color="auto"/>
        <w:bottom w:val="none" w:sz="0" w:space="0" w:color="auto"/>
        <w:right w:val="none" w:sz="0" w:space="0" w:color="auto"/>
      </w:divBdr>
    </w:div>
    <w:div w:id="1189686220">
      <w:bodyDiv w:val="1"/>
      <w:marLeft w:val="0"/>
      <w:marRight w:val="0"/>
      <w:marTop w:val="0"/>
      <w:marBottom w:val="0"/>
      <w:divBdr>
        <w:top w:val="none" w:sz="0" w:space="0" w:color="auto"/>
        <w:left w:val="none" w:sz="0" w:space="0" w:color="auto"/>
        <w:bottom w:val="none" w:sz="0" w:space="0" w:color="auto"/>
        <w:right w:val="none" w:sz="0" w:space="0" w:color="auto"/>
      </w:divBdr>
    </w:div>
    <w:div w:id="1270821788">
      <w:bodyDiv w:val="1"/>
      <w:marLeft w:val="0"/>
      <w:marRight w:val="0"/>
      <w:marTop w:val="0"/>
      <w:marBottom w:val="0"/>
      <w:divBdr>
        <w:top w:val="none" w:sz="0" w:space="0" w:color="auto"/>
        <w:left w:val="none" w:sz="0" w:space="0" w:color="auto"/>
        <w:bottom w:val="none" w:sz="0" w:space="0" w:color="auto"/>
        <w:right w:val="none" w:sz="0" w:space="0" w:color="auto"/>
      </w:divBdr>
    </w:div>
    <w:div w:id="1316181000">
      <w:bodyDiv w:val="1"/>
      <w:marLeft w:val="0"/>
      <w:marRight w:val="0"/>
      <w:marTop w:val="0"/>
      <w:marBottom w:val="0"/>
      <w:divBdr>
        <w:top w:val="none" w:sz="0" w:space="0" w:color="auto"/>
        <w:left w:val="none" w:sz="0" w:space="0" w:color="auto"/>
        <w:bottom w:val="none" w:sz="0" w:space="0" w:color="auto"/>
        <w:right w:val="none" w:sz="0" w:space="0" w:color="auto"/>
      </w:divBdr>
    </w:div>
    <w:div w:id="1335836703">
      <w:bodyDiv w:val="1"/>
      <w:marLeft w:val="0"/>
      <w:marRight w:val="0"/>
      <w:marTop w:val="0"/>
      <w:marBottom w:val="0"/>
      <w:divBdr>
        <w:top w:val="none" w:sz="0" w:space="0" w:color="auto"/>
        <w:left w:val="none" w:sz="0" w:space="0" w:color="auto"/>
        <w:bottom w:val="none" w:sz="0" w:space="0" w:color="auto"/>
        <w:right w:val="none" w:sz="0" w:space="0" w:color="auto"/>
      </w:divBdr>
    </w:div>
    <w:div w:id="1365132067">
      <w:bodyDiv w:val="1"/>
      <w:marLeft w:val="0"/>
      <w:marRight w:val="0"/>
      <w:marTop w:val="0"/>
      <w:marBottom w:val="0"/>
      <w:divBdr>
        <w:top w:val="none" w:sz="0" w:space="0" w:color="auto"/>
        <w:left w:val="none" w:sz="0" w:space="0" w:color="auto"/>
        <w:bottom w:val="none" w:sz="0" w:space="0" w:color="auto"/>
        <w:right w:val="none" w:sz="0" w:space="0" w:color="auto"/>
      </w:divBdr>
    </w:div>
    <w:div w:id="1391886216">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563105100">
      <w:bodyDiv w:val="1"/>
      <w:marLeft w:val="0"/>
      <w:marRight w:val="0"/>
      <w:marTop w:val="0"/>
      <w:marBottom w:val="0"/>
      <w:divBdr>
        <w:top w:val="none" w:sz="0" w:space="0" w:color="auto"/>
        <w:left w:val="none" w:sz="0" w:space="0" w:color="auto"/>
        <w:bottom w:val="none" w:sz="0" w:space="0" w:color="auto"/>
        <w:right w:val="none" w:sz="0" w:space="0" w:color="auto"/>
      </w:divBdr>
    </w:div>
    <w:div w:id="1604727562">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1975403815">
      <w:bodyDiv w:val="1"/>
      <w:marLeft w:val="0"/>
      <w:marRight w:val="0"/>
      <w:marTop w:val="0"/>
      <w:marBottom w:val="0"/>
      <w:divBdr>
        <w:top w:val="none" w:sz="0" w:space="0" w:color="auto"/>
        <w:left w:val="none" w:sz="0" w:space="0" w:color="auto"/>
        <w:bottom w:val="none" w:sz="0" w:space="0" w:color="auto"/>
        <w:right w:val="none" w:sz="0" w:space="0" w:color="auto"/>
      </w:divBdr>
    </w:div>
    <w:div w:id="2046711869">
      <w:bodyDiv w:val="1"/>
      <w:marLeft w:val="0"/>
      <w:marRight w:val="0"/>
      <w:marTop w:val="0"/>
      <w:marBottom w:val="0"/>
      <w:divBdr>
        <w:top w:val="none" w:sz="0" w:space="0" w:color="auto"/>
        <w:left w:val="none" w:sz="0" w:space="0" w:color="auto"/>
        <w:bottom w:val="none" w:sz="0" w:space="0" w:color="auto"/>
        <w:right w:val="none" w:sz="0" w:space="0" w:color="auto"/>
      </w:divBdr>
    </w:div>
    <w:div w:id="2047177800">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065643878">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tlalmanalco.gob.mx/manuales2019_2021.php"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 Type="http://schemas.openxmlformats.org/officeDocument/2006/relationships/glossaryDocument" Target="glossary/document.xml" Id="R3a317b953b154dc1"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3d440a0-637a-4af6-86aa-ef9f3ecac356}"/>
      </w:docPartPr>
      <w:docPartBody>
        <w:p w14:paraId="5A80853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F0AFF-51AC-46D2-AD49-546C9392F88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5</revision>
  <dcterms:created xsi:type="dcterms:W3CDTF">2023-05-23T17:41:00.0000000Z</dcterms:created>
  <dcterms:modified xsi:type="dcterms:W3CDTF">2023-06-12T17:24:21.5814721Z</dcterms:modified>
</coreProperties>
</file>