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939" w:rsidRPr="007F12B6" w:rsidRDefault="00383939" w:rsidP="00383939">
      <w:pPr>
        <w:spacing w:line="360" w:lineRule="auto"/>
        <w:jc w:val="both"/>
        <w:rPr>
          <w:rFonts w:ascii="Palatino Linotype" w:eastAsiaTheme="minorEastAsia" w:hAnsi="Palatino Linotype"/>
          <w:lang w:val="es-ES_tradnl" w:eastAsia="es-ES"/>
        </w:rPr>
      </w:pPr>
      <w:r w:rsidRPr="007F12B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C42F70" w:rsidRPr="007F12B6">
        <w:rPr>
          <w:rFonts w:ascii="Palatino Linotype" w:eastAsiaTheme="minorEastAsia" w:hAnsi="Palatino Linotype"/>
          <w:lang w:val="es-ES_tradnl" w:eastAsia="es-ES"/>
        </w:rPr>
        <w:t>echa uno (01) de febrero de dos mil veintitrés</w:t>
      </w:r>
      <w:r w:rsidRPr="007F12B6">
        <w:rPr>
          <w:rFonts w:ascii="Palatino Linotype" w:eastAsiaTheme="minorEastAsia" w:hAnsi="Palatino Linotype"/>
          <w:lang w:val="es-ES_tradnl" w:eastAsia="es-ES"/>
        </w:rPr>
        <w:t>.</w:t>
      </w:r>
    </w:p>
    <w:p w:rsidR="00383939" w:rsidRPr="007F12B6" w:rsidRDefault="00383939" w:rsidP="00383939">
      <w:pPr>
        <w:spacing w:line="360" w:lineRule="auto"/>
        <w:jc w:val="both"/>
        <w:rPr>
          <w:rFonts w:ascii="Palatino Linotype" w:eastAsiaTheme="minorEastAsia" w:hAnsi="Palatino Linotype"/>
          <w:lang w:val="es-ES_tradnl" w:eastAsia="es-ES"/>
        </w:rPr>
      </w:pPr>
    </w:p>
    <w:p w:rsidR="00383939" w:rsidRPr="007F12B6" w:rsidRDefault="00383939" w:rsidP="00383939">
      <w:pPr>
        <w:spacing w:line="360" w:lineRule="auto"/>
        <w:jc w:val="both"/>
        <w:rPr>
          <w:rFonts w:ascii="Palatino Linotype" w:hAnsi="Palatino Linotype"/>
        </w:rPr>
      </w:pPr>
      <w:r w:rsidRPr="007F12B6">
        <w:rPr>
          <w:rFonts w:ascii="Palatino Linotype" w:hAnsi="Palatino Linotype"/>
          <w:b/>
        </w:rPr>
        <w:t>VISTO</w:t>
      </w:r>
      <w:r w:rsidRPr="007F12B6">
        <w:rPr>
          <w:rFonts w:ascii="Palatino Linotype" w:hAnsi="Palatino Linotype"/>
        </w:rPr>
        <w:t xml:space="preserve"> el expediente electrónico formado con motivo del recurso de revisión </w:t>
      </w:r>
      <w:r w:rsidR="00C42F70" w:rsidRPr="007F12B6">
        <w:rPr>
          <w:rFonts w:ascii="Palatino Linotype" w:hAnsi="Palatino Linotype"/>
          <w:b/>
        </w:rPr>
        <w:t>00193</w:t>
      </w:r>
      <w:r w:rsidR="00187499" w:rsidRPr="007F12B6">
        <w:rPr>
          <w:rFonts w:ascii="Palatino Linotype" w:hAnsi="Palatino Linotype"/>
          <w:b/>
        </w:rPr>
        <w:t>/INFOEM/IP/RR/2023</w:t>
      </w:r>
      <w:r w:rsidRPr="007F12B6">
        <w:rPr>
          <w:rFonts w:ascii="Palatino Linotype" w:hAnsi="Palatino Linotype"/>
          <w:b/>
        </w:rPr>
        <w:t>,</w:t>
      </w:r>
      <w:r w:rsidRPr="007F12B6">
        <w:rPr>
          <w:rFonts w:ascii="Palatino Linotype" w:hAnsi="Palatino Linotype" w:cs="Arial"/>
          <w:b/>
          <w:bCs/>
        </w:rPr>
        <w:t xml:space="preserve"> </w:t>
      </w:r>
      <w:r w:rsidRPr="007F12B6">
        <w:rPr>
          <w:rFonts w:ascii="Palatino Linotype" w:eastAsiaTheme="minorEastAsia" w:hAnsi="Palatino Linotype"/>
          <w:lang w:val="es-ES_tradnl" w:eastAsia="es-ES"/>
        </w:rPr>
        <w:t xml:space="preserve">promovido </w:t>
      </w:r>
      <w:r w:rsidR="00C42F70" w:rsidRPr="007F12B6">
        <w:rPr>
          <w:rFonts w:ascii="Palatino Linotype" w:eastAsiaTheme="minorEastAsia" w:hAnsi="Palatino Linotype"/>
          <w:lang w:val="es-ES_tradnl" w:eastAsia="es-ES"/>
        </w:rPr>
        <w:t>por un usuario del Sistema de Acceso a la Información Mexiquense (SAIMEX)</w:t>
      </w:r>
      <w:r w:rsidRPr="007F12B6">
        <w:rPr>
          <w:rFonts w:ascii="Palatino Linotype" w:eastAsiaTheme="minorEastAsia" w:hAnsi="Palatino Linotype"/>
          <w:lang w:val="es-ES_tradnl" w:eastAsia="es-ES"/>
        </w:rPr>
        <w:t>,</w:t>
      </w:r>
      <w:r w:rsidR="00C42F70" w:rsidRPr="007F12B6">
        <w:rPr>
          <w:rFonts w:ascii="Palatino Linotype" w:eastAsiaTheme="minorEastAsia" w:hAnsi="Palatino Linotype"/>
          <w:lang w:val="es-ES_tradnl" w:eastAsia="es-ES"/>
        </w:rPr>
        <w:t xml:space="preserve"> que no proporcionó nombre o seudónimo para ser identificado y</w:t>
      </w:r>
      <w:r w:rsidRPr="007F12B6">
        <w:rPr>
          <w:rFonts w:ascii="Palatino Linotype" w:hAnsi="Palatino Linotype"/>
        </w:rPr>
        <w:t xml:space="preserve"> quien en lo sucesivo se identificará como </w:t>
      </w:r>
      <w:r w:rsidRPr="007F12B6">
        <w:rPr>
          <w:rFonts w:ascii="Palatino Linotype" w:hAnsi="Palatino Linotype"/>
          <w:b/>
        </w:rPr>
        <w:t xml:space="preserve">EL </w:t>
      </w:r>
      <w:r w:rsidRPr="007F12B6">
        <w:rPr>
          <w:rFonts w:ascii="Palatino Linotype" w:hAnsi="Palatino Linotype" w:cs="Arial"/>
          <w:b/>
        </w:rPr>
        <w:t>RECURRENTE</w:t>
      </w:r>
      <w:r w:rsidRPr="007F12B6">
        <w:rPr>
          <w:rFonts w:ascii="Palatino Linotype" w:hAnsi="Palatino Linotype" w:cs="Arial"/>
        </w:rPr>
        <w:t xml:space="preserve">, en contra de la respuesta del </w:t>
      </w:r>
      <w:r w:rsidR="00C42F70" w:rsidRPr="007F12B6">
        <w:rPr>
          <w:rFonts w:ascii="Palatino Linotype" w:hAnsi="Palatino Linotype" w:cs="Arial"/>
          <w:b/>
        </w:rPr>
        <w:t>Ayuntamiento de Metepec</w:t>
      </w:r>
      <w:r w:rsidRPr="007F12B6">
        <w:rPr>
          <w:rFonts w:ascii="Palatino Linotype" w:hAnsi="Palatino Linotype" w:cs="Arial"/>
          <w:b/>
        </w:rPr>
        <w:t>,</w:t>
      </w:r>
      <w:r w:rsidRPr="007F12B6">
        <w:rPr>
          <w:rFonts w:ascii="Palatino Linotype" w:hAnsi="Palatino Linotype"/>
          <w:b/>
        </w:rPr>
        <w:t xml:space="preserve"> </w:t>
      </w:r>
      <w:r w:rsidRPr="007F12B6">
        <w:rPr>
          <w:rFonts w:ascii="Palatino Linotype" w:hAnsi="Palatino Linotype"/>
        </w:rPr>
        <w:t>en lo sucesivo el</w:t>
      </w:r>
      <w:r w:rsidRPr="007F12B6">
        <w:rPr>
          <w:rFonts w:ascii="Palatino Linotype" w:hAnsi="Palatino Linotype"/>
          <w:b/>
        </w:rPr>
        <w:t xml:space="preserve"> SUJETO OBLIGADO</w:t>
      </w:r>
      <w:r w:rsidRPr="007F12B6">
        <w:rPr>
          <w:rFonts w:ascii="Palatino Linotype" w:hAnsi="Palatino Linotype"/>
        </w:rPr>
        <w:t>, por lo que se procede a dictar la presente resolución, con base en los siguientes:</w:t>
      </w:r>
    </w:p>
    <w:p w:rsidR="00383939" w:rsidRPr="007F12B6" w:rsidRDefault="00383939" w:rsidP="00383939">
      <w:pPr>
        <w:spacing w:line="360" w:lineRule="auto"/>
        <w:jc w:val="both"/>
        <w:rPr>
          <w:rFonts w:ascii="Palatino Linotype" w:hAnsi="Palatino Linotype"/>
          <w:b/>
        </w:rPr>
      </w:pPr>
    </w:p>
    <w:p w:rsidR="00383939" w:rsidRPr="007F12B6" w:rsidRDefault="00383939" w:rsidP="00383939">
      <w:pPr>
        <w:keepNext/>
        <w:keepLines/>
        <w:spacing w:line="360" w:lineRule="auto"/>
        <w:jc w:val="center"/>
        <w:outlineLvl w:val="0"/>
        <w:rPr>
          <w:rFonts w:ascii="Palatino Linotype" w:eastAsiaTheme="majorEastAsia" w:hAnsi="Palatino Linotype" w:cstheme="majorBidi"/>
          <w:b/>
        </w:rPr>
      </w:pPr>
      <w:bookmarkStart w:id="0" w:name="_Toc66992241"/>
      <w:r w:rsidRPr="007F12B6">
        <w:rPr>
          <w:rFonts w:ascii="Palatino Linotype" w:eastAsiaTheme="majorEastAsia" w:hAnsi="Palatino Linotype" w:cstheme="majorBidi"/>
          <w:b/>
        </w:rPr>
        <w:t>ANTECEDENTES</w:t>
      </w:r>
      <w:bookmarkEnd w:id="0"/>
    </w:p>
    <w:p w:rsidR="00383939" w:rsidRPr="007F12B6" w:rsidRDefault="00383939" w:rsidP="00383939">
      <w:pPr>
        <w:spacing w:line="360" w:lineRule="auto"/>
        <w:rPr>
          <w:rFonts w:ascii="Palatino Linotype" w:eastAsiaTheme="minorEastAsia" w:hAnsi="Palatino Linotype"/>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Arial"/>
          <w:sz w:val="24"/>
          <w:lang w:val="es-ES" w:eastAsia="es-ES"/>
        </w:rPr>
        <w:t xml:space="preserve">El </w:t>
      </w:r>
      <w:r w:rsidR="00C42F70" w:rsidRPr="007F12B6">
        <w:rPr>
          <w:rFonts w:ascii="Palatino Linotype" w:eastAsia="Calibri" w:hAnsi="Palatino Linotype" w:cs="Arial"/>
          <w:sz w:val="24"/>
          <w:lang w:val="es-ES" w:eastAsia="es-ES"/>
        </w:rPr>
        <w:t>nueve (09) de enero de dos mil veintitrés</w:t>
      </w:r>
      <w:r w:rsidRPr="007F12B6">
        <w:rPr>
          <w:rFonts w:ascii="Palatino Linotype" w:eastAsia="Calibri" w:hAnsi="Palatino Linotype" w:cs="Arial"/>
          <w:sz w:val="24"/>
          <w:lang w:val="es-ES" w:eastAsia="es-ES"/>
        </w:rPr>
        <w:t>,</w:t>
      </w:r>
      <w:r w:rsidRPr="007F12B6">
        <w:rPr>
          <w:rFonts w:ascii="Palatino Linotype" w:eastAsia="Calibri" w:hAnsi="Palatino Linotype"/>
          <w:sz w:val="24"/>
          <w:lang w:val="es-ES" w:eastAsia="es-ES"/>
        </w:rPr>
        <w:t xml:space="preserve"> </w:t>
      </w:r>
      <w:r w:rsidRPr="007F12B6">
        <w:rPr>
          <w:rFonts w:ascii="Palatino Linotype" w:eastAsia="Calibri" w:hAnsi="Palatino Linotype"/>
          <w:b/>
          <w:sz w:val="24"/>
          <w:lang w:val="es-ES" w:eastAsia="es-ES"/>
        </w:rPr>
        <w:t>EL RECURRENTE</w:t>
      </w:r>
      <w:r w:rsidRPr="007F12B6">
        <w:rPr>
          <w:rFonts w:ascii="Palatino Linotype" w:eastAsiaTheme="minorEastAsia" w:hAnsi="Palatino Linotype"/>
          <w:b/>
          <w:sz w:val="24"/>
          <w:lang w:val="es-ES_tradnl" w:eastAsia="es-ES"/>
        </w:rPr>
        <w:t>,</w:t>
      </w:r>
      <w:r w:rsidRPr="007F12B6">
        <w:rPr>
          <w:rFonts w:ascii="Palatino Linotype" w:eastAsia="Calibri" w:hAnsi="Palatino Linotype" w:cs="Arial"/>
          <w:sz w:val="24"/>
          <w:lang w:val="es-ES" w:eastAsia="es-ES"/>
        </w:rPr>
        <w:t xml:space="preserve"> ante el </w:t>
      </w:r>
      <w:r w:rsidRPr="007F12B6">
        <w:rPr>
          <w:rFonts w:ascii="Palatino Linotype" w:eastAsia="Calibri" w:hAnsi="Palatino Linotype" w:cs="Arial"/>
          <w:b/>
          <w:sz w:val="24"/>
          <w:lang w:val="es-ES" w:eastAsia="es-ES"/>
        </w:rPr>
        <w:t>SUJETO OBLIGADO</w:t>
      </w:r>
      <w:r w:rsidRPr="007F12B6">
        <w:rPr>
          <w:rFonts w:ascii="Palatino Linotype" w:eastAsia="Calibri" w:hAnsi="Palatino Linotype" w:cs="Arial"/>
          <w:sz w:val="24"/>
          <w:lang w:val="es-ES_tradnl" w:eastAsia="es-ES"/>
        </w:rPr>
        <w:t xml:space="preserve"> vía </w:t>
      </w:r>
      <w:r w:rsidRPr="007F12B6">
        <w:rPr>
          <w:rFonts w:ascii="Palatino Linotype" w:eastAsia="Calibri" w:hAnsi="Palatino Linotype" w:cs="Arial"/>
          <w:sz w:val="24"/>
          <w:lang w:val="es-ES" w:eastAsia="es-ES"/>
        </w:rPr>
        <w:t>Sistema de Acceso a la Información Mexiquense (</w:t>
      </w:r>
      <w:r w:rsidRPr="007F12B6">
        <w:rPr>
          <w:rFonts w:ascii="Palatino Linotype" w:eastAsia="Calibri" w:hAnsi="Palatino Linotype" w:cs="Arial"/>
          <w:b/>
          <w:sz w:val="24"/>
          <w:lang w:val="es-ES" w:eastAsia="es-ES"/>
        </w:rPr>
        <w:t>SAIMEX)</w:t>
      </w:r>
      <w:r w:rsidRPr="007F12B6">
        <w:rPr>
          <w:rFonts w:ascii="Palatino Linotype" w:eastAsia="Calibri" w:hAnsi="Palatino Linotype" w:cs="Arial"/>
          <w:sz w:val="24"/>
          <w:lang w:val="es-ES" w:eastAsia="es-ES"/>
        </w:rPr>
        <w:t xml:space="preserve">, presentó una solicitud de información registrada con el número </w:t>
      </w:r>
      <w:r w:rsidR="00C42F70" w:rsidRPr="007F12B6">
        <w:rPr>
          <w:rFonts w:ascii="Palatino Linotype" w:hAnsi="Palatino Linotype"/>
          <w:b/>
          <w:bCs/>
          <w:sz w:val="24"/>
        </w:rPr>
        <w:t>00030/METEPEC/IP/2023</w:t>
      </w:r>
      <w:r w:rsidRPr="007F12B6">
        <w:rPr>
          <w:rFonts w:ascii="Palatino Linotype" w:eastAsiaTheme="minorEastAsia" w:hAnsi="Palatino Linotype"/>
          <w:b/>
          <w:sz w:val="24"/>
          <w:lang w:val="es-ES_tradnl" w:eastAsia="es-ES"/>
        </w:rPr>
        <w:t xml:space="preserve">, </w:t>
      </w:r>
      <w:r w:rsidRPr="007F12B6">
        <w:rPr>
          <w:rFonts w:ascii="Palatino Linotype" w:eastAsia="Calibri" w:hAnsi="Palatino Linotype" w:cs="Arial"/>
          <w:sz w:val="24"/>
          <w:lang w:val="es-ES" w:eastAsia="es-ES"/>
        </w:rPr>
        <w:t>mediante la cual solicitó lo siguiente:</w:t>
      </w:r>
    </w:p>
    <w:p w:rsidR="00383939" w:rsidRPr="007F12B6" w:rsidRDefault="00383939" w:rsidP="00383939">
      <w:pPr>
        <w:pStyle w:val="Prrafodelista"/>
        <w:spacing w:line="360" w:lineRule="auto"/>
        <w:ind w:left="0"/>
        <w:jc w:val="both"/>
        <w:rPr>
          <w:rFonts w:ascii="Palatino Linotype" w:hAnsi="Palatino Linotype" w:cs="Arial"/>
          <w:szCs w:val="22"/>
          <w:lang w:val="es-ES" w:eastAsia="es-ES"/>
        </w:rPr>
      </w:pPr>
    </w:p>
    <w:p w:rsidR="00383939" w:rsidRPr="007F12B6" w:rsidRDefault="00383939" w:rsidP="00383939">
      <w:pPr>
        <w:pStyle w:val="Prrafodelista"/>
        <w:spacing w:line="360" w:lineRule="auto"/>
        <w:ind w:right="567"/>
        <w:jc w:val="both"/>
        <w:rPr>
          <w:rFonts w:ascii="Palatino Linotype" w:hAnsi="Palatino Linotype"/>
          <w:i/>
          <w:color w:val="000000"/>
          <w:szCs w:val="22"/>
        </w:rPr>
      </w:pPr>
      <w:r w:rsidRPr="007F12B6">
        <w:rPr>
          <w:rFonts w:ascii="Palatino Linotype" w:hAnsi="Palatino Linotype"/>
          <w:i/>
          <w:color w:val="000000"/>
          <w:szCs w:val="22"/>
        </w:rPr>
        <w:t>“</w:t>
      </w:r>
      <w:r w:rsidR="00C42F70" w:rsidRPr="007F12B6">
        <w:rPr>
          <w:rFonts w:ascii="Palatino Linotype" w:hAnsi="Palatino Linotype"/>
          <w:i/>
          <w:color w:val="000000"/>
          <w:szCs w:val="22"/>
        </w:rPr>
        <w:t>Se pide conocer el organigrama del ayuntamiento de metepec</w:t>
      </w:r>
      <w:r w:rsidRPr="007F12B6">
        <w:rPr>
          <w:rFonts w:ascii="Palatino Linotype" w:hAnsi="Palatino Linotype"/>
          <w:i/>
          <w:color w:val="000000"/>
          <w:szCs w:val="22"/>
        </w:rPr>
        <w:t xml:space="preserve">” (Sic) </w:t>
      </w:r>
    </w:p>
    <w:p w:rsidR="00383939" w:rsidRPr="007F12B6" w:rsidRDefault="00383939" w:rsidP="00383939">
      <w:pPr>
        <w:pStyle w:val="Prrafodelista"/>
        <w:spacing w:line="360" w:lineRule="auto"/>
        <w:ind w:left="0"/>
        <w:jc w:val="both"/>
        <w:rPr>
          <w:rFonts w:ascii="Palatino Linotype" w:hAnsi="Palatino Linotype" w:cs="Arial"/>
          <w:sz w:val="24"/>
          <w:szCs w:val="22"/>
          <w:lang w:val="es-ES" w:eastAsia="es-ES"/>
        </w:rPr>
      </w:pPr>
    </w:p>
    <w:p w:rsidR="00C42F70" w:rsidRPr="007F12B6" w:rsidRDefault="00C42F70"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hAnsi="Palatino Linotype" w:cs="Arial"/>
          <w:sz w:val="24"/>
          <w:szCs w:val="22"/>
          <w:lang w:val="es-ES" w:eastAsia="es-ES"/>
        </w:rPr>
        <w:t xml:space="preserve">Se señaló como modalidad de entrega a través del Sistema de Acceso a la Información Mexiquense (SAIMEX). </w:t>
      </w:r>
    </w:p>
    <w:p w:rsidR="00C42F70" w:rsidRPr="007F12B6" w:rsidRDefault="00C42F70" w:rsidP="00C42F70">
      <w:pPr>
        <w:pStyle w:val="Prrafodelista"/>
        <w:spacing w:line="360" w:lineRule="auto"/>
        <w:ind w:left="0"/>
        <w:jc w:val="both"/>
        <w:rPr>
          <w:rFonts w:ascii="Palatino Linotype" w:hAnsi="Palatino Linotype" w:cs="Arial"/>
          <w:sz w:val="24"/>
          <w:szCs w:val="22"/>
          <w:lang w:val="es-ES" w:eastAsia="es-ES"/>
        </w:rPr>
      </w:pPr>
    </w:p>
    <w:p w:rsidR="00C42F70" w:rsidRPr="007F12B6" w:rsidRDefault="00C42F70" w:rsidP="00C42F70">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hAnsi="Palatino Linotype" w:cs="Arial"/>
          <w:sz w:val="24"/>
          <w:szCs w:val="22"/>
          <w:lang w:val="es-ES" w:eastAsia="es-ES"/>
        </w:rPr>
        <w:lastRenderedPageBreak/>
        <w:t xml:space="preserve">El nueve (09) de enero de dos mil veintitrés, se realizó un requerimiento al servidor público habilitado. </w:t>
      </w:r>
    </w:p>
    <w:p w:rsidR="00C42F70" w:rsidRPr="007F12B6" w:rsidRDefault="00C42F70" w:rsidP="00C42F70">
      <w:pPr>
        <w:pStyle w:val="Prrafodelista"/>
        <w:spacing w:line="360" w:lineRule="auto"/>
        <w:ind w:left="0"/>
        <w:jc w:val="both"/>
        <w:rPr>
          <w:rFonts w:ascii="Palatino Linotype" w:hAnsi="Palatino Linotype" w:cs="Arial"/>
          <w:sz w:val="24"/>
          <w:szCs w:val="22"/>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eastAsiaTheme="minorEastAsia" w:hAnsi="Palatino Linotype"/>
          <w:sz w:val="24"/>
          <w:szCs w:val="22"/>
          <w:lang w:val="es-ES_tradnl" w:eastAsia="es-ES"/>
        </w:rPr>
        <w:t xml:space="preserve">El </w:t>
      </w:r>
      <w:r w:rsidR="00C42F70" w:rsidRPr="007F12B6">
        <w:rPr>
          <w:rFonts w:ascii="Palatino Linotype" w:eastAsiaTheme="minorEastAsia" w:hAnsi="Palatino Linotype"/>
          <w:sz w:val="24"/>
          <w:szCs w:val="22"/>
          <w:lang w:val="es-ES_tradnl" w:eastAsia="es-ES"/>
        </w:rPr>
        <w:t>once (11) de enero de dos mil veintitrés</w:t>
      </w:r>
      <w:r w:rsidRPr="007F12B6">
        <w:rPr>
          <w:rFonts w:ascii="Palatino Linotype" w:eastAsiaTheme="minorEastAsia" w:hAnsi="Palatino Linotype"/>
          <w:sz w:val="24"/>
          <w:szCs w:val="22"/>
          <w:lang w:val="es-ES_tradnl" w:eastAsia="es-ES"/>
        </w:rPr>
        <w:t xml:space="preserve">, </w:t>
      </w:r>
      <w:r w:rsidRPr="007F12B6">
        <w:rPr>
          <w:rFonts w:ascii="Palatino Linotype" w:eastAsia="Calibri" w:hAnsi="Palatino Linotype"/>
          <w:sz w:val="24"/>
          <w:szCs w:val="22"/>
          <w:lang w:val="es-ES" w:eastAsia="es-ES"/>
        </w:rPr>
        <w:t xml:space="preserve">el </w:t>
      </w:r>
      <w:r w:rsidRPr="007F12B6">
        <w:rPr>
          <w:rFonts w:ascii="Palatino Linotype" w:eastAsia="Calibri" w:hAnsi="Palatino Linotype" w:cs="Arial"/>
          <w:b/>
          <w:sz w:val="24"/>
          <w:szCs w:val="22"/>
          <w:lang w:val="es-AR" w:eastAsia="es-ES"/>
        </w:rPr>
        <w:t>SUJETO OBLIGADO</w:t>
      </w:r>
      <w:r w:rsidRPr="007F12B6">
        <w:rPr>
          <w:rFonts w:ascii="Palatino Linotype" w:eastAsia="Calibri" w:hAnsi="Palatino Linotype" w:cs="Arial"/>
          <w:b/>
          <w:i/>
          <w:sz w:val="24"/>
          <w:szCs w:val="22"/>
          <w:lang w:val="es-AR" w:eastAsia="es-ES"/>
        </w:rPr>
        <w:t xml:space="preserve"> </w:t>
      </w:r>
      <w:r w:rsidRPr="007F12B6">
        <w:rPr>
          <w:rFonts w:ascii="Palatino Linotype" w:hAnsi="Palatino Linotype" w:cs="Arial"/>
          <w:sz w:val="24"/>
          <w:szCs w:val="22"/>
          <w:lang w:val="es-ES" w:eastAsia="es-ES"/>
        </w:rPr>
        <w:t>dio respuesta a la solicitud de información en los siguientes términos:</w:t>
      </w:r>
    </w:p>
    <w:p w:rsidR="00383939" w:rsidRPr="007F12B6" w:rsidRDefault="00383939" w:rsidP="00383939">
      <w:pPr>
        <w:spacing w:line="360" w:lineRule="auto"/>
        <w:jc w:val="both"/>
        <w:rPr>
          <w:rFonts w:ascii="Palatino Linotype" w:hAnsi="Palatino Linotype" w:cs="Arial"/>
          <w:szCs w:val="22"/>
          <w:lang w:val="es-ES" w:eastAsia="es-ES"/>
        </w:rPr>
      </w:pPr>
    </w:p>
    <w:tbl>
      <w:tblPr>
        <w:tblW w:w="7171" w:type="dxa"/>
        <w:jc w:val="center"/>
        <w:tblCellSpacing w:w="0" w:type="dxa"/>
        <w:tblCellMar>
          <w:left w:w="0" w:type="dxa"/>
          <w:right w:w="0" w:type="dxa"/>
        </w:tblCellMar>
        <w:tblLook w:val="04A0" w:firstRow="1" w:lastRow="0" w:firstColumn="1" w:lastColumn="0" w:noHBand="0" w:noVBand="1"/>
      </w:tblPr>
      <w:tblGrid>
        <w:gridCol w:w="7171"/>
      </w:tblGrid>
      <w:tr w:rsidR="00C42F70" w:rsidRPr="007F12B6" w:rsidTr="00C42F70">
        <w:trPr>
          <w:trHeight w:val="301"/>
          <w:tblCellSpacing w:w="0" w:type="dxa"/>
          <w:jc w:val="center"/>
        </w:trPr>
        <w:tc>
          <w:tcPr>
            <w:tcW w:w="0" w:type="auto"/>
            <w:vAlign w:val="center"/>
            <w:hideMark/>
          </w:tcPr>
          <w:p w:rsidR="00C42F70" w:rsidRPr="007F12B6" w:rsidRDefault="00C42F70" w:rsidP="00C42F70">
            <w:pPr>
              <w:jc w:val="right"/>
              <w:rPr>
                <w:rFonts w:ascii="Palatino Linotype" w:hAnsi="Palatino Linotype"/>
                <w:i/>
                <w:sz w:val="32"/>
              </w:rPr>
            </w:pPr>
            <w:r w:rsidRPr="007F12B6">
              <w:rPr>
                <w:rFonts w:ascii="Palatino Linotype" w:hAnsi="Palatino Linotype"/>
                <w:i/>
                <w:sz w:val="22"/>
                <w:szCs w:val="18"/>
              </w:rPr>
              <w:t>“Metepec, México a 11 de Enero de 2023</w:t>
            </w:r>
          </w:p>
        </w:tc>
      </w:tr>
      <w:tr w:rsidR="00C42F70" w:rsidRPr="007F12B6" w:rsidTr="00C42F70">
        <w:trPr>
          <w:trHeight w:val="301"/>
          <w:tblCellSpacing w:w="0" w:type="dxa"/>
          <w:jc w:val="center"/>
        </w:trPr>
        <w:tc>
          <w:tcPr>
            <w:tcW w:w="0" w:type="auto"/>
            <w:vAlign w:val="center"/>
            <w:hideMark/>
          </w:tcPr>
          <w:p w:rsidR="00C42F70" w:rsidRPr="007F12B6" w:rsidRDefault="00C42F70" w:rsidP="00C42F70">
            <w:pPr>
              <w:jc w:val="right"/>
              <w:rPr>
                <w:rFonts w:ascii="Palatino Linotype" w:hAnsi="Palatino Linotype"/>
                <w:i/>
                <w:sz w:val="32"/>
              </w:rPr>
            </w:pPr>
            <w:r w:rsidRPr="007F12B6">
              <w:rPr>
                <w:rFonts w:ascii="Palatino Linotype" w:hAnsi="Palatino Linotype"/>
                <w:i/>
                <w:sz w:val="22"/>
                <w:szCs w:val="18"/>
              </w:rPr>
              <w:t>Nombre del solicitante: C. Solicitante</w:t>
            </w:r>
          </w:p>
        </w:tc>
      </w:tr>
      <w:tr w:rsidR="00C42F70" w:rsidRPr="007F12B6" w:rsidTr="00C42F70">
        <w:trPr>
          <w:trHeight w:val="301"/>
          <w:tblCellSpacing w:w="0" w:type="dxa"/>
          <w:jc w:val="center"/>
        </w:trPr>
        <w:tc>
          <w:tcPr>
            <w:tcW w:w="0" w:type="auto"/>
            <w:vAlign w:val="center"/>
            <w:hideMark/>
          </w:tcPr>
          <w:p w:rsidR="00C42F70" w:rsidRPr="007F12B6" w:rsidRDefault="00C42F70" w:rsidP="00C42F70">
            <w:pPr>
              <w:jc w:val="right"/>
              <w:rPr>
                <w:rFonts w:ascii="Palatino Linotype" w:hAnsi="Palatino Linotype"/>
                <w:i/>
                <w:sz w:val="32"/>
              </w:rPr>
            </w:pPr>
            <w:r w:rsidRPr="007F12B6">
              <w:rPr>
                <w:rFonts w:ascii="Palatino Linotype" w:hAnsi="Palatino Linotype"/>
                <w:i/>
                <w:sz w:val="22"/>
                <w:szCs w:val="18"/>
              </w:rPr>
              <w:t>Folio de la solicitud: 00030/METEPEC/IP/2023</w:t>
            </w:r>
          </w:p>
        </w:tc>
      </w:tr>
      <w:tr w:rsidR="00C42F70" w:rsidRPr="007F12B6" w:rsidTr="00C42F70">
        <w:trPr>
          <w:trHeight w:val="452"/>
          <w:tblCellSpacing w:w="0" w:type="dxa"/>
          <w:jc w:val="center"/>
        </w:trPr>
        <w:tc>
          <w:tcPr>
            <w:tcW w:w="0" w:type="auto"/>
            <w:vAlign w:val="center"/>
            <w:hideMark/>
          </w:tcPr>
          <w:p w:rsidR="00C42F70" w:rsidRPr="007F12B6" w:rsidRDefault="00C42F70" w:rsidP="00C42F70">
            <w:pPr>
              <w:jc w:val="right"/>
              <w:rPr>
                <w:rFonts w:ascii="Palatino Linotype" w:hAnsi="Palatino Linotype"/>
                <w:i/>
                <w:sz w:val="32"/>
              </w:rPr>
            </w:pPr>
          </w:p>
        </w:tc>
      </w:tr>
      <w:tr w:rsidR="00C42F70" w:rsidRPr="007F12B6" w:rsidTr="00C42F70">
        <w:trPr>
          <w:trHeight w:val="150"/>
          <w:tblCellSpacing w:w="0" w:type="dxa"/>
          <w:jc w:val="center"/>
        </w:trPr>
        <w:tc>
          <w:tcPr>
            <w:tcW w:w="0" w:type="auto"/>
            <w:vAlign w:val="center"/>
            <w:hideMark/>
          </w:tcPr>
          <w:p w:rsidR="00C42F70" w:rsidRPr="007F12B6" w:rsidRDefault="00C42F70" w:rsidP="00C42F70">
            <w:pPr>
              <w:jc w:val="both"/>
              <w:rPr>
                <w:rFonts w:ascii="Palatino Linotype" w:hAnsi="Palatino Linotype"/>
                <w:i/>
                <w:sz w:val="32"/>
              </w:rPr>
            </w:pPr>
            <w:r w:rsidRPr="007F12B6">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42F70" w:rsidRPr="007F12B6" w:rsidTr="00C42F70">
        <w:trPr>
          <w:trHeight w:val="377"/>
          <w:tblCellSpacing w:w="0" w:type="dxa"/>
          <w:jc w:val="center"/>
        </w:trPr>
        <w:tc>
          <w:tcPr>
            <w:tcW w:w="0" w:type="auto"/>
            <w:vAlign w:val="center"/>
            <w:hideMark/>
          </w:tcPr>
          <w:p w:rsidR="00C42F70" w:rsidRPr="007F12B6" w:rsidRDefault="00C42F70" w:rsidP="00C42F70">
            <w:pPr>
              <w:jc w:val="both"/>
              <w:rPr>
                <w:rFonts w:ascii="Palatino Linotype" w:hAnsi="Palatino Linotype"/>
                <w:i/>
                <w:sz w:val="32"/>
              </w:rPr>
            </w:pPr>
          </w:p>
        </w:tc>
      </w:tr>
      <w:tr w:rsidR="00C42F70" w:rsidRPr="007F12B6" w:rsidTr="00C42F70">
        <w:trPr>
          <w:trHeight w:val="150"/>
          <w:tblCellSpacing w:w="0" w:type="dxa"/>
          <w:jc w:val="center"/>
        </w:trPr>
        <w:tc>
          <w:tcPr>
            <w:tcW w:w="0" w:type="auto"/>
            <w:vAlign w:val="center"/>
            <w:hideMark/>
          </w:tcPr>
          <w:p w:rsidR="00C42F70" w:rsidRPr="007F12B6" w:rsidRDefault="00C42F70" w:rsidP="00C42F70">
            <w:pPr>
              <w:jc w:val="both"/>
              <w:rPr>
                <w:rFonts w:ascii="Palatino Linotype" w:hAnsi="Palatino Linotype"/>
                <w:i/>
                <w:sz w:val="32"/>
              </w:rPr>
            </w:pPr>
            <w:r w:rsidRPr="007F12B6">
              <w:rPr>
                <w:rFonts w:ascii="Palatino Linotype" w:hAnsi="Palatino Linotype"/>
                <w:i/>
                <w:sz w:val="22"/>
                <w:szCs w:val="18"/>
              </w:rPr>
              <w:t>En respuesta a la solicitud recibida por medio del Sistema de Acceso a la Información Mexiquense (SAIMEX). Al respecto, le informo que esta Dirección de Transparencia y Gobierno Abierno,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w:t>
            </w:r>
          </w:p>
        </w:tc>
      </w:tr>
      <w:tr w:rsidR="00C42F70" w:rsidRPr="007F12B6" w:rsidTr="00C42F70">
        <w:trPr>
          <w:trHeight w:val="377"/>
          <w:tblCellSpacing w:w="0" w:type="dxa"/>
          <w:jc w:val="center"/>
        </w:trPr>
        <w:tc>
          <w:tcPr>
            <w:tcW w:w="0" w:type="auto"/>
            <w:vAlign w:val="center"/>
            <w:hideMark/>
          </w:tcPr>
          <w:p w:rsidR="00C42F70" w:rsidRPr="007F12B6" w:rsidRDefault="00C42F70" w:rsidP="00C42F70">
            <w:pPr>
              <w:rPr>
                <w:rFonts w:ascii="Palatino Linotype" w:hAnsi="Palatino Linotype"/>
                <w:i/>
                <w:sz w:val="32"/>
              </w:rPr>
            </w:pPr>
          </w:p>
        </w:tc>
      </w:tr>
      <w:tr w:rsidR="00C42F70" w:rsidRPr="007F12B6" w:rsidTr="00C42F70">
        <w:trPr>
          <w:trHeight w:val="150"/>
          <w:tblCellSpacing w:w="0" w:type="dxa"/>
          <w:jc w:val="center"/>
        </w:trPr>
        <w:tc>
          <w:tcPr>
            <w:tcW w:w="0" w:type="auto"/>
            <w:vAlign w:val="center"/>
            <w:hideMark/>
          </w:tcPr>
          <w:p w:rsidR="00C42F70" w:rsidRPr="007F12B6" w:rsidRDefault="00C42F70" w:rsidP="00C42F70">
            <w:pPr>
              <w:jc w:val="center"/>
              <w:rPr>
                <w:rFonts w:ascii="Palatino Linotype" w:hAnsi="Palatino Linotype"/>
                <w:i/>
                <w:szCs w:val="20"/>
              </w:rPr>
            </w:pPr>
          </w:p>
        </w:tc>
      </w:tr>
      <w:tr w:rsidR="00C42F70" w:rsidRPr="007F12B6" w:rsidTr="00C42F70">
        <w:trPr>
          <w:trHeight w:val="150"/>
          <w:tblCellSpacing w:w="0" w:type="dxa"/>
          <w:jc w:val="center"/>
        </w:trPr>
        <w:tc>
          <w:tcPr>
            <w:tcW w:w="0" w:type="auto"/>
            <w:vAlign w:val="center"/>
            <w:hideMark/>
          </w:tcPr>
          <w:p w:rsidR="00C42F70" w:rsidRPr="007F12B6" w:rsidRDefault="00C42F70" w:rsidP="00C42F70">
            <w:pPr>
              <w:rPr>
                <w:rFonts w:ascii="Palatino Linotype" w:hAnsi="Palatino Linotype"/>
                <w:i/>
                <w:szCs w:val="20"/>
              </w:rPr>
            </w:pPr>
          </w:p>
        </w:tc>
      </w:tr>
      <w:tr w:rsidR="00C42F70" w:rsidRPr="007F12B6" w:rsidTr="00C42F70">
        <w:trPr>
          <w:trHeight w:val="150"/>
          <w:tblCellSpacing w:w="0" w:type="dxa"/>
          <w:jc w:val="center"/>
        </w:trPr>
        <w:tc>
          <w:tcPr>
            <w:tcW w:w="0" w:type="auto"/>
            <w:vAlign w:val="center"/>
            <w:hideMark/>
          </w:tcPr>
          <w:p w:rsidR="00C42F70" w:rsidRPr="007F12B6" w:rsidRDefault="00C42F70" w:rsidP="00C42F70">
            <w:pPr>
              <w:rPr>
                <w:rFonts w:ascii="Palatino Linotype" w:hAnsi="Palatino Linotype"/>
                <w:i/>
                <w:sz w:val="32"/>
              </w:rPr>
            </w:pPr>
            <w:r w:rsidRPr="007F12B6">
              <w:rPr>
                <w:rFonts w:ascii="Palatino Linotype" w:hAnsi="Palatino Linotype"/>
                <w:i/>
                <w:sz w:val="22"/>
                <w:szCs w:val="18"/>
              </w:rPr>
              <w:t>ATENTAMENTE</w:t>
            </w:r>
          </w:p>
        </w:tc>
      </w:tr>
      <w:tr w:rsidR="00C42F70" w:rsidRPr="007F12B6" w:rsidTr="00C42F70">
        <w:trPr>
          <w:trHeight w:val="226"/>
          <w:tblCellSpacing w:w="0" w:type="dxa"/>
          <w:jc w:val="center"/>
        </w:trPr>
        <w:tc>
          <w:tcPr>
            <w:tcW w:w="0" w:type="auto"/>
            <w:vAlign w:val="center"/>
            <w:hideMark/>
          </w:tcPr>
          <w:p w:rsidR="00C42F70" w:rsidRPr="007F12B6" w:rsidRDefault="00C42F70" w:rsidP="00C42F70">
            <w:pPr>
              <w:rPr>
                <w:rFonts w:ascii="Palatino Linotype" w:hAnsi="Palatino Linotype"/>
                <w:i/>
                <w:sz w:val="32"/>
              </w:rPr>
            </w:pPr>
          </w:p>
        </w:tc>
      </w:tr>
      <w:tr w:rsidR="00C42F70" w:rsidRPr="007F12B6" w:rsidTr="00C42F70">
        <w:trPr>
          <w:trHeight w:val="150"/>
          <w:tblCellSpacing w:w="0" w:type="dxa"/>
          <w:jc w:val="center"/>
        </w:trPr>
        <w:tc>
          <w:tcPr>
            <w:tcW w:w="0" w:type="auto"/>
            <w:vAlign w:val="center"/>
            <w:hideMark/>
          </w:tcPr>
          <w:p w:rsidR="00C42F70" w:rsidRPr="007F12B6" w:rsidRDefault="00C42F70" w:rsidP="00C42F70">
            <w:pPr>
              <w:rPr>
                <w:rFonts w:ascii="Palatino Linotype" w:hAnsi="Palatino Linotype"/>
                <w:i/>
                <w:sz w:val="32"/>
              </w:rPr>
            </w:pPr>
            <w:r w:rsidRPr="007F12B6">
              <w:rPr>
                <w:rFonts w:ascii="Palatino Linotype" w:hAnsi="Palatino Linotype"/>
                <w:i/>
                <w:sz w:val="22"/>
                <w:szCs w:val="18"/>
              </w:rPr>
              <w:t>Lic. Gerardo Arturo Ozuna Martínez”</w:t>
            </w:r>
          </w:p>
        </w:tc>
      </w:tr>
    </w:tbl>
    <w:p w:rsidR="00383939" w:rsidRPr="007F12B6" w:rsidRDefault="00383939" w:rsidP="00383939">
      <w:pPr>
        <w:spacing w:line="360" w:lineRule="auto"/>
        <w:jc w:val="both"/>
        <w:rPr>
          <w:rFonts w:ascii="Palatino Linotype" w:hAnsi="Palatino Linotype" w:cs="Arial"/>
          <w:i/>
          <w:sz w:val="32"/>
          <w:szCs w:val="22"/>
          <w:lang w:val="es-ES" w:eastAsia="es-ES"/>
        </w:rPr>
      </w:pPr>
    </w:p>
    <w:p w:rsidR="00383939" w:rsidRPr="007F12B6" w:rsidRDefault="00383939" w:rsidP="00A12546">
      <w:pPr>
        <w:pStyle w:val="Prrafodelista"/>
        <w:numPr>
          <w:ilvl w:val="0"/>
          <w:numId w:val="2"/>
        </w:numPr>
        <w:spacing w:line="360" w:lineRule="auto"/>
        <w:jc w:val="both"/>
        <w:rPr>
          <w:rFonts w:ascii="Palatino Linotype" w:hAnsi="Palatino Linotype"/>
        </w:rPr>
      </w:pPr>
      <w:r w:rsidRPr="007F12B6">
        <w:rPr>
          <w:rFonts w:ascii="Palatino Linotype" w:hAnsi="Palatino Linotype" w:cs="Arial"/>
          <w:szCs w:val="22"/>
          <w:lang w:val="es-ES" w:eastAsia="es-ES"/>
        </w:rPr>
        <w:t xml:space="preserve">A la respuesta se adjuntó el archivo </w:t>
      </w:r>
      <w:hyperlink r:id="rId7" w:tgtFrame="_blank" w:history="1">
        <w:r w:rsidR="00C42F70" w:rsidRPr="007F12B6">
          <w:rPr>
            <w:rStyle w:val="Hipervnculo"/>
            <w:rFonts w:ascii="Palatino Linotype" w:hAnsi="Palatino Linotype" w:cs="Arial"/>
            <w:b/>
            <w:bCs/>
            <w:color w:val="auto"/>
          </w:rPr>
          <w:t>30.PDF</w:t>
        </w:r>
      </w:hyperlink>
      <w:r w:rsidRPr="007F12B6">
        <w:rPr>
          <w:rFonts w:ascii="Palatino Linotype" w:hAnsi="Palatino Linotype"/>
        </w:rPr>
        <w:t xml:space="preserve">: </w:t>
      </w:r>
      <w:r w:rsidR="00C42F70" w:rsidRPr="007F12B6">
        <w:rPr>
          <w:rFonts w:ascii="Palatino Linotype" w:hAnsi="Palatino Linotype"/>
        </w:rPr>
        <w:t>oficio DTyGA/MET/0008/2023 de fecha diez de enero de dos mil veintitrés, suscrito por el Director de Transparencia y Gobierno Abierto a trav</w:t>
      </w:r>
      <w:r w:rsidR="00A12546" w:rsidRPr="007F12B6">
        <w:rPr>
          <w:rFonts w:ascii="Palatino Linotype" w:hAnsi="Palatino Linotype"/>
        </w:rPr>
        <w:t>és del cual manifestó:</w:t>
      </w:r>
    </w:p>
    <w:p w:rsidR="00A12546" w:rsidRPr="007F12B6" w:rsidRDefault="00A12546" w:rsidP="00A12546">
      <w:pPr>
        <w:pStyle w:val="Prrafodelista"/>
        <w:spacing w:line="360" w:lineRule="auto"/>
        <w:jc w:val="both"/>
        <w:rPr>
          <w:rFonts w:ascii="Palatino Linotype" w:hAnsi="Palatino Linotype"/>
        </w:rPr>
      </w:pPr>
    </w:p>
    <w:p w:rsidR="00A12546" w:rsidRPr="007F12B6" w:rsidRDefault="00A12546" w:rsidP="00A12546">
      <w:pPr>
        <w:pStyle w:val="Prrafodelista"/>
        <w:spacing w:line="360" w:lineRule="auto"/>
        <w:jc w:val="both"/>
        <w:rPr>
          <w:rFonts w:ascii="Palatino Linotype" w:hAnsi="Palatino Linotype" w:cs="Arial"/>
          <w:i/>
          <w:szCs w:val="22"/>
          <w:lang w:val="es-ES" w:eastAsia="es-ES"/>
        </w:rPr>
      </w:pPr>
      <w:r w:rsidRPr="007F12B6">
        <w:rPr>
          <w:rFonts w:ascii="Palatino Linotype" w:hAnsi="Palatino Linotype" w:cs="Arial"/>
          <w:i/>
          <w:szCs w:val="22"/>
          <w:lang w:val="es-ES" w:eastAsia="es-ES"/>
        </w:rPr>
        <w:t>“Al respecto, le comparto que la información antes referida es una obligación común de este Sujeto Obligado conferida en el articulo 92, fracción II B de la Ley de Transparencia y Acceso a la Información Pública del Estado de México, por lo que esta Unidad de Transparencia redirecciona al solicitante a la página web de la Información Pública de Oficio de los Sujetos Obligados del Estado de México y Municipios en la siguiente liga:</w:t>
      </w:r>
    </w:p>
    <w:p w:rsidR="00A12546" w:rsidRPr="007F12B6" w:rsidRDefault="00A12546" w:rsidP="00A12546">
      <w:pPr>
        <w:pStyle w:val="Prrafodelista"/>
        <w:spacing w:line="360" w:lineRule="auto"/>
        <w:jc w:val="both"/>
        <w:rPr>
          <w:rFonts w:ascii="Palatino Linotype" w:hAnsi="Palatino Linotype" w:cs="Arial"/>
          <w:i/>
          <w:szCs w:val="22"/>
          <w:lang w:val="es-ES" w:eastAsia="es-ES"/>
        </w:rPr>
      </w:pPr>
    </w:p>
    <w:p w:rsidR="00A12546" w:rsidRPr="007F12B6" w:rsidRDefault="007F12B6" w:rsidP="00A12546">
      <w:pPr>
        <w:pStyle w:val="Prrafodelista"/>
        <w:spacing w:line="360" w:lineRule="auto"/>
        <w:jc w:val="both"/>
        <w:rPr>
          <w:rFonts w:ascii="Palatino Linotype" w:hAnsi="Palatino Linotype" w:cs="Arial"/>
          <w:i/>
          <w:szCs w:val="22"/>
          <w:lang w:val="es-ES" w:eastAsia="es-ES"/>
        </w:rPr>
      </w:pPr>
      <w:hyperlink r:id="rId8" w:history="1">
        <w:r w:rsidR="00A12546" w:rsidRPr="007F12B6">
          <w:rPr>
            <w:rStyle w:val="Hipervnculo"/>
            <w:rFonts w:ascii="Palatino Linotype" w:hAnsi="Palatino Linotype"/>
            <w:i/>
          </w:rPr>
          <w:t>https://www.ipomex.org.mx/ipo3/lgt/indice/METEPEC/art_92_ii_b.web?token=03AD1lbLCCmaq_WK8lXmrL59UrdtpQz1cQUr5J9-RDmvSy9SYVsCKYgN5sd6lkj6ADzSjFVd1xPZw3q-UlBre3gV9mzyG_-OwmCFUv-enci0oBuUmXruxJya8hdSlsFU8_11pt_s8MYL77wOaP5wvBbiues0Bi7ps8TqJUVKY0MiLDOJS-cBUn6G-WJ6gpJyTOWCiOe81GCB16dKdQkn6K521NWdGQZVO031N73vo_RoFbA0RlwAWx_eCVC3H3-KsyEd35xFdoQRjO9FAz5GQfHfFPSld5OLZliY78pgNfj89ZPa_EE6pjQDpkjNeo76vXgzeVjG2gSQ7xRK_SCscgdceooVdsbgkETsOXvh5HrlJPWbkT0eF24L40vlMH8wPq-KOQh_QlcNKWWg419VzzFRGSxymp2Zfu81ern_c5Kce1ns3oAsGlJSmBOztGihz7rNEjbCW0hxiSBUQANLQDeJTL686uXK3n643of034GsLHUcE31lgotONuns56s0SWLq77A5Jiab5Dd5eo5TEVmBuaVJYDXYXggpM-87ejkjRxmv_6JattRF4</w:t>
        </w:r>
      </w:hyperlink>
      <w:r w:rsidR="00A12546" w:rsidRPr="007F12B6">
        <w:rPr>
          <w:rFonts w:ascii="Palatino Linotype" w:hAnsi="Palatino Linotype"/>
          <w:i/>
        </w:rPr>
        <w:t xml:space="preserve"> “. </w:t>
      </w:r>
    </w:p>
    <w:p w:rsidR="00A12546" w:rsidRPr="007F12B6" w:rsidRDefault="00A12546" w:rsidP="00A12546">
      <w:pPr>
        <w:pStyle w:val="Prrafodelista"/>
        <w:spacing w:line="360" w:lineRule="auto"/>
        <w:jc w:val="both"/>
        <w:rPr>
          <w:rFonts w:ascii="Palatino Linotype" w:hAnsi="Palatino Linotype"/>
        </w:rPr>
      </w:pPr>
    </w:p>
    <w:p w:rsidR="00A12546" w:rsidRPr="007F12B6" w:rsidRDefault="00A12546" w:rsidP="00383939">
      <w:pPr>
        <w:spacing w:line="360" w:lineRule="auto"/>
        <w:jc w:val="both"/>
        <w:rPr>
          <w:rFonts w:ascii="Palatino Linotype" w:hAnsi="Palatino Linotype" w:cs="Arial"/>
          <w:szCs w:val="22"/>
          <w:lang w:val="es-ES" w:eastAsia="es-ES"/>
        </w:rPr>
      </w:pPr>
    </w:p>
    <w:p w:rsidR="00383939" w:rsidRPr="007F12B6" w:rsidRDefault="00383939" w:rsidP="00383939">
      <w:pPr>
        <w:spacing w:line="360" w:lineRule="auto"/>
        <w:jc w:val="both"/>
        <w:rPr>
          <w:rFonts w:ascii="Palatino Linotype" w:hAnsi="Palatino Linotype" w:cs="Arial"/>
          <w:szCs w:val="22"/>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eastAsia="Calibri" w:hAnsi="Palatino Linotype" w:cs="Arial"/>
          <w:sz w:val="24"/>
          <w:szCs w:val="22"/>
          <w:lang w:val="es-AR" w:eastAsia="es-ES"/>
        </w:rPr>
        <w:t xml:space="preserve">El </w:t>
      </w:r>
      <w:r w:rsidR="00A12546" w:rsidRPr="007F12B6">
        <w:rPr>
          <w:rFonts w:ascii="Palatino Linotype" w:eastAsia="Calibri" w:hAnsi="Palatino Linotype" w:cs="Arial"/>
          <w:sz w:val="24"/>
          <w:szCs w:val="22"/>
          <w:lang w:val="es-AR" w:eastAsia="es-ES"/>
        </w:rPr>
        <w:t>once (11) de enero de dos mil veintitrés</w:t>
      </w:r>
      <w:r w:rsidRPr="007F12B6">
        <w:rPr>
          <w:rFonts w:ascii="Palatino Linotype" w:hAnsi="Palatino Linotype" w:cs="Arial"/>
          <w:sz w:val="24"/>
          <w:szCs w:val="22"/>
          <w:lang w:val="es-ES" w:eastAsia="es-ES"/>
        </w:rPr>
        <w:t xml:space="preserve">, </w:t>
      </w:r>
      <w:r w:rsidRPr="007F12B6">
        <w:rPr>
          <w:rFonts w:ascii="Palatino Linotype" w:eastAsiaTheme="minorEastAsia" w:hAnsi="Palatino Linotype"/>
          <w:b/>
          <w:sz w:val="24"/>
          <w:szCs w:val="22"/>
          <w:lang w:val="es-ES_tradnl" w:eastAsia="es-ES"/>
        </w:rPr>
        <w:t>EL RECURRENTE</w:t>
      </w:r>
      <w:r w:rsidRPr="007F12B6">
        <w:rPr>
          <w:rFonts w:ascii="Palatino Linotype" w:hAnsi="Palatino Linotype" w:cs="Arial"/>
          <w:sz w:val="24"/>
          <w:szCs w:val="22"/>
          <w:lang w:val="es-ES" w:eastAsia="es-ES"/>
        </w:rPr>
        <w:t xml:space="preserve"> interpuso el recurso de revisión, en contra de la respuesta, señalando como:</w:t>
      </w:r>
    </w:p>
    <w:p w:rsidR="00383939" w:rsidRPr="007F12B6" w:rsidRDefault="00383939" w:rsidP="00383939">
      <w:pPr>
        <w:pStyle w:val="Prrafodelista"/>
        <w:spacing w:line="360" w:lineRule="auto"/>
        <w:ind w:left="0"/>
        <w:jc w:val="both"/>
        <w:rPr>
          <w:rFonts w:ascii="Palatino Linotype" w:hAnsi="Palatino Linotype" w:cs="Arial"/>
          <w:szCs w:val="22"/>
          <w:lang w:val="es-ES" w:eastAsia="es-ES"/>
        </w:rPr>
      </w:pPr>
    </w:p>
    <w:p w:rsidR="00383939" w:rsidRPr="007F12B6" w:rsidRDefault="00383939" w:rsidP="00383939">
      <w:pPr>
        <w:spacing w:line="360" w:lineRule="auto"/>
        <w:ind w:left="567" w:right="567"/>
        <w:contextualSpacing/>
        <w:jc w:val="both"/>
        <w:rPr>
          <w:rFonts w:ascii="Palatino Linotype" w:eastAsia="Calibri" w:hAnsi="Palatino Linotype" w:cs="Arial"/>
          <w:i/>
          <w:sz w:val="22"/>
          <w:szCs w:val="22"/>
          <w:lang w:val="es-ES" w:eastAsia="es-ES"/>
        </w:rPr>
      </w:pPr>
      <w:r w:rsidRPr="007F12B6">
        <w:rPr>
          <w:rFonts w:ascii="Palatino Linotype" w:eastAsiaTheme="minorEastAsia" w:hAnsi="Palatino Linotype"/>
          <w:b/>
          <w:sz w:val="22"/>
          <w:szCs w:val="22"/>
          <w:lang w:val="es-ES_tradnl" w:eastAsia="es-ES"/>
        </w:rPr>
        <w:t>Acto impugnado</w:t>
      </w:r>
      <w:r w:rsidRPr="007F12B6">
        <w:rPr>
          <w:rFonts w:ascii="Palatino Linotype" w:eastAsiaTheme="minorEastAsia" w:hAnsi="Palatino Linotype"/>
          <w:b/>
          <w:i/>
          <w:sz w:val="22"/>
          <w:szCs w:val="22"/>
          <w:lang w:val="es-ES_tradnl" w:eastAsia="es-ES"/>
        </w:rPr>
        <w:t>:</w:t>
      </w:r>
      <w:r w:rsidRPr="007F12B6">
        <w:rPr>
          <w:rFonts w:ascii="Palatino Linotype" w:hAnsi="Palatino Linotype"/>
          <w:i/>
          <w:color w:val="000000"/>
          <w:sz w:val="22"/>
          <w:szCs w:val="22"/>
        </w:rPr>
        <w:t xml:space="preserve"> “</w:t>
      </w:r>
      <w:r w:rsidR="00A12546" w:rsidRPr="007F12B6">
        <w:rPr>
          <w:rFonts w:ascii="Palatino Linotype" w:hAnsi="Palatino Linotype"/>
          <w:i/>
          <w:color w:val="000000"/>
          <w:sz w:val="22"/>
          <w:szCs w:val="22"/>
        </w:rPr>
        <w:t>La respuesta del sujeto obligado</w:t>
      </w:r>
      <w:r w:rsidRPr="007F12B6">
        <w:rPr>
          <w:rFonts w:ascii="Palatino Linotype" w:hAnsi="Palatino Linotype"/>
          <w:i/>
          <w:color w:val="000000"/>
          <w:sz w:val="22"/>
          <w:szCs w:val="22"/>
        </w:rPr>
        <w:t>" (Sic)</w:t>
      </w:r>
    </w:p>
    <w:p w:rsidR="00383939" w:rsidRPr="007F12B6" w:rsidRDefault="00383939" w:rsidP="00383939">
      <w:pPr>
        <w:spacing w:line="360" w:lineRule="auto"/>
        <w:ind w:left="567" w:right="567"/>
        <w:contextualSpacing/>
        <w:jc w:val="both"/>
        <w:rPr>
          <w:rFonts w:ascii="Palatino Linotype" w:eastAsia="Calibri" w:hAnsi="Palatino Linotype" w:cs="Arial"/>
          <w:sz w:val="22"/>
          <w:szCs w:val="22"/>
          <w:lang w:val="es-ES" w:eastAsia="es-ES"/>
        </w:rPr>
      </w:pPr>
    </w:p>
    <w:p w:rsidR="00383939" w:rsidRPr="007F12B6" w:rsidRDefault="00383939" w:rsidP="00A12546">
      <w:pPr>
        <w:spacing w:line="360" w:lineRule="auto"/>
        <w:ind w:left="567" w:right="567"/>
        <w:contextualSpacing/>
        <w:jc w:val="both"/>
        <w:rPr>
          <w:rFonts w:ascii="Palatino Linotype" w:hAnsi="Palatino Linotype"/>
          <w:i/>
          <w:color w:val="000000"/>
          <w:sz w:val="22"/>
          <w:szCs w:val="22"/>
        </w:rPr>
      </w:pPr>
      <w:r w:rsidRPr="007F12B6">
        <w:rPr>
          <w:rFonts w:ascii="Palatino Linotype" w:eastAsiaTheme="minorEastAsia" w:hAnsi="Palatino Linotype"/>
          <w:b/>
          <w:sz w:val="22"/>
          <w:szCs w:val="22"/>
          <w:lang w:val="es-ES_tradnl" w:eastAsia="es-ES"/>
        </w:rPr>
        <w:t>Razones o Motivos de inconformidad</w:t>
      </w:r>
      <w:r w:rsidR="00A12546" w:rsidRPr="007F12B6">
        <w:rPr>
          <w:rFonts w:ascii="Palatino Linotype" w:eastAsiaTheme="minorEastAsia" w:hAnsi="Palatino Linotype"/>
          <w:b/>
          <w:sz w:val="22"/>
          <w:szCs w:val="22"/>
          <w:lang w:val="es-ES_tradnl" w:eastAsia="es-ES"/>
        </w:rPr>
        <w:t>: “</w:t>
      </w:r>
      <w:r w:rsidR="00A12546" w:rsidRPr="007F12B6">
        <w:rPr>
          <w:rFonts w:ascii="Palatino Linotype" w:hAnsi="Palatino Linotype"/>
          <w:i/>
          <w:color w:val="000000"/>
          <w:sz w:val="22"/>
          <w:szCs w:val="22"/>
        </w:rPr>
        <w:t>No es claro su ofició” (Sic)</w:t>
      </w:r>
    </w:p>
    <w:p w:rsidR="00383939" w:rsidRPr="007F12B6" w:rsidRDefault="00383939" w:rsidP="00383939">
      <w:pPr>
        <w:spacing w:line="360" w:lineRule="auto"/>
        <w:jc w:val="both"/>
        <w:rPr>
          <w:rFonts w:ascii="Palatino Linotype" w:hAnsi="Palatino Linotype" w:cs="Arial"/>
          <w:szCs w:val="22"/>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hAnsi="Palatino Linotype" w:cs="Arial"/>
          <w:sz w:val="24"/>
          <w:lang w:val="es-ES" w:eastAsia="es-ES"/>
        </w:rPr>
        <w:t xml:space="preserve">Se registró el recurso de revisión bajo el número de expediente </w:t>
      </w:r>
      <w:r w:rsidRPr="007F12B6">
        <w:rPr>
          <w:rFonts w:ascii="Palatino Linotype" w:eastAsiaTheme="minorEastAsia" w:hAnsi="Palatino Linotype" w:cs="Arial"/>
          <w:bCs/>
          <w:sz w:val="24"/>
          <w:lang w:val="es-ES_tradnl" w:eastAsia="es-ES"/>
        </w:rPr>
        <w:t xml:space="preserve">al rubro indicado, asimismo con fundamento en lo dispuesto por el </w:t>
      </w:r>
      <w:r w:rsidRPr="007F12B6">
        <w:rPr>
          <w:rFonts w:ascii="Palatino Linotype" w:eastAsia="Calibri" w:hAnsi="Palatino Linotype" w:cs="Arial"/>
          <w:sz w:val="24"/>
          <w:lang w:val="es-ES" w:eastAsia="es-ES"/>
        </w:rPr>
        <w:t xml:space="preserve">artículo 185 fracción I de la </w:t>
      </w:r>
      <w:r w:rsidRPr="007F12B6">
        <w:rPr>
          <w:rFonts w:ascii="Palatino Linotype" w:eastAsia="Calibri" w:hAnsi="Palatino Linotype" w:cs="Arial"/>
          <w:b/>
          <w:sz w:val="24"/>
          <w:lang w:val="es-ES" w:eastAsia="es-ES"/>
        </w:rPr>
        <w:t xml:space="preserve">Ley de Transparencia y Acceso a la Información Pública del Estado de México y Municipios </w:t>
      </w:r>
      <w:r w:rsidRPr="007F12B6">
        <w:rPr>
          <w:rFonts w:ascii="Palatino Linotype" w:hAnsi="Palatino Linotype" w:cs="Arial"/>
          <w:sz w:val="24"/>
          <w:lang w:val="es-ES" w:eastAsia="es-ES"/>
        </w:rPr>
        <w:t xml:space="preserve">se turnó a la </w:t>
      </w:r>
      <w:r w:rsidRPr="007F12B6">
        <w:rPr>
          <w:rFonts w:ascii="Palatino Linotype" w:hAnsi="Palatino Linotype" w:cs="Arial"/>
          <w:b/>
          <w:sz w:val="24"/>
          <w:lang w:val="es-ES" w:eastAsia="es-ES"/>
        </w:rPr>
        <w:t xml:space="preserve">Comisionada María del Rosario Mejía Ayala, </w:t>
      </w:r>
      <w:r w:rsidRPr="007F12B6">
        <w:rPr>
          <w:rFonts w:ascii="Palatino Linotype" w:hAnsi="Palatino Linotype" w:cs="Arial"/>
          <w:sz w:val="24"/>
          <w:lang w:val="es-ES" w:eastAsia="es-ES"/>
        </w:rPr>
        <w:t xml:space="preserve">con el objeto de </w:t>
      </w:r>
      <w:r w:rsidRPr="007F12B6">
        <w:rPr>
          <w:rFonts w:ascii="Palatino Linotype" w:hAnsi="Palatino Linotype" w:cs="Arial"/>
          <w:sz w:val="24"/>
          <w:lang w:eastAsia="es-ES"/>
        </w:rPr>
        <w:t xml:space="preserve">su análisis. </w:t>
      </w:r>
    </w:p>
    <w:p w:rsidR="00383939" w:rsidRPr="007F12B6" w:rsidRDefault="00383939" w:rsidP="00383939">
      <w:pPr>
        <w:pStyle w:val="Prrafodelista"/>
        <w:spacing w:line="360" w:lineRule="auto"/>
        <w:ind w:left="0"/>
        <w:jc w:val="both"/>
        <w:rPr>
          <w:rFonts w:ascii="Palatino Linotype" w:hAnsi="Palatino Linotype" w:cs="Arial"/>
          <w:sz w:val="24"/>
          <w:szCs w:val="22"/>
          <w:lang w:val="es-ES" w:eastAsia="es-ES"/>
        </w:rPr>
      </w:pPr>
    </w:p>
    <w:p w:rsidR="00A12546" w:rsidRPr="007F12B6"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fecha </w:t>
      </w:r>
      <w:r w:rsidR="00A12546" w:rsidRPr="007F12B6">
        <w:rPr>
          <w:rFonts w:ascii="Palatino Linotype" w:eastAsia="Calibri" w:hAnsi="Palatino Linotype" w:cs="Arial"/>
          <w:sz w:val="24"/>
          <w:lang w:val="es-ES" w:eastAsia="es-ES"/>
        </w:rPr>
        <w:t>doce (12) de enero de dos mil veinttitrés</w:t>
      </w:r>
      <w:r w:rsidRPr="007F12B6">
        <w:rPr>
          <w:rFonts w:ascii="Palatino Linotype" w:eastAsia="Calibri" w:hAnsi="Palatino Linotype" w:cs="Arial"/>
          <w:sz w:val="24"/>
          <w:lang w:val="es-ES" w:eastAsia="es-ES"/>
        </w:rPr>
        <w:t xml:space="preserve">, puso a disposición de las partes el expediente electrónico </w:t>
      </w:r>
      <w:r w:rsidRPr="007F12B6">
        <w:rPr>
          <w:rFonts w:ascii="Palatino Linotype" w:eastAsia="Calibri" w:hAnsi="Palatino Linotype" w:cs="Arial"/>
          <w:sz w:val="24"/>
          <w:lang w:val="es-ES_tradnl" w:eastAsia="es-ES"/>
        </w:rPr>
        <w:t xml:space="preserve">vía </w:t>
      </w:r>
      <w:r w:rsidRPr="007F12B6">
        <w:rPr>
          <w:rFonts w:ascii="Palatino Linotype" w:eastAsia="Calibri" w:hAnsi="Palatino Linotype" w:cs="Arial"/>
          <w:b/>
          <w:sz w:val="24"/>
          <w:lang w:val="es-ES" w:eastAsia="es-ES"/>
        </w:rPr>
        <w:t xml:space="preserve">SAIMEX </w:t>
      </w:r>
      <w:r w:rsidRPr="007F12B6">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7F12B6">
        <w:rPr>
          <w:rFonts w:ascii="Palatino Linotype" w:eastAsia="Calibri" w:hAnsi="Palatino Linotype" w:cs="Arial"/>
          <w:b/>
          <w:sz w:val="24"/>
          <w:lang w:val="es-ES" w:eastAsia="es-ES"/>
        </w:rPr>
        <w:t>SUJETO OBLIGADO</w:t>
      </w:r>
      <w:r w:rsidRPr="007F12B6">
        <w:rPr>
          <w:rFonts w:ascii="Palatino Linotype" w:eastAsia="Calibri" w:hAnsi="Palatino Linotype" w:cs="Arial"/>
          <w:sz w:val="24"/>
          <w:lang w:val="es-ES" w:eastAsia="es-ES"/>
        </w:rPr>
        <w:t xml:space="preserve"> presentara el informe justificado procedente. </w:t>
      </w:r>
    </w:p>
    <w:p w:rsidR="00A12546" w:rsidRPr="007F12B6" w:rsidRDefault="00A12546" w:rsidP="00A12546">
      <w:pPr>
        <w:pStyle w:val="Prrafodelista"/>
        <w:rPr>
          <w:rFonts w:ascii="Palatino Linotype" w:eastAsia="Calibri" w:hAnsi="Palatino Linotype" w:cs="Arial"/>
          <w:sz w:val="24"/>
          <w:lang w:val="es-ES" w:eastAsia="es-ES"/>
        </w:rPr>
      </w:pPr>
    </w:p>
    <w:p w:rsidR="00383939" w:rsidRPr="007F12B6" w:rsidRDefault="00383939" w:rsidP="00A12546">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eastAsia="Calibri" w:hAnsi="Palatino Linotype" w:cs="Arial"/>
          <w:sz w:val="24"/>
          <w:lang w:val="es-ES" w:eastAsia="es-ES"/>
        </w:rPr>
        <w:t>De las constancias que obran en el expediente electrónico SAIMEX el particular no realizó manifestaciones</w:t>
      </w:r>
      <w:r w:rsidR="00A12546" w:rsidRPr="007F12B6">
        <w:rPr>
          <w:rFonts w:ascii="Palatino Linotype" w:hAnsi="Palatino Linotype" w:cs="Arial"/>
          <w:sz w:val="24"/>
          <w:szCs w:val="22"/>
          <w:lang w:val="es-ES" w:eastAsia="es-ES"/>
        </w:rPr>
        <w:t>; p</w:t>
      </w:r>
      <w:r w:rsidRPr="007F12B6">
        <w:rPr>
          <w:rFonts w:ascii="Palatino Linotype" w:eastAsia="Calibri" w:hAnsi="Palatino Linotype" w:cs="Arial"/>
          <w:sz w:val="24"/>
          <w:lang w:val="es-ES" w:eastAsia="es-ES"/>
        </w:rPr>
        <w:t xml:space="preserve">or su parte, el Sujeto Obligado </w:t>
      </w:r>
      <w:r w:rsidR="00A12546" w:rsidRPr="007F12B6">
        <w:rPr>
          <w:rFonts w:ascii="Palatino Linotype" w:eastAsia="Calibri" w:hAnsi="Palatino Linotype" w:cs="Arial"/>
          <w:sz w:val="24"/>
          <w:lang w:val="es-ES" w:eastAsia="es-ES"/>
        </w:rPr>
        <w:t xml:space="preserve">no remitió su informe justificado. </w:t>
      </w: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eastAsiaTheme="minorEastAsia" w:hAnsi="Palatino Linotype"/>
          <w:sz w:val="24"/>
          <w:lang w:val="es-ES_tradnl" w:eastAsia="es-ES"/>
        </w:rPr>
        <w:lastRenderedPageBreak/>
        <w:t>El Comisionado Ponente decretó el cierre de instrucción</w:t>
      </w:r>
      <w:r w:rsidRPr="007F12B6">
        <w:rPr>
          <w:rFonts w:ascii="Palatino Linotype" w:eastAsiaTheme="minorEastAsia" w:hAnsi="Palatino Linotype" w:cs="Arial"/>
          <w:sz w:val="24"/>
          <w:lang w:val="es-ES_tradnl" w:eastAsia="es-ES"/>
        </w:rPr>
        <w:t xml:space="preserve"> </w:t>
      </w:r>
      <w:r w:rsidRPr="007F12B6">
        <w:rPr>
          <w:rFonts w:ascii="Palatino Linotype" w:eastAsiaTheme="minorEastAsia" w:hAnsi="Palatino Linotype"/>
          <w:sz w:val="24"/>
          <w:lang w:val="es-ES_tradnl" w:eastAsia="es-ES"/>
        </w:rPr>
        <w:t xml:space="preserve">mediante el acuerdo de fecha </w:t>
      </w:r>
      <w:r w:rsidR="00A12546" w:rsidRPr="007F12B6">
        <w:rPr>
          <w:rFonts w:ascii="Palatino Linotype" w:eastAsiaTheme="minorEastAsia" w:hAnsi="Palatino Linotype"/>
          <w:sz w:val="24"/>
          <w:lang w:val="es-ES_tradnl" w:eastAsia="es-ES"/>
        </w:rPr>
        <w:t>veinticuatro (24) de enero de dos mil veintitrés</w:t>
      </w:r>
      <w:r w:rsidRPr="007F12B6">
        <w:rPr>
          <w:rFonts w:ascii="Palatino Linotype" w:eastAsiaTheme="minorEastAsia" w:hAnsi="Palatino Linotype"/>
          <w:sz w:val="24"/>
          <w:lang w:val="es-ES_tradnl" w:eastAsia="es-ES"/>
        </w:rPr>
        <w:t xml:space="preserve">. </w:t>
      </w:r>
    </w:p>
    <w:p w:rsidR="00383939" w:rsidRPr="007F12B6" w:rsidRDefault="00383939" w:rsidP="00383939">
      <w:pPr>
        <w:spacing w:line="360" w:lineRule="auto"/>
        <w:rPr>
          <w:rFonts w:ascii="Palatino Linotype" w:hAnsi="Palatino Linotype" w:cs="Arial"/>
          <w:szCs w:val="22"/>
          <w:lang w:val="es-ES" w:eastAsia="es-ES"/>
        </w:rPr>
      </w:pPr>
    </w:p>
    <w:p w:rsidR="00383939" w:rsidRPr="007F12B6" w:rsidRDefault="00383939" w:rsidP="00383939">
      <w:pPr>
        <w:spacing w:line="360" w:lineRule="auto"/>
        <w:jc w:val="center"/>
        <w:rPr>
          <w:rFonts w:ascii="Palatino Linotype" w:hAnsi="Palatino Linotype" w:cs="Arial"/>
          <w:lang w:eastAsia="es-ES"/>
        </w:rPr>
      </w:pPr>
      <w:bookmarkStart w:id="1" w:name="_Toc66992242"/>
      <w:r w:rsidRPr="007F12B6">
        <w:rPr>
          <w:rFonts w:ascii="Palatino Linotype" w:hAnsi="Palatino Linotype" w:cs="Arial"/>
          <w:b/>
          <w:lang w:eastAsia="es-ES"/>
        </w:rPr>
        <w:t>CONSIDERANDO</w:t>
      </w:r>
      <w:bookmarkEnd w:id="1"/>
    </w:p>
    <w:p w:rsidR="00383939" w:rsidRPr="007F12B6" w:rsidRDefault="00383939" w:rsidP="00383939">
      <w:pPr>
        <w:spacing w:line="360" w:lineRule="auto"/>
        <w:jc w:val="both"/>
        <w:rPr>
          <w:rFonts w:ascii="Palatino Linotype" w:hAnsi="Palatino Linotype" w:cs="Arial"/>
          <w:lang w:eastAsia="es-ES"/>
        </w:rPr>
      </w:pPr>
    </w:p>
    <w:p w:rsidR="00383939" w:rsidRPr="007F12B6" w:rsidRDefault="00383939" w:rsidP="00383939">
      <w:pPr>
        <w:spacing w:line="360" w:lineRule="auto"/>
        <w:jc w:val="both"/>
        <w:rPr>
          <w:rFonts w:ascii="Palatino Linotype" w:hAnsi="Palatino Linotype" w:cs="Arial"/>
          <w:b/>
          <w:lang w:eastAsia="es-ES"/>
        </w:rPr>
      </w:pPr>
      <w:bookmarkStart w:id="2" w:name="_Toc66992243"/>
      <w:r w:rsidRPr="007F12B6">
        <w:rPr>
          <w:rFonts w:ascii="Palatino Linotype" w:hAnsi="Palatino Linotype" w:cs="Arial"/>
          <w:b/>
          <w:lang w:eastAsia="es-ES"/>
        </w:rPr>
        <w:t>PRIMERO. De la competencia</w:t>
      </w:r>
      <w:bookmarkEnd w:id="2"/>
    </w:p>
    <w:p w:rsidR="00383939" w:rsidRPr="007F12B6" w:rsidRDefault="00383939" w:rsidP="00383939">
      <w:pPr>
        <w:spacing w:line="360" w:lineRule="auto"/>
        <w:jc w:val="both"/>
        <w:rPr>
          <w:rFonts w:ascii="Palatino Linotype" w:hAnsi="Palatino Linotype" w:cs="Arial"/>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sz w:val="24"/>
          <w:lang w:val="es-ES" w:eastAsia="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keepNext/>
        <w:keepLines/>
        <w:spacing w:line="360" w:lineRule="auto"/>
        <w:outlineLvl w:val="1"/>
        <w:rPr>
          <w:rFonts w:ascii="Palatino Linotype" w:eastAsiaTheme="majorEastAsia" w:hAnsi="Palatino Linotype" w:cstheme="majorBidi"/>
          <w:b/>
        </w:rPr>
      </w:pPr>
      <w:bookmarkStart w:id="3" w:name="_Toc66992244"/>
      <w:r w:rsidRPr="007F12B6">
        <w:rPr>
          <w:rFonts w:ascii="Palatino Linotype" w:eastAsiaTheme="majorEastAsia" w:hAnsi="Palatino Linotype" w:cstheme="majorBidi"/>
          <w:b/>
        </w:rPr>
        <w:t>SEGUNDO. De la oportunidad y procedencia.</w:t>
      </w:r>
      <w:bookmarkEnd w:id="3"/>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Arial"/>
          <w:sz w:val="24"/>
          <w:lang w:val="es-ES_tradnl" w:eastAsia="es-ES"/>
        </w:rPr>
        <w:t xml:space="preserve">El medio de impugnación fue presentado a través del </w:t>
      </w:r>
      <w:r w:rsidRPr="007F12B6">
        <w:rPr>
          <w:rFonts w:ascii="Palatino Linotype" w:eastAsia="Calibri" w:hAnsi="Palatino Linotype" w:cs="Arial"/>
          <w:b/>
          <w:sz w:val="24"/>
          <w:lang w:val="es-ES_tradnl" w:eastAsia="es-ES"/>
        </w:rPr>
        <w:t>SAIMEX,</w:t>
      </w:r>
      <w:r w:rsidRPr="007F12B6">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7F12B6">
        <w:rPr>
          <w:rFonts w:ascii="Palatino Linotype" w:eastAsia="Calibri" w:hAnsi="Palatino Linotype" w:cs="Arial"/>
          <w:b/>
          <w:sz w:val="24"/>
          <w:lang w:val="es-ES_tradnl" w:eastAsia="es-ES"/>
        </w:rPr>
        <w:t>SUJETO OBLIGADO</w:t>
      </w:r>
      <w:r w:rsidRPr="007F12B6">
        <w:rPr>
          <w:rFonts w:ascii="Palatino Linotype" w:eastAsia="Calibri" w:hAnsi="Palatino Linotype" w:cs="Arial"/>
          <w:sz w:val="24"/>
          <w:lang w:val="es-ES_tradnl" w:eastAsia="es-ES"/>
        </w:rPr>
        <w:t xml:space="preserve"> entregó respuesta a la solicitud el día </w:t>
      </w:r>
      <w:r w:rsidR="00A12546" w:rsidRPr="007F12B6">
        <w:rPr>
          <w:rFonts w:ascii="Palatino Linotype" w:eastAsia="Calibri" w:hAnsi="Palatino Linotype" w:cs="Arial"/>
          <w:sz w:val="24"/>
          <w:lang w:val="es-ES_tradnl" w:eastAsia="es-ES"/>
        </w:rPr>
        <w:t>once (11) de enero e dos mil veintitrés</w:t>
      </w:r>
      <w:r w:rsidRPr="007F12B6">
        <w:rPr>
          <w:rFonts w:ascii="Palatino Linotype" w:eastAsia="Calibri" w:hAnsi="Palatino Linotype" w:cs="Arial"/>
          <w:sz w:val="24"/>
          <w:lang w:val="es-ES_tradnl" w:eastAsia="es-ES"/>
        </w:rPr>
        <w:t xml:space="preserve">, </w:t>
      </w:r>
      <w:r w:rsidRPr="007F12B6">
        <w:rPr>
          <w:rFonts w:ascii="Palatino Linotype" w:eastAsiaTheme="minorEastAsia" w:hAnsi="Palatino Linotype" w:cs="Arial"/>
          <w:sz w:val="24"/>
          <w:lang w:val="es-ES_tradnl" w:eastAsia="es-ES"/>
        </w:rPr>
        <w:t xml:space="preserve">de tal forma que el plazo para interponer el recurso de revisión transcurrió del </w:t>
      </w:r>
      <w:r w:rsidR="00A12546" w:rsidRPr="007F12B6">
        <w:rPr>
          <w:rFonts w:ascii="Palatino Linotype" w:eastAsiaTheme="minorEastAsia" w:hAnsi="Palatino Linotype" w:cs="Arial"/>
          <w:sz w:val="24"/>
          <w:lang w:val="es-ES_tradnl" w:eastAsia="es-ES"/>
        </w:rPr>
        <w:t xml:space="preserve">doce (12) de enero al </w:t>
      </w:r>
      <w:r w:rsidR="00B30C21" w:rsidRPr="007F12B6">
        <w:rPr>
          <w:rFonts w:ascii="Palatino Linotype" w:eastAsiaTheme="minorEastAsia" w:hAnsi="Palatino Linotype" w:cs="Arial"/>
          <w:sz w:val="24"/>
          <w:lang w:val="es-ES_tradnl" w:eastAsia="es-ES"/>
        </w:rPr>
        <w:t xml:space="preserve">uno (01) de febrero de dos mil </w:t>
      </w:r>
      <w:r w:rsidR="00B30C21" w:rsidRPr="007F12B6">
        <w:rPr>
          <w:rFonts w:ascii="Palatino Linotype" w:eastAsiaTheme="minorEastAsia" w:hAnsi="Palatino Linotype" w:cs="Arial"/>
          <w:sz w:val="24"/>
          <w:lang w:val="es-ES_tradnl" w:eastAsia="es-ES"/>
        </w:rPr>
        <w:lastRenderedPageBreak/>
        <w:t>veintitrés</w:t>
      </w:r>
      <w:r w:rsidRPr="007F12B6">
        <w:rPr>
          <w:rFonts w:ascii="Palatino Linotype" w:eastAsiaTheme="minorEastAsia" w:hAnsi="Palatino Linotype" w:cs="Arial"/>
          <w:sz w:val="24"/>
          <w:lang w:val="es-ES_tradnl" w:eastAsia="es-ES"/>
        </w:rPr>
        <w:t xml:space="preserve">; en consecuencia, presentó su inconformidad el día </w:t>
      </w:r>
      <w:r w:rsidR="00B30C21" w:rsidRPr="007F12B6">
        <w:rPr>
          <w:rFonts w:ascii="Palatino Linotype" w:eastAsiaTheme="minorEastAsia" w:hAnsi="Palatino Linotype" w:cs="Arial"/>
          <w:sz w:val="24"/>
          <w:lang w:val="es-ES_tradnl" w:eastAsia="es-ES"/>
        </w:rPr>
        <w:t>once (11) de enero de dos mil veintitrés</w:t>
      </w:r>
      <w:r w:rsidRPr="007F12B6">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7F12B6">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7F12B6">
        <w:rPr>
          <w:rFonts w:ascii="Palatino Linotype" w:eastAsiaTheme="minorEastAsia" w:hAnsi="Palatino Linotype" w:cs="Arial"/>
          <w:sz w:val="24"/>
          <w:lang w:val="es-ES_tradnl" w:eastAsia="es-ES"/>
        </w:rPr>
        <w:t>vigente.</w:t>
      </w:r>
    </w:p>
    <w:p w:rsidR="00B30C21" w:rsidRPr="007F12B6" w:rsidRDefault="00B30C21" w:rsidP="00B30C21">
      <w:pPr>
        <w:pStyle w:val="Prrafodelista"/>
        <w:spacing w:line="360" w:lineRule="auto"/>
        <w:ind w:left="0"/>
        <w:jc w:val="both"/>
        <w:rPr>
          <w:rFonts w:ascii="Palatino Linotype" w:hAnsi="Palatino Linotype" w:cs="Arial"/>
          <w:sz w:val="24"/>
          <w:lang w:val="es-ES" w:eastAsia="es-ES"/>
        </w:rPr>
      </w:pPr>
    </w:p>
    <w:p w:rsidR="00B30C21" w:rsidRPr="007F12B6" w:rsidRDefault="00B30C21" w:rsidP="00B30C21">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7F12B6">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B30C21" w:rsidRPr="007F12B6" w:rsidRDefault="00B30C21" w:rsidP="00B30C21">
      <w:pPr>
        <w:pStyle w:val="Prrafodelista"/>
        <w:spacing w:before="240" w:after="240" w:line="360" w:lineRule="auto"/>
        <w:ind w:left="0"/>
        <w:jc w:val="both"/>
        <w:rPr>
          <w:rFonts w:ascii="Palatino Linotype" w:hAnsi="Palatino Linotype" w:cs="Arial"/>
          <w:sz w:val="24"/>
        </w:rPr>
      </w:pPr>
    </w:p>
    <w:p w:rsidR="00B30C21" w:rsidRPr="007F12B6" w:rsidRDefault="00B30C21" w:rsidP="00B30C21">
      <w:pPr>
        <w:pStyle w:val="Prrafodelista"/>
        <w:ind w:left="0"/>
        <w:rPr>
          <w:rFonts w:ascii="Palatino Linotype" w:hAnsi="Palatino Linotype" w:cs="Arial"/>
          <w:sz w:val="24"/>
        </w:rPr>
      </w:pPr>
    </w:p>
    <w:p w:rsidR="00B30C21" w:rsidRPr="007F12B6" w:rsidRDefault="00B30C21" w:rsidP="00B30C21">
      <w:pPr>
        <w:pStyle w:val="Prrafodelista"/>
        <w:numPr>
          <w:ilvl w:val="0"/>
          <w:numId w:val="1"/>
        </w:numPr>
        <w:spacing w:before="240" w:after="240" w:line="360" w:lineRule="auto"/>
        <w:ind w:left="0" w:firstLine="0"/>
        <w:jc w:val="both"/>
        <w:rPr>
          <w:rFonts w:ascii="Palatino Linotype" w:hAnsi="Palatino Linotype" w:cs="Arial"/>
          <w:sz w:val="24"/>
        </w:rPr>
      </w:pPr>
      <w:r w:rsidRPr="007F12B6">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r w:rsidRPr="007F12B6">
        <w:rPr>
          <w:rFonts w:ascii="Palatino Linotype" w:hAnsi="Palatino Linotype" w:cs="Arial"/>
          <w:i/>
          <w:sz w:val="22"/>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w:t>
      </w:r>
      <w:r w:rsidRPr="007F12B6">
        <w:rPr>
          <w:rFonts w:ascii="Palatino Linotype" w:hAnsi="Palatino Linotype" w:cs="Arial"/>
          <w:i/>
          <w:sz w:val="22"/>
        </w:rPr>
        <w:lastRenderedPageBreak/>
        <w:t>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r w:rsidRPr="007F12B6">
        <w:rPr>
          <w:rFonts w:ascii="Palatino Linotype" w:hAnsi="Palatino Linotype" w:cs="Arial"/>
          <w:i/>
          <w:sz w:val="22"/>
        </w:rPr>
        <w:t xml:space="preserve"> 1a./J. 41/2015 (10a.) </w:t>
      </w: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r w:rsidRPr="007F12B6">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r w:rsidRPr="007F12B6">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r w:rsidRPr="007F12B6">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r w:rsidRPr="007F12B6">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r w:rsidRPr="007F12B6">
        <w:rPr>
          <w:rFonts w:ascii="Palatino Linotype" w:hAnsi="Palatino Linotype" w:cs="Arial"/>
          <w:i/>
          <w:sz w:val="22"/>
        </w:rPr>
        <w:lastRenderedPageBreak/>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p>
    <w:p w:rsidR="00B30C21" w:rsidRPr="007F12B6" w:rsidRDefault="00B30C21" w:rsidP="00B30C21">
      <w:pPr>
        <w:spacing w:before="240" w:after="240" w:line="360" w:lineRule="auto"/>
        <w:ind w:left="851" w:right="616"/>
        <w:contextualSpacing/>
        <w:jc w:val="both"/>
        <w:rPr>
          <w:rFonts w:ascii="Palatino Linotype" w:hAnsi="Palatino Linotype" w:cs="Arial"/>
          <w:i/>
          <w:sz w:val="22"/>
        </w:rPr>
      </w:pPr>
      <w:r w:rsidRPr="007F12B6">
        <w:rPr>
          <w:rFonts w:ascii="Palatino Linotype" w:hAnsi="Palatino Linotype" w:cs="Arial"/>
          <w:i/>
          <w:sz w:val="22"/>
        </w:rPr>
        <w:t>Tesis de jurisprudencia 41/2015 (10a.). Aprobada por la Primera Sala de este Alto Tribunal, en sesión privada de veintisiete de mayo de dos mil quince.</w:t>
      </w:r>
    </w:p>
    <w:p w:rsidR="00B30C21" w:rsidRPr="007F12B6" w:rsidRDefault="00B30C21" w:rsidP="00B30C21">
      <w:pPr>
        <w:spacing w:before="240" w:after="240" w:line="360" w:lineRule="auto"/>
        <w:ind w:left="851" w:right="616"/>
        <w:contextualSpacing/>
        <w:jc w:val="both"/>
        <w:rPr>
          <w:rFonts w:ascii="Palatino Linotype" w:hAnsi="Palatino Linotype"/>
          <w:i/>
          <w:sz w:val="22"/>
        </w:rPr>
      </w:pPr>
    </w:p>
    <w:p w:rsidR="00B30C21" w:rsidRPr="007F12B6" w:rsidRDefault="00B30C21" w:rsidP="00B30C21">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7F12B6">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B30C21" w:rsidRPr="007F12B6" w:rsidRDefault="00B30C21" w:rsidP="00B30C21">
      <w:pPr>
        <w:pStyle w:val="Prrafodelista"/>
        <w:spacing w:before="240" w:after="240" w:line="360" w:lineRule="auto"/>
        <w:ind w:left="0" w:right="49"/>
        <w:jc w:val="both"/>
        <w:rPr>
          <w:rFonts w:ascii="Palatino Linotype" w:hAnsi="Palatino Linotype" w:cs="Arial"/>
          <w:i/>
          <w:sz w:val="24"/>
          <w:szCs w:val="20"/>
        </w:rPr>
      </w:pPr>
    </w:p>
    <w:p w:rsidR="00B30C21" w:rsidRPr="007F12B6" w:rsidRDefault="00B30C21" w:rsidP="00B30C21">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7F12B6">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B30C21" w:rsidRPr="007F12B6" w:rsidRDefault="00B30C21" w:rsidP="00B30C21">
      <w:pPr>
        <w:pStyle w:val="Prrafodelista"/>
        <w:ind w:left="0"/>
        <w:rPr>
          <w:rFonts w:ascii="Palatino Linotype" w:hAnsi="Palatino Linotype" w:cs="Arial"/>
          <w:i/>
          <w:sz w:val="24"/>
          <w:szCs w:val="20"/>
        </w:rPr>
      </w:pPr>
    </w:p>
    <w:p w:rsidR="00383939" w:rsidRPr="007F12B6" w:rsidRDefault="00B30C21" w:rsidP="00B30C21">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7F12B6">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7F12B6">
        <w:rPr>
          <w:rFonts w:ascii="Palatino Linotype" w:hAnsi="Palatino Linotype"/>
          <w:b/>
          <w:sz w:val="24"/>
        </w:rPr>
        <w:t>SUJETO OBLIGADO</w:t>
      </w:r>
      <w:r w:rsidRPr="007F12B6">
        <w:rPr>
          <w:rFonts w:ascii="Palatino Linotype" w:hAnsi="Palatino Linotype"/>
          <w:sz w:val="24"/>
        </w:rPr>
        <w:t>.</w:t>
      </w: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Arial"/>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spacing w:line="360" w:lineRule="auto"/>
        <w:jc w:val="both"/>
        <w:rPr>
          <w:rFonts w:ascii="Palatino Linotype" w:hAnsi="Palatino Linotype" w:cs="Arial"/>
          <w:b/>
          <w:lang w:eastAsia="es-ES"/>
        </w:rPr>
      </w:pPr>
      <w:bookmarkStart w:id="4" w:name="_Toc486525253"/>
      <w:bookmarkStart w:id="5" w:name="_Toc66992246"/>
      <w:r w:rsidRPr="007F12B6">
        <w:rPr>
          <w:rFonts w:ascii="Palatino Linotype" w:hAnsi="Palatino Linotype" w:cs="Arial"/>
          <w:b/>
          <w:lang w:eastAsia="es-ES"/>
        </w:rPr>
        <w:t xml:space="preserve">TERCERO. </w:t>
      </w:r>
      <w:bookmarkEnd w:id="4"/>
      <w:r w:rsidRPr="007F12B6">
        <w:rPr>
          <w:rFonts w:ascii="Palatino Linotype" w:hAnsi="Palatino Linotype" w:cs="Arial"/>
          <w:b/>
          <w:lang w:eastAsia="es-ES"/>
        </w:rPr>
        <w:t>Planteamiento de la Litis.</w:t>
      </w:r>
      <w:bookmarkEnd w:id="5"/>
    </w:p>
    <w:p w:rsidR="00383939" w:rsidRPr="007F12B6" w:rsidRDefault="00383939" w:rsidP="00383939">
      <w:pPr>
        <w:spacing w:line="360" w:lineRule="auto"/>
        <w:jc w:val="both"/>
        <w:rPr>
          <w:rFonts w:ascii="Palatino Linotype" w:hAnsi="Palatino Linotype" w:cs="Arial"/>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MS Gothic" w:hAnsi="Palatino Linotype"/>
          <w:sz w:val="24"/>
        </w:rPr>
        <w:t xml:space="preserve">De las constancias que obran en el expediente electrónico SAIMEX, el particular solicitó </w:t>
      </w:r>
      <w:r w:rsidR="00B30C21" w:rsidRPr="007F12B6">
        <w:rPr>
          <w:rFonts w:ascii="Palatino Linotype" w:eastAsia="MS Gothic" w:hAnsi="Palatino Linotype"/>
          <w:sz w:val="24"/>
        </w:rPr>
        <w:t xml:space="preserve">el organigrama del Municipio de Metepec. </w:t>
      </w:r>
      <w:r w:rsidRPr="007F12B6">
        <w:rPr>
          <w:rFonts w:ascii="Palatino Linotype" w:eastAsia="MS Gothic" w:hAnsi="Palatino Linotype"/>
          <w:sz w:val="24"/>
        </w:rPr>
        <w:t xml:space="preserve"> </w:t>
      </w:r>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MS Gothic" w:hAnsi="Palatino Linotype"/>
          <w:sz w:val="24"/>
        </w:rPr>
        <w:t xml:space="preserve">El </w:t>
      </w:r>
      <w:r w:rsidRPr="007F12B6">
        <w:rPr>
          <w:rFonts w:ascii="Palatino Linotype" w:eastAsia="MS Gothic" w:hAnsi="Palatino Linotype"/>
          <w:b/>
          <w:sz w:val="24"/>
        </w:rPr>
        <w:t>SUJETO OBLIGADO</w:t>
      </w:r>
      <w:r w:rsidR="00B30C21" w:rsidRPr="007F12B6">
        <w:rPr>
          <w:rFonts w:ascii="Palatino Linotype" w:eastAsia="MS Gothic" w:hAnsi="Palatino Linotype"/>
          <w:sz w:val="24"/>
        </w:rPr>
        <w:t xml:space="preserve"> manifestó en respuesta que la información solicitada es parte de las obligaciones de transparencia común del Sujeto Obligado y adjuntó una liga electrónica a través de la cual se puede consultar el organigrama. </w:t>
      </w:r>
      <w:r w:rsidRPr="007F12B6">
        <w:rPr>
          <w:rFonts w:ascii="Palatino Linotype" w:eastAsia="MS Gothic" w:hAnsi="Palatino Linotype"/>
          <w:sz w:val="24"/>
        </w:rPr>
        <w:t>Derivado de la respuesta, el particular interpuso recurso de revisión;</w:t>
      </w:r>
      <w:r w:rsidR="00B30C21" w:rsidRPr="007F12B6">
        <w:rPr>
          <w:rFonts w:ascii="Palatino Linotype" w:eastAsia="MS Gothic" w:hAnsi="Palatino Linotype"/>
          <w:sz w:val="24"/>
        </w:rPr>
        <w:t xml:space="preserve"> manifestó en sus motivos de inconformidad que no es claro el oficio remitido en respuesta. </w:t>
      </w:r>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MS Gothic" w:hAnsi="Palatino Linotype"/>
          <w:sz w:val="24"/>
        </w:rPr>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B30C21" w:rsidRPr="007F12B6">
        <w:rPr>
          <w:rFonts w:ascii="Palatino Linotype" w:eastAsia="MS Gothic" w:hAnsi="Palatino Linotype"/>
          <w:sz w:val="24"/>
        </w:rPr>
        <w:t>ue la información sea congruente</w:t>
      </w:r>
      <w:r w:rsidRPr="007F12B6">
        <w:rPr>
          <w:rFonts w:ascii="Palatino Linotype" w:eastAsia="MS Gothic" w:hAnsi="Palatino Linotype"/>
          <w:sz w:val="24"/>
        </w:rPr>
        <w:t>.</w:t>
      </w:r>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MS Gothic" w:hAnsi="Palatino Linotype"/>
          <w:sz w:val="24"/>
        </w:rPr>
        <w:t>Así mismo determinar si se actualizan la causal de procedencia pre</w:t>
      </w:r>
      <w:r w:rsidR="00B30C21" w:rsidRPr="007F12B6">
        <w:rPr>
          <w:rFonts w:ascii="Palatino Linotype" w:eastAsia="MS Gothic" w:hAnsi="Palatino Linotype"/>
          <w:sz w:val="24"/>
        </w:rPr>
        <w:t xml:space="preserve">vista en la fracción I </w:t>
      </w:r>
      <w:r w:rsidRPr="007F12B6">
        <w:rPr>
          <w:rFonts w:ascii="Palatino Linotype" w:eastAsia="MS Gothic" w:hAnsi="Palatino Linotype"/>
          <w:sz w:val="24"/>
        </w:rPr>
        <w:t xml:space="preserve"> del artículo 179 de la Ley de Transparencia y Acceso a la Información Pública del Estado de México y sus Municipios, que establecen la negativa de la información solicitada</w:t>
      </w:r>
      <w:bookmarkStart w:id="6" w:name="_Toc452722829"/>
      <w:bookmarkStart w:id="7" w:name="_Toc454373811"/>
      <w:bookmarkStart w:id="8" w:name="_Toc476675991"/>
      <w:r w:rsidR="00B30C21" w:rsidRPr="007F12B6">
        <w:rPr>
          <w:rFonts w:ascii="Palatino Linotype" w:eastAsia="MS Gothic" w:hAnsi="Palatino Linotype"/>
          <w:sz w:val="24"/>
        </w:rPr>
        <w:t>.</w:t>
      </w:r>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keepNext/>
        <w:keepLines/>
        <w:spacing w:line="360" w:lineRule="auto"/>
        <w:outlineLvl w:val="0"/>
        <w:rPr>
          <w:rFonts w:ascii="Palatino Linotype" w:eastAsiaTheme="majorEastAsia" w:hAnsi="Palatino Linotype" w:cstheme="majorBidi"/>
          <w:b/>
        </w:rPr>
      </w:pPr>
      <w:bookmarkStart w:id="9" w:name="_Toc66992247"/>
      <w:r w:rsidRPr="007F12B6">
        <w:rPr>
          <w:rFonts w:ascii="Palatino Linotype" w:eastAsiaTheme="majorEastAsia" w:hAnsi="Palatino Linotype" w:cstheme="majorBidi"/>
          <w:b/>
        </w:rPr>
        <w:t>CUARTO. Del estudio y resolución del asunto</w:t>
      </w:r>
      <w:bookmarkEnd w:id="9"/>
      <w:r w:rsidRPr="007F12B6">
        <w:rPr>
          <w:rFonts w:ascii="Palatino Linotype" w:eastAsiaTheme="majorEastAsia" w:hAnsi="Palatino Linotype" w:cstheme="majorBidi"/>
          <w:b/>
        </w:rPr>
        <w:t>.</w:t>
      </w:r>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7E1D86" w:rsidRPr="007F12B6" w:rsidRDefault="00383939"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Tahoma"/>
          <w:bCs/>
          <w:sz w:val="24"/>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w:t>
      </w:r>
      <w:r w:rsidRPr="007F12B6">
        <w:rPr>
          <w:rFonts w:ascii="Palatino Linotype" w:eastAsia="Calibri" w:hAnsi="Palatino Linotype" w:cs="Tahoma"/>
          <w:bCs/>
          <w:sz w:val="24"/>
          <w:lang w:eastAsia="en-US"/>
        </w:rPr>
        <w:lastRenderedPageBreak/>
        <w:t>encuentra a disposición de cualquier persona, lo que implica que es deber de los sujetos obligados, garantizar el derecho de acceso a la información pública.</w:t>
      </w:r>
    </w:p>
    <w:p w:rsidR="007E1D86" w:rsidRPr="007F12B6" w:rsidRDefault="007E1D86" w:rsidP="007E1D86">
      <w:pPr>
        <w:pStyle w:val="Prrafodelista"/>
        <w:rPr>
          <w:rFonts w:ascii="Palatino Linotype" w:eastAsia="Calibri" w:hAnsi="Palatino Linotype" w:cs="Tahoma"/>
          <w:bCs/>
          <w:sz w:val="24"/>
          <w:lang w:eastAsia="en-US"/>
        </w:rPr>
      </w:pPr>
    </w:p>
    <w:p w:rsidR="007E1D86" w:rsidRPr="007F12B6" w:rsidRDefault="00383939"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Tahoma"/>
          <w:bCs/>
          <w:sz w:val="24"/>
          <w:lang w:eastAsia="en-US"/>
        </w:rPr>
        <w:t>En este caso</w:t>
      </w:r>
      <w:r w:rsidRPr="007F12B6">
        <w:rPr>
          <w:rFonts w:ascii="Palatino Linotype" w:eastAsia="Calibri" w:hAnsi="Palatino Linotype" w:cs="Tahoma"/>
          <w:bCs/>
          <w:iCs/>
          <w:sz w:val="24"/>
          <w:lang w:val="es-ES" w:eastAsia="en-US"/>
        </w:rPr>
        <w:t xml:space="preserve">, el particular solicitó </w:t>
      </w:r>
      <w:r w:rsidR="00034409" w:rsidRPr="007F12B6">
        <w:rPr>
          <w:rFonts w:ascii="Palatino Linotype" w:eastAsia="MS Gothic" w:hAnsi="Palatino Linotype"/>
          <w:sz w:val="24"/>
        </w:rPr>
        <w:t xml:space="preserve">el organigrama del </w:t>
      </w:r>
      <w:r w:rsidR="007E1D86" w:rsidRPr="007F12B6">
        <w:rPr>
          <w:rFonts w:ascii="Palatino Linotype" w:eastAsia="MS Gothic" w:hAnsi="Palatino Linotype"/>
          <w:sz w:val="24"/>
        </w:rPr>
        <w:t xml:space="preserve">Ayuntamiento de Metepec, </w:t>
      </w:r>
      <w:r w:rsidR="003C2E10" w:rsidRPr="007F12B6">
        <w:rPr>
          <w:rFonts w:ascii="Palatino Linotype" w:eastAsia="MS Gothic" w:hAnsi="Palatino Linotype"/>
          <w:sz w:val="24"/>
        </w:rPr>
        <w:t>por lo que es</w:t>
      </w:r>
      <w:r w:rsidR="007E1D86" w:rsidRPr="007F12B6">
        <w:rPr>
          <w:rFonts w:ascii="Palatino Linotype" w:eastAsia="MS Gothic" w:hAnsi="Palatino Linotype"/>
          <w:sz w:val="24"/>
        </w:rPr>
        <w:t xml:space="preserve"> necesario señalar que la información solicitada, de acuerdo </w:t>
      </w:r>
      <w:r w:rsidR="003C2E10" w:rsidRPr="007F12B6">
        <w:rPr>
          <w:rFonts w:ascii="Palatino Linotype" w:eastAsia="MS Gothic" w:hAnsi="Palatino Linotype"/>
          <w:sz w:val="24"/>
        </w:rPr>
        <w:t>a la fracción II del artículo 92 de la Ley de Transparencia y Acceso a la Información Pública del Estado de México y Municipios</w:t>
      </w:r>
      <w:r w:rsidR="00B0087A" w:rsidRPr="007F12B6">
        <w:rPr>
          <w:rFonts w:ascii="Palatino Linotype" w:eastAsia="MS Gothic" w:hAnsi="Palatino Linotype"/>
          <w:sz w:val="24"/>
        </w:rPr>
        <w:t>,</w:t>
      </w:r>
      <w:r w:rsidR="003C2E10" w:rsidRPr="007F12B6">
        <w:rPr>
          <w:rFonts w:ascii="Palatino Linotype" w:eastAsia="MS Gothic" w:hAnsi="Palatino Linotype"/>
          <w:sz w:val="24"/>
        </w:rPr>
        <w:t xml:space="preserve"> es parte de las obligaciones de transparencia común que establece:</w:t>
      </w:r>
    </w:p>
    <w:p w:rsidR="003C2E10" w:rsidRPr="007F12B6" w:rsidRDefault="003C2E10" w:rsidP="003C2E10">
      <w:pPr>
        <w:pStyle w:val="Prrafodelista"/>
        <w:rPr>
          <w:rFonts w:ascii="Palatino Linotype" w:hAnsi="Palatino Linotype" w:cs="Arial"/>
          <w:sz w:val="24"/>
          <w:lang w:val="es-ES" w:eastAsia="es-ES"/>
        </w:rPr>
      </w:pPr>
    </w:p>
    <w:p w:rsidR="003C2E10" w:rsidRPr="007F12B6" w:rsidRDefault="003C2E10" w:rsidP="003C2E10">
      <w:pPr>
        <w:pStyle w:val="Prrafodelista"/>
        <w:spacing w:line="360" w:lineRule="auto"/>
        <w:ind w:left="851" w:right="822"/>
        <w:jc w:val="center"/>
        <w:rPr>
          <w:rFonts w:ascii="Palatino Linotype" w:hAnsi="Palatino Linotype"/>
          <w:b/>
          <w:i/>
        </w:rPr>
      </w:pPr>
      <w:r w:rsidRPr="007F12B6">
        <w:rPr>
          <w:rFonts w:ascii="Palatino Linotype" w:hAnsi="Palatino Linotype"/>
          <w:b/>
          <w:i/>
        </w:rPr>
        <w:t>“Capítulo II</w:t>
      </w:r>
    </w:p>
    <w:p w:rsidR="003C2E10" w:rsidRPr="007F12B6" w:rsidRDefault="003C2E10" w:rsidP="003C2E10">
      <w:pPr>
        <w:pStyle w:val="Prrafodelista"/>
        <w:spacing w:line="360" w:lineRule="auto"/>
        <w:ind w:left="851" w:right="822"/>
        <w:jc w:val="center"/>
        <w:rPr>
          <w:rFonts w:ascii="Palatino Linotype" w:hAnsi="Palatino Linotype"/>
          <w:b/>
          <w:i/>
        </w:rPr>
      </w:pPr>
      <w:r w:rsidRPr="007F12B6">
        <w:rPr>
          <w:rFonts w:ascii="Palatino Linotype" w:hAnsi="Palatino Linotype"/>
          <w:b/>
          <w:i/>
        </w:rPr>
        <w:t>De las Obligaciones de Transparencia Comunes</w:t>
      </w:r>
    </w:p>
    <w:p w:rsidR="003C2E10" w:rsidRPr="007F12B6" w:rsidRDefault="003C2E10" w:rsidP="003C2E10">
      <w:pPr>
        <w:pStyle w:val="Prrafodelista"/>
        <w:spacing w:line="360" w:lineRule="auto"/>
        <w:ind w:left="851" w:right="822"/>
        <w:jc w:val="both"/>
        <w:rPr>
          <w:rFonts w:ascii="Palatino Linotype" w:hAnsi="Palatino Linotype"/>
          <w:i/>
        </w:rPr>
      </w:pPr>
      <w:r w:rsidRPr="007F12B6">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3C2E10" w:rsidRPr="007F12B6" w:rsidRDefault="003C2E10" w:rsidP="003C2E10">
      <w:pPr>
        <w:pStyle w:val="Prrafodelista"/>
        <w:spacing w:line="360" w:lineRule="auto"/>
        <w:ind w:left="851" w:right="822"/>
        <w:jc w:val="both"/>
        <w:rPr>
          <w:rFonts w:ascii="Palatino Linotype" w:hAnsi="Palatino Linotype"/>
          <w:i/>
        </w:rPr>
      </w:pPr>
      <w:r w:rsidRPr="007F12B6">
        <w:rPr>
          <w:rFonts w:ascii="Palatino Linotype" w:hAnsi="Palatino Linotype"/>
          <w:i/>
        </w:rPr>
        <w:t>…</w:t>
      </w:r>
    </w:p>
    <w:p w:rsidR="003C2E10" w:rsidRPr="007F12B6" w:rsidRDefault="003C2E10" w:rsidP="003C2E10">
      <w:pPr>
        <w:pStyle w:val="Prrafodelista"/>
        <w:spacing w:line="360" w:lineRule="auto"/>
        <w:ind w:left="851" w:right="822"/>
        <w:jc w:val="both"/>
        <w:rPr>
          <w:rFonts w:ascii="Palatino Linotype" w:hAnsi="Palatino Linotype"/>
          <w:i/>
        </w:rPr>
      </w:pPr>
      <w:r w:rsidRPr="007F12B6">
        <w:rPr>
          <w:rFonts w:ascii="Palatino Linotype" w:hAnsi="Palatino Linotype"/>
          <w:b/>
          <w:i/>
        </w:rPr>
        <w:t xml:space="preserve">II. Su estructura orgánica completa, </w:t>
      </w:r>
      <w:r w:rsidRPr="007F12B6">
        <w:rPr>
          <w:rFonts w:ascii="Palatino Linotype" w:hAnsi="Palatino Linotype"/>
          <w:i/>
        </w:rPr>
        <w:t>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3C2E10" w:rsidRPr="007F12B6" w:rsidRDefault="003C2E10" w:rsidP="003C2E10">
      <w:pPr>
        <w:pStyle w:val="Prrafodelista"/>
        <w:spacing w:line="360" w:lineRule="auto"/>
        <w:ind w:left="851" w:right="822"/>
        <w:jc w:val="both"/>
        <w:rPr>
          <w:rFonts w:ascii="Palatino Linotype" w:hAnsi="Palatino Linotype" w:cs="Arial"/>
          <w:i/>
          <w:sz w:val="24"/>
          <w:lang w:val="es-ES" w:eastAsia="es-ES"/>
        </w:rPr>
      </w:pPr>
      <w:r w:rsidRPr="007F12B6">
        <w:rPr>
          <w:rFonts w:ascii="Palatino Linotype" w:hAnsi="Palatino Linotype"/>
          <w:i/>
        </w:rPr>
        <w:t>…”</w:t>
      </w:r>
    </w:p>
    <w:p w:rsidR="007E1D86" w:rsidRPr="007F12B6" w:rsidRDefault="003C2E10" w:rsidP="007E1D86">
      <w:pPr>
        <w:pStyle w:val="Prrafodelista"/>
        <w:rPr>
          <w:rFonts w:ascii="Palatino Linotype" w:eastAsia="MS Gothic" w:hAnsi="Palatino Linotype"/>
          <w:i/>
        </w:rPr>
      </w:pPr>
      <w:r w:rsidRPr="007F12B6">
        <w:rPr>
          <w:rFonts w:ascii="Palatino Linotype" w:eastAsia="MS Gothic" w:hAnsi="Palatino Linotype"/>
          <w:i/>
        </w:rPr>
        <w:t>Énfasis añadido</w:t>
      </w:r>
    </w:p>
    <w:p w:rsidR="003C2E10" w:rsidRPr="007F12B6" w:rsidRDefault="003C2E10" w:rsidP="007E1D86">
      <w:pPr>
        <w:pStyle w:val="Prrafodelista"/>
        <w:rPr>
          <w:rFonts w:ascii="Palatino Linotype" w:eastAsia="MS Gothic" w:hAnsi="Palatino Linotype"/>
          <w:sz w:val="24"/>
        </w:rPr>
      </w:pPr>
    </w:p>
    <w:p w:rsidR="00B0087A" w:rsidRPr="007F12B6" w:rsidRDefault="003C2E10" w:rsidP="00B0087A">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hAnsi="Palatino Linotype" w:cs="Arial"/>
          <w:sz w:val="24"/>
          <w:lang w:val="es-ES" w:eastAsia="es-ES"/>
        </w:rPr>
        <w:t xml:space="preserve">Ahora bien, </w:t>
      </w:r>
      <w:r w:rsidR="00B0087A" w:rsidRPr="007F12B6">
        <w:rPr>
          <w:rFonts w:ascii="Palatino Linotype" w:hAnsi="Palatino Linotype" w:cs="Arial"/>
          <w:sz w:val="24"/>
          <w:lang w:val="es-ES" w:eastAsia="es-ES"/>
        </w:rPr>
        <w:t xml:space="preserve">en respuesta, el Sujeto Obligado adjuntó la liga electrónica </w:t>
      </w:r>
      <w:hyperlink r:id="rId9" w:history="1">
        <w:r w:rsidR="007E1D86" w:rsidRPr="007F12B6">
          <w:rPr>
            <w:rStyle w:val="Hipervnculo"/>
            <w:rFonts w:ascii="Palatino Linotype" w:hAnsi="Palatino Linotype"/>
            <w:sz w:val="24"/>
          </w:rPr>
          <w:t>https://www.ipomex.org.mx/ipo3/lgt/indice/METEPEC/art_92_ii_b.web?token=03AD1lbLCCmaq_WK8lXmrL59UrdtpQz1cQUr5J9-</w:t>
        </w:r>
        <w:r w:rsidR="007E1D86" w:rsidRPr="007F12B6">
          <w:rPr>
            <w:rStyle w:val="Hipervnculo"/>
            <w:rFonts w:ascii="Palatino Linotype" w:hAnsi="Palatino Linotype"/>
            <w:sz w:val="24"/>
          </w:rPr>
          <w:lastRenderedPageBreak/>
          <w:t>RDmvSy9SYVsCKYgN5sd6lkj6ADzSjFVd1xPZw3q-UlBre3gV9mzyG_-OwmCFUv-enci0oBuUmXruxJya8hdSlsFU8_11pt_s8MYL77wOaP5wvBbiues0Bi7ps8TqJUVKY0MiLDOJS-cBUn6G-WJ6gpJyTOWCiOe81GCB16dKdQkn6K521NWdGQZVO031N73vo_RoFbA0RlwAWx_eCVC3H3-KsyEd35xFdoQRjO9FAz5GQfHfFPSld5OLZliY78pgNfj89ZPa_EE6pjQDpkjNeo76vXgzeVjG2gSQ7xRK_SCscgdceooVdsbgkETsOXvh5HrlJPWbkT0eF24L40vlMH8wPq-KOQh_QlcNKWWg419VzzFRGSxymp2Zfu81ern_c5Kce1ns3oAsGlJSmBOztGihz7rNEjbCW0hxiSBUQANLQDeJTL686uXK3n643of034GsLHUcE31lgotONuns56s0SWLq77A5Jiab5Dd5eo5TEVmBuaVJYDXYXggpM-87ejkjRxmv_6JattRF4</w:t>
        </w:r>
      </w:hyperlink>
      <w:r w:rsidR="007E1D86" w:rsidRPr="007F12B6">
        <w:rPr>
          <w:rFonts w:ascii="Palatino Linotype" w:hAnsi="Palatino Linotype"/>
          <w:sz w:val="24"/>
        </w:rPr>
        <w:t>, misma que fue consultada por este órgano Garante y que remite a la siguiente página:</w:t>
      </w:r>
    </w:p>
    <w:p w:rsidR="007E1D86" w:rsidRPr="007F12B6" w:rsidRDefault="007E1D86" w:rsidP="007E1D86">
      <w:pPr>
        <w:pStyle w:val="Prrafodelista"/>
        <w:spacing w:line="360" w:lineRule="auto"/>
        <w:ind w:left="0"/>
        <w:jc w:val="both"/>
        <w:rPr>
          <w:rFonts w:ascii="Palatino Linotype" w:hAnsi="Palatino Linotype"/>
          <w:sz w:val="24"/>
        </w:rPr>
      </w:pPr>
    </w:p>
    <w:p w:rsidR="007E1D86" w:rsidRPr="007F12B6" w:rsidRDefault="007E1D86" w:rsidP="00B0087A">
      <w:pPr>
        <w:pStyle w:val="Prrafodelista"/>
        <w:spacing w:line="360" w:lineRule="auto"/>
        <w:ind w:left="0"/>
        <w:jc w:val="center"/>
        <w:rPr>
          <w:rFonts w:ascii="Palatino Linotype" w:hAnsi="Palatino Linotype" w:cs="Arial"/>
          <w:sz w:val="24"/>
          <w:lang w:val="es-ES" w:eastAsia="es-ES"/>
        </w:rPr>
      </w:pPr>
      <w:r w:rsidRPr="007F12B6">
        <w:rPr>
          <w:noProof/>
        </w:rPr>
        <w:drawing>
          <wp:inline distT="0" distB="0" distL="0" distR="0" wp14:anchorId="05F32C4E" wp14:editId="7E05286E">
            <wp:extent cx="5412016" cy="34181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386" t="9102" r="23989" b="26167"/>
                    <a:stretch/>
                  </pic:blipFill>
                  <pic:spPr bwMode="auto">
                    <a:xfrm>
                      <a:off x="0" y="0"/>
                      <a:ext cx="5466588" cy="3452580"/>
                    </a:xfrm>
                    <a:prstGeom prst="rect">
                      <a:avLst/>
                    </a:prstGeom>
                    <a:ln>
                      <a:noFill/>
                    </a:ln>
                    <a:extLst>
                      <a:ext uri="{53640926-AAD7-44D8-BBD7-CCE9431645EC}">
                        <a14:shadowObscured xmlns:a14="http://schemas.microsoft.com/office/drawing/2010/main"/>
                      </a:ext>
                    </a:extLst>
                  </pic:spPr>
                </pic:pic>
              </a:graphicData>
            </a:graphic>
          </wp:inline>
        </w:drawing>
      </w:r>
    </w:p>
    <w:p w:rsidR="007E1D86" w:rsidRPr="007F12B6" w:rsidRDefault="007E1D86" w:rsidP="007E1D86">
      <w:pPr>
        <w:pStyle w:val="Prrafodelista"/>
        <w:spacing w:line="360" w:lineRule="auto"/>
        <w:ind w:left="0"/>
        <w:jc w:val="both"/>
        <w:rPr>
          <w:rFonts w:ascii="Palatino Linotype" w:hAnsi="Palatino Linotype" w:cs="Arial"/>
          <w:sz w:val="24"/>
          <w:lang w:val="es-ES" w:eastAsia="es-ES"/>
        </w:rPr>
      </w:pPr>
    </w:p>
    <w:p w:rsidR="00383939" w:rsidRPr="007F12B6" w:rsidRDefault="00B0087A"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hAnsi="Palatino Linotype" w:cs="Arial"/>
          <w:sz w:val="24"/>
          <w:lang w:val="es-ES" w:eastAsia="es-ES"/>
        </w:rPr>
        <w:lastRenderedPageBreak/>
        <w:t>Como se advierte en la imagen anterior, la liga electrónica remite a la página Información Pública de Oficio Mexiquense (IPOMEX) del Sujeto Obligado, en la que se encuentra publicado el Organigrama, se adjunta imagen de referencia:</w:t>
      </w:r>
    </w:p>
    <w:p w:rsidR="00B0087A" w:rsidRPr="007F12B6" w:rsidRDefault="00B0087A" w:rsidP="00B0087A">
      <w:pPr>
        <w:pStyle w:val="Prrafodelista"/>
        <w:spacing w:line="360" w:lineRule="auto"/>
        <w:ind w:left="0"/>
        <w:jc w:val="both"/>
        <w:rPr>
          <w:rFonts w:ascii="Palatino Linotype" w:hAnsi="Palatino Linotype" w:cs="Arial"/>
          <w:sz w:val="24"/>
          <w:lang w:val="es-ES" w:eastAsia="es-ES"/>
        </w:rPr>
      </w:pPr>
    </w:p>
    <w:p w:rsidR="00B0087A" w:rsidRPr="007F12B6" w:rsidRDefault="00B0087A" w:rsidP="00B0087A">
      <w:pPr>
        <w:pStyle w:val="Prrafodelista"/>
        <w:spacing w:line="360" w:lineRule="auto"/>
        <w:ind w:left="0"/>
        <w:jc w:val="center"/>
        <w:rPr>
          <w:rFonts w:ascii="Palatino Linotype" w:hAnsi="Palatino Linotype" w:cs="Arial"/>
          <w:sz w:val="24"/>
          <w:lang w:val="es-ES" w:eastAsia="es-ES"/>
        </w:rPr>
      </w:pPr>
      <w:r w:rsidRPr="007F12B6">
        <w:rPr>
          <w:noProof/>
        </w:rPr>
        <w:drawing>
          <wp:inline distT="0" distB="0" distL="0" distR="0" wp14:anchorId="3671E588" wp14:editId="5A7F973E">
            <wp:extent cx="5039959" cy="1807482"/>
            <wp:effectExtent l="0" t="0" r="889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334" t="57373" r="39531" b="16389"/>
                    <a:stretch/>
                  </pic:blipFill>
                  <pic:spPr bwMode="auto">
                    <a:xfrm>
                      <a:off x="0" y="0"/>
                      <a:ext cx="5069820" cy="1818191"/>
                    </a:xfrm>
                    <a:prstGeom prst="rect">
                      <a:avLst/>
                    </a:prstGeom>
                    <a:ln>
                      <a:noFill/>
                    </a:ln>
                    <a:extLst>
                      <a:ext uri="{53640926-AAD7-44D8-BBD7-CCE9431645EC}">
                        <a14:shadowObscured xmlns:a14="http://schemas.microsoft.com/office/drawing/2010/main"/>
                      </a:ext>
                    </a:extLst>
                  </pic:spPr>
                </pic:pic>
              </a:graphicData>
            </a:graphic>
          </wp:inline>
        </w:drawing>
      </w:r>
    </w:p>
    <w:p w:rsidR="00B0087A" w:rsidRPr="007F12B6" w:rsidRDefault="00B0087A" w:rsidP="00B0087A">
      <w:pPr>
        <w:pStyle w:val="Prrafodelista"/>
        <w:spacing w:line="360" w:lineRule="auto"/>
        <w:ind w:left="0"/>
        <w:jc w:val="center"/>
        <w:rPr>
          <w:rFonts w:ascii="Palatino Linotype" w:hAnsi="Palatino Linotype" w:cs="Arial"/>
          <w:sz w:val="24"/>
          <w:lang w:val="es-ES" w:eastAsia="es-ES"/>
        </w:rPr>
      </w:pPr>
    </w:p>
    <w:p w:rsidR="00B0087A" w:rsidRPr="007F12B6" w:rsidRDefault="00B0087A" w:rsidP="00B0087A">
      <w:pPr>
        <w:pStyle w:val="Prrafodelista"/>
        <w:spacing w:line="360" w:lineRule="auto"/>
        <w:ind w:left="0"/>
        <w:jc w:val="center"/>
        <w:rPr>
          <w:rFonts w:ascii="Palatino Linotype" w:hAnsi="Palatino Linotype" w:cs="Arial"/>
          <w:sz w:val="24"/>
          <w:lang w:val="es-ES" w:eastAsia="es-ES"/>
        </w:rPr>
      </w:pPr>
      <w:r w:rsidRPr="007F12B6">
        <w:rPr>
          <w:noProof/>
        </w:rPr>
        <w:drawing>
          <wp:inline distT="0" distB="0" distL="0" distR="0" wp14:anchorId="39ED6928" wp14:editId="2AF7852B">
            <wp:extent cx="5331153" cy="3037114"/>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511" t="12811" r="11091" b="16720"/>
                    <a:stretch/>
                  </pic:blipFill>
                  <pic:spPr bwMode="auto">
                    <a:xfrm>
                      <a:off x="0" y="0"/>
                      <a:ext cx="5378362" cy="3064009"/>
                    </a:xfrm>
                    <a:prstGeom prst="rect">
                      <a:avLst/>
                    </a:prstGeom>
                    <a:ln>
                      <a:noFill/>
                    </a:ln>
                    <a:extLst>
                      <a:ext uri="{53640926-AAD7-44D8-BBD7-CCE9431645EC}">
                        <a14:shadowObscured xmlns:a14="http://schemas.microsoft.com/office/drawing/2010/main"/>
                      </a:ext>
                    </a:extLst>
                  </pic:spPr>
                </pic:pic>
              </a:graphicData>
            </a:graphic>
          </wp:inline>
        </w:drawing>
      </w:r>
    </w:p>
    <w:p w:rsidR="00B0087A" w:rsidRPr="007F12B6" w:rsidRDefault="00B0087A" w:rsidP="00B0087A">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rsidR="00383939" w:rsidRPr="007F12B6" w:rsidRDefault="00383939" w:rsidP="00383939">
      <w:pPr>
        <w:pStyle w:val="Prrafodelista"/>
        <w:spacing w:line="360" w:lineRule="auto"/>
        <w:ind w:left="0"/>
        <w:jc w:val="both"/>
        <w:rPr>
          <w:rFonts w:ascii="Palatino Linotype" w:hAnsi="Palatino Linotype" w:cs="Arial"/>
          <w:sz w:val="32"/>
          <w:lang w:val="es-ES" w:eastAsia="es-ES"/>
        </w:rPr>
      </w:pPr>
    </w:p>
    <w:p w:rsidR="00034409" w:rsidRPr="007F12B6" w:rsidRDefault="00981FF0" w:rsidP="00383939">
      <w:pPr>
        <w:pStyle w:val="Prrafodelista"/>
        <w:numPr>
          <w:ilvl w:val="0"/>
          <w:numId w:val="1"/>
        </w:numPr>
        <w:spacing w:line="360" w:lineRule="auto"/>
        <w:ind w:left="0" w:firstLine="0"/>
        <w:jc w:val="both"/>
        <w:rPr>
          <w:rFonts w:ascii="Palatino Linotype" w:hAnsi="Palatino Linotype" w:cs="Arial"/>
          <w:sz w:val="36"/>
          <w:lang w:val="es-ES" w:eastAsia="es-ES"/>
        </w:rPr>
      </w:pPr>
      <w:r w:rsidRPr="007F12B6">
        <w:rPr>
          <w:rFonts w:ascii="Palatino Linotype" w:hAnsi="Palatino Linotype" w:cs="Arial"/>
          <w:sz w:val="24"/>
          <w:lang w:val="es-ES" w:eastAsia="es-ES"/>
        </w:rPr>
        <w:lastRenderedPageBreak/>
        <w:t xml:space="preserve">Derivado de lo anteriormente señalado, es necesario traer a contexto el artículo 161 de la Ley de Transparencia y Acceso a la Información Pública del Estado de México y Municipios que establece: </w:t>
      </w:r>
    </w:p>
    <w:p w:rsidR="00981FF0" w:rsidRPr="007F12B6" w:rsidRDefault="00981FF0" w:rsidP="00981FF0">
      <w:pPr>
        <w:pStyle w:val="Prrafodelista"/>
        <w:spacing w:line="360" w:lineRule="auto"/>
        <w:ind w:left="0"/>
        <w:jc w:val="both"/>
        <w:rPr>
          <w:rFonts w:ascii="Palatino Linotype" w:hAnsi="Palatino Linotype" w:cs="Arial"/>
          <w:sz w:val="24"/>
          <w:lang w:val="es-ES" w:eastAsia="es-ES"/>
        </w:rPr>
      </w:pPr>
    </w:p>
    <w:p w:rsidR="00981FF0" w:rsidRPr="007F12B6" w:rsidRDefault="00981FF0" w:rsidP="00981FF0">
      <w:pPr>
        <w:pStyle w:val="Prrafodelista"/>
        <w:spacing w:line="360" w:lineRule="auto"/>
        <w:ind w:left="851" w:right="822"/>
        <w:jc w:val="both"/>
        <w:rPr>
          <w:rFonts w:ascii="Palatino Linotype" w:hAnsi="Palatino Linotype"/>
          <w:i/>
        </w:rPr>
      </w:pPr>
      <w:r w:rsidRPr="007F12B6">
        <w:rPr>
          <w:rFonts w:ascii="Palatino Linotype" w:hAnsi="Palatino Linotype"/>
          <w:i/>
        </w:rPr>
        <w:t xml:space="preserve">“Artículo 161. Cuando la información requerida por el solicitante ya esté disponible al público en medios impresos, tales como libros, compendios, trípticos, registros públicos, en </w:t>
      </w:r>
      <w:r w:rsidRPr="007F12B6">
        <w:rPr>
          <w:rFonts w:ascii="Palatino Linotype" w:hAnsi="Palatino Linotype"/>
          <w:b/>
          <w:i/>
        </w:rPr>
        <w:t>formatos electrónicos disponibles en Internet</w:t>
      </w:r>
      <w:r w:rsidRPr="007F12B6">
        <w:rPr>
          <w:rFonts w:ascii="Palatino Linotype" w:hAnsi="Palatino Linotype"/>
          <w:i/>
        </w:rPr>
        <w:t xml:space="preserve">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981FF0" w:rsidRPr="007F12B6" w:rsidRDefault="00981FF0" w:rsidP="00981FF0">
      <w:pPr>
        <w:pStyle w:val="Prrafodelista"/>
        <w:spacing w:line="360" w:lineRule="auto"/>
        <w:ind w:left="851" w:right="822"/>
        <w:jc w:val="both"/>
        <w:rPr>
          <w:rFonts w:ascii="Palatino Linotype" w:hAnsi="Palatino Linotype" w:cs="Arial"/>
          <w:i/>
          <w:sz w:val="36"/>
          <w:lang w:val="es-ES" w:eastAsia="es-ES"/>
        </w:rPr>
      </w:pPr>
    </w:p>
    <w:p w:rsidR="00034409" w:rsidRPr="007F12B6" w:rsidRDefault="00981FF0" w:rsidP="00FD697E">
      <w:pPr>
        <w:pStyle w:val="Prrafodelista"/>
        <w:numPr>
          <w:ilvl w:val="0"/>
          <w:numId w:val="1"/>
        </w:numPr>
        <w:spacing w:line="360" w:lineRule="auto"/>
        <w:ind w:left="0" w:firstLine="0"/>
        <w:jc w:val="both"/>
        <w:rPr>
          <w:rFonts w:ascii="Palatino Linotype" w:hAnsi="Palatino Linotype" w:cs="Arial"/>
          <w:sz w:val="36"/>
          <w:lang w:val="es-ES" w:eastAsia="es-ES"/>
        </w:rPr>
      </w:pPr>
      <w:r w:rsidRPr="007F12B6">
        <w:rPr>
          <w:rFonts w:ascii="Palatino Linotype" w:hAnsi="Palatino Linotype" w:cs="Arial"/>
          <w:sz w:val="24"/>
          <w:lang w:val="es-ES" w:eastAsia="es-ES"/>
        </w:rPr>
        <w:t xml:space="preserve">En este caso, </w:t>
      </w:r>
      <w:r w:rsidR="00083CD6" w:rsidRPr="007F12B6">
        <w:rPr>
          <w:rFonts w:ascii="Palatino Linotype" w:hAnsi="Palatino Linotype" w:cs="Arial"/>
          <w:sz w:val="24"/>
          <w:lang w:val="es-ES" w:eastAsia="es-ES"/>
        </w:rPr>
        <w:t>podemos advertir que la respuesta entrega por el Sujeto O</w:t>
      </w:r>
      <w:r w:rsidR="00FD697E" w:rsidRPr="007F12B6">
        <w:rPr>
          <w:rFonts w:ascii="Palatino Linotype" w:hAnsi="Palatino Linotype" w:cs="Arial"/>
          <w:sz w:val="24"/>
          <w:lang w:val="es-ES" w:eastAsia="es-ES"/>
        </w:rPr>
        <w:t>bligado</w:t>
      </w:r>
      <w:r w:rsidR="00083CD6" w:rsidRPr="007F12B6">
        <w:rPr>
          <w:rFonts w:ascii="Palatino Linotype" w:hAnsi="Palatino Linotype" w:cs="Arial"/>
          <w:sz w:val="24"/>
          <w:lang w:val="es-ES" w:eastAsia="es-ES"/>
        </w:rPr>
        <w:t xml:space="preserve"> cumple con los requisitos establecidos en el presento legal señalado en el párrafo anterior, pues la liga electrónica remite </w:t>
      </w:r>
      <w:r w:rsidR="00FD697E" w:rsidRPr="007F12B6">
        <w:rPr>
          <w:rFonts w:ascii="Palatino Linotype" w:hAnsi="Palatino Linotype" w:cs="Arial"/>
          <w:sz w:val="24"/>
          <w:lang w:val="es-ES" w:eastAsia="es-ES"/>
        </w:rPr>
        <w:t xml:space="preserve">de forma precisa y concreta a la información solicitada, además de que se realizó dentro del plazo señalado, por lo tanto, la respuesta fue emitida en tiempo y forma. </w:t>
      </w:r>
    </w:p>
    <w:p w:rsidR="00FD697E" w:rsidRPr="007F12B6" w:rsidRDefault="00FD697E" w:rsidP="00FD697E">
      <w:pPr>
        <w:pStyle w:val="Prrafodelista"/>
        <w:spacing w:line="360" w:lineRule="auto"/>
        <w:ind w:left="0"/>
        <w:jc w:val="both"/>
        <w:rPr>
          <w:rFonts w:ascii="Palatino Linotype" w:hAnsi="Palatino Linotype" w:cs="Arial"/>
          <w:sz w:val="36"/>
          <w:lang w:val="es-ES" w:eastAsia="es-ES"/>
        </w:rPr>
      </w:pPr>
    </w:p>
    <w:p w:rsidR="00FD697E" w:rsidRPr="007F12B6" w:rsidRDefault="00FD697E" w:rsidP="00FD697E">
      <w:pPr>
        <w:pStyle w:val="Prrafodelista"/>
        <w:numPr>
          <w:ilvl w:val="0"/>
          <w:numId w:val="1"/>
        </w:numPr>
        <w:spacing w:line="360" w:lineRule="auto"/>
        <w:ind w:left="0" w:right="-93" w:firstLine="0"/>
        <w:jc w:val="both"/>
        <w:rPr>
          <w:rFonts w:ascii="Palatino Linotype" w:hAnsi="Palatino Linotype" w:cs="Tahoma"/>
          <w:sz w:val="24"/>
        </w:rPr>
      </w:pPr>
      <w:r w:rsidRPr="007F12B6">
        <w:rPr>
          <w:rFonts w:ascii="Palatino Linotype" w:hAnsi="Palatino Linotype" w:cs="Tahoma"/>
          <w:sz w:val="24"/>
        </w:rPr>
        <w:t>En relación con lo anterior, se entiende que el Sujeto Obligado atendió la solicitud de acceso a la información, atento a lo establecido en el artículo 12, párrafo segundo, de la Ley de Transparencia y Acceso a la Información Pública del Estado de México y Municipios.</w:t>
      </w:r>
    </w:p>
    <w:p w:rsidR="00FD697E" w:rsidRPr="007F12B6" w:rsidRDefault="00FD697E" w:rsidP="00FD697E">
      <w:pPr>
        <w:spacing w:line="360" w:lineRule="auto"/>
        <w:ind w:right="49"/>
        <w:contextualSpacing/>
        <w:jc w:val="both"/>
        <w:rPr>
          <w:rFonts w:ascii="Palatino Linotype" w:hAnsi="Palatino Linotype"/>
          <w:color w:val="000000"/>
          <w:lang w:val="es-ES_tradnl"/>
        </w:rPr>
      </w:pPr>
    </w:p>
    <w:p w:rsidR="00FD697E" w:rsidRPr="007F12B6" w:rsidRDefault="00FD697E" w:rsidP="00FD697E">
      <w:pPr>
        <w:numPr>
          <w:ilvl w:val="0"/>
          <w:numId w:val="1"/>
        </w:numPr>
        <w:spacing w:line="360" w:lineRule="auto"/>
        <w:ind w:left="0" w:right="49" w:firstLine="0"/>
        <w:contextualSpacing/>
        <w:jc w:val="both"/>
        <w:rPr>
          <w:rFonts w:ascii="Palatino Linotype" w:hAnsi="Palatino Linotype" w:cs="Arial"/>
          <w:color w:val="000000"/>
        </w:rPr>
      </w:pPr>
      <w:r w:rsidRPr="007F12B6">
        <w:rPr>
          <w:rFonts w:ascii="Palatino Linotype" w:hAnsi="Palatino Linotype" w:cs="Arial"/>
          <w:color w:val="000000"/>
        </w:rPr>
        <w:lastRenderedPageBreak/>
        <w:t xml:space="preserve">Es así, que con fundamento en el artículo 186, fracción II, de la Ley de Transparencia y Acceso a la Información Pública del Estado de México y Municipios, este Instituto considera procedente </w:t>
      </w:r>
      <w:r w:rsidRPr="007F12B6">
        <w:rPr>
          <w:rFonts w:ascii="Palatino Linotype" w:hAnsi="Palatino Linotype" w:cs="Arial"/>
          <w:b/>
          <w:color w:val="000000"/>
        </w:rPr>
        <w:t xml:space="preserve">CONFIRMAR </w:t>
      </w:r>
      <w:r w:rsidRPr="007F12B6">
        <w:rPr>
          <w:rFonts w:ascii="Palatino Linotype" w:hAnsi="Palatino Linotype" w:cs="Arial"/>
          <w:color w:val="000000"/>
        </w:rPr>
        <w:t xml:space="preserve">la respuesta otorgada por el Sujeto Obligado. </w:t>
      </w:r>
    </w:p>
    <w:p w:rsidR="00FD697E" w:rsidRPr="007F12B6" w:rsidRDefault="00FD697E" w:rsidP="00FD697E">
      <w:pPr>
        <w:pStyle w:val="Prrafodelista"/>
        <w:rPr>
          <w:rFonts w:ascii="Palatino Linotype" w:eastAsiaTheme="minorEastAsia" w:hAnsi="Palatino Linotype"/>
          <w:color w:val="000000"/>
          <w:sz w:val="24"/>
          <w:lang w:val="es-ES"/>
        </w:rPr>
      </w:pPr>
    </w:p>
    <w:p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36"/>
          <w:lang w:val="es-ES" w:eastAsia="es-ES"/>
        </w:rPr>
      </w:pPr>
      <w:r w:rsidRPr="007F12B6">
        <w:rPr>
          <w:rFonts w:ascii="Palatino Linotype" w:eastAsiaTheme="minorEastAsia" w:hAnsi="Palatino Linotype"/>
          <w:color w:val="000000"/>
          <w:sz w:val="24"/>
          <w:lang w:val="es-ES"/>
        </w:rPr>
        <w:t xml:space="preserve">Por lo anteriormente expuesto y fundado, este </w:t>
      </w:r>
      <w:r w:rsidRPr="007F12B6">
        <w:rPr>
          <w:rFonts w:ascii="Palatino Linotype" w:eastAsiaTheme="minorEastAsia" w:hAnsi="Palatino Linotype"/>
          <w:b/>
          <w:bCs/>
          <w:color w:val="000000"/>
          <w:sz w:val="24"/>
          <w:lang w:val="es-ES"/>
        </w:rPr>
        <w:t>ÓRGANO GARANTE</w:t>
      </w:r>
      <w:r w:rsidRPr="007F12B6">
        <w:rPr>
          <w:rFonts w:ascii="Palatino Linotype" w:eastAsiaTheme="minorEastAsia" w:hAnsi="Palatino Linotype"/>
          <w:color w:val="000000"/>
          <w:sz w:val="24"/>
          <w:lang w:val="es-ES"/>
        </w:rPr>
        <w:t xml:space="preserve"> emite los siguientes: </w:t>
      </w:r>
    </w:p>
    <w:p w:rsidR="00383939" w:rsidRPr="007F12B6" w:rsidRDefault="00383939" w:rsidP="00383939">
      <w:pPr>
        <w:pStyle w:val="Prrafodelista"/>
        <w:spacing w:line="360" w:lineRule="auto"/>
        <w:ind w:left="0"/>
        <w:jc w:val="both"/>
        <w:rPr>
          <w:rFonts w:ascii="Palatino Linotype" w:hAnsi="Palatino Linotype" w:cs="Arial"/>
          <w:sz w:val="36"/>
          <w:lang w:val="es-ES" w:eastAsia="es-ES"/>
        </w:rPr>
      </w:pPr>
    </w:p>
    <w:p w:rsidR="00383939" w:rsidRPr="007F12B6" w:rsidRDefault="00383939" w:rsidP="00383939">
      <w:pPr>
        <w:keepNext/>
        <w:keepLines/>
        <w:spacing w:line="360" w:lineRule="auto"/>
        <w:jc w:val="center"/>
        <w:outlineLvl w:val="0"/>
        <w:rPr>
          <w:rFonts w:ascii="Palatino Linotype" w:hAnsi="Palatino Linotype" w:cstheme="majorBidi"/>
          <w:b/>
          <w:bCs/>
          <w:lang w:val="es-ES_tradnl" w:eastAsia="es-ES"/>
        </w:rPr>
      </w:pPr>
      <w:bookmarkStart w:id="10" w:name="_Toc66992248"/>
      <w:r w:rsidRPr="007F12B6">
        <w:rPr>
          <w:rFonts w:ascii="Palatino Linotype" w:hAnsi="Palatino Linotype" w:cstheme="majorBidi"/>
          <w:b/>
          <w:bCs/>
          <w:lang w:val="es-ES_tradnl" w:eastAsia="es-ES"/>
        </w:rPr>
        <w:t>R E S O L U T I V O S</w:t>
      </w:r>
      <w:bookmarkEnd w:id="10"/>
    </w:p>
    <w:p w:rsidR="00383939" w:rsidRPr="007F12B6"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rsidR="00383939" w:rsidRPr="007F12B6" w:rsidRDefault="00383939" w:rsidP="00383939">
      <w:pPr>
        <w:spacing w:line="360" w:lineRule="auto"/>
        <w:jc w:val="both"/>
        <w:rPr>
          <w:rFonts w:ascii="Palatino Linotype" w:eastAsiaTheme="minorEastAsia" w:hAnsi="Palatino Linotype" w:cs="Arial"/>
          <w:bCs/>
          <w:lang w:val="es-ES_tradnl" w:eastAsia="es-ES"/>
        </w:rPr>
      </w:pPr>
      <w:r w:rsidRPr="007F12B6">
        <w:rPr>
          <w:rFonts w:ascii="Palatino Linotype" w:hAnsi="Palatino Linotype" w:cs="Arial"/>
          <w:b/>
          <w:lang w:val="es-ES_tradnl" w:eastAsia="es-ES"/>
        </w:rPr>
        <w:t xml:space="preserve">PRIMERO. </w:t>
      </w:r>
      <w:r w:rsidRPr="007F12B6">
        <w:rPr>
          <w:rFonts w:ascii="Palatino Linotype" w:hAnsi="Palatino Linotype" w:cs="Arial"/>
          <w:lang w:val="es-ES_tradnl" w:eastAsia="es-ES"/>
        </w:rPr>
        <w:t>Resultan infundadas las</w:t>
      </w:r>
      <w:r w:rsidRPr="007F12B6">
        <w:rPr>
          <w:rFonts w:ascii="Palatino Linotype" w:hAnsi="Palatino Linotype" w:cs="Arial"/>
          <w:b/>
          <w:lang w:val="es-ES_tradnl" w:eastAsia="es-ES"/>
        </w:rPr>
        <w:t xml:space="preserve"> </w:t>
      </w:r>
      <w:r w:rsidRPr="007F12B6">
        <w:rPr>
          <w:rFonts w:ascii="Palatino Linotype" w:hAnsi="Palatino Linotype" w:cs="Arial"/>
          <w:lang w:val="es-ES" w:eastAsia="es-ES"/>
        </w:rPr>
        <w:t xml:space="preserve">razones o motivos de inconformidad hechos valer </w:t>
      </w:r>
      <w:r w:rsidRPr="007F12B6">
        <w:rPr>
          <w:rFonts w:ascii="Palatino Linotype" w:eastAsia="Calibri" w:hAnsi="Palatino Linotype" w:cs="Arial"/>
          <w:lang w:val="es-ES" w:eastAsia="es-ES"/>
        </w:rPr>
        <w:t xml:space="preserve">en el recurso de revisión </w:t>
      </w:r>
      <w:r w:rsidR="00FD697E" w:rsidRPr="007F12B6">
        <w:rPr>
          <w:rFonts w:ascii="Palatino Linotype" w:eastAsiaTheme="minorEastAsia" w:hAnsi="Palatino Linotype" w:cs="Arial"/>
          <w:b/>
          <w:bCs/>
          <w:lang w:val="es-ES_tradnl" w:eastAsia="es-ES"/>
        </w:rPr>
        <w:t>00193/INFOEM/IP/RR/2023</w:t>
      </w:r>
      <w:r w:rsidRPr="007F12B6">
        <w:rPr>
          <w:rFonts w:ascii="Palatino Linotype" w:eastAsiaTheme="minorEastAsia" w:hAnsi="Palatino Linotype" w:cs="Arial"/>
          <w:b/>
          <w:bCs/>
          <w:lang w:val="es-ES_tradnl" w:eastAsia="es-ES"/>
        </w:rPr>
        <w:t xml:space="preserve">, </w:t>
      </w:r>
      <w:r w:rsidRPr="007F12B6">
        <w:rPr>
          <w:rFonts w:ascii="Palatino Linotype" w:eastAsiaTheme="minorEastAsia" w:hAnsi="Palatino Linotype" w:cs="Arial"/>
          <w:bCs/>
          <w:lang w:val="es-ES_tradnl" w:eastAsia="es-ES"/>
        </w:rPr>
        <w:t xml:space="preserve">en términos del </w:t>
      </w:r>
      <w:r w:rsidRPr="007F12B6">
        <w:rPr>
          <w:rFonts w:ascii="Palatino Linotype" w:eastAsiaTheme="minorEastAsia" w:hAnsi="Palatino Linotype" w:cs="Arial"/>
          <w:b/>
          <w:bCs/>
          <w:lang w:val="es-ES_tradnl" w:eastAsia="es-ES"/>
        </w:rPr>
        <w:t>Considerando</w:t>
      </w:r>
      <w:r w:rsidRPr="007F12B6">
        <w:rPr>
          <w:rFonts w:ascii="Palatino Linotype" w:eastAsiaTheme="minorEastAsia" w:hAnsi="Palatino Linotype" w:cs="Arial"/>
          <w:bCs/>
          <w:lang w:val="es-ES_tradnl" w:eastAsia="es-ES"/>
        </w:rPr>
        <w:t xml:space="preserve"> </w:t>
      </w:r>
      <w:r w:rsidRPr="007F12B6">
        <w:rPr>
          <w:rFonts w:ascii="Palatino Linotype" w:eastAsiaTheme="minorEastAsia" w:hAnsi="Palatino Linotype" w:cs="Arial"/>
          <w:b/>
          <w:bCs/>
          <w:lang w:val="es-ES_tradnl" w:eastAsia="es-ES"/>
        </w:rPr>
        <w:t>CUARTO</w:t>
      </w:r>
      <w:r w:rsidRPr="007F12B6">
        <w:rPr>
          <w:rFonts w:ascii="Palatino Linotype" w:eastAsiaTheme="minorEastAsia" w:hAnsi="Palatino Linotype" w:cs="Arial"/>
          <w:bCs/>
          <w:lang w:val="es-ES_tradnl" w:eastAsia="es-ES"/>
        </w:rPr>
        <w:t xml:space="preserve"> de la presente resolución.</w:t>
      </w:r>
    </w:p>
    <w:p w:rsidR="00383939" w:rsidRPr="007F12B6" w:rsidRDefault="00383939" w:rsidP="00383939">
      <w:pPr>
        <w:spacing w:line="360" w:lineRule="auto"/>
        <w:jc w:val="both"/>
        <w:rPr>
          <w:rFonts w:ascii="Palatino Linotype" w:hAnsi="Palatino Linotype"/>
          <w:lang w:val="es-ES_tradnl" w:eastAsia="es-ES"/>
        </w:rPr>
      </w:pPr>
    </w:p>
    <w:p w:rsidR="00383939" w:rsidRPr="007F12B6" w:rsidRDefault="00383939" w:rsidP="00383939">
      <w:pPr>
        <w:spacing w:line="360" w:lineRule="auto"/>
        <w:jc w:val="both"/>
        <w:rPr>
          <w:rFonts w:ascii="Palatino Linotype" w:eastAsia="Calibri" w:hAnsi="Palatino Linotype" w:cs="Arial"/>
          <w:lang w:val="es-ES" w:eastAsia="es-ES"/>
        </w:rPr>
      </w:pPr>
      <w:r w:rsidRPr="007F12B6">
        <w:rPr>
          <w:rFonts w:ascii="Palatino Linotype" w:eastAsiaTheme="minorEastAsia" w:hAnsi="Palatino Linotype"/>
          <w:b/>
          <w:lang w:val="es-ES_tradnl" w:eastAsia="es-ES"/>
        </w:rPr>
        <w:t>SEGUNDO.</w:t>
      </w:r>
      <w:r w:rsidRPr="007F12B6">
        <w:rPr>
          <w:rFonts w:ascii="Palatino Linotype" w:eastAsiaTheme="majorEastAsia" w:hAnsi="Palatino Linotype" w:cstheme="majorBidi"/>
          <w:b/>
          <w:color w:val="2E74B5" w:themeColor="accent1" w:themeShade="BF"/>
          <w:lang w:val="es-ES_tradnl" w:eastAsia="es-ES"/>
        </w:rPr>
        <w:t xml:space="preserve"> </w:t>
      </w:r>
      <w:r w:rsidRPr="007F12B6">
        <w:rPr>
          <w:rFonts w:ascii="Palatino Linotype" w:eastAsia="Calibri" w:hAnsi="Palatino Linotype" w:cs="Arial"/>
          <w:lang w:val="es-ES" w:eastAsia="es-ES"/>
        </w:rPr>
        <w:t>Se</w:t>
      </w:r>
      <w:r w:rsidRPr="007F12B6">
        <w:rPr>
          <w:rFonts w:ascii="Palatino Linotype" w:eastAsia="Calibri" w:hAnsi="Palatino Linotype" w:cs="Arial"/>
          <w:b/>
          <w:lang w:val="es-ES" w:eastAsia="es-ES"/>
        </w:rPr>
        <w:t xml:space="preserve"> CONFIRMA </w:t>
      </w:r>
      <w:r w:rsidR="00187499" w:rsidRPr="007F12B6">
        <w:rPr>
          <w:rFonts w:ascii="Palatino Linotype" w:eastAsia="Calibri" w:hAnsi="Palatino Linotype" w:cs="Arial"/>
          <w:lang w:val="es-ES" w:eastAsia="es-ES"/>
        </w:rPr>
        <w:t>la respuesta emitida por el</w:t>
      </w:r>
      <w:r w:rsidRPr="007F12B6">
        <w:rPr>
          <w:rFonts w:ascii="Palatino Linotype" w:eastAsia="Calibri" w:hAnsi="Palatino Linotype" w:cs="Arial"/>
          <w:lang w:val="es-ES" w:eastAsia="es-ES"/>
        </w:rPr>
        <w:t xml:space="preserve"> </w:t>
      </w:r>
      <w:r w:rsidR="00FD697E" w:rsidRPr="007F12B6">
        <w:rPr>
          <w:rFonts w:ascii="Palatino Linotype" w:eastAsiaTheme="minorEastAsia" w:hAnsi="Palatino Linotype" w:cs="Arial"/>
          <w:b/>
          <w:lang w:val="es-ES_tradnl" w:eastAsia="es-ES"/>
        </w:rPr>
        <w:t>Ayuntamiento de Metepec</w:t>
      </w:r>
      <w:r w:rsidRPr="007F12B6">
        <w:rPr>
          <w:rFonts w:ascii="Palatino Linotype" w:eastAsia="Calibri" w:hAnsi="Palatino Linotype" w:cs="Arial"/>
          <w:lang w:val="es-ES" w:eastAsia="es-ES"/>
        </w:rPr>
        <w:t xml:space="preserve"> a la solicitud </w:t>
      </w:r>
      <w:r w:rsidR="00684F8A" w:rsidRPr="007F12B6">
        <w:rPr>
          <w:rFonts w:ascii="Palatino Linotype" w:hAnsi="Palatino Linotype"/>
          <w:b/>
          <w:bCs/>
        </w:rPr>
        <w:t>00030/METEPEC/IP/2023</w:t>
      </w:r>
      <w:r w:rsidRPr="007F12B6">
        <w:rPr>
          <w:rFonts w:ascii="Palatino Linotype" w:eastAsia="Calibri" w:hAnsi="Palatino Linotype" w:cs="Arial"/>
          <w:b/>
          <w:lang w:val="es-ES" w:eastAsia="es-ES"/>
        </w:rPr>
        <w:t>.</w:t>
      </w:r>
      <w:r w:rsidRPr="007F12B6">
        <w:rPr>
          <w:rFonts w:ascii="Palatino Linotype" w:eastAsia="Calibri" w:hAnsi="Palatino Linotype" w:cs="Arial"/>
          <w:lang w:val="es-ES" w:eastAsia="es-ES"/>
        </w:rPr>
        <w:t xml:space="preserve"> </w:t>
      </w:r>
    </w:p>
    <w:p w:rsidR="00383939" w:rsidRPr="007F12B6" w:rsidRDefault="00383939" w:rsidP="00383939">
      <w:pPr>
        <w:spacing w:line="360" w:lineRule="auto"/>
        <w:jc w:val="both"/>
        <w:rPr>
          <w:rFonts w:ascii="Palatino Linotype" w:eastAsia="Calibri" w:hAnsi="Palatino Linotype" w:cs="Arial"/>
          <w:lang w:val="es-ES" w:eastAsia="es-ES"/>
        </w:rPr>
      </w:pPr>
    </w:p>
    <w:p w:rsidR="00383939" w:rsidRPr="007F12B6"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F12B6">
        <w:rPr>
          <w:rFonts w:ascii="Palatino Linotype" w:eastAsia="Palatino Linotype" w:hAnsi="Palatino Linotype" w:cs="Palatino Linotype"/>
          <w:b/>
          <w:lang w:val="es-ES_tradnl" w:eastAsia="es-ES"/>
        </w:rPr>
        <w:t xml:space="preserve">TERCERO. REMÍTASE, </w:t>
      </w:r>
      <w:r w:rsidRPr="007F12B6">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7F12B6">
        <w:rPr>
          <w:rFonts w:ascii="Palatino Linotype" w:eastAsia="Palatino Linotype" w:hAnsi="Palatino Linotype" w:cs="Palatino Linotype"/>
          <w:b/>
          <w:lang w:val="es-ES_tradnl" w:eastAsia="es-ES"/>
        </w:rPr>
        <w:t>SUJETO OBLIGADO.</w:t>
      </w:r>
    </w:p>
    <w:p w:rsidR="00383939" w:rsidRPr="007F12B6"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383939" w:rsidRPr="007F12B6" w:rsidRDefault="00383939" w:rsidP="00383939">
      <w:pPr>
        <w:shd w:val="clear" w:color="auto" w:fill="FFFFFF"/>
        <w:spacing w:line="360" w:lineRule="auto"/>
        <w:jc w:val="both"/>
        <w:rPr>
          <w:rFonts w:ascii="Palatino Linotype" w:eastAsiaTheme="minorEastAsia" w:hAnsi="Palatino Linotype"/>
          <w:lang w:val="es-ES_tradnl" w:eastAsia="es-ES"/>
        </w:rPr>
      </w:pPr>
      <w:r w:rsidRPr="007F12B6">
        <w:rPr>
          <w:rFonts w:ascii="Palatino Linotype" w:hAnsi="Palatino Linotype" w:cs="Arial"/>
          <w:b/>
          <w:lang w:val="es-ES_tradnl" w:eastAsia="es-ES"/>
        </w:rPr>
        <w:t xml:space="preserve">CUARTO. </w:t>
      </w:r>
      <w:r w:rsidRPr="007F12B6">
        <w:rPr>
          <w:rFonts w:ascii="Palatino Linotype" w:hAnsi="Palatino Linotype"/>
          <w:b/>
          <w:bCs/>
          <w:color w:val="222222"/>
          <w:lang w:val="es-ES" w:eastAsia="es-ES"/>
        </w:rPr>
        <w:t>Notifíquese al RECURRENTE</w:t>
      </w:r>
      <w:r w:rsidRPr="007F12B6">
        <w:rPr>
          <w:rFonts w:ascii="Palatino Linotype" w:eastAsiaTheme="minorEastAsia" w:hAnsi="Palatino Linotype"/>
          <w:b/>
          <w:lang w:val="es-ES_tradnl" w:eastAsia="es-ES"/>
        </w:rPr>
        <w:t xml:space="preserve"> </w:t>
      </w:r>
      <w:r w:rsidRPr="007F12B6">
        <w:rPr>
          <w:rFonts w:ascii="Palatino Linotype" w:eastAsiaTheme="minorEastAsia" w:hAnsi="Palatino Linotype"/>
          <w:lang w:val="es-ES_tradnl" w:eastAsia="es-ES"/>
        </w:rPr>
        <w:t>la presente resolución.</w:t>
      </w:r>
    </w:p>
    <w:p w:rsidR="00383939" w:rsidRPr="007F12B6" w:rsidRDefault="00383939" w:rsidP="00383939">
      <w:pPr>
        <w:shd w:val="clear" w:color="auto" w:fill="FFFFFF"/>
        <w:spacing w:line="360" w:lineRule="auto"/>
        <w:jc w:val="both"/>
        <w:rPr>
          <w:rFonts w:ascii="Palatino Linotype" w:eastAsiaTheme="minorEastAsia" w:hAnsi="Palatino Linotype"/>
          <w:lang w:val="es-ES_tradnl" w:eastAsia="es-ES"/>
        </w:rPr>
      </w:pPr>
    </w:p>
    <w:p w:rsidR="00383939" w:rsidRPr="007F12B6" w:rsidRDefault="00383939" w:rsidP="00383939">
      <w:pPr>
        <w:spacing w:line="360" w:lineRule="auto"/>
        <w:jc w:val="both"/>
        <w:rPr>
          <w:rFonts w:ascii="Palatino Linotype" w:eastAsia="MS Mincho" w:hAnsi="Palatino Linotype"/>
          <w:lang w:val="es-ES" w:eastAsia="es-ES"/>
        </w:rPr>
      </w:pPr>
      <w:r w:rsidRPr="007F12B6">
        <w:rPr>
          <w:rFonts w:ascii="Palatino Linotype" w:eastAsia="MS Mincho" w:hAnsi="Palatino Linotype"/>
          <w:b/>
          <w:lang w:eastAsia="es-ES"/>
        </w:rPr>
        <w:lastRenderedPageBreak/>
        <w:t>QUINTO.</w:t>
      </w:r>
      <w:r w:rsidRPr="007F12B6">
        <w:rPr>
          <w:rFonts w:ascii="Palatino Linotype" w:eastAsia="MS Mincho" w:hAnsi="Palatino Linotype"/>
          <w:lang w:eastAsia="es-ES"/>
        </w:rPr>
        <w:t xml:space="preserve"> </w:t>
      </w:r>
      <w:r w:rsidRPr="007F12B6">
        <w:rPr>
          <w:rFonts w:ascii="Palatino Linotype" w:eastAsia="MS Mincho" w:hAnsi="Palatino Linotype"/>
          <w:lang w:val="es-ES" w:eastAsia="es-ES"/>
        </w:rPr>
        <w:t xml:space="preserve">Se hace del conocimiento del </w:t>
      </w:r>
      <w:r w:rsidRPr="007F12B6">
        <w:rPr>
          <w:rFonts w:ascii="Palatino Linotype" w:hAnsi="Palatino Linotype"/>
          <w:b/>
          <w:bCs/>
          <w:color w:val="222222"/>
          <w:lang w:val="es-ES" w:eastAsia="es-ES"/>
        </w:rPr>
        <w:t>RECURRENTE</w:t>
      </w:r>
      <w:r w:rsidRPr="007F12B6">
        <w:rPr>
          <w:rFonts w:ascii="Palatino Linotype" w:eastAsiaTheme="minorEastAsia" w:hAnsi="Palatino Linotype"/>
          <w:b/>
          <w:lang w:val="es-ES_tradnl" w:eastAsia="es-ES"/>
        </w:rPr>
        <w:t xml:space="preserve"> </w:t>
      </w:r>
      <w:r w:rsidRPr="007F12B6">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F12B6">
        <w:rPr>
          <w:rFonts w:ascii="Palatino Linotype" w:eastAsia="MS Mincho" w:hAnsi="Palatino Linotype"/>
          <w:bCs/>
          <w:lang w:val="es-ES" w:eastAsia="es-ES"/>
        </w:rPr>
        <w:t>vía juicio de amparo</w:t>
      </w:r>
      <w:r w:rsidRPr="007F12B6">
        <w:rPr>
          <w:rFonts w:ascii="Palatino Linotype" w:eastAsia="MS Mincho" w:hAnsi="Palatino Linotype"/>
          <w:lang w:val="es-ES" w:eastAsia="es-ES"/>
        </w:rPr>
        <w:t> en los términos de las leyes aplicables.</w:t>
      </w:r>
    </w:p>
    <w:p w:rsidR="00383939" w:rsidRPr="007F12B6"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bookmarkEnd w:id="6"/>
    <w:bookmarkEnd w:id="7"/>
    <w:bookmarkEnd w:id="8"/>
    <w:p w:rsidR="007F12B6" w:rsidRDefault="007F12B6" w:rsidP="007F12B6">
      <w:pPr>
        <w:spacing w:before="240" w:after="240" w:line="360" w:lineRule="auto"/>
        <w:jc w:val="both"/>
        <w:rPr>
          <w:rFonts w:ascii="Palatino Linotype" w:hAnsi="Palatino Linotype"/>
        </w:rPr>
      </w:pPr>
      <w:r w:rsidRPr="007F12B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(01) DE FEBRERO DE DOS MIL VEINTITRÉS, ANTE EL SECRETARIO TÉCNICO DEL PLENO ALEXIS TAPIA RAMÍREZ.</w:t>
      </w:r>
      <w:bookmarkStart w:id="11" w:name="_GoBack"/>
      <w:bookmarkEnd w:id="11"/>
      <w:r w:rsidRPr="00624AAD">
        <w:rPr>
          <w:rFonts w:ascii="Palatino Linotype" w:hAnsi="Palatino Linotype"/>
        </w:rPr>
        <w:t xml:space="preserve"> </w:t>
      </w:r>
    </w:p>
    <w:p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383939" w:rsidRPr="00E95235" w:rsidRDefault="00383939" w:rsidP="00383939">
      <w:pPr>
        <w:spacing w:line="360" w:lineRule="auto"/>
        <w:rPr>
          <w:rFonts w:ascii="Palatino Linotype" w:hAnsi="Palatino Linotype"/>
          <w:sz w:val="22"/>
          <w:szCs w:val="22"/>
        </w:rPr>
      </w:pPr>
    </w:p>
    <w:p w:rsidR="000F5268" w:rsidRDefault="000F5268"/>
    <w:sectPr w:rsidR="000F5268" w:rsidSect="0026086D">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C27" w:rsidRDefault="00892C27" w:rsidP="00C42F70">
      <w:r>
        <w:separator/>
      </w:r>
    </w:p>
  </w:endnote>
  <w:endnote w:type="continuationSeparator" w:id="0">
    <w:p w:rsidR="00892C27" w:rsidRDefault="00892C27" w:rsidP="00C4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7F12B6">
      <w:rPr>
        <w:b/>
        <w:bCs/>
        <w:noProof/>
      </w:rPr>
      <w:t>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F12B6">
      <w:rPr>
        <w:b/>
        <w:bCs/>
        <w:noProof/>
      </w:rPr>
      <w:t>18</w:t>
    </w:r>
    <w:r>
      <w:rPr>
        <w:b/>
        <w:bCs/>
      </w:rPr>
      <w:fldChar w:fldCharType="end"/>
    </w:r>
  </w:p>
  <w:p w:rsidR="0026086D" w:rsidRDefault="007F12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7F12B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F12B6">
      <w:rPr>
        <w:b/>
        <w:bCs/>
        <w:noProof/>
      </w:rPr>
      <w:t>18</w:t>
    </w:r>
    <w:r>
      <w:rPr>
        <w:b/>
        <w:bCs/>
      </w:rPr>
      <w:fldChar w:fldCharType="end"/>
    </w:r>
  </w:p>
  <w:p w:rsidR="0026086D" w:rsidRDefault="007F12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C27" w:rsidRDefault="00892C27" w:rsidP="00C42F70">
      <w:r>
        <w:separator/>
      </w:r>
    </w:p>
  </w:footnote>
  <w:footnote w:type="continuationSeparator" w:id="0">
    <w:p w:rsidR="00892C27" w:rsidRDefault="00892C27" w:rsidP="00C4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7F12B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7F12B6"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7F12B6"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C42F70"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00193</w:t>
                </w:r>
                <w:r w:rsidR="00187499">
                  <w:rPr>
                    <w:rFonts w:ascii="Palatino Linotype" w:eastAsia="Calibri" w:hAnsi="Palatino Linotype" w:cs="Tahoma"/>
                    <w:bCs/>
                    <w:sz w:val="22"/>
                    <w:szCs w:val="22"/>
                    <w:lang w:eastAsia="en-US"/>
                  </w:rPr>
                  <w:t>/INFOEM/IP/RR/2023</w:t>
                </w:r>
              </w:p>
            </w:tc>
          </w:tr>
          <w:tr w:rsidR="0026086D" w:rsidTr="0026086D">
            <w:trPr>
              <w:trHeight w:val="295"/>
            </w:trPr>
            <w:tc>
              <w:tcPr>
                <w:tcW w:w="2551" w:type="dxa"/>
                <w:shd w:val="clear" w:color="auto" w:fill="auto"/>
              </w:tcPr>
              <w:p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C42F70"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Metepec</w:t>
                </w:r>
              </w:p>
            </w:tc>
          </w:tr>
          <w:tr w:rsidR="0026086D" w:rsidTr="0026086D">
            <w:trPr>
              <w:trHeight w:val="295"/>
            </w:trPr>
            <w:tc>
              <w:tcPr>
                <w:tcW w:w="2551" w:type="dxa"/>
                <w:shd w:val="clear" w:color="auto" w:fill="auto"/>
              </w:tcPr>
              <w:p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892C27"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7F12B6"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7F12B6" w:rsidP="0026086D">
          <w:pPr>
            <w:tabs>
              <w:tab w:val="right" w:pos="8838"/>
            </w:tabs>
            <w:ind w:left="-28"/>
            <w:jc w:val="both"/>
            <w:rPr>
              <w:rFonts w:ascii="Arial" w:eastAsia="Calibri" w:hAnsi="Arial" w:cs="Arial"/>
              <w:b/>
              <w:sz w:val="22"/>
              <w:szCs w:val="22"/>
              <w:lang w:eastAsia="en-US"/>
            </w:rPr>
          </w:pPr>
        </w:p>
      </w:tc>
    </w:tr>
  </w:tbl>
  <w:p w:rsidR="0026086D" w:rsidRPr="00443C6B" w:rsidRDefault="007F12B6"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7F12B6"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892C27"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C42F70"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00193</w:t>
                </w:r>
                <w:r w:rsidR="00187499">
                  <w:rPr>
                    <w:rFonts w:ascii="Palatino Linotype" w:eastAsia="Calibri" w:hAnsi="Palatino Linotype" w:cs="Tahoma"/>
                    <w:sz w:val="22"/>
                    <w:szCs w:val="22"/>
                    <w:lang w:eastAsia="en-US"/>
                  </w:rPr>
                  <w:t>/INFOEM/IP/RR/2023</w:t>
                </w:r>
                <w:r w:rsidR="00892C27">
                  <w:rPr>
                    <w:rFonts w:ascii="Palatino Linotype" w:eastAsia="Calibri" w:hAnsi="Palatino Linotype" w:cs="Tahoma"/>
                    <w:b/>
                    <w:bCs/>
                    <w:sz w:val="22"/>
                    <w:szCs w:val="22"/>
                    <w:lang w:eastAsia="en-US"/>
                  </w:rPr>
                  <w:t xml:space="preserve"> </w:t>
                </w:r>
              </w:p>
            </w:tc>
          </w:tr>
          <w:tr w:rsidR="0026086D" w:rsidRPr="00330DA7" w:rsidTr="0026086D">
            <w:trPr>
              <w:trHeight w:val="144"/>
            </w:trPr>
            <w:tc>
              <w:tcPr>
                <w:tcW w:w="2444" w:type="dxa"/>
                <w:shd w:val="clear" w:color="auto" w:fill="auto"/>
              </w:tcPr>
              <w:p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020E73" w:rsidRDefault="007F12B6"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rsidTr="0026086D">
            <w:trPr>
              <w:trHeight w:val="283"/>
            </w:trPr>
            <w:tc>
              <w:tcPr>
                <w:tcW w:w="2444" w:type="dxa"/>
                <w:shd w:val="clear" w:color="auto" w:fill="auto"/>
              </w:tcPr>
              <w:p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C42F70"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Metepec</w:t>
                </w:r>
              </w:p>
            </w:tc>
          </w:tr>
          <w:tr w:rsidR="0026086D" w:rsidRPr="00330DA7" w:rsidTr="0026086D">
            <w:trPr>
              <w:trHeight w:val="283"/>
            </w:trPr>
            <w:tc>
              <w:tcPr>
                <w:tcW w:w="2444" w:type="dxa"/>
                <w:shd w:val="clear" w:color="auto" w:fill="auto"/>
              </w:tcPr>
              <w:p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892C27"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7F12B6"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7F12B6" w:rsidP="0026086D">
          <w:pPr>
            <w:tabs>
              <w:tab w:val="right" w:pos="8838"/>
            </w:tabs>
            <w:ind w:left="-28"/>
            <w:jc w:val="both"/>
            <w:rPr>
              <w:rFonts w:ascii="Arial" w:eastAsia="Calibri" w:hAnsi="Arial" w:cs="Arial"/>
              <w:b/>
              <w:sz w:val="22"/>
              <w:szCs w:val="22"/>
              <w:lang w:eastAsia="en-US"/>
            </w:rPr>
          </w:pPr>
        </w:p>
      </w:tc>
    </w:tr>
  </w:tbl>
  <w:p w:rsidR="0026086D" w:rsidRPr="00827FA0" w:rsidRDefault="007F12B6"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D43123"/>
    <w:multiLevelType w:val="hybridMultilevel"/>
    <w:tmpl w:val="6E147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39"/>
    <w:rsid w:val="00034409"/>
    <w:rsid w:val="00083CD6"/>
    <w:rsid w:val="000F5268"/>
    <w:rsid w:val="00187499"/>
    <w:rsid w:val="00383939"/>
    <w:rsid w:val="003C2E10"/>
    <w:rsid w:val="00684F8A"/>
    <w:rsid w:val="007E1D86"/>
    <w:rsid w:val="007F12B6"/>
    <w:rsid w:val="00892C27"/>
    <w:rsid w:val="00981FF0"/>
    <w:rsid w:val="00A12546"/>
    <w:rsid w:val="00B0087A"/>
    <w:rsid w:val="00B30C21"/>
    <w:rsid w:val="00C42F70"/>
    <w:rsid w:val="00C83CDA"/>
    <w:rsid w:val="00F83E19"/>
    <w:rsid w:val="00FD69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2C0F4CB-AD54-4B48-833E-A252C2D8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39"/>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939"/>
    <w:pPr>
      <w:tabs>
        <w:tab w:val="center" w:pos="4419"/>
        <w:tab w:val="right" w:pos="8838"/>
      </w:tabs>
    </w:pPr>
  </w:style>
  <w:style w:type="character" w:customStyle="1" w:styleId="EncabezadoCar">
    <w:name w:val="Encabezado Car"/>
    <w:basedOn w:val="Fuentedeprrafopredeter"/>
    <w:link w:val="Encabezado"/>
    <w:uiPriority w:val="99"/>
    <w:rsid w:val="0038393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83939"/>
    <w:pPr>
      <w:tabs>
        <w:tab w:val="center" w:pos="4419"/>
        <w:tab w:val="right" w:pos="8838"/>
      </w:tabs>
    </w:pPr>
  </w:style>
  <w:style w:type="character" w:customStyle="1" w:styleId="PiedepginaCar">
    <w:name w:val="Pie de página Car"/>
    <w:basedOn w:val="Fuentedeprrafopredeter"/>
    <w:link w:val="Piedepgina"/>
    <w:uiPriority w:val="99"/>
    <w:rsid w:val="0038393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393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393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83939"/>
    <w:rPr>
      <w:color w:val="0563C1"/>
      <w:u w:val="single"/>
    </w:rPr>
  </w:style>
  <w:style w:type="character" w:styleId="Hipervnculovisitado">
    <w:name w:val="FollowedHyperlink"/>
    <w:basedOn w:val="Fuentedeprrafopredeter"/>
    <w:uiPriority w:val="99"/>
    <w:semiHidden/>
    <w:unhideWhenUsed/>
    <w:rsid w:val="007E1D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62074">
      <w:bodyDiv w:val="1"/>
      <w:marLeft w:val="0"/>
      <w:marRight w:val="0"/>
      <w:marTop w:val="0"/>
      <w:marBottom w:val="0"/>
      <w:divBdr>
        <w:top w:val="none" w:sz="0" w:space="0" w:color="auto"/>
        <w:left w:val="none" w:sz="0" w:space="0" w:color="auto"/>
        <w:bottom w:val="none" w:sz="0" w:space="0" w:color="auto"/>
        <w:right w:val="none" w:sz="0" w:space="0" w:color="auto"/>
      </w:divBdr>
    </w:div>
    <w:div w:id="13759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i_b.web?token=03AD1lbLCCmaq_WK8lXmrL59UrdtpQz1cQUr5J9-RDmvSy9SYVsCKYgN5sd6lkj6ADzSjFVd1xPZw3q-UlBre3gV9mzyG_-OwmCFUv-enci0oBuUmXruxJya8hdSlsFU8_11pt_s8MYL77wOaP5wvBbiues0Bi7ps8TqJUVKY0MiLDOJS-cBUn6G-WJ6gpJyTOWCiOe81GCB16dKdQkn6K521NWdGQZVO031N73vo_RoFbA0RlwAWx_eCVC3H3-KsyEd35xFdoQRjO9FAz5GQfHfFPSld5OLZliY78pgNfj89ZPa_EE6pjQDpkjNeo76vXgzeVjG2gSQ7xRK_SCscgdceooVdsbgkETsOXvh5HrlJPWbkT0eF24L40vlMH8wPq-KOQh_QlcNKWWg419VzzFRGSxymp2Zfu81ern_c5Kce1ns3oAsGlJSmBOztGihz7rNEjbCW0hxiSBUQANLQDeJTL686uXK3n643of034GsLHUcE31lgotONuns56s0SWLq77A5Jiab5Dd5eo5TEVmBuaVJYDXYXggpM-87ejkjRxmv_6JattRF4"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676596.page"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pomex.org.mx/ipo3/lgt/indice/METEPEC/art_92_ii_b.web?token=03AD1lbLCCmaq_WK8lXmrL59UrdtpQz1cQUr5J9-RDmvSy9SYVsCKYgN5sd6lkj6ADzSjFVd1xPZw3q-UlBre3gV9mzyG_-OwmCFUv-enci0oBuUmXruxJya8hdSlsFU8_11pt_s8MYL77wOaP5wvBbiues0Bi7ps8TqJUVKY0MiLDOJS-cBUn6G-WJ6gpJyTOWCiOe81GCB16dKdQkn6K521NWdGQZVO031N73vo_RoFbA0RlwAWx_eCVC3H3-KsyEd35xFdoQRjO9FAz5GQfHfFPSld5OLZliY78pgNfj89ZPa_EE6pjQDpkjNeo76vXgzeVjG2gSQ7xRK_SCscgdceooVdsbgkETsOXvh5HrlJPWbkT0eF24L40vlMH8wPq-KOQh_QlcNKWWg419VzzFRGSxymp2Zfu81ern_c5Kce1ns3oAsGlJSmBOztGihz7rNEjbCW0hxiSBUQANLQDeJTL686uXK3n643of034GsLHUcE31lgotONuns56s0SWLq77A5Jiab5Dd5eo5TEVmBuaVJYDXYXggpM-87ejkjRxmv_6JattRF4"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18</Pages>
  <Words>3397</Words>
  <Characters>18687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dcterms:created xsi:type="dcterms:W3CDTF">2023-01-25T21:03:00Z</dcterms:created>
  <dcterms:modified xsi:type="dcterms:W3CDTF">2023-02-01T17:11:00Z</dcterms:modified>
</cp:coreProperties>
</file>